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9" w:lineRule="auto"/>
      </w:pPr>
    </w:p>
    <w:p>
      <w:pPr>
        <w:pStyle w:val="6"/>
        <w:spacing w:line="249" w:lineRule="auto"/>
      </w:pPr>
    </w:p>
    <w:p>
      <w:pPr>
        <w:spacing w:before="162" w:line="560" w:lineRule="exact"/>
        <w:ind w:firstLine="0" w:firstLineChars="0"/>
        <w:jc w:val="center"/>
        <w:outlineLvl w:val="0"/>
        <w:rPr>
          <w:rFonts w:hint="eastAsia" w:ascii="方正小标宋简体" w:hAnsi="方正小标宋简体" w:eastAsia="方正小标宋简体" w:cs="方正小标宋简体"/>
          <w:b w:val="0"/>
          <w:bCs w:val="0"/>
          <w:spacing w:val="10"/>
          <w:sz w:val="44"/>
          <w:szCs w:val="44"/>
        </w:rPr>
      </w:pPr>
      <w:bookmarkStart w:id="0" w:name="_Toc21481"/>
      <w:bookmarkStart w:id="1" w:name="_Toc19715"/>
      <w:bookmarkStart w:id="2" w:name="_Toc9270"/>
      <w:bookmarkStart w:id="3" w:name="_Toc30782"/>
      <w:r>
        <w:rPr>
          <w:rFonts w:hint="eastAsia" w:ascii="方正小标宋简体" w:hAnsi="方正小标宋简体" w:eastAsia="方正小标宋简体" w:cs="方正小标宋简体"/>
          <w:b w:val="0"/>
          <w:bCs w:val="0"/>
          <w:spacing w:val="10"/>
          <w:sz w:val="44"/>
          <w:szCs w:val="44"/>
        </w:rPr>
        <w:t>北京市人民检察院第三分院</w:t>
      </w:r>
      <w:bookmarkEnd w:id="0"/>
      <w:bookmarkEnd w:id="1"/>
      <w:bookmarkEnd w:id="2"/>
      <w:bookmarkEnd w:id="3"/>
    </w:p>
    <w:p>
      <w:pPr>
        <w:spacing w:before="162" w:line="560" w:lineRule="exact"/>
        <w:ind w:left="0"/>
        <w:jc w:val="center"/>
        <w:outlineLvl w:val="0"/>
        <w:rPr>
          <w:rFonts w:hint="eastAsia" w:ascii="方正小标宋简体" w:hAnsi="方正小标宋简体" w:eastAsia="方正小标宋简体" w:cs="方正小标宋简体"/>
          <w:sz w:val="44"/>
          <w:szCs w:val="44"/>
        </w:rPr>
      </w:pPr>
      <w:bookmarkStart w:id="4" w:name="_Toc14691"/>
      <w:bookmarkStart w:id="5" w:name="_Toc16884"/>
      <w:bookmarkStart w:id="6" w:name="_Toc28850"/>
      <w:bookmarkStart w:id="7" w:name="_Toc18020"/>
      <w:r>
        <w:rPr>
          <w:rFonts w:hint="eastAsia" w:ascii="方正小标宋简体" w:hAnsi="方正小标宋简体" w:eastAsia="方正小标宋简体" w:cs="方正小标宋简体"/>
          <w:b w:val="0"/>
          <w:bCs w:val="0"/>
          <w:spacing w:val="19"/>
          <w:sz w:val="44"/>
          <w:szCs w:val="44"/>
        </w:rPr>
        <w:t>202</w:t>
      </w:r>
      <w:r>
        <w:rPr>
          <w:rFonts w:hint="eastAsia" w:ascii="方正小标宋简体" w:hAnsi="方正小标宋简体" w:eastAsia="方正小标宋简体" w:cs="方正小标宋简体"/>
          <w:b w:val="0"/>
          <w:bCs w:val="0"/>
          <w:spacing w:val="19"/>
          <w:sz w:val="44"/>
          <w:szCs w:val="44"/>
          <w:lang w:val="en-US" w:eastAsia="zh-CN"/>
        </w:rPr>
        <w:t>3</w:t>
      </w:r>
      <w:r>
        <w:rPr>
          <w:rFonts w:hint="eastAsia" w:ascii="方正小标宋简体" w:hAnsi="方正小标宋简体" w:eastAsia="方正小标宋简体" w:cs="方正小标宋简体"/>
          <w:b w:val="0"/>
          <w:bCs w:val="0"/>
          <w:spacing w:val="19"/>
          <w:sz w:val="44"/>
          <w:szCs w:val="44"/>
        </w:rPr>
        <w:t>年度部门整体绩效评价报告</w:t>
      </w:r>
      <w:bookmarkEnd w:id="4"/>
      <w:bookmarkEnd w:id="5"/>
      <w:bookmarkEnd w:id="6"/>
      <w:bookmarkEnd w:id="7"/>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8" w:lineRule="auto"/>
      </w:pPr>
    </w:p>
    <w:p>
      <w:pPr>
        <w:pStyle w:val="6"/>
        <w:spacing w:line="249" w:lineRule="auto"/>
      </w:pPr>
    </w:p>
    <w:p>
      <w:pPr>
        <w:pStyle w:val="6"/>
        <w:spacing w:line="249" w:lineRule="auto"/>
      </w:pPr>
    </w:p>
    <w:p>
      <w:pPr>
        <w:pStyle w:val="6"/>
        <w:spacing w:line="249" w:lineRule="auto"/>
      </w:pPr>
    </w:p>
    <w:p>
      <w:pPr>
        <w:pStyle w:val="6"/>
        <w:spacing w:line="249" w:lineRule="auto"/>
      </w:pPr>
    </w:p>
    <w:p>
      <w:pPr>
        <w:pStyle w:val="6"/>
        <w:spacing w:line="249" w:lineRule="auto"/>
      </w:pPr>
    </w:p>
    <w:p>
      <w:pPr>
        <w:pStyle w:val="6"/>
        <w:spacing w:line="249" w:lineRule="auto"/>
      </w:pPr>
    </w:p>
    <w:p>
      <w:pPr>
        <w:pStyle w:val="6"/>
        <w:spacing w:line="249" w:lineRule="auto"/>
      </w:pPr>
    </w:p>
    <w:p>
      <w:pPr>
        <w:spacing w:before="237" w:line="219" w:lineRule="auto"/>
        <w:ind w:left="2960" w:firstLine="335" w:firstLineChars="100"/>
        <w:jc w:val="both"/>
        <w:rPr>
          <w:rFonts w:hint="default" w:ascii="宋体" w:hAnsi="宋体" w:eastAsia="宋体" w:cs="宋体"/>
          <w:sz w:val="35"/>
          <w:szCs w:val="35"/>
          <w:lang w:val="en-US" w:eastAsia="zh-CN"/>
        </w:rPr>
      </w:pPr>
      <w:r>
        <w:rPr>
          <w:rFonts w:hint="eastAsia" w:ascii="宋体" w:hAnsi="宋体" w:cs="宋体"/>
          <w:b/>
          <w:bCs/>
          <w:spacing w:val="-8"/>
          <w:sz w:val="35"/>
          <w:szCs w:val="35"/>
          <w:lang w:val="en-US" w:eastAsia="zh-CN"/>
        </w:rPr>
        <w:t>2024年5月</w:t>
      </w:r>
    </w:p>
    <w:p>
      <w:pPr>
        <w:spacing w:line="219" w:lineRule="auto"/>
        <w:jc w:val="both"/>
        <w:rPr>
          <w:rFonts w:ascii="宋体" w:hAnsi="宋体" w:eastAsia="宋体" w:cs="宋体"/>
          <w:sz w:val="35"/>
          <w:szCs w:val="35"/>
        </w:rPr>
        <w:sectPr>
          <w:pgSz w:w="11900" w:h="16830"/>
          <w:pgMar w:top="1430" w:right="1785" w:bottom="0" w:left="1785" w:header="0" w:footer="0" w:gutter="0"/>
          <w:cols w:space="720" w:num="1"/>
        </w:sectPr>
      </w:pPr>
    </w:p>
    <w:sdt>
      <w:sdtPr>
        <w:rPr>
          <w:rFonts w:ascii="宋体" w:hAnsi="宋体"/>
        </w:rPr>
        <w:id w:val="147481714"/>
      </w:sdtPr>
      <w:sdtEndPr>
        <w:rPr>
          <w:rFonts w:hint="eastAsia" w:ascii="方正小标宋简体" w:hAnsi="Times New Roman" w:eastAsia="方正小标宋简体"/>
          <w:b/>
          <w:szCs w:val="36"/>
        </w:rPr>
      </w:sdtEndPr>
      <w:sdtContent>
        <w:p>
          <w:pPr>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目 录</w:t>
          </w:r>
          <w:bookmarkStart w:id="80" w:name="_GoBack"/>
          <w:bookmarkEnd w:id="80"/>
        </w:p>
        <w:p>
          <w:pPr>
            <w:pStyle w:val="13"/>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TOC \o "1-2" \h \u </w:instrText>
          </w:r>
          <w:r>
            <w:rPr>
              <w:rFonts w:hint="eastAsia" w:ascii="仿宋_GB2312" w:eastAsia="仿宋_GB2312"/>
              <w:sz w:val="28"/>
              <w:szCs w:val="28"/>
            </w:rPr>
            <w:fldChar w:fldCharType="separate"/>
          </w: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_Toc13662 </w:instrText>
          </w:r>
          <w:r>
            <w:rPr>
              <w:rFonts w:hint="eastAsia" w:ascii="仿宋_GB2312" w:eastAsia="仿宋_GB2312"/>
              <w:sz w:val="28"/>
              <w:szCs w:val="28"/>
            </w:rPr>
            <w:fldChar w:fldCharType="separate"/>
          </w:r>
          <w:r>
            <w:rPr>
              <w:rFonts w:hint="eastAsia" w:ascii="黑体" w:hAnsi="黑体" w:eastAsia="黑体" w:cs="黑体"/>
              <w:kern w:val="0"/>
              <w:sz w:val="28"/>
              <w:szCs w:val="28"/>
            </w:rPr>
            <w:t>一、部门概况</w:t>
          </w:r>
          <w:r>
            <w:rPr>
              <w:sz w:val="28"/>
              <w:szCs w:val="28"/>
            </w:rPr>
            <w:tab/>
          </w:r>
          <w:r>
            <w:rPr>
              <w:sz w:val="28"/>
              <w:szCs w:val="28"/>
            </w:rPr>
            <w:fldChar w:fldCharType="begin"/>
          </w:r>
          <w:r>
            <w:rPr>
              <w:sz w:val="28"/>
              <w:szCs w:val="28"/>
            </w:rPr>
            <w:instrText xml:space="preserve"> PAGEREF _Toc13662 \h </w:instrText>
          </w:r>
          <w:r>
            <w:rPr>
              <w:sz w:val="28"/>
              <w:szCs w:val="28"/>
            </w:rPr>
            <w:fldChar w:fldCharType="separate"/>
          </w:r>
          <w:r>
            <w:rPr>
              <w:sz w:val="28"/>
              <w:szCs w:val="28"/>
            </w:rPr>
            <w:t>1</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_Toc996 </w:instrText>
          </w:r>
          <w:r>
            <w:rPr>
              <w:rFonts w:hint="eastAsia" w:ascii="仿宋_GB2312" w:eastAsia="仿宋_GB2312"/>
              <w:sz w:val="28"/>
              <w:szCs w:val="28"/>
            </w:rPr>
            <w:fldChar w:fldCharType="separate"/>
          </w:r>
          <w:r>
            <w:rPr>
              <w:rFonts w:hint="eastAsia" w:ascii="楷体" w:hAnsi="楷体" w:eastAsia="楷体" w:cs="楷体"/>
              <w:sz w:val="28"/>
              <w:szCs w:val="28"/>
            </w:rPr>
            <w:t>（一）机构设置及职责工作任务情况</w:t>
          </w:r>
          <w:r>
            <w:rPr>
              <w:sz w:val="28"/>
              <w:szCs w:val="28"/>
            </w:rPr>
            <w:tab/>
          </w:r>
          <w:r>
            <w:rPr>
              <w:sz w:val="28"/>
              <w:szCs w:val="28"/>
            </w:rPr>
            <w:fldChar w:fldCharType="begin"/>
          </w:r>
          <w:r>
            <w:rPr>
              <w:sz w:val="28"/>
              <w:szCs w:val="28"/>
            </w:rPr>
            <w:instrText xml:space="preserve"> PAGEREF _Toc996 \h </w:instrText>
          </w:r>
          <w:r>
            <w:rPr>
              <w:sz w:val="28"/>
              <w:szCs w:val="28"/>
            </w:rPr>
            <w:fldChar w:fldCharType="separate"/>
          </w:r>
          <w:r>
            <w:rPr>
              <w:sz w:val="28"/>
              <w:szCs w:val="28"/>
            </w:rPr>
            <w:t>1</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_Toc32675 </w:instrText>
          </w:r>
          <w:r>
            <w:rPr>
              <w:rFonts w:hint="eastAsia" w:ascii="仿宋_GB2312" w:eastAsia="仿宋_GB2312"/>
              <w:sz w:val="28"/>
              <w:szCs w:val="28"/>
            </w:rPr>
            <w:fldChar w:fldCharType="separate"/>
          </w:r>
          <w:r>
            <w:rPr>
              <w:rFonts w:hint="eastAsia" w:ascii="黑体" w:hAnsi="黑体" w:eastAsia="黑体" w:cs="黑体"/>
              <w:kern w:val="0"/>
              <w:sz w:val="28"/>
              <w:szCs w:val="28"/>
            </w:rPr>
            <w:t>二</w:t>
          </w:r>
          <w:r>
            <w:rPr>
              <w:rFonts w:ascii="黑体" w:hAnsi="黑体" w:eastAsia="黑体" w:cs="黑体"/>
              <w:kern w:val="0"/>
              <w:sz w:val="28"/>
              <w:szCs w:val="28"/>
            </w:rPr>
            <w:t>、</w:t>
          </w:r>
          <w:r>
            <w:rPr>
              <w:rFonts w:hint="eastAsia" w:ascii="黑体" w:hAnsi="黑体" w:eastAsia="黑体" w:cs="黑体"/>
              <w:kern w:val="0"/>
              <w:sz w:val="28"/>
              <w:szCs w:val="28"/>
            </w:rPr>
            <w:t>当年</w:t>
          </w:r>
          <w:r>
            <w:rPr>
              <w:rFonts w:ascii="黑体" w:hAnsi="黑体" w:eastAsia="黑体" w:cs="黑体"/>
              <w:kern w:val="0"/>
              <w:sz w:val="28"/>
              <w:szCs w:val="28"/>
            </w:rPr>
            <w:t>预算执行情况</w:t>
          </w:r>
          <w:r>
            <w:rPr>
              <w:sz w:val="28"/>
              <w:szCs w:val="28"/>
            </w:rPr>
            <w:tab/>
          </w:r>
          <w:r>
            <w:rPr>
              <w:sz w:val="28"/>
              <w:szCs w:val="28"/>
            </w:rPr>
            <w:fldChar w:fldCharType="begin"/>
          </w:r>
          <w:r>
            <w:rPr>
              <w:sz w:val="28"/>
              <w:szCs w:val="28"/>
            </w:rPr>
            <w:instrText xml:space="preserve"> PAGEREF _Toc32675 \h </w:instrText>
          </w:r>
          <w:r>
            <w:rPr>
              <w:sz w:val="28"/>
              <w:szCs w:val="28"/>
            </w:rPr>
            <w:fldChar w:fldCharType="separate"/>
          </w:r>
          <w:r>
            <w:rPr>
              <w:sz w:val="28"/>
              <w:szCs w:val="28"/>
            </w:rPr>
            <w:t>5</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_Toc24483 </w:instrText>
          </w:r>
          <w:r>
            <w:rPr>
              <w:rFonts w:hint="eastAsia" w:ascii="仿宋_GB2312" w:eastAsia="仿宋_GB2312"/>
              <w:sz w:val="28"/>
              <w:szCs w:val="28"/>
            </w:rPr>
            <w:fldChar w:fldCharType="separate"/>
          </w:r>
          <w:r>
            <w:rPr>
              <w:rFonts w:hint="eastAsia" w:ascii="黑体" w:hAnsi="黑体" w:eastAsia="黑体" w:cs="黑体"/>
              <w:kern w:val="0"/>
              <w:sz w:val="28"/>
              <w:szCs w:val="28"/>
            </w:rPr>
            <w:t>三</w:t>
          </w:r>
          <w:r>
            <w:rPr>
              <w:rFonts w:ascii="黑体" w:hAnsi="黑体" w:eastAsia="黑体" w:cs="黑体"/>
              <w:kern w:val="0"/>
              <w:sz w:val="28"/>
              <w:szCs w:val="28"/>
            </w:rPr>
            <w:t>、整体绩效目标实现情况</w:t>
          </w:r>
          <w:r>
            <w:rPr>
              <w:sz w:val="28"/>
              <w:szCs w:val="28"/>
            </w:rPr>
            <w:tab/>
          </w:r>
          <w:r>
            <w:rPr>
              <w:sz w:val="28"/>
              <w:szCs w:val="28"/>
            </w:rPr>
            <w:fldChar w:fldCharType="begin"/>
          </w:r>
          <w:r>
            <w:rPr>
              <w:sz w:val="28"/>
              <w:szCs w:val="28"/>
            </w:rPr>
            <w:instrText xml:space="preserve"> PAGEREF _Toc24483 \h </w:instrText>
          </w:r>
          <w:r>
            <w:rPr>
              <w:sz w:val="28"/>
              <w:szCs w:val="28"/>
            </w:rPr>
            <w:fldChar w:fldCharType="separate"/>
          </w:r>
          <w:r>
            <w:rPr>
              <w:sz w:val="28"/>
              <w:szCs w:val="28"/>
            </w:rPr>
            <w:t>5</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_Toc27225 </w:instrText>
          </w:r>
          <w:r>
            <w:rPr>
              <w:rFonts w:hint="eastAsia" w:ascii="仿宋_GB2312" w:eastAsia="仿宋_GB2312"/>
              <w:sz w:val="28"/>
              <w:szCs w:val="28"/>
            </w:rPr>
            <w:fldChar w:fldCharType="separate"/>
          </w:r>
          <w:r>
            <w:rPr>
              <w:rFonts w:hint="eastAsia" w:ascii="楷体" w:hAnsi="楷体" w:eastAsia="楷体" w:cs="楷体"/>
              <w:sz w:val="28"/>
              <w:szCs w:val="28"/>
            </w:rPr>
            <w:t>（</w:t>
          </w:r>
          <w:r>
            <w:rPr>
              <w:rFonts w:hint="eastAsia" w:ascii="楷体" w:hAnsi="楷体" w:eastAsia="楷体" w:cs="楷体"/>
              <w:sz w:val="28"/>
              <w:szCs w:val="28"/>
              <w:lang w:val="en-US" w:eastAsia="zh-CN"/>
            </w:rPr>
            <w:t>一</w:t>
          </w:r>
          <w:r>
            <w:rPr>
              <w:rFonts w:hint="eastAsia" w:ascii="楷体" w:hAnsi="楷体" w:eastAsia="楷体" w:cs="楷体"/>
              <w:sz w:val="28"/>
              <w:szCs w:val="28"/>
            </w:rPr>
            <w:t>）产出完成情况分析</w:t>
          </w:r>
          <w:r>
            <w:rPr>
              <w:sz w:val="28"/>
              <w:szCs w:val="28"/>
            </w:rPr>
            <w:tab/>
          </w:r>
          <w:r>
            <w:rPr>
              <w:sz w:val="28"/>
              <w:szCs w:val="28"/>
            </w:rPr>
            <w:fldChar w:fldCharType="begin"/>
          </w:r>
          <w:r>
            <w:rPr>
              <w:sz w:val="28"/>
              <w:szCs w:val="28"/>
            </w:rPr>
            <w:instrText xml:space="preserve"> PAGEREF _Toc27225 \h </w:instrText>
          </w:r>
          <w:r>
            <w:rPr>
              <w:sz w:val="28"/>
              <w:szCs w:val="28"/>
            </w:rPr>
            <w:fldChar w:fldCharType="separate"/>
          </w:r>
          <w:r>
            <w:rPr>
              <w:sz w:val="28"/>
              <w:szCs w:val="28"/>
            </w:rPr>
            <w:t>5</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_Toc7367 </w:instrText>
          </w:r>
          <w:r>
            <w:rPr>
              <w:rFonts w:hint="eastAsia" w:ascii="仿宋_GB2312" w:eastAsia="仿宋_GB2312"/>
              <w:sz w:val="28"/>
              <w:szCs w:val="28"/>
            </w:rPr>
            <w:fldChar w:fldCharType="separate"/>
          </w:r>
          <w:r>
            <w:rPr>
              <w:rFonts w:hint="eastAsia" w:ascii="楷体" w:hAnsi="楷体" w:eastAsia="楷体" w:cs="楷体"/>
              <w:sz w:val="28"/>
              <w:szCs w:val="28"/>
            </w:rPr>
            <w:t>（二）效果</w:t>
          </w:r>
          <w:r>
            <w:rPr>
              <w:rFonts w:ascii="楷体" w:hAnsi="楷体" w:eastAsia="楷体" w:cs="楷体"/>
              <w:sz w:val="28"/>
              <w:szCs w:val="28"/>
            </w:rPr>
            <w:t>实现情况分析</w:t>
          </w:r>
          <w:r>
            <w:rPr>
              <w:sz w:val="28"/>
              <w:szCs w:val="28"/>
            </w:rPr>
            <w:tab/>
          </w:r>
          <w:r>
            <w:rPr>
              <w:sz w:val="28"/>
              <w:szCs w:val="28"/>
            </w:rPr>
            <w:fldChar w:fldCharType="begin"/>
          </w:r>
          <w:r>
            <w:rPr>
              <w:sz w:val="28"/>
              <w:szCs w:val="28"/>
            </w:rPr>
            <w:instrText xml:space="preserve"> PAGEREF _Toc7367 \h </w:instrText>
          </w:r>
          <w:r>
            <w:rPr>
              <w:sz w:val="28"/>
              <w:szCs w:val="28"/>
            </w:rPr>
            <w:fldChar w:fldCharType="separate"/>
          </w:r>
          <w:r>
            <w:rPr>
              <w:sz w:val="28"/>
              <w:szCs w:val="28"/>
            </w:rPr>
            <w:t>8</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_Toc21947 </w:instrText>
          </w:r>
          <w:r>
            <w:rPr>
              <w:rFonts w:hint="eastAsia" w:ascii="仿宋_GB2312" w:eastAsia="仿宋_GB2312"/>
              <w:sz w:val="28"/>
              <w:szCs w:val="28"/>
            </w:rPr>
            <w:fldChar w:fldCharType="separate"/>
          </w:r>
          <w:r>
            <w:rPr>
              <w:rFonts w:hint="eastAsia" w:ascii="黑体" w:hAnsi="黑体" w:eastAsia="黑体" w:cs="黑体"/>
              <w:kern w:val="0"/>
              <w:sz w:val="28"/>
              <w:szCs w:val="28"/>
            </w:rPr>
            <w:t>四</w:t>
          </w:r>
          <w:r>
            <w:rPr>
              <w:rFonts w:ascii="黑体" w:hAnsi="黑体" w:eastAsia="黑体" w:cs="黑体"/>
              <w:kern w:val="0"/>
              <w:sz w:val="28"/>
              <w:szCs w:val="28"/>
            </w:rPr>
            <w:t>、预算管理</w:t>
          </w:r>
          <w:r>
            <w:rPr>
              <w:rFonts w:hint="eastAsia" w:ascii="黑体" w:hAnsi="黑体" w:eastAsia="黑体" w:cs="黑体"/>
              <w:kern w:val="0"/>
              <w:sz w:val="28"/>
              <w:szCs w:val="28"/>
            </w:rPr>
            <w:t>情况分</w:t>
          </w:r>
          <w:r>
            <w:rPr>
              <w:rFonts w:ascii="黑体" w:hAnsi="黑体" w:eastAsia="黑体" w:cs="黑体"/>
              <w:kern w:val="0"/>
              <w:sz w:val="28"/>
              <w:szCs w:val="28"/>
            </w:rPr>
            <w:t>析</w:t>
          </w:r>
          <w:r>
            <w:rPr>
              <w:sz w:val="28"/>
              <w:szCs w:val="28"/>
            </w:rPr>
            <w:tab/>
          </w:r>
          <w:r>
            <w:rPr>
              <w:sz w:val="28"/>
              <w:szCs w:val="28"/>
            </w:rPr>
            <w:fldChar w:fldCharType="begin"/>
          </w:r>
          <w:r>
            <w:rPr>
              <w:sz w:val="28"/>
              <w:szCs w:val="28"/>
            </w:rPr>
            <w:instrText xml:space="preserve"> PAGEREF _Toc21947 \h </w:instrText>
          </w:r>
          <w:r>
            <w:rPr>
              <w:sz w:val="28"/>
              <w:szCs w:val="28"/>
            </w:rPr>
            <w:fldChar w:fldCharType="separate"/>
          </w:r>
          <w:r>
            <w:rPr>
              <w:sz w:val="28"/>
              <w:szCs w:val="28"/>
            </w:rPr>
            <w:t>9</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_Toc8794 </w:instrText>
          </w:r>
          <w:r>
            <w:rPr>
              <w:rFonts w:hint="eastAsia" w:ascii="仿宋_GB2312" w:eastAsia="仿宋_GB2312"/>
              <w:sz w:val="28"/>
              <w:szCs w:val="28"/>
            </w:rPr>
            <w:fldChar w:fldCharType="separate"/>
          </w:r>
          <w:r>
            <w:rPr>
              <w:rFonts w:hint="eastAsia" w:ascii="楷体" w:hAnsi="楷体" w:eastAsia="楷体" w:cs="楷体"/>
              <w:sz w:val="28"/>
              <w:szCs w:val="28"/>
            </w:rPr>
            <w:t>（一）财务管理</w:t>
          </w:r>
          <w:r>
            <w:rPr>
              <w:sz w:val="28"/>
              <w:szCs w:val="28"/>
            </w:rPr>
            <w:tab/>
          </w:r>
          <w:r>
            <w:rPr>
              <w:sz w:val="28"/>
              <w:szCs w:val="28"/>
            </w:rPr>
            <w:fldChar w:fldCharType="begin"/>
          </w:r>
          <w:r>
            <w:rPr>
              <w:sz w:val="28"/>
              <w:szCs w:val="28"/>
            </w:rPr>
            <w:instrText xml:space="preserve"> PAGEREF _Toc8794 \h </w:instrText>
          </w:r>
          <w:r>
            <w:rPr>
              <w:sz w:val="28"/>
              <w:szCs w:val="28"/>
            </w:rPr>
            <w:fldChar w:fldCharType="separate"/>
          </w:r>
          <w:r>
            <w:rPr>
              <w:sz w:val="28"/>
              <w:szCs w:val="28"/>
            </w:rPr>
            <w:t>9</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_Toc23932 </w:instrText>
          </w:r>
          <w:r>
            <w:rPr>
              <w:rFonts w:hint="eastAsia" w:ascii="仿宋_GB2312" w:eastAsia="仿宋_GB2312"/>
              <w:sz w:val="28"/>
              <w:szCs w:val="28"/>
            </w:rPr>
            <w:fldChar w:fldCharType="separate"/>
          </w:r>
          <w:r>
            <w:rPr>
              <w:rFonts w:hint="eastAsia" w:ascii="楷体" w:hAnsi="楷体" w:eastAsia="楷体" w:cs="楷体"/>
              <w:sz w:val="28"/>
              <w:szCs w:val="28"/>
            </w:rPr>
            <w:t>（二）资产管理</w:t>
          </w:r>
          <w:r>
            <w:rPr>
              <w:sz w:val="28"/>
              <w:szCs w:val="28"/>
            </w:rPr>
            <w:tab/>
          </w:r>
          <w:r>
            <w:rPr>
              <w:sz w:val="28"/>
              <w:szCs w:val="28"/>
            </w:rPr>
            <w:fldChar w:fldCharType="begin"/>
          </w:r>
          <w:r>
            <w:rPr>
              <w:sz w:val="28"/>
              <w:szCs w:val="28"/>
            </w:rPr>
            <w:instrText xml:space="preserve"> PAGEREF _Toc23932 \h </w:instrText>
          </w:r>
          <w:r>
            <w:rPr>
              <w:sz w:val="28"/>
              <w:szCs w:val="28"/>
            </w:rPr>
            <w:fldChar w:fldCharType="separate"/>
          </w:r>
          <w:r>
            <w:rPr>
              <w:sz w:val="28"/>
              <w:szCs w:val="28"/>
            </w:rPr>
            <w:t>10</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_Toc29386 </w:instrText>
          </w:r>
          <w:r>
            <w:rPr>
              <w:rFonts w:hint="eastAsia" w:ascii="仿宋_GB2312" w:eastAsia="仿宋_GB2312"/>
              <w:sz w:val="28"/>
              <w:szCs w:val="28"/>
            </w:rPr>
            <w:fldChar w:fldCharType="separate"/>
          </w:r>
          <w:r>
            <w:rPr>
              <w:rFonts w:hint="eastAsia" w:ascii="楷体" w:hAnsi="楷体" w:eastAsia="楷体" w:cs="楷体"/>
              <w:sz w:val="28"/>
              <w:szCs w:val="28"/>
            </w:rPr>
            <w:t>（三）绩效</w:t>
          </w:r>
          <w:r>
            <w:rPr>
              <w:rFonts w:ascii="楷体" w:hAnsi="楷体" w:eastAsia="楷体" w:cs="楷体"/>
              <w:sz w:val="28"/>
              <w:szCs w:val="28"/>
            </w:rPr>
            <w:t>管理</w:t>
          </w:r>
          <w:r>
            <w:rPr>
              <w:sz w:val="28"/>
              <w:szCs w:val="28"/>
            </w:rPr>
            <w:tab/>
          </w:r>
          <w:r>
            <w:rPr>
              <w:sz w:val="28"/>
              <w:szCs w:val="28"/>
            </w:rPr>
            <w:fldChar w:fldCharType="begin"/>
          </w:r>
          <w:r>
            <w:rPr>
              <w:sz w:val="28"/>
              <w:szCs w:val="28"/>
            </w:rPr>
            <w:instrText xml:space="preserve"> PAGEREF _Toc29386 \h </w:instrText>
          </w:r>
          <w:r>
            <w:rPr>
              <w:sz w:val="28"/>
              <w:szCs w:val="28"/>
            </w:rPr>
            <w:fldChar w:fldCharType="separate"/>
          </w:r>
          <w:r>
            <w:rPr>
              <w:sz w:val="28"/>
              <w:szCs w:val="28"/>
            </w:rPr>
            <w:t>11</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_Toc8626 </w:instrText>
          </w:r>
          <w:r>
            <w:rPr>
              <w:rFonts w:hint="eastAsia" w:ascii="仿宋_GB2312" w:eastAsia="仿宋_GB2312"/>
              <w:sz w:val="28"/>
              <w:szCs w:val="28"/>
            </w:rPr>
            <w:fldChar w:fldCharType="separate"/>
          </w:r>
          <w:r>
            <w:rPr>
              <w:rFonts w:hint="eastAsia" w:ascii="楷体" w:hAnsi="楷体" w:eastAsia="楷体" w:cs="楷体"/>
              <w:sz w:val="28"/>
              <w:szCs w:val="28"/>
            </w:rPr>
            <w:t>（四）结转结余情况</w:t>
          </w:r>
          <w:r>
            <w:rPr>
              <w:sz w:val="28"/>
              <w:szCs w:val="28"/>
            </w:rPr>
            <w:tab/>
          </w:r>
          <w:r>
            <w:rPr>
              <w:sz w:val="28"/>
              <w:szCs w:val="28"/>
            </w:rPr>
            <w:fldChar w:fldCharType="begin"/>
          </w:r>
          <w:r>
            <w:rPr>
              <w:sz w:val="28"/>
              <w:szCs w:val="28"/>
            </w:rPr>
            <w:instrText xml:space="preserve"> PAGEREF _Toc8626 \h </w:instrText>
          </w:r>
          <w:r>
            <w:rPr>
              <w:sz w:val="28"/>
              <w:szCs w:val="28"/>
            </w:rPr>
            <w:fldChar w:fldCharType="separate"/>
          </w:r>
          <w:r>
            <w:rPr>
              <w:sz w:val="28"/>
              <w:szCs w:val="28"/>
            </w:rPr>
            <w:t>12</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_Toc16302 </w:instrText>
          </w:r>
          <w:r>
            <w:rPr>
              <w:rFonts w:hint="eastAsia" w:ascii="仿宋_GB2312" w:eastAsia="仿宋_GB2312"/>
              <w:sz w:val="28"/>
              <w:szCs w:val="28"/>
            </w:rPr>
            <w:fldChar w:fldCharType="separate"/>
          </w:r>
          <w:r>
            <w:rPr>
              <w:rFonts w:hint="eastAsia" w:ascii="楷体" w:hAnsi="楷体" w:eastAsia="楷体" w:cs="楷体"/>
              <w:sz w:val="28"/>
              <w:szCs w:val="28"/>
            </w:rPr>
            <w:t>（五）部门</w:t>
          </w:r>
          <w:r>
            <w:rPr>
              <w:rFonts w:ascii="楷体" w:hAnsi="楷体" w:eastAsia="楷体" w:cs="楷体"/>
              <w:sz w:val="28"/>
              <w:szCs w:val="28"/>
            </w:rPr>
            <w:t>预决算差异</w:t>
          </w:r>
          <w:r>
            <w:rPr>
              <w:rFonts w:hint="eastAsia" w:ascii="楷体" w:hAnsi="楷体" w:eastAsia="楷体" w:cs="楷体"/>
              <w:sz w:val="28"/>
              <w:szCs w:val="28"/>
            </w:rPr>
            <w:t>情况</w:t>
          </w:r>
          <w:r>
            <w:rPr>
              <w:sz w:val="28"/>
              <w:szCs w:val="28"/>
            </w:rPr>
            <w:tab/>
          </w:r>
          <w:r>
            <w:rPr>
              <w:sz w:val="28"/>
              <w:szCs w:val="28"/>
            </w:rPr>
            <w:fldChar w:fldCharType="begin"/>
          </w:r>
          <w:r>
            <w:rPr>
              <w:sz w:val="28"/>
              <w:szCs w:val="28"/>
            </w:rPr>
            <w:instrText xml:space="preserve"> PAGEREF _Toc16302 \h </w:instrText>
          </w:r>
          <w:r>
            <w:rPr>
              <w:sz w:val="28"/>
              <w:szCs w:val="28"/>
            </w:rPr>
            <w:fldChar w:fldCharType="separate"/>
          </w:r>
          <w:r>
            <w:rPr>
              <w:sz w:val="28"/>
              <w:szCs w:val="28"/>
            </w:rPr>
            <w:t>12</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rFonts w:hint="eastAsia" w:eastAsia="仿宋_GB2312"/>
              <w:sz w:val="28"/>
              <w:szCs w:val="28"/>
              <w:lang w:eastAsia="zh-CN"/>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_Toc16399 </w:instrText>
          </w:r>
          <w:r>
            <w:rPr>
              <w:rFonts w:hint="eastAsia" w:ascii="仿宋_GB2312" w:eastAsia="仿宋_GB2312"/>
              <w:sz w:val="28"/>
              <w:szCs w:val="28"/>
            </w:rPr>
            <w:fldChar w:fldCharType="separate"/>
          </w:r>
          <w:r>
            <w:rPr>
              <w:rFonts w:hint="eastAsia" w:ascii="黑体" w:hAnsi="黑体" w:eastAsia="黑体" w:cs="黑体"/>
              <w:kern w:val="0"/>
              <w:sz w:val="28"/>
              <w:szCs w:val="28"/>
            </w:rPr>
            <w:t>五、总体</w:t>
          </w:r>
          <w:r>
            <w:rPr>
              <w:rFonts w:ascii="黑体" w:hAnsi="黑体" w:eastAsia="黑体" w:cs="黑体"/>
              <w:kern w:val="0"/>
              <w:sz w:val="28"/>
              <w:szCs w:val="28"/>
            </w:rPr>
            <w:t>评价结论</w:t>
          </w:r>
          <w:r>
            <w:rPr>
              <w:sz w:val="28"/>
              <w:szCs w:val="28"/>
            </w:rPr>
            <w:tab/>
          </w:r>
          <w:r>
            <w:rPr>
              <w:sz w:val="28"/>
              <w:szCs w:val="28"/>
            </w:rPr>
            <w:fldChar w:fldCharType="begin"/>
          </w:r>
          <w:r>
            <w:rPr>
              <w:sz w:val="28"/>
              <w:szCs w:val="28"/>
            </w:rPr>
            <w:instrText xml:space="preserve"> PAGEREF _Toc16399 \h </w:instrText>
          </w:r>
          <w:r>
            <w:rPr>
              <w:sz w:val="28"/>
              <w:szCs w:val="28"/>
            </w:rPr>
            <w:fldChar w:fldCharType="separate"/>
          </w:r>
          <w:r>
            <w:rPr>
              <w:sz w:val="28"/>
              <w:szCs w:val="28"/>
            </w:rPr>
            <w:t>1</w:t>
          </w:r>
          <w:r>
            <w:rPr>
              <w:sz w:val="28"/>
              <w:szCs w:val="28"/>
            </w:rPr>
            <w:fldChar w:fldCharType="end"/>
          </w:r>
          <w:r>
            <w:rPr>
              <w:rFonts w:hint="eastAsia" w:ascii="仿宋_GB2312" w:eastAsia="仿宋_GB2312"/>
              <w:sz w:val="28"/>
              <w:szCs w:val="28"/>
            </w:rPr>
            <w:fldChar w:fldCharType="end"/>
          </w:r>
          <w:r>
            <w:rPr>
              <w:rFonts w:hint="eastAsia" w:eastAsia="仿宋_GB2312"/>
              <w:sz w:val="28"/>
              <w:szCs w:val="28"/>
              <w:lang w:val="en-US" w:eastAsia="zh-CN"/>
            </w:rPr>
            <w:t>2</w:t>
          </w:r>
        </w:p>
        <w:p>
          <w:pPr>
            <w:pStyle w:val="14"/>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_Toc24735 </w:instrText>
          </w:r>
          <w:r>
            <w:rPr>
              <w:rFonts w:hint="eastAsia" w:ascii="仿宋_GB2312" w:eastAsia="仿宋_GB2312"/>
              <w:sz w:val="28"/>
              <w:szCs w:val="28"/>
            </w:rPr>
            <w:fldChar w:fldCharType="separate"/>
          </w:r>
          <w:r>
            <w:rPr>
              <w:rFonts w:hint="eastAsia" w:ascii="楷体" w:hAnsi="楷体" w:eastAsia="楷体" w:cs="楷体"/>
              <w:sz w:val="28"/>
              <w:szCs w:val="28"/>
            </w:rPr>
            <w:t>（一）评价</w:t>
          </w:r>
          <w:r>
            <w:rPr>
              <w:rFonts w:ascii="楷体" w:hAnsi="楷体" w:eastAsia="楷体" w:cs="楷体"/>
              <w:sz w:val="28"/>
              <w:szCs w:val="28"/>
            </w:rPr>
            <w:t>得分</w:t>
          </w:r>
          <w:r>
            <w:rPr>
              <w:rFonts w:hint="eastAsia" w:ascii="楷体" w:hAnsi="楷体" w:eastAsia="楷体" w:cs="楷体"/>
              <w:sz w:val="28"/>
              <w:szCs w:val="28"/>
            </w:rPr>
            <w:t>情况</w:t>
          </w:r>
          <w:r>
            <w:rPr>
              <w:sz w:val="28"/>
              <w:szCs w:val="28"/>
            </w:rPr>
            <w:tab/>
          </w:r>
          <w:r>
            <w:rPr>
              <w:sz w:val="28"/>
              <w:szCs w:val="28"/>
            </w:rPr>
            <w:fldChar w:fldCharType="begin"/>
          </w:r>
          <w:r>
            <w:rPr>
              <w:sz w:val="28"/>
              <w:szCs w:val="28"/>
            </w:rPr>
            <w:instrText xml:space="preserve"> PAGEREF _Toc24735 \h </w:instrText>
          </w:r>
          <w:r>
            <w:rPr>
              <w:sz w:val="28"/>
              <w:szCs w:val="28"/>
            </w:rPr>
            <w:fldChar w:fldCharType="separate"/>
          </w:r>
          <w:r>
            <w:rPr>
              <w:sz w:val="28"/>
              <w:szCs w:val="28"/>
            </w:rPr>
            <w:t>12</w:t>
          </w:r>
          <w:r>
            <w:rPr>
              <w:sz w:val="28"/>
              <w:szCs w:val="28"/>
            </w:rPr>
            <w:fldChar w:fldCharType="end"/>
          </w:r>
          <w:r>
            <w:rPr>
              <w:rFonts w:hint="eastAsia" w:ascii="仿宋_GB2312" w:eastAsia="仿宋_GB2312"/>
              <w:sz w:val="28"/>
              <w:szCs w:val="28"/>
            </w:rPr>
            <w:fldChar w:fldCharType="end"/>
          </w:r>
        </w:p>
        <w:p>
          <w:pPr>
            <w:pStyle w:val="14"/>
            <w:tabs>
              <w:tab w:val="right" w:leader="dot" w:pos="8312"/>
            </w:tabs>
            <w:spacing w:line="600" w:lineRule="exact"/>
            <w:rPr>
              <w:rFonts w:hint="eastAsia" w:eastAsia="仿宋_GB2312"/>
              <w:sz w:val="28"/>
              <w:szCs w:val="28"/>
              <w:lang w:eastAsia="zh-CN"/>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_Toc18375 </w:instrText>
          </w:r>
          <w:r>
            <w:rPr>
              <w:rFonts w:hint="eastAsia" w:ascii="仿宋_GB2312" w:eastAsia="仿宋_GB2312"/>
              <w:sz w:val="28"/>
              <w:szCs w:val="28"/>
            </w:rPr>
            <w:fldChar w:fldCharType="separate"/>
          </w:r>
          <w:r>
            <w:rPr>
              <w:rFonts w:hint="eastAsia" w:ascii="楷体" w:hAnsi="楷体" w:eastAsia="楷体" w:cs="楷体"/>
              <w:sz w:val="28"/>
              <w:szCs w:val="28"/>
            </w:rPr>
            <w:t>（二）存在的问题</w:t>
          </w:r>
          <w:r>
            <w:rPr>
              <w:sz w:val="28"/>
              <w:szCs w:val="28"/>
            </w:rPr>
            <w:tab/>
          </w:r>
          <w:r>
            <w:rPr>
              <w:sz w:val="28"/>
              <w:szCs w:val="28"/>
            </w:rPr>
            <w:fldChar w:fldCharType="begin"/>
          </w:r>
          <w:r>
            <w:rPr>
              <w:sz w:val="28"/>
              <w:szCs w:val="28"/>
            </w:rPr>
            <w:instrText xml:space="preserve"> PAGEREF _Toc18375 \h </w:instrText>
          </w:r>
          <w:r>
            <w:rPr>
              <w:sz w:val="28"/>
              <w:szCs w:val="28"/>
            </w:rPr>
            <w:fldChar w:fldCharType="separate"/>
          </w:r>
          <w:r>
            <w:rPr>
              <w:sz w:val="28"/>
              <w:szCs w:val="28"/>
            </w:rPr>
            <w:t>14</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_Toc28151 </w:instrText>
          </w:r>
          <w:r>
            <w:rPr>
              <w:rFonts w:hint="eastAsia" w:ascii="仿宋_GB2312" w:eastAsia="仿宋_GB2312"/>
              <w:sz w:val="28"/>
              <w:szCs w:val="28"/>
            </w:rPr>
            <w:fldChar w:fldCharType="separate"/>
          </w:r>
          <w:r>
            <w:rPr>
              <w:rFonts w:hint="eastAsia" w:ascii="黑体" w:hAnsi="黑体" w:eastAsia="黑体" w:cs="黑体"/>
              <w:kern w:val="0"/>
              <w:sz w:val="28"/>
              <w:szCs w:val="28"/>
            </w:rPr>
            <w:t>六、措施建议</w:t>
          </w:r>
          <w:r>
            <w:rPr>
              <w:sz w:val="28"/>
              <w:szCs w:val="28"/>
            </w:rPr>
            <w:tab/>
          </w:r>
          <w:r>
            <w:rPr>
              <w:sz w:val="28"/>
              <w:szCs w:val="28"/>
            </w:rPr>
            <w:fldChar w:fldCharType="begin"/>
          </w:r>
          <w:r>
            <w:rPr>
              <w:sz w:val="28"/>
              <w:szCs w:val="28"/>
            </w:rPr>
            <w:instrText xml:space="preserve"> PAGEREF _Toc28151 \h </w:instrText>
          </w:r>
          <w:r>
            <w:rPr>
              <w:sz w:val="28"/>
              <w:szCs w:val="28"/>
            </w:rPr>
            <w:fldChar w:fldCharType="separate"/>
          </w:r>
          <w:r>
            <w:rPr>
              <w:sz w:val="28"/>
              <w:szCs w:val="28"/>
            </w:rPr>
            <w:t>14</w:t>
          </w:r>
          <w:r>
            <w:rPr>
              <w:sz w:val="28"/>
              <w:szCs w:val="28"/>
            </w:rPr>
            <w:fldChar w:fldCharType="end"/>
          </w:r>
          <w:r>
            <w:rPr>
              <w:rFonts w:hint="eastAsia" w:ascii="仿宋_GB2312" w:eastAsia="仿宋_GB2312"/>
              <w:sz w:val="28"/>
              <w:szCs w:val="28"/>
            </w:rPr>
            <w:fldChar w:fldCharType="end"/>
          </w:r>
        </w:p>
        <w:p>
          <w:pPr>
            <w:pStyle w:val="13"/>
            <w:tabs>
              <w:tab w:val="right" w:leader="dot" w:pos="8312"/>
            </w:tabs>
            <w:spacing w:line="600" w:lineRule="exact"/>
            <w:rPr>
              <w:rFonts w:hint="eastAsia" w:eastAsia="仿宋_GB2312"/>
              <w:lang w:eastAsia="zh-CN"/>
            </w:rPr>
          </w:pPr>
          <w:r>
            <w:rPr>
              <w:rFonts w:hint="eastAsia" w:ascii="仿宋_GB2312" w:eastAsia="仿宋_GB2312"/>
              <w:sz w:val="28"/>
              <w:szCs w:val="28"/>
            </w:rPr>
            <w:fldChar w:fldCharType="begin"/>
          </w:r>
          <w:r>
            <w:rPr>
              <w:rFonts w:hint="eastAsia" w:ascii="仿宋_GB2312" w:eastAsia="仿宋_GB2312"/>
              <w:sz w:val="28"/>
              <w:szCs w:val="28"/>
            </w:rPr>
            <w:instrText xml:space="preserve"> HYPERLINK \l _Toc1501 </w:instrText>
          </w:r>
          <w:r>
            <w:rPr>
              <w:rFonts w:hint="eastAsia" w:ascii="仿宋_GB2312" w:eastAsia="仿宋_GB2312"/>
              <w:sz w:val="28"/>
              <w:szCs w:val="28"/>
            </w:rPr>
            <w:fldChar w:fldCharType="separate"/>
          </w:r>
          <w:r>
            <w:rPr>
              <w:rFonts w:hint="eastAsia" w:ascii="黑体" w:hAnsi="黑体" w:eastAsia="黑体" w:cs="黑体"/>
              <w:kern w:val="0"/>
              <w:sz w:val="28"/>
              <w:szCs w:val="28"/>
            </w:rPr>
            <w:t>七、附件</w:t>
          </w:r>
          <w:r>
            <w:rPr>
              <w:sz w:val="28"/>
              <w:szCs w:val="28"/>
            </w:rPr>
            <w:tab/>
          </w:r>
          <w:r>
            <w:rPr>
              <w:sz w:val="28"/>
              <w:szCs w:val="28"/>
            </w:rPr>
            <w:fldChar w:fldCharType="begin"/>
          </w:r>
          <w:r>
            <w:rPr>
              <w:sz w:val="28"/>
              <w:szCs w:val="28"/>
            </w:rPr>
            <w:instrText xml:space="preserve"> PAGEREF _Toc1501 \h </w:instrText>
          </w:r>
          <w:r>
            <w:rPr>
              <w:sz w:val="28"/>
              <w:szCs w:val="28"/>
            </w:rPr>
            <w:fldChar w:fldCharType="separate"/>
          </w:r>
          <w:r>
            <w:rPr>
              <w:sz w:val="28"/>
              <w:szCs w:val="28"/>
            </w:rPr>
            <w:t>15</w:t>
          </w:r>
          <w:r>
            <w:rPr>
              <w:sz w:val="28"/>
              <w:szCs w:val="28"/>
            </w:rPr>
            <w:fldChar w:fldCharType="end"/>
          </w:r>
          <w:r>
            <w:rPr>
              <w:rFonts w:hint="eastAsia" w:ascii="仿宋_GB2312" w:eastAsia="仿宋_GB2312"/>
              <w:sz w:val="28"/>
              <w:szCs w:val="28"/>
            </w:rPr>
            <w:fldChar w:fldCharType="end"/>
          </w:r>
        </w:p>
        <w:p>
          <w:pPr>
            <w:keepNext w:val="0"/>
            <w:keepLines w:val="0"/>
            <w:pageBreakBefore w:val="0"/>
            <w:kinsoku/>
            <w:wordWrap/>
            <w:overflowPunct/>
            <w:topLinePunct w:val="0"/>
            <w:autoSpaceDE/>
            <w:autoSpaceDN/>
            <w:bidi w:val="0"/>
            <w:adjustRightInd/>
            <w:snapToGrid/>
            <w:spacing w:line="600" w:lineRule="exact"/>
            <w:textAlignment w:val="auto"/>
            <w:rPr>
              <w:rFonts w:ascii="方正小标宋简体" w:eastAsia="方正小标宋简体"/>
              <w:sz w:val="36"/>
              <w:szCs w:val="36"/>
            </w:rPr>
            <w:sectPr>
              <w:headerReference r:id="rId3" w:type="default"/>
              <w:footerReference r:id="rId4" w:type="default"/>
              <w:pgSz w:w="11906" w:h="16838"/>
              <w:pgMar w:top="1440" w:right="1797" w:bottom="1440" w:left="1797" w:header="851" w:footer="992" w:gutter="0"/>
              <w:pgNumType w:start="1"/>
              <w:cols w:space="425" w:num="1"/>
              <w:docGrid w:type="lines" w:linePitch="312" w:charSpace="0"/>
            </w:sectPr>
          </w:pPr>
          <w:r>
            <w:rPr>
              <w:rFonts w:hint="eastAsia" w:ascii="仿宋_GB2312" w:eastAsia="仿宋_GB2312"/>
              <w:szCs w:val="28"/>
            </w:rPr>
            <w:fldChar w:fldCharType="end"/>
          </w:r>
        </w:p>
      </w:sdtContent>
    </w:sdt>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北京市人民检察院第三分院</w:t>
      </w:r>
    </w:p>
    <w:p>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2</w:t>
      </w:r>
      <w:r>
        <w:rPr>
          <w:rFonts w:ascii="方正小标宋简体" w:eastAsia="方正小标宋简体"/>
          <w:sz w:val="36"/>
          <w:szCs w:val="36"/>
        </w:rPr>
        <w:t>02</w:t>
      </w:r>
      <w:r>
        <w:rPr>
          <w:rFonts w:hint="eastAsia" w:ascii="方正小标宋简体" w:eastAsia="方正小标宋简体"/>
          <w:sz w:val="36"/>
          <w:szCs w:val="36"/>
          <w:lang w:val="en-US" w:eastAsia="zh-CN"/>
        </w:rPr>
        <w:t>3</w:t>
      </w:r>
      <w:r>
        <w:rPr>
          <w:rFonts w:hint="eastAsia" w:ascii="方正小标宋简体" w:eastAsia="方正小标宋简体"/>
          <w:sz w:val="36"/>
          <w:szCs w:val="36"/>
        </w:rPr>
        <w:t>年度部门整体绩效评价报告</w:t>
      </w:r>
    </w:p>
    <w:p>
      <w:pPr>
        <w:snapToGrid w:val="0"/>
        <w:spacing w:line="560" w:lineRule="exact"/>
        <w:ind w:firstLine="640" w:firstLineChars="200"/>
        <w:jc w:val="right"/>
        <w:rPr>
          <w:rFonts w:hint="eastAsia" w:ascii="仿宋_GB2312" w:hAnsi="楷体" w:eastAsia="仿宋_GB2312" w:cs="Times New Roman"/>
          <w:bCs/>
          <w:kern w:val="0"/>
          <w:sz w:val="32"/>
          <w:szCs w:val="28"/>
          <w:lang w:val="en-US" w:eastAsia="zh-CN" w:bidi="ar-SA"/>
        </w:rPr>
      </w:pP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为进一步加强预算绩效管理，强化部门支出责任，提高财政资金使用效益，考核财政支出效率和综合效果，根据《中共北京市委 北京市人民政府关于全面实施预算绩效管理的实施意见》（京发〔2019〕12号）、《北京市项目支出绩效评价管理办法》（京财绩效〔2020〕2146号），结合</w:t>
      </w:r>
      <w:r>
        <w:rPr>
          <w:rFonts w:hint="eastAsia" w:ascii="仿宋_GB2312" w:hAnsi="仿宋_GB2312" w:eastAsia="仿宋_GB2312" w:cs="仿宋_GB2312"/>
          <w:sz w:val="32"/>
          <w:szCs w:val="32"/>
          <w:lang w:val="en-US" w:eastAsia="zh-CN"/>
        </w:rPr>
        <w:t>北京市财政局</w:t>
      </w:r>
      <w:r>
        <w:rPr>
          <w:rFonts w:hint="eastAsia" w:ascii="仿宋_GB2312" w:hAnsi="仿宋_GB2312" w:eastAsia="仿宋_GB2312" w:cs="仿宋_GB2312"/>
          <w:sz w:val="32"/>
          <w:szCs w:val="32"/>
        </w:rPr>
        <w:t>《关于开展2024年预算绩效管理相关工作的函》要求，北京市人民检察院第三分院（以下简称“市检三分院”）组建绩效评价工作组，</w:t>
      </w:r>
      <w:r>
        <w:rPr>
          <w:rFonts w:ascii="仿宋_GB2312" w:hAnsi="仿宋_GB2312" w:eastAsia="仿宋_GB2312" w:cs="仿宋_GB2312"/>
          <w:sz w:val="32"/>
          <w:szCs w:val="32"/>
        </w:rPr>
        <w:t>对202</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年度部门整体</w:t>
      </w:r>
      <w:r>
        <w:rPr>
          <w:rFonts w:hint="eastAsia" w:ascii="仿宋_GB2312" w:hAnsi="仿宋_GB2312" w:eastAsia="仿宋_GB2312" w:cs="仿宋_GB2312"/>
          <w:sz w:val="32"/>
          <w:szCs w:val="32"/>
        </w:rPr>
        <w:t>实施</w:t>
      </w:r>
      <w:r>
        <w:rPr>
          <w:rFonts w:ascii="仿宋_GB2312" w:hAnsi="仿宋_GB2312" w:eastAsia="仿宋_GB2312" w:cs="仿宋_GB2312"/>
          <w:sz w:val="32"/>
          <w:szCs w:val="32"/>
        </w:rPr>
        <w:t>绩效评价，</w:t>
      </w:r>
      <w:r>
        <w:rPr>
          <w:rFonts w:hint="eastAsia" w:ascii="仿宋_GB2312" w:hAnsi="仿宋_GB2312" w:eastAsia="仿宋_GB2312" w:cs="仿宋_GB2312"/>
          <w:sz w:val="32"/>
          <w:szCs w:val="32"/>
        </w:rPr>
        <w:t>形成本绩效评价报告。</w:t>
      </w:r>
    </w:p>
    <w:p>
      <w:pPr>
        <w:spacing w:line="560" w:lineRule="exact"/>
        <w:ind w:firstLine="640" w:firstLineChars="200"/>
        <w:outlineLvl w:val="0"/>
        <w:rPr>
          <w:rFonts w:ascii="黑体" w:hAnsi="黑体" w:eastAsia="黑体" w:cs="黑体"/>
          <w:kern w:val="0"/>
          <w:sz w:val="32"/>
          <w:szCs w:val="32"/>
        </w:rPr>
      </w:pPr>
      <w:bookmarkStart w:id="8" w:name="_Toc8963"/>
      <w:bookmarkStart w:id="9" w:name="_Toc13662"/>
      <w:bookmarkStart w:id="10" w:name="_Toc5979"/>
      <w:bookmarkStart w:id="11" w:name="_Toc24301"/>
      <w:r>
        <w:rPr>
          <w:rFonts w:hint="eastAsia" w:ascii="黑体" w:hAnsi="黑体" w:eastAsia="黑体" w:cs="黑体"/>
          <w:kern w:val="0"/>
          <w:sz w:val="32"/>
          <w:szCs w:val="32"/>
        </w:rPr>
        <w:t>一、部门概况</w:t>
      </w:r>
      <w:bookmarkEnd w:id="8"/>
      <w:bookmarkEnd w:id="9"/>
      <w:bookmarkEnd w:id="10"/>
      <w:bookmarkEnd w:id="11"/>
    </w:p>
    <w:p>
      <w:pPr>
        <w:spacing w:line="560" w:lineRule="exact"/>
        <w:ind w:firstLine="640" w:firstLineChars="200"/>
        <w:outlineLvl w:val="1"/>
        <w:rPr>
          <w:rFonts w:ascii="楷体" w:hAnsi="楷体" w:eastAsia="楷体" w:cs="楷体"/>
          <w:sz w:val="32"/>
          <w:szCs w:val="32"/>
        </w:rPr>
      </w:pPr>
      <w:bookmarkStart w:id="12" w:name="_Toc2036"/>
      <w:bookmarkStart w:id="13" w:name="_Toc996"/>
      <w:bookmarkStart w:id="14" w:name="_Toc12493"/>
      <w:bookmarkStart w:id="15" w:name="_Toc19948"/>
      <w:r>
        <w:rPr>
          <w:rFonts w:hint="eastAsia" w:ascii="楷体" w:hAnsi="楷体" w:eastAsia="楷体" w:cs="楷体"/>
          <w:sz w:val="32"/>
          <w:szCs w:val="32"/>
        </w:rPr>
        <w:t>（一）机构设置及职责工作任务情况</w:t>
      </w:r>
      <w:bookmarkEnd w:id="12"/>
      <w:bookmarkEnd w:id="13"/>
      <w:bookmarkEnd w:id="14"/>
      <w:bookmarkEnd w:id="15"/>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1.机构设置</w:t>
      </w:r>
    </w:p>
    <w:p>
      <w:pPr>
        <w:snapToGrid w:val="0"/>
        <w:spacing w:line="560" w:lineRule="exact"/>
        <w:ind w:firstLine="640" w:firstLineChars="200"/>
      </w:pPr>
      <w:r>
        <w:rPr>
          <w:rFonts w:hint="eastAsia" w:ascii="仿宋_GB2312" w:hAnsi="仿宋_GB2312" w:eastAsia="仿宋_GB2312" w:cs="仿宋_GB2312"/>
          <w:sz w:val="32"/>
          <w:szCs w:val="32"/>
        </w:rPr>
        <w:t>市检三分院是</w:t>
      </w:r>
      <w:r>
        <w:rPr>
          <w:rFonts w:hint="eastAsia" w:ascii="仿宋_GB2312" w:hAnsi="楷体" w:eastAsia="仿宋_GB2312"/>
          <w:bCs/>
          <w:kern w:val="0"/>
          <w:sz w:val="32"/>
          <w:szCs w:val="28"/>
        </w:rPr>
        <w:t>国家法律监督机关</w:t>
      </w:r>
      <w:r>
        <w:rPr>
          <w:rFonts w:hint="eastAsia" w:ascii="仿宋_GB2312" w:hAnsi="仿宋_GB2312" w:eastAsia="仿宋_GB2312" w:cs="仿宋_GB2312"/>
          <w:sz w:val="32"/>
          <w:szCs w:val="32"/>
        </w:rPr>
        <w:t>。按照《北京市检察机关内设机构改革方案》要求，市检三分院下设办公室、第一检察部、第二检察部、第三检察部、第四检察部、第五检察部、第六检察部、第七检察部、第八检察部、第九检察部（法律政策研究室）、检务督察部、行政事务管理部、政治部、机关党委（党建工作处）、机关纪委共计</w:t>
      </w:r>
      <w:r>
        <w:rPr>
          <w:rFonts w:hint="eastAsia" w:ascii="仿宋_GB2312" w:hAnsi="仿宋_GB2312" w:eastAsia="仿宋_GB2312" w:cs="仿宋_GB2312"/>
          <w:sz w:val="32"/>
          <w:szCs w:val="32"/>
          <w:highlight w:val="none"/>
        </w:rPr>
        <w:t>15个内</w:t>
      </w:r>
      <w:r>
        <w:rPr>
          <w:rFonts w:hint="eastAsia" w:ascii="仿宋_GB2312" w:hAnsi="仿宋_GB2312" w:eastAsia="仿宋_GB2312" w:cs="仿宋_GB2312"/>
          <w:sz w:val="32"/>
          <w:szCs w:val="32"/>
        </w:rPr>
        <w:t>设机构。</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2.人员配置及人员构成情况</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市检三分院部门20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年编制人数20</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人，年末实有在职人员18</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人，其他人员</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highlight w:val="none"/>
        </w:rPr>
        <w:t>（其中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聘任制司法辅助人员36人，劳务派遣人员10人），</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highlight w:val="none"/>
          <w:lang w:val="en-US" w:eastAsia="zh-CN"/>
        </w:rPr>
        <w:t>45</w:t>
      </w:r>
      <w:r>
        <w:rPr>
          <w:rFonts w:hint="eastAsia" w:ascii="仿宋_GB2312" w:hAnsi="仿宋_GB2312" w:eastAsia="仿宋_GB2312" w:cs="仿宋_GB2312"/>
          <w:sz w:val="32"/>
          <w:szCs w:val="32"/>
        </w:rPr>
        <w:t>人。</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3.部门职责和工作任务情况</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（1）部门职责</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管辖北京市朝阳区、通州区、顺义区、怀柔区、平谷区、密云区地域内依法律规定由其办理的案件，作为法律监督机关，主要职责是：</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①</w:t>
      </w:r>
      <w:r>
        <w:rPr>
          <w:rFonts w:hint="eastAsia" w:ascii="仿宋_GB2312" w:hAnsi="仿宋_GB2312" w:eastAsia="仿宋_GB2312" w:cs="仿宋_GB2312"/>
          <w:sz w:val="32"/>
          <w:szCs w:val="32"/>
        </w:rPr>
        <w:t>负责受理审查属本院管辖提请逮捕的案件；</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②</w:t>
      </w:r>
      <w:r>
        <w:rPr>
          <w:rFonts w:hint="eastAsia" w:ascii="仿宋_GB2312" w:hAnsi="仿宋_GB2312" w:eastAsia="仿宋_GB2312" w:cs="仿宋_GB2312"/>
          <w:sz w:val="32"/>
          <w:szCs w:val="32"/>
        </w:rPr>
        <w:t>负责受理属本院管辖提起公诉的案件，并出庭支持公诉；</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③</w:t>
      </w:r>
      <w:r>
        <w:rPr>
          <w:rFonts w:hint="eastAsia" w:ascii="仿宋_GB2312" w:hAnsi="仿宋_GB2312" w:eastAsia="仿宋_GB2312" w:cs="仿宋_GB2312"/>
          <w:sz w:val="32"/>
          <w:szCs w:val="32"/>
        </w:rPr>
        <w:t>负责公安机关不服区人民检察院不捕决定而提请复核的案件；</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④</w:t>
      </w:r>
      <w:r>
        <w:rPr>
          <w:rFonts w:hint="eastAsia" w:ascii="仿宋_GB2312" w:hAnsi="仿宋_GB2312" w:eastAsia="仿宋_GB2312" w:cs="仿宋_GB2312"/>
          <w:sz w:val="32"/>
          <w:szCs w:val="32"/>
        </w:rPr>
        <w:t>负责对案件管辖范围内刑事上诉、抗诉案件和基层法院已发生法律效力判决的监督；</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⑤</w:t>
      </w:r>
      <w:r>
        <w:rPr>
          <w:rFonts w:hint="eastAsia" w:ascii="仿宋_GB2312" w:hAnsi="仿宋_GB2312" w:eastAsia="仿宋_GB2312" w:cs="仿宋_GB2312"/>
          <w:sz w:val="32"/>
          <w:szCs w:val="32"/>
        </w:rPr>
        <w:t>负责受理案件管辖范围内公民和法人的检举、控告、申诉案件；</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⑥</w:t>
      </w:r>
      <w:r>
        <w:rPr>
          <w:rFonts w:hint="eastAsia" w:ascii="仿宋_GB2312" w:hAnsi="仿宋_GB2312" w:eastAsia="仿宋_GB2312" w:cs="仿宋_GB2312"/>
          <w:sz w:val="32"/>
          <w:szCs w:val="32"/>
        </w:rPr>
        <w:t>负责对案件管辖范围内的民事、经济、行政诉讼判决的监督；</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⑦</w:t>
      </w:r>
      <w:r>
        <w:rPr>
          <w:rFonts w:hint="eastAsia" w:ascii="仿宋_GB2312" w:hAnsi="仿宋_GB2312" w:eastAsia="仿宋_GB2312" w:cs="仿宋_GB2312"/>
          <w:sz w:val="32"/>
          <w:szCs w:val="32"/>
        </w:rPr>
        <w:t>受理案件管辖范围内的涉外案件；</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仿宋_GB2312"/>
          <w:sz w:val="32"/>
          <w:szCs w:val="32"/>
        </w:rPr>
        <w:t>⑧</w:t>
      </w:r>
      <w:r>
        <w:rPr>
          <w:rFonts w:hint="eastAsia" w:ascii="仿宋_GB2312" w:hAnsi="仿宋_GB2312" w:eastAsia="仿宋_GB2312" w:cs="仿宋_GB2312"/>
          <w:sz w:val="32"/>
          <w:szCs w:val="32"/>
        </w:rPr>
        <w:t>负责对管辖范围内公安机关侦查工作的法律监督；</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Cambria Math"/>
          <w:sz w:val="32"/>
          <w:szCs w:val="32"/>
        </w:rPr>
        <w:t>⑨</w:t>
      </w:r>
      <w:r>
        <w:rPr>
          <w:rFonts w:hint="eastAsia" w:ascii="仿宋_GB2312" w:hAnsi="仿宋_GB2312" w:eastAsia="仿宋_GB2312" w:cs="仿宋_GB2312"/>
          <w:sz w:val="32"/>
          <w:szCs w:val="32"/>
        </w:rPr>
        <w:t>负责对管辖范围内监管场所收押人犯、罪犯改造工作的监督；</w:t>
      </w:r>
    </w:p>
    <w:p>
      <w:pPr>
        <w:snapToGrid w:val="0"/>
        <w:spacing w:line="560" w:lineRule="exact"/>
        <w:ind w:firstLine="640" w:firstLineChars="200"/>
        <w:rPr>
          <w:rFonts w:ascii="仿宋_GB2312" w:hAnsi="仿宋_GB2312" w:eastAsia="仿宋_GB2312" w:cs="仿宋_GB2312"/>
          <w:sz w:val="32"/>
          <w:szCs w:val="32"/>
        </w:rPr>
      </w:pPr>
      <w:r>
        <w:rPr>
          <w:rFonts w:ascii="Cambria Math" w:hAnsi="Cambria Math" w:eastAsia="仿宋_GB2312" w:cs="Cambria Math"/>
          <w:sz w:val="32"/>
          <w:szCs w:val="32"/>
        </w:rPr>
        <w:t>⑩</w:t>
      </w:r>
      <w:r>
        <w:rPr>
          <w:rFonts w:hint="eastAsia" w:ascii="仿宋_GB2312" w:hAnsi="仿宋_GB2312" w:eastAsia="仿宋_GB2312" w:cs="仿宋_GB2312"/>
          <w:sz w:val="32"/>
          <w:szCs w:val="32"/>
        </w:rPr>
        <w:t>负责对应由分院管辖的国家赔偿案件的审查及不服区人民检察院处理的赔偿案件的复议；</w:t>
      </w:r>
    </w:p>
    <w:p>
      <w:pPr>
        <w:snapToGrid w:val="0"/>
        <w:spacing w:line="560" w:lineRule="exact"/>
        <w:ind w:firstLine="640" w:firstLineChars="200"/>
        <w:rPr>
          <w:rFonts w:ascii="仿宋_GB2312" w:hAnsi="Cambria Math" w:eastAsia="仿宋_GB2312" w:cs="Cambria Math"/>
          <w:sz w:val="32"/>
          <w:szCs w:val="32"/>
        </w:rPr>
      </w:pPr>
      <w:r>
        <w:rPr>
          <w:rFonts w:ascii="仿宋_GB2312" w:hAnsi="Cambria Math" w:eastAsia="仿宋_GB2312" w:cs="Cambria Math"/>
          <w:sz w:val="32"/>
          <w:szCs w:val="32"/>
        </w:rPr>
        <w:t>⑪</w:t>
      </w:r>
      <w:r>
        <w:rPr>
          <w:rFonts w:hint="eastAsia" w:ascii="仿宋_GB2312" w:hAnsi="Cambria Math" w:eastAsia="仿宋_GB2312" w:cs="Cambria Math"/>
          <w:sz w:val="32"/>
          <w:szCs w:val="32"/>
        </w:rPr>
        <w:t>负责本院的队伍建设和权限内的干部人事管理工作；负责本院纪律检查和行政监察工作；负责本院的后勤管理和物资装备工作；</w:t>
      </w:r>
    </w:p>
    <w:p>
      <w:pPr>
        <w:snapToGrid w:val="0"/>
        <w:spacing w:line="560" w:lineRule="exact"/>
        <w:ind w:firstLine="640" w:firstLineChars="200"/>
        <w:rPr>
          <w:rFonts w:ascii="仿宋_GB2312" w:hAnsi="Cambria Math" w:eastAsia="仿宋_GB2312" w:cs="Cambria Math"/>
          <w:sz w:val="32"/>
          <w:szCs w:val="32"/>
        </w:rPr>
      </w:pPr>
      <w:r>
        <w:rPr>
          <w:rFonts w:ascii="仿宋_GB2312" w:hAnsi="Cambria Math" w:eastAsia="仿宋_GB2312" w:cs="Cambria Math"/>
          <w:sz w:val="32"/>
          <w:szCs w:val="32"/>
        </w:rPr>
        <w:t>⑫</w:t>
      </w:r>
      <w:r>
        <w:rPr>
          <w:rFonts w:hint="eastAsia" w:ascii="仿宋_GB2312" w:hAnsi="Cambria Math" w:eastAsia="仿宋_GB2312" w:cs="Cambria Math"/>
          <w:sz w:val="32"/>
          <w:szCs w:val="32"/>
        </w:rPr>
        <w:t>负责市人民检察院交办的有关工作。</w:t>
      </w:r>
    </w:p>
    <w:p>
      <w:pPr>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）工作任务情况</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市检三分院</w:t>
      </w:r>
      <w:r>
        <w:rPr>
          <w:rFonts w:hint="eastAsia" w:ascii="仿宋_GB2312" w:hAnsi="仿宋_GB2312" w:eastAsia="仿宋_GB2312" w:cs="仿宋_GB2312"/>
          <w:sz w:val="32"/>
          <w:szCs w:val="32"/>
        </w:rPr>
        <w:t>领导班子主要围绕五个方面开展工作并取得了显著成效。</w:t>
      </w:r>
      <w:r>
        <w:rPr>
          <w:rFonts w:hint="eastAsia" w:ascii="仿宋_GB2312" w:hAnsi="仿宋_GB2312" w:eastAsia="仿宋_GB2312" w:cs="仿宋_GB2312"/>
          <w:sz w:val="32"/>
          <w:szCs w:val="32"/>
          <w:lang w:val="en-US" w:eastAsia="zh-CN"/>
        </w:rPr>
        <w:t>第一</w:t>
      </w:r>
      <w:r>
        <w:rPr>
          <w:rFonts w:hint="eastAsia" w:ascii="仿宋_GB2312" w:hAnsi="仿宋_GB2312" w:eastAsia="仿宋_GB2312" w:cs="仿宋_GB2312"/>
          <w:sz w:val="32"/>
          <w:szCs w:val="32"/>
        </w:rPr>
        <w:t>，深入学习贯彻习近平新时代中国特色社会主义思想，通过集体学习、研讨交流和个人自学，全面领会其核心要义，并通过调研和问题整改推动实践发展。</w:t>
      </w:r>
      <w:r>
        <w:rPr>
          <w:rFonts w:hint="eastAsia" w:ascii="仿宋_GB2312" w:hAnsi="仿宋_GB2312" w:eastAsia="仿宋_GB2312" w:cs="仿宋_GB2312"/>
          <w:sz w:val="32"/>
          <w:szCs w:val="32"/>
          <w:lang w:val="en-US" w:eastAsia="zh-CN"/>
        </w:rPr>
        <w:t>第二</w:t>
      </w:r>
      <w:r>
        <w:rPr>
          <w:rFonts w:hint="eastAsia" w:ascii="仿宋_GB2312" w:hAnsi="仿宋_GB2312" w:eastAsia="仿宋_GB2312" w:cs="仿宋_GB2312"/>
          <w:sz w:val="32"/>
          <w:szCs w:val="32"/>
        </w:rPr>
        <w:t>，积极接受市委巡视，深入查问题并迅速整改，以巡视为契机推动高质量发展。第三，部署推进“四院”建设，明确了总体目标和实施路径，激发全体检察人员的积极性和创造力。第四，积极推动数字检察战略落地见效，通过应用大数据法律监督模型，提高监督效率和质量，并在全市乃至更广泛的地区推广应用成功经验。</w:t>
      </w:r>
      <w:r>
        <w:rPr>
          <w:rFonts w:hint="eastAsia" w:ascii="仿宋_GB2312" w:hAnsi="仿宋_GB2312" w:eastAsia="仿宋_GB2312" w:cs="仿宋_GB2312"/>
          <w:sz w:val="32"/>
          <w:szCs w:val="32"/>
          <w:lang w:val="en-US" w:eastAsia="zh-CN"/>
        </w:rPr>
        <w:t>第五</w:t>
      </w:r>
      <w:r>
        <w:rPr>
          <w:rFonts w:hint="eastAsia" w:ascii="仿宋_GB2312" w:hAnsi="仿宋_GB2312" w:eastAsia="仿宋_GB2312" w:cs="仿宋_GB2312"/>
          <w:sz w:val="32"/>
          <w:szCs w:val="32"/>
        </w:rPr>
        <w:t>，加强证券期货和重大职务犯罪案件办理“双基地”建设，以专业化团队和高效衔接机制打击相关犯罪，并通过以案释法增强社会影响力。</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推进这些重点工作的同时，还坚持政治统领，强化党的政治建设，确保检察工作在政治方向上与党中央保持高度一致。通过强化党组职能、完善制度规范体系、加强意识形态工作等措施，提升党组织的政治功能和组织功能，确保检察工作的正确方向和高效运行。</w:t>
      </w:r>
    </w:p>
    <w:p>
      <w:pPr>
        <w:snapToGrid w:val="0"/>
        <w:spacing w:line="560" w:lineRule="exact"/>
        <w:ind w:firstLine="640" w:firstLineChars="200"/>
        <w:outlineLvl w:val="9"/>
        <w:rPr>
          <w:rFonts w:ascii="楷体" w:hAnsi="楷体" w:eastAsia="楷体" w:cs="楷体"/>
          <w:sz w:val="32"/>
          <w:szCs w:val="32"/>
        </w:rPr>
      </w:pPr>
      <w:bookmarkStart w:id="16" w:name="_Toc1483"/>
      <w:bookmarkStart w:id="17" w:name="_Toc24228"/>
      <w:bookmarkStart w:id="18" w:name="_Toc14520"/>
      <w:r>
        <w:rPr>
          <w:rFonts w:hint="eastAsia" w:ascii="楷体" w:hAnsi="楷体" w:eastAsia="楷体" w:cs="楷体"/>
          <w:sz w:val="32"/>
          <w:szCs w:val="32"/>
        </w:rPr>
        <w:t>（二）部门整体绩效目标设立情况</w:t>
      </w:r>
      <w:bookmarkEnd w:id="16"/>
      <w:bookmarkEnd w:id="17"/>
      <w:bookmarkEnd w:id="18"/>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1.绩效目标设立依据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（1）《中国共产党政法工作条例》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（2）中共北京市委贯彻《中共中央关于加强新时代检察机关法律监督工作的意见》的实施意见</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（3）“十四五”时期检务保障工作发展规划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（4）市检三分院单位职能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（5）市检三分院年度工作计划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（6）国家相关法律法规和规章制度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（7）北京市相关法规、规章制度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（8）市检三分院内部控制制度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（9）相关历史数据、行业标准、计划标准等</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2.目标设置情况</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市检三分院根据单位职责，结合“十四五”规划和年度任务计划设置了部门整体绩效目标，</w:t>
      </w:r>
      <w:r>
        <w:rPr>
          <w:rFonts w:hint="eastAsia" w:ascii="仿宋_GB2312" w:hAnsi="仿宋_GB2312" w:eastAsia="仿宋_GB2312" w:cs="仿宋_GB2312"/>
          <w:sz w:val="32"/>
          <w:szCs w:val="32"/>
          <w:highlight w:val="none"/>
        </w:rPr>
        <w:t>整体绩效目标设置较为全面，但比较笼统。个别绩效指标设置的量化程度和合理性有待提高，具体情况如下：</w:t>
      </w:r>
    </w:p>
    <w:p>
      <w:pPr>
        <w:snapToGrid w:val="0"/>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整体绩效目标：</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深入学习贯彻党的二十大会议精神和习近平法治思想，始终坚持过紧日子思想，以分院检察职能的充分履行，全力以赴抓好全年检察工作任务完成。</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（1）抓好党的二十大精神的学习贯彻。</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（2）抓好全面从严治党主体责任落实。</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（3）依法履职全力服务首都工作大局。</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（4）强化执法司法制约监督体系建设。</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（5）严字当头强化队伍管理。</w:t>
      </w:r>
    </w:p>
    <w:p>
      <w:pPr>
        <w:snapToGrid w:val="0"/>
        <w:spacing w:line="560" w:lineRule="exact"/>
        <w:ind w:firstLine="643" w:firstLineChars="200"/>
        <w:rPr>
          <w:rFonts w:hint="eastAsia" w:ascii="仿宋_GB2312" w:hAnsi="仿宋_GB2312" w:eastAsia="仿宋_GB2312" w:cs="仿宋_GB2312"/>
          <w:b/>
          <w:bCs/>
          <w:sz w:val="32"/>
          <w:szCs w:val="32"/>
        </w:rPr>
      </w:pPr>
    </w:p>
    <w:p>
      <w:pPr>
        <w:snapToGrid w:val="0"/>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绩效指标：</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（1）保障全年开展检察工作</w:t>
      </w:r>
      <w:r>
        <w:rPr>
          <w:rFonts w:hint="eastAsia" w:ascii="仿宋_GB2312" w:hAnsi="仿宋_GB2312" w:eastAsia="仿宋_GB2312" w:cs="仿宋_GB2312"/>
          <w:sz w:val="32"/>
          <w:szCs w:val="32"/>
          <w:lang w:val="en-US" w:eastAsia="zh-CN"/>
        </w:rPr>
        <w:t>300项以上</w:t>
      </w:r>
      <w:r>
        <w:rPr>
          <w:rFonts w:hint="eastAsia" w:ascii="仿宋_GB2312" w:hAnsi="仿宋_GB2312" w:eastAsia="仿宋_GB2312" w:cs="仿宋_GB2312"/>
          <w:sz w:val="32"/>
          <w:szCs w:val="32"/>
        </w:rPr>
        <w:t>。</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（2）软件及硬件维护数量</w:t>
      </w:r>
      <w:r>
        <w:rPr>
          <w:rFonts w:hint="eastAsia" w:ascii="仿宋_GB2312" w:hAnsi="仿宋_GB2312" w:eastAsia="仿宋_GB2312" w:cs="仿宋_GB2312"/>
          <w:sz w:val="32"/>
          <w:szCs w:val="32"/>
          <w:lang w:val="en-US" w:eastAsia="zh-CN"/>
        </w:rPr>
        <w:t>500项以上</w:t>
      </w:r>
      <w:r>
        <w:rPr>
          <w:rFonts w:hint="eastAsia" w:ascii="仿宋_GB2312" w:hAnsi="仿宋_GB2312" w:eastAsia="仿宋_GB2312" w:cs="仿宋_GB2312"/>
          <w:sz w:val="32"/>
          <w:szCs w:val="32"/>
        </w:rPr>
        <w:t>。</w:t>
      </w:r>
    </w:p>
    <w:p>
      <w:pPr>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（3）安全使用租赁的办公楼。</w:t>
      </w:r>
    </w:p>
    <w:p>
      <w:pPr>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（4）安检安保服务标准</w:t>
      </w:r>
      <w:r>
        <w:rPr>
          <w:rFonts w:hint="eastAsia" w:ascii="仿宋_GB2312" w:hAnsi="仿宋_GB2312" w:eastAsia="仿宋_GB2312" w:cs="仿宋_GB2312"/>
          <w:sz w:val="32"/>
          <w:szCs w:val="32"/>
          <w:highlight w:val="none"/>
          <w:lang w:val="en-US" w:eastAsia="zh-CN"/>
        </w:rPr>
        <w:t>高</w:t>
      </w:r>
      <w:r>
        <w:rPr>
          <w:rFonts w:hint="eastAsia" w:ascii="仿宋_GB2312" w:hAnsi="仿宋_GB2312" w:eastAsia="仿宋_GB2312" w:cs="仿宋_GB2312"/>
          <w:sz w:val="32"/>
          <w:szCs w:val="32"/>
          <w:highlight w:val="none"/>
        </w:rPr>
        <w:t>。</w:t>
      </w:r>
    </w:p>
    <w:p>
      <w:pPr>
        <w:snapToGrid w:val="0"/>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（5）规范单位内部管理要求，提高财务部门日常工作效率和质量。</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（6）群众满意度</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（7）网络连接稳定，系统</w:t>
      </w:r>
      <w:r>
        <w:rPr>
          <w:rFonts w:hint="eastAsia" w:ascii="仿宋_GB2312" w:hAnsi="仿宋_GB2312" w:eastAsia="仿宋_GB2312" w:cs="仿宋_GB2312"/>
          <w:sz w:val="32"/>
          <w:szCs w:val="32"/>
          <w:lang w:val="en-US" w:eastAsia="zh-CN"/>
        </w:rPr>
        <w:t>正常</w:t>
      </w:r>
      <w:r>
        <w:rPr>
          <w:rFonts w:hint="eastAsia" w:ascii="仿宋_GB2312" w:hAnsi="仿宋_GB2312" w:eastAsia="仿宋_GB2312" w:cs="仿宋_GB2312"/>
          <w:sz w:val="32"/>
          <w:szCs w:val="32"/>
        </w:rPr>
        <w:t>运行</w:t>
      </w:r>
      <w:r>
        <w:rPr>
          <w:rFonts w:hint="eastAsia" w:ascii="仿宋_GB2312" w:hAnsi="仿宋_GB2312" w:eastAsia="仿宋_GB2312" w:cs="仿宋_GB2312"/>
          <w:sz w:val="32"/>
          <w:szCs w:val="32"/>
          <w:lang w:val="en-US" w:eastAsia="zh-CN"/>
        </w:rPr>
        <w:t>率100%</w:t>
      </w:r>
      <w:r>
        <w:rPr>
          <w:rFonts w:hint="eastAsia" w:ascii="仿宋_GB2312" w:hAnsi="仿宋_GB2312" w:eastAsia="仿宋_GB2312" w:cs="仿宋_GB2312"/>
          <w:sz w:val="32"/>
          <w:szCs w:val="32"/>
        </w:rPr>
        <w:t>。</w:t>
      </w:r>
    </w:p>
    <w:p>
      <w:pPr>
        <w:spacing w:line="560" w:lineRule="exact"/>
        <w:ind w:firstLine="640" w:firstLineChars="200"/>
        <w:outlineLvl w:val="0"/>
        <w:rPr>
          <w:rFonts w:ascii="黑体" w:hAnsi="黑体" w:eastAsia="黑体" w:cs="黑体"/>
          <w:kern w:val="0"/>
          <w:sz w:val="32"/>
          <w:szCs w:val="32"/>
        </w:rPr>
      </w:pPr>
      <w:bookmarkStart w:id="19" w:name="_Toc939"/>
      <w:bookmarkStart w:id="20" w:name="_Toc32675"/>
      <w:bookmarkStart w:id="21" w:name="_Toc24532"/>
      <w:bookmarkStart w:id="22" w:name="_Toc27115"/>
      <w:r>
        <w:rPr>
          <w:rFonts w:hint="eastAsia" w:ascii="黑体" w:hAnsi="黑体" w:eastAsia="黑体" w:cs="黑体"/>
          <w:kern w:val="0"/>
          <w:sz w:val="32"/>
          <w:szCs w:val="32"/>
        </w:rPr>
        <w:t>二</w:t>
      </w:r>
      <w:r>
        <w:rPr>
          <w:rFonts w:ascii="黑体" w:hAnsi="黑体" w:eastAsia="黑体" w:cs="黑体"/>
          <w:kern w:val="0"/>
          <w:sz w:val="32"/>
          <w:szCs w:val="32"/>
        </w:rPr>
        <w:t>、</w:t>
      </w:r>
      <w:r>
        <w:rPr>
          <w:rFonts w:hint="eastAsia" w:ascii="黑体" w:hAnsi="黑体" w:eastAsia="黑体" w:cs="黑体"/>
          <w:kern w:val="0"/>
          <w:sz w:val="32"/>
          <w:szCs w:val="32"/>
        </w:rPr>
        <w:t>当年</w:t>
      </w:r>
      <w:r>
        <w:rPr>
          <w:rFonts w:ascii="黑体" w:hAnsi="黑体" w:eastAsia="黑体" w:cs="黑体"/>
          <w:kern w:val="0"/>
          <w:sz w:val="32"/>
          <w:szCs w:val="32"/>
        </w:rPr>
        <w:t>预算执行情况</w:t>
      </w:r>
      <w:bookmarkEnd w:id="19"/>
      <w:bookmarkEnd w:id="20"/>
      <w:bookmarkEnd w:id="21"/>
      <w:bookmarkEnd w:id="22"/>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全年</w:t>
      </w:r>
      <w:r>
        <w:rPr>
          <w:rFonts w:hint="eastAsia" w:ascii="仿宋_GB2312" w:hAnsi="仿宋_GB2312" w:eastAsia="仿宋_GB2312" w:cs="仿宋_GB2312"/>
          <w:sz w:val="32"/>
          <w:szCs w:val="32"/>
        </w:rPr>
        <w:t>预算批复</w:t>
      </w:r>
      <w:r>
        <w:rPr>
          <w:rFonts w:hint="eastAsia" w:ascii="仿宋_GB2312" w:hAnsi="仿宋_GB2312" w:eastAsia="仿宋_GB2312" w:cs="仿宋_GB2312"/>
          <w:sz w:val="32"/>
          <w:szCs w:val="32"/>
          <w:lang w:val="en-US" w:eastAsia="zh-CN"/>
        </w:rPr>
        <w:t>14,566.12</w:t>
      </w:r>
      <w:r>
        <w:rPr>
          <w:rFonts w:hint="eastAsia" w:ascii="仿宋_GB2312" w:hAnsi="仿宋_GB2312" w:eastAsia="仿宋_GB2312" w:cs="仿宋_GB2312"/>
          <w:sz w:val="32"/>
          <w:szCs w:val="32"/>
        </w:rPr>
        <w:t>万元（其中：一般公共预算财政拨款</w:t>
      </w:r>
      <w:r>
        <w:rPr>
          <w:rFonts w:hint="default" w:ascii="仿宋_GB2312" w:hAnsi="仿宋_GB2312" w:eastAsia="仿宋_GB2312" w:cs="仿宋_GB2312"/>
          <w:sz w:val="32"/>
          <w:szCs w:val="32"/>
          <w:lang w:val="en-US"/>
        </w:rPr>
        <w:t>14,</w:t>
      </w:r>
      <w:r>
        <w:rPr>
          <w:rFonts w:hint="eastAsia" w:ascii="仿宋_GB2312" w:hAnsi="仿宋_GB2312" w:eastAsia="仿宋_GB2312" w:cs="仿宋_GB2312"/>
          <w:sz w:val="32"/>
          <w:szCs w:val="32"/>
          <w:lang w:val="en-US" w:eastAsia="zh-CN"/>
        </w:rPr>
        <w:t>531.50</w:t>
      </w:r>
      <w:r>
        <w:rPr>
          <w:rFonts w:hint="eastAsia" w:ascii="仿宋_GB2312" w:hAnsi="仿宋_GB2312" w:eastAsia="仿宋_GB2312" w:cs="仿宋_GB2312"/>
          <w:sz w:val="32"/>
          <w:szCs w:val="32"/>
        </w:rPr>
        <w:t>万元，其他收入3</w:t>
      </w:r>
      <w:r>
        <w:rPr>
          <w:rFonts w:hint="eastAsia" w:ascii="仿宋_GB2312" w:hAnsi="仿宋_GB2312" w:eastAsia="仿宋_GB2312" w:cs="仿宋_GB2312"/>
          <w:sz w:val="32"/>
          <w:szCs w:val="32"/>
          <w:lang w:val="en-US" w:eastAsia="zh-CN"/>
        </w:rPr>
        <w:t>4.62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，基本</w:t>
      </w:r>
      <w:r>
        <w:rPr>
          <w:rFonts w:hint="eastAsia" w:ascii="仿宋_GB2312" w:hAnsi="仿宋_GB2312" w:eastAsia="仿宋_GB2312" w:cs="仿宋_GB2312"/>
          <w:sz w:val="32"/>
          <w:szCs w:val="32"/>
        </w:rPr>
        <w:t>支出</w:t>
      </w:r>
      <w:r>
        <w:rPr>
          <w:rFonts w:ascii="仿宋_GB2312" w:hAnsi="仿宋_GB2312" w:eastAsia="仿宋_GB2312" w:cs="仿宋_GB2312"/>
          <w:sz w:val="32"/>
          <w:szCs w:val="32"/>
        </w:rPr>
        <w:t>预算10,</w:t>
      </w:r>
      <w:r>
        <w:rPr>
          <w:rFonts w:hint="eastAsia" w:ascii="仿宋_GB2312" w:hAnsi="仿宋_GB2312" w:eastAsia="仿宋_GB2312" w:cs="仿宋_GB2312"/>
          <w:sz w:val="32"/>
          <w:szCs w:val="32"/>
          <w:lang w:val="en-US" w:eastAsia="zh-CN"/>
        </w:rPr>
        <w:t>405.12</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项目支出预算</w:t>
      </w:r>
      <w:r>
        <w:rPr>
          <w:rFonts w:hint="eastAsia" w:ascii="仿宋_GB2312" w:hAnsi="仿宋_GB2312" w:eastAsia="仿宋_GB2312" w:cs="仿宋_GB2312"/>
          <w:sz w:val="32"/>
          <w:szCs w:val="32"/>
          <w:lang w:val="en-US" w:eastAsia="zh-CN"/>
        </w:rPr>
        <w:t>4,161.00</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资金总体</w:t>
      </w:r>
      <w:r>
        <w:rPr>
          <w:rFonts w:hint="eastAsia" w:ascii="仿宋_GB2312" w:hAnsi="仿宋_GB2312" w:eastAsia="仿宋_GB2312" w:cs="仿宋_GB2312"/>
          <w:sz w:val="32"/>
          <w:szCs w:val="32"/>
        </w:rPr>
        <w:t>支出</w:t>
      </w:r>
      <w:r>
        <w:rPr>
          <w:rFonts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420.79</w:t>
      </w:r>
      <w:r>
        <w:rPr>
          <w:rFonts w:ascii="仿宋_GB2312" w:hAnsi="仿宋_GB2312" w:eastAsia="仿宋_GB2312" w:cs="仿宋_GB2312"/>
          <w:sz w:val="32"/>
          <w:szCs w:val="32"/>
        </w:rPr>
        <w:t>万元，其中，基本支出10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217.93</w:t>
      </w:r>
      <w:r>
        <w:rPr>
          <w:rFonts w:ascii="仿宋_GB2312" w:hAnsi="仿宋_GB2312" w:eastAsia="仿宋_GB2312" w:cs="仿宋_GB2312"/>
          <w:sz w:val="32"/>
          <w:szCs w:val="32"/>
        </w:rPr>
        <w:t>万元，项目</w:t>
      </w:r>
      <w:r>
        <w:rPr>
          <w:rFonts w:hint="eastAsia" w:ascii="仿宋_GB2312" w:hAnsi="仿宋_GB2312" w:eastAsia="仿宋_GB2312" w:cs="仿宋_GB2312"/>
          <w:sz w:val="32"/>
          <w:szCs w:val="32"/>
        </w:rPr>
        <w:t>支出</w:t>
      </w:r>
      <w:r>
        <w:rPr>
          <w:rFonts w:hint="default" w:ascii="仿宋_GB2312" w:hAnsi="仿宋_GB2312" w:eastAsia="仿宋_GB2312" w:cs="仿宋_GB2312"/>
          <w:sz w:val="32"/>
          <w:szCs w:val="32"/>
          <w:lang w:val="en-US"/>
        </w:rPr>
        <w:t>4,</w:t>
      </w:r>
      <w:r>
        <w:rPr>
          <w:rFonts w:hint="eastAsia" w:ascii="仿宋_GB2312" w:hAnsi="仿宋_GB2312" w:eastAsia="仿宋_GB2312" w:cs="仿宋_GB2312"/>
          <w:sz w:val="32"/>
          <w:szCs w:val="32"/>
          <w:lang w:val="en-US" w:eastAsia="zh-CN"/>
        </w:rPr>
        <w:t>161.00</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基本建设类项目41.86万元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rPr>
        <w:t>预算</w:t>
      </w:r>
      <w:r>
        <w:rPr>
          <w:rFonts w:ascii="仿宋_GB2312" w:hAnsi="仿宋_GB2312" w:eastAsia="仿宋_GB2312" w:cs="仿宋_GB2312"/>
          <w:sz w:val="32"/>
          <w:szCs w:val="32"/>
          <w:highlight w:val="none"/>
        </w:rPr>
        <w:t>执行率为</w:t>
      </w:r>
      <w:r>
        <w:rPr>
          <w:rFonts w:hint="eastAsia" w:ascii="仿宋_GB2312" w:hAnsi="仿宋_GB2312" w:eastAsia="仿宋_GB2312" w:cs="仿宋_GB2312"/>
          <w:sz w:val="32"/>
          <w:szCs w:val="32"/>
          <w:highlight w:val="none"/>
          <w:lang w:val="en-US" w:eastAsia="zh-CN"/>
        </w:rPr>
        <w:t>99.00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w:t>
      </w:r>
    </w:p>
    <w:p>
      <w:pPr>
        <w:spacing w:line="560" w:lineRule="exact"/>
        <w:ind w:firstLine="640" w:firstLineChars="200"/>
        <w:outlineLvl w:val="0"/>
        <w:rPr>
          <w:rFonts w:ascii="黑体" w:hAnsi="黑体" w:eastAsia="黑体" w:cs="黑体"/>
          <w:kern w:val="0"/>
          <w:sz w:val="32"/>
          <w:szCs w:val="32"/>
        </w:rPr>
      </w:pPr>
      <w:bookmarkStart w:id="23" w:name="_Toc12542"/>
      <w:bookmarkStart w:id="24" w:name="_Toc30138"/>
      <w:bookmarkStart w:id="25" w:name="_Toc19486"/>
      <w:bookmarkStart w:id="26" w:name="_Toc24483"/>
      <w:r>
        <w:rPr>
          <w:rFonts w:hint="eastAsia" w:ascii="黑体" w:hAnsi="黑体" w:eastAsia="黑体" w:cs="黑体"/>
          <w:kern w:val="0"/>
          <w:sz w:val="32"/>
          <w:szCs w:val="32"/>
        </w:rPr>
        <w:t>三</w:t>
      </w:r>
      <w:r>
        <w:rPr>
          <w:rFonts w:ascii="黑体" w:hAnsi="黑体" w:eastAsia="黑体" w:cs="黑体"/>
          <w:kern w:val="0"/>
          <w:sz w:val="32"/>
          <w:szCs w:val="32"/>
        </w:rPr>
        <w:t>、整体绩效目标实现情况</w:t>
      </w:r>
      <w:bookmarkEnd w:id="23"/>
      <w:bookmarkEnd w:id="24"/>
      <w:bookmarkEnd w:id="25"/>
      <w:bookmarkEnd w:id="26"/>
    </w:p>
    <w:p>
      <w:pPr>
        <w:spacing w:line="560" w:lineRule="exact"/>
        <w:ind w:firstLine="640" w:firstLineChars="200"/>
        <w:outlineLvl w:val="1"/>
        <w:rPr>
          <w:rFonts w:ascii="楷体" w:hAnsi="楷体" w:eastAsia="楷体" w:cs="楷体"/>
          <w:sz w:val="32"/>
          <w:szCs w:val="32"/>
        </w:rPr>
      </w:pPr>
      <w:bookmarkStart w:id="27" w:name="_Toc27225"/>
      <w:bookmarkStart w:id="28" w:name="_Toc4642"/>
      <w:bookmarkStart w:id="29" w:name="_Toc11273"/>
      <w:bookmarkStart w:id="30" w:name="_Toc11741"/>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）产出完成情况分析</w:t>
      </w:r>
      <w:bookmarkEnd w:id="27"/>
      <w:bookmarkEnd w:id="28"/>
      <w:bookmarkEnd w:id="29"/>
      <w:bookmarkEnd w:id="30"/>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年，市检三分院根据财政预算批复，围绕部门职责履行，加强财务和预算绩效管理，除保障检察机关正常履职人员和公用经费外，通过年度重点项目实施，</w:t>
      </w:r>
      <w:r>
        <w:rPr>
          <w:rFonts w:hint="eastAsia" w:ascii="仿宋_GB2312" w:hAnsi="仿宋_GB2312" w:eastAsia="仿宋_GB2312" w:cs="仿宋_GB2312"/>
          <w:sz w:val="32"/>
          <w:szCs w:val="32"/>
          <w:highlight w:val="none"/>
        </w:rPr>
        <w:t>主要为机构运行保障类项目，</w:t>
      </w:r>
      <w:r>
        <w:rPr>
          <w:rFonts w:hint="eastAsia" w:ascii="仿宋_GB2312" w:hAnsi="仿宋_GB2312" w:eastAsia="仿宋_GB2312" w:cs="仿宋_GB2312"/>
          <w:sz w:val="32"/>
          <w:szCs w:val="32"/>
        </w:rPr>
        <w:t>保障了部门整体绩效目标和产出指标的完成。</w:t>
      </w:r>
    </w:p>
    <w:p>
      <w:pPr>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sz w:val="32"/>
          <w:szCs w:val="32"/>
        </w:rPr>
        <w:t>加强证券期货案件办理：依托集中管辖优势，以“首善标准”打造首都证券期货检察工作品牌。</w:t>
      </w: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lang w:eastAsia="zh-CN"/>
        </w:rPr>
        <w:t>重大职务犯罪案件办理：全力打造重大职务犯罪案件办理团队（基地），加强专业化建设，完善监检衔接机制；</w:t>
      </w: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sz w:val="32"/>
          <w:szCs w:val="32"/>
          <w:lang w:eastAsia="zh-CN"/>
        </w:rPr>
        <w:t>金融领域反腐败：落实中央关于加强金融领域反腐败工作要求，发挥“双基地”办案优势，一体查办金融领域职务犯罪与公职人员金融犯罪案件。这体现了检察机关在金融领域反腐败工作中的重要作用和成效；</w:t>
      </w:r>
      <w:r>
        <w:rPr>
          <w:rFonts w:hint="eastAsia" w:ascii="仿宋_GB2312" w:hAnsi="仿宋_GB2312" w:eastAsia="仿宋_GB2312" w:cs="仿宋_GB2312"/>
          <w:sz w:val="32"/>
          <w:szCs w:val="32"/>
          <w:lang w:val="en-US" w:eastAsia="zh-CN"/>
        </w:rPr>
        <w:t>四是</w:t>
      </w:r>
      <w:r>
        <w:rPr>
          <w:rFonts w:hint="eastAsia" w:ascii="仿宋_GB2312" w:hAnsi="仿宋_GB2312" w:eastAsia="仿宋_GB2312" w:cs="仿宋_GB2312"/>
          <w:sz w:val="32"/>
          <w:szCs w:val="32"/>
          <w:lang w:eastAsia="zh-CN"/>
        </w:rPr>
        <w:t>案件办理与法治宣传：坚持惩防结合，通过到国企、事业单位、高校等开展以案释法活动20余次，服务保障“三不腐”（不敢腐、不能腐、不想腐）一体推进；</w:t>
      </w:r>
      <w:r>
        <w:rPr>
          <w:rFonts w:hint="eastAsia" w:ascii="仿宋_GB2312" w:hAnsi="仿宋_GB2312" w:eastAsia="仿宋_GB2312" w:cs="仿宋_GB2312"/>
          <w:sz w:val="32"/>
          <w:szCs w:val="32"/>
          <w:lang w:val="en-US" w:eastAsia="zh-CN"/>
        </w:rPr>
        <w:t>五是</w:t>
      </w:r>
      <w:r>
        <w:rPr>
          <w:rFonts w:hint="eastAsia" w:ascii="仿宋_GB2312" w:hAnsi="仿宋_GB2312" w:eastAsia="仿宋_GB2312" w:cs="仿宋_GB2312"/>
          <w:sz w:val="32"/>
          <w:szCs w:val="32"/>
          <w:lang w:eastAsia="zh-CN"/>
        </w:rPr>
        <w:t>数字检察战略：积极推动数字检察战略落地见效，通过大数据法律监督模型的应用，发现大量线索，并自主创建的校园周边交通安全治理法律监督模型在全市以及天津、河北部分地区推广应用，有效促进了相关问题的整改。</w:t>
      </w:r>
    </w:p>
    <w:p>
      <w:pPr>
        <w:spacing w:line="560" w:lineRule="exact"/>
        <w:ind w:firstLine="643" w:firstLineChars="200"/>
        <w:outlineLvl w:val="2"/>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1.产出数量</w:t>
      </w:r>
    </w:p>
    <w:p>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000000"/>
          <w:sz w:val="32"/>
          <w:szCs w:val="32"/>
          <w:highlight w:val="none"/>
        </w:rPr>
        <w:t>围绕制约高质量发展的痛点难点堵点问题构建“1+N”调研体系。领导班子成员牵头调研课题，带动各部门积极参与，转化形成制度措施。</w:t>
      </w:r>
      <w:r>
        <w:rPr>
          <w:rFonts w:hint="eastAsia" w:ascii="仿宋_GB2312" w:hAnsi="仿宋_GB2312" w:eastAsia="仿宋_GB2312" w:cs="仿宋_GB2312"/>
          <w:sz w:val="32"/>
          <w:szCs w:val="32"/>
          <w:highlight w:val="none"/>
        </w:rPr>
        <w:t>按要求及时报送各类材料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促进数字检察工作提质增效。</w:t>
      </w:r>
    </w:p>
    <w:p>
      <w:pPr>
        <w:numPr>
          <w:ilvl w:val="0"/>
          <w:numId w:val="0"/>
        </w:numPr>
        <w:snapToGrid w:val="0"/>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highlight w:val="none"/>
        </w:rPr>
        <w:t>进一步规范和加强市检三分院机关网络运维管理工作，提高信息系统的可用性和安全性，保障办案统一业务系统、首都检察网市检三分院网站的应用系统和主机环境稳定运行，2</w:t>
      </w:r>
      <w:r>
        <w:rPr>
          <w:rFonts w:ascii="仿宋_GB2312" w:hAnsi="仿宋_GB2312" w:eastAsia="仿宋_GB2312" w:cs="仿宋_GB2312"/>
          <w:sz w:val="32"/>
          <w:szCs w:val="32"/>
          <w:highlight w:val="none"/>
        </w:rPr>
        <w:t>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年信息化软件、硬件维护数量达5</w:t>
      </w:r>
      <w:r>
        <w:rPr>
          <w:rFonts w:ascii="仿宋_GB2312" w:hAnsi="仿宋_GB2312" w:eastAsia="仿宋_GB2312" w:cs="仿宋_GB2312"/>
          <w:sz w:val="32"/>
          <w:szCs w:val="32"/>
          <w:highlight w:val="none"/>
        </w:rPr>
        <w:t>00</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保障了系统的正常运行。</w:t>
      </w:r>
    </w:p>
    <w:p>
      <w:pPr>
        <w:numPr>
          <w:ilvl w:val="-1"/>
          <w:numId w:val="0"/>
        </w:numPr>
        <w:snapToGrid w:val="0"/>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依据深化司法体制改革的精神要求，加大检察宣传工作力度，加强市检三分院官方微信公众号等“两微一端”运营维护，做好检察开放日检察工作宣传等各项工作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2023年微信公众号共发布365期、1014条；官方微博共发布673条；今日头条共发布417条；官方网站编发各类信息411条，官方抖音发布短视频25期，</w:t>
      </w:r>
      <w:r>
        <w:rPr>
          <w:rFonts w:hint="eastAsia" w:ascii="仿宋_GB2312" w:hAnsi="仿宋_GB2312" w:eastAsia="仿宋_GB2312" w:cs="仿宋_GB2312"/>
          <w:sz w:val="32"/>
          <w:szCs w:val="32"/>
        </w:rPr>
        <w:t>保障了市检三分院全年检察工作的开展。</w:t>
      </w:r>
    </w:p>
    <w:p>
      <w:pPr>
        <w:numPr>
          <w:ilvl w:val="0"/>
          <w:numId w:val="0"/>
        </w:numPr>
        <w:snapToGrid w:val="0"/>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4</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为</w:t>
      </w:r>
      <w:r>
        <w:rPr>
          <w:rFonts w:hint="eastAsia" w:ascii="仿宋_GB2312" w:hAnsi="仿宋_GB2312" w:eastAsia="仿宋_GB2312" w:cs="仿宋_GB2312"/>
          <w:sz w:val="32"/>
          <w:szCs w:val="32"/>
          <w:highlight w:val="none"/>
        </w:rPr>
        <w:t>保障日常办公办案、外宣、综合等信息化工作的有序开</w:t>
      </w:r>
      <w:r>
        <w:rPr>
          <w:rFonts w:hint="eastAsia" w:ascii="仿宋_GB2312" w:hAnsi="仿宋_GB2312" w:eastAsia="仿宋_GB2312" w:cs="仿宋_GB2312"/>
          <w:sz w:val="32"/>
          <w:szCs w:val="32"/>
          <w:highlight w:val="none"/>
          <w:lang w:val="en-US" w:eastAsia="zh-CN"/>
        </w:rPr>
        <w:t>展</w:t>
      </w:r>
      <w:r>
        <w:rPr>
          <w:rFonts w:hint="eastAsia" w:ascii="仿宋_GB2312" w:hAnsi="仿宋_GB2312" w:eastAsia="仿宋_GB2312" w:cs="仿宋_GB2312"/>
          <w:sz w:val="32"/>
          <w:szCs w:val="32"/>
          <w:highlight w:val="none"/>
        </w:rPr>
        <w:t>，保障视频会议、远程案件研讨、远程视频接访等系统的网络接入</w:t>
      </w:r>
      <w:r>
        <w:rPr>
          <w:rFonts w:hint="eastAsia" w:ascii="仿宋_GB2312" w:hAnsi="仿宋_GB2312" w:eastAsia="仿宋_GB2312" w:cs="仿宋_GB2312"/>
          <w:sz w:val="32"/>
          <w:szCs w:val="32"/>
          <w:highlight w:val="none"/>
          <w:lang w:eastAsia="zh-CN"/>
        </w:rPr>
        <w:t>，该项目共接入台数105台/套，完成预期设定的80台/套的数量目标</w:t>
      </w:r>
      <w:r>
        <w:rPr>
          <w:rFonts w:hint="eastAsia" w:ascii="仿宋_GB2312" w:hAnsi="仿宋_GB2312" w:eastAsia="仿宋_GB2312" w:cs="仿宋_GB2312"/>
          <w:sz w:val="32"/>
          <w:szCs w:val="32"/>
          <w:highlight w:val="none"/>
          <w:lang w:val="en-US" w:eastAsia="zh-CN"/>
        </w:rPr>
        <w:t>。</w:t>
      </w:r>
    </w:p>
    <w:p>
      <w:pPr>
        <w:spacing w:line="560" w:lineRule="exact"/>
        <w:ind w:firstLine="643" w:firstLineChars="200"/>
        <w:outlineLvl w:val="2"/>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2.产出质量</w:t>
      </w:r>
    </w:p>
    <w:p>
      <w:pPr>
        <w:snapToGrid w:val="0"/>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）通过开展办公办案场所租赁</w:t>
      </w:r>
      <w:r>
        <w:rPr>
          <w:rFonts w:hint="eastAsia" w:ascii="仿宋_GB2312" w:hAnsi="仿宋_GB2312" w:eastAsia="仿宋_GB2312" w:cs="仿宋_GB2312"/>
          <w:sz w:val="32"/>
          <w:szCs w:val="32"/>
          <w:highlight w:val="none"/>
          <w:lang w:val="en-US" w:eastAsia="zh-CN"/>
        </w:rPr>
        <w:t>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保障市检三分院检察工作正常开展，保障首都检察事业有序发展，满足市检三分院检察人员办公办案工作需要，使得办公场所正常运转，不出安全事故</w:t>
      </w:r>
      <w:r>
        <w:rPr>
          <w:rFonts w:hint="eastAsia" w:ascii="仿宋_GB2312" w:hAnsi="仿宋_GB2312" w:eastAsia="仿宋_GB2312" w:cs="仿宋_GB2312"/>
          <w:sz w:val="32"/>
          <w:szCs w:val="32"/>
          <w:highlight w:val="none"/>
          <w:lang w:eastAsia="zh-CN"/>
        </w:rPr>
        <w:t>，保障实际办案需要，持续保证办案环境安全、保密、保障检察工作的开展</w:t>
      </w:r>
      <w:r>
        <w:rPr>
          <w:rFonts w:hint="eastAsia" w:ascii="仿宋_GB2312" w:hAnsi="仿宋_GB2312" w:eastAsia="仿宋_GB2312" w:cs="仿宋_GB2312"/>
          <w:sz w:val="32"/>
          <w:szCs w:val="32"/>
          <w:highlight w:val="none"/>
          <w:lang w:val="en-US" w:eastAsia="zh-CN"/>
        </w:rPr>
        <w:t>。</w:t>
      </w:r>
    </w:p>
    <w:p>
      <w:pPr>
        <w:numPr>
          <w:ilvl w:val="0"/>
          <w:numId w:val="0"/>
        </w:num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highlight w:val="none"/>
        </w:rPr>
        <w:t>高标准</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开展安保服务等保障项目，维护市检三分院正常办公秩序，完成检察服务大厅安检安保、信访接待引导、秩序维护、机关门岗执勤、消防应急处突等任务，安保安检人员符合行业质量标准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在值勤安检过程中能够积极协助检察机关预防、减少违法犯罪，在安全检查、秩序维护、应急处理等方面能起到积极作用，保障市检三分院检察工作正常有序开展，维护首都安全稳定。</w:t>
      </w:r>
    </w:p>
    <w:p>
      <w:pPr>
        <w:numPr>
          <w:ilvl w:val="-1"/>
          <w:numId w:val="0"/>
        </w:num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）保障广域网通信定期进行数据备份和检测，确保核心数据100%安全性，保障信息系统和数据的安全与保密，保障视频会议、远程案件研讨、远程视频接访等系统正式使用期间的稳定运行，2</w:t>
      </w:r>
      <w:r>
        <w:rPr>
          <w:rFonts w:ascii="仿宋_GB2312" w:hAnsi="仿宋_GB2312" w:eastAsia="仿宋_GB2312" w:cs="仿宋_GB2312"/>
          <w:sz w:val="32"/>
          <w:szCs w:val="32"/>
          <w:highlight w:val="none"/>
        </w:rPr>
        <w:t>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年信息化系统正常运行率1</w:t>
      </w:r>
      <w:r>
        <w:rPr>
          <w:rFonts w:ascii="仿宋_GB2312" w:hAnsi="仿宋_GB2312" w:eastAsia="仿宋_GB2312" w:cs="仿宋_GB2312"/>
          <w:sz w:val="32"/>
          <w:szCs w:val="32"/>
          <w:highlight w:val="none"/>
        </w:rPr>
        <w:t>00%</w:t>
      </w:r>
      <w:r>
        <w:rPr>
          <w:rFonts w:hint="eastAsia" w:ascii="仿宋_GB2312" w:hAnsi="仿宋_GB2312" w:eastAsia="仿宋_GB2312" w:cs="仿宋_GB2312"/>
          <w:sz w:val="32"/>
          <w:szCs w:val="32"/>
          <w:highlight w:val="none"/>
        </w:rPr>
        <w:t>。</w:t>
      </w:r>
    </w:p>
    <w:p>
      <w:pPr>
        <w:snapToGrid w:val="0"/>
        <w:spacing w:line="560" w:lineRule="exact"/>
        <w:ind w:firstLine="643" w:firstLineChars="200"/>
        <w:outlineLvl w:val="9"/>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3.产出进度</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市检三分院工作贯穿全年，按照年初预算批复及年中追加调整预算批复，全面保障20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年各项检察工作的完成。</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4.产出成本</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年总体预算支出</w:t>
      </w:r>
      <w:r>
        <w:rPr>
          <w:rFonts w:hint="eastAsia" w:ascii="仿宋_GB2312" w:hAnsi="仿宋_GB2312" w:eastAsia="仿宋_GB2312" w:cs="仿宋_GB2312"/>
          <w:sz w:val="32"/>
          <w:szCs w:val="32"/>
          <w:lang w:val="en-US" w:eastAsia="zh-CN"/>
        </w:rPr>
        <w:t>14,420.79</w:t>
      </w:r>
      <w:r>
        <w:rPr>
          <w:rFonts w:hint="eastAsia" w:ascii="仿宋_GB2312" w:hAnsi="仿宋_GB2312" w:eastAsia="仿宋_GB2312" w:cs="仿宋_GB2312"/>
          <w:sz w:val="32"/>
          <w:szCs w:val="32"/>
        </w:rPr>
        <w:t>万元，其中，基本支出10,</w:t>
      </w:r>
      <w:r>
        <w:rPr>
          <w:rFonts w:hint="eastAsia" w:ascii="仿宋_GB2312" w:hAnsi="仿宋_GB2312" w:eastAsia="仿宋_GB2312" w:cs="仿宋_GB2312"/>
          <w:sz w:val="32"/>
          <w:szCs w:val="32"/>
          <w:lang w:val="en-US" w:eastAsia="zh-CN"/>
        </w:rPr>
        <w:t>217.93</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4,161.00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基本建设类项目支出41.86万元</w:t>
      </w:r>
      <w:r>
        <w:rPr>
          <w:rFonts w:hint="eastAsia" w:ascii="仿宋_GB2312" w:hAnsi="仿宋_GB2312" w:eastAsia="仿宋_GB2312" w:cs="仿宋_GB2312"/>
          <w:sz w:val="32"/>
          <w:szCs w:val="32"/>
        </w:rPr>
        <w:t>。部门整体支出控制在预算批复范围内。</w:t>
      </w:r>
    </w:p>
    <w:p>
      <w:pPr>
        <w:spacing w:line="560" w:lineRule="exact"/>
        <w:ind w:firstLine="640" w:firstLineChars="200"/>
        <w:outlineLvl w:val="1"/>
        <w:rPr>
          <w:rFonts w:ascii="楷体" w:hAnsi="楷体" w:eastAsia="楷体" w:cs="楷体"/>
          <w:sz w:val="32"/>
          <w:szCs w:val="32"/>
        </w:rPr>
      </w:pPr>
      <w:bookmarkStart w:id="31" w:name="_Toc31656"/>
      <w:bookmarkStart w:id="32" w:name="_Toc20526"/>
      <w:bookmarkStart w:id="33" w:name="_Toc7367"/>
      <w:bookmarkStart w:id="34" w:name="_Toc5132"/>
      <w:r>
        <w:rPr>
          <w:rFonts w:hint="eastAsia" w:ascii="楷体" w:hAnsi="楷体" w:eastAsia="楷体" w:cs="楷体"/>
          <w:sz w:val="32"/>
          <w:szCs w:val="32"/>
        </w:rPr>
        <w:t>（二）效果</w:t>
      </w:r>
      <w:r>
        <w:rPr>
          <w:rFonts w:ascii="楷体" w:hAnsi="楷体" w:eastAsia="楷体" w:cs="楷体"/>
          <w:sz w:val="32"/>
          <w:szCs w:val="32"/>
        </w:rPr>
        <w:t>实现情况分析</w:t>
      </w:r>
      <w:bookmarkEnd w:id="31"/>
      <w:bookmarkEnd w:id="32"/>
      <w:bookmarkEnd w:id="33"/>
      <w:bookmarkEnd w:id="34"/>
    </w:p>
    <w:p>
      <w:pPr>
        <w:spacing w:line="560" w:lineRule="exact"/>
        <w:ind w:firstLine="643" w:firstLineChars="200"/>
        <w:outlineLvl w:val="2"/>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1.产出效益</w:t>
      </w:r>
    </w:p>
    <w:p>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深入学习贯彻习近平新时代中国特色社会主义思想，强化了检察人员的政治意识、大局意识和法治意识，坚定了理想信念，激发了干事创业的热情。通过政治体检和巡视整改，进一步提高了党组的政治站位，推动了检察工作现代化发展。</w:t>
      </w:r>
    </w:p>
    <w:p>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围绕制约高质量发展的痛点难点堵点问题构建“1+N”调研体系，形成了制度措施，优化了工作机制，提高了工作效率。提出的“四院”建设总体目标和方法路径，为检察工作的长远发展提供了明确方向和具体路径。</w:t>
      </w:r>
    </w:p>
    <w:p>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（3）数字检察战略的推进，提升了检察工作的智能化、信息化水平，提高了法律监督的精准性和效率。</w:t>
      </w:r>
    </w:p>
    <w:p>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加强证券期货和重大职务犯罪案件办理“双基地”建设，提高了专业化水平，强化了对“关键少数”的惩治力度，形成了有效震慑。追赃挽损工作的加强，为国家挽回了大量经济损失，展现了检察机关在维护国家利益方面的积极作用。</w:t>
      </w:r>
    </w:p>
    <w:p>
      <w:pPr>
        <w:snapToGrid w:val="0"/>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（5）通过法治宣传、以案释法等活动，增强了公众对检察工作的了解和认同，提升了法治意识。检察机关在保障“三不腐”一体推进中的积极作用，为维护社会公平正义、营造良好法治环境作出了积极贡献。</w:t>
      </w:r>
    </w:p>
    <w:p>
      <w:pPr>
        <w:spacing w:line="560" w:lineRule="exact"/>
        <w:ind w:firstLine="643" w:firstLineChars="200"/>
        <w:outlineLvl w:val="2"/>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.满意度</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群众满意度达到9</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以上。</w:t>
      </w:r>
    </w:p>
    <w:p>
      <w:pPr>
        <w:spacing w:line="560" w:lineRule="exact"/>
        <w:ind w:firstLine="640" w:firstLineChars="200"/>
        <w:outlineLvl w:val="0"/>
        <w:rPr>
          <w:rFonts w:ascii="黑体" w:hAnsi="黑体" w:eastAsia="黑体" w:cs="黑体"/>
          <w:kern w:val="0"/>
          <w:sz w:val="32"/>
          <w:szCs w:val="32"/>
        </w:rPr>
      </w:pPr>
      <w:bookmarkStart w:id="35" w:name="_Toc9198"/>
      <w:bookmarkStart w:id="36" w:name="_Toc8803"/>
      <w:bookmarkStart w:id="37" w:name="_Toc21947"/>
      <w:bookmarkStart w:id="38" w:name="_Toc3135"/>
      <w:r>
        <w:rPr>
          <w:rFonts w:hint="eastAsia" w:ascii="黑体" w:hAnsi="黑体" w:eastAsia="黑体" w:cs="黑体"/>
          <w:kern w:val="0"/>
          <w:sz w:val="32"/>
          <w:szCs w:val="32"/>
        </w:rPr>
        <w:t>四</w:t>
      </w:r>
      <w:r>
        <w:rPr>
          <w:rFonts w:ascii="黑体" w:hAnsi="黑体" w:eastAsia="黑体" w:cs="黑体"/>
          <w:kern w:val="0"/>
          <w:sz w:val="32"/>
          <w:szCs w:val="32"/>
        </w:rPr>
        <w:t>、预算管理</w:t>
      </w:r>
      <w:r>
        <w:rPr>
          <w:rFonts w:hint="eastAsia" w:ascii="黑体" w:hAnsi="黑体" w:eastAsia="黑体" w:cs="黑体"/>
          <w:kern w:val="0"/>
          <w:sz w:val="32"/>
          <w:szCs w:val="32"/>
        </w:rPr>
        <w:t>情况分</w:t>
      </w:r>
      <w:r>
        <w:rPr>
          <w:rFonts w:ascii="黑体" w:hAnsi="黑体" w:eastAsia="黑体" w:cs="黑体"/>
          <w:kern w:val="0"/>
          <w:sz w:val="32"/>
          <w:szCs w:val="32"/>
        </w:rPr>
        <w:t>析</w:t>
      </w:r>
      <w:bookmarkEnd w:id="35"/>
      <w:bookmarkEnd w:id="36"/>
      <w:bookmarkEnd w:id="37"/>
      <w:bookmarkEnd w:id="38"/>
    </w:p>
    <w:p>
      <w:pPr>
        <w:spacing w:line="560" w:lineRule="exact"/>
        <w:ind w:firstLine="640" w:firstLineChars="200"/>
        <w:outlineLvl w:val="1"/>
        <w:rPr>
          <w:rFonts w:ascii="楷体" w:hAnsi="楷体" w:eastAsia="楷体" w:cs="楷体"/>
          <w:sz w:val="32"/>
          <w:szCs w:val="32"/>
        </w:rPr>
      </w:pPr>
      <w:bookmarkStart w:id="39" w:name="_Toc8794"/>
      <w:bookmarkStart w:id="40" w:name="_Toc1142"/>
      <w:bookmarkStart w:id="41" w:name="_Toc11950"/>
      <w:bookmarkStart w:id="42" w:name="_Toc22275"/>
      <w:r>
        <w:rPr>
          <w:rFonts w:hint="eastAsia" w:ascii="楷体" w:hAnsi="楷体" w:eastAsia="楷体" w:cs="楷体"/>
          <w:sz w:val="32"/>
          <w:szCs w:val="32"/>
        </w:rPr>
        <w:t>（一）财务管理</w:t>
      </w:r>
      <w:bookmarkEnd w:id="39"/>
      <w:bookmarkEnd w:id="40"/>
      <w:bookmarkEnd w:id="41"/>
      <w:bookmarkEnd w:id="42"/>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1.财务管理制度健全性</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检三分院落实行政事业单位内部控制规范要求，制定了《北京市人民检察院第三分院内部控制规范手册》，已建立《北京市人民检察院第三分院财务管理暂行办法》《北京市人民检察院第三分院预算管理办法》《北京市人民检察院第三分院预算绩效管理办法》《北京市人民检察院第三分院经费支出管理办法》《北京市人民检察院第三分院采购管理办法》《北京市人民检察院第三分院固定资产管理办法》《北京市人民检察院第三分院无形资产管理办法》《北京市人民检察院第三分院货币资金管理办法》《北京市人民检察院第三分院合同管理办法》等相关管理制度，对预算业务、收支业务、采购业务、资产业务、合同业务等财务管理进行了规范，部门财务管理制度比较健全。</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2.资金使用合规性和安全性</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年，市检三分院经费支出控制在预算批复范围内，严格按照各项管理制度和要求规范资金使用，资金使用合规，资金管理安全。</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牢固树立“过紧日子”思想，严格落实中央八项规定，按照财政要求，依法依规，从严从简，厉行节约，大力压减一般性支出。不断加强经费支出的精细化管理，不断提升预算执行的规范性。资金支出按照市财政预算批复执行，严格履行审核审批手续，增强资金使用过程规范化。经抽查部分项目支出会计凭证，资金支出按照内部管理制度执行，未发现资金有超范围、超标准支出的情况</w:t>
      </w:r>
      <w:r>
        <w:rPr>
          <w:rFonts w:hint="eastAsia" w:ascii="仿宋_GB2312" w:hAnsi="仿宋_GB2312" w:eastAsia="仿宋_GB2312" w:cs="仿宋_GB2312"/>
          <w:sz w:val="32"/>
          <w:szCs w:val="32"/>
          <w:lang w:eastAsia="zh-CN"/>
        </w:rPr>
        <w:t>。</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3.会计基础信息完善性</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严格按照政府会计制度和《财政部关于贯彻实施政府会计准则制度的通知》和</w:t>
      </w:r>
      <w:r>
        <w:rPr>
          <w:rFonts w:hint="eastAsia" w:ascii="仿宋_GB2312" w:hAnsi="仿宋_GB2312" w:eastAsia="仿宋_GB2312" w:cs="仿宋_GB2312"/>
          <w:sz w:val="32"/>
          <w:szCs w:val="32"/>
          <w:lang w:val="en-US" w:eastAsia="zh-CN"/>
        </w:rPr>
        <w:t>北京</w:t>
      </w:r>
      <w:r>
        <w:rPr>
          <w:rFonts w:hint="eastAsia" w:ascii="仿宋_GB2312" w:hAnsi="仿宋_GB2312" w:eastAsia="仿宋_GB2312" w:cs="仿宋_GB2312"/>
          <w:sz w:val="32"/>
          <w:szCs w:val="32"/>
        </w:rPr>
        <w:t>市人民检察院的相关要求开展会计工作。会计报表符合政府会计准则、相关会计制度和财务报告编制规定的要求，如实反映部门的财务状况、运行情况等有关信息。通过梳理重点项目支出会计凭证及会计账簿、财务报告等基础信息，有效保障会计基础信息完善性。</w:t>
      </w:r>
    </w:p>
    <w:p>
      <w:pPr>
        <w:spacing w:line="560" w:lineRule="exact"/>
        <w:ind w:firstLine="640" w:firstLineChars="200"/>
        <w:outlineLvl w:val="1"/>
        <w:rPr>
          <w:rFonts w:ascii="楷体" w:hAnsi="楷体" w:eastAsia="楷体" w:cs="楷体"/>
          <w:sz w:val="32"/>
          <w:szCs w:val="32"/>
        </w:rPr>
      </w:pPr>
      <w:bookmarkStart w:id="43" w:name="_Toc32566"/>
      <w:bookmarkStart w:id="44" w:name="_Toc1162"/>
      <w:bookmarkStart w:id="45" w:name="_Toc462"/>
      <w:bookmarkStart w:id="46" w:name="_Toc23932"/>
      <w:r>
        <w:rPr>
          <w:rFonts w:hint="eastAsia" w:ascii="楷体" w:hAnsi="楷体" w:eastAsia="楷体" w:cs="楷体"/>
          <w:sz w:val="32"/>
          <w:szCs w:val="32"/>
        </w:rPr>
        <w:t>（二）资产管理</w:t>
      </w:r>
      <w:bookmarkEnd w:id="43"/>
      <w:bookmarkEnd w:id="44"/>
      <w:bookmarkEnd w:id="45"/>
      <w:bookmarkEnd w:id="46"/>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1.资产总体情况</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月3</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日，资产总额（账面净值，下同）</w:t>
      </w:r>
      <w:r>
        <w:rPr>
          <w:rFonts w:hint="eastAsia" w:ascii="仿宋_GB2312" w:hAnsi="仿宋_GB2312" w:eastAsia="仿宋_GB2312" w:cs="仿宋_GB2312"/>
          <w:sz w:val="32"/>
          <w:szCs w:val="32"/>
          <w:lang w:val="en-US" w:eastAsia="zh-CN"/>
        </w:rPr>
        <w:t>8,890.06</w:t>
      </w:r>
      <w:r>
        <w:rPr>
          <w:rFonts w:hint="eastAsia" w:ascii="仿宋_GB2312" w:hAnsi="仿宋_GB2312" w:eastAsia="仿宋_GB2312" w:cs="仿宋_GB2312"/>
          <w:sz w:val="32"/>
          <w:szCs w:val="32"/>
        </w:rPr>
        <w:t>万元，负债总额</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29.59</w:t>
      </w:r>
      <w:r>
        <w:rPr>
          <w:rFonts w:hint="eastAsia" w:ascii="仿宋_GB2312" w:hAnsi="仿宋_GB2312" w:eastAsia="仿宋_GB2312" w:cs="仿宋_GB2312"/>
          <w:sz w:val="32"/>
          <w:szCs w:val="32"/>
        </w:rPr>
        <w:t>万元，净资产</w:t>
      </w:r>
      <w:r>
        <w:rPr>
          <w:rFonts w:ascii="仿宋_GB2312" w:hAnsi="仿宋_GB2312" w:eastAsia="仿宋_GB2312" w:cs="仿宋_GB2312"/>
          <w:sz w:val="32"/>
          <w:szCs w:val="32"/>
        </w:rPr>
        <w:t>8,7</w:t>
      </w:r>
      <w:r>
        <w:rPr>
          <w:rFonts w:hint="eastAsia" w:ascii="仿宋_GB2312" w:hAnsi="仿宋_GB2312" w:eastAsia="仿宋_GB2312" w:cs="仿宋_GB2312"/>
          <w:sz w:val="32"/>
          <w:szCs w:val="32"/>
          <w:lang w:val="en-US" w:eastAsia="zh-CN"/>
        </w:rPr>
        <w:t>60.47</w:t>
      </w:r>
      <w:r>
        <w:rPr>
          <w:rFonts w:hint="eastAsia" w:ascii="仿宋_GB2312" w:hAnsi="仿宋_GB2312" w:eastAsia="仿宋_GB2312" w:cs="仿宋_GB2312"/>
          <w:sz w:val="32"/>
          <w:szCs w:val="32"/>
        </w:rPr>
        <w:t>万元。资产总额构成情况：货币资金</w:t>
      </w:r>
      <w:r>
        <w:rPr>
          <w:rFonts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386.12</w:t>
      </w:r>
      <w:r>
        <w:rPr>
          <w:rFonts w:hint="eastAsia" w:ascii="仿宋_GB2312" w:hAnsi="仿宋_GB2312" w:eastAsia="仿宋_GB2312" w:cs="仿宋_GB2312"/>
          <w:sz w:val="32"/>
          <w:szCs w:val="32"/>
        </w:rPr>
        <w:t>万元，占资产总额的</w:t>
      </w:r>
      <w:r>
        <w:rPr>
          <w:rFonts w:hint="eastAsia" w:ascii="仿宋_GB2312" w:hAnsi="仿宋_GB2312" w:eastAsia="仿宋_GB2312" w:cs="仿宋_GB2312"/>
          <w:sz w:val="32"/>
          <w:szCs w:val="32"/>
          <w:lang w:val="en-US" w:eastAsia="zh-CN"/>
        </w:rPr>
        <w:t>83.08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；财政应返还额度</w:t>
      </w:r>
      <w:r>
        <w:rPr>
          <w:rFonts w:hint="eastAsia" w:ascii="仿宋_GB2312" w:hAnsi="仿宋_GB2312" w:eastAsia="仿宋_GB2312" w:cs="仿宋_GB2312"/>
          <w:sz w:val="32"/>
          <w:szCs w:val="32"/>
          <w:lang w:val="en-US" w:eastAsia="zh-CN"/>
        </w:rPr>
        <w:t>163.17</w:t>
      </w:r>
      <w:r>
        <w:rPr>
          <w:rFonts w:hint="eastAsia" w:ascii="仿宋_GB2312" w:hAnsi="仿宋_GB2312" w:eastAsia="仿宋_GB2312" w:cs="仿宋_GB2312"/>
          <w:sz w:val="32"/>
          <w:szCs w:val="32"/>
        </w:rPr>
        <w:t>万元，占资产总额的</w:t>
      </w:r>
      <w:r>
        <w:rPr>
          <w:rFonts w:hint="eastAsia" w:ascii="仿宋_GB2312" w:hAnsi="仿宋_GB2312" w:eastAsia="仿宋_GB2312" w:cs="仿宋_GB2312"/>
          <w:sz w:val="32"/>
          <w:szCs w:val="32"/>
          <w:lang w:val="en-US" w:eastAsia="zh-CN"/>
        </w:rPr>
        <w:t>1.84</w:t>
      </w:r>
      <w:r>
        <w:rPr>
          <w:rFonts w:hint="eastAsia" w:ascii="仿宋_GB2312" w:hAnsi="仿宋_GB2312" w:eastAsia="仿宋_GB2312" w:cs="仿宋_GB2312"/>
          <w:sz w:val="32"/>
          <w:szCs w:val="32"/>
        </w:rPr>
        <w:t>%；其他应收款净额2.00万元，占资产总额</w:t>
      </w:r>
      <w:r>
        <w:rPr>
          <w:rFonts w:hint="eastAsia" w:ascii="仿宋_GB2312" w:hAnsi="仿宋_GB2312" w:eastAsia="仿宋_GB2312" w:cs="仿宋_GB2312"/>
          <w:sz w:val="32"/>
          <w:szCs w:val="32"/>
          <w:lang w:val="en-US" w:eastAsia="zh-CN"/>
        </w:rPr>
        <w:t>0.02</w:t>
      </w:r>
      <w:r>
        <w:rPr>
          <w:rFonts w:hint="eastAsia" w:ascii="仿宋_GB2312" w:hAnsi="仿宋_GB2312" w:eastAsia="仿宋_GB2312" w:cs="仿宋_GB2312"/>
          <w:sz w:val="32"/>
          <w:szCs w:val="32"/>
        </w:rPr>
        <w:t>%；固定资产净值</w:t>
      </w:r>
      <w:r>
        <w:rPr>
          <w:rFonts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03.34</w:t>
      </w:r>
      <w:r>
        <w:rPr>
          <w:rFonts w:hint="eastAsia" w:ascii="仿宋_GB2312" w:hAnsi="仿宋_GB2312" w:eastAsia="仿宋_GB2312" w:cs="仿宋_GB2312"/>
          <w:sz w:val="32"/>
          <w:szCs w:val="32"/>
        </w:rPr>
        <w:t>万元，占资产总额的</w:t>
      </w:r>
      <w:r>
        <w:rPr>
          <w:rFonts w:hint="eastAsia" w:ascii="仿宋_GB2312" w:hAnsi="仿宋_GB2312" w:eastAsia="仿宋_GB2312" w:cs="仿宋_GB2312"/>
          <w:sz w:val="32"/>
          <w:szCs w:val="32"/>
          <w:lang w:val="en-US" w:eastAsia="zh-CN"/>
        </w:rPr>
        <w:t>11.29</w:t>
      </w:r>
      <w:r>
        <w:rPr>
          <w:rFonts w:hint="eastAsia" w:ascii="仿宋_GB2312" w:hAnsi="仿宋_GB2312" w:eastAsia="仿宋_GB2312" w:cs="仿宋_GB2312"/>
          <w:sz w:val="32"/>
          <w:szCs w:val="32"/>
        </w:rPr>
        <w:t>%；无形资产净值</w:t>
      </w:r>
      <w:r>
        <w:rPr>
          <w:rFonts w:hint="eastAsia" w:ascii="仿宋_GB2312" w:hAnsi="仿宋_GB2312" w:eastAsia="仿宋_GB2312" w:cs="仿宋_GB2312"/>
          <w:sz w:val="32"/>
          <w:szCs w:val="32"/>
          <w:lang w:val="en-US" w:eastAsia="zh-CN"/>
        </w:rPr>
        <w:t>267.48</w:t>
      </w:r>
      <w:r>
        <w:rPr>
          <w:rFonts w:hint="eastAsia" w:ascii="仿宋_GB2312" w:hAnsi="仿宋_GB2312" w:eastAsia="仿宋_GB2312" w:cs="仿宋_GB2312"/>
          <w:sz w:val="32"/>
          <w:szCs w:val="32"/>
        </w:rPr>
        <w:t>万元，占资产总额</w:t>
      </w:r>
      <w:r>
        <w:rPr>
          <w:rFonts w:hint="eastAsia" w:ascii="仿宋_GB2312" w:hAnsi="仿宋_GB2312" w:eastAsia="仿宋_GB2312" w:cs="仿宋_GB2312"/>
          <w:sz w:val="32"/>
          <w:szCs w:val="32"/>
          <w:lang w:val="en-US" w:eastAsia="zh-CN"/>
        </w:rPr>
        <w:t>3.01</w:t>
      </w:r>
      <w:r>
        <w:rPr>
          <w:rFonts w:hint="eastAsia" w:ascii="仿宋_GB2312" w:hAnsi="仿宋_GB2312" w:eastAsia="仿宋_GB2312" w:cs="仿宋_GB2312"/>
          <w:sz w:val="32"/>
          <w:szCs w:val="32"/>
        </w:rPr>
        <w:t>%；在建工程</w:t>
      </w:r>
      <w:r>
        <w:rPr>
          <w:rFonts w:hint="eastAsia" w:ascii="仿宋_GB2312" w:hAnsi="仿宋_GB2312" w:eastAsia="仿宋_GB2312" w:cs="仿宋_GB2312"/>
          <w:sz w:val="32"/>
          <w:szCs w:val="32"/>
          <w:lang w:val="en-US" w:eastAsia="zh-CN"/>
        </w:rPr>
        <w:t>67.95</w:t>
      </w:r>
      <w:r>
        <w:rPr>
          <w:rFonts w:hint="eastAsia" w:ascii="仿宋_GB2312" w:hAnsi="仿宋_GB2312" w:eastAsia="仿宋_GB2312" w:cs="仿宋_GB2312"/>
          <w:sz w:val="32"/>
          <w:szCs w:val="32"/>
        </w:rPr>
        <w:t>万元，占资产总额</w:t>
      </w:r>
      <w:r>
        <w:rPr>
          <w:rFonts w:hint="eastAsia" w:ascii="仿宋_GB2312" w:hAnsi="仿宋_GB2312" w:eastAsia="仿宋_GB2312" w:cs="仿宋_GB2312"/>
          <w:sz w:val="32"/>
          <w:szCs w:val="32"/>
          <w:lang w:val="en-US" w:eastAsia="zh-CN"/>
        </w:rPr>
        <w:t>0.76</w:t>
      </w:r>
      <w:r>
        <w:rPr>
          <w:rFonts w:hint="eastAsia" w:ascii="仿宋_GB2312" w:hAnsi="仿宋_GB2312" w:eastAsia="仿宋_GB2312" w:cs="仿宋_GB2312"/>
          <w:sz w:val="32"/>
          <w:szCs w:val="32"/>
        </w:rPr>
        <w:t>%；受托代理资产0.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p>
    <w:p>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2.资产管理制度及过程管理情况</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检三分院制定了《北京市人民检察院第三分院固定资产管理办法》明确了固定资产购置、验收入库、领用、固定资产的交接、维修维护、固定资产的处置、清查盘点、信息系统管理等内容。资产的购置、配置、领用、转移、调拨和处置等环节严格按照国家及上级单位有关国有资产管理的规定和《北京市人民检察院第三分院固定资产管理办法》执行。</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固定资产由行政事务管理部实行归口管理，统一组织实施采购工作，采购人员、资产管理员和库房管理员共同进行验收，专业性较强的会同相关技术部门、需求部门共同完成验收。资产管理过程中领用、调拨、处置等程序规范，固定资产台账中资产名称、入账日期、资产价值、存放部门等资产相关信息记录基本完整，认真贯彻落实相关部门有关要求，及时开展固定资产核实清查工作，对固定资产使用留存状况进行登记清查，确保账实相符。对现有固定资产留置、待报废进行分类，做好实物资产的管理与处置工作。</w:t>
      </w:r>
    </w:p>
    <w:p>
      <w:pPr>
        <w:spacing w:line="560" w:lineRule="exact"/>
        <w:ind w:firstLine="640" w:firstLineChars="200"/>
        <w:outlineLvl w:val="1"/>
        <w:rPr>
          <w:rFonts w:ascii="楷体" w:hAnsi="楷体" w:eastAsia="楷体" w:cs="楷体"/>
          <w:sz w:val="32"/>
          <w:szCs w:val="32"/>
        </w:rPr>
      </w:pPr>
      <w:bookmarkStart w:id="47" w:name="_Toc7705"/>
      <w:bookmarkStart w:id="48" w:name="_Toc27360"/>
      <w:bookmarkStart w:id="49" w:name="_Toc29386"/>
      <w:bookmarkStart w:id="50" w:name="_Toc28843"/>
      <w:r>
        <w:rPr>
          <w:rFonts w:hint="eastAsia" w:ascii="楷体" w:hAnsi="楷体" w:eastAsia="楷体" w:cs="楷体"/>
          <w:sz w:val="32"/>
          <w:szCs w:val="32"/>
        </w:rPr>
        <w:t>（三）绩效</w:t>
      </w:r>
      <w:r>
        <w:rPr>
          <w:rFonts w:ascii="楷体" w:hAnsi="楷体" w:eastAsia="楷体" w:cs="楷体"/>
          <w:sz w:val="32"/>
          <w:szCs w:val="32"/>
        </w:rPr>
        <w:t>管理</w:t>
      </w:r>
      <w:bookmarkEnd w:id="47"/>
      <w:bookmarkEnd w:id="48"/>
      <w:bookmarkEnd w:id="49"/>
      <w:bookmarkEnd w:id="50"/>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检三分院按照北京市财政局关于“预算编制有目标、预算执行有监控、预算完成有评价、评价结果有反馈、反馈结果有应用”的预算绩效管理要求，深化推进全面预算绩效管理工作，将所有预算资金纳入部门预算绩效管理工作。</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年，按照市财政要求对全部立项批复项目开展预算绩效监控工作，从预算资金执行、管理以及绩效目标完成等情况进行分析，进一步加强了预算绩效运行监控管理。</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highlight w:val="none"/>
        </w:rPr>
        <w:t>北京市财政局关于开展2024年预算绩效管理相关工作的函》要</w:t>
      </w:r>
      <w:r>
        <w:rPr>
          <w:rFonts w:hint="eastAsia" w:ascii="仿宋_GB2312" w:hAnsi="仿宋_GB2312" w:eastAsia="仿宋_GB2312" w:cs="仿宋_GB2312"/>
          <w:sz w:val="32"/>
          <w:szCs w:val="32"/>
        </w:rPr>
        <w:t>求对</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市检三分院互联网接入费</w:t>
      </w:r>
      <w:r>
        <w:rPr>
          <w:rFonts w:hint="eastAsia" w:ascii="仿宋_GB2312" w:hAnsi="仿宋_GB2312" w:eastAsia="仿宋_GB2312" w:cs="仿宋_GB2312"/>
          <w:sz w:val="32"/>
          <w:szCs w:val="32"/>
          <w:highlight w:val="none"/>
        </w:rPr>
        <w:t>”项目采</w:t>
      </w:r>
      <w:r>
        <w:rPr>
          <w:rFonts w:hint="eastAsia" w:ascii="仿宋_GB2312" w:hAnsi="仿宋_GB2312" w:eastAsia="仿宋_GB2312" w:cs="仿宋_GB2312"/>
          <w:sz w:val="32"/>
          <w:szCs w:val="32"/>
        </w:rPr>
        <w:t>用部门评价方式开展，出具绩效评价报告；其他项目采用单位自评方式进行评价，出具项目支出绩效自评表。总体评价结果来看，各项目能够较好地按照预算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rPr>
        <w:t>，绩效目标设定较为合理，绩效目标及产出指标的完成情况较好，项目执行过程比较规范，项目效果达到预定目标。</w:t>
      </w:r>
    </w:p>
    <w:p>
      <w:pPr>
        <w:spacing w:line="560" w:lineRule="exact"/>
        <w:ind w:firstLine="640" w:firstLineChars="200"/>
        <w:outlineLvl w:val="1"/>
        <w:rPr>
          <w:rFonts w:ascii="楷体" w:hAnsi="楷体" w:eastAsia="楷体" w:cs="楷体"/>
          <w:sz w:val="32"/>
          <w:szCs w:val="32"/>
        </w:rPr>
      </w:pPr>
      <w:bookmarkStart w:id="51" w:name="_Toc8626"/>
      <w:bookmarkStart w:id="52" w:name="_Toc2395"/>
      <w:bookmarkStart w:id="53" w:name="_Toc16726"/>
      <w:bookmarkStart w:id="54" w:name="_Toc31075"/>
      <w:r>
        <w:rPr>
          <w:rFonts w:hint="eastAsia" w:ascii="楷体" w:hAnsi="楷体" w:eastAsia="楷体" w:cs="楷体"/>
          <w:sz w:val="32"/>
          <w:szCs w:val="32"/>
        </w:rPr>
        <w:t>（四）结转结余情况</w:t>
      </w:r>
      <w:bookmarkEnd w:id="51"/>
      <w:bookmarkEnd w:id="52"/>
      <w:bookmarkEnd w:id="53"/>
      <w:bookmarkEnd w:id="54"/>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年，市检三分院全年预算批复</w:t>
      </w:r>
      <w:r>
        <w:rPr>
          <w:rFonts w:hint="eastAsia" w:ascii="仿宋_GB2312" w:hAnsi="仿宋_GB2312" w:eastAsia="仿宋_GB2312" w:cs="仿宋_GB2312"/>
          <w:sz w:val="32"/>
          <w:szCs w:val="32"/>
          <w:lang w:val="en-US" w:eastAsia="zh-CN"/>
        </w:rPr>
        <w:t>14,566.12</w:t>
      </w:r>
      <w:r>
        <w:rPr>
          <w:rFonts w:hint="eastAsia" w:ascii="仿宋_GB2312" w:hAnsi="仿宋_GB2312" w:eastAsia="仿宋_GB2312" w:cs="仿宋_GB2312"/>
          <w:sz w:val="32"/>
          <w:szCs w:val="32"/>
        </w:rPr>
        <w:t>万元，预算年末结转结余</w:t>
      </w:r>
      <w:r>
        <w:rPr>
          <w:rFonts w:hint="eastAsia" w:ascii="仿宋_GB2312" w:hAnsi="仿宋_GB2312" w:eastAsia="仿宋_GB2312" w:cs="仿宋_GB2312"/>
          <w:sz w:val="32"/>
          <w:szCs w:val="32"/>
          <w:lang w:val="en-US" w:eastAsia="zh-CN"/>
        </w:rPr>
        <w:t>163.17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结转结余率为</w:t>
      </w:r>
      <w:r>
        <w:rPr>
          <w:rFonts w:hint="eastAsia" w:ascii="仿宋_GB2312" w:hAnsi="仿宋_GB2312" w:eastAsia="仿宋_GB2312" w:cs="仿宋_GB2312"/>
          <w:sz w:val="32"/>
          <w:szCs w:val="32"/>
          <w:highlight w:val="none"/>
          <w:lang w:val="en-US" w:eastAsia="zh-CN"/>
        </w:rPr>
        <w:t>1.12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，较上年结转结余率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0.69</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高</w:t>
      </w:r>
      <w:r>
        <w:rPr>
          <w:rFonts w:hint="eastAsia" w:ascii="仿宋_GB2312" w:hAnsi="仿宋_GB2312" w:eastAsia="仿宋_GB2312" w:cs="仿宋_GB2312"/>
          <w:sz w:val="32"/>
          <w:szCs w:val="32"/>
          <w:highlight w:val="none"/>
        </w:rPr>
        <w:t>。</w:t>
      </w:r>
    </w:p>
    <w:p>
      <w:pPr>
        <w:spacing w:line="560" w:lineRule="exact"/>
        <w:ind w:firstLine="640" w:firstLineChars="200"/>
        <w:outlineLvl w:val="1"/>
        <w:rPr>
          <w:rFonts w:ascii="楷体" w:hAnsi="楷体" w:eastAsia="楷体" w:cs="楷体"/>
          <w:sz w:val="32"/>
          <w:szCs w:val="32"/>
        </w:rPr>
      </w:pPr>
      <w:bookmarkStart w:id="55" w:name="_Toc1136"/>
      <w:bookmarkStart w:id="56" w:name="_Toc30078"/>
      <w:bookmarkStart w:id="57" w:name="_Toc10761"/>
      <w:bookmarkStart w:id="58" w:name="_Toc16302"/>
      <w:r>
        <w:rPr>
          <w:rFonts w:hint="eastAsia" w:ascii="楷体" w:hAnsi="楷体" w:eastAsia="楷体" w:cs="楷体"/>
          <w:sz w:val="32"/>
          <w:szCs w:val="32"/>
        </w:rPr>
        <w:t>（五）部门</w:t>
      </w:r>
      <w:r>
        <w:rPr>
          <w:rFonts w:ascii="楷体" w:hAnsi="楷体" w:eastAsia="楷体" w:cs="楷体"/>
          <w:sz w:val="32"/>
          <w:szCs w:val="32"/>
        </w:rPr>
        <w:t>预决算差异</w:t>
      </w:r>
      <w:r>
        <w:rPr>
          <w:rFonts w:hint="eastAsia" w:ascii="楷体" w:hAnsi="楷体" w:eastAsia="楷体" w:cs="楷体"/>
          <w:sz w:val="32"/>
          <w:szCs w:val="32"/>
        </w:rPr>
        <w:t>情况</w:t>
      </w:r>
      <w:bookmarkEnd w:id="55"/>
      <w:bookmarkEnd w:id="56"/>
      <w:bookmarkEnd w:id="57"/>
      <w:bookmarkEnd w:id="58"/>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年，年初部门预算</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4,202.97</w:t>
      </w:r>
      <w:r>
        <w:rPr>
          <w:rFonts w:hint="eastAsia" w:ascii="仿宋_GB2312" w:hAnsi="仿宋_GB2312" w:eastAsia="仿宋_GB2312" w:cs="仿宋_GB2312"/>
          <w:sz w:val="32"/>
          <w:szCs w:val="32"/>
        </w:rPr>
        <w:t>万元，年度部门决算</w:t>
      </w:r>
      <w:r>
        <w:rPr>
          <w:rFonts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420.79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，部门预决算差异率为</w:t>
      </w:r>
      <w:r>
        <w:rPr>
          <w:rFonts w:hint="eastAsia" w:ascii="仿宋_GB2312" w:hAnsi="仿宋_GB2312" w:eastAsia="仿宋_GB2312" w:cs="仿宋_GB2312"/>
          <w:sz w:val="32"/>
          <w:szCs w:val="32"/>
          <w:highlight w:val="none"/>
          <w:lang w:val="en-US" w:eastAsia="zh-CN"/>
        </w:rPr>
        <w:t>1.5</w:t>
      </w:r>
      <w:r>
        <w:rPr>
          <w:rFonts w:hint="default"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，低于</w:t>
      </w:r>
      <w:r>
        <w:rPr>
          <w:rFonts w:hint="eastAsia" w:ascii="仿宋_GB2312" w:hAnsi="仿宋_GB2312" w:eastAsia="仿宋_GB2312" w:cs="仿宋_GB2312"/>
          <w:sz w:val="32"/>
          <w:szCs w:val="32"/>
        </w:rPr>
        <w:t>市级平均差异率（28.30%）。</w:t>
      </w:r>
    </w:p>
    <w:p>
      <w:pPr>
        <w:spacing w:line="560" w:lineRule="exact"/>
        <w:ind w:firstLine="640" w:firstLineChars="200"/>
        <w:outlineLvl w:val="0"/>
        <w:rPr>
          <w:rFonts w:ascii="黑体" w:hAnsi="黑体" w:eastAsia="黑体" w:cs="黑体"/>
          <w:kern w:val="0"/>
          <w:sz w:val="32"/>
          <w:szCs w:val="32"/>
        </w:rPr>
      </w:pPr>
      <w:bookmarkStart w:id="59" w:name="_Toc17468"/>
      <w:bookmarkStart w:id="60" w:name="_Toc16399"/>
      <w:bookmarkStart w:id="61" w:name="_Toc16990"/>
      <w:bookmarkStart w:id="62" w:name="_Toc26158"/>
      <w:r>
        <w:rPr>
          <w:rFonts w:hint="eastAsia" w:ascii="黑体" w:hAnsi="黑体" w:eastAsia="黑体" w:cs="黑体"/>
          <w:kern w:val="0"/>
          <w:sz w:val="32"/>
          <w:szCs w:val="32"/>
        </w:rPr>
        <w:t>五、总体</w:t>
      </w:r>
      <w:r>
        <w:rPr>
          <w:rFonts w:ascii="黑体" w:hAnsi="黑体" w:eastAsia="黑体" w:cs="黑体"/>
          <w:kern w:val="0"/>
          <w:sz w:val="32"/>
          <w:szCs w:val="32"/>
        </w:rPr>
        <w:t>评价结论</w:t>
      </w:r>
      <w:bookmarkEnd w:id="59"/>
      <w:bookmarkEnd w:id="60"/>
      <w:bookmarkEnd w:id="61"/>
      <w:bookmarkEnd w:id="62"/>
    </w:p>
    <w:p>
      <w:pPr>
        <w:spacing w:line="560" w:lineRule="exact"/>
        <w:ind w:firstLine="640" w:firstLineChars="200"/>
        <w:outlineLvl w:val="1"/>
        <w:rPr>
          <w:rFonts w:ascii="楷体" w:hAnsi="楷体" w:eastAsia="楷体" w:cs="楷体"/>
          <w:sz w:val="32"/>
          <w:szCs w:val="32"/>
        </w:rPr>
      </w:pPr>
      <w:bookmarkStart w:id="63" w:name="_Toc11714"/>
      <w:bookmarkStart w:id="64" w:name="_Toc31473"/>
      <w:bookmarkStart w:id="65" w:name="_Toc24735"/>
      <w:bookmarkStart w:id="66" w:name="_Toc32259"/>
      <w:r>
        <w:rPr>
          <w:rFonts w:hint="eastAsia" w:ascii="楷体" w:hAnsi="楷体" w:eastAsia="楷体" w:cs="楷体"/>
          <w:sz w:val="32"/>
          <w:szCs w:val="32"/>
        </w:rPr>
        <w:t>（一）评价</w:t>
      </w:r>
      <w:r>
        <w:rPr>
          <w:rFonts w:ascii="楷体" w:hAnsi="楷体" w:eastAsia="楷体" w:cs="楷体"/>
          <w:sz w:val="32"/>
          <w:szCs w:val="32"/>
        </w:rPr>
        <w:t>得分</w:t>
      </w:r>
      <w:r>
        <w:rPr>
          <w:rFonts w:hint="eastAsia" w:ascii="楷体" w:hAnsi="楷体" w:eastAsia="楷体" w:cs="楷体"/>
          <w:sz w:val="32"/>
          <w:szCs w:val="32"/>
        </w:rPr>
        <w:t>情况</w:t>
      </w:r>
      <w:bookmarkEnd w:id="63"/>
      <w:bookmarkEnd w:id="64"/>
      <w:bookmarkEnd w:id="65"/>
      <w:bookmarkEnd w:id="66"/>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经综合</w:t>
      </w:r>
      <w:r>
        <w:rPr>
          <w:rFonts w:hint="eastAsia" w:ascii="仿宋_GB2312" w:hAnsi="仿宋_GB2312" w:eastAsia="仿宋_GB2312" w:cs="仿宋_GB2312"/>
          <w:sz w:val="32"/>
          <w:szCs w:val="32"/>
          <w:highlight w:val="none"/>
        </w:rPr>
        <w:t>评价，市检三分院202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年度部门整体支出绩效评价总得分</w:t>
      </w:r>
      <w:r>
        <w:rPr>
          <w:rFonts w:hint="eastAsia" w:ascii="仿宋_GB2312" w:hAnsi="仿宋_GB2312" w:eastAsia="仿宋_GB2312" w:cs="仿宋_GB2312"/>
          <w:sz w:val="32"/>
          <w:szCs w:val="32"/>
          <w:highlight w:val="none"/>
          <w:lang w:val="en-US" w:eastAsia="zh-CN"/>
        </w:rPr>
        <w:t>90.80</w:t>
      </w:r>
      <w:r>
        <w:rPr>
          <w:rFonts w:hint="eastAsia" w:ascii="仿宋_GB2312" w:hAnsi="仿宋_GB2312" w:eastAsia="仿宋_GB2312" w:cs="仿宋_GB2312"/>
          <w:sz w:val="32"/>
          <w:szCs w:val="32"/>
          <w:highlight w:val="none"/>
        </w:rPr>
        <w:t>分，评价结果为“</w:t>
      </w:r>
      <w:r>
        <w:rPr>
          <w:rFonts w:hint="eastAsia" w:ascii="仿宋_GB2312" w:hAnsi="仿宋_GB2312" w:eastAsia="仿宋_GB2312" w:cs="仿宋_GB2312"/>
          <w:sz w:val="32"/>
          <w:szCs w:val="32"/>
          <w:highlight w:val="none"/>
          <w:lang w:val="en-US" w:eastAsia="zh-CN"/>
        </w:rPr>
        <w:t>优秀</w:t>
      </w:r>
      <w:r>
        <w:rPr>
          <w:rFonts w:hint="eastAsia" w:ascii="仿宋_GB2312" w:hAnsi="仿宋_GB2312" w:eastAsia="仿宋_GB2312" w:cs="仿宋_GB2312"/>
          <w:sz w:val="32"/>
          <w:szCs w:val="32"/>
          <w:highlight w:val="none"/>
        </w:rPr>
        <w:t>”。其中当年预算执行情况得分为</w:t>
      </w:r>
      <w:r>
        <w:rPr>
          <w:rFonts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9.80</w:t>
      </w:r>
      <w:r>
        <w:rPr>
          <w:rFonts w:hint="eastAsia" w:ascii="仿宋_GB2312" w:hAnsi="仿宋_GB2312" w:eastAsia="仿宋_GB2312" w:cs="仿宋_GB2312"/>
          <w:sz w:val="32"/>
          <w:szCs w:val="32"/>
          <w:highlight w:val="none"/>
        </w:rPr>
        <w:t>分；整体绩效目标实现情况得分为</w:t>
      </w: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.00</w:t>
      </w:r>
      <w:r>
        <w:rPr>
          <w:rFonts w:hint="eastAsia" w:ascii="仿宋_GB2312" w:hAnsi="仿宋_GB2312" w:eastAsia="仿宋_GB2312" w:cs="仿宋_GB2312"/>
          <w:sz w:val="32"/>
          <w:szCs w:val="32"/>
          <w:highlight w:val="none"/>
        </w:rPr>
        <w:t>分；预算管理情况得分1</w:t>
      </w:r>
      <w:r>
        <w:rPr>
          <w:rFonts w:hint="eastAsia" w:ascii="仿宋_GB2312" w:hAnsi="仿宋_GB2312" w:eastAsia="仿宋_GB2312" w:cs="仿宋_GB2312"/>
          <w:sz w:val="32"/>
          <w:szCs w:val="32"/>
          <w:highlight w:val="none"/>
          <w:lang w:val="en-US" w:eastAsia="zh-CN"/>
        </w:rPr>
        <w:t>9</w:t>
      </w:r>
      <w:r>
        <w:rPr>
          <w:rFonts w:ascii="仿宋_GB2312" w:hAnsi="仿宋_GB2312" w:eastAsia="仿宋_GB2312" w:cs="仿宋_GB2312"/>
          <w:sz w:val="32"/>
          <w:szCs w:val="32"/>
          <w:highlight w:val="none"/>
        </w:rPr>
        <w:t>.00</w:t>
      </w:r>
      <w:r>
        <w:rPr>
          <w:rFonts w:hint="eastAsia" w:ascii="仿宋_GB2312" w:hAnsi="仿宋_GB2312" w:eastAsia="仿宋_GB2312" w:cs="仿宋_GB2312"/>
          <w:sz w:val="32"/>
          <w:szCs w:val="32"/>
          <w:highlight w:val="none"/>
        </w:rPr>
        <w:t>分。</w:t>
      </w:r>
    </w:p>
    <w:p>
      <w:pPr>
        <w:spacing w:beforeLines="50" w:afterLines="50"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202</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年部门整体绩效评价指标体系评分一览表</w:t>
      </w:r>
    </w:p>
    <w:tbl>
      <w:tblPr>
        <w:tblStyle w:val="18"/>
        <w:tblW w:w="8491" w:type="dxa"/>
        <w:tblInd w:w="102" w:type="dxa"/>
        <w:tblLayout w:type="fixed"/>
        <w:tblCellMar>
          <w:top w:w="0" w:type="dxa"/>
          <w:left w:w="108" w:type="dxa"/>
          <w:bottom w:w="0" w:type="dxa"/>
          <w:right w:w="108" w:type="dxa"/>
        </w:tblCellMar>
      </w:tblPr>
      <w:tblGrid>
        <w:gridCol w:w="1245"/>
        <w:gridCol w:w="2318"/>
        <w:gridCol w:w="3151"/>
        <w:gridCol w:w="964"/>
        <w:gridCol w:w="813"/>
      </w:tblGrid>
      <w:tr>
        <w:tblPrEx>
          <w:tblCellMar>
            <w:top w:w="0" w:type="dxa"/>
            <w:left w:w="108" w:type="dxa"/>
            <w:bottom w:w="0" w:type="dxa"/>
            <w:right w:w="108" w:type="dxa"/>
          </w:tblCellMar>
        </w:tblPrEx>
        <w:trPr>
          <w:trHeight w:val="567" w:hRule="atLeast"/>
          <w:tblHead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bCs/>
                <w:sz w:val="22"/>
                <w:szCs w:val="22"/>
              </w:rPr>
            </w:pPr>
            <w:r>
              <w:rPr>
                <w:rFonts w:hint="eastAsia" w:ascii="仿宋_GB2312" w:hAnsi="宋体" w:eastAsia="仿宋_GB2312" w:cs="仿宋_GB2312"/>
                <w:b/>
                <w:bCs/>
                <w:kern w:val="0"/>
                <w:sz w:val="22"/>
                <w:szCs w:val="22"/>
              </w:rPr>
              <w:t>一级指标</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bCs/>
                <w:sz w:val="22"/>
                <w:szCs w:val="22"/>
              </w:rPr>
            </w:pPr>
            <w:r>
              <w:rPr>
                <w:rFonts w:hint="eastAsia" w:ascii="仿宋_GB2312" w:hAnsi="宋体" w:eastAsia="仿宋_GB2312" w:cs="仿宋_GB2312"/>
                <w:b/>
                <w:bCs/>
                <w:kern w:val="0"/>
                <w:sz w:val="22"/>
                <w:szCs w:val="22"/>
              </w:rPr>
              <w:t>二级指标</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bCs/>
                <w:sz w:val="22"/>
                <w:szCs w:val="22"/>
              </w:rPr>
            </w:pPr>
            <w:r>
              <w:rPr>
                <w:rFonts w:hint="eastAsia" w:ascii="仿宋_GB2312" w:hAnsi="宋体" w:eastAsia="仿宋_GB2312" w:cs="仿宋_GB2312"/>
                <w:b/>
                <w:bCs/>
                <w:kern w:val="0"/>
                <w:sz w:val="22"/>
                <w:szCs w:val="22"/>
              </w:rPr>
              <w:t>三级指标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bCs/>
                <w:sz w:val="22"/>
                <w:szCs w:val="22"/>
              </w:rPr>
            </w:pPr>
            <w:r>
              <w:rPr>
                <w:rFonts w:hint="eastAsia" w:ascii="仿宋_GB2312" w:hAnsi="宋体" w:eastAsia="仿宋_GB2312" w:cs="仿宋_GB2312"/>
                <w:b/>
                <w:bCs/>
                <w:kern w:val="0"/>
                <w:sz w:val="22"/>
                <w:szCs w:val="22"/>
              </w:rPr>
              <w:t>分值</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bCs/>
                <w:sz w:val="22"/>
                <w:szCs w:val="22"/>
                <w:highlight w:val="none"/>
              </w:rPr>
            </w:pPr>
            <w:r>
              <w:rPr>
                <w:rFonts w:hint="eastAsia" w:ascii="仿宋_GB2312" w:hAnsi="宋体" w:eastAsia="仿宋_GB2312" w:cs="仿宋_GB2312"/>
                <w:b/>
                <w:bCs/>
                <w:kern w:val="0"/>
                <w:sz w:val="22"/>
                <w:szCs w:val="22"/>
                <w:highlight w:val="none"/>
              </w:rPr>
              <w:t>得分</w:t>
            </w:r>
          </w:p>
        </w:tc>
      </w:tr>
      <w:tr>
        <w:tblPrEx>
          <w:tblCellMar>
            <w:top w:w="0" w:type="dxa"/>
            <w:left w:w="108" w:type="dxa"/>
            <w:bottom w:w="0" w:type="dxa"/>
            <w:right w:w="108" w:type="dxa"/>
          </w:tblCellMar>
        </w:tblPrEx>
        <w:trPr>
          <w:trHeight w:val="454"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当年预算执行情况（20）</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资金总体</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20.00</w:t>
            </w:r>
          </w:p>
        </w:tc>
        <w:tc>
          <w:tcPr>
            <w:tcW w:w="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仿宋_GB2312"/>
                <w:sz w:val="22"/>
                <w:szCs w:val="22"/>
                <w:highlight w:val="none"/>
                <w:lang w:val="en-US" w:eastAsia="zh-CN"/>
              </w:rPr>
            </w:pPr>
            <w:r>
              <w:rPr>
                <w:rFonts w:ascii="仿宋_GB2312" w:hAnsi="宋体" w:eastAsia="仿宋_GB2312" w:cs="仿宋_GB2312"/>
                <w:kern w:val="0"/>
                <w:sz w:val="22"/>
                <w:szCs w:val="22"/>
                <w:highlight w:val="none"/>
              </w:rPr>
              <w:t>1</w:t>
            </w:r>
            <w:r>
              <w:rPr>
                <w:rFonts w:hint="eastAsia" w:ascii="仿宋_GB2312" w:hAnsi="宋体" w:eastAsia="仿宋_GB2312" w:cs="仿宋_GB2312"/>
                <w:kern w:val="0"/>
                <w:sz w:val="22"/>
                <w:szCs w:val="22"/>
                <w:highlight w:val="none"/>
                <w:lang w:val="en-US" w:eastAsia="zh-CN"/>
              </w:rPr>
              <w:t>9.80</w:t>
            </w:r>
          </w:p>
        </w:tc>
      </w:tr>
      <w:tr>
        <w:tblPrEx>
          <w:tblCellMar>
            <w:top w:w="0" w:type="dxa"/>
            <w:left w:w="108" w:type="dxa"/>
            <w:bottom w:w="0" w:type="dxa"/>
            <w:right w:w="108" w:type="dxa"/>
          </w:tblCellMar>
        </w:tblPrEx>
        <w:trPr>
          <w:trHeight w:val="454"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基本支出</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w:t>
            </w: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highlight w:val="none"/>
              </w:rPr>
            </w:pPr>
          </w:p>
        </w:tc>
      </w:tr>
      <w:tr>
        <w:tblPrEx>
          <w:tblCellMar>
            <w:top w:w="0" w:type="dxa"/>
            <w:left w:w="108" w:type="dxa"/>
            <w:bottom w:w="0" w:type="dxa"/>
            <w:right w:w="108" w:type="dxa"/>
          </w:tblCellMar>
        </w:tblPrEx>
        <w:trPr>
          <w:trHeight w:val="454"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项目支出</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w:t>
            </w: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highlight w:val="none"/>
              </w:rPr>
            </w:pPr>
          </w:p>
        </w:tc>
      </w:tr>
      <w:tr>
        <w:tblPrEx>
          <w:tblCellMar>
            <w:top w:w="0" w:type="dxa"/>
            <w:left w:w="108" w:type="dxa"/>
            <w:bottom w:w="0" w:type="dxa"/>
            <w:right w:w="108" w:type="dxa"/>
          </w:tblCellMar>
        </w:tblPrEx>
        <w:trPr>
          <w:trHeight w:val="454"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其他</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w:t>
            </w: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highlight w:val="none"/>
              </w:rPr>
            </w:pPr>
          </w:p>
        </w:tc>
      </w:tr>
      <w:tr>
        <w:tblPrEx>
          <w:tblCellMar>
            <w:top w:w="0" w:type="dxa"/>
            <w:left w:w="108" w:type="dxa"/>
            <w:bottom w:w="0" w:type="dxa"/>
            <w:right w:w="108" w:type="dxa"/>
          </w:tblCellMar>
        </w:tblPrEx>
        <w:trPr>
          <w:trHeight w:val="760"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整体绩效目标实现情况（60）</w:t>
            </w:r>
          </w:p>
        </w:tc>
        <w:tc>
          <w:tcPr>
            <w:tcW w:w="231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产出（30）</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保障全年开展检察工作</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lang w:val="en-US" w:eastAsia="zh-CN"/>
              </w:rPr>
              <w:t>5</w:t>
            </w:r>
            <w:r>
              <w:rPr>
                <w:rFonts w:ascii="仿宋_GB2312" w:hAnsi="宋体" w:eastAsia="仿宋_GB2312" w:cs="仿宋_GB2312"/>
                <w:kern w:val="0"/>
                <w:sz w:val="22"/>
                <w:szCs w:val="22"/>
              </w:rPr>
              <w:t xml:space="preserve">.00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hint="eastAsia" w:ascii="仿宋_GB2312" w:hAnsi="宋体" w:eastAsia="仿宋_GB2312" w:cs="仿宋_GB2312"/>
                <w:kern w:val="0"/>
                <w:sz w:val="22"/>
                <w:szCs w:val="22"/>
                <w:highlight w:val="none"/>
                <w:lang w:val="en-US" w:eastAsia="zh-CN"/>
              </w:rPr>
              <w:t>5</w:t>
            </w:r>
            <w:r>
              <w:rPr>
                <w:rFonts w:ascii="仿宋_GB2312" w:hAnsi="宋体" w:eastAsia="仿宋_GB2312" w:cs="仿宋_GB2312"/>
                <w:kern w:val="0"/>
                <w:sz w:val="22"/>
                <w:szCs w:val="22"/>
                <w:highlight w:val="none"/>
              </w:rPr>
              <w:t>.00</w:t>
            </w:r>
          </w:p>
        </w:tc>
      </w:tr>
      <w:tr>
        <w:tblPrEx>
          <w:tblCellMar>
            <w:top w:w="0" w:type="dxa"/>
            <w:left w:w="108" w:type="dxa"/>
            <w:bottom w:w="0" w:type="dxa"/>
            <w:right w:w="108" w:type="dxa"/>
          </w:tblCellMar>
        </w:tblPrEx>
        <w:trPr>
          <w:trHeight w:val="68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软件及硬件维护数量</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lang w:val="en-US" w:eastAsia="zh-CN"/>
              </w:rPr>
              <w:t>5</w:t>
            </w:r>
            <w:r>
              <w:rPr>
                <w:rFonts w:ascii="仿宋_GB2312" w:hAnsi="宋体" w:eastAsia="仿宋_GB2312" w:cs="仿宋_GB2312"/>
                <w:kern w:val="0"/>
                <w:sz w:val="22"/>
                <w:szCs w:val="22"/>
              </w:rPr>
              <w:t xml:space="preserve">.00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hint="eastAsia" w:ascii="仿宋_GB2312" w:hAnsi="宋体" w:eastAsia="仿宋_GB2312" w:cs="仿宋_GB2312"/>
                <w:kern w:val="0"/>
                <w:sz w:val="22"/>
                <w:szCs w:val="22"/>
                <w:highlight w:val="none"/>
                <w:lang w:val="en-US" w:eastAsia="zh-CN"/>
              </w:rPr>
              <w:t>5</w:t>
            </w:r>
            <w:r>
              <w:rPr>
                <w:rFonts w:ascii="仿宋_GB2312" w:hAnsi="宋体" w:eastAsia="仿宋_GB2312" w:cs="仿宋_GB2312"/>
                <w:kern w:val="0"/>
                <w:sz w:val="22"/>
                <w:szCs w:val="22"/>
                <w:highlight w:val="none"/>
              </w:rPr>
              <w:t>.00</w:t>
            </w:r>
          </w:p>
        </w:tc>
      </w:tr>
      <w:tr>
        <w:tblPrEx>
          <w:tblCellMar>
            <w:top w:w="0" w:type="dxa"/>
            <w:left w:w="108" w:type="dxa"/>
            <w:bottom w:w="0" w:type="dxa"/>
            <w:right w:w="108" w:type="dxa"/>
          </w:tblCellMar>
        </w:tblPrEx>
        <w:trPr>
          <w:trHeight w:val="584"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安全使用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ascii="仿宋_GB2312" w:hAnsi="宋体" w:eastAsia="仿宋_GB2312" w:cs="仿宋_GB2312"/>
                <w:kern w:val="0"/>
                <w:sz w:val="22"/>
                <w:szCs w:val="22"/>
              </w:rPr>
              <w:t xml:space="preserve">5.00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ascii="仿宋_GB2312" w:hAnsi="宋体" w:eastAsia="仿宋_GB2312" w:cs="仿宋_GB2312"/>
                <w:kern w:val="0"/>
                <w:sz w:val="22"/>
                <w:szCs w:val="22"/>
                <w:highlight w:val="none"/>
              </w:rPr>
              <w:t>5.00</w:t>
            </w:r>
          </w:p>
        </w:tc>
      </w:tr>
      <w:tr>
        <w:tblPrEx>
          <w:tblCellMar>
            <w:top w:w="0" w:type="dxa"/>
            <w:left w:w="108" w:type="dxa"/>
            <w:bottom w:w="0" w:type="dxa"/>
            <w:right w:w="108" w:type="dxa"/>
          </w:tblCellMar>
        </w:tblPrEx>
        <w:trPr>
          <w:trHeight w:val="724"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highlight w:val="yellow"/>
              </w:rPr>
            </w:pPr>
            <w:r>
              <w:rPr>
                <w:rFonts w:hint="eastAsia" w:ascii="仿宋_GB2312" w:hAnsi="宋体" w:eastAsia="仿宋_GB2312" w:cs="仿宋_GB2312"/>
                <w:kern w:val="0"/>
                <w:sz w:val="22"/>
                <w:szCs w:val="22"/>
              </w:rPr>
              <w:t>安检安保服务标准</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ascii="仿宋_GB2312" w:hAnsi="宋体" w:eastAsia="仿宋_GB2312" w:cs="仿宋_GB2312"/>
                <w:kern w:val="0"/>
                <w:sz w:val="22"/>
                <w:szCs w:val="22"/>
              </w:rPr>
              <w:t xml:space="preserve">5.00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ascii="仿宋_GB2312" w:hAnsi="宋体" w:eastAsia="仿宋_GB2312" w:cs="仿宋_GB2312"/>
                <w:kern w:val="0"/>
                <w:sz w:val="22"/>
                <w:szCs w:val="22"/>
                <w:highlight w:val="none"/>
              </w:rPr>
              <w:t>5.00</w:t>
            </w:r>
          </w:p>
        </w:tc>
      </w:tr>
      <w:tr>
        <w:tblPrEx>
          <w:tblCellMar>
            <w:top w:w="0" w:type="dxa"/>
            <w:left w:w="108" w:type="dxa"/>
            <w:bottom w:w="0" w:type="dxa"/>
            <w:right w:w="108" w:type="dxa"/>
          </w:tblCellMar>
        </w:tblPrEx>
        <w:trPr>
          <w:trHeight w:val="113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网络连接稳定，系统运行正常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ascii="仿宋_GB2312" w:hAnsi="宋体" w:eastAsia="仿宋_GB2312" w:cs="仿宋_GB2312"/>
                <w:kern w:val="0"/>
                <w:sz w:val="22"/>
                <w:szCs w:val="22"/>
              </w:rPr>
              <w:t xml:space="preserve">10.00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hint="eastAsia" w:ascii="仿宋_GB2312" w:hAnsi="宋体" w:eastAsia="仿宋_GB2312" w:cs="仿宋_GB2312"/>
                <w:kern w:val="0"/>
                <w:sz w:val="22"/>
                <w:szCs w:val="22"/>
                <w:highlight w:val="none"/>
                <w:lang w:val="en-US" w:eastAsia="zh-CN"/>
              </w:rPr>
              <w:t>8</w:t>
            </w:r>
            <w:r>
              <w:rPr>
                <w:rFonts w:ascii="仿宋_GB2312" w:hAnsi="宋体" w:eastAsia="仿宋_GB2312" w:cs="仿宋_GB2312"/>
                <w:kern w:val="0"/>
                <w:sz w:val="22"/>
                <w:szCs w:val="22"/>
                <w:highlight w:val="none"/>
              </w:rPr>
              <w:t>.00</w:t>
            </w:r>
          </w:p>
        </w:tc>
      </w:tr>
      <w:tr>
        <w:tblPrEx>
          <w:tblCellMar>
            <w:top w:w="0" w:type="dxa"/>
            <w:left w:w="108" w:type="dxa"/>
            <w:bottom w:w="0" w:type="dxa"/>
            <w:right w:w="108" w:type="dxa"/>
          </w:tblCellMar>
        </w:tblPrEx>
        <w:trPr>
          <w:trHeight w:val="747"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r>
              <w:rPr>
                <w:rFonts w:hint="eastAsia" w:ascii="仿宋_GB2312" w:hAnsi="宋体" w:eastAsia="仿宋_GB2312" w:cs="仿宋_GB2312"/>
                <w:kern w:val="0"/>
                <w:sz w:val="22"/>
                <w:szCs w:val="22"/>
              </w:rPr>
              <w:t>效益（30）</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规范单位内部管理要求，提高财务部门日常工作效率和质量</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ascii="仿宋_GB2312" w:hAnsi="宋体" w:eastAsia="仿宋_GB2312" w:cs="仿宋_GB2312"/>
                <w:kern w:val="0"/>
                <w:sz w:val="22"/>
                <w:szCs w:val="22"/>
              </w:rPr>
              <w:t>1</w:t>
            </w:r>
            <w:r>
              <w:rPr>
                <w:rFonts w:hint="eastAsia" w:ascii="仿宋_GB2312" w:hAnsi="宋体" w:eastAsia="仿宋_GB2312" w:cs="仿宋_GB2312"/>
                <w:kern w:val="0"/>
                <w:sz w:val="22"/>
                <w:szCs w:val="22"/>
                <w:lang w:val="en-US" w:eastAsia="zh-CN"/>
              </w:rPr>
              <w:t>5</w:t>
            </w:r>
            <w:r>
              <w:rPr>
                <w:rFonts w:ascii="仿宋_GB2312" w:hAnsi="宋体" w:eastAsia="仿宋_GB2312" w:cs="仿宋_GB2312"/>
                <w:kern w:val="0"/>
                <w:sz w:val="22"/>
                <w:szCs w:val="22"/>
              </w:rPr>
              <w:t xml:space="preserve">.00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hint="eastAsia" w:ascii="仿宋_GB2312" w:hAnsi="宋体" w:eastAsia="仿宋_GB2312" w:cs="仿宋_GB2312"/>
                <w:kern w:val="0"/>
                <w:sz w:val="22"/>
                <w:szCs w:val="22"/>
                <w:highlight w:val="none"/>
                <w:lang w:val="en-US" w:eastAsia="zh-CN"/>
              </w:rPr>
              <w:t>12</w:t>
            </w:r>
            <w:r>
              <w:rPr>
                <w:rFonts w:ascii="仿宋_GB2312" w:hAnsi="宋体" w:eastAsia="仿宋_GB2312" w:cs="仿宋_GB2312"/>
                <w:kern w:val="0"/>
                <w:sz w:val="22"/>
                <w:szCs w:val="22"/>
                <w:highlight w:val="none"/>
              </w:rPr>
              <w:t>.00</w:t>
            </w:r>
          </w:p>
        </w:tc>
      </w:tr>
      <w:tr>
        <w:tblPrEx>
          <w:tblCellMar>
            <w:top w:w="0" w:type="dxa"/>
            <w:left w:w="108" w:type="dxa"/>
            <w:bottom w:w="0" w:type="dxa"/>
            <w:right w:w="108" w:type="dxa"/>
          </w:tblCellMar>
        </w:tblPrEx>
        <w:trPr>
          <w:trHeight w:val="510"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2"/>
                <w:szCs w:val="22"/>
              </w:rPr>
            </w:pPr>
            <w:r>
              <w:rPr>
                <w:rFonts w:hint="eastAsia" w:ascii="仿宋_GB2312" w:hAnsi="宋体" w:eastAsia="仿宋_GB2312" w:cs="仿宋_GB2312"/>
                <w:kern w:val="0"/>
                <w:sz w:val="22"/>
                <w:szCs w:val="22"/>
              </w:rPr>
              <w:t>服务对象满意度9</w:t>
            </w:r>
            <w:r>
              <w:rPr>
                <w:rFonts w:ascii="仿宋_GB2312" w:hAnsi="宋体" w:eastAsia="仿宋_GB2312" w:cs="仿宋_GB2312"/>
                <w:kern w:val="0"/>
                <w:sz w:val="22"/>
                <w:szCs w:val="22"/>
              </w:rPr>
              <w:t>5</w:t>
            </w:r>
            <w:r>
              <w:rPr>
                <w:rFonts w:hint="eastAsia" w:ascii="仿宋_GB2312" w:hAnsi="宋体" w:eastAsia="仿宋_GB2312" w:cs="仿宋_GB2312"/>
                <w:kern w:val="0"/>
                <w:sz w:val="22"/>
                <w:szCs w:val="22"/>
              </w:rPr>
              <w:t>%以上</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rPr>
            </w:pPr>
            <w:r>
              <w:rPr>
                <w:rFonts w:ascii="仿宋_GB2312" w:hAnsi="宋体" w:eastAsia="仿宋_GB2312" w:cs="仿宋_GB2312"/>
                <w:kern w:val="0"/>
                <w:sz w:val="22"/>
                <w:szCs w:val="22"/>
              </w:rPr>
              <w:t>1</w:t>
            </w:r>
            <w:r>
              <w:rPr>
                <w:rFonts w:hint="eastAsia" w:ascii="仿宋_GB2312" w:hAnsi="宋体" w:eastAsia="仿宋_GB2312" w:cs="仿宋_GB2312"/>
                <w:kern w:val="0"/>
                <w:sz w:val="22"/>
                <w:szCs w:val="22"/>
                <w:lang w:val="en-US" w:eastAsia="zh-CN"/>
              </w:rPr>
              <w:t>5</w:t>
            </w:r>
            <w:r>
              <w:rPr>
                <w:rFonts w:ascii="仿宋_GB2312" w:hAnsi="宋体" w:eastAsia="仿宋_GB2312" w:cs="仿宋_GB2312"/>
                <w:kern w:val="0"/>
                <w:sz w:val="22"/>
                <w:szCs w:val="22"/>
              </w:rPr>
              <w:t xml:space="preserve">.00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2"/>
                <w:szCs w:val="22"/>
                <w:highlight w:val="none"/>
              </w:rPr>
            </w:pPr>
            <w:r>
              <w:rPr>
                <w:rFonts w:hint="eastAsia" w:ascii="仿宋_GB2312" w:hAnsi="宋体" w:eastAsia="仿宋_GB2312" w:cs="仿宋_GB2312"/>
                <w:kern w:val="0"/>
                <w:sz w:val="22"/>
                <w:szCs w:val="22"/>
                <w:highlight w:val="none"/>
                <w:lang w:val="en-US" w:eastAsia="zh-CN"/>
              </w:rPr>
              <w:t>12</w:t>
            </w:r>
            <w:r>
              <w:rPr>
                <w:rFonts w:ascii="仿宋_GB2312" w:hAnsi="宋体" w:eastAsia="仿宋_GB2312" w:cs="仿宋_GB2312"/>
                <w:kern w:val="0"/>
                <w:sz w:val="22"/>
                <w:szCs w:val="22"/>
                <w:highlight w:val="none"/>
              </w:rPr>
              <w:t>.00</w:t>
            </w:r>
          </w:p>
        </w:tc>
      </w:tr>
      <w:tr>
        <w:tblPrEx>
          <w:tblCellMar>
            <w:top w:w="0" w:type="dxa"/>
            <w:left w:w="108" w:type="dxa"/>
            <w:bottom w:w="0" w:type="dxa"/>
            <w:right w:w="108" w:type="dxa"/>
          </w:tblCellMar>
        </w:tblPrEx>
        <w:trPr>
          <w:trHeight w:val="454" w:hRule="exac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预算管理情况（20）</w:t>
            </w:r>
          </w:p>
        </w:tc>
        <w:tc>
          <w:tcPr>
            <w:tcW w:w="2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财务管理（4）</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财务管理制度健全性</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1.00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hint="eastAsia" w:ascii="仿宋_GB2312" w:hAnsi="宋体" w:eastAsia="仿宋_GB2312" w:cs="仿宋_GB2312"/>
                <w:kern w:val="0"/>
                <w:sz w:val="22"/>
                <w:szCs w:val="22"/>
                <w:highlight w:val="none"/>
              </w:rPr>
              <w:t>1.00</w:t>
            </w:r>
          </w:p>
        </w:tc>
      </w:tr>
      <w:tr>
        <w:tblPrEx>
          <w:tblCellMar>
            <w:top w:w="0" w:type="dxa"/>
            <w:left w:w="108" w:type="dxa"/>
            <w:bottom w:w="0" w:type="dxa"/>
            <w:right w:w="108" w:type="dxa"/>
          </w:tblCellMar>
        </w:tblPrEx>
        <w:trPr>
          <w:trHeight w:val="454"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资金使用合规性和安全性</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2.00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hint="eastAsia" w:ascii="仿宋_GB2312" w:hAnsi="宋体" w:eastAsia="仿宋_GB2312" w:cs="仿宋_GB2312"/>
                <w:kern w:val="0"/>
                <w:sz w:val="22"/>
                <w:szCs w:val="22"/>
                <w:highlight w:val="none"/>
              </w:rPr>
              <w:t>2.00</w:t>
            </w:r>
          </w:p>
        </w:tc>
      </w:tr>
      <w:tr>
        <w:tblPrEx>
          <w:tblCellMar>
            <w:top w:w="0" w:type="dxa"/>
            <w:left w:w="108" w:type="dxa"/>
            <w:bottom w:w="0" w:type="dxa"/>
            <w:right w:w="108" w:type="dxa"/>
          </w:tblCellMar>
        </w:tblPrEx>
        <w:trPr>
          <w:trHeight w:val="454"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会计基础信息完善性</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1.00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hint="eastAsia" w:ascii="仿宋_GB2312" w:hAnsi="宋体" w:eastAsia="仿宋_GB2312" w:cs="仿宋_GB2312"/>
                <w:kern w:val="0"/>
                <w:sz w:val="22"/>
                <w:szCs w:val="22"/>
                <w:highlight w:val="none"/>
              </w:rPr>
              <w:t>1.00</w:t>
            </w:r>
          </w:p>
        </w:tc>
      </w:tr>
      <w:tr>
        <w:tblPrEx>
          <w:tblCellMar>
            <w:top w:w="0" w:type="dxa"/>
            <w:left w:w="108" w:type="dxa"/>
            <w:bottom w:w="0" w:type="dxa"/>
            <w:right w:w="108" w:type="dxa"/>
          </w:tblCellMar>
        </w:tblPrEx>
        <w:trPr>
          <w:trHeight w:val="454"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资产管理（4）</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资产管理规范性</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4.00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ascii="仿宋_GB2312" w:hAnsi="宋体" w:eastAsia="仿宋_GB2312" w:cs="仿宋_GB2312"/>
                <w:kern w:val="0"/>
                <w:sz w:val="22"/>
                <w:szCs w:val="22"/>
                <w:highlight w:val="none"/>
              </w:rPr>
              <w:t>3.50</w:t>
            </w:r>
          </w:p>
        </w:tc>
      </w:tr>
      <w:tr>
        <w:tblPrEx>
          <w:tblCellMar>
            <w:top w:w="0" w:type="dxa"/>
            <w:left w:w="108" w:type="dxa"/>
            <w:bottom w:w="0" w:type="dxa"/>
            <w:right w:w="108" w:type="dxa"/>
          </w:tblCellMar>
        </w:tblPrEx>
        <w:trPr>
          <w:trHeight w:val="454"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绩效管理（4）</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绩效管理情况</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4.00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ascii="仿宋_GB2312" w:hAnsi="宋体" w:eastAsia="仿宋_GB2312" w:cs="仿宋_GB2312"/>
                <w:kern w:val="0"/>
                <w:sz w:val="22"/>
                <w:szCs w:val="22"/>
                <w:highlight w:val="none"/>
              </w:rPr>
              <w:t>3.50</w:t>
            </w:r>
          </w:p>
        </w:tc>
      </w:tr>
      <w:tr>
        <w:tblPrEx>
          <w:tblCellMar>
            <w:top w:w="0" w:type="dxa"/>
            <w:left w:w="108" w:type="dxa"/>
            <w:bottom w:w="0" w:type="dxa"/>
            <w:right w:w="108" w:type="dxa"/>
          </w:tblCellMar>
        </w:tblPrEx>
        <w:trPr>
          <w:trHeight w:val="454" w:hRule="exac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结转结余率（4）</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4.00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hint="eastAsia" w:ascii="仿宋_GB2312" w:hAnsi="宋体" w:eastAsia="仿宋_GB2312" w:cs="仿宋_GB2312"/>
                <w:kern w:val="0"/>
                <w:sz w:val="22"/>
                <w:szCs w:val="22"/>
                <w:highlight w:val="none"/>
                <w:lang w:val="en-US" w:eastAsia="zh-CN"/>
              </w:rPr>
              <w:t>4</w:t>
            </w:r>
            <w:r>
              <w:rPr>
                <w:rFonts w:ascii="仿宋_GB2312" w:hAnsi="宋体" w:eastAsia="仿宋_GB2312" w:cs="仿宋_GB2312"/>
                <w:kern w:val="0"/>
                <w:sz w:val="22"/>
                <w:szCs w:val="22"/>
                <w:highlight w:val="none"/>
              </w:rPr>
              <w:t>.0</w:t>
            </w:r>
            <w:r>
              <w:rPr>
                <w:rFonts w:hint="eastAsia" w:ascii="仿宋_GB2312" w:hAnsi="宋体" w:eastAsia="仿宋_GB2312" w:cs="仿宋_GB2312"/>
                <w:kern w:val="0"/>
                <w:sz w:val="22"/>
                <w:szCs w:val="22"/>
                <w:highlight w:val="none"/>
              </w:rPr>
              <w:t>0</w:t>
            </w:r>
          </w:p>
        </w:tc>
      </w:tr>
      <w:tr>
        <w:tblPrEx>
          <w:tblCellMar>
            <w:top w:w="0" w:type="dxa"/>
            <w:left w:w="108" w:type="dxa"/>
            <w:bottom w:w="0" w:type="dxa"/>
            <w:right w:w="108" w:type="dxa"/>
          </w:tblCellMar>
        </w:tblPrEx>
        <w:trPr>
          <w:trHeight w:val="567"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22"/>
                <w:szCs w:val="22"/>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部门预决算差异率（4）</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4.00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highlight w:val="none"/>
              </w:rPr>
            </w:pPr>
            <w:r>
              <w:rPr>
                <w:rFonts w:ascii="仿宋_GB2312" w:hAnsi="宋体" w:eastAsia="仿宋_GB2312" w:cs="仿宋_GB2312"/>
                <w:kern w:val="0"/>
                <w:sz w:val="22"/>
                <w:szCs w:val="22"/>
                <w:highlight w:val="none"/>
              </w:rPr>
              <w:t>4.0</w:t>
            </w:r>
            <w:r>
              <w:rPr>
                <w:rFonts w:hint="eastAsia" w:ascii="仿宋_GB2312" w:hAnsi="宋体" w:eastAsia="仿宋_GB2312" w:cs="仿宋_GB2312"/>
                <w:kern w:val="0"/>
                <w:sz w:val="22"/>
                <w:szCs w:val="22"/>
                <w:highlight w:val="none"/>
              </w:rPr>
              <w:t>0</w:t>
            </w:r>
          </w:p>
        </w:tc>
      </w:tr>
      <w:tr>
        <w:tblPrEx>
          <w:tblCellMar>
            <w:top w:w="0" w:type="dxa"/>
            <w:left w:w="108" w:type="dxa"/>
            <w:bottom w:w="0" w:type="dxa"/>
            <w:right w:w="108" w:type="dxa"/>
          </w:tblCellMar>
        </w:tblPrEx>
        <w:trPr>
          <w:trHeight w:val="567" w:hRule="atLeast"/>
        </w:trPr>
        <w:tc>
          <w:tcPr>
            <w:tcW w:w="6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合计</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2"/>
                <w:szCs w:val="22"/>
              </w:rPr>
            </w:pPr>
            <w:r>
              <w:rPr>
                <w:rFonts w:hint="eastAsia" w:ascii="仿宋_GB2312" w:hAnsi="宋体" w:eastAsia="仿宋_GB2312" w:cs="仿宋_GB2312"/>
                <w:kern w:val="0"/>
                <w:sz w:val="22"/>
                <w:szCs w:val="22"/>
              </w:rPr>
              <w:t>100.00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仿宋_GB2312"/>
                <w:sz w:val="22"/>
                <w:szCs w:val="22"/>
                <w:lang w:val="en-US" w:eastAsia="zh-CN"/>
              </w:rPr>
            </w:pPr>
            <w:r>
              <w:rPr>
                <w:rFonts w:hint="eastAsia" w:ascii="仿宋_GB2312" w:hAnsi="宋体" w:eastAsia="仿宋_GB2312" w:cs="仿宋_GB2312"/>
                <w:kern w:val="0"/>
                <w:sz w:val="22"/>
                <w:szCs w:val="22"/>
                <w:lang w:val="en-US" w:eastAsia="zh-CN"/>
              </w:rPr>
              <w:t>90.80</w:t>
            </w:r>
          </w:p>
        </w:tc>
      </w:tr>
    </w:tbl>
    <w:p>
      <w:pPr>
        <w:spacing w:line="560" w:lineRule="exact"/>
        <w:ind w:firstLine="640" w:firstLineChars="200"/>
        <w:outlineLvl w:val="1"/>
        <w:rPr>
          <w:rFonts w:ascii="楷体" w:hAnsi="楷体" w:eastAsia="楷体" w:cs="楷体"/>
          <w:sz w:val="32"/>
          <w:szCs w:val="32"/>
        </w:rPr>
      </w:pPr>
      <w:bookmarkStart w:id="67" w:name="_Toc8013"/>
      <w:bookmarkStart w:id="68" w:name="_Toc18375"/>
      <w:bookmarkStart w:id="69" w:name="_Toc2388"/>
      <w:bookmarkStart w:id="70" w:name="_Toc27056"/>
      <w:r>
        <w:rPr>
          <w:rFonts w:hint="eastAsia" w:ascii="楷体" w:hAnsi="楷体" w:eastAsia="楷体" w:cs="楷体"/>
          <w:sz w:val="32"/>
          <w:szCs w:val="32"/>
        </w:rPr>
        <w:t>（二）存在的问题</w:t>
      </w:r>
      <w:bookmarkEnd w:id="67"/>
      <w:bookmarkEnd w:id="68"/>
      <w:bookmarkEnd w:id="69"/>
      <w:bookmarkEnd w:id="70"/>
    </w:p>
    <w:p>
      <w:pPr>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.部门整体绩效目标设置</w:t>
      </w:r>
      <w:r>
        <w:rPr>
          <w:rFonts w:hint="eastAsia" w:ascii="仿宋_GB2312" w:hAnsi="仿宋_GB2312" w:eastAsia="仿宋_GB2312" w:cs="仿宋_GB2312"/>
          <w:sz w:val="32"/>
          <w:szCs w:val="32"/>
          <w:lang w:val="en-US" w:eastAsia="zh-CN"/>
        </w:rPr>
        <w:t>较宏观</w:t>
      </w:r>
      <w:r>
        <w:rPr>
          <w:rFonts w:hint="eastAsia" w:ascii="仿宋_GB2312" w:hAnsi="仿宋_GB2312" w:eastAsia="仿宋_GB2312" w:cs="仿宋_GB2312"/>
          <w:sz w:val="32"/>
          <w:szCs w:val="32"/>
        </w:rPr>
        <w:t>，目标与部门职责职能和预算、重点工作任务的结合紧密度不够，部门决策依据的充分性待提高</w:t>
      </w:r>
      <w:r>
        <w:rPr>
          <w:rFonts w:hint="eastAsia" w:ascii="仿宋_GB2312" w:hAnsi="仿宋_GB2312" w:eastAsia="仿宋_GB2312" w:cs="仿宋_GB2312"/>
          <w:sz w:val="32"/>
          <w:szCs w:val="32"/>
          <w:lang w:eastAsia="zh-CN"/>
        </w:rPr>
        <w:t>。</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未建立</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整体</w:t>
      </w:r>
      <w:r>
        <w:rPr>
          <w:rFonts w:hint="eastAsia" w:ascii="仿宋_GB2312" w:hAnsi="仿宋_GB2312" w:eastAsia="仿宋_GB2312" w:cs="仿宋_GB2312"/>
          <w:sz w:val="32"/>
          <w:szCs w:val="32"/>
        </w:rPr>
        <w:t>实施方案，缺少对项目实施的统筹和指导作用；部门项目实施过程管理、控制等资料</w:t>
      </w:r>
      <w:r>
        <w:rPr>
          <w:rFonts w:hint="eastAsia" w:ascii="仿宋_GB2312" w:hAnsi="仿宋_GB2312" w:eastAsia="仿宋_GB2312" w:cs="仿宋_GB2312"/>
          <w:sz w:val="32"/>
          <w:szCs w:val="32"/>
          <w:lang w:val="en-US" w:eastAsia="zh-CN"/>
        </w:rPr>
        <w:t>支撑性</w:t>
      </w:r>
      <w:r>
        <w:rPr>
          <w:rFonts w:hint="eastAsia" w:ascii="仿宋_GB2312" w:hAnsi="仿宋_GB2312" w:eastAsia="仿宋_GB2312" w:cs="仿宋_GB2312"/>
          <w:sz w:val="32"/>
          <w:szCs w:val="32"/>
        </w:rPr>
        <w:t>不足。</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.部分项目绩效信息的收集和汇总分析不充分,项目资料收集不完整。部分项目服务对象满意度调查开展不够全面，导致项目效益效果资料未能完整、充分呈现。</w:t>
      </w:r>
    </w:p>
    <w:p>
      <w:pPr>
        <w:spacing w:line="560" w:lineRule="exact"/>
        <w:ind w:firstLine="640" w:firstLineChars="200"/>
        <w:outlineLvl w:val="0"/>
        <w:rPr>
          <w:rFonts w:ascii="黑体" w:hAnsi="黑体" w:eastAsia="黑体" w:cs="黑体"/>
          <w:kern w:val="0"/>
          <w:sz w:val="32"/>
          <w:szCs w:val="32"/>
        </w:rPr>
      </w:pPr>
      <w:bookmarkStart w:id="71" w:name="_Toc2064"/>
      <w:bookmarkStart w:id="72" w:name="_Toc28151"/>
      <w:bookmarkStart w:id="73" w:name="_Toc17741"/>
      <w:bookmarkStart w:id="74" w:name="_Toc29258"/>
      <w:r>
        <w:rPr>
          <w:rFonts w:hint="eastAsia" w:ascii="黑体" w:hAnsi="黑体" w:eastAsia="黑体" w:cs="黑体"/>
          <w:kern w:val="0"/>
          <w:sz w:val="32"/>
          <w:szCs w:val="32"/>
        </w:rPr>
        <w:t>六、措施建议</w:t>
      </w:r>
      <w:bookmarkEnd w:id="71"/>
      <w:bookmarkEnd w:id="72"/>
      <w:bookmarkEnd w:id="73"/>
      <w:bookmarkEnd w:id="74"/>
    </w:p>
    <w:p>
      <w:pPr>
        <w:snapToGrid w:val="0"/>
        <w:spacing w:line="560" w:lineRule="exact"/>
        <w:ind w:firstLine="640" w:firstLineChars="200"/>
        <w:rPr>
          <w:rFonts w:ascii="仿宋_GB2312" w:hAnsi="仿宋_GB2312" w:eastAsia="仿宋_GB2312" w:cs="仿宋_GB2312"/>
          <w:sz w:val="32"/>
          <w:szCs w:val="32"/>
        </w:rPr>
      </w:pPr>
      <w:bookmarkStart w:id="75" w:name="_Toc72401385"/>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.进一步</w:t>
      </w:r>
      <w:r>
        <w:rPr>
          <w:rFonts w:hint="eastAsia" w:ascii="仿宋_GB2312" w:hAnsi="仿宋_GB2312" w:eastAsia="仿宋_GB2312" w:cs="仿宋_GB2312"/>
          <w:sz w:val="32"/>
          <w:szCs w:val="32"/>
          <w:lang w:eastAsia="zh-CN"/>
        </w:rPr>
        <w:t>增强</w:t>
      </w:r>
      <w:r>
        <w:rPr>
          <w:rFonts w:hint="eastAsia" w:ascii="仿宋_GB2312" w:hAnsi="仿宋_GB2312" w:eastAsia="仿宋_GB2312" w:cs="仿宋_GB2312"/>
          <w:sz w:val="32"/>
          <w:szCs w:val="32"/>
        </w:rPr>
        <w:t>绩效管理意识，加强绩效目标管理，绩效目标设置与部门职责职能和预算、重点工作任务紧密结合。充分结合实际业务、预算内容，科学、完整地设置绩效目标与绩效指标，并保障绩效目标与绩效指标的对应关系，各项指标设置做到细化、量化、可衡量。</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.健全完善项目实施方案。根据项目以前年度实施情况或预期计划，制定项目整体实施方案，发挥整体方案的指导意义。加强项目活动方案的完整性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强化过程管控，增强对项目实施的指导和约束作用，加强项目实施过程控制及监督管理。</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注重部门整体和项目预算绩效过程资料的收集、分析，提高资料收集的及时性和完整性。特别要注重对项目质量和效益的挖掘，用效果资料和数据来支撑项目效益。精准定位项目服务对象，选择适当的方式、方法开展服务对象满意度调查及分析，充分反映项目服务对象满意程度。</w:t>
      </w:r>
      <w:bookmarkEnd w:id="75"/>
    </w:p>
    <w:p>
      <w:pPr>
        <w:spacing w:line="560" w:lineRule="exact"/>
        <w:ind w:firstLine="640" w:firstLineChars="200"/>
        <w:outlineLvl w:val="0"/>
        <w:rPr>
          <w:rFonts w:ascii="黑体" w:hAnsi="黑体" w:eastAsia="黑体" w:cs="黑体"/>
          <w:kern w:val="0"/>
          <w:sz w:val="32"/>
          <w:szCs w:val="32"/>
        </w:rPr>
      </w:pPr>
      <w:bookmarkStart w:id="76" w:name="_Toc22397"/>
      <w:bookmarkStart w:id="77" w:name="_Toc16676"/>
      <w:bookmarkStart w:id="78" w:name="_Toc1501"/>
      <w:bookmarkStart w:id="79" w:name="_Toc22942"/>
      <w:r>
        <w:rPr>
          <w:rFonts w:hint="eastAsia" w:ascii="黑体" w:hAnsi="黑体" w:eastAsia="黑体" w:cs="黑体"/>
          <w:kern w:val="0"/>
          <w:sz w:val="32"/>
          <w:szCs w:val="32"/>
        </w:rPr>
        <w:t>七、附件</w:t>
      </w:r>
      <w:bookmarkEnd w:id="76"/>
      <w:bookmarkEnd w:id="77"/>
      <w:bookmarkEnd w:id="78"/>
      <w:bookmarkEnd w:id="79"/>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年部门整体绩效评价指标体系评分表</w:t>
      </w:r>
    </w:p>
    <w:p>
      <w:pPr>
        <w:spacing w:line="560" w:lineRule="exact"/>
        <w:ind w:firstLine="200"/>
        <w:sectPr>
          <w:footerReference r:id="rId5" w:type="default"/>
          <w:pgSz w:w="11906" w:h="16838"/>
          <w:pgMar w:top="1440" w:right="1797" w:bottom="1440" w:left="1797" w:header="851" w:footer="992" w:gutter="0"/>
          <w:pgNumType w:start="1"/>
          <w:cols w:space="425" w:num="1"/>
          <w:docGrid w:type="lines" w:linePitch="312" w:charSpace="0"/>
        </w:sectPr>
      </w:pPr>
    </w:p>
    <w:p>
      <w:pPr>
        <w:ind w:firstLine="640" w:firstLineChars="200"/>
        <w:rPr>
          <w:rFonts w:ascii="黑体" w:hAnsi="黑体" w:eastAsia="黑体" w:cs="黑体"/>
          <w:sz w:val="32"/>
          <w:szCs w:val="32"/>
        </w:rPr>
      </w:pPr>
      <w:r>
        <w:rPr>
          <w:rFonts w:hint="eastAsia" w:ascii="黑体" w:hAnsi="黑体" w:eastAsia="黑体" w:cs="黑体"/>
          <w:sz w:val="32"/>
          <w:szCs w:val="32"/>
        </w:rPr>
        <w:t>附件</w:t>
      </w:r>
    </w:p>
    <w:tbl>
      <w:tblPr>
        <w:tblStyle w:val="18"/>
        <w:tblW w:w="5000" w:type="pct"/>
        <w:tblInd w:w="0" w:type="dxa"/>
        <w:tblLayout w:type="fixed"/>
        <w:tblCellMar>
          <w:top w:w="0" w:type="dxa"/>
          <w:left w:w="108" w:type="dxa"/>
          <w:bottom w:w="0" w:type="dxa"/>
          <w:right w:w="108" w:type="dxa"/>
        </w:tblCellMar>
      </w:tblPr>
      <w:tblGrid>
        <w:gridCol w:w="738"/>
        <w:gridCol w:w="1023"/>
        <w:gridCol w:w="1466"/>
        <w:gridCol w:w="1417"/>
        <w:gridCol w:w="992"/>
        <w:gridCol w:w="709"/>
        <w:gridCol w:w="850"/>
        <w:gridCol w:w="3263"/>
        <w:gridCol w:w="3716"/>
      </w:tblGrid>
      <w:tr>
        <w:tblPrEx>
          <w:tblCellMar>
            <w:top w:w="0" w:type="dxa"/>
            <w:left w:w="108" w:type="dxa"/>
            <w:bottom w:w="0" w:type="dxa"/>
            <w:right w:w="108" w:type="dxa"/>
          </w:tblCellMar>
        </w:tblPrEx>
        <w:trPr>
          <w:trHeight w:val="499" w:hRule="atLeast"/>
        </w:trPr>
        <w:tc>
          <w:tcPr>
            <w:tcW w:w="5000" w:type="pct"/>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w:t>
            </w:r>
            <w:r>
              <w:rPr>
                <w:rFonts w:hint="eastAsia" w:ascii="方正小标宋简体" w:hAnsi="黑体" w:eastAsia="方正小标宋简体" w:cs="宋体"/>
                <w:color w:val="000000"/>
                <w:kern w:val="0"/>
                <w:sz w:val="44"/>
                <w:szCs w:val="44"/>
                <w:lang w:val="en-US" w:eastAsia="zh-CN"/>
              </w:rPr>
              <w:t>3</w:t>
            </w:r>
            <w:r>
              <w:rPr>
                <w:rFonts w:hint="eastAsia" w:ascii="方正小标宋简体" w:hAnsi="黑体" w:eastAsia="方正小标宋简体" w:cs="宋体"/>
                <w:color w:val="000000"/>
                <w:kern w:val="0"/>
                <w:sz w:val="44"/>
                <w:szCs w:val="44"/>
              </w:rPr>
              <w:t>年部门整体绩效评价指标体系评分表</w:t>
            </w:r>
          </w:p>
        </w:tc>
      </w:tr>
      <w:tr>
        <w:tblPrEx>
          <w:tblCellMar>
            <w:top w:w="0" w:type="dxa"/>
            <w:left w:w="108" w:type="dxa"/>
            <w:bottom w:w="0" w:type="dxa"/>
            <w:right w:w="108" w:type="dxa"/>
          </w:tblCellMar>
        </w:tblPrEx>
        <w:trPr>
          <w:trHeight w:val="470" w:hRule="atLeast"/>
        </w:trPr>
        <w:tc>
          <w:tcPr>
            <w:tcW w:w="5000" w:type="pct"/>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26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5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5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3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2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15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131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trHeight w:val="1304" w:hRule="atLeast"/>
        </w:trPr>
        <w:tc>
          <w:tcPr>
            <w:tcW w:w="260" w:type="pct"/>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517"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14,566.12</w:t>
            </w:r>
          </w:p>
        </w:tc>
        <w:tc>
          <w:tcPr>
            <w:tcW w:w="500"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14,420.79</w:t>
            </w:r>
          </w:p>
        </w:tc>
        <w:tc>
          <w:tcPr>
            <w:tcW w:w="3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99.00</w:t>
            </w:r>
            <w:r>
              <w:rPr>
                <w:rFonts w:ascii="宋体" w:hAnsi="宋体" w:cs="宋体"/>
                <w:color w:val="000000"/>
                <w:kern w:val="0"/>
                <w:sz w:val="20"/>
                <w:szCs w:val="20"/>
              </w:rPr>
              <w:t>%</w:t>
            </w:r>
          </w:p>
        </w:tc>
        <w:tc>
          <w:tcPr>
            <w:tcW w:w="250"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300"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lang w:val="en-US" w:eastAsia="zh-CN"/>
              </w:rPr>
            </w:pPr>
            <w:r>
              <w:rPr>
                <w:rFonts w:ascii="宋体" w:hAnsi="宋体" w:cs="宋体"/>
                <w:color w:val="000000"/>
                <w:kern w:val="0"/>
                <w:sz w:val="20"/>
                <w:szCs w:val="20"/>
              </w:rPr>
              <w:t>1</w:t>
            </w:r>
            <w:r>
              <w:rPr>
                <w:rFonts w:hint="eastAsia" w:ascii="宋体" w:hAnsi="宋体" w:cs="宋体"/>
                <w:color w:val="000000"/>
                <w:kern w:val="0"/>
                <w:sz w:val="20"/>
                <w:szCs w:val="20"/>
                <w:lang w:val="en-US" w:eastAsia="zh-CN"/>
              </w:rPr>
              <w:t>9.8</w:t>
            </w:r>
          </w:p>
        </w:tc>
        <w:tc>
          <w:tcPr>
            <w:tcW w:w="1151"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311" w:type="pct"/>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130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517"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10,405.12</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ascii="宋体" w:hAnsi="宋体" w:cs="宋体"/>
                <w:color w:val="000000"/>
                <w:kern w:val="0"/>
                <w:sz w:val="20"/>
                <w:szCs w:val="20"/>
              </w:rPr>
              <w:t>10,</w:t>
            </w:r>
            <w:r>
              <w:rPr>
                <w:rFonts w:hint="eastAsia" w:ascii="宋体" w:hAnsi="宋体" w:cs="宋体"/>
                <w:color w:val="000000"/>
                <w:kern w:val="0"/>
                <w:sz w:val="20"/>
                <w:szCs w:val="20"/>
                <w:lang w:val="en-US" w:eastAsia="zh-CN"/>
              </w:rPr>
              <w:t>217.93</w:t>
            </w:r>
          </w:p>
        </w:tc>
        <w:tc>
          <w:tcPr>
            <w:tcW w:w="35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2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1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1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30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517"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4,161.00</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4,161.00</w:t>
            </w:r>
          </w:p>
        </w:tc>
        <w:tc>
          <w:tcPr>
            <w:tcW w:w="3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1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1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45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基本建设类项目</w:t>
            </w:r>
          </w:p>
        </w:tc>
        <w:tc>
          <w:tcPr>
            <w:tcW w:w="517"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41.86</w:t>
            </w:r>
          </w:p>
        </w:tc>
        <w:tc>
          <w:tcPr>
            <w:tcW w:w="3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1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1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tbl>
      <w:tblPr>
        <w:tblStyle w:val="18"/>
        <w:tblW w:w="5000" w:type="pct"/>
        <w:tblInd w:w="0" w:type="dxa"/>
        <w:tblLayout w:type="fixed"/>
        <w:tblCellMar>
          <w:top w:w="0" w:type="dxa"/>
          <w:left w:w="108" w:type="dxa"/>
          <w:bottom w:w="0" w:type="dxa"/>
          <w:right w:w="108" w:type="dxa"/>
        </w:tblCellMar>
      </w:tblPr>
      <w:tblGrid>
        <w:gridCol w:w="815"/>
        <w:gridCol w:w="1137"/>
        <w:gridCol w:w="1134"/>
        <w:gridCol w:w="1417"/>
        <w:gridCol w:w="1559"/>
        <w:gridCol w:w="850"/>
        <w:gridCol w:w="856"/>
        <w:gridCol w:w="3118"/>
        <w:gridCol w:w="3288"/>
      </w:tblGrid>
      <w:tr>
        <w:tblPrEx>
          <w:tblCellMar>
            <w:top w:w="0" w:type="dxa"/>
            <w:left w:w="108" w:type="dxa"/>
            <w:bottom w:w="0" w:type="dxa"/>
            <w:right w:w="108" w:type="dxa"/>
          </w:tblCellMar>
        </w:tblPrEx>
        <w:trPr>
          <w:trHeight w:val="500" w:hRule="atLeast"/>
          <w:tblHeader/>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blHead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4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9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5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29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01" w:type="pct"/>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9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15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701"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401" w:type="pct"/>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499" w:type="pct"/>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保障全年开展检察工作</w:t>
            </w:r>
          </w:p>
        </w:tc>
        <w:tc>
          <w:tcPr>
            <w:tcW w:w="549" w:type="pct"/>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ascii="宋体" w:hAnsi="宋体" w:cs="宋体"/>
                <w:color w:val="000000"/>
                <w:kern w:val="0"/>
                <w:sz w:val="20"/>
                <w:szCs w:val="20"/>
              </w:rPr>
              <w:t>部门产出数量与绩效目标</w:t>
            </w:r>
            <w:r>
              <w:rPr>
                <w:rFonts w:hint="eastAsia" w:ascii="宋体" w:hAnsi="宋体" w:cs="宋体"/>
                <w:color w:val="000000"/>
                <w:kern w:val="0"/>
                <w:sz w:val="20"/>
                <w:szCs w:val="20"/>
              </w:rPr>
              <w:t>基本</w:t>
            </w:r>
            <w:r>
              <w:rPr>
                <w:rFonts w:ascii="宋体" w:hAnsi="宋体" w:cs="宋体"/>
                <w:color w:val="000000"/>
                <w:kern w:val="0"/>
                <w:sz w:val="20"/>
                <w:szCs w:val="20"/>
              </w:rPr>
              <w:t>相符</w:t>
            </w:r>
          </w:p>
        </w:tc>
        <w:tc>
          <w:tcPr>
            <w:tcW w:w="29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5</w:t>
            </w:r>
          </w:p>
        </w:tc>
        <w:tc>
          <w:tcPr>
            <w:tcW w:w="301" w:type="pct"/>
            <w:tcBorders>
              <w:top w:val="single" w:color="auto" w:sz="4" w:space="0"/>
              <w:left w:val="nil"/>
              <w:bottom w:val="single" w:color="auto" w:sz="4" w:space="0"/>
              <w:right w:val="nil"/>
            </w:tcBorders>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1099"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159"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数量</w:t>
            </w:r>
            <w:r>
              <w:rPr>
                <w:rFonts w:hint="eastAsia" w:ascii="宋体" w:hAnsi="宋体" w:cs="宋体"/>
                <w:color w:val="000000"/>
                <w:kern w:val="0"/>
                <w:sz w:val="20"/>
                <w:szCs w:val="20"/>
              </w:rPr>
              <w:t>指标</w:t>
            </w:r>
          </w:p>
        </w:tc>
        <w:tc>
          <w:tcPr>
            <w:tcW w:w="49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软件及硬件维护数量</w:t>
            </w:r>
          </w:p>
        </w:tc>
        <w:tc>
          <w:tcPr>
            <w:tcW w:w="5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部门产出数量与绩效目标</w:t>
            </w:r>
            <w:r>
              <w:rPr>
                <w:rFonts w:hint="eastAsia" w:ascii="宋体" w:hAnsi="宋体" w:cs="宋体"/>
                <w:color w:val="000000"/>
                <w:kern w:val="0"/>
                <w:sz w:val="20"/>
                <w:szCs w:val="20"/>
              </w:rPr>
              <w:t>基本</w:t>
            </w:r>
            <w:r>
              <w:rPr>
                <w:rFonts w:ascii="宋体" w:hAnsi="宋体" w:cs="宋体"/>
                <w:color w:val="000000"/>
                <w:kern w:val="0"/>
                <w:sz w:val="20"/>
                <w:szCs w:val="20"/>
              </w:rPr>
              <w:t>相符</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5</w:t>
            </w:r>
          </w:p>
        </w:tc>
        <w:tc>
          <w:tcPr>
            <w:tcW w:w="301" w:type="pct"/>
            <w:tcBorders>
              <w:top w:val="single" w:color="auto" w:sz="4" w:space="0"/>
              <w:left w:val="nil"/>
              <w:bottom w:val="single" w:color="auto" w:sz="4" w:space="0"/>
              <w:right w:val="nil"/>
            </w:tcBorders>
            <w:noWrap/>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109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5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质量</w:t>
            </w:r>
            <w:r>
              <w:rPr>
                <w:rFonts w:hint="eastAsia" w:ascii="宋体" w:hAnsi="宋体" w:cs="宋体"/>
                <w:color w:val="000000"/>
                <w:kern w:val="0"/>
                <w:sz w:val="20"/>
                <w:szCs w:val="20"/>
              </w:rPr>
              <w:t>指标</w:t>
            </w:r>
          </w:p>
        </w:tc>
        <w:tc>
          <w:tcPr>
            <w:tcW w:w="49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安全使用</w:t>
            </w:r>
          </w:p>
        </w:tc>
        <w:tc>
          <w:tcPr>
            <w:tcW w:w="5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部门产出质量提升及达到标准</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01"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09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5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质量</w:t>
            </w:r>
            <w:r>
              <w:rPr>
                <w:rFonts w:hint="eastAsia" w:ascii="宋体" w:hAnsi="宋体" w:cs="宋体"/>
                <w:color w:val="000000"/>
                <w:kern w:val="0"/>
                <w:sz w:val="20"/>
                <w:szCs w:val="20"/>
              </w:rPr>
              <w:t>指标</w:t>
            </w:r>
          </w:p>
        </w:tc>
        <w:tc>
          <w:tcPr>
            <w:tcW w:w="49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安检安保服务标准</w:t>
            </w:r>
          </w:p>
        </w:tc>
        <w:tc>
          <w:tcPr>
            <w:tcW w:w="5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部门产出质量提升及达到标准</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01"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09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59"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1" w:type="pct"/>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质量</w:t>
            </w:r>
            <w:r>
              <w:rPr>
                <w:rFonts w:hint="eastAsia" w:ascii="宋体" w:hAnsi="宋体" w:cs="宋体"/>
                <w:color w:val="000000"/>
                <w:kern w:val="0"/>
                <w:sz w:val="20"/>
                <w:szCs w:val="20"/>
              </w:rPr>
              <w:t>指标</w:t>
            </w:r>
          </w:p>
        </w:tc>
        <w:tc>
          <w:tcPr>
            <w:tcW w:w="499" w:type="pct"/>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网络连接稳定，系统运行正常</w:t>
            </w:r>
          </w:p>
        </w:tc>
        <w:tc>
          <w:tcPr>
            <w:tcW w:w="549" w:type="pct"/>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部门产出质量提升及达到标准，资料需进一步完善</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301" w:type="pct"/>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1099"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59"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928" w:hRule="atLeast"/>
        </w:trPr>
        <w:tc>
          <w:tcPr>
            <w:tcW w:w="2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经济</w:t>
            </w:r>
            <w:r>
              <w:rPr>
                <w:rFonts w:hint="eastAsia" w:ascii="宋体" w:hAnsi="宋体" w:cs="宋体"/>
                <w:color w:val="000000"/>
                <w:kern w:val="0"/>
                <w:sz w:val="20"/>
                <w:szCs w:val="20"/>
              </w:rPr>
              <w:t>效益</w:t>
            </w:r>
          </w:p>
        </w:tc>
        <w:tc>
          <w:tcPr>
            <w:tcW w:w="49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规范单位内部管理要求，提高财务部门日常工作效率和质量</w:t>
            </w:r>
          </w:p>
        </w:tc>
        <w:tc>
          <w:tcPr>
            <w:tcW w:w="5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达到预期目标，资料需进一步完善</w:t>
            </w:r>
          </w:p>
        </w:tc>
        <w:tc>
          <w:tcPr>
            <w:tcW w:w="299"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w:t>
            </w:r>
          </w:p>
        </w:tc>
        <w:tc>
          <w:tcPr>
            <w:tcW w:w="301"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w:t>
            </w:r>
          </w:p>
        </w:tc>
        <w:tc>
          <w:tcPr>
            <w:tcW w:w="1099"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159"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1928" w:hRule="atLeast"/>
        </w:trPr>
        <w:tc>
          <w:tcPr>
            <w:tcW w:w="28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服务对象满意程度</w:t>
            </w:r>
          </w:p>
        </w:tc>
        <w:tc>
          <w:tcPr>
            <w:tcW w:w="49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w:t>
            </w:r>
            <w:r>
              <w:rPr>
                <w:rFonts w:ascii="宋体" w:hAnsi="宋体" w:cs="宋体"/>
                <w:color w:val="000000"/>
                <w:kern w:val="0"/>
                <w:sz w:val="20"/>
                <w:szCs w:val="20"/>
              </w:rPr>
              <w:t>95%</w:t>
            </w:r>
            <w:r>
              <w:rPr>
                <w:rFonts w:hint="eastAsia" w:ascii="宋体" w:hAnsi="宋体" w:cs="宋体"/>
                <w:color w:val="000000"/>
                <w:kern w:val="0"/>
                <w:sz w:val="20"/>
                <w:szCs w:val="20"/>
              </w:rPr>
              <w:t>以上</w:t>
            </w:r>
          </w:p>
        </w:tc>
        <w:tc>
          <w:tcPr>
            <w:tcW w:w="5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达到预期目标，资料需进一步完善</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w:t>
            </w:r>
          </w:p>
        </w:tc>
        <w:tc>
          <w:tcPr>
            <w:tcW w:w="301"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w:t>
            </w:r>
          </w:p>
        </w:tc>
        <w:tc>
          <w:tcPr>
            <w:tcW w:w="109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pPr>
        <w:ind w:firstLine="640" w:firstLineChars="200"/>
        <w:rPr>
          <w:rFonts w:ascii="仿宋_GB2312" w:eastAsia="仿宋_GB2312"/>
          <w:sz w:val="32"/>
          <w:szCs w:val="32"/>
        </w:rPr>
        <w:sectPr>
          <w:pgSz w:w="16838" w:h="11906" w:orient="landscape"/>
          <w:pgMar w:top="1797" w:right="1440" w:bottom="1797" w:left="1440" w:header="851" w:footer="992" w:gutter="0"/>
          <w:pgNumType w:fmt="numberInDash"/>
          <w:cols w:space="425" w:num="1"/>
          <w:docGrid w:type="lines" w:linePitch="312" w:charSpace="0"/>
        </w:sectPr>
      </w:pPr>
    </w:p>
    <w:tbl>
      <w:tblPr>
        <w:tblStyle w:val="18"/>
        <w:tblW w:w="5000" w:type="pct"/>
        <w:tblInd w:w="0" w:type="dxa"/>
        <w:tblLayout w:type="fixed"/>
        <w:tblCellMar>
          <w:top w:w="0" w:type="dxa"/>
          <w:left w:w="108" w:type="dxa"/>
          <w:bottom w:w="0" w:type="dxa"/>
          <w:right w:w="108" w:type="dxa"/>
        </w:tblCellMar>
      </w:tblPr>
      <w:tblGrid>
        <w:gridCol w:w="814"/>
        <w:gridCol w:w="995"/>
        <w:gridCol w:w="853"/>
        <w:gridCol w:w="1276"/>
        <w:gridCol w:w="1273"/>
        <w:gridCol w:w="709"/>
        <w:gridCol w:w="992"/>
        <w:gridCol w:w="2412"/>
        <w:gridCol w:w="4850"/>
      </w:tblGrid>
      <w:tr>
        <w:tblPrEx>
          <w:tblCellMar>
            <w:top w:w="0" w:type="dxa"/>
            <w:left w:w="108" w:type="dxa"/>
            <w:bottom w:w="0" w:type="dxa"/>
            <w:right w:w="108" w:type="dxa"/>
          </w:tblCellMar>
        </w:tblPrEx>
        <w:trPr>
          <w:trHeight w:val="483" w:hRule="atLeast"/>
          <w:tblHeader/>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443" w:hRule="atLeast"/>
          <w:tblHead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3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349"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71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35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Theme="minorEastAsia" w:hAnsiTheme="minorEastAsia" w:eastAsiaTheme="minorEastAsia"/>
                <w:color w:val="000000"/>
                <w:sz w:val="20"/>
                <w:szCs w:val="20"/>
              </w:rPr>
              <w:t>相关财务管理制度完整、规范</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49"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710"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28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49"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710"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14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4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会计基础信息真实、完整、准确</w:t>
            </w:r>
          </w:p>
        </w:tc>
        <w:tc>
          <w:tcPr>
            <w:tcW w:w="4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250" w:type="pct"/>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49"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50"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710" w:type="pct"/>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06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4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资产制度健全，管理规范</w:t>
            </w:r>
          </w:p>
        </w:tc>
        <w:tc>
          <w:tcPr>
            <w:tcW w:w="44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比较规范</w:t>
            </w:r>
          </w:p>
        </w:tc>
        <w:tc>
          <w:tcPr>
            <w:tcW w:w="2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4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3.5</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71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36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绩效管理规范，未发生目标偏离</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比较规范</w:t>
            </w:r>
          </w:p>
        </w:tc>
        <w:tc>
          <w:tcPr>
            <w:tcW w:w="2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49" w:type="pct"/>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3.5</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710"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624"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751" w:type="pct"/>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ascii="宋体" w:hAnsi="宋体" w:cs="宋体"/>
                <w:color w:val="000000"/>
                <w:kern w:val="0"/>
                <w:sz w:val="20"/>
                <w:szCs w:val="20"/>
              </w:rPr>
              <w:t>2</w:t>
            </w:r>
            <w:r>
              <w:rPr>
                <w:rFonts w:hint="eastAsia" w:ascii="宋体" w:hAnsi="宋体" w:cs="宋体"/>
                <w:color w:val="000000"/>
                <w:kern w:val="0"/>
                <w:sz w:val="20"/>
                <w:szCs w:val="20"/>
              </w:rPr>
              <w:t>年</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年</w:t>
            </w:r>
          </w:p>
        </w:tc>
        <w:tc>
          <w:tcPr>
            <w:tcW w:w="2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710" w:type="pct"/>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752"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结转</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结余</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率</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1" w:type="pct"/>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0.69%</w:t>
            </w:r>
          </w:p>
        </w:tc>
        <w:tc>
          <w:tcPr>
            <w:tcW w:w="4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1.12</w:t>
            </w:r>
            <w:r>
              <w:rPr>
                <w:rFonts w:ascii="宋体" w:hAnsi="宋体" w:cs="宋体"/>
                <w:color w:val="000000"/>
                <w:kern w:val="0"/>
                <w:sz w:val="20"/>
                <w:szCs w:val="20"/>
              </w:rPr>
              <w:t>%</w:t>
            </w:r>
          </w:p>
        </w:tc>
        <w:tc>
          <w:tcPr>
            <w:tcW w:w="2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49" w:type="pct"/>
            <w:tcBorders>
              <w:top w:val="nil"/>
              <w:left w:val="nil"/>
              <w:bottom w:val="single" w:color="auto" w:sz="4" w:space="0"/>
              <w:right w:val="nil"/>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4</w:t>
            </w:r>
          </w:p>
        </w:tc>
        <w:tc>
          <w:tcPr>
            <w:tcW w:w="850"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1710"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111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部门预决算差异率</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1" w:type="pct"/>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4.42%</w:t>
            </w:r>
          </w:p>
        </w:tc>
        <w:tc>
          <w:tcPr>
            <w:tcW w:w="449" w:type="pc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1.53</w:t>
            </w:r>
            <w:r>
              <w:rPr>
                <w:rFonts w:ascii="宋体" w:hAnsi="宋体" w:cs="宋体"/>
                <w:color w:val="000000"/>
                <w:kern w:val="0"/>
                <w:sz w:val="20"/>
                <w:szCs w:val="20"/>
              </w:rPr>
              <w:t>%</w:t>
            </w:r>
          </w:p>
        </w:tc>
        <w:tc>
          <w:tcPr>
            <w:tcW w:w="2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49" w:type="pct"/>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850"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710" w:type="pct"/>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1838"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合计</w:t>
            </w:r>
          </w:p>
        </w:tc>
        <w:tc>
          <w:tcPr>
            <w:tcW w:w="250" w:type="pct"/>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100</w:t>
            </w:r>
          </w:p>
        </w:tc>
        <w:tc>
          <w:tcPr>
            <w:tcW w:w="349" w:type="pct"/>
            <w:tcBorders>
              <w:top w:val="nil"/>
              <w:left w:val="nil"/>
              <w:bottom w:val="single" w:color="auto" w:sz="4" w:space="0"/>
              <w:right w:val="nil"/>
            </w:tcBorders>
            <w:vAlign w:val="center"/>
          </w:tcPr>
          <w:p>
            <w:pPr>
              <w:widowControl/>
              <w:jc w:val="center"/>
              <w:rPr>
                <w:rFonts w:hint="default" w:cs="宋体" w:asciiTheme="minorEastAsia" w:hAnsiTheme="minorEastAsia" w:eastAsiaTheme="minorEastAsia"/>
                <w:b/>
                <w:color w:val="000000"/>
                <w:kern w:val="0"/>
                <w:sz w:val="20"/>
                <w:szCs w:val="20"/>
                <w:lang w:val="en-US" w:eastAsia="zh-CN"/>
              </w:rPr>
            </w:pPr>
            <w:r>
              <w:rPr>
                <w:rFonts w:hint="eastAsia" w:cs="宋体" w:asciiTheme="minorEastAsia" w:hAnsiTheme="minorEastAsia" w:eastAsiaTheme="minorEastAsia"/>
                <w:b/>
                <w:color w:val="000000"/>
                <w:kern w:val="0"/>
                <w:sz w:val="20"/>
                <w:szCs w:val="20"/>
                <w:lang w:val="en-US" w:eastAsia="zh-CN"/>
              </w:rPr>
              <w:t>90.80</w:t>
            </w:r>
          </w:p>
        </w:tc>
        <w:tc>
          <w:tcPr>
            <w:tcW w:w="2561" w:type="pct"/>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　</w:t>
            </w:r>
          </w:p>
        </w:tc>
      </w:tr>
    </w:tbl>
    <w:p>
      <w:pPr>
        <w:ind w:firstLine="640" w:firstLineChars="200"/>
        <w:rPr>
          <w:rFonts w:ascii="仿宋_GB2312" w:eastAsia="仿宋_GB2312"/>
          <w:sz w:val="32"/>
          <w:szCs w:val="32"/>
        </w:rPr>
      </w:pPr>
    </w:p>
    <w:sectPr>
      <w:pgSz w:w="16838" w:h="11906" w:orient="landscape"/>
      <w:pgMar w:top="1797" w:right="1440" w:bottom="1797"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1"/>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1"/>
                      <w:jc w:val="right"/>
                    </w:pP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1801"/>
      <w:docPartObj>
        <w:docPartGallery w:val="autotext"/>
      </w:docPartObj>
    </w:sdtPr>
    <w:sdtContent>
      <w:p>
        <w:pPr>
          <w:pStyle w:val="11"/>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11</w:t>
        </w:r>
        <w:r>
          <w:rPr>
            <w:rFonts w:ascii="宋体" w:hAnsi="宋体"/>
            <w:sz w:val="28"/>
            <w:szCs w:val="28"/>
          </w:rP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742AD7"/>
    <w:multiLevelType w:val="multilevel"/>
    <w:tmpl w:val="5B742AD7"/>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pStyle w:val="4"/>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ZmNhZmMwYTRkMzdjNDc0ZDBiODA4ZTNmNjg2YzYifQ=="/>
  </w:docVars>
  <w:rsids>
    <w:rsidRoot w:val="50B81F77"/>
    <w:rsid w:val="00024B7C"/>
    <w:rsid w:val="000343D5"/>
    <w:rsid w:val="00061132"/>
    <w:rsid w:val="00077C5F"/>
    <w:rsid w:val="00077DF0"/>
    <w:rsid w:val="00080E50"/>
    <w:rsid w:val="00097644"/>
    <w:rsid w:val="000A05CA"/>
    <w:rsid w:val="000B37EA"/>
    <w:rsid w:val="000B768F"/>
    <w:rsid w:val="000B7C3F"/>
    <w:rsid w:val="000C13B2"/>
    <w:rsid w:val="000C5A25"/>
    <w:rsid w:val="000E5EE7"/>
    <w:rsid w:val="000E6B49"/>
    <w:rsid w:val="000F55E9"/>
    <w:rsid w:val="00104BB7"/>
    <w:rsid w:val="001065B1"/>
    <w:rsid w:val="001345FE"/>
    <w:rsid w:val="00143F5C"/>
    <w:rsid w:val="00154105"/>
    <w:rsid w:val="001673CC"/>
    <w:rsid w:val="00170175"/>
    <w:rsid w:val="001A7A7A"/>
    <w:rsid w:val="001F5078"/>
    <w:rsid w:val="00212B44"/>
    <w:rsid w:val="00220E6A"/>
    <w:rsid w:val="00223AA1"/>
    <w:rsid w:val="00225388"/>
    <w:rsid w:val="0023203C"/>
    <w:rsid w:val="00240CEB"/>
    <w:rsid w:val="00243EC4"/>
    <w:rsid w:val="00244D43"/>
    <w:rsid w:val="00245E8F"/>
    <w:rsid w:val="00246DE0"/>
    <w:rsid w:val="0025027E"/>
    <w:rsid w:val="00250534"/>
    <w:rsid w:val="002557C6"/>
    <w:rsid w:val="00262901"/>
    <w:rsid w:val="00265291"/>
    <w:rsid w:val="002711E6"/>
    <w:rsid w:val="0027134D"/>
    <w:rsid w:val="002857DF"/>
    <w:rsid w:val="0029611F"/>
    <w:rsid w:val="002A49E6"/>
    <w:rsid w:val="002B1957"/>
    <w:rsid w:val="002B6C59"/>
    <w:rsid w:val="002D211B"/>
    <w:rsid w:val="002E4EF9"/>
    <w:rsid w:val="002F5126"/>
    <w:rsid w:val="00301AB4"/>
    <w:rsid w:val="003300EC"/>
    <w:rsid w:val="00334E41"/>
    <w:rsid w:val="00336085"/>
    <w:rsid w:val="00347A0C"/>
    <w:rsid w:val="0035539D"/>
    <w:rsid w:val="0038515F"/>
    <w:rsid w:val="0039116C"/>
    <w:rsid w:val="003A46D5"/>
    <w:rsid w:val="003A7A9A"/>
    <w:rsid w:val="003B36B0"/>
    <w:rsid w:val="003B6123"/>
    <w:rsid w:val="003C105A"/>
    <w:rsid w:val="003D3D14"/>
    <w:rsid w:val="003D4086"/>
    <w:rsid w:val="003D7E32"/>
    <w:rsid w:val="003E4B0C"/>
    <w:rsid w:val="003F1BCD"/>
    <w:rsid w:val="004069DD"/>
    <w:rsid w:val="00410A79"/>
    <w:rsid w:val="004138AC"/>
    <w:rsid w:val="00416CF0"/>
    <w:rsid w:val="004200A4"/>
    <w:rsid w:val="0042385A"/>
    <w:rsid w:val="00447205"/>
    <w:rsid w:val="00466793"/>
    <w:rsid w:val="004A28B4"/>
    <w:rsid w:val="004B0BD6"/>
    <w:rsid w:val="004E0E1A"/>
    <w:rsid w:val="004E1638"/>
    <w:rsid w:val="004F67AA"/>
    <w:rsid w:val="00503897"/>
    <w:rsid w:val="00551F06"/>
    <w:rsid w:val="00563E3D"/>
    <w:rsid w:val="00571275"/>
    <w:rsid w:val="0057198E"/>
    <w:rsid w:val="0058466E"/>
    <w:rsid w:val="00592F97"/>
    <w:rsid w:val="005B4E8F"/>
    <w:rsid w:val="005C1A43"/>
    <w:rsid w:val="005C6962"/>
    <w:rsid w:val="005D12E6"/>
    <w:rsid w:val="005D191B"/>
    <w:rsid w:val="005E2798"/>
    <w:rsid w:val="005F06CD"/>
    <w:rsid w:val="0060457D"/>
    <w:rsid w:val="006137BB"/>
    <w:rsid w:val="00621379"/>
    <w:rsid w:val="00622798"/>
    <w:rsid w:val="006245BC"/>
    <w:rsid w:val="0063758F"/>
    <w:rsid w:val="006417AD"/>
    <w:rsid w:val="00645FB7"/>
    <w:rsid w:val="0064711C"/>
    <w:rsid w:val="00660D62"/>
    <w:rsid w:val="0066139A"/>
    <w:rsid w:val="006624A6"/>
    <w:rsid w:val="0066683C"/>
    <w:rsid w:val="00666CE2"/>
    <w:rsid w:val="006717EE"/>
    <w:rsid w:val="0067403D"/>
    <w:rsid w:val="00680338"/>
    <w:rsid w:val="006851B6"/>
    <w:rsid w:val="00685F43"/>
    <w:rsid w:val="006862E7"/>
    <w:rsid w:val="006865E1"/>
    <w:rsid w:val="006A5CB6"/>
    <w:rsid w:val="006A6A3A"/>
    <w:rsid w:val="006C1238"/>
    <w:rsid w:val="006C2106"/>
    <w:rsid w:val="006D711A"/>
    <w:rsid w:val="006F594C"/>
    <w:rsid w:val="00706E0A"/>
    <w:rsid w:val="00707B7F"/>
    <w:rsid w:val="00725CD3"/>
    <w:rsid w:val="0072731D"/>
    <w:rsid w:val="0074611E"/>
    <w:rsid w:val="00764B09"/>
    <w:rsid w:val="00766626"/>
    <w:rsid w:val="0077196A"/>
    <w:rsid w:val="00784B92"/>
    <w:rsid w:val="007B255C"/>
    <w:rsid w:val="007C3060"/>
    <w:rsid w:val="007C3755"/>
    <w:rsid w:val="007C377D"/>
    <w:rsid w:val="007D0DC9"/>
    <w:rsid w:val="007E3357"/>
    <w:rsid w:val="007E3539"/>
    <w:rsid w:val="00806527"/>
    <w:rsid w:val="0082167E"/>
    <w:rsid w:val="00833739"/>
    <w:rsid w:val="00833A5E"/>
    <w:rsid w:val="00852FF7"/>
    <w:rsid w:val="0088734D"/>
    <w:rsid w:val="00891324"/>
    <w:rsid w:val="008A01A8"/>
    <w:rsid w:val="008B45C0"/>
    <w:rsid w:val="008B6A2D"/>
    <w:rsid w:val="008D1C6B"/>
    <w:rsid w:val="008D57FA"/>
    <w:rsid w:val="008E5090"/>
    <w:rsid w:val="008E6BB9"/>
    <w:rsid w:val="008F129B"/>
    <w:rsid w:val="008F5437"/>
    <w:rsid w:val="0093165B"/>
    <w:rsid w:val="00947BAF"/>
    <w:rsid w:val="0096124E"/>
    <w:rsid w:val="00965889"/>
    <w:rsid w:val="009677AC"/>
    <w:rsid w:val="009706F4"/>
    <w:rsid w:val="009722DD"/>
    <w:rsid w:val="00986798"/>
    <w:rsid w:val="00990030"/>
    <w:rsid w:val="009972A8"/>
    <w:rsid w:val="009D5FCB"/>
    <w:rsid w:val="00A15061"/>
    <w:rsid w:val="00A276E1"/>
    <w:rsid w:val="00A27D9F"/>
    <w:rsid w:val="00A3204B"/>
    <w:rsid w:val="00A55B91"/>
    <w:rsid w:val="00A7016B"/>
    <w:rsid w:val="00A723D8"/>
    <w:rsid w:val="00A80DD4"/>
    <w:rsid w:val="00AA18CE"/>
    <w:rsid w:val="00AA7ACF"/>
    <w:rsid w:val="00AB59E0"/>
    <w:rsid w:val="00AB7AC9"/>
    <w:rsid w:val="00AE6AE0"/>
    <w:rsid w:val="00B13811"/>
    <w:rsid w:val="00B22E82"/>
    <w:rsid w:val="00B36E25"/>
    <w:rsid w:val="00B41013"/>
    <w:rsid w:val="00B52D5F"/>
    <w:rsid w:val="00B65F15"/>
    <w:rsid w:val="00B67AD7"/>
    <w:rsid w:val="00B764EC"/>
    <w:rsid w:val="00B8324E"/>
    <w:rsid w:val="00B94CA5"/>
    <w:rsid w:val="00BA7A84"/>
    <w:rsid w:val="00BC3850"/>
    <w:rsid w:val="00BD28AD"/>
    <w:rsid w:val="00BD3100"/>
    <w:rsid w:val="00BE176D"/>
    <w:rsid w:val="00BE2F97"/>
    <w:rsid w:val="00BE76B7"/>
    <w:rsid w:val="00BF19DF"/>
    <w:rsid w:val="00C079C7"/>
    <w:rsid w:val="00C1272C"/>
    <w:rsid w:val="00C136CA"/>
    <w:rsid w:val="00C21492"/>
    <w:rsid w:val="00C264B0"/>
    <w:rsid w:val="00C50E07"/>
    <w:rsid w:val="00C530A4"/>
    <w:rsid w:val="00C70971"/>
    <w:rsid w:val="00C85118"/>
    <w:rsid w:val="00CB0FD2"/>
    <w:rsid w:val="00CB7591"/>
    <w:rsid w:val="00CD4643"/>
    <w:rsid w:val="00CD70BB"/>
    <w:rsid w:val="00CF522A"/>
    <w:rsid w:val="00D05BB1"/>
    <w:rsid w:val="00D207A2"/>
    <w:rsid w:val="00D238D7"/>
    <w:rsid w:val="00D3788D"/>
    <w:rsid w:val="00D379EC"/>
    <w:rsid w:val="00D414D9"/>
    <w:rsid w:val="00D45C31"/>
    <w:rsid w:val="00D61959"/>
    <w:rsid w:val="00D61DF6"/>
    <w:rsid w:val="00D7432D"/>
    <w:rsid w:val="00D91C43"/>
    <w:rsid w:val="00D92AB0"/>
    <w:rsid w:val="00DD4018"/>
    <w:rsid w:val="00E175D6"/>
    <w:rsid w:val="00E22C82"/>
    <w:rsid w:val="00E335FF"/>
    <w:rsid w:val="00E4110D"/>
    <w:rsid w:val="00E46E12"/>
    <w:rsid w:val="00E51F8E"/>
    <w:rsid w:val="00E63AE8"/>
    <w:rsid w:val="00EB1364"/>
    <w:rsid w:val="00EB2CA5"/>
    <w:rsid w:val="00EB3CF4"/>
    <w:rsid w:val="00EB4A82"/>
    <w:rsid w:val="00EB715A"/>
    <w:rsid w:val="00EC1383"/>
    <w:rsid w:val="00EC4ACD"/>
    <w:rsid w:val="00F012F1"/>
    <w:rsid w:val="00F04E85"/>
    <w:rsid w:val="00F1510C"/>
    <w:rsid w:val="00F159AB"/>
    <w:rsid w:val="00F16FE5"/>
    <w:rsid w:val="00F201C2"/>
    <w:rsid w:val="00F34246"/>
    <w:rsid w:val="00F347B4"/>
    <w:rsid w:val="00F4279F"/>
    <w:rsid w:val="00F51FA0"/>
    <w:rsid w:val="00F62410"/>
    <w:rsid w:val="00F70D5D"/>
    <w:rsid w:val="00F75FE5"/>
    <w:rsid w:val="00F84DA4"/>
    <w:rsid w:val="00F85EC4"/>
    <w:rsid w:val="00F90140"/>
    <w:rsid w:val="00FB55E9"/>
    <w:rsid w:val="00FB5CF8"/>
    <w:rsid w:val="00FD11F7"/>
    <w:rsid w:val="00FD1D14"/>
    <w:rsid w:val="00FD7709"/>
    <w:rsid w:val="00FE4AA5"/>
    <w:rsid w:val="00FE6A00"/>
    <w:rsid w:val="00FF124B"/>
    <w:rsid w:val="00FF53B0"/>
    <w:rsid w:val="014823B5"/>
    <w:rsid w:val="01881C61"/>
    <w:rsid w:val="02A16CBD"/>
    <w:rsid w:val="030A1EBA"/>
    <w:rsid w:val="0330303F"/>
    <w:rsid w:val="03E557F1"/>
    <w:rsid w:val="0451471F"/>
    <w:rsid w:val="05AE7C5F"/>
    <w:rsid w:val="05EC7475"/>
    <w:rsid w:val="060B7F37"/>
    <w:rsid w:val="064447C8"/>
    <w:rsid w:val="072864CD"/>
    <w:rsid w:val="07A105A9"/>
    <w:rsid w:val="07B43F22"/>
    <w:rsid w:val="0821042B"/>
    <w:rsid w:val="08A56EF9"/>
    <w:rsid w:val="0A5A2327"/>
    <w:rsid w:val="0B845EE1"/>
    <w:rsid w:val="0D8462D2"/>
    <w:rsid w:val="0D984ECC"/>
    <w:rsid w:val="0E327EF1"/>
    <w:rsid w:val="0E664144"/>
    <w:rsid w:val="0F4C5447"/>
    <w:rsid w:val="0F625791"/>
    <w:rsid w:val="0FE2689B"/>
    <w:rsid w:val="0FFB3CB9"/>
    <w:rsid w:val="10AF2C82"/>
    <w:rsid w:val="11151690"/>
    <w:rsid w:val="124F1731"/>
    <w:rsid w:val="14122739"/>
    <w:rsid w:val="14E34E1F"/>
    <w:rsid w:val="15AF5132"/>
    <w:rsid w:val="15B34F99"/>
    <w:rsid w:val="164D7660"/>
    <w:rsid w:val="16D96D94"/>
    <w:rsid w:val="16E22085"/>
    <w:rsid w:val="195F2692"/>
    <w:rsid w:val="1AB54F20"/>
    <w:rsid w:val="1B4A1EFB"/>
    <w:rsid w:val="1B8608F1"/>
    <w:rsid w:val="1B894534"/>
    <w:rsid w:val="1BC1139B"/>
    <w:rsid w:val="1CBA0FA6"/>
    <w:rsid w:val="1D2049D2"/>
    <w:rsid w:val="1E1F4823"/>
    <w:rsid w:val="1E3540BB"/>
    <w:rsid w:val="1E8B615F"/>
    <w:rsid w:val="1EB71A80"/>
    <w:rsid w:val="1ED95739"/>
    <w:rsid w:val="1F77153E"/>
    <w:rsid w:val="1F926C26"/>
    <w:rsid w:val="206C4E40"/>
    <w:rsid w:val="21350F58"/>
    <w:rsid w:val="21515666"/>
    <w:rsid w:val="216775E7"/>
    <w:rsid w:val="217575A6"/>
    <w:rsid w:val="21C3177B"/>
    <w:rsid w:val="22E17A1D"/>
    <w:rsid w:val="23273C7D"/>
    <w:rsid w:val="235B35F1"/>
    <w:rsid w:val="24437A70"/>
    <w:rsid w:val="246F652F"/>
    <w:rsid w:val="24CB371F"/>
    <w:rsid w:val="27332C2A"/>
    <w:rsid w:val="276E6F72"/>
    <w:rsid w:val="28453634"/>
    <w:rsid w:val="2A63024B"/>
    <w:rsid w:val="2B714393"/>
    <w:rsid w:val="2B877489"/>
    <w:rsid w:val="2D113431"/>
    <w:rsid w:val="2D980C84"/>
    <w:rsid w:val="2E9D1E16"/>
    <w:rsid w:val="2ECF331B"/>
    <w:rsid w:val="2EFA7FF7"/>
    <w:rsid w:val="2F2844FF"/>
    <w:rsid w:val="2FF264CA"/>
    <w:rsid w:val="2FF65D0E"/>
    <w:rsid w:val="313C55A7"/>
    <w:rsid w:val="31963EAA"/>
    <w:rsid w:val="31BE463D"/>
    <w:rsid w:val="31C11809"/>
    <w:rsid w:val="31CF41A3"/>
    <w:rsid w:val="323C07B1"/>
    <w:rsid w:val="32680122"/>
    <w:rsid w:val="331A0154"/>
    <w:rsid w:val="3381680B"/>
    <w:rsid w:val="33900270"/>
    <w:rsid w:val="339621EC"/>
    <w:rsid w:val="342860EE"/>
    <w:rsid w:val="35810AB0"/>
    <w:rsid w:val="36106535"/>
    <w:rsid w:val="36531ABF"/>
    <w:rsid w:val="36FD1717"/>
    <w:rsid w:val="37712166"/>
    <w:rsid w:val="386572B7"/>
    <w:rsid w:val="38A77AF0"/>
    <w:rsid w:val="39406320"/>
    <w:rsid w:val="39414E65"/>
    <w:rsid w:val="39665681"/>
    <w:rsid w:val="39783C80"/>
    <w:rsid w:val="3C0276E9"/>
    <w:rsid w:val="3C435511"/>
    <w:rsid w:val="3D260FCF"/>
    <w:rsid w:val="3DD671C7"/>
    <w:rsid w:val="3DED4354"/>
    <w:rsid w:val="3E2113E1"/>
    <w:rsid w:val="3EA91EE4"/>
    <w:rsid w:val="400B3158"/>
    <w:rsid w:val="40621D3A"/>
    <w:rsid w:val="40D24DE9"/>
    <w:rsid w:val="41D33381"/>
    <w:rsid w:val="42122635"/>
    <w:rsid w:val="42A35D7B"/>
    <w:rsid w:val="42A82053"/>
    <w:rsid w:val="43D02240"/>
    <w:rsid w:val="44AB315B"/>
    <w:rsid w:val="456E7D4F"/>
    <w:rsid w:val="457222A0"/>
    <w:rsid w:val="45943BE9"/>
    <w:rsid w:val="45B000DB"/>
    <w:rsid w:val="45E575E4"/>
    <w:rsid w:val="471D19C3"/>
    <w:rsid w:val="472B4068"/>
    <w:rsid w:val="47E52BD3"/>
    <w:rsid w:val="482164EA"/>
    <w:rsid w:val="491C5E3D"/>
    <w:rsid w:val="4936721E"/>
    <w:rsid w:val="4AFE13C7"/>
    <w:rsid w:val="4C7B3413"/>
    <w:rsid w:val="4C96280B"/>
    <w:rsid w:val="4CA77E00"/>
    <w:rsid w:val="4E1C29D4"/>
    <w:rsid w:val="4E9F27E0"/>
    <w:rsid w:val="4F275BC9"/>
    <w:rsid w:val="505D700F"/>
    <w:rsid w:val="507C59AC"/>
    <w:rsid w:val="50B81F77"/>
    <w:rsid w:val="520E7E19"/>
    <w:rsid w:val="52936F6B"/>
    <w:rsid w:val="52C918B9"/>
    <w:rsid w:val="54563576"/>
    <w:rsid w:val="54C43C63"/>
    <w:rsid w:val="54CE5760"/>
    <w:rsid w:val="55564A1D"/>
    <w:rsid w:val="56063278"/>
    <w:rsid w:val="560D4785"/>
    <w:rsid w:val="56104CB4"/>
    <w:rsid w:val="561646CF"/>
    <w:rsid w:val="57172DEE"/>
    <w:rsid w:val="579E1B0E"/>
    <w:rsid w:val="57EE37CB"/>
    <w:rsid w:val="589B4392"/>
    <w:rsid w:val="58B54896"/>
    <w:rsid w:val="596908C2"/>
    <w:rsid w:val="5AE27BD7"/>
    <w:rsid w:val="5B596A04"/>
    <w:rsid w:val="5B66154C"/>
    <w:rsid w:val="5BFE17A4"/>
    <w:rsid w:val="5C1850F2"/>
    <w:rsid w:val="5CBC6C23"/>
    <w:rsid w:val="5CF633A1"/>
    <w:rsid w:val="5E341674"/>
    <w:rsid w:val="604D7335"/>
    <w:rsid w:val="60A307F7"/>
    <w:rsid w:val="61F902DB"/>
    <w:rsid w:val="6206454D"/>
    <w:rsid w:val="62B72874"/>
    <w:rsid w:val="634E31D8"/>
    <w:rsid w:val="651E0E4B"/>
    <w:rsid w:val="6635713E"/>
    <w:rsid w:val="66D659BE"/>
    <w:rsid w:val="671E1113"/>
    <w:rsid w:val="675D1C3B"/>
    <w:rsid w:val="67AA53C7"/>
    <w:rsid w:val="682E1CAA"/>
    <w:rsid w:val="69185A3F"/>
    <w:rsid w:val="6940454A"/>
    <w:rsid w:val="69C02731"/>
    <w:rsid w:val="6A3C5B3C"/>
    <w:rsid w:val="6AC33EA4"/>
    <w:rsid w:val="6B477836"/>
    <w:rsid w:val="6BA254AB"/>
    <w:rsid w:val="6BD76143"/>
    <w:rsid w:val="6C0F73CC"/>
    <w:rsid w:val="6C2D19BE"/>
    <w:rsid w:val="6C362DBD"/>
    <w:rsid w:val="6C5353B7"/>
    <w:rsid w:val="6DEF3809"/>
    <w:rsid w:val="6E2F3E63"/>
    <w:rsid w:val="6F173E64"/>
    <w:rsid w:val="6F9306DC"/>
    <w:rsid w:val="6FC6089A"/>
    <w:rsid w:val="70934B20"/>
    <w:rsid w:val="70A1163F"/>
    <w:rsid w:val="71480EE3"/>
    <w:rsid w:val="723A1A86"/>
    <w:rsid w:val="730A75B3"/>
    <w:rsid w:val="74D57EF3"/>
    <w:rsid w:val="755157DC"/>
    <w:rsid w:val="7718641E"/>
    <w:rsid w:val="77366C1A"/>
    <w:rsid w:val="79852DE6"/>
    <w:rsid w:val="7A2A50F4"/>
    <w:rsid w:val="7A7A3098"/>
    <w:rsid w:val="7C2B2981"/>
    <w:rsid w:val="7CBB531D"/>
    <w:rsid w:val="7CC77E2B"/>
    <w:rsid w:val="7E6E2FF9"/>
    <w:rsid w:val="7EC11FCF"/>
    <w:rsid w:val="7F890545"/>
    <w:rsid w:val="7F901E03"/>
    <w:rsid w:val="7FC87A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autoRedefine/>
    <w:qFormat/>
    <w:uiPriority w:val="0"/>
    <w:pPr>
      <w:keepNext/>
      <w:keepLines/>
      <w:numPr>
        <w:ilvl w:val="3"/>
        <w:numId w:val="1"/>
      </w:numPr>
      <w:spacing w:before="280" w:after="290" w:line="374" w:lineRule="auto"/>
      <w:outlineLvl w:val="3"/>
    </w:pPr>
    <w:rPr>
      <w:rFonts w:ascii="Arial" w:hAnsi="Arial" w:eastAsia="黑体"/>
      <w:b/>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9"/>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Body Text Indent"/>
    <w:basedOn w:val="1"/>
    <w:next w:val="1"/>
    <w:autoRedefine/>
    <w:qFormat/>
    <w:uiPriority w:val="0"/>
    <w:pPr>
      <w:spacing w:line="540" w:lineRule="exact"/>
      <w:ind w:firstLine="640" w:firstLineChars="200"/>
    </w:pPr>
    <w:rPr>
      <w:rFonts w:ascii="仿宋_GB2312" w:eastAsia="仿宋_GB2312"/>
      <w:sz w:val="32"/>
    </w:rPr>
  </w:style>
  <w:style w:type="paragraph" w:styleId="8">
    <w:name w:val="Block Text"/>
    <w:basedOn w:val="1"/>
    <w:autoRedefine/>
    <w:qFormat/>
    <w:uiPriority w:val="0"/>
    <w:pPr>
      <w:spacing w:after="120"/>
      <w:ind w:left="1440" w:leftChars="700" w:right="1440" w:rightChars="700"/>
    </w:pPr>
  </w:style>
  <w:style w:type="paragraph" w:styleId="9">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10">
    <w:name w:val="Balloon Text"/>
    <w:basedOn w:val="1"/>
    <w:link w:val="32"/>
    <w:autoRedefine/>
    <w:qFormat/>
    <w:uiPriority w:val="0"/>
    <w:rPr>
      <w:sz w:val="18"/>
      <w:szCs w:val="18"/>
    </w:rPr>
  </w:style>
  <w:style w:type="paragraph" w:styleId="11">
    <w:name w:val="footer"/>
    <w:basedOn w:val="1"/>
    <w:link w:val="31"/>
    <w:autoRedefine/>
    <w:qFormat/>
    <w:uiPriority w:val="99"/>
    <w:pPr>
      <w:tabs>
        <w:tab w:val="center" w:pos="4153"/>
        <w:tab w:val="right" w:pos="8306"/>
      </w:tabs>
      <w:snapToGrid w:val="0"/>
      <w:jc w:val="left"/>
    </w:pPr>
    <w:rPr>
      <w:sz w:val="18"/>
      <w:szCs w:val="20"/>
    </w:rPr>
  </w:style>
  <w:style w:type="paragraph" w:styleId="12">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4">
    <w:name w:val="toc 2"/>
    <w:basedOn w:val="1"/>
    <w:next w:val="1"/>
    <w:autoRedefine/>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5">
    <w:name w:val="Normal (Web)"/>
    <w:basedOn w:val="1"/>
    <w:autoRedefine/>
    <w:qFormat/>
    <w:uiPriority w:val="0"/>
    <w:pPr>
      <w:spacing w:beforeAutospacing="1" w:afterAutospacing="1"/>
      <w:jc w:val="left"/>
    </w:pPr>
    <w:rPr>
      <w:kern w:val="0"/>
      <w:sz w:val="24"/>
    </w:rPr>
  </w:style>
  <w:style w:type="paragraph" w:styleId="16">
    <w:name w:val="annotation subject"/>
    <w:basedOn w:val="5"/>
    <w:next w:val="5"/>
    <w:link w:val="30"/>
    <w:autoRedefine/>
    <w:qFormat/>
    <w:uiPriority w:val="0"/>
    <w:rPr>
      <w:b/>
      <w:bCs/>
    </w:rPr>
  </w:style>
  <w:style w:type="paragraph" w:styleId="17">
    <w:name w:val="Body Text First Indent 2"/>
    <w:basedOn w:val="7"/>
    <w:next w:val="7"/>
    <w:autoRedefine/>
    <w:qFormat/>
    <w:uiPriority w:val="0"/>
    <w:pPr>
      <w:spacing w:after="120" w:line="240" w:lineRule="auto"/>
      <w:ind w:left="420" w:leftChars="200" w:firstLine="420"/>
    </w:pPr>
    <w:rPr>
      <w:sz w:val="21"/>
    </w:rPr>
  </w:style>
  <w:style w:type="character" w:styleId="20">
    <w:name w:val="Hyperlink"/>
    <w:basedOn w:val="19"/>
    <w:autoRedefine/>
    <w:unhideWhenUsed/>
    <w:qFormat/>
    <w:uiPriority w:val="99"/>
    <w:rPr>
      <w:color w:val="0563C1" w:themeColor="hyperlink"/>
      <w:u w:val="single"/>
      <w14:textFill>
        <w14:solidFill>
          <w14:schemeClr w14:val="hlink"/>
        </w14:solidFill>
      </w14:textFill>
    </w:rPr>
  </w:style>
  <w:style w:type="character" w:styleId="21">
    <w:name w:val="annotation reference"/>
    <w:basedOn w:val="19"/>
    <w:autoRedefine/>
    <w:qFormat/>
    <w:uiPriority w:val="0"/>
    <w:rPr>
      <w:sz w:val="21"/>
      <w:szCs w:val="21"/>
    </w:rPr>
  </w:style>
  <w:style w:type="character" w:customStyle="1" w:styleId="22">
    <w:name w:val="页眉 Char"/>
    <w:basedOn w:val="19"/>
    <w:link w:val="12"/>
    <w:autoRedefine/>
    <w:qFormat/>
    <w:uiPriority w:val="0"/>
    <w:rPr>
      <w:rFonts w:ascii="Times New Roman" w:hAnsi="Times New Roman" w:eastAsia="宋体" w:cs="Times New Roman"/>
      <w:kern w:val="2"/>
      <w:sz w:val="18"/>
      <w:szCs w:val="18"/>
    </w:rPr>
  </w:style>
  <w:style w:type="paragraph" w:styleId="23">
    <w:name w:val="List Paragraph"/>
    <w:basedOn w:val="1"/>
    <w:autoRedefine/>
    <w:qFormat/>
    <w:uiPriority w:val="99"/>
    <w:pPr>
      <w:ind w:firstLine="420" w:firstLineChars="200"/>
    </w:pPr>
  </w:style>
  <w:style w:type="paragraph" w:customStyle="1" w:styleId="24">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25">
    <w:name w:val="标题 1 Char"/>
    <w:basedOn w:val="19"/>
    <w:link w:val="2"/>
    <w:autoRedefine/>
    <w:qFormat/>
    <w:uiPriority w:val="0"/>
    <w:rPr>
      <w:b/>
      <w:bCs/>
      <w:kern w:val="44"/>
      <w:sz w:val="44"/>
      <w:szCs w:val="44"/>
    </w:rPr>
  </w:style>
  <w:style w:type="paragraph" w:customStyle="1" w:styleId="26">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7">
    <w:name w:val="font31"/>
    <w:basedOn w:val="19"/>
    <w:autoRedefine/>
    <w:qFormat/>
    <w:uiPriority w:val="0"/>
    <w:rPr>
      <w:rFonts w:hint="eastAsia" w:ascii="仿宋_GB2312" w:eastAsia="仿宋_GB2312" w:cs="仿宋_GB2312"/>
      <w:color w:val="0070C0"/>
      <w:sz w:val="22"/>
      <w:szCs w:val="22"/>
      <w:u w:val="none"/>
    </w:rPr>
  </w:style>
  <w:style w:type="paragraph" w:customStyle="1" w:styleId="28">
    <w:name w:val="Revision"/>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29">
    <w:name w:val="批注文字 Char"/>
    <w:basedOn w:val="19"/>
    <w:link w:val="5"/>
    <w:autoRedefine/>
    <w:qFormat/>
    <w:uiPriority w:val="0"/>
    <w:rPr>
      <w:kern w:val="2"/>
      <w:sz w:val="21"/>
      <w:szCs w:val="24"/>
    </w:rPr>
  </w:style>
  <w:style w:type="character" w:customStyle="1" w:styleId="30">
    <w:name w:val="批注主题 Char"/>
    <w:basedOn w:val="29"/>
    <w:link w:val="16"/>
    <w:autoRedefine/>
    <w:qFormat/>
    <w:uiPriority w:val="0"/>
    <w:rPr>
      <w:b/>
      <w:bCs/>
      <w:kern w:val="2"/>
      <w:sz w:val="21"/>
      <w:szCs w:val="24"/>
    </w:rPr>
  </w:style>
  <w:style w:type="character" w:customStyle="1" w:styleId="31">
    <w:name w:val="页脚 Char"/>
    <w:basedOn w:val="19"/>
    <w:link w:val="11"/>
    <w:autoRedefine/>
    <w:qFormat/>
    <w:uiPriority w:val="99"/>
    <w:rPr>
      <w:kern w:val="2"/>
      <w:sz w:val="18"/>
    </w:rPr>
  </w:style>
  <w:style w:type="character" w:customStyle="1" w:styleId="32">
    <w:name w:val="批注框文本 Char"/>
    <w:basedOn w:val="19"/>
    <w:link w:val="10"/>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46377-C200-4ED3-A3E9-651EA9775EF9}">
  <ds:schemaRefs/>
</ds:datastoreItem>
</file>

<file path=docProps/app.xml><?xml version="1.0" encoding="utf-8"?>
<Properties xmlns="http://schemas.openxmlformats.org/officeDocument/2006/extended-properties" xmlns:vt="http://schemas.openxmlformats.org/officeDocument/2006/docPropsVTypes">
  <Template>Normal</Template>
  <Pages>22</Pages>
  <Words>1816</Words>
  <Characters>10352</Characters>
  <Lines>86</Lines>
  <Paragraphs>24</Paragraphs>
  <TotalTime>168</TotalTime>
  <ScaleCrop>false</ScaleCrop>
  <LinksUpToDate>false</LinksUpToDate>
  <CharactersWithSpaces>12144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2023-05-24T06:41:00Z</dcterms:created>
  <dc:creator>肆月</dc:creator>
  <cp:lastModifiedBy>皮皮&amp;鬧鬧</cp:lastModifiedBy>
  <dcterms:modified xsi:type="dcterms:W3CDTF">2024-05-17T08:15:08Z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F8B58C948D134B59A79B8BAE580409C6_13</vt:lpwstr>
  </property>
</Properties>
</file>