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07" w:rsidRDefault="00574907">
      <w:pPr>
        <w:spacing w:line="360" w:lineRule="auto"/>
        <w:jc w:val="center"/>
        <w:rPr>
          <w:rFonts w:ascii="仿宋_GB2312" w:eastAsia="黑体"/>
          <w:b/>
          <w:bCs/>
          <w:sz w:val="36"/>
          <w:szCs w:val="36"/>
        </w:rPr>
      </w:pPr>
    </w:p>
    <w:p w:rsidR="00574907" w:rsidRDefault="00574907">
      <w:pPr>
        <w:spacing w:line="360" w:lineRule="auto"/>
        <w:jc w:val="center"/>
        <w:rPr>
          <w:rFonts w:ascii="仿宋_GB2312" w:eastAsia="黑体"/>
          <w:b/>
          <w:bCs/>
          <w:sz w:val="36"/>
          <w:szCs w:val="36"/>
        </w:rPr>
      </w:pPr>
    </w:p>
    <w:p w:rsidR="00574907" w:rsidRDefault="00372B6E">
      <w:pPr>
        <w:spacing w:line="360" w:lineRule="auto"/>
        <w:jc w:val="center"/>
        <w:rPr>
          <w:rFonts w:ascii="黑体" w:eastAsia="黑体"/>
          <w:bCs/>
          <w:sz w:val="36"/>
          <w:szCs w:val="36"/>
        </w:rPr>
      </w:pPr>
      <w:r>
        <w:rPr>
          <w:rFonts w:ascii="仿宋_GB2312" w:eastAsia="黑体" w:hint="eastAsia"/>
          <w:b/>
          <w:bCs/>
          <w:sz w:val="36"/>
          <w:szCs w:val="36"/>
        </w:rPr>
        <w:t>北京市项目支出绩效评价</w:t>
      </w:r>
      <w:r>
        <w:rPr>
          <w:rFonts w:ascii="仿宋_GB2312" w:eastAsia="黑体"/>
          <w:b/>
          <w:bCs/>
          <w:sz w:val="36"/>
          <w:szCs w:val="36"/>
        </w:rPr>
        <w:br w:type="textWrapping" w:clear="all"/>
      </w:r>
      <w:r>
        <w:rPr>
          <w:rFonts w:ascii="黑体" w:eastAsia="黑体" w:hint="eastAsia"/>
          <w:b/>
          <w:spacing w:val="20"/>
          <w:sz w:val="36"/>
          <w:szCs w:val="36"/>
        </w:rPr>
        <w:t>专家意见汇总书</w:t>
      </w:r>
      <w:r>
        <w:rPr>
          <w:rFonts w:ascii="黑体" w:eastAsia="黑体"/>
          <w:b/>
          <w:spacing w:val="20"/>
          <w:sz w:val="36"/>
          <w:szCs w:val="36"/>
        </w:rPr>
        <w:br w:type="textWrapping" w:clear="all"/>
      </w:r>
    </w:p>
    <w:p w:rsidR="00574907" w:rsidRDefault="00574907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:rsidR="00574907" w:rsidRDefault="00574907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:rsidR="00574907" w:rsidRDefault="00574907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:rsidR="00574907" w:rsidRDefault="00574907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574907">
      <w:pPr>
        <w:pStyle w:val="a0"/>
      </w:pPr>
    </w:p>
    <w:p w:rsidR="00574907" w:rsidRDefault="00372B6E">
      <w:pPr>
        <w:snapToGrid w:val="0"/>
        <w:spacing w:line="420" w:lineRule="auto"/>
        <w:ind w:right="120" w:firstLineChars="500" w:firstLine="120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  <w:u w:val="single"/>
        </w:rPr>
        <w:t>设备购置及工程维修支出项目</w:t>
      </w:r>
      <w:r>
        <w:rPr>
          <w:rFonts w:ascii="宋体" w:hAnsi="宋体" w:hint="eastAsia"/>
          <w:sz w:val="24"/>
          <w:u w:val="single"/>
        </w:rPr>
        <w:t xml:space="preserve">        </w:t>
      </w:r>
    </w:p>
    <w:p w:rsidR="00574907" w:rsidRDefault="00372B6E">
      <w:pPr>
        <w:snapToGrid w:val="0"/>
        <w:spacing w:line="420" w:lineRule="auto"/>
        <w:ind w:right="120"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项目单位：</w:t>
      </w:r>
      <w:r>
        <w:rPr>
          <w:rFonts w:ascii="宋体" w:hAnsi="宋体" w:hint="eastAsia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  <w:u w:val="single"/>
        </w:rPr>
        <w:t>国家大剧院</w:t>
      </w:r>
    </w:p>
    <w:p w:rsidR="00574907" w:rsidRDefault="00372B6E">
      <w:pPr>
        <w:snapToGrid w:val="0"/>
        <w:spacing w:line="420" w:lineRule="auto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评价时间：</w:t>
      </w:r>
      <w:r>
        <w:rPr>
          <w:rFonts w:ascii="宋体" w:hAnsi="宋体" w:hint="eastAsia"/>
          <w:sz w:val="24"/>
          <w:u w:val="single"/>
        </w:rPr>
        <w:t xml:space="preserve">2024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>5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>11</w:t>
      </w:r>
      <w:r>
        <w:rPr>
          <w:rFonts w:ascii="宋体" w:hAnsi="宋体" w:hint="eastAsia"/>
          <w:sz w:val="24"/>
        </w:rPr>
        <w:t>日</w:t>
      </w:r>
    </w:p>
    <w:p w:rsidR="00574907" w:rsidRDefault="00574907">
      <w:pPr>
        <w:spacing w:line="480" w:lineRule="auto"/>
        <w:ind w:firstLine="560"/>
        <w:rPr>
          <w:rFonts w:ascii="宋体"/>
          <w:szCs w:val="28"/>
        </w:rPr>
      </w:pPr>
    </w:p>
    <w:p w:rsidR="00574907" w:rsidRDefault="00372B6E">
      <w:pPr>
        <w:rPr>
          <w:rFonts w:ascii="黑体" w:hAnsi="黑体"/>
          <w:b/>
          <w:sz w:val="24"/>
        </w:rPr>
      </w:pPr>
      <w:r>
        <w:rPr>
          <w:rFonts w:ascii="黑体" w:hAnsi="黑体" w:hint="eastAsia"/>
          <w:b/>
          <w:sz w:val="24"/>
        </w:rPr>
        <w:t>二、专家评价综合意见</w:t>
      </w:r>
    </w:p>
    <w:tbl>
      <w:tblPr>
        <w:tblpPr w:leftFromText="180" w:rightFromText="180" w:vertAnchor="text" w:horzAnchor="page" w:tblpX="1920" w:tblpY="303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8"/>
        <w:gridCol w:w="68"/>
        <w:gridCol w:w="812"/>
        <w:gridCol w:w="805"/>
        <w:gridCol w:w="805"/>
        <w:gridCol w:w="891"/>
        <w:gridCol w:w="850"/>
        <w:gridCol w:w="812"/>
        <w:gridCol w:w="1155"/>
      </w:tblGrid>
      <w:tr w:rsidR="00574907">
        <w:trPr>
          <w:cantSplit/>
          <w:trHeight w:val="442"/>
        </w:trPr>
        <w:tc>
          <w:tcPr>
            <w:tcW w:w="2728" w:type="dxa"/>
            <w:vAlign w:val="center"/>
          </w:tcPr>
          <w:p w:rsidR="00574907" w:rsidRDefault="00372B6E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评价得分</w:t>
            </w:r>
          </w:p>
        </w:tc>
        <w:tc>
          <w:tcPr>
            <w:tcW w:w="6198" w:type="dxa"/>
            <w:gridSpan w:val="8"/>
            <w:vAlign w:val="center"/>
          </w:tcPr>
          <w:p w:rsidR="00574907" w:rsidRDefault="00372B6E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ascii="宋体" w:hAnsi="宋体" w:hint="eastAsia"/>
                <w:szCs w:val="21"/>
              </w:rPr>
              <w:t>52</w:t>
            </w:r>
          </w:p>
        </w:tc>
      </w:tr>
      <w:tr w:rsidR="00574907">
        <w:trPr>
          <w:cantSplit/>
          <w:trHeight w:val="678"/>
        </w:trPr>
        <w:tc>
          <w:tcPr>
            <w:tcW w:w="2728" w:type="dxa"/>
            <w:vAlign w:val="center"/>
          </w:tcPr>
          <w:p w:rsidR="00574907" w:rsidRDefault="00372B6E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绩效级别</w:t>
            </w:r>
          </w:p>
        </w:tc>
        <w:tc>
          <w:tcPr>
            <w:tcW w:w="6198" w:type="dxa"/>
            <w:gridSpan w:val="8"/>
            <w:vAlign w:val="center"/>
          </w:tcPr>
          <w:p w:rsidR="00574907" w:rsidRDefault="00372B6E">
            <w:pPr>
              <w:ind w:firstLineChars="95" w:firstLine="199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优</w:t>
            </w:r>
            <w:r>
              <w:rPr>
                <w:rFonts w:ascii="宋体" w:hAnsi="宋体" w:cs="宋体" w:hint="eastAsia"/>
                <w:szCs w:val="21"/>
              </w:rPr>
              <w:t>(90</w:t>
            </w:r>
            <w:r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szCs w:val="21"/>
              </w:rPr>
              <w:t>良</w:t>
            </w:r>
            <w:r>
              <w:rPr>
                <w:rFonts w:ascii="宋体" w:hAnsi="宋体" w:cs="宋体" w:hint="eastAsia"/>
                <w:szCs w:val="21"/>
              </w:rPr>
              <w:t>(80-90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■</w:t>
            </w:r>
          </w:p>
          <w:p w:rsidR="00574907" w:rsidRDefault="00372B6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中（</w:t>
            </w:r>
            <w:r>
              <w:rPr>
                <w:rFonts w:ascii="宋体" w:hAnsi="宋体" w:cs="宋体" w:hint="eastAsia"/>
                <w:szCs w:val="21"/>
              </w:rPr>
              <w:t>60</w:t>
            </w:r>
            <w:r>
              <w:rPr>
                <w:rFonts w:ascii="宋体" w:hAnsi="宋体" w:cs="宋体"/>
                <w:szCs w:val="21"/>
              </w:rPr>
              <w:t>-</w:t>
            </w:r>
            <w:r>
              <w:rPr>
                <w:rFonts w:ascii="宋体" w:hAnsi="宋体" w:cs="宋体" w:hint="eastAsia"/>
                <w:szCs w:val="21"/>
              </w:rPr>
              <w:t>80</w:t>
            </w:r>
            <w:r>
              <w:rPr>
                <w:rFonts w:ascii="宋体" w:hAnsi="宋体" w:cs="宋体" w:hint="eastAsia"/>
                <w:szCs w:val="21"/>
              </w:rPr>
              <w:t>分）□</w:t>
            </w:r>
            <w:r>
              <w:rPr>
                <w:rFonts w:ascii="宋体" w:hAnsi="宋体" w:cs="宋体" w:hint="eastAsia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szCs w:val="21"/>
              </w:rPr>
              <w:t>差（</w:t>
            </w:r>
            <w:r>
              <w:rPr>
                <w:rFonts w:ascii="宋体" w:hAnsi="宋体" w:cs="宋体" w:hint="eastAsia"/>
                <w:szCs w:val="21"/>
              </w:rPr>
              <w:t>60</w:t>
            </w:r>
            <w:r>
              <w:rPr>
                <w:rFonts w:ascii="宋体" w:hAnsi="宋体" w:cs="宋体" w:hint="eastAsia"/>
                <w:szCs w:val="21"/>
              </w:rPr>
              <w:t>分以下）□</w:t>
            </w:r>
          </w:p>
        </w:tc>
      </w:tr>
      <w:tr w:rsidR="00574907">
        <w:trPr>
          <w:trHeight w:val="340"/>
        </w:trPr>
        <w:tc>
          <w:tcPr>
            <w:tcW w:w="3608" w:type="dxa"/>
            <w:gridSpan w:val="3"/>
            <w:shd w:val="clear" w:color="auto" w:fill="auto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318" w:type="dxa"/>
            <w:gridSpan w:val="6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 w:rsidR="00574907">
        <w:trPr>
          <w:trHeight w:val="338"/>
        </w:trPr>
        <w:tc>
          <w:tcPr>
            <w:tcW w:w="2796" w:type="dxa"/>
            <w:gridSpan w:val="2"/>
            <w:shd w:val="clear" w:color="auto" w:fill="auto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</w:t>
            </w: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</w:t>
            </w: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</w:t>
            </w: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</w:t>
            </w: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</w:t>
            </w: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等线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</w:tbl>
    <w:p w:rsidR="00574907" w:rsidRDefault="00574907"/>
    <w:tbl>
      <w:tblPr>
        <w:tblW w:w="8930" w:type="dxa"/>
        <w:tblInd w:w="137" w:type="dxa"/>
        <w:tblLayout w:type="fixed"/>
        <w:tblLook w:val="04A0"/>
      </w:tblPr>
      <w:tblGrid>
        <w:gridCol w:w="567"/>
        <w:gridCol w:w="1701"/>
        <w:gridCol w:w="992"/>
        <w:gridCol w:w="851"/>
        <w:gridCol w:w="992"/>
        <w:gridCol w:w="992"/>
        <w:gridCol w:w="993"/>
        <w:gridCol w:w="850"/>
        <w:gridCol w:w="992"/>
      </w:tblGrid>
      <w:tr w:rsidR="00574907">
        <w:trPr>
          <w:trHeight w:val="4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OLE_LINK1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决策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项目立项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574907">
        <w:trPr>
          <w:trHeight w:val="3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74907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74907">
        <w:trPr>
          <w:trHeight w:val="4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3.34</w:t>
            </w:r>
          </w:p>
        </w:tc>
      </w:tr>
      <w:tr w:rsidR="00574907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1.88</w:t>
            </w:r>
          </w:p>
        </w:tc>
      </w:tr>
      <w:tr w:rsidR="00574907">
        <w:trPr>
          <w:trHeight w:val="5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1.46</w:t>
            </w:r>
          </w:p>
        </w:tc>
      </w:tr>
      <w:tr w:rsidR="00574907">
        <w:trPr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2.78</w:t>
            </w:r>
          </w:p>
        </w:tc>
      </w:tr>
      <w:tr w:rsidR="00574907">
        <w:trPr>
          <w:trHeight w:val="4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1.86</w:t>
            </w:r>
          </w:p>
        </w:tc>
      </w:tr>
      <w:tr w:rsidR="00574907">
        <w:trPr>
          <w:trHeight w:val="43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0.92</w:t>
            </w:r>
          </w:p>
        </w:tc>
      </w:tr>
      <w:tr w:rsidR="00574907">
        <w:trPr>
          <w:trHeight w:val="40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过程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74907">
        <w:trPr>
          <w:trHeight w:val="42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574907">
        <w:trPr>
          <w:trHeight w:val="40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574907">
        <w:trPr>
          <w:trHeight w:val="42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74907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9.4</w:t>
            </w:r>
          </w:p>
        </w:tc>
      </w:tr>
      <w:tr w:rsidR="00574907">
        <w:trPr>
          <w:trHeight w:val="4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74907">
        <w:trPr>
          <w:trHeight w:val="41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4.4</w:t>
            </w:r>
          </w:p>
        </w:tc>
      </w:tr>
      <w:tr w:rsidR="00574907">
        <w:trPr>
          <w:trHeight w:val="37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574907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574907">
        <w:trPr>
          <w:trHeight w:val="4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2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质量达标率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3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43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成本节约率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Pr="00A901D9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901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574907">
        <w:trPr>
          <w:trHeight w:val="4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效益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</w:tr>
      <w:tr w:rsidR="00574907">
        <w:trPr>
          <w:trHeight w:val="25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4907" w:rsidRDefault="0057490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</w:tr>
      <w:tr w:rsidR="00574907">
        <w:trPr>
          <w:trHeight w:val="348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90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86.9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907" w:rsidRDefault="00372B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87.52</w:t>
            </w:r>
          </w:p>
        </w:tc>
      </w:tr>
      <w:bookmarkEnd w:id="0"/>
    </w:tbl>
    <w:p w:rsidR="00574907" w:rsidRDefault="00574907">
      <w:pPr>
        <w:pStyle w:val="a0"/>
        <w:rPr>
          <w:rFonts w:ascii="仿宋_GB2312" w:eastAsia="仿宋_GB2312" w:hAnsi="宋体"/>
          <w:bCs/>
          <w:sz w:val="32"/>
          <w:szCs w:val="32"/>
        </w:rPr>
      </w:pPr>
    </w:p>
    <w:tbl>
      <w:tblPr>
        <w:tblpPr w:leftFromText="180" w:rightFromText="180" w:vertAnchor="text" w:horzAnchor="page" w:tblpX="1920" w:tblpY="303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6"/>
      </w:tblGrid>
      <w:tr w:rsidR="00574907">
        <w:trPr>
          <w:trHeight w:val="1408"/>
        </w:trPr>
        <w:tc>
          <w:tcPr>
            <w:tcW w:w="8926" w:type="dxa"/>
            <w:shd w:val="clear" w:color="auto" w:fill="auto"/>
          </w:tcPr>
          <w:p w:rsidR="00574907" w:rsidRDefault="00372B6E">
            <w:pPr>
              <w:rPr>
                <w:rFonts w:ascii="等线" w:eastAsia="等线" w:hAnsi="等线"/>
                <w:sz w:val="24"/>
                <w:szCs w:val="32"/>
              </w:rPr>
            </w:pPr>
            <w:r>
              <w:rPr>
                <w:rFonts w:ascii="等线" w:eastAsia="等线" w:hAnsi="等线" w:hint="eastAsia"/>
                <w:sz w:val="24"/>
                <w:szCs w:val="32"/>
              </w:rPr>
              <w:t>问题：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  <w:t>决策方面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1</w:t>
            </w:r>
            <w:r>
              <w:rPr>
                <w:sz w:val="24"/>
                <w:szCs w:val="32"/>
              </w:rPr>
              <w:t>）决策依据的充分性还有进一步完善的空间</w:t>
            </w:r>
            <w:r>
              <w:rPr>
                <w:rFonts w:hint="eastAsia"/>
                <w:sz w:val="24"/>
                <w:szCs w:val="32"/>
              </w:rPr>
              <w:t>，项目立项缺乏完善的决策信息，缺</w:t>
            </w:r>
            <w:r>
              <w:rPr>
                <w:rFonts w:hint="eastAsia"/>
                <w:sz w:val="24"/>
                <w:szCs w:val="32"/>
              </w:rPr>
              <w:lastRenderedPageBreak/>
              <w:t>少部门整体的项目规划，可行性研究规划深度及全面性不足，项目实施方案缺少质量监督、验收标准。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2</w:t>
            </w:r>
            <w:r>
              <w:rPr>
                <w:sz w:val="24"/>
                <w:szCs w:val="32"/>
              </w:rPr>
              <w:t>）绩效目标设定的合理性、明确性有进一步提高的空间</w:t>
            </w:r>
            <w:r>
              <w:rPr>
                <w:rFonts w:hint="eastAsia"/>
                <w:sz w:val="24"/>
                <w:szCs w:val="32"/>
              </w:rPr>
              <w:t>，绩效指标细化、量化及明确性有待加强，部分内容无法通过直观、明确、可衡量的指标值体现，可考核性有待继续提高。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  <w:t>管理方面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1</w:t>
            </w:r>
            <w:r>
              <w:rPr>
                <w:sz w:val="24"/>
                <w:szCs w:val="32"/>
              </w:rPr>
              <w:t>）合同管理需细化</w:t>
            </w:r>
            <w:r>
              <w:rPr>
                <w:rFonts w:hint="eastAsia"/>
                <w:sz w:val="24"/>
                <w:szCs w:val="32"/>
              </w:rPr>
              <w:t>，个别合同的执行期早于合同的签订日期，个别合同未约定具体实施期间，需强化合同内容的严谨性、完善性。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2</w:t>
            </w:r>
            <w:r>
              <w:rPr>
                <w:sz w:val="24"/>
                <w:szCs w:val="32"/>
              </w:rPr>
              <w:t>）验收程序需明晰</w:t>
            </w:r>
            <w:r>
              <w:rPr>
                <w:rFonts w:hint="eastAsia"/>
                <w:sz w:val="24"/>
                <w:szCs w:val="32"/>
              </w:rPr>
              <w:t>，项目签订合同时应明确验收标准，方案中应明确验收程序，验收单应复核工程项目验收。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  <w:t>效益方面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1</w:t>
            </w:r>
            <w:r>
              <w:rPr>
                <w:sz w:val="24"/>
                <w:szCs w:val="32"/>
              </w:rPr>
              <w:t>）项目绩效成果的呈现有待进一步提高的空间</w:t>
            </w:r>
            <w:r>
              <w:rPr>
                <w:rFonts w:hint="eastAsia"/>
                <w:sz w:val="24"/>
                <w:szCs w:val="32"/>
              </w:rPr>
              <w:t>，项目实施后的效果资料呈现不够充分，如设备购置及工程维修后，对大剧院运行的保障率提高、各子系统的质量达标情况、各系统故障减少率等。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</w:t>
            </w:r>
            <w:r>
              <w:rPr>
                <w:sz w:val="24"/>
                <w:szCs w:val="32"/>
              </w:rPr>
              <w:t>2</w:t>
            </w:r>
            <w:r>
              <w:rPr>
                <w:sz w:val="24"/>
                <w:szCs w:val="32"/>
              </w:rPr>
              <w:t>）满意度调查工作有待进一步完善</w:t>
            </w:r>
            <w:r>
              <w:rPr>
                <w:rFonts w:hint="eastAsia"/>
                <w:sz w:val="24"/>
                <w:szCs w:val="32"/>
              </w:rPr>
              <w:t>，满意度调查的区间和层面不够广泛，代表性有待进一步提高，样本应该有更科学和更专业数据供后期参考。</w:t>
            </w:r>
          </w:p>
        </w:tc>
      </w:tr>
      <w:tr w:rsidR="00574907">
        <w:trPr>
          <w:trHeight w:val="3254"/>
        </w:trPr>
        <w:tc>
          <w:tcPr>
            <w:tcW w:w="8926" w:type="dxa"/>
            <w:shd w:val="clear" w:color="auto" w:fill="auto"/>
          </w:tcPr>
          <w:p w:rsidR="00574907" w:rsidRDefault="00372B6E">
            <w:pPr>
              <w:rPr>
                <w:rFonts w:ascii="等线" w:eastAsia="等线" w:hAnsi="等线"/>
                <w:sz w:val="24"/>
                <w:szCs w:val="32"/>
              </w:rPr>
            </w:pPr>
            <w:r>
              <w:rPr>
                <w:rFonts w:ascii="等线" w:eastAsia="等线" w:hAnsi="等线" w:hint="eastAsia"/>
                <w:sz w:val="24"/>
                <w:szCs w:val="32"/>
              </w:rPr>
              <w:lastRenderedPageBreak/>
              <w:t>建议：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决策方面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完善部门中长期规划，加强前期方案的论证与策划，强化项目方案上的整体统筹情况，完善风险把控措施</w:t>
            </w:r>
            <w:r>
              <w:rPr>
                <w:rFonts w:hint="eastAsia"/>
                <w:sz w:val="24"/>
                <w:szCs w:val="32"/>
              </w:rPr>
              <w:t>。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加强项目绩效目标管理，结合项目实施内容，科学合理的设定绩效目标，进一步细化及量化绩效指标，强化指标与项目内容和资金预算的匹配度。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lastRenderedPageBreak/>
              <w:t>管理方面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>做好项目合同管理风险防控，降低资金使用风险。进一步树立项目管理理念。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>严格项目验收要求，提升项目验收质量。制定明确的验收方案及流程，规范验收程序及主体责任。</w:t>
            </w:r>
          </w:p>
          <w:p w:rsidR="00574907" w:rsidRDefault="00372B6E">
            <w:pPr>
              <w:pStyle w:val="a0"/>
              <w:ind w:firstLineChars="200" w:firstLine="480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效益方面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树立绩效管理的意识。加强绩效目标设置的精准性，</w:t>
            </w:r>
          </w:p>
          <w:p w:rsidR="00574907" w:rsidRDefault="00372B6E">
            <w:pPr>
              <w:pStyle w:val="a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加强项目绩效成果资料的归集和整理，完善绩效成果分析应用工作，全面呈现项目的社会效益，充分发挥财政资金的使用效益。</w:t>
            </w:r>
          </w:p>
          <w:p w:rsidR="00574907" w:rsidRDefault="00372B6E">
            <w:pPr>
              <w:pStyle w:val="a0"/>
              <w:rPr>
                <w:sz w:val="22"/>
                <w:szCs w:val="28"/>
              </w:rPr>
            </w:pPr>
            <w:r>
              <w:rPr>
                <w:rFonts w:hint="eastAsia"/>
                <w:sz w:val="24"/>
                <w:szCs w:val="32"/>
              </w:rPr>
              <w:t>全面开展满意度调查及分析工作，全面掌握项目实施各阶段社会公众及参与人员的意见及建议。</w:t>
            </w:r>
          </w:p>
        </w:tc>
      </w:tr>
      <w:tr w:rsidR="00574907">
        <w:trPr>
          <w:trHeight w:val="2321"/>
        </w:trPr>
        <w:tc>
          <w:tcPr>
            <w:tcW w:w="8926" w:type="dxa"/>
            <w:shd w:val="clear" w:color="auto" w:fill="auto"/>
          </w:tcPr>
          <w:p w:rsidR="00574907" w:rsidRDefault="00372B6E">
            <w:pPr>
              <w:ind w:right="1890" w:firstLineChars="300" w:firstLine="630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lastRenderedPageBreak/>
              <w:t>专家组组长签字</w:t>
            </w:r>
          </w:p>
          <w:p w:rsidR="00574907" w:rsidRDefault="00372B6E">
            <w:pPr>
              <w:pStyle w:val="a0"/>
            </w:pPr>
            <w:r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</w:rPr>
              <w:drawing>
                <wp:inline distT="0" distB="0" distL="0" distR="0">
                  <wp:extent cx="1464945" cy="732790"/>
                  <wp:effectExtent l="0" t="0" r="1905" b="0"/>
                  <wp:docPr id="35362710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627108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327" cy="750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4907" w:rsidRDefault="00574907">
            <w:pPr>
              <w:pStyle w:val="a0"/>
            </w:pPr>
          </w:p>
          <w:p w:rsidR="00574907" w:rsidRDefault="00372B6E">
            <w:pPr>
              <w:tabs>
                <w:tab w:val="left" w:pos="6720"/>
              </w:tabs>
              <w:rPr>
                <w:rFonts w:ascii="等线" w:eastAsia="等线" w:hAnsi="等线"/>
              </w:rPr>
            </w:pPr>
            <w:r>
              <w:rPr>
                <w:rFonts w:ascii="等线" w:eastAsia="等线" w:hAnsi="等线"/>
              </w:rPr>
              <w:tab/>
            </w:r>
          </w:p>
          <w:p w:rsidR="00574907" w:rsidRDefault="00372B6E">
            <w:pPr>
              <w:ind w:right="1050"/>
              <w:rPr>
                <w:rFonts w:ascii="等线" w:eastAsia="等线" w:hAnsi="等线"/>
              </w:rPr>
            </w:pPr>
            <w:r>
              <w:rPr>
                <w:rFonts w:ascii="等线" w:eastAsia="等线" w:hAnsi="等线" w:hint="eastAsia"/>
              </w:rPr>
              <w:t>日</w:t>
            </w:r>
            <w:r>
              <w:rPr>
                <w:rFonts w:ascii="等线" w:eastAsia="等线" w:hAnsi="等线" w:hint="eastAsia"/>
              </w:rPr>
              <w:t xml:space="preserve">         </w:t>
            </w:r>
            <w:r>
              <w:rPr>
                <w:rFonts w:ascii="等线" w:eastAsia="等线" w:hAnsi="等线" w:hint="eastAsia"/>
              </w:rPr>
              <w:t>期：</w:t>
            </w:r>
            <w:r>
              <w:rPr>
                <w:rFonts w:ascii="等线" w:eastAsia="等线" w:hAnsi="等线" w:hint="eastAsia"/>
              </w:rPr>
              <w:t>2024</w:t>
            </w:r>
            <w:r>
              <w:rPr>
                <w:rFonts w:ascii="等线" w:eastAsia="等线" w:hAnsi="等线" w:hint="eastAsia"/>
              </w:rPr>
              <w:t>年</w:t>
            </w:r>
            <w:r>
              <w:rPr>
                <w:rFonts w:ascii="等线" w:eastAsia="等线" w:hAnsi="等线" w:hint="eastAsia"/>
              </w:rPr>
              <w:t>5</w:t>
            </w:r>
            <w:r>
              <w:rPr>
                <w:rFonts w:ascii="等线" w:eastAsia="等线" w:hAnsi="等线" w:hint="eastAsia"/>
              </w:rPr>
              <w:t>月</w:t>
            </w:r>
            <w:r>
              <w:rPr>
                <w:rFonts w:ascii="等线" w:eastAsia="等线" w:hAnsi="等线" w:hint="eastAsia"/>
              </w:rPr>
              <w:t>11</w:t>
            </w:r>
            <w:r>
              <w:rPr>
                <w:rFonts w:ascii="等线" w:eastAsia="等线" w:hAnsi="等线" w:hint="eastAsia"/>
              </w:rPr>
              <w:t>日</w:t>
            </w:r>
          </w:p>
        </w:tc>
      </w:tr>
    </w:tbl>
    <w:p w:rsidR="00574907" w:rsidRDefault="00574907"/>
    <w:sectPr w:rsidR="00574907" w:rsidSect="00574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B6E" w:rsidRDefault="00372B6E" w:rsidP="00A901D9">
      <w:r>
        <w:separator/>
      </w:r>
    </w:p>
  </w:endnote>
  <w:endnote w:type="continuationSeparator" w:id="1">
    <w:p w:rsidR="00372B6E" w:rsidRDefault="00372B6E" w:rsidP="00A9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B6E" w:rsidRDefault="00372B6E" w:rsidP="00A901D9">
      <w:r>
        <w:separator/>
      </w:r>
    </w:p>
  </w:footnote>
  <w:footnote w:type="continuationSeparator" w:id="1">
    <w:p w:rsidR="00372B6E" w:rsidRDefault="00372B6E" w:rsidP="00A901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21A4"/>
    <w:rsid w:val="00011531"/>
    <w:rsid w:val="0006093B"/>
    <w:rsid w:val="002259BC"/>
    <w:rsid w:val="002A6EE3"/>
    <w:rsid w:val="002C2886"/>
    <w:rsid w:val="00372B6E"/>
    <w:rsid w:val="003821A4"/>
    <w:rsid w:val="003C56D5"/>
    <w:rsid w:val="00417D5C"/>
    <w:rsid w:val="00496339"/>
    <w:rsid w:val="004F48D7"/>
    <w:rsid w:val="00574907"/>
    <w:rsid w:val="005A0FD6"/>
    <w:rsid w:val="005B56AD"/>
    <w:rsid w:val="0076209E"/>
    <w:rsid w:val="007F5B5F"/>
    <w:rsid w:val="00814F0B"/>
    <w:rsid w:val="00A25163"/>
    <w:rsid w:val="00A901D9"/>
    <w:rsid w:val="00AC76DD"/>
    <w:rsid w:val="00B50404"/>
    <w:rsid w:val="00BC00FD"/>
    <w:rsid w:val="00D60DEA"/>
    <w:rsid w:val="00D84BE5"/>
    <w:rsid w:val="00E1099E"/>
    <w:rsid w:val="00E45F1A"/>
    <w:rsid w:val="00E548D6"/>
    <w:rsid w:val="00E94B4E"/>
    <w:rsid w:val="00F419E6"/>
    <w:rsid w:val="2D0925EB"/>
    <w:rsid w:val="4F02216E"/>
    <w:rsid w:val="5FED7EFA"/>
    <w:rsid w:val="65662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7490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Char"/>
    <w:uiPriority w:val="99"/>
    <w:semiHidden/>
    <w:unhideWhenUsed/>
    <w:rsid w:val="00574907"/>
    <w:rPr>
      <w:rFonts w:asciiTheme="minorEastAsia" w:hAnsi="Courier New" w:cs="Courier New"/>
    </w:rPr>
  </w:style>
  <w:style w:type="paragraph" w:styleId="a4">
    <w:name w:val="footer"/>
    <w:basedOn w:val="a"/>
    <w:link w:val="Char0"/>
    <w:uiPriority w:val="99"/>
    <w:unhideWhenUsed/>
    <w:qFormat/>
    <w:rsid w:val="00574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749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qFormat/>
    <w:rsid w:val="00574907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sid w:val="00574907"/>
    <w:rPr>
      <w:sz w:val="18"/>
      <w:szCs w:val="18"/>
    </w:rPr>
  </w:style>
  <w:style w:type="character" w:customStyle="1" w:styleId="Char">
    <w:name w:val="纯文本 Char"/>
    <w:basedOn w:val="a1"/>
    <w:link w:val="a0"/>
    <w:uiPriority w:val="99"/>
    <w:semiHidden/>
    <w:qFormat/>
    <w:rsid w:val="00574907"/>
    <w:rPr>
      <w:rFonts w:asciiTheme="minorEastAsia" w:hAnsi="Courier New" w:cs="Courier New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A901D9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A901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</dc:creator>
  <cp:lastModifiedBy>TUN</cp:lastModifiedBy>
  <cp:revision>3</cp:revision>
  <dcterms:created xsi:type="dcterms:W3CDTF">2024-05-29T08:17:00Z</dcterms:created>
  <dcterms:modified xsi:type="dcterms:W3CDTF">2024-06-04T01:16:00Z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