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仿宋" w:hAnsi="仿宋" w:eastAsia="仿宋"/>
          <w:sz w:val="28"/>
          <w:szCs w:val="28"/>
        </w:rPr>
        <w:t>附件2：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202</w:t>
      </w:r>
      <w:r>
        <w:rPr>
          <w:rFonts w:hint="eastAsia" w:ascii="仿宋_GB2312" w:hAnsi="宋体" w:eastAsia="仿宋_GB2312"/>
          <w:sz w:val="28"/>
          <w:szCs w:val="28"/>
          <w:lang w:val="en-US" w:eastAsia="zh-CN"/>
        </w:rPr>
        <w:t>3</w:t>
      </w:r>
      <w:r>
        <w:rPr>
          <w:rFonts w:hint="eastAsia" w:ascii="仿宋_GB2312" w:hAnsi="宋体" w:eastAsia="仿宋_GB2312"/>
          <w:sz w:val="28"/>
          <w:szCs w:val="28"/>
        </w:rPr>
        <w:t xml:space="preserve">  年度）</w:t>
      </w:r>
      <w:bookmarkStart w:id="0" w:name="_GoBack"/>
      <w:bookmarkEnd w:id="0"/>
    </w:p>
    <w:p>
      <w:pPr>
        <w:spacing w:line="480" w:lineRule="exact"/>
        <w:jc w:val="center"/>
        <w:rPr>
          <w:rFonts w:ascii="仿宋_GB2312" w:hAnsi="宋体" w:eastAsia="仿宋_GB2312"/>
          <w:sz w:val="28"/>
          <w:szCs w:val="28"/>
        </w:rPr>
      </w:pPr>
    </w:p>
    <w:tbl>
      <w:tblPr>
        <w:tblStyle w:val="4"/>
        <w:tblW w:w="14175" w:type="dxa"/>
        <w:jc w:val="center"/>
        <w:tblLayout w:type="fixed"/>
        <w:tblCellMar>
          <w:top w:w="0" w:type="dxa"/>
          <w:left w:w="108" w:type="dxa"/>
          <w:bottom w:w="0" w:type="dxa"/>
          <w:right w:w="108" w:type="dxa"/>
        </w:tblCellMar>
      </w:tblPr>
      <w:tblGrid>
        <w:gridCol w:w="562"/>
        <w:gridCol w:w="1560"/>
        <w:gridCol w:w="1559"/>
        <w:gridCol w:w="1276"/>
        <w:gridCol w:w="2129"/>
        <w:gridCol w:w="192"/>
        <w:gridCol w:w="1584"/>
        <w:gridCol w:w="1330"/>
        <w:gridCol w:w="438"/>
        <w:gridCol w:w="445"/>
        <w:gridCol w:w="659"/>
        <w:gridCol w:w="224"/>
        <w:gridCol w:w="1103"/>
        <w:gridCol w:w="1114"/>
      </w:tblGrid>
      <w:tr>
        <w:tblPrEx>
          <w:tblCellMar>
            <w:top w:w="0" w:type="dxa"/>
            <w:left w:w="108" w:type="dxa"/>
            <w:bottom w:w="0" w:type="dxa"/>
            <w:right w:w="108" w:type="dxa"/>
          </w:tblCellMar>
        </w:tblPrEx>
        <w:trPr>
          <w:trHeight w:val="510" w:hRule="exact"/>
          <w:jc w:val="center"/>
        </w:trPr>
        <w:tc>
          <w:tcPr>
            <w:tcW w:w="212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205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北京汽车技师学院经营支出补充项目其他机械设备采购项目</w:t>
            </w:r>
          </w:p>
        </w:tc>
      </w:tr>
      <w:tr>
        <w:tblPrEx>
          <w:tblCellMar>
            <w:top w:w="0" w:type="dxa"/>
            <w:left w:w="108" w:type="dxa"/>
            <w:bottom w:w="0" w:type="dxa"/>
            <w:right w:w="108" w:type="dxa"/>
          </w:tblCellMar>
        </w:tblPrEx>
        <w:trPr>
          <w:trHeight w:val="510" w:hRule="exact"/>
          <w:jc w:val="center"/>
        </w:trPr>
        <w:tc>
          <w:tcPr>
            <w:tcW w:w="212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67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5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北京汽车技师学院</w:t>
            </w:r>
          </w:p>
        </w:tc>
      </w:tr>
      <w:tr>
        <w:tblPrEx>
          <w:tblCellMar>
            <w:top w:w="0" w:type="dxa"/>
            <w:left w:w="108" w:type="dxa"/>
            <w:bottom w:w="0" w:type="dxa"/>
            <w:right w:w="108" w:type="dxa"/>
          </w:tblCellMar>
        </w:tblPrEx>
        <w:trPr>
          <w:trHeight w:val="510" w:hRule="exact"/>
          <w:jc w:val="center"/>
        </w:trPr>
        <w:tc>
          <w:tcPr>
            <w:tcW w:w="212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67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殷国松</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5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3801304607</w:t>
            </w:r>
          </w:p>
        </w:tc>
      </w:tr>
      <w:tr>
        <w:tblPrEx>
          <w:tblCellMar>
            <w:top w:w="0" w:type="dxa"/>
            <w:left w:w="108" w:type="dxa"/>
            <w:bottom w:w="0" w:type="dxa"/>
            <w:right w:w="108" w:type="dxa"/>
          </w:tblCellMar>
        </w:tblPrEx>
        <w:trPr>
          <w:trHeight w:val="667" w:hRule="exact"/>
          <w:jc w:val="center"/>
        </w:trPr>
        <w:tc>
          <w:tcPr>
            <w:tcW w:w="212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8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10" w:hRule="exact"/>
          <w:jc w:val="center"/>
        </w:trPr>
        <w:tc>
          <w:tcPr>
            <w:tcW w:w="21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8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698.508000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698.508000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80.361500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97.4%</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w:t>
            </w:r>
            <w:r>
              <w:rPr>
                <w:rFonts w:ascii="仿宋_GB2312" w:hAnsi="宋体" w:eastAsia="仿宋_GB2312" w:cs="宋体"/>
                <w:kern w:val="0"/>
                <w:szCs w:val="21"/>
              </w:rPr>
              <w:t>4</w:t>
            </w:r>
          </w:p>
        </w:tc>
      </w:tr>
      <w:tr>
        <w:tblPrEx>
          <w:tblCellMar>
            <w:top w:w="0" w:type="dxa"/>
            <w:left w:w="108" w:type="dxa"/>
            <w:bottom w:w="0" w:type="dxa"/>
            <w:right w:w="108" w:type="dxa"/>
          </w:tblCellMar>
        </w:tblPrEx>
        <w:trPr>
          <w:trHeight w:val="510" w:hRule="exact"/>
          <w:jc w:val="center"/>
        </w:trPr>
        <w:tc>
          <w:tcPr>
            <w:tcW w:w="21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8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10" w:hRule="exact"/>
          <w:jc w:val="center"/>
        </w:trPr>
        <w:tc>
          <w:tcPr>
            <w:tcW w:w="21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8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10" w:hRule="exact"/>
          <w:jc w:val="center"/>
        </w:trPr>
        <w:tc>
          <w:tcPr>
            <w:tcW w:w="21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8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698.508000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698.508000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80.361500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10" w:hRule="exact"/>
          <w:jc w:val="center"/>
        </w:trPr>
        <w:tc>
          <w:tcPr>
            <w:tcW w:w="5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83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531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400" w:hRule="exact"/>
          <w:jc w:val="center"/>
        </w:trPr>
        <w:tc>
          <w:tcPr>
            <w:tcW w:w="5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目标1：完成项目实施后，增强汽车制造与装配专业教学、培训能力，提高教学、培训质量。</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目标2：完成梅赛德斯精益生产标准化“现代化工厂”的建设，完成精益生产师资培训。</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目标3：项目建设后将在汽车制造与装配专业职业教育领域中体现高端引领作用。</w:t>
            </w:r>
          </w:p>
        </w:tc>
        <w:tc>
          <w:tcPr>
            <w:tcW w:w="5313"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建设完成“物流配送中心”、“汽车冲压工厂”、“汽车装焊工厂”、“汽车涂装工厂”、“汽车总装工厂”</w:t>
            </w:r>
            <w:r>
              <w:rPr>
                <w:rFonts w:ascii="仿宋_GB2312" w:hAnsi="宋体" w:eastAsia="仿宋_GB2312" w:cs="宋体"/>
                <w:kern w:val="0"/>
                <w:szCs w:val="21"/>
              </w:rPr>
              <w:t>5</w:t>
            </w:r>
            <w:r>
              <w:rPr>
                <w:rFonts w:hint="eastAsia" w:ascii="仿宋_GB2312" w:hAnsi="宋体" w:eastAsia="仿宋_GB2312" w:cs="宋体"/>
                <w:kern w:val="0"/>
                <w:szCs w:val="21"/>
              </w:rPr>
              <w:t>个模块及配套的实训演练设备</w:t>
            </w:r>
            <w:r>
              <w:rPr>
                <w:rFonts w:ascii="仿宋_GB2312" w:hAnsi="宋体" w:eastAsia="仿宋_GB2312" w:cs="宋体"/>
                <w:kern w:val="0"/>
                <w:szCs w:val="21"/>
              </w:rPr>
              <w:t>，</w:t>
            </w:r>
            <w:r>
              <w:rPr>
                <w:rFonts w:hint="eastAsia" w:ascii="仿宋_GB2312" w:hAnsi="宋体" w:eastAsia="仿宋_GB2312" w:cs="宋体"/>
                <w:kern w:val="0"/>
                <w:szCs w:val="21"/>
              </w:rPr>
              <w:t>以及融入生产计划管理、质量、销售、物流等制造环节，顺利通过各方验收。由厂家及北京奔驰培训师进行了多次教师培训，参训教师具备了教学培训能力，计划于2024年7月开始投入使用，用于学生及学员的相关培训。</w:t>
            </w:r>
          </w:p>
        </w:tc>
      </w:tr>
      <w:tr>
        <w:tblPrEx>
          <w:tblCellMar>
            <w:top w:w="0" w:type="dxa"/>
            <w:left w:w="108" w:type="dxa"/>
            <w:bottom w:w="0" w:type="dxa"/>
            <w:right w:w="108" w:type="dxa"/>
          </w:tblCellMar>
        </w:tblPrEx>
        <w:trPr>
          <w:trHeight w:val="830" w:hRule="exact"/>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5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359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58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50分)</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指标1：汽车总装生产线仿真智能制造实训模块</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指标2：汽车冲压生产线仿真智能制造实训模块</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指标3：汽车制造仿真物流培训模块</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指标4：汽车焊接生产线仿真智能制造实训模块</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指标5：虚拟涂装训练平台</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指标6：汽车制造生产线订单打散模块</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指标7：汽车制造四大工艺综合虚拟仿真数据中心</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指标8：总装定扭电动扳手</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10个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10个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指标9：数字式总装定扭电动扳手</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指标10：总装工具平衡器</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8个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8个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指标11：物流5-6层可调节运输（零件）架</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指标12：物流1-4层可调节架（物流）</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4个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4个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指标13：物流F架（物流）</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指标14：物流外部配送运货车（物流）</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1辆</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1辆</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指标15：物流定点配送车（第一轮，物流）</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1辆</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1辆</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指标16：物流紧急配送车（第一轮，物流）</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1辆</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1辆</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指标17：物流7-8层调节架（总装）</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指标18：物流线束序列（序列生产线）</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指标19：物流模拟停料库</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3个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3个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指标20：物流连接物料处理装置（第一轮，喷漆）</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指标21：物流返修操作台 （第一轮，喷漆）</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指标22：物流架子H （第一轮，装焊）</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指标23：物流中心缓冲器</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指标24：物流模块A</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指标25：物流模块C</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指标26：物流模块B</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指标27：物流架子9</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指标28：物流模块G</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指标29：物流模块I 小猪包</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指标30：物流D7和D8框架</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指标31：物流模块E</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指标32：喷枪</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4个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4个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指标33：喷漆旋转台</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指标34：制造生产系统生产数据总线射频感应模块</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74个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74个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指标35：生产数据总线头戴式全息数字终端</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指标36：工艺训练车壳</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200个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200个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指标37：工艺训练轮胎</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800个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800个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指标38：工艺训练动力单元模块</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200个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200个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指标39：工艺训练底盘</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200个</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200个</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3597"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Cs w:val="21"/>
              </w:rPr>
            </w:pPr>
            <w:r>
              <w:rPr>
                <w:rFonts w:ascii="仿宋_GB2312" w:hAnsi="宋体" w:eastAsia="仿宋_GB2312" w:cs="宋体"/>
                <w:kern w:val="0"/>
                <w:szCs w:val="21"/>
              </w:rPr>
              <w:t>指标1：设备质量合格率</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100%</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100%</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kern w:val="0"/>
                <w:szCs w:val="21"/>
              </w:rPr>
            </w:pPr>
            <w:r>
              <w:rPr>
                <w:rFonts w:ascii="仿宋_GB2312" w:hAnsi="宋体" w:eastAsia="仿宋_GB2312" w:cs="宋体"/>
                <w:kern w:val="0"/>
                <w:szCs w:val="21"/>
              </w:rPr>
              <w:t>指标2：安装工程验收合格率</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一次性全部通过验收，100%</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一次性全部通过验收，100%</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kern w:val="0"/>
                <w:szCs w:val="21"/>
              </w:rPr>
            </w:pPr>
            <w:r>
              <w:rPr>
                <w:rFonts w:ascii="仿宋_GB2312" w:hAnsi="宋体" w:eastAsia="仿宋_GB2312" w:cs="宋体"/>
                <w:kern w:val="0"/>
                <w:szCs w:val="21"/>
              </w:rPr>
              <w:t>指标3：国产化率符合规定</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100%</w:t>
            </w:r>
          </w:p>
        </w:tc>
        <w:tc>
          <w:tcPr>
            <w:tcW w:w="1330"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100%</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指标1：项目申报</w:t>
            </w:r>
          </w:p>
        </w:tc>
        <w:tc>
          <w:tcPr>
            <w:tcW w:w="1584" w:type="dxa"/>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2023年8月前</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023年</w:t>
            </w:r>
            <w:r>
              <w:rPr>
                <w:rFonts w:hint="eastAsia" w:ascii="仿宋_GB2312" w:hAnsi="宋体" w:eastAsia="仿宋_GB2312" w:cs="宋体"/>
                <w:kern w:val="0"/>
                <w:szCs w:val="21"/>
              </w:rPr>
              <w:t>8月</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39"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指标2：项目招标</w:t>
            </w:r>
          </w:p>
        </w:tc>
        <w:tc>
          <w:tcPr>
            <w:tcW w:w="1584" w:type="dxa"/>
            <w:tcBorders>
              <w:top w:val="single" w:color="auto" w:sz="4" w:space="0"/>
              <w:left w:val="nil"/>
              <w:bottom w:val="single" w:color="auto" w:sz="4" w:space="0"/>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2023年9月前</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023年</w:t>
            </w:r>
            <w:r>
              <w:rPr>
                <w:rFonts w:hint="eastAsia" w:ascii="仿宋_GB2312" w:hAnsi="宋体" w:eastAsia="仿宋_GB2312" w:cs="宋体"/>
                <w:kern w:val="0"/>
                <w:szCs w:val="21"/>
              </w:rPr>
              <w:t>1</w:t>
            </w:r>
            <w:r>
              <w:rPr>
                <w:rFonts w:ascii="仿宋_GB2312" w:hAnsi="宋体" w:eastAsia="仿宋_GB2312" w:cs="宋体"/>
                <w:kern w:val="0"/>
                <w:szCs w:val="21"/>
              </w:rPr>
              <w:t>1月</w:t>
            </w:r>
          </w:p>
        </w:tc>
        <w:tc>
          <w:tcPr>
            <w:tcW w:w="8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lang w:val="en-US" w:eastAsia="zh-CN"/>
              </w:rPr>
              <w:t>因资金落实</w:t>
            </w:r>
            <w:r>
              <w:rPr>
                <w:rFonts w:ascii="仿宋_GB2312" w:hAnsi="宋体" w:eastAsia="仿宋_GB2312" w:cs="宋体"/>
                <w:kern w:val="0"/>
                <w:szCs w:val="21"/>
              </w:rPr>
              <w:t>，导致</w:t>
            </w:r>
            <w:r>
              <w:rPr>
                <w:rFonts w:hint="eastAsia" w:ascii="仿宋_GB2312" w:hAnsi="宋体" w:eastAsia="仿宋_GB2312" w:cs="宋体"/>
                <w:kern w:val="0"/>
                <w:szCs w:val="21"/>
                <w:lang w:val="en-US" w:eastAsia="zh-CN"/>
              </w:rPr>
              <w:t>项目招投标流程滞后</w:t>
            </w:r>
            <w:r>
              <w:rPr>
                <w:rFonts w:ascii="仿宋_GB2312" w:hAnsi="宋体" w:eastAsia="仿宋_GB2312" w:cs="宋体"/>
                <w:kern w:val="0"/>
                <w:szCs w:val="21"/>
              </w:rPr>
              <w:t>。</w:t>
            </w:r>
          </w:p>
        </w:tc>
      </w:tr>
      <w:tr>
        <w:tblPrEx>
          <w:tblCellMar>
            <w:top w:w="0" w:type="dxa"/>
            <w:left w:w="108" w:type="dxa"/>
            <w:bottom w:w="0" w:type="dxa"/>
            <w:right w:w="108" w:type="dxa"/>
          </w:tblCellMar>
        </w:tblPrEx>
        <w:trPr>
          <w:trHeight w:val="61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指标3：项目实施</w:t>
            </w:r>
          </w:p>
        </w:tc>
        <w:tc>
          <w:tcPr>
            <w:tcW w:w="1584" w:type="dxa"/>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2023年11月前</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023年</w:t>
            </w:r>
            <w:r>
              <w:rPr>
                <w:rFonts w:hint="eastAsia" w:ascii="仿宋_GB2312" w:hAnsi="宋体" w:eastAsia="仿宋_GB2312" w:cs="宋体"/>
                <w:kern w:val="0"/>
                <w:szCs w:val="21"/>
              </w:rPr>
              <w:t>1</w:t>
            </w:r>
            <w:r>
              <w:rPr>
                <w:rFonts w:ascii="仿宋_GB2312" w:hAnsi="宋体" w:eastAsia="仿宋_GB2312" w:cs="宋体"/>
                <w:kern w:val="0"/>
                <w:szCs w:val="21"/>
              </w:rPr>
              <w:t>2月</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招标</w:t>
            </w:r>
            <w:r>
              <w:rPr>
                <w:rFonts w:ascii="仿宋_GB2312" w:hAnsi="宋体" w:eastAsia="仿宋_GB2312" w:cs="宋体"/>
                <w:kern w:val="0"/>
                <w:szCs w:val="21"/>
              </w:rPr>
              <w:t>延期</w:t>
            </w:r>
          </w:p>
        </w:tc>
      </w:tr>
      <w:tr>
        <w:tblPrEx>
          <w:tblCellMar>
            <w:top w:w="0" w:type="dxa"/>
            <w:left w:w="108" w:type="dxa"/>
            <w:bottom w:w="0" w:type="dxa"/>
            <w:right w:w="108" w:type="dxa"/>
          </w:tblCellMar>
        </w:tblPrEx>
        <w:trPr>
          <w:trHeight w:val="56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指标4：项目验收</w:t>
            </w:r>
          </w:p>
        </w:tc>
        <w:tc>
          <w:tcPr>
            <w:tcW w:w="1584" w:type="dxa"/>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2023年12月前</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023年</w:t>
            </w:r>
            <w:r>
              <w:rPr>
                <w:rFonts w:hint="eastAsia" w:ascii="仿宋_GB2312" w:hAnsi="宋体" w:eastAsia="仿宋_GB2312" w:cs="宋体"/>
                <w:kern w:val="0"/>
                <w:szCs w:val="21"/>
              </w:rPr>
              <w:t>1</w:t>
            </w:r>
            <w:r>
              <w:rPr>
                <w:rFonts w:ascii="仿宋_GB2312" w:hAnsi="宋体" w:eastAsia="仿宋_GB2312" w:cs="宋体"/>
                <w:kern w:val="0"/>
                <w:szCs w:val="21"/>
              </w:rPr>
              <w:t>2月</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招标</w:t>
            </w:r>
            <w:r>
              <w:rPr>
                <w:rFonts w:ascii="仿宋_GB2312" w:hAnsi="宋体" w:eastAsia="仿宋_GB2312" w:cs="宋体"/>
                <w:kern w:val="0"/>
                <w:szCs w:val="21"/>
              </w:rPr>
              <w:t>延期</w:t>
            </w:r>
          </w:p>
        </w:tc>
      </w:tr>
      <w:tr>
        <w:tblPrEx>
          <w:tblCellMar>
            <w:top w:w="0" w:type="dxa"/>
            <w:left w:w="108" w:type="dxa"/>
            <w:bottom w:w="0" w:type="dxa"/>
            <w:right w:w="108" w:type="dxa"/>
          </w:tblCellMar>
        </w:tblPrEx>
        <w:trPr>
          <w:trHeight w:val="1282"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指标5：支付进度</w:t>
            </w:r>
          </w:p>
        </w:tc>
        <w:tc>
          <w:tcPr>
            <w:tcW w:w="158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首款支付时间：2023年9月，尾款支付时间：2023年12月</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首款支付：</w:t>
            </w:r>
            <w:r>
              <w:rPr>
                <w:rFonts w:hint="eastAsia" w:ascii="仿宋_GB2312" w:hAnsi="宋体" w:eastAsia="仿宋_GB2312" w:cs="宋体"/>
                <w:kern w:val="0"/>
                <w:szCs w:val="21"/>
              </w:rPr>
              <w:t>2</w:t>
            </w:r>
            <w:r>
              <w:rPr>
                <w:rFonts w:ascii="仿宋_GB2312" w:hAnsi="宋体" w:eastAsia="仿宋_GB2312" w:cs="宋体"/>
                <w:kern w:val="0"/>
                <w:szCs w:val="21"/>
              </w:rPr>
              <w:t>023年</w:t>
            </w:r>
            <w:r>
              <w:rPr>
                <w:rFonts w:hint="eastAsia" w:ascii="仿宋_GB2312" w:hAnsi="宋体" w:eastAsia="仿宋_GB2312" w:cs="宋体"/>
                <w:kern w:val="0"/>
                <w:szCs w:val="21"/>
              </w:rPr>
              <w:t>1</w:t>
            </w:r>
            <w:r>
              <w:rPr>
                <w:rFonts w:ascii="仿宋_GB2312" w:hAnsi="宋体" w:eastAsia="仿宋_GB2312" w:cs="宋体"/>
                <w:kern w:val="0"/>
                <w:szCs w:val="21"/>
              </w:rPr>
              <w:t>1月；尾款支付：</w:t>
            </w:r>
            <w:r>
              <w:rPr>
                <w:rFonts w:hint="eastAsia" w:ascii="仿宋_GB2312" w:hAnsi="宋体" w:eastAsia="仿宋_GB2312" w:cs="宋体"/>
                <w:kern w:val="0"/>
                <w:szCs w:val="21"/>
              </w:rPr>
              <w:t>2</w:t>
            </w:r>
            <w:r>
              <w:rPr>
                <w:rFonts w:ascii="仿宋_GB2312" w:hAnsi="宋体" w:eastAsia="仿宋_GB2312" w:cs="宋体"/>
                <w:kern w:val="0"/>
                <w:szCs w:val="21"/>
              </w:rPr>
              <w:t>023年</w:t>
            </w:r>
            <w:r>
              <w:rPr>
                <w:rFonts w:hint="eastAsia" w:ascii="仿宋_GB2312" w:hAnsi="宋体" w:eastAsia="仿宋_GB2312" w:cs="宋体"/>
                <w:kern w:val="0"/>
                <w:szCs w:val="21"/>
              </w:rPr>
              <w:t>1</w:t>
            </w:r>
            <w:r>
              <w:rPr>
                <w:rFonts w:ascii="仿宋_GB2312" w:hAnsi="宋体" w:eastAsia="仿宋_GB2312" w:cs="宋体"/>
                <w:kern w:val="0"/>
                <w:szCs w:val="21"/>
              </w:rPr>
              <w:t>2月</w:t>
            </w:r>
          </w:p>
        </w:tc>
        <w:tc>
          <w:tcPr>
            <w:tcW w:w="8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ascii="仿宋_GB2312" w:hAnsi="宋体" w:eastAsia="仿宋_GB2312" w:cs="宋体"/>
                <w:kern w:val="0"/>
                <w:szCs w:val="21"/>
              </w:rPr>
              <w:t>2</w:t>
            </w:r>
          </w:p>
        </w:tc>
        <w:tc>
          <w:tcPr>
            <w:tcW w:w="883"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招标</w:t>
            </w:r>
            <w:r>
              <w:rPr>
                <w:rFonts w:ascii="仿宋_GB2312" w:hAnsi="宋体" w:eastAsia="仿宋_GB2312" w:cs="宋体"/>
                <w:kern w:val="0"/>
                <w:szCs w:val="21"/>
              </w:rPr>
              <w:t>延期</w:t>
            </w:r>
          </w:p>
        </w:tc>
      </w:tr>
      <w:tr>
        <w:tblPrEx>
          <w:tblCellMar>
            <w:top w:w="0" w:type="dxa"/>
            <w:left w:w="108" w:type="dxa"/>
            <w:bottom w:w="0" w:type="dxa"/>
            <w:right w:w="108" w:type="dxa"/>
          </w:tblCellMar>
        </w:tblPrEx>
        <w:trPr>
          <w:trHeight w:val="621"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指标1：总预算</w:t>
            </w:r>
          </w:p>
        </w:tc>
        <w:tc>
          <w:tcPr>
            <w:tcW w:w="1584" w:type="dxa"/>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≤698.5080万元</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680</w:t>
            </w:r>
            <w:r>
              <w:rPr>
                <w:rFonts w:hint="eastAsia" w:ascii="仿宋_GB2312" w:hAnsi="宋体" w:eastAsia="仿宋_GB2312" w:cs="宋体"/>
                <w:kern w:val="0"/>
                <w:szCs w:val="21"/>
              </w:rPr>
              <w:t>.</w:t>
            </w:r>
            <w:r>
              <w:rPr>
                <w:rFonts w:ascii="仿宋_GB2312" w:hAnsi="宋体" w:eastAsia="仿宋_GB2312" w:cs="宋体"/>
                <w:kern w:val="0"/>
                <w:szCs w:val="21"/>
              </w:rPr>
              <w:t>3615万元</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37"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指标2：成本监控</w:t>
            </w:r>
          </w:p>
        </w:tc>
        <w:tc>
          <w:tcPr>
            <w:tcW w:w="158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资金使用安全，无违规现象,不超过项目预算</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资金使用安全，无违规现象,不超过项目预算</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23"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30分)</w:t>
            </w:r>
          </w:p>
        </w:tc>
        <w:tc>
          <w:tcPr>
            <w:tcW w:w="155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597" w:type="dxa"/>
            <w:gridSpan w:val="3"/>
            <w:tcBorders>
              <w:top w:val="single" w:color="auto" w:sz="4" w:space="0"/>
              <w:left w:val="nil"/>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指标1：每年培训学生人次</w:t>
            </w:r>
          </w:p>
        </w:tc>
        <w:tc>
          <w:tcPr>
            <w:tcW w:w="1584" w:type="dxa"/>
            <w:tcBorders>
              <w:top w:val="single" w:color="auto" w:sz="4" w:space="0"/>
              <w:left w:val="nil"/>
              <w:right w:val="single" w:color="auto" w:sz="4" w:space="0"/>
            </w:tcBorders>
            <w:vAlign w:val="center"/>
          </w:tcPr>
          <w:p>
            <w:pPr>
              <w:jc w:val="center"/>
              <w:rPr>
                <w:rFonts w:asciiTheme="minorHAnsi" w:hAnsiTheme="minorHAnsi" w:eastAsiaTheme="minorEastAsia" w:cstheme="minorBidi"/>
                <w:kern w:val="2"/>
                <w:sz w:val="21"/>
                <w:szCs w:val="22"/>
                <w:lang w:val="en-US" w:eastAsia="zh-CN" w:bidi="ar-SA"/>
              </w:rPr>
            </w:pPr>
            <w:r>
              <w:rPr>
                <w:rFonts w:ascii="仿宋_GB2312" w:hAnsi="宋体" w:eastAsia="仿宋_GB2312" w:cs="宋体"/>
                <w:kern w:val="0"/>
                <w:szCs w:val="21"/>
              </w:rPr>
              <w:t>500</w:t>
            </w:r>
          </w:p>
        </w:tc>
        <w:tc>
          <w:tcPr>
            <w:tcW w:w="133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88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88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highlight w:val="none"/>
                <w:lang w:eastAsia="zh-CN"/>
              </w:rPr>
              <w:t>培训于</w:t>
            </w:r>
            <w:r>
              <w:rPr>
                <w:rFonts w:hint="eastAsia" w:ascii="仿宋_GB2312" w:hAnsi="宋体" w:eastAsia="仿宋_GB2312" w:cs="宋体"/>
                <w:kern w:val="0"/>
                <w:szCs w:val="21"/>
                <w:highlight w:val="none"/>
                <w:lang w:val="en-US" w:eastAsia="zh-CN"/>
              </w:rPr>
              <w:t>2024年6月开始进行</w:t>
            </w: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指标2：每年培训师资人数</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5</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6</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6</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指标3：设备利用率</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100%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6</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6</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6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3597" w:type="dxa"/>
            <w:gridSpan w:val="3"/>
            <w:tcBorders>
              <w:top w:val="single" w:color="auto" w:sz="4" w:space="0"/>
              <w:left w:val="nil"/>
              <w:bottom w:val="single" w:color="auto" w:sz="4" w:space="0"/>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指标1：设备使用年限</w:t>
            </w:r>
          </w:p>
        </w:tc>
        <w:tc>
          <w:tcPr>
            <w:tcW w:w="158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该套设备可持续使用10年</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宋体" w:eastAsia="仿宋_GB2312" w:cs="宋体"/>
                <w:kern w:val="0"/>
                <w:szCs w:val="21"/>
                <w:lang w:val="en-US" w:eastAsia="zh-CN"/>
              </w:rPr>
            </w:pPr>
            <w:r>
              <w:rPr>
                <w:rFonts w:ascii="仿宋_GB2312" w:hAnsi="宋体" w:eastAsia="仿宋_GB2312" w:cs="宋体"/>
                <w:kern w:val="0"/>
                <w:szCs w:val="21"/>
              </w:rPr>
              <w:t>设备</w:t>
            </w:r>
            <w:r>
              <w:rPr>
                <w:rFonts w:hint="eastAsia" w:ascii="仿宋_GB2312" w:hAnsi="宋体" w:eastAsia="仿宋_GB2312" w:cs="宋体"/>
                <w:kern w:val="0"/>
                <w:szCs w:val="21"/>
                <w:lang w:val="en-US" w:eastAsia="zh-CN"/>
              </w:rPr>
              <w:t>已完成安装调试，投入使用，资产已入固，报废年限10年</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8</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8</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5"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指标2：优化提升培训硬件设施，为社会提供更优质的社会服务</w:t>
            </w:r>
          </w:p>
        </w:tc>
        <w:tc>
          <w:tcPr>
            <w:tcW w:w="158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定性</w:t>
            </w:r>
          </w:p>
        </w:tc>
        <w:tc>
          <w:tcPr>
            <w:tcW w:w="133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好</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8</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8</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1"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0分)</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3597" w:type="dxa"/>
            <w:gridSpan w:val="3"/>
            <w:tcBorders>
              <w:top w:val="single" w:color="auto" w:sz="4" w:space="0"/>
              <w:left w:val="nil"/>
              <w:bottom w:val="single" w:color="auto" w:sz="4" w:space="0"/>
              <w:right w:val="single" w:color="auto" w:sz="4" w:space="0"/>
            </w:tcBorders>
          </w:tcPr>
          <w:p>
            <w:pPr>
              <w:rPr>
                <w:rFonts w:ascii="仿宋_GB2312" w:hAnsi="宋体" w:eastAsia="仿宋_GB2312" w:cs="宋体"/>
                <w:kern w:val="0"/>
                <w:szCs w:val="21"/>
              </w:rPr>
            </w:pPr>
            <w:r>
              <w:rPr>
                <w:rFonts w:ascii="仿宋_GB2312" w:hAnsi="宋体" w:eastAsia="仿宋_GB2312" w:cs="宋体"/>
                <w:kern w:val="0"/>
                <w:szCs w:val="21"/>
              </w:rPr>
              <w:t>指标1：教师满意度</w:t>
            </w:r>
          </w:p>
        </w:tc>
        <w:tc>
          <w:tcPr>
            <w:tcW w:w="1584" w:type="dxa"/>
            <w:tcBorders>
              <w:top w:val="single" w:color="auto" w:sz="4" w:space="0"/>
              <w:left w:val="nil"/>
              <w:bottom w:val="single" w:color="auto" w:sz="4" w:space="0"/>
              <w:right w:val="single" w:color="auto" w:sz="4" w:space="0"/>
            </w:tcBorders>
          </w:tcPr>
          <w:p>
            <w:pPr>
              <w:jc w:val="center"/>
              <w:rPr>
                <w:rFonts w:ascii="仿宋_GB2312" w:hAnsi="宋体" w:eastAsia="仿宋_GB2312" w:cs="宋体"/>
                <w:kern w:val="0"/>
                <w:szCs w:val="21"/>
              </w:rPr>
            </w:pPr>
            <w:r>
              <w:rPr>
                <w:rFonts w:ascii="仿宋_GB2312" w:hAnsi="宋体" w:eastAsia="仿宋_GB2312" w:cs="宋体"/>
                <w:kern w:val="0"/>
                <w:szCs w:val="21"/>
              </w:rPr>
              <w:t>达到90%以上</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94.77%</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97"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97" w:type="dxa"/>
            <w:gridSpan w:val="3"/>
            <w:tcBorders>
              <w:top w:val="single" w:color="auto" w:sz="4" w:space="0"/>
              <w:left w:val="nil"/>
              <w:bottom w:val="single" w:color="auto" w:sz="4" w:space="0"/>
              <w:right w:val="single" w:color="auto" w:sz="4" w:space="0"/>
            </w:tcBorders>
            <w:vAlign w:val="center"/>
          </w:tcPr>
          <w:p>
            <w:pPr>
              <w:rPr>
                <w:rFonts w:ascii="仿宋_GB2312" w:hAnsi="宋体" w:eastAsia="仿宋_GB2312" w:cs="宋体"/>
                <w:kern w:val="0"/>
                <w:szCs w:val="21"/>
              </w:rPr>
            </w:pPr>
            <w:r>
              <w:rPr>
                <w:rFonts w:ascii="仿宋_GB2312" w:hAnsi="宋体" w:eastAsia="仿宋_GB2312" w:cs="宋体"/>
                <w:kern w:val="0"/>
                <w:szCs w:val="21"/>
              </w:rPr>
              <w:t>指标2：学生满意度</w:t>
            </w:r>
          </w:p>
        </w:tc>
        <w:tc>
          <w:tcPr>
            <w:tcW w:w="158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ascii="仿宋_GB2312" w:hAnsi="宋体" w:eastAsia="仿宋_GB2312" w:cs="宋体"/>
                <w:kern w:val="0"/>
                <w:szCs w:val="21"/>
              </w:rPr>
              <w:t>达到90%以上</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学生</w:t>
            </w:r>
            <w:r>
              <w:rPr>
                <w:rFonts w:ascii="仿宋_GB2312" w:hAnsi="宋体" w:eastAsia="仿宋_GB2312" w:cs="宋体"/>
                <w:kern w:val="0"/>
                <w:szCs w:val="21"/>
                <w:highlight w:val="none"/>
              </w:rPr>
              <w:t>培训预计</w:t>
            </w:r>
            <w:r>
              <w:rPr>
                <w:rFonts w:hint="eastAsia" w:ascii="仿宋_GB2312" w:hAnsi="宋体" w:eastAsia="仿宋_GB2312" w:cs="宋体"/>
                <w:kern w:val="0"/>
                <w:szCs w:val="21"/>
                <w:highlight w:val="none"/>
              </w:rPr>
              <w:t>2024.</w:t>
            </w:r>
            <w:r>
              <w:rPr>
                <w:rFonts w:hint="eastAsia" w:ascii="仿宋_GB2312" w:hAnsi="宋体" w:eastAsia="仿宋_GB2312" w:cs="宋体"/>
                <w:kern w:val="0"/>
                <w:szCs w:val="21"/>
                <w:highlight w:val="none"/>
                <w:lang w:val="en-US" w:eastAsia="zh-CN"/>
              </w:rPr>
              <w:t>6</w:t>
            </w:r>
            <w:r>
              <w:rPr>
                <w:rFonts w:hint="eastAsia" w:ascii="仿宋_GB2312" w:hAnsi="宋体" w:eastAsia="仿宋_GB2312" w:cs="宋体"/>
                <w:kern w:val="0"/>
                <w:szCs w:val="21"/>
                <w:highlight w:val="none"/>
              </w:rPr>
              <w:t>开展</w:t>
            </w:r>
          </w:p>
        </w:tc>
      </w:tr>
      <w:tr>
        <w:tblPrEx>
          <w:tblCellMar>
            <w:top w:w="0" w:type="dxa"/>
            <w:left w:w="108" w:type="dxa"/>
            <w:bottom w:w="0" w:type="dxa"/>
            <w:right w:w="108" w:type="dxa"/>
          </w:tblCellMar>
        </w:tblPrEx>
        <w:trPr>
          <w:trHeight w:val="477" w:hRule="exact"/>
          <w:jc w:val="center"/>
        </w:trPr>
        <w:tc>
          <w:tcPr>
            <w:tcW w:w="1019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0</w:t>
            </w:r>
            <w:r>
              <w:rPr>
                <w:rFonts w:hint="eastAsia" w:ascii="仿宋_GB2312" w:hAnsi="宋体" w:eastAsia="仿宋_GB2312" w:cs="宋体"/>
                <w:color w:val="000000"/>
                <w:kern w:val="0"/>
                <w:szCs w:val="21"/>
              </w:rPr>
              <w:t>.74</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widowControl/>
        <w:spacing w:line="600" w:lineRule="exact"/>
        <w:jc w:val="left"/>
      </w:pPr>
    </w:p>
    <w:sectPr>
      <w:pgSz w:w="16838" w:h="11906" w:orient="landscape"/>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C37C23-1F9E-4B1B-8829-3E2A07C35F5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7AAC26C-8CAD-4286-8210-0E06E1D86C34}"/>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433329E0-B6AE-4032-ADDB-43797FE1BFE6}"/>
  </w:font>
  <w:font w:name="仿宋_GB2312">
    <w:altName w:val="仿宋"/>
    <w:panose1 w:val="00000000000000000000"/>
    <w:charset w:val="86"/>
    <w:family w:val="modern"/>
    <w:pitch w:val="default"/>
    <w:sig w:usb0="00000000" w:usb1="00000000" w:usb2="00000000" w:usb3="00000000" w:csb0="00040000" w:csb1="00000000"/>
    <w:embedRegular r:id="rId4" w:fontKey="{46908D5B-2019-464D-BF60-B454AF5EF9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mZDE2OTkxMDU5MzU3Y2FhNzcwNjFhNTQ1MTZmNzEifQ=="/>
  </w:docVars>
  <w:rsids>
    <w:rsidRoot w:val="00A953AC"/>
    <w:rsid w:val="0005386B"/>
    <w:rsid w:val="00081390"/>
    <w:rsid w:val="001252CA"/>
    <w:rsid w:val="00156338"/>
    <w:rsid w:val="00200772"/>
    <w:rsid w:val="002C166D"/>
    <w:rsid w:val="002E0DF5"/>
    <w:rsid w:val="003100E3"/>
    <w:rsid w:val="00325DBE"/>
    <w:rsid w:val="003871BE"/>
    <w:rsid w:val="003915A1"/>
    <w:rsid w:val="00397414"/>
    <w:rsid w:val="003A02C2"/>
    <w:rsid w:val="003B7271"/>
    <w:rsid w:val="003C3D0F"/>
    <w:rsid w:val="00462263"/>
    <w:rsid w:val="00462F55"/>
    <w:rsid w:val="00485EDF"/>
    <w:rsid w:val="004C4956"/>
    <w:rsid w:val="004E6556"/>
    <w:rsid w:val="00534CDC"/>
    <w:rsid w:val="005B7F61"/>
    <w:rsid w:val="005E3C4A"/>
    <w:rsid w:val="006130AD"/>
    <w:rsid w:val="00692A41"/>
    <w:rsid w:val="006F40AC"/>
    <w:rsid w:val="007069F0"/>
    <w:rsid w:val="00735AAD"/>
    <w:rsid w:val="00735CF0"/>
    <w:rsid w:val="00772873"/>
    <w:rsid w:val="007811CB"/>
    <w:rsid w:val="007E1D54"/>
    <w:rsid w:val="00825509"/>
    <w:rsid w:val="008510F2"/>
    <w:rsid w:val="00944D34"/>
    <w:rsid w:val="00957D1D"/>
    <w:rsid w:val="00961936"/>
    <w:rsid w:val="00A45BCD"/>
    <w:rsid w:val="00A70BA2"/>
    <w:rsid w:val="00A953AC"/>
    <w:rsid w:val="00BB54BD"/>
    <w:rsid w:val="00C425B1"/>
    <w:rsid w:val="00CC4087"/>
    <w:rsid w:val="00D75795"/>
    <w:rsid w:val="00E423A4"/>
    <w:rsid w:val="00EC1FB3"/>
    <w:rsid w:val="00ED5EFB"/>
    <w:rsid w:val="00EE611A"/>
    <w:rsid w:val="00F8119F"/>
    <w:rsid w:val="00FD5D05"/>
    <w:rsid w:val="11CA06CC"/>
    <w:rsid w:val="1EE61915"/>
    <w:rsid w:val="282B5B98"/>
    <w:rsid w:val="31520AC8"/>
    <w:rsid w:val="3E4377BA"/>
    <w:rsid w:val="4457303B"/>
    <w:rsid w:val="6BA94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2150</Words>
  <Characters>2584</Characters>
  <Lines>23</Lines>
  <Paragraphs>6</Paragraphs>
  <TotalTime>0</TotalTime>
  <ScaleCrop>false</ScaleCrop>
  <LinksUpToDate>false</LinksUpToDate>
  <CharactersWithSpaces>2603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2021-03-30T07:31:00Z</dcterms:created>
  <dc:creator>Windows User</dc:creator>
  <cp:lastModifiedBy>LEE</cp:lastModifiedBy>
  <dcterms:modified xsi:type="dcterms:W3CDTF">2024-05-15T01:15:43Z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748CA379D42A45DD8490C078BC417052_12</vt:lpwstr>
  </property>
</Properties>
</file>