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52"/>
          <w:szCs w:val="52"/>
        </w:rPr>
      </w:pPr>
    </w:p>
    <w:p>
      <w:pPr>
        <w:jc w:val="center"/>
        <w:rPr>
          <w:b/>
          <w:bCs/>
          <w:sz w:val="52"/>
          <w:szCs w:val="52"/>
        </w:rPr>
      </w:pPr>
    </w:p>
    <w:p>
      <w:pPr>
        <w:pStyle w:val="9"/>
        <w:rPr>
          <w:b/>
          <w:bCs/>
          <w:sz w:val="52"/>
          <w:szCs w:val="52"/>
        </w:rPr>
      </w:pPr>
    </w:p>
    <w:p/>
    <w:p>
      <w:pPr>
        <w:jc w:val="center"/>
        <w:rPr>
          <w:rFonts w:ascii="宋体" w:hAnsi="宋体" w:cs="宋体"/>
          <w:b/>
          <w:bCs/>
          <w:sz w:val="52"/>
          <w:szCs w:val="52"/>
        </w:rPr>
      </w:pPr>
      <w:r>
        <w:rPr>
          <w:rFonts w:hint="eastAsia" w:ascii="宋体" w:hAnsi="宋体" w:cs="宋体"/>
          <w:b/>
          <w:bCs/>
          <w:sz w:val="52"/>
          <w:szCs w:val="52"/>
        </w:rPr>
        <w:t>北京市人民检察院第二分院</w:t>
      </w:r>
    </w:p>
    <w:p>
      <w:pPr>
        <w:jc w:val="center"/>
        <w:rPr>
          <w:rFonts w:ascii="宋体" w:hAnsi="宋体" w:cs="宋体"/>
          <w:b/>
          <w:bCs/>
          <w:sz w:val="52"/>
          <w:szCs w:val="52"/>
        </w:rPr>
      </w:pPr>
    </w:p>
    <w:p>
      <w:pPr>
        <w:jc w:val="center"/>
        <w:rPr>
          <w:rFonts w:ascii="宋体" w:hAnsi="宋体" w:cs="宋体"/>
          <w:b/>
          <w:bCs/>
          <w:sz w:val="52"/>
          <w:szCs w:val="52"/>
        </w:rPr>
      </w:pPr>
      <w:r>
        <w:rPr>
          <w:rFonts w:hint="eastAsia" w:ascii="宋体" w:hAnsi="宋体" w:cs="宋体"/>
          <w:b/>
          <w:bCs/>
          <w:sz w:val="52"/>
          <w:szCs w:val="52"/>
        </w:rPr>
        <w:t>2023年度部门整体绩效评价报告</w:t>
      </w:r>
    </w:p>
    <w:p>
      <w:pPr>
        <w:spacing w:line="560" w:lineRule="exact"/>
        <w:jc w:val="center"/>
        <w:rPr>
          <w:rFonts w:ascii="方正小标宋简体" w:eastAsia="方正小标宋简体"/>
          <w:sz w:val="36"/>
          <w:szCs w:val="36"/>
        </w:rPr>
      </w:pPr>
    </w:p>
    <w:p>
      <w:pPr>
        <w:pStyle w:val="16"/>
        <w:ind w:firstLine="720"/>
        <w:rPr>
          <w:rFonts w:ascii="方正小标宋简体" w:eastAsia="方正小标宋简体"/>
          <w:sz w:val="36"/>
          <w:szCs w:val="36"/>
        </w:rPr>
      </w:pPr>
    </w:p>
    <w:p>
      <w:pPr>
        <w:pStyle w:val="16"/>
        <w:ind w:firstLine="720"/>
        <w:rPr>
          <w:rFonts w:ascii="方正小标宋简体" w:eastAsia="方正小标宋简体"/>
          <w:sz w:val="36"/>
          <w:szCs w:val="36"/>
        </w:rPr>
      </w:pPr>
    </w:p>
    <w:p>
      <w:pPr>
        <w:pStyle w:val="16"/>
        <w:ind w:firstLine="720"/>
        <w:rPr>
          <w:rFonts w:ascii="方正小标宋简体" w:eastAsia="方正小标宋简体"/>
          <w:sz w:val="36"/>
          <w:szCs w:val="36"/>
        </w:rPr>
      </w:pPr>
    </w:p>
    <w:p>
      <w:pPr>
        <w:pStyle w:val="16"/>
        <w:ind w:firstLine="720"/>
        <w:rPr>
          <w:rFonts w:ascii="方正小标宋简体" w:eastAsia="方正小标宋简体"/>
          <w:sz w:val="36"/>
          <w:szCs w:val="36"/>
        </w:rPr>
      </w:pPr>
    </w:p>
    <w:p>
      <w:pPr>
        <w:pStyle w:val="16"/>
        <w:ind w:firstLine="720"/>
        <w:rPr>
          <w:rFonts w:ascii="方正小标宋简体" w:eastAsia="方正小标宋简体"/>
          <w:sz w:val="36"/>
          <w:szCs w:val="36"/>
        </w:rPr>
      </w:pPr>
    </w:p>
    <w:p>
      <w:pPr>
        <w:jc w:val="center"/>
        <w:rPr>
          <w:rFonts w:ascii="宋体" w:hAnsi="宋体" w:cs="宋体"/>
          <w:bCs/>
          <w:sz w:val="36"/>
          <w:szCs w:val="36"/>
        </w:rPr>
      </w:pPr>
    </w:p>
    <w:p>
      <w:pPr>
        <w:spacing w:line="480" w:lineRule="auto"/>
        <w:jc w:val="center"/>
        <w:rPr>
          <w:rFonts w:ascii="方正小标宋简体" w:eastAsia="方正小标宋简体"/>
          <w:sz w:val="48"/>
          <w:szCs w:val="48"/>
        </w:rPr>
      </w:pPr>
      <w:r>
        <w:rPr>
          <w:rFonts w:hint="eastAsia" w:ascii="黑体" w:eastAsia="黑体"/>
          <w:b/>
          <w:sz w:val="36"/>
          <w:szCs w:val="21"/>
        </w:rPr>
        <w:t>2024年5月</w:t>
      </w:r>
      <w:r>
        <w:rPr>
          <w:rFonts w:ascii="方正小标宋简体" w:eastAsia="方正小标宋简体"/>
          <w:sz w:val="48"/>
          <w:szCs w:val="48"/>
        </w:rPr>
        <w:br w:type="page"/>
      </w:r>
    </w:p>
    <w:sdt>
      <w:sdtPr>
        <w:rPr>
          <w:rFonts w:ascii="宋体" w:hAnsi="宋体"/>
        </w:rPr>
        <w:id w:val="147473636"/>
        <w:docPartObj>
          <w:docPartGallery w:val="Table of Contents"/>
          <w:docPartUnique/>
        </w:docPartObj>
      </w:sdtPr>
      <w:sdtEndPr>
        <w:rPr>
          <w:rFonts w:hint="eastAsia" w:ascii="仿宋_GB2312" w:hAnsi="仿宋_GB2312" w:eastAsia="仿宋_GB2312" w:cs="仿宋_GB2312"/>
          <w:sz w:val="28"/>
          <w:szCs w:val="28"/>
        </w:rPr>
      </w:sdtEndPr>
      <w:sdtContent>
        <w:p>
          <w:pPr>
            <w:spacing w:line="480" w:lineRule="auto"/>
            <w:jc w:val="center"/>
            <w:rPr>
              <w:rFonts w:ascii="仿宋_GB2312" w:eastAsia="仿宋_GB2312"/>
              <w:sz w:val="44"/>
              <w:szCs w:val="44"/>
              <w:lang w:val="zh-CN"/>
            </w:rPr>
          </w:pPr>
          <w:r>
            <w:rPr>
              <w:rFonts w:ascii="仿宋_GB2312" w:eastAsia="仿宋_GB2312"/>
              <w:sz w:val="44"/>
              <w:szCs w:val="44"/>
              <w:lang w:val="zh-CN"/>
            </w:rPr>
            <w:t>目</w:t>
          </w:r>
          <w:r>
            <w:rPr>
              <w:rFonts w:hint="eastAsia" w:ascii="仿宋_GB2312" w:eastAsia="仿宋_GB2312"/>
              <w:sz w:val="44"/>
              <w:szCs w:val="44"/>
              <w:lang w:val="zh-CN"/>
            </w:rPr>
            <w:t xml:space="preserve">  </w:t>
          </w:r>
          <w:r>
            <w:rPr>
              <w:rFonts w:ascii="仿宋_GB2312" w:eastAsia="仿宋_GB2312"/>
              <w:sz w:val="44"/>
              <w:szCs w:val="44"/>
              <w:lang w:val="zh-CN"/>
            </w:rPr>
            <w:t>录</w:t>
          </w:r>
        </w:p>
        <w:p>
          <w:pPr>
            <w:pStyle w:val="13"/>
            <w:tabs>
              <w:tab w:val="right" w:leader="dot" w:pos="8306"/>
            </w:tabs>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kern w:val="0"/>
              <w:sz w:val="28"/>
              <w:szCs w:val="28"/>
            </w:rPr>
            <w:fldChar w:fldCharType="begin"/>
          </w:r>
          <w:r>
            <w:rPr>
              <w:rStyle w:val="19"/>
              <w:rFonts w:hint="eastAsia" w:ascii="仿宋_GB2312" w:hAnsi="仿宋_GB2312" w:eastAsia="仿宋_GB2312" w:cs="仿宋_GB2312"/>
              <w:b/>
              <w:bCs/>
              <w:color w:val="auto"/>
              <w:kern w:val="0"/>
              <w:sz w:val="28"/>
              <w:szCs w:val="28"/>
            </w:rPr>
            <w:instrText xml:space="preserve"> TOC \o "1-3" \h \z \u </w:instrText>
          </w:r>
          <w:r>
            <w:rPr>
              <w:rFonts w:hint="eastAsia" w:ascii="仿宋_GB2312" w:hAnsi="仿宋_GB2312" w:eastAsia="仿宋_GB2312" w:cs="仿宋_GB2312"/>
              <w:b/>
              <w:bCs/>
              <w:kern w:val="0"/>
              <w:sz w:val="28"/>
              <w:szCs w:val="28"/>
            </w:rPr>
            <w:fldChar w:fldCharType="separate"/>
          </w:r>
          <w:r>
            <w:fldChar w:fldCharType="begin"/>
          </w:r>
          <w:r>
            <w:instrText xml:space="preserve"> HYPERLINK \l "_Toc71" </w:instrText>
          </w:r>
          <w:r>
            <w:fldChar w:fldCharType="separate"/>
          </w:r>
          <w:r>
            <w:rPr>
              <w:rFonts w:hint="eastAsia" w:ascii="仿宋_GB2312" w:hAnsi="仿宋_GB2312" w:eastAsia="仿宋_GB2312" w:cs="仿宋_GB2312"/>
              <w:b/>
              <w:bCs/>
              <w:sz w:val="28"/>
              <w:szCs w:val="28"/>
            </w:rPr>
            <w:t>一、部门概况</w:t>
          </w:r>
          <w:r>
            <w:rPr>
              <w:rFonts w:hint="eastAsia" w:ascii="仿宋_GB2312" w:hAnsi="仿宋_GB2312" w:eastAsia="仿宋_GB2312" w:cs="仿宋_GB2312"/>
              <w:b/>
              <w:bCs/>
              <w:sz w:val="28"/>
              <w:szCs w:val="28"/>
            </w:rPr>
            <w:tab/>
          </w:r>
          <w:r>
            <w:rPr>
              <w:rFonts w:hint="eastAsia" w:ascii="仿宋_GB2312" w:hAnsi="仿宋_GB2312" w:eastAsia="仿宋_GB2312" w:cs="仿宋_GB2312"/>
              <w:b/>
              <w:bCs/>
              <w:sz w:val="28"/>
              <w:szCs w:val="28"/>
            </w:rPr>
            <w:fldChar w:fldCharType="begin"/>
          </w:r>
          <w:r>
            <w:rPr>
              <w:rFonts w:hint="eastAsia" w:ascii="仿宋_GB2312" w:hAnsi="仿宋_GB2312" w:eastAsia="仿宋_GB2312" w:cs="仿宋_GB2312"/>
              <w:b/>
              <w:bCs/>
              <w:sz w:val="28"/>
              <w:szCs w:val="28"/>
            </w:rPr>
            <w:instrText xml:space="preserve"> PAGEREF _Toc71 \h </w:instrText>
          </w:r>
          <w:r>
            <w:rPr>
              <w:rFonts w:hint="eastAsia" w:ascii="仿宋_GB2312" w:hAnsi="仿宋_GB2312" w:eastAsia="仿宋_GB2312" w:cs="仿宋_GB2312"/>
              <w:b/>
              <w:bCs/>
              <w:sz w:val="28"/>
              <w:szCs w:val="28"/>
            </w:rPr>
            <w:fldChar w:fldCharType="separate"/>
          </w:r>
          <w:r>
            <w:rPr>
              <w:rFonts w:hint="eastAsia" w:ascii="仿宋_GB2312" w:hAnsi="仿宋_GB2312" w:eastAsia="仿宋_GB2312" w:cs="仿宋_GB2312"/>
              <w:b/>
              <w:bCs/>
              <w:sz w:val="28"/>
              <w:szCs w:val="28"/>
            </w:rPr>
            <w:t>1</w:t>
          </w:r>
          <w:r>
            <w:rPr>
              <w:rFonts w:hint="eastAsia" w:ascii="仿宋_GB2312" w:hAnsi="仿宋_GB2312" w:eastAsia="仿宋_GB2312" w:cs="仿宋_GB2312"/>
              <w:b/>
              <w:bCs/>
              <w:sz w:val="28"/>
              <w:szCs w:val="28"/>
            </w:rPr>
            <w:fldChar w:fldCharType="end"/>
          </w:r>
          <w:r>
            <w:rPr>
              <w:rFonts w:hint="eastAsia" w:ascii="仿宋_GB2312" w:hAnsi="仿宋_GB2312" w:eastAsia="仿宋_GB2312" w:cs="仿宋_GB2312"/>
              <w:b/>
              <w:bCs/>
              <w:sz w:val="28"/>
              <w:szCs w:val="28"/>
            </w:rPr>
            <w:fldChar w:fldCharType="end"/>
          </w:r>
        </w:p>
        <w:p>
          <w:pPr>
            <w:pStyle w:val="14"/>
            <w:tabs>
              <w:tab w:val="right" w:leader="dot" w:pos="8306"/>
            </w:tabs>
            <w:spacing w:line="360" w:lineRule="auto"/>
            <w:rPr>
              <w:rFonts w:ascii="仿宋_GB2312" w:hAnsi="仿宋_GB2312" w:eastAsia="仿宋_GB2312" w:cs="仿宋_GB2312"/>
              <w:sz w:val="28"/>
              <w:szCs w:val="28"/>
            </w:rPr>
          </w:pPr>
          <w:r>
            <w:fldChar w:fldCharType="begin"/>
          </w:r>
          <w:r>
            <w:instrText xml:space="preserve"> HYPERLINK \l "_Toc32272" </w:instrText>
          </w:r>
          <w:r>
            <w:fldChar w:fldCharType="separate"/>
          </w:r>
          <w:r>
            <w:rPr>
              <w:rFonts w:hint="eastAsia" w:ascii="仿宋_GB2312" w:hAnsi="仿宋_GB2312" w:eastAsia="仿宋_GB2312" w:cs="仿宋_GB2312"/>
              <w:sz w:val="28"/>
              <w:szCs w:val="28"/>
            </w:rPr>
            <w:t>（一）机构设置及职责工作任务情况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_Toc32272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4"/>
            <w:tabs>
              <w:tab w:val="right" w:leader="dot" w:pos="8306"/>
            </w:tabs>
            <w:spacing w:line="360" w:lineRule="auto"/>
            <w:rPr>
              <w:rFonts w:ascii="仿宋_GB2312" w:hAnsi="仿宋_GB2312" w:eastAsia="仿宋_GB2312" w:cs="仿宋_GB2312"/>
              <w:sz w:val="28"/>
              <w:szCs w:val="28"/>
            </w:rPr>
          </w:pPr>
          <w:r>
            <w:fldChar w:fldCharType="begin"/>
          </w:r>
          <w:r>
            <w:instrText xml:space="preserve"> HYPERLINK \l "_Toc31044" </w:instrText>
          </w:r>
          <w:r>
            <w:fldChar w:fldCharType="separate"/>
          </w:r>
          <w:r>
            <w:rPr>
              <w:rFonts w:hint="eastAsia" w:ascii="仿宋_GB2312" w:hAnsi="仿宋_GB2312" w:eastAsia="仿宋_GB2312" w:cs="仿宋_GB2312"/>
              <w:sz w:val="28"/>
              <w:szCs w:val="28"/>
            </w:rPr>
            <w:t>（二）部门整体绩效目标设立情况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_Toc31044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3"/>
            <w:tabs>
              <w:tab w:val="right" w:leader="dot" w:pos="8306"/>
            </w:tabs>
            <w:spacing w:line="360" w:lineRule="auto"/>
            <w:rPr>
              <w:rFonts w:ascii="仿宋_GB2312" w:hAnsi="仿宋_GB2312" w:eastAsia="仿宋_GB2312" w:cs="仿宋_GB2312"/>
              <w:b/>
              <w:bCs/>
              <w:sz w:val="28"/>
              <w:szCs w:val="28"/>
            </w:rPr>
          </w:pPr>
          <w:r>
            <w:fldChar w:fldCharType="begin"/>
          </w:r>
          <w:r>
            <w:instrText xml:space="preserve"> HYPERLINK \l "_Toc20399" </w:instrText>
          </w:r>
          <w:r>
            <w:fldChar w:fldCharType="separate"/>
          </w:r>
          <w:r>
            <w:rPr>
              <w:rFonts w:hint="eastAsia" w:ascii="仿宋_GB2312" w:hAnsi="仿宋_GB2312" w:eastAsia="仿宋_GB2312" w:cs="仿宋_GB2312"/>
              <w:b/>
              <w:bCs/>
              <w:sz w:val="28"/>
              <w:szCs w:val="28"/>
            </w:rPr>
            <w:t>二、当年预算执行情况</w:t>
          </w:r>
          <w:r>
            <w:rPr>
              <w:rFonts w:hint="eastAsia" w:ascii="仿宋_GB2312" w:hAnsi="仿宋_GB2312" w:eastAsia="仿宋_GB2312" w:cs="仿宋_GB2312"/>
              <w:b/>
              <w:bCs/>
              <w:sz w:val="28"/>
              <w:szCs w:val="28"/>
            </w:rPr>
            <w:tab/>
          </w:r>
          <w:r>
            <w:rPr>
              <w:rFonts w:hint="eastAsia" w:ascii="仿宋_GB2312" w:hAnsi="仿宋_GB2312" w:eastAsia="仿宋_GB2312" w:cs="仿宋_GB2312"/>
              <w:b/>
              <w:bCs/>
              <w:sz w:val="28"/>
              <w:szCs w:val="28"/>
            </w:rPr>
            <w:fldChar w:fldCharType="begin"/>
          </w:r>
          <w:r>
            <w:rPr>
              <w:rFonts w:hint="eastAsia" w:ascii="仿宋_GB2312" w:hAnsi="仿宋_GB2312" w:eastAsia="仿宋_GB2312" w:cs="仿宋_GB2312"/>
              <w:b/>
              <w:bCs/>
              <w:sz w:val="28"/>
              <w:szCs w:val="28"/>
            </w:rPr>
            <w:instrText xml:space="preserve"> PAGEREF _Toc20399 \h </w:instrText>
          </w:r>
          <w:r>
            <w:rPr>
              <w:rFonts w:hint="eastAsia" w:ascii="仿宋_GB2312" w:hAnsi="仿宋_GB2312" w:eastAsia="仿宋_GB2312" w:cs="仿宋_GB2312"/>
              <w:b/>
              <w:bCs/>
              <w:sz w:val="28"/>
              <w:szCs w:val="28"/>
            </w:rPr>
            <w:fldChar w:fldCharType="separate"/>
          </w:r>
          <w:r>
            <w:rPr>
              <w:rFonts w:hint="eastAsia" w:ascii="仿宋_GB2312" w:hAnsi="仿宋_GB2312" w:eastAsia="仿宋_GB2312" w:cs="仿宋_GB2312"/>
              <w:b/>
              <w:bCs/>
              <w:sz w:val="28"/>
              <w:szCs w:val="28"/>
            </w:rPr>
            <w:t>3</w:t>
          </w:r>
          <w:r>
            <w:rPr>
              <w:rFonts w:hint="eastAsia" w:ascii="仿宋_GB2312" w:hAnsi="仿宋_GB2312" w:eastAsia="仿宋_GB2312" w:cs="仿宋_GB2312"/>
              <w:b/>
              <w:bCs/>
              <w:sz w:val="28"/>
              <w:szCs w:val="28"/>
            </w:rPr>
            <w:fldChar w:fldCharType="end"/>
          </w:r>
          <w:r>
            <w:rPr>
              <w:rFonts w:hint="eastAsia" w:ascii="仿宋_GB2312" w:hAnsi="仿宋_GB2312" w:eastAsia="仿宋_GB2312" w:cs="仿宋_GB2312"/>
              <w:b/>
              <w:bCs/>
              <w:sz w:val="28"/>
              <w:szCs w:val="28"/>
            </w:rPr>
            <w:fldChar w:fldCharType="end"/>
          </w:r>
        </w:p>
        <w:p>
          <w:pPr>
            <w:pStyle w:val="13"/>
            <w:tabs>
              <w:tab w:val="right" w:leader="dot" w:pos="8306"/>
            </w:tabs>
            <w:spacing w:line="360" w:lineRule="auto"/>
            <w:rPr>
              <w:rFonts w:ascii="仿宋_GB2312" w:hAnsi="仿宋_GB2312" w:eastAsia="仿宋_GB2312" w:cs="仿宋_GB2312"/>
              <w:b/>
              <w:bCs/>
              <w:sz w:val="28"/>
              <w:szCs w:val="28"/>
            </w:rPr>
          </w:pPr>
          <w:r>
            <w:fldChar w:fldCharType="begin"/>
          </w:r>
          <w:r>
            <w:instrText xml:space="preserve"> HYPERLINK \l "_Toc17225" </w:instrText>
          </w:r>
          <w:r>
            <w:fldChar w:fldCharType="separate"/>
          </w:r>
          <w:r>
            <w:rPr>
              <w:rFonts w:hint="eastAsia" w:ascii="仿宋_GB2312" w:hAnsi="仿宋_GB2312" w:eastAsia="仿宋_GB2312" w:cs="仿宋_GB2312"/>
              <w:b/>
              <w:bCs/>
              <w:sz w:val="28"/>
              <w:szCs w:val="28"/>
            </w:rPr>
            <w:t>三、整体绩效目标实现情况</w:t>
          </w:r>
          <w:r>
            <w:rPr>
              <w:rFonts w:hint="eastAsia" w:ascii="仿宋_GB2312" w:hAnsi="仿宋_GB2312" w:eastAsia="仿宋_GB2312" w:cs="仿宋_GB2312"/>
              <w:b/>
              <w:bCs/>
              <w:sz w:val="28"/>
              <w:szCs w:val="28"/>
            </w:rPr>
            <w:tab/>
          </w:r>
          <w:r>
            <w:rPr>
              <w:rFonts w:hint="eastAsia" w:ascii="仿宋_GB2312" w:hAnsi="仿宋_GB2312" w:eastAsia="仿宋_GB2312" w:cs="仿宋_GB2312"/>
              <w:b/>
              <w:bCs/>
              <w:sz w:val="28"/>
              <w:szCs w:val="28"/>
            </w:rPr>
            <w:fldChar w:fldCharType="begin"/>
          </w:r>
          <w:r>
            <w:rPr>
              <w:rFonts w:hint="eastAsia" w:ascii="仿宋_GB2312" w:hAnsi="仿宋_GB2312" w:eastAsia="仿宋_GB2312" w:cs="仿宋_GB2312"/>
              <w:b/>
              <w:bCs/>
              <w:sz w:val="28"/>
              <w:szCs w:val="28"/>
            </w:rPr>
            <w:instrText xml:space="preserve"> PAGEREF _Toc17225 \h </w:instrText>
          </w:r>
          <w:r>
            <w:rPr>
              <w:rFonts w:hint="eastAsia" w:ascii="仿宋_GB2312" w:hAnsi="仿宋_GB2312" w:eastAsia="仿宋_GB2312" w:cs="仿宋_GB2312"/>
              <w:b/>
              <w:bCs/>
              <w:sz w:val="28"/>
              <w:szCs w:val="28"/>
            </w:rPr>
            <w:fldChar w:fldCharType="separate"/>
          </w:r>
          <w:r>
            <w:rPr>
              <w:rFonts w:hint="eastAsia" w:ascii="仿宋_GB2312" w:hAnsi="仿宋_GB2312" w:eastAsia="仿宋_GB2312" w:cs="仿宋_GB2312"/>
              <w:b/>
              <w:bCs/>
              <w:sz w:val="28"/>
              <w:szCs w:val="28"/>
            </w:rPr>
            <w:t>3</w:t>
          </w:r>
          <w:r>
            <w:rPr>
              <w:rFonts w:hint="eastAsia" w:ascii="仿宋_GB2312" w:hAnsi="仿宋_GB2312" w:eastAsia="仿宋_GB2312" w:cs="仿宋_GB2312"/>
              <w:b/>
              <w:bCs/>
              <w:sz w:val="28"/>
              <w:szCs w:val="28"/>
            </w:rPr>
            <w:fldChar w:fldCharType="end"/>
          </w:r>
          <w:r>
            <w:rPr>
              <w:rFonts w:hint="eastAsia" w:ascii="仿宋_GB2312" w:hAnsi="仿宋_GB2312" w:eastAsia="仿宋_GB2312" w:cs="仿宋_GB2312"/>
              <w:b/>
              <w:bCs/>
              <w:sz w:val="28"/>
              <w:szCs w:val="28"/>
            </w:rPr>
            <w:fldChar w:fldCharType="end"/>
          </w:r>
        </w:p>
        <w:p>
          <w:pPr>
            <w:pStyle w:val="14"/>
            <w:tabs>
              <w:tab w:val="right" w:leader="dot" w:pos="8306"/>
            </w:tabs>
            <w:spacing w:line="360" w:lineRule="auto"/>
            <w:rPr>
              <w:rFonts w:ascii="仿宋_GB2312" w:hAnsi="仿宋_GB2312" w:eastAsia="仿宋_GB2312" w:cs="仿宋_GB2312"/>
              <w:sz w:val="28"/>
              <w:szCs w:val="28"/>
            </w:rPr>
          </w:pPr>
          <w:r>
            <w:fldChar w:fldCharType="begin"/>
          </w:r>
          <w:r>
            <w:instrText xml:space="preserve"> HYPERLINK \l "_Toc22298" </w:instrText>
          </w:r>
          <w:r>
            <w:fldChar w:fldCharType="separate"/>
          </w:r>
          <w:r>
            <w:rPr>
              <w:rFonts w:hint="eastAsia" w:ascii="仿宋_GB2312" w:hAnsi="仿宋_GB2312" w:eastAsia="仿宋_GB2312" w:cs="仿宋_GB2312"/>
              <w:sz w:val="28"/>
              <w:szCs w:val="28"/>
            </w:rPr>
            <w:t>（一）产出完成情况分析</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_Toc22298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4"/>
            <w:tabs>
              <w:tab w:val="right" w:leader="dot" w:pos="8306"/>
            </w:tabs>
            <w:spacing w:line="360" w:lineRule="auto"/>
            <w:rPr>
              <w:rFonts w:ascii="仿宋_GB2312" w:hAnsi="仿宋_GB2312" w:eastAsia="仿宋_GB2312" w:cs="仿宋_GB2312"/>
              <w:sz w:val="28"/>
              <w:szCs w:val="28"/>
            </w:rPr>
          </w:pPr>
          <w:r>
            <w:fldChar w:fldCharType="begin"/>
          </w:r>
          <w:r>
            <w:instrText xml:space="preserve"> HYPERLINK \l "_Toc5691" </w:instrText>
          </w:r>
          <w:r>
            <w:fldChar w:fldCharType="separate"/>
          </w:r>
          <w:r>
            <w:rPr>
              <w:rFonts w:hint="eastAsia" w:ascii="仿宋_GB2312" w:hAnsi="仿宋_GB2312" w:eastAsia="仿宋_GB2312" w:cs="仿宋_GB2312"/>
              <w:sz w:val="28"/>
              <w:szCs w:val="28"/>
            </w:rPr>
            <w:t>（二）效果实现情况分析</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_Toc5691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5</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3"/>
            <w:tabs>
              <w:tab w:val="right" w:leader="dot" w:pos="8306"/>
            </w:tabs>
            <w:spacing w:line="360" w:lineRule="auto"/>
            <w:rPr>
              <w:rFonts w:ascii="仿宋_GB2312" w:hAnsi="仿宋_GB2312" w:eastAsia="仿宋_GB2312" w:cs="仿宋_GB2312"/>
              <w:b/>
              <w:bCs/>
              <w:sz w:val="28"/>
              <w:szCs w:val="28"/>
            </w:rPr>
          </w:pPr>
          <w:r>
            <w:fldChar w:fldCharType="begin"/>
          </w:r>
          <w:r>
            <w:instrText xml:space="preserve"> HYPERLINK \l "_Toc21966" </w:instrText>
          </w:r>
          <w:r>
            <w:fldChar w:fldCharType="separate"/>
          </w:r>
          <w:r>
            <w:rPr>
              <w:rFonts w:hint="eastAsia" w:ascii="仿宋_GB2312" w:hAnsi="仿宋_GB2312" w:eastAsia="仿宋_GB2312" w:cs="仿宋_GB2312"/>
              <w:b/>
              <w:bCs/>
              <w:sz w:val="28"/>
              <w:szCs w:val="28"/>
            </w:rPr>
            <w:t>四、预算管理情况分析</w:t>
          </w:r>
          <w:r>
            <w:rPr>
              <w:rFonts w:hint="eastAsia" w:ascii="仿宋_GB2312" w:hAnsi="仿宋_GB2312" w:eastAsia="仿宋_GB2312" w:cs="仿宋_GB2312"/>
              <w:b/>
              <w:bCs/>
              <w:sz w:val="28"/>
              <w:szCs w:val="28"/>
            </w:rPr>
            <w:tab/>
          </w:r>
          <w:r>
            <w:rPr>
              <w:rFonts w:hint="eastAsia" w:ascii="仿宋_GB2312" w:hAnsi="仿宋_GB2312" w:eastAsia="仿宋_GB2312" w:cs="仿宋_GB2312"/>
              <w:b/>
              <w:bCs/>
              <w:sz w:val="28"/>
              <w:szCs w:val="28"/>
            </w:rPr>
            <w:fldChar w:fldCharType="begin"/>
          </w:r>
          <w:r>
            <w:rPr>
              <w:rFonts w:hint="eastAsia" w:ascii="仿宋_GB2312" w:hAnsi="仿宋_GB2312" w:eastAsia="仿宋_GB2312" w:cs="仿宋_GB2312"/>
              <w:b/>
              <w:bCs/>
              <w:sz w:val="28"/>
              <w:szCs w:val="28"/>
            </w:rPr>
            <w:instrText xml:space="preserve"> PAGEREF _Toc21966 \h </w:instrText>
          </w:r>
          <w:r>
            <w:rPr>
              <w:rFonts w:hint="eastAsia" w:ascii="仿宋_GB2312" w:hAnsi="仿宋_GB2312" w:eastAsia="仿宋_GB2312" w:cs="仿宋_GB2312"/>
              <w:b/>
              <w:bCs/>
              <w:sz w:val="28"/>
              <w:szCs w:val="28"/>
            </w:rPr>
            <w:fldChar w:fldCharType="separate"/>
          </w:r>
          <w:r>
            <w:rPr>
              <w:rFonts w:hint="eastAsia" w:ascii="仿宋_GB2312" w:hAnsi="仿宋_GB2312" w:eastAsia="仿宋_GB2312" w:cs="仿宋_GB2312"/>
              <w:b/>
              <w:bCs/>
              <w:sz w:val="28"/>
              <w:szCs w:val="28"/>
            </w:rPr>
            <w:t>6</w:t>
          </w:r>
          <w:r>
            <w:rPr>
              <w:rFonts w:hint="eastAsia" w:ascii="仿宋_GB2312" w:hAnsi="仿宋_GB2312" w:eastAsia="仿宋_GB2312" w:cs="仿宋_GB2312"/>
              <w:b/>
              <w:bCs/>
              <w:sz w:val="28"/>
              <w:szCs w:val="28"/>
            </w:rPr>
            <w:fldChar w:fldCharType="end"/>
          </w:r>
          <w:r>
            <w:rPr>
              <w:rFonts w:hint="eastAsia" w:ascii="仿宋_GB2312" w:hAnsi="仿宋_GB2312" w:eastAsia="仿宋_GB2312" w:cs="仿宋_GB2312"/>
              <w:b/>
              <w:bCs/>
              <w:sz w:val="28"/>
              <w:szCs w:val="28"/>
            </w:rPr>
            <w:fldChar w:fldCharType="end"/>
          </w:r>
        </w:p>
        <w:p>
          <w:pPr>
            <w:pStyle w:val="14"/>
            <w:tabs>
              <w:tab w:val="right" w:leader="dot" w:pos="8306"/>
            </w:tabs>
            <w:spacing w:line="360" w:lineRule="auto"/>
            <w:rPr>
              <w:rFonts w:ascii="仿宋_GB2312" w:hAnsi="仿宋_GB2312" w:eastAsia="仿宋_GB2312" w:cs="仿宋_GB2312"/>
              <w:sz w:val="28"/>
              <w:szCs w:val="28"/>
            </w:rPr>
          </w:pPr>
          <w:r>
            <w:fldChar w:fldCharType="begin"/>
          </w:r>
          <w:r>
            <w:instrText xml:space="preserve"> HYPERLINK \l "_Toc6692" </w:instrText>
          </w:r>
          <w:r>
            <w:fldChar w:fldCharType="separate"/>
          </w:r>
          <w:r>
            <w:rPr>
              <w:rFonts w:hint="eastAsia" w:ascii="仿宋_GB2312" w:hAnsi="仿宋_GB2312" w:eastAsia="仿宋_GB2312" w:cs="仿宋_GB2312"/>
              <w:sz w:val="28"/>
              <w:szCs w:val="28"/>
            </w:rPr>
            <w:t>（一）财务管理</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_Toc6692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6</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4"/>
            <w:tabs>
              <w:tab w:val="right" w:leader="dot" w:pos="8306"/>
            </w:tabs>
            <w:spacing w:line="360" w:lineRule="auto"/>
            <w:rPr>
              <w:rFonts w:ascii="仿宋_GB2312" w:hAnsi="仿宋_GB2312" w:eastAsia="仿宋_GB2312" w:cs="仿宋_GB2312"/>
              <w:sz w:val="28"/>
              <w:szCs w:val="28"/>
            </w:rPr>
          </w:pPr>
          <w:r>
            <w:fldChar w:fldCharType="begin"/>
          </w:r>
          <w:r>
            <w:instrText xml:space="preserve"> HYPERLINK \l "_Toc5670" </w:instrText>
          </w:r>
          <w:r>
            <w:fldChar w:fldCharType="separate"/>
          </w:r>
          <w:r>
            <w:rPr>
              <w:rFonts w:hint="eastAsia" w:ascii="仿宋_GB2312" w:hAnsi="仿宋_GB2312" w:eastAsia="仿宋_GB2312" w:cs="仿宋_GB2312"/>
              <w:sz w:val="28"/>
              <w:szCs w:val="28"/>
            </w:rPr>
            <w:t>（二）资产管理</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_Toc5670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7</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4"/>
            <w:tabs>
              <w:tab w:val="right" w:leader="dot" w:pos="8306"/>
            </w:tabs>
            <w:spacing w:line="360" w:lineRule="auto"/>
            <w:rPr>
              <w:rFonts w:ascii="仿宋_GB2312" w:hAnsi="仿宋_GB2312" w:eastAsia="仿宋_GB2312" w:cs="仿宋_GB2312"/>
              <w:sz w:val="28"/>
              <w:szCs w:val="28"/>
            </w:rPr>
          </w:pPr>
          <w:r>
            <w:fldChar w:fldCharType="begin"/>
          </w:r>
          <w:r>
            <w:instrText xml:space="preserve"> HYPERLINK \l "_Toc4229" </w:instrText>
          </w:r>
          <w:r>
            <w:fldChar w:fldCharType="separate"/>
          </w:r>
          <w:r>
            <w:rPr>
              <w:rFonts w:hint="eastAsia" w:ascii="仿宋_GB2312" w:hAnsi="仿宋_GB2312" w:eastAsia="仿宋_GB2312" w:cs="仿宋_GB2312"/>
              <w:sz w:val="28"/>
              <w:szCs w:val="28"/>
            </w:rPr>
            <w:t>（三）绩效管理</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9</w:t>
          </w:r>
        </w:p>
        <w:p>
          <w:pPr>
            <w:pStyle w:val="14"/>
            <w:tabs>
              <w:tab w:val="right" w:leader="dot" w:pos="8306"/>
            </w:tabs>
            <w:spacing w:line="360" w:lineRule="auto"/>
            <w:rPr>
              <w:rFonts w:ascii="仿宋_GB2312" w:hAnsi="仿宋_GB2312" w:eastAsia="仿宋_GB2312" w:cs="仿宋_GB2312"/>
              <w:sz w:val="28"/>
              <w:szCs w:val="28"/>
            </w:rPr>
          </w:pPr>
          <w:r>
            <w:fldChar w:fldCharType="begin"/>
          </w:r>
          <w:r>
            <w:instrText xml:space="preserve"> HYPERLINK \l "_Toc14825" </w:instrText>
          </w:r>
          <w:r>
            <w:fldChar w:fldCharType="separate"/>
          </w:r>
          <w:r>
            <w:rPr>
              <w:rFonts w:hint="eastAsia" w:ascii="仿宋_GB2312" w:hAnsi="仿宋_GB2312" w:eastAsia="仿宋_GB2312" w:cs="仿宋_GB2312"/>
              <w:sz w:val="28"/>
              <w:szCs w:val="28"/>
            </w:rPr>
            <w:t>（四）结转结余率</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10</w:t>
          </w:r>
        </w:p>
        <w:p>
          <w:pPr>
            <w:pStyle w:val="14"/>
            <w:tabs>
              <w:tab w:val="right" w:leader="dot" w:pos="8306"/>
            </w:tabs>
            <w:spacing w:line="360" w:lineRule="auto"/>
            <w:rPr>
              <w:rFonts w:ascii="仿宋_GB2312" w:hAnsi="仿宋_GB2312" w:eastAsia="仿宋_GB2312" w:cs="仿宋_GB2312"/>
              <w:sz w:val="28"/>
              <w:szCs w:val="28"/>
            </w:rPr>
          </w:pPr>
          <w:r>
            <w:fldChar w:fldCharType="begin"/>
          </w:r>
          <w:r>
            <w:instrText xml:space="preserve"> HYPERLINK \l "_Toc2347" </w:instrText>
          </w:r>
          <w:r>
            <w:fldChar w:fldCharType="separate"/>
          </w:r>
          <w:r>
            <w:rPr>
              <w:rFonts w:hint="eastAsia" w:ascii="仿宋_GB2312" w:hAnsi="仿宋_GB2312" w:eastAsia="仿宋_GB2312" w:cs="仿宋_GB2312"/>
              <w:sz w:val="28"/>
              <w:szCs w:val="28"/>
            </w:rPr>
            <w:t>（五）部门预决算差异率</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_Toc2347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10</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3"/>
            <w:tabs>
              <w:tab w:val="right" w:leader="dot" w:pos="8306"/>
            </w:tabs>
            <w:spacing w:line="360" w:lineRule="auto"/>
            <w:rPr>
              <w:rFonts w:ascii="仿宋_GB2312" w:hAnsi="仿宋_GB2312" w:eastAsia="仿宋_GB2312" w:cs="仿宋_GB2312"/>
              <w:b/>
              <w:bCs/>
              <w:sz w:val="28"/>
              <w:szCs w:val="28"/>
            </w:rPr>
          </w:pPr>
          <w:r>
            <w:fldChar w:fldCharType="begin"/>
          </w:r>
          <w:r>
            <w:instrText xml:space="preserve"> HYPERLINK \l "_Toc14920" </w:instrText>
          </w:r>
          <w:r>
            <w:fldChar w:fldCharType="separate"/>
          </w:r>
          <w:r>
            <w:rPr>
              <w:rFonts w:hint="eastAsia" w:ascii="仿宋_GB2312" w:hAnsi="仿宋_GB2312" w:eastAsia="仿宋_GB2312" w:cs="仿宋_GB2312"/>
              <w:b/>
              <w:bCs/>
              <w:sz w:val="28"/>
              <w:szCs w:val="28"/>
            </w:rPr>
            <w:t>五、总体评价结论</w:t>
          </w:r>
          <w:r>
            <w:rPr>
              <w:rFonts w:hint="eastAsia" w:ascii="仿宋_GB2312" w:hAnsi="仿宋_GB2312" w:eastAsia="仿宋_GB2312" w:cs="仿宋_GB2312"/>
              <w:b/>
              <w:bCs/>
              <w:sz w:val="28"/>
              <w:szCs w:val="28"/>
            </w:rPr>
            <w:tab/>
          </w:r>
          <w:r>
            <w:rPr>
              <w:rFonts w:hint="eastAsia" w:ascii="仿宋_GB2312" w:hAnsi="仿宋_GB2312" w:eastAsia="仿宋_GB2312" w:cs="仿宋_GB2312"/>
              <w:b/>
              <w:bCs/>
              <w:sz w:val="28"/>
              <w:szCs w:val="28"/>
            </w:rPr>
            <w:fldChar w:fldCharType="begin"/>
          </w:r>
          <w:r>
            <w:rPr>
              <w:rFonts w:hint="eastAsia" w:ascii="仿宋_GB2312" w:hAnsi="仿宋_GB2312" w:eastAsia="仿宋_GB2312" w:cs="仿宋_GB2312"/>
              <w:b/>
              <w:bCs/>
              <w:sz w:val="28"/>
              <w:szCs w:val="28"/>
            </w:rPr>
            <w:instrText xml:space="preserve"> PAGEREF _Toc14920 \h </w:instrText>
          </w:r>
          <w:r>
            <w:rPr>
              <w:rFonts w:hint="eastAsia" w:ascii="仿宋_GB2312" w:hAnsi="仿宋_GB2312" w:eastAsia="仿宋_GB2312" w:cs="仿宋_GB2312"/>
              <w:b/>
              <w:bCs/>
              <w:sz w:val="28"/>
              <w:szCs w:val="28"/>
            </w:rPr>
            <w:fldChar w:fldCharType="separate"/>
          </w:r>
          <w:r>
            <w:rPr>
              <w:rFonts w:hint="eastAsia" w:ascii="仿宋_GB2312" w:hAnsi="仿宋_GB2312" w:eastAsia="仿宋_GB2312" w:cs="仿宋_GB2312"/>
              <w:b/>
              <w:bCs/>
              <w:sz w:val="28"/>
              <w:szCs w:val="28"/>
            </w:rPr>
            <w:t>10</w:t>
          </w:r>
          <w:r>
            <w:rPr>
              <w:rFonts w:hint="eastAsia" w:ascii="仿宋_GB2312" w:hAnsi="仿宋_GB2312" w:eastAsia="仿宋_GB2312" w:cs="仿宋_GB2312"/>
              <w:b/>
              <w:bCs/>
              <w:sz w:val="28"/>
              <w:szCs w:val="28"/>
            </w:rPr>
            <w:fldChar w:fldCharType="end"/>
          </w:r>
          <w:r>
            <w:rPr>
              <w:rFonts w:hint="eastAsia" w:ascii="仿宋_GB2312" w:hAnsi="仿宋_GB2312" w:eastAsia="仿宋_GB2312" w:cs="仿宋_GB2312"/>
              <w:b/>
              <w:bCs/>
              <w:sz w:val="28"/>
              <w:szCs w:val="28"/>
            </w:rPr>
            <w:fldChar w:fldCharType="end"/>
          </w:r>
        </w:p>
        <w:p>
          <w:pPr>
            <w:pStyle w:val="14"/>
            <w:tabs>
              <w:tab w:val="right" w:leader="dot" w:pos="8306"/>
            </w:tabs>
            <w:spacing w:line="360" w:lineRule="auto"/>
            <w:rPr>
              <w:rFonts w:ascii="仿宋_GB2312" w:hAnsi="仿宋_GB2312" w:eastAsia="仿宋_GB2312" w:cs="仿宋_GB2312"/>
              <w:sz w:val="28"/>
              <w:szCs w:val="28"/>
            </w:rPr>
          </w:pPr>
          <w:r>
            <w:fldChar w:fldCharType="begin"/>
          </w:r>
          <w:r>
            <w:instrText xml:space="preserve"> HYPERLINK \l "_Toc1715" </w:instrText>
          </w:r>
          <w:r>
            <w:fldChar w:fldCharType="separate"/>
          </w:r>
          <w:r>
            <w:rPr>
              <w:rFonts w:hint="eastAsia" w:ascii="仿宋_GB2312" w:hAnsi="仿宋_GB2312" w:eastAsia="仿宋_GB2312" w:cs="仿宋_GB2312"/>
              <w:sz w:val="28"/>
              <w:szCs w:val="28"/>
            </w:rPr>
            <w:t>（一）评价得分情况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_Toc1715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1</w:t>
          </w:r>
        </w:p>
        <w:p>
          <w:pPr>
            <w:pStyle w:val="14"/>
            <w:tabs>
              <w:tab w:val="right" w:leader="dot" w:pos="8306"/>
            </w:tabs>
            <w:spacing w:line="360" w:lineRule="auto"/>
            <w:rPr>
              <w:rFonts w:ascii="仿宋_GB2312" w:hAnsi="仿宋_GB2312" w:eastAsia="仿宋_GB2312" w:cs="仿宋_GB2312"/>
              <w:sz w:val="28"/>
              <w:szCs w:val="28"/>
            </w:rPr>
          </w:pPr>
          <w:r>
            <w:fldChar w:fldCharType="begin"/>
          </w:r>
          <w:r>
            <w:instrText xml:space="preserve"> HYPERLINK \l "_Toc3290" </w:instrText>
          </w:r>
          <w:r>
            <w:fldChar w:fldCharType="separate"/>
          </w:r>
          <w:r>
            <w:rPr>
              <w:rFonts w:hint="eastAsia" w:ascii="仿宋_GB2312" w:hAnsi="仿宋_GB2312" w:eastAsia="仿宋_GB2312" w:cs="仿宋_GB2312"/>
              <w:sz w:val="28"/>
              <w:szCs w:val="28"/>
            </w:rPr>
            <w:t>（二）存在的问题及原因分析</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_Toc3290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1</w:t>
          </w:r>
        </w:p>
        <w:p>
          <w:pPr>
            <w:pStyle w:val="13"/>
            <w:tabs>
              <w:tab w:val="right" w:leader="dot" w:pos="8306"/>
            </w:tabs>
            <w:spacing w:line="360" w:lineRule="auto"/>
            <w:rPr>
              <w:rFonts w:ascii="仿宋_GB2312" w:hAnsi="仿宋_GB2312" w:eastAsia="仿宋_GB2312" w:cs="仿宋_GB2312"/>
              <w:b/>
              <w:bCs/>
              <w:sz w:val="28"/>
              <w:szCs w:val="28"/>
            </w:rPr>
          </w:pPr>
          <w:r>
            <w:fldChar w:fldCharType="begin"/>
          </w:r>
          <w:r>
            <w:instrText xml:space="preserve"> HYPERLINK \l "_Toc22560" </w:instrText>
          </w:r>
          <w:r>
            <w:fldChar w:fldCharType="separate"/>
          </w:r>
          <w:r>
            <w:rPr>
              <w:rFonts w:hint="eastAsia" w:ascii="仿宋_GB2312" w:hAnsi="仿宋_GB2312" w:eastAsia="仿宋_GB2312" w:cs="仿宋_GB2312"/>
              <w:b/>
              <w:bCs/>
              <w:sz w:val="28"/>
              <w:szCs w:val="28"/>
            </w:rPr>
            <w:t>六、措施建议</w:t>
          </w:r>
          <w:r>
            <w:rPr>
              <w:rFonts w:hint="eastAsia" w:ascii="仿宋_GB2312" w:hAnsi="仿宋_GB2312" w:eastAsia="仿宋_GB2312" w:cs="仿宋_GB2312"/>
              <w:b/>
              <w:bCs/>
              <w:sz w:val="28"/>
              <w:szCs w:val="28"/>
            </w:rPr>
            <w:tab/>
          </w:r>
          <w:r>
            <w:rPr>
              <w:rFonts w:hint="eastAsia" w:ascii="仿宋_GB2312" w:hAnsi="仿宋_GB2312" w:eastAsia="仿宋_GB2312" w:cs="仿宋_GB2312"/>
              <w:b/>
              <w:bCs/>
              <w:sz w:val="28"/>
              <w:szCs w:val="28"/>
            </w:rPr>
            <w:fldChar w:fldCharType="begin"/>
          </w:r>
          <w:r>
            <w:rPr>
              <w:rFonts w:hint="eastAsia" w:ascii="仿宋_GB2312" w:hAnsi="仿宋_GB2312" w:eastAsia="仿宋_GB2312" w:cs="仿宋_GB2312"/>
              <w:b/>
              <w:bCs/>
              <w:sz w:val="28"/>
              <w:szCs w:val="28"/>
            </w:rPr>
            <w:instrText xml:space="preserve"> PAGEREF _Toc22560 \h </w:instrText>
          </w:r>
          <w:r>
            <w:rPr>
              <w:rFonts w:hint="eastAsia" w:ascii="仿宋_GB2312" w:hAnsi="仿宋_GB2312" w:eastAsia="仿宋_GB2312" w:cs="仿宋_GB2312"/>
              <w:b/>
              <w:bCs/>
              <w:sz w:val="28"/>
              <w:szCs w:val="28"/>
            </w:rPr>
            <w:fldChar w:fldCharType="separate"/>
          </w:r>
          <w:r>
            <w:rPr>
              <w:rFonts w:hint="eastAsia" w:ascii="仿宋_GB2312" w:hAnsi="仿宋_GB2312" w:eastAsia="仿宋_GB2312" w:cs="仿宋_GB2312"/>
              <w:b/>
              <w:bCs/>
              <w:sz w:val="28"/>
              <w:szCs w:val="28"/>
            </w:rPr>
            <w:t>11</w:t>
          </w:r>
          <w:r>
            <w:rPr>
              <w:rFonts w:hint="eastAsia" w:ascii="仿宋_GB2312" w:hAnsi="仿宋_GB2312" w:eastAsia="仿宋_GB2312" w:cs="仿宋_GB2312"/>
              <w:b/>
              <w:bCs/>
              <w:sz w:val="28"/>
              <w:szCs w:val="28"/>
            </w:rPr>
            <w:fldChar w:fldCharType="end"/>
          </w:r>
          <w:r>
            <w:rPr>
              <w:rFonts w:hint="eastAsia" w:ascii="仿宋_GB2312" w:hAnsi="仿宋_GB2312" w:eastAsia="仿宋_GB2312" w:cs="仿宋_GB2312"/>
              <w:b/>
              <w:bCs/>
              <w:sz w:val="28"/>
              <w:szCs w:val="28"/>
            </w:rPr>
            <w:fldChar w:fldCharType="end"/>
          </w:r>
        </w:p>
        <w:p>
          <w:pPr>
            <w:pStyle w:val="13"/>
            <w:tabs>
              <w:tab w:val="right" w:leader="dot" w:pos="8306"/>
            </w:tabs>
            <w:spacing w:line="360" w:lineRule="auto"/>
            <w:rPr>
              <w:rFonts w:ascii="仿宋_GB2312" w:hAnsi="仿宋_GB2312" w:eastAsia="仿宋_GB2312" w:cs="仿宋_GB2312"/>
              <w:b/>
              <w:bCs/>
              <w:sz w:val="28"/>
              <w:szCs w:val="28"/>
            </w:rPr>
          </w:pPr>
          <w:r>
            <w:fldChar w:fldCharType="begin"/>
          </w:r>
          <w:r>
            <w:instrText xml:space="preserve"> HYPERLINK \l "_Toc15695" </w:instrText>
          </w:r>
          <w:r>
            <w:fldChar w:fldCharType="separate"/>
          </w:r>
          <w:r>
            <w:rPr>
              <w:rFonts w:hint="eastAsia" w:ascii="仿宋_GB2312" w:hAnsi="仿宋_GB2312" w:eastAsia="仿宋_GB2312" w:cs="仿宋_GB2312"/>
              <w:b/>
              <w:bCs/>
              <w:sz w:val="28"/>
              <w:szCs w:val="28"/>
            </w:rPr>
            <w:t>七、附件</w:t>
          </w:r>
          <w:r>
            <w:rPr>
              <w:rFonts w:hint="eastAsia" w:ascii="仿宋_GB2312" w:hAnsi="仿宋_GB2312" w:eastAsia="仿宋_GB2312" w:cs="仿宋_GB2312"/>
              <w:b/>
              <w:bCs/>
              <w:sz w:val="28"/>
              <w:szCs w:val="28"/>
            </w:rPr>
            <w:tab/>
          </w:r>
          <w:r>
            <w:rPr>
              <w:rFonts w:hint="eastAsia" w:ascii="仿宋_GB2312" w:hAnsi="仿宋_GB2312" w:eastAsia="仿宋_GB2312" w:cs="仿宋_GB2312"/>
              <w:b/>
              <w:bCs/>
              <w:sz w:val="28"/>
              <w:szCs w:val="28"/>
            </w:rPr>
            <w:fldChar w:fldCharType="begin"/>
          </w:r>
          <w:r>
            <w:rPr>
              <w:rFonts w:hint="eastAsia" w:ascii="仿宋_GB2312" w:hAnsi="仿宋_GB2312" w:eastAsia="仿宋_GB2312" w:cs="仿宋_GB2312"/>
              <w:b/>
              <w:bCs/>
              <w:sz w:val="28"/>
              <w:szCs w:val="28"/>
            </w:rPr>
            <w:instrText xml:space="preserve"> PAGEREF _Toc15695 \h </w:instrText>
          </w:r>
          <w:r>
            <w:rPr>
              <w:rFonts w:hint="eastAsia" w:ascii="仿宋_GB2312" w:hAnsi="仿宋_GB2312" w:eastAsia="仿宋_GB2312" w:cs="仿宋_GB2312"/>
              <w:b/>
              <w:bCs/>
              <w:sz w:val="28"/>
              <w:szCs w:val="28"/>
            </w:rPr>
            <w:fldChar w:fldCharType="separate"/>
          </w:r>
          <w:r>
            <w:rPr>
              <w:rFonts w:hint="eastAsia" w:ascii="仿宋_GB2312" w:hAnsi="仿宋_GB2312" w:eastAsia="仿宋_GB2312" w:cs="仿宋_GB2312"/>
              <w:b/>
              <w:bCs/>
              <w:sz w:val="28"/>
              <w:szCs w:val="28"/>
            </w:rPr>
            <w:t>12</w:t>
          </w:r>
          <w:r>
            <w:rPr>
              <w:rFonts w:hint="eastAsia" w:ascii="仿宋_GB2312" w:hAnsi="仿宋_GB2312" w:eastAsia="仿宋_GB2312" w:cs="仿宋_GB2312"/>
              <w:b/>
              <w:bCs/>
              <w:sz w:val="28"/>
              <w:szCs w:val="28"/>
            </w:rPr>
            <w:fldChar w:fldCharType="end"/>
          </w:r>
          <w:r>
            <w:rPr>
              <w:rFonts w:hint="eastAsia" w:ascii="仿宋_GB2312" w:hAnsi="仿宋_GB2312" w:eastAsia="仿宋_GB2312" w:cs="仿宋_GB2312"/>
              <w:b/>
              <w:bCs/>
              <w:sz w:val="28"/>
              <w:szCs w:val="28"/>
            </w:rPr>
            <w:fldChar w:fldCharType="end"/>
          </w:r>
        </w:p>
        <w:p>
          <w:pPr>
            <w:spacing w:line="360" w:lineRule="auto"/>
            <w:jc w:val="center"/>
            <w:rPr>
              <w:rFonts w:ascii="仿宋_GB2312" w:hAnsi="仿宋_GB2312" w:eastAsia="仿宋_GB2312" w:cs="仿宋_GB2312"/>
              <w:sz w:val="28"/>
              <w:szCs w:val="28"/>
            </w:rPr>
            <w:sectPr>
              <w:footerReference r:id="rId3" w:type="default"/>
              <w:pgSz w:w="11906" w:h="16838"/>
              <w:pgMar w:top="1440" w:right="1800" w:bottom="1440" w:left="1800" w:header="851" w:footer="964" w:gutter="0"/>
              <w:pgNumType w:fmt="numberInDash"/>
              <w:cols w:space="425" w:num="1"/>
              <w:docGrid w:type="lines" w:linePitch="435" w:charSpace="0"/>
            </w:sectPr>
          </w:pPr>
          <w:r>
            <w:rPr>
              <w:rFonts w:hint="eastAsia" w:ascii="仿宋_GB2312" w:hAnsi="仿宋_GB2312" w:eastAsia="仿宋_GB2312" w:cs="仿宋_GB2312"/>
              <w:bCs/>
              <w:kern w:val="0"/>
              <w:sz w:val="28"/>
              <w:szCs w:val="28"/>
            </w:rPr>
            <w:fldChar w:fldCharType="end"/>
          </w:r>
        </w:p>
      </w:sdtContent>
    </w:sdt>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北京市人民检察院第二分院</w:t>
      </w:r>
    </w:p>
    <w:p>
      <w:pPr>
        <w:jc w:val="center"/>
        <w:rPr>
          <w:rFonts w:ascii="方正小标宋简体" w:eastAsia="方正小标宋简体"/>
          <w:szCs w:val="36"/>
        </w:rPr>
      </w:pPr>
      <w:r>
        <w:rPr>
          <w:rFonts w:hint="eastAsia" w:ascii="方正小标宋简体" w:hAnsi="方正小标宋简体" w:eastAsia="方正小标宋简体" w:cs="方正小标宋简体"/>
          <w:sz w:val="44"/>
          <w:szCs w:val="44"/>
        </w:rPr>
        <w:t>2023年度部门整体绩效评价报告</w:t>
      </w:r>
    </w:p>
    <w:p>
      <w:pPr>
        <w:spacing w:line="560" w:lineRule="exact"/>
        <w:ind w:firstLine="640" w:firstLineChars="200"/>
        <w:rPr>
          <w:rFonts w:ascii="仿宋_GB2312" w:hAnsi="楷体" w:eastAsia="仿宋_GB2312"/>
          <w:bCs/>
          <w:kern w:val="0"/>
          <w:sz w:val="32"/>
          <w:szCs w:val="28"/>
        </w:rPr>
      </w:pP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为进一步加强预算绩效管理，强化支出责任，提高财政资金使用效益，考核财政支出效率和综合效果，根据</w:t>
      </w:r>
      <w:r>
        <w:rPr>
          <w:rFonts w:hint="eastAsia" w:ascii="仿宋_GB2312" w:hAnsi="仿宋_GB2312" w:eastAsia="仿宋_GB2312" w:cs="仿宋_GB2312"/>
          <w:sz w:val="32"/>
        </w:rPr>
        <w:t>《中共北京市委 北京市人民政府关于全面实施预算绩效管理的实施意见》（京发〔2019〕12号）、</w:t>
      </w:r>
      <w:r>
        <w:rPr>
          <w:rFonts w:hint="eastAsia" w:ascii="仿宋_GB2312" w:hAnsi="楷体" w:eastAsia="仿宋_GB2312"/>
          <w:bCs/>
          <w:kern w:val="0"/>
          <w:sz w:val="32"/>
          <w:szCs w:val="28"/>
        </w:rPr>
        <w:t>《北京市项目支出绩效评价管理办法》（京财绩效〔2020〕2146号），结合北京市财政局《关于开展2024年预算绩效管理相关工作函》等要求，北京市人民检察院第二分院（以下简称“</w:t>
      </w:r>
      <w:r>
        <w:rPr>
          <w:rFonts w:hint="eastAsia" w:ascii="仿宋_GB2312" w:hAnsi="宋体" w:eastAsia="仿宋_GB2312" w:cs="宋体"/>
          <w:kern w:val="0"/>
          <w:sz w:val="32"/>
          <w:szCs w:val="32"/>
        </w:rPr>
        <w:t>市检二分院</w:t>
      </w:r>
      <w:r>
        <w:rPr>
          <w:rFonts w:hint="eastAsia" w:ascii="仿宋_GB2312" w:hAnsi="楷体" w:eastAsia="仿宋_GB2312"/>
          <w:bCs/>
          <w:kern w:val="0"/>
          <w:sz w:val="32"/>
          <w:szCs w:val="28"/>
        </w:rPr>
        <w:t>”）组建绩效评价工作组，</w:t>
      </w:r>
      <w:r>
        <w:rPr>
          <w:rFonts w:ascii="仿宋_GB2312" w:hAnsi="楷体" w:eastAsia="仿宋_GB2312"/>
          <w:bCs/>
          <w:kern w:val="0"/>
          <w:sz w:val="32"/>
          <w:szCs w:val="28"/>
        </w:rPr>
        <w:t>对202</w:t>
      </w:r>
      <w:r>
        <w:rPr>
          <w:rFonts w:hint="eastAsia" w:ascii="仿宋_GB2312" w:hAnsi="楷体" w:eastAsia="仿宋_GB2312"/>
          <w:bCs/>
          <w:kern w:val="0"/>
          <w:sz w:val="32"/>
          <w:szCs w:val="28"/>
        </w:rPr>
        <w:t>3</w:t>
      </w:r>
      <w:r>
        <w:rPr>
          <w:rFonts w:ascii="仿宋_GB2312" w:hAnsi="楷体" w:eastAsia="仿宋_GB2312"/>
          <w:bCs/>
          <w:kern w:val="0"/>
          <w:sz w:val="32"/>
          <w:szCs w:val="28"/>
        </w:rPr>
        <w:t>年度部门整体</w:t>
      </w:r>
      <w:r>
        <w:rPr>
          <w:rFonts w:hint="eastAsia" w:ascii="仿宋_GB2312" w:hAnsi="楷体" w:eastAsia="仿宋_GB2312"/>
          <w:bCs/>
          <w:kern w:val="0"/>
          <w:sz w:val="32"/>
          <w:szCs w:val="28"/>
        </w:rPr>
        <w:t>实施</w:t>
      </w:r>
      <w:r>
        <w:rPr>
          <w:rFonts w:ascii="仿宋_GB2312" w:hAnsi="楷体" w:eastAsia="仿宋_GB2312"/>
          <w:bCs/>
          <w:kern w:val="0"/>
          <w:sz w:val="32"/>
          <w:szCs w:val="28"/>
        </w:rPr>
        <w:t>绩效评价，</w:t>
      </w:r>
      <w:r>
        <w:rPr>
          <w:rFonts w:hint="eastAsia" w:ascii="仿宋_GB2312" w:hAnsi="楷体" w:eastAsia="仿宋_GB2312"/>
          <w:bCs/>
          <w:kern w:val="0"/>
          <w:sz w:val="32"/>
          <w:szCs w:val="28"/>
        </w:rPr>
        <w:t>形成本绩效评价报告。</w:t>
      </w:r>
    </w:p>
    <w:p>
      <w:pPr>
        <w:pStyle w:val="2"/>
        <w:spacing w:line="560" w:lineRule="exact"/>
        <w:ind w:firstLineChars="200"/>
        <w:rPr>
          <w:color w:val="auto"/>
          <w:sz w:val="32"/>
          <w:szCs w:val="32"/>
        </w:rPr>
      </w:pPr>
      <w:bookmarkStart w:id="0" w:name="_Toc8695"/>
      <w:bookmarkStart w:id="1" w:name="_Toc71"/>
      <w:bookmarkStart w:id="2" w:name="_Toc14482"/>
      <w:r>
        <w:rPr>
          <w:rFonts w:hint="eastAsia"/>
          <w:color w:val="auto"/>
          <w:sz w:val="32"/>
          <w:szCs w:val="32"/>
        </w:rPr>
        <w:t>一、部门概况</w:t>
      </w:r>
      <w:bookmarkEnd w:id="0"/>
      <w:bookmarkEnd w:id="1"/>
      <w:bookmarkEnd w:id="2"/>
    </w:p>
    <w:p>
      <w:pPr>
        <w:pStyle w:val="3"/>
        <w:spacing w:before="0" w:after="0" w:line="560" w:lineRule="exact"/>
        <w:ind w:firstLine="643" w:firstLineChars="200"/>
        <w:rPr>
          <w:rFonts w:ascii="楷体" w:hAnsi="楷体" w:eastAsia="楷体" w:cs="楷体"/>
        </w:rPr>
      </w:pPr>
      <w:bookmarkStart w:id="3" w:name="_Toc32272"/>
      <w:bookmarkStart w:id="4" w:name="_Toc25410"/>
      <w:bookmarkStart w:id="5" w:name="_Toc9970"/>
      <w:r>
        <w:rPr>
          <w:rFonts w:hint="eastAsia" w:ascii="楷体" w:hAnsi="楷体" w:eastAsia="楷体" w:cs="楷体"/>
        </w:rPr>
        <w:t>（一）机构设置及职责工作任务情况</w:t>
      </w:r>
      <w:bookmarkEnd w:id="3"/>
      <w:bookmarkEnd w:id="4"/>
      <w:bookmarkEnd w:id="5"/>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1.部门机构设置</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市检二分院属于国家法律监督机关，司法辖区包括：东城区、西城区、丰台区、大兴区、房山区。根据2019年3月中共北京市委政法委员会、中共北京市委机构编制委员会办公室、北京市人民检察院关于印发《北京市检察机关内设机构改革方案》的要求，市检二分院共设置12个职能部门，分别为：第一检察部、第二检察部、第三检察部、第四检察部、第五检察部、第六检察部、第七检察部、第八检察部、第九检察部、办公室、行政事务管理部、检务督察部，另设政治部、机关党委、机关纪委。</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2.部门职能和工作任务情况</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（1）部门职能</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市检二分院的主要职责包括：</w:t>
      </w:r>
      <w:r>
        <w:rPr>
          <w:rFonts w:ascii="仿宋_GB2312" w:eastAsia="仿宋_GB2312"/>
          <w:sz w:val="32"/>
          <w:szCs w:val="32"/>
        </w:rPr>
        <w:t>对区域内可能判处无期徒刑、死刑的案件，危害国家安全、恐怖活动案件依法审查逮捕、提起公诉，并对全市危害国家安全类刑事犯罪案件依法实行集中管辖；对区域内刑事诉讼、民事诉讼和行政诉讼活动依法实行法律监督，对下级人民法院和本级人民法院已经发生法律效力、确有错误的判决和裁定，依法向北京市第二中级人民法院提起抗诉或提请北京市人民检察院向北京市高级人民法院提起抗诉；对区域内区级人民检察院做出的决定进行审查，纠正错误决定；受理公民控告、申诉、检举和举报，办理刑事赔偿事项。同时，依据北京市人民检察院授权，负责对区域内区级人民检察院开展办案指导工作。</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（2）工作任务情况</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全年办理“四大检察”案件履职尽责情况。一是贯彻落实上级重大部署。引领辖区院精准服务保障城南地区高质量发展。深化扫黑除恶常态化斗争。深化财产刑执行监督。深化大标的额民商事案件审判专项监督。二是强化司法办案职能，充分履行国家安全和公共安全检察职能。积极融入反腐败大局。依法办理经济犯罪案件。依法开展涉未成年人检察。三是提升监督办案质效。深化刑事诉讼监督质效。精准开展民事诉讼监督。做实行政诉讼监督。四是深入推进检察改革。深入实施数字赋能检察战略。坚持和践行新时代“枫桥经验”。一体推进“信调宣案”。加强检察自身建设。</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重点问题整改落实情况。一是完成全市第一批主题教育单位整改落实情况“回头看”反馈意见的整改落实。二是完成有关2022年全面从严治党（党建）工作考核暨政治生态分析研判反馈意见的整改落实。三是完成有关驻市院纪检监察组调研与我院领导班子会商意见的整改落实。四是完成有关全市检察机关开展的执法司法突出问题专项检查。</w:t>
      </w:r>
    </w:p>
    <w:p>
      <w:pPr>
        <w:spacing w:line="560" w:lineRule="exact"/>
        <w:ind w:firstLine="640" w:firstLineChars="200"/>
        <w:rPr>
          <w:rFonts w:ascii="仿宋_GB2312" w:hAnsi="楷体" w:eastAsia="仿宋_GB2312"/>
          <w:bCs/>
          <w:kern w:val="0"/>
          <w:sz w:val="32"/>
          <w:szCs w:val="28"/>
        </w:rPr>
      </w:pPr>
      <w:bookmarkStart w:id="6" w:name="_Toc31044"/>
      <w:bookmarkStart w:id="7" w:name="_Toc6025"/>
      <w:bookmarkStart w:id="8" w:name="_Toc23803"/>
      <w:r>
        <w:rPr>
          <w:rFonts w:hint="eastAsia" w:ascii="仿宋_GB2312" w:hAnsi="楷体" w:eastAsia="仿宋_GB2312"/>
          <w:bCs/>
          <w:kern w:val="0"/>
          <w:sz w:val="32"/>
          <w:szCs w:val="28"/>
        </w:rPr>
        <w:t>3.人员配置及人员构成情况</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市检二分院部门2023年编制人数231人，其中行政编制2</w:t>
      </w:r>
      <w:r>
        <w:rPr>
          <w:rFonts w:hint="eastAsia" w:ascii="仿宋_GB2312" w:hAnsi="楷体" w:eastAsia="仿宋_GB2312"/>
          <w:bCs/>
          <w:kern w:val="0"/>
          <w:sz w:val="32"/>
          <w:szCs w:val="28"/>
          <w:lang w:val="en-US" w:eastAsia="zh-CN"/>
        </w:rPr>
        <w:t>11</w:t>
      </w:r>
      <w:r>
        <w:rPr>
          <w:rFonts w:hint="eastAsia" w:ascii="仿宋_GB2312" w:hAnsi="楷体" w:eastAsia="仿宋_GB2312"/>
          <w:bCs/>
          <w:kern w:val="0"/>
          <w:sz w:val="32"/>
          <w:szCs w:val="28"/>
        </w:rPr>
        <w:t>人，事业编制</w:t>
      </w:r>
      <w:r>
        <w:rPr>
          <w:rFonts w:hint="eastAsia" w:ascii="仿宋_GB2312" w:hAnsi="楷体" w:eastAsia="仿宋_GB2312"/>
          <w:bCs/>
          <w:kern w:val="0"/>
          <w:sz w:val="32"/>
          <w:szCs w:val="28"/>
          <w:lang w:val="en-US" w:eastAsia="zh-CN"/>
        </w:rPr>
        <w:t>2</w:t>
      </w:r>
      <w:r>
        <w:rPr>
          <w:rFonts w:hint="eastAsia" w:ascii="仿宋_GB2312" w:hAnsi="楷体" w:eastAsia="仿宋_GB2312"/>
          <w:bCs/>
          <w:kern w:val="0"/>
          <w:sz w:val="32"/>
          <w:szCs w:val="28"/>
        </w:rPr>
        <w:t>0人。2023年末实有人数210人，其中行政编制人员</w:t>
      </w:r>
      <w:r>
        <w:rPr>
          <w:rFonts w:hint="eastAsia" w:ascii="仿宋_GB2312" w:hAnsi="楷体" w:eastAsia="仿宋_GB2312"/>
          <w:bCs/>
          <w:kern w:val="0"/>
          <w:sz w:val="32"/>
          <w:szCs w:val="28"/>
          <w:lang w:val="en-US" w:eastAsia="zh-CN"/>
        </w:rPr>
        <w:t>194</w:t>
      </w:r>
      <w:r>
        <w:rPr>
          <w:rFonts w:hint="eastAsia" w:ascii="仿宋_GB2312" w:hAnsi="楷体" w:eastAsia="仿宋_GB2312"/>
          <w:bCs/>
          <w:kern w:val="0"/>
          <w:sz w:val="32"/>
          <w:szCs w:val="28"/>
        </w:rPr>
        <w:t>人，事业编制人数</w:t>
      </w:r>
      <w:r>
        <w:rPr>
          <w:rFonts w:hint="eastAsia" w:ascii="仿宋_GB2312" w:hAnsi="楷体" w:eastAsia="仿宋_GB2312"/>
          <w:bCs/>
          <w:kern w:val="0"/>
          <w:sz w:val="32"/>
          <w:szCs w:val="28"/>
          <w:lang w:val="en-US" w:eastAsia="zh-CN"/>
        </w:rPr>
        <w:t>16</w:t>
      </w:r>
      <w:r>
        <w:rPr>
          <w:rFonts w:hint="eastAsia" w:ascii="仿宋_GB2312" w:hAnsi="楷体" w:eastAsia="仿宋_GB2312"/>
          <w:bCs/>
          <w:kern w:val="0"/>
          <w:sz w:val="32"/>
          <w:szCs w:val="28"/>
        </w:rPr>
        <w:t>人。聘用人员（检察院聘任书记员、聘用制司法警察</w:t>
      </w:r>
      <w:bookmarkStart w:id="56" w:name="_GoBack"/>
      <w:bookmarkEnd w:id="56"/>
      <w:r>
        <w:rPr>
          <w:rFonts w:hint="eastAsia" w:ascii="仿宋_GB2312" w:hAnsi="楷体" w:eastAsia="仿宋_GB2312"/>
          <w:bCs/>
          <w:kern w:val="0"/>
          <w:sz w:val="32"/>
          <w:szCs w:val="28"/>
        </w:rPr>
        <w:t>）42人；退休人员151人。</w:t>
      </w:r>
    </w:p>
    <w:p>
      <w:pPr>
        <w:pStyle w:val="3"/>
        <w:spacing w:before="0" w:after="0" w:line="560" w:lineRule="exact"/>
        <w:ind w:firstLine="643" w:firstLineChars="200"/>
        <w:rPr>
          <w:rFonts w:ascii="楷体" w:hAnsi="楷体" w:eastAsia="楷体" w:cs="楷体"/>
        </w:rPr>
      </w:pPr>
      <w:r>
        <w:rPr>
          <w:rFonts w:hint="eastAsia" w:ascii="楷体" w:hAnsi="楷体" w:eastAsia="楷体" w:cs="楷体"/>
        </w:rPr>
        <w:t>（二）部门整体绩效目标设立情况</w:t>
      </w:r>
      <w:bookmarkEnd w:id="6"/>
      <w:bookmarkEnd w:id="7"/>
      <w:bookmarkEnd w:id="8"/>
    </w:p>
    <w:p>
      <w:pPr>
        <w:widowControl/>
        <w:spacing w:line="56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1.绩效目标设立依据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（1）《中国共产党政法工作条例》</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（2）中共北京市委贯彻《中共中央关于加强新时代检察机关法律监督工作的意见》的实施意见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（3）“十四五”时期检务保障工作发展规划</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（4）市检二分院单位职能</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（5）市检二分院年度工作计划</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（6）市检二分院单位内部控制制度</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（7）国家和北京市相关法规、规章制度</w:t>
      </w:r>
    </w:p>
    <w:p>
      <w:pPr>
        <w:widowControl/>
        <w:spacing w:line="56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2.目标设置情况</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市检二分院部门整体绩效目标紧紧围绕单位“三定”方案职能，结合2023年度重点任务及责任分工等要求制定，既充分体现了职责职能和常规工作任务，也结合特殊重要时点，突出体现了年度新增特色重点工作内容。</w:t>
      </w:r>
    </w:p>
    <w:p>
      <w:pPr>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整体绩效目标：</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以习近平中国特色社会主义思想为指导，认真贯彻市委、高检院和市院各项部署，我院预算资金用于依法履行检察监督职能所必需的各项支出，以保障我院检察工作的正常开展，保障首都检察事业的有序发展。</w:t>
      </w:r>
    </w:p>
    <w:p>
      <w:pPr>
        <w:ind w:firstLine="643" w:firstLineChars="200"/>
        <w:outlineLvl w:val="2"/>
        <w:rPr>
          <w:rFonts w:ascii="仿宋_GB2312" w:hAnsi="仿宋_GB2312" w:eastAsia="仿宋_GB2312" w:cs="仿宋_GB2312"/>
          <w:b/>
          <w:bCs/>
          <w:sz w:val="32"/>
          <w:szCs w:val="32"/>
        </w:rPr>
      </w:pPr>
      <w:bookmarkStart w:id="9" w:name="_Toc25054"/>
      <w:bookmarkStart w:id="10" w:name="_Toc20399"/>
      <w:bookmarkStart w:id="11" w:name="_Toc12838"/>
      <w:r>
        <w:rPr>
          <w:rFonts w:hint="eastAsia" w:ascii="仿宋_GB2312" w:hAnsi="仿宋_GB2312" w:eastAsia="仿宋_GB2312" w:cs="仿宋_GB2312"/>
          <w:b/>
          <w:bCs/>
          <w:sz w:val="32"/>
          <w:szCs w:val="32"/>
        </w:rPr>
        <w:t>绩效指标：</w:t>
      </w:r>
    </w:p>
    <w:p>
      <w:pPr>
        <w:spacing w:line="560" w:lineRule="exact"/>
        <w:ind w:firstLine="640"/>
        <w:rPr>
          <w:rFonts w:ascii="仿宋_GB2312" w:hAnsi="楷体" w:eastAsia="仿宋_GB2312"/>
          <w:bCs/>
          <w:kern w:val="0"/>
          <w:sz w:val="32"/>
          <w:szCs w:val="28"/>
        </w:rPr>
      </w:pPr>
      <w:r>
        <w:rPr>
          <w:rFonts w:hint="eastAsia" w:ascii="仿宋_GB2312" w:hAnsi="楷体" w:eastAsia="仿宋_GB2312"/>
          <w:bCs/>
          <w:kern w:val="0"/>
          <w:sz w:val="32"/>
          <w:szCs w:val="28"/>
        </w:rPr>
        <w:t>（1）保障我院信息化系统使用安全、便捷、高效。</w:t>
      </w:r>
    </w:p>
    <w:p>
      <w:pPr>
        <w:spacing w:line="560" w:lineRule="exact"/>
        <w:ind w:firstLine="640"/>
        <w:rPr>
          <w:rFonts w:ascii="仿宋_GB2312" w:hAnsi="楷体" w:eastAsia="仿宋_GB2312"/>
          <w:bCs/>
          <w:kern w:val="0"/>
          <w:sz w:val="32"/>
          <w:szCs w:val="28"/>
        </w:rPr>
      </w:pPr>
      <w:r>
        <w:rPr>
          <w:rFonts w:ascii="仿宋_GB2312" w:hAnsi="楷体" w:eastAsia="仿宋_GB2312"/>
          <w:bCs/>
          <w:kern w:val="0"/>
          <w:sz w:val="32"/>
          <w:szCs w:val="28"/>
        </w:rPr>
        <w:t>（2）</w:t>
      </w:r>
      <w:r>
        <w:rPr>
          <w:rFonts w:hint="eastAsia" w:ascii="仿宋_GB2312" w:hAnsi="楷体" w:eastAsia="仿宋_GB2312"/>
          <w:bCs/>
          <w:kern w:val="0"/>
          <w:sz w:val="32"/>
          <w:szCs w:val="28"/>
        </w:rPr>
        <w:t>保障我院政令畅通、维护正常办公秩序、保证办公办案安全及正常运转。</w:t>
      </w:r>
    </w:p>
    <w:p>
      <w:pPr>
        <w:spacing w:line="560" w:lineRule="exact"/>
        <w:ind w:firstLine="640"/>
        <w:rPr>
          <w:rFonts w:ascii="仿宋_GB2312" w:hAnsi="楷体" w:eastAsia="仿宋_GB2312"/>
          <w:bCs/>
          <w:kern w:val="0"/>
          <w:sz w:val="32"/>
          <w:szCs w:val="28"/>
        </w:rPr>
      </w:pPr>
      <w:r>
        <w:rPr>
          <w:rFonts w:ascii="仿宋_GB2312" w:hAnsi="楷体" w:eastAsia="仿宋_GB2312"/>
          <w:bCs/>
          <w:kern w:val="0"/>
          <w:sz w:val="32"/>
          <w:szCs w:val="28"/>
        </w:rPr>
        <w:t>（3）推进检察监督案件线索集中管理，完善重大监督事项案件化办理机制，完善业务质效管控机制和业务数据分析研判机制，做实业务绩效考评和司法责任问责追责。</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（4）全面加强检察机关法律监督主责主业，坚决维护首都安全和社会大局稳定，服务保障首都经济社会高质量发展，以检察监督能力的现代化助力首都治理体系和治理能力现代化。</w:t>
      </w:r>
    </w:p>
    <w:p>
      <w:pPr>
        <w:pStyle w:val="2"/>
        <w:spacing w:line="560" w:lineRule="exact"/>
        <w:ind w:firstLineChars="200"/>
        <w:rPr>
          <w:color w:val="auto"/>
          <w:sz w:val="32"/>
          <w:szCs w:val="32"/>
        </w:rPr>
      </w:pPr>
      <w:r>
        <w:rPr>
          <w:rFonts w:hint="eastAsia"/>
          <w:color w:val="auto"/>
          <w:sz w:val="32"/>
          <w:szCs w:val="32"/>
        </w:rPr>
        <w:t>二、当年预算执行情况</w:t>
      </w:r>
      <w:bookmarkEnd w:id="9"/>
      <w:bookmarkEnd w:id="10"/>
      <w:bookmarkEnd w:id="11"/>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2023年全年预算数13,242.12万元，其中，基本支出预算数12,099.00万元，项目支出预算数1,143.12万元。资金预算支出12,917.31万元，其中，基本支出11,795.31万元，项目支出1,122.00万元。预算执行率为97.55%。</w:t>
      </w:r>
    </w:p>
    <w:p>
      <w:pPr>
        <w:pStyle w:val="2"/>
        <w:spacing w:line="560" w:lineRule="exact"/>
        <w:ind w:firstLineChars="200"/>
        <w:rPr>
          <w:color w:val="auto"/>
          <w:sz w:val="32"/>
          <w:szCs w:val="32"/>
        </w:rPr>
      </w:pPr>
      <w:bookmarkStart w:id="12" w:name="_Toc17225"/>
      <w:bookmarkStart w:id="13" w:name="_Toc7310"/>
      <w:bookmarkStart w:id="14" w:name="_Toc7806"/>
      <w:r>
        <w:rPr>
          <w:rFonts w:hint="eastAsia"/>
          <w:color w:val="auto"/>
          <w:sz w:val="32"/>
          <w:szCs w:val="32"/>
        </w:rPr>
        <w:t>三、整体绩效目标实现情况</w:t>
      </w:r>
      <w:bookmarkEnd w:id="12"/>
      <w:bookmarkEnd w:id="13"/>
      <w:bookmarkEnd w:id="14"/>
    </w:p>
    <w:p>
      <w:pPr>
        <w:pStyle w:val="3"/>
        <w:spacing w:before="0" w:after="0" w:line="560" w:lineRule="exact"/>
        <w:ind w:firstLine="643" w:firstLineChars="200"/>
        <w:rPr>
          <w:rFonts w:ascii="楷体" w:hAnsi="楷体" w:eastAsia="楷体" w:cs="楷体"/>
        </w:rPr>
      </w:pPr>
      <w:bookmarkStart w:id="15" w:name="_Toc19659"/>
      <w:bookmarkStart w:id="16" w:name="_Toc1524"/>
      <w:bookmarkStart w:id="17" w:name="_Toc22298"/>
      <w:r>
        <w:rPr>
          <w:rFonts w:hint="eastAsia" w:ascii="楷体" w:hAnsi="楷体" w:eastAsia="楷体" w:cs="楷体"/>
        </w:rPr>
        <w:t>（一）产出完成情况分析</w:t>
      </w:r>
      <w:bookmarkEnd w:id="15"/>
      <w:bookmarkEnd w:id="16"/>
      <w:bookmarkEnd w:id="17"/>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1.产出数量</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2023年共计完成8个项目，主要为机构运行保障类项目。</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（1）全年办理“四大检察”案件3581件，同比上升56.1%；审结3343件，审结率93.35%；监督办案与司法办案比78.86∶21.14。</w:t>
      </w:r>
    </w:p>
    <w:p>
      <w:pPr>
        <w:spacing w:line="560" w:lineRule="exact"/>
        <w:ind w:firstLine="640" w:firstLineChars="200"/>
        <w:rPr>
          <w:rFonts w:ascii="仿宋_GB2312" w:hAnsi="楷体" w:eastAsia="仿宋_GB2312"/>
          <w:bCs/>
          <w:kern w:val="0"/>
          <w:sz w:val="32"/>
          <w:szCs w:val="28"/>
        </w:rPr>
      </w:pPr>
      <w:r>
        <w:rPr>
          <w:rFonts w:ascii="仿宋_GB2312" w:hAnsi="楷体" w:eastAsia="仿宋_GB2312"/>
          <w:bCs/>
          <w:kern w:val="0"/>
          <w:sz w:val="32"/>
          <w:szCs w:val="28"/>
        </w:rPr>
        <w:t>（2）</w:t>
      </w:r>
      <w:r>
        <w:rPr>
          <w:rFonts w:hint="eastAsia" w:ascii="仿宋_GB2312" w:hAnsi="楷体" w:eastAsia="仿宋_GB2312"/>
          <w:bCs/>
          <w:kern w:val="0"/>
          <w:sz w:val="32"/>
          <w:szCs w:val="28"/>
        </w:rPr>
        <w:t>深化刑事诉讼监督质效。受理侦查活动监督案件83件，同比增长219%，制发纠正违法通知书5份、侦查活动通知书38份，回复率100%。聚焦虚开增值税专用发票等重点领域开展行刑衔接，建议行政机关移送14件，公安机关立案13件。办理刑事申诉审查案件93件，办结84件，息诉罢访31件，提出再审检察建议1件并获法院采纳，提请抗诉1件获改判；创建“提示单”制度，办理司法救助案件17件20人，司法救助率27.9%，全市最高。办理刑事审判监督抗诉案件7件，提出抗诉4件均改判。办理刑事执行监督案件57件，依法制发纠正违法通知书18份，全部收到整改回函。</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3）精准开展民事诉讼监督。受理案件1356件，同比上升102%；提出各类监督意见356件，审判违法监督、执行监督检察建议同比分别增长59倍、14倍；抗诉和再审、审判违法监督检察建议采纳率均为100%，深化推动从个案依申请监督向类案依职权监督转变，建用大数据法律监督模型3个，发现线索并成案331件，占比25.3%，同比上升23.5个百分点。</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4）做实行政诉讼监督，受理案件808件，同比增长96.6%；提出诉讼监督意见38件，其中提请抗诉3件、市院支持抗诉5件，行政检察非裁判案件检察建议采纳率100%，行政再审检察建议法院采纳率100%，为全市唯一破零指标。</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2.产出质量</w:t>
      </w:r>
    </w:p>
    <w:p>
      <w:pPr>
        <w:spacing w:line="560" w:lineRule="exact"/>
        <w:ind w:firstLine="640" w:firstLineChars="200"/>
        <w:rPr>
          <w:rFonts w:ascii="仿宋_GB2312" w:hAnsi="楷体" w:eastAsia="仿宋_GB2312"/>
          <w:bCs/>
          <w:kern w:val="0"/>
          <w:sz w:val="32"/>
          <w:szCs w:val="28"/>
        </w:rPr>
      </w:pPr>
      <w:r>
        <w:rPr>
          <w:rFonts w:hint="eastAsia" w:ascii="仿宋_GB2312" w:hAnsi="仿宋_GB2312" w:eastAsia="仿宋_GB2312" w:cs="仿宋_GB2312"/>
          <w:sz w:val="32"/>
          <w:szCs w:val="32"/>
        </w:rPr>
        <w:t>承担最高检检察理论研究所课题、市法学会重大课题、市院重点课题各1项，结项高层次课题6项。开展院级重点课题研究18项。</w:t>
      </w:r>
      <w:r>
        <w:rPr>
          <w:rFonts w:hint="eastAsia" w:ascii="仿宋_GB2312" w:hAnsi="楷体" w:eastAsia="仿宋_GB2312"/>
          <w:bCs/>
          <w:kern w:val="0"/>
          <w:sz w:val="32"/>
          <w:szCs w:val="28"/>
        </w:rPr>
        <w:t>检察长牵头论文《数字检察应用于刑事案件的法律风险及应对》获最高检数字检察主题征文一等奖。发表文章25篇，获评第24届全国检察理论研究年会等学术论坛、征文活动一、二、三等奖各1篇，出版文集《检察传习录》。入选最高检指导性案例1件、市院参考性案例8件，案例绩效位居分院第一。</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3.产出进度</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市检二分院工作贯穿全年，按照年初预算批复及年中追加调整预算批复，不断提升重点工作效率，2023年按计划完成了各项检察工作。</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4.产出成本</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2023年根据市财政预算批复，完成基本支出11,795.31万元，项目支出1,122.00万元。部门预算整体支出控制在预算批复范围内。</w:t>
      </w:r>
    </w:p>
    <w:p>
      <w:pPr>
        <w:pStyle w:val="3"/>
        <w:spacing w:before="0" w:after="0" w:line="560" w:lineRule="exact"/>
        <w:ind w:firstLine="643" w:firstLineChars="200"/>
        <w:rPr>
          <w:rFonts w:ascii="楷体" w:hAnsi="楷体" w:eastAsia="楷体" w:cs="楷体"/>
        </w:rPr>
      </w:pPr>
      <w:bookmarkStart w:id="18" w:name="_Toc5691"/>
      <w:bookmarkStart w:id="19" w:name="_Toc26371"/>
      <w:bookmarkStart w:id="20" w:name="_Toc9768"/>
      <w:r>
        <w:rPr>
          <w:rFonts w:hint="eastAsia" w:ascii="楷体" w:hAnsi="楷体" w:eastAsia="楷体" w:cs="楷体"/>
        </w:rPr>
        <w:t>（二）效果实现情况分析</w:t>
      </w:r>
      <w:bookmarkEnd w:id="18"/>
      <w:bookmarkEnd w:id="19"/>
      <w:bookmarkEnd w:id="20"/>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1.社会效益</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1）深化扫黑除恶常态化斗争，依法办理全国扫黑办挂账督办重点案件、扫黑除恶斗争常态化后北京市城市区域首例涉黑案件。常态化推进对“有案不立、压案不查、有罪不究”专项监督，监督立案30件，监督撤案2件3人。</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（2）坚持和践行新时代“枫桥经验”，接待群众来访3901批次、来电561次、来信2982件，高效办结16件最高检交办重复信访积案件，占比全市43%。</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2.可持续性影响</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保障各项检察业务工作有序开展，围绕中心工作履行检察职能，在维护首都工作大局，维护社会安全稳定，强化法律监督等方面具有可持续性。</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3.服务对象满意度</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服务对象满意度达到90%以上。</w:t>
      </w:r>
    </w:p>
    <w:p>
      <w:pPr>
        <w:pStyle w:val="2"/>
        <w:spacing w:line="560" w:lineRule="exact"/>
        <w:ind w:firstLineChars="200"/>
        <w:rPr>
          <w:color w:val="auto"/>
          <w:sz w:val="32"/>
          <w:szCs w:val="32"/>
        </w:rPr>
      </w:pPr>
      <w:bookmarkStart w:id="21" w:name="_Toc21966"/>
      <w:bookmarkStart w:id="22" w:name="_Toc28468"/>
      <w:bookmarkStart w:id="23" w:name="_Toc29313"/>
      <w:r>
        <w:rPr>
          <w:rFonts w:hint="eastAsia"/>
          <w:color w:val="auto"/>
          <w:sz w:val="32"/>
          <w:szCs w:val="32"/>
        </w:rPr>
        <w:t>四、预算管理情况分析</w:t>
      </w:r>
      <w:bookmarkEnd w:id="21"/>
      <w:bookmarkEnd w:id="22"/>
      <w:bookmarkEnd w:id="23"/>
    </w:p>
    <w:p>
      <w:pPr>
        <w:pStyle w:val="3"/>
        <w:spacing w:before="0" w:after="0" w:line="560" w:lineRule="exact"/>
        <w:ind w:firstLine="643" w:firstLineChars="200"/>
        <w:rPr>
          <w:rFonts w:ascii="楷体" w:hAnsi="楷体" w:eastAsia="楷体" w:cs="楷体"/>
        </w:rPr>
      </w:pPr>
      <w:bookmarkStart w:id="24" w:name="_Toc6692"/>
      <w:bookmarkStart w:id="25" w:name="_Toc27"/>
      <w:bookmarkStart w:id="26" w:name="_Toc16246"/>
      <w:r>
        <w:rPr>
          <w:rFonts w:hint="eastAsia" w:ascii="楷体" w:hAnsi="楷体" w:eastAsia="楷体" w:cs="楷体"/>
        </w:rPr>
        <w:t>（一）财务管理</w:t>
      </w:r>
      <w:bookmarkEnd w:id="24"/>
      <w:bookmarkEnd w:id="25"/>
      <w:bookmarkEnd w:id="26"/>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1.财务管理制度健全性</w:t>
      </w:r>
    </w:p>
    <w:p>
      <w:pPr>
        <w:spacing w:line="560" w:lineRule="exact"/>
        <w:ind w:firstLine="640" w:firstLineChars="200"/>
        <w:jc w:val="left"/>
        <w:rPr>
          <w:rFonts w:ascii="仿宋_GB2312" w:hAnsi="楷体" w:eastAsia="仿宋_GB2312"/>
          <w:bCs/>
          <w:kern w:val="0"/>
          <w:sz w:val="32"/>
          <w:szCs w:val="28"/>
        </w:rPr>
      </w:pPr>
      <w:r>
        <w:rPr>
          <w:rFonts w:hint="eastAsia" w:ascii="仿宋_GB2312" w:hAnsi="楷体" w:eastAsia="仿宋_GB2312"/>
          <w:bCs/>
          <w:kern w:val="0"/>
          <w:sz w:val="32"/>
          <w:szCs w:val="28"/>
        </w:rPr>
        <w:t>市检二分院制定了《北京市人民检察院第二分院内部控制手册》，已建立《北京市人民检察院第二分院预算管理办法》《北京市人民检察院第二分院预算项目管理办法》《北京市人民检察院第二分院经费支出管理办法》《北京市人民检察院第二分院机关采购管理办法》《北京市人民检察院第二分院固定资产管理办法》《</w:t>
      </w:r>
      <w:r>
        <w:fldChar w:fldCharType="begin"/>
      </w:r>
      <w:r>
        <w:instrText xml:space="preserve"> HYPERLINK \l "_Toc5287" </w:instrText>
      </w:r>
      <w:r>
        <w:fldChar w:fldCharType="separate"/>
      </w:r>
      <w:r>
        <w:rPr>
          <w:rFonts w:hint="eastAsia" w:ascii="仿宋_GB2312" w:hAnsi="楷体" w:eastAsia="仿宋_GB2312"/>
          <w:bCs/>
          <w:kern w:val="0"/>
          <w:sz w:val="32"/>
          <w:szCs w:val="28"/>
        </w:rPr>
        <w:t>北京市人民检察院第二分院</w:t>
      </w:r>
      <w:r>
        <w:rPr>
          <w:rFonts w:hint="eastAsia" w:ascii="仿宋_GB2312" w:hAnsi="楷体" w:eastAsia="仿宋_GB2312"/>
          <w:bCs/>
          <w:kern w:val="0"/>
          <w:sz w:val="32"/>
          <w:szCs w:val="28"/>
        </w:rPr>
        <w:fldChar w:fldCharType="end"/>
      </w:r>
      <w:r>
        <w:fldChar w:fldCharType="begin"/>
      </w:r>
      <w:r>
        <w:instrText xml:space="preserve"> HYPERLINK \l "_Toc25220" </w:instrText>
      </w:r>
      <w:r>
        <w:fldChar w:fldCharType="separate"/>
      </w:r>
      <w:r>
        <w:rPr>
          <w:rFonts w:hint="eastAsia" w:ascii="仿宋_GB2312" w:hAnsi="楷体" w:eastAsia="仿宋_GB2312"/>
          <w:bCs/>
          <w:kern w:val="0"/>
          <w:sz w:val="32"/>
          <w:szCs w:val="28"/>
        </w:rPr>
        <w:t>货币资金管理办法</w:t>
      </w:r>
      <w:r>
        <w:rPr>
          <w:rFonts w:hint="eastAsia" w:ascii="仿宋_GB2312" w:hAnsi="楷体" w:eastAsia="仿宋_GB2312"/>
          <w:bCs/>
          <w:kern w:val="0"/>
          <w:sz w:val="32"/>
          <w:szCs w:val="28"/>
        </w:rPr>
        <w:fldChar w:fldCharType="end"/>
      </w:r>
      <w:r>
        <w:rPr>
          <w:rFonts w:hint="eastAsia" w:ascii="仿宋_GB2312" w:hAnsi="楷体" w:eastAsia="仿宋_GB2312"/>
          <w:bCs/>
          <w:kern w:val="0"/>
          <w:sz w:val="32"/>
          <w:szCs w:val="28"/>
        </w:rPr>
        <w:t>》《</w:t>
      </w:r>
      <w:r>
        <w:fldChar w:fldCharType="begin"/>
      </w:r>
      <w:r>
        <w:instrText xml:space="preserve"> HYPERLINK \l "_Toc22184" </w:instrText>
      </w:r>
      <w:r>
        <w:fldChar w:fldCharType="separate"/>
      </w:r>
      <w:r>
        <w:rPr>
          <w:rFonts w:hint="eastAsia" w:ascii="仿宋_GB2312" w:hAnsi="楷体" w:eastAsia="仿宋_GB2312"/>
          <w:bCs/>
          <w:kern w:val="0"/>
          <w:sz w:val="32"/>
          <w:szCs w:val="28"/>
        </w:rPr>
        <w:t>北京市人民检察院第二分院</w:t>
      </w:r>
      <w:r>
        <w:rPr>
          <w:rFonts w:hint="eastAsia" w:ascii="仿宋_GB2312" w:hAnsi="楷体" w:eastAsia="仿宋_GB2312"/>
          <w:bCs/>
          <w:kern w:val="0"/>
          <w:sz w:val="32"/>
          <w:szCs w:val="28"/>
        </w:rPr>
        <w:fldChar w:fldCharType="end"/>
      </w:r>
      <w:r>
        <w:fldChar w:fldCharType="begin"/>
      </w:r>
      <w:r>
        <w:instrText xml:space="preserve"> HYPERLINK \l "_Toc15411" </w:instrText>
      </w:r>
      <w:r>
        <w:fldChar w:fldCharType="separate"/>
      </w:r>
      <w:r>
        <w:rPr>
          <w:rFonts w:hint="eastAsia" w:ascii="仿宋_GB2312" w:hAnsi="楷体" w:eastAsia="仿宋_GB2312"/>
          <w:bCs/>
          <w:kern w:val="0"/>
          <w:sz w:val="32"/>
          <w:szCs w:val="28"/>
        </w:rPr>
        <w:t>合同管理办法</w:t>
      </w:r>
      <w:r>
        <w:rPr>
          <w:rFonts w:hint="eastAsia" w:ascii="仿宋_GB2312" w:hAnsi="楷体" w:eastAsia="仿宋_GB2312"/>
          <w:bCs/>
          <w:kern w:val="0"/>
          <w:sz w:val="32"/>
          <w:szCs w:val="28"/>
        </w:rPr>
        <w:fldChar w:fldCharType="end"/>
      </w:r>
      <w:r>
        <w:rPr>
          <w:rFonts w:hint="eastAsia" w:ascii="仿宋_GB2312" w:hAnsi="楷体" w:eastAsia="仿宋_GB2312"/>
          <w:bCs/>
          <w:kern w:val="0"/>
          <w:sz w:val="32"/>
          <w:szCs w:val="28"/>
        </w:rPr>
        <w:t>》《北京市人民检察院第二分院建设项目管理制度》等相关财务管理制度，对预算业务、收支业务、政府采购业务等均明确了控制流程和措施，部门财务管理制度较健全，各项规定合法、合规，具有一定可操作性。</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2.资金使用合规性和安全性</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市检二分院资金支出按照市财政预算批复执行，2023年经费支出控制在预算批复范围内，各项资金支出均参照国家、北京市相关制度及本单位已制定的财务制度执行，资金支出审批程序齐全，资金使用合规、安全。经抽查部分项目会计凭证，市检二分院资金支出按照内部管理制度执行，未发现市检二分院资金有超范围、超标准支出的情况，审批手续严格规范。</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3.会计基础信息完善性</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2023年市检二分院</w:t>
      </w:r>
      <w:r>
        <w:rPr>
          <w:rFonts w:hint="eastAsia" w:ascii="仿宋_GB2312" w:hAnsi="宋体" w:eastAsia="仿宋_GB2312" w:cs="宋体"/>
          <w:kern w:val="0"/>
          <w:sz w:val="32"/>
          <w:szCs w:val="32"/>
        </w:rPr>
        <w:t>根据政府会计改革要求，实施新政府会计准则制度。严格按照《财政部关于贯彻实施政府会计准则制度的通知》和高检院的相关要求，</w:t>
      </w:r>
      <w:r>
        <w:rPr>
          <w:rFonts w:hint="eastAsia" w:ascii="仿宋_GB2312" w:hAnsi="楷体" w:eastAsia="仿宋_GB2312"/>
          <w:bCs/>
          <w:kern w:val="0"/>
          <w:sz w:val="32"/>
          <w:szCs w:val="28"/>
        </w:rPr>
        <w:t>严格按照《财政部关于贯彻实施政府会计准则制度的通知》和市检察院、高检院的相关要求，开展会计和财务管理工作。通过梳理重点项目支出会计凭证及会计账簿、财务报告等基础信息，市检二分院会计基础信息和会计信息管理工作较为规范。</w:t>
      </w:r>
    </w:p>
    <w:p>
      <w:pPr>
        <w:pStyle w:val="3"/>
        <w:spacing w:before="0" w:after="0" w:line="560" w:lineRule="exact"/>
        <w:ind w:firstLine="643" w:firstLineChars="200"/>
        <w:rPr>
          <w:rFonts w:ascii="楷体" w:hAnsi="楷体" w:eastAsia="楷体" w:cs="楷体"/>
        </w:rPr>
      </w:pPr>
      <w:bookmarkStart w:id="27" w:name="_Toc19340"/>
      <w:bookmarkStart w:id="28" w:name="_Toc5670"/>
      <w:bookmarkStart w:id="29" w:name="_Toc4957"/>
      <w:r>
        <w:rPr>
          <w:rFonts w:hint="eastAsia" w:ascii="楷体" w:hAnsi="楷体" w:eastAsia="楷体" w:cs="楷体"/>
        </w:rPr>
        <w:t>（二）资产管理</w:t>
      </w:r>
      <w:bookmarkEnd w:id="27"/>
      <w:bookmarkEnd w:id="28"/>
      <w:bookmarkEnd w:id="29"/>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1.资产总体情况</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截至2023年12月31日，资产总额18,348.96万元，包括：货币资金58.86万元，占资产总额0.32%；财政应返还额度321.36万元，占资产总额1.75%；其他应收款净额2.00万元，占资产总额0.01%；固定资产净值17,001.59万元，占资产总额92.66%；无形资产净值589.87万元，占资产总额3.21%；在建工程322.24万元，占资产总额1.76%；受托代理资产53.04万元，占资产总额0.29%。</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市检二分院固定资产中，土地、房屋及构筑物15,966.42万元，占固定资产的93.91%，其中，房屋15,966.42万元，占固定资产的93.91%；设备851.50万元，占5.01%（其中，车辆159.12万元，占0.94%）；文物和陈列品5.93万元，占0.04%；图书档案11.04万元，占0.06%；家具、用具166.70万元，占0.98%。</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截至2023年12月31日，自用固定资产原值27,029.94万元，其中：在用26,758.88万元，占账面固定资产总额原值的99.00%；闲置206.72万元，占账面固定资产总额原值的0.76%；待处置（待报废、毁损等）64.34万元，占账面固定资产总额原值的0.24%。自用无形资产589.87万元，占账面无形资产总额的100.00%，均属于在用状态，无闲置、待处置情况。</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2.资产管理制度及过程管理情况</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市检二分院制定了《北京市人民检察院第二分院固定资产管理办法》，明确了固定资产管理原则、管理机构及职责、固定资产标准和分类、固定资产配置、固定资产验收入库与领用、固定资产折旧、固定资产变更与交还、固定资产维修维护、固定资产保管与使用、固定资产处置、固定资产清查盘点、固定资产信息管理与报告等内容。资产的购置、配置、领用、转移、调拨和处置等执行环节，严格按照国家及上级单位有关国有资产管理的规定和《北京市人民检察院第二分院固定资产管理办法》执行。固定资产由行政事务管理部实行归口管理，统一组织实施采购工作，采购人员、资产管理员和库房管理员共同进行验收，必要时需求部门参与验收。资产管理过程中领用、调拨、处置等程序规范，根据查阅固定资产台账，固定资产台账中资产名称、入账日期、资产价值、存放部门等资产相关信息记录完整，各项资产账账相符。</w:t>
      </w:r>
    </w:p>
    <w:p>
      <w:pPr>
        <w:pStyle w:val="3"/>
        <w:spacing w:before="0" w:after="0" w:line="560" w:lineRule="exact"/>
        <w:ind w:firstLine="643" w:firstLineChars="200"/>
        <w:rPr>
          <w:rFonts w:ascii="楷体" w:hAnsi="楷体" w:eastAsia="楷体" w:cs="楷体"/>
        </w:rPr>
      </w:pPr>
      <w:bookmarkStart w:id="30" w:name="_Toc26602"/>
      <w:bookmarkStart w:id="31" w:name="_Toc3086"/>
      <w:bookmarkStart w:id="32" w:name="_Toc4229"/>
      <w:r>
        <w:rPr>
          <w:rFonts w:hint="eastAsia" w:ascii="楷体" w:hAnsi="楷体" w:eastAsia="楷体" w:cs="楷体"/>
        </w:rPr>
        <w:t>（三）绩效管理</w:t>
      </w:r>
      <w:bookmarkEnd w:id="30"/>
      <w:bookmarkEnd w:id="31"/>
      <w:bookmarkEnd w:id="32"/>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市检二分院根据北京市财政局关于预算绩效管理的要求，按照“预算编制有目标、预算执行有监控、预算完成有评价、评价结果有反馈、反馈结果有应用”的总体目标，深化推进全面预算绩效管理工作。将所有预算资金纳入部门预算绩效管理工作。</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2023年，按照北京市财政局要求对全部立项批复项目开展预算绩效监控工作，从预算资金执行、管理以及绩效目标完成等情况进行分析，进一步加强了预算绩效运行监控管理。</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市检二分院对2023年度部门预算项目实施绩效自评工作，对“办公（办案）楼裙楼屋面防水维修”项目采用部门评价方式开展，出具绩效评价报告；7个项目采用单位自评方式进行评价，出具项目支出绩效自评表。从总体评价结果来看，能够较好地按照年初预算目标完成各项工作，绩效目标设定较为合理，各项目标及指标的完成情况较好，项目执行过程比较规范，符合相关制度要求，项目执行金额能够控制在预算范围内，项目效果基本达到预定目标。</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通过开展绩效监控和绩效评价工作，全面、客观地反映了项目实施的工作成效，对项目决策、项目过程、项目产出、项目效益方面存在的不足提出合理化建议，使预算管理更加科学、完善，进而规范资金的使用管理，强化项目实施部门预算成本控制，完善绩效管理工作，进一步提升市检二分院预算绩效管理水平。</w:t>
      </w:r>
    </w:p>
    <w:p>
      <w:pPr>
        <w:pStyle w:val="3"/>
        <w:spacing w:before="0" w:after="0" w:line="560" w:lineRule="exact"/>
        <w:ind w:firstLine="643" w:firstLineChars="200"/>
        <w:rPr>
          <w:rFonts w:ascii="楷体" w:hAnsi="楷体" w:eastAsia="楷体" w:cs="楷体"/>
        </w:rPr>
      </w:pPr>
      <w:bookmarkStart w:id="33" w:name="_Toc14825"/>
      <w:bookmarkStart w:id="34" w:name="_Toc17522"/>
      <w:bookmarkStart w:id="35" w:name="_Toc15736"/>
      <w:r>
        <w:rPr>
          <w:rFonts w:hint="eastAsia" w:ascii="楷体" w:hAnsi="楷体" w:eastAsia="楷体" w:cs="楷体"/>
        </w:rPr>
        <w:t>（四）结转结余率</w:t>
      </w:r>
      <w:bookmarkEnd w:id="33"/>
      <w:bookmarkEnd w:id="34"/>
      <w:bookmarkEnd w:id="35"/>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市检二分院2023年预算年末结转结余324.82万元，全年预算支出13,242.12万元，结转结余率为</w:t>
      </w:r>
      <w:bookmarkStart w:id="36" w:name="OLE_LINK1"/>
      <w:r>
        <w:rPr>
          <w:rFonts w:hint="eastAsia" w:ascii="仿宋_GB2312" w:hAnsi="楷体" w:eastAsia="仿宋_GB2312"/>
          <w:bCs/>
          <w:kern w:val="0"/>
          <w:sz w:val="32"/>
          <w:szCs w:val="28"/>
        </w:rPr>
        <w:t>2.45%</w:t>
      </w:r>
      <w:bookmarkEnd w:id="36"/>
      <w:r>
        <w:rPr>
          <w:rFonts w:hint="eastAsia" w:ascii="仿宋_GB2312" w:hAnsi="楷体" w:eastAsia="仿宋_GB2312"/>
          <w:bCs/>
          <w:kern w:val="0"/>
          <w:sz w:val="32"/>
          <w:szCs w:val="28"/>
        </w:rPr>
        <w:t>，比上年结转结余率（2.12%）略高。</w:t>
      </w:r>
    </w:p>
    <w:p>
      <w:pPr>
        <w:pStyle w:val="3"/>
        <w:spacing w:before="0" w:after="0" w:line="560" w:lineRule="exact"/>
        <w:ind w:firstLine="643" w:firstLineChars="200"/>
        <w:rPr>
          <w:rFonts w:ascii="楷体" w:hAnsi="楷体" w:eastAsia="楷体" w:cs="楷体"/>
        </w:rPr>
      </w:pPr>
      <w:bookmarkStart w:id="37" w:name="_Toc11444"/>
      <w:bookmarkStart w:id="38" w:name="_Toc20710"/>
      <w:bookmarkStart w:id="39" w:name="_Toc2347"/>
      <w:r>
        <w:rPr>
          <w:rFonts w:hint="eastAsia" w:ascii="楷体" w:hAnsi="楷体" w:eastAsia="楷体" w:cs="楷体"/>
        </w:rPr>
        <w:t>（五）部门预决算差异率</w:t>
      </w:r>
      <w:bookmarkEnd w:id="37"/>
      <w:bookmarkEnd w:id="38"/>
      <w:bookmarkEnd w:id="39"/>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2023年，年初部门预算支出数13,606.35万元，年度部门决算支出数12,917.31万元，部门预决算差异率为5.06%，低于市级平均差异率（28.30%）</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1.支出预决算差异情况表（按支出性质）</w:t>
      </w:r>
    </w:p>
    <w:tbl>
      <w:tblPr>
        <w:tblStyle w:val="17"/>
        <w:tblW w:w="8523" w:type="dxa"/>
        <w:tblInd w:w="250" w:type="dxa"/>
        <w:tblLayout w:type="fixed"/>
        <w:tblCellMar>
          <w:top w:w="0" w:type="dxa"/>
          <w:left w:w="108" w:type="dxa"/>
          <w:bottom w:w="0" w:type="dxa"/>
          <w:right w:w="108" w:type="dxa"/>
        </w:tblCellMar>
      </w:tblPr>
      <w:tblGrid>
        <w:gridCol w:w="3065"/>
        <w:gridCol w:w="1912"/>
        <w:gridCol w:w="2066"/>
        <w:gridCol w:w="1480"/>
      </w:tblGrid>
      <w:tr>
        <w:tblPrEx>
          <w:tblLayout w:type="fixed"/>
          <w:tblCellMar>
            <w:top w:w="0" w:type="dxa"/>
            <w:left w:w="108" w:type="dxa"/>
            <w:bottom w:w="0" w:type="dxa"/>
            <w:right w:w="108" w:type="dxa"/>
          </w:tblCellMar>
        </w:tblPrEx>
        <w:trPr>
          <w:trHeight w:val="285" w:hRule="atLeast"/>
        </w:trPr>
        <w:tc>
          <w:tcPr>
            <w:tcW w:w="3065"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cs="宋体"/>
                <w:kern w:val="0"/>
                <w:sz w:val="30"/>
                <w:szCs w:val="30"/>
              </w:rPr>
            </w:pPr>
            <w:r>
              <w:rPr>
                <w:rFonts w:hint="eastAsia" w:ascii="宋体" w:hAnsi="宋体" w:cs="宋体"/>
                <w:kern w:val="0"/>
                <w:sz w:val="30"/>
                <w:szCs w:val="30"/>
              </w:rPr>
              <w:t>本年支出性质</w:t>
            </w:r>
          </w:p>
        </w:tc>
        <w:tc>
          <w:tcPr>
            <w:tcW w:w="1912"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宋体" w:hAnsi="宋体" w:cs="宋体"/>
                <w:kern w:val="0"/>
                <w:sz w:val="30"/>
                <w:szCs w:val="30"/>
              </w:rPr>
            </w:pPr>
            <w:r>
              <w:rPr>
                <w:rFonts w:hint="eastAsia" w:ascii="宋体" w:hAnsi="宋体" w:cs="宋体"/>
                <w:kern w:val="0"/>
                <w:sz w:val="30"/>
                <w:szCs w:val="30"/>
              </w:rPr>
              <w:t>年初预算数</w:t>
            </w:r>
          </w:p>
        </w:tc>
        <w:tc>
          <w:tcPr>
            <w:tcW w:w="2066"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宋体" w:hAnsi="宋体" w:cs="宋体"/>
                <w:kern w:val="0"/>
                <w:sz w:val="30"/>
                <w:szCs w:val="30"/>
              </w:rPr>
            </w:pPr>
            <w:r>
              <w:rPr>
                <w:rFonts w:hint="eastAsia" w:ascii="宋体" w:hAnsi="宋体" w:cs="宋体"/>
                <w:kern w:val="0"/>
                <w:sz w:val="30"/>
                <w:szCs w:val="30"/>
              </w:rPr>
              <w:t>年度决算数</w:t>
            </w:r>
          </w:p>
        </w:tc>
        <w:tc>
          <w:tcPr>
            <w:tcW w:w="1480"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宋体" w:hAnsi="宋体" w:cs="宋体"/>
                <w:kern w:val="0"/>
                <w:sz w:val="30"/>
                <w:szCs w:val="30"/>
              </w:rPr>
            </w:pPr>
            <w:r>
              <w:rPr>
                <w:rFonts w:hint="eastAsia" w:ascii="宋体" w:hAnsi="宋体" w:cs="宋体"/>
                <w:kern w:val="0"/>
                <w:sz w:val="30"/>
                <w:szCs w:val="30"/>
              </w:rPr>
              <w:t>差异率%</w:t>
            </w:r>
          </w:p>
        </w:tc>
      </w:tr>
      <w:tr>
        <w:tblPrEx>
          <w:tblLayout w:type="fixed"/>
          <w:tblCellMar>
            <w:top w:w="0" w:type="dxa"/>
            <w:left w:w="108" w:type="dxa"/>
            <w:bottom w:w="0" w:type="dxa"/>
            <w:right w:w="108" w:type="dxa"/>
          </w:tblCellMar>
        </w:tblPrEx>
        <w:trPr>
          <w:trHeight w:val="285" w:hRule="atLeast"/>
        </w:trPr>
        <w:tc>
          <w:tcPr>
            <w:tcW w:w="3065"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cs="宋体"/>
                <w:kern w:val="0"/>
                <w:sz w:val="30"/>
                <w:szCs w:val="30"/>
              </w:rPr>
            </w:pPr>
            <w:r>
              <w:rPr>
                <w:rFonts w:hint="eastAsia" w:ascii="宋体" w:hAnsi="宋体" w:cs="宋体"/>
                <w:kern w:val="0"/>
                <w:sz w:val="30"/>
                <w:szCs w:val="30"/>
              </w:rPr>
              <w:t>资金总体</w:t>
            </w:r>
          </w:p>
        </w:tc>
        <w:tc>
          <w:tcPr>
            <w:tcW w:w="191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sz w:val="30"/>
                <w:szCs w:val="30"/>
              </w:rPr>
            </w:pPr>
            <w:r>
              <w:rPr>
                <w:rFonts w:hint="eastAsia" w:ascii="宋体" w:hAnsi="宋体" w:cs="宋体"/>
                <w:sz w:val="30"/>
                <w:szCs w:val="30"/>
              </w:rPr>
              <w:t xml:space="preserve"> 13,606.35 </w:t>
            </w:r>
          </w:p>
        </w:tc>
        <w:tc>
          <w:tcPr>
            <w:tcW w:w="2066"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sz w:val="30"/>
                <w:szCs w:val="30"/>
              </w:rPr>
            </w:pPr>
            <w:r>
              <w:rPr>
                <w:rFonts w:hint="eastAsia" w:ascii="宋体" w:hAnsi="宋体" w:cs="宋体"/>
                <w:sz w:val="30"/>
                <w:szCs w:val="30"/>
              </w:rPr>
              <w:t xml:space="preserve"> 12,917.31 </w:t>
            </w:r>
          </w:p>
        </w:tc>
        <w:tc>
          <w:tcPr>
            <w:tcW w:w="1480" w:type="dxa"/>
            <w:tcBorders>
              <w:top w:val="nil"/>
              <w:left w:val="nil"/>
              <w:bottom w:val="single" w:color="auto" w:sz="4" w:space="0"/>
              <w:right w:val="single" w:color="auto" w:sz="4" w:space="0"/>
            </w:tcBorders>
            <w:shd w:val="clear" w:color="auto" w:fill="auto"/>
            <w:noWrap/>
            <w:vAlign w:val="bottom"/>
          </w:tcPr>
          <w:p>
            <w:pPr>
              <w:widowControl/>
              <w:jc w:val="right"/>
              <w:textAlignment w:val="center"/>
              <w:rPr>
                <w:rFonts w:ascii="宋体" w:hAnsi="宋体" w:cs="宋体"/>
                <w:sz w:val="30"/>
                <w:szCs w:val="30"/>
              </w:rPr>
            </w:pPr>
            <w:r>
              <w:rPr>
                <w:rFonts w:hint="eastAsia" w:ascii="宋体" w:hAnsi="宋体" w:cs="宋体"/>
                <w:sz w:val="30"/>
                <w:szCs w:val="30"/>
              </w:rPr>
              <w:t>5.06%</w:t>
            </w:r>
          </w:p>
        </w:tc>
      </w:tr>
      <w:tr>
        <w:tblPrEx>
          <w:tblLayout w:type="fixed"/>
          <w:tblCellMar>
            <w:top w:w="0" w:type="dxa"/>
            <w:left w:w="108" w:type="dxa"/>
            <w:bottom w:w="0" w:type="dxa"/>
            <w:right w:w="108" w:type="dxa"/>
          </w:tblCellMar>
        </w:tblPrEx>
        <w:trPr>
          <w:trHeight w:val="90" w:hRule="atLeast"/>
        </w:trPr>
        <w:tc>
          <w:tcPr>
            <w:tcW w:w="3065"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cs="宋体"/>
                <w:kern w:val="0"/>
                <w:sz w:val="30"/>
                <w:szCs w:val="30"/>
              </w:rPr>
            </w:pPr>
            <w:r>
              <w:rPr>
                <w:rFonts w:hint="eastAsia" w:ascii="宋体" w:hAnsi="宋体" w:cs="宋体"/>
                <w:kern w:val="0"/>
                <w:sz w:val="30"/>
                <w:szCs w:val="30"/>
              </w:rPr>
              <w:t>基本支出</w:t>
            </w:r>
          </w:p>
        </w:tc>
        <w:tc>
          <w:tcPr>
            <w:tcW w:w="1912" w:type="dxa"/>
            <w:tcBorders>
              <w:top w:val="nil"/>
              <w:left w:val="nil"/>
              <w:bottom w:val="single" w:color="auto" w:sz="4" w:space="0"/>
              <w:right w:val="single" w:color="auto" w:sz="4" w:space="0"/>
            </w:tcBorders>
            <w:shd w:val="clear" w:color="auto" w:fill="auto"/>
            <w:noWrap/>
            <w:vAlign w:val="bottom"/>
          </w:tcPr>
          <w:p>
            <w:pPr>
              <w:widowControl/>
              <w:jc w:val="right"/>
              <w:textAlignment w:val="center"/>
              <w:rPr>
                <w:rFonts w:ascii="宋体" w:hAnsi="宋体" w:cs="宋体"/>
                <w:sz w:val="30"/>
                <w:szCs w:val="30"/>
              </w:rPr>
            </w:pPr>
            <w:r>
              <w:rPr>
                <w:rFonts w:hint="eastAsia" w:ascii="宋体" w:hAnsi="宋体" w:cs="宋体"/>
                <w:sz w:val="30"/>
                <w:szCs w:val="30"/>
              </w:rPr>
              <w:t xml:space="preserve"> 12,513.45 </w:t>
            </w:r>
          </w:p>
        </w:tc>
        <w:tc>
          <w:tcPr>
            <w:tcW w:w="2066" w:type="dxa"/>
            <w:tcBorders>
              <w:top w:val="nil"/>
              <w:left w:val="nil"/>
              <w:bottom w:val="single" w:color="auto" w:sz="4" w:space="0"/>
              <w:right w:val="single" w:color="auto" w:sz="4" w:space="0"/>
            </w:tcBorders>
            <w:shd w:val="clear" w:color="auto" w:fill="auto"/>
            <w:noWrap/>
            <w:vAlign w:val="bottom"/>
          </w:tcPr>
          <w:p>
            <w:pPr>
              <w:widowControl/>
              <w:jc w:val="right"/>
              <w:textAlignment w:val="center"/>
              <w:rPr>
                <w:rFonts w:ascii="宋体" w:hAnsi="宋体" w:cs="宋体"/>
                <w:sz w:val="30"/>
                <w:szCs w:val="30"/>
              </w:rPr>
            </w:pPr>
            <w:r>
              <w:rPr>
                <w:rFonts w:hint="eastAsia" w:ascii="宋体" w:hAnsi="宋体" w:cs="宋体"/>
                <w:sz w:val="30"/>
                <w:szCs w:val="30"/>
              </w:rPr>
              <w:t xml:space="preserve"> 11,795.31 </w:t>
            </w:r>
          </w:p>
        </w:tc>
        <w:tc>
          <w:tcPr>
            <w:tcW w:w="1480" w:type="dxa"/>
            <w:tcBorders>
              <w:top w:val="nil"/>
              <w:left w:val="nil"/>
              <w:bottom w:val="single" w:color="auto" w:sz="4" w:space="0"/>
              <w:right w:val="single" w:color="auto" w:sz="4" w:space="0"/>
            </w:tcBorders>
            <w:shd w:val="clear" w:color="auto" w:fill="auto"/>
            <w:noWrap/>
            <w:vAlign w:val="bottom"/>
          </w:tcPr>
          <w:p>
            <w:pPr>
              <w:widowControl/>
              <w:jc w:val="right"/>
              <w:textAlignment w:val="center"/>
              <w:rPr>
                <w:rFonts w:ascii="宋体" w:hAnsi="宋体" w:cs="宋体"/>
                <w:sz w:val="30"/>
                <w:szCs w:val="30"/>
              </w:rPr>
            </w:pPr>
            <w:r>
              <w:rPr>
                <w:rFonts w:hint="eastAsia" w:ascii="宋体" w:hAnsi="宋体" w:cs="宋体"/>
                <w:sz w:val="30"/>
                <w:szCs w:val="30"/>
              </w:rPr>
              <w:t>5.74%</w:t>
            </w:r>
          </w:p>
        </w:tc>
      </w:tr>
      <w:tr>
        <w:tblPrEx>
          <w:tblLayout w:type="fixed"/>
          <w:tblCellMar>
            <w:top w:w="0" w:type="dxa"/>
            <w:left w:w="108" w:type="dxa"/>
            <w:bottom w:w="0" w:type="dxa"/>
            <w:right w:w="108" w:type="dxa"/>
          </w:tblCellMar>
        </w:tblPrEx>
        <w:trPr>
          <w:trHeight w:val="285" w:hRule="atLeast"/>
        </w:trPr>
        <w:tc>
          <w:tcPr>
            <w:tcW w:w="3065"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cs="宋体"/>
                <w:kern w:val="0"/>
                <w:sz w:val="30"/>
                <w:szCs w:val="30"/>
              </w:rPr>
            </w:pPr>
            <w:r>
              <w:rPr>
                <w:rFonts w:hint="eastAsia" w:ascii="宋体" w:hAnsi="宋体" w:cs="宋体"/>
                <w:kern w:val="0"/>
                <w:sz w:val="30"/>
                <w:szCs w:val="30"/>
              </w:rPr>
              <w:t>项目支出</w:t>
            </w:r>
          </w:p>
        </w:tc>
        <w:tc>
          <w:tcPr>
            <w:tcW w:w="1912" w:type="dxa"/>
            <w:tcBorders>
              <w:top w:val="nil"/>
              <w:left w:val="nil"/>
              <w:bottom w:val="single" w:color="auto" w:sz="4" w:space="0"/>
              <w:right w:val="single" w:color="auto" w:sz="4" w:space="0"/>
            </w:tcBorders>
            <w:shd w:val="clear" w:color="auto" w:fill="auto"/>
            <w:noWrap/>
            <w:vAlign w:val="bottom"/>
          </w:tcPr>
          <w:p>
            <w:pPr>
              <w:widowControl/>
              <w:jc w:val="right"/>
              <w:textAlignment w:val="center"/>
              <w:rPr>
                <w:rFonts w:ascii="宋体" w:hAnsi="宋体" w:cs="宋体"/>
                <w:sz w:val="30"/>
                <w:szCs w:val="30"/>
              </w:rPr>
            </w:pPr>
            <w:r>
              <w:rPr>
                <w:rFonts w:hint="eastAsia" w:ascii="宋体" w:hAnsi="宋体" w:cs="宋体"/>
                <w:sz w:val="30"/>
                <w:szCs w:val="30"/>
              </w:rPr>
              <w:t xml:space="preserve"> 1,092.90 </w:t>
            </w:r>
          </w:p>
        </w:tc>
        <w:tc>
          <w:tcPr>
            <w:tcW w:w="2066" w:type="dxa"/>
            <w:tcBorders>
              <w:top w:val="nil"/>
              <w:left w:val="nil"/>
              <w:bottom w:val="single" w:color="auto" w:sz="4" w:space="0"/>
              <w:right w:val="single" w:color="auto" w:sz="4" w:space="0"/>
            </w:tcBorders>
            <w:shd w:val="clear" w:color="auto" w:fill="auto"/>
            <w:noWrap/>
            <w:vAlign w:val="bottom"/>
          </w:tcPr>
          <w:p>
            <w:pPr>
              <w:widowControl/>
              <w:jc w:val="right"/>
              <w:textAlignment w:val="center"/>
              <w:rPr>
                <w:rFonts w:ascii="宋体" w:hAnsi="宋体" w:cs="宋体"/>
                <w:sz w:val="30"/>
                <w:szCs w:val="30"/>
              </w:rPr>
            </w:pPr>
            <w:r>
              <w:rPr>
                <w:rFonts w:hint="eastAsia" w:ascii="宋体" w:hAnsi="宋体" w:cs="宋体"/>
                <w:sz w:val="30"/>
                <w:szCs w:val="30"/>
              </w:rPr>
              <w:t xml:space="preserve"> 1,122.00 </w:t>
            </w:r>
          </w:p>
        </w:tc>
        <w:tc>
          <w:tcPr>
            <w:tcW w:w="1480" w:type="dxa"/>
            <w:tcBorders>
              <w:top w:val="nil"/>
              <w:left w:val="nil"/>
              <w:bottom w:val="single" w:color="auto" w:sz="4" w:space="0"/>
              <w:right w:val="single" w:color="auto" w:sz="4" w:space="0"/>
            </w:tcBorders>
            <w:shd w:val="clear" w:color="auto" w:fill="auto"/>
            <w:noWrap/>
            <w:vAlign w:val="bottom"/>
          </w:tcPr>
          <w:p>
            <w:pPr>
              <w:widowControl/>
              <w:jc w:val="right"/>
              <w:textAlignment w:val="center"/>
              <w:rPr>
                <w:rFonts w:ascii="宋体" w:hAnsi="宋体" w:cs="宋体"/>
                <w:sz w:val="30"/>
                <w:szCs w:val="30"/>
              </w:rPr>
            </w:pPr>
            <w:r>
              <w:rPr>
                <w:rFonts w:hint="eastAsia" w:ascii="宋体" w:hAnsi="宋体" w:cs="宋体"/>
                <w:sz w:val="30"/>
                <w:szCs w:val="30"/>
              </w:rPr>
              <w:t>2.66%</w:t>
            </w:r>
          </w:p>
        </w:tc>
      </w:tr>
    </w:tbl>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2.支出预决算差异情况表（按功能科目）</w:t>
      </w:r>
    </w:p>
    <w:tbl>
      <w:tblPr>
        <w:tblStyle w:val="17"/>
        <w:tblW w:w="8523" w:type="dxa"/>
        <w:tblInd w:w="250" w:type="dxa"/>
        <w:tblLayout w:type="fixed"/>
        <w:tblCellMar>
          <w:top w:w="0" w:type="dxa"/>
          <w:left w:w="108" w:type="dxa"/>
          <w:bottom w:w="0" w:type="dxa"/>
          <w:right w:w="108" w:type="dxa"/>
        </w:tblCellMar>
      </w:tblPr>
      <w:tblGrid>
        <w:gridCol w:w="3065"/>
        <w:gridCol w:w="1912"/>
        <w:gridCol w:w="2066"/>
        <w:gridCol w:w="1480"/>
      </w:tblGrid>
      <w:tr>
        <w:tblPrEx>
          <w:tblLayout w:type="fixed"/>
          <w:tblCellMar>
            <w:top w:w="0" w:type="dxa"/>
            <w:left w:w="108" w:type="dxa"/>
            <w:bottom w:w="0" w:type="dxa"/>
            <w:right w:w="108" w:type="dxa"/>
          </w:tblCellMar>
        </w:tblPrEx>
        <w:trPr>
          <w:trHeight w:val="285" w:hRule="atLeast"/>
        </w:trPr>
        <w:tc>
          <w:tcPr>
            <w:tcW w:w="3065"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cs="宋体"/>
                <w:kern w:val="0"/>
                <w:sz w:val="30"/>
                <w:szCs w:val="30"/>
              </w:rPr>
            </w:pPr>
            <w:r>
              <w:rPr>
                <w:rFonts w:hint="eastAsia" w:ascii="宋体" w:hAnsi="宋体" w:cs="宋体"/>
                <w:kern w:val="0"/>
                <w:sz w:val="30"/>
                <w:szCs w:val="30"/>
              </w:rPr>
              <w:t>本年支出性质</w:t>
            </w:r>
          </w:p>
        </w:tc>
        <w:tc>
          <w:tcPr>
            <w:tcW w:w="1912"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宋体" w:hAnsi="宋体" w:cs="宋体"/>
                <w:kern w:val="0"/>
                <w:sz w:val="30"/>
                <w:szCs w:val="30"/>
              </w:rPr>
            </w:pPr>
            <w:r>
              <w:rPr>
                <w:rFonts w:hint="eastAsia" w:ascii="宋体" w:hAnsi="宋体" w:cs="宋体"/>
                <w:kern w:val="0"/>
                <w:sz w:val="30"/>
                <w:szCs w:val="30"/>
              </w:rPr>
              <w:t>年初预算数</w:t>
            </w:r>
          </w:p>
        </w:tc>
        <w:tc>
          <w:tcPr>
            <w:tcW w:w="2066"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宋体" w:hAnsi="宋体" w:cs="宋体"/>
                <w:kern w:val="0"/>
                <w:sz w:val="30"/>
                <w:szCs w:val="30"/>
              </w:rPr>
            </w:pPr>
            <w:r>
              <w:rPr>
                <w:rFonts w:hint="eastAsia" w:ascii="宋体" w:hAnsi="宋体" w:cs="宋体"/>
                <w:kern w:val="0"/>
                <w:sz w:val="30"/>
                <w:szCs w:val="30"/>
              </w:rPr>
              <w:t>年度决算数</w:t>
            </w:r>
          </w:p>
        </w:tc>
        <w:tc>
          <w:tcPr>
            <w:tcW w:w="1480"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宋体" w:hAnsi="宋体" w:cs="宋体"/>
                <w:kern w:val="0"/>
                <w:sz w:val="30"/>
                <w:szCs w:val="30"/>
              </w:rPr>
            </w:pPr>
            <w:r>
              <w:rPr>
                <w:rFonts w:hint="eastAsia" w:ascii="宋体" w:hAnsi="宋体" w:cs="宋体"/>
                <w:kern w:val="0"/>
                <w:sz w:val="30"/>
                <w:szCs w:val="30"/>
              </w:rPr>
              <w:t>差异率%</w:t>
            </w:r>
          </w:p>
        </w:tc>
      </w:tr>
      <w:tr>
        <w:tblPrEx>
          <w:tblLayout w:type="fixed"/>
          <w:tblCellMar>
            <w:top w:w="0" w:type="dxa"/>
            <w:left w:w="108" w:type="dxa"/>
            <w:bottom w:w="0" w:type="dxa"/>
            <w:right w:w="108" w:type="dxa"/>
          </w:tblCellMar>
        </w:tblPrEx>
        <w:trPr>
          <w:trHeight w:val="285" w:hRule="atLeast"/>
        </w:trPr>
        <w:tc>
          <w:tcPr>
            <w:tcW w:w="3065"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cs="宋体"/>
                <w:kern w:val="0"/>
                <w:sz w:val="30"/>
                <w:szCs w:val="30"/>
              </w:rPr>
            </w:pPr>
            <w:r>
              <w:rPr>
                <w:rFonts w:hint="eastAsia" w:ascii="宋体" w:hAnsi="宋体" w:cs="宋体"/>
                <w:kern w:val="0"/>
                <w:sz w:val="30"/>
                <w:szCs w:val="30"/>
              </w:rPr>
              <w:t>资金总体</w:t>
            </w:r>
          </w:p>
        </w:tc>
        <w:tc>
          <w:tcPr>
            <w:tcW w:w="191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sz w:val="30"/>
                <w:szCs w:val="30"/>
              </w:rPr>
            </w:pPr>
            <w:r>
              <w:rPr>
                <w:rFonts w:hint="eastAsia" w:ascii="宋体" w:hAnsi="宋体" w:cs="宋体"/>
                <w:sz w:val="30"/>
                <w:szCs w:val="30"/>
              </w:rPr>
              <w:t xml:space="preserve"> 13,606.35 </w:t>
            </w:r>
          </w:p>
        </w:tc>
        <w:tc>
          <w:tcPr>
            <w:tcW w:w="2066"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sz w:val="30"/>
                <w:szCs w:val="30"/>
              </w:rPr>
            </w:pPr>
            <w:r>
              <w:rPr>
                <w:rFonts w:hint="eastAsia" w:ascii="宋体" w:hAnsi="宋体" w:cs="宋体"/>
                <w:sz w:val="30"/>
                <w:szCs w:val="30"/>
              </w:rPr>
              <w:t xml:space="preserve"> 12,917.31 </w:t>
            </w:r>
          </w:p>
        </w:tc>
        <w:tc>
          <w:tcPr>
            <w:tcW w:w="1480" w:type="dxa"/>
            <w:tcBorders>
              <w:top w:val="nil"/>
              <w:left w:val="nil"/>
              <w:bottom w:val="single" w:color="auto" w:sz="4" w:space="0"/>
              <w:right w:val="single" w:color="auto" w:sz="4" w:space="0"/>
            </w:tcBorders>
            <w:shd w:val="clear" w:color="auto" w:fill="auto"/>
            <w:noWrap/>
            <w:vAlign w:val="bottom"/>
          </w:tcPr>
          <w:p>
            <w:pPr>
              <w:widowControl/>
              <w:jc w:val="right"/>
              <w:textAlignment w:val="center"/>
              <w:rPr>
                <w:rFonts w:ascii="宋体" w:hAnsi="宋体" w:cs="宋体"/>
                <w:sz w:val="30"/>
                <w:szCs w:val="30"/>
              </w:rPr>
            </w:pPr>
            <w:r>
              <w:rPr>
                <w:rFonts w:hint="eastAsia" w:ascii="宋体" w:hAnsi="宋体" w:cs="宋体"/>
                <w:sz w:val="30"/>
                <w:szCs w:val="30"/>
              </w:rPr>
              <w:t>5.06%</w:t>
            </w:r>
          </w:p>
        </w:tc>
      </w:tr>
      <w:tr>
        <w:tblPrEx>
          <w:tblLayout w:type="fixed"/>
          <w:tblCellMar>
            <w:top w:w="0" w:type="dxa"/>
            <w:left w:w="108" w:type="dxa"/>
            <w:bottom w:w="0" w:type="dxa"/>
            <w:right w:w="108" w:type="dxa"/>
          </w:tblCellMar>
        </w:tblPrEx>
        <w:trPr>
          <w:trHeight w:val="90" w:hRule="atLeast"/>
        </w:trPr>
        <w:tc>
          <w:tcPr>
            <w:tcW w:w="3065"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cs="宋体"/>
                <w:kern w:val="0"/>
                <w:sz w:val="30"/>
                <w:szCs w:val="30"/>
              </w:rPr>
            </w:pPr>
            <w:r>
              <w:rPr>
                <w:rFonts w:hint="eastAsia" w:ascii="宋体" w:hAnsi="宋体" w:cs="宋体"/>
                <w:kern w:val="0"/>
                <w:sz w:val="30"/>
                <w:szCs w:val="30"/>
              </w:rPr>
              <w:t>公共安全支出</w:t>
            </w:r>
          </w:p>
        </w:tc>
        <w:tc>
          <w:tcPr>
            <w:tcW w:w="1912" w:type="dxa"/>
            <w:tcBorders>
              <w:top w:val="nil"/>
              <w:left w:val="nil"/>
              <w:bottom w:val="single" w:color="auto" w:sz="4" w:space="0"/>
              <w:right w:val="single" w:color="auto" w:sz="4" w:space="0"/>
            </w:tcBorders>
            <w:shd w:val="clear" w:color="auto" w:fill="auto"/>
            <w:noWrap/>
            <w:vAlign w:val="bottom"/>
          </w:tcPr>
          <w:p>
            <w:pPr>
              <w:widowControl/>
              <w:jc w:val="right"/>
              <w:textAlignment w:val="center"/>
              <w:rPr>
                <w:rFonts w:ascii="宋体" w:hAnsi="宋体" w:cs="宋体"/>
                <w:sz w:val="30"/>
                <w:szCs w:val="30"/>
              </w:rPr>
            </w:pPr>
            <w:r>
              <w:rPr>
                <w:rFonts w:hint="eastAsia" w:ascii="宋体" w:hAnsi="宋体" w:cs="宋体"/>
                <w:sz w:val="30"/>
                <w:szCs w:val="30"/>
              </w:rPr>
              <w:t xml:space="preserve"> 11,698.88 </w:t>
            </w:r>
          </w:p>
        </w:tc>
        <w:tc>
          <w:tcPr>
            <w:tcW w:w="2066" w:type="dxa"/>
            <w:tcBorders>
              <w:top w:val="nil"/>
              <w:left w:val="nil"/>
              <w:bottom w:val="single" w:color="auto" w:sz="4" w:space="0"/>
              <w:right w:val="single" w:color="auto" w:sz="4" w:space="0"/>
            </w:tcBorders>
            <w:shd w:val="clear" w:color="auto" w:fill="auto"/>
            <w:noWrap/>
            <w:vAlign w:val="bottom"/>
          </w:tcPr>
          <w:p>
            <w:pPr>
              <w:widowControl/>
              <w:jc w:val="right"/>
              <w:textAlignment w:val="center"/>
              <w:rPr>
                <w:rFonts w:ascii="宋体" w:hAnsi="宋体" w:cs="宋体"/>
                <w:sz w:val="30"/>
                <w:szCs w:val="30"/>
              </w:rPr>
            </w:pPr>
            <w:r>
              <w:rPr>
                <w:rFonts w:hint="eastAsia" w:ascii="宋体" w:hAnsi="宋体" w:cs="宋体"/>
                <w:sz w:val="30"/>
                <w:szCs w:val="30"/>
              </w:rPr>
              <w:t xml:space="preserve"> 11,111.89 </w:t>
            </w:r>
          </w:p>
        </w:tc>
        <w:tc>
          <w:tcPr>
            <w:tcW w:w="1480" w:type="dxa"/>
            <w:tcBorders>
              <w:top w:val="nil"/>
              <w:left w:val="nil"/>
              <w:bottom w:val="single" w:color="auto" w:sz="4" w:space="0"/>
              <w:right w:val="single" w:color="auto" w:sz="4" w:space="0"/>
            </w:tcBorders>
            <w:shd w:val="clear" w:color="auto" w:fill="auto"/>
            <w:noWrap/>
            <w:vAlign w:val="bottom"/>
          </w:tcPr>
          <w:p>
            <w:pPr>
              <w:widowControl/>
              <w:jc w:val="right"/>
              <w:textAlignment w:val="center"/>
              <w:rPr>
                <w:rFonts w:ascii="宋体" w:hAnsi="宋体" w:cs="宋体"/>
                <w:sz w:val="30"/>
                <w:szCs w:val="30"/>
              </w:rPr>
            </w:pPr>
            <w:r>
              <w:rPr>
                <w:rFonts w:hint="eastAsia" w:ascii="宋体" w:hAnsi="宋体" w:cs="宋体"/>
                <w:sz w:val="30"/>
                <w:szCs w:val="30"/>
              </w:rPr>
              <w:t>5.02%</w:t>
            </w:r>
          </w:p>
        </w:tc>
      </w:tr>
      <w:tr>
        <w:tblPrEx>
          <w:tblLayout w:type="fixed"/>
          <w:tblCellMar>
            <w:top w:w="0" w:type="dxa"/>
            <w:left w:w="108" w:type="dxa"/>
            <w:bottom w:w="0" w:type="dxa"/>
            <w:right w:w="108" w:type="dxa"/>
          </w:tblCellMar>
        </w:tblPrEx>
        <w:trPr>
          <w:trHeight w:val="285" w:hRule="atLeast"/>
        </w:trPr>
        <w:tc>
          <w:tcPr>
            <w:tcW w:w="3065"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cs="宋体"/>
                <w:kern w:val="0"/>
                <w:sz w:val="30"/>
                <w:szCs w:val="30"/>
              </w:rPr>
            </w:pPr>
            <w:r>
              <w:rPr>
                <w:rFonts w:hint="eastAsia" w:ascii="宋体" w:hAnsi="宋体" w:cs="宋体"/>
                <w:kern w:val="0"/>
                <w:sz w:val="30"/>
                <w:szCs w:val="30"/>
              </w:rPr>
              <w:t>教育支出</w:t>
            </w:r>
          </w:p>
        </w:tc>
        <w:tc>
          <w:tcPr>
            <w:tcW w:w="1912"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right"/>
              <w:textAlignment w:val="center"/>
              <w:rPr>
                <w:rFonts w:ascii="宋体" w:hAnsi="宋体" w:cs="宋体"/>
                <w:sz w:val="30"/>
                <w:szCs w:val="30"/>
              </w:rPr>
            </w:pPr>
            <w:r>
              <w:rPr>
                <w:rFonts w:hint="eastAsia" w:ascii="宋体" w:hAnsi="宋体" w:cs="宋体"/>
                <w:sz w:val="30"/>
                <w:szCs w:val="30"/>
              </w:rPr>
              <w:t xml:space="preserve"> 11.40 </w:t>
            </w:r>
          </w:p>
        </w:tc>
        <w:tc>
          <w:tcPr>
            <w:tcW w:w="2066"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right"/>
              <w:textAlignment w:val="center"/>
              <w:rPr>
                <w:rFonts w:ascii="宋体" w:hAnsi="宋体" w:cs="宋体"/>
                <w:sz w:val="30"/>
                <w:szCs w:val="30"/>
              </w:rPr>
            </w:pPr>
            <w:r>
              <w:rPr>
                <w:rFonts w:hint="eastAsia" w:ascii="宋体" w:hAnsi="宋体" w:cs="宋体"/>
                <w:sz w:val="30"/>
                <w:szCs w:val="30"/>
              </w:rPr>
              <w:t xml:space="preserve"> 11.30 </w:t>
            </w:r>
          </w:p>
        </w:tc>
        <w:tc>
          <w:tcPr>
            <w:tcW w:w="148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right"/>
              <w:textAlignment w:val="center"/>
              <w:rPr>
                <w:rFonts w:ascii="宋体" w:hAnsi="宋体" w:cs="宋体"/>
                <w:sz w:val="30"/>
                <w:szCs w:val="30"/>
              </w:rPr>
            </w:pPr>
            <w:r>
              <w:rPr>
                <w:rFonts w:hint="eastAsia" w:ascii="宋体" w:hAnsi="宋体" w:cs="宋体"/>
                <w:sz w:val="30"/>
                <w:szCs w:val="30"/>
              </w:rPr>
              <w:t>0.86%</w:t>
            </w:r>
          </w:p>
        </w:tc>
      </w:tr>
      <w:tr>
        <w:tblPrEx>
          <w:tblLayout w:type="fixed"/>
          <w:tblCellMar>
            <w:top w:w="0" w:type="dxa"/>
            <w:left w:w="108" w:type="dxa"/>
            <w:bottom w:w="0" w:type="dxa"/>
            <w:right w:w="108" w:type="dxa"/>
          </w:tblCellMar>
        </w:tblPrEx>
        <w:trPr>
          <w:trHeight w:val="285" w:hRule="atLeast"/>
        </w:trPr>
        <w:tc>
          <w:tcPr>
            <w:tcW w:w="3065"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cs="宋体"/>
                <w:kern w:val="0"/>
                <w:sz w:val="30"/>
                <w:szCs w:val="30"/>
              </w:rPr>
            </w:pPr>
            <w:r>
              <w:rPr>
                <w:rFonts w:hint="eastAsia" w:ascii="宋体" w:hAnsi="宋体" w:cs="宋体"/>
                <w:kern w:val="0"/>
                <w:sz w:val="30"/>
                <w:szCs w:val="30"/>
              </w:rPr>
              <w:t>社会保障和就业支出</w:t>
            </w:r>
          </w:p>
        </w:tc>
        <w:tc>
          <w:tcPr>
            <w:tcW w:w="1912"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right"/>
              <w:textAlignment w:val="center"/>
              <w:rPr>
                <w:rFonts w:ascii="宋体" w:hAnsi="宋体" w:cs="宋体"/>
                <w:sz w:val="30"/>
                <w:szCs w:val="30"/>
              </w:rPr>
            </w:pPr>
            <w:r>
              <w:rPr>
                <w:rFonts w:hint="eastAsia" w:ascii="宋体" w:hAnsi="宋体" w:cs="宋体"/>
                <w:sz w:val="30"/>
                <w:szCs w:val="30"/>
              </w:rPr>
              <w:t xml:space="preserve"> 1,173.54 </w:t>
            </w:r>
          </w:p>
        </w:tc>
        <w:tc>
          <w:tcPr>
            <w:tcW w:w="2066"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right"/>
              <w:textAlignment w:val="center"/>
              <w:rPr>
                <w:rFonts w:ascii="宋体" w:hAnsi="宋体" w:cs="宋体"/>
                <w:sz w:val="30"/>
                <w:szCs w:val="30"/>
              </w:rPr>
            </w:pPr>
            <w:r>
              <w:rPr>
                <w:rFonts w:hint="eastAsia" w:ascii="宋体" w:hAnsi="宋体" w:cs="宋体"/>
                <w:sz w:val="30"/>
                <w:szCs w:val="30"/>
              </w:rPr>
              <w:t xml:space="preserve"> 1,078.31 </w:t>
            </w:r>
          </w:p>
        </w:tc>
        <w:tc>
          <w:tcPr>
            <w:tcW w:w="148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right"/>
              <w:textAlignment w:val="center"/>
              <w:rPr>
                <w:rFonts w:ascii="宋体" w:hAnsi="宋体" w:cs="宋体"/>
                <w:sz w:val="30"/>
                <w:szCs w:val="30"/>
              </w:rPr>
            </w:pPr>
            <w:r>
              <w:rPr>
                <w:rFonts w:hint="eastAsia" w:ascii="宋体" w:hAnsi="宋体" w:cs="宋体"/>
                <w:sz w:val="30"/>
                <w:szCs w:val="30"/>
              </w:rPr>
              <w:t>8.12%</w:t>
            </w:r>
          </w:p>
        </w:tc>
      </w:tr>
      <w:tr>
        <w:tblPrEx>
          <w:tblLayout w:type="fixed"/>
          <w:tblCellMar>
            <w:top w:w="0" w:type="dxa"/>
            <w:left w:w="108" w:type="dxa"/>
            <w:bottom w:w="0" w:type="dxa"/>
            <w:right w:w="108" w:type="dxa"/>
          </w:tblCellMar>
        </w:tblPrEx>
        <w:trPr>
          <w:trHeight w:val="285" w:hRule="atLeast"/>
        </w:trPr>
        <w:tc>
          <w:tcPr>
            <w:tcW w:w="3065"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cs="宋体"/>
                <w:kern w:val="0"/>
                <w:sz w:val="30"/>
                <w:szCs w:val="30"/>
              </w:rPr>
            </w:pPr>
            <w:r>
              <w:rPr>
                <w:rFonts w:hint="eastAsia" w:ascii="宋体" w:hAnsi="宋体" w:cs="宋体"/>
                <w:kern w:val="0"/>
                <w:sz w:val="30"/>
                <w:szCs w:val="30"/>
              </w:rPr>
              <w:t>卫生健康支出</w:t>
            </w:r>
          </w:p>
        </w:tc>
        <w:tc>
          <w:tcPr>
            <w:tcW w:w="1912"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right"/>
              <w:textAlignment w:val="center"/>
              <w:rPr>
                <w:rFonts w:ascii="宋体" w:hAnsi="宋体" w:cs="宋体"/>
                <w:sz w:val="30"/>
                <w:szCs w:val="30"/>
              </w:rPr>
            </w:pPr>
            <w:r>
              <w:rPr>
                <w:rFonts w:hint="eastAsia" w:ascii="宋体" w:hAnsi="宋体" w:cs="宋体"/>
                <w:sz w:val="30"/>
                <w:szCs w:val="30"/>
              </w:rPr>
              <w:t xml:space="preserve"> 722.53 </w:t>
            </w:r>
          </w:p>
        </w:tc>
        <w:tc>
          <w:tcPr>
            <w:tcW w:w="2066"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right"/>
              <w:textAlignment w:val="center"/>
              <w:rPr>
                <w:rFonts w:ascii="宋体" w:hAnsi="宋体" w:cs="宋体"/>
                <w:sz w:val="30"/>
                <w:szCs w:val="30"/>
              </w:rPr>
            </w:pPr>
            <w:r>
              <w:rPr>
                <w:rFonts w:hint="eastAsia" w:ascii="宋体" w:hAnsi="宋体" w:cs="宋体"/>
                <w:sz w:val="30"/>
                <w:szCs w:val="30"/>
              </w:rPr>
              <w:t xml:space="preserve"> 715.81 </w:t>
            </w:r>
          </w:p>
        </w:tc>
        <w:tc>
          <w:tcPr>
            <w:tcW w:w="148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right"/>
              <w:textAlignment w:val="center"/>
              <w:rPr>
                <w:rFonts w:ascii="宋体" w:hAnsi="宋体" w:cs="宋体"/>
                <w:sz w:val="30"/>
                <w:szCs w:val="30"/>
              </w:rPr>
            </w:pPr>
            <w:r>
              <w:rPr>
                <w:rFonts w:hint="eastAsia" w:ascii="宋体" w:hAnsi="宋体" w:cs="宋体"/>
                <w:sz w:val="30"/>
                <w:szCs w:val="30"/>
              </w:rPr>
              <w:t>0.93%</w:t>
            </w:r>
          </w:p>
        </w:tc>
      </w:tr>
    </w:tbl>
    <w:p>
      <w:pPr>
        <w:pStyle w:val="2"/>
        <w:spacing w:line="560" w:lineRule="exact"/>
        <w:ind w:firstLineChars="200"/>
        <w:rPr>
          <w:color w:val="auto"/>
          <w:sz w:val="32"/>
          <w:szCs w:val="32"/>
        </w:rPr>
      </w:pPr>
      <w:bookmarkStart w:id="40" w:name="_Toc24721"/>
      <w:bookmarkStart w:id="41" w:name="_Toc14920"/>
      <w:bookmarkStart w:id="42" w:name="_Toc4804"/>
      <w:r>
        <w:rPr>
          <w:rFonts w:hint="eastAsia"/>
          <w:color w:val="auto"/>
          <w:sz w:val="32"/>
          <w:szCs w:val="32"/>
        </w:rPr>
        <w:t>五、总体评价结论</w:t>
      </w:r>
      <w:bookmarkEnd w:id="40"/>
      <w:bookmarkEnd w:id="41"/>
      <w:bookmarkEnd w:id="42"/>
    </w:p>
    <w:p>
      <w:pPr>
        <w:pStyle w:val="3"/>
        <w:spacing w:before="0" w:after="0" w:line="560" w:lineRule="exact"/>
        <w:ind w:firstLine="643" w:firstLineChars="200"/>
        <w:rPr>
          <w:rFonts w:ascii="楷体" w:hAnsi="楷体" w:eastAsia="楷体" w:cs="楷体"/>
        </w:rPr>
      </w:pPr>
      <w:bookmarkStart w:id="43" w:name="_Toc19132"/>
      <w:bookmarkStart w:id="44" w:name="_Toc1715"/>
      <w:bookmarkStart w:id="45" w:name="_Toc230"/>
      <w:r>
        <w:rPr>
          <w:rFonts w:hint="eastAsia" w:ascii="楷体" w:hAnsi="楷体" w:eastAsia="楷体" w:cs="楷体"/>
        </w:rPr>
        <w:t>（一）评价得分情况</w:t>
      </w:r>
      <w:bookmarkEnd w:id="43"/>
      <w:bookmarkEnd w:id="44"/>
      <w:bookmarkEnd w:id="45"/>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经评价，市检二分院2023年度部门整体支出绩效评价总得分94.38分，评价结果为“优秀”。其中当年预算执行情况得分为19.51分；整体绩效目标实现情况得分为55.00分；预算管理情况得分19.87分。</w:t>
      </w:r>
    </w:p>
    <w:p>
      <w:pPr>
        <w:pStyle w:val="3"/>
        <w:spacing w:before="0" w:after="0" w:line="560" w:lineRule="exact"/>
        <w:ind w:firstLine="643" w:firstLineChars="200"/>
        <w:rPr>
          <w:rFonts w:ascii="楷体" w:hAnsi="楷体" w:eastAsia="楷体" w:cs="楷体"/>
        </w:rPr>
      </w:pPr>
      <w:bookmarkStart w:id="46" w:name="_Toc9881"/>
      <w:bookmarkStart w:id="47" w:name="_Toc3290"/>
      <w:bookmarkStart w:id="48" w:name="_Toc5132"/>
      <w:r>
        <w:rPr>
          <w:rFonts w:hint="eastAsia" w:ascii="楷体" w:hAnsi="楷体" w:eastAsia="楷体" w:cs="楷体"/>
        </w:rPr>
        <w:t>（二）存在的问题及原因分析</w:t>
      </w:r>
      <w:bookmarkEnd w:id="46"/>
      <w:bookmarkEnd w:id="47"/>
      <w:bookmarkEnd w:id="48"/>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1.</w:t>
      </w:r>
      <w:r>
        <w:rPr>
          <w:rFonts w:hint="eastAsia" w:ascii="仿宋_GB2312" w:hAnsi="仿宋_GB2312" w:eastAsia="仿宋_GB2312" w:cs="仿宋_GB2312"/>
          <w:sz w:val="32"/>
          <w:szCs w:val="22"/>
        </w:rPr>
        <w:t>项目绩效目标设置规范性和科学性有待提高。</w:t>
      </w:r>
      <w:r>
        <w:rPr>
          <w:rFonts w:hint="eastAsia" w:ascii="仿宋_GB2312" w:hAnsi="楷体" w:eastAsia="仿宋_GB2312"/>
          <w:bCs/>
          <w:kern w:val="0"/>
          <w:sz w:val="32"/>
          <w:szCs w:val="28"/>
        </w:rPr>
        <w:t>存在产出指标和项目内容对应性不强、产出和效益指标之间不够对应，效益指标缺少细化、量化指标，服务对象范围考虑不全面等问题。</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2.</w:t>
      </w:r>
      <w:r>
        <w:rPr>
          <w:rFonts w:hint="eastAsia" w:ascii="仿宋_GB2312" w:hAnsi="仿宋_GB2312" w:eastAsia="仿宋_GB2312" w:cs="仿宋_GB2312"/>
          <w:sz w:val="32"/>
          <w:szCs w:val="22"/>
        </w:rPr>
        <w:t>部分项目绩效体现不够充分，资料收集不够完整。项目效益效果资料未能充分、完整地呈现绩效。</w:t>
      </w:r>
      <w:r>
        <w:rPr>
          <w:rFonts w:hint="eastAsia" w:ascii="仿宋_GB2312" w:hAnsi="楷体" w:eastAsia="仿宋_GB2312"/>
          <w:bCs/>
          <w:kern w:val="0"/>
          <w:sz w:val="32"/>
          <w:szCs w:val="28"/>
        </w:rPr>
        <w:t>部分项目服务对象满意度调查开展不够全面，未充分反映项目服务对象满意度效果，满意度调查规范性有待加强。</w:t>
      </w:r>
    </w:p>
    <w:p>
      <w:pPr>
        <w:pStyle w:val="2"/>
        <w:rPr>
          <w:color w:val="auto"/>
          <w:sz w:val="32"/>
          <w:szCs w:val="32"/>
        </w:rPr>
      </w:pPr>
      <w:bookmarkStart w:id="49" w:name="_Toc863"/>
      <w:bookmarkStart w:id="50" w:name="_Toc5476"/>
      <w:bookmarkStart w:id="51" w:name="_Toc22560"/>
      <w:r>
        <w:rPr>
          <w:rFonts w:hint="eastAsia"/>
          <w:color w:val="auto"/>
          <w:sz w:val="32"/>
          <w:szCs w:val="32"/>
        </w:rPr>
        <w:t>六、措施建议</w:t>
      </w:r>
      <w:bookmarkEnd w:id="49"/>
      <w:bookmarkEnd w:id="50"/>
      <w:bookmarkEnd w:id="51"/>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1.进一步增强全面绩效管理意识，加强部门整体和项目绩效目标设定合理性、规范性。充分结合实际职责职能、重点工作任务、预算内容，科学、完整、全面地设置绩效目标与指标，并保障绩效目标与指标的对应关系，指标设置做到细化、量化、可衡量。</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2.注重项目效益资料收集，项目负责人对项目质量和效益资料完整性负责，项目效益效果资料和数据支撑充分。全面开展服务对象满意度调查及分析，充分反映项目服务对象满意度效果，全面客观地呈现财政资金的使用效益。</w:t>
      </w:r>
    </w:p>
    <w:p>
      <w:pPr>
        <w:pStyle w:val="2"/>
        <w:spacing w:line="560" w:lineRule="exact"/>
        <w:ind w:firstLineChars="200"/>
        <w:rPr>
          <w:color w:val="auto"/>
          <w:sz w:val="32"/>
          <w:szCs w:val="32"/>
        </w:rPr>
      </w:pPr>
      <w:bookmarkStart w:id="52" w:name="_Toc9906"/>
      <w:bookmarkStart w:id="53" w:name="_Toc103006301"/>
      <w:bookmarkStart w:id="54" w:name="_Toc7578"/>
      <w:bookmarkStart w:id="55" w:name="_Toc15695"/>
      <w:r>
        <w:rPr>
          <w:rFonts w:hint="eastAsia"/>
          <w:color w:val="auto"/>
          <w:sz w:val="32"/>
          <w:szCs w:val="32"/>
        </w:rPr>
        <w:t>七、附件</w:t>
      </w:r>
      <w:bookmarkEnd w:id="52"/>
      <w:bookmarkEnd w:id="53"/>
      <w:bookmarkEnd w:id="54"/>
      <w:bookmarkEnd w:id="55"/>
    </w:p>
    <w:p>
      <w:pPr>
        <w:spacing w:line="560" w:lineRule="exact"/>
        <w:ind w:firstLine="640" w:firstLineChars="200"/>
        <w:rPr>
          <w:rFonts w:ascii="仿宋_GB2312" w:hAnsi="楷体" w:eastAsia="仿宋_GB2312"/>
          <w:bCs/>
          <w:kern w:val="0"/>
          <w:sz w:val="32"/>
          <w:szCs w:val="28"/>
        </w:rPr>
        <w:sectPr>
          <w:footerReference r:id="rId4" w:type="default"/>
          <w:pgSz w:w="11906" w:h="16838"/>
          <w:pgMar w:top="1440" w:right="1800" w:bottom="1440" w:left="1800" w:header="851" w:footer="964" w:gutter="0"/>
          <w:pgNumType w:start="1"/>
          <w:cols w:space="425" w:num="1"/>
          <w:docGrid w:type="lines" w:linePitch="435" w:charSpace="0"/>
        </w:sectPr>
      </w:pPr>
      <w:r>
        <w:rPr>
          <w:rFonts w:hint="eastAsia" w:ascii="仿宋_GB2312" w:hAnsi="楷体" w:eastAsia="仿宋_GB2312"/>
          <w:bCs/>
          <w:kern w:val="0"/>
          <w:sz w:val="32"/>
          <w:szCs w:val="28"/>
        </w:rPr>
        <w:t>2023年部门整体绩效评价指标体系评分表</w:t>
      </w:r>
    </w:p>
    <w:p>
      <w:pPr>
        <w:spacing w:line="560" w:lineRule="exact"/>
        <w:jc w:val="left"/>
        <w:rPr>
          <w:rFonts w:ascii="黑体" w:hAnsi="黑体" w:eastAsia="黑体" w:cs="黑体"/>
          <w:bCs/>
          <w:kern w:val="0"/>
          <w:sz w:val="32"/>
          <w:szCs w:val="28"/>
        </w:rPr>
      </w:pPr>
      <w:r>
        <w:rPr>
          <w:rFonts w:hint="eastAsia" w:ascii="黑体" w:hAnsi="黑体" w:eastAsia="黑体" w:cs="黑体"/>
          <w:bCs/>
          <w:kern w:val="0"/>
          <w:sz w:val="32"/>
          <w:szCs w:val="28"/>
        </w:rPr>
        <w:t>附件</w:t>
      </w:r>
    </w:p>
    <w:tbl>
      <w:tblPr>
        <w:tblStyle w:val="17"/>
        <w:tblW w:w="14174" w:type="dxa"/>
        <w:tblInd w:w="0" w:type="dxa"/>
        <w:tblLayout w:type="fixed"/>
        <w:tblCellMar>
          <w:top w:w="0" w:type="dxa"/>
          <w:left w:w="108" w:type="dxa"/>
          <w:bottom w:w="0" w:type="dxa"/>
          <w:right w:w="108" w:type="dxa"/>
        </w:tblCellMar>
      </w:tblPr>
      <w:tblGrid>
        <w:gridCol w:w="1101"/>
        <w:gridCol w:w="1350"/>
        <w:gridCol w:w="1294"/>
        <w:gridCol w:w="1256"/>
        <w:gridCol w:w="1059"/>
        <w:gridCol w:w="807"/>
        <w:gridCol w:w="946"/>
        <w:gridCol w:w="2729"/>
        <w:gridCol w:w="3632"/>
      </w:tblGrid>
      <w:tr>
        <w:tblPrEx>
          <w:tblLayout w:type="fixed"/>
          <w:tblCellMar>
            <w:top w:w="0" w:type="dxa"/>
            <w:left w:w="108" w:type="dxa"/>
            <w:bottom w:w="0" w:type="dxa"/>
            <w:right w:w="108" w:type="dxa"/>
          </w:tblCellMar>
        </w:tblPrEx>
        <w:trPr>
          <w:cantSplit/>
          <w:trHeight w:val="90" w:hRule="atLeast"/>
        </w:trPr>
        <w:tc>
          <w:tcPr>
            <w:tcW w:w="14174" w:type="dxa"/>
            <w:gridSpan w:val="9"/>
            <w:tcBorders>
              <w:top w:val="nil"/>
              <w:left w:val="nil"/>
              <w:bottom w:val="single" w:color="auto" w:sz="4" w:space="0"/>
              <w:right w:val="nil"/>
            </w:tcBorders>
            <w:noWrap/>
            <w:vAlign w:val="bottom"/>
          </w:tcPr>
          <w:p>
            <w:pPr>
              <w:widowControl/>
              <w:jc w:val="center"/>
              <w:rPr>
                <w:rFonts w:ascii="方正小标宋简体" w:hAnsi="黑体" w:eastAsia="方正小标宋简体" w:cs="宋体"/>
                <w:kern w:val="0"/>
                <w:sz w:val="44"/>
                <w:szCs w:val="44"/>
                <w:highlight w:val="yellow"/>
              </w:rPr>
            </w:pPr>
            <w:r>
              <w:rPr>
                <w:rFonts w:hint="eastAsia" w:ascii="方正小标宋简体" w:hAnsi="黑体" w:eastAsia="方正小标宋简体" w:cs="宋体"/>
                <w:kern w:val="0"/>
                <w:sz w:val="44"/>
                <w:szCs w:val="44"/>
              </w:rPr>
              <w:t>2023年部门整体绩效评价指标体系评分表</w:t>
            </w:r>
          </w:p>
        </w:tc>
      </w:tr>
      <w:tr>
        <w:tblPrEx>
          <w:tblLayout w:type="fixed"/>
          <w:tblCellMar>
            <w:top w:w="0" w:type="dxa"/>
            <w:left w:w="108" w:type="dxa"/>
            <w:bottom w:w="0" w:type="dxa"/>
            <w:right w:w="108" w:type="dxa"/>
          </w:tblCellMar>
        </w:tblPrEx>
        <w:trPr>
          <w:cantSplit/>
          <w:trHeight w:val="470" w:hRule="atLeast"/>
        </w:trPr>
        <w:tc>
          <w:tcPr>
            <w:tcW w:w="14174" w:type="dxa"/>
            <w:gridSpan w:val="9"/>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b/>
                <w:bCs/>
                <w:kern w:val="0"/>
                <w:sz w:val="18"/>
                <w:szCs w:val="18"/>
              </w:rPr>
            </w:pPr>
            <w:r>
              <w:rPr>
                <w:rFonts w:hint="eastAsia" w:ascii="宋体" w:hAnsi="宋体" w:cs="宋体"/>
                <w:b/>
                <w:bCs/>
                <w:kern w:val="0"/>
                <w:sz w:val="18"/>
                <w:szCs w:val="18"/>
              </w:rPr>
              <w:t>一、</w:t>
            </w:r>
            <w:r>
              <w:rPr>
                <w:rFonts w:hint="eastAsia" w:ascii="宋体" w:hAnsi="宋体" w:cs="宋体"/>
                <w:b/>
                <w:bCs/>
                <w:kern w:val="0"/>
                <w:sz w:val="20"/>
                <w:szCs w:val="20"/>
              </w:rPr>
              <w:t>当年预算执行情况（20分）</w:t>
            </w:r>
          </w:p>
        </w:tc>
      </w:tr>
      <w:tr>
        <w:tblPrEx>
          <w:tblLayout w:type="fixed"/>
          <w:tblCellMar>
            <w:top w:w="0" w:type="dxa"/>
            <w:left w:w="108" w:type="dxa"/>
            <w:bottom w:w="0" w:type="dxa"/>
            <w:right w:w="108" w:type="dxa"/>
          </w:tblCellMar>
        </w:tblPrEx>
        <w:trPr>
          <w:cantSplit/>
          <w:trHeight w:val="660" w:hRule="atLeast"/>
        </w:trPr>
        <w:tc>
          <w:tcPr>
            <w:tcW w:w="11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一</w:t>
            </w:r>
            <w:r>
              <w:rPr>
                <w:rFonts w:ascii="宋体" w:hAnsi="宋体" w:cs="宋体"/>
                <w:b/>
                <w:bCs/>
                <w:kern w:val="0"/>
                <w:sz w:val="20"/>
                <w:szCs w:val="20"/>
              </w:rPr>
              <w:t>级指标</w:t>
            </w:r>
          </w:p>
        </w:tc>
        <w:tc>
          <w:tcPr>
            <w:tcW w:w="135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二</w:t>
            </w:r>
            <w:r>
              <w:rPr>
                <w:rFonts w:ascii="宋体" w:hAnsi="宋体" w:cs="宋体"/>
                <w:b/>
                <w:bCs/>
                <w:kern w:val="0"/>
                <w:sz w:val="20"/>
                <w:szCs w:val="20"/>
              </w:rPr>
              <w:t>级指标</w:t>
            </w:r>
          </w:p>
        </w:tc>
        <w:tc>
          <w:tcPr>
            <w:tcW w:w="129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预算数</w:t>
            </w:r>
          </w:p>
          <w:p>
            <w:pPr>
              <w:widowControl/>
              <w:jc w:val="center"/>
              <w:rPr>
                <w:rFonts w:ascii="宋体" w:hAnsi="宋体" w:cs="宋体"/>
                <w:b/>
                <w:bCs/>
                <w:kern w:val="0"/>
                <w:sz w:val="20"/>
                <w:szCs w:val="20"/>
              </w:rPr>
            </w:pPr>
            <w:r>
              <w:rPr>
                <w:rFonts w:hint="eastAsia" w:ascii="宋体" w:hAnsi="宋体" w:cs="宋体"/>
                <w:b/>
                <w:bCs/>
                <w:kern w:val="0"/>
                <w:sz w:val="20"/>
                <w:szCs w:val="20"/>
              </w:rPr>
              <w:t>（万元）</w:t>
            </w:r>
          </w:p>
        </w:tc>
        <w:tc>
          <w:tcPr>
            <w:tcW w:w="125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执行数</w:t>
            </w:r>
          </w:p>
          <w:p>
            <w:pPr>
              <w:widowControl/>
              <w:jc w:val="center"/>
              <w:rPr>
                <w:rFonts w:ascii="宋体" w:hAnsi="宋体" w:cs="宋体"/>
                <w:b/>
                <w:bCs/>
                <w:kern w:val="0"/>
                <w:sz w:val="20"/>
                <w:szCs w:val="20"/>
              </w:rPr>
            </w:pPr>
            <w:r>
              <w:rPr>
                <w:rFonts w:hint="eastAsia" w:ascii="宋体" w:hAnsi="宋体" w:cs="宋体"/>
                <w:b/>
                <w:bCs/>
                <w:kern w:val="0"/>
                <w:sz w:val="20"/>
                <w:szCs w:val="20"/>
              </w:rPr>
              <w:t>（万元）</w:t>
            </w:r>
          </w:p>
        </w:tc>
        <w:tc>
          <w:tcPr>
            <w:tcW w:w="10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预算执行率</w:t>
            </w:r>
          </w:p>
        </w:tc>
        <w:tc>
          <w:tcPr>
            <w:tcW w:w="80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分值</w:t>
            </w:r>
          </w:p>
        </w:tc>
        <w:tc>
          <w:tcPr>
            <w:tcW w:w="94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得分</w:t>
            </w:r>
          </w:p>
        </w:tc>
        <w:tc>
          <w:tcPr>
            <w:tcW w:w="27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指标解释</w:t>
            </w:r>
          </w:p>
        </w:tc>
        <w:tc>
          <w:tcPr>
            <w:tcW w:w="363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评分标准</w:t>
            </w:r>
          </w:p>
        </w:tc>
      </w:tr>
      <w:tr>
        <w:tblPrEx>
          <w:tblLayout w:type="fixed"/>
          <w:tblCellMar>
            <w:top w:w="0" w:type="dxa"/>
            <w:left w:w="108" w:type="dxa"/>
            <w:bottom w:w="0" w:type="dxa"/>
            <w:right w:w="108" w:type="dxa"/>
          </w:tblCellMar>
        </w:tblPrEx>
        <w:trPr>
          <w:cantSplit/>
          <w:trHeight w:val="630" w:hRule="atLeast"/>
        </w:trPr>
        <w:tc>
          <w:tcPr>
            <w:tcW w:w="110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当年预算执行情况（20）</w:t>
            </w:r>
          </w:p>
        </w:tc>
        <w:tc>
          <w:tcPr>
            <w:tcW w:w="135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资金总体</w:t>
            </w:r>
          </w:p>
        </w:tc>
        <w:tc>
          <w:tcPr>
            <w:tcW w:w="1294"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13,242.12</w:t>
            </w:r>
          </w:p>
        </w:tc>
        <w:tc>
          <w:tcPr>
            <w:tcW w:w="1256"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12,917.31</w:t>
            </w:r>
          </w:p>
        </w:tc>
        <w:tc>
          <w:tcPr>
            <w:tcW w:w="1059"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97.55%</w:t>
            </w:r>
          </w:p>
        </w:tc>
        <w:tc>
          <w:tcPr>
            <w:tcW w:w="807"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20</w:t>
            </w:r>
          </w:p>
        </w:tc>
        <w:tc>
          <w:tcPr>
            <w:tcW w:w="946"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19.51</w:t>
            </w:r>
          </w:p>
        </w:tc>
        <w:tc>
          <w:tcPr>
            <w:tcW w:w="272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部门全年执行数与全年预算数的比率。资金总体=基本支出+项目支出+其他</w:t>
            </w:r>
          </w:p>
        </w:tc>
        <w:tc>
          <w:tcPr>
            <w:tcW w:w="3632"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①得分一档最高不能超过该指标分值上限（20分）。</w:t>
            </w:r>
          </w:p>
          <w:p>
            <w:pPr>
              <w:widowControl/>
              <w:jc w:val="left"/>
              <w:rPr>
                <w:rFonts w:ascii="宋体" w:hAnsi="宋体" w:cs="宋体"/>
                <w:kern w:val="0"/>
                <w:sz w:val="18"/>
                <w:szCs w:val="18"/>
              </w:rPr>
            </w:pPr>
            <w:r>
              <w:rPr>
                <w:rFonts w:hint="eastAsia" w:ascii="宋体" w:hAnsi="宋体" w:cs="宋体"/>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Layout w:type="fixed"/>
          <w:tblCellMar>
            <w:top w:w="0" w:type="dxa"/>
            <w:left w:w="108" w:type="dxa"/>
            <w:bottom w:w="0" w:type="dxa"/>
            <w:right w:w="108" w:type="dxa"/>
          </w:tblCellMar>
        </w:tblPrEx>
        <w:trPr>
          <w:cantSplit/>
          <w:trHeight w:val="600" w:hRule="atLeast"/>
        </w:trPr>
        <w:tc>
          <w:tcPr>
            <w:tcW w:w="110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135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基本支出</w:t>
            </w:r>
          </w:p>
        </w:tc>
        <w:tc>
          <w:tcPr>
            <w:tcW w:w="1294"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12,099.00</w:t>
            </w:r>
          </w:p>
        </w:tc>
        <w:tc>
          <w:tcPr>
            <w:tcW w:w="1256"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11,795.31</w:t>
            </w:r>
          </w:p>
        </w:tc>
        <w:tc>
          <w:tcPr>
            <w:tcW w:w="105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80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94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272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p>
        </w:tc>
        <w:tc>
          <w:tcPr>
            <w:tcW w:w="363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cantSplit/>
          <w:trHeight w:val="615" w:hRule="atLeast"/>
        </w:trPr>
        <w:tc>
          <w:tcPr>
            <w:tcW w:w="110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135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项目支出</w:t>
            </w:r>
          </w:p>
        </w:tc>
        <w:tc>
          <w:tcPr>
            <w:tcW w:w="1294"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 xml:space="preserve"> 1,143.12 </w:t>
            </w:r>
          </w:p>
        </w:tc>
        <w:tc>
          <w:tcPr>
            <w:tcW w:w="1256"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 xml:space="preserve"> 1,122.00 </w:t>
            </w:r>
          </w:p>
        </w:tc>
        <w:tc>
          <w:tcPr>
            <w:tcW w:w="105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80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94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272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p>
        </w:tc>
        <w:tc>
          <w:tcPr>
            <w:tcW w:w="363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cantSplit/>
          <w:trHeight w:val="3387" w:hRule="atLeast"/>
        </w:trPr>
        <w:tc>
          <w:tcPr>
            <w:tcW w:w="110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135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其他</w:t>
            </w:r>
          </w:p>
        </w:tc>
        <w:tc>
          <w:tcPr>
            <w:tcW w:w="129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25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05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80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94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272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p>
        </w:tc>
        <w:tc>
          <w:tcPr>
            <w:tcW w:w="363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cantSplit/>
          <w:trHeight w:val="479" w:hRule="atLeast"/>
        </w:trPr>
        <w:tc>
          <w:tcPr>
            <w:tcW w:w="14174" w:type="dxa"/>
            <w:gridSpan w:val="9"/>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b/>
                <w:bCs/>
                <w:kern w:val="0"/>
                <w:sz w:val="18"/>
                <w:szCs w:val="18"/>
              </w:rPr>
            </w:pPr>
            <w:r>
              <w:rPr>
                <w:rFonts w:hint="eastAsia" w:ascii="宋体" w:hAnsi="宋体" w:cs="宋体"/>
                <w:b/>
                <w:bCs/>
                <w:kern w:val="0"/>
                <w:sz w:val="18"/>
                <w:szCs w:val="18"/>
              </w:rPr>
              <w:t>二</w:t>
            </w:r>
            <w:r>
              <w:rPr>
                <w:rFonts w:ascii="宋体" w:hAnsi="宋体" w:cs="宋体"/>
                <w:b/>
                <w:bCs/>
                <w:kern w:val="0"/>
                <w:sz w:val="18"/>
                <w:szCs w:val="18"/>
              </w:rPr>
              <w:t>、</w:t>
            </w:r>
            <w:r>
              <w:rPr>
                <w:rFonts w:hint="eastAsia" w:ascii="宋体" w:hAnsi="宋体" w:cs="宋体"/>
                <w:b/>
                <w:bCs/>
                <w:kern w:val="0"/>
                <w:sz w:val="20"/>
                <w:szCs w:val="20"/>
              </w:rPr>
              <w:t>整体绩效目标实现情况（60分）</w:t>
            </w:r>
          </w:p>
        </w:tc>
      </w:tr>
      <w:tr>
        <w:tblPrEx>
          <w:tblLayout w:type="fixed"/>
          <w:tblCellMar>
            <w:top w:w="0" w:type="dxa"/>
            <w:left w:w="108" w:type="dxa"/>
            <w:bottom w:w="0" w:type="dxa"/>
            <w:right w:w="108" w:type="dxa"/>
          </w:tblCellMar>
        </w:tblPrEx>
        <w:trPr>
          <w:cantSplit/>
          <w:trHeight w:val="499" w:hRule="atLeast"/>
        </w:trPr>
        <w:tc>
          <w:tcPr>
            <w:tcW w:w="11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一</w:t>
            </w:r>
            <w:r>
              <w:rPr>
                <w:rFonts w:ascii="宋体" w:hAnsi="宋体" w:cs="宋体"/>
                <w:b/>
                <w:bCs/>
                <w:kern w:val="0"/>
                <w:sz w:val="20"/>
                <w:szCs w:val="20"/>
              </w:rPr>
              <w:t>级指标</w:t>
            </w:r>
          </w:p>
        </w:tc>
        <w:tc>
          <w:tcPr>
            <w:tcW w:w="135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二</w:t>
            </w:r>
            <w:r>
              <w:rPr>
                <w:rFonts w:ascii="宋体" w:hAnsi="宋体" w:cs="宋体"/>
                <w:b/>
                <w:bCs/>
                <w:kern w:val="0"/>
                <w:sz w:val="20"/>
                <w:szCs w:val="20"/>
              </w:rPr>
              <w:t>级指标</w:t>
            </w:r>
          </w:p>
        </w:tc>
        <w:tc>
          <w:tcPr>
            <w:tcW w:w="129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三</w:t>
            </w:r>
            <w:r>
              <w:rPr>
                <w:rFonts w:ascii="宋体" w:hAnsi="宋体" w:cs="宋体"/>
                <w:b/>
                <w:bCs/>
                <w:kern w:val="0"/>
                <w:sz w:val="20"/>
                <w:szCs w:val="20"/>
              </w:rPr>
              <w:t>级指标</w:t>
            </w:r>
          </w:p>
        </w:tc>
        <w:tc>
          <w:tcPr>
            <w:tcW w:w="125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指标值</w:t>
            </w:r>
          </w:p>
        </w:tc>
        <w:tc>
          <w:tcPr>
            <w:tcW w:w="10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完成值</w:t>
            </w:r>
          </w:p>
        </w:tc>
        <w:tc>
          <w:tcPr>
            <w:tcW w:w="80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分值</w:t>
            </w:r>
          </w:p>
        </w:tc>
        <w:tc>
          <w:tcPr>
            <w:tcW w:w="94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得分</w:t>
            </w:r>
          </w:p>
        </w:tc>
        <w:tc>
          <w:tcPr>
            <w:tcW w:w="27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w:t>
            </w:r>
            <w:r>
              <w:rPr>
                <w:rFonts w:ascii="宋体" w:hAnsi="宋体" w:cs="宋体"/>
                <w:b/>
                <w:bCs/>
                <w:kern w:val="0"/>
                <w:sz w:val="18"/>
                <w:szCs w:val="18"/>
              </w:rPr>
              <w:t>解释</w:t>
            </w:r>
          </w:p>
        </w:tc>
        <w:tc>
          <w:tcPr>
            <w:tcW w:w="363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评</w:t>
            </w:r>
            <w:r>
              <w:rPr>
                <w:rFonts w:ascii="宋体" w:hAnsi="宋体" w:cs="宋体"/>
                <w:b/>
                <w:bCs/>
                <w:kern w:val="0"/>
                <w:sz w:val="18"/>
                <w:szCs w:val="18"/>
              </w:rPr>
              <w:t>分标准</w:t>
            </w:r>
          </w:p>
        </w:tc>
      </w:tr>
      <w:tr>
        <w:tblPrEx>
          <w:tblLayout w:type="fixed"/>
          <w:tblCellMar>
            <w:top w:w="0" w:type="dxa"/>
            <w:left w:w="108" w:type="dxa"/>
            <w:bottom w:w="0" w:type="dxa"/>
            <w:right w:w="108" w:type="dxa"/>
          </w:tblCellMar>
        </w:tblPrEx>
        <w:trPr>
          <w:cantSplit/>
          <w:trHeight w:val="1196" w:hRule="atLeast"/>
        </w:trPr>
        <w:tc>
          <w:tcPr>
            <w:tcW w:w="110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整体绩效目标实现情况（60）</w:t>
            </w:r>
          </w:p>
        </w:tc>
        <w:tc>
          <w:tcPr>
            <w:tcW w:w="1350"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p>
            <w:pPr>
              <w:jc w:val="center"/>
              <w:rPr>
                <w:rFonts w:ascii="宋体" w:hAnsi="宋体" w:cs="宋体"/>
                <w:kern w:val="0"/>
                <w:sz w:val="20"/>
                <w:szCs w:val="20"/>
              </w:rPr>
            </w:pPr>
            <w:r>
              <w:rPr>
                <w:rFonts w:hint="eastAsia" w:ascii="宋体" w:hAnsi="宋体" w:cs="宋体"/>
                <w:kern w:val="0"/>
                <w:sz w:val="20"/>
                <w:szCs w:val="20"/>
              </w:rPr>
              <w:t>产出（30）</w:t>
            </w:r>
          </w:p>
        </w:tc>
        <w:tc>
          <w:tcPr>
            <w:tcW w:w="129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p>
            <w:pPr>
              <w:jc w:val="center"/>
              <w:rPr>
                <w:rFonts w:ascii="宋体" w:hAnsi="宋体" w:cs="宋体"/>
                <w:kern w:val="0"/>
                <w:sz w:val="20"/>
                <w:szCs w:val="20"/>
              </w:rPr>
            </w:pPr>
            <w:r>
              <w:rPr>
                <w:rFonts w:hint="eastAsia" w:ascii="宋体" w:hAnsi="宋体" w:cs="宋体"/>
                <w:kern w:val="0"/>
                <w:sz w:val="20"/>
                <w:szCs w:val="20"/>
              </w:rPr>
              <w:t>数量指标</w:t>
            </w:r>
          </w:p>
        </w:tc>
        <w:tc>
          <w:tcPr>
            <w:tcW w:w="1256"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kern w:val="0"/>
                <w:sz w:val="20"/>
                <w:szCs w:val="20"/>
              </w:rPr>
            </w:pPr>
            <w:r>
              <w:rPr>
                <w:rFonts w:hint="eastAsia" w:cs="宋体" w:asciiTheme="minorEastAsia" w:hAnsiTheme="minorEastAsia" w:eastAsiaTheme="minorEastAsia"/>
                <w:kern w:val="0"/>
                <w:sz w:val="20"/>
                <w:szCs w:val="20"/>
              </w:rPr>
              <w:t>案件办结数量等业务指标</w:t>
            </w:r>
          </w:p>
        </w:tc>
        <w:tc>
          <w:tcPr>
            <w:tcW w:w="10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cs="宋体" w:asciiTheme="minorEastAsia" w:hAnsiTheme="minorEastAsia" w:eastAsiaTheme="minorEastAsia"/>
                <w:kern w:val="0"/>
                <w:sz w:val="20"/>
                <w:szCs w:val="20"/>
              </w:rPr>
              <w:t>部门产出数量提升及达到标准</w:t>
            </w:r>
          </w:p>
        </w:tc>
        <w:tc>
          <w:tcPr>
            <w:tcW w:w="80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kern w:val="0"/>
                <w:sz w:val="20"/>
                <w:szCs w:val="20"/>
              </w:rPr>
            </w:pPr>
            <w:r>
              <w:rPr>
                <w:rFonts w:hint="eastAsia" w:ascii="宋体" w:hAnsi="宋体" w:cs="宋体"/>
                <w:kern w:val="0"/>
                <w:sz w:val="20"/>
                <w:szCs w:val="20"/>
              </w:rPr>
              <w:t>30</w:t>
            </w:r>
          </w:p>
        </w:tc>
        <w:tc>
          <w:tcPr>
            <w:tcW w:w="946"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kern w:val="0"/>
                <w:sz w:val="20"/>
                <w:szCs w:val="20"/>
              </w:rPr>
            </w:pPr>
            <w:r>
              <w:rPr>
                <w:rFonts w:hint="eastAsia" w:ascii="宋体" w:hAnsi="宋体" w:cs="宋体"/>
                <w:kern w:val="0"/>
                <w:sz w:val="20"/>
                <w:szCs w:val="20"/>
              </w:rPr>
              <w:t>10</w:t>
            </w:r>
          </w:p>
        </w:tc>
        <w:tc>
          <w:tcPr>
            <w:tcW w:w="272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b/>
                <w:bCs/>
                <w:kern w:val="0"/>
                <w:sz w:val="18"/>
                <w:szCs w:val="18"/>
              </w:rPr>
              <w:t>产出数量</w:t>
            </w:r>
            <w:r>
              <w:rPr>
                <w:rFonts w:hint="eastAsia" w:ascii="宋体" w:hAnsi="宋体" w:cs="宋体"/>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kern w:val="0"/>
                <w:sz w:val="18"/>
                <w:szCs w:val="18"/>
              </w:rPr>
              <w:t>产出质量</w:t>
            </w:r>
            <w:r>
              <w:rPr>
                <w:rFonts w:hint="eastAsia" w:ascii="宋体" w:hAnsi="宋体" w:cs="宋体"/>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kern w:val="0"/>
                <w:sz w:val="18"/>
                <w:szCs w:val="18"/>
              </w:rPr>
              <w:t>产出进度：</w:t>
            </w:r>
            <w:r>
              <w:rPr>
                <w:rFonts w:hint="eastAsia" w:ascii="宋体" w:hAnsi="宋体" w:cs="宋体"/>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kern w:val="0"/>
                <w:sz w:val="18"/>
                <w:szCs w:val="18"/>
              </w:rPr>
              <w:t>产出成本</w:t>
            </w:r>
            <w:r>
              <w:rPr>
                <w:rFonts w:hint="eastAsia" w:ascii="宋体" w:hAnsi="宋体" w:cs="宋体"/>
                <w:kern w:val="0"/>
                <w:sz w:val="18"/>
                <w:szCs w:val="18"/>
              </w:rPr>
              <w:t>：单位产出相对于上一年度的节约额；②单位产出相对于市场同类产出的节约额；③部门公用经费的控制情况。</w:t>
            </w:r>
          </w:p>
        </w:tc>
        <w:tc>
          <w:tcPr>
            <w:tcW w:w="3632"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Layout w:type="fixed"/>
          <w:tblCellMar>
            <w:top w:w="0" w:type="dxa"/>
            <w:left w:w="108" w:type="dxa"/>
            <w:bottom w:w="0" w:type="dxa"/>
            <w:right w:w="108" w:type="dxa"/>
          </w:tblCellMar>
        </w:tblPrEx>
        <w:trPr>
          <w:cantSplit/>
          <w:trHeight w:val="1130" w:hRule="atLeast"/>
        </w:trPr>
        <w:tc>
          <w:tcPr>
            <w:tcW w:w="110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1350"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129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25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cs="宋体" w:asciiTheme="minorEastAsia" w:hAnsiTheme="minorEastAsia" w:eastAsiaTheme="minorEastAsia"/>
                <w:kern w:val="0"/>
                <w:sz w:val="20"/>
                <w:szCs w:val="20"/>
              </w:rPr>
              <w:t>案件办结率等业务指标</w:t>
            </w:r>
          </w:p>
        </w:tc>
        <w:tc>
          <w:tcPr>
            <w:tcW w:w="10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cs="宋体" w:asciiTheme="minorEastAsia" w:hAnsiTheme="minorEastAsia" w:eastAsiaTheme="minorEastAsia"/>
                <w:kern w:val="0"/>
                <w:sz w:val="20"/>
                <w:szCs w:val="20"/>
              </w:rPr>
              <w:t>部门产出质量提升及达到标准</w:t>
            </w:r>
          </w:p>
        </w:tc>
        <w:tc>
          <w:tcPr>
            <w:tcW w:w="80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94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10</w:t>
            </w:r>
          </w:p>
        </w:tc>
        <w:tc>
          <w:tcPr>
            <w:tcW w:w="272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p>
        </w:tc>
        <w:tc>
          <w:tcPr>
            <w:tcW w:w="363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cantSplit/>
          <w:trHeight w:val="1258" w:hRule="atLeast"/>
        </w:trPr>
        <w:tc>
          <w:tcPr>
            <w:tcW w:w="110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1350"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129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进度指标</w:t>
            </w:r>
          </w:p>
        </w:tc>
        <w:tc>
          <w:tcPr>
            <w:tcW w:w="125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cs="宋体" w:asciiTheme="minorEastAsia" w:hAnsiTheme="minorEastAsia" w:eastAsiaTheme="minorEastAsia"/>
                <w:kern w:val="0"/>
                <w:sz w:val="20"/>
                <w:szCs w:val="20"/>
              </w:rPr>
              <w:t>完成全年项目</w:t>
            </w:r>
          </w:p>
        </w:tc>
        <w:tc>
          <w:tcPr>
            <w:tcW w:w="10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cs="宋体" w:asciiTheme="minorEastAsia" w:hAnsiTheme="minorEastAsia" w:eastAsiaTheme="minorEastAsia"/>
                <w:kern w:val="0"/>
                <w:sz w:val="20"/>
                <w:szCs w:val="20"/>
              </w:rPr>
              <w:t>2</w:t>
            </w:r>
            <w:r>
              <w:rPr>
                <w:rFonts w:cs="宋体" w:asciiTheme="minorEastAsia" w:hAnsiTheme="minorEastAsia" w:eastAsiaTheme="minorEastAsia"/>
                <w:kern w:val="0"/>
                <w:sz w:val="20"/>
                <w:szCs w:val="20"/>
              </w:rPr>
              <w:t>02</w:t>
            </w:r>
            <w:r>
              <w:rPr>
                <w:rFonts w:hint="eastAsia" w:cs="宋体" w:asciiTheme="minorEastAsia" w:hAnsiTheme="minorEastAsia" w:eastAsiaTheme="minorEastAsia"/>
                <w:kern w:val="0"/>
                <w:sz w:val="20"/>
                <w:szCs w:val="20"/>
              </w:rPr>
              <w:t>3年全年执行</w:t>
            </w:r>
          </w:p>
        </w:tc>
        <w:tc>
          <w:tcPr>
            <w:tcW w:w="80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94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5</w:t>
            </w:r>
          </w:p>
        </w:tc>
        <w:tc>
          <w:tcPr>
            <w:tcW w:w="272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p>
        </w:tc>
        <w:tc>
          <w:tcPr>
            <w:tcW w:w="363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cantSplit/>
          <w:trHeight w:val="975" w:hRule="atLeast"/>
        </w:trPr>
        <w:tc>
          <w:tcPr>
            <w:tcW w:w="110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1350"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129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25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cs="宋体" w:asciiTheme="minorEastAsia" w:hAnsiTheme="minorEastAsia" w:eastAsiaTheme="minorEastAsia"/>
                <w:kern w:val="0"/>
                <w:sz w:val="20"/>
                <w:szCs w:val="20"/>
              </w:rPr>
              <w:t>部门预算控制在13,242.12万元内</w:t>
            </w:r>
          </w:p>
        </w:tc>
        <w:tc>
          <w:tcPr>
            <w:tcW w:w="10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cs="宋体" w:asciiTheme="minorEastAsia" w:hAnsiTheme="minorEastAsia" w:eastAsiaTheme="minorEastAsia"/>
                <w:kern w:val="0"/>
                <w:sz w:val="20"/>
                <w:szCs w:val="20"/>
              </w:rPr>
              <w:t>年度预算执行12,917.31万元</w:t>
            </w:r>
          </w:p>
        </w:tc>
        <w:tc>
          <w:tcPr>
            <w:tcW w:w="80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94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5</w:t>
            </w:r>
          </w:p>
        </w:tc>
        <w:tc>
          <w:tcPr>
            <w:tcW w:w="272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p>
        </w:tc>
        <w:tc>
          <w:tcPr>
            <w:tcW w:w="363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cantSplit/>
          <w:trHeight w:val="90" w:hRule="atLeast"/>
        </w:trPr>
        <w:tc>
          <w:tcPr>
            <w:tcW w:w="110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1350"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效果（30）</w:t>
            </w:r>
          </w:p>
        </w:tc>
        <w:tc>
          <w:tcPr>
            <w:tcW w:w="129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cs="宋体" w:asciiTheme="minorEastAsia" w:hAnsiTheme="minorEastAsia" w:eastAsiaTheme="minorEastAsia"/>
                <w:kern w:val="0"/>
                <w:sz w:val="20"/>
                <w:szCs w:val="20"/>
              </w:rPr>
              <w:t>社会效益</w:t>
            </w:r>
          </w:p>
        </w:tc>
        <w:tc>
          <w:tcPr>
            <w:tcW w:w="125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服务首都高质量发展，强化检察履职的使命担当</w:t>
            </w:r>
          </w:p>
        </w:tc>
        <w:tc>
          <w:tcPr>
            <w:tcW w:w="10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cs="宋体" w:asciiTheme="minorEastAsia" w:hAnsiTheme="minorEastAsia" w:eastAsiaTheme="minorEastAsia"/>
                <w:kern w:val="0"/>
                <w:sz w:val="20"/>
                <w:szCs w:val="20"/>
              </w:rPr>
              <w:t>达到预期目标，资料需进一步完善</w:t>
            </w:r>
          </w:p>
        </w:tc>
        <w:tc>
          <w:tcPr>
            <w:tcW w:w="807"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30</w:t>
            </w:r>
          </w:p>
        </w:tc>
        <w:tc>
          <w:tcPr>
            <w:tcW w:w="94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9</w:t>
            </w:r>
          </w:p>
        </w:tc>
        <w:tc>
          <w:tcPr>
            <w:tcW w:w="272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b/>
                <w:bCs/>
                <w:kern w:val="0"/>
                <w:sz w:val="18"/>
                <w:szCs w:val="18"/>
              </w:rPr>
              <w:t>经济效益</w:t>
            </w:r>
            <w:r>
              <w:rPr>
                <w:rFonts w:hint="eastAsia" w:ascii="宋体" w:hAnsi="宋体" w:cs="宋体"/>
                <w:kern w:val="0"/>
                <w:sz w:val="18"/>
                <w:szCs w:val="18"/>
              </w:rPr>
              <w:t>：部门（单位）履行职责对经济发展所带来的直接或间接影响。</w:t>
            </w:r>
            <w:r>
              <w:rPr>
                <w:rFonts w:hint="eastAsia" w:ascii="宋体" w:hAnsi="宋体" w:cs="宋体"/>
                <w:b/>
                <w:bCs/>
                <w:kern w:val="0"/>
                <w:sz w:val="18"/>
                <w:szCs w:val="18"/>
              </w:rPr>
              <w:t>社会效益</w:t>
            </w:r>
            <w:r>
              <w:rPr>
                <w:rFonts w:hint="eastAsia" w:ascii="宋体" w:hAnsi="宋体" w:cs="宋体"/>
                <w:kern w:val="0"/>
                <w:sz w:val="18"/>
                <w:szCs w:val="18"/>
              </w:rPr>
              <w:t>：部门（单位）履行职责对社会发展所带来的直接或间接影响。</w:t>
            </w:r>
            <w:r>
              <w:rPr>
                <w:rFonts w:hint="eastAsia" w:ascii="宋体" w:hAnsi="宋体" w:cs="宋体"/>
                <w:b/>
                <w:bCs/>
                <w:kern w:val="0"/>
                <w:sz w:val="18"/>
                <w:szCs w:val="18"/>
              </w:rPr>
              <w:t>环境效益</w:t>
            </w:r>
            <w:r>
              <w:rPr>
                <w:rFonts w:hint="eastAsia" w:ascii="宋体" w:hAnsi="宋体" w:cs="宋体"/>
                <w:kern w:val="0"/>
                <w:sz w:val="18"/>
                <w:szCs w:val="18"/>
              </w:rPr>
              <w:t>：部门（单位）履行职责对环境所带来的直接或间接影响。</w:t>
            </w:r>
            <w:r>
              <w:rPr>
                <w:rFonts w:hint="eastAsia" w:ascii="宋体" w:hAnsi="宋体" w:cs="宋体"/>
                <w:b/>
                <w:bCs/>
                <w:kern w:val="0"/>
                <w:sz w:val="18"/>
                <w:szCs w:val="18"/>
              </w:rPr>
              <w:t>可持续性影响：</w:t>
            </w:r>
            <w:r>
              <w:rPr>
                <w:rFonts w:hint="eastAsia" w:ascii="宋体" w:hAnsi="宋体" w:cs="宋体"/>
                <w:kern w:val="0"/>
                <w:sz w:val="18"/>
                <w:szCs w:val="18"/>
              </w:rPr>
              <w:t>部门绩效目标实现的长效机制建设情况，部门工作效率提升措施的创新。</w:t>
            </w:r>
            <w:r>
              <w:rPr>
                <w:rFonts w:hint="eastAsia" w:ascii="宋体" w:hAnsi="宋体" w:cs="宋体"/>
                <w:b/>
                <w:bCs/>
                <w:kern w:val="0"/>
                <w:sz w:val="18"/>
                <w:szCs w:val="18"/>
              </w:rPr>
              <w:t>服务对象满意度</w:t>
            </w:r>
            <w:r>
              <w:rPr>
                <w:rFonts w:hint="eastAsia" w:ascii="宋体" w:hAnsi="宋体" w:cs="宋体"/>
                <w:kern w:val="0"/>
                <w:sz w:val="18"/>
                <w:szCs w:val="18"/>
              </w:rPr>
              <w:t>：部门（单位）的服务对象对部门履职效果的满意程度。</w:t>
            </w:r>
          </w:p>
        </w:tc>
        <w:tc>
          <w:tcPr>
            <w:tcW w:w="3632"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部门根据实际情况选择指标进行填写，并将其细化为相应的个性化指标。对于效益类指标可从受益对象瞄准度、受益广度和受益深度上进行设计分析。</w:t>
            </w:r>
          </w:p>
        </w:tc>
      </w:tr>
      <w:tr>
        <w:tblPrEx>
          <w:tblLayout w:type="fixed"/>
          <w:tblCellMar>
            <w:top w:w="0" w:type="dxa"/>
            <w:left w:w="108" w:type="dxa"/>
            <w:bottom w:w="0" w:type="dxa"/>
            <w:right w:w="108" w:type="dxa"/>
          </w:tblCellMar>
        </w:tblPrEx>
        <w:trPr>
          <w:cantSplit/>
          <w:trHeight w:val="630" w:hRule="atLeast"/>
        </w:trPr>
        <w:tc>
          <w:tcPr>
            <w:tcW w:w="110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1350"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129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cs="宋体" w:asciiTheme="minorEastAsia" w:hAnsiTheme="minorEastAsia" w:eastAsiaTheme="minorEastAsia"/>
                <w:kern w:val="0"/>
                <w:sz w:val="20"/>
                <w:szCs w:val="20"/>
              </w:rPr>
              <w:t>可持续性影响</w:t>
            </w:r>
          </w:p>
        </w:tc>
        <w:tc>
          <w:tcPr>
            <w:tcW w:w="125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推进检察高质量发展，强化检察发展行稳致远战略支撑</w:t>
            </w:r>
          </w:p>
        </w:tc>
        <w:tc>
          <w:tcPr>
            <w:tcW w:w="10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cs="宋体" w:asciiTheme="minorEastAsia" w:hAnsiTheme="minorEastAsia" w:eastAsiaTheme="minorEastAsia"/>
                <w:kern w:val="0"/>
                <w:sz w:val="20"/>
                <w:szCs w:val="20"/>
              </w:rPr>
              <w:t>达到预期目标，资料需进一步完善</w:t>
            </w:r>
          </w:p>
        </w:tc>
        <w:tc>
          <w:tcPr>
            <w:tcW w:w="80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94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8</w:t>
            </w:r>
          </w:p>
        </w:tc>
        <w:tc>
          <w:tcPr>
            <w:tcW w:w="272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p>
        </w:tc>
        <w:tc>
          <w:tcPr>
            <w:tcW w:w="363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cantSplit/>
          <w:trHeight w:val="90" w:hRule="atLeast"/>
        </w:trPr>
        <w:tc>
          <w:tcPr>
            <w:tcW w:w="110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1350"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129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cs="宋体" w:asciiTheme="minorEastAsia" w:hAnsiTheme="minorEastAsia" w:eastAsiaTheme="minorEastAsia"/>
                <w:kern w:val="0"/>
                <w:sz w:val="20"/>
                <w:szCs w:val="20"/>
              </w:rPr>
              <w:t>服务对象满意程度</w:t>
            </w:r>
          </w:p>
        </w:tc>
        <w:tc>
          <w:tcPr>
            <w:tcW w:w="125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服务对象满意度基本满意</w:t>
            </w:r>
          </w:p>
        </w:tc>
        <w:tc>
          <w:tcPr>
            <w:tcW w:w="10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cs="宋体" w:asciiTheme="minorEastAsia" w:hAnsiTheme="minorEastAsia" w:eastAsiaTheme="minorEastAsia"/>
                <w:kern w:val="0"/>
                <w:sz w:val="20"/>
                <w:szCs w:val="20"/>
              </w:rPr>
              <w:t>满意度达到要求，但资料需进一步完善</w:t>
            </w:r>
          </w:p>
        </w:tc>
        <w:tc>
          <w:tcPr>
            <w:tcW w:w="80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94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8</w:t>
            </w:r>
          </w:p>
        </w:tc>
        <w:tc>
          <w:tcPr>
            <w:tcW w:w="272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p>
        </w:tc>
        <w:tc>
          <w:tcPr>
            <w:tcW w:w="363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cantSplit/>
          <w:trHeight w:val="90" w:hRule="atLeast"/>
        </w:trPr>
        <w:tc>
          <w:tcPr>
            <w:tcW w:w="14174" w:type="dxa"/>
            <w:gridSpan w:val="9"/>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b/>
                <w:bCs/>
                <w:kern w:val="0"/>
                <w:sz w:val="18"/>
                <w:szCs w:val="18"/>
              </w:rPr>
            </w:pPr>
            <w:r>
              <w:rPr>
                <w:rFonts w:hint="eastAsia" w:ascii="宋体" w:hAnsi="宋体" w:cs="宋体"/>
                <w:b/>
                <w:bCs/>
                <w:kern w:val="0"/>
                <w:sz w:val="18"/>
                <w:szCs w:val="18"/>
              </w:rPr>
              <w:t>三</w:t>
            </w:r>
            <w:r>
              <w:rPr>
                <w:rFonts w:ascii="宋体" w:hAnsi="宋体" w:cs="宋体"/>
                <w:b/>
                <w:bCs/>
                <w:kern w:val="0"/>
                <w:sz w:val="18"/>
                <w:szCs w:val="18"/>
              </w:rPr>
              <w:t>、</w:t>
            </w:r>
            <w:r>
              <w:rPr>
                <w:rFonts w:hint="eastAsia" w:ascii="宋体" w:hAnsi="宋体" w:cs="宋体"/>
                <w:b/>
                <w:bCs/>
                <w:kern w:val="0"/>
                <w:sz w:val="20"/>
                <w:szCs w:val="20"/>
              </w:rPr>
              <w:t>预算管理情况（20分）</w:t>
            </w:r>
          </w:p>
        </w:tc>
      </w:tr>
      <w:tr>
        <w:tblPrEx>
          <w:tblLayout w:type="fixed"/>
          <w:tblCellMar>
            <w:top w:w="0" w:type="dxa"/>
            <w:left w:w="108" w:type="dxa"/>
            <w:bottom w:w="0" w:type="dxa"/>
            <w:right w:w="108" w:type="dxa"/>
          </w:tblCellMar>
        </w:tblPrEx>
        <w:trPr>
          <w:cantSplit/>
          <w:trHeight w:val="90" w:hRule="atLeast"/>
        </w:trPr>
        <w:tc>
          <w:tcPr>
            <w:tcW w:w="11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一</w:t>
            </w:r>
            <w:r>
              <w:rPr>
                <w:rFonts w:ascii="宋体" w:hAnsi="宋体" w:cs="宋体"/>
                <w:b/>
                <w:bCs/>
                <w:kern w:val="0"/>
                <w:sz w:val="20"/>
                <w:szCs w:val="20"/>
              </w:rPr>
              <w:t>级指标</w:t>
            </w:r>
          </w:p>
        </w:tc>
        <w:tc>
          <w:tcPr>
            <w:tcW w:w="135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二</w:t>
            </w:r>
            <w:r>
              <w:rPr>
                <w:rFonts w:ascii="宋体" w:hAnsi="宋体" w:cs="宋体"/>
                <w:b/>
                <w:bCs/>
                <w:kern w:val="0"/>
                <w:sz w:val="20"/>
                <w:szCs w:val="20"/>
              </w:rPr>
              <w:t>级指标</w:t>
            </w:r>
          </w:p>
        </w:tc>
        <w:tc>
          <w:tcPr>
            <w:tcW w:w="129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三</w:t>
            </w:r>
            <w:r>
              <w:rPr>
                <w:rFonts w:ascii="宋体" w:hAnsi="宋体" w:cs="宋体"/>
                <w:b/>
                <w:bCs/>
                <w:kern w:val="0"/>
                <w:sz w:val="20"/>
                <w:szCs w:val="20"/>
              </w:rPr>
              <w:t>级指标</w:t>
            </w:r>
          </w:p>
        </w:tc>
        <w:tc>
          <w:tcPr>
            <w:tcW w:w="125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指标</w:t>
            </w:r>
            <w:r>
              <w:rPr>
                <w:rFonts w:ascii="宋体" w:hAnsi="宋体" w:cs="宋体"/>
                <w:b/>
                <w:bCs/>
                <w:kern w:val="0"/>
                <w:sz w:val="20"/>
                <w:szCs w:val="20"/>
              </w:rPr>
              <w:t>值</w:t>
            </w:r>
          </w:p>
        </w:tc>
        <w:tc>
          <w:tcPr>
            <w:tcW w:w="10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完成</w:t>
            </w:r>
            <w:r>
              <w:rPr>
                <w:rFonts w:ascii="宋体" w:hAnsi="宋体" w:cs="宋体"/>
                <w:b/>
                <w:bCs/>
                <w:kern w:val="0"/>
                <w:sz w:val="20"/>
                <w:szCs w:val="20"/>
              </w:rPr>
              <w:t>值</w:t>
            </w:r>
          </w:p>
        </w:tc>
        <w:tc>
          <w:tcPr>
            <w:tcW w:w="80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分</w:t>
            </w:r>
            <w:r>
              <w:rPr>
                <w:rFonts w:ascii="宋体" w:hAnsi="宋体" w:cs="宋体"/>
                <w:b/>
                <w:bCs/>
                <w:kern w:val="0"/>
                <w:sz w:val="20"/>
                <w:szCs w:val="20"/>
              </w:rPr>
              <w:t>值</w:t>
            </w:r>
          </w:p>
        </w:tc>
        <w:tc>
          <w:tcPr>
            <w:tcW w:w="94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得</w:t>
            </w:r>
            <w:r>
              <w:rPr>
                <w:rFonts w:ascii="宋体" w:hAnsi="宋体" w:cs="宋体"/>
                <w:b/>
                <w:bCs/>
                <w:kern w:val="0"/>
                <w:sz w:val="20"/>
                <w:szCs w:val="20"/>
              </w:rPr>
              <w:t>分</w:t>
            </w:r>
          </w:p>
        </w:tc>
        <w:tc>
          <w:tcPr>
            <w:tcW w:w="27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w:t>
            </w:r>
            <w:r>
              <w:rPr>
                <w:rFonts w:ascii="宋体" w:hAnsi="宋体" w:cs="宋体"/>
                <w:b/>
                <w:bCs/>
                <w:kern w:val="0"/>
                <w:sz w:val="18"/>
                <w:szCs w:val="18"/>
              </w:rPr>
              <w:t>解释</w:t>
            </w:r>
          </w:p>
        </w:tc>
        <w:tc>
          <w:tcPr>
            <w:tcW w:w="363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评</w:t>
            </w:r>
            <w:r>
              <w:rPr>
                <w:rFonts w:ascii="宋体" w:hAnsi="宋体" w:cs="宋体"/>
                <w:b/>
                <w:bCs/>
                <w:kern w:val="0"/>
                <w:sz w:val="18"/>
                <w:szCs w:val="18"/>
              </w:rPr>
              <w:t>分标准</w:t>
            </w:r>
          </w:p>
        </w:tc>
      </w:tr>
      <w:tr>
        <w:tblPrEx>
          <w:tblLayout w:type="fixed"/>
          <w:tblCellMar>
            <w:top w:w="0" w:type="dxa"/>
            <w:left w:w="108" w:type="dxa"/>
            <w:bottom w:w="0" w:type="dxa"/>
            <w:right w:w="108" w:type="dxa"/>
          </w:tblCellMar>
        </w:tblPrEx>
        <w:trPr>
          <w:cantSplit/>
          <w:trHeight w:val="1230" w:hRule="atLeast"/>
        </w:trPr>
        <w:tc>
          <w:tcPr>
            <w:tcW w:w="110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预算管理情况（20）</w:t>
            </w:r>
          </w:p>
        </w:tc>
        <w:tc>
          <w:tcPr>
            <w:tcW w:w="1350"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财务管理（4）</w:t>
            </w:r>
          </w:p>
        </w:tc>
        <w:tc>
          <w:tcPr>
            <w:tcW w:w="129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财务管理制度健全性</w:t>
            </w:r>
          </w:p>
        </w:tc>
        <w:tc>
          <w:tcPr>
            <w:tcW w:w="125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cs="宋体" w:asciiTheme="minorEastAsia" w:hAnsiTheme="minorEastAsia" w:eastAsiaTheme="minorEastAsia"/>
                <w:kern w:val="0"/>
                <w:sz w:val="20"/>
                <w:szCs w:val="20"/>
              </w:rPr>
              <w:t>财务管理制度健全性</w:t>
            </w:r>
          </w:p>
        </w:tc>
        <w:tc>
          <w:tcPr>
            <w:tcW w:w="10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cs="宋体" w:asciiTheme="minorEastAsia" w:hAnsiTheme="minorEastAsia" w:eastAsiaTheme="minorEastAsia"/>
                <w:kern w:val="0"/>
                <w:sz w:val="20"/>
                <w:szCs w:val="20"/>
              </w:rPr>
              <w:t>财务管理制度健全性</w:t>
            </w:r>
          </w:p>
        </w:tc>
        <w:tc>
          <w:tcPr>
            <w:tcW w:w="80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w:t>
            </w:r>
          </w:p>
        </w:tc>
        <w:tc>
          <w:tcPr>
            <w:tcW w:w="94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w:t>
            </w:r>
          </w:p>
        </w:tc>
        <w:tc>
          <w:tcPr>
            <w:tcW w:w="2729"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b/>
                <w:bCs/>
                <w:kern w:val="0"/>
                <w:sz w:val="18"/>
                <w:szCs w:val="18"/>
              </w:rPr>
              <w:t>财务管理制度健全性：</w:t>
            </w:r>
            <w:r>
              <w:rPr>
                <w:rFonts w:hint="eastAsia" w:ascii="宋体" w:hAnsi="宋体" w:cs="宋体"/>
                <w:kern w:val="0"/>
                <w:sz w:val="18"/>
                <w:szCs w:val="18"/>
              </w:rPr>
              <w:t>部门（单位）为加强财务管理、规范财务行为而制定的管理制度。</w:t>
            </w:r>
          </w:p>
        </w:tc>
        <w:tc>
          <w:tcPr>
            <w:tcW w:w="363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Layout w:type="fixed"/>
          <w:tblCellMar>
            <w:top w:w="0" w:type="dxa"/>
            <w:left w:w="108" w:type="dxa"/>
            <w:bottom w:w="0" w:type="dxa"/>
            <w:right w:w="108" w:type="dxa"/>
          </w:tblCellMar>
        </w:tblPrEx>
        <w:trPr>
          <w:cantSplit/>
          <w:trHeight w:val="2220" w:hRule="atLeast"/>
        </w:trPr>
        <w:tc>
          <w:tcPr>
            <w:tcW w:w="110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1350"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129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资金使用合规性和安全性</w:t>
            </w:r>
          </w:p>
        </w:tc>
        <w:tc>
          <w:tcPr>
            <w:tcW w:w="125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资金使用合规性和安全性</w:t>
            </w:r>
          </w:p>
        </w:tc>
        <w:tc>
          <w:tcPr>
            <w:tcW w:w="10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资金使用规范</w:t>
            </w:r>
          </w:p>
        </w:tc>
        <w:tc>
          <w:tcPr>
            <w:tcW w:w="80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w:t>
            </w:r>
          </w:p>
        </w:tc>
        <w:tc>
          <w:tcPr>
            <w:tcW w:w="94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w:t>
            </w:r>
          </w:p>
        </w:tc>
        <w:tc>
          <w:tcPr>
            <w:tcW w:w="2729"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b/>
                <w:bCs/>
                <w:kern w:val="0"/>
                <w:sz w:val="18"/>
                <w:szCs w:val="18"/>
              </w:rPr>
              <w:t>资金使用合规性和安全性：</w:t>
            </w:r>
            <w:r>
              <w:rPr>
                <w:rFonts w:hint="eastAsia" w:ascii="宋体" w:hAnsi="宋体" w:cs="宋体"/>
                <w:kern w:val="0"/>
                <w:sz w:val="18"/>
                <w:szCs w:val="18"/>
              </w:rPr>
              <w:t>部门（单位）使用预算资金是否符合相关的预算财务管理制度的规定，是否符合相关规定的开支范围，用以反映考核部门（单位）预算资金的规范运行和安全运行情况。</w:t>
            </w:r>
          </w:p>
        </w:tc>
        <w:tc>
          <w:tcPr>
            <w:tcW w:w="363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Layout w:type="fixed"/>
          <w:tblCellMar>
            <w:top w:w="0" w:type="dxa"/>
            <w:left w:w="108" w:type="dxa"/>
            <w:bottom w:w="0" w:type="dxa"/>
            <w:right w:w="108" w:type="dxa"/>
          </w:tblCellMar>
        </w:tblPrEx>
        <w:trPr>
          <w:cantSplit/>
          <w:trHeight w:val="631" w:hRule="atLeast"/>
        </w:trPr>
        <w:tc>
          <w:tcPr>
            <w:tcW w:w="110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1350"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129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会计基础信息完善性</w:t>
            </w:r>
          </w:p>
        </w:tc>
        <w:tc>
          <w:tcPr>
            <w:tcW w:w="125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eastAsiaTheme="minorEastAsia"/>
                <w:kern w:val="0"/>
                <w:sz w:val="20"/>
                <w:szCs w:val="20"/>
              </w:rPr>
            </w:pPr>
            <w:r>
              <w:rPr>
                <w:rFonts w:hint="eastAsia" w:cs="宋体" w:asciiTheme="minorEastAsia" w:hAnsiTheme="minorEastAsia" w:eastAsiaTheme="minorEastAsia"/>
                <w:kern w:val="0"/>
                <w:sz w:val="20"/>
                <w:szCs w:val="20"/>
              </w:rPr>
              <w:t>会计基础信息完善</w:t>
            </w:r>
          </w:p>
        </w:tc>
        <w:tc>
          <w:tcPr>
            <w:tcW w:w="10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cs="宋体" w:asciiTheme="minorEastAsia" w:hAnsiTheme="minorEastAsia" w:eastAsiaTheme="minorEastAsia"/>
                <w:kern w:val="0"/>
                <w:sz w:val="20"/>
                <w:szCs w:val="20"/>
              </w:rPr>
              <w:t>基础信息完善</w:t>
            </w:r>
          </w:p>
        </w:tc>
        <w:tc>
          <w:tcPr>
            <w:tcW w:w="80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w:t>
            </w:r>
          </w:p>
        </w:tc>
        <w:tc>
          <w:tcPr>
            <w:tcW w:w="94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w:t>
            </w:r>
          </w:p>
        </w:tc>
        <w:tc>
          <w:tcPr>
            <w:tcW w:w="2729"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b/>
                <w:bCs/>
                <w:kern w:val="0"/>
                <w:sz w:val="18"/>
                <w:szCs w:val="18"/>
              </w:rPr>
              <w:t>会计基础信息完善性：</w:t>
            </w:r>
            <w:r>
              <w:rPr>
                <w:rFonts w:hint="eastAsia" w:ascii="宋体" w:hAnsi="宋体" w:cs="宋体"/>
                <w:kern w:val="0"/>
                <w:sz w:val="18"/>
                <w:szCs w:val="18"/>
              </w:rPr>
              <w:t>部门（单位）会计基础信息情况。</w:t>
            </w:r>
          </w:p>
        </w:tc>
        <w:tc>
          <w:tcPr>
            <w:tcW w:w="363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Layout w:type="fixed"/>
          <w:tblCellMar>
            <w:top w:w="0" w:type="dxa"/>
            <w:left w:w="108" w:type="dxa"/>
            <w:bottom w:w="0" w:type="dxa"/>
            <w:right w:w="108" w:type="dxa"/>
          </w:tblCellMar>
        </w:tblPrEx>
        <w:trPr>
          <w:cantSplit/>
          <w:trHeight w:val="1753" w:hRule="atLeast"/>
        </w:trPr>
        <w:tc>
          <w:tcPr>
            <w:tcW w:w="110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135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资产管理（4）</w:t>
            </w:r>
          </w:p>
        </w:tc>
        <w:tc>
          <w:tcPr>
            <w:tcW w:w="129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资产管理规范性</w:t>
            </w:r>
          </w:p>
        </w:tc>
        <w:tc>
          <w:tcPr>
            <w:tcW w:w="125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cs="宋体" w:asciiTheme="minorEastAsia" w:hAnsiTheme="minorEastAsia" w:eastAsiaTheme="minorEastAsia"/>
                <w:kern w:val="0"/>
                <w:sz w:val="20"/>
                <w:szCs w:val="20"/>
              </w:rPr>
              <w:t>资产制度健全，管理规范</w:t>
            </w:r>
          </w:p>
        </w:tc>
        <w:tc>
          <w:tcPr>
            <w:tcW w:w="10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cs="宋体" w:asciiTheme="minorEastAsia" w:hAnsiTheme="minorEastAsia" w:eastAsiaTheme="minorEastAsia"/>
                <w:kern w:val="0"/>
                <w:sz w:val="20"/>
                <w:szCs w:val="20"/>
              </w:rPr>
              <w:t>资产管理规范</w:t>
            </w:r>
          </w:p>
        </w:tc>
        <w:tc>
          <w:tcPr>
            <w:tcW w:w="80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4</w:t>
            </w:r>
          </w:p>
        </w:tc>
        <w:tc>
          <w:tcPr>
            <w:tcW w:w="94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4</w:t>
            </w:r>
          </w:p>
        </w:tc>
        <w:tc>
          <w:tcPr>
            <w:tcW w:w="2729"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b/>
                <w:bCs/>
                <w:kern w:val="0"/>
                <w:sz w:val="18"/>
                <w:szCs w:val="18"/>
              </w:rPr>
              <w:t>资产管理规范性：</w:t>
            </w:r>
            <w:r>
              <w:rPr>
                <w:rFonts w:hint="eastAsia" w:ascii="宋体" w:hAnsi="宋体" w:cs="宋体"/>
                <w:kern w:val="0"/>
                <w:sz w:val="18"/>
                <w:szCs w:val="18"/>
              </w:rPr>
              <w:t>部门（单位）的资产是否保持安全完整，资产配置是否合理，资产使用和资产处理是否规范，用以反映和考核部门（单位）资产管理的整体水平。</w:t>
            </w:r>
          </w:p>
        </w:tc>
        <w:tc>
          <w:tcPr>
            <w:tcW w:w="363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Layout w:type="fixed"/>
          <w:tblCellMar>
            <w:top w:w="0" w:type="dxa"/>
            <w:left w:w="108" w:type="dxa"/>
            <w:bottom w:w="0" w:type="dxa"/>
            <w:right w:w="108" w:type="dxa"/>
          </w:tblCellMar>
        </w:tblPrEx>
        <w:trPr>
          <w:cantSplit/>
          <w:trHeight w:val="232" w:hRule="atLeast"/>
        </w:trPr>
        <w:tc>
          <w:tcPr>
            <w:tcW w:w="110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135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绩效管理（4）</w:t>
            </w:r>
          </w:p>
        </w:tc>
        <w:tc>
          <w:tcPr>
            <w:tcW w:w="129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绩效管理情况</w:t>
            </w:r>
          </w:p>
        </w:tc>
        <w:tc>
          <w:tcPr>
            <w:tcW w:w="125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cs="宋体" w:asciiTheme="minorEastAsia" w:hAnsiTheme="minorEastAsia" w:eastAsiaTheme="minorEastAsia"/>
                <w:kern w:val="0"/>
                <w:sz w:val="20"/>
                <w:szCs w:val="20"/>
              </w:rPr>
              <w:t>绩效管理规范，未发生目标偏离</w:t>
            </w:r>
          </w:p>
        </w:tc>
        <w:tc>
          <w:tcPr>
            <w:tcW w:w="10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cs="宋体" w:asciiTheme="minorEastAsia" w:hAnsiTheme="minorEastAsia" w:eastAsiaTheme="minorEastAsia"/>
                <w:kern w:val="0"/>
                <w:sz w:val="20"/>
                <w:szCs w:val="20"/>
              </w:rPr>
              <w:t>绩效管理规范</w:t>
            </w:r>
          </w:p>
        </w:tc>
        <w:tc>
          <w:tcPr>
            <w:tcW w:w="80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4</w:t>
            </w:r>
          </w:p>
        </w:tc>
        <w:tc>
          <w:tcPr>
            <w:tcW w:w="94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4</w:t>
            </w:r>
          </w:p>
        </w:tc>
        <w:tc>
          <w:tcPr>
            <w:tcW w:w="2729"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b/>
                <w:bCs/>
                <w:kern w:val="0"/>
                <w:sz w:val="18"/>
                <w:szCs w:val="18"/>
              </w:rPr>
              <w:t>绩效管理情况：</w:t>
            </w:r>
            <w:r>
              <w:rPr>
                <w:rFonts w:hint="eastAsia" w:ascii="宋体" w:hAnsi="宋体" w:cs="宋体"/>
                <w:kern w:val="0"/>
                <w:sz w:val="18"/>
                <w:szCs w:val="18"/>
              </w:rPr>
              <w:t>考核部门（单位）在绩效管理信息的汇总和应用情况。</w:t>
            </w:r>
          </w:p>
        </w:tc>
        <w:tc>
          <w:tcPr>
            <w:tcW w:w="363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①部门（单位）是否及时对绩效信息进行汇总分析整理；②部门（单位）是否对绩效目标偏离情况及时进行矫正。每有一项不合格扣2分。</w:t>
            </w:r>
          </w:p>
        </w:tc>
      </w:tr>
      <w:tr>
        <w:tblPrEx>
          <w:tblLayout w:type="fixed"/>
          <w:tblCellMar>
            <w:top w:w="0" w:type="dxa"/>
            <w:left w:w="108" w:type="dxa"/>
            <w:bottom w:w="0" w:type="dxa"/>
            <w:right w:w="108" w:type="dxa"/>
          </w:tblCellMar>
        </w:tblPrEx>
        <w:trPr>
          <w:cantSplit/>
          <w:trHeight w:val="90" w:hRule="atLeast"/>
        </w:trPr>
        <w:tc>
          <w:tcPr>
            <w:tcW w:w="110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135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指标</w:t>
            </w:r>
          </w:p>
        </w:tc>
        <w:tc>
          <w:tcPr>
            <w:tcW w:w="2550"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2022年</w:t>
            </w:r>
          </w:p>
        </w:tc>
        <w:tc>
          <w:tcPr>
            <w:tcW w:w="10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2023年</w:t>
            </w:r>
          </w:p>
        </w:tc>
        <w:tc>
          <w:tcPr>
            <w:tcW w:w="80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分值</w:t>
            </w:r>
          </w:p>
        </w:tc>
        <w:tc>
          <w:tcPr>
            <w:tcW w:w="94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得分</w:t>
            </w:r>
          </w:p>
        </w:tc>
        <w:tc>
          <w:tcPr>
            <w:tcW w:w="272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bCs/>
                <w:kern w:val="0"/>
                <w:sz w:val="18"/>
                <w:szCs w:val="18"/>
              </w:rPr>
              <w:t>指标</w:t>
            </w:r>
            <w:r>
              <w:rPr>
                <w:rFonts w:ascii="宋体" w:hAnsi="宋体" w:cs="宋体"/>
                <w:bCs/>
                <w:kern w:val="0"/>
                <w:sz w:val="18"/>
                <w:szCs w:val="18"/>
              </w:rPr>
              <w:t>解释</w:t>
            </w:r>
          </w:p>
        </w:tc>
        <w:tc>
          <w:tcPr>
            <w:tcW w:w="363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eastAsia="Times New Roman"/>
                <w:kern w:val="0"/>
                <w:sz w:val="20"/>
                <w:szCs w:val="20"/>
              </w:rPr>
            </w:pPr>
            <w:r>
              <w:rPr>
                <w:rFonts w:hint="eastAsia" w:ascii="宋体" w:hAnsi="宋体" w:cs="宋体"/>
                <w:kern w:val="0"/>
                <w:sz w:val="18"/>
                <w:szCs w:val="18"/>
              </w:rPr>
              <w:t>评</w:t>
            </w:r>
            <w:r>
              <w:rPr>
                <w:rFonts w:ascii="宋体" w:hAnsi="宋体" w:cs="宋体"/>
                <w:kern w:val="0"/>
                <w:sz w:val="18"/>
                <w:szCs w:val="18"/>
              </w:rPr>
              <w:t>分标准</w:t>
            </w:r>
          </w:p>
        </w:tc>
      </w:tr>
      <w:tr>
        <w:tblPrEx>
          <w:tblLayout w:type="fixed"/>
          <w:tblCellMar>
            <w:top w:w="0" w:type="dxa"/>
            <w:left w:w="108" w:type="dxa"/>
            <w:bottom w:w="0" w:type="dxa"/>
            <w:right w:w="108" w:type="dxa"/>
          </w:tblCellMar>
        </w:tblPrEx>
        <w:trPr>
          <w:cantSplit/>
          <w:trHeight w:val="1598" w:hRule="atLeast"/>
        </w:trPr>
        <w:tc>
          <w:tcPr>
            <w:tcW w:w="110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1350"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kern w:val="0"/>
                <w:sz w:val="20"/>
                <w:szCs w:val="20"/>
              </w:rPr>
            </w:pPr>
            <w:r>
              <w:rPr>
                <w:rFonts w:hint="eastAsia" w:ascii="宋体" w:hAnsi="宋体" w:cs="宋体"/>
                <w:kern w:val="0"/>
                <w:sz w:val="20"/>
                <w:szCs w:val="20"/>
              </w:rPr>
              <w:t>结转结余率（4）</w:t>
            </w:r>
          </w:p>
        </w:tc>
        <w:tc>
          <w:tcPr>
            <w:tcW w:w="2550"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2.12%</w:t>
            </w:r>
          </w:p>
        </w:tc>
        <w:tc>
          <w:tcPr>
            <w:tcW w:w="10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2.45%</w:t>
            </w:r>
          </w:p>
        </w:tc>
        <w:tc>
          <w:tcPr>
            <w:tcW w:w="80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4</w:t>
            </w:r>
          </w:p>
        </w:tc>
        <w:tc>
          <w:tcPr>
            <w:tcW w:w="94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3.87</w:t>
            </w:r>
          </w:p>
        </w:tc>
        <w:tc>
          <w:tcPr>
            <w:tcW w:w="2729"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结转结余率=结转结余总额/支出预算数×100%。</w:t>
            </w:r>
          </w:p>
          <w:p>
            <w:pPr>
              <w:widowControl/>
              <w:jc w:val="left"/>
              <w:rPr>
                <w:rFonts w:ascii="宋体" w:hAnsi="宋体" w:cs="宋体"/>
                <w:kern w:val="0"/>
                <w:sz w:val="18"/>
                <w:szCs w:val="18"/>
              </w:rPr>
            </w:pPr>
            <w:r>
              <w:rPr>
                <w:rFonts w:hint="eastAsia" w:ascii="宋体" w:hAnsi="宋体" w:cs="宋体"/>
                <w:kern w:val="0"/>
                <w:sz w:val="18"/>
                <w:szCs w:val="18"/>
              </w:rPr>
              <w:t>结转结余总额：部门（单位）本年度的结转资金与结余资金之和。</w:t>
            </w:r>
          </w:p>
        </w:tc>
        <w:tc>
          <w:tcPr>
            <w:tcW w:w="363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Layout w:type="fixed"/>
          <w:tblCellMar>
            <w:top w:w="0" w:type="dxa"/>
            <w:left w:w="108" w:type="dxa"/>
            <w:bottom w:w="0" w:type="dxa"/>
            <w:right w:w="108" w:type="dxa"/>
          </w:tblCellMar>
        </w:tblPrEx>
        <w:trPr>
          <w:cantSplit/>
          <w:trHeight w:val="518" w:hRule="atLeast"/>
        </w:trPr>
        <w:tc>
          <w:tcPr>
            <w:tcW w:w="110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20"/>
                <w:szCs w:val="20"/>
              </w:rPr>
            </w:pPr>
          </w:p>
        </w:tc>
        <w:tc>
          <w:tcPr>
            <w:tcW w:w="1350" w:type="dxa"/>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kern w:val="0"/>
                <w:sz w:val="20"/>
                <w:szCs w:val="20"/>
              </w:rPr>
            </w:pPr>
            <w:r>
              <w:rPr>
                <w:rFonts w:hint="eastAsia" w:ascii="宋体" w:hAnsi="宋体" w:cs="宋体"/>
                <w:kern w:val="0"/>
                <w:sz w:val="20"/>
                <w:szCs w:val="20"/>
              </w:rPr>
              <w:t>部门预决算差异率（4）</w:t>
            </w:r>
          </w:p>
        </w:tc>
        <w:tc>
          <w:tcPr>
            <w:tcW w:w="2550"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4.24%</w:t>
            </w:r>
          </w:p>
        </w:tc>
        <w:tc>
          <w:tcPr>
            <w:tcW w:w="10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5.06%</w:t>
            </w:r>
          </w:p>
        </w:tc>
        <w:tc>
          <w:tcPr>
            <w:tcW w:w="80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4</w:t>
            </w:r>
          </w:p>
        </w:tc>
        <w:tc>
          <w:tcPr>
            <w:tcW w:w="94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4</w:t>
            </w:r>
          </w:p>
        </w:tc>
        <w:tc>
          <w:tcPr>
            <w:tcW w:w="2729"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通过年度部门决算与年初部门预算对比，对部门的年度支出情况进行考核，衡量部门预算的约束力。</w:t>
            </w:r>
          </w:p>
        </w:tc>
        <w:tc>
          <w:tcPr>
            <w:tcW w:w="3632"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部门预决算差异率高于市级平均差异率（28.3%）的，每高出10%（含），扣0.4分，扣完为止。</w:t>
            </w:r>
          </w:p>
        </w:tc>
      </w:tr>
      <w:tr>
        <w:tblPrEx>
          <w:tblLayout w:type="fixed"/>
          <w:tblCellMar>
            <w:top w:w="0" w:type="dxa"/>
            <w:left w:w="108" w:type="dxa"/>
            <w:bottom w:w="0" w:type="dxa"/>
            <w:right w:w="108" w:type="dxa"/>
          </w:tblCellMar>
        </w:tblPrEx>
        <w:trPr>
          <w:cantSplit/>
          <w:trHeight w:val="369" w:hRule="atLeast"/>
        </w:trPr>
        <w:tc>
          <w:tcPr>
            <w:tcW w:w="6060" w:type="dxa"/>
            <w:gridSpan w:val="5"/>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合计</w:t>
            </w:r>
          </w:p>
        </w:tc>
        <w:tc>
          <w:tcPr>
            <w:tcW w:w="80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100</w:t>
            </w:r>
          </w:p>
        </w:tc>
        <w:tc>
          <w:tcPr>
            <w:tcW w:w="94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94.38</w:t>
            </w:r>
          </w:p>
        </w:tc>
        <w:tc>
          <w:tcPr>
            <w:tcW w:w="6361"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kern w:val="0"/>
                <w:sz w:val="18"/>
                <w:szCs w:val="18"/>
              </w:rPr>
            </w:pPr>
          </w:p>
        </w:tc>
      </w:tr>
    </w:tbl>
    <w:p/>
    <w:sectPr>
      <w:footerReference r:id="rId5"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altName w:val="Arial Unicode MS"/>
    <w:panose1 w:val="02010601030101010101"/>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center"/>
      <w:rPr>
        <w:sz w:val="21"/>
        <w:szCs w:val="21"/>
      </w:rPr>
    </w:pPr>
    <w:r>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11"/>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- 2 -</w:t>
                </w:r>
                <w:r>
                  <w:rPr>
                    <w:rFonts w:hint="eastAsia" w:ascii="宋体" w:hAnsi="宋体" w:cs="宋体"/>
                    <w:sz w:val="28"/>
                    <w:szCs w:val="2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center"/>
      <w:rPr>
        <w:sz w:val="21"/>
        <w:szCs w:val="21"/>
      </w:rPr>
    </w:pPr>
    <w:r>
      <w:pict>
        <v:shape id="_x0000_s1028" o:spid="_x0000_s1028" o:spt="202" type="#_x0000_t202" style="position:absolute;left:0pt;margin-left:204.5pt;margin-top:-0.4pt;height:14.5pt;width:13.25pt;mso-position-horizontal-relative:margin;z-index:251661312;mso-width-relative:page;mso-height-relative:page;" filled="f" stroked="f" coordsize="21600,21600" o:gfxdata="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z9OrGtcAAAAIAQAADwAAAAAAAAABACAAAAAiAAAAZHJzL2Rvd25yZXYu&#10;eG1sUEsBAhQAFAAAAAgAh07iQFJXkco1AgAAYQQAAA4AAAAAAAAAAQAgAAAAJgEAAGRycy9lMm9E&#10;b2MueG1sUEsFBgAAAAAGAAYAWQEAAM0FAAAAAA==&#10;">
          <v:path/>
          <v:fill on="f" focussize="0,0"/>
          <v:stroke on="f" weight="0.5pt" joinstyle="miter"/>
          <v:imagedata o:title=""/>
          <o:lock v:ext="edit"/>
          <v:textbox inset="0mm,0mm,0mm,0mm">
            <w:txbxContent>
              <w:p>
                <w:pPr>
                  <w:pStyle w:val="11"/>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13</w:t>
                </w:r>
                <w:r>
                  <w:rPr>
                    <w:rFonts w:hint="eastAsia" w:ascii="宋体" w:hAnsi="宋体" w:cs="宋体"/>
                    <w:sz w:val="21"/>
                    <w:szCs w:val="21"/>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right"/>
    </w:pPr>
    <w:r>
      <w:rPr>
        <w:sz w:val="28"/>
      </w:rPr>
      <w:pict>
        <v:shape id="_x0000_s1027" o:spid="_x0000_s1027"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path/>
          <v:fill on="f" focussize="0,0"/>
          <v:stroke on="f" weight="0.5pt" joinstyle="miter"/>
          <v:imagedata o:title=""/>
          <o:lock v:ext="edit"/>
          <v:textbox inset="0mm,0mm,0mm,0mm" style="mso-fit-shape-to-text:t;">
            <w:txbxContent>
              <w:p>
                <w:pPr>
                  <w:pStyle w:val="11"/>
                </w:pPr>
                <w:r>
                  <w:fldChar w:fldCharType="begin"/>
                </w:r>
                <w:r>
                  <w:instrText xml:space="preserve"> PAGE  \* MERGEFORMAT </w:instrText>
                </w:r>
                <w:r>
                  <w:fldChar w:fldCharType="separate"/>
                </w:r>
                <w:r>
                  <w:t>18</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742AD7"/>
    <w:multiLevelType w:val="multilevel"/>
    <w:tmpl w:val="5B742AD7"/>
    <w:lvl w:ilvl="0" w:tentative="0">
      <w:start w:val="1"/>
      <w:numFmt w:val="chineseCountingThousand"/>
      <w:suff w:val="nothing"/>
      <w:lvlText w:val="第%1章"/>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pStyle w:val="4"/>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WJmNTAxYTA0NTllZTU0OWY5NWY0MWNlMzBjNGU2OTYifQ=="/>
  </w:docVars>
  <w:rsids>
    <w:rsidRoot w:val="F77F09F4"/>
    <w:rsid w:val="004E40FF"/>
    <w:rsid w:val="00BB735E"/>
    <w:rsid w:val="00CB521F"/>
    <w:rsid w:val="00E04D9B"/>
    <w:rsid w:val="00F02FF9"/>
    <w:rsid w:val="04E86B91"/>
    <w:rsid w:val="0504390F"/>
    <w:rsid w:val="05070289"/>
    <w:rsid w:val="057B409D"/>
    <w:rsid w:val="077D23F5"/>
    <w:rsid w:val="090909C6"/>
    <w:rsid w:val="0D4B7644"/>
    <w:rsid w:val="0E8E3F48"/>
    <w:rsid w:val="0FCB2394"/>
    <w:rsid w:val="10301A7D"/>
    <w:rsid w:val="11855132"/>
    <w:rsid w:val="11991686"/>
    <w:rsid w:val="13D44209"/>
    <w:rsid w:val="16873D30"/>
    <w:rsid w:val="175F53D8"/>
    <w:rsid w:val="1A4F7F88"/>
    <w:rsid w:val="1AC623CF"/>
    <w:rsid w:val="1B505038"/>
    <w:rsid w:val="1B8F5252"/>
    <w:rsid w:val="1BC93B7D"/>
    <w:rsid w:val="1E2B5B44"/>
    <w:rsid w:val="1E477630"/>
    <w:rsid w:val="218A430E"/>
    <w:rsid w:val="25E62B1C"/>
    <w:rsid w:val="26DB5FA8"/>
    <w:rsid w:val="27E014F2"/>
    <w:rsid w:val="294734F2"/>
    <w:rsid w:val="2D2A624C"/>
    <w:rsid w:val="2DED7FFA"/>
    <w:rsid w:val="2E0629C2"/>
    <w:rsid w:val="2F2637BF"/>
    <w:rsid w:val="302F4663"/>
    <w:rsid w:val="30B53F7C"/>
    <w:rsid w:val="310E58BF"/>
    <w:rsid w:val="32983F7A"/>
    <w:rsid w:val="35FA195B"/>
    <w:rsid w:val="37173543"/>
    <w:rsid w:val="3BA448B8"/>
    <w:rsid w:val="3DDC7DE9"/>
    <w:rsid w:val="3EC04BB4"/>
    <w:rsid w:val="3FDBA076"/>
    <w:rsid w:val="3FDFB3F0"/>
    <w:rsid w:val="3FDFC9A6"/>
    <w:rsid w:val="3FF76880"/>
    <w:rsid w:val="40800182"/>
    <w:rsid w:val="4B5642DA"/>
    <w:rsid w:val="4BB07A1B"/>
    <w:rsid w:val="4C227154"/>
    <w:rsid w:val="4D726C9C"/>
    <w:rsid w:val="4E563233"/>
    <w:rsid w:val="52DC6B08"/>
    <w:rsid w:val="53330236"/>
    <w:rsid w:val="53371E52"/>
    <w:rsid w:val="53D874E6"/>
    <w:rsid w:val="55270450"/>
    <w:rsid w:val="55A42E97"/>
    <w:rsid w:val="5BFD4AC2"/>
    <w:rsid w:val="5E5E6F35"/>
    <w:rsid w:val="5EC260FA"/>
    <w:rsid w:val="5F192F04"/>
    <w:rsid w:val="5F9E3AAC"/>
    <w:rsid w:val="652B54CB"/>
    <w:rsid w:val="672A33D3"/>
    <w:rsid w:val="674F12F3"/>
    <w:rsid w:val="67759716"/>
    <w:rsid w:val="67B07479"/>
    <w:rsid w:val="689E62D4"/>
    <w:rsid w:val="68AE1C88"/>
    <w:rsid w:val="68EA7C56"/>
    <w:rsid w:val="69625FE3"/>
    <w:rsid w:val="6A4175F2"/>
    <w:rsid w:val="6CE42C3D"/>
    <w:rsid w:val="6EFD3C44"/>
    <w:rsid w:val="6F7ED27B"/>
    <w:rsid w:val="710B63B0"/>
    <w:rsid w:val="73A967D2"/>
    <w:rsid w:val="74D755BC"/>
    <w:rsid w:val="75B17A7C"/>
    <w:rsid w:val="7794040F"/>
    <w:rsid w:val="78150D97"/>
    <w:rsid w:val="7AB7FF50"/>
    <w:rsid w:val="7AEAF641"/>
    <w:rsid w:val="7BAD2729"/>
    <w:rsid w:val="7BAD609C"/>
    <w:rsid w:val="7BFEB0DB"/>
    <w:rsid w:val="7E353994"/>
    <w:rsid w:val="7FFF4E81"/>
    <w:rsid w:val="7FFFD0D3"/>
    <w:rsid w:val="8716660E"/>
    <w:rsid w:val="A3AA735E"/>
    <w:rsid w:val="A75D4892"/>
    <w:rsid w:val="AFFFCE02"/>
    <w:rsid w:val="CEFD3F3D"/>
    <w:rsid w:val="D6B22E60"/>
    <w:rsid w:val="EA3F77F2"/>
    <w:rsid w:val="EEFE5989"/>
    <w:rsid w:val="EFCF3EAE"/>
    <w:rsid w:val="F4FDEB06"/>
    <w:rsid w:val="F5B764A2"/>
    <w:rsid w:val="F77F09F4"/>
    <w:rsid w:val="FBFF6E65"/>
    <w:rsid w:val="FEEF6AA0"/>
    <w:rsid w:val="FFB792B8"/>
    <w:rsid w:val="FFD7BFFC"/>
    <w:rsid w:val="FFFA6B0F"/>
    <w:rsid w:val="FFFFB6E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4"/>
    <w:basedOn w:val="1"/>
    <w:next w:val="1"/>
    <w:qFormat/>
    <w:uiPriority w:val="0"/>
    <w:pPr>
      <w:keepNext/>
      <w:keepLines/>
      <w:numPr>
        <w:ilvl w:val="3"/>
        <w:numId w:val="1"/>
      </w:numPr>
      <w:spacing w:before="280" w:after="290" w:line="374" w:lineRule="auto"/>
      <w:outlineLvl w:val="3"/>
    </w:pPr>
    <w:rPr>
      <w:rFonts w:ascii="Arial" w:hAnsi="Arial" w:eastAsia="黑体"/>
      <w:b/>
    </w:rPr>
  </w:style>
  <w:style w:type="character" w:default="1" w:styleId="18">
    <w:name w:val="Default Paragraph Font"/>
    <w:semiHidden/>
    <w:unhideWhenUsed/>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5">
    <w:name w:val="Normal Indent"/>
    <w:basedOn w:val="1"/>
    <w:unhideWhenUsed/>
    <w:qFormat/>
    <w:uiPriority w:val="99"/>
    <w:pPr>
      <w:ind w:firstLine="420" w:firstLineChars="200"/>
    </w:pPr>
    <w:rPr>
      <w:rFonts w:ascii="Calibri" w:hAnsi="Calibri" w:eastAsia="仿宋_GB2312"/>
      <w:sz w:val="32"/>
    </w:rPr>
  </w:style>
  <w:style w:type="paragraph" w:styleId="6">
    <w:name w:val="annotation text"/>
    <w:basedOn w:val="1"/>
    <w:qFormat/>
    <w:uiPriority w:val="0"/>
    <w:pPr>
      <w:jc w:val="left"/>
    </w:pPr>
  </w:style>
  <w:style w:type="paragraph" w:styleId="7">
    <w:name w:val="Body Text Indent"/>
    <w:basedOn w:val="1"/>
    <w:next w:val="1"/>
    <w:semiHidden/>
    <w:unhideWhenUsed/>
    <w:qFormat/>
    <w:uiPriority w:val="99"/>
    <w:pPr>
      <w:spacing w:after="120"/>
      <w:ind w:left="420" w:leftChars="200"/>
    </w:pPr>
  </w:style>
  <w:style w:type="paragraph" w:styleId="8">
    <w:name w:val="Block Text"/>
    <w:basedOn w:val="1"/>
    <w:qFormat/>
    <w:uiPriority w:val="0"/>
    <w:pPr>
      <w:spacing w:after="120"/>
      <w:ind w:left="1440" w:leftChars="700" w:right="1440" w:rightChars="700"/>
    </w:pPr>
  </w:style>
  <w:style w:type="paragraph" w:styleId="9">
    <w:name w:val="toc 3"/>
    <w:basedOn w:val="1"/>
    <w:next w:val="1"/>
    <w:unhideWhenUsed/>
    <w:qFormat/>
    <w:uiPriority w:val="39"/>
    <w:pPr>
      <w:ind w:left="840" w:leftChars="400"/>
    </w:pPr>
  </w:style>
  <w:style w:type="paragraph" w:styleId="10">
    <w:name w:val="Balloon Text"/>
    <w:basedOn w:val="1"/>
    <w:link w:val="24"/>
    <w:qFormat/>
    <w:uiPriority w:val="0"/>
    <w:rPr>
      <w:sz w:val="18"/>
      <w:szCs w:val="18"/>
    </w:rPr>
  </w:style>
  <w:style w:type="paragraph" w:styleId="11">
    <w:name w:val="footer"/>
    <w:basedOn w:val="1"/>
    <w:qFormat/>
    <w:uiPriority w:val="99"/>
    <w:pPr>
      <w:tabs>
        <w:tab w:val="center" w:pos="4153"/>
        <w:tab w:val="right" w:pos="8306"/>
      </w:tabs>
      <w:snapToGrid w:val="0"/>
      <w:jc w:val="left"/>
    </w:pPr>
    <w:rPr>
      <w:sz w:val="18"/>
      <w:szCs w:val="20"/>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3">
    <w:name w:val="toc 1"/>
    <w:basedOn w:val="1"/>
    <w:next w:val="1"/>
    <w:qFormat/>
    <w:uiPriority w:val="0"/>
  </w:style>
  <w:style w:type="paragraph" w:styleId="14">
    <w:name w:val="toc 2"/>
    <w:basedOn w:val="1"/>
    <w:next w:val="1"/>
    <w:qFormat/>
    <w:uiPriority w:val="0"/>
    <w:pPr>
      <w:ind w:left="420" w:leftChars="200"/>
    </w:pPr>
  </w:style>
  <w:style w:type="paragraph" w:styleId="15">
    <w:name w:val="Title"/>
    <w:basedOn w:val="1"/>
    <w:next w:val="7"/>
    <w:qFormat/>
    <w:uiPriority w:val="0"/>
    <w:pPr>
      <w:spacing w:before="240" w:after="60"/>
      <w:jc w:val="center"/>
      <w:outlineLvl w:val="0"/>
    </w:pPr>
    <w:rPr>
      <w:rFonts w:ascii="Cambria" w:hAnsi="Cambria"/>
      <w:b/>
      <w:bCs/>
      <w:sz w:val="32"/>
      <w:szCs w:val="32"/>
    </w:rPr>
  </w:style>
  <w:style w:type="paragraph" w:styleId="16">
    <w:name w:val="Body Text First Indent 2"/>
    <w:basedOn w:val="7"/>
    <w:qFormat/>
    <w:uiPriority w:val="99"/>
    <w:pPr>
      <w:spacing w:after="360"/>
      <w:ind w:left="0" w:leftChars="0" w:firstLine="420" w:firstLineChars="200"/>
    </w:pPr>
    <w:rPr>
      <w:rFonts w:eastAsia="仿宋_GB2312"/>
      <w:kern w:val="1"/>
      <w:sz w:val="32"/>
      <w:szCs w:val="20"/>
    </w:rPr>
  </w:style>
  <w:style w:type="character" w:styleId="19">
    <w:name w:val="Hyperlink"/>
    <w:unhideWhenUsed/>
    <w:qFormat/>
    <w:uiPriority w:val="99"/>
    <w:rPr>
      <w:color w:val="0000FF"/>
      <w:u w:val="single"/>
    </w:rPr>
  </w:style>
  <w:style w:type="paragraph" w:customStyle="1" w:styleId="20">
    <w:name w:val="列出段落1"/>
    <w:basedOn w:val="1"/>
    <w:qFormat/>
    <w:uiPriority w:val="34"/>
    <w:pPr>
      <w:ind w:firstLine="420" w:firstLineChars="200"/>
    </w:pPr>
    <w:rPr>
      <w:rFonts w:ascii="Calibri" w:hAnsi="Calibri" w:cs="黑体"/>
      <w:szCs w:val="22"/>
    </w:rPr>
  </w:style>
  <w:style w:type="paragraph" w:customStyle="1" w:styleId="21">
    <w:name w:val="列出段落2"/>
    <w:basedOn w:val="1"/>
    <w:qFormat/>
    <w:uiPriority w:val="34"/>
    <w:pPr>
      <w:ind w:firstLine="420" w:firstLineChars="200"/>
    </w:pPr>
  </w:style>
  <w:style w:type="paragraph" w:customStyle="1" w:styleId="22">
    <w:name w:val="WPSOffice手动目录 1"/>
    <w:qFormat/>
    <w:uiPriority w:val="0"/>
    <w:rPr>
      <w:rFonts w:asciiTheme="minorHAnsi" w:hAnsiTheme="minorHAnsi" w:eastAsiaTheme="minorEastAsia" w:cstheme="minorBidi"/>
      <w:lang w:val="en-US" w:eastAsia="zh-CN" w:bidi="ar-SA"/>
    </w:rPr>
  </w:style>
  <w:style w:type="paragraph" w:customStyle="1" w:styleId="23">
    <w:name w:val="WPSOffice手动目录 2"/>
    <w:qFormat/>
    <w:uiPriority w:val="0"/>
    <w:pPr>
      <w:ind w:left="200" w:leftChars="200"/>
    </w:pPr>
    <w:rPr>
      <w:rFonts w:asciiTheme="minorHAnsi" w:hAnsiTheme="minorHAnsi" w:eastAsiaTheme="minorEastAsia" w:cstheme="minorBidi"/>
      <w:lang w:val="en-US" w:eastAsia="zh-CN" w:bidi="ar-SA"/>
    </w:rPr>
  </w:style>
  <w:style w:type="character" w:customStyle="1" w:styleId="24">
    <w:name w:val="批注框文本 Char"/>
    <w:basedOn w:val="18"/>
    <w:link w:val="10"/>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8719</Words>
  <Characters>2417</Characters>
  <Lines>20</Lines>
  <Paragraphs>22</Paragraphs>
  <TotalTime>17</TotalTime>
  <ScaleCrop>false</ScaleCrop>
  <LinksUpToDate>false</LinksUpToDate>
  <CharactersWithSpaces>11114</CharactersWithSpaces>
  <Application>WPS Office_11.8.2.8506_F1E327BC-269C-435d-A152-05C5408002CA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2024-05-16T02:31:00Z</dcterms:created>
  <dc:creator>user</dc:creator>
  <cp:lastModifiedBy>Administrator</cp:lastModifiedBy>
  <cp:lastPrinted>2023-03-06T01:31:00Z</cp:lastPrinted>
  <dcterms:modified xsi:type="dcterms:W3CDTF">2024-06-17T08:47:53Z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F1498E472E2440E8AB9424404FA6118F_13</vt:lpwstr>
  </property>
</Properties>
</file>