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26426" w14:textId="77777777" w:rsidR="00357B09" w:rsidRDefault="00357B09">
      <w:pPr>
        <w:spacing w:line="560" w:lineRule="exact"/>
        <w:ind w:firstLine="482"/>
        <w:jc w:val="center"/>
        <w:rPr>
          <w:rFonts w:ascii="黑体" w:eastAsia="黑体"/>
          <w:b/>
          <w:sz w:val="24"/>
          <w:szCs w:val="24"/>
        </w:rPr>
      </w:pPr>
    </w:p>
    <w:p w14:paraId="5518DB12" w14:textId="77777777" w:rsidR="00357B09" w:rsidRDefault="00357B09">
      <w:pPr>
        <w:spacing w:line="560" w:lineRule="exact"/>
        <w:ind w:firstLine="482"/>
        <w:jc w:val="center"/>
        <w:rPr>
          <w:rFonts w:ascii="黑体" w:eastAsia="黑体"/>
          <w:b/>
          <w:sz w:val="24"/>
          <w:szCs w:val="24"/>
        </w:rPr>
      </w:pPr>
    </w:p>
    <w:p w14:paraId="35993681" w14:textId="77777777" w:rsidR="00357B09" w:rsidRDefault="00357B09">
      <w:pPr>
        <w:adjustRightInd w:val="0"/>
        <w:snapToGrid w:val="0"/>
        <w:spacing w:line="560" w:lineRule="exact"/>
        <w:ind w:firstLine="880"/>
        <w:jc w:val="center"/>
        <w:rPr>
          <w:rFonts w:ascii="黑体" w:eastAsia="黑体"/>
          <w:sz w:val="44"/>
          <w:szCs w:val="44"/>
          <w:lang w:val="zh-CN"/>
        </w:rPr>
      </w:pPr>
    </w:p>
    <w:p w14:paraId="51CCBB18" w14:textId="77777777" w:rsidR="00357B09" w:rsidRDefault="00000000">
      <w:pPr>
        <w:adjustRightInd w:val="0"/>
        <w:snapToGrid w:val="0"/>
        <w:spacing w:line="360" w:lineRule="auto"/>
        <w:jc w:val="center"/>
        <w:rPr>
          <w:rFonts w:ascii="黑体" w:eastAsia="黑体" w:cs="黑体"/>
          <w:bCs/>
          <w:sz w:val="72"/>
          <w:szCs w:val="72"/>
        </w:rPr>
      </w:pPr>
      <w:r>
        <w:rPr>
          <w:rFonts w:ascii="黑体" w:eastAsia="黑体" w:cs="黑体" w:hint="eastAsia"/>
          <w:bCs/>
          <w:sz w:val="72"/>
          <w:szCs w:val="72"/>
        </w:rPr>
        <w:t>2023年部门整体绩效</w:t>
      </w:r>
    </w:p>
    <w:p w14:paraId="36326574" w14:textId="77777777" w:rsidR="00357B09" w:rsidRDefault="00000000">
      <w:pPr>
        <w:adjustRightInd w:val="0"/>
        <w:snapToGrid w:val="0"/>
        <w:spacing w:line="360" w:lineRule="auto"/>
        <w:jc w:val="center"/>
        <w:rPr>
          <w:rFonts w:ascii="黑体" w:eastAsia="黑体" w:cs="黑体"/>
          <w:bCs/>
          <w:sz w:val="72"/>
          <w:szCs w:val="72"/>
        </w:rPr>
      </w:pPr>
      <w:r>
        <w:rPr>
          <w:rFonts w:ascii="黑体" w:eastAsia="黑体" w:cs="黑体" w:hint="eastAsia"/>
          <w:bCs/>
          <w:sz w:val="72"/>
          <w:szCs w:val="72"/>
        </w:rPr>
        <w:t>评价报告</w:t>
      </w:r>
    </w:p>
    <w:p w14:paraId="466AF5E5" w14:textId="77777777" w:rsidR="00357B09" w:rsidRDefault="00357B09">
      <w:pPr>
        <w:spacing w:line="560" w:lineRule="exact"/>
        <w:ind w:firstLine="1446"/>
        <w:jc w:val="center"/>
        <w:rPr>
          <w:rFonts w:ascii="黑体" w:eastAsia="黑体"/>
          <w:b/>
          <w:sz w:val="72"/>
          <w:szCs w:val="72"/>
          <w:lang w:val="zh-CN"/>
        </w:rPr>
      </w:pPr>
    </w:p>
    <w:p w14:paraId="10683B78" w14:textId="77777777" w:rsidR="00357B09" w:rsidRDefault="00357B09">
      <w:pPr>
        <w:adjustRightInd w:val="0"/>
        <w:snapToGrid w:val="0"/>
        <w:spacing w:line="560" w:lineRule="exact"/>
        <w:ind w:firstLine="600"/>
        <w:jc w:val="center"/>
        <w:rPr>
          <w:rFonts w:ascii="黑体" w:eastAsia="黑体"/>
          <w:sz w:val="30"/>
          <w:szCs w:val="30"/>
          <w:lang w:val="zh-CN"/>
        </w:rPr>
      </w:pPr>
    </w:p>
    <w:p w14:paraId="09BE25F1" w14:textId="77777777" w:rsidR="00357B09" w:rsidRDefault="00357B09">
      <w:pPr>
        <w:spacing w:line="560" w:lineRule="exact"/>
        <w:ind w:firstLine="600"/>
        <w:jc w:val="left"/>
        <w:rPr>
          <w:rFonts w:ascii="黑体" w:eastAsia="黑体"/>
          <w:sz w:val="30"/>
          <w:szCs w:val="30"/>
          <w:lang w:val="zh-CN"/>
        </w:rPr>
      </w:pPr>
    </w:p>
    <w:p w14:paraId="5EC23CA1" w14:textId="77777777" w:rsidR="00357B09" w:rsidRDefault="00357B09">
      <w:pPr>
        <w:spacing w:line="560" w:lineRule="exact"/>
        <w:ind w:firstLine="600"/>
        <w:jc w:val="left"/>
        <w:rPr>
          <w:rFonts w:ascii="黑体" w:eastAsia="黑体"/>
          <w:sz w:val="30"/>
          <w:szCs w:val="30"/>
          <w:lang w:val="zh-CN"/>
        </w:rPr>
      </w:pPr>
    </w:p>
    <w:p w14:paraId="5C9CE186" w14:textId="77777777" w:rsidR="00357B09" w:rsidRDefault="00357B09">
      <w:pPr>
        <w:spacing w:line="560" w:lineRule="exact"/>
        <w:ind w:firstLine="600"/>
        <w:jc w:val="left"/>
        <w:rPr>
          <w:rFonts w:ascii="黑体" w:eastAsia="黑体"/>
          <w:sz w:val="30"/>
          <w:szCs w:val="30"/>
          <w:lang w:val="zh-CN"/>
        </w:rPr>
      </w:pPr>
    </w:p>
    <w:p w14:paraId="0984C73F" w14:textId="77777777" w:rsidR="00357B09" w:rsidRDefault="00357B09">
      <w:pPr>
        <w:spacing w:line="560" w:lineRule="exact"/>
        <w:ind w:firstLine="600"/>
        <w:jc w:val="left"/>
        <w:rPr>
          <w:rFonts w:ascii="黑体" w:eastAsia="黑体"/>
          <w:sz w:val="30"/>
          <w:szCs w:val="30"/>
          <w:lang w:val="zh-CN"/>
        </w:rPr>
      </w:pPr>
    </w:p>
    <w:p w14:paraId="45DC6F23" w14:textId="77777777" w:rsidR="00357B09" w:rsidRDefault="00357B09">
      <w:pPr>
        <w:spacing w:line="560" w:lineRule="exact"/>
        <w:ind w:firstLine="600"/>
        <w:jc w:val="left"/>
        <w:rPr>
          <w:rFonts w:ascii="黑体" w:eastAsia="黑体"/>
          <w:sz w:val="30"/>
          <w:szCs w:val="30"/>
          <w:lang w:val="zh-CN"/>
        </w:rPr>
      </w:pPr>
    </w:p>
    <w:p w14:paraId="34A074D9" w14:textId="77777777" w:rsidR="00357B09" w:rsidRDefault="00357B09">
      <w:pPr>
        <w:spacing w:line="560" w:lineRule="exact"/>
        <w:ind w:firstLine="600"/>
        <w:jc w:val="left"/>
        <w:rPr>
          <w:rFonts w:ascii="黑体" w:eastAsia="黑体"/>
          <w:sz w:val="30"/>
          <w:szCs w:val="30"/>
          <w:lang w:val="zh-CN"/>
        </w:rPr>
      </w:pPr>
    </w:p>
    <w:p w14:paraId="0AAF683A" w14:textId="77777777" w:rsidR="00357B09" w:rsidRDefault="00357B09">
      <w:pPr>
        <w:pStyle w:val="aa"/>
        <w:spacing w:line="560" w:lineRule="exact"/>
        <w:ind w:firstLine="360"/>
        <w:rPr>
          <w:lang w:val="zh-CN"/>
        </w:rPr>
      </w:pPr>
    </w:p>
    <w:p w14:paraId="063E1FD0" w14:textId="77777777" w:rsidR="00357B09" w:rsidRDefault="00357B09">
      <w:pPr>
        <w:spacing w:line="560" w:lineRule="exact"/>
        <w:ind w:firstLine="600"/>
        <w:jc w:val="left"/>
        <w:rPr>
          <w:rFonts w:ascii="黑体" w:eastAsia="黑体"/>
          <w:sz w:val="30"/>
          <w:szCs w:val="30"/>
          <w:lang w:val="zh-CN"/>
        </w:rPr>
      </w:pPr>
    </w:p>
    <w:p w14:paraId="18571E85" w14:textId="77777777" w:rsidR="00357B09" w:rsidRDefault="00357B09">
      <w:pPr>
        <w:spacing w:line="560" w:lineRule="exact"/>
        <w:ind w:firstLine="600"/>
        <w:jc w:val="left"/>
        <w:rPr>
          <w:rFonts w:ascii="黑体" w:eastAsia="黑体"/>
          <w:sz w:val="30"/>
          <w:szCs w:val="30"/>
          <w:lang w:val="zh-CN"/>
        </w:rPr>
      </w:pPr>
    </w:p>
    <w:p w14:paraId="613A9162" w14:textId="77777777" w:rsidR="00357B09" w:rsidRDefault="00357B09">
      <w:pPr>
        <w:spacing w:line="560" w:lineRule="exact"/>
        <w:ind w:firstLine="600"/>
        <w:jc w:val="left"/>
        <w:rPr>
          <w:rFonts w:ascii="黑体" w:eastAsia="黑体"/>
          <w:sz w:val="30"/>
          <w:szCs w:val="30"/>
          <w:lang w:val="zh-CN"/>
        </w:rPr>
      </w:pPr>
    </w:p>
    <w:p w14:paraId="1EE837DE" w14:textId="77777777" w:rsidR="00357B09" w:rsidRDefault="00357B09">
      <w:pPr>
        <w:spacing w:line="560" w:lineRule="exact"/>
        <w:ind w:firstLine="881"/>
        <w:jc w:val="center"/>
        <w:rPr>
          <w:rFonts w:ascii="楷体" w:eastAsia="楷体" w:cs="楷体"/>
          <w:b/>
          <w:sz w:val="44"/>
          <w:szCs w:val="44"/>
        </w:rPr>
      </w:pPr>
    </w:p>
    <w:p w14:paraId="4DB3FC44" w14:textId="77777777" w:rsidR="00357B09" w:rsidRDefault="00357B09">
      <w:pPr>
        <w:pStyle w:val="aa"/>
        <w:spacing w:line="560" w:lineRule="exact"/>
        <w:ind w:firstLine="360"/>
      </w:pPr>
    </w:p>
    <w:p w14:paraId="0CE19486" w14:textId="77777777" w:rsidR="00357B09" w:rsidRDefault="00000000">
      <w:pPr>
        <w:spacing w:line="560" w:lineRule="exact"/>
        <w:jc w:val="center"/>
        <w:rPr>
          <w:rFonts w:ascii="楷体" w:eastAsia="楷体" w:hAnsi="楷体" w:cs="楷体" w:hint="eastAsia"/>
          <w:sz w:val="32"/>
          <w:szCs w:val="32"/>
          <w:lang w:val="zh-CN"/>
        </w:rPr>
      </w:pPr>
      <w:r>
        <w:rPr>
          <w:rFonts w:ascii="楷体" w:eastAsia="楷体" w:hAnsi="楷体" w:cs="楷体" w:hint="eastAsia"/>
          <w:sz w:val="32"/>
          <w:szCs w:val="32"/>
          <w:lang w:val="zh-CN"/>
        </w:rPr>
        <w:t>中关村科技园区管理委员会</w:t>
      </w:r>
    </w:p>
    <w:p w14:paraId="450B87A9" w14:textId="77777777" w:rsidR="00357B09" w:rsidRDefault="00000000">
      <w:pPr>
        <w:spacing w:line="560" w:lineRule="exact"/>
        <w:jc w:val="center"/>
        <w:rPr>
          <w:rFonts w:ascii="楷体" w:eastAsia="楷体" w:hAnsi="楷体" w:cs="楷体" w:hint="eastAsia"/>
          <w:sz w:val="32"/>
          <w:szCs w:val="32"/>
        </w:rPr>
      </w:pPr>
      <w:r>
        <w:rPr>
          <w:rFonts w:ascii="楷体" w:eastAsia="楷体" w:hAnsi="楷体" w:cs="楷体" w:hint="eastAsia"/>
          <w:sz w:val="32"/>
          <w:szCs w:val="32"/>
        </w:rPr>
        <w:t>2024年5月</w:t>
      </w:r>
    </w:p>
    <w:p w14:paraId="24A36BCA" w14:textId="77777777" w:rsidR="00357B09" w:rsidRDefault="00357B09">
      <w:pPr>
        <w:adjustRightInd w:val="0"/>
        <w:snapToGrid w:val="0"/>
        <w:spacing w:line="560" w:lineRule="exact"/>
        <w:ind w:firstLine="600"/>
        <w:rPr>
          <w:rFonts w:ascii="仿宋" w:eastAsia="仿宋" w:cs="仿宋"/>
          <w:sz w:val="30"/>
          <w:szCs w:val="30"/>
        </w:rPr>
        <w:sectPr w:rsidR="00357B09">
          <w:headerReference w:type="default" r:id="rId8"/>
          <w:pgSz w:w="11906" w:h="16838"/>
          <w:pgMar w:top="1440" w:right="1800" w:bottom="1440" w:left="1800" w:header="851" w:footer="992" w:gutter="0"/>
          <w:cols w:space="720"/>
          <w:docGrid w:type="lines" w:linePitch="312"/>
        </w:sectPr>
      </w:pPr>
    </w:p>
    <w:p w14:paraId="6A5FC3E3" w14:textId="77777777" w:rsidR="00357B09" w:rsidRDefault="00357B09">
      <w:pPr>
        <w:pStyle w:val="TOC2"/>
        <w:spacing w:line="560" w:lineRule="exact"/>
        <w:ind w:left="420" w:firstLine="720"/>
        <w:rPr>
          <w:sz w:val="36"/>
          <w:szCs w:val="36"/>
        </w:rPr>
        <w:sectPr w:rsidR="00357B09">
          <w:footerReference w:type="default" r:id="rId9"/>
          <w:type w:val="continuous"/>
          <w:pgSz w:w="11906" w:h="16838"/>
          <w:pgMar w:top="1440" w:right="1416" w:bottom="1440" w:left="1800" w:header="851" w:footer="992" w:gutter="0"/>
          <w:cols w:space="720"/>
          <w:docGrid w:type="lines" w:linePitch="312"/>
        </w:sectPr>
      </w:pPr>
    </w:p>
    <w:p w14:paraId="53FB6C37" w14:textId="77777777" w:rsidR="00357B09" w:rsidRDefault="00000000">
      <w:pPr>
        <w:pStyle w:val="TOC2"/>
        <w:spacing w:line="560" w:lineRule="exact"/>
        <w:ind w:leftChars="0" w:left="0" w:firstLine="720"/>
        <w:rPr>
          <w:sz w:val="36"/>
          <w:szCs w:val="36"/>
        </w:rPr>
      </w:pPr>
      <w:r>
        <w:rPr>
          <w:rFonts w:hint="eastAsia"/>
          <w:sz w:val="36"/>
          <w:szCs w:val="36"/>
        </w:rPr>
        <w:lastRenderedPageBreak/>
        <w:t>目  录</w:t>
      </w:r>
    </w:p>
    <w:p w14:paraId="6F735936" w14:textId="77777777" w:rsidR="00357B09" w:rsidRDefault="00000000">
      <w:pPr>
        <w:pStyle w:val="TOC2"/>
        <w:tabs>
          <w:tab w:val="clear" w:pos="8680"/>
          <w:tab w:val="right" w:leader="dot" w:pos="8690"/>
        </w:tabs>
        <w:ind w:left="420"/>
      </w:pPr>
      <w:r>
        <w:rPr>
          <w:rFonts w:ascii="仿宋" w:eastAsia="仿宋" w:cs="仿宋" w:hint="eastAsia"/>
        </w:rPr>
        <w:fldChar w:fldCharType="begin"/>
      </w:r>
      <w:r>
        <w:rPr>
          <w:rFonts w:ascii="仿宋" w:eastAsia="仿宋" w:cs="仿宋" w:hint="eastAsia"/>
        </w:rPr>
        <w:instrText xml:space="preserve"> TOC \o "1-2" \h \z \u </w:instrText>
      </w:r>
      <w:r>
        <w:rPr>
          <w:rFonts w:ascii="仿宋" w:eastAsia="仿宋" w:cs="仿宋" w:hint="eastAsia"/>
        </w:rPr>
        <w:fldChar w:fldCharType="separate"/>
      </w:r>
      <w:hyperlink w:anchor="_Toc27865" w:history="1">
        <w:r>
          <w:rPr>
            <w:rFonts w:hint="eastAsia"/>
          </w:rPr>
          <w:t>一、部门概况</w:t>
        </w:r>
        <w:r>
          <w:tab/>
        </w:r>
        <w:r>
          <w:fldChar w:fldCharType="begin"/>
        </w:r>
        <w:r>
          <w:instrText xml:space="preserve"> PAGEREF _Toc27865 \h </w:instrText>
        </w:r>
        <w:r>
          <w:fldChar w:fldCharType="separate"/>
        </w:r>
        <w:r>
          <w:t>1</w:t>
        </w:r>
        <w:r>
          <w:fldChar w:fldCharType="end"/>
        </w:r>
      </w:hyperlink>
    </w:p>
    <w:p w14:paraId="373267A6" w14:textId="77777777" w:rsidR="00357B09" w:rsidRDefault="00000000">
      <w:pPr>
        <w:pStyle w:val="TOC2"/>
        <w:tabs>
          <w:tab w:val="clear" w:pos="8680"/>
          <w:tab w:val="right" w:leader="dot" w:pos="8690"/>
        </w:tabs>
        <w:ind w:left="420"/>
      </w:pPr>
      <w:hyperlink w:anchor="_Toc9329" w:history="1">
        <w:r>
          <w:rPr>
            <w:rFonts w:ascii="楷体" w:eastAsia="楷体" w:cs="楷体" w:hint="eastAsia"/>
          </w:rPr>
          <w:t>（一）机构设置、职责</w:t>
        </w:r>
        <w:r>
          <w:tab/>
        </w:r>
        <w:r>
          <w:fldChar w:fldCharType="begin"/>
        </w:r>
        <w:r>
          <w:instrText xml:space="preserve"> PAGEREF _Toc9329 \h </w:instrText>
        </w:r>
        <w:r>
          <w:fldChar w:fldCharType="separate"/>
        </w:r>
        <w:r>
          <w:t>1</w:t>
        </w:r>
        <w:r>
          <w:fldChar w:fldCharType="end"/>
        </w:r>
      </w:hyperlink>
    </w:p>
    <w:p w14:paraId="23BF2F09" w14:textId="77777777" w:rsidR="00357B09" w:rsidRDefault="00000000">
      <w:pPr>
        <w:pStyle w:val="TOC2"/>
        <w:tabs>
          <w:tab w:val="clear" w:pos="8680"/>
          <w:tab w:val="right" w:leader="dot" w:pos="8690"/>
        </w:tabs>
        <w:ind w:left="420"/>
      </w:pPr>
      <w:hyperlink w:anchor="_Toc30018" w:history="1">
        <w:r>
          <w:rPr>
            <w:rFonts w:ascii="楷体" w:eastAsia="楷体" w:hint="eastAsia"/>
          </w:rPr>
          <w:t>（二）人员构成情况</w:t>
        </w:r>
        <w:r>
          <w:tab/>
        </w:r>
        <w:r>
          <w:fldChar w:fldCharType="begin"/>
        </w:r>
        <w:r>
          <w:instrText xml:space="preserve"> PAGEREF _Toc30018 \h </w:instrText>
        </w:r>
        <w:r>
          <w:fldChar w:fldCharType="separate"/>
        </w:r>
        <w:r>
          <w:t>7</w:t>
        </w:r>
        <w:r>
          <w:fldChar w:fldCharType="end"/>
        </w:r>
      </w:hyperlink>
    </w:p>
    <w:p w14:paraId="787C3D0A" w14:textId="77777777" w:rsidR="00357B09" w:rsidRDefault="00000000">
      <w:pPr>
        <w:pStyle w:val="TOC2"/>
        <w:tabs>
          <w:tab w:val="clear" w:pos="8680"/>
          <w:tab w:val="right" w:leader="dot" w:pos="8690"/>
        </w:tabs>
        <w:ind w:left="420"/>
      </w:pPr>
      <w:hyperlink w:anchor="_Toc29749" w:history="1">
        <w:r>
          <w:rPr>
            <w:rFonts w:ascii="楷体" w:eastAsia="楷体" w:hint="eastAsia"/>
          </w:rPr>
          <w:t>（三）部门整体绩效目标设立情况</w:t>
        </w:r>
        <w:r>
          <w:tab/>
        </w:r>
        <w:r>
          <w:fldChar w:fldCharType="begin"/>
        </w:r>
        <w:r>
          <w:instrText xml:space="preserve"> PAGEREF _Toc29749 \h </w:instrText>
        </w:r>
        <w:r>
          <w:fldChar w:fldCharType="separate"/>
        </w:r>
        <w:r>
          <w:t>7</w:t>
        </w:r>
        <w:r>
          <w:fldChar w:fldCharType="end"/>
        </w:r>
      </w:hyperlink>
    </w:p>
    <w:p w14:paraId="513EA17E" w14:textId="77777777" w:rsidR="00357B09" w:rsidRDefault="00000000">
      <w:pPr>
        <w:pStyle w:val="TOC2"/>
        <w:tabs>
          <w:tab w:val="clear" w:pos="8680"/>
          <w:tab w:val="right" w:leader="dot" w:pos="8690"/>
        </w:tabs>
        <w:ind w:left="420"/>
      </w:pPr>
      <w:hyperlink w:anchor="_Toc23192" w:history="1">
        <w:r>
          <w:rPr>
            <w:rFonts w:hint="eastAsia"/>
          </w:rPr>
          <w:t>二、当年预算执行情况</w:t>
        </w:r>
        <w:r>
          <w:tab/>
        </w:r>
        <w:r>
          <w:fldChar w:fldCharType="begin"/>
        </w:r>
        <w:r>
          <w:instrText xml:space="preserve"> PAGEREF _Toc23192 \h </w:instrText>
        </w:r>
        <w:r>
          <w:fldChar w:fldCharType="separate"/>
        </w:r>
        <w:r>
          <w:t>9</w:t>
        </w:r>
        <w:r>
          <w:fldChar w:fldCharType="end"/>
        </w:r>
      </w:hyperlink>
    </w:p>
    <w:p w14:paraId="6AC63829" w14:textId="77777777" w:rsidR="00357B09" w:rsidRDefault="00000000">
      <w:pPr>
        <w:pStyle w:val="TOC2"/>
        <w:tabs>
          <w:tab w:val="clear" w:pos="8680"/>
          <w:tab w:val="right" w:leader="dot" w:pos="8690"/>
        </w:tabs>
        <w:ind w:left="420"/>
      </w:pPr>
      <w:hyperlink w:anchor="_Toc5997" w:history="1">
        <w:r>
          <w:rPr>
            <w:rFonts w:hint="eastAsia"/>
          </w:rPr>
          <w:t>三、整体绩效目标实现情况</w:t>
        </w:r>
        <w:r>
          <w:tab/>
        </w:r>
        <w:r>
          <w:fldChar w:fldCharType="begin"/>
        </w:r>
        <w:r>
          <w:instrText xml:space="preserve"> PAGEREF _Toc5997 \h </w:instrText>
        </w:r>
        <w:r>
          <w:fldChar w:fldCharType="separate"/>
        </w:r>
        <w:r>
          <w:t>10</w:t>
        </w:r>
        <w:r>
          <w:fldChar w:fldCharType="end"/>
        </w:r>
      </w:hyperlink>
    </w:p>
    <w:p w14:paraId="5165717B" w14:textId="77777777" w:rsidR="00357B09" w:rsidRDefault="00000000">
      <w:pPr>
        <w:pStyle w:val="TOC2"/>
        <w:tabs>
          <w:tab w:val="clear" w:pos="8680"/>
          <w:tab w:val="right" w:leader="dot" w:pos="8690"/>
        </w:tabs>
        <w:ind w:left="420"/>
      </w:pPr>
      <w:hyperlink w:anchor="_Toc990" w:history="1">
        <w:r>
          <w:rPr>
            <w:rFonts w:ascii="楷体_GB2312" w:eastAsia="楷体_GB2312" w:hint="eastAsia"/>
          </w:rPr>
          <w:t>（一）产出完成情况分析</w:t>
        </w:r>
        <w:r>
          <w:tab/>
        </w:r>
        <w:r>
          <w:fldChar w:fldCharType="begin"/>
        </w:r>
        <w:r>
          <w:instrText xml:space="preserve"> PAGEREF _Toc990 \h </w:instrText>
        </w:r>
        <w:r>
          <w:fldChar w:fldCharType="separate"/>
        </w:r>
        <w:r>
          <w:t>10</w:t>
        </w:r>
        <w:r>
          <w:fldChar w:fldCharType="end"/>
        </w:r>
      </w:hyperlink>
    </w:p>
    <w:p w14:paraId="3BBF6DCD" w14:textId="77777777" w:rsidR="00357B09" w:rsidRDefault="00000000">
      <w:pPr>
        <w:pStyle w:val="TOC2"/>
        <w:tabs>
          <w:tab w:val="clear" w:pos="8680"/>
          <w:tab w:val="right" w:leader="dot" w:pos="8690"/>
        </w:tabs>
        <w:ind w:left="420"/>
      </w:pPr>
      <w:hyperlink w:anchor="_Toc15595" w:history="1">
        <w:r>
          <w:rPr>
            <w:rFonts w:ascii="楷体_GB2312" w:eastAsia="楷体_GB2312" w:hint="eastAsia"/>
          </w:rPr>
          <w:t>（二）效果实现情况分析</w:t>
        </w:r>
        <w:r>
          <w:tab/>
        </w:r>
        <w:r>
          <w:fldChar w:fldCharType="begin"/>
        </w:r>
        <w:r>
          <w:instrText xml:space="preserve"> PAGEREF _Toc15595 \h </w:instrText>
        </w:r>
        <w:r>
          <w:fldChar w:fldCharType="separate"/>
        </w:r>
        <w:r>
          <w:t>13</w:t>
        </w:r>
        <w:r>
          <w:fldChar w:fldCharType="end"/>
        </w:r>
      </w:hyperlink>
    </w:p>
    <w:p w14:paraId="39E41D73" w14:textId="77777777" w:rsidR="00357B09" w:rsidRDefault="00000000">
      <w:pPr>
        <w:pStyle w:val="TOC2"/>
        <w:tabs>
          <w:tab w:val="clear" w:pos="8680"/>
          <w:tab w:val="right" w:leader="dot" w:pos="8690"/>
        </w:tabs>
        <w:ind w:left="420"/>
      </w:pPr>
      <w:hyperlink w:anchor="_Toc8469" w:history="1">
        <w:r>
          <w:rPr>
            <w:rFonts w:hint="eastAsia"/>
          </w:rPr>
          <w:t>四、预算管理情况分析</w:t>
        </w:r>
        <w:r>
          <w:tab/>
        </w:r>
        <w:r>
          <w:fldChar w:fldCharType="begin"/>
        </w:r>
        <w:r>
          <w:instrText xml:space="preserve"> PAGEREF _Toc8469 \h </w:instrText>
        </w:r>
        <w:r>
          <w:fldChar w:fldCharType="separate"/>
        </w:r>
        <w:r>
          <w:t>15</w:t>
        </w:r>
        <w:r>
          <w:fldChar w:fldCharType="end"/>
        </w:r>
      </w:hyperlink>
    </w:p>
    <w:p w14:paraId="7F4AA5A8" w14:textId="77777777" w:rsidR="00357B09" w:rsidRDefault="00000000">
      <w:pPr>
        <w:pStyle w:val="TOC2"/>
        <w:tabs>
          <w:tab w:val="clear" w:pos="8680"/>
          <w:tab w:val="right" w:leader="dot" w:pos="8690"/>
        </w:tabs>
        <w:ind w:left="420"/>
      </w:pPr>
      <w:hyperlink w:anchor="_Toc26454" w:history="1">
        <w:r>
          <w:rPr>
            <w:rFonts w:ascii="楷体" w:eastAsia="楷体" w:hint="eastAsia"/>
          </w:rPr>
          <w:t>（一）财务管理</w:t>
        </w:r>
        <w:r>
          <w:tab/>
        </w:r>
        <w:r>
          <w:fldChar w:fldCharType="begin"/>
        </w:r>
        <w:r>
          <w:instrText xml:space="preserve"> PAGEREF _Toc26454 \h </w:instrText>
        </w:r>
        <w:r>
          <w:fldChar w:fldCharType="separate"/>
        </w:r>
        <w:r>
          <w:t>15</w:t>
        </w:r>
        <w:r>
          <w:fldChar w:fldCharType="end"/>
        </w:r>
      </w:hyperlink>
    </w:p>
    <w:p w14:paraId="6DC218E9" w14:textId="77777777" w:rsidR="00357B09" w:rsidRDefault="00000000">
      <w:pPr>
        <w:pStyle w:val="TOC2"/>
        <w:tabs>
          <w:tab w:val="clear" w:pos="8680"/>
          <w:tab w:val="right" w:leader="dot" w:pos="8690"/>
        </w:tabs>
        <w:ind w:left="420"/>
      </w:pPr>
      <w:hyperlink w:anchor="_Toc6726" w:history="1">
        <w:r>
          <w:rPr>
            <w:rFonts w:ascii="楷体" w:eastAsia="楷体" w:hint="eastAsia"/>
          </w:rPr>
          <w:t>（二）资产管理</w:t>
        </w:r>
        <w:r>
          <w:tab/>
        </w:r>
        <w:r>
          <w:fldChar w:fldCharType="begin"/>
        </w:r>
        <w:r>
          <w:instrText xml:space="preserve"> PAGEREF _Toc6726 \h </w:instrText>
        </w:r>
        <w:r>
          <w:fldChar w:fldCharType="separate"/>
        </w:r>
        <w:r>
          <w:t>15</w:t>
        </w:r>
        <w:r>
          <w:fldChar w:fldCharType="end"/>
        </w:r>
      </w:hyperlink>
    </w:p>
    <w:p w14:paraId="4A429EA7" w14:textId="77777777" w:rsidR="00357B09" w:rsidRDefault="00000000">
      <w:pPr>
        <w:pStyle w:val="TOC2"/>
        <w:tabs>
          <w:tab w:val="clear" w:pos="8680"/>
          <w:tab w:val="right" w:leader="dot" w:pos="8690"/>
        </w:tabs>
        <w:ind w:left="420"/>
      </w:pPr>
      <w:hyperlink w:anchor="_Toc5772" w:history="1">
        <w:r>
          <w:rPr>
            <w:rFonts w:ascii="楷体" w:eastAsia="楷体" w:hint="eastAsia"/>
          </w:rPr>
          <w:t>（三）绩效管理</w:t>
        </w:r>
        <w:r>
          <w:tab/>
        </w:r>
        <w:r>
          <w:fldChar w:fldCharType="begin"/>
        </w:r>
        <w:r>
          <w:instrText xml:space="preserve"> PAGEREF _Toc5772 \h </w:instrText>
        </w:r>
        <w:r>
          <w:fldChar w:fldCharType="separate"/>
        </w:r>
        <w:r>
          <w:t>15</w:t>
        </w:r>
        <w:r>
          <w:fldChar w:fldCharType="end"/>
        </w:r>
      </w:hyperlink>
    </w:p>
    <w:p w14:paraId="78CD37D1" w14:textId="77777777" w:rsidR="00357B09" w:rsidRDefault="00000000">
      <w:pPr>
        <w:pStyle w:val="TOC2"/>
        <w:tabs>
          <w:tab w:val="clear" w:pos="8680"/>
          <w:tab w:val="right" w:leader="dot" w:pos="8690"/>
        </w:tabs>
        <w:ind w:left="420"/>
      </w:pPr>
      <w:hyperlink w:anchor="_Toc12269" w:history="1">
        <w:r>
          <w:rPr>
            <w:rFonts w:ascii="楷体" w:eastAsia="楷体" w:hint="eastAsia"/>
          </w:rPr>
          <w:t>（四）结转结余率</w:t>
        </w:r>
        <w:r>
          <w:tab/>
        </w:r>
        <w:r>
          <w:fldChar w:fldCharType="begin"/>
        </w:r>
        <w:r>
          <w:instrText xml:space="preserve"> PAGEREF _Toc12269 \h </w:instrText>
        </w:r>
        <w:r>
          <w:fldChar w:fldCharType="separate"/>
        </w:r>
        <w:r>
          <w:t>16</w:t>
        </w:r>
        <w:r>
          <w:fldChar w:fldCharType="end"/>
        </w:r>
      </w:hyperlink>
    </w:p>
    <w:p w14:paraId="73E3543E" w14:textId="77777777" w:rsidR="00357B09" w:rsidRDefault="00000000">
      <w:pPr>
        <w:pStyle w:val="TOC2"/>
        <w:tabs>
          <w:tab w:val="clear" w:pos="8680"/>
          <w:tab w:val="right" w:leader="dot" w:pos="8690"/>
        </w:tabs>
        <w:ind w:left="420"/>
      </w:pPr>
      <w:hyperlink w:anchor="_Toc4323" w:history="1">
        <w:r>
          <w:rPr>
            <w:rFonts w:ascii="楷体" w:eastAsia="楷体" w:hint="eastAsia"/>
          </w:rPr>
          <w:t>（五）部门预决算差异</w:t>
        </w:r>
        <w:r>
          <w:tab/>
        </w:r>
        <w:r>
          <w:fldChar w:fldCharType="begin"/>
        </w:r>
        <w:r>
          <w:instrText xml:space="preserve"> PAGEREF _Toc4323 \h </w:instrText>
        </w:r>
        <w:r>
          <w:fldChar w:fldCharType="separate"/>
        </w:r>
        <w:r>
          <w:t>17</w:t>
        </w:r>
        <w:r>
          <w:fldChar w:fldCharType="end"/>
        </w:r>
      </w:hyperlink>
    </w:p>
    <w:p w14:paraId="7323D085" w14:textId="77777777" w:rsidR="00357B09" w:rsidRDefault="00000000">
      <w:pPr>
        <w:pStyle w:val="TOC2"/>
        <w:tabs>
          <w:tab w:val="clear" w:pos="8680"/>
          <w:tab w:val="right" w:leader="dot" w:pos="8690"/>
        </w:tabs>
        <w:ind w:left="420"/>
      </w:pPr>
      <w:hyperlink w:anchor="_Toc8100" w:history="1">
        <w:r>
          <w:rPr>
            <w:rFonts w:hint="eastAsia"/>
          </w:rPr>
          <w:t>五、总体评价结论</w:t>
        </w:r>
        <w:r>
          <w:tab/>
        </w:r>
        <w:r>
          <w:fldChar w:fldCharType="begin"/>
        </w:r>
        <w:r>
          <w:instrText xml:space="preserve"> PAGEREF _Toc8100 \h </w:instrText>
        </w:r>
        <w:r>
          <w:fldChar w:fldCharType="separate"/>
        </w:r>
        <w:r>
          <w:t>17</w:t>
        </w:r>
        <w:r>
          <w:fldChar w:fldCharType="end"/>
        </w:r>
      </w:hyperlink>
    </w:p>
    <w:p w14:paraId="40038437" w14:textId="77777777" w:rsidR="00357B09" w:rsidRDefault="00000000">
      <w:pPr>
        <w:pStyle w:val="TOC2"/>
        <w:tabs>
          <w:tab w:val="clear" w:pos="8680"/>
          <w:tab w:val="right" w:leader="dot" w:pos="8690"/>
        </w:tabs>
        <w:ind w:left="420"/>
      </w:pPr>
      <w:hyperlink w:anchor="_Toc29606" w:history="1">
        <w:r>
          <w:rPr>
            <w:rFonts w:ascii="楷体" w:eastAsia="楷体" w:cs="楷体" w:hint="eastAsia"/>
          </w:rPr>
          <w:t>（一）评价得分情况</w:t>
        </w:r>
        <w:r>
          <w:tab/>
        </w:r>
        <w:r>
          <w:fldChar w:fldCharType="begin"/>
        </w:r>
        <w:r>
          <w:instrText xml:space="preserve"> PAGEREF _Toc29606 \h </w:instrText>
        </w:r>
        <w:r>
          <w:fldChar w:fldCharType="separate"/>
        </w:r>
        <w:r>
          <w:t>17</w:t>
        </w:r>
        <w:r>
          <w:fldChar w:fldCharType="end"/>
        </w:r>
      </w:hyperlink>
    </w:p>
    <w:p w14:paraId="61F3FC3C" w14:textId="77777777" w:rsidR="00357B09" w:rsidRDefault="00000000">
      <w:pPr>
        <w:pStyle w:val="TOC2"/>
        <w:tabs>
          <w:tab w:val="clear" w:pos="8680"/>
          <w:tab w:val="right" w:leader="dot" w:pos="8690"/>
        </w:tabs>
        <w:ind w:left="420"/>
      </w:pPr>
      <w:hyperlink w:anchor="_Toc30529" w:history="1">
        <w:r>
          <w:rPr>
            <w:rFonts w:ascii="楷体" w:eastAsia="楷体" w:cs="楷体" w:hint="eastAsia"/>
          </w:rPr>
          <w:t>（二）存在的问题及原因分析</w:t>
        </w:r>
        <w:r>
          <w:tab/>
        </w:r>
        <w:r>
          <w:fldChar w:fldCharType="begin"/>
        </w:r>
        <w:r>
          <w:instrText xml:space="preserve"> PAGEREF _Toc30529 \h </w:instrText>
        </w:r>
        <w:r>
          <w:fldChar w:fldCharType="separate"/>
        </w:r>
        <w:r>
          <w:t>17</w:t>
        </w:r>
        <w:r>
          <w:fldChar w:fldCharType="end"/>
        </w:r>
      </w:hyperlink>
    </w:p>
    <w:p w14:paraId="682063DC" w14:textId="77777777" w:rsidR="00357B09" w:rsidRDefault="00000000">
      <w:pPr>
        <w:pStyle w:val="TOC2"/>
        <w:tabs>
          <w:tab w:val="clear" w:pos="8680"/>
          <w:tab w:val="right" w:leader="dot" w:pos="8690"/>
        </w:tabs>
        <w:ind w:left="420"/>
      </w:pPr>
      <w:hyperlink w:anchor="_Toc11328" w:history="1">
        <w:r>
          <w:rPr>
            <w:rFonts w:hint="eastAsia"/>
          </w:rPr>
          <w:t>六、措施建议</w:t>
        </w:r>
        <w:r>
          <w:tab/>
        </w:r>
        <w:r>
          <w:fldChar w:fldCharType="begin"/>
        </w:r>
        <w:r>
          <w:instrText xml:space="preserve"> PAGEREF _Toc11328 \h </w:instrText>
        </w:r>
        <w:r>
          <w:fldChar w:fldCharType="separate"/>
        </w:r>
        <w:r>
          <w:t>18</w:t>
        </w:r>
        <w:r>
          <w:fldChar w:fldCharType="end"/>
        </w:r>
      </w:hyperlink>
    </w:p>
    <w:p w14:paraId="3DA3D580" w14:textId="77777777" w:rsidR="00357B09" w:rsidRDefault="00000000">
      <w:pPr>
        <w:pStyle w:val="TOC2"/>
        <w:tabs>
          <w:tab w:val="clear" w:pos="8680"/>
          <w:tab w:val="right" w:leader="dot" w:pos="8690"/>
        </w:tabs>
        <w:ind w:left="420"/>
      </w:pPr>
      <w:hyperlink w:anchor="_Toc20929" w:history="1">
        <w:r>
          <w:rPr>
            <w:rFonts w:hint="eastAsia"/>
          </w:rPr>
          <w:t>七、附件</w:t>
        </w:r>
        <w:r>
          <w:tab/>
        </w:r>
        <w:r>
          <w:fldChar w:fldCharType="begin"/>
        </w:r>
        <w:r>
          <w:instrText xml:space="preserve"> PAGEREF _Toc20929 \h </w:instrText>
        </w:r>
        <w:r>
          <w:fldChar w:fldCharType="separate"/>
        </w:r>
        <w:r>
          <w:t>18</w:t>
        </w:r>
        <w:r>
          <w:fldChar w:fldCharType="end"/>
        </w:r>
      </w:hyperlink>
    </w:p>
    <w:p w14:paraId="51425C87" w14:textId="77777777" w:rsidR="00357B09" w:rsidRDefault="00000000">
      <w:pPr>
        <w:spacing w:line="560" w:lineRule="exact"/>
        <w:ind w:firstLine="640"/>
        <w:outlineLvl w:val="0"/>
        <w:rPr>
          <w:rFonts w:ascii="黑体" w:eastAsia="黑体" w:cs="黑体"/>
          <w:sz w:val="44"/>
          <w:szCs w:val="44"/>
        </w:rPr>
      </w:pPr>
      <w:r>
        <w:rPr>
          <w:rFonts w:ascii="仿宋" w:eastAsia="仿宋" w:cs="仿宋" w:hint="eastAsia"/>
          <w:szCs w:val="32"/>
        </w:rPr>
        <w:fldChar w:fldCharType="end"/>
      </w:r>
    </w:p>
    <w:p w14:paraId="5A06097B" w14:textId="77777777" w:rsidR="00357B09" w:rsidRDefault="00357B09">
      <w:pPr>
        <w:pStyle w:val="2"/>
        <w:spacing w:before="0" w:after="0" w:line="560" w:lineRule="exact"/>
        <w:ind w:firstLineChars="200" w:firstLine="643"/>
        <w:rPr>
          <w:rFonts w:ascii="黑体" w:eastAsia="黑体"/>
        </w:rPr>
        <w:sectPr w:rsidR="00357B09">
          <w:footerReference w:type="default" r:id="rId10"/>
          <w:pgSz w:w="11906" w:h="16838"/>
          <w:pgMar w:top="1440" w:right="1416" w:bottom="1440" w:left="1800" w:header="851" w:footer="992" w:gutter="0"/>
          <w:pgNumType w:start="1"/>
          <w:cols w:space="720"/>
          <w:docGrid w:type="lines" w:linePitch="312"/>
        </w:sectPr>
      </w:pPr>
    </w:p>
    <w:p w14:paraId="4C9EC1E1" w14:textId="77777777" w:rsidR="00357B09" w:rsidRDefault="00000000">
      <w:pPr>
        <w:spacing w:line="560" w:lineRule="exact"/>
        <w:ind w:firstLine="880"/>
        <w:jc w:val="center"/>
        <w:rPr>
          <w:rFonts w:ascii="方正小标宋简体" w:eastAsia="方正小标宋简体"/>
          <w:sz w:val="44"/>
          <w:szCs w:val="44"/>
        </w:rPr>
      </w:pPr>
      <w:r>
        <w:rPr>
          <w:rFonts w:ascii="方正小标宋简体" w:eastAsia="方正小标宋简体" w:hint="eastAsia"/>
          <w:sz w:val="44"/>
          <w:szCs w:val="44"/>
        </w:rPr>
        <w:lastRenderedPageBreak/>
        <w:t>中关村科技园区管理委员会部门整体</w:t>
      </w:r>
    </w:p>
    <w:p w14:paraId="0180AFC8" w14:textId="77777777" w:rsidR="00357B09" w:rsidRDefault="00000000">
      <w:pPr>
        <w:spacing w:line="560" w:lineRule="exact"/>
        <w:ind w:firstLine="880"/>
        <w:jc w:val="center"/>
        <w:rPr>
          <w:rFonts w:ascii="方正小标宋简体" w:eastAsia="方正小标宋简体"/>
          <w:sz w:val="44"/>
          <w:szCs w:val="44"/>
        </w:rPr>
      </w:pPr>
      <w:r>
        <w:rPr>
          <w:rFonts w:ascii="方正小标宋简体" w:eastAsia="方正小标宋简体" w:hint="eastAsia"/>
          <w:sz w:val="44"/>
          <w:szCs w:val="44"/>
        </w:rPr>
        <w:t>绩效评价报告</w:t>
      </w:r>
    </w:p>
    <w:p w14:paraId="40E4335E" w14:textId="77777777" w:rsidR="00357B09" w:rsidRDefault="00357B09">
      <w:pPr>
        <w:pStyle w:val="aa"/>
        <w:spacing w:line="560" w:lineRule="exact"/>
        <w:ind w:firstLine="720"/>
        <w:rPr>
          <w:rFonts w:ascii="方正小标宋简体" w:eastAsia="方正小标宋简体"/>
          <w:sz w:val="36"/>
          <w:szCs w:val="36"/>
        </w:rPr>
      </w:pPr>
    </w:p>
    <w:p w14:paraId="0D938155" w14:textId="77777777" w:rsidR="00357B09" w:rsidRDefault="00000000">
      <w:pPr>
        <w:pStyle w:val="2"/>
        <w:adjustRightInd w:val="0"/>
        <w:snapToGrid w:val="0"/>
        <w:spacing w:before="0" w:after="0" w:line="560" w:lineRule="exact"/>
        <w:ind w:firstLineChars="200" w:firstLine="640"/>
        <w:rPr>
          <w:rFonts w:ascii="黑体" w:eastAsia="黑体"/>
          <w:b w:val="0"/>
          <w:bCs w:val="0"/>
        </w:rPr>
      </w:pPr>
      <w:bookmarkStart w:id="0" w:name="_Toc27865"/>
      <w:bookmarkStart w:id="1" w:name="_Toc6101"/>
      <w:r>
        <w:rPr>
          <w:rFonts w:ascii="黑体" w:eastAsia="黑体" w:hint="eastAsia"/>
          <w:b w:val="0"/>
          <w:bCs w:val="0"/>
        </w:rPr>
        <w:t>一、部门概况</w:t>
      </w:r>
      <w:bookmarkEnd w:id="0"/>
      <w:bookmarkEnd w:id="1"/>
    </w:p>
    <w:p w14:paraId="6ED55332" w14:textId="77777777" w:rsidR="00357B09" w:rsidRDefault="00000000">
      <w:pPr>
        <w:tabs>
          <w:tab w:val="center" w:pos="6979"/>
        </w:tabs>
        <w:adjustRightInd w:val="0"/>
        <w:snapToGrid w:val="0"/>
        <w:spacing w:line="560" w:lineRule="exact"/>
        <w:ind w:firstLineChars="200" w:firstLine="640"/>
        <w:outlineLvl w:val="1"/>
        <w:rPr>
          <w:rFonts w:ascii="楷体" w:eastAsia="楷体" w:cs="楷体"/>
          <w:sz w:val="32"/>
          <w:szCs w:val="32"/>
        </w:rPr>
      </w:pPr>
      <w:bookmarkStart w:id="2" w:name="_Toc12461"/>
      <w:bookmarkStart w:id="3" w:name="_Toc9329"/>
      <w:r>
        <w:rPr>
          <w:rFonts w:ascii="楷体" w:eastAsia="楷体" w:cs="楷体" w:hint="eastAsia"/>
          <w:sz w:val="32"/>
          <w:szCs w:val="32"/>
        </w:rPr>
        <w:t>（一）机构设置、职责</w:t>
      </w:r>
      <w:bookmarkEnd w:id="2"/>
      <w:bookmarkEnd w:id="3"/>
    </w:p>
    <w:p w14:paraId="08E5A3A6" w14:textId="77777777" w:rsidR="00357B09" w:rsidRDefault="00000000">
      <w:pPr>
        <w:pStyle w:val="a4"/>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根据中共北京市委办公厅、北京市人民政府办公厅关于印发《北京市科学技术委员会、中关村科技园区管理委员会职能配置、内设机构和人员编制规定》（京办字〔2021〕5号）的通知，北京市科学技术委员会、中关村科技园区管理委员会（简称市科委、中关村管委会）内设处室分别为：办公室、</w:t>
      </w:r>
      <w:proofErr w:type="gramStart"/>
      <w:r>
        <w:rPr>
          <w:rFonts w:ascii="仿宋_GB2312" w:eastAsia="仿宋_GB2312" w:hint="eastAsia"/>
          <w:sz w:val="32"/>
          <w:szCs w:val="32"/>
        </w:rPr>
        <w:t>科创中心</w:t>
      </w:r>
      <w:proofErr w:type="gramEnd"/>
      <w:r>
        <w:rPr>
          <w:rFonts w:ascii="仿宋_GB2312" w:eastAsia="仿宋_GB2312" w:hint="eastAsia"/>
          <w:sz w:val="32"/>
          <w:szCs w:val="32"/>
        </w:rPr>
        <w:t>建设综合协调处、发展规划处、政策法规处（研究室）、资源配置与管理处、科技监督与诚信建设处、重大专项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社会发展科技处、文化科技处（科普处）、科技服务业处、园区发展建设处、创新创业服务处、中关村新技术新产品促进处、宣传处、财务处（资产监管处）、人事处、机关党委（党建工作处）、机关纪委、工会、离退休干部处。另设有市纪委市监委驻市科委、中关村管委会纪检监察组。</w:t>
      </w:r>
    </w:p>
    <w:p w14:paraId="6CC3BBCB" w14:textId="77777777" w:rsidR="00357B09" w:rsidRDefault="00000000">
      <w:pPr>
        <w:pStyle w:val="a4"/>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下属21家预算单位参加了2024年度部门决算，分别为：北京市科学技术委员会本级行政，中关村科技园区管理委员会（本级），北京市科学技术委员会本级事业，北京市自然科学</w:t>
      </w:r>
      <w:r>
        <w:rPr>
          <w:rFonts w:ascii="仿宋_GB2312" w:eastAsia="仿宋_GB2312" w:hint="eastAsia"/>
          <w:sz w:val="32"/>
          <w:szCs w:val="32"/>
        </w:rPr>
        <w:lastRenderedPageBreak/>
        <w:t>基金委员会办公室，北京市实验动物管理办公室（北京市人类遗传资源管理办公室），北京科技创新研究中心，北京市科学技术奖励工作办公室，北京医药健康科技发展中心，北京国际科技合作中心（北京港澳台科技合作中心），北京软件产品质量检测检验中心，北京新材料和新能源科技发展中心，北京技术市场管理办公室，北京科技创新促进中心，北京科技成果转化服务中心，北京市实验室服务保障中心，北京科技审评中心，北京科技人才发展中心（北京海外学人中心中关村分中心），北京信息科技发展中心，北京市科学技术委员会、中关村科技园区管理委员会综合事务中心，中关村高科技产业促进中心和中关村政府采购促进中心。</w:t>
      </w:r>
    </w:p>
    <w:p w14:paraId="2C084632"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市科委、中关村管委会贯彻落实党中央关于科技创新工作的方针政策、决策部署和市委有关工作要求，在履行职责过程中坚持和加强党对科技创新工作的集中统一领导。主要职责是：</w:t>
      </w:r>
    </w:p>
    <w:p w14:paraId="5479B1EC"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1.贯彻落实国家创新驱动发展战略和科技工作的法律法规、规章和政策，起草本市相关地方性法规草案、政府规章草案，组织拟订相关政策措施并组织实施。</w:t>
      </w:r>
    </w:p>
    <w:p w14:paraId="5BAB88B1"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2.牵头推进国际科技创新中心建设。承担北京推进科技创新中心建设办公室秘书处职能，组织拟订相关工作方案及年度计划，并开展监督落实。</w:t>
      </w:r>
    </w:p>
    <w:p w14:paraId="5EA7E5F6"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w:t>
      </w:r>
      <w:r>
        <w:rPr>
          <w:rFonts w:ascii="仿宋_GB2312" w:eastAsia="仿宋_GB2312" w:hint="eastAsia"/>
          <w:kern w:val="0"/>
          <w:sz w:val="32"/>
          <w:szCs w:val="32"/>
        </w:rPr>
        <w:lastRenderedPageBreak/>
        <w:t>企业科技创新能力建设。承担推进科技军民融合发展相关工作。</w:t>
      </w:r>
    </w:p>
    <w:p w14:paraId="6A2DEB47"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4.推进本市重大科技决策咨询制度建设。负责提出科技发展战略建议。提出科技发展布局和优先发展领域。拟订促进科技文化融合发展、科学普及、科学传播规划政策并组织实施。</w:t>
      </w:r>
    </w:p>
    <w:p w14:paraId="7EA7E59F"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5.拟订本市基础研究规划、政策并组织实施，组织协调基础研究和应用基础研究。参与重大科技基础设施建设和运行。提出科研条件保障规划和政策建议，推进科研条件保障建设和科技资源开放共享。</w:t>
      </w:r>
    </w:p>
    <w:p w14:paraId="0A20F502"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2D64051A"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712472D6"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8.组织拟订本市高新技术发展及产业化、科技服务业、科技促进城市和农业农村发展的规划、政策及措施。</w:t>
      </w:r>
    </w:p>
    <w:p w14:paraId="1E566505"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736E2C3B"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10.拟订本市科技项目管理的政策措施。负责科学技术奖励</w:t>
      </w:r>
      <w:r>
        <w:rPr>
          <w:rFonts w:ascii="仿宋_GB2312" w:eastAsia="仿宋_GB2312" w:hint="eastAsia"/>
          <w:kern w:val="0"/>
          <w:sz w:val="32"/>
          <w:szCs w:val="32"/>
        </w:rPr>
        <w:lastRenderedPageBreak/>
        <w:t>组织实施及自然科学基金管理。承担科技信息、科技统计、创新调查和科研成果报告工作。依据市政府授权，履行所监管企业出资人职责，依法对所监管企业国有资产进行监督管理，并加强业务指导。指导科技保密工作。</w:t>
      </w:r>
    </w:p>
    <w:p w14:paraId="64A3D535"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11.负责本市科技监督评价体系建设和相关科技评估管理，统筹开展全市科研诚信建设工作。开展科技评估评价和监督检查工作。</w:t>
      </w:r>
    </w:p>
    <w:p w14:paraId="7C37432B"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6F18BE8E"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13.拟订本市科技人才队伍建设规划和政策，建立健全科技人才评价和激励机制，组织实施科技人才计划，推动高端科技创新人才队伍建设，统筹推进中关村科技园区人才工作。</w:t>
      </w:r>
    </w:p>
    <w:p w14:paraId="23534A32"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14.指导各区科技创新工作，联系市有关部门科技创新工作。统筹推进本市与各省区市的科技领域交流合作、科技协作和支援合作工作。</w:t>
      </w:r>
    </w:p>
    <w:p w14:paraId="4D521656"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612FC798"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16.负责中关村科技园区发展建设工作，承担统筹、规划、</w:t>
      </w:r>
      <w:r>
        <w:rPr>
          <w:rFonts w:ascii="仿宋_GB2312" w:eastAsia="仿宋_GB2312" w:hint="eastAsia"/>
          <w:kern w:val="0"/>
          <w:sz w:val="32"/>
          <w:szCs w:val="32"/>
        </w:rPr>
        <w:lastRenderedPageBreak/>
        <w:t>组织、协调、服务中关村国家自主创新示范区建设与发展的有关具体工作。组织研究园区发展规划、政策及相关改革方案，并协调落实。</w:t>
      </w:r>
    </w:p>
    <w:p w14:paraId="0108F0B5"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4F07051A"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w:t>
      </w:r>
      <w:proofErr w:type="gramStart"/>
      <w:r>
        <w:rPr>
          <w:rFonts w:ascii="仿宋_GB2312" w:eastAsia="仿宋_GB2312" w:hint="eastAsia"/>
          <w:kern w:val="0"/>
          <w:sz w:val="32"/>
          <w:szCs w:val="32"/>
        </w:rPr>
        <w:t>各园高端化</w:t>
      </w:r>
      <w:proofErr w:type="gramEnd"/>
      <w:r>
        <w:rPr>
          <w:rFonts w:ascii="仿宋_GB2312" w:eastAsia="仿宋_GB2312" w:hint="eastAsia"/>
          <w:kern w:val="0"/>
          <w:sz w:val="32"/>
          <w:szCs w:val="32"/>
        </w:rPr>
        <w:t>、特色化、差异化发展，服务区域协调发展。</w:t>
      </w:r>
    </w:p>
    <w:p w14:paraId="5B5B9CDF"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19.完成市委、市政府交办的其他任务。</w:t>
      </w:r>
    </w:p>
    <w:p w14:paraId="649E07ED"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20.职能转变。</w:t>
      </w:r>
    </w:p>
    <w:p w14:paraId="1DA3050A"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1205005E"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w:t>
      </w:r>
      <w:r>
        <w:rPr>
          <w:rFonts w:ascii="仿宋_GB2312" w:eastAsia="仿宋_GB2312" w:hint="eastAsia"/>
          <w:kern w:val="0"/>
          <w:sz w:val="32"/>
          <w:szCs w:val="32"/>
        </w:rPr>
        <w:lastRenderedPageBreak/>
        <w:t>为导向的科技人才评价体系。完善科研人员职务发明成果权益分享机制。弘扬科学家精神。实行更加开放的科技人才政策。</w:t>
      </w:r>
    </w:p>
    <w:p w14:paraId="64EBBE4F"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42F0C453"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（4）全面促进科技成果转化。加强对创新主体的支持，促进产学研深度融合，加快科技成果转化。提升中关村科技园区自主创新能力建设，推动关键技术的示范应用，支撑高精尖产业高质量发展。</w:t>
      </w:r>
    </w:p>
    <w:p w14:paraId="29A88603"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（5）持续优化创新生态。完善科技治理体系，提高创新体系效能，增强</w:t>
      </w:r>
      <w:proofErr w:type="gramStart"/>
      <w:r>
        <w:rPr>
          <w:rFonts w:ascii="仿宋_GB2312" w:eastAsia="仿宋_GB2312" w:hint="eastAsia"/>
          <w:kern w:val="0"/>
          <w:sz w:val="32"/>
          <w:szCs w:val="32"/>
        </w:rPr>
        <w:t>创新策源功能</w:t>
      </w:r>
      <w:proofErr w:type="gramEnd"/>
      <w:r>
        <w:rPr>
          <w:rFonts w:ascii="仿宋_GB2312" w:eastAsia="仿宋_GB2312" w:hint="eastAsia"/>
          <w:kern w:val="0"/>
          <w:sz w:val="32"/>
          <w:szCs w:val="32"/>
        </w:rPr>
        <w:t>。发挥政府制度创新的能动作用和市场配置资源的决定性作用，强化企业创新主体地位，激发创新创造活力。加强科技合作交流和智力引进，加快融入全球科技创新网络，提升科技创新影响力。</w:t>
      </w:r>
    </w:p>
    <w:p w14:paraId="4129DD1C" w14:textId="77777777" w:rsidR="00357B09" w:rsidRDefault="00000000">
      <w:pPr>
        <w:pStyle w:val="a4"/>
        <w:adjustRightInd w:val="0"/>
        <w:snapToGrid w:val="0"/>
        <w:spacing w:line="560" w:lineRule="exact"/>
        <w:ind w:firstLine="640"/>
        <w:rPr>
          <w:rFonts w:ascii="仿宋_GB2312" w:eastAsia="仿宋_GB2312"/>
          <w:kern w:val="0"/>
          <w:sz w:val="32"/>
          <w:szCs w:val="32"/>
        </w:rPr>
      </w:pPr>
      <w:r>
        <w:rPr>
          <w:rFonts w:ascii="仿宋_GB2312" w:eastAsia="仿宋_GB2312" w:hint="eastAsia"/>
          <w:kern w:val="0"/>
          <w:sz w:val="32"/>
          <w:szCs w:val="32"/>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w:t>
      </w:r>
      <w:r>
        <w:rPr>
          <w:rFonts w:ascii="仿宋_GB2312" w:eastAsia="仿宋_GB2312" w:hint="eastAsia"/>
          <w:kern w:val="0"/>
          <w:sz w:val="32"/>
          <w:szCs w:val="32"/>
        </w:rPr>
        <w:lastRenderedPageBreak/>
        <w:t>置和产品推广应用，支持企业做大做强。</w:t>
      </w:r>
    </w:p>
    <w:p w14:paraId="7E14419A" w14:textId="77777777" w:rsidR="00357B09" w:rsidRDefault="00000000">
      <w:pPr>
        <w:pStyle w:val="2"/>
        <w:adjustRightInd w:val="0"/>
        <w:snapToGrid w:val="0"/>
        <w:spacing w:before="0" w:after="0" w:line="560" w:lineRule="exact"/>
        <w:ind w:firstLineChars="200" w:firstLine="640"/>
        <w:rPr>
          <w:rFonts w:ascii="楷体" w:eastAsia="楷体"/>
          <w:b w:val="0"/>
          <w:bCs w:val="0"/>
        </w:rPr>
      </w:pPr>
      <w:bookmarkStart w:id="4" w:name="_Toc30867"/>
      <w:bookmarkStart w:id="5" w:name="_Toc30018"/>
      <w:r>
        <w:rPr>
          <w:rFonts w:ascii="楷体" w:eastAsia="楷体" w:hint="eastAsia"/>
          <w:b w:val="0"/>
          <w:bCs w:val="0"/>
        </w:rPr>
        <w:t>（二）人员构成情况</w:t>
      </w:r>
      <w:bookmarkEnd w:id="4"/>
      <w:bookmarkEnd w:id="5"/>
    </w:p>
    <w:p w14:paraId="13BD8DE6" w14:textId="77777777" w:rsidR="00357B09" w:rsidRDefault="00000000">
      <w:pPr>
        <w:tabs>
          <w:tab w:val="center" w:pos="6979"/>
        </w:tabs>
        <w:spacing w:line="560" w:lineRule="exact"/>
        <w:ind w:firstLineChars="200" w:firstLine="640"/>
        <w:rPr>
          <w:rFonts w:ascii="仿宋_GB2312" w:eastAsia="仿宋_GB2312" w:hAnsi="Times New Roman"/>
          <w:b/>
          <w:sz w:val="32"/>
          <w:szCs w:val="32"/>
        </w:rPr>
      </w:pPr>
      <w:bookmarkStart w:id="6" w:name="_Toc17287"/>
      <w:bookmarkStart w:id="7" w:name="_Toc29749"/>
      <w:r>
        <w:rPr>
          <w:rFonts w:ascii="仿宋_GB2312" w:eastAsia="仿宋_GB2312" w:hAnsi="仿宋" w:hint="eastAsia"/>
          <w:bCs/>
          <w:color w:val="000000" w:themeColor="text1"/>
          <w:sz w:val="32"/>
          <w:szCs w:val="32"/>
        </w:rPr>
        <w:t>市科委、中关村管委会部门</w:t>
      </w:r>
      <w:r>
        <w:rPr>
          <w:rFonts w:ascii="仿宋_GB2312" w:eastAsia="仿宋_GB2312" w:hAnsi="Segoe UI" w:cs="Segoe UI" w:hint="eastAsia"/>
          <w:color w:val="232930"/>
          <w:kern w:val="0"/>
          <w:sz w:val="32"/>
          <w:szCs w:val="32"/>
          <w:shd w:val="clear" w:color="auto" w:fill="FFFFFF"/>
        </w:rPr>
        <w:t>行政编制199人，实有人数200人；事业编制796人，实有人数665人 。离退休人员351人，其中：离休4人，退休347</w:t>
      </w:r>
      <w:r w:rsidRPr="005567C1">
        <w:rPr>
          <w:rFonts w:ascii="仿宋_GB2312" w:eastAsia="仿宋_GB2312" w:hAnsi="Segoe UI" w:cs="Segoe UI" w:hint="eastAsia"/>
          <w:color w:val="232930"/>
          <w:kern w:val="0"/>
          <w:sz w:val="32"/>
          <w:szCs w:val="32"/>
          <w:shd w:val="clear" w:color="auto" w:fill="FFFFFF"/>
        </w:rPr>
        <w:t>人</w:t>
      </w:r>
      <w:r w:rsidRPr="005567C1">
        <w:rPr>
          <w:rFonts w:ascii="仿宋_GB2312" w:eastAsia="仿宋_GB2312" w:hint="eastAsia"/>
          <w:sz w:val="32"/>
          <w:szCs w:val="32"/>
        </w:rPr>
        <w:t>。</w:t>
      </w:r>
    </w:p>
    <w:p w14:paraId="418E619F" w14:textId="77777777" w:rsidR="00357B09" w:rsidRDefault="00000000">
      <w:pPr>
        <w:pStyle w:val="2"/>
        <w:adjustRightInd w:val="0"/>
        <w:snapToGrid w:val="0"/>
        <w:spacing w:before="0" w:after="0" w:line="560" w:lineRule="exact"/>
        <w:ind w:firstLineChars="200" w:firstLine="640"/>
        <w:rPr>
          <w:rFonts w:ascii="楷体" w:eastAsia="楷体"/>
          <w:b w:val="0"/>
          <w:bCs w:val="0"/>
        </w:rPr>
      </w:pPr>
      <w:r>
        <w:rPr>
          <w:rFonts w:ascii="楷体" w:eastAsia="楷体" w:hint="eastAsia"/>
          <w:b w:val="0"/>
          <w:bCs w:val="0"/>
        </w:rPr>
        <w:t>（三）部门整体绩效目标设立情况</w:t>
      </w:r>
      <w:bookmarkEnd w:id="6"/>
      <w:bookmarkEnd w:id="7"/>
    </w:p>
    <w:p w14:paraId="0E43F804"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市科委、中关村管委会结合部门职责、2023年重点工作任务及财政资金分配使用计划，制定了《中关村科技园区管理委员会2023年部门整体支出绩效目标申报表》，明确了部门总体绩效目标：2023年，坚持以习近平新时代中国特色社会主义思想为指导，深入学习宣传贯彻党的二十大精神、习近平总书记关于国际科技创新中心建设和2021中关村论坛重要视频致辞精神，主动服务创新驱动发展等国家战略，聚焦国际科技创新中心建设，补短板、挖潜力、增优势，紧紧围绕国家重大战略需求，着力打造以国家战略力量为引领的战略科技力量；深入推进中关村先行先试改革，着力建设世界领先科技园区；坚持“五子”联动，着力推动“三城一区”创新发展；大力突破关键核心技术，着力培育高精尖产业新动能；加大战略科学家、科技领军人才等引进和培养力度，着力构筑高水平人才高地；优化开放创新格局，促进京津冀协同发展和对外开放，加快实现高水平科技自立自强，更好支撑科技强国建设。</w:t>
      </w:r>
    </w:p>
    <w:p w14:paraId="608E7077"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一是深入推进中关村新一轮先行先试改革。增强改革统筹协同，发挥好中关村先行先</w:t>
      </w:r>
      <w:proofErr w:type="gramStart"/>
      <w:r>
        <w:rPr>
          <w:rFonts w:ascii="仿宋_GB2312" w:eastAsia="仿宋_GB2312" w:hint="eastAsia"/>
          <w:bCs/>
          <w:sz w:val="32"/>
          <w:szCs w:val="32"/>
        </w:rPr>
        <w:t>试改革</w:t>
      </w:r>
      <w:proofErr w:type="gramEnd"/>
      <w:r>
        <w:rPr>
          <w:rFonts w:ascii="仿宋_GB2312" w:eastAsia="仿宋_GB2312" w:hint="eastAsia"/>
          <w:bCs/>
          <w:sz w:val="32"/>
          <w:szCs w:val="32"/>
        </w:rPr>
        <w:t>专项小组职能作用，持续强化督促调度，推进改革任务落地</w:t>
      </w:r>
      <w:proofErr w:type="gramStart"/>
      <w:r>
        <w:rPr>
          <w:rFonts w:ascii="仿宋_GB2312" w:eastAsia="仿宋_GB2312" w:hint="eastAsia"/>
          <w:bCs/>
          <w:sz w:val="32"/>
          <w:szCs w:val="32"/>
        </w:rPr>
        <w:t>落细取得</w:t>
      </w:r>
      <w:proofErr w:type="gramEnd"/>
      <w:r>
        <w:rPr>
          <w:rFonts w:ascii="仿宋_GB2312" w:eastAsia="仿宋_GB2312" w:hint="eastAsia"/>
          <w:bCs/>
          <w:sz w:val="32"/>
          <w:szCs w:val="32"/>
        </w:rPr>
        <w:t>更大成效；加强改革</w:t>
      </w:r>
      <w:r>
        <w:rPr>
          <w:rFonts w:ascii="仿宋_GB2312" w:eastAsia="仿宋_GB2312" w:hint="eastAsia"/>
          <w:bCs/>
          <w:sz w:val="32"/>
          <w:szCs w:val="32"/>
        </w:rPr>
        <w:lastRenderedPageBreak/>
        <w:t>成效总结评估，持续跟进改革任务落实进展，及时提炼改革经验和典型案例，争取向更大范围推广；持续做好改革研究储备，进一步研究完善改革政策建议，推动形成中关村先行先试改革“压茬推进、滚动推出”新态势。</w:t>
      </w:r>
    </w:p>
    <w:p w14:paraId="537D7C37"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二是切实抓好“一计划两规划”（《“十四五”北京国际科技创新中心建设战略行动计划》《北京市“十四五”时期国际科技创新中心建设规划》《“十四五”时期中关村国家自主创新示范区发展建设规划》）落实工作。部署2023年度重点任务、重点项目、重点平台、重点政策制定，统筹推动年度工作计划实施。建立健全规划实施机制，完善规划实施动态监测、中期评估、总结评估机制。</w:t>
      </w:r>
    </w:p>
    <w:p w14:paraId="101334E8"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同时在中关村管委会户头预算更加突出：一是高标准编制中关村世界领先科技园区建设方案。落</w:t>
      </w:r>
      <w:proofErr w:type="gramStart"/>
      <w:r>
        <w:rPr>
          <w:rFonts w:ascii="仿宋_GB2312" w:eastAsia="仿宋_GB2312" w:hint="eastAsia"/>
          <w:bCs/>
          <w:sz w:val="32"/>
          <w:szCs w:val="32"/>
        </w:rPr>
        <w:t>实习近</w:t>
      </w:r>
      <w:proofErr w:type="gramEnd"/>
      <w:r>
        <w:rPr>
          <w:rFonts w:ascii="仿宋_GB2312" w:eastAsia="仿宋_GB2312" w:hint="eastAsia"/>
          <w:bCs/>
          <w:sz w:val="32"/>
          <w:szCs w:val="32"/>
        </w:rPr>
        <w:t>平总书记2021中关村论坛视频致辞讲话精神，对标“世界领先的科技园区”建设目标，充分把握中关村建设世界领先科技园区的全球视野、中国特色和时代方位，坚持理念领先的引领作用，</w:t>
      </w:r>
      <w:proofErr w:type="gramStart"/>
      <w:r>
        <w:rPr>
          <w:rFonts w:ascii="仿宋_GB2312" w:eastAsia="仿宋_GB2312" w:hint="eastAsia"/>
          <w:bCs/>
          <w:sz w:val="32"/>
          <w:szCs w:val="32"/>
        </w:rPr>
        <w:t>突出硬科技</w:t>
      </w:r>
      <w:proofErr w:type="gramEnd"/>
      <w:r>
        <w:rPr>
          <w:rFonts w:ascii="仿宋_GB2312" w:eastAsia="仿宋_GB2312" w:hint="eastAsia"/>
          <w:bCs/>
          <w:sz w:val="32"/>
          <w:szCs w:val="32"/>
        </w:rPr>
        <w:t>创新引领突破优势，推进科技、人才、企业、产业协同发展，加快谋划中关村世界领先科技园区建设方案，全力建设基础设施完善、环境清新优美、产业高度集聚、机制高效有力、开放创新活跃的新型园区。</w:t>
      </w:r>
    </w:p>
    <w:p w14:paraId="4BE16379"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二是深化实施“1+5”资金政策体系，强化企业创新主体地位。加强企业创新能力建设，扩大科技型中小企业群体规模，实施高新企业“筑基扩容”“小升规”“规升强”三大工程，推动独角兽和科技领军企业创新发展。</w:t>
      </w:r>
      <w:proofErr w:type="gramStart"/>
      <w:r>
        <w:rPr>
          <w:rFonts w:ascii="仿宋_GB2312" w:eastAsia="仿宋_GB2312" w:hint="eastAsia"/>
          <w:bCs/>
          <w:sz w:val="32"/>
          <w:szCs w:val="32"/>
        </w:rPr>
        <w:t>完善全</w:t>
      </w:r>
      <w:proofErr w:type="gramEnd"/>
      <w:r>
        <w:rPr>
          <w:rFonts w:ascii="仿宋_GB2312" w:eastAsia="仿宋_GB2312" w:hint="eastAsia"/>
          <w:bCs/>
          <w:sz w:val="32"/>
          <w:szCs w:val="32"/>
        </w:rPr>
        <w:t>链条的金融支持</w:t>
      </w:r>
      <w:r>
        <w:rPr>
          <w:rFonts w:ascii="仿宋_GB2312" w:eastAsia="仿宋_GB2312" w:hint="eastAsia"/>
          <w:bCs/>
          <w:sz w:val="32"/>
          <w:szCs w:val="32"/>
        </w:rPr>
        <w:lastRenderedPageBreak/>
        <w:t>机制，积极创建中关村</w:t>
      </w:r>
      <w:proofErr w:type="gramStart"/>
      <w:r>
        <w:rPr>
          <w:rFonts w:ascii="仿宋_GB2312" w:eastAsia="仿宋_GB2312" w:hint="eastAsia"/>
          <w:bCs/>
          <w:sz w:val="32"/>
          <w:szCs w:val="32"/>
        </w:rPr>
        <w:t>科创金融</w:t>
      </w:r>
      <w:proofErr w:type="gramEnd"/>
      <w:r>
        <w:rPr>
          <w:rFonts w:ascii="仿宋_GB2312" w:eastAsia="仿宋_GB2312" w:hint="eastAsia"/>
          <w:bCs/>
          <w:sz w:val="32"/>
          <w:szCs w:val="32"/>
        </w:rPr>
        <w:t>试验区，着力引导创业投资集聚发展，支持企业通过多层次资本市场融资。优化人才服务保障，持续深化中关村人才特区建设。优化创新支撑能力，支持建设市场化专业化技术转移机构，打造标杆</w:t>
      </w:r>
      <w:proofErr w:type="gramStart"/>
      <w:r>
        <w:rPr>
          <w:rFonts w:ascii="仿宋_GB2312" w:eastAsia="仿宋_GB2312" w:hint="eastAsia"/>
          <w:bCs/>
          <w:sz w:val="32"/>
          <w:szCs w:val="32"/>
        </w:rPr>
        <w:t>型硬科技</w:t>
      </w:r>
      <w:proofErr w:type="gramEnd"/>
      <w:r>
        <w:rPr>
          <w:rFonts w:ascii="仿宋_GB2312" w:eastAsia="仿宋_GB2312" w:hint="eastAsia"/>
          <w:bCs/>
          <w:sz w:val="32"/>
          <w:szCs w:val="32"/>
        </w:rPr>
        <w:t>孵化器，营造一流创新创业生态环境，大力推进科技成果产业化。进一步提升中关村论坛国家级平台的影响力。</w:t>
      </w:r>
    </w:p>
    <w:p w14:paraId="20B205D4"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三是加强一区多园优化提升。深入推进中关村分</w:t>
      </w:r>
      <w:proofErr w:type="gramStart"/>
      <w:r>
        <w:rPr>
          <w:rFonts w:ascii="仿宋_GB2312" w:eastAsia="仿宋_GB2312" w:hint="eastAsia"/>
          <w:bCs/>
          <w:sz w:val="32"/>
          <w:szCs w:val="32"/>
        </w:rPr>
        <w:t>园体制</w:t>
      </w:r>
      <w:proofErr w:type="gramEnd"/>
      <w:r>
        <w:rPr>
          <w:rFonts w:ascii="仿宋_GB2312" w:eastAsia="仿宋_GB2312" w:hint="eastAsia"/>
          <w:bCs/>
          <w:sz w:val="32"/>
          <w:szCs w:val="32"/>
        </w:rPr>
        <w:t>机制改革，聚焦园区规划建设和管理职能，指导各区结合自身实际形成“一园</w:t>
      </w:r>
      <w:proofErr w:type="gramStart"/>
      <w:r>
        <w:rPr>
          <w:rFonts w:ascii="仿宋_GB2312" w:eastAsia="仿宋_GB2312" w:hint="eastAsia"/>
          <w:bCs/>
          <w:sz w:val="32"/>
          <w:szCs w:val="32"/>
        </w:rPr>
        <w:t>一</w:t>
      </w:r>
      <w:proofErr w:type="gramEnd"/>
      <w:r>
        <w:rPr>
          <w:rFonts w:ascii="仿宋_GB2312" w:eastAsia="仿宋_GB2312" w:hint="eastAsia"/>
          <w:bCs/>
          <w:sz w:val="32"/>
          <w:szCs w:val="32"/>
        </w:rPr>
        <w:t>方案”“一园</w:t>
      </w:r>
      <w:proofErr w:type="gramStart"/>
      <w:r>
        <w:rPr>
          <w:rFonts w:ascii="仿宋_GB2312" w:eastAsia="仿宋_GB2312" w:hint="eastAsia"/>
          <w:bCs/>
          <w:sz w:val="32"/>
          <w:szCs w:val="32"/>
        </w:rPr>
        <w:t>一</w:t>
      </w:r>
      <w:proofErr w:type="gramEnd"/>
      <w:r>
        <w:rPr>
          <w:rFonts w:ascii="仿宋_GB2312" w:eastAsia="仿宋_GB2312" w:hint="eastAsia"/>
          <w:bCs/>
          <w:sz w:val="32"/>
          <w:szCs w:val="32"/>
        </w:rPr>
        <w:t>特色”，制定分</w:t>
      </w:r>
      <w:proofErr w:type="gramStart"/>
      <w:r>
        <w:rPr>
          <w:rFonts w:ascii="仿宋_GB2312" w:eastAsia="仿宋_GB2312" w:hint="eastAsia"/>
          <w:bCs/>
          <w:sz w:val="32"/>
          <w:szCs w:val="32"/>
        </w:rPr>
        <w:t>园改革</w:t>
      </w:r>
      <w:proofErr w:type="gramEnd"/>
      <w:r>
        <w:rPr>
          <w:rFonts w:ascii="仿宋_GB2312" w:eastAsia="仿宋_GB2312" w:hint="eastAsia"/>
          <w:bCs/>
          <w:sz w:val="32"/>
          <w:szCs w:val="32"/>
        </w:rPr>
        <w:t>提升方案并做好落实。做强分</w:t>
      </w:r>
      <w:proofErr w:type="gramStart"/>
      <w:r>
        <w:rPr>
          <w:rFonts w:ascii="仿宋_GB2312" w:eastAsia="仿宋_GB2312" w:hint="eastAsia"/>
          <w:bCs/>
          <w:sz w:val="32"/>
          <w:szCs w:val="32"/>
        </w:rPr>
        <w:t>园规</w:t>
      </w:r>
      <w:proofErr w:type="gramEnd"/>
      <w:r>
        <w:rPr>
          <w:rFonts w:ascii="仿宋_GB2312" w:eastAsia="仿宋_GB2312" w:hint="eastAsia"/>
          <w:bCs/>
          <w:sz w:val="32"/>
          <w:szCs w:val="32"/>
        </w:rPr>
        <w:t>划政策、招商引资、产业促进、企业服务等核心职能，进一步推动一区多园统筹发展。支持引入或设立专业化市场化园区运营机构，打造高质量特色园区。进一步完善科技成果转化、创业孵化链条，强化孵化器与特色产业园区的“牵手”合作，不断打通科技成果转化堵点，更好促进相关领域企业在京落地和集聚。</w:t>
      </w:r>
    </w:p>
    <w:p w14:paraId="68966CEE"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hint="eastAsia"/>
          <w:bCs/>
          <w:sz w:val="32"/>
          <w:szCs w:val="32"/>
        </w:rPr>
        <w:t>根据总体目标并结合工作重点，我</w:t>
      </w:r>
      <w:proofErr w:type="gramStart"/>
      <w:r>
        <w:rPr>
          <w:rFonts w:ascii="仿宋_GB2312" w:eastAsia="仿宋_GB2312" w:hint="eastAsia"/>
          <w:bCs/>
          <w:sz w:val="32"/>
          <w:szCs w:val="32"/>
        </w:rPr>
        <w:t>委创新</w:t>
      </w:r>
      <w:proofErr w:type="gramEnd"/>
      <w:r>
        <w:rPr>
          <w:rFonts w:ascii="仿宋_GB2312" w:eastAsia="仿宋_GB2312" w:hint="eastAsia"/>
          <w:bCs/>
          <w:sz w:val="32"/>
          <w:szCs w:val="32"/>
        </w:rPr>
        <w:t>能力提升环境优化、促进科技金融深度融合、世界领先科技园区建设、一流的创新创业生态持续优化、举办中关村论坛等方面设定了绩效指标，指标设定与全委职能任务匹配，符合相关法律法规的要求及部门整体支出的客观实际，目标依据充分，具有一定的可操作性和可实现性。</w:t>
      </w:r>
    </w:p>
    <w:p w14:paraId="6DDDDB46" w14:textId="77777777" w:rsidR="00357B09" w:rsidRDefault="00000000">
      <w:pPr>
        <w:pStyle w:val="2"/>
        <w:keepNext w:val="0"/>
        <w:keepLines w:val="0"/>
        <w:adjustRightInd w:val="0"/>
        <w:snapToGrid w:val="0"/>
        <w:spacing w:before="0" w:after="0" w:line="560" w:lineRule="exact"/>
        <w:ind w:firstLineChars="200" w:firstLine="640"/>
        <w:rPr>
          <w:rFonts w:ascii="黑体" w:eastAsia="黑体"/>
          <w:b w:val="0"/>
          <w:bCs w:val="0"/>
        </w:rPr>
      </w:pPr>
      <w:bookmarkStart w:id="8" w:name="_Toc11493"/>
      <w:bookmarkStart w:id="9" w:name="_Toc23192"/>
      <w:r>
        <w:rPr>
          <w:rFonts w:ascii="黑体" w:eastAsia="黑体" w:hint="eastAsia"/>
          <w:b w:val="0"/>
          <w:bCs w:val="0"/>
        </w:rPr>
        <w:t>二、当年预算执行情况</w:t>
      </w:r>
      <w:bookmarkEnd w:id="8"/>
      <w:bookmarkEnd w:id="9"/>
    </w:p>
    <w:p w14:paraId="7331ED16" w14:textId="77777777" w:rsidR="00357B09" w:rsidRDefault="00000000">
      <w:pPr>
        <w:widowControl/>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2023年全年预算219,615.63万元，其中，基本支出预算数6,942.24万元、项目支出预算数212,673.39万元。资金总</w:t>
      </w:r>
      <w:r>
        <w:rPr>
          <w:rFonts w:ascii="仿宋_GB2312" w:eastAsia="仿宋_GB2312" w:hint="eastAsia"/>
          <w:sz w:val="32"/>
          <w:szCs w:val="32"/>
        </w:rPr>
        <w:lastRenderedPageBreak/>
        <w:t>体支出208,678.87万元，其中，基本支出6,180.48万元、项目支出202,498.39万元，预算执行率为95.02%。</w:t>
      </w:r>
    </w:p>
    <w:p w14:paraId="5D614B1E" w14:textId="77777777" w:rsidR="00357B09" w:rsidRDefault="00000000">
      <w:pPr>
        <w:pStyle w:val="2"/>
        <w:keepNext w:val="0"/>
        <w:keepLines w:val="0"/>
        <w:adjustRightInd w:val="0"/>
        <w:snapToGrid w:val="0"/>
        <w:spacing w:before="0" w:after="0" w:line="560" w:lineRule="exact"/>
        <w:ind w:firstLineChars="200" w:firstLine="640"/>
        <w:rPr>
          <w:rFonts w:ascii="黑体" w:eastAsia="黑体"/>
          <w:b w:val="0"/>
          <w:bCs w:val="0"/>
        </w:rPr>
      </w:pPr>
      <w:bookmarkStart w:id="10" w:name="_Toc5997"/>
      <w:bookmarkStart w:id="11" w:name="_Toc15242"/>
      <w:r>
        <w:rPr>
          <w:rFonts w:ascii="黑体" w:eastAsia="黑体" w:hint="eastAsia"/>
          <w:b w:val="0"/>
          <w:bCs w:val="0"/>
        </w:rPr>
        <w:t>三、整体绩效目标实现情况</w:t>
      </w:r>
      <w:bookmarkEnd w:id="10"/>
      <w:bookmarkEnd w:id="11"/>
      <w:r>
        <w:rPr>
          <w:rFonts w:ascii="黑体" w:eastAsia="黑体"/>
          <w:b w:val="0"/>
          <w:bCs w:val="0"/>
        </w:rPr>
        <w:tab/>
      </w:r>
    </w:p>
    <w:p w14:paraId="788BADEA" w14:textId="77777777" w:rsidR="00357B09" w:rsidRDefault="00000000">
      <w:pPr>
        <w:widowControl/>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2023年我委按照部门职责，确定了年度重点工作任务，明确了任务目标及牵头处室，根据年度重点工作任务安排项目预算。我委按照《北京市财政局关于2024年推进全面实施预算绩效管理工作的通知》要求，制定《</w:t>
      </w:r>
      <w:r>
        <w:rPr>
          <w:rFonts w:ascii="仿宋_GB2312" w:eastAsia="仿宋_GB2312"/>
          <w:sz w:val="32"/>
          <w:szCs w:val="32"/>
        </w:rPr>
        <w:t>2024</w:t>
      </w:r>
      <w:r>
        <w:rPr>
          <w:rFonts w:ascii="仿宋_GB2312" w:eastAsia="仿宋_GB2312" w:hint="eastAsia"/>
          <w:sz w:val="32"/>
          <w:szCs w:val="32"/>
        </w:rPr>
        <w:t>年预算绩效管理工作方案》，对2023年度部门项目支出实施绩效自评，评价项目41个，涉及金额202,423.30万元。单位自评项目41个，评价得分在90（含）-100分的34个、评价得分在80（含）-90分的6个、评价得分在</w:t>
      </w:r>
      <w:r>
        <w:rPr>
          <w:rFonts w:ascii="仿宋_GB2312" w:eastAsia="仿宋_GB2312"/>
          <w:sz w:val="32"/>
          <w:szCs w:val="32"/>
        </w:rPr>
        <w:t>60（含）-80分的1个</w:t>
      </w:r>
      <w:r>
        <w:rPr>
          <w:rFonts w:ascii="仿宋_GB2312" w:eastAsia="仿宋_GB2312" w:hint="eastAsia"/>
          <w:sz w:val="32"/>
          <w:szCs w:val="32"/>
        </w:rPr>
        <w:t>。</w:t>
      </w:r>
    </w:p>
    <w:p w14:paraId="219BD90E" w14:textId="77777777" w:rsidR="00357B09" w:rsidRDefault="00000000">
      <w:pPr>
        <w:adjustRightInd w:val="0"/>
        <w:snapToGrid w:val="0"/>
        <w:spacing w:line="560" w:lineRule="exact"/>
        <w:ind w:firstLineChars="200" w:firstLine="640"/>
        <w:outlineLvl w:val="1"/>
        <w:rPr>
          <w:rFonts w:ascii="楷体" w:eastAsia="楷体" w:hAnsi="楷体" w:cs="楷体" w:hint="eastAsia"/>
          <w:sz w:val="32"/>
          <w:szCs w:val="32"/>
        </w:rPr>
      </w:pPr>
      <w:bookmarkStart w:id="12" w:name="_Toc29459"/>
      <w:bookmarkStart w:id="13" w:name="_Toc990"/>
      <w:r>
        <w:rPr>
          <w:rFonts w:ascii="楷体" w:eastAsia="楷体" w:hAnsi="楷体" w:cs="楷体" w:hint="eastAsia"/>
          <w:sz w:val="32"/>
          <w:szCs w:val="32"/>
        </w:rPr>
        <w:t>（一）产出完成情况分析</w:t>
      </w:r>
      <w:bookmarkEnd w:id="12"/>
      <w:bookmarkEnd w:id="13"/>
    </w:p>
    <w:p w14:paraId="72E2A90D" w14:textId="77777777" w:rsidR="00357B09"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1.深入推进中关村新一轮先行先试改革</w:t>
      </w:r>
    </w:p>
    <w:p w14:paraId="7C7C560C" w14:textId="77777777" w:rsidR="00357B09"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cs="仿宋_GB2312" w:hint="eastAsia"/>
          <w:color w:val="000000"/>
          <w:sz w:val="32"/>
          <w:szCs w:val="32"/>
        </w:rPr>
        <w:t>增强改革统筹协同，</w:t>
      </w:r>
      <w:r>
        <w:rPr>
          <w:rFonts w:ascii="仿宋_GB2312" w:eastAsia="仿宋_GB2312" w:hint="eastAsia"/>
          <w:sz w:val="32"/>
          <w:szCs w:val="32"/>
        </w:rPr>
        <w:t>会同25个国家部门设立中关村先行先</w:t>
      </w:r>
      <w:proofErr w:type="gramStart"/>
      <w:r>
        <w:rPr>
          <w:rFonts w:ascii="仿宋_GB2312" w:eastAsia="仿宋_GB2312" w:hint="eastAsia"/>
          <w:sz w:val="32"/>
          <w:szCs w:val="32"/>
        </w:rPr>
        <w:t>试改革</w:t>
      </w:r>
      <w:proofErr w:type="gramEnd"/>
      <w:r>
        <w:rPr>
          <w:rFonts w:ascii="仿宋_GB2312" w:eastAsia="仿宋_GB2312" w:hint="eastAsia"/>
          <w:sz w:val="32"/>
          <w:szCs w:val="32"/>
        </w:rPr>
        <w:t>专项小组，建立协同工作机制，合力推动改革落实；组织召开改革动员部署会，制定改革落实方案，建立落实工作台账，强化统筹推进督促落实。</w:t>
      </w:r>
      <w:r>
        <w:rPr>
          <w:rFonts w:ascii="仿宋_GB2312" w:eastAsia="仿宋_GB2312" w:cs="仿宋_GB2312" w:hint="eastAsia"/>
          <w:sz w:val="32"/>
          <w:szCs w:val="32"/>
        </w:rPr>
        <w:t>加强改革成效总结评估，</w:t>
      </w:r>
      <w:r>
        <w:rPr>
          <w:rFonts w:ascii="仿宋_GB2312" w:eastAsia="仿宋_GB2312" w:hint="eastAsia"/>
          <w:sz w:val="32"/>
          <w:szCs w:val="32"/>
        </w:rPr>
        <w:t>推动国家和市级部门累计出台50余项配套政策，在部分领域和关键环节实现重大突破；持续组织开展改革配套政策宣传宣讲，让创新主体熟悉、掌握和用好政策；</w:t>
      </w:r>
      <w:r>
        <w:rPr>
          <w:rFonts w:ascii="仿宋_GB2312" w:eastAsia="仿宋_GB2312" w:cs="仿宋_GB2312" w:hint="eastAsia"/>
          <w:sz w:val="32"/>
          <w:szCs w:val="32"/>
        </w:rPr>
        <w:t>开展改革落实第三方评估，及时总结改革阶段性进展成效，财税、人才等试点成熟的改革措施已在中关村示范区全域</w:t>
      </w:r>
      <w:r>
        <w:rPr>
          <w:rFonts w:ascii="仿宋_GB2312" w:eastAsia="仿宋_GB2312" w:cs="仿宋_GB2312" w:hint="eastAsia"/>
          <w:color w:val="000000"/>
          <w:sz w:val="32"/>
          <w:szCs w:val="32"/>
        </w:rPr>
        <w:t>乃至更大范围</w:t>
      </w:r>
      <w:r>
        <w:rPr>
          <w:rFonts w:ascii="仿宋_GB2312" w:eastAsia="仿宋_GB2312" w:cs="仿宋_GB2312" w:hint="eastAsia"/>
          <w:sz w:val="32"/>
          <w:szCs w:val="32"/>
        </w:rPr>
        <w:t>推广实施</w:t>
      </w:r>
      <w:r>
        <w:rPr>
          <w:rFonts w:ascii="仿宋_GB2312" w:eastAsia="仿宋_GB2312" w:hint="eastAsia"/>
          <w:sz w:val="32"/>
          <w:szCs w:val="32"/>
        </w:rPr>
        <w:t>。</w:t>
      </w:r>
      <w:r>
        <w:rPr>
          <w:rFonts w:ascii="仿宋_GB2312" w:eastAsia="仿宋_GB2312" w:cs="仿宋_GB2312" w:hint="eastAsia"/>
          <w:sz w:val="32"/>
          <w:szCs w:val="32"/>
        </w:rPr>
        <w:t>持续推出改革政策建议，</w:t>
      </w:r>
      <w:r>
        <w:rPr>
          <w:rFonts w:ascii="仿宋_GB2312" w:eastAsia="仿宋_GB2312" w:hint="eastAsia"/>
          <w:sz w:val="32"/>
          <w:szCs w:val="32"/>
        </w:rPr>
        <w:t>瞄准实现高水平科技自立自强探索新的改革举措，持续研究新的先行先</w:t>
      </w:r>
      <w:proofErr w:type="gramStart"/>
      <w:r>
        <w:rPr>
          <w:rFonts w:ascii="仿宋_GB2312" w:eastAsia="仿宋_GB2312" w:hint="eastAsia"/>
          <w:sz w:val="32"/>
          <w:szCs w:val="32"/>
        </w:rPr>
        <w:t>试改革</w:t>
      </w:r>
      <w:proofErr w:type="gramEnd"/>
      <w:r>
        <w:rPr>
          <w:rFonts w:ascii="仿宋_GB2312" w:eastAsia="仿宋_GB2312" w:hint="eastAsia"/>
          <w:sz w:val="32"/>
          <w:szCs w:val="32"/>
        </w:rPr>
        <w:t>政策建议，纳入中关村世界领先科</w:t>
      </w:r>
      <w:r>
        <w:rPr>
          <w:rFonts w:ascii="仿宋_GB2312" w:eastAsia="仿宋_GB2312" w:hint="eastAsia"/>
          <w:sz w:val="32"/>
          <w:szCs w:val="32"/>
        </w:rPr>
        <w:lastRenderedPageBreak/>
        <w:t>技园区建设方案并推动出台。</w:t>
      </w:r>
    </w:p>
    <w:p w14:paraId="48FE1427" w14:textId="77777777" w:rsidR="00357B09"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2.统筹实施“一计划两规划”</w:t>
      </w:r>
    </w:p>
    <w:p w14:paraId="5657F781" w14:textId="77777777" w:rsidR="00357B09"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印发实施《综合性科技发展规划统筹推进工作办法（试行）》，进一步规范“编制-实施-项目-年度监测-中期评估-五年评估”的规划工作流程，形成</w:t>
      </w:r>
      <w:proofErr w:type="gramStart"/>
      <w:r>
        <w:rPr>
          <w:rFonts w:ascii="仿宋_GB2312" w:eastAsia="仿宋_GB2312" w:hint="eastAsia"/>
          <w:sz w:val="32"/>
          <w:szCs w:val="32"/>
        </w:rPr>
        <w:t>规划全</w:t>
      </w:r>
      <w:proofErr w:type="gramEnd"/>
      <w:r>
        <w:rPr>
          <w:rFonts w:ascii="仿宋_GB2312" w:eastAsia="仿宋_GB2312" w:hint="eastAsia"/>
          <w:sz w:val="32"/>
          <w:szCs w:val="32"/>
        </w:rPr>
        <w:t>周期工作体系。印发实施2023年年度计划，结合新形势新要求，将2023年工作计划分解为8大方面30项重大任务，推动2023年工作计划预期目标顺利完成。按照全市规划工作要求，完成《北京市“十四五”时期国际科技创新中心建设规划》《“十四五”时期中关村国家自主创新示范区规划》规划中期评估，系统梳理规划各项任务落实情况。经评估，两项规划任务完成率总体超过50%，符合“时间过半、任务过半”目标要求。</w:t>
      </w:r>
    </w:p>
    <w:p w14:paraId="07BEF9D1" w14:textId="77777777" w:rsidR="00357B09"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3.加快建设世界领先科技园区</w:t>
      </w:r>
    </w:p>
    <w:p w14:paraId="44827442" w14:textId="77777777" w:rsidR="00357B09"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cs="仿宋_GB2312" w:hint="eastAsia"/>
          <w:sz w:val="32"/>
          <w:szCs w:val="32"/>
        </w:rPr>
        <w:t>部市联合编制形成《中关村世界领先科技园区建设方案》，</w:t>
      </w:r>
      <w:r>
        <w:rPr>
          <w:rFonts w:ascii="仿宋_GB2312" w:eastAsia="仿宋_GB2312" w:hint="eastAsia"/>
          <w:sz w:val="32"/>
          <w:szCs w:val="32"/>
        </w:rPr>
        <w:t>印发实施分园高质量发展、特色产业园建设、大学科技</w:t>
      </w:r>
      <w:proofErr w:type="gramStart"/>
      <w:r>
        <w:rPr>
          <w:rFonts w:ascii="仿宋_GB2312" w:eastAsia="仿宋_GB2312" w:hint="eastAsia"/>
          <w:sz w:val="32"/>
          <w:szCs w:val="32"/>
        </w:rPr>
        <w:t>园改革</w:t>
      </w:r>
      <w:proofErr w:type="gramEnd"/>
      <w:r>
        <w:rPr>
          <w:rFonts w:ascii="仿宋_GB2312" w:eastAsia="仿宋_GB2312" w:hint="eastAsia"/>
          <w:sz w:val="32"/>
          <w:szCs w:val="32"/>
        </w:rPr>
        <w:t>创新发展等指导意见，形成“1+3”政策体系。聚焦中关村各分园主导产业，布局支持17家特色产业园建设。</w:t>
      </w:r>
      <w:r>
        <w:rPr>
          <w:rFonts w:ascii="仿宋_GB2312" w:eastAsia="仿宋_GB2312" w:cs="Segoe UI" w:hint="eastAsia"/>
          <w:color w:val="232930"/>
          <w:sz w:val="32"/>
          <w:szCs w:val="32"/>
          <w:shd w:val="clear" w:color="auto" w:fill="FFFFFF"/>
        </w:rPr>
        <w:t>园区入驻企业</w:t>
      </w:r>
      <w:r>
        <w:rPr>
          <w:rFonts w:ascii="仿宋_GB2312" w:eastAsia="仿宋_GB2312" w:cs="Segoe UI"/>
          <w:color w:val="232930"/>
          <w:sz w:val="32"/>
          <w:szCs w:val="32"/>
          <w:shd w:val="clear" w:color="auto" w:fill="FFFFFF"/>
        </w:rPr>
        <w:t>5000</w:t>
      </w:r>
      <w:r>
        <w:rPr>
          <w:rFonts w:ascii="仿宋_GB2312" w:eastAsia="仿宋_GB2312" w:cs="Segoe UI" w:hint="eastAsia"/>
          <w:color w:val="232930"/>
          <w:sz w:val="32"/>
          <w:szCs w:val="32"/>
          <w:shd w:val="clear" w:color="auto" w:fill="FFFFFF"/>
        </w:rPr>
        <w:t>余家，实现年产值超过</w:t>
      </w:r>
      <w:r>
        <w:rPr>
          <w:rFonts w:ascii="仿宋_GB2312" w:eastAsia="仿宋_GB2312" w:cs="Segoe UI"/>
          <w:color w:val="232930"/>
          <w:sz w:val="32"/>
          <w:szCs w:val="32"/>
          <w:shd w:val="clear" w:color="auto" w:fill="FFFFFF"/>
        </w:rPr>
        <w:t>6600</w:t>
      </w:r>
      <w:r>
        <w:rPr>
          <w:rFonts w:ascii="仿宋_GB2312" w:eastAsia="仿宋_GB2312" w:cs="Segoe UI" w:hint="eastAsia"/>
          <w:color w:val="232930"/>
          <w:sz w:val="32"/>
          <w:szCs w:val="32"/>
          <w:shd w:val="clear" w:color="auto" w:fill="FFFFFF"/>
        </w:rPr>
        <w:t>亿元；落地了国家战略力量、工程技术研究中心、技术创新中心、</w:t>
      </w:r>
      <w:proofErr w:type="gramStart"/>
      <w:r>
        <w:rPr>
          <w:rFonts w:ascii="仿宋_GB2312" w:eastAsia="仿宋_GB2312" w:cs="Segoe UI" w:hint="eastAsia"/>
          <w:color w:val="232930"/>
          <w:sz w:val="32"/>
          <w:szCs w:val="32"/>
          <w:shd w:val="clear" w:color="auto" w:fill="FFFFFF"/>
        </w:rPr>
        <w:t>算力平台</w:t>
      </w:r>
      <w:proofErr w:type="gramEnd"/>
      <w:r>
        <w:rPr>
          <w:rFonts w:ascii="仿宋_GB2312" w:eastAsia="仿宋_GB2312" w:cs="Segoe UI" w:hint="eastAsia"/>
          <w:color w:val="232930"/>
          <w:sz w:val="32"/>
          <w:szCs w:val="32"/>
          <w:shd w:val="clear" w:color="auto" w:fill="FFFFFF"/>
        </w:rPr>
        <w:t>、药物研发平台、产品检验检测服务平台等科技创新服务平台近</w:t>
      </w:r>
      <w:r>
        <w:rPr>
          <w:rFonts w:ascii="仿宋_GB2312" w:eastAsia="仿宋_GB2312" w:cs="Segoe UI"/>
          <w:color w:val="232930"/>
          <w:sz w:val="32"/>
          <w:szCs w:val="32"/>
          <w:shd w:val="clear" w:color="auto" w:fill="FFFFFF"/>
        </w:rPr>
        <w:t>300</w:t>
      </w:r>
      <w:r>
        <w:rPr>
          <w:rFonts w:ascii="仿宋_GB2312" w:eastAsia="仿宋_GB2312" w:cs="Segoe UI" w:hint="eastAsia"/>
          <w:color w:val="232930"/>
          <w:sz w:val="32"/>
          <w:szCs w:val="32"/>
          <w:shd w:val="clear" w:color="auto" w:fill="FFFFFF"/>
        </w:rPr>
        <w:t>个，年服务企业超过</w:t>
      </w:r>
      <w:r>
        <w:rPr>
          <w:rFonts w:ascii="仿宋_GB2312" w:eastAsia="仿宋_GB2312" w:cs="Segoe UI"/>
          <w:color w:val="232930"/>
          <w:sz w:val="32"/>
          <w:szCs w:val="32"/>
          <w:shd w:val="clear" w:color="auto" w:fill="FFFFFF"/>
        </w:rPr>
        <w:t>7000</w:t>
      </w:r>
      <w:r>
        <w:rPr>
          <w:rFonts w:ascii="仿宋_GB2312" w:eastAsia="仿宋_GB2312" w:cs="Segoe UI" w:hint="eastAsia"/>
          <w:color w:val="232930"/>
          <w:sz w:val="32"/>
          <w:szCs w:val="32"/>
          <w:shd w:val="clear" w:color="auto" w:fill="FFFFFF"/>
        </w:rPr>
        <w:t>家次。支持合理开发利用中关村示范区分园存量空间资源，优化调整低效空间资源，通过“腾笼换鸟”等方式进行改造提升，打造集中连片的科技产业园区。</w:t>
      </w:r>
    </w:p>
    <w:p w14:paraId="5BB2DDB1" w14:textId="77777777" w:rsidR="00357B09"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4.深化实施“1+5”资金政策体系</w:t>
      </w:r>
    </w:p>
    <w:p w14:paraId="77EFC7B5" w14:textId="77777777" w:rsidR="00357B09" w:rsidRDefault="00000000">
      <w:pPr>
        <w:pStyle w:val="20"/>
        <w:adjustRightInd w:val="0"/>
        <w:snapToGrid w:val="0"/>
        <w:spacing w:line="560" w:lineRule="exact"/>
        <w:ind w:firstLine="643"/>
        <w:rPr>
          <w:rFonts w:ascii="仿宋_GB2312" w:eastAsia="仿宋_GB2312" w:cs="宋体"/>
          <w:b/>
          <w:bCs/>
          <w:sz w:val="32"/>
          <w:szCs w:val="32"/>
        </w:rPr>
      </w:pPr>
      <w:r>
        <w:rPr>
          <w:rFonts w:ascii="仿宋_GB2312" w:eastAsia="仿宋_GB2312" w:cs="宋体" w:hint="eastAsia"/>
          <w:b/>
          <w:bCs/>
          <w:sz w:val="32"/>
          <w:szCs w:val="32"/>
        </w:rPr>
        <w:lastRenderedPageBreak/>
        <w:t>（1）持续提升企业创新能力。</w:t>
      </w:r>
      <w:r>
        <w:rPr>
          <w:rFonts w:ascii="仿宋_GB2312" w:eastAsia="仿宋_GB2312" w:cs="宋体" w:hint="eastAsia"/>
          <w:sz w:val="32"/>
          <w:szCs w:val="32"/>
        </w:rPr>
        <w:t>加大对科技企业的全周期支持力度，</w:t>
      </w:r>
      <w:r>
        <w:rPr>
          <w:rFonts w:ascii="仿宋_GB2312" w:eastAsia="仿宋_GB2312" w:cs="仿宋_GB2312" w:hint="eastAsia"/>
          <w:sz w:val="32"/>
          <w:szCs w:val="32"/>
        </w:rPr>
        <w:t>分层分类助</w:t>
      </w:r>
      <w:proofErr w:type="gramStart"/>
      <w:r>
        <w:rPr>
          <w:rFonts w:ascii="仿宋_GB2312" w:eastAsia="仿宋_GB2312" w:cs="仿宋_GB2312" w:hint="eastAsia"/>
          <w:sz w:val="32"/>
          <w:szCs w:val="32"/>
        </w:rPr>
        <w:t>推企业</w:t>
      </w:r>
      <w:proofErr w:type="gramEnd"/>
      <w:r>
        <w:rPr>
          <w:rFonts w:ascii="仿宋_GB2312" w:eastAsia="仿宋_GB2312" w:cs="仿宋_GB2312" w:hint="eastAsia"/>
          <w:sz w:val="32"/>
          <w:szCs w:val="32"/>
        </w:rPr>
        <w:t>创新能力提升。</w:t>
      </w:r>
      <w:r>
        <w:rPr>
          <w:rFonts w:ascii="仿宋_GB2312" w:eastAsia="仿宋_GB2312" w:cs="宋体" w:hint="eastAsia"/>
          <w:sz w:val="32"/>
          <w:szCs w:val="32"/>
        </w:rPr>
        <w:t>出台推动科技企业孵化器发展的指导意见、进一步培育和服务独角兽企业发展的10条措施，</w:t>
      </w:r>
      <w:r>
        <w:rPr>
          <w:rFonts w:ascii="仿宋_GB2312" w:eastAsia="仿宋_GB2312" w:hint="eastAsia"/>
          <w:color w:val="000000"/>
          <w:sz w:val="32"/>
          <w:szCs w:val="32"/>
        </w:rPr>
        <w:t>率先布局23家标杆孵化器，独角兽企业数量达114家</w:t>
      </w:r>
      <w:r>
        <w:rPr>
          <w:rFonts w:ascii="仿宋_GB2312" w:eastAsia="仿宋_GB2312" w:cs="宋体" w:hint="eastAsia"/>
          <w:sz w:val="32"/>
          <w:szCs w:val="32"/>
        </w:rPr>
        <w:t>。探索企业主导的产学研深度融合新范式，印发本市共性技术平台建设工作指引、创新联合体组建工作指引和“揭榜挂帅”工作指引，推进首批16家技术创新中心建设和“强链工程”项目实施，累计支持龙头企业牵头组建24个创新联合体和一批共性技术平台。</w:t>
      </w:r>
      <w:r>
        <w:rPr>
          <w:rFonts w:ascii="仿宋_GB2312" w:eastAsia="仿宋_GB2312" w:cs="Segoe UI" w:hint="eastAsia"/>
          <w:color w:val="232930"/>
          <w:sz w:val="32"/>
          <w:szCs w:val="32"/>
          <w:shd w:val="clear" w:color="auto" w:fill="FFFFFF"/>
        </w:rPr>
        <w:t>小升</w:t>
      </w:r>
      <w:proofErr w:type="gramStart"/>
      <w:r>
        <w:rPr>
          <w:rFonts w:ascii="仿宋_GB2312" w:eastAsia="仿宋_GB2312" w:cs="Segoe UI" w:hint="eastAsia"/>
          <w:color w:val="232930"/>
          <w:sz w:val="32"/>
          <w:szCs w:val="32"/>
          <w:shd w:val="clear" w:color="auto" w:fill="FFFFFF"/>
        </w:rPr>
        <w:t>规</w:t>
      </w:r>
      <w:proofErr w:type="gramEnd"/>
      <w:r>
        <w:rPr>
          <w:rFonts w:ascii="仿宋_GB2312" w:eastAsia="仿宋_GB2312" w:cs="Segoe UI" w:hint="eastAsia"/>
          <w:color w:val="232930"/>
          <w:sz w:val="32"/>
          <w:szCs w:val="32"/>
          <w:shd w:val="clear" w:color="auto" w:fill="FFFFFF"/>
        </w:rPr>
        <w:t>培育企业数量达</w:t>
      </w:r>
      <w:r>
        <w:rPr>
          <w:rFonts w:ascii="仿宋_GB2312" w:eastAsia="仿宋_GB2312" w:cs="Segoe UI"/>
          <w:color w:val="232930"/>
          <w:sz w:val="32"/>
          <w:szCs w:val="32"/>
          <w:shd w:val="clear" w:color="auto" w:fill="FFFFFF"/>
        </w:rPr>
        <w:t>1729</w:t>
      </w:r>
      <w:r>
        <w:rPr>
          <w:rFonts w:ascii="仿宋_GB2312" w:eastAsia="仿宋_GB2312" w:cs="Segoe UI" w:hint="eastAsia"/>
          <w:color w:val="232930"/>
          <w:sz w:val="32"/>
          <w:szCs w:val="32"/>
          <w:shd w:val="clear" w:color="auto" w:fill="FFFFFF"/>
        </w:rPr>
        <w:t>家，总体呈现“增长稳、韧性足、拔尖快”特点，以“免申即享”方式助力梅卡曼德、卫蓝新能源和</w:t>
      </w:r>
      <w:proofErr w:type="gramStart"/>
      <w:r>
        <w:rPr>
          <w:rFonts w:ascii="仿宋_GB2312" w:eastAsia="仿宋_GB2312" w:cs="Segoe UI" w:hint="eastAsia"/>
          <w:color w:val="232930"/>
          <w:sz w:val="32"/>
          <w:szCs w:val="32"/>
          <w:shd w:val="clear" w:color="auto" w:fill="FFFFFF"/>
        </w:rPr>
        <w:t>神策</w:t>
      </w:r>
      <w:proofErr w:type="gramEnd"/>
      <w:r>
        <w:rPr>
          <w:rFonts w:ascii="仿宋_GB2312" w:eastAsia="仿宋_GB2312" w:cs="Segoe UI" w:hint="eastAsia"/>
          <w:color w:val="232930"/>
          <w:sz w:val="32"/>
          <w:szCs w:val="32"/>
          <w:shd w:val="clear" w:color="auto" w:fill="FFFFFF"/>
        </w:rPr>
        <w:t>网络等新</w:t>
      </w:r>
      <w:proofErr w:type="gramStart"/>
      <w:r>
        <w:rPr>
          <w:rFonts w:ascii="仿宋_GB2312" w:eastAsia="仿宋_GB2312" w:cs="Segoe UI" w:hint="eastAsia"/>
          <w:color w:val="232930"/>
          <w:sz w:val="32"/>
          <w:szCs w:val="32"/>
          <w:shd w:val="clear" w:color="auto" w:fill="FFFFFF"/>
        </w:rPr>
        <w:t>晋成长</w:t>
      </w:r>
      <w:proofErr w:type="gramEnd"/>
      <w:r>
        <w:rPr>
          <w:rFonts w:ascii="仿宋_GB2312" w:eastAsia="仿宋_GB2312" w:cs="Segoe UI" w:hint="eastAsia"/>
          <w:color w:val="232930"/>
          <w:sz w:val="32"/>
          <w:szCs w:val="32"/>
          <w:shd w:val="clear" w:color="auto" w:fill="FFFFFF"/>
        </w:rPr>
        <w:t>为独角兽企业。全年国家高新技术企业</w:t>
      </w:r>
      <w:r>
        <w:rPr>
          <w:rFonts w:ascii="仿宋_GB2312" w:eastAsia="仿宋_GB2312" w:cs="Segoe UI"/>
          <w:color w:val="232930"/>
          <w:sz w:val="32"/>
          <w:szCs w:val="32"/>
          <w:shd w:val="clear" w:color="auto" w:fill="FFFFFF"/>
        </w:rPr>
        <w:t>实现地方级一般公共预算</w:t>
      </w:r>
      <w:r>
        <w:rPr>
          <w:rFonts w:ascii="仿宋_GB2312" w:eastAsia="仿宋_GB2312" w:cs="Segoe UI" w:hint="eastAsia"/>
          <w:color w:val="232930"/>
          <w:sz w:val="32"/>
          <w:szCs w:val="32"/>
          <w:shd w:val="clear" w:color="auto" w:fill="FFFFFF"/>
        </w:rPr>
        <w:t>收入贡献增长</w:t>
      </w:r>
      <w:r>
        <w:rPr>
          <w:rFonts w:ascii="仿宋_GB2312" w:eastAsia="仿宋_GB2312" w:cs="Segoe UI"/>
          <w:color w:val="232930"/>
          <w:sz w:val="32"/>
          <w:szCs w:val="32"/>
          <w:shd w:val="clear" w:color="auto" w:fill="FFFFFF"/>
        </w:rPr>
        <w:t>16.2%</w:t>
      </w:r>
      <w:r>
        <w:rPr>
          <w:rFonts w:ascii="仿宋_GB2312" w:eastAsia="仿宋_GB2312" w:cs="Segoe UI" w:hint="eastAsia"/>
          <w:color w:val="232930"/>
          <w:sz w:val="32"/>
          <w:szCs w:val="32"/>
          <w:shd w:val="clear" w:color="auto" w:fill="FFFFFF"/>
        </w:rPr>
        <w:t>。</w:t>
      </w:r>
    </w:p>
    <w:p w14:paraId="44CD66FC" w14:textId="77777777" w:rsidR="00357B09" w:rsidRDefault="00000000">
      <w:pPr>
        <w:pStyle w:val="20"/>
        <w:adjustRightInd w:val="0"/>
        <w:snapToGrid w:val="0"/>
        <w:spacing w:line="560" w:lineRule="exact"/>
        <w:ind w:firstLine="643"/>
        <w:rPr>
          <w:rFonts w:ascii="仿宋_GB2312" w:eastAsia="仿宋_GB2312"/>
          <w:sz w:val="32"/>
          <w:szCs w:val="32"/>
        </w:rPr>
      </w:pPr>
      <w:r>
        <w:rPr>
          <w:rFonts w:ascii="仿宋_GB2312" w:eastAsia="仿宋_GB2312" w:cs="宋体" w:hint="eastAsia"/>
          <w:b/>
          <w:bCs/>
          <w:sz w:val="32"/>
          <w:szCs w:val="32"/>
        </w:rPr>
        <w:t>（2）持续促进科技金融深度融合。</w:t>
      </w:r>
      <w:r>
        <w:rPr>
          <w:rFonts w:ascii="仿宋_GB2312" w:eastAsia="仿宋_GB2312" w:hint="eastAsia"/>
          <w:color w:val="3D3D3D"/>
          <w:sz w:val="32"/>
          <w:szCs w:val="32"/>
          <w:shd w:val="clear" w:color="auto" w:fill="FFFFFF"/>
        </w:rPr>
        <w:t>央行等9部门批复建设中关村</w:t>
      </w:r>
      <w:proofErr w:type="gramStart"/>
      <w:r>
        <w:rPr>
          <w:rFonts w:ascii="仿宋_GB2312" w:eastAsia="仿宋_GB2312" w:hint="eastAsia"/>
          <w:color w:val="3D3D3D"/>
          <w:sz w:val="32"/>
          <w:szCs w:val="32"/>
          <w:shd w:val="clear" w:color="auto" w:fill="FFFFFF"/>
        </w:rPr>
        <w:t>科创金融</w:t>
      </w:r>
      <w:proofErr w:type="gramEnd"/>
      <w:r>
        <w:rPr>
          <w:rFonts w:ascii="仿宋_GB2312" w:eastAsia="仿宋_GB2312" w:hint="eastAsia"/>
          <w:color w:val="3D3D3D"/>
          <w:sz w:val="32"/>
          <w:szCs w:val="32"/>
          <w:shd w:val="clear" w:color="auto" w:fill="FFFFFF"/>
        </w:rPr>
        <w:t>改革试验区，会同市金融监管局印发实施方案，推动成立50亿元社保基金中关村自主创新基金，设立人工智能、医药健康政府产业投资基金。</w:t>
      </w:r>
      <w:r>
        <w:rPr>
          <w:rFonts w:ascii="仿宋_GB2312" w:eastAsia="仿宋_GB2312" w:cs="Segoe UI" w:hint="eastAsia"/>
          <w:color w:val="232930"/>
          <w:sz w:val="32"/>
          <w:szCs w:val="32"/>
          <w:shd w:val="clear" w:color="auto" w:fill="FFFFFF"/>
        </w:rPr>
        <w:t>2023年支持45家投资机构聚焦新一代信息技术、医药健康、新材料等高精尖产业领域开展早期投资，支持</w:t>
      </w:r>
      <w:proofErr w:type="gramStart"/>
      <w:r>
        <w:rPr>
          <w:rFonts w:ascii="仿宋_GB2312" w:eastAsia="仿宋_GB2312" w:cs="Segoe UI" w:hint="eastAsia"/>
          <w:color w:val="232930"/>
          <w:sz w:val="32"/>
          <w:szCs w:val="32"/>
          <w:shd w:val="clear" w:color="auto" w:fill="FFFFFF"/>
        </w:rPr>
        <w:t>34家科创企业</w:t>
      </w:r>
      <w:proofErr w:type="gramEnd"/>
      <w:r>
        <w:rPr>
          <w:rFonts w:ascii="仿宋_GB2312" w:eastAsia="仿宋_GB2312" w:cs="Segoe UI" w:hint="eastAsia"/>
          <w:color w:val="232930"/>
          <w:sz w:val="32"/>
          <w:szCs w:val="32"/>
          <w:shd w:val="clear" w:color="auto" w:fill="FFFFFF"/>
        </w:rPr>
        <w:t>降低融资成本，支持2家企业降低科技保险保费成本，支持104家在新三板挂牌</w:t>
      </w:r>
      <w:proofErr w:type="gramStart"/>
      <w:r>
        <w:rPr>
          <w:rFonts w:ascii="仿宋_GB2312" w:eastAsia="仿宋_GB2312" w:cs="Segoe UI" w:hint="eastAsia"/>
          <w:color w:val="232930"/>
          <w:sz w:val="32"/>
          <w:szCs w:val="32"/>
          <w:shd w:val="clear" w:color="auto" w:fill="FFFFFF"/>
        </w:rPr>
        <w:t>的科创企业</w:t>
      </w:r>
      <w:proofErr w:type="gramEnd"/>
      <w:r>
        <w:rPr>
          <w:rFonts w:ascii="仿宋_GB2312" w:eastAsia="仿宋_GB2312" w:cs="Segoe UI" w:hint="eastAsia"/>
          <w:color w:val="232930"/>
          <w:sz w:val="32"/>
          <w:szCs w:val="32"/>
          <w:shd w:val="clear" w:color="auto" w:fill="FFFFFF"/>
        </w:rPr>
        <w:t>利用资本市场融资发展。支持朝阳区建设高质量创业投资集聚区，集聚区注册的投资管理机构和基金产品共集聚60个，累计资金达379.46亿元。</w:t>
      </w:r>
    </w:p>
    <w:p w14:paraId="16F4B1AF" w14:textId="77777777" w:rsidR="00357B09" w:rsidRDefault="00000000">
      <w:pPr>
        <w:pStyle w:val="20"/>
        <w:adjustRightInd w:val="0"/>
        <w:snapToGrid w:val="0"/>
        <w:spacing w:line="560" w:lineRule="exact"/>
        <w:ind w:firstLine="643"/>
        <w:rPr>
          <w:rFonts w:ascii="仿宋_GB2312" w:eastAsia="仿宋_GB2312"/>
          <w:sz w:val="32"/>
          <w:szCs w:val="32"/>
        </w:rPr>
      </w:pPr>
      <w:r>
        <w:rPr>
          <w:rFonts w:ascii="仿宋_GB2312" w:eastAsia="仿宋_GB2312" w:cs="宋体" w:hint="eastAsia"/>
          <w:b/>
          <w:bCs/>
          <w:sz w:val="32"/>
          <w:szCs w:val="32"/>
        </w:rPr>
        <w:t>（3）持续优化创新创业环境。</w:t>
      </w:r>
      <w:r>
        <w:rPr>
          <w:rFonts w:ascii="仿宋_GB2312" w:eastAsia="仿宋_GB2312" w:cs="仿宋_GB2312" w:hint="eastAsia"/>
          <w:sz w:val="32"/>
          <w:szCs w:val="32"/>
        </w:rPr>
        <w:t>支持6家产业开发研究院、38家技术转移机构建设，推动12家概念验证平台开展概念验</w:t>
      </w:r>
      <w:r>
        <w:rPr>
          <w:rFonts w:ascii="仿宋_GB2312" w:eastAsia="仿宋_GB2312" w:cs="仿宋_GB2312" w:hint="eastAsia"/>
          <w:sz w:val="32"/>
          <w:szCs w:val="32"/>
        </w:rPr>
        <w:lastRenderedPageBreak/>
        <w:t>证服务。举办中关村“火花”系列活动，强化科技成果供需精准对接。</w:t>
      </w:r>
      <w:r>
        <w:rPr>
          <w:rFonts w:ascii="仿宋_GB2312" w:eastAsia="仿宋_GB2312" w:cs="仿宋_GB2312"/>
          <w:sz w:val="32"/>
          <w:szCs w:val="32"/>
        </w:rPr>
        <w:t>2023年支持专利相关工作企业255 家， 支持标准相关工作企业64家，高精尖产业领域企业占比100%。中关村标准累计221项，示范区高新技术企业发明专利授权量同比增长29.62%。</w:t>
      </w:r>
      <w:r>
        <w:rPr>
          <w:rFonts w:ascii="仿宋_GB2312" w:eastAsia="仿宋_GB2312" w:hint="eastAsia"/>
          <w:sz w:val="32"/>
          <w:szCs w:val="32"/>
          <w:shd w:val="clear" w:color="auto" w:fill="FFFFFF"/>
        </w:rPr>
        <w:t>加快推动高水平人才高地建设，开展科学家创业</w:t>
      </w:r>
      <w:r>
        <w:rPr>
          <w:rFonts w:ascii="仿宋_GB2312" w:eastAsia="仿宋_GB2312"/>
          <w:sz w:val="32"/>
          <w:szCs w:val="32"/>
          <w:shd w:val="clear" w:color="auto" w:fill="FFFFFF"/>
        </w:rPr>
        <w:t>CEO培养工作。</w:t>
      </w:r>
    </w:p>
    <w:p w14:paraId="44513BC6" w14:textId="77777777" w:rsidR="00357B09"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5.高质量举办中关村论坛</w:t>
      </w:r>
    </w:p>
    <w:p w14:paraId="7B6EF36B" w14:textId="77777777" w:rsidR="00357B09" w:rsidRDefault="00000000">
      <w:pPr>
        <w:adjustRightInd w:val="0"/>
        <w:snapToGrid w:val="0"/>
        <w:spacing w:line="560" w:lineRule="exact"/>
        <w:ind w:firstLineChars="200" w:firstLine="640"/>
        <w:rPr>
          <w:rFonts w:ascii="仿宋_GB2312" w:eastAsia="仿宋_GB2312"/>
          <w:bCs/>
          <w:sz w:val="32"/>
          <w:szCs w:val="32"/>
        </w:rPr>
      </w:pPr>
      <w:r>
        <w:rPr>
          <w:rFonts w:ascii="仿宋_GB2312" w:eastAsia="仿宋_GB2312" w:cs="仿宋_GB2312" w:hint="eastAsia"/>
          <w:sz w:val="32"/>
          <w:szCs w:val="32"/>
        </w:rPr>
        <w:t>成功举办2023中关村论坛，习近平总书记向论坛致发贺信。</w:t>
      </w:r>
      <w:r>
        <w:rPr>
          <w:rFonts w:ascii="仿宋_GB2312" w:eastAsia="仿宋_GB2312" w:cs="仿宋_GB2312" w:hint="eastAsia"/>
          <w:kern w:val="0"/>
          <w:sz w:val="32"/>
          <w:szCs w:val="32"/>
        </w:rPr>
        <w:t>围绕“开放合作，共享未来”年度主题，设置六大板块，共举办150场活动，</w:t>
      </w:r>
      <w:r>
        <w:rPr>
          <w:rFonts w:ascii="仿宋_GB2312" w:eastAsia="仿宋_GB2312" w:hint="eastAsia"/>
          <w:spacing w:val="-6"/>
          <w:sz w:val="32"/>
          <w:szCs w:val="32"/>
        </w:rPr>
        <w:t>现场参会人数、</w:t>
      </w:r>
      <w:r>
        <w:rPr>
          <w:rFonts w:ascii="仿宋_GB2312" w:eastAsia="仿宋_GB2312" w:hint="eastAsia"/>
          <w:sz w:val="32"/>
          <w:szCs w:val="32"/>
        </w:rPr>
        <w:t>演讲</w:t>
      </w:r>
      <w:r>
        <w:rPr>
          <w:rFonts w:ascii="仿宋_GB2312" w:eastAsia="仿宋_GB2312" w:hint="eastAsia"/>
          <w:spacing w:val="-6"/>
          <w:sz w:val="32"/>
          <w:szCs w:val="32"/>
        </w:rPr>
        <w:t>嘉宾人数、</w:t>
      </w:r>
      <w:r>
        <w:rPr>
          <w:rFonts w:ascii="仿宋_GB2312" w:eastAsia="仿宋_GB2312" w:hint="eastAsia"/>
          <w:sz w:val="32"/>
          <w:szCs w:val="32"/>
        </w:rPr>
        <w:t>参观人数均创历史新高</w:t>
      </w:r>
      <w:r>
        <w:rPr>
          <w:rFonts w:ascii="仿宋_GB2312" w:eastAsia="仿宋_GB2312" w:cs="仿宋_GB2312" w:hint="eastAsia"/>
          <w:sz w:val="32"/>
          <w:szCs w:val="32"/>
        </w:rPr>
        <w:t>。</w:t>
      </w:r>
      <w:r>
        <w:rPr>
          <w:rFonts w:ascii="仿宋_GB2312" w:eastAsia="仿宋_GB2312" w:hint="eastAsia"/>
          <w:bCs/>
          <w:sz w:val="32"/>
          <w:szCs w:val="32"/>
        </w:rPr>
        <w:t>常态</w:t>
      </w:r>
      <w:proofErr w:type="gramStart"/>
      <w:r>
        <w:rPr>
          <w:rFonts w:ascii="仿宋_GB2312" w:eastAsia="仿宋_GB2312" w:hint="eastAsia"/>
          <w:bCs/>
          <w:sz w:val="32"/>
          <w:szCs w:val="32"/>
        </w:rPr>
        <w:t>化举办</w:t>
      </w:r>
      <w:proofErr w:type="gramEnd"/>
      <w:r>
        <w:rPr>
          <w:rFonts w:ascii="仿宋_GB2312" w:eastAsia="仿宋_GB2312" w:hint="eastAsia"/>
          <w:bCs/>
          <w:sz w:val="32"/>
          <w:szCs w:val="32"/>
        </w:rPr>
        <w:t>40余场系列活动，打造永不落幕的中关村论坛。</w:t>
      </w:r>
    </w:p>
    <w:p w14:paraId="6A7D3D90" w14:textId="77777777" w:rsidR="00357B09" w:rsidRDefault="00000000">
      <w:pPr>
        <w:adjustRightInd w:val="0"/>
        <w:snapToGrid w:val="0"/>
        <w:spacing w:line="560" w:lineRule="exact"/>
        <w:ind w:firstLineChars="200" w:firstLine="640"/>
        <w:outlineLvl w:val="1"/>
        <w:rPr>
          <w:rFonts w:ascii="楷体" w:eastAsia="楷体" w:hAnsi="楷体" w:cs="楷体" w:hint="eastAsia"/>
          <w:sz w:val="32"/>
          <w:szCs w:val="32"/>
        </w:rPr>
      </w:pPr>
      <w:bookmarkStart w:id="14" w:name="_Toc15595"/>
      <w:r>
        <w:rPr>
          <w:rFonts w:ascii="楷体" w:eastAsia="楷体" w:hAnsi="楷体" w:cs="楷体" w:hint="eastAsia"/>
          <w:sz w:val="32"/>
          <w:szCs w:val="32"/>
        </w:rPr>
        <w:t>（二）效果实现情况分析</w:t>
      </w:r>
      <w:bookmarkEnd w:id="14"/>
    </w:p>
    <w:p w14:paraId="61AFBA84" w14:textId="77777777" w:rsidR="00357B09" w:rsidRDefault="00000000">
      <w:pPr>
        <w:adjustRightInd w:val="0"/>
        <w:snapToGrid w:val="0"/>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1.经济效益</w:t>
      </w:r>
    </w:p>
    <w:p w14:paraId="2D9347CD" w14:textId="77777777" w:rsidR="00357B09" w:rsidRDefault="00000000">
      <w:pPr>
        <w:pStyle w:val="20"/>
        <w:adjustRightInd w:val="0"/>
        <w:snapToGrid w:val="0"/>
        <w:spacing w:line="560" w:lineRule="exact"/>
        <w:ind w:firstLine="640"/>
        <w:rPr>
          <w:rFonts w:ascii="仿宋_GB2312" w:eastAsia="仿宋_GB2312" w:cs="Segoe UI"/>
          <w:color w:val="8DB3E2"/>
          <w:sz w:val="32"/>
          <w:szCs w:val="32"/>
          <w:shd w:val="clear" w:color="auto" w:fill="FFFFFF"/>
        </w:rPr>
      </w:pPr>
      <w:r>
        <w:rPr>
          <w:rFonts w:ascii="仿宋_GB2312" w:eastAsia="仿宋_GB2312" w:cs="Segoe UI"/>
          <w:color w:val="232930"/>
          <w:sz w:val="32"/>
          <w:szCs w:val="32"/>
          <w:shd w:val="clear" w:color="auto" w:fill="FFFFFF"/>
        </w:rPr>
        <w:t>2023</w:t>
      </w:r>
      <w:r>
        <w:rPr>
          <w:rFonts w:ascii="仿宋_GB2312" w:eastAsia="仿宋_GB2312" w:cs="Segoe UI" w:hint="eastAsia"/>
          <w:color w:val="232930"/>
          <w:sz w:val="32"/>
          <w:szCs w:val="32"/>
          <w:shd w:val="clear" w:color="auto" w:fill="FFFFFF"/>
        </w:rPr>
        <w:t>年全社会研究与试验发展（</w:t>
      </w:r>
      <w:r>
        <w:rPr>
          <w:rFonts w:ascii="仿宋_GB2312" w:eastAsia="仿宋_GB2312" w:cs="Segoe UI"/>
          <w:color w:val="232930"/>
          <w:sz w:val="32"/>
          <w:szCs w:val="32"/>
          <w:shd w:val="clear" w:color="auto" w:fill="FFFFFF"/>
        </w:rPr>
        <w:t>R&amp;D</w:t>
      </w:r>
      <w:r>
        <w:rPr>
          <w:rFonts w:ascii="仿宋_GB2312" w:eastAsia="仿宋_GB2312" w:cs="Segoe UI" w:hint="eastAsia"/>
          <w:color w:val="232930"/>
          <w:sz w:val="32"/>
          <w:szCs w:val="32"/>
          <w:shd w:val="clear" w:color="auto" w:fill="FFFFFF"/>
        </w:rPr>
        <w:t>）投入强度保持在</w:t>
      </w:r>
      <w:r>
        <w:rPr>
          <w:rFonts w:ascii="仿宋_GB2312" w:eastAsia="仿宋_GB2312" w:cs="Segoe UI"/>
          <w:color w:val="232930"/>
          <w:sz w:val="32"/>
          <w:szCs w:val="32"/>
          <w:shd w:val="clear" w:color="auto" w:fill="FFFFFF"/>
        </w:rPr>
        <w:t>6%</w:t>
      </w:r>
      <w:r>
        <w:rPr>
          <w:rFonts w:ascii="仿宋_GB2312" w:eastAsia="仿宋_GB2312" w:cs="Segoe UI" w:hint="eastAsia"/>
          <w:color w:val="232930"/>
          <w:sz w:val="32"/>
          <w:szCs w:val="32"/>
          <w:shd w:val="clear" w:color="auto" w:fill="FFFFFF"/>
        </w:rPr>
        <w:t>左右；全市</w:t>
      </w:r>
      <w:r>
        <w:rPr>
          <w:rFonts w:ascii="仿宋_GB2312" w:eastAsia="仿宋_GB2312" w:cs="Segoe UI"/>
          <w:color w:val="232930"/>
          <w:sz w:val="32"/>
          <w:szCs w:val="32"/>
          <w:shd w:val="clear" w:color="auto" w:fill="FFFFFF"/>
        </w:rPr>
        <w:t>2023</w:t>
      </w:r>
      <w:r>
        <w:rPr>
          <w:rFonts w:ascii="仿宋_GB2312" w:eastAsia="仿宋_GB2312" w:cs="Segoe UI" w:hint="eastAsia"/>
          <w:color w:val="232930"/>
          <w:sz w:val="32"/>
          <w:szCs w:val="32"/>
          <w:shd w:val="clear" w:color="auto" w:fill="FFFFFF"/>
        </w:rPr>
        <w:t>年发明专利授权量</w:t>
      </w:r>
      <w:r>
        <w:rPr>
          <w:rFonts w:ascii="仿宋_GB2312" w:eastAsia="仿宋_GB2312" w:cs="Segoe UI"/>
          <w:color w:val="232930"/>
          <w:sz w:val="32"/>
          <w:szCs w:val="32"/>
          <w:shd w:val="clear" w:color="auto" w:fill="FFFFFF"/>
        </w:rPr>
        <w:t>10.8</w:t>
      </w:r>
      <w:r>
        <w:rPr>
          <w:rFonts w:ascii="仿宋_GB2312" w:eastAsia="仿宋_GB2312" w:cs="Segoe UI" w:hint="eastAsia"/>
          <w:color w:val="232930"/>
          <w:sz w:val="32"/>
          <w:szCs w:val="32"/>
          <w:shd w:val="clear" w:color="auto" w:fill="FFFFFF"/>
        </w:rPr>
        <w:t>万件，比上年增长</w:t>
      </w:r>
      <w:r>
        <w:rPr>
          <w:rFonts w:ascii="仿宋_GB2312" w:eastAsia="仿宋_GB2312" w:cs="Segoe UI"/>
          <w:color w:val="232930"/>
          <w:sz w:val="32"/>
          <w:szCs w:val="32"/>
          <w:shd w:val="clear" w:color="auto" w:fill="FFFFFF"/>
        </w:rPr>
        <w:t>22.4%</w:t>
      </w:r>
      <w:r>
        <w:rPr>
          <w:rFonts w:ascii="仿宋_GB2312" w:eastAsia="仿宋_GB2312" w:cs="Segoe UI" w:hint="eastAsia"/>
          <w:color w:val="232930"/>
          <w:sz w:val="32"/>
          <w:szCs w:val="32"/>
          <w:shd w:val="clear" w:color="auto" w:fill="FFFFFF"/>
        </w:rPr>
        <w:t>；技术合同成交额</w:t>
      </w:r>
      <w:r>
        <w:rPr>
          <w:rFonts w:ascii="仿宋_GB2312" w:eastAsia="仿宋_GB2312" w:cs="Segoe UI"/>
          <w:color w:val="232930"/>
          <w:sz w:val="32"/>
          <w:szCs w:val="32"/>
          <w:shd w:val="clear" w:color="auto" w:fill="FFFFFF"/>
        </w:rPr>
        <w:t>8536.9</w:t>
      </w:r>
      <w:r>
        <w:rPr>
          <w:rFonts w:ascii="仿宋_GB2312" w:eastAsia="仿宋_GB2312" w:cs="Segoe UI" w:hint="eastAsia"/>
          <w:color w:val="232930"/>
          <w:sz w:val="32"/>
          <w:szCs w:val="32"/>
          <w:shd w:val="clear" w:color="auto" w:fill="FFFFFF"/>
        </w:rPr>
        <w:t>亿元，增长</w:t>
      </w:r>
      <w:r>
        <w:rPr>
          <w:rFonts w:ascii="仿宋_GB2312" w:eastAsia="仿宋_GB2312" w:cs="Segoe UI"/>
          <w:color w:val="232930"/>
          <w:sz w:val="32"/>
          <w:szCs w:val="32"/>
          <w:shd w:val="clear" w:color="auto" w:fill="FFFFFF"/>
        </w:rPr>
        <w:t>7.4%</w:t>
      </w:r>
      <w:r>
        <w:rPr>
          <w:rFonts w:ascii="仿宋_GB2312" w:eastAsia="仿宋_GB2312" w:cs="Segoe UI" w:hint="eastAsia"/>
          <w:color w:val="232930"/>
          <w:sz w:val="32"/>
          <w:szCs w:val="32"/>
          <w:shd w:val="clear" w:color="auto" w:fill="FFFFFF"/>
        </w:rPr>
        <w:t>；全年新认定国家高新技术企业</w:t>
      </w:r>
      <w:r>
        <w:rPr>
          <w:rFonts w:ascii="仿宋_GB2312" w:eastAsia="仿宋_GB2312" w:cs="Segoe UI"/>
          <w:color w:val="232930"/>
          <w:sz w:val="32"/>
          <w:szCs w:val="32"/>
          <w:shd w:val="clear" w:color="auto" w:fill="FFFFFF"/>
        </w:rPr>
        <w:t>1.08</w:t>
      </w:r>
      <w:r>
        <w:rPr>
          <w:rFonts w:ascii="仿宋_GB2312" w:eastAsia="仿宋_GB2312" w:cs="Segoe UI" w:hint="eastAsia"/>
          <w:color w:val="232930"/>
          <w:sz w:val="32"/>
          <w:szCs w:val="32"/>
          <w:shd w:val="clear" w:color="auto" w:fill="FFFFFF"/>
        </w:rPr>
        <w:t>万家，累计有效国家高新技术企业</w:t>
      </w:r>
      <w:r>
        <w:rPr>
          <w:rFonts w:ascii="仿宋_GB2312" w:eastAsia="仿宋_GB2312" w:cs="Segoe UI"/>
          <w:color w:val="232930"/>
          <w:sz w:val="32"/>
          <w:szCs w:val="32"/>
          <w:shd w:val="clear" w:color="auto" w:fill="FFFFFF"/>
        </w:rPr>
        <w:t>2.83</w:t>
      </w:r>
      <w:r>
        <w:rPr>
          <w:rFonts w:ascii="仿宋_GB2312" w:eastAsia="仿宋_GB2312" w:cs="Segoe UI" w:hint="eastAsia"/>
          <w:color w:val="232930"/>
          <w:sz w:val="32"/>
          <w:szCs w:val="32"/>
          <w:shd w:val="clear" w:color="auto" w:fill="FFFFFF"/>
        </w:rPr>
        <w:t>万家；</w:t>
      </w:r>
      <w:r>
        <w:rPr>
          <w:rFonts w:ascii="仿宋_GB2312" w:eastAsia="仿宋_GB2312" w:cs="Segoe UI"/>
          <w:color w:val="232930"/>
          <w:sz w:val="32"/>
          <w:szCs w:val="32"/>
          <w:shd w:val="clear" w:color="auto" w:fill="FFFFFF"/>
        </w:rPr>
        <w:t>2023</w:t>
      </w:r>
      <w:r>
        <w:rPr>
          <w:rFonts w:ascii="仿宋_GB2312" w:eastAsia="仿宋_GB2312" w:cs="Segoe UI" w:hint="eastAsia"/>
          <w:color w:val="232930"/>
          <w:sz w:val="32"/>
          <w:szCs w:val="32"/>
          <w:shd w:val="clear" w:color="auto" w:fill="FFFFFF"/>
        </w:rPr>
        <w:t>年，中关村示范区实现技术收入</w:t>
      </w:r>
      <w:r>
        <w:rPr>
          <w:rFonts w:ascii="仿宋_GB2312" w:eastAsia="仿宋_GB2312" w:cs="Segoe UI"/>
          <w:color w:val="232930"/>
          <w:sz w:val="32"/>
          <w:szCs w:val="32"/>
          <w:shd w:val="clear" w:color="auto" w:fill="FFFFFF"/>
        </w:rPr>
        <w:t>2.49</w:t>
      </w:r>
      <w:proofErr w:type="gramStart"/>
      <w:r>
        <w:rPr>
          <w:rFonts w:ascii="仿宋_GB2312" w:eastAsia="仿宋_GB2312" w:cs="Segoe UI" w:hint="eastAsia"/>
          <w:color w:val="232930"/>
          <w:sz w:val="32"/>
          <w:szCs w:val="32"/>
          <w:shd w:val="clear" w:color="auto" w:fill="FFFFFF"/>
        </w:rPr>
        <w:t>万亿</w:t>
      </w:r>
      <w:proofErr w:type="gramEnd"/>
      <w:r>
        <w:rPr>
          <w:rFonts w:ascii="仿宋_GB2312" w:eastAsia="仿宋_GB2312" w:cs="Segoe UI" w:hint="eastAsia"/>
          <w:color w:val="232930"/>
          <w:sz w:val="32"/>
          <w:szCs w:val="32"/>
          <w:shd w:val="clear" w:color="auto" w:fill="FFFFFF"/>
        </w:rPr>
        <w:t>元，企业口径同比增长</w:t>
      </w:r>
      <w:r>
        <w:rPr>
          <w:rFonts w:ascii="仿宋_GB2312" w:eastAsia="仿宋_GB2312" w:cs="Segoe UI"/>
          <w:color w:val="232930"/>
          <w:sz w:val="32"/>
          <w:szCs w:val="32"/>
          <w:shd w:val="clear" w:color="auto" w:fill="FFFFFF"/>
        </w:rPr>
        <w:t>17.1%</w:t>
      </w:r>
      <w:r>
        <w:rPr>
          <w:rFonts w:ascii="仿宋_GB2312" w:eastAsia="仿宋_GB2312" w:cs="Segoe UI" w:hint="eastAsia"/>
          <w:color w:val="232930"/>
          <w:sz w:val="32"/>
          <w:szCs w:val="32"/>
          <w:shd w:val="clear" w:color="auto" w:fill="FFFFFF"/>
        </w:rPr>
        <w:t>。</w:t>
      </w:r>
    </w:p>
    <w:p w14:paraId="063641E4" w14:textId="77777777" w:rsidR="00357B09" w:rsidRDefault="00000000">
      <w:pPr>
        <w:pStyle w:val="20"/>
        <w:adjustRightInd w:val="0"/>
        <w:snapToGrid w:val="0"/>
        <w:spacing w:line="560" w:lineRule="exact"/>
        <w:ind w:firstLine="643"/>
        <w:rPr>
          <w:rFonts w:ascii="仿宋_GB2312" w:eastAsia="仿宋_GB2312" w:hAnsi="仿宋_GB2312" w:cs="仿宋_GB2312" w:hint="eastAsia"/>
          <w:b/>
          <w:bCs/>
        </w:rPr>
      </w:pPr>
      <w:r>
        <w:rPr>
          <w:rFonts w:ascii="仿宋_GB2312" w:eastAsia="仿宋_GB2312" w:hAnsi="仿宋_GB2312" w:cs="仿宋_GB2312" w:hint="eastAsia"/>
          <w:b/>
          <w:bCs/>
          <w:sz w:val="32"/>
          <w:szCs w:val="32"/>
        </w:rPr>
        <w:t>2.社会效益</w:t>
      </w:r>
    </w:p>
    <w:p w14:paraId="6A8A8711" w14:textId="77777777" w:rsidR="00357B09" w:rsidRDefault="00000000">
      <w:pPr>
        <w:adjustRightInd w:val="0"/>
        <w:snapToGrid w:val="0"/>
        <w:spacing w:line="560" w:lineRule="exact"/>
        <w:ind w:firstLineChars="200" w:firstLine="640"/>
      </w:pPr>
      <w:r>
        <w:rPr>
          <w:rFonts w:ascii="仿宋_GB2312" w:eastAsia="仿宋_GB2312" w:cs="仿宋_GB2312" w:hint="eastAsia"/>
          <w:color w:val="000000"/>
          <w:sz w:val="32"/>
          <w:szCs w:val="32"/>
        </w:rPr>
        <w:t>2023年，中关村在全国高新区综合评价排名中蝉联第一，在国家生物医药产业园区综合竞争力排名中稳居首位。北京在施普林格</w:t>
      </w:r>
      <w:r>
        <w:rPr>
          <w:rFonts w:ascii="汉仪大黑简" w:eastAsia="汉仪大黑简" w:cs="汉仪大黑简" w:hint="eastAsia"/>
          <w:color w:val="000000"/>
          <w:sz w:val="32"/>
          <w:szCs w:val="32"/>
        </w:rPr>
        <w:t>·</w:t>
      </w:r>
      <w:r>
        <w:rPr>
          <w:rFonts w:ascii="仿宋_GB2312" w:eastAsia="仿宋_GB2312" w:cs="仿宋_GB2312" w:hint="eastAsia"/>
          <w:color w:val="000000"/>
          <w:sz w:val="32"/>
          <w:szCs w:val="32"/>
        </w:rPr>
        <w:t>自然集团牵头发布的《国际科技创新中心指数2023》</w:t>
      </w:r>
      <w:r>
        <w:rPr>
          <w:rFonts w:ascii="仿宋_GB2312" w:eastAsia="仿宋_GB2312" w:cs="仿宋_GB2312" w:hint="eastAsia"/>
          <w:color w:val="000000"/>
          <w:sz w:val="32"/>
          <w:szCs w:val="32"/>
        </w:rPr>
        <w:lastRenderedPageBreak/>
        <w:t>中位列全球第三，在世界知识产权组织全球百</w:t>
      </w:r>
      <w:proofErr w:type="gramStart"/>
      <w:r>
        <w:rPr>
          <w:rFonts w:ascii="仿宋_GB2312" w:eastAsia="仿宋_GB2312" w:cs="仿宋_GB2312" w:hint="eastAsia"/>
          <w:color w:val="000000"/>
          <w:sz w:val="32"/>
          <w:szCs w:val="32"/>
        </w:rPr>
        <w:t>强科技</w:t>
      </w:r>
      <w:proofErr w:type="gramEnd"/>
      <w:r>
        <w:rPr>
          <w:rFonts w:ascii="仿宋_GB2312" w:eastAsia="仿宋_GB2312" w:cs="仿宋_GB2312" w:hint="eastAsia"/>
          <w:color w:val="000000"/>
          <w:sz w:val="32"/>
          <w:szCs w:val="32"/>
        </w:rPr>
        <w:t>创新集群排名中连续多年位居前列，连续7年位居自然集团“自然指数-科研城市”榜首。</w:t>
      </w:r>
    </w:p>
    <w:p w14:paraId="5F6C7CB4" w14:textId="77777777" w:rsidR="00357B09" w:rsidRDefault="00000000">
      <w:pPr>
        <w:pStyle w:val="20"/>
        <w:adjustRightInd w:val="0"/>
        <w:snapToGrid w:val="0"/>
        <w:spacing w:line="560" w:lineRule="exact"/>
        <w:ind w:firstLine="643"/>
        <w:rPr>
          <w:rFonts w:ascii="仿宋_GB2312" w:eastAsia="仿宋_GB2312"/>
          <w:sz w:val="32"/>
          <w:szCs w:val="32"/>
        </w:rPr>
      </w:pPr>
      <w:r>
        <w:rPr>
          <w:rFonts w:ascii="仿宋_GB2312" w:eastAsia="仿宋_GB2312" w:hint="eastAsia"/>
          <w:b/>
          <w:sz w:val="32"/>
          <w:szCs w:val="32"/>
        </w:rPr>
        <w:t>（1）创新创业生态持续优化。</w:t>
      </w:r>
      <w:r>
        <w:rPr>
          <w:rFonts w:ascii="仿宋_GB2312" w:eastAsia="仿宋_GB2312" w:hint="eastAsia"/>
          <w:color w:val="676767"/>
          <w:sz w:val="28"/>
          <w:szCs w:val="28"/>
          <w:shd w:val="clear" w:color="auto" w:fill="FFFFFF"/>
        </w:rPr>
        <w:t>“</w:t>
      </w:r>
      <w:r>
        <w:rPr>
          <w:rFonts w:ascii="仿宋_GB2312" w:eastAsia="仿宋_GB2312" w:hint="eastAsia"/>
          <w:sz w:val="32"/>
          <w:szCs w:val="32"/>
          <w:shd w:val="clear" w:color="auto" w:fill="FFFFFF"/>
        </w:rPr>
        <w:t>筑基扩容”方面，修订并印发《中关村高新技术企业培育服务办法（试行）》，强化</w:t>
      </w:r>
      <w:r>
        <w:rPr>
          <w:rFonts w:ascii="仿宋_GB2312" w:eastAsia="仿宋_GB2312"/>
          <w:sz w:val="32"/>
          <w:szCs w:val="32"/>
          <w:shd w:val="clear" w:color="auto" w:fill="FFFFFF"/>
        </w:rPr>
        <w:t>高新技术企业培育</w:t>
      </w:r>
      <w:r>
        <w:rPr>
          <w:rFonts w:ascii="仿宋_GB2312" w:eastAsia="仿宋_GB2312" w:hint="eastAsia"/>
          <w:sz w:val="32"/>
          <w:szCs w:val="32"/>
          <w:shd w:val="clear" w:color="auto" w:fill="FFFFFF"/>
        </w:rPr>
        <w:t>，</w:t>
      </w:r>
      <w:r>
        <w:rPr>
          <w:rFonts w:ascii="仿宋_GB2312" w:eastAsia="仿宋_GB2312"/>
          <w:sz w:val="32"/>
          <w:szCs w:val="32"/>
          <w:shd w:val="clear" w:color="auto" w:fill="FFFFFF"/>
        </w:rPr>
        <w:t>中关</w:t>
      </w:r>
      <w:r>
        <w:rPr>
          <w:rFonts w:ascii="仿宋_GB2312" w:eastAsia="仿宋_GB2312" w:hint="eastAsia"/>
          <w:sz w:val="32"/>
          <w:szCs w:val="32"/>
          <w:shd w:val="clear" w:color="auto" w:fill="FFFFFF"/>
        </w:rPr>
        <w:t>村高新</w:t>
      </w:r>
      <w:r>
        <w:rPr>
          <w:rFonts w:ascii="仿宋_GB2312" w:eastAsia="仿宋_GB2312"/>
          <w:sz w:val="32"/>
          <w:szCs w:val="32"/>
          <w:shd w:val="clear" w:color="auto" w:fill="FFFFFF"/>
        </w:rPr>
        <w:t>技术</w:t>
      </w:r>
      <w:r>
        <w:rPr>
          <w:rFonts w:ascii="仿宋_GB2312" w:eastAsia="仿宋_GB2312" w:hint="eastAsia"/>
          <w:sz w:val="32"/>
          <w:szCs w:val="32"/>
          <w:shd w:val="clear" w:color="auto" w:fill="FFFFFF"/>
        </w:rPr>
        <w:t>企业数量达1.9万家</w:t>
      </w:r>
      <w:r>
        <w:rPr>
          <w:rFonts w:ascii="仿宋_GB2312" w:eastAsia="仿宋_GB2312"/>
          <w:sz w:val="32"/>
          <w:szCs w:val="32"/>
          <w:shd w:val="clear" w:color="auto" w:fill="FFFFFF"/>
        </w:rPr>
        <w:t>，</w:t>
      </w:r>
      <w:r>
        <w:rPr>
          <w:rFonts w:ascii="仿宋_GB2312" w:eastAsia="仿宋_GB2312" w:hint="eastAsia"/>
          <w:sz w:val="32"/>
          <w:szCs w:val="32"/>
          <w:shd w:val="clear" w:color="auto" w:fill="FFFFFF"/>
        </w:rPr>
        <w:t>科技型中小企业入库数量达1.55万家。其中“报备即批准”政策试点企业达377家，新增169家。全年国家高新技术企业财政收入贡献增长16.2%。印发了《关于进一步培育和服务独角兽企业的若干措施》；为独角兽企业配备“一对一”服务管家；通过“服务包”平台为企业提供日常服务。</w:t>
      </w:r>
    </w:p>
    <w:p w14:paraId="5FF8E3F3" w14:textId="77777777" w:rsidR="00357B09" w:rsidRDefault="00000000">
      <w:pPr>
        <w:pStyle w:val="20"/>
        <w:adjustRightInd w:val="0"/>
        <w:snapToGrid w:val="0"/>
        <w:spacing w:line="560" w:lineRule="exact"/>
        <w:ind w:firstLine="643"/>
        <w:rPr>
          <w:rFonts w:ascii="仿宋_GB2312" w:eastAsia="仿宋_GB2312" w:cs="仿宋_GB2312"/>
          <w:b/>
          <w:sz w:val="32"/>
          <w:szCs w:val="32"/>
        </w:rPr>
      </w:pPr>
      <w:r>
        <w:rPr>
          <w:rFonts w:ascii="仿宋_GB2312" w:eastAsia="仿宋_GB2312" w:cs="仿宋_GB2312" w:hint="eastAsia"/>
          <w:b/>
          <w:sz w:val="32"/>
          <w:szCs w:val="32"/>
        </w:rPr>
        <w:t>（2）科技金融创新不断深化。</w:t>
      </w:r>
      <w:proofErr w:type="gramStart"/>
      <w:r>
        <w:rPr>
          <w:rFonts w:ascii="仿宋_GB2312" w:eastAsia="仿宋_GB2312" w:hint="eastAsia"/>
          <w:sz w:val="32"/>
          <w:szCs w:val="32"/>
          <w:shd w:val="clear" w:color="auto" w:fill="FFFFFF"/>
        </w:rPr>
        <w:t>科创基金</w:t>
      </w:r>
      <w:proofErr w:type="gramEnd"/>
      <w:r>
        <w:rPr>
          <w:rFonts w:ascii="仿宋_GB2312" w:eastAsia="仿宋_GB2312" w:hint="eastAsia"/>
          <w:sz w:val="32"/>
          <w:szCs w:val="32"/>
          <w:shd w:val="clear" w:color="auto" w:fill="FFFFFF"/>
        </w:rPr>
        <w:t>本年度新通过立项</w:t>
      </w:r>
      <w:proofErr w:type="gramStart"/>
      <w:r>
        <w:rPr>
          <w:rFonts w:ascii="仿宋_GB2312" w:eastAsia="仿宋_GB2312" w:hint="eastAsia"/>
          <w:sz w:val="32"/>
          <w:szCs w:val="32"/>
          <w:shd w:val="clear" w:color="auto" w:fill="FFFFFF"/>
        </w:rPr>
        <w:t>子基金</w:t>
      </w:r>
      <w:proofErr w:type="gramEnd"/>
      <w:r>
        <w:rPr>
          <w:rFonts w:ascii="仿宋_GB2312" w:eastAsia="仿宋_GB2312" w:hint="eastAsia"/>
          <w:sz w:val="32"/>
          <w:szCs w:val="32"/>
          <w:shd w:val="clear" w:color="auto" w:fill="FFFFFF"/>
        </w:rPr>
        <w:t>17只，通过</w:t>
      </w:r>
      <w:proofErr w:type="gramStart"/>
      <w:r>
        <w:rPr>
          <w:rFonts w:ascii="仿宋_GB2312" w:eastAsia="仿宋_GB2312" w:hint="eastAsia"/>
          <w:sz w:val="32"/>
          <w:szCs w:val="32"/>
          <w:shd w:val="clear" w:color="auto" w:fill="FFFFFF"/>
        </w:rPr>
        <w:t>投决子基金</w:t>
      </w:r>
      <w:proofErr w:type="gramEnd"/>
      <w:r>
        <w:rPr>
          <w:rFonts w:ascii="仿宋_GB2312" w:eastAsia="仿宋_GB2312" w:hint="eastAsia"/>
          <w:sz w:val="32"/>
          <w:szCs w:val="32"/>
          <w:shd w:val="clear" w:color="auto" w:fill="FFFFFF"/>
        </w:rPr>
        <w:t>8只，累计</w:t>
      </w:r>
      <w:proofErr w:type="gramStart"/>
      <w:r>
        <w:rPr>
          <w:rFonts w:ascii="仿宋_GB2312" w:eastAsia="仿宋_GB2312" w:hint="eastAsia"/>
          <w:sz w:val="32"/>
          <w:szCs w:val="32"/>
          <w:shd w:val="clear" w:color="auto" w:fill="FFFFFF"/>
        </w:rPr>
        <w:t>投决子基金</w:t>
      </w:r>
      <w:proofErr w:type="gramEnd"/>
      <w:r>
        <w:rPr>
          <w:rFonts w:ascii="仿宋_GB2312" w:eastAsia="仿宋_GB2312" w:hint="eastAsia"/>
          <w:sz w:val="32"/>
          <w:szCs w:val="32"/>
          <w:shd w:val="clear" w:color="auto" w:fill="FFFFFF"/>
        </w:rPr>
        <w:t>74支。从多个维度加强</w:t>
      </w:r>
      <w:proofErr w:type="gramStart"/>
      <w:r>
        <w:rPr>
          <w:rFonts w:ascii="仿宋_GB2312" w:eastAsia="仿宋_GB2312" w:hint="eastAsia"/>
          <w:sz w:val="32"/>
          <w:szCs w:val="32"/>
          <w:shd w:val="clear" w:color="auto" w:fill="FFFFFF"/>
        </w:rPr>
        <w:t>科创基金</w:t>
      </w:r>
      <w:proofErr w:type="gramEnd"/>
      <w:r>
        <w:rPr>
          <w:rFonts w:ascii="仿宋_GB2312" w:eastAsia="仿宋_GB2312" w:hint="eastAsia"/>
          <w:sz w:val="32"/>
          <w:szCs w:val="32"/>
          <w:shd w:val="clear" w:color="auto" w:fill="FFFFFF"/>
        </w:rPr>
        <w:t>的规范运营、优化管理。持续开展金融科技底层关键技术创新、技术突破和应用研究，进一步提升我市金融科技企业核心竞争力和金融服务能力。积极培育、服务创新型企业在新三板挂牌、北交所上市</w:t>
      </w:r>
    </w:p>
    <w:p w14:paraId="6A4DC3F5" w14:textId="77777777" w:rsidR="00357B09" w:rsidRDefault="00000000">
      <w:pPr>
        <w:pStyle w:val="20"/>
        <w:adjustRightInd w:val="0"/>
        <w:snapToGrid w:val="0"/>
        <w:spacing w:line="560" w:lineRule="exact"/>
        <w:ind w:firstLine="643"/>
        <w:rPr>
          <w:rFonts w:ascii="仿宋_GB2312" w:eastAsia="仿宋_GB2312"/>
          <w:sz w:val="32"/>
          <w:szCs w:val="32"/>
        </w:rPr>
      </w:pPr>
      <w:r>
        <w:rPr>
          <w:rFonts w:ascii="仿宋_GB2312" w:eastAsia="仿宋_GB2312" w:cs="仿宋_GB2312" w:hint="eastAsia"/>
          <w:b/>
          <w:sz w:val="32"/>
          <w:szCs w:val="32"/>
        </w:rPr>
        <w:t>（3）开放交流合作进一步加强。</w:t>
      </w:r>
      <w:r>
        <w:rPr>
          <w:rFonts w:ascii="仿宋_GB2312" w:eastAsia="仿宋_GB2312" w:hint="eastAsia"/>
          <w:sz w:val="32"/>
          <w:szCs w:val="32"/>
          <w:shd w:val="clear" w:color="auto" w:fill="FFFFFF"/>
        </w:rPr>
        <w:t>成功举办</w:t>
      </w:r>
      <w:r>
        <w:rPr>
          <w:rFonts w:ascii="仿宋_GB2312" w:eastAsia="仿宋_GB2312"/>
          <w:sz w:val="32"/>
          <w:szCs w:val="32"/>
          <w:shd w:val="clear" w:color="auto" w:fill="FFFFFF"/>
        </w:rPr>
        <w:t>2023中关村论坛，习近平总书记向论坛致发贺信。高水平举办首届国际基础科学大会。成功申办国际科技园区协会(IASP)2025年世界大会。出台进一步支持外资研发中心发展16条措施，累计认定108家外资研发中心，</w:t>
      </w:r>
      <w:r>
        <w:rPr>
          <w:rFonts w:ascii="仿宋_GB2312" w:eastAsia="仿宋_GB2312" w:hint="eastAsia"/>
          <w:sz w:val="32"/>
          <w:szCs w:val="32"/>
          <w:shd w:val="clear" w:color="auto" w:fill="FFFFFF"/>
        </w:rPr>
        <w:t>并</w:t>
      </w:r>
      <w:r>
        <w:rPr>
          <w:rFonts w:ascii="仿宋_GB2312" w:eastAsia="仿宋_GB2312"/>
          <w:sz w:val="32"/>
          <w:szCs w:val="32"/>
          <w:shd w:val="clear" w:color="auto" w:fill="FFFFFF"/>
        </w:rPr>
        <w:t>加大服务力度。</w:t>
      </w:r>
    </w:p>
    <w:p w14:paraId="4463704F" w14:textId="77777777" w:rsidR="00357B09" w:rsidRDefault="00000000">
      <w:pPr>
        <w:pStyle w:val="20"/>
        <w:adjustRightInd w:val="0"/>
        <w:snapToGrid w:val="0"/>
        <w:spacing w:line="560" w:lineRule="exact"/>
        <w:ind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3.服务对象满意度</w:t>
      </w:r>
    </w:p>
    <w:p w14:paraId="35D86C87" w14:textId="77777777" w:rsidR="00357B09" w:rsidRDefault="00000000">
      <w:pPr>
        <w:adjustRightInd w:val="0"/>
        <w:snapToGrid w:val="0"/>
        <w:spacing w:line="560" w:lineRule="exact"/>
        <w:ind w:firstLineChars="200" w:firstLine="640"/>
        <w:rPr>
          <w:rFonts w:ascii="仿宋_GB2312" w:eastAsia="仿宋_GB2312" w:cs="宋体"/>
          <w:sz w:val="32"/>
          <w:szCs w:val="32"/>
        </w:rPr>
      </w:pPr>
      <w:r>
        <w:rPr>
          <w:rFonts w:ascii="仿宋_GB2312" w:eastAsia="仿宋_GB2312" w:cs="宋体" w:hint="eastAsia"/>
          <w:sz w:val="32"/>
          <w:szCs w:val="32"/>
        </w:rPr>
        <w:t>北京市人民政府办公厅对我委2023年的绩效考评结果为</w:t>
      </w:r>
      <w:r>
        <w:rPr>
          <w:rFonts w:ascii="仿宋_GB2312" w:eastAsia="仿宋_GB2312" w:cs="宋体" w:hint="eastAsia"/>
          <w:sz w:val="32"/>
          <w:szCs w:val="32"/>
        </w:rPr>
        <w:lastRenderedPageBreak/>
        <w:t>97.33分，考评等次为“优秀”。</w:t>
      </w:r>
    </w:p>
    <w:p w14:paraId="4AC84B1D" w14:textId="77777777" w:rsidR="00357B09" w:rsidRDefault="00000000">
      <w:pPr>
        <w:pStyle w:val="2"/>
        <w:adjustRightInd w:val="0"/>
        <w:snapToGrid w:val="0"/>
        <w:spacing w:before="0" w:after="0" w:line="560" w:lineRule="exact"/>
        <w:ind w:firstLineChars="200" w:firstLine="640"/>
        <w:rPr>
          <w:rFonts w:ascii="仿宋" w:eastAsia="仿宋" w:cs="仿宋"/>
          <w:b w:val="0"/>
          <w:bCs w:val="0"/>
          <w:szCs w:val="36"/>
        </w:rPr>
      </w:pPr>
      <w:bookmarkStart w:id="15" w:name="_Toc11480"/>
      <w:bookmarkStart w:id="16" w:name="_Toc8469"/>
      <w:r>
        <w:rPr>
          <w:rFonts w:ascii="黑体" w:eastAsia="黑体" w:hint="eastAsia"/>
          <w:b w:val="0"/>
          <w:bCs w:val="0"/>
        </w:rPr>
        <w:t>四、预算管理情况分析</w:t>
      </w:r>
      <w:bookmarkEnd w:id="15"/>
      <w:bookmarkEnd w:id="16"/>
    </w:p>
    <w:p w14:paraId="00F669BC" w14:textId="77777777" w:rsidR="00357B09" w:rsidRDefault="00000000">
      <w:pPr>
        <w:pStyle w:val="2"/>
        <w:adjustRightInd w:val="0"/>
        <w:snapToGrid w:val="0"/>
        <w:spacing w:before="0" w:after="0" w:line="560" w:lineRule="exact"/>
        <w:ind w:firstLineChars="200" w:firstLine="640"/>
        <w:rPr>
          <w:rFonts w:ascii="楷体" w:eastAsia="楷体"/>
          <w:b w:val="0"/>
          <w:bCs w:val="0"/>
        </w:rPr>
      </w:pPr>
      <w:bookmarkStart w:id="17" w:name="_Toc742"/>
      <w:bookmarkStart w:id="18" w:name="_Toc26454"/>
      <w:r>
        <w:rPr>
          <w:rFonts w:ascii="楷体" w:eastAsia="楷体" w:hint="eastAsia"/>
          <w:b w:val="0"/>
          <w:bCs w:val="0"/>
        </w:rPr>
        <w:t>（一）财务管理</w:t>
      </w:r>
      <w:bookmarkEnd w:id="17"/>
      <w:bookmarkEnd w:id="18"/>
    </w:p>
    <w:p w14:paraId="08430EBE" w14:textId="77777777" w:rsidR="00357B09" w:rsidRDefault="00000000">
      <w:pPr>
        <w:adjustRightInd w:val="0"/>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1.财务管理制度完善健全</w:t>
      </w:r>
    </w:p>
    <w:p w14:paraId="0F994068" w14:textId="77777777" w:rsidR="00357B09"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为进一步提高全委财务管理能力和水平，我</w:t>
      </w:r>
      <w:proofErr w:type="gramStart"/>
      <w:r>
        <w:rPr>
          <w:rFonts w:ascii="仿宋_GB2312" w:eastAsia="仿宋_GB2312"/>
          <w:sz w:val="32"/>
          <w:szCs w:val="32"/>
        </w:rPr>
        <w:t>委</w:t>
      </w:r>
      <w:r>
        <w:rPr>
          <w:rFonts w:ascii="仿宋_GB2312" w:eastAsia="仿宋_GB2312" w:hint="eastAsia"/>
          <w:sz w:val="32"/>
          <w:szCs w:val="32"/>
        </w:rPr>
        <w:t>建立</w:t>
      </w:r>
      <w:proofErr w:type="gramEnd"/>
      <w:r>
        <w:rPr>
          <w:rFonts w:ascii="仿宋_GB2312" w:eastAsia="仿宋_GB2312" w:hint="eastAsia"/>
          <w:sz w:val="32"/>
          <w:szCs w:val="32"/>
        </w:rPr>
        <w:t>了完善的财务管理制度体系，从资金审批、预算管理、经费支出、资产管理、政府采购等方面对财务工作进行了规范监督，保障日常工作有章可循、稳步推进。</w:t>
      </w:r>
    </w:p>
    <w:p w14:paraId="0548894C" w14:textId="77777777" w:rsidR="00357B09" w:rsidRDefault="00000000">
      <w:pPr>
        <w:adjustRightInd w:val="0"/>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2.资金使用安全合</w:t>
      </w:r>
      <w:proofErr w:type="gramStart"/>
      <w:r>
        <w:rPr>
          <w:rFonts w:ascii="仿宋_GB2312" w:eastAsia="仿宋_GB2312" w:hint="eastAsia"/>
          <w:b/>
          <w:bCs/>
          <w:sz w:val="32"/>
          <w:szCs w:val="32"/>
        </w:rPr>
        <w:t>规</w:t>
      </w:r>
      <w:proofErr w:type="gramEnd"/>
    </w:p>
    <w:p w14:paraId="4AC7EA95" w14:textId="77777777" w:rsidR="00357B09"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资金使用严格遵照国家法律法规和有关管理制度执行，资金拨付审批程序完整规范，资金使用安全合</w:t>
      </w:r>
      <w:proofErr w:type="gramStart"/>
      <w:r>
        <w:rPr>
          <w:rFonts w:ascii="仿宋_GB2312" w:eastAsia="仿宋_GB2312" w:hint="eastAsia"/>
          <w:sz w:val="32"/>
          <w:szCs w:val="32"/>
        </w:rPr>
        <w:t>规</w:t>
      </w:r>
      <w:proofErr w:type="gramEnd"/>
      <w:r>
        <w:rPr>
          <w:rFonts w:ascii="仿宋_GB2312" w:eastAsia="仿宋_GB2312" w:hint="eastAsia"/>
          <w:sz w:val="32"/>
          <w:szCs w:val="32"/>
        </w:rPr>
        <w:t>。内部审计和监督机制完善，为资金高效安全的使用保驾护航。</w:t>
      </w:r>
    </w:p>
    <w:p w14:paraId="727F40A3" w14:textId="77777777" w:rsidR="00357B09" w:rsidRDefault="00000000">
      <w:pPr>
        <w:adjustRightInd w:val="0"/>
        <w:snapToGrid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3.会计基础信息完整准确</w:t>
      </w:r>
    </w:p>
    <w:p w14:paraId="16DFA1F5" w14:textId="77777777" w:rsidR="00357B09"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在费用报销及合同付款过程中，严格审批原始凭证，对内容不全、手续不完备的原始凭证以及未审批完成的支出不予办理支付。</w:t>
      </w:r>
    </w:p>
    <w:p w14:paraId="1C54E77B" w14:textId="77777777" w:rsidR="00357B09" w:rsidRDefault="00000000">
      <w:pPr>
        <w:pStyle w:val="2"/>
        <w:adjustRightInd w:val="0"/>
        <w:snapToGrid w:val="0"/>
        <w:spacing w:before="0" w:after="0" w:line="560" w:lineRule="exact"/>
        <w:ind w:firstLineChars="200" w:firstLine="640"/>
        <w:rPr>
          <w:rFonts w:ascii="楷体" w:eastAsia="楷体"/>
          <w:b w:val="0"/>
          <w:bCs w:val="0"/>
        </w:rPr>
      </w:pPr>
      <w:bookmarkStart w:id="19" w:name="_Toc9370"/>
      <w:bookmarkStart w:id="20" w:name="_Toc6726"/>
      <w:r>
        <w:rPr>
          <w:rFonts w:ascii="楷体" w:eastAsia="楷体" w:hint="eastAsia"/>
          <w:b w:val="0"/>
          <w:bCs w:val="0"/>
        </w:rPr>
        <w:t>（二）资产管理</w:t>
      </w:r>
      <w:bookmarkEnd w:id="19"/>
      <w:bookmarkEnd w:id="20"/>
    </w:p>
    <w:p w14:paraId="00412B5C" w14:textId="77777777" w:rsidR="00357B09" w:rsidRDefault="00000000">
      <w:pPr>
        <w:adjustRightInd w:val="0"/>
        <w:snapToGrid w:val="0"/>
        <w:spacing w:line="560" w:lineRule="exact"/>
        <w:ind w:firstLineChars="200" w:firstLine="640"/>
        <w:rPr>
          <w:rFonts w:ascii="仿宋_GB2312" w:eastAsia="仿宋_GB2312"/>
          <w:sz w:val="32"/>
          <w:szCs w:val="32"/>
        </w:rPr>
      </w:pPr>
      <w:bookmarkStart w:id="21" w:name="_Toc21458"/>
      <w:r>
        <w:rPr>
          <w:rFonts w:ascii="仿宋_GB2312" w:eastAsia="仿宋_GB2312" w:hint="eastAsia"/>
          <w:sz w:val="32"/>
          <w:szCs w:val="32"/>
        </w:rPr>
        <w:t>2023年我委进一步加强和完善资产管理，全面强化对国有资产的监管。一是开展固定资产盘点，摸清全委固定资产底数；二是落实资产监管责任，将固定资产监管责任落实到具体人员；三是对固定资产贴签，明确各资产“身份”。</w:t>
      </w:r>
    </w:p>
    <w:p w14:paraId="5F291B72" w14:textId="77777777" w:rsidR="00357B09" w:rsidRDefault="00000000">
      <w:pPr>
        <w:pStyle w:val="2"/>
        <w:adjustRightInd w:val="0"/>
        <w:snapToGrid w:val="0"/>
        <w:spacing w:before="0" w:after="0" w:line="560" w:lineRule="exact"/>
        <w:ind w:firstLineChars="200" w:firstLine="640"/>
        <w:rPr>
          <w:rFonts w:ascii="楷体" w:eastAsia="楷体"/>
          <w:b w:val="0"/>
          <w:bCs w:val="0"/>
        </w:rPr>
      </w:pPr>
      <w:bookmarkStart w:id="22" w:name="_Toc5772"/>
      <w:r>
        <w:rPr>
          <w:rFonts w:ascii="楷体" w:eastAsia="楷体" w:hint="eastAsia"/>
          <w:b w:val="0"/>
          <w:bCs w:val="0"/>
        </w:rPr>
        <w:t>（三）绩效管理</w:t>
      </w:r>
      <w:bookmarkEnd w:id="21"/>
      <w:bookmarkEnd w:id="22"/>
    </w:p>
    <w:p w14:paraId="470ED901" w14:textId="77777777" w:rsidR="00357B09"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我委高度重视绩效管理工作，将</w:t>
      </w:r>
      <w:r>
        <w:rPr>
          <w:rFonts w:ascii="仿宋_GB2312" w:eastAsia="仿宋_GB2312" w:cs="仿宋_GB2312"/>
          <w:color w:val="000000"/>
          <w:sz w:val="32"/>
          <w:szCs w:val="32"/>
        </w:rPr>
        <w:t>绩效理念深度融入预算编制、执行</w:t>
      </w:r>
      <w:r>
        <w:rPr>
          <w:rFonts w:ascii="仿宋_GB2312" w:eastAsia="仿宋_GB2312" w:cs="仿宋_GB2312" w:hint="eastAsia"/>
          <w:color w:val="000000"/>
          <w:sz w:val="32"/>
          <w:szCs w:val="32"/>
        </w:rPr>
        <w:t>和</w:t>
      </w:r>
      <w:r>
        <w:rPr>
          <w:rFonts w:ascii="仿宋_GB2312" w:eastAsia="仿宋_GB2312" w:cs="仿宋_GB2312"/>
          <w:color w:val="000000"/>
          <w:sz w:val="32"/>
          <w:szCs w:val="32"/>
        </w:rPr>
        <w:t>监督全过程，构建事前、事中、事后绩效管理闭环</w:t>
      </w:r>
      <w:r>
        <w:rPr>
          <w:rFonts w:ascii="仿宋_GB2312" w:eastAsia="仿宋_GB2312" w:cs="仿宋_GB2312"/>
          <w:color w:val="000000"/>
          <w:sz w:val="32"/>
          <w:szCs w:val="32"/>
        </w:rPr>
        <w:lastRenderedPageBreak/>
        <w:t>系统，创新预算管理方式，</w:t>
      </w:r>
      <w:r>
        <w:rPr>
          <w:rFonts w:ascii="仿宋_GB2312" w:eastAsia="仿宋_GB2312" w:cs="仿宋_GB2312" w:hint="eastAsia"/>
          <w:color w:val="000000"/>
          <w:sz w:val="32"/>
          <w:szCs w:val="32"/>
        </w:rPr>
        <w:t>扎实做好各项绩效管理工作。</w:t>
      </w:r>
      <w:r>
        <w:rPr>
          <w:rFonts w:ascii="仿宋_GB2312" w:eastAsia="仿宋_GB2312" w:cs="仿宋_GB2312" w:hint="eastAsia"/>
          <w:sz w:val="32"/>
          <w:szCs w:val="32"/>
        </w:rPr>
        <w:t>成立了由我委财务处牵头的预算绩效管理工作组，具体负责预算绩效管理工作的整体协调管理工作。</w:t>
      </w:r>
      <w:r>
        <w:rPr>
          <w:rFonts w:ascii="仿宋" w:eastAsia="仿宋_GB2312" w:hAnsi="仿宋" w:hint="eastAsia"/>
          <w:sz w:val="32"/>
          <w:szCs w:val="32"/>
        </w:rPr>
        <w:t>各处室和所属各单位为绩效管理的具体实施单位，负责绩效目标申报、绩效监控和绩效自评</w:t>
      </w:r>
      <w:r>
        <w:rPr>
          <w:rFonts w:ascii="仿宋_GB2312" w:eastAsia="仿宋_GB2312" w:cs="仿宋_GB2312" w:hint="eastAsia"/>
          <w:sz w:val="32"/>
          <w:szCs w:val="32"/>
        </w:rPr>
        <w:t>等相关工作。</w:t>
      </w:r>
    </w:p>
    <w:p w14:paraId="1FA7D581" w14:textId="77777777" w:rsidR="00357B09"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一是加强绩效目标管理。按照市财政局要求，将2024年项目全部纳入绩效目标填报范围，完成了39个项目绩效目标申报表的审核及系统录入工作。</w:t>
      </w:r>
    </w:p>
    <w:p w14:paraId="04B67D0D" w14:textId="77777777" w:rsidR="00357B09" w:rsidRDefault="00000000">
      <w:pPr>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二是开展事后绩效自评及事中绩效监控。</w:t>
      </w:r>
      <w:r>
        <w:rPr>
          <w:rFonts w:ascii="仿宋_GB2312" w:eastAsia="仿宋_GB2312" w:hint="eastAsia"/>
          <w:sz w:val="32"/>
          <w:szCs w:val="32"/>
        </w:rPr>
        <w:t>2022年度部门项目支出实施绩效自评，评价项目45个，涉及金额220,448.40万元。开展部门绩效评价项目1个，涉及金额3,000万元，评价得分83.96分。单位自评项目45个，评价得分在90（含）-100分的41个、评价得分在80（含）-90分的3个、评价得分在60（含）-80分的1个。</w:t>
      </w:r>
      <w:r>
        <w:rPr>
          <w:rFonts w:ascii="仿宋_GB2312" w:eastAsia="仿宋_GB2312" w:cs="仿宋_GB2312" w:hint="eastAsia"/>
          <w:sz w:val="32"/>
          <w:szCs w:val="32"/>
        </w:rPr>
        <w:t>2023年度绩效运行监控项目87个，涉及金额374,215.77万元。</w:t>
      </w:r>
    </w:p>
    <w:p w14:paraId="67E7FE43" w14:textId="77777777" w:rsidR="00357B09"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三是</w:t>
      </w:r>
      <w:bookmarkStart w:id="23" w:name="_Toc18001"/>
      <w:r>
        <w:rPr>
          <w:rFonts w:ascii="仿宋_GB2312" w:eastAsia="仿宋_GB2312" w:cs="仿宋_GB2312" w:hint="eastAsia"/>
          <w:sz w:val="32"/>
          <w:szCs w:val="32"/>
        </w:rPr>
        <w:t>研究制定</w:t>
      </w:r>
      <w:bookmarkEnd w:id="23"/>
      <w:r>
        <w:rPr>
          <w:rFonts w:ascii="仿宋_GB2312" w:eastAsia="仿宋_GB2312" w:cs="仿宋_GB2312" w:hint="eastAsia"/>
          <w:sz w:val="32"/>
          <w:szCs w:val="32"/>
        </w:rPr>
        <w:t>北京市财政科技项目预算绩效指标库（核心推荐）。为深入贯彻落实中央及本市关于全面实施预算绩效管理的决策部署，完善科技领域财政预算绩效管理工作，我委会同市财政局，共同编制了《北京市财政科技项目预算绩效指标库（核心推荐）》。用以引导和规范市科委、中关村管委会各预算支出处室及所属预算事业单位等填报财政预算项目的年度预算绩效指标。</w:t>
      </w:r>
    </w:p>
    <w:p w14:paraId="4A12466D" w14:textId="77777777" w:rsidR="00357B09" w:rsidRDefault="00000000">
      <w:pPr>
        <w:pStyle w:val="2"/>
        <w:keepLines w:val="0"/>
        <w:adjustRightInd w:val="0"/>
        <w:snapToGrid w:val="0"/>
        <w:spacing w:before="0" w:after="0" w:line="560" w:lineRule="exact"/>
        <w:ind w:firstLineChars="200" w:firstLine="640"/>
        <w:rPr>
          <w:rFonts w:ascii="楷体" w:eastAsia="楷体"/>
          <w:b w:val="0"/>
          <w:bCs w:val="0"/>
        </w:rPr>
      </w:pPr>
      <w:bookmarkStart w:id="24" w:name="_Toc12269"/>
      <w:bookmarkStart w:id="25" w:name="_Toc18787"/>
      <w:r>
        <w:rPr>
          <w:rFonts w:ascii="楷体" w:eastAsia="楷体" w:hint="eastAsia"/>
          <w:b w:val="0"/>
          <w:bCs w:val="0"/>
        </w:rPr>
        <w:t>（四）结转结余率</w:t>
      </w:r>
      <w:bookmarkEnd w:id="24"/>
      <w:bookmarkEnd w:id="25"/>
    </w:p>
    <w:p w14:paraId="3A24A7A1" w14:textId="77777777" w:rsidR="00357B09" w:rsidRDefault="00000000">
      <w:pPr>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2023年末结转结余10,936.76万元，占全年支出预算金额</w:t>
      </w:r>
      <w:r>
        <w:rPr>
          <w:rFonts w:ascii="仿宋_GB2312" w:eastAsia="仿宋_GB2312" w:cs="仿宋_GB2312" w:hint="eastAsia"/>
          <w:sz w:val="32"/>
          <w:szCs w:val="32"/>
        </w:rPr>
        <w:lastRenderedPageBreak/>
        <w:t>219,615.63万元的4.98%，较上年结转结余率11.40%降低6个百分点。</w:t>
      </w:r>
    </w:p>
    <w:p w14:paraId="2B3F91C6" w14:textId="77777777" w:rsidR="00357B09" w:rsidRDefault="00000000">
      <w:pPr>
        <w:pStyle w:val="2"/>
        <w:adjustRightInd w:val="0"/>
        <w:snapToGrid w:val="0"/>
        <w:spacing w:before="0" w:after="0" w:line="560" w:lineRule="exact"/>
        <w:ind w:firstLineChars="200" w:firstLine="640"/>
        <w:rPr>
          <w:rFonts w:ascii="楷体" w:eastAsia="楷体"/>
          <w:b w:val="0"/>
          <w:bCs w:val="0"/>
        </w:rPr>
      </w:pPr>
      <w:bookmarkStart w:id="26" w:name="_Toc24180"/>
      <w:bookmarkStart w:id="27" w:name="_Toc4323"/>
      <w:r>
        <w:rPr>
          <w:rFonts w:ascii="楷体" w:eastAsia="楷体" w:hint="eastAsia"/>
          <w:b w:val="0"/>
          <w:bCs w:val="0"/>
        </w:rPr>
        <w:t>（五）部门预决算差异</w:t>
      </w:r>
      <w:bookmarkEnd w:id="26"/>
      <w:bookmarkEnd w:id="27"/>
    </w:p>
    <w:p w14:paraId="40C81AF1" w14:textId="77777777" w:rsidR="00357B09"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2023年</w:t>
      </w:r>
      <w:proofErr w:type="gramStart"/>
      <w:r>
        <w:rPr>
          <w:rFonts w:ascii="仿宋_GB2312" w:eastAsia="仿宋_GB2312" w:cs="仿宋_GB2312" w:hint="eastAsia"/>
          <w:color w:val="000000"/>
          <w:sz w:val="32"/>
          <w:szCs w:val="32"/>
        </w:rPr>
        <w:t>末决</w:t>
      </w:r>
      <w:proofErr w:type="gramEnd"/>
      <w:r>
        <w:rPr>
          <w:rFonts w:ascii="仿宋_GB2312" w:eastAsia="仿宋_GB2312" w:cs="仿宋_GB2312" w:hint="eastAsia"/>
          <w:color w:val="000000"/>
          <w:sz w:val="32"/>
          <w:szCs w:val="32"/>
        </w:rPr>
        <w:t>算支出</w:t>
      </w:r>
      <w:r>
        <w:rPr>
          <w:rFonts w:ascii="仿宋_GB2312" w:eastAsia="仿宋_GB2312" w:cs="仿宋_GB2312" w:hint="eastAsia"/>
          <w:sz w:val="32"/>
          <w:szCs w:val="32"/>
        </w:rPr>
        <w:t>208,678.87万元，年初预算收入205,057.31万元，部门预算决算差异率为1.77%，低于全市平均部门预决算差异率。</w:t>
      </w:r>
    </w:p>
    <w:p w14:paraId="57BE6A5D" w14:textId="77777777" w:rsidR="00357B09" w:rsidRDefault="00000000">
      <w:pPr>
        <w:pStyle w:val="2"/>
        <w:adjustRightInd w:val="0"/>
        <w:snapToGrid w:val="0"/>
        <w:spacing w:before="0" w:after="0" w:line="560" w:lineRule="exact"/>
        <w:ind w:firstLineChars="200" w:firstLine="640"/>
        <w:rPr>
          <w:rFonts w:ascii="黑体" w:eastAsia="黑体"/>
          <w:b w:val="0"/>
          <w:bCs w:val="0"/>
        </w:rPr>
      </w:pPr>
      <w:bookmarkStart w:id="28" w:name="_Toc8100"/>
      <w:bookmarkStart w:id="29" w:name="_Toc32677"/>
      <w:r>
        <w:rPr>
          <w:rFonts w:ascii="黑体" w:eastAsia="黑体" w:hint="eastAsia"/>
          <w:b w:val="0"/>
          <w:bCs w:val="0"/>
        </w:rPr>
        <w:t>五、总体评价结论</w:t>
      </w:r>
      <w:bookmarkEnd w:id="28"/>
      <w:bookmarkEnd w:id="29"/>
    </w:p>
    <w:p w14:paraId="3F035152" w14:textId="77777777" w:rsidR="00357B09" w:rsidRDefault="00000000">
      <w:pPr>
        <w:adjustRightInd w:val="0"/>
        <w:snapToGrid w:val="0"/>
        <w:spacing w:line="560" w:lineRule="exact"/>
        <w:ind w:firstLineChars="200" w:firstLine="640"/>
        <w:outlineLvl w:val="1"/>
        <w:rPr>
          <w:rFonts w:ascii="楷体" w:eastAsia="楷体" w:cs="楷体"/>
          <w:sz w:val="32"/>
          <w:szCs w:val="32"/>
        </w:rPr>
      </w:pPr>
      <w:bookmarkStart w:id="30" w:name="_Toc30172"/>
      <w:bookmarkStart w:id="31" w:name="_Toc29606"/>
      <w:r>
        <w:rPr>
          <w:rFonts w:ascii="楷体" w:eastAsia="楷体" w:cs="楷体" w:hint="eastAsia"/>
          <w:sz w:val="32"/>
          <w:szCs w:val="32"/>
        </w:rPr>
        <w:t>（一）评价得分情况</w:t>
      </w:r>
      <w:bookmarkEnd w:id="30"/>
      <w:bookmarkEnd w:id="31"/>
    </w:p>
    <w:p w14:paraId="7D5380F7" w14:textId="77777777" w:rsidR="00357B09" w:rsidRDefault="00000000">
      <w:pPr>
        <w:widowControl/>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次部门整体绩效评价通过资料分析、专家评议等多种方式开展了全面、系统、客观的分析评价，最终得分为97.16分，综合评价等级为“优秀”。其中：当年预算执行情况19分，整体绩效目标实际情况58.16分，预算管理情况20分，具体评分见《中关村科技园区管理委员会2023年度部门整体绩效评价指标体系评分表》。</w:t>
      </w:r>
    </w:p>
    <w:p w14:paraId="07877D31" w14:textId="77777777" w:rsidR="00357B09" w:rsidRDefault="00000000">
      <w:pPr>
        <w:adjustRightInd w:val="0"/>
        <w:snapToGrid w:val="0"/>
        <w:spacing w:line="560" w:lineRule="exact"/>
        <w:ind w:firstLineChars="200" w:firstLine="640"/>
        <w:outlineLvl w:val="1"/>
        <w:rPr>
          <w:rFonts w:ascii="楷体" w:eastAsia="楷体" w:cs="楷体"/>
          <w:sz w:val="32"/>
          <w:szCs w:val="32"/>
        </w:rPr>
      </w:pPr>
      <w:bookmarkStart w:id="32" w:name="_Toc21768"/>
      <w:bookmarkStart w:id="33" w:name="_Toc30529"/>
      <w:r>
        <w:rPr>
          <w:rFonts w:ascii="楷体" w:eastAsia="楷体" w:cs="楷体" w:hint="eastAsia"/>
          <w:sz w:val="32"/>
          <w:szCs w:val="32"/>
        </w:rPr>
        <w:t>（二）存在的问题及原因分析</w:t>
      </w:r>
      <w:bookmarkEnd w:id="32"/>
      <w:bookmarkEnd w:id="33"/>
    </w:p>
    <w:p w14:paraId="73DA8535" w14:textId="77777777" w:rsidR="00357B09"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cs="仿宋_GB2312" w:hint="eastAsia"/>
          <w:sz w:val="32"/>
          <w:szCs w:val="32"/>
        </w:rPr>
        <w:t>项目绩效目标设置仍有待进一步优化</w:t>
      </w:r>
      <w:r>
        <w:rPr>
          <w:rFonts w:ascii="仿宋_GB2312" w:eastAsia="仿宋_GB2312" w:hint="eastAsia"/>
          <w:sz w:val="32"/>
          <w:szCs w:val="32"/>
        </w:rPr>
        <w:t>。个别项目绩效指标的细化程度及量化不足，效益指标设置较为宏观，导致绩效目标实现程度的可衡量性较弱，不能体现项目的直接效果。</w:t>
      </w:r>
    </w:p>
    <w:p w14:paraId="21353C3D" w14:textId="77777777" w:rsidR="00357B09"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cs="仿宋_GB2312" w:hint="eastAsia"/>
          <w:sz w:val="32"/>
          <w:szCs w:val="32"/>
        </w:rPr>
        <w:t>项目立项阶段的论证不够深入。作为资金规模相对较大、创新性较强的项目，项目前期论证不够深入，项目预算编制的科学性、精准度有待进一步提高</w:t>
      </w:r>
      <w:r>
        <w:rPr>
          <w:rFonts w:ascii="仿宋_GB2312" w:eastAsia="仿宋_GB2312" w:hint="eastAsia"/>
          <w:sz w:val="32"/>
          <w:szCs w:val="32"/>
        </w:rPr>
        <w:t>。</w:t>
      </w:r>
    </w:p>
    <w:p w14:paraId="1254BEEA" w14:textId="77777777" w:rsidR="00357B09"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3.项目绩效信息体现还不够充分。项目效益指标的实现情况缺乏材料支撑，体现项目绩效成果和满意度调查的统计分析还不够充分。此外科技类项目实施和产生效果的周期往往较长，</w:t>
      </w:r>
      <w:r>
        <w:rPr>
          <w:rFonts w:ascii="仿宋_GB2312" w:eastAsia="仿宋_GB2312" w:hint="eastAsia"/>
          <w:sz w:val="32"/>
          <w:szCs w:val="32"/>
        </w:rPr>
        <w:lastRenderedPageBreak/>
        <w:t>与预算年度存在偏差，支持项目在预算绩效评价时尚未结题，效益效果尚未充分体现，使年度评价时的产出与预期产出存在差距。</w:t>
      </w:r>
    </w:p>
    <w:p w14:paraId="582CC6D0" w14:textId="77777777" w:rsidR="00357B09" w:rsidRDefault="00000000">
      <w:pPr>
        <w:pStyle w:val="2"/>
        <w:adjustRightInd w:val="0"/>
        <w:snapToGrid w:val="0"/>
        <w:spacing w:before="0" w:after="0" w:line="560" w:lineRule="exact"/>
        <w:ind w:firstLineChars="200" w:firstLine="640"/>
        <w:rPr>
          <w:rFonts w:ascii="黑体" w:eastAsia="黑体"/>
          <w:b w:val="0"/>
          <w:bCs w:val="0"/>
        </w:rPr>
      </w:pPr>
      <w:bookmarkStart w:id="34" w:name="_Toc11328"/>
      <w:bookmarkStart w:id="35" w:name="_Toc17534"/>
      <w:r>
        <w:rPr>
          <w:rFonts w:ascii="黑体" w:eastAsia="黑体" w:hint="eastAsia"/>
          <w:b w:val="0"/>
          <w:bCs w:val="0"/>
        </w:rPr>
        <w:t>六、措施建议</w:t>
      </w:r>
      <w:bookmarkEnd w:id="34"/>
      <w:bookmarkEnd w:id="35"/>
    </w:p>
    <w:p w14:paraId="48D3EF0E" w14:textId="77777777" w:rsidR="00357B09" w:rsidRDefault="00000000">
      <w:pPr>
        <w:adjustRightInd w:val="0"/>
        <w:snapToGrid w:val="0"/>
        <w:spacing w:line="560" w:lineRule="exact"/>
        <w:ind w:firstLineChars="200" w:firstLine="640"/>
        <w:rPr>
          <w:rFonts w:ascii="仿宋_GB2312" w:eastAsia="仿宋_GB2312" w:cs="仿宋_GB2312"/>
          <w:sz w:val="32"/>
          <w:szCs w:val="32"/>
        </w:rPr>
      </w:pPr>
      <w:bookmarkStart w:id="36" w:name="_Toc103006301"/>
      <w:bookmarkStart w:id="37" w:name="_Toc6109"/>
      <w:r>
        <w:rPr>
          <w:rFonts w:ascii="仿宋_GB2312" w:eastAsia="仿宋_GB2312" w:cs="仿宋_GB2312" w:hint="eastAsia"/>
          <w:sz w:val="32"/>
          <w:szCs w:val="32"/>
        </w:rPr>
        <w:t>（一）针对绩效目标设定中存在的问题，我委于2023年组织开展了财政科技项目绩效指标研究工作，按照科研创新类、创新环境类、新型研发机构类、部门履职类等四大类项目分类梳理并制定分行业分领域指标体系，并已应用于2024年预算编制。</w:t>
      </w:r>
    </w:p>
    <w:p w14:paraId="0586CF98" w14:textId="77777777" w:rsidR="00357B09" w:rsidRDefault="00000000">
      <w:pPr>
        <w:adjustRightInd w:val="0"/>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w:t>
      </w:r>
      <w:r>
        <w:rPr>
          <w:rFonts w:ascii="仿宋_GB2312" w:eastAsia="仿宋_GB2312" w:hint="eastAsia"/>
          <w:sz w:val="32"/>
          <w:szCs w:val="32"/>
        </w:rPr>
        <w:t>进一步提升部门管理水平。根据部门的工作重点，对预算资金合理排序，统筹兼顾，保障重点，加强项目的深入调研，增强预算资金与工作需求的匹配程度。</w:t>
      </w:r>
    </w:p>
    <w:p w14:paraId="1FD6B617" w14:textId="77777777" w:rsidR="00357B09" w:rsidRDefault="00000000">
      <w:pPr>
        <w:adjustRightInd w:val="0"/>
        <w:snapToGrid w:val="0"/>
        <w:spacing w:line="560" w:lineRule="exact"/>
        <w:ind w:firstLineChars="200" w:firstLine="640"/>
        <w:rPr>
          <w:rFonts w:ascii="仿宋_GB2312" w:eastAsia="仿宋_GB2312" w:cs="方正仿宋_GBK"/>
          <w:sz w:val="32"/>
          <w:szCs w:val="32"/>
        </w:rPr>
      </w:pPr>
      <w:r>
        <w:rPr>
          <w:rFonts w:ascii="仿宋_GB2312" w:eastAsia="仿宋_GB2312" w:cs="仿宋_GB2312" w:hint="eastAsia"/>
          <w:sz w:val="32"/>
          <w:szCs w:val="32"/>
        </w:rPr>
        <w:t>（三）进一步加强绩效成果应用，不断提高财政资金科学化、精细化管理水平，提高财政资金支出效益。针对实施周期较长的项目探索建立绩效信息的跟踪机制，加强对绩效成果的跟踪及统计分析。综合运用比较数据从多个层面反映项目绩效实现情况</w:t>
      </w:r>
      <w:r>
        <w:rPr>
          <w:rFonts w:ascii="仿宋_GB2312" w:eastAsia="仿宋_GB2312" w:cs="方正仿宋_GBK" w:hint="eastAsia"/>
          <w:sz w:val="32"/>
          <w:szCs w:val="32"/>
        </w:rPr>
        <w:t>。注重后续的绩效评估和总结，争取形成能推广、可复制的经验。</w:t>
      </w:r>
    </w:p>
    <w:p w14:paraId="0B1448DB" w14:textId="77777777" w:rsidR="00357B09" w:rsidRDefault="00000000">
      <w:pPr>
        <w:pStyle w:val="2"/>
        <w:adjustRightInd w:val="0"/>
        <w:snapToGrid w:val="0"/>
        <w:spacing w:before="0" w:after="0" w:line="560" w:lineRule="exact"/>
        <w:ind w:firstLineChars="200" w:firstLine="640"/>
        <w:rPr>
          <w:rFonts w:ascii="黑体" w:eastAsia="黑体"/>
          <w:b w:val="0"/>
          <w:bCs w:val="0"/>
        </w:rPr>
      </w:pPr>
      <w:bookmarkStart w:id="38" w:name="_Toc20929"/>
      <w:r>
        <w:rPr>
          <w:rFonts w:ascii="黑体" w:eastAsia="黑体" w:hint="eastAsia"/>
          <w:b w:val="0"/>
          <w:bCs w:val="0"/>
        </w:rPr>
        <w:t>七、附件</w:t>
      </w:r>
      <w:bookmarkEnd w:id="36"/>
      <w:bookmarkEnd w:id="37"/>
      <w:bookmarkEnd w:id="38"/>
    </w:p>
    <w:p w14:paraId="243BAB63" w14:textId="77777777" w:rsidR="00357B09"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中关村科技园区管理委员会2023年度部门整体绩效评价指标体系评分表</w:t>
      </w:r>
    </w:p>
    <w:p w14:paraId="202AC6CA" w14:textId="77777777" w:rsidR="00357B09" w:rsidRDefault="00357B09">
      <w:pPr>
        <w:snapToGrid w:val="0"/>
        <w:spacing w:line="560" w:lineRule="exact"/>
        <w:ind w:firstLineChars="200" w:firstLine="420"/>
      </w:pPr>
    </w:p>
    <w:sectPr w:rsidR="00357B09">
      <w:footerReference w:type="default" r:id="rId11"/>
      <w:pgSz w:w="11906" w:h="16838"/>
      <w:pgMar w:top="1440" w:right="1416"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821AB" w14:textId="77777777" w:rsidR="00F21D7E" w:rsidRDefault="00F21D7E">
      <w:r>
        <w:separator/>
      </w:r>
    </w:p>
  </w:endnote>
  <w:endnote w:type="continuationSeparator" w:id="0">
    <w:p w14:paraId="2818658E" w14:textId="77777777" w:rsidR="00F21D7E" w:rsidRDefault="00F21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default"/>
    <w:sig w:usb0="00000000" w:usb1="00000000" w:usb2="00000000" w:usb3="00000000" w:csb0="00040000" w:csb1="00000000"/>
  </w:font>
  <w:font w:name="Segoe UI">
    <w:panose1 w:val="020B0502040204020203"/>
    <w:charset w:val="00"/>
    <w:family w:val="swiss"/>
    <w:pitch w:val="variable"/>
    <w:sig w:usb0="E4002EFF" w:usb1="C000E47F" w:usb2="00000009" w:usb3="00000000" w:csb0="000001FF" w:csb1="00000000"/>
  </w:font>
  <w:font w:name="汉仪大黑简">
    <w:altName w:val="微软雅黑"/>
    <w:charset w:val="00"/>
    <w:family w:val="auto"/>
    <w:pitch w:val="default"/>
    <w:sig w:usb0="00000000" w:usb1="00000000" w:usb2="00000000" w:usb3="00000000" w:csb0="00040001" w:csb1="00000000"/>
  </w:font>
  <w:font w:name="方正仿宋_GBK">
    <w:altName w:val="微软雅黑"/>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AB7ED" w14:textId="77777777" w:rsidR="00357B09" w:rsidRDefault="00000000">
    <w:pPr>
      <w:pStyle w:val="aa"/>
      <w:jc w:val="center"/>
    </w:pPr>
    <w:r>
      <w:pict w14:anchorId="4C1D71CE">
        <v:rect id="文本框 1027" o:spid="_x0000_s1026" style="position:absolute;left:0;text-align:left;margin-left:-46.65pt;margin-top:0;width:4.55pt;height:11pt;z-index:251659264;mso-wrap-style:none;mso-position-horizontal:right;mso-position-horizontal-relative:margin;mso-width-relative:page;mso-height-relative:page" filled="f" stroked="f">
          <v:textbox style="mso-fit-shape-to-text:t" inset="0,0,0,0">
            <w:txbxContent>
              <w:p w14:paraId="7EB0D4AE" w14:textId="77777777" w:rsidR="00357B09" w:rsidRDefault="00000000">
                <w:pPr>
                  <w:pStyle w:val="aa"/>
                  <w:jc w:val="center"/>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rect>
      </w:pict>
    </w:r>
  </w:p>
  <w:p w14:paraId="519ECB26" w14:textId="77777777" w:rsidR="00357B09" w:rsidRDefault="00357B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9F56D" w14:textId="77777777" w:rsidR="00357B09" w:rsidRDefault="00357B0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12EBD" w14:textId="77777777" w:rsidR="00357B09" w:rsidRDefault="00000000">
    <w:pPr>
      <w:pStyle w:val="aa"/>
      <w:ind w:firstLine="360"/>
      <w:jc w:val="center"/>
    </w:pPr>
    <w:r>
      <w:pict w14:anchorId="1823AC86">
        <v:rect id="Quad Arrow 2" o:spid="_x0000_s1025" style="position:absolute;left:0;text-align:left;margin-left:-42.05pt;margin-top:0;width:9.15pt;height:23.8pt;z-index:251660288;mso-wrap-style:none;mso-position-horizontal:right;mso-position-horizontal-relative:margin;mso-width-relative:page;mso-height-relative:page" filled="f" stroked="f">
          <v:textbox style="mso-fit-shape-to-text:t" inset="0,0,0,0">
            <w:txbxContent>
              <w:p w14:paraId="7707E8D7" w14:textId="77777777" w:rsidR="00357B09" w:rsidRDefault="00000000">
                <w:r>
                  <w:t xml:space="preserve">— </w:t>
                </w:r>
                <w:r>
                  <w:rPr>
                    <w:szCs w:val="21"/>
                  </w:rPr>
                  <w:fldChar w:fldCharType="begin"/>
                </w:r>
                <w:r>
                  <w:rPr>
                    <w:szCs w:val="21"/>
                  </w:rPr>
                  <w:instrText xml:space="preserve"> PAGE  \* MERGEFORMAT </w:instrText>
                </w:r>
                <w:r>
                  <w:rPr>
                    <w:szCs w:val="21"/>
                  </w:rPr>
                  <w:fldChar w:fldCharType="separate"/>
                </w:r>
                <w:r>
                  <w:rPr>
                    <w:szCs w:val="21"/>
                  </w:rPr>
                  <w:t>1</w:t>
                </w:r>
                <w:r>
                  <w:rPr>
                    <w:szCs w:val="21"/>
                  </w:rPr>
                  <w:fldChar w:fldCharType="end"/>
                </w:r>
                <w:r>
                  <w:t xml:space="preserve"> —</w:t>
                </w:r>
              </w:p>
            </w:txbxContent>
          </v:textbox>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7F5BD" w14:textId="77777777" w:rsidR="00F21D7E" w:rsidRDefault="00F21D7E">
      <w:r>
        <w:separator/>
      </w:r>
    </w:p>
  </w:footnote>
  <w:footnote w:type="continuationSeparator" w:id="0">
    <w:p w14:paraId="744CC1D5" w14:textId="77777777" w:rsidR="00F21D7E" w:rsidRDefault="00F21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E33D3" w14:textId="77777777" w:rsidR="00357B09" w:rsidRDefault="00357B09">
    <w:pPr>
      <w:pStyle w:val="aa"/>
      <w:ind w:firstLine="36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bordersDoNotSurroundHeader/>
  <w:bordersDoNotSurroundFooter/>
  <w:proofState w:spelling="clean" w:grammar="clean"/>
  <w:defaultTabStop w:val="420"/>
  <w:drawingGridHorizontalSpacing w:val="105"/>
  <w:drawingGridVerticalSpacing w:val="156"/>
  <w:displayHorizontalDrawingGridEvery w:val="0"/>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YjVjNWRhMTNjZmE5MmIwMWMyMGYzN2MwN2UyNDYxYWIifQ=="/>
  </w:docVars>
  <w:rsids>
    <w:rsidRoot w:val="00263569"/>
    <w:rsid w:val="001010EF"/>
    <w:rsid w:val="00261855"/>
    <w:rsid w:val="00263569"/>
    <w:rsid w:val="00357B09"/>
    <w:rsid w:val="00407132"/>
    <w:rsid w:val="00432011"/>
    <w:rsid w:val="00506605"/>
    <w:rsid w:val="00541CF7"/>
    <w:rsid w:val="005567C1"/>
    <w:rsid w:val="0072753B"/>
    <w:rsid w:val="00811038"/>
    <w:rsid w:val="00820D67"/>
    <w:rsid w:val="008217C3"/>
    <w:rsid w:val="00850119"/>
    <w:rsid w:val="00965302"/>
    <w:rsid w:val="009673DD"/>
    <w:rsid w:val="009C4177"/>
    <w:rsid w:val="00B6255C"/>
    <w:rsid w:val="00B96C85"/>
    <w:rsid w:val="00BC171C"/>
    <w:rsid w:val="00D82F7F"/>
    <w:rsid w:val="00E33FBE"/>
    <w:rsid w:val="00F21D7E"/>
    <w:rsid w:val="00FA18C6"/>
    <w:rsid w:val="00FD10B0"/>
    <w:rsid w:val="00FE583C"/>
    <w:rsid w:val="2B1D7D99"/>
    <w:rsid w:val="381274A5"/>
    <w:rsid w:val="44F7014F"/>
    <w:rsid w:val="46644196"/>
    <w:rsid w:val="4D870AB3"/>
    <w:rsid w:val="5DAB430F"/>
    <w:rsid w:val="6CB3750C"/>
    <w:rsid w:val="6F435BCA"/>
    <w:rsid w:val="7B4945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8ED8597-277E-4D1D-9427-EB8EE37FD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5" w:lineRule="auto"/>
      <w:outlineLvl w:val="1"/>
    </w:pPr>
    <w:rPr>
      <w:rFonts w:ascii="Calibri Light" w:hAnsi="Calibri Light"/>
      <w:b/>
      <w:bCs/>
      <w:sz w:val="32"/>
      <w:szCs w:val="32"/>
    </w:rPr>
  </w:style>
  <w:style w:type="paragraph" w:styleId="3">
    <w:name w:val="heading 3"/>
    <w:basedOn w:val="a"/>
    <w:next w:val="a"/>
    <w:uiPriority w:val="9"/>
    <w:semiHidden/>
    <w:unhideWhenUsed/>
    <w:qFormat/>
    <w:pPr>
      <w:spacing w:beforeAutospacing="1" w:afterAutospacing="1"/>
      <w:jc w:val="left"/>
      <w:outlineLvl w:val="2"/>
    </w:pPr>
    <w:rPr>
      <w:rFonts w:ascii="宋体"/>
      <w:b/>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rPr>
      <w:rFonts w:ascii="Times New Roman" w:hAnsi="Times New Roman"/>
      <w:szCs w:val="24"/>
    </w:rPr>
  </w:style>
  <w:style w:type="paragraph" w:styleId="a4">
    <w:name w:val="Normal Indent"/>
    <w:basedOn w:val="a"/>
    <w:qFormat/>
    <w:pPr>
      <w:ind w:firstLineChars="200" w:firstLine="200"/>
    </w:pPr>
  </w:style>
  <w:style w:type="paragraph" w:styleId="a5">
    <w:name w:val="caption"/>
    <w:basedOn w:val="a"/>
    <w:next w:val="a"/>
    <w:qFormat/>
    <w:rPr>
      <w:rFonts w:ascii="Arial" w:eastAsia="黑体" w:hAnsi="Arial"/>
      <w:sz w:val="20"/>
    </w:rPr>
  </w:style>
  <w:style w:type="paragraph" w:styleId="a6">
    <w:name w:val="annotation text"/>
    <w:basedOn w:val="a"/>
    <w:qFormat/>
    <w:pPr>
      <w:jc w:val="left"/>
    </w:pPr>
  </w:style>
  <w:style w:type="paragraph" w:styleId="a7">
    <w:name w:val="Body Text Indent"/>
    <w:basedOn w:val="a"/>
    <w:qFormat/>
    <w:pPr>
      <w:spacing w:after="120"/>
      <w:ind w:leftChars="200" w:left="200"/>
    </w:pPr>
  </w:style>
  <w:style w:type="paragraph" w:styleId="TOC3">
    <w:name w:val="toc 3"/>
    <w:basedOn w:val="a"/>
    <w:next w:val="a"/>
    <w:qFormat/>
    <w:pPr>
      <w:ind w:leftChars="400" w:left="400"/>
    </w:pPr>
  </w:style>
  <w:style w:type="paragraph" w:styleId="a8">
    <w:name w:val="endnote text"/>
    <w:basedOn w:val="a"/>
    <w:qFormat/>
    <w:pPr>
      <w:snapToGrid w:val="0"/>
      <w:jc w:val="left"/>
    </w:pPr>
  </w:style>
  <w:style w:type="paragraph" w:styleId="a9">
    <w:name w:val="Balloon Text"/>
    <w:basedOn w:val="a"/>
    <w:qFormat/>
    <w:rPr>
      <w:sz w:val="18"/>
      <w:szCs w:val="18"/>
    </w:rPr>
  </w:style>
  <w:style w:type="paragraph" w:styleId="aa">
    <w:name w:val="footer"/>
    <w:basedOn w:val="a"/>
    <w:next w:val="a"/>
    <w:qFormat/>
    <w:pPr>
      <w:tabs>
        <w:tab w:val="center" w:pos="4153"/>
        <w:tab w:val="right" w:pos="8306"/>
      </w:tabs>
      <w:snapToGrid w:val="0"/>
      <w:jc w:val="left"/>
    </w:pPr>
    <w:rPr>
      <w:sz w:val="18"/>
      <w:szCs w:val="18"/>
    </w:rPr>
  </w:style>
  <w:style w:type="paragraph" w:styleId="ab">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spacing w:before="360"/>
      <w:jc w:val="left"/>
    </w:pPr>
    <w:rPr>
      <w:rFonts w:ascii="Cambria" w:eastAsia="仿宋_GB2312" w:hAnsi="Cambria"/>
      <w:b/>
      <w:bCs/>
      <w:caps/>
      <w:w w:val="90"/>
      <w:sz w:val="24"/>
      <w:szCs w:val="24"/>
    </w:rPr>
  </w:style>
  <w:style w:type="paragraph" w:styleId="ac">
    <w:name w:val="footnote text"/>
    <w:basedOn w:val="a"/>
    <w:qFormat/>
    <w:pPr>
      <w:snapToGrid w:val="0"/>
      <w:jc w:val="left"/>
    </w:pPr>
    <w:rPr>
      <w:sz w:val="18"/>
      <w:szCs w:val="18"/>
    </w:rPr>
  </w:style>
  <w:style w:type="paragraph" w:styleId="TOC2">
    <w:name w:val="toc 2"/>
    <w:basedOn w:val="a"/>
    <w:next w:val="a"/>
    <w:qFormat/>
    <w:pPr>
      <w:tabs>
        <w:tab w:val="right" w:leader="dot" w:pos="8680"/>
      </w:tabs>
      <w:ind w:leftChars="200" w:left="200"/>
      <w:jc w:val="center"/>
    </w:pPr>
    <w:rPr>
      <w:rFonts w:ascii="黑体" w:eastAsia="黑体" w:cs="黑体"/>
      <w:sz w:val="32"/>
      <w:szCs w:val="32"/>
    </w:rPr>
  </w:style>
  <w:style w:type="paragraph" w:styleId="ad">
    <w:name w:val="Normal (Web)"/>
    <w:basedOn w:val="a"/>
    <w:qFormat/>
    <w:pPr>
      <w:widowControl/>
      <w:spacing w:before="100" w:beforeAutospacing="1" w:after="100" w:afterAutospacing="1"/>
      <w:jc w:val="left"/>
    </w:pPr>
    <w:rPr>
      <w:rFonts w:ascii="宋体" w:cs="宋体"/>
      <w:kern w:val="0"/>
      <w:sz w:val="24"/>
      <w:szCs w:val="24"/>
    </w:rPr>
  </w:style>
  <w:style w:type="paragraph" w:styleId="ae">
    <w:name w:val="annotation subject"/>
    <w:basedOn w:val="a6"/>
    <w:next w:val="a6"/>
    <w:qFormat/>
    <w:rPr>
      <w:b/>
      <w:bCs/>
    </w:rPr>
  </w:style>
  <w:style w:type="paragraph" w:styleId="20">
    <w:name w:val="Body Text First Indent 2"/>
    <w:basedOn w:val="a7"/>
    <w:qFormat/>
    <w:pPr>
      <w:spacing w:after="0"/>
      <w:ind w:leftChars="0" w:left="0" w:firstLineChars="200" w:firstLine="200"/>
    </w:pPr>
  </w:style>
  <w:style w:type="character" w:styleId="af">
    <w:name w:val="endnote reference"/>
    <w:basedOn w:val="a1"/>
    <w:qFormat/>
    <w:rPr>
      <w:vertAlign w:val="superscript"/>
    </w:rPr>
  </w:style>
  <w:style w:type="character" w:styleId="af0">
    <w:name w:val="Hyperlink"/>
    <w:qFormat/>
    <w:rPr>
      <w:rFonts w:cs="Times New Roman"/>
      <w:color w:val="0000FF"/>
      <w:u w:val="single"/>
    </w:rPr>
  </w:style>
  <w:style w:type="character" w:styleId="af1">
    <w:name w:val="annotation reference"/>
    <w:basedOn w:val="a1"/>
    <w:qFormat/>
    <w:rPr>
      <w:sz w:val="21"/>
      <w:szCs w:val="21"/>
    </w:rPr>
  </w:style>
  <w:style w:type="character" w:styleId="af2">
    <w:name w:val="footnote reference"/>
    <w:basedOn w:val="a1"/>
    <w:qFormat/>
    <w:rPr>
      <w:vertAlign w:val="superscript"/>
    </w:rPr>
  </w:style>
  <w:style w:type="paragraph" w:customStyle="1" w:styleId="CharCharCharChar">
    <w:name w:val="Char Char Char Char"/>
    <w:basedOn w:val="a"/>
    <w:qFormat/>
    <w:pPr>
      <w:widowControl/>
      <w:spacing w:after="160" w:line="240" w:lineRule="exact"/>
      <w:jc w:val="left"/>
    </w:pPr>
    <w:rPr>
      <w:rFonts w:ascii="Tahoma" w:hAnsi="Tahoma" w:cs="黑体"/>
      <w:kern w:val="0"/>
      <w:sz w:val="24"/>
    </w:rPr>
  </w:style>
  <w:style w:type="paragraph" w:customStyle="1" w:styleId="10">
    <w:name w:val="列出段落1"/>
    <w:basedOn w:val="a"/>
    <w:qFormat/>
    <w:pPr>
      <w:ind w:firstLineChars="200" w:firstLine="200"/>
    </w:pPr>
  </w:style>
  <w:style w:type="paragraph" w:customStyle="1" w:styleId="ParaCharCharCharCharCharCharChar">
    <w:name w:val="默认段落字体 Para Char Char Char Char Char Char Char"/>
    <w:basedOn w:val="a"/>
    <w:qFormat/>
    <w:rPr>
      <w:rFonts w:ascii="Tahoma" w:hAnsi="Tahoma"/>
      <w:sz w:val="24"/>
      <w:szCs w:val="20"/>
    </w:rPr>
  </w:style>
  <w:style w:type="character" w:customStyle="1" w:styleId="font11">
    <w:name w:val="font11"/>
    <w:basedOn w:val="a1"/>
    <w:qFormat/>
    <w:rPr>
      <w:rFonts w:ascii="宋体" w:eastAsia="宋体" w:cs="宋体"/>
      <w:color w:val="000000"/>
      <w:sz w:val="20"/>
      <w:szCs w:val="20"/>
      <w:u w:val="none"/>
    </w:rPr>
  </w:style>
  <w:style w:type="character" w:customStyle="1" w:styleId="font31">
    <w:name w:val="font31"/>
    <w:basedOn w:val="a1"/>
    <w:qFormat/>
    <w:rPr>
      <w:rFonts w:ascii="宋体" w:eastAsia="宋体" w:cs="宋体"/>
      <w:color w:val="000000"/>
      <w:sz w:val="20"/>
      <w:szCs w:val="20"/>
      <w:u w:val="none"/>
    </w:rPr>
  </w:style>
  <w:style w:type="paragraph" w:styleId="af3">
    <w:name w:val="List Paragraph"/>
    <w:basedOn w:val="a"/>
    <w:qFormat/>
    <w:pPr>
      <w:ind w:firstLineChars="200" w:firstLine="200"/>
    </w:pPr>
  </w:style>
  <w:style w:type="character" w:customStyle="1" w:styleId="UserStyle0">
    <w:name w:val="UserStyle_0"/>
    <w:qFormat/>
    <w:rPr>
      <w:rFonts w:ascii="Times New Roman" w:eastAsia="宋体" w:hAnsi="Times New Roman" w:cs="Times New Roman"/>
    </w:rPr>
  </w:style>
  <w:style w:type="paragraph" w:customStyle="1" w:styleId="UserStyle2">
    <w:name w:val="UserStyle_2"/>
    <w:basedOn w:val="a"/>
    <w:qFormat/>
    <w:rPr>
      <w:kern w:val="0"/>
      <w:sz w:val="20"/>
      <w:szCs w:val="20"/>
    </w:rPr>
  </w:style>
  <w:style w:type="paragraph" w:customStyle="1" w:styleId="11">
    <w:name w:val="修订1"/>
    <w:qFormat/>
    <w:rPr>
      <w:rFonts w:ascii="Calibri" w:hAnsi="Calibri"/>
      <w:kern w:val="2"/>
      <w:sz w:val="21"/>
      <w:szCs w:val="22"/>
    </w:rPr>
  </w:style>
  <w:style w:type="paragraph" w:customStyle="1" w:styleId="21">
    <w:name w:val="修订2"/>
    <w:qFormat/>
    <w:rPr>
      <w:rFonts w:ascii="Calibri" w:hAnsi="Calibri"/>
      <w:kern w:val="2"/>
      <w:sz w:val="21"/>
      <w:szCs w:val="22"/>
    </w:rPr>
  </w:style>
  <w:style w:type="paragraph" w:customStyle="1" w:styleId="30">
    <w:name w:val="修订3"/>
    <w:hidden/>
    <w:uiPriority w:val="99"/>
    <w:semiHidden/>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A41138B0-79DF-4CD0-8E14-B65ABA0F7E0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1759</Words>
  <Characters>10031</Characters>
  <Application>Microsoft Office Word</Application>
  <DocSecurity>0</DocSecurity>
  <Lines>83</Lines>
  <Paragraphs>23</Paragraphs>
  <ScaleCrop>false</ScaleCrop>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2020年度北京市规划和自然资源委员会</dc:title>
  <dc:creator>Administrator</dc:creator>
  <cp:lastModifiedBy>QAQ</cp:lastModifiedBy>
  <cp:revision>44</cp:revision>
  <cp:lastPrinted>2024-06-05T11:42:00Z</cp:lastPrinted>
  <dcterms:created xsi:type="dcterms:W3CDTF">2024-05-21T12:54:00Z</dcterms:created>
  <dcterms:modified xsi:type="dcterms:W3CDTF">2024-08-20T08:26:00Z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94171834A46042418C2A24EE04744739_13</vt:lpwstr>
  </property>
</Properties>
</file>