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ind w:firstLine="880" w:firstLineChars="200"/>
        <w:jc w:val="center"/>
        <w:textAlignment w:val="baseline"/>
        <w:rPr>
          <w:rFonts w:ascii="方正小标宋简体" w:hAnsi="方正小标宋简体" w:eastAsia="方正小标宋简体" w:cs="方正小标宋简体"/>
          <w:bCs/>
          <w:color w:val="000000"/>
          <w:kern w:val="16"/>
          <w:sz w:val="44"/>
          <w:szCs w:val="44"/>
        </w:rPr>
      </w:pPr>
    </w:p>
    <w:p>
      <w:pPr>
        <w:pStyle w:val="6"/>
      </w:pPr>
    </w:p>
    <w:p>
      <w:pPr>
        <w:pStyle w:val="13"/>
        <w:ind w:left="3360"/>
        <w:textAlignment w:val="baseline"/>
      </w:pPr>
    </w:p>
    <w:p>
      <w:pPr>
        <w:snapToGrid w:val="0"/>
        <w:spacing w:line="580" w:lineRule="exact"/>
        <w:ind w:firstLine="880" w:firstLineChars="200"/>
        <w:jc w:val="center"/>
        <w:textAlignment w:val="baseline"/>
        <w:rPr>
          <w:rFonts w:ascii="方正小标宋简体" w:hAnsi="方正小标宋简体" w:eastAsia="方正小标宋简体" w:cs="方正小标宋简体"/>
          <w:bCs/>
          <w:color w:val="000000"/>
          <w:kern w:val="16"/>
          <w:sz w:val="44"/>
          <w:szCs w:val="44"/>
        </w:rPr>
      </w:pPr>
    </w:p>
    <w:p>
      <w:pPr>
        <w:keepNext w:val="0"/>
        <w:keepLines w:val="0"/>
        <w:pageBreakBefore w:val="0"/>
        <w:widowControl w:val="0"/>
        <w:kinsoku/>
        <w:wordWrap/>
        <w:overflowPunct/>
        <w:topLinePunct w:val="0"/>
        <w:autoSpaceDE/>
        <w:autoSpaceDN/>
        <w:bidi w:val="0"/>
        <w:adjustRightInd/>
        <w:snapToGrid w:val="0"/>
        <w:spacing w:line="580" w:lineRule="exact"/>
        <w:ind w:firstLine="0" w:firstLineChars="0"/>
        <w:jc w:val="center"/>
        <w:textAlignment w:val="baseline"/>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部门整体绩效评价报告</w:t>
      </w:r>
    </w:p>
    <w:p>
      <w:pPr>
        <w:spacing w:after="240" w:line="540" w:lineRule="exact"/>
        <w:jc w:val="center"/>
        <w:textAlignment w:val="baseline"/>
        <w:rPr>
          <w:b/>
          <w:bCs/>
          <w:spacing w:val="50"/>
          <w:sz w:val="32"/>
          <w:szCs w:val="32"/>
        </w:rPr>
      </w:pPr>
    </w:p>
    <w:p>
      <w:pPr>
        <w:snapToGrid w:val="0"/>
        <w:spacing w:after="312" w:line="300" w:lineRule="auto"/>
        <w:textAlignment w:val="baseline"/>
        <w:rPr>
          <w:rFonts w:eastAsia="仿宋_GB2312"/>
          <w:b/>
          <w:bCs/>
          <w:sz w:val="36"/>
          <w:szCs w:val="20"/>
        </w:rPr>
      </w:pP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eastAsia="仿宋_GB2312"/>
          <w:bCs/>
          <w:kern w:val="0"/>
          <w:sz w:val="32"/>
          <w:szCs w:val="32"/>
          <w:u w:val="none" w:color="auto"/>
        </w:rPr>
      </w:pPr>
    </w:p>
    <w:p>
      <w:pPr>
        <w:snapToGrid w:val="0"/>
        <w:spacing w:line="360" w:lineRule="auto"/>
        <w:ind w:left="525" w:leftChars="250" w:right="525"/>
        <w:jc w:val="left"/>
        <w:textAlignment w:val="baseline"/>
        <w:rPr>
          <w:rFonts w:eastAsia="仿宋_GB2312"/>
          <w:kern w:val="0"/>
          <w:sz w:val="32"/>
          <w:szCs w:val="32"/>
          <w:u w:val="single"/>
        </w:rPr>
      </w:pPr>
      <w:r>
        <w:rPr>
          <w:rFonts w:eastAsia="仿宋_GB2312"/>
          <w:b/>
          <w:sz w:val="32"/>
          <w:szCs w:val="32"/>
        </w:rPr>
        <w:t>实施部门：</w:t>
      </w:r>
      <w:r>
        <w:rPr>
          <w:rFonts w:hint="eastAsia" w:ascii="仿宋_GB2312" w:hAnsi="仿宋_GB2312" w:eastAsia="仿宋_GB2312" w:cs="仿宋_GB2312"/>
          <w:color w:val="000000"/>
          <w:kern w:val="16"/>
          <w:sz w:val="32"/>
          <w:szCs w:val="32"/>
          <w:u w:val="single" w:color="000000"/>
          <w:lang w:val="en-US" w:eastAsia="zh-CN"/>
        </w:rPr>
        <w:t xml:space="preserve">  北京城市副中心工程建设管理办公室</w:t>
      </w:r>
      <w:r>
        <w:rPr>
          <w:rFonts w:hint="eastAsia" w:ascii="仿宋_GB2312" w:hAnsi="仿宋_GB2312" w:eastAsia="仿宋_GB2312" w:cs="仿宋_GB2312"/>
          <w:color w:val="000000"/>
          <w:kern w:val="16"/>
          <w:sz w:val="32"/>
          <w:szCs w:val="32"/>
          <w:u w:val="single" w:color="000000"/>
        </w:rPr>
        <w:t xml:space="preserve">  </w:t>
      </w:r>
      <w:r>
        <w:rPr>
          <w:rFonts w:eastAsia="仿宋_GB2312"/>
          <w:bCs/>
          <w:kern w:val="0"/>
          <w:sz w:val="32"/>
          <w:szCs w:val="32"/>
          <w:u w:val="none" w:color="auto"/>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2292" w:leftChars="250" w:right="539" w:hanging="1767" w:hangingChars="550"/>
        <w:jc w:val="left"/>
        <w:textAlignment w:val="baseline"/>
        <w:rPr>
          <w:rFonts w:ascii="仿宋_GB2312" w:hAnsi="仿宋_GB2312" w:eastAsia="仿宋_GB2312" w:cs="仿宋_GB2312"/>
          <w:color w:val="000000"/>
          <w:kern w:val="16"/>
          <w:sz w:val="32"/>
          <w:szCs w:val="32"/>
          <w:u w:val="single" w:color="000000"/>
        </w:rPr>
      </w:pPr>
      <w:r>
        <w:rPr>
          <w:rFonts w:eastAsia="仿宋_GB2312"/>
          <w:b/>
          <w:sz w:val="32"/>
          <w:szCs w:val="32"/>
        </w:rPr>
        <w:t>项目名称：</w:t>
      </w:r>
      <w:r>
        <w:rPr>
          <w:rFonts w:eastAsia="仿宋_GB2312"/>
          <w:bCs/>
          <w:kern w:val="0"/>
          <w:sz w:val="32"/>
          <w:szCs w:val="32"/>
          <w:u w:val="single" w:color="000000"/>
        </w:rPr>
        <w:t xml:space="preserve">  </w:t>
      </w:r>
      <w:r>
        <w:rPr>
          <w:rFonts w:hint="eastAsia" w:eastAsia="仿宋_GB2312"/>
          <w:bCs/>
          <w:kern w:val="0"/>
          <w:sz w:val="32"/>
          <w:szCs w:val="32"/>
          <w:u w:val="single" w:color="000000"/>
        </w:rPr>
        <w:t xml:space="preserve">   </w:t>
      </w:r>
      <w:r>
        <w:rPr>
          <w:rFonts w:hint="eastAsia" w:eastAsia="仿宋_GB2312"/>
          <w:bCs/>
          <w:kern w:val="0"/>
          <w:sz w:val="32"/>
          <w:szCs w:val="32"/>
          <w:u w:val="single" w:color="000000"/>
          <w:lang w:val="en-US" w:eastAsia="zh-CN"/>
        </w:rPr>
        <w:t xml:space="preserve">  </w:t>
      </w:r>
      <w:r>
        <w:rPr>
          <w:rFonts w:hint="eastAsia" w:ascii="仿宋_GB2312" w:hAnsi="仿宋_GB2312" w:eastAsia="仿宋_GB2312" w:cs="仿宋_GB2312"/>
          <w:color w:val="000000"/>
          <w:kern w:val="16"/>
          <w:sz w:val="32"/>
          <w:szCs w:val="32"/>
          <w:u w:val="single" w:color="000000"/>
        </w:rPr>
        <w:t>202</w:t>
      </w:r>
      <w:r>
        <w:rPr>
          <w:rFonts w:hint="eastAsia" w:ascii="仿宋_GB2312" w:hAnsi="仿宋_GB2312" w:eastAsia="仿宋_GB2312" w:cs="仿宋_GB2312"/>
          <w:color w:val="000000"/>
          <w:kern w:val="16"/>
          <w:sz w:val="32"/>
          <w:szCs w:val="32"/>
          <w:u w:val="single" w:color="000000"/>
          <w:lang w:val="en-US" w:eastAsia="zh-CN"/>
        </w:rPr>
        <w:t>3</w:t>
      </w:r>
      <w:r>
        <w:rPr>
          <w:rFonts w:hint="eastAsia" w:ascii="仿宋_GB2312" w:hAnsi="仿宋_GB2312" w:eastAsia="仿宋_GB2312" w:cs="仿宋_GB2312"/>
          <w:color w:val="000000"/>
          <w:kern w:val="16"/>
          <w:sz w:val="32"/>
          <w:szCs w:val="32"/>
          <w:u w:val="single" w:color="000000"/>
        </w:rPr>
        <w:t>年部门整体绩效评价</w:t>
      </w:r>
      <w:r>
        <w:rPr>
          <w:rFonts w:hint="eastAsia" w:ascii="仿宋_GB2312" w:hAnsi="仿宋_GB2312" w:eastAsia="仿宋_GB2312" w:cs="仿宋_GB2312"/>
          <w:color w:val="000000"/>
          <w:kern w:val="16"/>
          <w:sz w:val="32"/>
          <w:szCs w:val="32"/>
          <w:u w:val="single" w:color="000000"/>
          <w:lang w:val="en-US" w:eastAsia="zh-CN"/>
        </w:rPr>
        <w:t xml:space="preserve">     </w:t>
      </w:r>
      <w:r>
        <w:rPr>
          <w:rFonts w:hint="eastAsia" w:ascii="仿宋_GB2312" w:hAnsi="仿宋_GB2312" w:eastAsia="仿宋_GB2312" w:cs="仿宋_GB2312"/>
          <w:color w:val="000000"/>
          <w:kern w:val="16"/>
          <w:sz w:val="32"/>
          <w:szCs w:val="32"/>
          <w:u w:val="single" w:color="000000"/>
        </w:rPr>
        <w:t xml:space="preserve">  </w:t>
      </w:r>
    </w:p>
    <w:p>
      <w:pPr>
        <w:spacing w:line="480" w:lineRule="auto"/>
        <w:jc w:val="center"/>
        <w:textAlignment w:val="baseline"/>
        <w:rPr>
          <w:rFonts w:eastAsia="黑体"/>
          <w:b/>
          <w:sz w:val="32"/>
          <w:szCs w:val="20"/>
        </w:rPr>
      </w:pPr>
    </w:p>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spacing w:line="480" w:lineRule="auto"/>
        <w:jc w:val="center"/>
        <w:textAlignment w:val="baseline"/>
        <w:rPr>
          <w:rFonts w:eastAsia="黑体"/>
          <w:b/>
          <w:sz w:val="32"/>
          <w:szCs w:val="20"/>
        </w:rPr>
      </w:pPr>
    </w:p>
    <w:p>
      <w:pPr>
        <w:snapToGrid w:val="0"/>
        <w:spacing w:line="360" w:lineRule="auto"/>
        <w:ind w:firstLine="0" w:firstLineChars="0"/>
        <w:jc w:val="center"/>
        <w:rPr>
          <w:rFonts w:hint="eastAsia" w:ascii="宋体" w:hAnsi="宋体" w:eastAsia="宋体" w:cs="宋体"/>
          <w:b/>
          <w:sz w:val="32"/>
          <w:szCs w:val="32"/>
        </w:rPr>
      </w:pPr>
      <w:bookmarkStart w:id="0" w:name="_Hlk71569008"/>
      <w:r>
        <w:rPr>
          <w:rFonts w:hint="eastAsia" w:ascii="宋体" w:hAnsi="宋体" w:eastAsia="宋体" w:cs="宋体"/>
          <w:b/>
          <w:sz w:val="32"/>
          <w:szCs w:val="32"/>
        </w:rPr>
        <w:t>北京城市副中心工程建设管理办公室</w:t>
      </w:r>
    </w:p>
    <w:bookmarkEnd w:id="0"/>
    <w:p>
      <w:pPr>
        <w:jc w:val="center"/>
        <w:textAlignment w:val="baseline"/>
        <w:rPr>
          <w:rFonts w:hint="eastAsia" w:ascii="宋体" w:hAnsi="宋体" w:eastAsia="宋体" w:cs="宋体"/>
          <w:b/>
          <w:kern w:val="44"/>
          <w:sz w:val="32"/>
          <w:szCs w:val="32"/>
        </w:rPr>
      </w:pPr>
      <w:r>
        <w:rPr>
          <w:rFonts w:hint="eastAsia" w:ascii="宋体" w:hAnsi="宋体" w:eastAsia="宋体" w:cs="宋体"/>
          <w:b/>
          <w:kern w:val="44"/>
          <w:sz w:val="32"/>
          <w:szCs w:val="32"/>
        </w:rPr>
        <w:t>202</w:t>
      </w:r>
      <w:r>
        <w:rPr>
          <w:rFonts w:hint="eastAsia" w:ascii="宋体" w:hAnsi="宋体" w:eastAsia="宋体" w:cs="宋体"/>
          <w:b/>
          <w:kern w:val="44"/>
          <w:sz w:val="32"/>
          <w:szCs w:val="32"/>
          <w:lang w:val="en-US" w:eastAsia="zh-CN"/>
        </w:rPr>
        <w:t>4</w:t>
      </w:r>
      <w:r>
        <w:rPr>
          <w:rFonts w:hint="eastAsia" w:ascii="宋体" w:hAnsi="宋体" w:eastAsia="宋体" w:cs="宋体"/>
          <w:b/>
          <w:kern w:val="44"/>
          <w:sz w:val="32"/>
          <w:szCs w:val="32"/>
        </w:rPr>
        <w:t>年5月</w:t>
      </w:r>
    </w:p>
    <w:p>
      <w:pPr>
        <w:rPr>
          <w:rFonts w:hint="eastAsia" w:ascii="宋体" w:hAnsi="宋体" w:eastAsia="宋体" w:cs="宋体"/>
          <w:b/>
          <w:kern w:val="44"/>
          <w:sz w:val="32"/>
          <w:szCs w:val="32"/>
        </w:rPr>
      </w:pPr>
      <w:r>
        <w:rPr>
          <w:rFonts w:hint="eastAsia" w:ascii="宋体" w:hAnsi="宋体" w:eastAsia="宋体" w:cs="宋体"/>
          <w:b/>
          <w:kern w:val="44"/>
          <w:sz w:val="32"/>
          <w:szCs w:val="32"/>
        </w:rPr>
        <w:br w:type="page"/>
      </w:r>
    </w:p>
    <w:sdt>
      <w:sdtPr>
        <w:rPr>
          <w:rFonts w:ascii="宋体" w:hAnsi="宋体" w:eastAsia="宋体"/>
          <w:b/>
          <w:bCs/>
          <w:sz w:val="44"/>
          <w:szCs w:val="44"/>
        </w:rPr>
        <w:id w:val="147451666"/>
        <w15:color w:val="DBDBDB"/>
        <w:docPartObj>
          <w:docPartGallery w:val="Table of Contents"/>
          <w:docPartUnique/>
        </w:docPartObj>
      </w:sdtPr>
      <w:sdtEndPr>
        <w:rPr>
          <w:rFonts w:asciiTheme="minorHAnsi" w:hAnsiTheme="minorHAnsi" w:eastAsiaTheme="minorEastAsia"/>
          <w:b/>
          <w:bCs/>
          <w:sz w:val="28"/>
          <w:szCs w:val="28"/>
        </w:rPr>
      </w:sdtEndPr>
      <w:sdtContent>
        <w:p>
          <w:pPr>
            <w:jc w:val="center"/>
            <w:textAlignment w:val="baseline"/>
            <w:rPr>
              <w:b/>
              <w:bCs/>
              <w:sz w:val="44"/>
              <w:szCs w:val="44"/>
            </w:rPr>
          </w:pPr>
          <w:r>
            <w:rPr>
              <w:rFonts w:ascii="宋体" w:hAnsi="宋体" w:eastAsia="宋体"/>
              <w:b/>
              <w:bCs/>
              <w:sz w:val="44"/>
              <w:szCs w:val="44"/>
            </w:rPr>
            <w:t>目</w:t>
          </w:r>
          <w:r>
            <w:rPr>
              <w:rFonts w:hint="eastAsia" w:ascii="宋体" w:hAnsi="宋体" w:eastAsia="宋体"/>
              <w:b/>
              <w:bCs/>
              <w:sz w:val="44"/>
              <w:szCs w:val="44"/>
            </w:rPr>
            <w:t xml:space="preserve"> </w:t>
          </w:r>
          <w:r>
            <w:rPr>
              <w:rFonts w:ascii="宋体" w:hAnsi="宋体" w:eastAsia="宋体"/>
              <w:b/>
              <w:bCs/>
              <w:sz w:val="44"/>
              <w:szCs w:val="44"/>
            </w:rPr>
            <w:t>录</w:t>
          </w:r>
        </w:p>
        <w:p>
          <w:pPr>
            <w:pStyle w:val="12"/>
            <w:tabs>
              <w:tab w:val="right" w:leader="dot" w:pos="8504"/>
            </w:tabs>
            <w:rPr>
              <w:sz w:val="28"/>
              <w:szCs w:val="28"/>
            </w:rPr>
          </w:pPr>
          <w:r>
            <w:rPr>
              <w:sz w:val="28"/>
              <w:szCs w:val="28"/>
            </w:rPr>
            <w:fldChar w:fldCharType="begin"/>
          </w:r>
          <w:r>
            <w:rPr>
              <w:sz w:val="28"/>
              <w:szCs w:val="28"/>
            </w:rPr>
            <w:instrText xml:space="preserve">TOC \o "1-2" \h \u </w:instrText>
          </w:r>
          <w:r>
            <w:rPr>
              <w:sz w:val="28"/>
              <w:szCs w:val="28"/>
            </w:rPr>
            <w:fldChar w:fldCharType="separate"/>
          </w:r>
          <w:r>
            <w:rPr>
              <w:sz w:val="28"/>
              <w:szCs w:val="28"/>
            </w:rPr>
            <w:fldChar w:fldCharType="begin"/>
          </w:r>
          <w:r>
            <w:rPr>
              <w:sz w:val="28"/>
              <w:szCs w:val="28"/>
            </w:rPr>
            <w:instrText xml:space="preserve"> HYPERLINK \l _Toc23316 </w:instrText>
          </w:r>
          <w:r>
            <w:rPr>
              <w:sz w:val="28"/>
              <w:szCs w:val="28"/>
            </w:rPr>
            <w:fldChar w:fldCharType="separate"/>
          </w:r>
          <w:r>
            <w:rPr>
              <w:rFonts w:hint="eastAsia" w:ascii="黑体" w:hAnsi="黑体" w:eastAsia="黑体"/>
              <w:sz w:val="28"/>
              <w:szCs w:val="28"/>
            </w:rPr>
            <w:t>一、部门概况</w:t>
          </w:r>
          <w:r>
            <w:rPr>
              <w:sz w:val="28"/>
              <w:szCs w:val="28"/>
            </w:rPr>
            <w:tab/>
          </w:r>
          <w:r>
            <w:rPr>
              <w:sz w:val="28"/>
              <w:szCs w:val="28"/>
            </w:rPr>
            <w:fldChar w:fldCharType="begin"/>
          </w:r>
          <w:r>
            <w:rPr>
              <w:sz w:val="28"/>
              <w:szCs w:val="28"/>
            </w:rPr>
            <w:instrText xml:space="preserve"> PAGEREF _Toc23316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4"/>
            <w:tabs>
              <w:tab w:val="right" w:leader="dot" w:pos="8504"/>
            </w:tabs>
            <w:rPr>
              <w:sz w:val="28"/>
              <w:szCs w:val="28"/>
            </w:rPr>
          </w:pPr>
          <w:r>
            <w:rPr>
              <w:sz w:val="28"/>
              <w:szCs w:val="28"/>
            </w:rPr>
            <w:fldChar w:fldCharType="begin"/>
          </w:r>
          <w:r>
            <w:rPr>
              <w:sz w:val="28"/>
              <w:szCs w:val="28"/>
            </w:rPr>
            <w:instrText xml:space="preserve"> HYPERLINK \l _Toc24814 </w:instrText>
          </w:r>
          <w:r>
            <w:rPr>
              <w:sz w:val="28"/>
              <w:szCs w:val="28"/>
            </w:rPr>
            <w:fldChar w:fldCharType="separate"/>
          </w:r>
          <w:r>
            <w:rPr>
              <w:rFonts w:hint="eastAsia" w:ascii="楷体_GB2312" w:eastAsia="楷体_GB2312"/>
              <w:bCs/>
              <w:sz w:val="28"/>
              <w:szCs w:val="28"/>
            </w:rPr>
            <w:t>（一）机构设置及职责工作任务情况</w:t>
          </w:r>
          <w:r>
            <w:rPr>
              <w:sz w:val="28"/>
              <w:szCs w:val="28"/>
            </w:rPr>
            <w:tab/>
          </w:r>
          <w:r>
            <w:rPr>
              <w:sz w:val="28"/>
              <w:szCs w:val="28"/>
            </w:rPr>
            <w:fldChar w:fldCharType="begin"/>
          </w:r>
          <w:r>
            <w:rPr>
              <w:sz w:val="28"/>
              <w:szCs w:val="28"/>
            </w:rPr>
            <w:instrText xml:space="preserve"> PAGEREF _Toc24814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4"/>
            <w:tabs>
              <w:tab w:val="right" w:leader="dot" w:pos="8504"/>
            </w:tabs>
            <w:rPr>
              <w:sz w:val="28"/>
              <w:szCs w:val="28"/>
            </w:rPr>
          </w:pPr>
          <w:r>
            <w:rPr>
              <w:sz w:val="28"/>
              <w:szCs w:val="28"/>
            </w:rPr>
            <w:fldChar w:fldCharType="begin"/>
          </w:r>
          <w:r>
            <w:rPr>
              <w:sz w:val="28"/>
              <w:szCs w:val="28"/>
            </w:rPr>
            <w:instrText xml:space="preserve"> HYPERLINK \l _Toc401 </w:instrText>
          </w:r>
          <w:r>
            <w:rPr>
              <w:sz w:val="28"/>
              <w:szCs w:val="28"/>
            </w:rPr>
            <w:fldChar w:fldCharType="separate"/>
          </w:r>
          <w:r>
            <w:rPr>
              <w:rFonts w:hint="eastAsia" w:ascii="楷体_GB2312" w:eastAsia="楷体_GB2312"/>
              <w:bCs/>
              <w:sz w:val="28"/>
              <w:szCs w:val="28"/>
            </w:rPr>
            <w:t>（二）部门整体绩效目标设立情况</w:t>
          </w:r>
          <w:r>
            <w:rPr>
              <w:sz w:val="28"/>
              <w:szCs w:val="28"/>
            </w:rPr>
            <w:tab/>
          </w:r>
          <w:r>
            <w:rPr>
              <w:sz w:val="28"/>
              <w:szCs w:val="28"/>
            </w:rPr>
            <w:fldChar w:fldCharType="begin"/>
          </w:r>
          <w:r>
            <w:rPr>
              <w:sz w:val="28"/>
              <w:szCs w:val="28"/>
            </w:rPr>
            <w:instrText xml:space="preserve"> PAGEREF _Toc401 \h </w:instrText>
          </w:r>
          <w:r>
            <w:rPr>
              <w:sz w:val="28"/>
              <w:szCs w:val="28"/>
            </w:rPr>
            <w:fldChar w:fldCharType="separate"/>
          </w:r>
          <w:r>
            <w:rPr>
              <w:sz w:val="28"/>
              <w:szCs w:val="28"/>
            </w:rPr>
            <w:t>2</w:t>
          </w:r>
          <w:r>
            <w:rPr>
              <w:sz w:val="28"/>
              <w:szCs w:val="28"/>
            </w:rPr>
            <w:fldChar w:fldCharType="end"/>
          </w:r>
          <w:r>
            <w:rPr>
              <w:sz w:val="28"/>
              <w:szCs w:val="28"/>
            </w:rPr>
            <w:fldChar w:fldCharType="end"/>
          </w:r>
        </w:p>
        <w:p>
          <w:pPr>
            <w:pStyle w:val="12"/>
            <w:tabs>
              <w:tab w:val="right" w:leader="dot" w:pos="8504"/>
            </w:tabs>
            <w:rPr>
              <w:sz w:val="28"/>
              <w:szCs w:val="28"/>
            </w:rPr>
          </w:pPr>
          <w:r>
            <w:rPr>
              <w:sz w:val="28"/>
              <w:szCs w:val="28"/>
            </w:rPr>
            <w:fldChar w:fldCharType="begin"/>
          </w:r>
          <w:r>
            <w:rPr>
              <w:sz w:val="28"/>
              <w:szCs w:val="28"/>
            </w:rPr>
            <w:instrText xml:space="preserve"> HYPERLINK \l _Toc17412 </w:instrText>
          </w:r>
          <w:r>
            <w:rPr>
              <w:sz w:val="28"/>
              <w:szCs w:val="28"/>
            </w:rPr>
            <w:fldChar w:fldCharType="separate"/>
          </w:r>
          <w:r>
            <w:rPr>
              <w:rFonts w:hint="eastAsia" w:ascii="黑体" w:hAnsi="黑体" w:eastAsia="黑体"/>
              <w:sz w:val="28"/>
              <w:szCs w:val="28"/>
            </w:rPr>
            <w:t>二、当年预算执行情况</w:t>
          </w:r>
          <w:r>
            <w:rPr>
              <w:sz w:val="28"/>
              <w:szCs w:val="28"/>
            </w:rPr>
            <w:tab/>
          </w:r>
          <w:r>
            <w:rPr>
              <w:sz w:val="28"/>
              <w:szCs w:val="28"/>
            </w:rPr>
            <w:fldChar w:fldCharType="begin"/>
          </w:r>
          <w:r>
            <w:rPr>
              <w:sz w:val="28"/>
              <w:szCs w:val="28"/>
            </w:rPr>
            <w:instrText xml:space="preserve"> PAGEREF _Toc17412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2"/>
            <w:tabs>
              <w:tab w:val="right" w:leader="dot" w:pos="8504"/>
            </w:tabs>
            <w:rPr>
              <w:sz w:val="28"/>
              <w:szCs w:val="28"/>
            </w:rPr>
          </w:pPr>
          <w:r>
            <w:rPr>
              <w:sz w:val="28"/>
              <w:szCs w:val="28"/>
            </w:rPr>
            <w:fldChar w:fldCharType="begin"/>
          </w:r>
          <w:r>
            <w:rPr>
              <w:sz w:val="28"/>
              <w:szCs w:val="28"/>
            </w:rPr>
            <w:instrText xml:space="preserve"> HYPERLINK \l _Toc7884 </w:instrText>
          </w:r>
          <w:r>
            <w:rPr>
              <w:sz w:val="28"/>
              <w:szCs w:val="28"/>
            </w:rPr>
            <w:fldChar w:fldCharType="separate"/>
          </w:r>
          <w:r>
            <w:rPr>
              <w:rFonts w:hint="eastAsia" w:ascii="黑体" w:hAnsi="黑体" w:eastAsia="黑体" w:cs="宋体"/>
              <w:kern w:val="0"/>
              <w:sz w:val="28"/>
              <w:szCs w:val="28"/>
            </w:rPr>
            <w:t>三</w:t>
          </w:r>
          <w:r>
            <w:rPr>
              <w:rFonts w:ascii="黑体" w:hAnsi="黑体" w:eastAsia="黑体" w:cs="宋体"/>
              <w:kern w:val="0"/>
              <w:sz w:val="28"/>
              <w:szCs w:val="28"/>
            </w:rPr>
            <w:t>、整体绩效目标实现情况</w:t>
          </w:r>
          <w:r>
            <w:rPr>
              <w:sz w:val="28"/>
              <w:szCs w:val="28"/>
            </w:rPr>
            <w:tab/>
          </w:r>
          <w:r>
            <w:rPr>
              <w:sz w:val="28"/>
              <w:szCs w:val="28"/>
            </w:rPr>
            <w:fldChar w:fldCharType="begin"/>
          </w:r>
          <w:r>
            <w:rPr>
              <w:sz w:val="28"/>
              <w:szCs w:val="28"/>
            </w:rPr>
            <w:instrText xml:space="preserve"> PAGEREF _Toc7884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4"/>
            <w:tabs>
              <w:tab w:val="right" w:leader="dot" w:pos="8504"/>
            </w:tabs>
            <w:rPr>
              <w:sz w:val="28"/>
              <w:szCs w:val="28"/>
            </w:rPr>
          </w:pPr>
          <w:r>
            <w:rPr>
              <w:sz w:val="28"/>
              <w:szCs w:val="28"/>
            </w:rPr>
            <w:fldChar w:fldCharType="begin"/>
          </w:r>
          <w:r>
            <w:rPr>
              <w:sz w:val="28"/>
              <w:szCs w:val="28"/>
            </w:rPr>
            <w:instrText xml:space="preserve"> HYPERLINK \l _Toc14972 </w:instrText>
          </w:r>
          <w:r>
            <w:rPr>
              <w:sz w:val="28"/>
              <w:szCs w:val="28"/>
            </w:rPr>
            <w:fldChar w:fldCharType="separate"/>
          </w:r>
          <w:r>
            <w:rPr>
              <w:rFonts w:hint="eastAsia" w:ascii="楷体_GB2312" w:eastAsia="楷体_GB2312"/>
              <w:bCs/>
              <w:sz w:val="28"/>
              <w:szCs w:val="28"/>
            </w:rPr>
            <w:t>（一）产出完成情况分析</w:t>
          </w:r>
          <w:r>
            <w:rPr>
              <w:sz w:val="28"/>
              <w:szCs w:val="28"/>
            </w:rPr>
            <w:tab/>
          </w:r>
          <w:r>
            <w:rPr>
              <w:sz w:val="28"/>
              <w:szCs w:val="28"/>
            </w:rPr>
            <w:fldChar w:fldCharType="begin"/>
          </w:r>
          <w:r>
            <w:rPr>
              <w:sz w:val="28"/>
              <w:szCs w:val="28"/>
            </w:rPr>
            <w:instrText xml:space="preserve"> PAGEREF _Toc14972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4"/>
            <w:tabs>
              <w:tab w:val="right" w:leader="dot" w:pos="8504"/>
            </w:tabs>
            <w:rPr>
              <w:sz w:val="28"/>
              <w:szCs w:val="28"/>
            </w:rPr>
          </w:pPr>
          <w:r>
            <w:rPr>
              <w:sz w:val="28"/>
              <w:szCs w:val="28"/>
            </w:rPr>
            <w:fldChar w:fldCharType="begin"/>
          </w:r>
          <w:r>
            <w:rPr>
              <w:sz w:val="28"/>
              <w:szCs w:val="28"/>
            </w:rPr>
            <w:instrText xml:space="preserve"> HYPERLINK \l _Toc27645 </w:instrText>
          </w:r>
          <w:r>
            <w:rPr>
              <w:sz w:val="28"/>
              <w:szCs w:val="28"/>
            </w:rPr>
            <w:fldChar w:fldCharType="separate"/>
          </w:r>
          <w:r>
            <w:rPr>
              <w:rFonts w:hint="eastAsia" w:ascii="楷体_GB2312" w:eastAsia="楷体_GB2312"/>
              <w:bCs/>
              <w:sz w:val="28"/>
              <w:szCs w:val="28"/>
            </w:rPr>
            <w:t>（二）效果实现情况分析</w:t>
          </w:r>
          <w:r>
            <w:rPr>
              <w:sz w:val="28"/>
              <w:szCs w:val="28"/>
            </w:rPr>
            <w:tab/>
          </w:r>
          <w:r>
            <w:rPr>
              <w:sz w:val="28"/>
              <w:szCs w:val="28"/>
            </w:rPr>
            <w:fldChar w:fldCharType="begin"/>
          </w:r>
          <w:r>
            <w:rPr>
              <w:sz w:val="28"/>
              <w:szCs w:val="28"/>
            </w:rPr>
            <w:instrText xml:space="preserve"> PAGEREF _Toc27645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2"/>
            <w:tabs>
              <w:tab w:val="right" w:leader="dot" w:pos="8504"/>
            </w:tabs>
            <w:rPr>
              <w:sz w:val="28"/>
              <w:szCs w:val="28"/>
            </w:rPr>
          </w:pPr>
          <w:r>
            <w:rPr>
              <w:sz w:val="28"/>
              <w:szCs w:val="28"/>
            </w:rPr>
            <w:fldChar w:fldCharType="begin"/>
          </w:r>
          <w:r>
            <w:rPr>
              <w:sz w:val="28"/>
              <w:szCs w:val="28"/>
            </w:rPr>
            <w:instrText xml:space="preserve"> HYPERLINK \l _Toc28601 </w:instrText>
          </w:r>
          <w:r>
            <w:rPr>
              <w:sz w:val="28"/>
              <w:szCs w:val="28"/>
            </w:rPr>
            <w:fldChar w:fldCharType="separate"/>
          </w:r>
          <w:r>
            <w:rPr>
              <w:rFonts w:hint="eastAsia" w:ascii="黑体" w:hAnsi="黑体" w:eastAsia="黑体"/>
              <w:sz w:val="28"/>
              <w:szCs w:val="28"/>
            </w:rPr>
            <w:t>四、预算管理情况分析</w:t>
          </w:r>
          <w:r>
            <w:rPr>
              <w:sz w:val="28"/>
              <w:szCs w:val="28"/>
            </w:rPr>
            <w:tab/>
          </w:r>
          <w:r>
            <w:rPr>
              <w:sz w:val="28"/>
              <w:szCs w:val="28"/>
            </w:rPr>
            <w:fldChar w:fldCharType="begin"/>
          </w:r>
          <w:r>
            <w:rPr>
              <w:sz w:val="28"/>
              <w:szCs w:val="28"/>
            </w:rPr>
            <w:instrText xml:space="preserve"> PAGEREF _Toc28601 \h </w:instrText>
          </w:r>
          <w:r>
            <w:rPr>
              <w:sz w:val="28"/>
              <w:szCs w:val="28"/>
            </w:rPr>
            <w:fldChar w:fldCharType="separate"/>
          </w:r>
          <w:r>
            <w:rPr>
              <w:sz w:val="28"/>
              <w:szCs w:val="28"/>
            </w:rPr>
            <w:t>9</w:t>
          </w:r>
          <w:r>
            <w:rPr>
              <w:sz w:val="28"/>
              <w:szCs w:val="28"/>
            </w:rPr>
            <w:fldChar w:fldCharType="end"/>
          </w:r>
          <w:r>
            <w:rPr>
              <w:sz w:val="28"/>
              <w:szCs w:val="28"/>
            </w:rPr>
            <w:fldChar w:fldCharType="end"/>
          </w:r>
        </w:p>
        <w:p>
          <w:pPr>
            <w:pStyle w:val="14"/>
            <w:tabs>
              <w:tab w:val="right" w:leader="dot" w:pos="8504"/>
            </w:tabs>
            <w:rPr>
              <w:sz w:val="28"/>
              <w:szCs w:val="28"/>
            </w:rPr>
          </w:pPr>
          <w:r>
            <w:rPr>
              <w:sz w:val="28"/>
              <w:szCs w:val="28"/>
            </w:rPr>
            <w:fldChar w:fldCharType="begin"/>
          </w:r>
          <w:r>
            <w:rPr>
              <w:sz w:val="28"/>
              <w:szCs w:val="28"/>
            </w:rPr>
            <w:instrText xml:space="preserve"> HYPERLINK \l _Toc27131 </w:instrText>
          </w:r>
          <w:r>
            <w:rPr>
              <w:sz w:val="28"/>
              <w:szCs w:val="28"/>
            </w:rPr>
            <w:fldChar w:fldCharType="separate"/>
          </w:r>
          <w:r>
            <w:rPr>
              <w:rFonts w:hint="eastAsia" w:ascii="楷体_GB2312" w:eastAsia="楷体_GB2312"/>
              <w:bCs/>
              <w:sz w:val="28"/>
              <w:szCs w:val="28"/>
            </w:rPr>
            <w:t>（一）财务管理</w:t>
          </w:r>
          <w:r>
            <w:rPr>
              <w:sz w:val="28"/>
              <w:szCs w:val="28"/>
            </w:rPr>
            <w:tab/>
          </w:r>
          <w:r>
            <w:rPr>
              <w:sz w:val="28"/>
              <w:szCs w:val="28"/>
            </w:rPr>
            <w:fldChar w:fldCharType="begin"/>
          </w:r>
          <w:r>
            <w:rPr>
              <w:sz w:val="28"/>
              <w:szCs w:val="28"/>
            </w:rPr>
            <w:instrText xml:space="preserve"> PAGEREF _Toc27131 \h </w:instrText>
          </w:r>
          <w:r>
            <w:rPr>
              <w:sz w:val="28"/>
              <w:szCs w:val="28"/>
            </w:rPr>
            <w:fldChar w:fldCharType="separate"/>
          </w:r>
          <w:r>
            <w:rPr>
              <w:sz w:val="28"/>
              <w:szCs w:val="28"/>
            </w:rPr>
            <w:t>9</w:t>
          </w:r>
          <w:r>
            <w:rPr>
              <w:sz w:val="28"/>
              <w:szCs w:val="28"/>
            </w:rPr>
            <w:fldChar w:fldCharType="end"/>
          </w:r>
          <w:r>
            <w:rPr>
              <w:sz w:val="28"/>
              <w:szCs w:val="28"/>
            </w:rPr>
            <w:fldChar w:fldCharType="end"/>
          </w:r>
        </w:p>
        <w:p>
          <w:pPr>
            <w:pStyle w:val="14"/>
            <w:tabs>
              <w:tab w:val="right" w:leader="dot" w:pos="8504"/>
            </w:tabs>
            <w:rPr>
              <w:sz w:val="28"/>
              <w:szCs w:val="28"/>
            </w:rPr>
          </w:pPr>
          <w:r>
            <w:rPr>
              <w:sz w:val="28"/>
              <w:szCs w:val="28"/>
            </w:rPr>
            <w:fldChar w:fldCharType="begin"/>
          </w:r>
          <w:r>
            <w:rPr>
              <w:sz w:val="28"/>
              <w:szCs w:val="28"/>
            </w:rPr>
            <w:instrText xml:space="preserve"> HYPERLINK \l _Toc16450 </w:instrText>
          </w:r>
          <w:r>
            <w:rPr>
              <w:sz w:val="28"/>
              <w:szCs w:val="28"/>
            </w:rPr>
            <w:fldChar w:fldCharType="separate"/>
          </w:r>
          <w:r>
            <w:rPr>
              <w:rFonts w:hint="eastAsia" w:ascii="楷体_GB2312" w:eastAsia="楷体_GB2312"/>
              <w:sz w:val="28"/>
              <w:szCs w:val="28"/>
            </w:rPr>
            <w:t>（二）资产管理</w:t>
          </w:r>
          <w:r>
            <w:rPr>
              <w:sz w:val="28"/>
              <w:szCs w:val="28"/>
            </w:rPr>
            <w:tab/>
          </w:r>
          <w:r>
            <w:rPr>
              <w:sz w:val="28"/>
              <w:szCs w:val="28"/>
            </w:rPr>
            <w:fldChar w:fldCharType="begin"/>
          </w:r>
          <w:r>
            <w:rPr>
              <w:sz w:val="28"/>
              <w:szCs w:val="28"/>
            </w:rPr>
            <w:instrText xml:space="preserve"> PAGEREF _Toc16450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4"/>
            <w:tabs>
              <w:tab w:val="right" w:leader="dot" w:pos="8504"/>
            </w:tabs>
            <w:rPr>
              <w:sz w:val="28"/>
              <w:szCs w:val="28"/>
            </w:rPr>
          </w:pPr>
          <w:r>
            <w:rPr>
              <w:sz w:val="28"/>
              <w:szCs w:val="28"/>
            </w:rPr>
            <w:fldChar w:fldCharType="begin"/>
          </w:r>
          <w:r>
            <w:rPr>
              <w:sz w:val="28"/>
              <w:szCs w:val="28"/>
            </w:rPr>
            <w:instrText xml:space="preserve"> HYPERLINK \l _Toc11768 </w:instrText>
          </w:r>
          <w:r>
            <w:rPr>
              <w:sz w:val="28"/>
              <w:szCs w:val="28"/>
            </w:rPr>
            <w:fldChar w:fldCharType="separate"/>
          </w:r>
          <w:r>
            <w:rPr>
              <w:rFonts w:hint="eastAsia" w:ascii="楷体_GB2312" w:eastAsia="楷体_GB2312"/>
              <w:bCs/>
              <w:sz w:val="28"/>
              <w:szCs w:val="28"/>
            </w:rPr>
            <w:t>（三）绩效管理</w:t>
          </w:r>
          <w:r>
            <w:rPr>
              <w:sz w:val="28"/>
              <w:szCs w:val="28"/>
            </w:rPr>
            <w:tab/>
          </w:r>
          <w:r>
            <w:rPr>
              <w:sz w:val="28"/>
              <w:szCs w:val="28"/>
            </w:rPr>
            <w:fldChar w:fldCharType="begin"/>
          </w:r>
          <w:r>
            <w:rPr>
              <w:sz w:val="28"/>
              <w:szCs w:val="28"/>
            </w:rPr>
            <w:instrText xml:space="preserve"> PAGEREF _Toc11768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14"/>
            <w:tabs>
              <w:tab w:val="right" w:leader="dot" w:pos="8504"/>
            </w:tabs>
            <w:rPr>
              <w:sz w:val="28"/>
              <w:szCs w:val="28"/>
            </w:rPr>
          </w:pPr>
          <w:r>
            <w:rPr>
              <w:sz w:val="28"/>
              <w:szCs w:val="28"/>
            </w:rPr>
            <w:fldChar w:fldCharType="begin"/>
          </w:r>
          <w:r>
            <w:rPr>
              <w:sz w:val="28"/>
              <w:szCs w:val="28"/>
            </w:rPr>
            <w:instrText xml:space="preserve"> HYPERLINK \l _Toc5157 </w:instrText>
          </w:r>
          <w:r>
            <w:rPr>
              <w:sz w:val="28"/>
              <w:szCs w:val="28"/>
            </w:rPr>
            <w:fldChar w:fldCharType="separate"/>
          </w:r>
          <w:r>
            <w:rPr>
              <w:rFonts w:hint="eastAsia" w:ascii="楷体_GB2312" w:eastAsia="楷体_GB2312"/>
              <w:bCs/>
              <w:sz w:val="28"/>
              <w:szCs w:val="28"/>
            </w:rPr>
            <w:t>（四）结转结余率</w:t>
          </w:r>
          <w:r>
            <w:rPr>
              <w:sz w:val="28"/>
              <w:szCs w:val="28"/>
            </w:rPr>
            <w:tab/>
          </w:r>
          <w:r>
            <w:rPr>
              <w:sz w:val="28"/>
              <w:szCs w:val="28"/>
            </w:rPr>
            <w:fldChar w:fldCharType="begin"/>
          </w:r>
          <w:r>
            <w:rPr>
              <w:sz w:val="28"/>
              <w:szCs w:val="28"/>
            </w:rPr>
            <w:instrText xml:space="preserve"> PAGEREF _Toc5157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14"/>
            <w:tabs>
              <w:tab w:val="right" w:leader="dot" w:pos="8504"/>
            </w:tabs>
            <w:rPr>
              <w:sz w:val="28"/>
              <w:szCs w:val="28"/>
            </w:rPr>
          </w:pPr>
          <w:r>
            <w:rPr>
              <w:sz w:val="28"/>
              <w:szCs w:val="28"/>
            </w:rPr>
            <w:fldChar w:fldCharType="begin"/>
          </w:r>
          <w:r>
            <w:rPr>
              <w:sz w:val="28"/>
              <w:szCs w:val="28"/>
            </w:rPr>
            <w:instrText xml:space="preserve"> HYPERLINK \l _Toc4325 </w:instrText>
          </w:r>
          <w:r>
            <w:rPr>
              <w:sz w:val="28"/>
              <w:szCs w:val="28"/>
            </w:rPr>
            <w:fldChar w:fldCharType="separate"/>
          </w:r>
          <w:r>
            <w:rPr>
              <w:rFonts w:hint="eastAsia" w:ascii="楷体_GB2312" w:eastAsia="楷体_GB2312"/>
              <w:bCs/>
              <w:sz w:val="28"/>
              <w:szCs w:val="28"/>
            </w:rPr>
            <w:t>（五）部门预决算差异率</w:t>
          </w:r>
          <w:r>
            <w:rPr>
              <w:sz w:val="28"/>
              <w:szCs w:val="28"/>
            </w:rPr>
            <w:tab/>
          </w:r>
          <w:r>
            <w:rPr>
              <w:sz w:val="28"/>
              <w:szCs w:val="28"/>
            </w:rPr>
            <w:fldChar w:fldCharType="begin"/>
          </w:r>
          <w:r>
            <w:rPr>
              <w:sz w:val="28"/>
              <w:szCs w:val="28"/>
            </w:rPr>
            <w:instrText xml:space="preserve"> PAGEREF _Toc4325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12"/>
            <w:tabs>
              <w:tab w:val="right" w:leader="dot" w:pos="8504"/>
            </w:tabs>
            <w:rPr>
              <w:sz w:val="28"/>
              <w:szCs w:val="28"/>
            </w:rPr>
          </w:pPr>
          <w:r>
            <w:rPr>
              <w:sz w:val="28"/>
              <w:szCs w:val="28"/>
            </w:rPr>
            <w:fldChar w:fldCharType="begin"/>
          </w:r>
          <w:r>
            <w:rPr>
              <w:sz w:val="28"/>
              <w:szCs w:val="28"/>
            </w:rPr>
            <w:instrText xml:space="preserve"> HYPERLINK \l _Toc5438 </w:instrText>
          </w:r>
          <w:r>
            <w:rPr>
              <w:sz w:val="28"/>
              <w:szCs w:val="28"/>
            </w:rPr>
            <w:fldChar w:fldCharType="separate"/>
          </w:r>
          <w:r>
            <w:rPr>
              <w:rFonts w:hint="eastAsia" w:ascii="黑体" w:hAnsi="黑体" w:eastAsia="黑体"/>
              <w:sz w:val="28"/>
              <w:szCs w:val="28"/>
            </w:rPr>
            <w:t>五、总体</w:t>
          </w:r>
          <w:r>
            <w:rPr>
              <w:rFonts w:ascii="黑体" w:hAnsi="黑体" w:eastAsia="黑体"/>
              <w:sz w:val="28"/>
              <w:szCs w:val="28"/>
            </w:rPr>
            <w:t>评价结论</w:t>
          </w:r>
          <w:r>
            <w:rPr>
              <w:sz w:val="28"/>
              <w:szCs w:val="28"/>
            </w:rPr>
            <w:tab/>
          </w:r>
          <w:r>
            <w:rPr>
              <w:sz w:val="28"/>
              <w:szCs w:val="28"/>
            </w:rPr>
            <w:fldChar w:fldCharType="begin"/>
          </w:r>
          <w:r>
            <w:rPr>
              <w:sz w:val="28"/>
              <w:szCs w:val="28"/>
            </w:rPr>
            <w:instrText xml:space="preserve"> PAGEREF _Toc5438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14"/>
            <w:tabs>
              <w:tab w:val="right" w:leader="dot" w:pos="8504"/>
            </w:tabs>
            <w:rPr>
              <w:sz w:val="28"/>
              <w:szCs w:val="28"/>
            </w:rPr>
          </w:pPr>
          <w:r>
            <w:rPr>
              <w:sz w:val="28"/>
              <w:szCs w:val="28"/>
            </w:rPr>
            <w:fldChar w:fldCharType="begin"/>
          </w:r>
          <w:r>
            <w:rPr>
              <w:sz w:val="28"/>
              <w:szCs w:val="28"/>
            </w:rPr>
            <w:instrText xml:space="preserve"> HYPERLINK \l _Toc16148 </w:instrText>
          </w:r>
          <w:r>
            <w:rPr>
              <w:sz w:val="28"/>
              <w:szCs w:val="28"/>
            </w:rPr>
            <w:fldChar w:fldCharType="separate"/>
          </w:r>
          <w:r>
            <w:rPr>
              <w:rFonts w:hint="eastAsia" w:ascii="楷体_GB2312" w:eastAsia="楷体_GB2312"/>
              <w:bCs/>
              <w:sz w:val="28"/>
              <w:szCs w:val="28"/>
            </w:rPr>
            <w:t>（一）评价得分情况</w:t>
          </w:r>
          <w:r>
            <w:rPr>
              <w:sz w:val="28"/>
              <w:szCs w:val="28"/>
            </w:rPr>
            <w:tab/>
          </w:r>
          <w:r>
            <w:rPr>
              <w:sz w:val="28"/>
              <w:szCs w:val="28"/>
            </w:rPr>
            <w:fldChar w:fldCharType="begin"/>
          </w:r>
          <w:r>
            <w:rPr>
              <w:sz w:val="28"/>
              <w:szCs w:val="28"/>
            </w:rPr>
            <w:instrText xml:space="preserve"> PAGEREF _Toc16148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14"/>
            <w:tabs>
              <w:tab w:val="right" w:leader="dot" w:pos="8504"/>
            </w:tabs>
            <w:rPr>
              <w:sz w:val="28"/>
              <w:szCs w:val="28"/>
            </w:rPr>
          </w:pPr>
          <w:r>
            <w:rPr>
              <w:sz w:val="28"/>
              <w:szCs w:val="28"/>
            </w:rPr>
            <w:fldChar w:fldCharType="begin"/>
          </w:r>
          <w:r>
            <w:rPr>
              <w:sz w:val="28"/>
              <w:szCs w:val="28"/>
            </w:rPr>
            <w:instrText xml:space="preserve"> HYPERLINK \l _Toc26844 </w:instrText>
          </w:r>
          <w:r>
            <w:rPr>
              <w:sz w:val="28"/>
              <w:szCs w:val="28"/>
            </w:rPr>
            <w:fldChar w:fldCharType="separate"/>
          </w:r>
          <w:r>
            <w:rPr>
              <w:rFonts w:hint="eastAsia" w:ascii="楷体_GB2312" w:eastAsia="楷体_GB2312"/>
              <w:bCs/>
              <w:sz w:val="28"/>
              <w:szCs w:val="28"/>
            </w:rPr>
            <w:t>（二）存在的问题及原因分析</w:t>
          </w:r>
          <w:r>
            <w:rPr>
              <w:sz w:val="28"/>
              <w:szCs w:val="28"/>
            </w:rPr>
            <w:tab/>
          </w:r>
          <w:r>
            <w:rPr>
              <w:sz w:val="28"/>
              <w:szCs w:val="28"/>
            </w:rPr>
            <w:fldChar w:fldCharType="begin"/>
          </w:r>
          <w:r>
            <w:rPr>
              <w:sz w:val="28"/>
              <w:szCs w:val="28"/>
            </w:rPr>
            <w:instrText xml:space="preserve"> PAGEREF _Toc26844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12"/>
            <w:tabs>
              <w:tab w:val="right" w:leader="dot" w:pos="8504"/>
            </w:tabs>
            <w:rPr>
              <w:sz w:val="28"/>
              <w:szCs w:val="28"/>
            </w:rPr>
          </w:pPr>
          <w:r>
            <w:rPr>
              <w:sz w:val="28"/>
              <w:szCs w:val="28"/>
            </w:rPr>
            <w:fldChar w:fldCharType="begin"/>
          </w:r>
          <w:r>
            <w:rPr>
              <w:sz w:val="28"/>
              <w:szCs w:val="28"/>
            </w:rPr>
            <w:instrText xml:space="preserve"> HYPERLINK \l _Toc20952 </w:instrText>
          </w:r>
          <w:r>
            <w:rPr>
              <w:sz w:val="28"/>
              <w:szCs w:val="28"/>
            </w:rPr>
            <w:fldChar w:fldCharType="separate"/>
          </w:r>
          <w:r>
            <w:rPr>
              <w:rFonts w:hint="eastAsia" w:ascii="黑体" w:hAnsi="黑体" w:eastAsia="黑体" w:cs="宋体"/>
              <w:kern w:val="0"/>
              <w:sz w:val="28"/>
              <w:szCs w:val="28"/>
            </w:rPr>
            <w:t>六、措施建议</w:t>
          </w:r>
          <w:r>
            <w:rPr>
              <w:sz w:val="28"/>
              <w:szCs w:val="28"/>
            </w:rPr>
            <w:tab/>
          </w:r>
          <w:r>
            <w:rPr>
              <w:sz w:val="28"/>
              <w:szCs w:val="28"/>
            </w:rPr>
            <w:fldChar w:fldCharType="begin"/>
          </w:r>
          <w:r>
            <w:rPr>
              <w:sz w:val="28"/>
              <w:szCs w:val="28"/>
            </w:rPr>
            <w:instrText xml:space="preserve"> PAGEREF _Toc20952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13"/>
            <w:ind w:left="3360"/>
            <w:textAlignment w:val="baseline"/>
            <w:rPr>
              <w:sz w:val="28"/>
              <w:szCs w:val="28"/>
            </w:rPr>
          </w:pPr>
          <w:r>
            <w:rPr>
              <w:sz w:val="28"/>
              <w:szCs w:val="28"/>
            </w:rPr>
            <w:fldChar w:fldCharType="end"/>
          </w:r>
        </w:p>
      </w:sdtContent>
    </w:sdt>
    <w:p>
      <w:pPr>
        <w:spacing w:line="560" w:lineRule="exact"/>
        <w:jc w:val="center"/>
        <w:textAlignment w:val="baseline"/>
        <w:rPr>
          <w:rFonts w:ascii="方正小标宋简体" w:eastAsia="方正小标宋简体"/>
          <w:sz w:val="28"/>
          <w:szCs w:val="28"/>
        </w:rPr>
        <w:sectPr>
          <w:pgSz w:w="11906" w:h="16838"/>
          <w:pgMar w:top="1701" w:right="1701" w:bottom="1701" w:left="1701" w:header="851" w:footer="992" w:gutter="0"/>
          <w:pgNumType w:start="1"/>
          <w:cols w:space="425" w:num="1"/>
          <w:docGrid w:type="lines" w:linePitch="312" w:charSpace="0"/>
        </w:sectPr>
      </w:pPr>
    </w:p>
    <w:p>
      <w:pPr>
        <w:spacing w:line="600" w:lineRule="exact"/>
        <w:jc w:val="center"/>
        <w:textAlignment w:val="baseline"/>
        <w:outlineLvl w:val="9"/>
        <w:rPr>
          <w:rFonts w:ascii="方正小标宋简体" w:eastAsia="方正小标宋简体"/>
          <w:sz w:val="44"/>
          <w:szCs w:val="44"/>
        </w:rPr>
      </w:pPr>
      <w:bookmarkStart w:id="1" w:name="_Toc12030"/>
      <w:r>
        <w:rPr>
          <w:rFonts w:hint="eastAsia" w:ascii="方正小标宋简体" w:eastAsia="方正小标宋简体"/>
          <w:sz w:val="44"/>
          <w:szCs w:val="44"/>
          <w:lang w:val="en-US" w:eastAsia="zh-CN"/>
        </w:rPr>
        <w:t>2023年</w:t>
      </w:r>
      <w:r>
        <w:rPr>
          <w:rFonts w:hint="eastAsia" w:ascii="方正小标宋简体" w:eastAsia="方正小标宋简体"/>
          <w:sz w:val="44"/>
          <w:szCs w:val="44"/>
        </w:rPr>
        <w:t>部门整体绩效评价报告</w:t>
      </w:r>
      <w:bookmarkEnd w:id="1"/>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为进一步推进预算绩效管理，规范财政支出管理，增强部门支出责任，提高财政资金使用效益，根据《中共中央 国务院关于全面实施预算绩效管理的意见》（中发〔2018〕34号）、《中共北京市委</w:t>
      </w:r>
      <w:r>
        <w:rPr>
          <w:rFonts w:hint="default" w:ascii="仿宋_GB2312" w:hAnsi="仿宋" w:eastAsia="仿宋_GB2312"/>
          <w:sz w:val="32"/>
          <w:szCs w:val="32"/>
          <w:lang w:val="en-US" w:eastAsia="zh-CN"/>
        </w:rPr>
        <w:t xml:space="preserve"> </w:t>
      </w:r>
      <w:r>
        <w:rPr>
          <w:rFonts w:hint="eastAsia" w:ascii="仿宋_GB2312" w:hAnsi="仿宋" w:eastAsia="仿宋_GB2312"/>
          <w:sz w:val="32"/>
          <w:szCs w:val="32"/>
          <w:lang w:val="en-US" w:eastAsia="zh-CN"/>
        </w:rPr>
        <w:t>北京市人民政府关于全面实施预算绩效管理的实施意见》（京发〔2019〕12号）、《北京市项目支出绩效评价管理办法》(京财绩效〔2020〕2146号)等文件精神,</w:t>
      </w:r>
      <w:bookmarkStart w:id="2" w:name="_Hlk71567373"/>
      <w:r>
        <w:rPr>
          <w:rFonts w:hint="default" w:ascii="仿宋_GB2312" w:hAnsi="仿宋" w:eastAsia="仿宋_GB2312"/>
          <w:sz w:val="32"/>
          <w:szCs w:val="32"/>
          <w:lang w:val="en-US" w:eastAsia="zh-CN"/>
        </w:rPr>
        <w:t>北京城市副中心工程建设管理办公室</w:t>
      </w:r>
      <w:bookmarkEnd w:id="2"/>
      <w:r>
        <w:rPr>
          <w:rFonts w:hint="default" w:ascii="仿宋_GB2312" w:hAnsi="仿宋" w:eastAsia="仿宋_GB2312"/>
          <w:sz w:val="32"/>
          <w:szCs w:val="32"/>
          <w:lang w:val="en-US" w:eastAsia="zh-CN"/>
        </w:rPr>
        <w:t>（以下简称副中心工程办）按照《北京市财政局关于</w:t>
      </w:r>
      <w:r>
        <w:rPr>
          <w:rFonts w:hint="eastAsia" w:ascii="仿宋_GB2312" w:hAnsi="仿宋" w:eastAsia="仿宋_GB2312"/>
          <w:sz w:val="32"/>
          <w:szCs w:val="32"/>
          <w:lang w:val="en-US" w:eastAsia="zh-CN"/>
        </w:rPr>
        <w:t>开展2024年预算绩效管理相关工作的函</w:t>
      </w:r>
      <w:r>
        <w:rPr>
          <w:rFonts w:hint="default" w:ascii="仿宋_GB2312" w:hAnsi="仿宋" w:eastAsia="仿宋_GB2312"/>
          <w:sz w:val="32"/>
          <w:szCs w:val="32"/>
          <w:lang w:val="en-US" w:eastAsia="zh-CN"/>
        </w:rPr>
        <w:t>》部署要求，</w:t>
      </w:r>
      <w:r>
        <w:rPr>
          <w:rFonts w:hint="eastAsia" w:ascii="仿宋_GB2312" w:hAnsi="仿宋" w:eastAsia="仿宋_GB2312"/>
          <w:sz w:val="32"/>
          <w:szCs w:val="32"/>
          <w:lang w:val="en-US" w:eastAsia="zh-CN"/>
        </w:rPr>
        <w:t>委托北京和兴会计师事务所组建绩效评价工作组，对2023年部门整体进行绩效评价，形成本报告。</w:t>
      </w:r>
    </w:p>
    <w:p>
      <w:pPr>
        <w:pStyle w:val="22"/>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baseline"/>
        <w:outlineLvl w:val="0"/>
        <w:rPr>
          <w:rFonts w:ascii="黑体" w:hAnsi="黑体" w:eastAsia="黑体"/>
          <w:sz w:val="32"/>
          <w:szCs w:val="32"/>
        </w:rPr>
      </w:pPr>
      <w:bookmarkStart w:id="3" w:name="_Toc15145"/>
      <w:bookmarkStart w:id="4" w:name="_Toc8766"/>
      <w:bookmarkStart w:id="5" w:name="_Toc17831"/>
      <w:bookmarkStart w:id="6" w:name="_Toc23316"/>
      <w:r>
        <w:rPr>
          <w:rFonts w:hint="eastAsia" w:ascii="黑体" w:hAnsi="黑体" w:eastAsia="黑体"/>
          <w:sz w:val="32"/>
          <w:szCs w:val="32"/>
        </w:rPr>
        <w:t>一、部门概况</w:t>
      </w:r>
      <w:bookmarkEnd w:id="3"/>
      <w:bookmarkEnd w:id="4"/>
      <w:bookmarkEnd w:id="5"/>
      <w:bookmarkEnd w:id="6"/>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outlineLvl w:val="1"/>
        <w:rPr>
          <w:rFonts w:ascii="楷体_GB2312" w:eastAsia="楷体_GB2312"/>
          <w:b/>
          <w:bCs/>
          <w:sz w:val="32"/>
          <w:szCs w:val="32"/>
        </w:rPr>
      </w:pPr>
      <w:bookmarkStart w:id="7" w:name="_Toc31134"/>
      <w:bookmarkStart w:id="8" w:name="_Toc7959"/>
      <w:bookmarkStart w:id="9" w:name="_Toc24814"/>
      <w:bookmarkStart w:id="10" w:name="_Toc23826"/>
      <w:r>
        <w:rPr>
          <w:rFonts w:hint="eastAsia" w:ascii="楷体_GB2312" w:eastAsia="楷体_GB2312"/>
          <w:b/>
          <w:bCs/>
          <w:sz w:val="32"/>
          <w:szCs w:val="32"/>
        </w:rPr>
        <w:t>（一）机构设置及职责工作任务情况</w:t>
      </w:r>
      <w:bookmarkEnd w:id="7"/>
      <w:bookmarkEnd w:id="8"/>
      <w:bookmarkEnd w:id="9"/>
      <w:bookmarkEnd w:id="10"/>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主要职能</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副中心工程办作为北京行政副中心行政办公区的建设主体，承担业主职责。其主要职责是：负责统筹协调行政办公区的规划建设等相关工作；编制行政办公区工程建设总体进度计划，并组织实施；协调政府有关部门依法对工程建设实行审批；负责工程招投标组织、合同签署工作，监督工程建设相关资金的使用管理；负责工程建设的信息统计，档案管理工作；协调工程周边环境整治，协调解决工程建设中出现的问题。</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机构情况</w:t>
      </w:r>
    </w:p>
    <w:p>
      <w:pPr>
        <w:spacing w:line="56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副中心工程办设置15个内设机构，</w:t>
      </w:r>
      <w:r>
        <w:rPr>
          <w:rFonts w:hint="eastAsia" w:ascii="仿宋_GB2312" w:hAnsi="Times New Roman" w:eastAsia="仿宋_GB2312" w:cs="Times New Roman"/>
          <w:sz w:val="32"/>
          <w:szCs w:val="32"/>
        </w:rPr>
        <w:t>分别为：综合部、财务审计部、招标合同预算部、规划设计管理部、工程建设管理一部、工程建设管理二部、工程建设管理三部、工程质量管理部、建材科技部、安全生产管理部、保障性住房建设协调部、公共服务配套建设协调部、交通基础设施建设协调部、市政和生态环境建设协调部、信息化建设协调部。</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人员情况</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Times New Roman" w:eastAsia="仿宋_GB2312" w:cs="Times New Roman"/>
          <w:sz w:val="32"/>
          <w:szCs w:val="32"/>
          <w:highlight w:val="none"/>
          <w:lang w:val="en" w:eastAsia="zh-CN"/>
        </w:rPr>
      </w:pPr>
      <w:r>
        <w:rPr>
          <w:rFonts w:hint="eastAsia" w:ascii="仿宋_GB2312" w:hAnsi="仿宋" w:eastAsia="仿宋_GB2312"/>
          <w:sz w:val="32"/>
          <w:szCs w:val="32"/>
          <w:highlight w:val="none"/>
          <w:lang w:val="en-US" w:eastAsia="zh-CN"/>
        </w:rPr>
        <w:t>根据京编办复</w:t>
      </w:r>
      <w:r>
        <w:rPr>
          <w:rFonts w:hint="eastAsia" w:ascii="仿宋_GB2312" w:hAnsi="仿宋" w:eastAsia="仿宋_GB2312"/>
          <w:sz w:val="32"/>
          <w:szCs w:val="32"/>
          <w:highlight w:val="none"/>
          <w:lang w:val="en"/>
        </w:rPr>
        <w:t>〔2022〕</w:t>
      </w:r>
      <w:r>
        <w:rPr>
          <w:rFonts w:hint="eastAsia" w:ascii="仿宋_GB2312" w:hAnsi="仿宋" w:eastAsia="仿宋_GB2312"/>
          <w:sz w:val="32"/>
          <w:szCs w:val="32"/>
          <w:highlight w:val="none"/>
          <w:lang w:val="en-US" w:eastAsia="zh-CN"/>
        </w:rPr>
        <w:t>1号文件，副中心工程办工作人员数量152名，</w:t>
      </w:r>
      <w:r>
        <w:rPr>
          <w:rFonts w:hint="eastAsia" w:ascii="仿宋_GB2312" w:hAnsi="Times New Roman" w:eastAsia="仿宋_GB2312" w:cs="Times New Roman"/>
          <w:sz w:val="32"/>
          <w:szCs w:val="32"/>
          <w:highlight w:val="none"/>
          <w:lang w:val="en"/>
        </w:rPr>
        <w:t>核定内设机构处级领导职数17正31副。工作人员由相关部门抽调、通州区借调和面向社会公开招聘组成。截止2023年12月底实有人员148名，抽调、借调机关事业单位人员119人，实行集中办公，保留原身份不变；面向社会公开招聘人员28名，1名返聘人员，实行劳动合同制，按企业化管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outlineLvl w:val="1"/>
        <w:rPr>
          <w:rFonts w:ascii="楷体_GB2312" w:eastAsia="楷体_GB2312"/>
          <w:b/>
          <w:bCs/>
          <w:sz w:val="32"/>
          <w:szCs w:val="32"/>
        </w:rPr>
      </w:pPr>
      <w:bookmarkStart w:id="11" w:name="_Toc14178"/>
      <w:bookmarkStart w:id="12" w:name="_Toc401"/>
      <w:bookmarkStart w:id="13" w:name="_Toc9052"/>
      <w:bookmarkStart w:id="14" w:name="_Toc17184"/>
      <w:r>
        <w:rPr>
          <w:rFonts w:hint="eastAsia" w:ascii="楷体_GB2312" w:eastAsia="楷体_GB2312"/>
          <w:b/>
          <w:bCs/>
          <w:sz w:val="32"/>
          <w:szCs w:val="32"/>
        </w:rPr>
        <w:t>（二）部门整体绩效目标设立情况</w:t>
      </w:r>
      <w:bookmarkEnd w:id="11"/>
      <w:bookmarkEnd w:id="12"/>
      <w:bookmarkEnd w:id="13"/>
      <w:bookmarkEnd w:id="14"/>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2023年度，副中心工程办部门整体支出绩效目标设置为：严格遵循各项财经制度的相关要求，严肃预算管理，科学合理用好各项资金，保障副中心工程办机关运行需求，厉行节约，努力压减一般性支出，降低单位运行成本和预算总体规模，在规定范围内合理使用资金，提高资金使用效益。</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1.对2023年相关项目进行绩效评价，落实项目绩效评价管理要求，对部分2024年拟申报预算项目按要求进行事前绩效评估；</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2.</w:t>
      </w:r>
      <w:r>
        <w:rPr>
          <w:rFonts w:hint="eastAsia" w:ascii="仿宋_GB2312" w:hAnsi="仿宋" w:eastAsia="仿宋_GB2312"/>
          <w:sz w:val="32"/>
          <w:szCs w:val="32"/>
        </w:rPr>
        <w:t>公务用车、公务招待以及公务出国费用与2022年相比，做到只减不增</w:t>
      </w:r>
      <w:r>
        <w:rPr>
          <w:rFonts w:hint="eastAsia" w:ascii="仿宋_GB2312" w:hAnsi="仿宋" w:eastAsia="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3.</w:t>
      </w:r>
      <w:r>
        <w:rPr>
          <w:rFonts w:hint="eastAsia" w:ascii="仿宋_GB2312" w:hAnsi="仿宋" w:eastAsia="仿宋_GB2312"/>
          <w:sz w:val="32"/>
          <w:szCs w:val="32"/>
        </w:rPr>
        <w:t>依法合规为副中心建设项目提供咨询服务和智力支持</w:t>
      </w:r>
      <w:r>
        <w:rPr>
          <w:rFonts w:hint="eastAsia" w:ascii="仿宋_GB2312" w:hAnsi="仿宋" w:eastAsia="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4.做好人员经费和招聘计划，保障人员工资和社保、公积金等费用按时、足额缴纳；</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5.</w:t>
      </w:r>
      <w:r>
        <w:rPr>
          <w:rFonts w:hint="eastAsia" w:ascii="仿宋_GB2312" w:hAnsi="仿宋" w:eastAsia="仿宋_GB2312"/>
          <w:sz w:val="32"/>
          <w:szCs w:val="32"/>
        </w:rPr>
        <w:t>促进各部门完成年度建设及投资任务，进一步提高建设管理水平</w:t>
      </w:r>
      <w:r>
        <w:rPr>
          <w:rFonts w:hint="eastAsia" w:ascii="仿宋_GB2312" w:hAnsi="仿宋" w:eastAsia="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lang w:val="en-US" w:eastAsia="zh-CN"/>
        </w:rPr>
      </w:pPr>
      <w:r>
        <w:rPr>
          <w:rFonts w:hint="eastAsia" w:ascii="仿宋_GB2312" w:hAnsi="仿宋" w:eastAsia="仿宋_GB2312"/>
          <w:sz w:val="32"/>
          <w:szCs w:val="32"/>
          <w:lang w:val="en-US" w:eastAsia="zh-CN"/>
        </w:rPr>
        <w:t>6.具备移交条件的及时办理移交。</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jc w:val="both"/>
        <w:textAlignment w:val="auto"/>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rPr>
        <w:t>绩效评价</w:t>
      </w:r>
      <w:r>
        <w:rPr>
          <w:rFonts w:hint="eastAsia" w:ascii="仿宋_GB2312" w:hAnsi="仿宋" w:eastAsia="仿宋_GB2312"/>
          <w:sz w:val="32"/>
          <w:szCs w:val="32"/>
          <w:highlight w:val="none"/>
          <w:lang w:val="en-US" w:eastAsia="zh-CN"/>
        </w:rPr>
        <w:t>表明</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eastAsia="zh-CN"/>
        </w:rPr>
        <w:t>副中心工程</w:t>
      </w:r>
      <w:r>
        <w:rPr>
          <w:rFonts w:hint="eastAsia" w:ascii="仿宋_GB2312" w:hAnsi="仿宋" w:eastAsia="仿宋_GB2312"/>
          <w:sz w:val="32"/>
          <w:szCs w:val="32"/>
          <w:highlight w:val="none"/>
          <w:lang w:val="en-US" w:eastAsia="zh-CN"/>
        </w:rPr>
        <w:t>办</w:t>
      </w:r>
      <w:r>
        <w:rPr>
          <w:rFonts w:hint="eastAsia" w:ascii="仿宋_GB2312" w:hAnsi="仿宋" w:eastAsia="仿宋_GB2312"/>
          <w:sz w:val="32"/>
          <w:szCs w:val="32"/>
          <w:highlight w:val="none"/>
        </w:rPr>
        <w:t>绩效目标设立依据充分，符合国家法律法规、国民经济和社会发展规划，符合北京市委、市政府的指示要求，符合</w:t>
      </w:r>
      <w:r>
        <w:rPr>
          <w:rFonts w:hint="eastAsia" w:ascii="仿宋_GB2312" w:hAnsi="仿宋" w:eastAsia="仿宋_GB2312"/>
          <w:sz w:val="32"/>
          <w:szCs w:val="32"/>
          <w:highlight w:val="none"/>
          <w:lang w:val="en-US" w:eastAsia="zh-CN"/>
        </w:rPr>
        <w:t>工程办</w:t>
      </w:r>
      <w:r>
        <w:rPr>
          <w:rFonts w:hint="eastAsia" w:ascii="仿宋_GB2312" w:hAnsi="仿宋" w:eastAsia="仿宋_GB2312"/>
          <w:sz w:val="32"/>
          <w:szCs w:val="32"/>
          <w:highlight w:val="none"/>
        </w:rPr>
        <w:t>工作实际，</w:t>
      </w:r>
      <w:r>
        <w:rPr>
          <w:rFonts w:hint="eastAsia" w:ascii="仿宋_GB2312" w:hAnsi="仿宋" w:eastAsia="仿宋_GB2312"/>
          <w:sz w:val="32"/>
          <w:szCs w:val="32"/>
          <w:highlight w:val="none"/>
          <w:lang w:val="en-US" w:eastAsia="zh-CN"/>
        </w:rPr>
        <w:t>与单位职能相适应，</w:t>
      </w:r>
      <w:r>
        <w:rPr>
          <w:rFonts w:hint="eastAsia" w:ascii="仿宋_GB2312" w:hAnsi="仿宋" w:eastAsia="仿宋_GB2312"/>
          <w:sz w:val="32"/>
          <w:szCs w:val="32"/>
          <w:highlight w:val="none"/>
        </w:rPr>
        <w:t>与预算资金投入相匹配。</w:t>
      </w:r>
      <w:r>
        <w:rPr>
          <w:rFonts w:hint="eastAsia" w:ascii="仿宋_GB2312" w:hAnsi="仿宋" w:eastAsia="仿宋_GB2312"/>
          <w:sz w:val="32"/>
          <w:szCs w:val="32"/>
          <w:highlight w:val="none"/>
          <w:lang w:val="en-US" w:eastAsia="zh-CN"/>
        </w:rPr>
        <w:t>但公务用车运行维护费因车辆使用年限高，性能下降，运行维护费增加。</w:t>
      </w:r>
    </w:p>
    <w:p>
      <w:pPr>
        <w:pStyle w:val="22"/>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baseline"/>
        <w:outlineLvl w:val="0"/>
        <w:rPr>
          <w:rFonts w:ascii="黑体" w:hAnsi="黑体" w:eastAsia="黑体"/>
          <w:sz w:val="32"/>
          <w:szCs w:val="32"/>
          <w:highlight w:val="none"/>
        </w:rPr>
      </w:pPr>
      <w:bookmarkStart w:id="15" w:name="_Toc17412"/>
      <w:bookmarkStart w:id="16" w:name="_Toc23006"/>
      <w:bookmarkStart w:id="17" w:name="_Toc927"/>
      <w:bookmarkStart w:id="18" w:name="_Toc27172"/>
      <w:r>
        <w:rPr>
          <w:rFonts w:hint="eastAsia" w:ascii="黑体" w:hAnsi="黑体" w:eastAsia="黑体"/>
          <w:sz w:val="32"/>
          <w:szCs w:val="32"/>
          <w:highlight w:val="none"/>
        </w:rPr>
        <w:t>二、当年预算执行情况</w:t>
      </w:r>
      <w:bookmarkEnd w:id="15"/>
      <w:bookmarkEnd w:id="16"/>
      <w:bookmarkEnd w:id="17"/>
      <w:bookmarkEnd w:id="18"/>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 w:eastAsia="仿宋_GB2312"/>
          <w:sz w:val="32"/>
          <w:szCs w:val="32"/>
          <w:highlight w:val="none"/>
        </w:rPr>
      </w:pPr>
      <w:bookmarkStart w:id="19" w:name="_Toc7884"/>
      <w:bookmarkStart w:id="20" w:name="_Toc12770"/>
      <w:bookmarkStart w:id="21" w:name="_Toc3885"/>
      <w:bookmarkStart w:id="22" w:name="_Toc23230"/>
      <w:r>
        <w:rPr>
          <w:rFonts w:hint="eastAsia" w:ascii="仿宋_GB2312" w:hAnsi="仿宋" w:eastAsia="仿宋_GB2312"/>
          <w:sz w:val="32"/>
          <w:szCs w:val="32"/>
          <w:lang w:eastAsia="zh-CN"/>
        </w:rPr>
        <w:t>副中心工程办</w:t>
      </w:r>
      <w:r>
        <w:rPr>
          <w:rFonts w:hint="eastAsia"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年全年预算数</w:t>
      </w:r>
      <w:r>
        <w:rPr>
          <w:rFonts w:hint="eastAsia" w:ascii="仿宋_GB2312" w:hAnsi="Times New Roman" w:eastAsia="仿宋_GB2312" w:cs="Times New Roman"/>
          <w:sz w:val="32"/>
          <w:szCs w:val="32"/>
        </w:rPr>
        <w:t>331564</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08</w:t>
      </w:r>
      <w:r>
        <w:rPr>
          <w:rFonts w:hint="eastAsia" w:ascii="仿宋_GB2312" w:hAnsi="仿宋" w:eastAsia="仿宋_GB2312"/>
          <w:sz w:val="32"/>
          <w:szCs w:val="32"/>
        </w:rPr>
        <w:t>万元，其中，基本支出预算数</w:t>
      </w:r>
      <w:r>
        <w:rPr>
          <w:rFonts w:hint="eastAsia" w:ascii="仿宋_GB2312" w:hAnsi="Times New Roman" w:eastAsia="仿宋_GB2312" w:cs="Times New Roman"/>
          <w:sz w:val="32"/>
          <w:szCs w:val="32"/>
        </w:rPr>
        <w:t>942</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0</w:t>
      </w:r>
      <w:r>
        <w:rPr>
          <w:rFonts w:hint="eastAsia" w:ascii="仿宋_GB2312" w:hAnsi="Times New Roman" w:eastAsia="仿宋_GB2312" w:cs="Times New Roman"/>
          <w:sz w:val="32"/>
          <w:szCs w:val="32"/>
          <w:lang w:val="en-US" w:eastAsia="zh-CN"/>
        </w:rPr>
        <w:t>5</w:t>
      </w:r>
      <w:r>
        <w:rPr>
          <w:rFonts w:hint="eastAsia" w:ascii="仿宋_GB2312" w:eastAsia="仿宋_GB2312"/>
          <w:color w:val="000000"/>
          <w:sz w:val="32"/>
          <w:szCs w:val="32"/>
        </w:rPr>
        <w:t>万元</w:t>
      </w:r>
      <w:r>
        <w:rPr>
          <w:rFonts w:hint="eastAsia" w:ascii="仿宋_GB2312" w:hAnsi="仿宋" w:eastAsia="仿宋_GB2312"/>
          <w:sz w:val="32"/>
          <w:szCs w:val="32"/>
        </w:rPr>
        <w:t>，项目支出预算数</w:t>
      </w:r>
      <w:r>
        <w:rPr>
          <w:rFonts w:hint="eastAsia" w:ascii="仿宋_GB2312" w:hAnsi="Times New Roman" w:eastAsia="仿宋_GB2312" w:cs="Times New Roman"/>
          <w:sz w:val="32"/>
          <w:szCs w:val="32"/>
        </w:rPr>
        <w:t>330622</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03</w:t>
      </w:r>
      <w:r>
        <w:rPr>
          <w:rFonts w:hint="eastAsia" w:ascii="仿宋_GB2312" w:eastAsia="仿宋_GB2312"/>
          <w:color w:val="000000"/>
          <w:sz w:val="32"/>
          <w:szCs w:val="32"/>
        </w:rPr>
        <w:t>万元</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其中</w:t>
      </w:r>
      <w:r>
        <w:rPr>
          <w:rFonts w:hint="eastAsia" w:ascii="仿宋_GB2312" w:hAnsi="仿宋" w:eastAsia="仿宋_GB2312"/>
          <w:sz w:val="32"/>
          <w:szCs w:val="32"/>
          <w:highlight w:val="none"/>
          <w:lang w:eastAsia="zh-CN"/>
        </w:rPr>
        <w:t>基本建设类项目</w:t>
      </w:r>
      <w:r>
        <w:rPr>
          <w:rFonts w:hint="eastAsia" w:ascii="仿宋_GB2312" w:hAnsi="仿宋" w:eastAsia="仿宋_GB2312"/>
          <w:sz w:val="32"/>
          <w:szCs w:val="32"/>
          <w:highlight w:val="none"/>
          <w:lang w:val="en-US" w:eastAsia="zh-CN"/>
        </w:rPr>
        <w:t>315667.95万元</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，其他支出预算数</w:t>
      </w:r>
      <w:r>
        <w:rPr>
          <w:rFonts w:hint="eastAsia" w:ascii="仿宋_GB2312" w:hAnsi="仿宋" w:eastAsia="仿宋_GB2312"/>
          <w:sz w:val="32"/>
          <w:szCs w:val="32"/>
          <w:highlight w:val="none"/>
          <w:lang w:val="en-US" w:eastAsia="zh-CN"/>
        </w:rPr>
        <w:t>0.00</w:t>
      </w:r>
      <w:r>
        <w:rPr>
          <w:rFonts w:hint="eastAsia" w:ascii="仿宋_GB2312" w:hAnsi="仿宋" w:eastAsia="仿宋_GB2312"/>
          <w:sz w:val="32"/>
          <w:szCs w:val="32"/>
          <w:highlight w:val="none"/>
        </w:rPr>
        <w:t>万元。资金总体支出</w:t>
      </w:r>
      <w:r>
        <w:rPr>
          <w:rFonts w:hint="eastAsia" w:ascii="仿宋_GB2312" w:hAnsi="仿宋" w:eastAsia="仿宋_GB2312"/>
          <w:sz w:val="32"/>
          <w:szCs w:val="32"/>
          <w:highlight w:val="none"/>
          <w:lang w:val="en-US" w:eastAsia="zh-CN"/>
        </w:rPr>
        <w:t>296636.31</w:t>
      </w:r>
      <w:r>
        <w:rPr>
          <w:rFonts w:hint="eastAsia" w:ascii="仿宋_GB2312" w:hAnsi="仿宋" w:eastAsia="仿宋_GB2312"/>
          <w:sz w:val="32"/>
          <w:szCs w:val="32"/>
          <w:highlight w:val="none"/>
        </w:rPr>
        <w:t>万元，其中，基本支出</w:t>
      </w:r>
      <w:r>
        <w:rPr>
          <w:rFonts w:hint="eastAsia" w:ascii="仿宋_GB2312" w:hAnsi="仿宋" w:eastAsia="仿宋_GB2312"/>
          <w:sz w:val="32"/>
          <w:szCs w:val="32"/>
          <w:highlight w:val="none"/>
          <w:lang w:val="en-US" w:eastAsia="zh-CN"/>
        </w:rPr>
        <w:t>868.19</w:t>
      </w:r>
      <w:r>
        <w:rPr>
          <w:rFonts w:hint="eastAsia" w:ascii="仿宋_GB2312" w:hAnsi="仿宋" w:eastAsia="仿宋_GB2312"/>
          <w:sz w:val="32"/>
          <w:szCs w:val="32"/>
          <w:highlight w:val="none"/>
        </w:rPr>
        <w:t>万元，项目支出</w:t>
      </w:r>
      <w:r>
        <w:rPr>
          <w:rFonts w:hint="eastAsia" w:ascii="仿宋_GB2312" w:hAnsi="仿宋" w:eastAsia="仿宋_GB2312"/>
          <w:sz w:val="32"/>
          <w:szCs w:val="32"/>
          <w:highlight w:val="none"/>
          <w:lang w:val="en-US" w:eastAsia="zh-CN"/>
        </w:rPr>
        <w:t>295768.12</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其中</w:t>
      </w:r>
      <w:r>
        <w:rPr>
          <w:rFonts w:hint="eastAsia" w:ascii="仿宋_GB2312" w:hAnsi="仿宋" w:eastAsia="仿宋_GB2312"/>
          <w:sz w:val="32"/>
          <w:szCs w:val="32"/>
          <w:highlight w:val="none"/>
          <w:lang w:eastAsia="zh-CN"/>
        </w:rPr>
        <w:t>基本建设类项目280814</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lang w:eastAsia="zh-CN"/>
        </w:rPr>
        <w:t>3</w:t>
      </w:r>
      <w:r>
        <w:rPr>
          <w:rFonts w:hint="eastAsia" w:ascii="仿宋_GB2312" w:hAnsi="仿宋" w:eastAsia="仿宋_GB2312"/>
          <w:sz w:val="32"/>
          <w:szCs w:val="32"/>
          <w:highlight w:val="none"/>
          <w:lang w:val="en-US" w:eastAsia="zh-CN"/>
        </w:rPr>
        <w:t>3万元</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，其他支出</w:t>
      </w:r>
      <w:r>
        <w:rPr>
          <w:rFonts w:hint="eastAsia" w:ascii="仿宋_GB2312" w:hAnsi="仿宋" w:eastAsia="仿宋_GB2312"/>
          <w:sz w:val="32"/>
          <w:szCs w:val="32"/>
          <w:highlight w:val="none"/>
          <w:lang w:val="en-US" w:eastAsia="zh-CN"/>
        </w:rPr>
        <w:t>0.00</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val="en-US" w:eastAsia="zh-CN"/>
        </w:rPr>
        <w:t>年末结转和结余</w:t>
      </w:r>
      <w:r>
        <w:rPr>
          <w:rFonts w:hint="eastAsia" w:ascii="仿宋_GB2312" w:hAnsi="仿宋" w:eastAsia="仿宋_GB2312"/>
          <w:sz w:val="32"/>
          <w:szCs w:val="32"/>
          <w:highlight w:val="none"/>
        </w:rPr>
        <w:t>34927</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7</w:t>
      </w:r>
      <w:r>
        <w:rPr>
          <w:rFonts w:hint="eastAsia" w:ascii="仿宋_GB2312" w:hAnsi="仿宋" w:eastAsia="仿宋_GB2312"/>
          <w:sz w:val="32"/>
          <w:szCs w:val="32"/>
          <w:highlight w:val="none"/>
          <w:lang w:val="en-US" w:eastAsia="zh-CN"/>
        </w:rPr>
        <w:t>8</w:t>
      </w:r>
      <w:r>
        <w:rPr>
          <w:rFonts w:hint="eastAsia" w:ascii="仿宋_GB2312" w:hAnsi="仿宋" w:eastAsia="仿宋_GB2312"/>
          <w:sz w:val="32"/>
          <w:szCs w:val="32"/>
          <w:highlight w:val="none"/>
        </w:rPr>
        <w:t>万元，预算执行率</w:t>
      </w:r>
      <w:r>
        <w:rPr>
          <w:rFonts w:hint="eastAsia" w:ascii="仿宋_GB2312" w:hAnsi="仿宋" w:eastAsia="仿宋_GB2312"/>
          <w:sz w:val="32"/>
          <w:szCs w:val="32"/>
          <w:highlight w:val="none"/>
          <w:lang w:val="en-US" w:eastAsia="zh-CN"/>
        </w:rPr>
        <w:t>89.47%</w:t>
      </w:r>
      <w:r>
        <w:rPr>
          <w:rFonts w:hint="eastAsia" w:ascii="仿宋_GB2312" w:hAnsi="仿宋" w:eastAsia="仿宋_GB2312"/>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baseline"/>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19"/>
      <w:bookmarkEnd w:id="20"/>
      <w:bookmarkEnd w:id="21"/>
      <w:bookmarkEnd w:id="22"/>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outlineLvl w:val="1"/>
        <w:rPr>
          <w:rFonts w:ascii="楷体_GB2312" w:eastAsia="楷体_GB2312"/>
          <w:b/>
          <w:bCs/>
          <w:sz w:val="32"/>
          <w:szCs w:val="32"/>
        </w:rPr>
      </w:pPr>
      <w:bookmarkStart w:id="23" w:name="_Toc31884"/>
      <w:bookmarkStart w:id="24" w:name="_Toc14972"/>
      <w:bookmarkStart w:id="25" w:name="_Toc12331"/>
      <w:bookmarkStart w:id="26" w:name="_Toc6018"/>
      <w:r>
        <w:rPr>
          <w:rFonts w:hint="eastAsia" w:ascii="楷体_GB2312" w:eastAsia="楷体_GB2312"/>
          <w:b/>
          <w:bCs/>
          <w:sz w:val="32"/>
          <w:szCs w:val="32"/>
        </w:rPr>
        <w:t>（一）产出完成情况分析</w:t>
      </w:r>
      <w:bookmarkEnd w:id="23"/>
      <w:bookmarkEnd w:id="24"/>
      <w:bookmarkEnd w:id="25"/>
      <w:bookmarkEnd w:id="26"/>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副中心工程办</w:t>
      </w:r>
      <w:r>
        <w:rPr>
          <w:rFonts w:hint="eastAsia" w:ascii="仿宋_GB2312" w:hAnsi="仿宋" w:eastAsia="仿宋_GB2312"/>
          <w:sz w:val="32"/>
          <w:szCs w:val="32"/>
          <w:lang w:val="en-US" w:eastAsia="zh-CN"/>
        </w:rPr>
        <w:t>结合</w:t>
      </w:r>
      <w:r>
        <w:rPr>
          <w:rFonts w:hint="eastAsia" w:ascii="仿宋_GB2312" w:hAnsi="仿宋" w:eastAsia="仿宋_GB2312"/>
          <w:sz w:val="32"/>
          <w:szCs w:val="32"/>
        </w:rPr>
        <w:t>项目实际</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设置了产出</w:t>
      </w:r>
      <w:r>
        <w:rPr>
          <w:rFonts w:hint="eastAsia" w:ascii="仿宋_GB2312" w:hAnsi="仿宋" w:eastAsia="仿宋_GB2312"/>
          <w:sz w:val="32"/>
          <w:szCs w:val="32"/>
        </w:rPr>
        <w:t>指标。截至202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年12月31日，</w:t>
      </w:r>
      <w:r>
        <w:rPr>
          <w:rFonts w:hint="eastAsia" w:ascii="仿宋_GB2312" w:hAnsi="仿宋" w:eastAsia="仿宋_GB2312"/>
          <w:sz w:val="32"/>
          <w:szCs w:val="32"/>
          <w:lang w:val="en-US" w:eastAsia="zh-CN"/>
        </w:rPr>
        <w:t>14个项目除《因公出国》项目受行政办公区工程保竣工入驻</w:t>
      </w:r>
      <w:r>
        <w:rPr>
          <w:rFonts w:hint="eastAsia" w:ascii="仿宋_GB2312" w:hAnsi="仿宋" w:eastAsia="仿宋_GB2312"/>
          <w:sz w:val="32"/>
          <w:szCs w:val="32"/>
        </w:rPr>
        <w:t>的影响，</w:t>
      </w:r>
      <w:r>
        <w:rPr>
          <w:rFonts w:hint="eastAsia" w:ascii="仿宋_GB2312" w:hAnsi="仿宋" w:eastAsia="仿宋_GB2312"/>
          <w:sz w:val="32"/>
          <w:szCs w:val="32"/>
          <w:lang w:eastAsia="zh-CN"/>
        </w:rPr>
        <w:t>未安排</w:t>
      </w:r>
      <w:r>
        <w:rPr>
          <w:rFonts w:hint="eastAsia" w:ascii="仿宋_GB2312" w:hAnsi="仿宋" w:eastAsia="仿宋_GB2312"/>
          <w:sz w:val="32"/>
          <w:szCs w:val="32"/>
        </w:rPr>
        <w:t>因公出国计划，</w:t>
      </w:r>
      <w:r>
        <w:rPr>
          <w:rFonts w:hint="eastAsia" w:ascii="仿宋_GB2312" w:hAnsi="仿宋" w:eastAsia="仿宋_GB2312"/>
          <w:sz w:val="32"/>
          <w:szCs w:val="32"/>
          <w:lang w:val="en-US" w:eastAsia="zh-CN"/>
        </w:rPr>
        <w:t>其他13个项目基本</w:t>
      </w:r>
      <w:r>
        <w:rPr>
          <w:rFonts w:hint="eastAsia" w:ascii="仿宋_GB2312" w:hAnsi="仿宋" w:eastAsia="仿宋_GB2312"/>
          <w:sz w:val="32"/>
          <w:szCs w:val="32"/>
        </w:rPr>
        <w:t>完成了</w:t>
      </w:r>
      <w:r>
        <w:rPr>
          <w:rFonts w:hint="eastAsia" w:ascii="仿宋_GB2312" w:hAnsi="仿宋" w:eastAsia="仿宋_GB2312"/>
          <w:sz w:val="32"/>
          <w:szCs w:val="32"/>
          <w:lang w:val="en-US" w:eastAsia="zh-CN"/>
        </w:rPr>
        <w:t>产出</w:t>
      </w:r>
      <w:r>
        <w:rPr>
          <w:rFonts w:hint="eastAsia" w:ascii="仿宋_GB2312" w:hAnsi="仿宋" w:eastAsia="仿宋_GB2312"/>
          <w:sz w:val="32"/>
          <w:szCs w:val="32"/>
        </w:rPr>
        <w:t>指标设定</w:t>
      </w:r>
      <w:r>
        <w:rPr>
          <w:rFonts w:hint="eastAsia" w:ascii="仿宋_GB2312" w:hAnsi="仿宋" w:eastAsia="仿宋_GB2312"/>
          <w:sz w:val="32"/>
          <w:szCs w:val="32"/>
          <w:lang w:val="en-US" w:eastAsia="zh-CN"/>
        </w:rPr>
        <w:t>值</w:t>
      </w:r>
      <w:r>
        <w:rPr>
          <w:rFonts w:hint="eastAsia" w:ascii="仿宋_GB2312" w:hAnsi="仿宋" w:eastAsia="仿宋_GB2312"/>
          <w:sz w:val="32"/>
          <w:szCs w:val="32"/>
        </w:rPr>
        <w:t>。</w:t>
      </w:r>
      <w:r>
        <w:rPr>
          <w:rFonts w:hint="eastAsia" w:ascii="仿宋_GB2312" w:hAnsi="仿宋_GB2312" w:eastAsia="仿宋_GB2312" w:cs="仿宋_GB2312"/>
          <w:bCs/>
          <w:color w:val="auto"/>
          <w:kern w:val="44"/>
          <w:sz w:val="32"/>
          <w:szCs w:val="32"/>
          <w:highlight w:val="none"/>
          <w:lang w:val="en-US" w:eastAsia="zh-CN"/>
        </w:rPr>
        <w:t>项目完成率92.86%。</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1.</w:t>
      </w:r>
      <w:bookmarkStart w:id="27" w:name="OLE_LINK2"/>
      <w:r>
        <w:rPr>
          <w:rFonts w:hint="eastAsia" w:ascii="仿宋_GB2312" w:hAnsi="宋体" w:eastAsia="仿宋_GB2312" w:cs="宋体"/>
          <w:b/>
          <w:bCs/>
          <w:color w:val="000000"/>
          <w:kern w:val="0"/>
          <w:sz w:val="32"/>
          <w:szCs w:val="32"/>
          <w:highlight w:val="none"/>
        </w:rPr>
        <w:t>产出数量</w:t>
      </w:r>
      <w:bookmarkEnd w:id="27"/>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2023年度实施的13个项目，共</w:t>
      </w:r>
      <w:r>
        <w:rPr>
          <w:rFonts w:hint="eastAsia" w:ascii="仿宋_GB2312" w:hAnsi="仿宋" w:eastAsia="仿宋_GB2312"/>
          <w:sz w:val="32"/>
          <w:szCs w:val="32"/>
          <w:highlight w:val="none"/>
        </w:rPr>
        <w:t>设置数量指标</w:t>
      </w:r>
      <w:r>
        <w:rPr>
          <w:rFonts w:hint="eastAsia" w:ascii="仿宋_GB2312" w:hAnsi="仿宋" w:eastAsia="仿宋_GB2312"/>
          <w:sz w:val="32"/>
          <w:szCs w:val="32"/>
          <w:highlight w:val="none"/>
          <w:lang w:val="en-US" w:eastAsia="zh-CN"/>
        </w:rPr>
        <w:t>15</w:t>
      </w:r>
      <w:r>
        <w:rPr>
          <w:rFonts w:hint="eastAsia" w:ascii="仿宋_GB2312" w:hAnsi="仿宋" w:eastAsia="仿宋_GB2312"/>
          <w:sz w:val="32"/>
          <w:szCs w:val="32"/>
          <w:highlight w:val="none"/>
        </w:rPr>
        <w:t>个，指标值完成</w:t>
      </w:r>
      <w:r>
        <w:rPr>
          <w:rFonts w:hint="eastAsia" w:ascii="仿宋_GB2312" w:hAnsi="仿宋" w:eastAsia="仿宋_GB2312"/>
          <w:sz w:val="32"/>
          <w:szCs w:val="32"/>
          <w:highlight w:val="none"/>
          <w:lang w:val="en-US" w:eastAsia="zh-CN"/>
        </w:rPr>
        <w:t>率</w:t>
      </w:r>
      <w:r>
        <w:rPr>
          <w:rFonts w:hint="eastAsia" w:ascii="仿宋_GB2312" w:hAnsi="仿宋" w:eastAsia="仿宋_GB2312"/>
          <w:sz w:val="32"/>
          <w:szCs w:val="32"/>
          <w:highlight w:val="none"/>
        </w:rPr>
        <w:t>总体为</w:t>
      </w:r>
      <w:r>
        <w:rPr>
          <w:rFonts w:hint="eastAsia" w:ascii="仿宋_GB2312" w:hAnsi="仿宋" w:eastAsia="仿宋_GB2312"/>
          <w:sz w:val="32"/>
          <w:szCs w:val="32"/>
          <w:highlight w:val="none"/>
          <w:lang w:val="en-US" w:eastAsia="zh-CN"/>
        </w:rPr>
        <w:t>98.18%</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5个项目未设置数量指标，没有达到应设尽设的要求，由于数量指标设置不足，因此难以实施全面准确考量。</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2.产出质量</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2023年度实施的13个项目，</w:t>
      </w:r>
      <w:r>
        <w:rPr>
          <w:rFonts w:hint="eastAsia" w:ascii="仿宋_GB2312" w:hAnsi="仿宋" w:eastAsia="仿宋_GB2312"/>
          <w:sz w:val="32"/>
          <w:szCs w:val="32"/>
          <w:highlight w:val="none"/>
        </w:rPr>
        <w:t>设置质量指标共</w:t>
      </w:r>
      <w:r>
        <w:rPr>
          <w:rFonts w:hint="eastAsia" w:ascii="仿宋_GB2312" w:hAnsi="仿宋" w:eastAsia="仿宋_GB2312"/>
          <w:sz w:val="32"/>
          <w:szCs w:val="32"/>
          <w:highlight w:val="none"/>
          <w:lang w:val="en-US" w:eastAsia="zh-CN"/>
        </w:rPr>
        <w:t>24</w:t>
      </w:r>
      <w:r>
        <w:rPr>
          <w:rFonts w:hint="eastAsia" w:ascii="仿宋_GB2312" w:hAnsi="仿宋" w:eastAsia="仿宋_GB2312"/>
          <w:sz w:val="32"/>
          <w:szCs w:val="32"/>
          <w:highlight w:val="none"/>
        </w:rPr>
        <w:t>个，指标值完成</w:t>
      </w:r>
      <w:r>
        <w:rPr>
          <w:rFonts w:hint="eastAsia" w:ascii="仿宋_GB2312" w:hAnsi="仿宋" w:eastAsia="仿宋_GB2312"/>
          <w:sz w:val="32"/>
          <w:szCs w:val="32"/>
          <w:highlight w:val="none"/>
          <w:lang w:val="en-US" w:eastAsia="zh-CN"/>
        </w:rPr>
        <w:t>率</w:t>
      </w:r>
      <w:r>
        <w:rPr>
          <w:rFonts w:hint="eastAsia" w:ascii="仿宋_GB2312" w:hAnsi="仿宋" w:eastAsia="仿宋_GB2312"/>
          <w:sz w:val="32"/>
          <w:szCs w:val="32"/>
          <w:highlight w:val="none"/>
        </w:rPr>
        <w:t>总体为</w:t>
      </w:r>
      <w:r>
        <w:rPr>
          <w:rFonts w:hint="eastAsia" w:ascii="仿宋_GB2312" w:hAnsi="仿宋" w:eastAsia="仿宋_GB2312"/>
          <w:sz w:val="32"/>
          <w:szCs w:val="32"/>
          <w:highlight w:val="none"/>
          <w:lang w:val="en-US" w:eastAsia="zh-CN"/>
        </w:rPr>
        <w:t>100</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项目推进中，各部门严把项目质量。从列入重点绩效评价的《财务中介服务》项目来看，</w:t>
      </w:r>
      <w:r>
        <w:rPr>
          <w:rFonts w:hint="eastAsia" w:ascii="仿宋_GB2312" w:hAnsi="仿宋" w:eastAsia="仿宋_GB2312"/>
          <w:sz w:val="32"/>
          <w:szCs w:val="32"/>
          <w:highlight w:val="none"/>
        </w:rPr>
        <w:t>质量指标</w:t>
      </w:r>
      <w:r>
        <w:rPr>
          <w:rFonts w:hint="eastAsia" w:ascii="仿宋_GB2312" w:hAnsi="仿宋" w:eastAsia="仿宋_GB2312"/>
          <w:sz w:val="32"/>
          <w:szCs w:val="32"/>
          <w:highlight w:val="none"/>
          <w:lang w:val="en-US" w:eastAsia="zh-CN"/>
        </w:rPr>
        <w:t>完成情况优秀，能够做到记账准确、报表及时、服务到位。</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rPr>
          <w:rFonts w:ascii="仿宋_GB2312" w:hAnsi="宋体" w:eastAsia="仿宋_GB2312" w:cs="宋体"/>
          <w:b/>
          <w:bCs/>
          <w:kern w:val="0"/>
          <w:sz w:val="32"/>
          <w:szCs w:val="32"/>
          <w:highlight w:val="none"/>
        </w:rPr>
      </w:pPr>
      <w:r>
        <w:rPr>
          <w:rFonts w:hint="eastAsia" w:ascii="仿宋_GB2312" w:hAnsi="宋体" w:eastAsia="仿宋_GB2312" w:cs="宋体"/>
          <w:b/>
          <w:sz w:val="32"/>
          <w:szCs w:val="32"/>
          <w:highlight w:val="none"/>
        </w:rPr>
        <w:t>3.产出进度</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2023年度实施的13个项目，根据时间进度要求</w:t>
      </w:r>
      <w:r>
        <w:rPr>
          <w:rFonts w:hint="eastAsia" w:ascii="仿宋_GB2312" w:hAnsi="仿宋" w:eastAsia="仿宋_GB2312"/>
          <w:sz w:val="32"/>
          <w:szCs w:val="32"/>
          <w:highlight w:val="none"/>
        </w:rPr>
        <w:t>设置时效指标</w:t>
      </w:r>
      <w:r>
        <w:rPr>
          <w:rFonts w:hint="eastAsia" w:ascii="仿宋_GB2312" w:hAnsi="仿宋" w:eastAsia="仿宋_GB2312"/>
          <w:sz w:val="32"/>
          <w:szCs w:val="32"/>
          <w:highlight w:val="none"/>
          <w:lang w:val="en-US" w:eastAsia="zh-CN"/>
        </w:rPr>
        <w:t>共10</w:t>
      </w:r>
      <w:r>
        <w:rPr>
          <w:rFonts w:hint="eastAsia" w:ascii="仿宋_GB2312" w:hAnsi="仿宋" w:eastAsia="仿宋_GB2312"/>
          <w:sz w:val="32"/>
          <w:szCs w:val="32"/>
          <w:highlight w:val="none"/>
        </w:rPr>
        <w:t>个，指标值完成</w:t>
      </w:r>
      <w:r>
        <w:rPr>
          <w:rFonts w:hint="eastAsia" w:ascii="仿宋_GB2312" w:hAnsi="仿宋" w:eastAsia="仿宋_GB2312"/>
          <w:sz w:val="32"/>
          <w:szCs w:val="32"/>
          <w:highlight w:val="none"/>
          <w:lang w:val="en-US" w:eastAsia="zh-CN"/>
        </w:rPr>
        <w:t>率</w:t>
      </w:r>
      <w:r>
        <w:rPr>
          <w:rFonts w:hint="eastAsia" w:ascii="仿宋_GB2312" w:hAnsi="仿宋" w:eastAsia="仿宋_GB2312"/>
          <w:sz w:val="32"/>
          <w:szCs w:val="32"/>
          <w:highlight w:val="none"/>
        </w:rPr>
        <w:t>总体为</w:t>
      </w:r>
      <w:r>
        <w:rPr>
          <w:rFonts w:hint="eastAsia" w:ascii="仿宋_GB2312" w:hAnsi="仿宋" w:eastAsia="仿宋_GB2312"/>
          <w:sz w:val="32"/>
          <w:szCs w:val="32"/>
          <w:highlight w:val="none"/>
          <w:lang w:val="en-US" w:eastAsia="zh-CN"/>
        </w:rPr>
        <w:t>100</w:t>
      </w:r>
      <w:r>
        <w:rPr>
          <w:rFonts w:hint="eastAsia"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3</w:t>
      </w:r>
      <w:r>
        <w:rPr>
          <w:rFonts w:hint="eastAsia" w:ascii="仿宋_GB2312" w:hAnsi="仿宋" w:eastAsia="仿宋_GB2312"/>
          <w:sz w:val="32"/>
          <w:szCs w:val="32"/>
          <w:highlight w:val="none"/>
        </w:rPr>
        <w:t>年大部分</w:t>
      </w:r>
      <w:r>
        <w:rPr>
          <w:rFonts w:hint="eastAsia" w:ascii="仿宋_GB2312" w:hAnsi="仿宋" w:eastAsia="仿宋_GB2312"/>
          <w:sz w:val="32"/>
          <w:szCs w:val="32"/>
          <w:highlight w:val="none"/>
          <w:lang w:val="en-US" w:eastAsia="zh-CN"/>
        </w:rPr>
        <w:t>项目</w:t>
      </w:r>
      <w:r>
        <w:rPr>
          <w:rFonts w:hint="eastAsia" w:ascii="仿宋_GB2312" w:hAnsi="仿宋" w:eastAsia="仿宋_GB2312"/>
          <w:sz w:val="32"/>
          <w:szCs w:val="32"/>
          <w:highlight w:val="none"/>
        </w:rPr>
        <w:t>按照计划实施到位</w:t>
      </w:r>
      <w:r>
        <w:rPr>
          <w:rFonts w:hint="eastAsia" w:ascii="仿宋_GB2312" w:hAnsi="仿宋"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4.产出成本</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rPr>
        <w:t>在项目实施过程中，坚持过紧日子的思想，树立成本效益意识，通过规范政府采购、强化项目管理等方式</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严格控制各项财政成本支出，</w:t>
      </w:r>
      <w:r>
        <w:rPr>
          <w:rFonts w:hint="eastAsia" w:ascii="仿宋_GB2312" w:hAnsi="仿宋" w:eastAsia="仿宋_GB2312"/>
          <w:sz w:val="32"/>
          <w:szCs w:val="32"/>
          <w:highlight w:val="none"/>
          <w:lang w:val="en-US" w:eastAsia="zh-CN"/>
        </w:rPr>
        <w:t>成本指标完成率总体达到100</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outlineLvl w:val="1"/>
        <w:rPr>
          <w:rFonts w:ascii="楷体_GB2312" w:eastAsia="楷体_GB2312"/>
          <w:b/>
          <w:bCs/>
          <w:sz w:val="32"/>
          <w:szCs w:val="32"/>
        </w:rPr>
      </w:pPr>
      <w:bookmarkStart w:id="28" w:name="_Toc20880"/>
      <w:bookmarkStart w:id="29" w:name="_Toc1830"/>
      <w:bookmarkStart w:id="30" w:name="_Toc27645"/>
      <w:bookmarkStart w:id="31" w:name="_Toc30597"/>
      <w:r>
        <w:rPr>
          <w:rFonts w:hint="eastAsia" w:ascii="楷体_GB2312" w:eastAsia="楷体_GB2312"/>
          <w:b/>
          <w:bCs/>
          <w:sz w:val="32"/>
          <w:szCs w:val="32"/>
        </w:rPr>
        <w:t>（二）效果实现情况分析</w:t>
      </w:r>
      <w:bookmarkEnd w:id="28"/>
      <w:bookmarkEnd w:id="29"/>
      <w:bookmarkEnd w:id="30"/>
      <w:bookmarkEnd w:id="31"/>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1.经济</w:t>
      </w:r>
      <w:r>
        <w:rPr>
          <w:rFonts w:ascii="仿宋_GB2312" w:hAnsi="宋体" w:eastAsia="仿宋_GB2312" w:cs="宋体"/>
          <w:b/>
          <w:bCs/>
          <w:color w:val="000000"/>
          <w:kern w:val="0"/>
          <w:sz w:val="32"/>
          <w:szCs w:val="32"/>
        </w:rPr>
        <w:t>效益</w:t>
      </w:r>
    </w:p>
    <w:p>
      <w:pPr>
        <w:pStyle w:val="6"/>
        <w:keepNext w:val="0"/>
        <w:keepLines w:val="0"/>
        <w:pageBreakBefore w:val="0"/>
        <w:kinsoku/>
        <w:wordWrap/>
        <w:topLinePunct w:val="0"/>
        <w:autoSpaceDE/>
        <w:autoSpaceDN/>
        <w:bidi w:val="0"/>
        <w:snapToGrid/>
        <w:spacing w:beforeLines="0" w:afterLines="0" w:line="550" w:lineRule="exact"/>
        <w:ind w:firstLine="643"/>
        <w:rPr>
          <w:rFonts w:hint="eastAsia" w:ascii="仿宋_GB2312" w:hAnsi="仿宋" w:eastAsia="仿宋_GB2312"/>
          <w:sz w:val="32"/>
          <w:szCs w:val="32"/>
          <w:highlight w:val="yellow"/>
        </w:rPr>
      </w:pPr>
      <w:r>
        <w:rPr>
          <w:rFonts w:hint="eastAsia" w:ascii="仿宋_GB2312" w:hAnsi="仿宋" w:eastAsia="仿宋_GB2312"/>
          <w:sz w:val="32"/>
          <w:szCs w:val="32"/>
          <w:lang w:val="en-US" w:eastAsia="zh-CN"/>
        </w:rPr>
        <w:t>副中心工程办</w:t>
      </w:r>
      <w:r>
        <w:rPr>
          <w:rFonts w:hint="eastAsia" w:ascii="仿宋_GB2312" w:hAnsi="仿宋" w:eastAsia="仿宋_GB2312"/>
          <w:sz w:val="32"/>
          <w:szCs w:val="32"/>
        </w:rPr>
        <w:t>的预算投入，主要产出为公共服务，</w:t>
      </w:r>
      <w:r>
        <w:rPr>
          <w:rFonts w:hint="eastAsia" w:ascii="仿宋_GB2312" w:hAnsi="仿宋" w:eastAsia="仿宋_GB2312"/>
          <w:sz w:val="32"/>
          <w:szCs w:val="32"/>
          <w:lang w:val="en-US" w:eastAsia="zh-CN"/>
        </w:rPr>
        <w:t>以社会效益为主</w:t>
      </w:r>
      <w:r>
        <w:rPr>
          <w:rFonts w:hint="eastAsia" w:ascii="仿宋_GB2312" w:hAnsi="仿宋" w:eastAsia="仿宋_GB2312"/>
          <w:sz w:val="32"/>
          <w:szCs w:val="32"/>
        </w:rPr>
        <w:t>，</w:t>
      </w:r>
      <w:r>
        <w:rPr>
          <w:rFonts w:hint="eastAsia" w:ascii="仿宋_GB2312" w:hAnsi="仿宋" w:eastAsia="仿宋_GB2312"/>
          <w:sz w:val="32"/>
          <w:szCs w:val="32"/>
          <w:lang w:val="en-US" w:eastAsia="zh-CN"/>
        </w:rPr>
        <w:t>但也同时兼顾到</w:t>
      </w:r>
      <w:r>
        <w:rPr>
          <w:rFonts w:hint="eastAsia" w:ascii="仿宋_GB2312" w:hAnsi="仿宋" w:eastAsia="仿宋_GB2312"/>
          <w:sz w:val="32"/>
          <w:szCs w:val="32"/>
        </w:rPr>
        <w:t>经济效益</w:t>
      </w:r>
      <w:r>
        <w:rPr>
          <w:rFonts w:hint="eastAsia" w:ascii="仿宋_GB2312" w:hAnsi="仿宋" w:eastAsia="仿宋_GB2312"/>
          <w:sz w:val="32"/>
          <w:szCs w:val="32"/>
          <w:lang w:eastAsia="zh-CN"/>
        </w:rPr>
        <w:t>，</w:t>
      </w:r>
      <w:r>
        <w:rPr>
          <w:rFonts w:hint="eastAsia" w:ascii="仿宋_GB2312" w:hAnsi="仿宋" w:eastAsia="仿宋_GB2312" w:cs="宋体"/>
          <w:sz w:val="32"/>
          <w:szCs w:val="32"/>
          <w:highlight w:val="none"/>
        </w:rPr>
        <w:t>对政府投资项目优化设计、降低成本</w:t>
      </w:r>
      <w:r>
        <w:rPr>
          <w:rFonts w:hint="eastAsia" w:ascii="仿宋_GB2312" w:hAnsi="仿宋" w:eastAsia="仿宋_GB2312"/>
          <w:sz w:val="32"/>
          <w:szCs w:val="32"/>
        </w:rPr>
        <w:t>。</w:t>
      </w:r>
      <w:r>
        <w:rPr>
          <w:rFonts w:hint="eastAsia" w:ascii="仿宋_GB2312" w:hAnsi="仿宋_GB2312" w:eastAsia="仿宋_GB2312" w:cs="仿宋_GB2312"/>
          <w:sz w:val="32"/>
          <w:szCs w:val="32"/>
          <w:highlight w:val="none"/>
        </w:rPr>
        <w:t>首儿所通州院区项目统筹考虑医院发展需求、地块条件等，对设计方案进行了优化，建设用地由三个地块变为两个地块，用地规模由10.94公顷减少为9.15公顷，床位规模由1000床缩减至800床，总建设规模由24万平方米缩减为18.64万平方米。</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2.社会效益</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eastAsia" w:ascii="仿宋_GB2312" w:hAnsi="Calibri" w:eastAsia="仿宋_GB2312"/>
          <w:kern w:val="2"/>
          <w:sz w:val="32"/>
          <w:szCs w:val="32"/>
          <w:highlight w:val="none"/>
          <w:lang w:val="en-US" w:eastAsia="zh-CN"/>
        </w:rPr>
      </w:pPr>
      <w:r>
        <w:rPr>
          <w:rFonts w:hint="eastAsia" w:ascii="仿宋_GB2312" w:hAnsi="仿宋" w:eastAsia="仿宋_GB2312"/>
          <w:sz w:val="32"/>
          <w:szCs w:val="32"/>
          <w:lang w:val="en-US" w:eastAsia="zh-CN"/>
        </w:rPr>
        <w:t>副中心工程办</w:t>
      </w:r>
      <w:r>
        <w:rPr>
          <w:rFonts w:hint="eastAsia" w:ascii="仿宋_GB2312" w:hAnsi="仿宋" w:eastAsia="仿宋_GB2312"/>
          <w:sz w:val="32"/>
          <w:szCs w:val="32"/>
          <w:highlight w:val="none"/>
          <w:lang w:val="en-US" w:eastAsia="zh-CN"/>
        </w:rPr>
        <w:t>通过项目实施，取得了显著的社会效益。</w:t>
      </w:r>
      <w:r>
        <w:rPr>
          <w:rFonts w:ascii="仿宋_GB2312" w:hAnsi="Calibri" w:eastAsia="仿宋_GB2312"/>
          <w:kern w:val="2"/>
          <w:sz w:val="32"/>
          <w:szCs w:val="32"/>
          <w:highlight w:val="none"/>
        </w:rPr>
        <w:t>全力以赴协调推进副中心</w:t>
      </w:r>
      <w:r>
        <w:rPr>
          <w:rFonts w:hint="eastAsia" w:ascii="仿宋_GB2312" w:hAnsi="Calibri" w:eastAsia="仿宋_GB2312"/>
          <w:kern w:val="2"/>
          <w:sz w:val="32"/>
          <w:szCs w:val="32"/>
          <w:highlight w:val="none"/>
          <w:lang w:eastAsia="zh-CN"/>
        </w:rPr>
        <w:t>市级</w:t>
      </w:r>
      <w:r>
        <w:rPr>
          <w:rFonts w:ascii="仿宋_GB2312" w:hAnsi="Calibri" w:eastAsia="仿宋_GB2312"/>
          <w:kern w:val="2"/>
          <w:sz w:val="32"/>
          <w:szCs w:val="32"/>
          <w:highlight w:val="none"/>
        </w:rPr>
        <w:t>重点工程建设</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截至2023年12月底，</w:t>
      </w:r>
      <w:r>
        <w:rPr>
          <w:rFonts w:hint="eastAsia" w:ascii="仿宋_GB2312" w:hAnsi="Calibri" w:eastAsia="仿宋_GB2312"/>
          <w:kern w:val="2"/>
          <w:sz w:val="32"/>
          <w:szCs w:val="32"/>
          <w:highlight w:val="none"/>
          <w:lang w:eastAsia="zh-CN"/>
        </w:rPr>
        <w:t>协调</w:t>
      </w:r>
      <w:r>
        <w:rPr>
          <w:rFonts w:ascii="仿宋_GB2312" w:hAnsi="Calibri" w:eastAsia="仿宋_GB2312"/>
          <w:kern w:val="2"/>
          <w:sz w:val="32"/>
          <w:szCs w:val="32"/>
          <w:highlight w:val="none"/>
        </w:rPr>
        <w:t>推进的75项副中心重点工程</w:t>
      </w:r>
      <w:r>
        <w:rPr>
          <w:rFonts w:hint="eastAsia" w:ascii="仿宋_GB2312" w:hAnsi="Calibri" w:eastAsia="仿宋_GB2312"/>
          <w:kern w:val="2"/>
          <w:sz w:val="32"/>
          <w:szCs w:val="32"/>
          <w:highlight w:val="none"/>
          <w:lang w:eastAsia="zh-CN"/>
        </w:rPr>
        <w:t>全年</w:t>
      </w:r>
      <w:r>
        <w:rPr>
          <w:rFonts w:ascii="仿宋_GB2312" w:hAnsi="Calibri" w:eastAsia="仿宋_GB2312"/>
          <w:kern w:val="2"/>
          <w:sz w:val="32"/>
          <w:szCs w:val="32"/>
          <w:highlight w:val="none"/>
        </w:rPr>
        <w:t>共完成固定资产投资</w:t>
      </w:r>
      <w:r>
        <w:rPr>
          <w:rFonts w:hint="eastAsia" w:ascii="仿宋_GB2312" w:hAnsi="Calibri" w:eastAsia="仿宋_GB2312"/>
          <w:kern w:val="2"/>
          <w:sz w:val="32"/>
          <w:szCs w:val="32"/>
          <w:highlight w:val="none"/>
          <w:lang w:val="en-US" w:eastAsia="zh-CN"/>
        </w:rPr>
        <w:t>263</w:t>
      </w:r>
      <w:r>
        <w:rPr>
          <w:rFonts w:ascii="仿宋_GB2312" w:hAnsi="Calibri" w:eastAsia="仿宋_GB2312"/>
          <w:kern w:val="2"/>
          <w:sz w:val="32"/>
          <w:szCs w:val="32"/>
          <w:highlight w:val="none"/>
        </w:rPr>
        <w:t>亿元，完成年度任务的</w:t>
      </w:r>
      <w:r>
        <w:rPr>
          <w:rFonts w:hint="eastAsia" w:ascii="仿宋_GB2312" w:hAnsi="Calibri" w:eastAsia="仿宋_GB2312"/>
          <w:kern w:val="2"/>
          <w:sz w:val="32"/>
          <w:szCs w:val="32"/>
          <w:highlight w:val="none"/>
          <w:lang w:val="en-US" w:eastAsia="zh-CN"/>
        </w:rPr>
        <w:t>108%。</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eastAsia" w:ascii="仿宋_GB2312" w:hAnsi="仿宋_GB2312" w:eastAsia="仿宋_GB2312" w:cs="仿宋_GB2312"/>
          <w:b w:val="0"/>
          <w:bCs w:val="0"/>
          <w:sz w:val="32"/>
          <w:szCs w:val="32"/>
          <w:highlight w:val="none"/>
          <w:lang w:val="zh-CN"/>
        </w:rPr>
      </w:pPr>
      <w:r>
        <w:rPr>
          <w:rFonts w:hint="eastAsia" w:ascii="仿宋_GB2312" w:hAnsi="仿宋_GB2312" w:eastAsia="仿宋_GB2312" w:cs="仿宋_GB2312"/>
          <w:b w:val="0"/>
          <w:bCs w:val="0"/>
          <w:sz w:val="32"/>
          <w:szCs w:val="32"/>
          <w:highlight w:val="none"/>
          <w:lang w:eastAsia="zh-CN"/>
        </w:rPr>
        <w:t>行政办公领域。</w:t>
      </w:r>
      <w:r>
        <w:rPr>
          <w:rFonts w:hint="eastAsia" w:ascii="仿宋_GB2312" w:hAnsi="仿宋_GB2312" w:eastAsia="仿宋_GB2312" w:cs="仿宋_GB2312"/>
          <w:b w:val="0"/>
          <w:bCs w:val="0"/>
          <w:sz w:val="32"/>
          <w:szCs w:val="32"/>
          <w:highlight w:val="none"/>
        </w:rPr>
        <w:t>全力推进</w:t>
      </w:r>
      <w:r>
        <w:rPr>
          <w:rFonts w:hint="eastAsia" w:ascii="仿宋_GB2312" w:hAnsi="仿宋_GB2312" w:eastAsia="仿宋_GB2312" w:cs="仿宋_GB2312"/>
          <w:b w:val="0"/>
          <w:bCs w:val="0"/>
          <w:sz w:val="32"/>
          <w:szCs w:val="32"/>
          <w:highlight w:val="none"/>
          <w:lang w:eastAsia="zh-CN"/>
        </w:rPr>
        <w:t>市高级人民法院、市人民检察院</w:t>
      </w:r>
      <w:r>
        <w:rPr>
          <w:rFonts w:hint="eastAsia" w:ascii="仿宋_GB2312" w:hAnsi="仿宋_GB2312" w:eastAsia="仿宋_GB2312" w:cs="仿宋_GB2312"/>
          <w:b w:val="0"/>
          <w:bCs w:val="0"/>
          <w:sz w:val="32"/>
          <w:szCs w:val="32"/>
          <w:highlight w:val="none"/>
        </w:rPr>
        <w:t>项目前期手续办理，两院项目均已取得实施方案批复意见、多规合一初审意见和建设项目用地预审与选址意见书，编制完成可研报告，正在积极推进立项审批工作，同步办理土地划拨手续</w:t>
      </w:r>
      <w:r>
        <w:rPr>
          <w:rFonts w:hint="eastAsia" w:ascii="仿宋_GB2312" w:eastAsia="仿宋_GB2312"/>
          <w:b w:val="0"/>
          <w:bCs w:val="0"/>
          <w:sz w:val="32"/>
          <w:szCs w:val="32"/>
          <w:highlight w:val="none"/>
        </w:rPr>
        <w:t>，</w:t>
      </w:r>
      <w:r>
        <w:rPr>
          <w:rFonts w:hint="eastAsia" w:ascii="仿宋_GB2312" w:hAnsi="仿宋_GB2312" w:eastAsia="仿宋_GB2312" w:cs="仿宋_GB2312"/>
          <w:b w:val="0"/>
          <w:bCs w:val="0"/>
          <w:sz w:val="32"/>
          <w:szCs w:val="32"/>
          <w:highlight w:val="none"/>
        </w:rPr>
        <w:t>为项目开工建设做好各项准备工作。</w:t>
      </w:r>
    </w:p>
    <w:p>
      <w:pPr>
        <w:keepNext w:val="0"/>
        <w:keepLines w:val="0"/>
        <w:pageBreakBefore w:val="0"/>
        <w:kinsoku/>
        <w:wordWrap/>
        <w:topLinePunct w:val="0"/>
        <w:autoSpaceDE/>
        <w:autoSpaceDN/>
        <w:bidi w:val="0"/>
        <w:snapToGrid/>
        <w:spacing w:beforeLines="0" w:afterLines="0" w:line="550" w:lineRule="exact"/>
        <w:ind w:firstLine="640" w:firstLineChars="200"/>
        <w:rPr>
          <w:rFonts w:hint="eastAsia" w:eastAsia="仿宋_GB2312"/>
          <w:b w:val="0"/>
          <w:bCs w:val="0"/>
          <w:highlight w:val="none"/>
        </w:rPr>
      </w:pPr>
      <w:r>
        <w:rPr>
          <w:rFonts w:hint="eastAsia" w:ascii="仿宋_GB2312" w:hAnsi="仿宋_GB2312" w:eastAsia="仿宋_GB2312" w:cs="仿宋_GB2312"/>
          <w:b w:val="0"/>
          <w:bCs w:val="0"/>
          <w:sz w:val="32"/>
          <w:szCs w:val="32"/>
          <w:highlight w:val="none"/>
        </w:rPr>
        <w:t>基础设施领域。副中心站交通枢纽工程</w:t>
      </w:r>
      <w:r>
        <w:rPr>
          <w:rFonts w:hint="eastAsia" w:ascii="仿宋_GB2312" w:eastAsia="仿宋_GB2312"/>
          <w:b w:val="0"/>
          <w:bCs w:val="0"/>
          <w:sz w:val="32"/>
          <w:szCs w:val="32"/>
          <w:highlight w:val="none"/>
        </w:rPr>
        <w:t>主站房核心西区及西接驳场站主体结构于6月份率先封顶，逐步进入</w:t>
      </w:r>
      <w:r>
        <w:rPr>
          <w:rFonts w:hint="eastAsia" w:ascii="仿宋_GB2312" w:eastAsia="仿宋_GB2312"/>
          <w:b w:val="0"/>
          <w:bCs w:val="0"/>
          <w:sz w:val="32"/>
          <w:szCs w:val="32"/>
          <w:highlight w:val="none"/>
          <w:lang w:eastAsia="zh-CN"/>
        </w:rPr>
        <w:t>装修阶段</w:t>
      </w:r>
      <w:r>
        <w:rPr>
          <w:rFonts w:hint="eastAsia" w:ascii="仿宋_GB2312" w:eastAsia="仿宋_GB2312"/>
          <w:b w:val="0"/>
          <w:bCs w:val="0"/>
          <w:sz w:val="32"/>
          <w:szCs w:val="32"/>
          <w:highlight w:val="none"/>
        </w:rPr>
        <w:t>；10月中旬完成热力管线永久改移工程施工并具备通暖条件；大屋盖“京帆”于9月开始安装钢结构，年底第一片京帆</w:t>
      </w:r>
      <w:r>
        <w:rPr>
          <w:rFonts w:hint="eastAsia" w:ascii="仿宋_GB2312" w:eastAsia="仿宋_GB2312"/>
          <w:b w:val="0"/>
          <w:bCs w:val="0"/>
          <w:sz w:val="32"/>
          <w:szCs w:val="32"/>
          <w:highlight w:val="none"/>
          <w:lang w:eastAsia="zh-CN"/>
        </w:rPr>
        <w:t>实现</w:t>
      </w:r>
      <w:r>
        <w:rPr>
          <w:rFonts w:hint="eastAsia" w:ascii="仿宋_GB2312" w:eastAsia="仿宋_GB2312"/>
          <w:b w:val="0"/>
          <w:bCs w:val="0"/>
          <w:sz w:val="32"/>
          <w:szCs w:val="32"/>
          <w:highlight w:val="none"/>
        </w:rPr>
        <w:t>亮相；整体土方工程已完成</w:t>
      </w:r>
      <w:r>
        <w:rPr>
          <w:rFonts w:hint="eastAsia" w:ascii="仿宋_GB2312" w:eastAsia="仿宋_GB2312"/>
          <w:b w:val="0"/>
          <w:bCs w:val="0"/>
          <w:sz w:val="32"/>
          <w:szCs w:val="32"/>
          <w:highlight w:val="none"/>
          <w:lang w:val="en-US" w:eastAsia="zh-CN"/>
        </w:rPr>
        <w:t>90</w:t>
      </w:r>
      <w:r>
        <w:rPr>
          <w:rFonts w:hint="eastAsia" w:ascii="仿宋_GB2312" w:eastAsia="仿宋_GB2312"/>
          <w:b w:val="0"/>
          <w:bCs w:val="0"/>
          <w:sz w:val="32"/>
          <w:szCs w:val="32"/>
          <w:highlight w:val="none"/>
        </w:rPr>
        <w:t>%，结构工程已完成</w:t>
      </w:r>
      <w:r>
        <w:rPr>
          <w:rFonts w:hint="eastAsia" w:ascii="仿宋_GB2312" w:eastAsia="仿宋_GB2312"/>
          <w:b w:val="0"/>
          <w:bCs w:val="0"/>
          <w:sz w:val="32"/>
          <w:szCs w:val="32"/>
          <w:highlight w:val="none"/>
          <w:lang w:val="en-US" w:eastAsia="zh-CN"/>
        </w:rPr>
        <w:t>85</w:t>
      </w:r>
      <w:r>
        <w:rPr>
          <w:rFonts w:hint="eastAsia" w:ascii="仿宋_GB2312" w:eastAsia="仿宋_GB2312"/>
          <w:b w:val="0"/>
          <w:bCs w:val="0"/>
          <w:sz w:val="32"/>
          <w:szCs w:val="32"/>
          <w:highlight w:val="none"/>
        </w:rPr>
        <w:t>%。</w:t>
      </w:r>
      <w:r>
        <w:rPr>
          <w:rFonts w:hint="eastAsia" w:ascii="仿宋_GB2312" w:hAnsi="仿宋" w:eastAsia="仿宋_GB2312" w:cs="仿宋"/>
          <w:b w:val="0"/>
          <w:bCs w:val="0"/>
          <w:color w:val="000000"/>
          <w:sz w:val="32"/>
          <w:szCs w:val="32"/>
          <w:highlight w:val="none"/>
        </w:rPr>
        <w:t>积极推进</w:t>
      </w:r>
      <w:r>
        <w:rPr>
          <w:rFonts w:hint="eastAsia" w:ascii="仿宋_GB2312" w:hAnsi="仿宋_GB2312" w:eastAsia="仿宋_GB2312" w:cs="仿宋_GB2312"/>
          <w:b w:val="0"/>
          <w:bCs w:val="0"/>
          <w:sz w:val="32"/>
          <w:szCs w:val="32"/>
          <w:highlight w:val="none"/>
        </w:rPr>
        <w:t>东六环入地改造工程涉及的</w:t>
      </w:r>
      <w:r>
        <w:rPr>
          <w:rFonts w:hint="eastAsia" w:ascii="仿宋_GB2312" w:hAnsi="仿宋" w:eastAsia="仿宋_GB2312" w:cs="仿宋"/>
          <w:b w:val="0"/>
          <w:bCs w:val="0"/>
          <w:color w:val="000000"/>
          <w:sz w:val="32"/>
          <w:szCs w:val="32"/>
          <w:highlight w:val="none"/>
        </w:rPr>
        <w:t>拆迁进地、树木伐移、地</w:t>
      </w:r>
      <w:r>
        <w:rPr>
          <w:rFonts w:hint="eastAsia" w:ascii="仿宋_GB2312" w:hAnsi="仿宋" w:eastAsia="仿宋_GB2312" w:cs="仿宋"/>
          <w:b w:val="0"/>
          <w:bCs w:val="0"/>
          <w:color w:val="000000"/>
          <w:sz w:val="32"/>
          <w:szCs w:val="32"/>
          <w:highlight w:val="none"/>
          <w:lang w:eastAsia="zh-CN"/>
        </w:rPr>
        <w:t>上</w:t>
      </w:r>
      <w:r>
        <w:rPr>
          <w:rFonts w:hint="eastAsia" w:ascii="仿宋_GB2312" w:hAnsi="仿宋" w:eastAsia="仿宋_GB2312" w:cs="仿宋"/>
          <w:b w:val="0"/>
          <w:bCs w:val="0"/>
          <w:color w:val="000000"/>
          <w:sz w:val="32"/>
          <w:szCs w:val="32"/>
          <w:highlight w:val="none"/>
        </w:rPr>
        <w:t>物腾退、管线迁改、手续办理等相关事宜，“京华号”、“运河号”盾构机先后成功接收，8月21日盾构隧道双线顺利贯通。</w:t>
      </w:r>
      <w:r>
        <w:rPr>
          <w:rFonts w:hint="eastAsia" w:ascii="仿宋_GB2312" w:hAnsi="仿宋_GB2312" w:eastAsia="仿宋_GB2312" w:cs="仿宋_GB2312"/>
          <w:b w:val="0"/>
          <w:bCs w:val="0"/>
          <w:sz w:val="32"/>
          <w:szCs w:val="32"/>
          <w:highlight w:val="none"/>
        </w:rPr>
        <w:t>轨道交通22号线（平谷线）</w:t>
      </w:r>
      <w:r>
        <w:rPr>
          <w:rFonts w:hint="eastAsia" w:ascii="仿宋_GB2312" w:eastAsia="仿宋_GB2312"/>
          <w:b w:val="0"/>
          <w:bCs w:val="0"/>
          <w:color w:val="000000"/>
          <w:sz w:val="32"/>
          <w:szCs w:val="32"/>
          <w:highlight w:val="none"/>
        </w:rPr>
        <w:t>在通州区设置</w:t>
      </w:r>
      <w:r>
        <w:rPr>
          <w:rFonts w:hint="eastAsia" w:ascii="仿宋_GB2312" w:eastAsia="仿宋_GB2312"/>
          <w:b w:val="0"/>
          <w:bCs w:val="0"/>
          <w:color w:val="000000"/>
          <w:sz w:val="32"/>
          <w:szCs w:val="32"/>
          <w:highlight w:val="none"/>
          <w:lang w:eastAsia="zh-CN"/>
        </w:rPr>
        <w:t>六</w:t>
      </w:r>
      <w:r>
        <w:rPr>
          <w:rFonts w:hint="eastAsia" w:ascii="仿宋_GB2312" w:eastAsia="仿宋_GB2312"/>
          <w:b w:val="0"/>
          <w:bCs w:val="0"/>
          <w:color w:val="000000"/>
          <w:sz w:val="32"/>
          <w:szCs w:val="32"/>
          <w:highlight w:val="none"/>
        </w:rPr>
        <w:t>站，</w:t>
      </w:r>
      <w:r>
        <w:rPr>
          <w:rFonts w:hint="eastAsia" w:ascii="仿宋_GB2312" w:eastAsia="仿宋_GB2312"/>
          <w:b w:val="0"/>
          <w:bCs w:val="0"/>
          <w:sz w:val="32"/>
          <w:szCs w:val="32"/>
          <w:highlight w:val="none"/>
          <w:lang w:val="en-US" w:eastAsia="zh-CN"/>
        </w:rPr>
        <w:t>全线首段盾构区间（政务中心站至政务中心东站）双线顺利贯通，为轨道交通22号线2025年年底全线通车奠定基础</w:t>
      </w:r>
      <w:r>
        <w:rPr>
          <w:rFonts w:hint="eastAsia" w:ascii="仿宋_GB2312" w:hAnsi="仿宋_GB2312" w:eastAsia="仿宋_GB2312" w:cs="仿宋_GB2312"/>
          <w:b w:val="0"/>
          <w:bCs w:val="0"/>
          <w:color w:val="000000"/>
          <w:kern w:val="0"/>
          <w:sz w:val="32"/>
          <w:szCs w:val="32"/>
          <w:highlight w:val="none"/>
        </w:rPr>
        <w:t>；</w:t>
      </w:r>
      <w:r>
        <w:rPr>
          <w:rFonts w:hint="eastAsia" w:ascii="仿宋_GB2312" w:hAnsi="仿宋_GB2312" w:eastAsia="仿宋_GB2312" w:cs="仿宋_GB2312"/>
          <w:b w:val="0"/>
          <w:bCs w:val="0"/>
          <w:sz w:val="32"/>
          <w:szCs w:val="32"/>
          <w:highlight w:val="none"/>
        </w:rPr>
        <w:t>东夏园交通枢纽已基本完工，</w:t>
      </w:r>
      <w:r>
        <w:rPr>
          <w:rFonts w:hint="eastAsia" w:ascii="仿宋_GB2312" w:hAnsi="仿宋_GB2312" w:eastAsia="仿宋_GB2312" w:cs="仿宋_GB2312"/>
          <w:b w:val="0"/>
          <w:bCs w:val="0"/>
          <w:sz w:val="32"/>
          <w:szCs w:val="32"/>
          <w:highlight w:val="none"/>
          <w:lang w:val="en-US" w:eastAsia="zh-CN"/>
        </w:rPr>
        <w:t>12月31日两条公交线路已开通试运营</w:t>
      </w:r>
      <w:r>
        <w:rPr>
          <w:rFonts w:hint="eastAsia" w:ascii="仿宋_GB2312" w:hAnsi="仿宋_GB2312" w:eastAsia="仿宋_GB2312" w:cs="仿宋_GB2312"/>
          <w:b w:val="0"/>
          <w:bCs w:val="0"/>
          <w:sz w:val="32"/>
          <w:szCs w:val="32"/>
          <w:highlight w:val="none"/>
        </w:rPr>
        <w:t>；</w:t>
      </w:r>
      <w:r>
        <w:rPr>
          <w:rFonts w:hint="eastAsia" w:ascii="仿宋_GB2312" w:hAnsi="黑体" w:eastAsia="仿宋_GB2312"/>
          <w:b w:val="0"/>
          <w:bCs w:val="0"/>
          <w:sz w:val="32"/>
          <w:szCs w:val="32"/>
          <w:highlight w:val="none"/>
        </w:rPr>
        <w:t>通马路枢纽主楼主体结构</w:t>
      </w:r>
      <w:r>
        <w:rPr>
          <w:rFonts w:hint="eastAsia" w:ascii="仿宋_GB2312" w:hAnsi="黑体" w:eastAsia="仿宋_GB2312"/>
          <w:b w:val="0"/>
          <w:bCs w:val="0"/>
          <w:sz w:val="32"/>
          <w:szCs w:val="32"/>
          <w:highlight w:val="none"/>
          <w:lang w:eastAsia="zh-CN"/>
        </w:rPr>
        <w:t>年底实现</w:t>
      </w:r>
      <w:r>
        <w:rPr>
          <w:rFonts w:hint="eastAsia" w:ascii="仿宋_GB2312" w:hAnsi="黑体" w:eastAsia="仿宋_GB2312"/>
          <w:b w:val="0"/>
          <w:bCs w:val="0"/>
          <w:sz w:val="32"/>
          <w:szCs w:val="32"/>
          <w:highlight w:val="none"/>
        </w:rPr>
        <w:t>封顶；环球影城北枢纽已于10月10日完成主体结构封顶，</w:t>
      </w:r>
      <w:r>
        <w:rPr>
          <w:rFonts w:hint="eastAsia" w:ascii="仿宋_GB2312" w:hAnsi="黑体" w:eastAsia="仿宋_GB2312"/>
          <w:b w:val="0"/>
          <w:bCs w:val="0"/>
          <w:sz w:val="32"/>
          <w:szCs w:val="32"/>
          <w:highlight w:val="none"/>
          <w:lang w:eastAsia="zh-CN"/>
        </w:rPr>
        <w:t>正在推进</w:t>
      </w:r>
      <w:r>
        <w:rPr>
          <w:rFonts w:hint="eastAsia" w:ascii="仿宋_GB2312" w:hAnsi="黑体" w:eastAsia="仿宋_GB2312"/>
          <w:b w:val="0"/>
          <w:bCs w:val="0"/>
          <w:sz w:val="32"/>
          <w:szCs w:val="32"/>
          <w:highlight w:val="none"/>
        </w:rPr>
        <w:t>二次结构</w:t>
      </w:r>
      <w:r>
        <w:rPr>
          <w:rFonts w:hint="eastAsia" w:ascii="仿宋_GB2312" w:hAnsi="黑体" w:eastAsia="仿宋_GB2312"/>
          <w:b w:val="0"/>
          <w:bCs w:val="0"/>
          <w:sz w:val="32"/>
          <w:szCs w:val="32"/>
          <w:highlight w:val="none"/>
          <w:lang w:eastAsia="zh-CN"/>
        </w:rPr>
        <w:t>、</w:t>
      </w:r>
      <w:r>
        <w:rPr>
          <w:rFonts w:hint="eastAsia" w:ascii="仿宋_GB2312" w:hAnsi="黑体" w:eastAsia="仿宋_GB2312"/>
          <w:b w:val="0"/>
          <w:bCs w:val="0"/>
          <w:sz w:val="32"/>
          <w:szCs w:val="32"/>
          <w:highlight w:val="none"/>
        </w:rPr>
        <w:t>机电安装</w:t>
      </w:r>
      <w:r>
        <w:rPr>
          <w:rFonts w:hint="eastAsia" w:ascii="仿宋_GB2312" w:hAnsi="黑体" w:eastAsia="仿宋_GB2312"/>
          <w:b w:val="0"/>
          <w:bCs w:val="0"/>
          <w:sz w:val="32"/>
          <w:szCs w:val="32"/>
          <w:highlight w:val="none"/>
          <w:lang w:eastAsia="zh-CN"/>
        </w:rPr>
        <w:t>和</w:t>
      </w:r>
      <w:r>
        <w:rPr>
          <w:rFonts w:hint="eastAsia" w:ascii="仿宋_GB2312" w:hAnsi="黑体" w:eastAsia="仿宋_GB2312"/>
          <w:b w:val="0"/>
          <w:bCs w:val="0"/>
          <w:sz w:val="32"/>
          <w:szCs w:val="32"/>
          <w:highlight w:val="none"/>
        </w:rPr>
        <w:t>幕墙</w:t>
      </w:r>
      <w:r>
        <w:rPr>
          <w:rFonts w:hint="eastAsia" w:ascii="仿宋_GB2312" w:hAnsi="黑体" w:eastAsia="仿宋_GB2312"/>
          <w:b w:val="0"/>
          <w:bCs w:val="0"/>
          <w:sz w:val="32"/>
          <w:szCs w:val="32"/>
          <w:highlight w:val="none"/>
          <w:lang w:eastAsia="zh-CN"/>
        </w:rPr>
        <w:t>施工</w:t>
      </w:r>
      <w:r>
        <w:rPr>
          <w:rFonts w:hint="eastAsia" w:ascii="仿宋_GB2312" w:hAnsi="黑体" w:eastAsia="仿宋_GB2312"/>
          <w:b w:val="0"/>
          <w:bCs w:val="0"/>
          <w:sz w:val="32"/>
          <w:szCs w:val="32"/>
          <w:highlight w:val="none"/>
        </w:rPr>
        <w:t>。</w:t>
      </w:r>
      <w:r>
        <w:rPr>
          <w:rFonts w:hint="eastAsia" w:ascii="仿宋_GB2312" w:eastAsia="仿宋_GB2312" w:cs="仿宋_GB2312"/>
          <w:b w:val="0"/>
          <w:bCs w:val="0"/>
          <w:color w:val="000000"/>
          <w:sz w:val="32"/>
          <w:szCs w:val="32"/>
          <w:highlight w:val="none"/>
        </w:rPr>
        <w:t>大力协调推进</w:t>
      </w:r>
      <w:r>
        <w:rPr>
          <w:rFonts w:hint="eastAsia" w:ascii="仿宋_GB2312" w:hAnsi="宋体" w:eastAsia="仿宋_GB2312"/>
          <w:b w:val="0"/>
          <w:bCs w:val="0"/>
          <w:color w:val="000000"/>
          <w:sz w:val="32"/>
          <w:szCs w:val="32"/>
          <w:highlight w:val="none"/>
        </w:rPr>
        <w:t>M101线工程</w:t>
      </w:r>
      <w:r>
        <w:rPr>
          <w:rFonts w:hint="eastAsia" w:ascii="仿宋_GB2312" w:hAnsi="宋体" w:eastAsia="仿宋_GB2312"/>
          <w:b w:val="0"/>
          <w:bCs w:val="0"/>
          <w:color w:val="000000"/>
          <w:sz w:val="32"/>
          <w:szCs w:val="32"/>
          <w:highlight w:val="none"/>
          <w:lang w:eastAsia="zh-CN"/>
        </w:rPr>
        <w:t>施工</w:t>
      </w:r>
      <w:r>
        <w:rPr>
          <w:rFonts w:hint="eastAsia" w:ascii="仿宋_GB2312" w:hAnsi="宋体" w:eastAsia="仿宋_GB2312"/>
          <w:b w:val="0"/>
          <w:bCs w:val="0"/>
          <w:color w:val="000000"/>
          <w:sz w:val="32"/>
          <w:szCs w:val="32"/>
          <w:highlight w:val="none"/>
        </w:rPr>
        <w:t>计划，做到紧密衔接工序，</w:t>
      </w:r>
      <w:r>
        <w:rPr>
          <w:rFonts w:hint="eastAsia" w:ascii="仿宋_GB2312" w:hAnsi="Times New Roman" w:eastAsia="仿宋_GB2312"/>
          <w:b w:val="0"/>
          <w:bCs w:val="0"/>
          <w:sz w:val="32"/>
          <w:szCs w:val="32"/>
          <w:highlight w:val="none"/>
        </w:rPr>
        <w:t>已按</w:t>
      </w:r>
      <w:r>
        <w:rPr>
          <w:rFonts w:hint="eastAsia" w:ascii="仿宋_GB2312" w:hAnsi="Times New Roman" w:eastAsia="仿宋_GB2312"/>
          <w:b w:val="0"/>
          <w:bCs w:val="0"/>
          <w:sz w:val="32"/>
          <w:szCs w:val="32"/>
          <w:highlight w:val="none"/>
          <w:lang w:eastAsia="zh-CN"/>
        </w:rPr>
        <w:t>时</w:t>
      </w:r>
      <w:r>
        <w:rPr>
          <w:rFonts w:hint="eastAsia" w:ascii="仿宋_GB2312" w:hAnsi="Times New Roman" w:eastAsia="仿宋_GB2312"/>
          <w:b w:val="0"/>
          <w:bCs w:val="0"/>
          <w:sz w:val="32"/>
          <w:szCs w:val="32"/>
          <w:highlight w:val="none"/>
        </w:rPr>
        <w:t>启动了施工监理招标。</w:t>
      </w:r>
    </w:p>
    <w:p>
      <w:pPr>
        <w:keepNext w:val="0"/>
        <w:keepLines w:val="0"/>
        <w:pageBreakBefore w:val="0"/>
        <w:kinsoku/>
        <w:wordWrap/>
        <w:topLinePunct w:val="0"/>
        <w:autoSpaceDE/>
        <w:autoSpaceDN/>
        <w:bidi w:val="0"/>
        <w:snapToGrid/>
        <w:spacing w:beforeLines="0" w:afterLines="0" w:line="550" w:lineRule="exact"/>
        <w:ind w:firstLine="640" w:firstLineChars="200"/>
        <w:rPr>
          <w:b w:val="0"/>
          <w:bCs w:val="0"/>
          <w:highlight w:val="none"/>
        </w:rPr>
      </w:pPr>
      <w:r>
        <w:rPr>
          <w:rFonts w:hint="eastAsia" w:ascii="仿宋_GB2312" w:eastAsia="仿宋_GB2312" w:hAnsiTheme="minorEastAsia"/>
          <w:b w:val="0"/>
          <w:bCs w:val="0"/>
          <w:sz w:val="32"/>
          <w:szCs w:val="24"/>
          <w:highlight w:val="none"/>
          <w:lang w:val="en-US" w:eastAsia="zh-CN"/>
        </w:rPr>
        <w:t>医疗民生领域。全力做好友谊医院通州院区二期项目的施工保障，帮助项目解决外电源接入、道路开口和消防验收等难点问题，确保项目在12月初按计划完成竣工验收备案，12月22正式开诊；保障安贞医院通州院区项目于年底前按计划实现工程基本完工，会同市区各有关部门推进项目周边道路建设、开口和市政配套接入工作，已启动医疗设备安装调试工作，2024年上半年将对外开诊；推动市疾控中心迁建项目年初启动主体工程施工，11月出正负零，年底前完成主体结构的70%，研究周边道路和市政配套规划、立项、征拆问题，目前已形成初步方案准备报请副中心党工委审议；大力协调胸科医院危房改建项目前期手续办理，4月底前顺利取得“二函”和“三函”，5月实现主体工程开工，8月出正负零，11月主体结构封顶；帮助首儿所通州院区项目与市发改委就项目建议书（代可研）的修改完善进行了长达8个月的会商，最终于11月正式取得批复，正同步进行初步设计概算编制工作。</w:t>
      </w:r>
    </w:p>
    <w:p>
      <w:pPr>
        <w:keepNext w:val="0"/>
        <w:keepLines w:val="0"/>
        <w:pageBreakBefore w:val="0"/>
        <w:kinsoku/>
        <w:wordWrap/>
        <w:topLinePunct w:val="0"/>
        <w:autoSpaceDE/>
        <w:autoSpaceDN/>
        <w:bidi w:val="0"/>
        <w:snapToGrid/>
        <w:spacing w:beforeLines="0" w:afterLines="0" w:line="550" w:lineRule="exact"/>
        <w:ind w:firstLine="640" w:firstLineChars="200"/>
        <w:rPr>
          <w:rFonts w:hint="eastAsia"/>
          <w:b w:val="0"/>
          <w:bCs w:val="0"/>
          <w:highlight w:val="none"/>
        </w:rPr>
      </w:pPr>
      <w:r>
        <w:rPr>
          <w:rFonts w:hint="eastAsia" w:ascii="仿宋_GB2312" w:eastAsia="仿宋_GB2312" w:hAnsiTheme="minorEastAsia"/>
          <w:b w:val="0"/>
          <w:bCs w:val="0"/>
          <w:sz w:val="32"/>
          <w:szCs w:val="24"/>
          <w:highlight w:val="none"/>
          <w:lang w:val="en-US" w:eastAsia="zh-CN"/>
        </w:rPr>
        <w:t>教育文化领域。为保障人民大学通州校区2024年9月顺利开学，在全力推进11个建筑楼群65万平方米工程建设的同时，加强对给水、中水、污水管线和燃气管线等市政配套设施建设的调度，着重推进220千伏高压塔迁改，全年超额完成年度投资任务；多措并举解决清华大学通州金融发展和人才培养基地项目前期手续办理问题，会同市规自委和市住建委结合项目实际情况，开创性的分段出具施工图审查意见和施工登记意见函，推动项目主体工程于8月31日全面启动施工；推动路县故城遗址保护展示工程优化电力方案、降低造价，最终取得项目初步设计概算批复，已完成主体结构施工；会同各有关部门优化路县故城考古遗址公园二期设计方案，推动项目建设书（代可研）批复，于11月实现开工建设。</w:t>
      </w:r>
    </w:p>
    <w:p>
      <w:pPr>
        <w:keepNext w:val="0"/>
        <w:keepLines w:val="0"/>
        <w:pageBreakBefore w:val="0"/>
        <w:kinsoku/>
        <w:wordWrap/>
        <w:topLinePunct w:val="0"/>
        <w:autoSpaceDE/>
        <w:autoSpaceDN/>
        <w:bidi w:val="0"/>
        <w:snapToGrid/>
        <w:spacing w:beforeLines="0" w:afterLines="0" w:line="550" w:lineRule="exact"/>
        <w:ind w:firstLine="640" w:firstLineChars="200"/>
        <w:rPr>
          <w:rFonts w:eastAsia="Arial Unicode MS"/>
          <w:highlight w:val="none"/>
        </w:rPr>
      </w:pPr>
      <w:r>
        <w:rPr>
          <w:rFonts w:hint="eastAsia" w:ascii="仿宋_GB2312" w:hAnsi="仿宋_GB2312" w:eastAsia="仿宋_GB2312" w:cs="仿宋_GB2312"/>
          <w:b w:val="0"/>
          <w:bCs w:val="0"/>
          <w:sz w:val="32"/>
          <w:szCs w:val="32"/>
          <w:highlight w:val="none"/>
        </w:rPr>
        <w:t>市政配套设施。</w:t>
      </w:r>
      <w:r>
        <w:rPr>
          <w:rFonts w:hint="eastAsia" w:ascii="仿宋_GB2312" w:eastAsia="仿宋_GB2312"/>
          <w:b w:val="0"/>
          <w:bCs w:val="0"/>
          <w:color w:val="000000"/>
          <w:sz w:val="32"/>
          <w:szCs w:val="32"/>
          <w:highlight w:val="none"/>
        </w:rPr>
        <w:t>完成行政办公区二期东南组团市政道路建设协调任务，</w:t>
      </w:r>
      <w:r>
        <w:rPr>
          <w:rFonts w:ascii="仿宋_GB2312" w:hAnsi="仿宋_GB2312" w:eastAsia="仿宋_GB2312" w:cs="仿宋_GB2312"/>
          <w:b w:val="0"/>
          <w:bCs w:val="0"/>
          <w:color w:val="000000"/>
          <w:sz w:val="32"/>
          <w:szCs w:val="32"/>
          <w:highlight w:val="none"/>
        </w:rPr>
        <w:t>完成六合村</w:t>
      </w:r>
      <w:r>
        <w:rPr>
          <w:rFonts w:ascii="仿宋_GB2312" w:eastAsia="仿宋_GB2312" w:cs="仿宋_GB2312"/>
          <w:b w:val="0"/>
          <w:bCs w:val="0"/>
          <w:color w:val="000000"/>
          <w:sz w:val="32"/>
          <w:szCs w:val="32"/>
          <w:highlight w:val="none"/>
          <w:u w:color="000000"/>
          <w:lang w:bidi="ar"/>
        </w:rPr>
        <w:t>行政办公地块大市政接驳工作，保障了行政办公地块提前实现竣工验收</w:t>
      </w:r>
      <w:r>
        <w:rPr>
          <w:rFonts w:hint="eastAsia" w:ascii="仿宋_GB2312" w:hAnsi="仿宋_GB2312" w:eastAsia="仿宋_GB2312" w:cs="仿宋_GB2312"/>
          <w:b w:val="0"/>
          <w:bCs w:val="0"/>
          <w:color w:val="000000"/>
          <w:sz w:val="32"/>
          <w:szCs w:val="32"/>
          <w:highlight w:val="none"/>
        </w:rPr>
        <w:t>。</w:t>
      </w:r>
      <w:r>
        <w:rPr>
          <w:rFonts w:ascii="仿宋_GB2312" w:hAnsi="Arial Unicode MS" w:eastAsia="仿宋_GB2312" w:cs="仿宋_GB2312"/>
          <w:b w:val="0"/>
          <w:bCs w:val="0"/>
          <w:color w:val="000000"/>
          <w:kern w:val="0"/>
          <w:sz w:val="32"/>
          <w:szCs w:val="32"/>
          <w:highlight w:val="none"/>
          <w:u w:color="000000"/>
          <w:lang w:bidi="ar"/>
        </w:rPr>
        <w:t>协调规自和住建部门批复了</w:t>
      </w:r>
      <w:r>
        <w:rPr>
          <w:rFonts w:ascii="仿宋_GB2312" w:hAnsi="仿宋_GB2312" w:eastAsia="仿宋_GB2312" w:cs="仿宋_GB2312"/>
          <w:b w:val="0"/>
          <w:bCs w:val="0"/>
          <w:color w:val="000000"/>
          <w:kern w:val="0"/>
          <w:sz w:val="32"/>
          <w:highlight w:val="none"/>
        </w:rPr>
        <w:t>创意园变电站</w:t>
      </w:r>
      <w:r>
        <w:rPr>
          <w:rFonts w:ascii="仿宋_GB2312" w:hAnsi="Arial Unicode MS" w:eastAsia="仿宋_GB2312" w:cs="仿宋_GB2312"/>
          <w:b w:val="0"/>
          <w:bCs w:val="0"/>
          <w:color w:val="000000"/>
          <w:kern w:val="0"/>
          <w:sz w:val="32"/>
          <w:szCs w:val="32"/>
          <w:highlight w:val="none"/>
          <w:u w:color="000000"/>
          <w:lang w:bidi="ar"/>
        </w:rPr>
        <w:t>建设工程规划许可证和建设工程施工许可证</w:t>
      </w:r>
      <w:r>
        <w:rPr>
          <w:rFonts w:hint="eastAsia" w:ascii="仿宋_GB2312" w:hAnsi="Arial Unicode MS" w:eastAsia="仿宋_GB2312" w:cs="仿宋_GB2312"/>
          <w:b w:val="0"/>
          <w:bCs w:val="0"/>
          <w:color w:val="000000"/>
          <w:kern w:val="0"/>
          <w:sz w:val="32"/>
          <w:szCs w:val="32"/>
          <w:highlight w:val="none"/>
          <w:u w:color="000000"/>
          <w:lang w:bidi="ar"/>
        </w:rPr>
        <w:t>,</w:t>
      </w:r>
      <w:r>
        <w:rPr>
          <w:rFonts w:ascii="仿宋_GB2312" w:hAnsi="Arial Unicode MS" w:eastAsia="仿宋_GB2312" w:cs="仿宋_GB2312"/>
          <w:b w:val="0"/>
          <w:bCs w:val="0"/>
          <w:color w:val="000000"/>
          <w:kern w:val="0"/>
          <w:sz w:val="32"/>
          <w:szCs w:val="32"/>
          <w:highlight w:val="none"/>
          <w:u w:color="000000"/>
          <w:lang w:bidi="ar"/>
        </w:rPr>
        <w:t xml:space="preserve"> 正在开展站址</w:t>
      </w:r>
      <w:r>
        <w:rPr>
          <w:rFonts w:ascii="仿宋_GB2312" w:eastAsia="仿宋_GB2312" w:cs="仿宋_GB2312"/>
          <w:b w:val="0"/>
          <w:bCs w:val="0"/>
          <w:color w:val="000000"/>
          <w:kern w:val="0"/>
          <w:sz w:val="32"/>
          <w:szCs w:val="32"/>
          <w:highlight w:val="none"/>
          <w:u w:color="000000"/>
          <w:lang w:bidi="ar"/>
        </w:rPr>
        <w:t>主体结构和隧道暗挖施工</w:t>
      </w:r>
      <w:r>
        <w:rPr>
          <w:rFonts w:ascii="仿宋_GB2312" w:hAnsi="Arial Unicode MS" w:eastAsia="仿宋_GB2312" w:cs="仿宋_GB2312"/>
          <w:b w:val="0"/>
          <w:bCs w:val="0"/>
          <w:color w:val="000000"/>
          <w:kern w:val="0"/>
          <w:sz w:val="32"/>
          <w:szCs w:val="32"/>
          <w:highlight w:val="none"/>
          <w:u w:color="000000"/>
          <w:lang w:bidi="ar"/>
        </w:rPr>
        <w:t>，</w:t>
      </w:r>
      <w:r>
        <w:rPr>
          <w:rFonts w:ascii="仿宋_GB2312" w:eastAsia="仿宋_GB2312" w:cs="仿宋_GB2312"/>
          <w:b w:val="0"/>
          <w:bCs w:val="0"/>
          <w:color w:val="000000"/>
          <w:kern w:val="0"/>
          <w:sz w:val="32"/>
          <w:szCs w:val="32"/>
          <w:highlight w:val="none"/>
          <w:u w:color="000000"/>
          <w:lang w:bidi="ar"/>
        </w:rPr>
        <w:t>加快推进剩余</w:t>
      </w:r>
      <w:r>
        <w:rPr>
          <w:rFonts w:ascii="仿宋_GB2312" w:hAnsi="Arial Unicode MS" w:eastAsia="仿宋_GB2312" w:cs="仿宋_GB2312"/>
          <w:b w:val="0"/>
          <w:bCs w:val="0"/>
          <w:color w:val="000000"/>
          <w:kern w:val="0"/>
          <w:sz w:val="32"/>
          <w:szCs w:val="32"/>
          <w:highlight w:val="none"/>
          <w:u w:color="000000"/>
          <w:lang w:bidi="ar"/>
        </w:rPr>
        <w:t>隧道</w:t>
      </w:r>
      <w:r>
        <w:rPr>
          <w:rFonts w:ascii="仿宋_GB2312" w:eastAsia="仿宋_GB2312" w:cs="仿宋_GB2312"/>
          <w:b w:val="0"/>
          <w:bCs w:val="0"/>
          <w:color w:val="000000"/>
          <w:kern w:val="0"/>
          <w:sz w:val="32"/>
          <w:szCs w:val="32"/>
          <w:highlight w:val="none"/>
          <w:u w:color="000000"/>
          <w:lang w:bidi="ar"/>
        </w:rPr>
        <w:t>竖井占地进场</w:t>
      </w:r>
      <w:r>
        <w:rPr>
          <w:rFonts w:ascii="仿宋_GB2312" w:hAnsi="Arial Unicode MS" w:eastAsia="仿宋_GB2312" w:cs="仿宋_GB2312"/>
          <w:b w:val="0"/>
          <w:bCs w:val="0"/>
          <w:color w:val="000000"/>
          <w:kern w:val="0"/>
          <w:sz w:val="32"/>
          <w:szCs w:val="32"/>
          <w:highlight w:val="none"/>
          <w:u w:color="000000"/>
          <w:lang w:bidi="ar"/>
        </w:rPr>
        <w:t>工作。梨园220千伏输变电工程已基本完成土护降施工，</w:t>
      </w:r>
      <w:r>
        <w:rPr>
          <w:rFonts w:ascii="仿宋_GB2312" w:eastAsia="仿宋_GB2312" w:cs="仿宋_GB2312"/>
          <w:b w:val="0"/>
          <w:bCs w:val="0"/>
          <w:color w:val="000000"/>
          <w:kern w:val="0"/>
          <w:sz w:val="32"/>
          <w:szCs w:val="32"/>
          <w:highlight w:val="none"/>
          <w:u w:color="000000"/>
          <w:lang w:bidi="ar"/>
        </w:rPr>
        <w:t>年底</w:t>
      </w:r>
      <w:r>
        <w:rPr>
          <w:rFonts w:ascii="仿宋_GB2312" w:hAnsi="Arial Unicode MS" w:eastAsia="仿宋_GB2312" w:cs="仿宋_GB2312"/>
          <w:b w:val="0"/>
          <w:bCs w:val="0"/>
          <w:color w:val="000000"/>
          <w:kern w:val="0"/>
          <w:sz w:val="32"/>
          <w:szCs w:val="32"/>
          <w:highlight w:val="none"/>
          <w:u w:color="000000"/>
          <w:lang w:bidi="ar"/>
        </w:rPr>
        <w:t>将完成站址主体结构。</w:t>
      </w:r>
      <w:r>
        <w:rPr>
          <w:rFonts w:hint="eastAsia" w:ascii="仿宋_GB2312" w:hAnsi="仿宋_GB2312" w:eastAsia="仿宋_GB2312" w:cs="仿宋_GB2312"/>
          <w:b w:val="0"/>
          <w:bCs w:val="0"/>
          <w:color w:val="000000"/>
          <w:kern w:val="0"/>
          <w:sz w:val="32"/>
          <w:highlight w:val="none"/>
        </w:rPr>
        <w:t>两</w:t>
      </w:r>
      <w:r>
        <w:rPr>
          <w:rFonts w:ascii="仿宋_GB2312" w:hAnsi="仿宋_GB2312" w:eastAsia="仿宋_GB2312" w:cs="仿宋_GB2312"/>
          <w:b w:val="0"/>
          <w:bCs w:val="0"/>
          <w:color w:val="000000"/>
          <w:kern w:val="0"/>
          <w:sz w:val="32"/>
          <w:highlight w:val="none"/>
        </w:rPr>
        <w:t>座变电站按照</w:t>
      </w:r>
      <w:r>
        <w:rPr>
          <w:rFonts w:hint="eastAsia" w:ascii="仿宋_GB2312" w:hAnsi="仿宋_GB2312" w:eastAsia="仿宋_GB2312" w:cs="仿宋_GB2312"/>
          <w:b w:val="0"/>
          <w:bCs w:val="0"/>
          <w:color w:val="000000"/>
          <w:kern w:val="0"/>
          <w:sz w:val="32"/>
          <w:highlight w:val="none"/>
        </w:rPr>
        <w:t>20</w:t>
      </w:r>
      <w:r>
        <w:rPr>
          <w:rFonts w:ascii="仿宋_GB2312" w:hAnsi="仿宋_GB2312" w:eastAsia="仿宋_GB2312" w:cs="仿宋_GB2312"/>
          <w:b w:val="0"/>
          <w:bCs w:val="0"/>
          <w:color w:val="000000"/>
          <w:kern w:val="0"/>
          <w:sz w:val="32"/>
          <w:highlight w:val="none"/>
        </w:rPr>
        <w:t>24年</w:t>
      </w:r>
      <w:r>
        <w:rPr>
          <w:rFonts w:hint="eastAsia" w:ascii="仿宋_GB2312" w:hAnsi="仿宋_GB2312" w:eastAsia="仿宋_GB2312" w:cs="仿宋_GB2312"/>
          <w:b w:val="0"/>
          <w:bCs w:val="0"/>
          <w:color w:val="000000"/>
          <w:kern w:val="0"/>
          <w:sz w:val="32"/>
          <w:highlight w:val="none"/>
        </w:rPr>
        <w:t>8</w:t>
      </w:r>
      <w:r>
        <w:rPr>
          <w:rFonts w:ascii="仿宋_GB2312" w:hAnsi="仿宋_GB2312" w:eastAsia="仿宋_GB2312" w:cs="仿宋_GB2312"/>
          <w:b w:val="0"/>
          <w:bCs w:val="0"/>
          <w:color w:val="000000"/>
          <w:kern w:val="0"/>
          <w:sz w:val="32"/>
          <w:highlight w:val="none"/>
        </w:rPr>
        <w:t>月投产稳步推进</w:t>
      </w:r>
      <w:r>
        <w:rPr>
          <w:rFonts w:hint="eastAsia" w:ascii="仿宋_GB2312" w:hAnsi="仿宋_GB2312" w:eastAsia="仿宋_GB2312" w:cs="仿宋_GB2312"/>
          <w:b w:val="0"/>
          <w:bCs w:val="0"/>
          <w:color w:val="000000"/>
          <w:kern w:val="0"/>
          <w:sz w:val="32"/>
          <w:highlight w:val="none"/>
        </w:rPr>
        <w:t>。积极协调推进首儿所、清华大学金融学院，疾控中心、卫职院等重点项目周边市政工程建设，配合完成A5、C</w:t>
      </w:r>
      <w:r>
        <w:rPr>
          <w:rFonts w:ascii="仿宋_GB2312" w:hAnsi="仿宋_GB2312" w:eastAsia="仿宋_GB2312" w:cs="仿宋_GB2312"/>
          <w:b w:val="0"/>
          <w:bCs w:val="0"/>
          <w:color w:val="000000"/>
          <w:kern w:val="0"/>
          <w:sz w:val="32"/>
          <w:highlight w:val="none"/>
        </w:rPr>
        <w:t>5</w:t>
      </w:r>
      <w:r>
        <w:rPr>
          <w:rFonts w:hint="eastAsia" w:ascii="仿宋_GB2312" w:hAnsi="仿宋_GB2312" w:eastAsia="仿宋_GB2312" w:cs="仿宋_GB2312"/>
          <w:b w:val="0"/>
          <w:bCs w:val="0"/>
          <w:color w:val="000000"/>
          <w:kern w:val="0"/>
          <w:sz w:val="32"/>
          <w:highlight w:val="none"/>
        </w:rPr>
        <w:t>项目、人民大学、北投大厦等周边市</w:t>
      </w:r>
      <w:r>
        <w:rPr>
          <w:rFonts w:hint="eastAsia" w:ascii="仿宋_GB2312" w:hAnsi="仿宋_GB2312" w:eastAsia="仿宋_GB2312" w:cs="仿宋_GB2312"/>
          <w:color w:val="000000"/>
          <w:kern w:val="0"/>
          <w:sz w:val="32"/>
          <w:highlight w:val="none"/>
        </w:rPr>
        <w:t>政工程配套建设等工作。</w:t>
      </w:r>
    </w:p>
    <w:p>
      <w:pPr>
        <w:pStyle w:val="18"/>
        <w:keepNext w:val="0"/>
        <w:keepLines w:val="0"/>
        <w:pageBreakBefore w:val="0"/>
        <w:kinsoku/>
        <w:wordWrap/>
        <w:topLinePunct w:val="0"/>
        <w:autoSpaceDE/>
        <w:autoSpaceDN/>
        <w:bidi w:val="0"/>
        <w:snapToGrid/>
        <w:spacing w:beforeLines="0" w:after="0" w:afterLines="0" w:line="550" w:lineRule="exact"/>
        <w:ind w:left="0" w:leftChars="0" w:firstLine="643"/>
        <w:rPr>
          <w:rFonts w:hint="eastAsia" w:ascii="仿宋_GB2312" w:eastAsia="仿宋_GB2312"/>
          <w:b w:val="0"/>
          <w:bCs w:val="0"/>
          <w:sz w:val="32"/>
          <w:szCs w:val="32"/>
          <w:highlight w:val="none"/>
        </w:rPr>
      </w:pPr>
      <w:r>
        <w:rPr>
          <w:rFonts w:hint="eastAsia" w:ascii="仿宋_GB2312" w:hAnsi="仿宋_GB2312" w:eastAsia="仿宋_GB2312" w:cs="仿宋_GB2312"/>
          <w:b w:val="0"/>
          <w:bCs w:val="0"/>
          <w:sz w:val="32"/>
          <w:szCs w:val="32"/>
          <w:highlight w:val="none"/>
        </w:rPr>
        <w:t>产业领域。华夏银行土护降工程基本完成，地下结构完成1</w:t>
      </w:r>
      <w:r>
        <w:rPr>
          <w:rFonts w:ascii="仿宋_GB2312" w:hAnsi="仿宋_GB2312" w:eastAsia="仿宋_GB2312" w:cs="仿宋_GB2312"/>
          <w:b w:val="0"/>
          <w:bCs w:val="0"/>
          <w:sz w:val="32"/>
          <w:szCs w:val="32"/>
          <w:highlight w:val="none"/>
        </w:rPr>
        <w:t>0</w:t>
      </w:r>
      <w:r>
        <w:rPr>
          <w:rFonts w:hint="eastAsia" w:ascii="仿宋_GB2312" w:hAnsi="仿宋_GB2312" w:eastAsia="仿宋_GB2312" w:cs="仿宋_GB2312"/>
          <w:b w:val="0"/>
          <w:bCs w:val="0"/>
          <w:sz w:val="32"/>
          <w:szCs w:val="32"/>
          <w:highlight w:val="none"/>
        </w:rPr>
        <w:t>%；首旅集团完成</w:t>
      </w:r>
      <w:r>
        <w:rPr>
          <w:rFonts w:hint="eastAsia" w:ascii="仿宋" w:hAnsi="仿宋" w:eastAsia="仿宋"/>
          <w:b w:val="0"/>
          <w:bCs w:val="0"/>
          <w:color w:val="000000"/>
          <w:sz w:val="32"/>
          <w:szCs w:val="32"/>
          <w:highlight w:val="none"/>
        </w:rPr>
        <w:t>地下主体结构至正负零</w:t>
      </w:r>
      <w:r>
        <w:rPr>
          <w:rFonts w:hint="eastAsia" w:ascii="仿宋_GB2312" w:hAnsi="仿宋_GB2312" w:eastAsia="仿宋_GB2312" w:cs="仿宋_GB2312"/>
          <w:b w:val="0"/>
          <w:bCs w:val="0"/>
          <w:sz w:val="32"/>
          <w:szCs w:val="32"/>
          <w:highlight w:val="none"/>
        </w:rPr>
        <w:t>；北建院、北咨公司总部项目土护降工程总体完成7</w:t>
      </w:r>
      <w:r>
        <w:rPr>
          <w:rFonts w:ascii="仿宋_GB2312" w:hAnsi="仿宋_GB2312" w:eastAsia="仿宋_GB2312" w:cs="仿宋_GB2312"/>
          <w:b w:val="0"/>
          <w:bCs w:val="0"/>
          <w:sz w:val="32"/>
          <w:szCs w:val="32"/>
          <w:highlight w:val="none"/>
        </w:rPr>
        <w:t>0</w:t>
      </w:r>
      <w:r>
        <w:rPr>
          <w:rFonts w:hint="eastAsia" w:ascii="仿宋_GB2312" w:hAnsi="仿宋_GB2312" w:eastAsia="仿宋_GB2312" w:cs="仿宋_GB2312"/>
          <w:b w:val="0"/>
          <w:bCs w:val="0"/>
          <w:sz w:val="32"/>
          <w:szCs w:val="32"/>
          <w:highlight w:val="none"/>
        </w:rPr>
        <w:t>%，积极推进手续办理，已取得规划许可证；市规划院年底实现封闭封围，室内装修完成6</w:t>
      </w:r>
      <w:r>
        <w:rPr>
          <w:rFonts w:ascii="仿宋_GB2312" w:hAnsi="仿宋_GB2312" w:eastAsia="仿宋_GB2312" w:cs="仿宋_GB2312"/>
          <w:b w:val="0"/>
          <w:bCs w:val="0"/>
          <w:sz w:val="32"/>
          <w:szCs w:val="32"/>
          <w:highlight w:val="none"/>
        </w:rPr>
        <w:t>0</w:t>
      </w:r>
      <w:r>
        <w:rPr>
          <w:rFonts w:hint="eastAsia" w:ascii="仿宋_GB2312" w:hAnsi="仿宋_GB2312" w:eastAsia="仿宋_GB2312" w:cs="仿宋_GB2312"/>
          <w:b w:val="0"/>
          <w:bCs w:val="0"/>
          <w:sz w:val="32"/>
          <w:szCs w:val="32"/>
          <w:highlight w:val="none"/>
        </w:rPr>
        <w:t>%；万象汇商业项目1</w:t>
      </w:r>
      <w:r>
        <w:rPr>
          <w:rFonts w:ascii="仿宋_GB2312" w:hAnsi="仿宋_GB2312" w:eastAsia="仿宋_GB2312" w:cs="仿宋_GB2312"/>
          <w:b w:val="0"/>
          <w:bCs w:val="0"/>
          <w:sz w:val="32"/>
          <w:szCs w:val="32"/>
          <w:highlight w:val="none"/>
        </w:rPr>
        <w:t>2</w:t>
      </w:r>
      <w:r>
        <w:rPr>
          <w:rFonts w:hint="eastAsia" w:ascii="仿宋_GB2312" w:hAnsi="仿宋_GB2312" w:eastAsia="仿宋_GB2312" w:cs="仿宋_GB2312"/>
          <w:b w:val="0"/>
          <w:bCs w:val="0"/>
          <w:sz w:val="32"/>
          <w:szCs w:val="32"/>
          <w:highlight w:val="none"/>
        </w:rPr>
        <w:t>月底达到工程整体验收条件</w:t>
      </w:r>
      <w:r>
        <w:rPr>
          <w:rFonts w:hint="eastAsia" w:ascii="仿宋_GB2312" w:eastAsia="仿宋_GB2312"/>
          <w:b w:val="0"/>
          <w:bCs w:val="0"/>
          <w:sz w:val="32"/>
          <w:szCs w:val="32"/>
          <w:highlight w:val="none"/>
        </w:rPr>
        <w:t>；潞城全民健身中心9月已正式竣工并移交。</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3.</w:t>
      </w:r>
      <w:r>
        <w:rPr>
          <w:rFonts w:hint="eastAsia" w:ascii="仿宋_GB2312" w:hAnsi="宋体" w:eastAsia="仿宋_GB2312" w:cs="宋体"/>
          <w:b/>
          <w:bCs/>
          <w:color w:val="000000"/>
          <w:kern w:val="0"/>
          <w:sz w:val="32"/>
          <w:szCs w:val="32"/>
          <w:lang w:val="en-US" w:eastAsia="zh-CN"/>
        </w:rPr>
        <w:t>环境</w:t>
      </w:r>
      <w:r>
        <w:rPr>
          <w:rFonts w:hint="eastAsia" w:ascii="仿宋_GB2312" w:hAnsi="宋体" w:eastAsia="仿宋_GB2312" w:cs="宋体"/>
          <w:b/>
          <w:bCs/>
          <w:color w:val="000000"/>
          <w:kern w:val="0"/>
          <w:sz w:val="32"/>
          <w:szCs w:val="32"/>
        </w:rPr>
        <w:t>效益</w:t>
      </w:r>
    </w:p>
    <w:p>
      <w:pPr>
        <w:pStyle w:val="6"/>
        <w:keepNext w:val="0"/>
        <w:keepLines w:val="0"/>
        <w:pageBreakBefore w:val="0"/>
        <w:kinsoku/>
        <w:wordWrap/>
        <w:topLinePunct w:val="0"/>
        <w:autoSpaceDE/>
        <w:autoSpaceDN/>
        <w:bidi w:val="0"/>
        <w:snapToGrid/>
        <w:spacing w:beforeLines="0" w:afterLines="0" w:line="550" w:lineRule="exact"/>
        <w:ind w:firstLine="643"/>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副中心工程办项目实施，不仅社会效益显著，环境效益也十分明显。坚持绿色建筑设计标准，绿色文明施工，提升绿色建筑品质。效</w:t>
      </w:r>
      <w:r>
        <w:rPr>
          <w:rFonts w:hint="eastAsia" w:ascii="仿宋_GB2312" w:hAnsi="仿宋_GB2312" w:eastAsia="仿宋_GB2312" w:cs="仿宋_GB2312"/>
          <w:sz w:val="32"/>
          <w:szCs w:val="32"/>
          <w:highlight w:val="none"/>
        </w:rPr>
        <w:t>路县故城遗址保护展示工程、安贞医院、友谊医院、首儿所等项目，积极落实绿色发展理念。</w:t>
      </w:r>
      <w:r>
        <w:rPr>
          <w:rFonts w:hint="eastAsia" w:ascii="仿宋_GB2312" w:hAnsi="宋体" w:eastAsia="仿宋_GB2312"/>
          <w:sz w:val="32"/>
          <w:szCs w:val="32"/>
          <w:highlight w:val="none"/>
        </w:rPr>
        <w:t>人民大学通州校区绿色建材使用比例达到30%以上，多数建筑主体结构均采用钢结构，部分建筑可再循环建材使用比例达15%以上。根据新校区内各项目绿色技术的应用情况，综合降碳潜力约为60%，平均每年减少二氧化碳排放贡献约2500吨。</w:t>
      </w:r>
      <w:r>
        <w:rPr>
          <w:rFonts w:hint="eastAsia" w:ascii="仿宋_GB2312" w:hAnsi="宋体" w:eastAsia="仿宋_GB2312"/>
          <w:sz w:val="32"/>
          <w:szCs w:val="32"/>
          <w:highlight w:val="none"/>
          <w:lang w:val="en-US" w:eastAsia="zh-CN"/>
        </w:rPr>
        <w:t>北京</w:t>
      </w:r>
      <w:r>
        <w:rPr>
          <w:rFonts w:hint="eastAsia" w:ascii="仿宋_GB2312" w:hAnsi="宋体" w:eastAsia="仿宋_GB2312"/>
          <w:sz w:val="32"/>
          <w:szCs w:val="32"/>
          <w:highlight w:val="none"/>
          <w:u w:val="none"/>
          <w:lang w:eastAsia="zh-CN"/>
        </w:rPr>
        <w:t>市首个中深层水</w:t>
      </w:r>
      <w:r>
        <w:rPr>
          <w:rFonts w:hint="eastAsia" w:ascii="仿宋_GB2312" w:hAnsi="宋体" w:eastAsia="仿宋_GB2312"/>
          <w:sz w:val="32"/>
          <w:szCs w:val="32"/>
          <w:highlight w:val="none"/>
          <w:u w:val="none"/>
          <w:lang w:val="en-US" w:eastAsia="zh-CN"/>
        </w:rPr>
        <w:t>热型地热供暖工程在0701项目试点启用，在全市首次应用了丛式钻井技术，全地下工艺、智能化管控等多项技术手段，项目年供暖能力35</w:t>
      </w:r>
      <w:r>
        <w:rPr>
          <w:rFonts w:hint="default" w:ascii="仿宋_GB2312" w:hAnsi="宋体" w:eastAsia="仿宋_GB2312"/>
          <w:sz w:val="32"/>
          <w:szCs w:val="32"/>
          <w:highlight w:val="none"/>
          <w:u w:val="none"/>
          <w:lang w:val="en-US" w:eastAsia="zh-CN"/>
        </w:rPr>
        <w:t>.</w:t>
      </w:r>
      <w:r>
        <w:rPr>
          <w:rFonts w:hint="eastAsia" w:ascii="仿宋_GB2312" w:hAnsi="宋体" w:eastAsia="仿宋_GB2312"/>
          <w:sz w:val="32"/>
          <w:szCs w:val="32"/>
          <w:highlight w:val="none"/>
          <w:u w:val="none"/>
          <w:lang w:val="en-US" w:eastAsia="zh-CN"/>
        </w:rPr>
        <w:t>3万</w:t>
      </w:r>
      <w:r>
        <w:rPr>
          <w:rFonts w:hint="default" w:ascii="Arial" w:hAnsi="Arial" w:eastAsia="仿宋_GB2312" w:cs="Arial"/>
          <w:sz w:val="32"/>
          <w:szCs w:val="32"/>
          <w:highlight w:val="none"/>
          <w:u w:val="none"/>
          <w:lang w:val="en-US" w:eastAsia="zh-CN"/>
        </w:rPr>
        <w:t>㎡</w:t>
      </w:r>
      <w:r>
        <w:rPr>
          <w:rFonts w:hint="eastAsia" w:ascii="仿宋_GB2312" w:hAnsi="宋体" w:eastAsia="仿宋_GB2312"/>
          <w:sz w:val="32"/>
          <w:szCs w:val="32"/>
          <w:highlight w:val="none"/>
          <w:u w:val="none"/>
          <w:lang w:val="en-US" w:eastAsia="zh-CN"/>
        </w:rPr>
        <w:t>，每年减排二氧化碳7650吨。</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4.可持续性影响</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eastAsia" w:ascii="仿宋_GB2312" w:hAnsi="宋体" w:eastAsia="仿宋_GB2312" w:cstheme="minorBidi"/>
          <w:kern w:val="2"/>
          <w:sz w:val="32"/>
          <w:szCs w:val="32"/>
          <w:highlight w:val="none"/>
          <w:lang w:val="en-US" w:eastAsia="zh-CN" w:bidi="ar-SA"/>
        </w:rPr>
      </w:pPr>
      <w:r>
        <w:rPr>
          <w:rFonts w:hint="eastAsia" w:ascii="仿宋_GB2312" w:hAnsi="仿宋" w:eastAsia="仿宋_GB2312"/>
          <w:sz w:val="32"/>
          <w:szCs w:val="32"/>
          <w:lang w:val="en-US" w:eastAsia="zh-CN"/>
        </w:rPr>
        <w:t>副中心工程办</w:t>
      </w:r>
      <w:r>
        <w:rPr>
          <w:rFonts w:hint="eastAsia" w:ascii="仿宋_GB2312" w:hAnsi="宋体" w:eastAsia="仿宋_GB2312" w:cstheme="minorBidi"/>
          <w:kern w:val="2"/>
          <w:sz w:val="32"/>
          <w:szCs w:val="32"/>
          <w:highlight w:val="none"/>
          <w:lang w:val="en-US" w:eastAsia="zh-CN" w:bidi="ar-SA"/>
        </w:rPr>
        <w:t>优化质量管控体系，持续提升功能品质。一是总结经验，高标准完成工程技术导则编制。5月正式发布</w:t>
      </w:r>
      <w:r>
        <w:rPr>
          <w:rFonts w:hint="eastAsia" w:ascii="仿宋_GB2312" w:hAnsi="宋体" w:eastAsia="仿宋_GB2312" w:cstheme="minorBidi"/>
          <w:kern w:val="2"/>
          <w:sz w:val="32"/>
          <w:szCs w:val="32"/>
          <w:highlight w:val="none"/>
          <w:lang w:val="zh-CN" w:eastAsia="zh-CN" w:bidi="ar-SA"/>
        </w:rPr>
        <w:t>《北京城市副中心行政办公区钢结构工程建设技术导则》。</w:t>
      </w:r>
      <w:r>
        <w:rPr>
          <w:rFonts w:hint="eastAsia" w:ascii="仿宋_GB2312" w:hAnsi="宋体" w:eastAsia="仿宋_GB2312" w:cstheme="minorBidi"/>
          <w:kern w:val="2"/>
          <w:sz w:val="32"/>
          <w:szCs w:val="32"/>
          <w:highlight w:val="none"/>
          <w:lang w:val="en-US" w:eastAsia="zh-CN" w:bidi="ar-SA"/>
        </w:rPr>
        <w:t>二是多级检查，持续推动质量责任落实。对行政办公区二期工程、C1、C2改造工程及A4-D楼装修改扩建工程等开展日常巡查、重点抽查和联合检查。三是创先争优，高水平推进工程竣工验收。印发《北京城市副中心行政办公区二期工程竣工验收工作实施方案》，明确各参建单位职责，确定了各专项检测、分部验收、专项验收、竣工验收内容及资料清单。</w:t>
      </w:r>
      <w:r>
        <w:rPr>
          <w:rFonts w:hint="eastAsia" w:ascii="仿宋_GB2312" w:hAnsi="宋体" w:eastAsia="仿宋_GB2312" w:cstheme="minorBidi"/>
          <w:kern w:val="2"/>
          <w:sz w:val="32"/>
          <w:szCs w:val="32"/>
          <w:highlight w:val="none"/>
          <w:lang w:val="en" w:eastAsia="zh-CN" w:bidi="ar-SA"/>
        </w:rPr>
        <w:t>四是推行优化设计和限额施工，降低投资成本。</w:t>
      </w:r>
      <w:r>
        <w:rPr>
          <w:rFonts w:hint="eastAsia" w:ascii="仿宋_GB2312" w:hAnsi="宋体" w:eastAsia="仿宋_GB2312" w:cstheme="minorBidi"/>
          <w:kern w:val="2"/>
          <w:sz w:val="32"/>
          <w:szCs w:val="32"/>
          <w:highlight w:val="none"/>
          <w:lang w:val="en-US" w:eastAsia="zh-CN" w:bidi="ar-SA"/>
        </w:rPr>
        <w:t>督促协调项目建设单位坚决执行限额设计、限额施工。</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rPr>
          <w:rFonts w:ascii="黑体" w:hAnsi="黑体" w:eastAsia="黑体"/>
          <w:sz w:val="32"/>
          <w:szCs w:val="32"/>
        </w:rPr>
      </w:pPr>
      <w:r>
        <w:rPr>
          <w:rFonts w:hint="eastAsia" w:ascii="仿宋_GB2312" w:hAnsi="宋体" w:eastAsia="仿宋_GB2312" w:cs="宋体"/>
          <w:b/>
          <w:bCs/>
          <w:color w:val="000000"/>
          <w:kern w:val="0"/>
          <w:sz w:val="32"/>
          <w:szCs w:val="32"/>
        </w:rPr>
        <w:t>5.服务对象</w:t>
      </w:r>
      <w:r>
        <w:rPr>
          <w:rFonts w:ascii="仿宋_GB2312" w:hAnsi="宋体" w:eastAsia="仿宋_GB2312" w:cs="宋体"/>
          <w:b/>
          <w:bCs/>
          <w:color w:val="000000"/>
          <w:kern w:val="0"/>
          <w:sz w:val="32"/>
          <w:szCs w:val="32"/>
        </w:rPr>
        <w:t>满意度</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北京城市副中心工程建设管理办公室坚决贯彻市委市政府的决策部署，全面落实北京城市副中心控规，高质量推进副中心规划建设，全力以赴促开工、督进度、保竣工，持续抓好重大项目协调推进，受到上级领导和接收单位的好评。从满意度调查情况看，服务对象满意达到95%以上。</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baseline"/>
        <w:outlineLvl w:val="0"/>
        <w:rPr>
          <w:rFonts w:ascii="黑体" w:hAnsi="黑体" w:eastAsia="黑体"/>
          <w:sz w:val="32"/>
          <w:szCs w:val="32"/>
        </w:rPr>
      </w:pPr>
      <w:bookmarkStart w:id="32" w:name="_Toc4480"/>
      <w:bookmarkStart w:id="33" w:name="_Toc28601"/>
      <w:bookmarkStart w:id="34" w:name="_Toc6982"/>
      <w:bookmarkStart w:id="35" w:name="_Toc21355"/>
      <w:r>
        <w:rPr>
          <w:rFonts w:hint="eastAsia" w:ascii="黑体" w:hAnsi="黑体" w:eastAsia="黑体"/>
          <w:sz w:val="32"/>
          <w:szCs w:val="32"/>
        </w:rPr>
        <w:t>四、预算管理情况分析</w:t>
      </w:r>
      <w:bookmarkEnd w:id="32"/>
      <w:bookmarkEnd w:id="33"/>
      <w:bookmarkEnd w:id="34"/>
      <w:bookmarkEnd w:id="35"/>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outlineLvl w:val="1"/>
        <w:rPr>
          <w:rFonts w:ascii="楷体_GB2312" w:eastAsia="楷体_GB2312"/>
          <w:b/>
          <w:bCs/>
          <w:sz w:val="32"/>
          <w:szCs w:val="32"/>
        </w:rPr>
      </w:pPr>
      <w:bookmarkStart w:id="36" w:name="_Toc31386"/>
      <w:bookmarkStart w:id="37" w:name="_Toc19727"/>
      <w:bookmarkStart w:id="38" w:name="_Toc16709"/>
      <w:bookmarkStart w:id="39" w:name="_Toc27131"/>
      <w:r>
        <w:rPr>
          <w:rFonts w:hint="eastAsia" w:ascii="楷体_GB2312" w:eastAsia="楷体_GB2312"/>
          <w:b/>
          <w:bCs/>
          <w:sz w:val="32"/>
          <w:szCs w:val="32"/>
        </w:rPr>
        <w:t>（一）财务管理</w:t>
      </w:r>
      <w:bookmarkEnd w:id="36"/>
      <w:bookmarkEnd w:id="37"/>
      <w:bookmarkEnd w:id="38"/>
      <w:bookmarkEnd w:id="39"/>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rPr>
          <w:rFonts w:ascii="仿宋_GB2312" w:eastAsia="仿宋_GB2312"/>
          <w:b/>
          <w:bCs/>
          <w:sz w:val="32"/>
          <w:szCs w:val="32"/>
        </w:rPr>
      </w:pPr>
      <w:r>
        <w:rPr>
          <w:rFonts w:hint="eastAsia" w:ascii="仿宋_GB2312" w:eastAsia="仿宋_GB2312"/>
          <w:b/>
          <w:bCs/>
          <w:sz w:val="32"/>
          <w:szCs w:val="32"/>
        </w:rPr>
        <w:t>1.财务</w:t>
      </w:r>
      <w:r>
        <w:rPr>
          <w:rFonts w:hint="eastAsia" w:ascii="仿宋_GB2312" w:eastAsia="仿宋_GB2312"/>
          <w:b/>
          <w:bCs/>
          <w:sz w:val="32"/>
          <w:szCs w:val="32"/>
          <w:lang w:val="en-US" w:eastAsia="zh-CN"/>
        </w:rPr>
        <w:t>管理</w:t>
      </w:r>
      <w:r>
        <w:rPr>
          <w:rFonts w:hint="eastAsia" w:ascii="仿宋_GB2312" w:eastAsia="仿宋_GB2312"/>
          <w:b/>
          <w:bCs/>
          <w:sz w:val="32"/>
          <w:szCs w:val="32"/>
        </w:rPr>
        <w:t>制度健全性</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为加强内控管理，副中心工程办2023年召开内控风险评估小组工作会10次，内控领导小组专题会3次，上报临时党委会审议3次。按照现行政策及副中心工程办工作实际，修订了《北京城市副中心工程建设管理办公室内部控制手册》并印发各部门，为相关工作和巡视组提供了工作参考。认真落实《北京城市副中心工程建设管理办公室内部控制落实情况监督检查方案》，从制度执行、预算执行及资金支付、重要事项落实、重点风险事项、风险岗位梳理等情况定期开展部门内部监督自查，强化部门内部控制管理。</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rPr>
          <w:rFonts w:hint="default" w:ascii="仿宋_GB2312" w:hAnsi="仿宋" w:eastAsia="仿宋_GB2312"/>
          <w:b/>
          <w:bCs/>
          <w:sz w:val="32"/>
          <w:szCs w:val="32"/>
          <w:lang w:val="en-US" w:eastAsia="zh-CN"/>
        </w:rPr>
      </w:pPr>
      <w:r>
        <w:rPr>
          <w:rFonts w:hint="eastAsia" w:ascii="仿宋_GB2312" w:hAnsi="仿宋" w:eastAsia="仿宋_GB2312"/>
          <w:b/>
          <w:bCs/>
          <w:sz w:val="32"/>
          <w:szCs w:val="32"/>
        </w:rPr>
        <w:t>2.资金使用合规性</w:t>
      </w:r>
      <w:r>
        <w:rPr>
          <w:rFonts w:hint="eastAsia" w:ascii="仿宋_GB2312" w:hAnsi="仿宋" w:eastAsia="仿宋_GB2312"/>
          <w:b/>
          <w:bCs/>
          <w:sz w:val="32"/>
          <w:szCs w:val="32"/>
          <w:lang w:val="en-US" w:eastAsia="zh-CN"/>
        </w:rPr>
        <w:t>和安全性</w:t>
      </w:r>
    </w:p>
    <w:p>
      <w:pPr>
        <w:keepNext w:val="0"/>
        <w:keepLines w:val="0"/>
        <w:pageBreakBefore w:val="0"/>
        <w:widowControl/>
        <w:suppressLineNumbers w:val="0"/>
        <w:kinsoku/>
        <w:wordWrap/>
        <w:overflowPunct/>
        <w:topLinePunct w:val="0"/>
        <w:autoSpaceDE/>
        <w:autoSpaceDN/>
        <w:bidi w:val="0"/>
        <w:adjustRightInd w:val="0"/>
        <w:snapToGrid w:val="0"/>
        <w:spacing w:line="580" w:lineRule="atLeas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eastAsia="仿宋_GB2312" w:cs="Times New Roman"/>
          <w:color w:val="auto"/>
          <w:sz w:val="32"/>
          <w:szCs w:val="32"/>
          <w:highlight w:val="none"/>
          <w:lang w:val="en-US" w:eastAsia="zh-CN"/>
        </w:rPr>
        <w:t>实行统一领导、分级管理、授权审批的预算管理体制，确保资金使用合规和安全。认真落实预算、采购、资产、工程、合同等管理制度，严格资金支付审核，要求主责部门遵循“先审后批”原则，按要求填写资金申领单据，加强信息核对，履行审批程序，确保资金使用规范有序、资金拨付准确及时；加强资金跟踪监管，设立资金支付台帐，监督各项目资金使用及支出进度，动态监控项目余额，避免资金超付现象。持续做好资金监管，签订资金监管协议，保障资金安全高效使用。以内审为手段，检查工程结算资料的完整合规，确保工程资料与工程进度同步规范归集，提高工程建设管理水平；以预审计为前提，为结算工作“量好尺、把好关”，构建了工程办整体财务管理以及竣工决算工作立体管理体系。</w:t>
      </w:r>
      <w:r>
        <w:rPr>
          <w:rFonts w:hint="eastAsia" w:ascii="仿宋_GB2312" w:hAnsi="仿宋_GB2312" w:eastAsia="仿宋_GB2312" w:cs="仿宋_GB2312"/>
          <w:color w:val="auto"/>
          <w:sz w:val="32"/>
          <w:szCs w:val="32"/>
          <w:highlight w:val="none"/>
          <w:lang w:val="en-US" w:eastAsia="zh-CN"/>
        </w:rPr>
        <w:t>截至2023年12月，累计审核进度款（不含信息化）197期，审核金额21.27亿元。其中，一期及配套工程共审核进度款82期，审核金额6.41亿元；二期工程共审核进度款115期，审核金额14.86亿元，有效提高了结算工作质量和效率。</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rPr>
          <w:rFonts w:ascii="仿宋_GB2312" w:hAnsi="仿宋_GB2312" w:eastAsia="仿宋_GB2312" w:cs="仿宋_GB2312"/>
          <w:b/>
          <w:bCs/>
          <w:sz w:val="32"/>
          <w:szCs w:val="32"/>
          <w:highlight w:val="none"/>
        </w:rPr>
      </w:pPr>
      <w:r>
        <w:rPr>
          <w:rFonts w:hint="eastAsia" w:ascii="仿宋_GB2312" w:eastAsia="仿宋_GB2312"/>
          <w:b/>
          <w:bCs/>
          <w:sz w:val="32"/>
          <w:szCs w:val="32"/>
          <w:highlight w:val="none"/>
        </w:rPr>
        <w:t>3.</w:t>
      </w:r>
      <w:r>
        <w:rPr>
          <w:rFonts w:hint="eastAsia" w:ascii="仿宋_GB2312" w:hAnsi="仿宋_GB2312" w:eastAsia="仿宋_GB2312" w:cs="仿宋_GB2312"/>
          <w:b/>
          <w:bCs/>
          <w:sz w:val="32"/>
          <w:szCs w:val="32"/>
          <w:highlight w:val="none"/>
          <w:lang w:val="en-US" w:eastAsia="zh-CN"/>
        </w:rPr>
        <w:t>经费保障及时</w:t>
      </w:r>
      <w:r>
        <w:rPr>
          <w:rFonts w:hint="eastAsia" w:ascii="仿宋_GB2312" w:hAnsi="仿宋_GB2312" w:eastAsia="仿宋_GB2312" w:cs="仿宋_GB2312"/>
          <w:b/>
          <w:bCs/>
          <w:sz w:val="32"/>
          <w:szCs w:val="32"/>
          <w:highlight w:val="none"/>
        </w:rPr>
        <w:t>性</w:t>
      </w:r>
    </w:p>
    <w:p>
      <w:pPr>
        <w:keepNext w:val="0"/>
        <w:keepLines w:val="0"/>
        <w:pageBreakBefore w:val="0"/>
        <w:kinsoku/>
        <w:wordWrap/>
        <w:overflowPunct/>
        <w:topLinePunct w:val="0"/>
        <w:autoSpaceDE/>
        <w:autoSpaceDN/>
        <w:bidi w:val="0"/>
        <w:adjustRightInd/>
        <w:snapToGrid/>
        <w:spacing w:beforeLines="0" w:afterLines="0" w:line="550" w:lineRule="exact"/>
        <w:ind w:firstLine="640" w:firstLineChars="200"/>
        <w:rPr>
          <w:rFonts w:hint="eastAsia" w:ascii="仿宋_GB2312" w:hAnsi="仿宋" w:eastAsia="仿宋_GB2312"/>
          <w:sz w:val="32"/>
          <w:szCs w:val="32"/>
          <w:lang w:val="en-US" w:eastAsia="zh-CN"/>
        </w:rPr>
      </w:pPr>
      <w:bookmarkStart w:id="40" w:name="_Toc24440"/>
      <w:bookmarkStart w:id="41" w:name="_Toc5950"/>
      <w:bookmarkStart w:id="42" w:name="_Toc16450"/>
      <w:bookmarkStart w:id="43" w:name="_Toc12409"/>
      <w:r>
        <w:rPr>
          <w:rFonts w:hint="eastAsia" w:ascii="仿宋_GB2312" w:hAnsi="仿宋" w:eastAsia="仿宋_GB2312"/>
          <w:sz w:val="32"/>
          <w:szCs w:val="32"/>
          <w:highlight w:val="none"/>
          <w:lang w:val="en-US" w:eastAsia="zh-CN"/>
        </w:rPr>
        <w:t>副中心工程办2023年到位财政资金331564.08万元，其中：建设资金共280814.33万元，部门预算资金50749.75万元。财务审计部按工程进度有序拨</w:t>
      </w:r>
      <w:r>
        <w:rPr>
          <w:rFonts w:hint="eastAsia" w:ascii="仿宋_GB2312" w:hAnsi="仿宋" w:eastAsia="仿宋_GB2312"/>
          <w:sz w:val="32"/>
          <w:szCs w:val="32"/>
          <w:lang w:val="en-US" w:eastAsia="zh-CN"/>
        </w:rPr>
        <w:t>付。在收到支付申请后第一时间审查、对发现的问题及时退回主责部进行修改，认真核对汇总。同时与施工企业核对信息，联系主责部门填写资金申领单据，确保资金拨付准确，及时</w:t>
      </w:r>
      <w:r>
        <w:rPr>
          <w:rFonts w:hint="eastAsia" w:ascii="仿宋_GB2312" w:hAnsi="仿宋" w:eastAsia="仿宋_GB2312"/>
          <w:sz w:val="32"/>
          <w:szCs w:val="32"/>
          <w:highlight w:val="none"/>
          <w:lang w:val="en-US" w:eastAsia="zh-CN"/>
        </w:rPr>
        <w:t>与市发展改革委密切对接A5房建项目、立项一包、二包、三包等10个项目决算评审，加快推进</w:t>
      </w:r>
      <w:r>
        <w:rPr>
          <w:rFonts w:hint="eastAsia" w:ascii="仿宋_GB2312" w:hAnsi="仿宋" w:eastAsia="仿宋_GB2312"/>
          <w:sz w:val="32"/>
          <w:szCs w:val="32"/>
          <w:lang w:val="en-US" w:eastAsia="zh-CN"/>
        </w:rPr>
        <w:t>评审工作顺利进行。启动二期决算编制服务单位招采工作，为做好二期项目决算编制准备工作。</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rPr>
          <w:rFonts w:ascii="仿宋_GB2312" w:hAnsi="仿宋_GB2312" w:eastAsia="仿宋_GB2312" w:cs="仿宋_GB2312"/>
          <w:b/>
          <w:sz w:val="32"/>
        </w:rPr>
      </w:pPr>
      <w:r>
        <w:rPr>
          <w:rFonts w:hint="eastAsia" w:ascii="仿宋_GB2312" w:hAnsi="仿宋_GB2312" w:eastAsia="仿宋_GB2312" w:cs="仿宋_GB2312"/>
          <w:b/>
          <w:sz w:val="32"/>
          <w:lang w:val="en-US" w:eastAsia="zh-CN"/>
        </w:rPr>
        <w:t>4</w:t>
      </w:r>
      <w:r>
        <w:rPr>
          <w:rFonts w:ascii="仿宋_GB2312" w:hAnsi="仿宋_GB2312" w:eastAsia="仿宋_GB2312" w:cs="仿宋_GB2312"/>
          <w:b/>
          <w:sz w:val="32"/>
        </w:rPr>
        <w:t>.会计基础信息完善性</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按照会计核算办法要求，认真做好</w:t>
      </w:r>
      <w:r>
        <w:rPr>
          <w:rFonts w:ascii="仿宋_GB2312" w:hAnsi="仿宋_GB2312" w:eastAsia="仿宋_GB2312" w:cs="仿宋_GB2312"/>
          <w:sz w:val="32"/>
        </w:rPr>
        <w:t>会计基础信息</w:t>
      </w:r>
      <w:r>
        <w:rPr>
          <w:rFonts w:hint="eastAsia" w:ascii="仿宋_GB2312" w:hAnsi="仿宋_GB2312" w:eastAsia="仿宋_GB2312" w:cs="仿宋_GB2312"/>
          <w:sz w:val="32"/>
          <w:lang w:val="en-US" w:eastAsia="zh-CN"/>
        </w:rPr>
        <w:t>的建立完善工作</w:t>
      </w:r>
      <w:r>
        <w:rPr>
          <w:rFonts w:ascii="仿宋_GB2312" w:hAnsi="仿宋_GB2312" w:eastAsia="仿宋_GB2312" w:cs="仿宋_GB2312"/>
          <w:sz w:val="32"/>
        </w:rPr>
        <w:t>。绩效评价中查阅了</w:t>
      </w:r>
      <w:r>
        <w:rPr>
          <w:rFonts w:hint="eastAsia" w:ascii="仿宋_GB2312" w:hAnsi="仿宋_GB2312" w:eastAsia="仿宋_GB2312" w:cs="仿宋_GB2312"/>
          <w:sz w:val="32"/>
          <w:lang w:val="en-US" w:eastAsia="zh-CN"/>
        </w:rPr>
        <w:t>财务部门</w:t>
      </w:r>
      <w:r>
        <w:rPr>
          <w:rFonts w:ascii="仿宋_GB2312" w:hAnsi="仿宋_GB2312" w:eastAsia="仿宋_GB2312" w:cs="仿宋_GB2312"/>
          <w:sz w:val="32"/>
        </w:rPr>
        <w:t>的会计账套、202</w:t>
      </w:r>
      <w:r>
        <w:rPr>
          <w:rFonts w:hint="eastAsia" w:ascii="仿宋_GB2312" w:hAnsi="仿宋_GB2312" w:eastAsia="仿宋_GB2312" w:cs="仿宋_GB2312"/>
          <w:sz w:val="32"/>
          <w:lang w:val="en-US" w:eastAsia="zh-CN"/>
        </w:rPr>
        <w:t>3</w:t>
      </w:r>
      <w:r>
        <w:rPr>
          <w:rFonts w:ascii="仿宋_GB2312" w:hAnsi="仿宋_GB2312" w:eastAsia="仿宋_GB2312" w:cs="仿宋_GB2312"/>
          <w:sz w:val="32"/>
        </w:rPr>
        <w:t>年部门决算、202</w:t>
      </w:r>
      <w:r>
        <w:rPr>
          <w:rFonts w:hint="eastAsia" w:ascii="仿宋_GB2312" w:hAnsi="仿宋_GB2312" w:eastAsia="仿宋_GB2312" w:cs="仿宋_GB2312"/>
          <w:sz w:val="32"/>
          <w:lang w:val="en-US" w:eastAsia="zh-CN"/>
        </w:rPr>
        <w:t>3</w:t>
      </w:r>
      <w:r>
        <w:rPr>
          <w:rFonts w:ascii="仿宋_GB2312" w:hAnsi="仿宋_GB2312" w:eastAsia="仿宋_GB2312" w:cs="仿宋_GB2312"/>
          <w:sz w:val="32"/>
        </w:rPr>
        <w:t>年财务报告，以及重点项目的记账凭证等会计基础信息资料。</w:t>
      </w:r>
      <w:r>
        <w:rPr>
          <w:rFonts w:hint="eastAsia" w:ascii="仿宋_GB2312" w:hAnsi="仿宋_GB2312" w:eastAsia="仿宋_GB2312" w:cs="仿宋_GB2312"/>
          <w:sz w:val="32"/>
          <w:lang w:val="en-US" w:eastAsia="zh-CN"/>
        </w:rPr>
        <w:t>财务部门</w:t>
      </w:r>
      <w:r>
        <w:rPr>
          <w:rFonts w:ascii="仿宋_GB2312" w:hAnsi="仿宋_GB2312" w:eastAsia="仿宋_GB2312" w:cs="仿宋_GB2312"/>
          <w:sz w:val="32"/>
        </w:rPr>
        <w:t>会计记账账套数据清晰、完善，账目记载准确，</w:t>
      </w:r>
      <w:r>
        <w:rPr>
          <w:rFonts w:hint="eastAsia" w:ascii="仿宋_GB2312" w:hAnsi="仿宋_GB2312" w:eastAsia="仿宋_GB2312" w:cs="仿宋_GB2312"/>
          <w:sz w:val="32"/>
          <w:lang w:val="en-US" w:eastAsia="zh-CN"/>
        </w:rPr>
        <w:t>账簿和会计报表勾稽关系相互对应，</w:t>
      </w:r>
      <w:r>
        <w:rPr>
          <w:rFonts w:ascii="仿宋_GB2312" w:hAnsi="仿宋_GB2312" w:eastAsia="仿宋_GB2312" w:cs="仿宋_GB2312"/>
          <w:sz w:val="32"/>
        </w:rPr>
        <w:t>决算报表和财务报告符合要求，报销附件规范，原始凭证要素齐全。为做好预算管理、绩效管理提供了真实、完整的基础信息资料。</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outlineLvl w:val="1"/>
        <w:rPr>
          <w:rFonts w:hint="eastAsia" w:ascii="楷体_GB2312" w:eastAsia="楷体_GB2312"/>
          <w:b/>
          <w:bCs/>
          <w:sz w:val="32"/>
          <w:szCs w:val="32"/>
          <w:lang w:val="en-US" w:eastAsia="zh-CN"/>
        </w:rPr>
      </w:pPr>
      <w:r>
        <w:rPr>
          <w:rFonts w:hint="eastAsia" w:ascii="楷体_GB2312" w:eastAsia="楷体_GB2312"/>
          <w:b/>
          <w:bCs/>
          <w:sz w:val="32"/>
          <w:szCs w:val="32"/>
          <w:lang w:val="en-US" w:eastAsia="zh-CN"/>
        </w:rPr>
        <w:t>（二）资产管理</w:t>
      </w:r>
      <w:bookmarkEnd w:id="40"/>
      <w:bookmarkEnd w:id="41"/>
      <w:bookmarkEnd w:id="42"/>
      <w:bookmarkEnd w:id="43"/>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ascii="仿宋_GB2312" w:hAnsi="仿宋_GB2312" w:eastAsia="仿宋_GB2312" w:cs="仿宋_GB2312"/>
          <w:sz w:val="32"/>
        </w:rPr>
      </w:pPr>
      <w:bookmarkStart w:id="44" w:name="_Toc18561"/>
      <w:bookmarkStart w:id="45" w:name="_Toc11768"/>
      <w:bookmarkStart w:id="46" w:name="_Toc14210"/>
      <w:bookmarkStart w:id="47" w:name="_Toc23561"/>
      <w:r>
        <w:rPr>
          <w:rFonts w:hint="eastAsia" w:ascii="仿宋_GB2312" w:hAnsi="仿宋_GB2312" w:eastAsia="仿宋_GB2312" w:cs="仿宋_GB2312"/>
          <w:sz w:val="32"/>
        </w:rPr>
        <w:t>截至202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年12月31日，</w:t>
      </w:r>
      <w:r>
        <w:rPr>
          <w:rFonts w:hint="eastAsia" w:ascii="仿宋_GB2312" w:hAnsi="仿宋_GB2312" w:eastAsia="仿宋_GB2312" w:cs="仿宋_GB2312"/>
          <w:sz w:val="32"/>
          <w:lang w:val="en-US" w:eastAsia="zh-CN"/>
        </w:rPr>
        <w:t>副中心工程办</w:t>
      </w:r>
      <w:r>
        <w:rPr>
          <w:rFonts w:hint="eastAsia" w:ascii="仿宋_GB2312" w:hAnsi="仿宋_GB2312" w:eastAsia="仿宋_GB2312" w:cs="仿宋_GB2312"/>
          <w:sz w:val="32"/>
        </w:rPr>
        <w:t>资产总额</w:t>
      </w:r>
      <w:r>
        <w:rPr>
          <w:rFonts w:hint="eastAsia" w:ascii="仿宋_GB2312" w:hAnsi="仿宋_GB2312" w:eastAsia="仿宋_GB2312" w:cs="仿宋_GB2312"/>
          <w:sz w:val="32"/>
          <w:lang w:val="en"/>
        </w:rPr>
        <w:t>2624146</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lang w:val="en"/>
        </w:rPr>
        <w:t>1</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万元，其中包括流动资产</w:t>
      </w:r>
      <w:r>
        <w:rPr>
          <w:rFonts w:hint="eastAsia" w:ascii="仿宋_GB2312" w:hAnsi="仿宋_GB2312" w:eastAsia="仿宋_GB2312" w:cs="仿宋_GB2312"/>
          <w:sz w:val="32"/>
          <w:lang w:val="en"/>
        </w:rPr>
        <w:t>39091</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lang w:val="en"/>
        </w:rPr>
        <w:t>45</w:t>
      </w:r>
      <w:r>
        <w:rPr>
          <w:rFonts w:hint="eastAsia" w:ascii="仿宋_GB2312" w:hAnsi="仿宋_GB2312" w:eastAsia="仿宋_GB2312" w:cs="仿宋_GB2312"/>
          <w:sz w:val="32"/>
        </w:rPr>
        <w:t>万元，非流动资产</w:t>
      </w:r>
      <w:r>
        <w:rPr>
          <w:rFonts w:hint="eastAsia" w:ascii="仿宋_GB2312" w:hAnsi="仿宋_GB2312" w:eastAsia="仿宋_GB2312" w:cs="仿宋_GB2312"/>
          <w:sz w:val="32"/>
          <w:lang w:val="en"/>
        </w:rPr>
        <w:t>2585054</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lang w:val="en"/>
        </w:rPr>
        <w:t>7</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万元。非流动资产包括固定资产净值</w:t>
      </w:r>
      <w:r>
        <w:rPr>
          <w:rFonts w:hint="eastAsia" w:ascii="仿宋_GB2312" w:hAnsi="仿宋_GB2312" w:eastAsia="仿宋_GB2312" w:cs="仿宋_GB2312"/>
          <w:sz w:val="32"/>
          <w:lang w:val="en"/>
        </w:rPr>
        <w:t>1375398</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lang w:val="en"/>
        </w:rPr>
        <w:t>00</w:t>
      </w:r>
      <w:r>
        <w:rPr>
          <w:rFonts w:hint="eastAsia" w:ascii="仿宋_GB2312" w:hAnsi="仿宋_GB2312" w:eastAsia="仿宋_GB2312" w:cs="仿宋_GB2312"/>
          <w:sz w:val="32"/>
        </w:rPr>
        <w:t>万元</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在建工程</w:t>
      </w:r>
      <w:r>
        <w:rPr>
          <w:rFonts w:hint="eastAsia" w:ascii="仿宋_GB2312" w:hAnsi="仿宋_GB2312" w:eastAsia="仿宋_GB2312" w:cs="仿宋_GB2312"/>
          <w:sz w:val="32"/>
          <w:lang w:val="en"/>
        </w:rPr>
        <w:t>1209416</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lang w:val="en"/>
        </w:rPr>
        <w:t>41</w:t>
      </w:r>
      <w:r>
        <w:rPr>
          <w:rFonts w:hint="eastAsia" w:ascii="仿宋_GB2312" w:hAnsi="仿宋_GB2312" w:eastAsia="仿宋_GB2312" w:cs="仿宋_GB2312"/>
          <w:sz w:val="32"/>
        </w:rPr>
        <w:t>万元</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无形资产净值</w:t>
      </w:r>
      <w:r>
        <w:rPr>
          <w:rFonts w:hint="eastAsia" w:ascii="仿宋_GB2312" w:hAnsi="仿宋_GB2312" w:eastAsia="仿宋_GB2312" w:cs="仿宋_GB2312"/>
          <w:sz w:val="32"/>
          <w:lang w:val="en"/>
        </w:rPr>
        <w:t>240</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lang w:val="en"/>
        </w:rPr>
        <w:t>31</w:t>
      </w:r>
      <w:r>
        <w:rPr>
          <w:rFonts w:hint="eastAsia" w:ascii="仿宋_GB2312" w:hAnsi="仿宋_GB2312" w:eastAsia="仿宋_GB2312" w:cs="仿宋_GB2312"/>
          <w:sz w:val="32"/>
        </w:rPr>
        <w:t>万元。</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rPr>
        <w:t>资产管理</w:t>
      </w:r>
      <w:r>
        <w:rPr>
          <w:rFonts w:hint="eastAsia" w:ascii="仿宋_GB2312" w:hAnsi="仿宋" w:eastAsia="仿宋_GB2312"/>
          <w:sz w:val="32"/>
          <w:szCs w:val="32"/>
          <w:highlight w:val="none"/>
          <w:lang w:val="en-US" w:eastAsia="zh-CN"/>
        </w:rPr>
        <w:t>实行</w:t>
      </w:r>
      <w:r>
        <w:rPr>
          <w:rFonts w:hint="eastAsia" w:ascii="仿宋_GB2312" w:hAnsi="仿宋" w:eastAsia="仿宋_GB2312"/>
          <w:sz w:val="32"/>
          <w:szCs w:val="32"/>
          <w:highlight w:val="none"/>
        </w:rPr>
        <w:t>统一政策、统一领导、分级管理、职责到部到人、物尽其用的原则。综合部负责对单位资产管理进行指导和监督，对纳入政府采购范围的资产按规定购置</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负责本单位资产的分配、清查，以及资产使用、维护过程中的监督工作。各部门确定专人负责资产的日常管理工作，包括资产的登记、统计、维护、保管等。财务部门</w:t>
      </w:r>
      <w:r>
        <w:rPr>
          <w:rFonts w:hint="eastAsia" w:ascii="仿宋_GB2312" w:hAnsi="仿宋" w:eastAsia="仿宋_GB2312"/>
          <w:sz w:val="32"/>
          <w:szCs w:val="32"/>
          <w:highlight w:val="none"/>
          <w:lang w:val="en-US" w:eastAsia="zh-CN"/>
        </w:rPr>
        <w:t>负责资产</w:t>
      </w:r>
      <w:r>
        <w:rPr>
          <w:rFonts w:hint="eastAsia" w:ascii="仿宋_GB2312" w:hAnsi="仿宋" w:eastAsia="仿宋_GB2312"/>
          <w:sz w:val="32"/>
          <w:szCs w:val="32"/>
          <w:highlight w:val="none"/>
        </w:rPr>
        <w:t>价值核算，综合部门设置专人进行资产实物卡片管理及使用状况监督。资产采购根据合同、供应商发货单等对所购资产的品种、规格、数量、质量、技术要求及其他资料进行验收</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未通过验收的不合格资产不得接收。</w:t>
      </w:r>
      <w:r>
        <w:rPr>
          <w:rFonts w:hint="eastAsia" w:ascii="仿宋_GB2312" w:eastAsia="仿宋_GB2312"/>
          <w:color w:val="000000"/>
          <w:sz w:val="32"/>
          <w:szCs w:val="32"/>
        </w:rPr>
        <w:t>科学合理做好资产配置，加强资产的日常管理维护，充分发挥资产在单位履行职能方面的物质基础作用</w:t>
      </w:r>
      <w:r>
        <w:rPr>
          <w:rFonts w:hint="eastAsia" w:ascii="仿宋_GB2312" w:eastAsia="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outlineLvl w:val="1"/>
        <w:rPr>
          <w:rFonts w:ascii="楷体_GB2312" w:eastAsia="楷体_GB2312"/>
          <w:b/>
          <w:bCs/>
          <w:sz w:val="32"/>
          <w:szCs w:val="32"/>
        </w:rPr>
      </w:pPr>
      <w:r>
        <w:rPr>
          <w:rFonts w:hint="eastAsia" w:ascii="楷体_GB2312" w:eastAsia="楷体_GB2312"/>
          <w:b/>
          <w:bCs/>
          <w:sz w:val="32"/>
          <w:szCs w:val="32"/>
        </w:rPr>
        <w:t>（三）绩效管理</w:t>
      </w:r>
      <w:bookmarkEnd w:id="44"/>
      <w:bookmarkEnd w:id="45"/>
      <w:bookmarkEnd w:id="46"/>
      <w:bookmarkEnd w:id="47"/>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eastAsia" w:ascii="仿宋_GB2312" w:hAnsi="仿宋" w:eastAsia="仿宋_GB2312"/>
          <w:sz w:val="32"/>
          <w:szCs w:val="32"/>
          <w:lang w:val="en-US" w:eastAsia="zh-CN"/>
        </w:rPr>
      </w:pPr>
      <w:bookmarkStart w:id="48" w:name="_Toc9710"/>
      <w:bookmarkStart w:id="49" w:name="_Toc26533"/>
      <w:bookmarkStart w:id="50" w:name="_Toc5157"/>
      <w:bookmarkStart w:id="51" w:name="_Toc5586"/>
      <w:r>
        <w:rPr>
          <w:rFonts w:hint="eastAsia" w:ascii="仿宋_GB2312" w:hAnsi="仿宋" w:eastAsia="仿宋_GB2312"/>
          <w:sz w:val="32"/>
          <w:szCs w:val="32"/>
          <w:lang w:val="en-US" w:eastAsia="zh-CN"/>
        </w:rPr>
        <w:t>副中心工程办高度重视预算绩效管理工作，按照全面实施预算绩效</w:t>
      </w:r>
      <w:r>
        <w:rPr>
          <w:rFonts w:hint="eastAsia" w:ascii="仿宋_GB2312" w:hAnsi="仿宋" w:eastAsia="仿宋_GB2312"/>
          <w:sz w:val="32"/>
          <w:szCs w:val="32"/>
        </w:rPr>
        <w:t>管理</w:t>
      </w:r>
      <w:r>
        <w:rPr>
          <w:rFonts w:hint="eastAsia" w:ascii="仿宋_GB2312" w:hAnsi="仿宋" w:eastAsia="仿宋_GB2312"/>
          <w:sz w:val="32"/>
          <w:szCs w:val="32"/>
          <w:lang w:val="en-US" w:eastAsia="zh-CN"/>
        </w:rPr>
        <w:t>要求</w:t>
      </w:r>
      <w:r>
        <w:rPr>
          <w:rFonts w:hint="eastAsia" w:ascii="仿宋_GB2312" w:hAnsi="仿宋" w:eastAsia="仿宋_GB2312"/>
          <w:sz w:val="32"/>
          <w:szCs w:val="32"/>
        </w:rPr>
        <w:t>，</w:t>
      </w:r>
      <w:r>
        <w:rPr>
          <w:rFonts w:hint="eastAsia" w:ascii="仿宋_GB2312" w:hAnsi="仿宋" w:eastAsia="仿宋_GB2312"/>
          <w:sz w:val="32"/>
          <w:szCs w:val="32"/>
          <w:lang w:val="en-US" w:eastAsia="zh-CN"/>
        </w:rPr>
        <w:t>将绩效理念融入预算编制、执行、监控全过程，实现预算与绩效有机融合，着力构建绩效目标管理、事前绩效评估、绩效运行监控、绩效评价管理、评价结果应用的预算管理体系。</w:t>
      </w:r>
    </w:p>
    <w:p>
      <w:pPr>
        <w:adjustRightInd w:val="0"/>
        <w:snapToGrid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年，按照《</w:t>
      </w:r>
      <w:r>
        <w:rPr>
          <w:rFonts w:hint="eastAsia" w:ascii="仿宋_GB2312" w:hAnsi="仿宋_GB2312" w:eastAsia="仿宋_GB2312" w:cs="仿宋_GB2312"/>
          <w:sz w:val="32"/>
          <w:szCs w:val="32"/>
          <w:lang w:val="en"/>
        </w:rPr>
        <w:t>北京市财政局关于2023年推进全面实施预算绩效管理工作的预通知》，对202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
        </w:rPr>
        <w:t>年度项目支出全面进行绩效自评。</w:t>
      </w:r>
      <w:r>
        <w:rPr>
          <w:rFonts w:hint="eastAsia" w:ascii="仿宋_GB2312" w:hAnsi="仿宋_GB2312" w:eastAsia="仿宋_GB2312" w:cs="仿宋_GB2312"/>
          <w:sz w:val="32"/>
          <w:szCs w:val="32"/>
        </w:rPr>
        <w:t>共汇总项目支出绩效自评表</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份（含2个涉密项目），</w:t>
      </w:r>
      <w:r>
        <w:rPr>
          <w:rFonts w:hint="eastAsia" w:ascii="仿宋_GB2312" w:hAnsi="仿宋_GB2312" w:eastAsia="仿宋_GB2312" w:cs="仿宋_GB2312"/>
          <w:sz w:val="32"/>
          <w:szCs w:val="32"/>
          <w:lang w:val="en-US" w:eastAsia="zh-CN"/>
        </w:rPr>
        <w:t>同时抽取《</w:t>
      </w:r>
      <w:r>
        <w:rPr>
          <w:rFonts w:hint="eastAsia" w:ascii="仿宋_GB2312" w:hAnsi="仿宋_GB2312" w:eastAsia="仿宋_GB2312" w:cs="仿宋_GB2312"/>
          <w:sz w:val="32"/>
          <w:szCs w:val="32"/>
        </w:rPr>
        <w:t>开展房产测绘登记</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档案数字化及其整理</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2个项目</w:t>
      </w:r>
      <w:r>
        <w:rPr>
          <w:rFonts w:hint="eastAsia" w:ascii="仿宋_GB2312" w:hAnsi="仿宋_GB2312" w:eastAsia="仿宋_GB2312" w:cs="仿宋_GB2312"/>
          <w:sz w:val="32"/>
          <w:szCs w:val="32"/>
          <w:lang w:val="en-US" w:eastAsia="zh-CN"/>
        </w:rPr>
        <w:t>重点项目评价。</w:t>
      </w:r>
    </w:p>
    <w:p>
      <w:pPr>
        <w:adjustRightInd w:val="0"/>
        <w:snapToGrid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2024年，按照《</w:t>
      </w:r>
      <w:r>
        <w:rPr>
          <w:rFonts w:hint="default" w:ascii="仿宋_GB2312" w:hAnsi="仿宋_GB2312" w:eastAsia="仿宋_GB2312" w:cs="仿宋_GB2312"/>
          <w:sz w:val="32"/>
          <w:szCs w:val="32"/>
        </w:rPr>
        <w:t>北京市财政局关于</w:t>
      </w:r>
      <w:r>
        <w:rPr>
          <w:rFonts w:hint="eastAsia" w:ascii="仿宋_GB2312" w:hAnsi="仿宋_GB2312" w:eastAsia="仿宋_GB2312" w:cs="仿宋_GB2312"/>
          <w:sz w:val="32"/>
          <w:szCs w:val="32"/>
          <w:lang w:val="en-US" w:eastAsia="zh-CN"/>
        </w:rPr>
        <w:t>开展2024年预算绩效管理相关工作的函》，由</w:t>
      </w:r>
      <w:r>
        <w:rPr>
          <w:rFonts w:hint="eastAsia" w:ascii="仿宋_GB2312" w:hAnsi="仿宋_GB2312" w:eastAsia="仿宋_GB2312" w:cs="仿宋_GB2312"/>
          <w:sz w:val="32"/>
          <w:szCs w:val="32"/>
          <w:lang w:val="en" w:eastAsia="zh-CN"/>
        </w:rPr>
        <w:t>财务</w:t>
      </w:r>
      <w:r>
        <w:rPr>
          <w:rFonts w:hint="eastAsia" w:ascii="仿宋_GB2312" w:hAnsi="仿宋_GB2312" w:eastAsia="仿宋_GB2312" w:cs="仿宋_GB2312"/>
          <w:sz w:val="32"/>
          <w:szCs w:val="32"/>
          <w:lang w:val="en-US" w:eastAsia="zh-CN"/>
        </w:rPr>
        <w:t>审计部</w:t>
      </w:r>
      <w:r>
        <w:rPr>
          <w:rFonts w:hint="eastAsia" w:ascii="仿宋_GB2312" w:hAnsi="仿宋_GB2312" w:eastAsia="仿宋_GB2312" w:cs="仿宋_GB2312"/>
          <w:sz w:val="32"/>
          <w:szCs w:val="32"/>
          <w:lang w:val="en" w:eastAsia="zh-CN"/>
        </w:rPr>
        <w:t>牵头，</w:t>
      </w:r>
      <w:r>
        <w:rPr>
          <w:rFonts w:hint="eastAsia" w:ascii="仿宋_GB2312" w:hAnsi="仿宋_GB2312" w:eastAsia="仿宋_GB2312" w:cs="仿宋_GB2312"/>
          <w:sz w:val="32"/>
          <w:szCs w:val="32"/>
        </w:rPr>
        <w:t>相关处室和项目单位对照绩效目标，梳理项目资料，归集产出成果，逐一填写上报《项目支出绩效自评表》</w:t>
      </w:r>
      <w:r>
        <w:rPr>
          <w:rFonts w:hint="eastAsia" w:ascii="仿宋_GB2312" w:hAnsi="仿宋_GB2312" w:eastAsia="仿宋_GB2312" w:cs="仿宋_GB2312"/>
          <w:sz w:val="32"/>
          <w:szCs w:val="32"/>
          <w:lang w:eastAsia="zh-CN"/>
        </w:rPr>
        <w:t>。在此基础上进行审核汇总，</w:t>
      </w:r>
      <w:r>
        <w:rPr>
          <w:rFonts w:hint="eastAsia" w:ascii="仿宋_GB2312" w:hAnsi="仿宋_GB2312" w:eastAsia="仿宋_GB2312" w:cs="仿宋_GB2312"/>
          <w:sz w:val="32"/>
          <w:szCs w:val="32"/>
        </w:rPr>
        <w:t>全方位把握部门整体预算执行、绩效目标实现和预算管理情况</w:t>
      </w:r>
      <w:r>
        <w:rPr>
          <w:rFonts w:hint="eastAsia" w:ascii="仿宋_GB2312" w:hAnsi="仿宋_GB2312" w:eastAsia="仿宋_GB2312" w:cs="仿宋_GB2312"/>
          <w:sz w:val="32"/>
          <w:szCs w:val="32"/>
          <w:lang w:eastAsia="zh-CN"/>
        </w:rPr>
        <w:t>，共汇总</w:t>
      </w:r>
      <w:r>
        <w:rPr>
          <w:rFonts w:hint="eastAsia" w:ascii="仿宋_GB2312" w:hAnsi="仿宋_GB2312" w:eastAsia="仿宋_GB2312" w:cs="仿宋_GB2312"/>
          <w:sz w:val="32"/>
          <w:szCs w:val="32"/>
        </w:rPr>
        <w:t>项目支出绩效自评表</w:t>
      </w:r>
      <w:r>
        <w:rPr>
          <w:rFonts w:hint="eastAsia" w:ascii="仿宋_GB2312" w:hAnsi="仿宋_GB2312" w:eastAsia="仿宋_GB2312" w:cs="仿宋_GB2312"/>
          <w:sz w:val="32"/>
          <w:szCs w:val="32"/>
          <w:lang w:val="en-US" w:eastAsia="zh-CN"/>
        </w:rPr>
        <w:t>14份（含3个涉密项目）。同时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引入第三方</w:t>
      </w:r>
      <w:r>
        <w:rPr>
          <w:rFonts w:hint="eastAsia" w:ascii="仿宋_GB2312" w:hAnsi="仿宋_GB2312" w:eastAsia="仿宋_GB2312" w:cs="仿宋_GB2312"/>
          <w:sz w:val="32"/>
          <w:szCs w:val="32"/>
        </w:rPr>
        <w:t>机构协助开展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财务中介</w:t>
      </w:r>
      <w:bookmarkStart w:id="88" w:name="_GoBack"/>
      <w:bookmarkEnd w:id="88"/>
      <w:r>
        <w:rPr>
          <w:rFonts w:hint="eastAsia" w:ascii="仿宋_GB2312" w:hAnsi="仿宋_GB2312" w:eastAsia="仿宋_GB2312" w:cs="仿宋_GB2312"/>
          <w:sz w:val="32"/>
          <w:szCs w:val="32"/>
          <w:lang w:val="en-US" w:eastAsia="zh-CN"/>
        </w:rPr>
        <w:t>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进行</w:t>
      </w:r>
      <w:r>
        <w:rPr>
          <w:rFonts w:hint="eastAsia" w:ascii="仿宋_GB2312" w:hAnsi="仿宋_GB2312" w:eastAsia="仿宋_GB2312" w:cs="仿宋_GB2312"/>
          <w:sz w:val="32"/>
          <w:szCs w:val="32"/>
          <w:lang w:val="en-US" w:eastAsia="zh-CN"/>
        </w:rPr>
        <w:t>重点项目</w:t>
      </w:r>
      <w:r>
        <w:rPr>
          <w:rFonts w:hint="eastAsia" w:ascii="仿宋_GB2312" w:hAnsi="仿宋_GB2312" w:eastAsia="仿宋_GB2312" w:cs="仿宋_GB2312"/>
          <w:sz w:val="32"/>
          <w:szCs w:val="32"/>
        </w:rPr>
        <w:t>评价，</w:t>
      </w:r>
      <w:r>
        <w:rPr>
          <w:rFonts w:hint="eastAsia" w:ascii="仿宋_GB2312" w:hAnsi="仿宋_GB2312" w:eastAsia="仿宋_GB2312" w:cs="仿宋_GB2312"/>
          <w:sz w:val="32"/>
          <w:szCs w:val="32"/>
          <w:lang w:val="en-US" w:eastAsia="zh-CN"/>
        </w:rPr>
        <w:t>掌握项目实施情况和产出效果,促进绩效目标落实。</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outlineLvl w:val="1"/>
        <w:rPr>
          <w:rFonts w:ascii="楷体_GB2312" w:eastAsia="楷体_GB2312"/>
          <w:b/>
          <w:bCs/>
          <w:sz w:val="32"/>
          <w:szCs w:val="32"/>
        </w:rPr>
      </w:pPr>
      <w:r>
        <w:rPr>
          <w:rFonts w:hint="eastAsia" w:ascii="楷体_GB2312" w:eastAsia="楷体_GB2312"/>
          <w:b/>
          <w:bCs/>
          <w:sz w:val="32"/>
          <w:szCs w:val="32"/>
        </w:rPr>
        <w:t>（四）结转结余率</w:t>
      </w:r>
      <w:bookmarkEnd w:id="48"/>
      <w:bookmarkEnd w:id="49"/>
      <w:bookmarkEnd w:id="50"/>
      <w:bookmarkEnd w:id="51"/>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rPr>
          <w:rFonts w:hint="eastAsia" w:ascii="仿宋_GB2312" w:hAnsi="仿宋" w:eastAsia="仿宋_GB2312"/>
          <w:sz w:val="32"/>
          <w:szCs w:val="32"/>
          <w:highlight w:val="none"/>
        </w:rPr>
      </w:pPr>
      <w:bookmarkStart w:id="52" w:name="_Toc14692"/>
      <w:bookmarkStart w:id="53" w:name="_Toc2548"/>
      <w:bookmarkStart w:id="54" w:name="_Toc4325"/>
      <w:bookmarkStart w:id="55" w:name="_Toc22969"/>
      <w:r>
        <w:rPr>
          <w:rFonts w:hint="eastAsia" w:ascii="仿宋_GB2312" w:hAnsi="仿宋" w:eastAsia="仿宋_GB2312"/>
          <w:sz w:val="32"/>
          <w:szCs w:val="32"/>
        </w:rPr>
        <w:t>本年末结转结余资金34927</w:t>
      </w:r>
      <w:r>
        <w:rPr>
          <w:rFonts w:hint="eastAsia" w:ascii="仿宋_GB2312" w:hAnsi="仿宋" w:eastAsia="仿宋_GB2312"/>
          <w:sz w:val="32"/>
          <w:szCs w:val="32"/>
          <w:lang w:val="en-US" w:eastAsia="zh-CN"/>
        </w:rPr>
        <w:t>.</w:t>
      </w:r>
      <w:r>
        <w:rPr>
          <w:rFonts w:hint="eastAsia" w:ascii="仿宋_GB2312" w:hAnsi="仿宋" w:eastAsia="仿宋_GB2312"/>
          <w:sz w:val="32"/>
          <w:szCs w:val="32"/>
        </w:rPr>
        <w:t>7</w:t>
      </w:r>
      <w:r>
        <w:rPr>
          <w:rFonts w:hint="eastAsia" w:ascii="仿宋_GB2312" w:hAnsi="仿宋" w:eastAsia="仿宋_GB2312"/>
          <w:sz w:val="32"/>
          <w:szCs w:val="32"/>
          <w:lang w:val="en-US" w:eastAsia="zh-CN"/>
        </w:rPr>
        <w:t>8</w:t>
      </w:r>
      <w:r>
        <w:rPr>
          <w:rFonts w:hint="eastAsia" w:ascii="仿宋_GB2312" w:hAnsi="仿宋" w:eastAsia="仿宋_GB2312"/>
          <w:sz w:val="32"/>
          <w:szCs w:val="32"/>
        </w:rPr>
        <w:t>万元（其中：一般公共预算财政拨款34014</w:t>
      </w:r>
      <w:r>
        <w:rPr>
          <w:rFonts w:hint="eastAsia" w:ascii="仿宋_GB2312" w:hAnsi="仿宋" w:eastAsia="仿宋_GB2312"/>
          <w:sz w:val="32"/>
          <w:szCs w:val="32"/>
          <w:lang w:val="en-US" w:eastAsia="zh-CN"/>
        </w:rPr>
        <w:t>.</w:t>
      </w:r>
      <w:r>
        <w:rPr>
          <w:rFonts w:hint="eastAsia" w:ascii="仿宋_GB2312" w:hAnsi="仿宋" w:eastAsia="仿宋_GB2312"/>
          <w:sz w:val="32"/>
          <w:szCs w:val="32"/>
        </w:rPr>
        <w:t>67万元）。</w:t>
      </w:r>
      <w:r>
        <w:rPr>
          <w:rFonts w:hint="eastAsia" w:ascii="仿宋_GB2312" w:hAnsi="仿宋" w:eastAsia="仿宋_GB2312"/>
          <w:sz w:val="32"/>
          <w:szCs w:val="32"/>
          <w:lang w:val="en-US" w:eastAsia="zh-CN"/>
        </w:rPr>
        <w:t>结转结余率为10.53%。</w:t>
      </w:r>
      <w:r>
        <w:rPr>
          <w:rFonts w:hint="eastAsia" w:ascii="仿宋_GB2312" w:hAnsi="仿宋" w:eastAsia="仿宋_GB2312"/>
          <w:sz w:val="32"/>
          <w:szCs w:val="32"/>
          <w:highlight w:val="none"/>
        </w:rPr>
        <w:t>上年末结转结余资金</w:t>
      </w:r>
      <w:r>
        <w:rPr>
          <w:rFonts w:hint="eastAsia" w:ascii="仿宋_GB2312" w:hAnsi="仿宋" w:eastAsia="仿宋_GB2312"/>
          <w:sz w:val="32"/>
          <w:szCs w:val="32"/>
          <w:highlight w:val="none"/>
          <w:lang w:val="en-US" w:eastAsia="zh-CN"/>
        </w:rPr>
        <w:t>167349</w:t>
      </w:r>
      <w:r>
        <w:rPr>
          <w:rFonts w:hint="default" w:ascii="仿宋_GB2312" w:hAnsi="仿宋" w:eastAsia="仿宋_GB2312"/>
          <w:sz w:val="32"/>
          <w:szCs w:val="32"/>
          <w:highlight w:val="none"/>
          <w:lang w:val="en-US" w:eastAsia="zh-CN"/>
        </w:rPr>
        <w:t>.8</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万元（其中：一般公共预算财政拨款</w:t>
      </w:r>
      <w:r>
        <w:rPr>
          <w:rFonts w:hint="eastAsia" w:ascii="仿宋_GB2312" w:hAnsi="仿宋" w:eastAsia="仿宋_GB2312"/>
          <w:sz w:val="32"/>
          <w:szCs w:val="32"/>
          <w:highlight w:val="none"/>
          <w:lang w:val="en-US" w:eastAsia="zh-CN"/>
        </w:rPr>
        <w:t>165422</w:t>
      </w:r>
      <w:r>
        <w:rPr>
          <w:rFonts w:hint="default" w:ascii="仿宋_GB2312" w:hAnsi="仿宋" w:eastAsia="仿宋_GB2312"/>
          <w:sz w:val="32"/>
          <w:szCs w:val="32"/>
          <w:highlight w:val="none"/>
          <w:lang w:val="en-US" w:eastAsia="zh-CN"/>
        </w:rPr>
        <w:t>.</w:t>
      </w:r>
      <w:r>
        <w:rPr>
          <w:rFonts w:hint="eastAsia" w:ascii="仿宋_GB2312" w:hAnsi="仿宋" w:eastAsia="仿宋_GB2312"/>
          <w:sz w:val="32"/>
          <w:szCs w:val="32"/>
          <w:highlight w:val="none"/>
          <w:lang w:val="en-US" w:eastAsia="zh-CN"/>
        </w:rPr>
        <w:t>51</w:t>
      </w:r>
      <w:r>
        <w:rPr>
          <w:rFonts w:hint="eastAsia" w:ascii="仿宋_GB2312" w:hAnsi="仿宋" w:eastAsia="仿宋_GB2312"/>
          <w:sz w:val="32"/>
          <w:szCs w:val="32"/>
          <w:highlight w:val="none"/>
        </w:rPr>
        <w:t>万元）。本年末结转结余资金比上年</w:t>
      </w:r>
      <w:r>
        <w:rPr>
          <w:rFonts w:hint="eastAsia" w:ascii="仿宋_GB2312" w:hAnsi="仿宋" w:eastAsia="仿宋_GB2312"/>
          <w:sz w:val="32"/>
          <w:szCs w:val="32"/>
          <w:highlight w:val="none"/>
          <w:lang w:val="en-US" w:eastAsia="zh-CN"/>
        </w:rPr>
        <w:t>减少</w:t>
      </w:r>
      <w:r>
        <w:rPr>
          <w:rFonts w:hint="default" w:ascii="仿宋_GB2312" w:hAnsi="仿宋" w:eastAsia="仿宋_GB2312"/>
          <w:sz w:val="32"/>
          <w:szCs w:val="32"/>
          <w:highlight w:val="none"/>
          <w:lang w:val="en-US" w:eastAsia="zh-CN"/>
        </w:rPr>
        <w:t>132422.02</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资金结存</w:t>
      </w:r>
      <w:r>
        <w:rPr>
          <w:rFonts w:hint="eastAsia" w:ascii="仿宋_GB2312" w:hAnsi="仿宋" w:eastAsia="仿宋_GB2312"/>
          <w:sz w:val="32"/>
          <w:szCs w:val="32"/>
          <w:highlight w:val="none"/>
          <w:lang w:val="en-US" w:eastAsia="zh-CN"/>
        </w:rPr>
        <w:t>减少</w:t>
      </w:r>
      <w:r>
        <w:rPr>
          <w:rFonts w:hint="eastAsia" w:ascii="仿宋_GB2312" w:hAnsi="仿宋" w:eastAsia="仿宋_GB2312"/>
          <w:sz w:val="32"/>
          <w:szCs w:val="32"/>
          <w:highlight w:val="none"/>
        </w:rPr>
        <w:t>主要原因：一期房建工程正在接受主管部门评审，一期信息化项目正在开展自评，二期工程竣工并交付使用，建设资金按需下达和使用。</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outlineLvl w:val="1"/>
        <w:rPr>
          <w:rFonts w:ascii="楷体_GB2312" w:eastAsia="楷体_GB2312"/>
          <w:b/>
          <w:bCs/>
          <w:sz w:val="32"/>
          <w:szCs w:val="32"/>
        </w:rPr>
      </w:pPr>
      <w:r>
        <w:rPr>
          <w:rFonts w:hint="eastAsia" w:ascii="楷体_GB2312" w:eastAsia="楷体_GB2312"/>
          <w:b/>
          <w:bCs/>
          <w:sz w:val="32"/>
          <w:szCs w:val="32"/>
        </w:rPr>
        <w:t>（五）部门预决算差异率</w:t>
      </w:r>
      <w:bookmarkEnd w:id="52"/>
      <w:bookmarkEnd w:id="53"/>
      <w:bookmarkEnd w:id="54"/>
      <w:bookmarkEnd w:id="55"/>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rPr>
          <w:rFonts w:hint="eastAsia" w:ascii="仿宋_GB2312" w:hAnsi="仿宋_GB2312" w:eastAsia="仿宋_GB2312" w:cs="仿宋_GB2312"/>
          <w:b/>
          <w:bCs/>
          <w:sz w:val="32"/>
          <w:szCs w:val="32"/>
        </w:rPr>
      </w:pPr>
      <w:bookmarkStart w:id="56" w:name="_Toc17300"/>
      <w:bookmarkStart w:id="57" w:name="_Toc22801"/>
      <w:bookmarkStart w:id="58" w:name="_Toc24471"/>
      <w:bookmarkStart w:id="59" w:name="_Toc5438"/>
      <w:r>
        <w:rPr>
          <w:rFonts w:hint="eastAsia" w:ascii="仿宋_GB2312" w:hAnsi="仿宋" w:eastAsia="仿宋_GB2312"/>
          <w:b/>
          <w:bCs/>
          <w:sz w:val="32"/>
          <w:szCs w:val="32"/>
          <w:lang w:val="en-US" w:eastAsia="zh-CN"/>
        </w:rPr>
        <w:t>1.</w:t>
      </w:r>
      <w:r>
        <w:rPr>
          <w:rFonts w:hint="eastAsia" w:ascii="仿宋_GB2312" w:hAnsi="仿宋" w:eastAsia="仿宋_GB2312"/>
          <w:b/>
          <w:bCs/>
          <w:sz w:val="32"/>
          <w:szCs w:val="32"/>
        </w:rPr>
        <w:t>收入与预算对比</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rPr>
        <w:t>本年度收入预算数164214</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2</w:t>
      </w:r>
      <w:r>
        <w:rPr>
          <w:rFonts w:hint="eastAsia" w:ascii="仿宋_GB2312" w:hAnsi="仿宋" w:eastAsia="仿宋_GB2312"/>
          <w:sz w:val="32"/>
          <w:szCs w:val="32"/>
          <w:highlight w:val="none"/>
          <w:lang w:val="en-US" w:eastAsia="zh-CN"/>
        </w:rPr>
        <w:t>9</w:t>
      </w:r>
      <w:r>
        <w:rPr>
          <w:rFonts w:hint="eastAsia" w:ascii="仿宋_GB2312" w:hAnsi="仿宋" w:eastAsia="仿宋_GB2312"/>
          <w:sz w:val="32"/>
          <w:szCs w:val="32"/>
          <w:highlight w:val="none"/>
        </w:rPr>
        <w:t>万元，收入决算数164214</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highlight w:val="none"/>
        </w:rPr>
        <w:t>2</w:t>
      </w:r>
      <w:r>
        <w:rPr>
          <w:rFonts w:hint="eastAsia" w:ascii="仿宋_GB2312" w:hAnsi="仿宋" w:eastAsia="仿宋_GB2312"/>
          <w:sz w:val="32"/>
          <w:szCs w:val="32"/>
          <w:highlight w:val="none"/>
          <w:lang w:val="en-US" w:eastAsia="zh-CN"/>
        </w:rPr>
        <w:t>9</w:t>
      </w:r>
      <w:r>
        <w:rPr>
          <w:rFonts w:hint="eastAsia" w:ascii="仿宋_GB2312" w:hAnsi="仿宋" w:eastAsia="仿宋_GB2312"/>
          <w:sz w:val="32"/>
          <w:szCs w:val="32"/>
          <w:highlight w:val="none"/>
        </w:rPr>
        <w:t>万元，预算收入完成率</w:t>
      </w:r>
      <w:r>
        <w:rPr>
          <w:rFonts w:hint="eastAsia" w:ascii="仿宋_GB2312" w:hAnsi="仿宋" w:eastAsia="仿宋_GB2312"/>
          <w:sz w:val="32"/>
          <w:szCs w:val="32"/>
          <w:highlight w:val="none"/>
          <w:lang w:val="en-US" w:eastAsia="zh-CN"/>
        </w:rPr>
        <w:t>100%。</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rPr>
          <w:rFonts w:hint="eastAsia" w:ascii="仿宋_GB2312" w:hAnsi="仿宋" w:eastAsia="仿宋_GB2312"/>
          <w:b/>
          <w:bCs/>
          <w:sz w:val="32"/>
          <w:szCs w:val="32"/>
        </w:rPr>
      </w:pPr>
      <w:r>
        <w:rPr>
          <w:rFonts w:hint="eastAsia" w:ascii="仿宋_GB2312" w:hAnsi="仿宋" w:eastAsia="仿宋_GB2312"/>
          <w:b/>
          <w:bCs/>
          <w:sz w:val="32"/>
          <w:szCs w:val="32"/>
          <w:lang w:val="en-US" w:eastAsia="zh-CN"/>
        </w:rPr>
        <w:t>2.</w:t>
      </w:r>
      <w:r>
        <w:rPr>
          <w:rFonts w:hint="eastAsia" w:ascii="仿宋_GB2312" w:hAnsi="仿宋" w:eastAsia="仿宋_GB2312"/>
          <w:b/>
          <w:bCs/>
          <w:sz w:val="32"/>
          <w:szCs w:val="32"/>
        </w:rPr>
        <w:t>支出与预算对比</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本年度支出预算数331564</w:t>
      </w:r>
      <w:r>
        <w:rPr>
          <w:rFonts w:hint="eastAsia" w:ascii="仿宋_GB2312" w:hAnsi="仿宋" w:eastAsia="仿宋_GB2312"/>
          <w:sz w:val="32"/>
          <w:szCs w:val="32"/>
          <w:lang w:val="en-US" w:eastAsia="zh-CN"/>
        </w:rPr>
        <w:t>.</w:t>
      </w:r>
      <w:r>
        <w:rPr>
          <w:rFonts w:hint="eastAsia" w:ascii="仿宋_GB2312" w:hAnsi="仿宋" w:eastAsia="仿宋_GB2312"/>
          <w:sz w:val="32"/>
          <w:szCs w:val="32"/>
        </w:rPr>
        <w:t>08万元，支出决算数296636</w:t>
      </w:r>
      <w:r>
        <w:rPr>
          <w:rFonts w:hint="eastAsia" w:ascii="仿宋_GB2312" w:hAnsi="仿宋" w:eastAsia="仿宋_GB2312"/>
          <w:sz w:val="32"/>
          <w:szCs w:val="32"/>
          <w:lang w:val="en-US" w:eastAsia="zh-CN"/>
        </w:rPr>
        <w:t>.</w:t>
      </w:r>
      <w:r>
        <w:rPr>
          <w:rFonts w:hint="eastAsia" w:ascii="仿宋_GB2312" w:hAnsi="仿宋" w:eastAsia="仿宋_GB2312"/>
          <w:sz w:val="32"/>
          <w:szCs w:val="32"/>
        </w:rPr>
        <w:t>3</w:t>
      </w:r>
      <w:r>
        <w:rPr>
          <w:rFonts w:hint="eastAsia" w:ascii="仿宋_GB2312" w:hAnsi="仿宋" w:eastAsia="仿宋_GB2312"/>
          <w:sz w:val="32"/>
          <w:szCs w:val="32"/>
          <w:lang w:val="en-US" w:eastAsia="zh-CN"/>
        </w:rPr>
        <w:t>1</w:t>
      </w:r>
      <w:r>
        <w:rPr>
          <w:rFonts w:hint="eastAsia" w:ascii="仿宋_GB2312" w:hAnsi="仿宋" w:eastAsia="仿宋_GB2312"/>
          <w:sz w:val="32"/>
          <w:szCs w:val="32"/>
        </w:rPr>
        <w:t>万元，预算支出完成率</w:t>
      </w:r>
      <w:r>
        <w:rPr>
          <w:rFonts w:hint="eastAsia" w:ascii="仿宋_GB2312" w:hAnsi="仿宋" w:eastAsia="仿宋_GB2312"/>
          <w:sz w:val="32"/>
          <w:szCs w:val="32"/>
          <w:lang w:val="en-US" w:eastAsia="zh-CN"/>
        </w:rPr>
        <w:t>89.47%</w:t>
      </w:r>
      <w:r>
        <w:rPr>
          <w:rFonts w:hint="eastAsia" w:ascii="仿宋_GB2312" w:hAnsi="仿宋" w:eastAsia="仿宋_GB2312"/>
          <w:sz w:val="32"/>
          <w:szCs w:val="32"/>
        </w:rPr>
        <w:t>。其中,基本支出预算数</w:t>
      </w:r>
      <w:r>
        <w:rPr>
          <w:rFonts w:hint="eastAsia" w:ascii="仿宋_GB2312" w:hAnsi="仿宋" w:eastAsia="仿宋_GB2312"/>
          <w:sz w:val="32"/>
          <w:szCs w:val="32"/>
          <w:lang w:val="en-US" w:eastAsia="zh-CN"/>
        </w:rPr>
        <w:t>942.05</w:t>
      </w:r>
      <w:r>
        <w:rPr>
          <w:rFonts w:hint="eastAsia" w:ascii="仿宋_GB2312" w:hAnsi="仿宋" w:eastAsia="仿宋_GB2312"/>
          <w:sz w:val="32"/>
          <w:szCs w:val="32"/>
        </w:rPr>
        <w:t>万元,支出决算数868</w:t>
      </w:r>
      <w:r>
        <w:rPr>
          <w:rFonts w:hint="eastAsia" w:ascii="仿宋_GB2312" w:hAnsi="仿宋" w:eastAsia="仿宋_GB2312"/>
          <w:sz w:val="32"/>
          <w:szCs w:val="32"/>
          <w:lang w:val="en-US" w:eastAsia="zh-CN"/>
        </w:rPr>
        <w:t>.</w:t>
      </w:r>
      <w:r>
        <w:rPr>
          <w:rFonts w:hint="eastAsia" w:ascii="仿宋_GB2312" w:hAnsi="仿宋" w:eastAsia="仿宋_GB2312"/>
          <w:sz w:val="32"/>
          <w:szCs w:val="32"/>
        </w:rPr>
        <w:t>1</w:t>
      </w:r>
      <w:r>
        <w:rPr>
          <w:rFonts w:hint="eastAsia" w:ascii="仿宋_GB2312" w:hAnsi="仿宋" w:eastAsia="仿宋_GB2312"/>
          <w:sz w:val="32"/>
          <w:szCs w:val="32"/>
          <w:lang w:val="en-US" w:eastAsia="zh-CN"/>
        </w:rPr>
        <w:t>9</w:t>
      </w:r>
      <w:r>
        <w:rPr>
          <w:rFonts w:hint="eastAsia" w:ascii="仿宋_GB2312" w:hAnsi="仿宋" w:eastAsia="仿宋_GB2312"/>
          <w:sz w:val="32"/>
          <w:szCs w:val="32"/>
        </w:rPr>
        <w:t>万元,完成率</w:t>
      </w:r>
      <w:r>
        <w:rPr>
          <w:rFonts w:hint="eastAsia" w:ascii="仿宋_GB2312" w:hAnsi="仿宋" w:eastAsia="仿宋_GB2312"/>
          <w:sz w:val="32"/>
          <w:szCs w:val="32"/>
          <w:lang w:val="en-US" w:eastAsia="zh-CN"/>
        </w:rPr>
        <w:t>92.16</w:t>
      </w:r>
      <w:r>
        <w:rPr>
          <w:rFonts w:hint="eastAsia" w:ascii="仿宋_GB2312" w:hAnsi="仿宋" w:eastAsia="仿宋_GB2312"/>
          <w:sz w:val="32"/>
          <w:szCs w:val="32"/>
        </w:rPr>
        <w:t>%;项目支出预算数</w:t>
      </w:r>
      <w:r>
        <w:rPr>
          <w:rFonts w:hint="eastAsia" w:ascii="仿宋_GB2312" w:hAnsi="仿宋" w:eastAsia="仿宋_GB2312"/>
          <w:sz w:val="32"/>
          <w:szCs w:val="32"/>
          <w:lang w:val="en-US" w:eastAsia="zh-CN"/>
        </w:rPr>
        <w:t>330622.03</w:t>
      </w:r>
      <w:r>
        <w:rPr>
          <w:rFonts w:hint="eastAsia" w:ascii="仿宋_GB2312" w:hAnsi="仿宋" w:eastAsia="仿宋_GB2312"/>
          <w:sz w:val="32"/>
          <w:szCs w:val="32"/>
        </w:rPr>
        <w:t>万元（其中基本建设类项目支出预算数</w:t>
      </w:r>
      <w:r>
        <w:rPr>
          <w:rFonts w:hint="eastAsia" w:ascii="仿宋_GB2312" w:hAnsi="仿宋" w:eastAsia="仿宋_GB2312"/>
          <w:sz w:val="32"/>
          <w:szCs w:val="32"/>
          <w:lang w:val="en-US" w:eastAsia="zh-CN"/>
        </w:rPr>
        <w:t>315667.95</w:t>
      </w:r>
      <w:r>
        <w:rPr>
          <w:rFonts w:hint="eastAsia" w:ascii="仿宋_GB2312" w:hAnsi="仿宋" w:eastAsia="仿宋_GB2312"/>
          <w:sz w:val="32"/>
          <w:szCs w:val="32"/>
        </w:rPr>
        <w:t>万元），支出决算数295768</w:t>
      </w:r>
      <w:r>
        <w:rPr>
          <w:rFonts w:hint="eastAsia" w:ascii="仿宋_GB2312" w:hAnsi="仿宋" w:eastAsia="仿宋_GB2312"/>
          <w:sz w:val="32"/>
          <w:szCs w:val="32"/>
          <w:lang w:val="en-US" w:eastAsia="zh-CN"/>
        </w:rPr>
        <w:t>.</w:t>
      </w:r>
      <w:r>
        <w:rPr>
          <w:rFonts w:hint="eastAsia" w:ascii="仿宋_GB2312" w:hAnsi="仿宋" w:eastAsia="仿宋_GB2312"/>
          <w:sz w:val="32"/>
          <w:szCs w:val="32"/>
        </w:rPr>
        <w:t>12万元（其中基本建设类项目支出决算数280814</w:t>
      </w:r>
      <w:r>
        <w:rPr>
          <w:rFonts w:hint="eastAsia" w:ascii="仿宋_GB2312" w:hAnsi="仿宋" w:eastAsia="仿宋_GB2312"/>
          <w:sz w:val="32"/>
          <w:szCs w:val="32"/>
          <w:lang w:val="en-US" w:eastAsia="zh-CN"/>
        </w:rPr>
        <w:t>.</w:t>
      </w:r>
      <w:r>
        <w:rPr>
          <w:rFonts w:hint="eastAsia" w:ascii="仿宋_GB2312" w:hAnsi="仿宋" w:eastAsia="仿宋_GB2312"/>
          <w:sz w:val="32"/>
          <w:szCs w:val="32"/>
        </w:rPr>
        <w:t>3</w:t>
      </w:r>
      <w:r>
        <w:rPr>
          <w:rFonts w:hint="eastAsia" w:ascii="仿宋_GB2312" w:hAnsi="仿宋" w:eastAsia="仿宋_GB2312"/>
          <w:sz w:val="32"/>
          <w:szCs w:val="32"/>
          <w:lang w:val="en-US" w:eastAsia="zh-CN"/>
        </w:rPr>
        <w:t>3</w:t>
      </w:r>
      <w:r>
        <w:rPr>
          <w:rFonts w:hint="eastAsia" w:ascii="仿宋_GB2312" w:hAnsi="仿宋" w:eastAsia="仿宋_GB2312"/>
          <w:sz w:val="32"/>
          <w:szCs w:val="32"/>
        </w:rPr>
        <w:t>万元），完成率</w:t>
      </w:r>
      <w:r>
        <w:rPr>
          <w:rFonts w:hint="eastAsia" w:ascii="仿宋_GB2312" w:hAnsi="仿宋" w:eastAsia="仿宋_GB2312"/>
          <w:sz w:val="32"/>
          <w:szCs w:val="32"/>
          <w:lang w:val="en-US" w:eastAsia="zh-CN"/>
        </w:rPr>
        <w:t>89.00%</w:t>
      </w:r>
      <w:r>
        <w:rPr>
          <w:rFonts w:hint="eastAsia" w:ascii="仿宋_GB2312" w:hAnsi="仿宋" w:eastAsia="仿宋_GB2312"/>
          <w:sz w:val="32"/>
          <w:szCs w:val="32"/>
        </w:rPr>
        <w:t>（其中基本建设类项目支出完成率</w:t>
      </w:r>
      <w:r>
        <w:rPr>
          <w:rFonts w:hint="eastAsia" w:ascii="仿宋_GB2312" w:hAnsi="仿宋" w:eastAsia="仿宋_GB2312"/>
          <w:sz w:val="32"/>
          <w:szCs w:val="32"/>
          <w:lang w:val="en-US" w:eastAsia="zh-CN"/>
        </w:rPr>
        <w:t>88.96%</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支出预算数与决算数比，差异原因主要是因为副中心工程办资金大部分为基本建设资金，可结转使用一年。</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baseline"/>
        <w:outlineLvl w:val="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bookmarkEnd w:id="56"/>
      <w:bookmarkEnd w:id="57"/>
      <w:bookmarkEnd w:id="58"/>
      <w:bookmarkEnd w:id="59"/>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jc w:val="both"/>
        <w:textAlignment w:val="baseline"/>
        <w:outlineLvl w:val="1"/>
        <w:rPr>
          <w:rFonts w:ascii="楷体_GB2312" w:eastAsia="楷体_GB2312"/>
          <w:b/>
          <w:bCs/>
          <w:sz w:val="32"/>
          <w:szCs w:val="32"/>
        </w:rPr>
      </w:pPr>
      <w:bookmarkStart w:id="60" w:name="_Toc16148"/>
      <w:bookmarkStart w:id="61" w:name="_Toc28469"/>
      <w:bookmarkStart w:id="62" w:name="_Toc19987"/>
      <w:bookmarkStart w:id="63" w:name="_Toc19197"/>
      <w:r>
        <w:rPr>
          <w:rFonts w:hint="eastAsia" w:ascii="楷体_GB2312" w:eastAsia="楷体_GB2312"/>
          <w:b/>
          <w:bCs/>
          <w:sz w:val="32"/>
          <w:szCs w:val="32"/>
        </w:rPr>
        <w:t>（一）评价得分情况</w:t>
      </w:r>
      <w:bookmarkEnd w:id="60"/>
      <w:bookmarkEnd w:id="61"/>
      <w:bookmarkEnd w:id="62"/>
      <w:bookmarkEnd w:id="63"/>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baseline"/>
        <w:rPr>
          <w:rFonts w:hint="eastAsia" w:ascii="仿宋_GB2312" w:hAnsi="仿宋" w:eastAsia="仿宋_GB2312"/>
          <w:sz w:val="32"/>
          <w:szCs w:val="32"/>
          <w:highlight w:val="none"/>
        </w:rPr>
      </w:pPr>
      <w:r>
        <w:rPr>
          <w:rFonts w:hint="eastAsia" w:ascii="仿宋_GB2312" w:hAnsi="仿宋" w:eastAsia="仿宋_GB2312"/>
          <w:sz w:val="32"/>
          <w:szCs w:val="32"/>
        </w:rPr>
        <w:t>经过综合评价，副中心工程办202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年度部门整体支出绩效评价综合得分</w:t>
      </w:r>
      <w:r>
        <w:rPr>
          <w:rFonts w:hint="eastAsia" w:ascii="仿宋_GB2312" w:hAnsi="仿宋" w:eastAsia="仿宋_GB2312"/>
          <w:sz w:val="32"/>
          <w:szCs w:val="32"/>
          <w:highlight w:val="none"/>
          <w:lang w:val="en-US" w:eastAsia="zh-CN"/>
        </w:rPr>
        <w:t>97.74</w:t>
      </w:r>
      <w:r>
        <w:rPr>
          <w:rFonts w:hint="eastAsia" w:ascii="仿宋_GB2312" w:hAnsi="仿宋" w:eastAsia="仿宋_GB2312"/>
          <w:sz w:val="32"/>
          <w:szCs w:val="32"/>
          <w:highlight w:val="none"/>
        </w:rPr>
        <w:t xml:space="preserve">分，评定等次为“优”。 </w:t>
      </w:r>
    </w:p>
    <w:p>
      <w:pPr>
        <w:pStyle w:val="13"/>
        <w:keepNext w:val="0"/>
        <w:keepLines w:val="0"/>
        <w:pageBreakBefore w:val="0"/>
        <w:widowControl w:val="0"/>
        <w:kinsoku/>
        <w:wordWrap/>
        <w:overflowPunct/>
        <w:topLinePunct w:val="0"/>
        <w:autoSpaceDE/>
        <w:autoSpaceDN/>
        <w:bidi w:val="0"/>
        <w:adjustRightInd w:val="0"/>
        <w:snapToGrid w:val="0"/>
        <w:ind w:left="0" w:leftChars="0"/>
        <w:jc w:val="center"/>
        <w:textAlignment w:val="baseline"/>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副中心工程办</w:t>
      </w:r>
    </w:p>
    <w:p>
      <w:pPr>
        <w:pStyle w:val="13"/>
        <w:keepNext w:val="0"/>
        <w:keepLines w:val="0"/>
        <w:pageBreakBefore w:val="0"/>
        <w:widowControl w:val="0"/>
        <w:kinsoku/>
        <w:wordWrap/>
        <w:overflowPunct/>
        <w:topLinePunct w:val="0"/>
        <w:autoSpaceDE/>
        <w:autoSpaceDN/>
        <w:bidi w:val="0"/>
        <w:adjustRightInd w:val="0"/>
        <w:snapToGrid w:val="0"/>
        <w:spacing w:after="157" w:afterLines="50"/>
        <w:ind w:left="0" w:leftChars="0"/>
        <w:jc w:val="center"/>
        <w:textAlignment w:val="baseline"/>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部门整体支出绩效评价得分表</w:t>
      </w:r>
    </w:p>
    <w:tbl>
      <w:tblPr>
        <w:tblStyle w:val="19"/>
        <w:tblW w:w="8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052"/>
        <w:gridCol w:w="2715"/>
        <w:gridCol w:w="2717"/>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blHeader/>
          <w:jc w:val="center"/>
        </w:trPr>
        <w:tc>
          <w:tcPr>
            <w:tcW w:w="3052" w:type="dxa"/>
            <w:shd w:val="clear" w:color="auto" w:fill="BEBEBE"/>
            <w:vAlign w:val="center"/>
          </w:tcPr>
          <w:p>
            <w:pPr>
              <w:snapToGrid w:val="0"/>
              <w:jc w:val="center"/>
              <w:textAlignment w:val="baseline"/>
              <w:rPr>
                <w:rFonts w:ascii="宋体" w:hAnsi="宋体" w:eastAsia="宋体" w:cs="宋体"/>
                <w:b/>
                <w:sz w:val="24"/>
                <w:szCs w:val="24"/>
                <w:highlight w:val="none"/>
              </w:rPr>
            </w:pPr>
            <w:r>
              <w:rPr>
                <w:rFonts w:hint="eastAsia" w:ascii="宋体" w:hAnsi="宋体" w:eastAsia="宋体" w:cs="宋体"/>
                <w:b/>
                <w:sz w:val="24"/>
                <w:szCs w:val="24"/>
                <w:highlight w:val="none"/>
              </w:rPr>
              <w:t>评价内容</w:t>
            </w:r>
          </w:p>
        </w:tc>
        <w:tc>
          <w:tcPr>
            <w:tcW w:w="2715" w:type="dxa"/>
            <w:shd w:val="clear" w:color="auto" w:fill="BEBEBE"/>
            <w:vAlign w:val="center"/>
          </w:tcPr>
          <w:p>
            <w:pPr>
              <w:snapToGrid w:val="0"/>
              <w:jc w:val="center"/>
              <w:textAlignment w:val="baseline"/>
              <w:rPr>
                <w:rFonts w:ascii="宋体" w:hAnsi="宋体" w:eastAsia="宋体" w:cs="宋体"/>
                <w:b/>
                <w:sz w:val="24"/>
                <w:szCs w:val="24"/>
                <w:highlight w:val="none"/>
              </w:rPr>
            </w:pPr>
            <w:r>
              <w:rPr>
                <w:rFonts w:hint="eastAsia" w:ascii="宋体" w:hAnsi="宋体" w:eastAsia="宋体" w:cs="宋体"/>
                <w:b/>
                <w:sz w:val="24"/>
                <w:szCs w:val="24"/>
                <w:highlight w:val="none"/>
              </w:rPr>
              <w:t>分值</w:t>
            </w:r>
          </w:p>
        </w:tc>
        <w:tc>
          <w:tcPr>
            <w:tcW w:w="2718" w:type="dxa"/>
            <w:gridSpan w:val="2"/>
            <w:shd w:val="clear" w:color="auto" w:fill="BEBEBE"/>
            <w:vAlign w:val="center"/>
          </w:tcPr>
          <w:p>
            <w:pPr>
              <w:snapToGrid w:val="0"/>
              <w:jc w:val="center"/>
              <w:textAlignment w:val="baseline"/>
              <w:rPr>
                <w:rFonts w:ascii="宋体" w:hAnsi="宋体" w:eastAsia="宋体" w:cs="宋体"/>
                <w:b/>
                <w:sz w:val="24"/>
                <w:szCs w:val="24"/>
                <w:highlight w:val="none"/>
              </w:rPr>
            </w:pPr>
            <w:r>
              <w:rPr>
                <w:rFonts w:hint="eastAsia" w:ascii="宋体" w:hAnsi="宋体" w:eastAsia="宋体" w:cs="宋体"/>
                <w:b/>
                <w:sz w:val="24"/>
                <w:szCs w:val="24"/>
                <w:highlight w:val="none"/>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pStyle w:val="6"/>
              <w:snapToGrid w:val="0"/>
              <w:ind w:firstLine="0"/>
              <w:jc w:val="center"/>
              <w:textAlignment w:val="baseline"/>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当年预算执行情况</w:t>
            </w:r>
          </w:p>
        </w:tc>
        <w:tc>
          <w:tcPr>
            <w:tcW w:w="2715" w:type="dxa"/>
            <w:vAlign w:val="center"/>
          </w:tcPr>
          <w:p>
            <w:pPr>
              <w:snapToGrid w:val="0"/>
              <w:jc w:val="center"/>
              <w:textAlignment w:val="baseline"/>
              <w:rPr>
                <w:rFonts w:ascii="宋体" w:hAnsi="宋体" w:eastAsia="宋体" w:cs="宋体"/>
                <w:bCs/>
                <w:sz w:val="24"/>
                <w:szCs w:val="24"/>
                <w:highlight w:val="none"/>
              </w:rPr>
            </w:pPr>
            <w:r>
              <w:rPr>
                <w:rFonts w:hint="eastAsia" w:ascii="宋体" w:hAnsi="宋体" w:eastAsia="宋体" w:cs="宋体"/>
                <w:bCs/>
                <w:sz w:val="24"/>
                <w:szCs w:val="24"/>
                <w:highlight w:val="none"/>
                <w:lang w:val="en-US" w:eastAsia="zh-CN"/>
              </w:rPr>
              <w:t>20</w:t>
            </w:r>
            <w:r>
              <w:rPr>
                <w:rFonts w:hint="eastAsia" w:ascii="宋体" w:hAnsi="宋体" w:eastAsia="宋体" w:cs="宋体"/>
                <w:bCs/>
                <w:sz w:val="24"/>
                <w:szCs w:val="24"/>
                <w:highlight w:val="none"/>
              </w:rPr>
              <w:t>.00</w:t>
            </w:r>
          </w:p>
        </w:tc>
        <w:tc>
          <w:tcPr>
            <w:tcW w:w="2718" w:type="dxa"/>
            <w:gridSpan w:val="2"/>
            <w:vAlign w:val="center"/>
          </w:tcPr>
          <w:p>
            <w:pPr>
              <w:snapToGrid w:val="0"/>
              <w:jc w:val="center"/>
              <w:textAlignment w:val="baseline"/>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snapToGrid w:val="0"/>
              <w:jc w:val="center"/>
              <w:textAlignment w:val="baseline"/>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整体绩效目标实现情况</w:t>
            </w:r>
          </w:p>
        </w:tc>
        <w:tc>
          <w:tcPr>
            <w:tcW w:w="2715" w:type="dxa"/>
            <w:vAlign w:val="center"/>
          </w:tcPr>
          <w:p>
            <w:pPr>
              <w:snapToGrid w:val="0"/>
              <w:jc w:val="center"/>
              <w:textAlignment w:val="baseline"/>
              <w:rPr>
                <w:rFonts w:ascii="宋体" w:hAnsi="宋体" w:eastAsia="宋体" w:cs="宋体"/>
                <w:bCs/>
                <w:sz w:val="24"/>
                <w:szCs w:val="24"/>
                <w:highlight w:val="none"/>
              </w:rPr>
            </w:pPr>
            <w:r>
              <w:rPr>
                <w:rFonts w:hint="eastAsia" w:ascii="宋体" w:hAnsi="宋体" w:eastAsia="宋体" w:cs="宋体"/>
                <w:bCs/>
                <w:sz w:val="24"/>
                <w:szCs w:val="24"/>
                <w:highlight w:val="none"/>
                <w:lang w:val="en-US" w:eastAsia="zh-CN"/>
              </w:rPr>
              <w:t>60</w:t>
            </w:r>
            <w:r>
              <w:rPr>
                <w:rFonts w:hint="eastAsia" w:ascii="宋体" w:hAnsi="宋体" w:eastAsia="宋体" w:cs="宋体"/>
                <w:bCs/>
                <w:sz w:val="24"/>
                <w:szCs w:val="24"/>
                <w:highlight w:val="none"/>
              </w:rPr>
              <w:t>.00</w:t>
            </w:r>
          </w:p>
        </w:tc>
        <w:tc>
          <w:tcPr>
            <w:tcW w:w="2718" w:type="dxa"/>
            <w:gridSpan w:val="2"/>
            <w:vAlign w:val="center"/>
          </w:tcPr>
          <w:p>
            <w:pPr>
              <w:snapToGrid w:val="0"/>
              <w:jc w:val="center"/>
              <w:textAlignment w:val="baseline"/>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59.85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snapToGrid w:val="0"/>
              <w:jc w:val="center"/>
              <w:textAlignment w:val="baseline"/>
              <w:rPr>
                <w:rFonts w:ascii="宋体" w:hAnsi="宋体" w:eastAsia="宋体" w:cs="宋体"/>
                <w:bCs/>
                <w:sz w:val="24"/>
                <w:szCs w:val="24"/>
                <w:highlight w:val="none"/>
              </w:rPr>
            </w:pPr>
            <w:r>
              <w:rPr>
                <w:rFonts w:hint="eastAsia" w:ascii="宋体" w:hAnsi="宋体" w:eastAsia="宋体" w:cs="宋体"/>
                <w:bCs/>
                <w:sz w:val="24"/>
                <w:szCs w:val="24"/>
                <w:highlight w:val="none"/>
                <w:lang w:val="en-US" w:eastAsia="zh-CN"/>
              </w:rPr>
              <w:t>预算管理情况</w:t>
            </w:r>
          </w:p>
        </w:tc>
        <w:tc>
          <w:tcPr>
            <w:tcW w:w="2715" w:type="dxa"/>
            <w:vAlign w:val="center"/>
          </w:tcPr>
          <w:p>
            <w:pPr>
              <w:snapToGrid w:val="0"/>
              <w:jc w:val="center"/>
              <w:textAlignment w:val="baseline"/>
              <w:rPr>
                <w:rFonts w:ascii="宋体" w:hAnsi="宋体" w:eastAsia="宋体" w:cs="宋体"/>
                <w:bCs/>
                <w:sz w:val="24"/>
                <w:szCs w:val="24"/>
                <w:highlight w:val="none"/>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0.00</w:t>
            </w:r>
          </w:p>
        </w:tc>
        <w:tc>
          <w:tcPr>
            <w:tcW w:w="2718" w:type="dxa"/>
            <w:gridSpan w:val="2"/>
            <w:vAlign w:val="center"/>
          </w:tcPr>
          <w:p>
            <w:pPr>
              <w:snapToGrid w:val="0"/>
              <w:jc w:val="center"/>
              <w:textAlignment w:val="baseline"/>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snapToGrid w:val="0"/>
              <w:jc w:val="center"/>
              <w:textAlignment w:val="baseline"/>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总分合计</w:t>
            </w:r>
          </w:p>
        </w:tc>
        <w:tc>
          <w:tcPr>
            <w:tcW w:w="2715" w:type="dxa"/>
            <w:vAlign w:val="center"/>
          </w:tcPr>
          <w:p>
            <w:pPr>
              <w:snapToGrid w:val="0"/>
              <w:jc w:val="center"/>
              <w:textAlignment w:val="baseline"/>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100.00</w:t>
            </w:r>
          </w:p>
        </w:tc>
        <w:tc>
          <w:tcPr>
            <w:tcW w:w="2717" w:type="dxa"/>
            <w:vAlign w:val="center"/>
          </w:tcPr>
          <w:p>
            <w:pPr>
              <w:snapToGrid w:val="0"/>
              <w:jc w:val="center"/>
              <w:textAlignment w:val="baseline"/>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97.74</w:t>
            </w:r>
          </w:p>
        </w:tc>
        <w:tc>
          <w:tcPr>
            <w:tcW w:w="0" w:type="auto"/>
            <w:vAlign w:val="center"/>
          </w:tcPr>
          <w:p>
            <w:pPr>
              <w:snapToGrid w:val="0"/>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snapToGrid w:val="0"/>
              <w:jc w:val="center"/>
              <w:textAlignment w:val="baseline"/>
              <w:rPr>
                <w:rFonts w:ascii="宋体" w:hAnsi="宋体" w:eastAsia="宋体" w:cs="宋体"/>
                <w:bCs/>
                <w:sz w:val="24"/>
                <w:szCs w:val="24"/>
                <w:highlight w:val="none"/>
              </w:rPr>
            </w:pPr>
            <w:r>
              <w:rPr>
                <w:rFonts w:hint="eastAsia" w:ascii="宋体" w:hAnsi="宋体" w:eastAsia="宋体" w:cs="宋体"/>
                <w:bCs/>
                <w:sz w:val="24"/>
                <w:szCs w:val="24"/>
                <w:highlight w:val="none"/>
              </w:rPr>
              <w:t>评定等级</w:t>
            </w:r>
          </w:p>
        </w:tc>
        <w:tc>
          <w:tcPr>
            <w:tcW w:w="5433" w:type="dxa"/>
            <w:gridSpan w:val="3"/>
            <w:vAlign w:val="center"/>
          </w:tcPr>
          <w:p>
            <w:pPr>
              <w:snapToGrid w:val="0"/>
              <w:jc w:val="center"/>
              <w:textAlignment w:val="baseline"/>
              <w:rPr>
                <w:rFonts w:ascii="宋体" w:hAnsi="宋体" w:eastAsia="宋体" w:cs="宋体"/>
                <w:bCs/>
                <w:sz w:val="24"/>
                <w:szCs w:val="24"/>
                <w:highlight w:val="none"/>
              </w:rPr>
            </w:pPr>
            <w:r>
              <w:rPr>
                <w:rFonts w:hint="eastAsia" w:ascii="宋体" w:hAnsi="宋体" w:eastAsia="宋体" w:cs="宋体"/>
                <w:bCs/>
                <w:sz w:val="24"/>
                <w:szCs w:val="24"/>
                <w:highlight w:val="none"/>
              </w:rPr>
              <w:t>优</w:t>
            </w:r>
          </w:p>
        </w:tc>
      </w:tr>
    </w:tbl>
    <w:p>
      <w:pPr>
        <w:snapToGrid w:val="0"/>
        <w:textAlignment w:val="baseline"/>
        <w:rPr>
          <w:rFonts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绩效评价表明，</w:t>
      </w:r>
      <w:r>
        <w:rPr>
          <w:rFonts w:hint="eastAsia" w:ascii="仿宋_GB2312" w:hAnsi="仿宋" w:eastAsia="仿宋_GB2312"/>
          <w:sz w:val="32"/>
          <w:szCs w:val="32"/>
        </w:rPr>
        <w:t>副中心工程</w:t>
      </w:r>
      <w:r>
        <w:rPr>
          <w:rFonts w:hint="eastAsia" w:ascii="仿宋_GB2312" w:hAnsi="仿宋_GB2312" w:eastAsia="仿宋_GB2312" w:cs="仿宋_GB2312"/>
          <w:sz w:val="32"/>
          <w:szCs w:val="32"/>
        </w:rPr>
        <w:t>围绕</w:t>
      </w:r>
      <w:r>
        <w:rPr>
          <w:rFonts w:hint="eastAsia" w:ascii="仿宋_GB2312" w:hAnsi="仿宋_GB2312" w:eastAsia="仿宋_GB2312" w:cs="仿宋_GB2312"/>
          <w:sz w:val="32"/>
          <w:szCs w:val="32"/>
          <w:lang w:val="en-US" w:eastAsia="zh-CN"/>
        </w:rPr>
        <w:t>部门</w:t>
      </w:r>
      <w:r>
        <w:rPr>
          <w:rFonts w:hint="eastAsia" w:ascii="仿宋_GB2312" w:hAnsi="仿宋_GB2312" w:eastAsia="仿宋_GB2312" w:cs="仿宋_GB2312"/>
          <w:sz w:val="32"/>
          <w:szCs w:val="32"/>
        </w:rPr>
        <w:t>职能</w:t>
      </w:r>
      <w:r>
        <w:rPr>
          <w:rFonts w:hint="eastAsia" w:ascii="仿宋_GB2312" w:hAnsi="仿宋_GB2312" w:eastAsia="仿宋_GB2312" w:cs="仿宋_GB2312"/>
          <w:sz w:val="32"/>
          <w:szCs w:val="32"/>
          <w:lang w:val="en-US" w:eastAsia="zh-CN"/>
        </w:rPr>
        <w:t>和年度工作</w:t>
      </w:r>
      <w:r>
        <w:rPr>
          <w:rFonts w:hint="eastAsia" w:ascii="仿宋_GB2312" w:hAnsi="仿宋_GB2312" w:eastAsia="仿宋_GB2312" w:cs="仿宋_GB2312"/>
          <w:sz w:val="32"/>
          <w:szCs w:val="32"/>
        </w:rPr>
        <w:t>任</w:t>
      </w:r>
      <w:r>
        <w:rPr>
          <w:rFonts w:hint="eastAsia" w:ascii="仿宋_GB2312" w:hAnsi="仿宋_GB2312" w:eastAsia="仿宋_GB2312" w:cs="仿宋_GB2312"/>
          <w:sz w:val="32"/>
          <w:szCs w:val="32"/>
          <w:lang w:val="en-US" w:eastAsia="zh-CN"/>
        </w:rPr>
        <w:t>务抓好项目实施，决策依据充分，决策过程规范；预算执行良好，绩效管理有力；产出成果明显，社会效益显著；实现了</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年部门整体绩效目标</w:t>
      </w:r>
      <w:r>
        <w:rPr>
          <w:rFonts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jc w:val="both"/>
        <w:textAlignment w:val="baseline"/>
        <w:rPr>
          <w:rFonts w:hint="default" w:ascii="仿宋_GB2312" w:hAnsi="仿宋_GB2312" w:eastAsia="仿宋_GB2312" w:cs="仿宋_GB2312"/>
          <w:sz w:val="32"/>
          <w:szCs w:val="32"/>
          <w:lang w:val="en-US" w:eastAsia="zh-CN"/>
        </w:rPr>
      </w:pPr>
      <w:bookmarkStart w:id="64" w:name="_Toc23274"/>
      <w:bookmarkStart w:id="65" w:name="_Toc26844"/>
      <w:bookmarkStart w:id="66" w:name="_Toc5651"/>
      <w:bookmarkStart w:id="67" w:name="_Toc3164"/>
      <w:r>
        <w:rPr>
          <w:rFonts w:hint="eastAsia" w:ascii="仿宋_GB2312" w:hAnsi="仿宋_GB2312" w:eastAsia="仿宋_GB2312" w:cs="仿宋_GB2312"/>
          <w:b/>
          <w:bCs/>
          <w:sz w:val="32"/>
          <w:szCs w:val="32"/>
          <w:highlight w:val="none"/>
          <w:lang w:val="en-US" w:eastAsia="zh-CN"/>
        </w:rPr>
        <w:t>1.在运行保障方面</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lang w:val="en-US" w:eastAsia="zh-CN"/>
        </w:rPr>
        <w:t>积极搞好机关运行</w:t>
      </w:r>
      <w:r>
        <w:rPr>
          <w:rFonts w:hint="eastAsia" w:ascii="仿宋_GB2312" w:hAnsi="仿宋_GB2312" w:eastAsia="仿宋_GB2312" w:cs="仿宋_GB2312"/>
          <w:sz w:val="32"/>
          <w:szCs w:val="32"/>
        </w:rPr>
        <w:t>经费</w:t>
      </w:r>
      <w:r>
        <w:rPr>
          <w:rFonts w:hint="eastAsia" w:ascii="仿宋_GB2312" w:hAnsi="仿宋_GB2312" w:eastAsia="仿宋_GB2312" w:cs="仿宋_GB2312"/>
          <w:sz w:val="32"/>
          <w:szCs w:val="32"/>
          <w:lang w:val="en-US" w:eastAsia="zh-CN"/>
        </w:rPr>
        <w:t>保障</w:t>
      </w:r>
      <w:r>
        <w:rPr>
          <w:rFonts w:hint="eastAsia" w:ascii="仿宋_GB2312" w:hAnsi="仿宋_GB2312" w:eastAsia="仿宋_GB2312" w:cs="仿宋_GB2312"/>
          <w:sz w:val="32"/>
          <w:szCs w:val="32"/>
        </w:rPr>
        <w:t>，做好人员经费和招聘计划，按时、足额保障人员工资和社保、公积金等费用缴纳。</w:t>
      </w:r>
      <w:r>
        <w:rPr>
          <w:rFonts w:hint="eastAsia" w:ascii="仿宋_GB2312" w:hAnsi="仿宋_GB2312" w:eastAsia="仿宋_GB2312" w:cs="仿宋_GB2312"/>
          <w:sz w:val="32"/>
          <w:szCs w:val="32"/>
          <w:lang w:val="en-US" w:eastAsia="zh-CN"/>
        </w:rPr>
        <w:t>2023年开支</w:t>
      </w:r>
      <w:r>
        <w:rPr>
          <w:rFonts w:hint="eastAsia" w:ascii="仿宋_GB2312" w:hAnsi="仿宋_GB2312" w:eastAsia="仿宋_GB2312" w:cs="仿宋_GB2312"/>
          <w:sz w:val="32"/>
          <w:szCs w:val="32"/>
        </w:rPr>
        <w:t>人员经费707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80万元，公用经费160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在厉行节约、降低办公成本的基础上，较好地保障了机关正常运转。</w:t>
      </w:r>
    </w:p>
    <w:p>
      <w:pPr>
        <w:keepNext w:val="0"/>
        <w:keepLines w:val="0"/>
        <w:pageBreakBefore w:val="0"/>
        <w:widowControl w:val="0"/>
        <w:suppressAutoHyphens/>
        <w:kinsoku/>
        <w:wordWrap/>
        <w:overflowPunct/>
        <w:topLinePunct w:val="0"/>
        <w:autoSpaceDE/>
        <w:autoSpaceDN/>
        <w:bidi w:val="0"/>
        <w:adjustRightInd w:val="0"/>
        <w:snapToGrid w:val="0"/>
        <w:spacing w:line="580" w:lineRule="exact"/>
        <w:ind w:firstLine="643" w:firstLineChars="200"/>
        <w:rPr>
          <w:rFonts w:hint="default" w:ascii="仿宋_GB2312" w:hAnsi="仿宋_GB2312" w:eastAsia="仿宋_GB2312" w:cs="仿宋_GB2312"/>
          <w:sz w:val="32"/>
          <w:szCs w:val="32"/>
          <w:lang w:val="en-US"/>
        </w:rPr>
      </w:pPr>
      <w:r>
        <w:rPr>
          <w:rFonts w:hint="eastAsia" w:ascii="仿宋_GB2312" w:hAnsi="仿宋_GB2312" w:eastAsia="仿宋_GB2312" w:cs="仿宋_GB2312"/>
          <w:b/>
          <w:bCs/>
          <w:sz w:val="32"/>
          <w:szCs w:val="32"/>
          <w:highlight w:val="none"/>
          <w:lang w:val="en-US" w:eastAsia="zh-CN"/>
        </w:rPr>
        <w:t>2.在经费管理方面</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rPr>
        <w:t>年</w:t>
      </w:r>
      <w:r>
        <w:rPr>
          <w:rFonts w:hint="eastAsia" w:ascii="仿宋_GB2312" w:hAnsi="仿宋" w:eastAsia="仿宋_GB2312"/>
          <w:sz w:val="32"/>
          <w:szCs w:val="32"/>
        </w:rPr>
        <w:t>“三公”经费支出7</w:t>
      </w:r>
      <w:r>
        <w:rPr>
          <w:rFonts w:hint="eastAsia" w:ascii="仿宋_GB2312" w:hAnsi="仿宋" w:eastAsia="仿宋_GB2312"/>
          <w:sz w:val="32"/>
          <w:szCs w:val="32"/>
          <w:lang w:val="en-US" w:eastAsia="zh-CN"/>
        </w:rPr>
        <w:t>.</w:t>
      </w:r>
      <w:r>
        <w:rPr>
          <w:rFonts w:hint="eastAsia" w:ascii="仿宋_GB2312" w:hAnsi="仿宋" w:eastAsia="仿宋_GB2312"/>
          <w:sz w:val="32"/>
          <w:szCs w:val="32"/>
        </w:rPr>
        <w:t>35万元，比上年</w:t>
      </w:r>
      <w:r>
        <w:rPr>
          <w:rFonts w:hint="eastAsia" w:ascii="仿宋_GB2312" w:hAnsi="仿宋" w:eastAsia="仿宋_GB2312"/>
          <w:sz w:val="32"/>
          <w:szCs w:val="32"/>
          <w:lang w:val="en-US" w:eastAsia="zh-CN"/>
        </w:rPr>
        <w:t>增加3.03</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主要因为</w:t>
      </w:r>
      <w:r>
        <w:rPr>
          <w:rFonts w:hint="eastAsia" w:ascii="仿宋_GB2312" w:hAnsi="仿宋" w:eastAsia="仿宋_GB2312"/>
          <w:sz w:val="32"/>
          <w:szCs w:val="32"/>
        </w:rPr>
        <w:t>车辆使用年限高，性能下降，运行维护费增加。培训费支出</w:t>
      </w:r>
      <w:r>
        <w:rPr>
          <w:rFonts w:hint="eastAsia" w:ascii="仿宋_GB2312" w:hAnsi="仿宋" w:eastAsia="仿宋_GB2312"/>
          <w:sz w:val="32"/>
          <w:szCs w:val="32"/>
          <w:lang w:val="en-US" w:eastAsia="zh-CN"/>
        </w:rPr>
        <w:t>2.90</w:t>
      </w:r>
      <w:r>
        <w:rPr>
          <w:rFonts w:hint="eastAsia" w:ascii="仿宋_GB2312" w:hAnsi="仿宋" w:eastAsia="仿宋_GB2312"/>
          <w:sz w:val="32"/>
          <w:szCs w:val="32"/>
        </w:rPr>
        <w:t>万元，比上年</w:t>
      </w:r>
      <w:r>
        <w:rPr>
          <w:rFonts w:hint="eastAsia" w:ascii="仿宋_GB2312" w:hAnsi="仿宋" w:eastAsia="仿宋_GB2312"/>
          <w:sz w:val="32"/>
          <w:szCs w:val="32"/>
          <w:lang w:val="en-US" w:eastAsia="zh-CN"/>
        </w:rPr>
        <w:t>增加1.65</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主要因为工作需要开展相关业务。</w:t>
      </w:r>
      <w:r>
        <w:rPr>
          <w:rFonts w:hint="eastAsia" w:ascii="仿宋_GB2312" w:hAnsi="仿宋" w:eastAsia="仿宋_GB2312"/>
          <w:sz w:val="32"/>
          <w:szCs w:val="32"/>
        </w:rPr>
        <w:t>会议费支出0万元，</w:t>
      </w:r>
      <w:r>
        <w:rPr>
          <w:rFonts w:hint="eastAsia" w:ascii="仿宋_GB2312" w:hAnsi="仿宋" w:eastAsia="仿宋_GB2312"/>
          <w:sz w:val="32"/>
          <w:szCs w:val="32"/>
          <w:lang w:val="en-US" w:eastAsia="zh-CN"/>
        </w:rPr>
        <w:t>与上年持平</w:t>
      </w:r>
      <w:r>
        <w:rPr>
          <w:rFonts w:hint="eastAsia" w:ascii="仿宋_GB2312" w:hAnsi="仿宋" w:eastAsia="仿宋_GB2312"/>
          <w:sz w:val="32"/>
          <w:szCs w:val="32"/>
        </w:rPr>
        <w:t>。</w:t>
      </w:r>
      <w:r>
        <w:rPr>
          <w:rFonts w:hint="eastAsia" w:ascii="仿宋_GB2312" w:hAnsi="仿宋_GB2312" w:eastAsia="仿宋_GB2312" w:cs="仿宋_GB2312"/>
          <w:sz w:val="32"/>
          <w:szCs w:val="32"/>
          <w:lang w:val="en-US" w:eastAsia="zh-CN"/>
        </w:rPr>
        <w:t>总体上</w:t>
      </w:r>
      <w:r>
        <w:rPr>
          <w:rFonts w:hint="eastAsia" w:ascii="仿宋_GB2312" w:hAnsi="仿宋_GB2312" w:eastAsia="仿宋_GB2312" w:cs="仿宋_GB2312"/>
          <w:sz w:val="32"/>
          <w:szCs w:val="32"/>
        </w:rPr>
        <w:t>“三公”经费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会议费、培训费均控制在较低水平。</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jc w:val="both"/>
        <w:textAlignment w:val="baseline"/>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3.在成本控制方面</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年末，一般性支出金额控制在市财政调控使用范围内。</w:t>
      </w:r>
      <w:r>
        <w:rPr>
          <w:rFonts w:hint="eastAsia" w:ascii="仿宋_GB2312" w:hAnsi="仿宋_GB2312" w:eastAsia="仿宋_GB2312" w:cs="仿宋_GB2312"/>
          <w:sz w:val="32"/>
          <w:szCs w:val="32"/>
          <w:lang w:val="en-US" w:eastAsia="zh-CN"/>
        </w:rPr>
        <w:t>在项目实施过程中严格落实政府采购制度，强化项目管理，控制项目成本，节约财政资金。</w:t>
      </w:r>
      <w:r>
        <w:rPr>
          <w:rFonts w:hint="eastAsia" w:ascii="仿宋_GB2312" w:hAnsi="仿宋_GB2312" w:eastAsia="仿宋_GB2312" w:cs="仿宋_GB2312"/>
          <w:sz w:val="32"/>
          <w:szCs w:val="32"/>
          <w:highlight w:val="none"/>
          <w:lang w:val="en-US" w:eastAsia="zh-CN"/>
        </w:rPr>
        <w:t>2023年基本支出和项目支出基本控制在预算批复数内</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项目未出现超支现象</w:t>
      </w:r>
      <w:r>
        <w:rPr>
          <w:rFonts w:hint="eastAsia" w:ascii="仿宋_GB2312" w:hAnsi="仿宋" w:eastAsia="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highlight w:val="none"/>
          <w:lang w:val="en-US" w:eastAsia="zh-CN"/>
        </w:rPr>
        <w:t>4.在绩效管理方面</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rPr>
        <w:t>全面开展绩效评价和事前评审工作，组织各部门对项目</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进行</w:t>
      </w:r>
      <w:r>
        <w:rPr>
          <w:rFonts w:hint="eastAsia" w:ascii="仿宋_GB2312" w:hAnsi="仿宋_GB2312" w:eastAsia="仿宋_GB2312" w:cs="仿宋_GB2312"/>
          <w:sz w:val="32"/>
          <w:szCs w:val="32"/>
          <w:lang w:val="en-US" w:eastAsia="zh-CN"/>
        </w:rPr>
        <w:t>绩效</w:t>
      </w:r>
      <w:r>
        <w:rPr>
          <w:rFonts w:hint="eastAsia" w:ascii="仿宋_GB2312" w:hAnsi="仿宋_GB2312" w:eastAsia="仿宋_GB2312" w:cs="仿宋_GB2312"/>
          <w:sz w:val="32"/>
          <w:szCs w:val="32"/>
        </w:rPr>
        <w:t>自评，聘请会计师事务所对</w:t>
      </w:r>
      <w:r>
        <w:rPr>
          <w:rFonts w:hint="eastAsia" w:ascii="仿宋_GB2312" w:hAnsi="仿宋_GB2312" w:eastAsia="仿宋_GB2312" w:cs="仿宋_GB2312"/>
          <w:sz w:val="32"/>
          <w:szCs w:val="32"/>
          <w:lang w:val="en-US" w:eastAsia="zh-CN"/>
        </w:rPr>
        <w:t>重点</w:t>
      </w:r>
      <w:r>
        <w:rPr>
          <w:rFonts w:hint="eastAsia" w:ascii="仿宋_GB2312" w:hAnsi="仿宋_GB2312" w:eastAsia="仿宋_GB2312" w:cs="仿宋_GB2312"/>
          <w:sz w:val="32"/>
          <w:szCs w:val="32"/>
        </w:rPr>
        <w:t>项目进行绩效评价，落实项目绩效管理要求。对部分202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年拟申报预算项目进行事前</w:t>
      </w:r>
      <w:r>
        <w:rPr>
          <w:rFonts w:hint="eastAsia" w:ascii="仿宋_GB2312" w:hAnsi="仿宋_GB2312" w:eastAsia="仿宋_GB2312" w:cs="仿宋_GB2312"/>
          <w:sz w:val="32"/>
          <w:szCs w:val="32"/>
          <w:lang w:val="en-US" w:eastAsia="zh-CN"/>
        </w:rPr>
        <w:t>绩效评估</w:t>
      </w:r>
      <w:r>
        <w:rPr>
          <w:rFonts w:hint="eastAsia" w:ascii="仿宋_GB2312" w:hAnsi="仿宋_GB2312" w:eastAsia="仿宋_GB2312" w:cs="仿宋_GB2312"/>
          <w:sz w:val="32"/>
          <w:szCs w:val="32"/>
        </w:rPr>
        <w:t>。通过评价</w:t>
      </w:r>
      <w:r>
        <w:rPr>
          <w:rFonts w:hint="eastAsia" w:ascii="仿宋_GB2312" w:hAnsi="仿宋_GB2312" w:eastAsia="仿宋_GB2312" w:cs="仿宋_GB2312"/>
          <w:sz w:val="32"/>
          <w:szCs w:val="32"/>
          <w:lang w:val="en-US" w:eastAsia="zh-CN"/>
        </w:rPr>
        <w:t>评估</w:t>
      </w:r>
      <w:r>
        <w:rPr>
          <w:rFonts w:hint="eastAsia" w:ascii="仿宋_GB2312" w:hAnsi="仿宋_GB2312" w:eastAsia="仿宋_GB2312" w:cs="仿宋_GB2312"/>
          <w:sz w:val="32"/>
          <w:szCs w:val="32"/>
        </w:rPr>
        <w:t>，增强各部门支出责任和效率意识，提高项目管理水平和资金使用效益</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jc w:val="left"/>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highlight w:val="none"/>
          <w:lang w:val="en-US" w:eastAsia="zh-CN"/>
        </w:rPr>
        <w:t>5.在咨询服务方面</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Cs/>
          <w:sz w:val="32"/>
          <w:szCs w:val="32"/>
          <w:highlight w:val="none"/>
        </w:rPr>
        <w:t>发布</w:t>
      </w:r>
      <w:r>
        <w:rPr>
          <w:rFonts w:hint="eastAsia" w:ascii="仿宋_GB2312" w:hAnsi="仿宋_GB2312" w:eastAsia="仿宋_GB2312" w:cs="仿宋_GB2312"/>
          <w:bCs/>
          <w:sz w:val="32"/>
          <w:szCs w:val="32"/>
          <w:highlight w:val="none"/>
          <w:lang w:val="zh-CN"/>
        </w:rPr>
        <w:t>《北京城市副中心行政办公区钢结构工程建设技术导则》，</w:t>
      </w:r>
      <w:r>
        <w:rPr>
          <w:rFonts w:hint="eastAsia" w:ascii="仿宋_GB2312" w:hAnsi="仿宋_GB2312" w:eastAsia="仿宋_GB2312" w:cs="仿宋_GB2312"/>
          <w:bCs/>
          <w:sz w:val="32"/>
          <w:szCs w:val="32"/>
          <w:highlight w:val="none"/>
          <w:lang w:val="en-US" w:eastAsia="zh-CN"/>
        </w:rPr>
        <w:t>对</w:t>
      </w:r>
      <w:r>
        <w:rPr>
          <w:rFonts w:hint="eastAsia" w:ascii="仿宋_GB2312" w:hAnsi="仿宋_GB2312" w:eastAsia="仿宋_GB2312" w:cs="仿宋_GB2312"/>
          <w:bCs/>
          <w:sz w:val="32"/>
          <w:szCs w:val="32"/>
          <w:highlight w:val="none"/>
        </w:rPr>
        <w:t>钢结构工程设计、深化加工、制作安装、防腐防火、检验检测等全流程，</w:t>
      </w:r>
      <w:r>
        <w:rPr>
          <w:rFonts w:hint="eastAsia" w:ascii="仿宋_GB2312" w:hAnsi="仿宋_GB2312" w:eastAsia="仿宋_GB2312" w:cs="仿宋_GB2312"/>
          <w:bCs/>
          <w:sz w:val="32"/>
          <w:szCs w:val="32"/>
          <w:highlight w:val="none"/>
          <w:lang w:val="zh-CN"/>
        </w:rPr>
        <w:t>对指导和规范行政办公区钢结构工程具有重要作用，</w:t>
      </w:r>
      <w:r>
        <w:rPr>
          <w:rFonts w:hint="eastAsia" w:ascii="仿宋_GB2312" w:hAnsi="仿宋_GB2312" w:eastAsia="仿宋_GB2312" w:cs="仿宋_GB2312"/>
          <w:bCs/>
          <w:sz w:val="32"/>
          <w:szCs w:val="32"/>
          <w:highlight w:val="none"/>
        </w:rPr>
        <w:t>为政府投资工程提供了可借鉴、可推广的副中心经验。</w:t>
      </w:r>
      <w:r>
        <w:rPr>
          <w:rFonts w:hint="eastAsia" w:ascii="仿宋_GB2312" w:hAnsi="仿宋" w:eastAsia="仿宋_GB2312"/>
          <w:sz w:val="32"/>
          <w:szCs w:val="32"/>
          <w:highlight w:val="none"/>
        </w:rPr>
        <w:t>梳理2021年以来印发的技术指南、指导意见、质量管理文件、重要机电设备技术规格书、提示通知及相关会议纪要，形成了质量管理文件汇编</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四</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，并将重要机电设备技术规格书单独成册</w:t>
      </w:r>
      <w:r>
        <w:rPr>
          <w:rFonts w:hint="eastAsia" w:ascii="仿宋_GB2312" w:hAnsi="仿宋_GB2312" w:eastAsia="仿宋_GB2312" w:cs="仿宋_GB2312"/>
          <w:sz w:val="32"/>
          <w:szCs w:val="32"/>
        </w:rPr>
        <w:t>依法合规为副中心建设项目</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afterAutospacing="0" w:line="580" w:lineRule="exact"/>
        <w:ind w:left="0" w:leftChars="0" w:firstLine="643" w:firstLineChars="200"/>
        <w:textAlignment w:val="baseline"/>
        <w:outlineLvl w:val="1"/>
        <w:rPr>
          <w:rFonts w:ascii="楷体_GB2312" w:eastAsia="楷体_GB2312"/>
          <w:b/>
          <w:bCs/>
          <w:sz w:val="32"/>
          <w:szCs w:val="32"/>
        </w:rPr>
      </w:pPr>
      <w:r>
        <w:rPr>
          <w:rFonts w:hint="eastAsia" w:ascii="楷体_GB2312" w:eastAsia="楷体_GB2312"/>
          <w:b/>
          <w:bCs/>
          <w:sz w:val="32"/>
          <w:szCs w:val="32"/>
        </w:rPr>
        <w:t>（二）存在的问题及原因分析</w:t>
      </w:r>
      <w:bookmarkEnd w:id="64"/>
      <w:bookmarkEnd w:id="65"/>
      <w:bookmarkEnd w:id="66"/>
      <w:bookmarkEnd w:id="67"/>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default" w:ascii="仿宋_GB2312" w:hAnsi="仿宋_GB2312" w:eastAsia="仿宋_GB2312" w:cs="仿宋_GB2312"/>
          <w:b/>
          <w:bCs/>
          <w:kern w:val="0"/>
          <w:sz w:val="32"/>
          <w:szCs w:val="32"/>
          <w:highlight w:val="none"/>
          <w:shd w:val="clear" w:color="auto" w:fill="auto"/>
          <w:lang w:val="en-US" w:eastAsia="zh-CN" w:bidi="ar-SA"/>
        </w:rPr>
      </w:pPr>
      <w:r>
        <w:rPr>
          <w:rFonts w:hint="eastAsia" w:ascii="仿宋_GB2312" w:hAnsi="仿宋_GB2312" w:eastAsia="仿宋_GB2312" w:cs="仿宋_GB2312"/>
          <w:b/>
          <w:bCs/>
          <w:kern w:val="0"/>
          <w:sz w:val="32"/>
          <w:szCs w:val="32"/>
          <w:highlight w:val="none"/>
          <w:shd w:val="clear" w:color="auto" w:fill="auto"/>
          <w:lang w:val="en-US" w:eastAsia="zh-CN" w:bidi="ar-SA"/>
        </w:rPr>
        <w:t>1.绩效指标设置不够完整</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baseline"/>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202201（C2装修改造工程）》《202202（A4-D装修改扩建工程）》《202203》《房产测绘登记》《智慧建造平台云服务器租用》等5个项目没有设置数量指标，占项目总数的35.71%。数量指标作为必设指标应设未设，导致重要指标缺失。</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auto"/>
        <w:rPr>
          <w:rFonts w:hint="default" w:ascii="仿宋_GB2312" w:hAnsi="仿宋_GB2312" w:eastAsia="仿宋_GB2312" w:cs="仿宋_GB2312"/>
          <w:b/>
          <w:bCs/>
          <w:kern w:val="0"/>
          <w:sz w:val="32"/>
          <w:szCs w:val="32"/>
          <w:highlight w:val="none"/>
          <w:shd w:val="clear" w:color="auto" w:fill="auto"/>
          <w:lang w:val="en-US" w:eastAsia="zh-CN" w:bidi="ar-SA"/>
        </w:rPr>
      </w:pPr>
      <w:r>
        <w:rPr>
          <w:rFonts w:hint="eastAsia" w:ascii="仿宋_GB2312" w:hAnsi="仿宋_GB2312" w:eastAsia="仿宋_GB2312" w:cs="仿宋_GB2312"/>
          <w:b/>
          <w:bCs/>
          <w:kern w:val="0"/>
          <w:sz w:val="32"/>
          <w:szCs w:val="32"/>
          <w:highlight w:val="none"/>
          <w:shd w:val="clear" w:color="auto" w:fill="auto"/>
          <w:lang w:val="en-US" w:eastAsia="zh-CN" w:bidi="ar-SA"/>
        </w:rPr>
        <w:t>2.个别项目指标未能如期完成</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baseline"/>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《档案整理及其数字化工作》数量指标“档案数字化”指标值为“</w:t>
      </w:r>
      <w:r>
        <w:rPr>
          <w:rFonts w:hint="default"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75000页”，实际完成37210页。</w:t>
      </w:r>
    </w:p>
    <w:p>
      <w:pPr>
        <w:pStyle w:val="22"/>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rPr>
          <w:rFonts w:hint="default" w:ascii="仿宋_GB2312" w:hAnsi="仿宋_GB2312" w:eastAsia="仿宋_GB2312" w:cs="仿宋_GB2312"/>
          <w:b/>
          <w:bCs/>
          <w:kern w:val="0"/>
          <w:sz w:val="32"/>
          <w:szCs w:val="32"/>
          <w:highlight w:val="none"/>
          <w:shd w:val="clear" w:color="auto" w:fill="auto"/>
          <w:lang w:val="en-US" w:eastAsia="zh-CN" w:bidi="ar-SA"/>
        </w:rPr>
      </w:pPr>
      <w:r>
        <w:rPr>
          <w:rFonts w:hint="eastAsia" w:ascii="仿宋_GB2312" w:hAnsi="仿宋_GB2312" w:eastAsia="仿宋_GB2312" w:cs="仿宋_GB2312"/>
          <w:b/>
          <w:bCs/>
          <w:kern w:val="0"/>
          <w:sz w:val="32"/>
          <w:szCs w:val="32"/>
          <w:highlight w:val="none"/>
          <w:shd w:val="clear" w:color="auto" w:fill="auto"/>
          <w:lang w:val="en-US" w:eastAsia="zh-CN" w:bidi="ar-SA"/>
        </w:rPr>
        <w:t>3.个别项目未按期完成</w:t>
      </w:r>
    </w:p>
    <w:p>
      <w:pPr>
        <w:pStyle w:val="22"/>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截至2023年12月底，</w:t>
      </w:r>
      <w:r>
        <w:rPr>
          <w:rFonts w:hint="eastAsia" w:ascii="仿宋_GB2312" w:hAnsi="仿宋_GB2312" w:eastAsia="仿宋_GB2312" w:cs="仿宋_GB2312"/>
          <w:sz w:val="32"/>
          <w:szCs w:val="32"/>
          <w:highlight w:val="none"/>
          <w:lang w:val="en-US" w:eastAsia="zh-CN"/>
        </w:rPr>
        <w:t>《因公出国（境）》项目未能完成。主要原因是</w:t>
      </w:r>
      <w:r>
        <w:rPr>
          <w:rFonts w:hint="eastAsia" w:ascii="仿宋_GB2312" w:hAnsi="仿宋" w:eastAsia="仿宋_GB2312"/>
          <w:sz w:val="32"/>
          <w:szCs w:val="32"/>
          <w:lang w:val="en-US" w:eastAsia="zh-CN"/>
        </w:rPr>
        <w:t>受行政办公区工程保竣工入驻</w:t>
      </w:r>
      <w:r>
        <w:rPr>
          <w:rFonts w:hint="eastAsia" w:ascii="仿宋_GB2312" w:hAnsi="仿宋" w:eastAsia="仿宋_GB2312"/>
          <w:sz w:val="32"/>
          <w:szCs w:val="32"/>
        </w:rPr>
        <w:t>的影响，</w:t>
      </w:r>
      <w:r>
        <w:rPr>
          <w:rFonts w:hint="eastAsia" w:ascii="仿宋_GB2312" w:hAnsi="仿宋" w:eastAsia="仿宋_GB2312"/>
          <w:sz w:val="32"/>
          <w:szCs w:val="32"/>
          <w:lang w:eastAsia="zh-CN"/>
        </w:rPr>
        <w:t>未安排</w:t>
      </w:r>
      <w:r>
        <w:rPr>
          <w:rFonts w:hint="eastAsia" w:ascii="仿宋_GB2312" w:hAnsi="仿宋" w:eastAsia="仿宋_GB2312"/>
          <w:sz w:val="32"/>
          <w:szCs w:val="32"/>
        </w:rPr>
        <w:t>因公出国计划</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baseline"/>
        <w:outlineLvl w:val="0"/>
        <w:rPr>
          <w:rFonts w:ascii="黑体" w:hAnsi="黑体" w:eastAsia="黑体" w:cs="黑体"/>
          <w:sz w:val="32"/>
          <w:szCs w:val="32"/>
        </w:rPr>
      </w:pPr>
      <w:bookmarkStart w:id="68" w:name="_Toc20952"/>
      <w:bookmarkStart w:id="69" w:name="_Toc9365"/>
      <w:bookmarkStart w:id="70" w:name="_Toc22090"/>
      <w:bookmarkStart w:id="71" w:name="_Toc22084"/>
      <w:r>
        <w:rPr>
          <w:rFonts w:hint="eastAsia" w:ascii="黑体" w:hAnsi="黑体" w:eastAsia="黑体" w:cs="宋体"/>
          <w:color w:val="000000"/>
          <w:kern w:val="0"/>
          <w:sz w:val="32"/>
          <w:szCs w:val="32"/>
        </w:rPr>
        <w:t>六、措施建议</w:t>
      </w:r>
      <w:bookmarkEnd w:id="68"/>
      <w:bookmarkEnd w:id="69"/>
      <w:bookmarkEnd w:id="70"/>
      <w:bookmarkEnd w:id="71"/>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baseline"/>
        <w:outlineLvl w:val="9"/>
        <w:rPr>
          <w:rFonts w:ascii="楷体_GB2312" w:eastAsia="楷体_GB2312"/>
          <w:b/>
          <w:bCs/>
          <w:sz w:val="32"/>
          <w:szCs w:val="32"/>
          <w:highlight w:val="none"/>
        </w:rPr>
      </w:pPr>
      <w:bookmarkStart w:id="72" w:name="_Toc5174"/>
      <w:bookmarkStart w:id="73" w:name="_Toc61602327"/>
      <w:bookmarkStart w:id="74" w:name="_Toc61602288"/>
      <w:bookmarkStart w:id="75" w:name="_Toc61602478"/>
      <w:bookmarkStart w:id="76" w:name="_Toc19425"/>
      <w:r>
        <w:rPr>
          <w:rFonts w:hint="eastAsia" w:ascii="楷体_GB2312" w:eastAsia="楷体_GB2312"/>
          <w:b/>
          <w:bCs/>
          <w:sz w:val="32"/>
          <w:szCs w:val="32"/>
          <w:highlight w:val="none"/>
          <w:lang w:val="en-US" w:eastAsia="zh-CN"/>
        </w:rPr>
        <w:t>（一）</w:t>
      </w:r>
      <w:r>
        <w:rPr>
          <w:rFonts w:hint="eastAsia" w:ascii="楷体_GB2312" w:eastAsia="楷体_GB2312"/>
          <w:b/>
          <w:bCs/>
          <w:sz w:val="32"/>
          <w:szCs w:val="32"/>
          <w:highlight w:val="none"/>
        </w:rPr>
        <w:t>决策方面</w:t>
      </w:r>
      <w:bookmarkEnd w:id="72"/>
      <w:bookmarkEnd w:id="73"/>
      <w:bookmarkEnd w:id="74"/>
      <w:bookmarkEnd w:id="75"/>
      <w:bookmarkEnd w:id="76"/>
    </w:p>
    <w:p>
      <w:pPr>
        <w:pStyle w:val="16"/>
        <w:keepNext w:val="0"/>
        <w:keepLines w:val="0"/>
        <w:pageBreakBefore w:val="0"/>
        <w:widowControl/>
        <w:kinsoku/>
        <w:wordWrap/>
        <w:overflowPunct/>
        <w:topLinePunct w:val="0"/>
        <w:autoSpaceDE/>
        <w:autoSpaceDN/>
        <w:bidi w:val="0"/>
        <w:adjustRightInd w:val="0"/>
        <w:snapToGrid w:val="0"/>
        <w:spacing w:beforeAutospacing="0" w:afterAutospacing="0" w:line="580" w:lineRule="exact"/>
        <w:ind w:firstLine="640" w:firstLineChars="200"/>
        <w:jc w:val="both"/>
        <w:textAlignment w:val="auto"/>
        <w:outlineLvl w:val="9"/>
        <w:rPr>
          <w:rFonts w:hint="default" w:ascii="仿宋_GB2312" w:hAnsi="仿宋_GB2312" w:eastAsia="仿宋_GB2312" w:cs="仿宋_GB2312"/>
          <w:sz w:val="32"/>
          <w:szCs w:val="32"/>
          <w:highlight w:val="none"/>
          <w:lang w:val="en-US" w:eastAsia="zh-CN"/>
        </w:rPr>
      </w:pPr>
      <w:bookmarkStart w:id="77" w:name="_Toc61602479"/>
      <w:bookmarkStart w:id="78" w:name="_Toc61602289"/>
      <w:bookmarkStart w:id="79" w:name="_Toc61602328"/>
      <w:r>
        <w:rPr>
          <w:rFonts w:hint="eastAsia" w:ascii="仿宋_GB2312" w:hAnsi="仿宋_GB2312" w:eastAsia="仿宋_GB2312" w:cs="仿宋_GB2312"/>
          <w:sz w:val="32"/>
          <w:szCs w:val="32"/>
          <w:highlight w:val="none"/>
          <w:lang w:val="en-US" w:eastAsia="zh-CN"/>
        </w:rPr>
        <w:t>进一步提升预算编制的科学性和准确性，细化预算内容，明确测算依据，加强对项目完成情况和预算执行情况的督促管理，建立跟踪督导和项目调度制度，加快项目执行，确保项目任务和相关指标按期完成，提高经费使用效益和保障效率。</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baseline"/>
        <w:outlineLvl w:val="9"/>
        <w:rPr>
          <w:rFonts w:ascii="楷体_GB2312" w:eastAsia="楷体_GB2312"/>
          <w:b/>
          <w:bCs/>
          <w:sz w:val="32"/>
          <w:szCs w:val="32"/>
          <w:highlight w:val="none"/>
        </w:rPr>
      </w:pPr>
      <w:bookmarkStart w:id="80" w:name="_Toc18833"/>
      <w:bookmarkStart w:id="81" w:name="_Toc2305"/>
      <w:r>
        <w:rPr>
          <w:rFonts w:hint="eastAsia" w:ascii="楷体_GB2312" w:eastAsia="楷体_GB2312"/>
          <w:b/>
          <w:bCs/>
          <w:sz w:val="32"/>
          <w:szCs w:val="32"/>
          <w:highlight w:val="none"/>
          <w:lang w:val="en-US" w:eastAsia="zh-CN"/>
        </w:rPr>
        <w:t>（二）</w:t>
      </w:r>
      <w:r>
        <w:rPr>
          <w:rFonts w:hint="eastAsia" w:ascii="楷体_GB2312" w:eastAsia="楷体_GB2312"/>
          <w:b/>
          <w:bCs/>
          <w:sz w:val="32"/>
          <w:szCs w:val="32"/>
          <w:highlight w:val="none"/>
        </w:rPr>
        <w:t>管理方面</w:t>
      </w:r>
      <w:bookmarkEnd w:id="77"/>
      <w:bookmarkEnd w:id="78"/>
      <w:bookmarkEnd w:id="79"/>
      <w:bookmarkEnd w:id="80"/>
      <w:bookmarkEnd w:id="8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eastAsia="zh-CN"/>
        </w:rPr>
      </w:pPr>
      <w:r>
        <w:rPr>
          <w:rFonts w:hint="default" w:ascii="Times New Roman" w:hAnsi="Times New Roman" w:eastAsia="仿宋_GB2312" w:cs="Times New Roman"/>
          <w:sz w:val="32"/>
          <w:szCs w:val="32"/>
          <w:lang w:val="en-US" w:eastAsia="zh-CN"/>
        </w:rPr>
        <w:t>在项目申报和组织实施中</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周密</w:t>
      </w:r>
      <w:r>
        <w:rPr>
          <w:rFonts w:hint="default" w:ascii="Times New Roman" w:hAnsi="Times New Roman" w:eastAsia="仿宋_GB2312" w:cs="Times New Roman"/>
          <w:sz w:val="32"/>
          <w:szCs w:val="32"/>
        </w:rPr>
        <w:t>制定项目实施方案</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明确</w:t>
      </w:r>
      <w:r>
        <w:rPr>
          <w:rFonts w:hint="default" w:ascii="Times New Roman" w:hAnsi="Times New Roman" w:eastAsia="仿宋_GB2312" w:cs="Times New Roman"/>
          <w:sz w:val="32"/>
          <w:szCs w:val="32"/>
        </w:rPr>
        <w:t>组织分工、进度安排</w:t>
      </w:r>
      <w:r>
        <w:rPr>
          <w:rFonts w:hint="eastAsia" w:ascii="Times New Roman" w:hAnsi="Times New Roman" w:eastAsia="仿宋_GB2312" w:cs="Times New Roman"/>
          <w:sz w:val="32"/>
          <w:szCs w:val="32"/>
          <w:lang w:val="en-US" w:eastAsia="zh-CN"/>
        </w:rPr>
        <w:t>和技术路线</w:t>
      </w:r>
      <w:r>
        <w:rPr>
          <w:rFonts w:hint="default" w:ascii="Times New Roman" w:hAnsi="Times New Roman" w:eastAsia="仿宋_GB2312" w:cs="Times New Roman"/>
          <w:sz w:val="32"/>
          <w:szCs w:val="32"/>
        </w:rPr>
        <w:t>。及时归集各项资料，统计汇总业务及管理数据，建立项目档案</w:t>
      </w:r>
      <w:r>
        <w:rPr>
          <w:rFonts w:hint="default" w:ascii="Times New Roman" w:hAnsi="Times New Roman" w:eastAsia="仿宋_GB2312" w:cs="Times New Roman"/>
          <w:sz w:val="32"/>
          <w:szCs w:val="32"/>
          <w:lang w:eastAsia="zh-CN"/>
        </w:rPr>
        <w:t>。</w:t>
      </w:r>
      <w:r>
        <w:rPr>
          <w:rFonts w:hint="eastAsia" w:ascii="仿宋_GB2312" w:hAnsi="仿宋_GB2312" w:eastAsia="仿宋_GB2312" w:cs="仿宋_GB2312"/>
          <w:sz w:val="32"/>
          <w:szCs w:val="32"/>
          <w:lang w:val="en-US" w:eastAsia="zh-CN"/>
        </w:rPr>
        <w:t>根据单位特点，研究改进资产调剂管理办法，及时变更和理顺权属关系。</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3" w:firstLineChars="200"/>
        <w:textAlignment w:val="baseline"/>
        <w:outlineLvl w:val="9"/>
        <w:rPr>
          <w:rFonts w:ascii="楷体_GB2312" w:eastAsia="楷体_GB2312"/>
          <w:b/>
          <w:bCs/>
          <w:sz w:val="32"/>
          <w:szCs w:val="32"/>
          <w:highlight w:val="none"/>
        </w:rPr>
      </w:pPr>
      <w:bookmarkStart w:id="82" w:name="_Toc21856"/>
      <w:bookmarkStart w:id="83" w:name="_Toc61602329"/>
      <w:bookmarkStart w:id="84" w:name="_Toc61602290"/>
      <w:bookmarkStart w:id="85" w:name="_Toc14538"/>
      <w:bookmarkStart w:id="86" w:name="_Toc61602480"/>
      <w:r>
        <w:rPr>
          <w:rFonts w:hint="eastAsia" w:ascii="楷体_GB2312" w:eastAsia="楷体_GB2312"/>
          <w:b/>
          <w:bCs/>
          <w:sz w:val="32"/>
          <w:szCs w:val="32"/>
          <w:highlight w:val="none"/>
          <w:lang w:val="en-US" w:eastAsia="zh-CN"/>
        </w:rPr>
        <w:t>（三）</w:t>
      </w:r>
      <w:r>
        <w:rPr>
          <w:rFonts w:hint="eastAsia" w:ascii="楷体_GB2312" w:eastAsia="楷体_GB2312"/>
          <w:b/>
          <w:bCs/>
          <w:sz w:val="32"/>
          <w:szCs w:val="32"/>
          <w:highlight w:val="none"/>
        </w:rPr>
        <w:t>绩效方面</w:t>
      </w:r>
      <w:bookmarkEnd w:id="82"/>
      <w:bookmarkEnd w:id="83"/>
      <w:bookmarkEnd w:id="84"/>
      <w:bookmarkEnd w:id="85"/>
      <w:bookmarkEnd w:id="86"/>
    </w:p>
    <w:p>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baseline"/>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组织相关部门认真学习预算绩效管理办法</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掌握绩效目标和指标设置的基本要求，把数量指标作为必设指标贯穿到各项目绩效目标设置之中，提高绩效指标设置的系统性、规范性和可考量性。对绩效目标偏离情况及时进行分析和评估，找出具体原因，及时予以纠正和调整。</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baseline"/>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baseline"/>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附件：</w:t>
      </w:r>
      <w:r>
        <w:rPr>
          <w:rFonts w:hint="eastAsia" w:ascii="仿宋_GB2312" w:hAnsi="仿宋_GB2312" w:eastAsia="仿宋_GB2312" w:cs="仿宋_GB2312"/>
          <w:sz w:val="32"/>
          <w:szCs w:val="32"/>
          <w:highlight w:val="none"/>
          <w:lang w:val="en-US" w:eastAsia="zh-CN"/>
        </w:rPr>
        <w:t>2023年部门整体绩效评价指标体系评分表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baseline"/>
        <w:outlineLvl w:val="9"/>
        <w:rPr>
          <w:rFonts w:hint="eastAsia" w:ascii="仿宋_GB2312" w:hAnsi="仿宋_GB2312" w:eastAsia="仿宋_GB2312" w:cs="仿宋_GB2312"/>
          <w:bCs/>
          <w:kern w:val="44"/>
          <w:sz w:val="32"/>
          <w:szCs w:val="32"/>
          <w:lang w:val="en-US" w:eastAsia="zh-CN"/>
        </w:rPr>
      </w:pPr>
      <w:r>
        <w:rPr>
          <w:rFonts w:hint="eastAsia" w:ascii="仿宋_GB2312" w:hAnsi="仿宋_GB2312" w:eastAsia="仿宋_GB2312" w:cs="仿宋_GB2312"/>
          <w:bCs/>
          <w:kern w:val="44"/>
          <w:sz w:val="32"/>
          <w:szCs w:val="32"/>
        </w:rPr>
        <w:t xml:space="preserve"> </w:t>
      </w:r>
      <w:bookmarkStart w:id="87" w:name="_Toc20717"/>
      <w:r>
        <w:rPr>
          <w:rFonts w:hint="eastAsia" w:ascii="仿宋_GB2312" w:hAnsi="仿宋_GB2312" w:eastAsia="仿宋_GB2312" w:cs="仿宋_GB2312"/>
          <w:bCs/>
          <w:kern w:val="44"/>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baseline"/>
        <w:outlineLvl w:val="9"/>
        <w:rPr>
          <w:rFonts w:hint="eastAsia" w:ascii="仿宋_GB2312" w:hAnsi="仿宋_GB2312" w:eastAsia="仿宋_GB2312" w:cs="仿宋_GB2312"/>
          <w:bCs/>
          <w:kern w:val="44"/>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baseline"/>
        <w:outlineLvl w:val="9"/>
        <w:rPr>
          <w:rFonts w:hint="eastAsia" w:ascii="仿宋_GB2312" w:hAnsi="仿宋_GB2312" w:eastAsia="仿宋_GB2312" w:cs="仿宋_GB2312"/>
          <w:bCs/>
          <w:kern w:val="44"/>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baseline"/>
        <w:outlineLvl w:val="9"/>
        <w:rPr>
          <w:rFonts w:hint="eastAsia" w:ascii="仿宋_GB2312" w:hAnsi="仿宋_GB2312" w:eastAsia="仿宋_GB2312" w:cs="仿宋_GB2312"/>
          <w:bCs/>
          <w:kern w:val="44"/>
          <w:sz w:val="32"/>
          <w:szCs w:val="32"/>
        </w:rPr>
      </w:pPr>
      <w:r>
        <w:rPr>
          <w:rFonts w:hint="eastAsia" w:ascii="仿宋_GB2312" w:hAnsi="仿宋_GB2312" w:eastAsia="仿宋_GB2312" w:cs="仿宋_GB2312"/>
          <w:bCs/>
          <w:kern w:val="44"/>
          <w:sz w:val="32"/>
          <w:szCs w:val="32"/>
          <w:lang w:val="en-US" w:eastAsia="zh-CN"/>
        </w:rPr>
        <w:t xml:space="preserve">            </w:t>
      </w:r>
      <w:r>
        <w:rPr>
          <w:rFonts w:hint="eastAsia" w:ascii="仿宋_GB2312" w:hAnsi="仿宋_GB2312" w:eastAsia="仿宋_GB2312" w:cs="仿宋_GB2312"/>
          <w:bCs/>
          <w:kern w:val="44"/>
          <w:sz w:val="32"/>
          <w:szCs w:val="32"/>
        </w:rPr>
        <w:t>202</w:t>
      </w:r>
      <w:r>
        <w:rPr>
          <w:rFonts w:hint="eastAsia" w:ascii="仿宋_GB2312" w:hAnsi="仿宋_GB2312" w:eastAsia="仿宋_GB2312" w:cs="仿宋_GB2312"/>
          <w:bCs/>
          <w:kern w:val="44"/>
          <w:sz w:val="32"/>
          <w:szCs w:val="32"/>
          <w:lang w:val="en-US" w:eastAsia="zh-CN"/>
        </w:rPr>
        <w:t>4</w:t>
      </w:r>
      <w:r>
        <w:rPr>
          <w:rFonts w:hint="eastAsia" w:ascii="仿宋_GB2312" w:hAnsi="仿宋_GB2312" w:eastAsia="仿宋_GB2312" w:cs="仿宋_GB2312"/>
          <w:bCs/>
          <w:kern w:val="44"/>
          <w:sz w:val="32"/>
          <w:szCs w:val="32"/>
        </w:rPr>
        <w:t>年5月</w:t>
      </w:r>
      <w:r>
        <w:rPr>
          <w:rFonts w:hint="eastAsia" w:ascii="仿宋_GB2312" w:hAnsi="仿宋_GB2312" w:eastAsia="仿宋_GB2312" w:cs="仿宋_GB2312"/>
          <w:bCs/>
          <w:kern w:val="44"/>
          <w:sz w:val="32"/>
          <w:szCs w:val="32"/>
          <w:lang w:val="en-US" w:eastAsia="zh-CN"/>
        </w:rPr>
        <w:t>11</w:t>
      </w:r>
      <w:r>
        <w:rPr>
          <w:rFonts w:hint="eastAsia" w:ascii="仿宋_GB2312" w:hAnsi="仿宋_GB2312" w:eastAsia="仿宋_GB2312" w:cs="仿宋_GB2312"/>
          <w:bCs/>
          <w:kern w:val="44"/>
          <w:sz w:val="32"/>
          <w:szCs w:val="32"/>
        </w:rPr>
        <w:t>日</w:t>
      </w:r>
      <w:bookmarkEnd w:id="87"/>
    </w:p>
    <w:p>
      <w:pPr>
        <w:pStyle w:val="6"/>
        <w:keepNext w:val="0"/>
        <w:keepLines w:val="0"/>
        <w:pageBreakBefore w:val="0"/>
        <w:widowControl w:val="0"/>
        <w:kinsoku/>
        <w:wordWrap/>
        <w:overflowPunct/>
        <w:topLinePunct w:val="0"/>
        <w:autoSpaceDE/>
        <w:autoSpaceDN/>
        <w:bidi w:val="0"/>
        <w:adjustRightInd w:val="0"/>
        <w:snapToGrid w:val="0"/>
        <w:spacing w:line="560" w:lineRule="exact"/>
        <w:sectPr>
          <w:footerReference r:id="rId3" w:type="default"/>
          <w:pgSz w:w="11906" w:h="16838"/>
          <w:pgMar w:top="1701" w:right="1701" w:bottom="1701" w:left="1701" w:header="851" w:footer="992" w:gutter="0"/>
          <w:pgNumType w:start="1"/>
          <w:cols w:space="425" w:num="1"/>
          <w:docGrid w:type="lines" w:linePitch="312" w:charSpace="0"/>
        </w:sectPr>
      </w:pPr>
    </w:p>
    <w:p>
      <w:pPr>
        <w:pStyle w:val="6"/>
        <w:keepNext w:val="0"/>
        <w:keepLines w:val="0"/>
        <w:pageBreakBefore w:val="0"/>
        <w:widowControl w:val="0"/>
        <w:kinsoku/>
        <w:wordWrap/>
        <w:overflowPunct/>
        <w:topLinePunct w:val="0"/>
        <w:autoSpaceDE/>
        <w:autoSpaceDN/>
        <w:bidi w:val="0"/>
        <w:adjustRightInd w:val="0"/>
        <w:snapToGrid w:val="0"/>
        <w:spacing w:line="560" w:lineRule="exact"/>
        <w:ind w:firstLine="0"/>
        <w:textAlignment w:val="auto"/>
        <w:rPr>
          <w:rFonts w:hint="eastAsia" w:eastAsiaTheme="minorEastAsia"/>
          <w:lang w:val="en-US" w:eastAsia="zh-CN"/>
        </w:rPr>
      </w:pPr>
      <w:r>
        <w:rPr>
          <w:rFonts w:hint="eastAsia"/>
          <w:lang w:val="en-US" w:eastAsia="zh-CN"/>
        </w:rPr>
        <w:t>附件</w:t>
      </w:r>
    </w:p>
    <w:tbl>
      <w:tblPr>
        <w:tblStyle w:val="19"/>
        <w:tblW w:w="5092" w:type="pct"/>
        <w:jc w:val="center"/>
        <w:tblLayout w:type="fixed"/>
        <w:tblCellMar>
          <w:top w:w="0" w:type="dxa"/>
          <w:left w:w="108" w:type="dxa"/>
          <w:bottom w:w="0" w:type="dxa"/>
          <w:right w:w="108" w:type="dxa"/>
        </w:tblCellMar>
      </w:tblPr>
      <w:tblGrid>
        <w:gridCol w:w="836"/>
        <w:gridCol w:w="1069"/>
        <w:gridCol w:w="1261"/>
        <w:gridCol w:w="1273"/>
        <w:gridCol w:w="925"/>
        <w:gridCol w:w="716"/>
        <w:gridCol w:w="792"/>
        <w:gridCol w:w="3450"/>
        <w:gridCol w:w="4160"/>
      </w:tblGrid>
      <w:tr>
        <w:tblPrEx>
          <w:tblCellMar>
            <w:top w:w="0" w:type="dxa"/>
            <w:left w:w="108" w:type="dxa"/>
            <w:bottom w:w="0" w:type="dxa"/>
            <w:right w:w="108" w:type="dxa"/>
          </w:tblCellMar>
        </w:tblPrEx>
        <w:trPr>
          <w:trHeight w:val="499" w:hRule="atLeast"/>
          <w:jc w:val="center"/>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lang w:eastAsia="zh-CN"/>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3</w:t>
            </w:r>
            <w:r>
              <w:rPr>
                <w:rFonts w:hint="eastAsia" w:ascii="方正小标宋简体" w:hAnsi="黑体" w:eastAsia="方正小标宋简体" w:cs="宋体"/>
                <w:color w:val="000000"/>
                <w:kern w:val="0"/>
                <w:sz w:val="44"/>
                <w:szCs w:val="44"/>
              </w:rPr>
              <w:t>年部门整体绩效评价指标体系评分表</w:t>
            </w:r>
          </w:p>
        </w:tc>
      </w:tr>
      <w:tr>
        <w:tblPrEx>
          <w:tblCellMar>
            <w:top w:w="0" w:type="dxa"/>
            <w:left w:w="108" w:type="dxa"/>
            <w:bottom w:w="0" w:type="dxa"/>
            <w:right w:w="108" w:type="dxa"/>
          </w:tblCellMar>
        </w:tblPrEx>
        <w:trPr>
          <w:trHeight w:val="470" w:hRule="atLeast"/>
          <w:jc w:val="center"/>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584" w:hRule="atLeast"/>
          <w:jc w:val="center"/>
        </w:trPr>
        <w:tc>
          <w:tcPr>
            <w:tcW w:w="28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w:t>
            </w:r>
          </w:p>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ascii="宋体" w:hAnsi="宋体" w:cs="宋体"/>
                <w:color w:val="000000"/>
                <w:kern w:val="0"/>
                <w:sz w:val="20"/>
                <w:szCs w:val="20"/>
              </w:rPr>
              <w:t>指标</w:t>
            </w:r>
          </w:p>
        </w:tc>
        <w:tc>
          <w:tcPr>
            <w:tcW w:w="3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w:t>
            </w:r>
          </w:p>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ascii="宋体" w:hAnsi="宋体" w:cs="宋体"/>
                <w:color w:val="000000"/>
                <w:kern w:val="0"/>
                <w:sz w:val="20"/>
                <w:szCs w:val="20"/>
              </w:rPr>
              <w:t>指标</w:t>
            </w:r>
          </w:p>
        </w:tc>
        <w:tc>
          <w:tcPr>
            <w:tcW w:w="4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预算数</w:t>
            </w:r>
          </w:p>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（万元）</w:t>
            </w:r>
          </w:p>
        </w:tc>
        <w:tc>
          <w:tcPr>
            <w:tcW w:w="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执行数</w:t>
            </w:r>
          </w:p>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（万元）</w:t>
            </w:r>
          </w:p>
        </w:tc>
        <w:tc>
          <w:tcPr>
            <w:tcW w:w="31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24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1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1436"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30" w:hRule="atLeast"/>
          <w:jc w:val="center"/>
        </w:trPr>
        <w:tc>
          <w:tcPr>
            <w:tcW w:w="288"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6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331564.08</w:t>
            </w:r>
          </w:p>
        </w:tc>
        <w:tc>
          <w:tcPr>
            <w:tcW w:w="4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296636.31</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89.47%</w:t>
            </w:r>
          </w:p>
        </w:tc>
        <w:tc>
          <w:tcPr>
            <w:tcW w:w="24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rPr>
              <w:t>20</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lang w:val="en-US" w:eastAsia="zh-CN"/>
              </w:rPr>
              <w:t>00</w:t>
            </w:r>
          </w:p>
        </w:tc>
        <w:tc>
          <w:tcPr>
            <w:tcW w:w="27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17.89</w:t>
            </w:r>
          </w:p>
        </w:tc>
        <w:tc>
          <w:tcPr>
            <w:tcW w:w="119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436"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jc w:val="center"/>
        </w:trPr>
        <w:tc>
          <w:tcPr>
            <w:tcW w:w="28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942.05</w:t>
            </w:r>
          </w:p>
        </w:tc>
        <w:tc>
          <w:tcPr>
            <w:tcW w:w="4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868.19</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92.16%;</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7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1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jc w:val="center"/>
        </w:trPr>
        <w:tc>
          <w:tcPr>
            <w:tcW w:w="28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330622.03</w:t>
            </w:r>
          </w:p>
        </w:tc>
        <w:tc>
          <w:tcPr>
            <w:tcW w:w="4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295768.12</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89.46%</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7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1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050" w:hRule="atLeast"/>
          <w:jc w:val="center"/>
        </w:trPr>
        <w:tc>
          <w:tcPr>
            <w:tcW w:w="28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43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4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7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1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69" w:hRule="atLeast"/>
          <w:jc w:val="center"/>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jc w:val="center"/>
        </w:trPr>
        <w:tc>
          <w:tcPr>
            <w:tcW w:w="28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w:t>
            </w:r>
          </w:p>
          <w:p>
            <w:pPr>
              <w:widowControl/>
              <w:jc w:val="center"/>
              <w:rPr>
                <w:rFonts w:hint="eastAsia" w:ascii="宋体" w:hAnsi="宋体" w:cs="宋体"/>
                <w:color w:val="000000"/>
                <w:kern w:val="0"/>
                <w:sz w:val="20"/>
                <w:szCs w:val="20"/>
              </w:rPr>
            </w:pPr>
            <w:r>
              <w:rPr>
                <w:rFonts w:ascii="宋体" w:hAnsi="宋体" w:cs="宋体"/>
                <w:color w:val="000000"/>
                <w:kern w:val="0"/>
                <w:sz w:val="20"/>
                <w:szCs w:val="20"/>
              </w:rPr>
              <w:t>指标</w:t>
            </w:r>
          </w:p>
        </w:tc>
        <w:tc>
          <w:tcPr>
            <w:tcW w:w="369"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w:t>
            </w:r>
          </w:p>
          <w:p>
            <w:pPr>
              <w:widowControl/>
              <w:jc w:val="center"/>
              <w:rPr>
                <w:rFonts w:hint="eastAsia" w:ascii="宋体" w:hAnsi="宋体" w:cs="宋体"/>
                <w:color w:val="000000"/>
                <w:kern w:val="0"/>
                <w:sz w:val="20"/>
                <w:szCs w:val="20"/>
              </w:rPr>
            </w:pPr>
            <w:r>
              <w:rPr>
                <w:rFonts w:ascii="宋体" w:hAnsi="宋体" w:cs="宋体"/>
                <w:color w:val="000000"/>
                <w:kern w:val="0"/>
                <w:sz w:val="20"/>
                <w:szCs w:val="20"/>
              </w:rPr>
              <w:t>指标</w:t>
            </w:r>
            <w:r>
              <w:rPr>
                <w:rFonts w:hint="eastAsia" w:ascii="宋体" w:hAnsi="宋体" w:cs="宋体"/>
                <w:color w:val="000000"/>
                <w:kern w:val="0"/>
                <w:sz w:val="20"/>
                <w:szCs w:val="20"/>
              </w:rPr>
              <w:t>　</w:t>
            </w:r>
          </w:p>
        </w:tc>
        <w:tc>
          <w:tcPr>
            <w:tcW w:w="43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31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24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73"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1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196" w:hRule="atLeast"/>
          <w:jc w:val="center"/>
        </w:trPr>
        <w:tc>
          <w:tcPr>
            <w:tcW w:w="28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p>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6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产出数量</w:t>
            </w:r>
          </w:p>
        </w:tc>
        <w:tc>
          <w:tcPr>
            <w:tcW w:w="4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18"/>
                <w:szCs w:val="18"/>
              </w:rPr>
              <w:t>计划完成率</w:t>
            </w:r>
            <w:r>
              <w:rPr>
                <w:rFonts w:hint="eastAsia" w:ascii="宋体" w:hAnsi="宋体" w:cs="宋体"/>
                <w:color w:val="000000"/>
                <w:kern w:val="0"/>
                <w:sz w:val="18"/>
                <w:szCs w:val="18"/>
                <w:lang w:val="en-US" w:eastAsia="zh-CN"/>
              </w:rPr>
              <w:t>100%</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18"/>
                <w:szCs w:val="18"/>
                <w:lang w:val="en-US" w:eastAsia="zh-CN"/>
              </w:rPr>
              <w:t>98.18%</w:t>
            </w:r>
            <w:r>
              <w:rPr>
                <w:rFonts w:hint="eastAsia" w:ascii="宋体" w:hAnsi="宋体" w:cs="宋体"/>
                <w:color w:val="000000"/>
                <w:kern w:val="0"/>
                <w:sz w:val="20"/>
                <w:szCs w:val="20"/>
              </w:rPr>
              <w:t>　</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27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7.85</w:t>
            </w:r>
          </w:p>
        </w:tc>
        <w:tc>
          <w:tcPr>
            <w:tcW w:w="119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43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jc w:val="center"/>
        </w:trPr>
        <w:tc>
          <w:tcPr>
            <w:tcW w:w="288"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vMerge w:val="continue"/>
            <w:tcBorders>
              <w:top w:val="single" w:color="auto" w:sz="4" w:space="0"/>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35"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产出质量</w:t>
            </w:r>
          </w:p>
        </w:tc>
        <w:tc>
          <w:tcPr>
            <w:tcW w:w="43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18"/>
                <w:szCs w:val="18"/>
              </w:rPr>
              <w:t>计划完成率</w:t>
            </w:r>
            <w:r>
              <w:rPr>
                <w:rFonts w:hint="eastAsia" w:ascii="宋体" w:hAnsi="宋体" w:cs="宋体"/>
                <w:color w:val="000000"/>
                <w:kern w:val="0"/>
                <w:sz w:val="18"/>
                <w:szCs w:val="18"/>
                <w:lang w:val="en-US" w:eastAsia="zh-CN"/>
              </w:rPr>
              <w:t>100%</w:t>
            </w:r>
            <w:r>
              <w:rPr>
                <w:rFonts w:hint="eastAsia" w:ascii="宋体" w:hAnsi="宋体" w:cs="宋体"/>
                <w:color w:val="000000"/>
                <w:kern w:val="0"/>
                <w:sz w:val="20"/>
                <w:szCs w:val="20"/>
              </w:rPr>
              <w:t>　</w:t>
            </w:r>
          </w:p>
        </w:tc>
        <w:tc>
          <w:tcPr>
            <w:tcW w:w="31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18"/>
                <w:szCs w:val="18"/>
                <w:lang w:val="en-US" w:eastAsia="zh-CN"/>
              </w:rPr>
              <w:t>100%　</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27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p>
        </w:tc>
        <w:tc>
          <w:tcPr>
            <w:tcW w:w="11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3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258" w:hRule="atLeast"/>
          <w:jc w:val="center"/>
        </w:trPr>
        <w:tc>
          <w:tcPr>
            <w:tcW w:w="28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35" w:type="pct"/>
            <w:tcBorders>
              <w:top w:val="nil"/>
              <w:left w:val="nil"/>
              <w:bottom w:val="single" w:color="auto" w:sz="4" w:space="0"/>
              <w:right w:val="single" w:color="auto" w:sz="4" w:space="0"/>
            </w:tcBorders>
            <w:noWrap w:val="0"/>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产出进度</w:t>
            </w:r>
          </w:p>
        </w:tc>
        <w:tc>
          <w:tcPr>
            <w:tcW w:w="4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18"/>
                <w:szCs w:val="18"/>
              </w:rPr>
              <w:t>按时完成率</w:t>
            </w:r>
            <w:r>
              <w:rPr>
                <w:rFonts w:hint="eastAsia" w:ascii="宋体" w:hAnsi="宋体" w:cs="宋体"/>
                <w:color w:val="000000"/>
                <w:kern w:val="0"/>
                <w:sz w:val="18"/>
                <w:szCs w:val="18"/>
                <w:lang w:val="en-US" w:eastAsia="zh-CN"/>
              </w:rPr>
              <w:t>100%</w:t>
            </w:r>
            <w:r>
              <w:rPr>
                <w:rFonts w:hint="eastAsia" w:ascii="宋体" w:hAnsi="宋体" w:cs="宋体"/>
                <w:color w:val="000000"/>
                <w:kern w:val="0"/>
                <w:sz w:val="20"/>
                <w:szCs w:val="20"/>
              </w:rPr>
              <w:t>　</w:t>
            </w:r>
          </w:p>
        </w:tc>
        <w:tc>
          <w:tcPr>
            <w:tcW w:w="31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100%　</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273" w:type="pct"/>
            <w:tcBorders>
              <w:top w:val="nil"/>
              <w:left w:val="nil"/>
              <w:bottom w:val="single" w:color="auto" w:sz="4" w:space="0"/>
              <w:right w:val="nil"/>
            </w:tcBorders>
            <w:noWrap/>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6</w:t>
            </w:r>
          </w:p>
        </w:tc>
        <w:tc>
          <w:tcPr>
            <w:tcW w:w="1191"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jc w:val="center"/>
        </w:trPr>
        <w:tc>
          <w:tcPr>
            <w:tcW w:w="28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35" w:type="pct"/>
            <w:tcBorders>
              <w:top w:val="nil"/>
              <w:left w:val="nil"/>
              <w:bottom w:val="single" w:color="auto" w:sz="4" w:space="0"/>
              <w:right w:val="single" w:color="auto" w:sz="4" w:space="0"/>
            </w:tcBorders>
            <w:noWrap w:val="0"/>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产出成本</w:t>
            </w:r>
          </w:p>
        </w:tc>
        <w:tc>
          <w:tcPr>
            <w:tcW w:w="4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default" w:ascii="宋体" w:hAnsi="宋体" w:cs="宋体"/>
                <w:color w:val="000000"/>
                <w:kern w:val="0"/>
                <w:sz w:val="18"/>
                <w:szCs w:val="18"/>
              </w:rPr>
              <w:t>≤</w:t>
            </w:r>
            <w:r>
              <w:rPr>
                <w:rFonts w:hint="eastAsia" w:ascii="宋体" w:hAnsi="宋体" w:cs="宋体"/>
                <w:color w:val="000000"/>
                <w:kern w:val="0"/>
                <w:sz w:val="18"/>
                <w:szCs w:val="18"/>
                <w:lang w:val="en-US" w:eastAsia="zh-CN"/>
              </w:rPr>
              <w:t>预算控制数</w:t>
            </w:r>
            <w:r>
              <w:rPr>
                <w:rFonts w:hint="eastAsia" w:ascii="宋体" w:hAnsi="宋体" w:cs="宋体"/>
                <w:color w:val="000000"/>
                <w:kern w:val="0"/>
                <w:sz w:val="18"/>
                <w:szCs w:val="18"/>
              </w:rPr>
              <w:t>　</w:t>
            </w:r>
          </w:p>
        </w:tc>
        <w:tc>
          <w:tcPr>
            <w:tcW w:w="31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default" w:ascii="宋体" w:hAnsi="宋体" w:cs="宋体"/>
                <w:color w:val="000000"/>
                <w:kern w:val="0"/>
                <w:sz w:val="18"/>
                <w:szCs w:val="18"/>
              </w:rPr>
              <w:t>≤</w:t>
            </w:r>
            <w:r>
              <w:rPr>
                <w:rFonts w:hint="eastAsia" w:ascii="宋体" w:hAnsi="宋体" w:cs="宋体"/>
                <w:color w:val="000000"/>
                <w:kern w:val="0"/>
                <w:sz w:val="18"/>
                <w:szCs w:val="18"/>
                <w:lang w:val="en-US" w:eastAsia="zh-CN"/>
              </w:rPr>
              <w:t>预算控制数</w:t>
            </w:r>
            <w:r>
              <w:rPr>
                <w:rFonts w:hint="eastAsia" w:ascii="宋体" w:hAnsi="宋体" w:cs="宋体"/>
                <w:color w:val="000000"/>
                <w:kern w:val="0"/>
                <w:sz w:val="18"/>
                <w:szCs w:val="18"/>
              </w:rPr>
              <w:t>　</w:t>
            </w:r>
            <w:r>
              <w:rPr>
                <w:rFonts w:hint="eastAsia" w:ascii="宋体" w:hAnsi="宋体" w:cs="宋体"/>
                <w:color w:val="000000"/>
                <w:kern w:val="0"/>
                <w:sz w:val="20"/>
                <w:szCs w:val="20"/>
              </w:rPr>
              <w:t>　</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27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p>
        </w:tc>
        <w:tc>
          <w:tcPr>
            <w:tcW w:w="1191"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jc w:val="center"/>
        </w:trPr>
        <w:tc>
          <w:tcPr>
            <w:tcW w:w="28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435" w:type="pct"/>
            <w:tcBorders>
              <w:top w:val="nil"/>
              <w:left w:val="nil"/>
              <w:bottom w:val="single" w:color="auto" w:sz="4" w:space="0"/>
              <w:right w:val="single" w:color="auto" w:sz="4" w:space="0"/>
            </w:tcBorders>
            <w:noWrap w:val="0"/>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经济效益</w:t>
            </w:r>
          </w:p>
        </w:tc>
        <w:tc>
          <w:tcPr>
            <w:tcW w:w="4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31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24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0"/>
                <w:szCs w:val="20"/>
                <w:lang w:eastAsia="zh-CN"/>
              </w:rPr>
            </w:pPr>
            <w:r>
              <w:rPr>
                <w:rFonts w:hint="eastAsia" w:ascii="宋体" w:hAnsi="宋体" w:cs="宋体"/>
                <w:color w:val="000000"/>
                <w:kern w:val="0"/>
                <w:sz w:val="20"/>
                <w:szCs w:val="20"/>
                <w:lang w:val="en-US" w:eastAsia="zh-CN"/>
              </w:rPr>
              <w:t>5</w:t>
            </w:r>
          </w:p>
        </w:tc>
        <w:tc>
          <w:tcPr>
            <w:tcW w:w="27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1191"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436"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30" w:hRule="atLeast"/>
          <w:jc w:val="center"/>
        </w:trPr>
        <w:tc>
          <w:tcPr>
            <w:tcW w:w="28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35" w:type="pct"/>
            <w:tcBorders>
              <w:top w:val="nil"/>
              <w:left w:val="nil"/>
              <w:bottom w:val="single" w:color="auto" w:sz="4" w:space="0"/>
              <w:right w:val="single" w:color="auto" w:sz="4" w:space="0"/>
            </w:tcBorders>
            <w:noWrap w:val="0"/>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社会效益</w:t>
            </w:r>
          </w:p>
        </w:tc>
        <w:tc>
          <w:tcPr>
            <w:tcW w:w="4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31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27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rPr>
              <w:t>　</w:t>
            </w:r>
          </w:p>
        </w:tc>
        <w:tc>
          <w:tcPr>
            <w:tcW w:w="1191"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0" w:hRule="atLeast"/>
          <w:jc w:val="center"/>
        </w:trPr>
        <w:tc>
          <w:tcPr>
            <w:tcW w:w="288"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35" w:type="pct"/>
            <w:tcBorders>
              <w:top w:val="nil"/>
              <w:left w:val="nil"/>
              <w:bottom w:val="single" w:color="auto" w:sz="4" w:space="0"/>
              <w:right w:val="single" w:color="auto" w:sz="4" w:space="0"/>
            </w:tcBorders>
            <w:noWrap w:val="0"/>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环境效益</w:t>
            </w:r>
          </w:p>
        </w:tc>
        <w:tc>
          <w:tcPr>
            <w:tcW w:w="4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31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27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1191"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jc w:val="center"/>
        </w:trPr>
        <w:tc>
          <w:tcPr>
            <w:tcW w:w="2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35" w:type="pct"/>
            <w:tcBorders>
              <w:top w:val="nil"/>
              <w:left w:val="nil"/>
              <w:bottom w:val="single" w:color="auto" w:sz="4" w:space="0"/>
              <w:right w:val="single" w:color="auto" w:sz="4" w:space="0"/>
            </w:tcBorders>
            <w:noWrap w:val="0"/>
            <w:vAlign w:val="center"/>
          </w:tcPr>
          <w:p>
            <w:pPr>
              <w:widowControl/>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可持续影响</w:t>
            </w:r>
          </w:p>
        </w:tc>
        <w:tc>
          <w:tcPr>
            <w:tcW w:w="4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31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273" w:type="pct"/>
            <w:tcBorders>
              <w:top w:val="nil"/>
              <w:left w:val="nil"/>
              <w:bottom w:val="single" w:color="auto" w:sz="4" w:space="0"/>
              <w:right w:val="nil"/>
            </w:tcBorders>
            <w:noWrap/>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1191"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jc w:val="center"/>
        </w:trPr>
        <w:tc>
          <w:tcPr>
            <w:tcW w:w="28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35" w:type="pct"/>
            <w:tcBorders>
              <w:top w:val="nil"/>
              <w:left w:val="nil"/>
              <w:bottom w:val="single" w:color="auto" w:sz="4" w:space="0"/>
              <w:right w:val="single" w:color="auto" w:sz="4" w:space="0"/>
            </w:tcBorders>
            <w:noWrap w:val="0"/>
            <w:vAlign w:val="center"/>
          </w:tcPr>
          <w:p>
            <w:pPr>
              <w:widowControl/>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服务对象满意度</w:t>
            </w:r>
          </w:p>
        </w:tc>
        <w:tc>
          <w:tcPr>
            <w:tcW w:w="43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31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27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1191"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4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jc w:val="center"/>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jc w:val="center"/>
        </w:trPr>
        <w:tc>
          <w:tcPr>
            <w:tcW w:w="28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w:t>
            </w:r>
          </w:p>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ascii="宋体" w:hAnsi="宋体" w:cs="宋体"/>
                <w:color w:val="000000"/>
                <w:kern w:val="0"/>
                <w:sz w:val="20"/>
                <w:szCs w:val="20"/>
              </w:rPr>
              <w:t>指标</w:t>
            </w:r>
          </w:p>
        </w:tc>
        <w:tc>
          <w:tcPr>
            <w:tcW w:w="3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w:t>
            </w:r>
          </w:p>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ascii="宋体" w:hAnsi="宋体" w:cs="宋体"/>
                <w:color w:val="000000"/>
                <w:kern w:val="0"/>
                <w:sz w:val="20"/>
                <w:szCs w:val="20"/>
              </w:rPr>
              <w:t>指标</w:t>
            </w:r>
          </w:p>
        </w:tc>
        <w:tc>
          <w:tcPr>
            <w:tcW w:w="43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439"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19"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4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73" w:type="pct"/>
            <w:tcBorders>
              <w:top w:val="single" w:color="auto" w:sz="4" w:space="0"/>
              <w:left w:val="nil"/>
              <w:bottom w:val="single" w:color="auto" w:sz="4" w:space="0"/>
              <w:right w:val="nil"/>
            </w:tcBorders>
            <w:noWrap/>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1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36"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jc w:val="center"/>
        </w:trPr>
        <w:tc>
          <w:tcPr>
            <w:tcW w:w="28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36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4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优</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24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7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rPr>
              <w:t>1</w:t>
            </w:r>
          </w:p>
        </w:tc>
        <w:tc>
          <w:tcPr>
            <w:tcW w:w="1191"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43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220" w:hRule="atLeast"/>
          <w:jc w:val="center"/>
        </w:trPr>
        <w:tc>
          <w:tcPr>
            <w:tcW w:w="28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4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24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27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1191"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43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jc w:val="center"/>
        </w:trPr>
        <w:tc>
          <w:tcPr>
            <w:tcW w:w="28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4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24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7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1191"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43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jc w:val="center"/>
        </w:trPr>
        <w:tc>
          <w:tcPr>
            <w:tcW w:w="28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4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优</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7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1191"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43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jc w:val="center"/>
        </w:trPr>
        <w:tc>
          <w:tcPr>
            <w:tcW w:w="28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43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7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4</w:t>
            </w:r>
          </w:p>
        </w:tc>
        <w:tc>
          <w:tcPr>
            <w:tcW w:w="1191"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43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jc w:val="center"/>
        </w:trPr>
        <w:tc>
          <w:tcPr>
            <w:tcW w:w="28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874"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21</w:t>
            </w:r>
            <w:r>
              <w:rPr>
                <w:rFonts w:hint="eastAsia" w:ascii="宋体" w:hAnsi="宋体" w:cs="宋体"/>
                <w:color w:val="000000"/>
                <w:kern w:val="0"/>
                <w:sz w:val="20"/>
                <w:szCs w:val="20"/>
              </w:rPr>
              <w:t>年</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7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1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jc w:val="center"/>
        </w:trPr>
        <w:tc>
          <w:tcPr>
            <w:tcW w:w="28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874"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33.81%</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-78.98%</w:t>
            </w:r>
            <w:r>
              <w:rPr>
                <w:rFonts w:hint="eastAsia" w:ascii="宋体" w:hAnsi="宋体" w:cs="宋体"/>
                <w:color w:val="000000"/>
                <w:kern w:val="0"/>
                <w:sz w:val="20"/>
                <w:szCs w:val="20"/>
              </w:rPr>
              <w:t>　</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7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4</w:t>
            </w:r>
          </w:p>
        </w:tc>
        <w:tc>
          <w:tcPr>
            <w:tcW w:w="1191"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43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jc w:val="center"/>
        </w:trPr>
        <w:tc>
          <w:tcPr>
            <w:tcW w:w="28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9" w:type="pct"/>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874"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w:t>
            </w: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99</w:t>
            </w:r>
            <w:r>
              <w:rPr>
                <w:rFonts w:hint="eastAsia" w:ascii="宋体" w:hAnsi="宋体" w:cs="宋体"/>
                <w:color w:val="000000"/>
                <w:kern w:val="0"/>
                <w:sz w:val="20"/>
                <w:szCs w:val="20"/>
              </w:rPr>
              <w:t>%</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7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1191"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43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jc w:val="center"/>
        </w:trPr>
        <w:tc>
          <w:tcPr>
            <w:tcW w:w="1851"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27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97.74</w:t>
            </w:r>
          </w:p>
        </w:tc>
        <w:tc>
          <w:tcPr>
            <w:tcW w:w="2627"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pStyle w:val="6"/>
        <w:keepNext w:val="0"/>
        <w:keepLines w:val="0"/>
        <w:pageBreakBefore w:val="0"/>
        <w:widowControl w:val="0"/>
        <w:kinsoku/>
        <w:wordWrap/>
        <w:overflowPunct/>
        <w:topLinePunct w:val="0"/>
        <w:autoSpaceDE/>
        <w:autoSpaceDN/>
        <w:bidi w:val="0"/>
        <w:adjustRightInd w:val="0"/>
        <w:snapToGrid w:val="0"/>
        <w:spacing w:line="560" w:lineRule="exact"/>
      </w:pPr>
    </w:p>
    <w:sectPr>
      <w:pgSz w:w="16838" w:h="11906" w:orient="landscape"/>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5580DC2F-FE83-4FC0-BEB2-09CECE860CED}"/>
  </w:font>
  <w:font w:name="黑体">
    <w:panose1 w:val="02010609060101010101"/>
    <w:charset w:val="86"/>
    <w:family w:val="auto"/>
    <w:pitch w:val="default"/>
    <w:sig w:usb0="800002BF" w:usb1="38CF7CFA" w:usb2="00000016" w:usb3="00000000" w:csb0="00040001" w:csb1="00000000"/>
    <w:embedRegular r:id="rId2" w:fontKey="{A67A9825-1D59-48AC-9132-C9E3A20E75C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A5A1CB08-AE3C-4B13-B6C6-F44D4BB39BE4}"/>
  </w:font>
  <w:font w:name="等线">
    <w:altName w:val="宋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embedRegular r:id="rId4" w:fontKey="{F23E9788-F376-4925-8872-625614BCD049}"/>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5" w:fontKey="{832A8BDB-761C-45EF-8C71-EE4B5023641F}"/>
  </w:font>
  <w:font w:name="华文宋体">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embedRegular r:id="rId6" w:fontKey="{5A73FBE1-BFAE-4001-B84B-1F773D1F7BE3}"/>
  </w:font>
  <w:font w:name="楷体_GB2312">
    <w:panose1 w:val="02010609030101010101"/>
    <w:charset w:val="86"/>
    <w:family w:val="modern"/>
    <w:pitch w:val="default"/>
    <w:sig w:usb0="00000001" w:usb1="080E0000" w:usb2="00000000" w:usb3="00000000" w:csb0="00040000" w:csb1="00000000"/>
    <w:embedRegular r:id="rId7" w:fontKey="{9CC95F36-AEFA-4194-97A8-EBAA46FA82B6}"/>
  </w:font>
  <w:font w:name="Arial Unicode MS">
    <w:panose1 w:val="020B0604020202020204"/>
    <w:charset w:val="86"/>
    <w:family w:val="swiss"/>
    <w:pitch w:val="default"/>
    <w:sig w:usb0="FFFFFFFF" w:usb1="E9FFFFFF" w:usb2="0000003F" w:usb3="00000000" w:csb0="603F01FF" w:csb1="FFFF0000"/>
    <w:embedRegular r:id="rId8" w:fontKey="{60CADBB7-4A58-43FC-BC07-007285E52E87}"/>
  </w:font>
  <w:font w:name="等线">
    <w:altName w:val="Arial Unicode MS"/>
    <w:panose1 w:val="00000000000000000000"/>
    <w:charset w:val="00"/>
    <w:family w:val="auto"/>
    <w:pitch w:val="default"/>
    <w:sig w:usb0="00000000" w:usb1="00000000" w:usb2="00000000" w:usb3="00000000" w:csb0="00000000" w:csb1="00000000"/>
    <w:embedRegular r:id="rId9" w:fontKey="{89061548-76DC-40B3-8B67-046983FB731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0"/>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4ZjAxMzUwMzc4ZTg3YTY5ZjdhODUzOGFkN2MxM2YifQ=="/>
    <w:docVar w:name="KSO_WPS_MARK_KEY" w:val="b2558c83-a498-4343-8e95-d6203237bf7a"/>
  </w:docVars>
  <w:rsids>
    <w:rsidRoot w:val="007D6785"/>
    <w:rsid w:val="00005402"/>
    <w:rsid w:val="000871A4"/>
    <w:rsid w:val="0009051B"/>
    <w:rsid w:val="00201AB1"/>
    <w:rsid w:val="0022181C"/>
    <w:rsid w:val="00346CC0"/>
    <w:rsid w:val="00360831"/>
    <w:rsid w:val="00386C46"/>
    <w:rsid w:val="004D0CCB"/>
    <w:rsid w:val="00537339"/>
    <w:rsid w:val="00564281"/>
    <w:rsid w:val="00571DB5"/>
    <w:rsid w:val="005D0DA8"/>
    <w:rsid w:val="005D4EEF"/>
    <w:rsid w:val="005E663A"/>
    <w:rsid w:val="00643BE3"/>
    <w:rsid w:val="00676294"/>
    <w:rsid w:val="00686FE2"/>
    <w:rsid w:val="006E04C6"/>
    <w:rsid w:val="006F43F5"/>
    <w:rsid w:val="007C0F2D"/>
    <w:rsid w:val="007D6785"/>
    <w:rsid w:val="007E76A9"/>
    <w:rsid w:val="00806187"/>
    <w:rsid w:val="00867929"/>
    <w:rsid w:val="00876855"/>
    <w:rsid w:val="00880E15"/>
    <w:rsid w:val="008C1D42"/>
    <w:rsid w:val="008D181F"/>
    <w:rsid w:val="0099754D"/>
    <w:rsid w:val="009C6F0F"/>
    <w:rsid w:val="00AE2A48"/>
    <w:rsid w:val="00B8272D"/>
    <w:rsid w:val="00BF0AA0"/>
    <w:rsid w:val="00C6142E"/>
    <w:rsid w:val="00CB24D5"/>
    <w:rsid w:val="00D10539"/>
    <w:rsid w:val="00D27E17"/>
    <w:rsid w:val="00D44F36"/>
    <w:rsid w:val="00DD0C1A"/>
    <w:rsid w:val="00DD502C"/>
    <w:rsid w:val="00E15581"/>
    <w:rsid w:val="00E41BA5"/>
    <w:rsid w:val="00E56439"/>
    <w:rsid w:val="00EA40E8"/>
    <w:rsid w:val="00ED1361"/>
    <w:rsid w:val="00F62A3D"/>
    <w:rsid w:val="00F6676F"/>
    <w:rsid w:val="00F94CB9"/>
    <w:rsid w:val="00F96296"/>
    <w:rsid w:val="012D3C0D"/>
    <w:rsid w:val="0136557F"/>
    <w:rsid w:val="014D0938"/>
    <w:rsid w:val="0197690B"/>
    <w:rsid w:val="01B36BD0"/>
    <w:rsid w:val="021533E7"/>
    <w:rsid w:val="021A4C79"/>
    <w:rsid w:val="026305F6"/>
    <w:rsid w:val="028728DD"/>
    <w:rsid w:val="028C442B"/>
    <w:rsid w:val="02A12ECC"/>
    <w:rsid w:val="02DA63DE"/>
    <w:rsid w:val="03080C9B"/>
    <w:rsid w:val="03603BBE"/>
    <w:rsid w:val="0402211D"/>
    <w:rsid w:val="041B00E5"/>
    <w:rsid w:val="04262466"/>
    <w:rsid w:val="049C22B4"/>
    <w:rsid w:val="04A8301E"/>
    <w:rsid w:val="04F347BB"/>
    <w:rsid w:val="056F6202"/>
    <w:rsid w:val="0588240A"/>
    <w:rsid w:val="05EF3F4F"/>
    <w:rsid w:val="0692095D"/>
    <w:rsid w:val="06A411DD"/>
    <w:rsid w:val="06AC0092"/>
    <w:rsid w:val="06D97C66"/>
    <w:rsid w:val="06E61600"/>
    <w:rsid w:val="0711304F"/>
    <w:rsid w:val="07344457"/>
    <w:rsid w:val="07500A1D"/>
    <w:rsid w:val="07887E31"/>
    <w:rsid w:val="078E1545"/>
    <w:rsid w:val="079C0106"/>
    <w:rsid w:val="07E04497"/>
    <w:rsid w:val="08275C22"/>
    <w:rsid w:val="084154A6"/>
    <w:rsid w:val="08887282"/>
    <w:rsid w:val="08EE327C"/>
    <w:rsid w:val="08F508DC"/>
    <w:rsid w:val="0903613F"/>
    <w:rsid w:val="09066E3B"/>
    <w:rsid w:val="09081C12"/>
    <w:rsid w:val="0911242E"/>
    <w:rsid w:val="09880942"/>
    <w:rsid w:val="0A125B31"/>
    <w:rsid w:val="0A342F3A"/>
    <w:rsid w:val="0A6C0264"/>
    <w:rsid w:val="0A783040"/>
    <w:rsid w:val="0A8E7105"/>
    <w:rsid w:val="0AF0679F"/>
    <w:rsid w:val="0B0F707B"/>
    <w:rsid w:val="0B1C1167"/>
    <w:rsid w:val="0B36617C"/>
    <w:rsid w:val="0B771721"/>
    <w:rsid w:val="0BCF0AAA"/>
    <w:rsid w:val="0BE63156"/>
    <w:rsid w:val="0BE70C1B"/>
    <w:rsid w:val="0BE971FB"/>
    <w:rsid w:val="0C210BDA"/>
    <w:rsid w:val="0C48085D"/>
    <w:rsid w:val="0C620578"/>
    <w:rsid w:val="0C6D2071"/>
    <w:rsid w:val="0C965124"/>
    <w:rsid w:val="0CC55A09"/>
    <w:rsid w:val="0D2C7CA1"/>
    <w:rsid w:val="0D3E75A2"/>
    <w:rsid w:val="0D505C1B"/>
    <w:rsid w:val="0D613984"/>
    <w:rsid w:val="0D76754C"/>
    <w:rsid w:val="0D8A418C"/>
    <w:rsid w:val="0DD310D5"/>
    <w:rsid w:val="0DE97231"/>
    <w:rsid w:val="0E6B11ED"/>
    <w:rsid w:val="0E866236"/>
    <w:rsid w:val="0E925105"/>
    <w:rsid w:val="0EA55AF2"/>
    <w:rsid w:val="0EF9352D"/>
    <w:rsid w:val="0EFA5A8F"/>
    <w:rsid w:val="0F356EB3"/>
    <w:rsid w:val="0F3B1FB3"/>
    <w:rsid w:val="0F631F06"/>
    <w:rsid w:val="100919D4"/>
    <w:rsid w:val="101747CE"/>
    <w:rsid w:val="101F79F8"/>
    <w:rsid w:val="10440973"/>
    <w:rsid w:val="109918B7"/>
    <w:rsid w:val="10A36062"/>
    <w:rsid w:val="10E20F57"/>
    <w:rsid w:val="113E071E"/>
    <w:rsid w:val="11A42091"/>
    <w:rsid w:val="11A4661F"/>
    <w:rsid w:val="11E466CA"/>
    <w:rsid w:val="12420640"/>
    <w:rsid w:val="126161D4"/>
    <w:rsid w:val="128F716E"/>
    <w:rsid w:val="12DA1AE3"/>
    <w:rsid w:val="12E74B76"/>
    <w:rsid w:val="13080DA0"/>
    <w:rsid w:val="130955DD"/>
    <w:rsid w:val="135B0E75"/>
    <w:rsid w:val="13830CE4"/>
    <w:rsid w:val="13841C8E"/>
    <w:rsid w:val="13A23D92"/>
    <w:rsid w:val="13D205F7"/>
    <w:rsid w:val="13FF3EF7"/>
    <w:rsid w:val="140D3F19"/>
    <w:rsid w:val="143F310F"/>
    <w:rsid w:val="1457788F"/>
    <w:rsid w:val="148F69A8"/>
    <w:rsid w:val="149A7408"/>
    <w:rsid w:val="14EA24B1"/>
    <w:rsid w:val="151426B6"/>
    <w:rsid w:val="158D108E"/>
    <w:rsid w:val="159B361E"/>
    <w:rsid w:val="15A9236C"/>
    <w:rsid w:val="161C0D90"/>
    <w:rsid w:val="16320DD1"/>
    <w:rsid w:val="16C74B4B"/>
    <w:rsid w:val="17207D2D"/>
    <w:rsid w:val="1749126A"/>
    <w:rsid w:val="174E0155"/>
    <w:rsid w:val="17575DF8"/>
    <w:rsid w:val="176C3651"/>
    <w:rsid w:val="176E6A50"/>
    <w:rsid w:val="17946704"/>
    <w:rsid w:val="17AE4546"/>
    <w:rsid w:val="17C86F3B"/>
    <w:rsid w:val="18027B12"/>
    <w:rsid w:val="183323C1"/>
    <w:rsid w:val="184D42A1"/>
    <w:rsid w:val="188624F1"/>
    <w:rsid w:val="18A137CE"/>
    <w:rsid w:val="1933222E"/>
    <w:rsid w:val="19352312"/>
    <w:rsid w:val="197113F3"/>
    <w:rsid w:val="198130D3"/>
    <w:rsid w:val="19B60BB4"/>
    <w:rsid w:val="1A0D396F"/>
    <w:rsid w:val="1A540A14"/>
    <w:rsid w:val="1A8B2040"/>
    <w:rsid w:val="1B4E2689"/>
    <w:rsid w:val="1B7E030B"/>
    <w:rsid w:val="1B9F1E63"/>
    <w:rsid w:val="1BE30473"/>
    <w:rsid w:val="1C0814DE"/>
    <w:rsid w:val="1C2362A8"/>
    <w:rsid w:val="1C7F5BD5"/>
    <w:rsid w:val="1CDF0421"/>
    <w:rsid w:val="1CE974F2"/>
    <w:rsid w:val="1CF00444"/>
    <w:rsid w:val="1D37451A"/>
    <w:rsid w:val="1D6152DA"/>
    <w:rsid w:val="1DB775F0"/>
    <w:rsid w:val="1DF15646"/>
    <w:rsid w:val="1E0F5E35"/>
    <w:rsid w:val="1E164317"/>
    <w:rsid w:val="1E2A6B10"/>
    <w:rsid w:val="1E3E60DC"/>
    <w:rsid w:val="1E4E1D03"/>
    <w:rsid w:val="1E777120"/>
    <w:rsid w:val="1EC437F2"/>
    <w:rsid w:val="1ED81C68"/>
    <w:rsid w:val="1EDF295B"/>
    <w:rsid w:val="1F457AFE"/>
    <w:rsid w:val="1F78690B"/>
    <w:rsid w:val="1F841754"/>
    <w:rsid w:val="1F947BE9"/>
    <w:rsid w:val="1FAE30E0"/>
    <w:rsid w:val="1FC36A1C"/>
    <w:rsid w:val="1FC45D59"/>
    <w:rsid w:val="1FD2799A"/>
    <w:rsid w:val="1FD6287E"/>
    <w:rsid w:val="1FE53EC9"/>
    <w:rsid w:val="20104D96"/>
    <w:rsid w:val="20322B96"/>
    <w:rsid w:val="20484530"/>
    <w:rsid w:val="205253AE"/>
    <w:rsid w:val="205E4012"/>
    <w:rsid w:val="20691AE9"/>
    <w:rsid w:val="20C91B14"/>
    <w:rsid w:val="20E042E3"/>
    <w:rsid w:val="210963B5"/>
    <w:rsid w:val="21853E1D"/>
    <w:rsid w:val="21865F9D"/>
    <w:rsid w:val="21983295"/>
    <w:rsid w:val="21A25EC1"/>
    <w:rsid w:val="21BC1547"/>
    <w:rsid w:val="21DA4ABB"/>
    <w:rsid w:val="22B61C24"/>
    <w:rsid w:val="22D64075"/>
    <w:rsid w:val="231F2C22"/>
    <w:rsid w:val="233020BA"/>
    <w:rsid w:val="233D75AE"/>
    <w:rsid w:val="235C70B5"/>
    <w:rsid w:val="235F406A"/>
    <w:rsid w:val="23616034"/>
    <w:rsid w:val="23710B87"/>
    <w:rsid w:val="23C71027"/>
    <w:rsid w:val="23CC02AC"/>
    <w:rsid w:val="23D205A6"/>
    <w:rsid w:val="24156E1F"/>
    <w:rsid w:val="24945F95"/>
    <w:rsid w:val="249613B2"/>
    <w:rsid w:val="24A57160"/>
    <w:rsid w:val="24DE4B1F"/>
    <w:rsid w:val="24DE749B"/>
    <w:rsid w:val="24E91459"/>
    <w:rsid w:val="24E97CFF"/>
    <w:rsid w:val="254D07E6"/>
    <w:rsid w:val="255C7FE1"/>
    <w:rsid w:val="25742628"/>
    <w:rsid w:val="259039CA"/>
    <w:rsid w:val="25E1345C"/>
    <w:rsid w:val="25E940BF"/>
    <w:rsid w:val="25FE66C4"/>
    <w:rsid w:val="262C30C2"/>
    <w:rsid w:val="265B21B1"/>
    <w:rsid w:val="267D1D46"/>
    <w:rsid w:val="26EA3A6D"/>
    <w:rsid w:val="27351219"/>
    <w:rsid w:val="27424FFB"/>
    <w:rsid w:val="27CD5BB9"/>
    <w:rsid w:val="27D25752"/>
    <w:rsid w:val="27D53816"/>
    <w:rsid w:val="27E77AE7"/>
    <w:rsid w:val="282615FA"/>
    <w:rsid w:val="28380E74"/>
    <w:rsid w:val="286363AA"/>
    <w:rsid w:val="287A0BD4"/>
    <w:rsid w:val="288250C4"/>
    <w:rsid w:val="28844BDA"/>
    <w:rsid w:val="2885743B"/>
    <w:rsid w:val="28A23BDF"/>
    <w:rsid w:val="28BD3CC7"/>
    <w:rsid w:val="28E53263"/>
    <w:rsid w:val="28FF1AFF"/>
    <w:rsid w:val="295D104C"/>
    <w:rsid w:val="29606D8E"/>
    <w:rsid w:val="296E5E5C"/>
    <w:rsid w:val="29792165"/>
    <w:rsid w:val="29982084"/>
    <w:rsid w:val="29B325F3"/>
    <w:rsid w:val="29EC3C5D"/>
    <w:rsid w:val="29FE7842"/>
    <w:rsid w:val="2A2D479B"/>
    <w:rsid w:val="2A3F4BF5"/>
    <w:rsid w:val="2A7F1496"/>
    <w:rsid w:val="2A914885"/>
    <w:rsid w:val="2AA1765E"/>
    <w:rsid w:val="2B036FBE"/>
    <w:rsid w:val="2B99075C"/>
    <w:rsid w:val="2C027C88"/>
    <w:rsid w:val="2C4068EE"/>
    <w:rsid w:val="2C732934"/>
    <w:rsid w:val="2CAF1529"/>
    <w:rsid w:val="2CBE2F09"/>
    <w:rsid w:val="2CCB1056"/>
    <w:rsid w:val="2CCE35E6"/>
    <w:rsid w:val="2CD817D0"/>
    <w:rsid w:val="2D7365FC"/>
    <w:rsid w:val="2D832FD8"/>
    <w:rsid w:val="2D893089"/>
    <w:rsid w:val="2DB02848"/>
    <w:rsid w:val="2DBF1FE1"/>
    <w:rsid w:val="2DC94A10"/>
    <w:rsid w:val="2DEC299E"/>
    <w:rsid w:val="2DF61A6F"/>
    <w:rsid w:val="2E0A17C8"/>
    <w:rsid w:val="2E1747BF"/>
    <w:rsid w:val="2E5F1DFB"/>
    <w:rsid w:val="2E7A59BF"/>
    <w:rsid w:val="2EC35DF5"/>
    <w:rsid w:val="2F386E4E"/>
    <w:rsid w:val="2F6A66CC"/>
    <w:rsid w:val="2F8559C6"/>
    <w:rsid w:val="30182170"/>
    <w:rsid w:val="302208F9"/>
    <w:rsid w:val="303F12A1"/>
    <w:rsid w:val="309A2B85"/>
    <w:rsid w:val="30E3452C"/>
    <w:rsid w:val="313308E4"/>
    <w:rsid w:val="313B21E2"/>
    <w:rsid w:val="31436D79"/>
    <w:rsid w:val="314B0E46"/>
    <w:rsid w:val="317437AE"/>
    <w:rsid w:val="317A6513"/>
    <w:rsid w:val="319455CF"/>
    <w:rsid w:val="31C17E9C"/>
    <w:rsid w:val="31CE1418"/>
    <w:rsid w:val="31D9148B"/>
    <w:rsid w:val="31DC71A3"/>
    <w:rsid w:val="31F65BC5"/>
    <w:rsid w:val="323B2146"/>
    <w:rsid w:val="3244724D"/>
    <w:rsid w:val="324A2389"/>
    <w:rsid w:val="32611CF5"/>
    <w:rsid w:val="327328FA"/>
    <w:rsid w:val="328E54AC"/>
    <w:rsid w:val="32D84C31"/>
    <w:rsid w:val="32E45099"/>
    <w:rsid w:val="33192CF9"/>
    <w:rsid w:val="331E75B3"/>
    <w:rsid w:val="33406F8F"/>
    <w:rsid w:val="33A87367"/>
    <w:rsid w:val="33C17097"/>
    <w:rsid w:val="341E29A6"/>
    <w:rsid w:val="345E437D"/>
    <w:rsid w:val="346040E6"/>
    <w:rsid w:val="34900A87"/>
    <w:rsid w:val="34FF467C"/>
    <w:rsid w:val="35042BAA"/>
    <w:rsid w:val="35221DC7"/>
    <w:rsid w:val="35667733"/>
    <w:rsid w:val="35CF10F5"/>
    <w:rsid w:val="369F01B4"/>
    <w:rsid w:val="3727621C"/>
    <w:rsid w:val="374A2DC4"/>
    <w:rsid w:val="37655186"/>
    <w:rsid w:val="377203B8"/>
    <w:rsid w:val="378E20E3"/>
    <w:rsid w:val="3825367C"/>
    <w:rsid w:val="38303DCF"/>
    <w:rsid w:val="387D3C57"/>
    <w:rsid w:val="38D961FA"/>
    <w:rsid w:val="39110269"/>
    <w:rsid w:val="39431675"/>
    <w:rsid w:val="39493F52"/>
    <w:rsid w:val="397B72CC"/>
    <w:rsid w:val="397D3578"/>
    <w:rsid w:val="39ED1F78"/>
    <w:rsid w:val="3A36178F"/>
    <w:rsid w:val="3A3A2CE3"/>
    <w:rsid w:val="3A4E3759"/>
    <w:rsid w:val="3A747227"/>
    <w:rsid w:val="3AAA7C2D"/>
    <w:rsid w:val="3AAC011D"/>
    <w:rsid w:val="3ACB39EB"/>
    <w:rsid w:val="3B651FE2"/>
    <w:rsid w:val="3B7C7FAD"/>
    <w:rsid w:val="3B8B7C9A"/>
    <w:rsid w:val="3B9F54F4"/>
    <w:rsid w:val="3BB464FC"/>
    <w:rsid w:val="3BB7098A"/>
    <w:rsid w:val="3BC86A80"/>
    <w:rsid w:val="3BF026A0"/>
    <w:rsid w:val="3BF27D19"/>
    <w:rsid w:val="3C4F68A8"/>
    <w:rsid w:val="3C6A5B02"/>
    <w:rsid w:val="3C8F30AA"/>
    <w:rsid w:val="3C9017B0"/>
    <w:rsid w:val="3C9B0B42"/>
    <w:rsid w:val="3CEB3167"/>
    <w:rsid w:val="3CF372D2"/>
    <w:rsid w:val="3D4268E3"/>
    <w:rsid w:val="3D580F58"/>
    <w:rsid w:val="3D7B5AED"/>
    <w:rsid w:val="3DF91963"/>
    <w:rsid w:val="3DFC4E7F"/>
    <w:rsid w:val="3E194BC1"/>
    <w:rsid w:val="3E5F25DA"/>
    <w:rsid w:val="3E67693F"/>
    <w:rsid w:val="3E6F30B6"/>
    <w:rsid w:val="3EB0426F"/>
    <w:rsid w:val="3F012A8A"/>
    <w:rsid w:val="3F5B33C0"/>
    <w:rsid w:val="3F693EB8"/>
    <w:rsid w:val="3F9E2596"/>
    <w:rsid w:val="3FC97212"/>
    <w:rsid w:val="3FE034BE"/>
    <w:rsid w:val="400224F5"/>
    <w:rsid w:val="401D10DD"/>
    <w:rsid w:val="40322DDA"/>
    <w:rsid w:val="40B61873"/>
    <w:rsid w:val="4114603C"/>
    <w:rsid w:val="41272213"/>
    <w:rsid w:val="416C231C"/>
    <w:rsid w:val="41721A73"/>
    <w:rsid w:val="41741ECE"/>
    <w:rsid w:val="418331C2"/>
    <w:rsid w:val="41BC1BB4"/>
    <w:rsid w:val="42040BEF"/>
    <w:rsid w:val="421B164C"/>
    <w:rsid w:val="423C2C7E"/>
    <w:rsid w:val="42701998"/>
    <w:rsid w:val="42D31F27"/>
    <w:rsid w:val="42F14FC3"/>
    <w:rsid w:val="43040332"/>
    <w:rsid w:val="430B0051"/>
    <w:rsid w:val="43294721"/>
    <w:rsid w:val="43641051"/>
    <w:rsid w:val="43677726"/>
    <w:rsid w:val="437439A1"/>
    <w:rsid w:val="43976215"/>
    <w:rsid w:val="43FB34E3"/>
    <w:rsid w:val="440A3726"/>
    <w:rsid w:val="445157F9"/>
    <w:rsid w:val="44550E45"/>
    <w:rsid w:val="44AF3321"/>
    <w:rsid w:val="44B80D28"/>
    <w:rsid w:val="44BD3C53"/>
    <w:rsid w:val="44FA379B"/>
    <w:rsid w:val="453C2005"/>
    <w:rsid w:val="454964D0"/>
    <w:rsid w:val="454D4439"/>
    <w:rsid w:val="45554E75"/>
    <w:rsid w:val="45791519"/>
    <w:rsid w:val="45B70BAF"/>
    <w:rsid w:val="45BA0898"/>
    <w:rsid w:val="461068B4"/>
    <w:rsid w:val="4645313C"/>
    <w:rsid w:val="469E3AD1"/>
    <w:rsid w:val="46B75DE7"/>
    <w:rsid w:val="46BC102E"/>
    <w:rsid w:val="46F62A7D"/>
    <w:rsid w:val="46F85025"/>
    <w:rsid w:val="47094A53"/>
    <w:rsid w:val="477041E8"/>
    <w:rsid w:val="4780267D"/>
    <w:rsid w:val="47953C4F"/>
    <w:rsid w:val="4799478F"/>
    <w:rsid w:val="47C3256A"/>
    <w:rsid w:val="48015AC8"/>
    <w:rsid w:val="48272928"/>
    <w:rsid w:val="48284AC3"/>
    <w:rsid w:val="48362D3C"/>
    <w:rsid w:val="48381158"/>
    <w:rsid w:val="484505CA"/>
    <w:rsid w:val="484C2CA3"/>
    <w:rsid w:val="488C73A1"/>
    <w:rsid w:val="48A24875"/>
    <w:rsid w:val="48AC5D02"/>
    <w:rsid w:val="48FF325B"/>
    <w:rsid w:val="494A4DFF"/>
    <w:rsid w:val="496547AD"/>
    <w:rsid w:val="49675177"/>
    <w:rsid w:val="49784744"/>
    <w:rsid w:val="49B546C3"/>
    <w:rsid w:val="49C34AA3"/>
    <w:rsid w:val="49C902C5"/>
    <w:rsid w:val="49CB1FB5"/>
    <w:rsid w:val="4A0F10CE"/>
    <w:rsid w:val="4A1672C9"/>
    <w:rsid w:val="4A1746C8"/>
    <w:rsid w:val="4A175E73"/>
    <w:rsid w:val="4A477482"/>
    <w:rsid w:val="4A633B90"/>
    <w:rsid w:val="4A6C5A80"/>
    <w:rsid w:val="4A9511A8"/>
    <w:rsid w:val="4AB078ED"/>
    <w:rsid w:val="4ADB406F"/>
    <w:rsid w:val="4B4A62F4"/>
    <w:rsid w:val="4B694D13"/>
    <w:rsid w:val="4B6B71A0"/>
    <w:rsid w:val="4BF95768"/>
    <w:rsid w:val="4C1573A3"/>
    <w:rsid w:val="4C520360"/>
    <w:rsid w:val="4C9B1D07"/>
    <w:rsid w:val="4CA62F12"/>
    <w:rsid w:val="4D113753"/>
    <w:rsid w:val="4D1B2795"/>
    <w:rsid w:val="4D203FBB"/>
    <w:rsid w:val="4DA641B8"/>
    <w:rsid w:val="4DB72B71"/>
    <w:rsid w:val="4DBF18E4"/>
    <w:rsid w:val="4DF914D1"/>
    <w:rsid w:val="4E1368CA"/>
    <w:rsid w:val="4E2D63F2"/>
    <w:rsid w:val="4E3B6988"/>
    <w:rsid w:val="4E4168DE"/>
    <w:rsid w:val="4EC8490A"/>
    <w:rsid w:val="4EE51018"/>
    <w:rsid w:val="4EF10FC7"/>
    <w:rsid w:val="4F4246BC"/>
    <w:rsid w:val="4F561542"/>
    <w:rsid w:val="4F734876"/>
    <w:rsid w:val="4F7F8C32"/>
    <w:rsid w:val="4F956BF2"/>
    <w:rsid w:val="4FC57BED"/>
    <w:rsid w:val="500B1C51"/>
    <w:rsid w:val="503A5202"/>
    <w:rsid w:val="50F245AF"/>
    <w:rsid w:val="50F45001"/>
    <w:rsid w:val="51907AB3"/>
    <w:rsid w:val="51D06181"/>
    <w:rsid w:val="52273F7A"/>
    <w:rsid w:val="523F3135"/>
    <w:rsid w:val="52592449"/>
    <w:rsid w:val="531C5FF6"/>
    <w:rsid w:val="53226F6B"/>
    <w:rsid w:val="53344B94"/>
    <w:rsid w:val="533802B0"/>
    <w:rsid w:val="533F47B1"/>
    <w:rsid w:val="53500458"/>
    <w:rsid w:val="539B4F9B"/>
    <w:rsid w:val="53E82F40"/>
    <w:rsid w:val="5401121D"/>
    <w:rsid w:val="541008E5"/>
    <w:rsid w:val="54106B37"/>
    <w:rsid w:val="54177B57"/>
    <w:rsid w:val="547B0ED4"/>
    <w:rsid w:val="547F49C7"/>
    <w:rsid w:val="54D75DEE"/>
    <w:rsid w:val="54ED7E1B"/>
    <w:rsid w:val="552742FF"/>
    <w:rsid w:val="55402630"/>
    <w:rsid w:val="55563836"/>
    <w:rsid w:val="556A60F5"/>
    <w:rsid w:val="556C6834"/>
    <w:rsid w:val="55735DDC"/>
    <w:rsid w:val="55775434"/>
    <w:rsid w:val="55894DF3"/>
    <w:rsid w:val="566D0DDB"/>
    <w:rsid w:val="566D4183"/>
    <w:rsid w:val="56985AE3"/>
    <w:rsid w:val="56B23ED5"/>
    <w:rsid w:val="56B24434"/>
    <w:rsid w:val="56B82DE4"/>
    <w:rsid w:val="5703167F"/>
    <w:rsid w:val="570B7A8A"/>
    <w:rsid w:val="57617B28"/>
    <w:rsid w:val="5767467E"/>
    <w:rsid w:val="57720E96"/>
    <w:rsid w:val="57CE6149"/>
    <w:rsid w:val="57F24F2A"/>
    <w:rsid w:val="58472652"/>
    <w:rsid w:val="584B3F6A"/>
    <w:rsid w:val="58624CFD"/>
    <w:rsid w:val="586B07E0"/>
    <w:rsid w:val="586C784F"/>
    <w:rsid w:val="58821B71"/>
    <w:rsid w:val="58922210"/>
    <w:rsid w:val="58C90949"/>
    <w:rsid w:val="596A4A22"/>
    <w:rsid w:val="59BC3D40"/>
    <w:rsid w:val="59FD1400"/>
    <w:rsid w:val="5A032C9A"/>
    <w:rsid w:val="5A4B3BC7"/>
    <w:rsid w:val="5A796407"/>
    <w:rsid w:val="5AD430E1"/>
    <w:rsid w:val="5AF57843"/>
    <w:rsid w:val="5B2353A2"/>
    <w:rsid w:val="5B390072"/>
    <w:rsid w:val="5B417B48"/>
    <w:rsid w:val="5B490B80"/>
    <w:rsid w:val="5B4B48F9"/>
    <w:rsid w:val="5B602B8D"/>
    <w:rsid w:val="5BBA00DF"/>
    <w:rsid w:val="5C031F8B"/>
    <w:rsid w:val="5C361105"/>
    <w:rsid w:val="5CB93880"/>
    <w:rsid w:val="5CE5510F"/>
    <w:rsid w:val="5CF60894"/>
    <w:rsid w:val="5D563A15"/>
    <w:rsid w:val="5DE51034"/>
    <w:rsid w:val="5DF41277"/>
    <w:rsid w:val="5E007C1C"/>
    <w:rsid w:val="5EB95AC9"/>
    <w:rsid w:val="5F97010C"/>
    <w:rsid w:val="5FCD7FD2"/>
    <w:rsid w:val="5FD03A95"/>
    <w:rsid w:val="5FF70DC1"/>
    <w:rsid w:val="60432042"/>
    <w:rsid w:val="607A09C6"/>
    <w:rsid w:val="608A1736"/>
    <w:rsid w:val="609B59DA"/>
    <w:rsid w:val="609F4FE8"/>
    <w:rsid w:val="60A56859"/>
    <w:rsid w:val="613253CF"/>
    <w:rsid w:val="613F0A5C"/>
    <w:rsid w:val="61406D63"/>
    <w:rsid w:val="61D309C1"/>
    <w:rsid w:val="61F657B8"/>
    <w:rsid w:val="622D5A78"/>
    <w:rsid w:val="62333B94"/>
    <w:rsid w:val="62455EA3"/>
    <w:rsid w:val="62555998"/>
    <w:rsid w:val="625C73EB"/>
    <w:rsid w:val="62A10321"/>
    <w:rsid w:val="62A3326C"/>
    <w:rsid w:val="63644067"/>
    <w:rsid w:val="63846BFA"/>
    <w:rsid w:val="63C04E0D"/>
    <w:rsid w:val="64177A6E"/>
    <w:rsid w:val="645D0076"/>
    <w:rsid w:val="64816C98"/>
    <w:rsid w:val="64CF7A0B"/>
    <w:rsid w:val="64E5439B"/>
    <w:rsid w:val="65654A4E"/>
    <w:rsid w:val="65896749"/>
    <w:rsid w:val="65CA501B"/>
    <w:rsid w:val="65DE7033"/>
    <w:rsid w:val="65E72516"/>
    <w:rsid w:val="666844C2"/>
    <w:rsid w:val="667E5B82"/>
    <w:rsid w:val="66985D66"/>
    <w:rsid w:val="66A51361"/>
    <w:rsid w:val="66AE5CE5"/>
    <w:rsid w:val="66C56598"/>
    <w:rsid w:val="67417566"/>
    <w:rsid w:val="67550FD9"/>
    <w:rsid w:val="677476CC"/>
    <w:rsid w:val="678C7DEF"/>
    <w:rsid w:val="67AA29A7"/>
    <w:rsid w:val="67DF4E1C"/>
    <w:rsid w:val="685D09D5"/>
    <w:rsid w:val="68AF296B"/>
    <w:rsid w:val="68F4037D"/>
    <w:rsid w:val="690A4E0D"/>
    <w:rsid w:val="69D911D4"/>
    <w:rsid w:val="6A211646"/>
    <w:rsid w:val="6A56439B"/>
    <w:rsid w:val="6AA9734A"/>
    <w:rsid w:val="6B0D3978"/>
    <w:rsid w:val="6B317066"/>
    <w:rsid w:val="6B537E5F"/>
    <w:rsid w:val="6B6F4633"/>
    <w:rsid w:val="6B741C1B"/>
    <w:rsid w:val="6BFD579B"/>
    <w:rsid w:val="6BFF0A82"/>
    <w:rsid w:val="6C1E4E98"/>
    <w:rsid w:val="6C38544E"/>
    <w:rsid w:val="6C423325"/>
    <w:rsid w:val="6CB26F14"/>
    <w:rsid w:val="6CF05300"/>
    <w:rsid w:val="6CF97917"/>
    <w:rsid w:val="6D26034E"/>
    <w:rsid w:val="6D3276C6"/>
    <w:rsid w:val="6D532791"/>
    <w:rsid w:val="6D561607"/>
    <w:rsid w:val="6D74674E"/>
    <w:rsid w:val="6D9B2BEF"/>
    <w:rsid w:val="6E09514E"/>
    <w:rsid w:val="6E9323E7"/>
    <w:rsid w:val="6E9A79E9"/>
    <w:rsid w:val="6EA91C0A"/>
    <w:rsid w:val="6ED0363B"/>
    <w:rsid w:val="6EDD3662"/>
    <w:rsid w:val="6EE42C42"/>
    <w:rsid w:val="6EEF1D13"/>
    <w:rsid w:val="6F1304BA"/>
    <w:rsid w:val="6F433ACB"/>
    <w:rsid w:val="6F4F630E"/>
    <w:rsid w:val="6F7B0AEA"/>
    <w:rsid w:val="6FA91F61"/>
    <w:rsid w:val="6FC34F4E"/>
    <w:rsid w:val="6FDF7293"/>
    <w:rsid w:val="6FE506ED"/>
    <w:rsid w:val="70065A31"/>
    <w:rsid w:val="701D2C39"/>
    <w:rsid w:val="70270955"/>
    <w:rsid w:val="70365454"/>
    <w:rsid w:val="703B0F88"/>
    <w:rsid w:val="70536B84"/>
    <w:rsid w:val="706C2AAB"/>
    <w:rsid w:val="70A450A0"/>
    <w:rsid w:val="70EF5EDC"/>
    <w:rsid w:val="71324139"/>
    <w:rsid w:val="71584144"/>
    <w:rsid w:val="71AB7A47"/>
    <w:rsid w:val="72361A07"/>
    <w:rsid w:val="72474784"/>
    <w:rsid w:val="72676064"/>
    <w:rsid w:val="727214D3"/>
    <w:rsid w:val="72B65C67"/>
    <w:rsid w:val="72FA6ED8"/>
    <w:rsid w:val="738C1A2B"/>
    <w:rsid w:val="73B057E9"/>
    <w:rsid w:val="73B25989"/>
    <w:rsid w:val="73F62C83"/>
    <w:rsid w:val="740D4F28"/>
    <w:rsid w:val="745052D9"/>
    <w:rsid w:val="74C4449F"/>
    <w:rsid w:val="74DC5EBB"/>
    <w:rsid w:val="74EF29BE"/>
    <w:rsid w:val="74FA31C0"/>
    <w:rsid w:val="75047B9A"/>
    <w:rsid w:val="75542FDE"/>
    <w:rsid w:val="75AC740F"/>
    <w:rsid w:val="75F1223F"/>
    <w:rsid w:val="76143E0D"/>
    <w:rsid w:val="764211C6"/>
    <w:rsid w:val="769D60E3"/>
    <w:rsid w:val="77226B8B"/>
    <w:rsid w:val="77646BE8"/>
    <w:rsid w:val="77911BC2"/>
    <w:rsid w:val="77AF825A"/>
    <w:rsid w:val="77C74EAF"/>
    <w:rsid w:val="78034139"/>
    <w:rsid w:val="782C7B34"/>
    <w:rsid w:val="78445FA5"/>
    <w:rsid w:val="784D7AAA"/>
    <w:rsid w:val="78551CF5"/>
    <w:rsid w:val="785E1CB7"/>
    <w:rsid w:val="788A485A"/>
    <w:rsid w:val="788D77FD"/>
    <w:rsid w:val="789C7979"/>
    <w:rsid w:val="78A84CE1"/>
    <w:rsid w:val="78B8503F"/>
    <w:rsid w:val="78F626F0"/>
    <w:rsid w:val="78F9378E"/>
    <w:rsid w:val="79690371"/>
    <w:rsid w:val="796B5F6C"/>
    <w:rsid w:val="797F5A41"/>
    <w:rsid w:val="798B2638"/>
    <w:rsid w:val="79B57521"/>
    <w:rsid w:val="79D36350"/>
    <w:rsid w:val="7A25365F"/>
    <w:rsid w:val="7A330BE3"/>
    <w:rsid w:val="7A5D747E"/>
    <w:rsid w:val="7A650EE2"/>
    <w:rsid w:val="7A886B78"/>
    <w:rsid w:val="7AA03EC1"/>
    <w:rsid w:val="7AA53BCD"/>
    <w:rsid w:val="7AC1208A"/>
    <w:rsid w:val="7AD262B9"/>
    <w:rsid w:val="7B073F40"/>
    <w:rsid w:val="7B841A35"/>
    <w:rsid w:val="7B8739B8"/>
    <w:rsid w:val="7BE85A5A"/>
    <w:rsid w:val="7BED2F6D"/>
    <w:rsid w:val="7C6F2B32"/>
    <w:rsid w:val="7D511DEB"/>
    <w:rsid w:val="7D586CD5"/>
    <w:rsid w:val="7D5E2DD2"/>
    <w:rsid w:val="7D7934EC"/>
    <w:rsid w:val="7DE62533"/>
    <w:rsid w:val="7DED5311"/>
    <w:rsid w:val="7E4E2D56"/>
    <w:rsid w:val="7E72113A"/>
    <w:rsid w:val="7E775881"/>
    <w:rsid w:val="7EF10E29"/>
    <w:rsid w:val="7EF944E8"/>
    <w:rsid w:val="7F3F17D8"/>
    <w:rsid w:val="7F945082"/>
    <w:rsid w:val="7FBB179D"/>
    <w:rsid w:val="7FDF36DE"/>
    <w:rsid w:val="7FE13C63"/>
    <w:rsid w:val="9CDBF28F"/>
    <w:rsid w:val="DF5FB6B7"/>
    <w:rsid w:val="F2EAD378"/>
    <w:rsid w:val="F3F0B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99" w:semiHidden="0"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99"/>
    <w:pPr>
      <w:keepNext/>
      <w:keepLines/>
      <w:spacing w:before="260" w:after="260"/>
      <w:jc w:val="center"/>
      <w:outlineLvl w:val="1"/>
    </w:pPr>
    <w:rPr>
      <w:rFonts w:eastAsia="华文中宋" w:cs="Times New Roman"/>
      <w:b/>
      <w:bCs/>
      <w:szCs w:val="44"/>
    </w:rPr>
  </w:style>
  <w:style w:type="character" w:default="1" w:styleId="20">
    <w:name w:val="Default Paragraph Font"/>
    <w:autoRedefine/>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szCs w:val="21"/>
    </w:rPr>
  </w:style>
  <w:style w:type="paragraph" w:styleId="5">
    <w:name w:val="table of authorities"/>
    <w:basedOn w:val="1"/>
    <w:next w:val="1"/>
    <w:qFormat/>
    <w:uiPriority w:val="0"/>
    <w:pPr>
      <w:ind w:left="420" w:leftChars="200"/>
    </w:pPr>
  </w:style>
  <w:style w:type="paragraph" w:styleId="6">
    <w:name w:val="Normal Indent"/>
    <w:basedOn w:val="1"/>
    <w:next w:val="1"/>
    <w:autoRedefine/>
    <w:qFormat/>
    <w:uiPriority w:val="0"/>
    <w:pPr>
      <w:ind w:firstLine="420"/>
    </w:pPr>
    <w:rPr>
      <w:szCs w:val="21"/>
    </w:rPr>
  </w:style>
  <w:style w:type="paragraph" w:styleId="7">
    <w:name w:val="annotation text"/>
    <w:basedOn w:val="1"/>
    <w:semiHidden/>
    <w:unhideWhenUsed/>
    <w:qFormat/>
    <w:uiPriority w:val="99"/>
    <w:pPr>
      <w:jc w:val="left"/>
    </w:pPr>
  </w:style>
  <w:style w:type="paragraph" w:styleId="8">
    <w:name w:val="Body Text"/>
    <w:basedOn w:val="1"/>
    <w:next w:val="1"/>
    <w:qFormat/>
    <w:uiPriority w:val="99"/>
    <w:rPr>
      <w:rFonts w:ascii="仿宋_GB2312" w:eastAsia="仿宋_GB2312"/>
      <w:sz w:val="30"/>
    </w:rPr>
  </w:style>
  <w:style w:type="paragraph" w:styleId="9">
    <w:name w:val="Body Text Indent"/>
    <w:basedOn w:val="1"/>
    <w:autoRedefine/>
    <w:unhideWhenUsed/>
    <w:qFormat/>
    <w:uiPriority w:val="99"/>
    <w:pPr>
      <w:spacing w:after="120"/>
      <w:ind w:left="420" w:leftChars="200"/>
    </w:pPr>
  </w:style>
  <w:style w:type="paragraph" w:styleId="10">
    <w:name w:val="footer"/>
    <w:basedOn w:val="1"/>
    <w:autoRedefine/>
    <w:unhideWhenUsed/>
    <w:qFormat/>
    <w:uiPriority w:val="99"/>
    <w:pPr>
      <w:tabs>
        <w:tab w:val="center" w:pos="4153"/>
        <w:tab w:val="right" w:pos="8306"/>
      </w:tabs>
      <w:snapToGrid w:val="0"/>
      <w:jc w:val="left"/>
    </w:pPr>
    <w:rPr>
      <w:sz w:val="18"/>
    </w:rPr>
  </w:style>
  <w:style w:type="paragraph" w:styleId="11">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unhideWhenUsed/>
    <w:qFormat/>
    <w:uiPriority w:val="39"/>
  </w:style>
  <w:style w:type="paragraph" w:styleId="13">
    <w:name w:val="index 9"/>
    <w:basedOn w:val="1"/>
    <w:next w:val="1"/>
    <w:autoRedefine/>
    <w:qFormat/>
    <w:uiPriority w:val="99"/>
    <w:pPr>
      <w:ind w:left="1600" w:leftChars="1600"/>
    </w:pPr>
  </w:style>
  <w:style w:type="paragraph" w:styleId="14">
    <w:name w:val="toc 2"/>
    <w:basedOn w:val="1"/>
    <w:next w:val="1"/>
    <w:unhideWhenUsed/>
    <w:qFormat/>
    <w:uiPriority w:val="39"/>
    <w:pPr>
      <w:ind w:left="420" w:leftChars="200"/>
    </w:pPr>
  </w:style>
  <w:style w:type="paragraph" w:styleId="1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6">
    <w:name w:val="Normal (Web)"/>
    <w:basedOn w:val="1"/>
    <w:autoRedefine/>
    <w:qFormat/>
    <w:uiPriority w:val="0"/>
    <w:pPr>
      <w:spacing w:before="100" w:beforeAutospacing="1" w:after="100" w:afterAutospacing="1"/>
      <w:jc w:val="left"/>
    </w:pPr>
    <w:rPr>
      <w:rFonts w:eastAsia="宋体"/>
      <w:kern w:val="0"/>
      <w:sz w:val="24"/>
    </w:rPr>
  </w:style>
  <w:style w:type="paragraph" w:styleId="17">
    <w:name w:val="Body Text First Indent"/>
    <w:basedOn w:val="8"/>
    <w:unhideWhenUsed/>
    <w:qFormat/>
    <w:uiPriority w:val="0"/>
    <w:pPr>
      <w:ind w:firstLine="420" w:firstLineChars="100"/>
    </w:pPr>
  </w:style>
  <w:style w:type="paragraph" w:styleId="18">
    <w:name w:val="Body Text First Indent 2"/>
    <w:basedOn w:val="9"/>
    <w:autoRedefine/>
    <w:unhideWhenUsed/>
    <w:qFormat/>
    <w:uiPriority w:val="99"/>
    <w:pPr>
      <w:widowControl/>
      <w:wordWrap w:val="0"/>
      <w:ind w:firstLine="420" w:firstLineChars="200"/>
    </w:pPr>
    <w:rPr>
      <w:kern w:val="0"/>
      <w:sz w:val="20"/>
      <w:szCs w:val="20"/>
    </w:rPr>
  </w:style>
  <w:style w:type="paragraph" w:customStyle="1" w:styleId="21">
    <w:name w:val="无间隔1"/>
    <w:qFormat/>
    <w:uiPriority w:val="0"/>
    <w:rPr>
      <w:rFonts w:ascii="Times New Roman" w:hAnsi="Times New Roman" w:eastAsia="宋体" w:cs="Times New Roman"/>
      <w:sz w:val="22"/>
      <w:szCs w:val="22"/>
      <w:lang w:val="en-US" w:eastAsia="zh-CN" w:bidi="ar-SA"/>
    </w:rPr>
  </w:style>
  <w:style w:type="paragraph" w:styleId="22">
    <w:name w:val="List Paragraph"/>
    <w:basedOn w:val="1"/>
    <w:qFormat/>
    <w:uiPriority w:val="34"/>
    <w:pPr>
      <w:ind w:firstLine="420" w:firstLineChars="200"/>
    </w:pPr>
  </w:style>
  <w:style w:type="paragraph" w:customStyle="1" w:styleId="23">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24">
    <w:name w:val="WPSOffice手动目录 1"/>
    <w:qFormat/>
    <w:uiPriority w:val="0"/>
    <w:rPr>
      <w:rFonts w:ascii="Times New Roman" w:hAnsi="Times New Roman" w:eastAsia="宋体" w:cs="Times New Roman"/>
      <w:lang w:val="en-US" w:eastAsia="zh-CN" w:bidi="ar-SA"/>
    </w:rPr>
  </w:style>
  <w:style w:type="paragraph" w:customStyle="1" w:styleId="25">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6">
    <w:name w:val="font11"/>
    <w:basedOn w:val="20"/>
    <w:qFormat/>
    <w:uiPriority w:val="0"/>
    <w:rPr>
      <w:rFonts w:ascii="仿宋" w:hAnsi="仿宋" w:eastAsia="仿宋" w:cs="仿宋"/>
      <w:color w:val="000000"/>
      <w:sz w:val="24"/>
      <w:szCs w:val="24"/>
      <w:u w:val="none"/>
    </w:rPr>
  </w:style>
  <w:style w:type="paragraph" w:customStyle="1" w:styleId="27">
    <w:name w:val="二级"/>
    <w:basedOn w:val="1"/>
    <w:qFormat/>
    <w:uiPriority w:val="0"/>
    <w:pPr>
      <w:autoSpaceDN w:val="0"/>
      <w:spacing w:line="400" w:lineRule="exact"/>
      <w:outlineLvl w:val="2"/>
    </w:pPr>
    <w:rPr>
      <w:rFonts w:ascii="宋体" w:hAnsi="宋体"/>
      <w:b/>
      <w:bCs/>
      <w:sz w:val="28"/>
      <w:szCs w:val="28"/>
      <w:lang w:eastAsia="en-US"/>
    </w:rPr>
  </w:style>
  <w:style w:type="paragraph" w:customStyle="1" w:styleId="28">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9">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0">
    <w:name w:val="bjh-p"/>
    <w:basedOn w:val="20"/>
    <w:qFormat/>
    <w:uiPriority w:val="0"/>
  </w:style>
  <w:style w:type="paragraph" w:customStyle="1" w:styleId="31">
    <w:name w:val="标题3"/>
    <w:basedOn w:val="1"/>
    <w:next w:val="1"/>
    <w:qFormat/>
    <w:uiPriority w:val="0"/>
    <w:pPr>
      <w:snapToGrid w:val="0"/>
      <w:spacing w:line="360" w:lineRule="auto"/>
      <w:ind w:firstLine="200" w:firstLineChars="200"/>
      <w:outlineLvl w:val="2"/>
    </w:pPr>
    <w:rPr>
      <w:rFonts w:ascii="仿宋_GB2312" w:hAnsi="华文宋体" w:eastAsia="仿宋_GB2312"/>
      <w:sz w:val="32"/>
      <w:szCs w:val="32"/>
    </w:rPr>
  </w:style>
  <w:style w:type="character" w:customStyle="1" w:styleId="32">
    <w:name w:val="font41"/>
    <w:basedOn w:val="20"/>
    <w:qFormat/>
    <w:uiPriority w:val="0"/>
    <w:rPr>
      <w:rFonts w:hint="eastAsia" w:ascii="宋体" w:hAnsi="宋体" w:eastAsia="宋体" w:cs="宋体"/>
      <w:color w:val="000000"/>
      <w:sz w:val="20"/>
      <w:szCs w:val="20"/>
      <w:u w:val="none"/>
    </w:rPr>
  </w:style>
  <w:style w:type="character" w:customStyle="1" w:styleId="33">
    <w:name w:val="font01"/>
    <w:basedOn w:val="20"/>
    <w:qFormat/>
    <w:uiPriority w:val="0"/>
    <w:rPr>
      <w:rFonts w:hint="eastAsia" w:ascii="宋体" w:hAnsi="宋体" w:eastAsia="宋体" w:cs="宋体"/>
      <w:color w:val="000000"/>
      <w:sz w:val="20"/>
      <w:szCs w:val="20"/>
      <w:u w:val="none"/>
    </w:rPr>
  </w:style>
  <w:style w:type="paragraph" w:customStyle="1" w:styleId="34">
    <w:name w:val="Index9"/>
    <w:basedOn w:val="1"/>
    <w:next w:val="1"/>
    <w:semiHidden/>
    <w:qFormat/>
    <w:uiPriority w:val="0"/>
    <w:pPr>
      <w:ind w:left="1600" w:leftChars="1600"/>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11018</Words>
  <Characters>11986</Characters>
  <Lines>130</Lines>
  <Paragraphs>36</Paragraphs>
  <TotalTime>0</TotalTime>
  <ScaleCrop>false</ScaleCrop>
  <LinksUpToDate>false</LinksUpToDate>
  <CharactersWithSpaces>12099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2022-04-15T18:14:00Z</dcterms:created>
  <dc:creator>岳辰 于</dc:creator>
  <cp:lastModifiedBy>Administrator</cp:lastModifiedBy>
  <cp:lastPrinted>2022-05-30T01:10:00Z</cp:lastPrinted>
  <dcterms:modified xsi:type="dcterms:W3CDTF">2024-05-20T02:35:22Z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6F48E21B9160CE6213D44166E5A9649B_43</vt:lpwstr>
  </property>
</Properties>
</file>