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Times New Roman" w:hAnsi="Times New Roman" w:eastAsia="仿宋_GB2312" w:cs="Times New Roman"/>
          <w:b/>
          <w:bCs/>
          <w:kern w:val="0"/>
          <w:sz w:val="52"/>
          <w:szCs w:val="52"/>
        </w:rPr>
      </w:pPr>
      <w:bookmarkStart w:id="0" w:name="_Toc410210433"/>
    </w:p>
    <w:p>
      <w:pPr>
        <w:widowControl/>
        <w:ind w:firstLine="1044"/>
        <w:jc w:val="center"/>
        <w:rPr>
          <w:rFonts w:ascii="Times New Roman" w:hAnsi="Times New Roman" w:eastAsia="仿宋_GB2312" w:cs="Times New Roman"/>
          <w:b/>
          <w:bCs/>
          <w:kern w:val="0"/>
          <w:sz w:val="52"/>
          <w:szCs w:val="52"/>
        </w:rPr>
      </w:pPr>
    </w:p>
    <w:p>
      <w:pPr>
        <w:widowControl/>
        <w:jc w:val="center"/>
        <w:rPr>
          <w:rFonts w:ascii="Times New Roman" w:hAnsi="Times New Roman" w:eastAsia="仿宋_GB2312" w:cs="Times New Roman"/>
          <w:b/>
          <w:bCs/>
          <w:kern w:val="0"/>
          <w:sz w:val="52"/>
          <w:szCs w:val="52"/>
        </w:rPr>
      </w:pPr>
      <w:r>
        <w:rPr>
          <w:rFonts w:ascii="Times New Roman" w:hAnsi="Times New Roman" w:eastAsia="仿宋_GB2312" w:cs="Times New Roman"/>
          <w:b/>
          <w:bCs/>
          <w:kern w:val="0"/>
          <w:sz w:val="52"/>
          <w:szCs w:val="52"/>
        </w:rPr>
        <w:t>北京市市级财政支出项目</w:t>
      </w:r>
    </w:p>
    <w:p>
      <w:pPr>
        <w:widowControl/>
        <w:jc w:val="center"/>
        <w:rPr>
          <w:rFonts w:ascii="Times New Roman" w:hAnsi="Times New Roman" w:eastAsia="仿宋_GB2312" w:cs="Times New Roman"/>
          <w:b/>
          <w:bCs/>
          <w:kern w:val="0"/>
          <w:sz w:val="52"/>
          <w:szCs w:val="52"/>
        </w:rPr>
      </w:pPr>
      <w:r>
        <w:rPr>
          <w:rFonts w:ascii="Times New Roman" w:hAnsi="Times New Roman" w:eastAsia="仿宋_GB2312" w:cs="Times New Roman"/>
          <w:b/>
          <w:bCs/>
          <w:kern w:val="0"/>
          <w:sz w:val="52"/>
          <w:szCs w:val="52"/>
        </w:rPr>
        <w:t>绩效评价报告</w:t>
      </w:r>
      <w:bookmarkEnd w:id="0"/>
    </w:p>
    <w:p>
      <w:pPr>
        <w:widowControl/>
        <w:spacing w:before="100" w:beforeAutospacing="1" w:after="100" w:afterAutospacing="1" w:line="360" w:lineRule="auto"/>
        <w:ind w:right="-56" w:rightChars="-27" w:firstLine="482"/>
        <w:jc w:val="left"/>
        <w:rPr>
          <w:rFonts w:ascii="Times New Roman" w:hAnsi="Times New Roman" w:eastAsia="仿宋_GB2312" w:cs="Times New Roman"/>
          <w:b/>
          <w:color w:val="000000"/>
          <w:kern w:val="0"/>
          <w:sz w:val="24"/>
          <w:szCs w:val="24"/>
        </w:rPr>
      </w:pPr>
    </w:p>
    <w:p>
      <w:pPr>
        <w:widowControl/>
        <w:spacing w:before="100" w:beforeAutospacing="1" w:after="100" w:afterAutospacing="1" w:line="360" w:lineRule="auto"/>
        <w:ind w:right="-56" w:rightChars="-27" w:firstLine="482"/>
        <w:jc w:val="left"/>
        <w:rPr>
          <w:rFonts w:ascii="Times New Roman" w:hAnsi="Times New Roman" w:eastAsia="仿宋_GB2312" w:cs="Times New Roman"/>
          <w:b/>
          <w:color w:val="000000"/>
          <w:kern w:val="0"/>
          <w:sz w:val="24"/>
          <w:szCs w:val="24"/>
        </w:rPr>
      </w:pPr>
    </w:p>
    <w:p>
      <w:pPr>
        <w:widowControl/>
        <w:spacing w:before="100" w:beforeAutospacing="1" w:after="100" w:afterAutospacing="1" w:line="360" w:lineRule="auto"/>
        <w:ind w:right="-56" w:rightChars="-27" w:firstLine="482"/>
        <w:jc w:val="left"/>
        <w:rPr>
          <w:rFonts w:ascii="Times New Roman" w:hAnsi="Times New Roman" w:eastAsia="仿宋_GB2312" w:cs="Times New Roman"/>
          <w:b/>
          <w:color w:val="000000"/>
          <w:kern w:val="0"/>
          <w:sz w:val="24"/>
          <w:szCs w:val="24"/>
        </w:rPr>
      </w:pPr>
    </w:p>
    <w:p>
      <w:pPr>
        <w:widowControl/>
        <w:spacing w:before="100" w:beforeAutospacing="1" w:after="100" w:afterAutospacing="1" w:line="360" w:lineRule="auto"/>
        <w:ind w:right="-56" w:rightChars="-27" w:firstLine="482"/>
        <w:jc w:val="left"/>
        <w:rPr>
          <w:rFonts w:ascii="Times New Roman" w:hAnsi="Times New Roman" w:eastAsia="仿宋_GB2312" w:cs="Times New Roman"/>
          <w:b/>
          <w:color w:val="000000"/>
          <w:kern w:val="0"/>
          <w:sz w:val="24"/>
          <w:szCs w:val="24"/>
        </w:rPr>
      </w:pPr>
    </w:p>
    <w:p>
      <w:pPr>
        <w:widowControl/>
        <w:spacing w:before="100" w:beforeAutospacing="1" w:after="100" w:afterAutospacing="1" w:line="360" w:lineRule="auto"/>
        <w:ind w:right="-56" w:rightChars="-27" w:firstLine="482"/>
        <w:jc w:val="left"/>
        <w:rPr>
          <w:rFonts w:ascii="Times New Roman" w:hAnsi="Times New Roman" w:eastAsia="仿宋_GB2312" w:cs="Times New Roman"/>
          <w:b/>
          <w:color w:val="000000"/>
          <w:kern w:val="0"/>
          <w:sz w:val="24"/>
          <w:szCs w:val="24"/>
        </w:rPr>
      </w:pPr>
    </w:p>
    <w:p>
      <w:pPr>
        <w:widowControl/>
        <w:spacing w:before="100" w:beforeAutospacing="1" w:after="100" w:afterAutospacing="1" w:line="360" w:lineRule="auto"/>
        <w:ind w:right="-56" w:rightChars="-27" w:firstLine="482"/>
        <w:jc w:val="left"/>
        <w:rPr>
          <w:rFonts w:ascii="Times New Roman" w:hAnsi="Times New Roman" w:eastAsia="仿宋_GB2312" w:cs="Times New Roman"/>
          <w:b/>
          <w:color w:val="000000"/>
          <w:kern w:val="0"/>
          <w:sz w:val="24"/>
          <w:szCs w:val="24"/>
        </w:rPr>
      </w:pPr>
    </w:p>
    <w:p>
      <w:pPr>
        <w:widowControl/>
        <w:snapToGrid w:val="0"/>
        <w:spacing w:line="360" w:lineRule="auto"/>
        <w:ind w:right="-56" w:rightChars="-27" w:firstLine="960" w:firstLineChars="300"/>
        <w:jc w:val="left"/>
        <w:rPr>
          <w:rFonts w:ascii="仿宋_GB2312" w:eastAsia="仿宋_GB2312" w:cs="Times New Roman"/>
          <w:color w:val="000000"/>
          <w:kern w:val="0"/>
          <w:sz w:val="32"/>
          <w:szCs w:val="32"/>
        </w:rPr>
      </w:pPr>
      <w:r>
        <w:rPr>
          <w:rFonts w:hint="eastAsia" w:ascii="仿宋_GB2312" w:hAnsi="宋体" w:eastAsia="仿宋_GB2312" w:cs="Times New Roman"/>
          <w:color w:val="000000"/>
          <w:kern w:val="0"/>
          <w:sz w:val="32"/>
          <w:szCs w:val="32"/>
        </w:rPr>
        <w:t>主管部门</w:t>
      </w:r>
      <w:r>
        <w:rPr>
          <w:rFonts w:ascii="仿宋_GB2312" w:hAnsi="宋体" w:eastAsia="仿宋_GB2312" w:cs="Times New Roman"/>
          <w:color w:val="000000"/>
          <w:kern w:val="0"/>
          <w:sz w:val="32"/>
          <w:szCs w:val="32"/>
        </w:rPr>
        <w:t xml:space="preserve">   </w:t>
      </w:r>
      <w:r>
        <w:rPr>
          <w:rFonts w:ascii="仿宋_GB2312" w:hAnsi="宋体" w:eastAsia="仿宋_GB2312" w:cs="Times New Roman"/>
          <w:color w:val="000000"/>
          <w:kern w:val="0"/>
          <w:sz w:val="32"/>
          <w:szCs w:val="32"/>
          <w:u w:val="single"/>
        </w:rPr>
        <w:t xml:space="preserve"> </w:t>
      </w:r>
      <w:r>
        <w:rPr>
          <w:rFonts w:hint="eastAsia" w:ascii="仿宋_GB2312" w:hAnsi="宋体" w:eastAsia="仿宋_GB2312" w:cs="Times New Roman"/>
          <w:color w:val="000000"/>
          <w:kern w:val="0"/>
          <w:sz w:val="32"/>
          <w:szCs w:val="32"/>
          <w:u w:val="single"/>
        </w:rPr>
        <w:t xml:space="preserve">       </w:t>
      </w:r>
      <w:r>
        <w:rPr>
          <w:rFonts w:ascii="仿宋_GB2312" w:hAnsi="宋体" w:eastAsia="仿宋_GB2312" w:cs="Times New Roman"/>
          <w:color w:val="000000"/>
          <w:kern w:val="0"/>
          <w:sz w:val="32"/>
          <w:szCs w:val="32"/>
          <w:u w:val="single"/>
        </w:rPr>
        <w:t xml:space="preserve">  </w:t>
      </w:r>
      <w:r>
        <w:rPr>
          <w:rFonts w:hint="eastAsia" w:ascii="仿宋_GB2312" w:hAnsi="宋体" w:eastAsia="仿宋_GB2312" w:cs="Times New Roman"/>
          <w:color w:val="000000"/>
          <w:kern w:val="0"/>
          <w:sz w:val="32"/>
          <w:szCs w:val="32"/>
          <w:u w:val="single"/>
        </w:rPr>
        <w:t>北京市信访办公室</w:t>
      </w:r>
      <w:r>
        <w:rPr>
          <w:rFonts w:ascii="仿宋_GB2312" w:hAnsi="宋体" w:eastAsia="仿宋_GB2312" w:cs="Times New Roman"/>
          <w:color w:val="000000"/>
          <w:kern w:val="0"/>
          <w:sz w:val="32"/>
          <w:szCs w:val="32"/>
          <w:u w:val="single"/>
        </w:rPr>
        <w:t xml:space="preserve"> </w:t>
      </w:r>
      <w:r>
        <w:rPr>
          <w:rFonts w:hint="eastAsia" w:ascii="仿宋_GB2312" w:hAnsi="宋体" w:eastAsia="仿宋_GB2312" w:cs="Times New Roman"/>
          <w:color w:val="000000"/>
          <w:kern w:val="0"/>
          <w:sz w:val="32"/>
          <w:szCs w:val="32"/>
          <w:u w:val="single"/>
        </w:rPr>
        <w:t xml:space="preserve">  </w:t>
      </w:r>
      <w:r>
        <w:rPr>
          <w:rFonts w:ascii="仿宋_GB2312" w:hAnsi="宋体" w:eastAsia="仿宋_GB2312" w:cs="Times New Roman"/>
          <w:color w:val="000000"/>
          <w:kern w:val="0"/>
          <w:sz w:val="32"/>
          <w:szCs w:val="32"/>
          <w:u w:val="single"/>
        </w:rPr>
        <w:t xml:space="preserve">        </w:t>
      </w:r>
    </w:p>
    <w:p>
      <w:pPr>
        <w:widowControl/>
        <w:snapToGrid w:val="0"/>
        <w:spacing w:line="360" w:lineRule="auto"/>
        <w:ind w:right="-56" w:rightChars="-27" w:firstLine="960" w:firstLineChars="300"/>
        <w:jc w:val="left"/>
        <w:rPr>
          <w:rFonts w:ascii="仿宋_GB2312" w:hAnsi="宋体" w:eastAsia="仿宋_GB2312" w:cs="Times New Roman"/>
          <w:color w:val="000000"/>
          <w:kern w:val="0"/>
          <w:sz w:val="32"/>
          <w:szCs w:val="32"/>
          <w:u w:val="single"/>
        </w:rPr>
      </w:pPr>
      <w:r>
        <w:rPr>
          <w:rFonts w:hint="eastAsia" w:ascii="仿宋_GB2312" w:hAnsi="宋体" w:eastAsia="仿宋_GB2312" w:cs="Times New Roman"/>
          <w:color w:val="000000"/>
          <w:kern w:val="0"/>
          <w:sz w:val="32"/>
          <w:szCs w:val="32"/>
        </w:rPr>
        <w:t>项目单位</w:t>
      </w:r>
      <w:r>
        <w:rPr>
          <w:rFonts w:ascii="仿宋_GB2312" w:hAnsi="宋体" w:eastAsia="仿宋_GB2312" w:cs="Times New Roman"/>
          <w:color w:val="000000"/>
          <w:kern w:val="0"/>
          <w:sz w:val="32"/>
          <w:szCs w:val="32"/>
        </w:rPr>
        <w:t xml:space="preserve">   </w:t>
      </w:r>
      <w:r>
        <w:rPr>
          <w:rFonts w:ascii="仿宋_GB2312" w:hAnsi="宋体" w:eastAsia="仿宋_GB2312" w:cs="Times New Roman"/>
          <w:color w:val="000000"/>
          <w:kern w:val="0"/>
          <w:sz w:val="32"/>
          <w:szCs w:val="32"/>
          <w:u w:val="single"/>
        </w:rPr>
        <w:t xml:space="preserve">  </w:t>
      </w:r>
      <w:r>
        <w:rPr>
          <w:rFonts w:hint="eastAsia" w:ascii="仿宋_GB2312" w:hAnsi="宋体" w:eastAsia="仿宋_GB2312" w:cs="Times New Roman"/>
          <w:color w:val="000000"/>
          <w:kern w:val="0"/>
          <w:sz w:val="32"/>
          <w:szCs w:val="32"/>
          <w:u w:val="single"/>
        </w:rPr>
        <w:t xml:space="preserve">       </w:t>
      </w:r>
      <w:r>
        <w:rPr>
          <w:rFonts w:ascii="仿宋_GB2312" w:hAnsi="宋体" w:eastAsia="仿宋_GB2312" w:cs="Times New Roman"/>
          <w:color w:val="000000"/>
          <w:kern w:val="0"/>
          <w:sz w:val="32"/>
          <w:szCs w:val="32"/>
          <w:u w:val="single"/>
        </w:rPr>
        <w:t xml:space="preserve"> </w:t>
      </w:r>
      <w:r>
        <w:rPr>
          <w:rFonts w:hint="eastAsia" w:ascii="仿宋_GB2312" w:hAnsi="宋体" w:eastAsia="仿宋_GB2312" w:cs="Times New Roman"/>
          <w:color w:val="000000"/>
          <w:kern w:val="0"/>
          <w:sz w:val="32"/>
          <w:szCs w:val="32"/>
          <w:u w:val="single"/>
        </w:rPr>
        <w:t>北京市信访办公室</w:t>
      </w:r>
      <w:r>
        <w:rPr>
          <w:rFonts w:ascii="仿宋_GB2312" w:hAnsi="宋体" w:eastAsia="仿宋_GB2312" w:cs="Times New Roman"/>
          <w:color w:val="000000"/>
          <w:kern w:val="0"/>
          <w:sz w:val="32"/>
          <w:szCs w:val="32"/>
          <w:u w:val="single"/>
        </w:rPr>
        <w:t xml:space="preserve">    </w:t>
      </w:r>
      <w:r>
        <w:rPr>
          <w:rFonts w:hint="eastAsia" w:ascii="仿宋_GB2312" w:hAnsi="宋体" w:eastAsia="仿宋_GB2312" w:cs="Times New Roman"/>
          <w:color w:val="000000"/>
          <w:kern w:val="0"/>
          <w:sz w:val="32"/>
          <w:szCs w:val="32"/>
          <w:u w:val="single"/>
        </w:rPr>
        <w:t xml:space="preserve">  </w:t>
      </w:r>
      <w:r>
        <w:rPr>
          <w:rFonts w:ascii="仿宋_GB2312" w:hAnsi="宋体" w:eastAsia="仿宋_GB2312" w:cs="Times New Roman"/>
          <w:color w:val="000000"/>
          <w:kern w:val="0"/>
          <w:sz w:val="32"/>
          <w:szCs w:val="32"/>
          <w:u w:val="single"/>
        </w:rPr>
        <w:t xml:space="preserve">     </w:t>
      </w:r>
    </w:p>
    <w:p>
      <w:pPr>
        <w:widowControl/>
        <w:snapToGrid w:val="0"/>
        <w:spacing w:line="360" w:lineRule="auto"/>
        <w:ind w:left="957" w:leftChars="456" w:right="-56" w:rightChars="-27"/>
        <w:jc w:val="left"/>
        <w:rPr>
          <w:rFonts w:ascii="仿宋_GB2312" w:hAnsi="宋体" w:eastAsia="仿宋_GB2312" w:cs="Times New Roman"/>
          <w:color w:val="000000"/>
          <w:kern w:val="0"/>
          <w:sz w:val="32"/>
          <w:szCs w:val="32"/>
          <w:u w:val="single"/>
        </w:rPr>
      </w:pPr>
      <w:r>
        <w:rPr>
          <w:rFonts w:hint="eastAsia" w:ascii="仿宋_GB2312" w:hAnsi="宋体" w:eastAsia="仿宋_GB2312" w:cs="Times New Roman"/>
          <w:color w:val="000000"/>
          <w:kern w:val="0"/>
          <w:sz w:val="32"/>
          <w:szCs w:val="32"/>
        </w:rPr>
        <w:t>项目名称</w:t>
      </w:r>
      <w:r>
        <w:rPr>
          <w:rFonts w:ascii="仿宋_GB2312" w:hAnsi="宋体" w:eastAsia="仿宋_GB2312" w:cs="Times New Roman"/>
          <w:color w:val="000000"/>
          <w:kern w:val="0"/>
          <w:sz w:val="32"/>
          <w:szCs w:val="32"/>
        </w:rPr>
        <w:t xml:space="preserve">   </w:t>
      </w:r>
      <w:r>
        <w:rPr>
          <w:rFonts w:ascii="仿宋_GB2312" w:hAnsi="宋体" w:eastAsia="仿宋_GB2312" w:cs="Times New Roman"/>
          <w:color w:val="000000"/>
          <w:kern w:val="0"/>
          <w:sz w:val="32"/>
          <w:szCs w:val="24"/>
          <w:u w:val="single"/>
        </w:rPr>
        <w:t xml:space="preserve"> </w:t>
      </w:r>
      <w:r>
        <w:rPr>
          <w:rFonts w:hint="eastAsia" w:ascii="仿宋_GB2312" w:hAnsi="宋体" w:eastAsia="仿宋_GB2312" w:cs="Times New Roman"/>
          <w:color w:val="000000"/>
          <w:kern w:val="0"/>
          <w:sz w:val="32"/>
          <w:szCs w:val="24"/>
          <w:u w:val="single"/>
        </w:rPr>
        <w:t xml:space="preserve">   </w:t>
      </w:r>
      <w:r>
        <w:rPr>
          <w:rFonts w:hint="eastAsia" w:ascii="仿宋_GB2312" w:hAnsi="宋体" w:eastAsia="仿宋_GB2312" w:cs="Times New Roman"/>
          <w:color w:val="000000"/>
          <w:kern w:val="0"/>
          <w:sz w:val="32"/>
          <w:szCs w:val="24"/>
          <w:u w:val="single"/>
          <w:lang w:val="en-US" w:eastAsia="zh-CN"/>
        </w:rPr>
        <w:t xml:space="preserve">     </w:t>
      </w:r>
      <w:r>
        <w:rPr>
          <w:rFonts w:hint="eastAsia" w:ascii="仿宋_GB2312" w:hAnsi="宋体" w:eastAsia="仿宋_GB2312" w:cs="Times New Roman"/>
          <w:color w:val="000000"/>
          <w:kern w:val="0"/>
          <w:sz w:val="32"/>
          <w:szCs w:val="32"/>
          <w:u w:val="single"/>
          <w:lang w:val="en-US" w:eastAsia="zh-CN"/>
        </w:rPr>
        <w:t>信息系统运维类项目</w:t>
      </w:r>
      <w:r>
        <w:rPr>
          <w:rFonts w:hint="eastAsia" w:ascii="仿宋_GB2312" w:hAnsi="宋体" w:eastAsia="仿宋_GB2312" w:cs="Times New Roman"/>
          <w:color w:val="000000"/>
          <w:kern w:val="0"/>
          <w:sz w:val="32"/>
          <w:szCs w:val="32"/>
          <w:u w:val="single"/>
        </w:rPr>
        <w:t xml:space="preserve">   </w:t>
      </w:r>
      <w:r>
        <w:rPr>
          <w:rFonts w:hint="eastAsia" w:ascii="仿宋_GB2312" w:hAnsi="宋体" w:eastAsia="仿宋_GB2312" w:cs="Times New Roman"/>
          <w:color w:val="000000"/>
          <w:kern w:val="0"/>
          <w:sz w:val="32"/>
          <w:szCs w:val="32"/>
          <w:u w:val="single"/>
          <w:lang w:val="en-US" w:eastAsia="zh-CN"/>
        </w:rPr>
        <w:t xml:space="preserve"> </w:t>
      </w:r>
      <w:r>
        <w:rPr>
          <w:rFonts w:hint="eastAsia" w:ascii="仿宋_GB2312" w:hAnsi="宋体" w:eastAsia="仿宋_GB2312" w:cs="Times New Roman"/>
          <w:color w:val="000000"/>
          <w:kern w:val="0"/>
          <w:sz w:val="32"/>
          <w:szCs w:val="32"/>
          <w:u w:val="single"/>
        </w:rPr>
        <w:t xml:space="preserve">      </w:t>
      </w:r>
    </w:p>
    <w:p>
      <w:pPr>
        <w:spacing w:before="156" w:beforeLines="50" w:after="156" w:afterLines="50" w:line="360" w:lineRule="exact"/>
        <w:ind w:firstLine="960" w:firstLineChars="400"/>
        <w:jc w:val="left"/>
        <w:rPr>
          <w:rFonts w:ascii="仿宋" w:hAnsi="仿宋" w:eastAsia="仿宋"/>
          <w:sz w:val="32"/>
        </w:rPr>
      </w:pPr>
      <w:r>
        <w:rPr>
          <w:rFonts w:ascii="仿宋_GB2312" w:eastAsia="仿宋_GB2312" w:cs="Times New Roman"/>
          <w:kern w:val="0"/>
          <w:sz w:val="24"/>
          <w:szCs w:val="24"/>
        </w:rPr>
        <mc:AlternateContent>
          <mc:Choice Requires="wps">
            <w:drawing>
              <wp:anchor distT="45720" distB="45720" distL="114300" distR="114300" simplePos="0" relativeHeight="251659264" behindDoc="0" locked="0" layoutInCell="1" allowOverlap="1">
                <wp:simplePos x="0" y="0"/>
                <wp:positionH relativeFrom="column">
                  <wp:posOffset>1631315</wp:posOffset>
                </wp:positionH>
                <wp:positionV relativeFrom="paragraph">
                  <wp:posOffset>91440</wp:posOffset>
                </wp:positionV>
                <wp:extent cx="3896360" cy="419100"/>
                <wp:effectExtent l="0" t="0" r="5080" b="762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896360" cy="419100"/>
                        </a:xfrm>
                        <a:prstGeom prst="rect">
                          <a:avLst/>
                        </a:prstGeom>
                        <a:noFill/>
                        <a:ln>
                          <a:noFill/>
                        </a:ln>
                      </wps:spPr>
                      <wps:txbx>
                        <w:txbxContent>
                          <w:p>
                            <w:pPr>
                              <w:rPr>
                                <w:rFonts w:ascii="仿宋_GB2312" w:eastAsia="仿宋_GB2312"/>
                                <w:u w:val="single"/>
                              </w:rPr>
                            </w:pPr>
                            <w:r>
                              <w:rPr>
                                <w:rFonts w:hint="eastAsia" w:ascii="仿宋_GB2312" w:hAnsi="宋体" w:eastAsia="仿宋_GB2312"/>
                                <w:color w:val="000000"/>
                                <w:sz w:val="32"/>
                                <w:szCs w:val="32"/>
                                <w:u w:val="single"/>
                              </w:rPr>
                              <w:t xml:space="preserve">   北</w:t>
                            </w:r>
                            <w:r>
                              <w:rPr>
                                <w:rFonts w:ascii="仿宋_GB2312" w:hAnsi="宋体" w:eastAsia="仿宋_GB2312"/>
                                <w:color w:val="000000"/>
                                <w:sz w:val="32"/>
                                <w:szCs w:val="32"/>
                                <w:u w:val="single"/>
                              </w:rPr>
                              <w:t>京</w:t>
                            </w:r>
                            <w:r>
                              <w:rPr>
                                <w:rFonts w:hint="eastAsia" w:ascii="仿宋_GB2312" w:hAnsi="宋体" w:eastAsia="仿宋_GB2312"/>
                                <w:color w:val="000000"/>
                                <w:sz w:val="32"/>
                                <w:szCs w:val="32"/>
                                <w:u w:val="single"/>
                              </w:rPr>
                              <w:t>今诚明会计师事务所（普通合伙）</w:t>
                            </w:r>
                            <w:r>
                              <w:rPr>
                                <w:rFonts w:ascii="仿宋_GB2312" w:hAnsi="宋体" w:eastAsia="仿宋_GB2312"/>
                                <w:color w:val="000000"/>
                                <w:sz w:val="32"/>
                                <w:szCs w:val="32"/>
                                <w:u w:val="single"/>
                              </w:rPr>
                              <w:t xml:space="preserve">  </w:t>
                            </w:r>
                            <w:r>
                              <w:rPr>
                                <w:rFonts w:hint="eastAsia" w:ascii="仿宋_GB2312" w:hAnsi="宋体" w:eastAsia="仿宋_GB2312"/>
                                <w:color w:val="000000"/>
                                <w:sz w:val="32"/>
                                <w:szCs w:val="32"/>
                                <w:u w:val="single"/>
                              </w:rPr>
                              <w:t xml:space="preserve">  </w:t>
                            </w:r>
                            <w:r>
                              <w:rPr>
                                <w:rFonts w:ascii="仿宋_GB2312" w:hAnsi="宋体" w:eastAsia="仿宋_GB2312"/>
                                <w:color w:val="000000"/>
                                <w:sz w:val="32"/>
                                <w:szCs w:val="32"/>
                                <w:u w:val="single"/>
                              </w:rPr>
                              <w:t xml:space="preserve">  </w:t>
                            </w: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28.45pt;margin-top:7.2pt;height:33pt;width:306.8pt;mso-wrap-distance-bottom:3.6pt;mso-wrap-distance-left:9pt;mso-wrap-distance-right:9pt;mso-wrap-distance-top:3.6pt;z-index:251659264;mso-width-relative:page;mso-height-relative:page;" filled="f" stroked="f" coordsize="21600,21600" o:gfxdata="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T6DEk1gAAAAkBAAAPAAAA&#10;AAAAAAEAIAAAACIAAABkcnMvZG93bnJldi54bWxQSwECFAAUAAAACACHTuJAwx58XRcCAAAVBAAA&#10;DgAAAAAAAAABACAAAAAlAQAAZHJzL2Uyb0RvYy54bWxQSwUGAAAAAAYABgBZAQAArgUAAAAA&#10;">
                <v:fill on="f" focussize="0,0"/>
                <v:stroke on="f"/>
                <v:imagedata o:title=""/>
                <o:lock v:ext="edit" aspectratio="f"/>
                <v:textbox>
                  <w:txbxContent>
                    <w:p>
                      <w:pPr>
                        <w:rPr>
                          <w:rFonts w:ascii="仿宋_GB2312" w:eastAsia="仿宋_GB2312"/>
                          <w:u w:val="single"/>
                        </w:rPr>
                      </w:pPr>
                      <w:r>
                        <w:rPr>
                          <w:rFonts w:hint="eastAsia" w:ascii="仿宋_GB2312" w:hAnsi="宋体" w:eastAsia="仿宋_GB2312"/>
                          <w:color w:val="000000"/>
                          <w:sz w:val="32"/>
                          <w:szCs w:val="32"/>
                          <w:u w:val="single"/>
                        </w:rPr>
                        <w:t xml:space="preserve">   北</w:t>
                      </w:r>
                      <w:r>
                        <w:rPr>
                          <w:rFonts w:ascii="仿宋_GB2312" w:hAnsi="宋体" w:eastAsia="仿宋_GB2312"/>
                          <w:color w:val="000000"/>
                          <w:sz w:val="32"/>
                          <w:szCs w:val="32"/>
                          <w:u w:val="single"/>
                        </w:rPr>
                        <w:t>京</w:t>
                      </w:r>
                      <w:r>
                        <w:rPr>
                          <w:rFonts w:hint="eastAsia" w:ascii="仿宋_GB2312" w:hAnsi="宋体" w:eastAsia="仿宋_GB2312"/>
                          <w:color w:val="000000"/>
                          <w:sz w:val="32"/>
                          <w:szCs w:val="32"/>
                          <w:u w:val="single"/>
                        </w:rPr>
                        <w:t>今诚明会计师事务所（普通合伙）</w:t>
                      </w:r>
                      <w:r>
                        <w:rPr>
                          <w:rFonts w:ascii="仿宋_GB2312" w:hAnsi="宋体" w:eastAsia="仿宋_GB2312"/>
                          <w:color w:val="000000"/>
                          <w:sz w:val="32"/>
                          <w:szCs w:val="32"/>
                          <w:u w:val="single"/>
                        </w:rPr>
                        <w:t xml:space="preserve">  </w:t>
                      </w:r>
                      <w:r>
                        <w:rPr>
                          <w:rFonts w:hint="eastAsia" w:ascii="仿宋_GB2312" w:hAnsi="宋体" w:eastAsia="仿宋_GB2312"/>
                          <w:color w:val="000000"/>
                          <w:sz w:val="32"/>
                          <w:szCs w:val="32"/>
                          <w:u w:val="single"/>
                        </w:rPr>
                        <w:t xml:space="preserve">  </w:t>
                      </w:r>
                      <w:r>
                        <w:rPr>
                          <w:rFonts w:ascii="仿宋_GB2312" w:hAnsi="宋体" w:eastAsia="仿宋_GB2312"/>
                          <w:color w:val="000000"/>
                          <w:sz w:val="32"/>
                          <w:szCs w:val="32"/>
                          <w:u w:val="single"/>
                        </w:rPr>
                        <w:t xml:space="preserve">  </w:t>
                      </w:r>
                    </w:p>
                    <w:p/>
                  </w:txbxContent>
                </v:textbox>
                <w10:wrap type="square"/>
              </v:shape>
            </w:pict>
          </mc:Fallback>
        </mc:AlternateContent>
      </w:r>
      <w:r>
        <w:rPr>
          <w:rFonts w:hint="eastAsia" w:ascii="仿宋" w:hAnsi="仿宋" w:eastAsia="仿宋"/>
          <w:sz w:val="32"/>
        </w:rPr>
        <w:t>参与评价</w:t>
      </w:r>
    </w:p>
    <w:p>
      <w:pPr>
        <w:spacing w:before="156" w:beforeLines="50" w:after="156" w:afterLines="50" w:line="360" w:lineRule="exact"/>
        <w:ind w:firstLine="960" w:firstLineChars="300"/>
        <w:jc w:val="left"/>
        <w:rPr>
          <w:rFonts w:ascii="仿宋" w:hAnsi="仿宋" w:eastAsia="仿宋"/>
          <w:sz w:val="32"/>
        </w:rPr>
      </w:pPr>
      <w:r>
        <w:rPr>
          <w:rFonts w:hint="eastAsia" w:ascii="仿宋" w:hAnsi="仿宋" w:eastAsia="仿宋"/>
          <w:sz w:val="32"/>
          <w:szCs w:val="32"/>
        </w:rPr>
        <w:t>中介机构</w:t>
      </w:r>
      <w:r>
        <w:rPr>
          <w:rFonts w:hint="eastAsia" w:ascii="仿宋_GB2312" w:hAnsi="宋体" w:eastAsia="仿宋_GB2312" w:cs="Times New Roman"/>
          <w:color w:val="000000"/>
          <w:kern w:val="0"/>
          <w:sz w:val="32"/>
          <w:szCs w:val="32"/>
        </w:rPr>
        <w:t xml:space="preserve">  </w:t>
      </w:r>
      <w:r>
        <w:rPr>
          <w:rFonts w:ascii="仿宋_GB2312" w:hAnsi="宋体" w:eastAsia="仿宋_GB2312" w:cs="Times New Roman"/>
          <w:color w:val="000000"/>
          <w:kern w:val="0"/>
          <w:sz w:val="32"/>
          <w:szCs w:val="32"/>
        </w:rPr>
        <w:t xml:space="preserve">     </w:t>
      </w:r>
    </w:p>
    <w:p>
      <w:pPr>
        <w:widowControl/>
        <w:spacing w:line="360" w:lineRule="auto"/>
        <w:ind w:right="-56" w:rightChars="-27" w:firstLine="643"/>
        <w:jc w:val="center"/>
        <w:rPr>
          <w:rFonts w:ascii="Times New Roman" w:hAnsi="Times New Roman" w:eastAsia="仿宋_GB2312" w:cs="Times New Roman"/>
          <w:b/>
          <w:color w:val="000000"/>
          <w:kern w:val="0"/>
          <w:sz w:val="32"/>
          <w:szCs w:val="32"/>
        </w:rPr>
      </w:pPr>
    </w:p>
    <w:p>
      <w:pPr>
        <w:spacing w:before="156" w:beforeLines="50" w:after="156" w:afterLines="50" w:line="360" w:lineRule="exact"/>
        <w:ind w:firstLine="960" w:firstLineChars="300"/>
        <w:jc w:val="center"/>
        <w:rPr>
          <w:rFonts w:ascii="仿宋" w:hAnsi="仿宋" w:eastAsia="仿宋"/>
          <w:b/>
          <w:sz w:val="32"/>
          <w:szCs w:val="32"/>
        </w:rPr>
        <w:sectPr>
          <w:headerReference r:id="rId3" w:type="default"/>
          <w:pgSz w:w="11906" w:h="16838"/>
          <w:pgMar w:top="1418" w:right="1701" w:bottom="851" w:left="1418" w:header="851" w:footer="850" w:gutter="0"/>
          <w:cols w:space="425" w:num="1"/>
          <w:docGrid w:type="linesAndChars" w:linePitch="312" w:charSpace="0"/>
        </w:sectPr>
      </w:pPr>
      <w:r>
        <w:rPr>
          <w:rFonts w:ascii="仿宋" w:hAnsi="仿宋" w:eastAsia="仿宋"/>
          <w:b/>
          <w:sz w:val="32"/>
          <w:szCs w:val="32"/>
        </w:rPr>
        <w:t>二○二</w:t>
      </w:r>
      <w:r>
        <w:rPr>
          <w:rFonts w:hint="eastAsia" w:ascii="仿宋" w:hAnsi="仿宋" w:eastAsia="仿宋"/>
          <w:b/>
          <w:sz w:val="32"/>
          <w:szCs w:val="32"/>
          <w:lang w:val="en-US" w:eastAsia="zh-CN"/>
        </w:rPr>
        <w:t>三</w:t>
      </w:r>
      <w:r>
        <w:rPr>
          <w:rFonts w:ascii="仿宋" w:hAnsi="仿宋" w:eastAsia="仿宋"/>
          <w:b/>
          <w:sz w:val="32"/>
          <w:szCs w:val="32"/>
        </w:rPr>
        <w:t>年</w:t>
      </w:r>
      <w:r>
        <w:rPr>
          <w:rFonts w:hint="eastAsia" w:ascii="仿宋" w:hAnsi="仿宋" w:eastAsia="仿宋"/>
          <w:b/>
          <w:sz w:val="32"/>
          <w:szCs w:val="32"/>
          <w:lang w:val="en-US" w:eastAsia="zh-CN"/>
        </w:rPr>
        <w:t>四</w:t>
      </w:r>
      <w:r>
        <w:rPr>
          <w:rFonts w:ascii="仿宋" w:hAnsi="仿宋" w:eastAsia="仿宋"/>
          <w:b/>
          <w:sz w:val="32"/>
          <w:szCs w:val="32"/>
        </w:rPr>
        <w:t>月</w:t>
      </w:r>
    </w:p>
    <w:p>
      <w:pPr>
        <w:widowControl/>
        <w:spacing w:line="360" w:lineRule="auto"/>
        <w:jc w:val="center"/>
        <w:rPr>
          <w:rFonts w:ascii="仿宋" w:hAnsi="仿宋" w:eastAsia="仿宋" w:cs="仿宋"/>
          <w:b/>
          <w:sz w:val="36"/>
          <w:szCs w:val="36"/>
        </w:rPr>
      </w:pPr>
      <w:r>
        <w:rPr>
          <w:rFonts w:hint="eastAsia" w:ascii="仿宋" w:hAnsi="仿宋" w:eastAsia="仿宋" w:cs="仿宋"/>
          <w:b/>
          <w:bCs/>
          <w:kern w:val="32"/>
          <w:sz w:val="36"/>
          <w:szCs w:val="36"/>
          <w:lang w:val="zh-CN"/>
        </w:rPr>
        <w:t>目 录</w:t>
      </w:r>
    </w:p>
    <w:p>
      <w:pPr>
        <w:pStyle w:val="11"/>
        <w:spacing w:line="360" w:lineRule="auto"/>
        <w:rPr>
          <w:rFonts w:cs="仿宋"/>
          <w:b w:val="0"/>
          <w:sz w:val="28"/>
          <w:szCs w:val="28"/>
        </w:rPr>
      </w:pPr>
      <w:r>
        <w:rPr>
          <w:rStyle w:val="23"/>
          <w:rFonts w:hint="eastAsia" w:cs="仿宋"/>
          <w:b w:val="0"/>
          <w:bCs/>
          <w:caps/>
          <w:color w:val="auto"/>
          <w:sz w:val="28"/>
          <w:szCs w:val="28"/>
        </w:rPr>
        <w:fldChar w:fldCharType="begin"/>
      </w:r>
      <w:r>
        <w:rPr>
          <w:rStyle w:val="23"/>
          <w:rFonts w:hint="eastAsia" w:cs="仿宋"/>
          <w:b w:val="0"/>
          <w:bCs/>
          <w:caps/>
          <w:color w:val="auto"/>
          <w:sz w:val="28"/>
          <w:szCs w:val="28"/>
        </w:rPr>
        <w:instrText xml:space="preserve"> TOC \o "1-3" \h \z \u </w:instrText>
      </w:r>
      <w:r>
        <w:rPr>
          <w:rStyle w:val="23"/>
          <w:rFonts w:hint="eastAsia" w:cs="仿宋"/>
          <w:b w:val="0"/>
          <w:bCs/>
          <w:caps/>
          <w:color w:val="auto"/>
          <w:sz w:val="28"/>
          <w:szCs w:val="28"/>
        </w:rPr>
        <w:fldChar w:fldCharType="separate"/>
      </w:r>
      <w:r>
        <w:fldChar w:fldCharType="begin"/>
      </w:r>
      <w:r>
        <w:instrText xml:space="preserve"> HYPERLINK \l "_Toc102746348" </w:instrText>
      </w:r>
      <w:r>
        <w:fldChar w:fldCharType="separate"/>
      </w:r>
      <w:r>
        <w:rPr>
          <w:rStyle w:val="23"/>
          <w:rFonts w:hint="eastAsia" w:cs="仿宋"/>
          <w:sz w:val="28"/>
          <w:szCs w:val="28"/>
        </w:rPr>
        <w:t>一、基本情况</w:t>
      </w:r>
      <w:r>
        <w:rPr>
          <w:rFonts w:hint="eastAsia" w:cs="仿宋"/>
          <w:sz w:val="28"/>
          <w:szCs w:val="28"/>
        </w:rPr>
        <w:tab/>
      </w:r>
      <w:r>
        <w:rPr>
          <w:rFonts w:hint="eastAsia" w:cs="仿宋"/>
          <w:sz w:val="28"/>
          <w:szCs w:val="28"/>
        </w:rPr>
        <w:fldChar w:fldCharType="begin"/>
      </w:r>
      <w:r>
        <w:rPr>
          <w:rFonts w:hint="eastAsia" w:cs="仿宋"/>
          <w:sz w:val="28"/>
          <w:szCs w:val="28"/>
        </w:rPr>
        <w:instrText xml:space="preserve"> PAGEREF _Toc102746348 \h </w:instrText>
      </w:r>
      <w:r>
        <w:rPr>
          <w:rFonts w:hint="eastAsia" w:cs="仿宋"/>
          <w:sz w:val="28"/>
          <w:szCs w:val="28"/>
        </w:rPr>
        <w:fldChar w:fldCharType="separate"/>
      </w:r>
      <w:r>
        <w:rPr>
          <w:rFonts w:hint="eastAsia" w:cs="仿宋"/>
          <w:sz w:val="28"/>
          <w:szCs w:val="28"/>
        </w:rPr>
        <w:t>1</w:t>
      </w:r>
      <w:r>
        <w:rPr>
          <w:rFonts w:hint="eastAsia" w:cs="仿宋"/>
          <w:sz w:val="28"/>
          <w:szCs w:val="28"/>
        </w:rPr>
        <w:fldChar w:fldCharType="end"/>
      </w:r>
      <w:r>
        <w:rPr>
          <w:rFonts w:hint="eastAsia" w:cs="仿宋"/>
          <w:sz w:val="28"/>
          <w:szCs w:val="28"/>
        </w:rPr>
        <w:fldChar w:fldCharType="end"/>
      </w:r>
    </w:p>
    <w:p>
      <w:pPr>
        <w:pStyle w:val="14"/>
        <w:spacing w:line="360" w:lineRule="auto"/>
        <w:rPr>
          <w:rFonts w:ascii="仿宋" w:hAnsi="仿宋" w:eastAsia="仿宋" w:cs="仿宋"/>
          <w:sz w:val="28"/>
          <w:szCs w:val="28"/>
        </w:rPr>
      </w:pPr>
      <w:r>
        <w:fldChar w:fldCharType="begin"/>
      </w:r>
      <w:r>
        <w:instrText xml:space="preserve"> HYPERLINK \l "_Toc102746349" </w:instrText>
      </w:r>
      <w:r>
        <w:fldChar w:fldCharType="separate"/>
      </w:r>
      <w:r>
        <w:rPr>
          <w:rStyle w:val="23"/>
          <w:rFonts w:hint="eastAsia" w:ascii="仿宋" w:hAnsi="仿宋" w:eastAsia="仿宋" w:cs="仿宋"/>
          <w:sz w:val="28"/>
          <w:szCs w:val="28"/>
        </w:rPr>
        <w:t>（一）项目概况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_Toc102746349 \h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spacing w:line="360" w:lineRule="auto"/>
        <w:rPr>
          <w:rFonts w:ascii="仿宋" w:hAnsi="仿宋" w:eastAsia="仿宋" w:cs="仿宋"/>
          <w:sz w:val="28"/>
          <w:szCs w:val="28"/>
        </w:rPr>
      </w:pPr>
      <w:r>
        <w:fldChar w:fldCharType="begin"/>
      </w:r>
      <w:r>
        <w:instrText xml:space="preserve"> HYPERLINK \l "_Toc102746350" </w:instrText>
      </w:r>
      <w:r>
        <w:fldChar w:fldCharType="separate"/>
      </w:r>
      <w:r>
        <w:rPr>
          <w:rStyle w:val="23"/>
          <w:rFonts w:hint="eastAsia" w:ascii="仿宋" w:hAnsi="仿宋" w:eastAsia="仿宋" w:cs="仿宋"/>
          <w:sz w:val="28"/>
          <w:szCs w:val="28"/>
        </w:rPr>
        <w:t>（二）项目绩效目标</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_Toc102746350 \h </w:instrText>
      </w:r>
      <w:r>
        <w:rPr>
          <w:rFonts w:hint="eastAsia" w:ascii="仿宋" w:hAnsi="仿宋" w:eastAsia="仿宋" w:cs="仿宋"/>
          <w:sz w:val="28"/>
          <w:szCs w:val="28"/>
        </w:rPr>
        <w:fldChar w:fldCharType="separate"/>
      </w:r>
      <w:r>
        <w:rPr>
          <w:rFonts w:hint="eastAsia" w:ascii="仿宋" w:hAnsi="仿宋" w:eastAsia="仿宋" w:cs="仿宋"/>
          <w:sz w:val="28"/>
          <w:szCs w:val="28"/>
        </w:rPr>
        <w:t>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spacing w:line="360" w:lineRule="auto"/>
        <w:rPr>
          <w:rFonts w:cs="仿宋"/>
          <w:b w:val="0"/>
          <w:sz w:val="28"/>
          <w:szCs w:val="28"/>
        </w:rPr>
      </w:pPr>
      <w:r>
        <w:fldChar w:fldCharType="begin"/>
      </w:r>
      <w:r>
        <w:instrText xml:space="preserve"> HYPERLINK \l "_Toc102746351" </w:instrText>
      </w:r>
      <w:r>
        <w:fldChar w:fldCharType="separate"/>
      </w:r>
      <w:r>
        <w:rPr>
          <w:rStyle w:val="23"/>
          <w:rFonts w:hint="eastAsia" w:cs="仿宋"/>
          <w:sz w:val="28"/>
          <w:szCs w:val="28"/>
        </w:rPr>
        <w:t>二、绩效评价工作开展情况</w:t>
      </w:r>
      <w:r>
        <w:rPr>
          <w:rFonts w:hint="eastAsia" w:cs="仿宋"/>
          <w:sz w:val="28"/>
          <w:szCs w:val="28"/>
        </w:rPr>
        <w:tab/>
      </w:r>
      <w:r>
        <w:rPr>
          <w:rFonts w:hint="eastAsia" w:cs="仿宋"/>
          <w:sz w:val="28"/>
          <w:szCs w:val="28"/>
        </w:rPr>
        <w:fldChar w:fldCharType="begin"/>
      </w:r>
      <w:r>
        <w:rPr>
          <w:rFonts w:hint="eastAsia" w:cs="仿宋"/>
          <w:sz w:val="28"/>
          <w:szCs w:val="28"/>
        </w:rPr>
        <w:instrText xml:space="preserve"> PAGEREF _Toc102746351 \h </w:instrText>
      </w:r>
      <w:r>
        <w:rPr>
          <w:rFonts w:hint="eastAsia" w:cs="仿宋"/>
          <w:sz w:val="28"/>
          <w:szCs w:val="28"/>
        </w:rPr>
        <w:fldChar w:fldCharType="separate"/>
      </w:r>
      <w:r>
        <w:rPr>
          <w:rFonts w:hint="eastAsia" w:cs="仿宋"/>
          <w:sz w:val="28"/>
          <w:szCs w:val="28"/>
        </w:rPr>
        <w:t>5</w:t>
      </w:r>
      <w:r>
        <w:rPr>
          <w:rFonts w:hint="eastAsia" w:cs="仿宋"/>
          <w:sz w:val="28"/>
          <w:szCs w:val="28"/>
        </w:rPr>
        <w:fldChar w:fldCharType="end"/>
      </w:r>
      <w:r>
        <w:rPr>
          <w:rFonts w:hint="eastAsia" w:cs="仿宋"/>
          <w:sz w:val="28"/>
          <w:szCs w:val="28"/>
        </w:rPr>
        <w:fldChar w:fldCharType="end"/>
      </w:r>
    </w:p>
    <w:p>
      <w:pPr>
        <w:pStyle w:val="14"/>
        <w:spacing w:line="360" w:lineRule="auto"/>
        <w:rPr>
          <w:rFonts w:ascii="仿宋" w:hAnsi="仿宋" w:eastAsia="仿宋" w:cs="仿宋"/>
          <w:sz w:val="28"/>
          <w:szCs w:val="28"/>
        </w:rPr>
      </w:pPr>
      <w:r>
        <w:fldChar w:fldCharType="begin"/>
      </w:r>
      <w:r>
        <w:instrText xml:space="preserve"> HYPERLINK \l "_Toc102746352" </w:instrText>
      </w:r>
      <w:r>
        <w:fldChar w:fldCharType="separate"/>
      </w:r>
      <w:r>
        <w:rPr>
          <w:rStyle w:val="23"/>
          <w:rFonts w:hint="eastAsia" w:ascii="仿宋" w:hAnsi="仿宋" w:eastAsia="仿宋" w:cs="仿宋"/>
          <w:sz w:val="28"/>
          <w:szCs w:val="28"/>
        </w:rPr>
        <w:t>（一）绩效评价目的、对象和范围</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_Toc102746352 \h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spacing w:line="360" w:lineRule="auto"/>
        <w:rPr>
          <w:rFonts w:ascii="仿宋" w:hAnsi="仿宋" w:eastAsia="仿宋" w:cs="仿宋"/>
          <w:sz w:val="28"/>
          <w:szCs w:val="28"/>
        </w:rPr>
      </w:pPr>
      <w:r>
        <w:fldChar w:fldCharType="begin"/>
      </w:r>
      <w:r>
        <w:instrText xml:space="preserve"> HYPERLINK \l "_Toc102746353" </w:instrText>
      </w:r>
      <w:r>
        <w:fldChar w:fldCharType="separate"/>
      </w:r>
      <w:r>
        <w:rPr>
          <w:rStyle w:val="23"/>
          <w:rFonts w:hint="eastAsia" w:ascii="仿宋" w:hAnsi="仿宋" w:eastAsia="仿宋" w:cs="仿宋"/>
          <w:sz w:val="28"/>
          <w:szCs w:val="28"/>
        </w:rPr>
        <w:t>（二）绩效评价原则、评价方法、评价标准</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_Toc102746353 \h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spacing w:line="360" w:lineRule="auto"/>
        <w:rPr>
          <w:rFonts w:ascii="仿宋" w:hAnsi="仿宋" w:eastAsia="仿宋" w:cs="仿宋"/>
          <w:sz w:val="28"/>
          <w:szCs w:val="28"/>
        </w:rPr>
      </w:pPr>
      <w:r>
        <w:fldChar w:fldCharType="begin"/>
      </w:r>
      <w:r>
        <w:instrText xml:space="preserve"> HYPERLINK \l "_Toc102746354" </w:instrText>
      </w:r>
      <w:r>
        <w:fldChar w:fldCharType="separate"/>
      </w:r>
      <w:r>
        <w:rPr>
          <w:rStyle w:val="23"/>
          <w:rFonts w:hint="eastAsia" w:ascii="仿宋" w:hAnsi="仿宋" w:eastAsia="仿宋" w:cs="仿宋"/>
          <w:sz w:val="28"/>
          <w:szCs w:val="28"/>
        </w:rPr>
        <w:t>（三）评价指标体系</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_Toc102746354 \h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spacing w:line="360" w:lineRule="auto"/>
        <w:rPr>
          <w:rFonts w:ascii="仿宋" w:hAnsi="仿宋" w:eastAsia="仿宋" w:cs="仿宋"/>
          <w:sz w:val="28"/>
          <w:szCs w:val="28"/>
        </w:rPr>
      </w:pPr>
      <w:r>
        <w:fldChar w:fldCharType="begin"/>
      </w:r>
      <w:r>
        <w:instrText xml:space="preserve"> HYPERLINK \l "_Toc102746355" </w:instrText>
      </w:r>
      <w:r>
        <w:fldChar w:fldCharType="separate"/>
      </w:r>
      <w:r>
        <w:rPr>
          <w:rStyle w:val="23"/>
          <w:rFonts w:hint="eastAsia" w:ascii="仿宋" w:hAnsi="仿宋" w:eastAsia="仿宋" w:cs="仿宋"/>
          <w:sz w:val="28"/>
          <w:szCs w:val="28"/>
        </w:rPr>
        <w:t>（四）绩效评价工作过程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_Toc102746355 \h </w:instrText>
      </w:r>
      <w:r>
        <w:rPr>
          <w:rFonts w:hint="eastAsia" w:ascii="仿宋" w:hAnsi="仿宋" w:eastAsia="仿宋" w:cs="仿宋"/>
          <w:sz w:val="28"/>
          <w:szCs w:val="28"/>
        </w:rPr>
        <w:fldChar w:fldCharType="separate"/>
      </w:r>
      <w:r>
        <w:rPr>
          <w:rFonts w:hint="eastAsia" w:ascii="仿宋" w:hAnsi="仿宋" w:eastAsia="仿宋" w:cs="仿宋"/>
          <w:sz w:val="28"/>
          <w:szCs w:val="28"/>
        </w:rPr>
        <w:t>9</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spacing w:line="360" w:lineRule="auto"/>
        <w:rPr>
          <w:rFonts w:cs="仿宋"/>
          <w:b w:val="0"/>
          <w:sz w:val="28"/>
          <w:szCs w:val="28"/>
        </w:rPr>
      </w:pPr>
      <w:r>
        <w:fldChar w:fldCharType="begin"/>
      </w:r>
      <w:r>
        <w:instrText xml:space="preserve"> HYPERLINK \l "_Toc102746356" </w:instrText>
      </w:r>
      <w:r>
        <w:fldChar w:fldCharType="separate"/>
      </w:r>
      <w:r>
        <w:rPr>
          <w:rStyle w:val="23"/>
          <w:rFonts w:hint="eastAsia" w:cs="仿宋"/>
          <w:sz w:val="28"/>
          <w:szCs w:val="28"/>
        </w:rPr>
        <w:t>三、综合评价情况及评价结论</w:t>
      </w:r>
      <w:r>
        <w:rPr>
          <w:rFonts w:hint="eastAsia" w:cs="仿宋"/>
          <w:sz w:val="28"/>
          <w:szCs w:val="28"/>
        </w:rPr>
        <w:tab/>
      </w:r>
      <w:r>
        <w:rPr>
          <w:rFonts w:hint="eastAsia" w:cs="仿宋"/>
          <w:sz w:val="28"/>
          <w:szCs w:val="28"/>
        </w:rPr>
        <w:fldChar w:fldCharType="begin"/>
      </w:r>
      <w:r>
        <w:rPr>
          <w:rFonts w:hint="eastAsia" w:cs="仿宋"/>
          <w:sz w:val="28"/>
          <w:szCs w:val="28"/>
        </w:rPr>
        <w:instrText xml:space="preserve"> PAGEREF _Toc102746356 \h </w:instrText>
      </w:r>
      <w:r>
        <w:rPr>
          <w:rFonts w:hint="eastAsia" w:cs="仿宋"/>
          <w:sz w:val="28"/>
          <w:szCs w:val="28"/>
        </w:rPr>
        <w:fldChar w:fldCharType="separate"/>
      </w:r>
      <w:r>
        <w:rPr>
          <w:rFonts w:hint="eastAsia" w:cs="仿宋"/>
          <w:sz w:val="28"/>
          <w:szCs w:val="28"/>
        </w:rPr>
        <w:t>10</w:t>
      </w:r>
      <w:r>
        <w:rPr>
          <w:rFonts w:hint="eastAsia" w:cs="仿宋"/>
          <w:sz w:val="28"/>
          <w:szCs w:val="28"/>
        </w:rPr>
        <w:fldChar w:fldCharType="end"/>
      </w:r>
      <w:r>
        <w:rPr>
          <w:rFonts w:hint="eastAsia" w:cs="仿宋"/>
          <w:sz w:val="28"/>
          <w:szCs w:val="28"/>
        </w:rPr>
        <w:fldChar w:fldCharType="end"/>
      </w:r>
    </w:p>
    <w:p>
      <w:pPr>
        <w:pStyle w:val="11"/>
        <w:spacing w:line="360" w:lineRule="auto"/>
        <w:rPr>
          <w:rFonts w:cs="仿宋"/>
          <w:b w:val="0"/>
          <w:sz w:val="28"/>
          <w:szCs w:val="28"/>
        </w:rPr>
      </w:pPr>
      <w:r>
        <w:fldChar w:fldCharType="begin"/>
      </w:r>
      <w:r>
        <w:instrText xml:space="preserve"> HYPERLINK \l "_Toc102746357" </w:instrText>
      </w:r>
      <w:r>
        <w:fldChar w:fldCharType="separate"/>
      </w:r>
      <w:r>
        <w:rPr>
          <w:rStyle w:val="23"/>
          <w:rFonts w:hint="eastAsia" w:cs="仿宋"/>
          <w:sz w:val="28"/>
          <w:szCs w:val="28"/>
        </w:rPr>
        <w:t>四、绩效评价指标分析</w:t>
      </w:r>
      <w:r>
        <w:rPr>
          <w:rFonts w:hint="eastAsia" w:cs="仿宋"/>
          <w:sz w:val="28"/>
          <w:szCs w:val="28"/>
        </w:rPr>
        <w:tab/>
      </w:r>
      <w:r>
        <w:rPr>
          <w:rFonts w:hint="eastAsia" w:cs="仿宋"/>
          <w:sz w:val="28"/>
          <w:szCs w:val="28"/>
        </w:rPr>
        <w:fldChar w:fldCharType="begin"/>
      </w:r>
      <w:r>
        <w:rPr>
          <w:rFonts w:hint="eastAsia" w:cs="仿宋"/>
          <w:sz w:val="28"/>
          <w:szCs w:val="28"/>
        </w:rPr>
        <w:instrText xml:space="preserve"> PAGEREF _Toc102746357 \h </w:instrText>
      </w:r>
      <w:r>
        <w:rPr>
          <w:rFonts w:hint="eastAsia" w:cs="仿宋"/>
          <w:sz w:val="28"/>
          <w:szCs w:val="28"/>
        </w:rPr>
        <w:fldChar w:fldCharType="separate"/>
      </w:r>
      <w:r>
        <w:rPr>
          <w:rFonts w:hint="eastAsia" w:cs="仿宋"/>
          <w:sz w:val="28"/>
          <w:szCs w:val="28"/>
        </w:rPr>
        <w:t>11</w:t>
      </w:r>
      <w:r>
        <w:rPr>
          <w:rFonts w:hint="eastAsia" w:cs="仿宋"/>
          <w:sz w:val="28"/>
          <w:szCs w:val="28"/>
        </w:rPr>
        <w:fldChar w:fldCharType="end"/>
      </w:r>
      <w:r>
        <w:rPr>
          <w:rFonts w:hint="eastAsia" w:cs="仿宋"/>
          <w:sz w:val="28"/>
          <w:szCs w:val="28"/>
        </w:rPr>
        <w:fldChar w:fldCharType="end"/>
      </w:r>
    </w:p>
    <w:p>
      <w:pPr>
        <w:pStyle w:val="14"/>
        <w:spacing w:line="360" w:lineRule="auto"/>
        <w:rPr>
          <w:rFonts w:ascii="仿宋" w:hAnsi="仿宋" w:eastAsia="仿宋" w:cs="仿宋"/>
          <w:sz w:val="28"/>
          <w:szCs w:val="28"/>
        </w:rPr>
      </w:pPr>
      <w:r>
        <w:fldChar w:fldCharType="begin"/>
      </w:r>
      <w:r>
        <w:instrText xml:space="preserve"> HYPERLINK \l "_Toc102746358" </w:instrText>
      </w:r>
      <w:r>
        <w:fldChar w:fldCharType="separate"/>
      </w:r>
      <w:r>
        <w:rPr>
          <w:rStyle w:val="23"/>
          <w:rFonts w:hint="eastAsia" w:ascii="仿宋" w:hAnsi="仿宋" w:eastAsia="仿宋" w:cs="仿宋"/>
          <w:sz w:val="28"/>
          <w:szCs w:val="28"/>
        </w:rPr>
        <w:t>（一）项目决策情况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_Toc102746358 \h </w:instrText>
      </w:r>
      <w:r>
        <w:rPr>
          <w:rFonts w:hint="eastAsia" w:ascii="仿宋" w:hAnsi="仿宋" w:eastAsia="仿宋" w:cs="仿宋"/>
          <w:sz w:val="28"/>
          <w:szCs w:val="28"/>
        </w:rPr>
        <w:fldChar w:fldCharType="separate"/>
      </w:r>
      <w:r>
        <w:rPr>
          <w:rFonts w:hint="eastAsia" w:ascii="仿宋" w:hAnsi="仿宋" w:eastAsia="仿宋" w:cs="仿宋"/>
          <w:sz w:val="28"/>
          <w:szCs w:val="28"/>
        </w:rPr>
        <w:t>11</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spacing w:line="360" w:lineRule="auto"/>
        <w:rPr>
          <w:rFonts w:ascii="仿宋" w:hAnsi="仿宋" w:eastAsia="仿宋" w:cs="仿宋"/>
          <w:sz w:val="28"/>
          <w:szCs w:val="28"/>
        </w:rPr>
      </w:pPr>
      <w:r>
        <w:fldChar w:fldCharType="begin"/>
      </w:r>
      <w:r>
        <w:instrText xml:space="preserve"> HYPERLINK \l "_Toc102746359" </w:instrText>
      </w:r>
      <w:r>
        <w:fldChar w:fldCharType="separate"/>
      </w:r>
      <w:r>
        <w:rPr>
          <w:rStyle w:val="23"/>
          <w:rFonts w:hint="eastAsia" w:ascii="仿宋" w:hAnsi="仿宋" w:eastAsia="仿宋" w:cs="仿宋"/>
          <w:sz w:val="28"/>
          <w:szCs w:val="28"/>
        </w:rPr>
        <w:t>（二）项目过程情况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_Toc102746359 \h </w:instrText>
      </w:r>
      <w:r>
        <w:rPr>
          <w:rFonts w:hint="eastAsia" w:ascii="仿宋" w:hAnsi="仿宋" w:eastAsia="仿宋" w:cs="仿宋"/>
          <w:sz w:val="28"/>
          <w:szCs w:val="28"/>
        </w:rPr>
        <w:fldChar w:fldCharType="separate"/>
      </w:r>
      <w:r>
        <w:rPr>
          <w:rFonts w:hint="eastAsia" w:ascii="仿宋" w:hAnsi="仿宋" w:eastAsia="仿宋" w:cs="仿宋"/>
          <w:sz w:val="28"/>
          <w:szCs w:val="28"/>
        </w:rPr>
        <w:t>12</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spacing w:line="360" w:lineRule="auto"/>
        <w:rPr>
          <w:rFonts w:ascii="仿宋" w:hAnsi="仿宋" w:eastAsia="仿宋" w:cs="仿宋"/>
          <w:sz w:val="28"/>
          <w:szCs w:val="28"/>
        </w:rPr>
      </w:pPr>
      <w:r>
        <w:fldChar w:fldCharType="begin"/>
      </w:r>
      <w:r>
        <w:instrText xml:space="preserve"> HYPERLINK \l "_Toc102746360" </w:instrText>
      </w:r>
      <w:r>
        <w:fldChar w:fldCharType="separate"/>
      </w:r>
      <w:r>
        <w:rPr>
          <w:rStyle w:val="23"/>
          <w:rFonts w:hint="eastAsia" w:ascii="仿宋" w:hAnsi="仿宋" w:eastAsia="仿宋" w:cs="仿宋"/>
          <w:sz w:val="28"/>
          <w:szCs w:val="28"/>
        </w:rPr>
        <w:t>（三）项目产出情况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_Toc102746360 \h </w:instrText>
      </w:r>
      <w:r>
        <w:rPr>
          <w:rFonts w:hint="eastAsia" w:ascii="仿宋" w:hAnsi="仿宋" w:eastAsia="仿宋" w:cs="仿宋"/>
          <w:sz w:val="28"/>
          <w:szCs w:val="28"/>
        </w:rPr>
        <w:fldChar w:fldCharType="separate"/>
      </w:r>
      <w:r>
        <w:rPr>
          <w:rFonts w:hint="eastAsia" w:ascii="仿宋" w:hAnsi="仿宋" w:eastAsia="仿宋" w:cs="仿宋"/>
          <w:sz w:val="28"/>
          <w:szCs w:val="28"/>
        </w:rPr>
        <w:t>13</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4"/>
        <w:spacing w:line="360" w:lineRule="auto"/>
        <w:rPr>
          <w:rFonts w:ascii="仿宋" w:hAnsi="仿宋" w:eastAsia="仿宋" w:cs="仿宋"/>
          <w:sz w:val="28"/>
          <w:szCs w:val="28"/>
        </w:rPr>
      </w:pPr>
      <w:r>
        <w:fldChar w:fldCharType="begin"/>
      </w:r>
      <w:r>
        <w:instrText xml:space="preserve"> HYPERLINK \l "_Toc102746365" </w:instrText>
      </w:r>
      <w:r>
        <w:fldChar w:fldCharType="separate"/>
      </w:r>
      <w:r>
        <w:rPr>
          <w:rStyle w:val="23"/>
          <w:rFonts w:hint="eastAsia" w:ascii="仿宋" w:hAnsi="仿宋" w:eastAsia="仿宋" w:cs="仿宋"/>
          <w:sz w:val="28"/>
          <w:szCs w:val="28"/>
        </w:rPr>
        <w:t>（四）项目效益情况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_Toc102746365 \h </w:instrText>
      </w:r>
      <w:r>
        <w:rPr>
          <w:rFonts w:hint="eastAsia" w:ascii="仿宋" w:hAnsi="仿宋" w:eastAsia="仿宋" w:cs="仿宋"/>
          <w:sz w:val="28"/>
          <w:szCs w:val="28"/>
        </w:rPr>
        <w:fldChar w:fldCharType="separate"/>
      </w:r>
      <w:r>
        <w:rPr>
          <w:rFonts w:hint="eastAsia" w:ascii="仿宋" w:hAnsi="仿宋" w:eastAsia="仿宋" w:cs="仿宋"/>
          <w:sz w:val="28"/>
          <w:szCs w:val="28"/>
        </w:rPr>
        <w:t>16</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pPr>
        <w:pStyle w:val="11"/>
        <w:spacing w:line="360" w:lineRule="auto"/>
        <w:rPr>
          <w:rFonts w:cs="仿宋"/>
          <w:b w:val="0"/>
          <w:sz w:val="28"/>
          <w:szCs w:val="28"/>
        </w:rPr>
      </w:pPr>
      <w:r>
        <w:fldChar w:fldCharType="begin"/>
      </w:r>
      <w:r>
        <w:instrText xml:space="preserve"> HYPERLINK \l "_Toc102746366" </w:instrText>
      </w:r>
      <w:r>
        <w:fldChar w:fldCharType="separate"/>
      </w:r>
      <w:r>
        <w:rPr>
          <w:rStyle w:val="23"/>
          <w:rFonts w:hint="eastAsia" w:cs="仿宋"/>
          <w:sz w:val="28"/>
          <w:szCs w:val="28"/>
        </w:rPr>
        <w:t>五、主要经验及做法、存在的问题</w:t>
      </w:r>
      <w:r>
        <w:rPr>
          <w:rFonts w:hint="eastAsia" w:cs="仿宋"/>
          <w:sz w:val="28"/>
          <w:szCs w:val="28"/>
        </w:rPr>
        <w:tab/>
      </w:r>
      <w:r>
        <w:rPr>
          <w:rFonts w:hint="eastAsia" w:cs="仿宋"/>
          <w:sz w:val="28"/>
          <w:szCs w:val="28"/>
        </w:rPr>
        <w:fldChar w:fldCharType="begin"/>
      </w:r>
      <w:r>
        <w:rPr>
          <w:rFonts w:hint="eastAsia" w:cs="仿宋"/>
          <w:sz w:val="28"/>
          <w:szCs w:val="28"/>
        </w:rPr>
        <w:instrText xml:space="preserve"> PAGEREF _Toc102746366 \h </w:instrText>
      </w:r>
      <w:r>
        <w:rPr>
          <w:rFonts w:hint="eastAsia" w:cs="仿宋"/>
          <w:sz w:val="28"/>
          <w:szCs w:val="28"/>
        </w:rPr>
        <w:fldChar w:fldCharType="separate"/>
      </w:r>
      <w:r>
        <w:rPr>
          <w:rFonts w:hint="eastAsia" w:cs="仿宋"/>
          <w:sz w:val="28"/>
          <w:szCs w:val="28"/>
        </w:rPr>
        <w:t>17</w:t>
      </w:r>
      <w:r>
        <w:rPr>
          <w:rFonts w:hint="eastAsia" w:cs="仿宋"/>
          <w:sz w:val="28"/>
          <w:szCs w:val="28"/>
        </w:rPr>
        <w:fldChar w:fldCharType="end"/>
      </w:r>
      <w:r>
        <w:rPr>
          <w:rFonts w:hint="eastAsia" w:cs="仿宋"/>
          <w:sz w:val="28"/>
          <w:szCs w:val="28"/>
        </w:rPr>
        <w:fldChar w:fldCharType="end"/>
      </w:r>
    </w:p>
    <w:p>
      <w:pPr>
        <w:pStyle w:val="11"/>
        <w:spacing w:line="360" w:lineRule="auto"/>
        <w:rPr>
          <w:rFonts w:cs="仿宋"/>
          <w:b w:val="0"/>
          <w:sz w:val="28"/>
          <w:szCs w:val="28"/>
        </w:rPr>
      </w:pPr>
      <w:r>
        <w:fldChar w:fldCharType="begin"/>
      </w:r>
      <w:r>
        <w:instrText xml:space="preserve"> HYPERLINK \l "_Toc102746367" </w:instrText>
      </w:r>
      <w:r>
        <w:fldChar w:fldCharType="separate"/>
      </w:r>
      <w:r>
        <w:rPr>
          <w:rStyle w:val="23"/>
          <w:rFonts w:hint="eastAsia" w:cs="仿宋"/>
          <w:sz w:val="28"/>
          <w:szCs w:val="28"/>
        </w:rPr>
        <w:t>六、有关建议</w:t>
      </w:r>
      <w:r>
        <w:rPr>
          <w:rFonts w:hint="eastAsia" w:cs="仿宋"/>
          <w:sz w:val="28"/>
          <w:szCs w:val="28"/>
        </w:rPr>
        <w:tab/>
      </w:r>
      <w:r>
        <w:rPr>
          <w:rFonts w:hint="eastAsia" w:cs="仿宋"/>
          <w:sz w:val="28"/>
          <w:szCs w:val="28"/>
        </w:rPr>
        <w:fldChar w:fldCharType="begin"/>
      </w:r>
      <w:r>
        <w:rPr>
          <w:rFonts w:hint="eastAsia" w:cs="仿宋"/>
          <w:sz w:val="28"/>
          <w:szCs w:val="28"/>
        </w:rPr>
        <w:instrText xml:space="preserve"> PAGEREF _Toc102746367 \h </w:instrText>
      </w:r>
      <w:r>
        <w:rPr>
          <w:rFonts w:hint="eastAsia" w:cs="仿宋"/>
          <w:sz w:val="28"/>
          <w:szCs w:val="28"/>
        </w:rPr>
        <w:fldChar w:fldCharType="separate"/>
      </w:r>
      <w:r>
        <w:rPr>
          <w:rFonts w:hint="eastAsia" w:cs="仿宋"/>
          <w:sz w:val="28"/>
          <w:szCs w:val="28"/>
        </w:rPr>
        <w:t>18</w:t>
      </w:r>
      <w:r>
        <w:rPr>
          <w:rFonts w:hint="eastAsia" w:cs="仿宋"/>
          <w:sz w:val="28"/>
          <w:szCs w:val="28"/>
        </w:rPr>
        <w:fldChar w:fldCharType="end"/>
      </w:r>
      <w:r>
        <w:rPr>
          <w:rFonts w:hint="eastAsia" w:cs="仿宋"/>
          <w:sz w:val="28"/>
          <w:szCs w:val="28"/>
        </w:rPr>
        <w:fldChar w:fldCharType="end"/>
      </w:r>
    </w:p>
    <w:p>
      <w:pPr>
        <w:pStyle w:val="11"/>
        <w:spacing w:line="360" w:lineRule="auto"/>
        <w:rPr>
          <w:rFonts w:cs="仿宋"/>
          <w:b w:val="0"/>
          <w:sz w:val="28"/>
          <w:szCs w:val="28"/>
        </w:rPr>
      </w:pPr>
      <w:r>
        <w:fldChar w:fldCharType="begin"/>
      </w:r>
      <w:r>
        <w:instrText xml:space="preserve"> HYPERLINK \l "_Toc102746368" </w:instrText>
      </w:r>
      <w:r>
        <w:fldChar w:fldCharType="separate"/>
      </w:r>
      <w:r>
        <w:rPr>
          <w:rStyle w:val="23"/>
          <w:rFonts w:hint="eastAsia" w:cs="仿宋"/>
          <w:sz w:val="28"/>
          <w:szCs w:val="28"/>
        </w:rPr>
        <w:t>七、其他需要说明的问题</w:t>
      </w:r>
      <w:r>
        <w:rPr>
          <w:rFonts w:hint="eastAsia" w:cs="仿宋"/>
          <w:sz w:val="28"/>
          <w:szCs w:val="28"/>
        </w:rPr>
        <w:tab/>
      </w:r>
      <w:r>
        <w:rPr>
          <w:rFonts w:hint="eastAsia" w:cs="仿宋"/>
          <w:sz w:val="28"/>
          <w:szCs w:val="28"/>
        </w:rPr>
        <w:fldChar w:fldCharType="begin"/>
      </w:r>
      <w:r>
        <w:rPr>
          <w:rFonts w:hint="eastAsia" w:cs="仿宋"/>
          <w:sz w:val="28"/>
          <w:szCs w:val="28"/>
        </w:rPr>
        <w:instrText xml:space="preserve"> PAGEREF _Toc102746368 \h </w:instrText>
      </w:r>
      <w:r>
        <w:rPr>
          <w:rFonts w:hint="eastAsia" w:cs="仿宋"/>
          <w:sz w:val="28"/>
          <w:szCs w:val="28"/>
        </w:rPr>
        <w:fldChar w:fldCharType="separate"/>
      </w:r>
      <w:r>
        <w:rPr>
          <w:rFonts w:hint="eastAsia" w:cs="仿宋"/>
          <w:sz w:val="28"/>
          <w:szCs w:val="28"/>
        </w:rPr>
        <w:t>20</w:t>
      </w:r>
      <w:r>
        <w:rPr>
          <w:rFonts w:hint="eastAsia" w:cs="仿宋"/>
          <w:sz w:val="28"/>
          <w:szCs w:val="28"/>
        </w:rPr>
        <w:fldChar w:fldCharType="end"/>
      </w:r>
      <w:r>
        <w:rPr>
          <w:rFonts w:hint="eastAsia" w:cs="仿宋"/>
          <w:sz w:val="28"/>
          <w:szCs w:val="28"/>
        </w:rPr>
        <w:fldChar w:fldCharType="end"/>
      </w:r>
    </w:p>
    <w:p>
      <w:pPr>
        <w:pStyle w:val="11"/>
        <w:tabs>
          <w:tab w:val="right" w:leader="dot" w:pos="8296"/>
          <w:tab w:val="clear" w:pos="8777"/>
        </w:tabs>
        <w:spacing w:line="360" w:lineRule="auto"/>
        <w:rPr>
          <w:rFonts w:ascii="Times New Roman" w:hAnsi="Times New Roman" w:cs="Times New Roman"/>
          <w:bCs/>
          <w:color w:val="000000" w:themeColor="text1"/>
          <w:kern w:val="0"/>
          <w:lang w:val="zh-CN"/>
          <w14:textFill>
            <w14:solidFill>
              <w14:schemeClr w14:val="tx1"/>
            </w14:solidFill>
          </w14:textFill>
        </w:rPr>
      </w:pPr>
      <w:r>
        <w:rPr>
          <w:rStyle w:val="23"/>
          <w:rFonts w:hint="eastAsia" w:cs="仿宋"/>
          <w:b w:val="0"/>
          <w:bCs/>
          <w:caps/>
          <w:color w:val="auto"/>
          <w:sz w:val="28"/>
          <w:szCs w:val="28"/>
        </w:rPr>
        <w:fldChar w:fldCharType="end"/>
      </w:r>
    </w:p>
    <w:p>
      <w:pPr>
        <w:rPr>
          <w:rFonts w:ascii="Times New Roman" w:hAnsi="Times New Roman" w:eastAsia="仿宋_GB2312" w:cs="Times New Roman"/>
          <w:b/>
          <w:bCs/>
          <w:color w:val="000000" w:themeColor="text1"/>
          <w:kern w:val="0"/>
          <w:sz w:val="24"/>
          <w:szCs w:val="24"/>
          <w:lang w:val="zh-CN"/>
          <w14:textFill>
            <w14:solidFill>
              <w14:schemeClr w14:val="tx1"/>
            </w14:solidFill>
          </w14:textFill>
        </w:rPr>
        <w:sectPr>
          <w:headerReference r:id="rId4" w:type="default"/>
          <w:pgSz w:w="11906" w:h="16838"/>
          <w:pgMar w:top="1418" w:right="1701" w:bottom="851" w:left="1418" w:header="851" w:footer="850" w:gutter="0"/>
          <w:cols w:space="425" w:num="1"/>
          <w:docGrid w:type="linesAndChars" w:linePitch="312" w:charSpace="0"/>
        </w:sectPr>
      </w:pPr>
    </w:p>
    <w:p>
      <w:pPr>
        <w:pStyle w:val="11"/>
        <w:spacing w:line="360" w:lineRule="auto"/>
        <w:jc w:val="center"/>
        <w:rPr>
          <w:rFonts w:hint="eastAsia" w:ascii="方正小标宋简体" w:hAnsi="Times New Roman" w:eastAsia="方正小标宋简体" w:cs="Times New Roman"/>
          <w:b w:val="0"/>
          <w:sz w:val="36"/>
          <w:szCs w:val="36"/>
        </w:rPr>
      </w:pPr>
      <w:bookmarkStart w:id="1" w:name="OLE_LINK10"/>
      <w:r>
        <w:rPr>
          <w:rFonts w:hint="eastAsia" w:ascii="方正小标宋简体" w:hAnsi="Times New Roman" w:eastAsia="方正小标宋简体" w:cs="Times New Roman"/>
          <w:b w:val="0"/>
          <w:sz w:val="36"/>
          <w:szCs w:val="36"/>
        </w:rPr>
        <w:t>北京市信访办公室</w:t>
      </w:r>
    </w:p>
    <w:p>
      <w:pPr>
        <w:pStyle w:val="11"/>
        <w:spacing w:line="360" w:lineRule="auto"/>
        <w:jc w:val="center"/>
        <w:rPr>
          <w:rFonts w:ascii="方正小标宋简体" w:hAnsi="Times New Roman" w:eastAsia="方正小标宋简体" w:cs="Times New Roman"/>
          <w:b w:val="0"/>
          <w:sz w:val="36"/>
          <w:szCs w:val="36"/>
        </w:rPr>
      </w:pPr>
      <w:r>
        <w:rPr>
          <w:rFonts w:hint="eastAsia" w:ascii="方正小标宋简体" w:hAnsi="Times New Roman" w:eastAsia="方正小标宋简体" w:cs="Times New Roman"/>
          <w:b w:val="0"/>
          <w:sz w:val="36"/>
          <w:szCs w:val="36"/>
          <w:lang w:val="en-US" w:eastAsia="zh-CN"/>
        </w:rPr>
        <w:t>信息系统运维类项目</w:t>
      </w:r>
      <w:r>
        <w:rPr>
          <w:rFonts w:hint="eastAsia" w:ascii="方正小标宋简体" w:hAnsi="Times New Roman" w:eastAsia="方正小标宋简体" w:cs="Times New Roman"/>
          <w:b w:val="0"/>
          <w:sz w:val="36"/>
          <w:szCs w:val="36"/>
        </w:rPr>
        <w:t>绩效评价报告</w:t>
      </w:r>
      <w:bookmarkEnd w:id="1"/>
    </w:p>
    <w:p>
      <w:pPr>
        <w:widowControl/>
        <w:tabs>
          <w:tab w:val="left" w:pos="2215"/>
        </w:tabs>
        <w:spacing w:line="360" w:lineRule="auto"/>
        <w:ind w:firstLine="640" w:firstLineChars="200"/>
        <w:rPr>
          <w:rFonts w:hint="eastAsia" w:ascii="仿宋_GB2312" w:hAnsi="Times New Roman" w:eastAsia="仿宋_GB2312" w:cs="Times New Roman"/>
          <w:color w:val="000000"/>
          <w:kern w:val="0"/>
          <w:sz w:val="32"/>
          <w:szCs w:val="32"/>
        </w:rPr>
      </w:pPr>
    </w:p>
    <w:p>
      <w:pPr>
        <w:widowControl/>
        <w:tabs>
          <w:tab w:val="left" w:pos="2215"/>
        </w:tabs>
        <w:spacing w:line="360" w:lineRule="auto"/>
        <w:ind w:firstLine="640" w:firstLineChars="200"/>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为进一步加强财政支出管理，合理配置财政资源，提高财政资金使用效益和财政支出管理水平，根据《北京市项目支出绩效评价管理办法》（京财绩效〔2020〕2146号）等文件的有关要求，北京市信访办公室（以下简称“</w:t>
      </w:r>
      <w:r>
        <w:rPr>
          <w:rFonts w:hint="eastAsia" w:ascii="仿宋_GB2312" w:hAnsi="Times New Roman" w:eastAsia="仿宋_GB2312" w:cs="Times New Roman"/>
          <w:color w:val="000000"/>
          <w:kern w:val="0"/>
          <w:sz w:val="32"/>
          <w:szCs w:val="32"/>
          <w:lang w:eastAsia="zh-CN"/>
        </w:rPr>
        <w:t>市信访办</w:t>
      </w:r>
      <w:r>
        <w:rPr>
          <w:rFonts w:hint="eastAsia" w:ascii="仿宋_GB2312" w:hAnsi="Times New Roman" w:eastAsia="仿宋_GB2312" w:cs="Times New Roman"/>
          <w:color w:val="000000"/>
          <w:kern w:val="0"/>
          <w:sz w:val="32"/>
          <w:szCs w:val="32"/>
        </w:rPr>
        <w:t>”）成立绩效评价工作组，委托北京今诚明会计师事务所（普通合伙）对“</w:t>
      </w:r>
      <w:r>
        <w:rPr>
          <w:rFonts w:hint="eastAsia" w:ascii="仿宋_GB2312" w:hAnsi="Times New Roman" w:eastAsia="仿宋_GB2312" w:cs="Times New Roman"/>
          <w:color w:val="000000"/>
          <w:kern w:val="0"/>
          <w:sz w:val="32"/>
          <w:szCs w:val="32"/>
          <w:lang w:eastAsia="zh-CN"/>
        </w:rPr>
        <w:t>信息系统运维类项目</w:t>
      </w:r>
      <w:r>
        <w:rPr>
          <w:rFonts w:hint="eastAsia" w:ascii="仿宋_GB2312" w:hAnsi="Times New Roman" w:eastAsia="仿宋_GB2312" w:cs="Times New Roman"/>
          <w:color w:val="000000"/>
          <w:kern w:val="0"/>
          <w:sz w:val="32"/>
          <w:szCs w:val="32"/>
        </w:rPr>
        <w:t>”项目（以下简称“该项目”）的绩效情况实施绩效评价，形成本绩效评价报告。</w:t>
      </w:r>
    </w:p>
    <w:p>
      <w:pPr>
        <w:pStyle w:val="2"/>
        <w:spacing w:line="360" w:lineRule="auto"/>
        <w:ind w:firstLine="640"/>
        <w:rPr>
          <w:rFonts w:ascii="黑体" w:hAnsi="黑体" w:eastAsia="黑体" w:cs="Times New Roman"/>
          <w:b w:val="0"/>
          <w:sz w:val="32"/>
          <w:szCs w:val="32"/>
        </w:rPr>
      </w:pPr>
      <w:bookmarkStart w:id="2" w:name="_Toc102746348"/>
      <w:r>
        <w:rPr>
          <w:rFonts w:ascii="黑体" w:hAnsi="黑体" w:eastAsia="黑体" w:cs="Times New Roman"/>
          <w:b w:val="0"/>
          <w:sz w:val="32"/>
          <w:szCs w:val="32"/>
        </w:rPr>
        <w:t>一、</w:t>
      </w:r>
      <w:r>
        <w:rPr>
          <w:rFonts w:hint="eastAsia" w:ascii="黑体" w:hAnsi="黑体" w:eastAsia="黑体" w:cs="Times New Roman"/>
          <w:b w:val="0"/>
          <w:sz w:val="32"/>
          <w:szCs w:val="32"/>
        </w:rPr>
        <w:t>基本情况</w:t>
      </w:r>
      <w:bookmarkEnd w:id="2"/>
    </w:p>
    <w:p>
      <w:pPr>
        <w:pStyle w:val="3"/>
        <w:ind w:firstLine="640"/>
        <w:rPr>
          <w:rFonts w:ascii="楷体" w:hAnsi="楷体" w:eastAsia="楷体"/>
          <w:b w:val="0"/>
        </w:rPr>
      </w:pPr>
      <w:bookmarkStart w:id="3" w:name="_Toc102746349"/>
      <w:r>
        <w:rPr>
          <w:rFonts w:hint="eastAsia" w:ascii="楷体" w:hAnsi="楷体" w:eastAsia="楷体"/>
          <w:b w:val="0"/>
        </w:rPr>
        <w:t>（一）项目概况</w:t>
      </w:r>
      <w:bookmarkEnd w:id="3"/>
    </w:p>
    <w:p>
      <w:pPr>
        <w:keepNext/>
        <w:keepLines/>
        <w:spacing w:line="360" w:lineRule="auto"/>
        <w:ind w:firstLine="640" w:firstLineChars="200"/>
        <w:jc w:val="left"/>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1.项目背景</w:t>
      </w:r>
    </w:p>
    <w:p>
      <w:pPr>
        <w:spacing w:line="360" w:lineRule="auto"/>
        <w:ind w:firstLine="640"/>
        <w:rPr>
          <w:rFonts w:hint="eastAsia"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为了实现全市信访信息化，</w:t>
      </w:r>
      <w:r>
        <w:rPr>
          <w:rFonts w:hint="eastAsia" w:ascii="仿宋_GB2312" w:hAnsi="Times New Roman" w:eastAsia="仿宋_GB2312" w:cs="Times New Roman"/>
          <w:kern w:val="0"/>
          <w:sz w:val="32"/>
          <w:szCs w:val="32"/>
          <w:lang w:eastAsia="zh-CN"/>
        </w:rPr>
        <w:t>北京市信访办公室（</w:t>
      </w:r>
      <w:r>
        <w:rPr>
          <w:rFonts w:hint="eastAsia" w:ascii="仿宋_GB2312" w:hAnsi="Times New Roman" w:eastAsia="仿宋_GB2312" w:cs="Times New Roman"/>
          <w:kern w:val="0"/>
          <w:sz w:val="32"/>
          <w:szCs w:val="32"/>
          <w:lang w:val="en-US" w:eastAsia="zh-CN"/>
        </w:rPr>
        <w:t>以下简称“市信访办”</w:t>
      </w:r>
      <w:r>
        <w:rPr>
          <w:rFonts w:hint="eastAsia" w:ascii="仿宋_GB2312" w:hAnsi="Times New Roman" w:eastAsia="仿宋_GB2312" w:cs="Times New Roman"/>
          <w:kern w:val="0"/>
          <w:sz w:val="32"/>
          <w:szCs w:val="32"/>
          <w:lang w:eastAsia="zh-CN"/>
        </w:rPr>
        <w:t>）</w:t>
      </w:r>
      <w:r>
        <w:rPr>
          <w:rFonts w:hint="eastAsia" w:ascii="仿宋_GB2312" w:hAnsi="Times New Roman" w:eastAsia="仿宋_GB2312" w:cs="Times New Roman"/>
          <w:kern w:val="0"/>
          <w:sz w:val="32"/>
          <w:szCs w:val="32"/>
        </w:rPr>
        <w:t>相继</w:t>
      </w:r>
      <w:r>
        <w:rPr>
          <w:rFonts w:hint="eastAsia" w:ascii="仿宋_GB2312" w:hAnsi="Times New Roman" w:eastAsia="仿宋_GB2312" w:cs="Times New Roman"/>
          <w:kern w:val="0"/>
          <w:sz w:val="32"/>
          <w:szCs w:val="32"/>
          <w:lang w:val="en-US" w:eastAsia="zh-CN"/>
        </w:rPr>
        <w:t>于2005年</w:t>
      </w:r>
      <w:r>
        <w:rPr>
          <w:rFonts w:hint="eastAsia" w:ascii="仿宋_GB2312" w:hAnsi="Times New Roman" w:eastAsia="仿宋_GB2312" w:cs="Times New Roman"/>
          <w:kern w:val="0"/>
          <w:sz w:val="32"/>
          <w:szCs w:val="32"/>
        </w:rPr>
        <w:t>开发建设了信访办网站、北京市信访矛盾分析研究中心门户网站工作平台、</w:t>
      </w:r>
      <w:r>
        <w:rPr>
          <w:rFonts w:hint="eastAsia" w:ascii="仿宋_GB2312" w:hAnsi="Times New Roman" w:eastAsia="仿宋_GB2312" w:cs="Times New Roman"/>
          <w:kern w:val="0"/>
          <w:sz w:val="32"/>
          <w:szCs w:val="32"/>
          <w:lang w:val="en-US" w:eastAsia="zh-CN"/>
        </w:rPr>
        <w:t>2006年开展建设了</w:t>
      </w:r>
      <w:r>
        <w:rPr>
          <w:rFonts w:hint="eastAsia" w:ascii="仿宋_GB2312" w:hAnsi="Times New Roman" w:eastAsia="仿宋_GB2312" w:cs="Times New Roman"/>
          <w:kern w:val="0"/>
          <w:sz w:val="32"/>
          <w:szCs w:val="32"/>
        </w:rPr>
        <w:t>全国信访信息系统一期、</w:t>
      </w:r>
      <w:r>
        <w:rPr>
          <w:rFonts w:hint="eastAsia" w:ascii="仿宋_GB2312" w:hAnsi="Times New Roman" w:eastAsia="仿宋_GB2312" w:cs="Times New Roman"/>
          <w:kern w:val="0"/>
          <w:sz w:val="32"/>
          <w:szCs w:val="32"/>
          <w:lang w:val="en-US" w:eastAsia="zh-CN"/>
        </w:rPr>
        <w:t>2008年开展建设了</w:t>
      </w:r>
      <w:r>
        <w:rPr>
          <w:rFonts w:hint="eastAsia" w:ascii="仿宋_GB2312" w:hAnsi="Times New Roman" w:eastAsia="仿宋_GB2312" w:cs="Times New Roman"/>
          <w:kern w:val="0"/>
          <w:sz w:val="32"/>
          <w:szCs w:val="32"/>
        </w:rPr>
        <w:t>北京市信访综合办公系统和北京市信访办业务系统，上述系统依托北京市政务内网、政务外网，和区县、委办局、乡镇街道等基层单位实现了互联互通，使信访业务办理实现了网上流转，日常办公实现了自动化，同时依托互联网，为全市群众提供网上诉求及诉求办理反馈渠道。为了保障系统正常稳定运行，方便信访工作人员使用，根据系统开发建设和运行维护需要，自系统建成第三至四年起，</w:t>
      </w:r>
      <w:r>
        <w:rPr>
          <w:rFonts w:hint="eastAsia" w:ascii="仿宋_GB2312" w:hAnsi="Times New Roman" w:eastAsia="仿宋_GB2312" w:cs="Times New Roman"/>
          <w:kern w:val="0"/>
          <w:sz w:val="32"/>
          <w:szCs w:val="32"/>
          <w:lang w:eastAsia="zh-CN"/>
        </w:rPr>
        <w:t>北京市信访办公室</w:t>
      </w:r>
      <w:r>
        <w:rPr>
          <w:rFonts w:hint="eastAsia" w:ascii="仿宋_GB2312" w:hAnsi="Times New Roman" w:eastAsia="仿宋_GB2312" w:cs="Times New Roman"/>
          <w:kern w:val="0"/>
          <w:sz w:val="32"/>
          <w:szCs w:val="32"/>
        </w:rPr>
        <w:t>聘请专业的运维公司对上述系统提供运维服务。于2016年对互联网运维工作进行了整合，聘请了专门的运维公司对信访办网站巡检及维护，网站安全监测及重点时期保障。</w:t>
      </w:r>
    </w:p>
    <w:p>
      <w:pPr>
        <w:spacing w:line="360" w:lineRule="auto"/>
        <w:ind w:firstLine="640"/>
        <w:rPr>
          <w:rFonts w:hint="eastAsia"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2017年，按照国家信访局向全国各省市信访机构下发《国家信访局关于建设国家信访局视频信访系统有关事宜的通知》（国信发</w:t>
      </w:r>
      <w:r>
        <w:rPr>
          <w:rFonts w:hint="eastAsia" w:ascii="仿宋" w:hAnsi="仿宋" w:eastAsia="仿宋" w:cs="仿宋"/>
          <w:sz w:val="32"/>
          <w:szCs w:val="32"/>
          <w:lang w:bidi="ar"/>
        </w:rPr>
        <w:t>〔20</w:t>
      </w:r>
      <w:r>
        <w:rPr>
          <w:rFonts w:hint="eastAsia" w:ascii="仿宋" w:hAnsi="仿宋" w:eastAsia="仿宋" w:cs="仿宋"/>
          <w:sz w:val="32"/>
          <w:szCs w:val="32"/>
          <w:lang w:val="en-US" w:eastAsia="zh-CN" w:bidi="ar"/>
        </w:rPr>
        <w:t>17</w:t>
      </w:r>
      <w:r>
        <w:rPr>
          <w:rFonts w:hint="eastAsia" w:ascii="仿宋" w:hAnsi="仿宋" w:eastAsia="仿宋" w:cs="仿宋"/>
          <w:sz w:val="32"/>
          <w:szCs w:val="32"/>
          <w:lang w:bidi="ar"/>
        </w:rPr>
        <w:t>〕</w:t>
      </w:r>
      <w:r>
        <w:rPr>
          <w:rFonts w:hint="eastAsia" w:ascii="仿宋_GB2312" w:hAnsi="Times New Roman" w:eastAsia="仿宋_GB2312" w:cs="Times New Roman"/>
          <w:kern w:val="0"/>
          <w:sz w:val="32"/>
          <w:szCs w:val="32"/>
        </w:rPr>
        <w:t>1号）要求，</w:t>
      </w:r>
      <w:r>
        <w:rPr>
          <w:rFonts w:hint="eastAsia" w:ascii="仿宋_GB2312" w:hAnsi="Times New Roman" w:eastAsia="仿宋_GB2312" w:cs="Times New Roman"/>
          <w:kern w:val="0"/>
          <w:sz w:val="32"/>
          <w:szCs w:val="32"/>
          <w:lang w:eastAsia="zh-CN"/>
        </w:rPr>
        <w:t>市信访办</w:t>
      </w:r>
      <w:r>
        <w:rPr>
          <w:rFonts w:hint="eastAsia" w:ascii="仿宋_GB2312" w:hAnsi="Times New Roman" w:eastAsia="仿宋_GB2312" w:cs="Times New Roman"/>
          <w:kern w:val="0"/>
          <w:sz w:val="32"/>
          <w:szCs w:val="32"/>
        </w:rPr>
        <w:t>搭建了北京市视频信访系，实现了与国家信访局、十六区信访办的视频信访互联互通。于2017年下半年对政务网信息系统运维工作进行整合，将原全国信访信息系统运维项目、信访办业务系统运维项目、北京信访综合办公系统运维项目等三个运维项目重新规划、整合，形成北京市信访办政务网运维项目。</w:t>
      </w:r>
    </w:p>
    <w:p>
      <w:pPr>
        <w:spacing w:line="360" w:lineRule="auto"/>
        <w:ind w:firstLine="640"/>
        <w:rPr>
          <w:rFonts w:hint="eastAsia"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2018年下半年，因</w:t>
      </w:r>
      <w:r>
        <w:rPr>
          <w:rFonts w:hint="eastAsia" w:ascii="仿宋_GB2312" w:hAnsi="Times New Roman" w:eastAsia="仿宋_GB2312" w:cs="Times New Roman"/>
          <w:kern w:val="0"/>
          <w:sz w:val="32"/>
          <w:szCs w:val="32"/>
          <w:lang w:val="en-US" w:eastAsia="zh-CN"/>
        </w:rPr>
        <w:t>市信访办</w:t>
      </w:r>
      <w:r>
        <w:rPr>
          <w:rFonts w:hint="eastAsia" w:ascii="仿宋_GB2312" w:hAnsi="Times New Roman" w:eastAsia="仿宋_GB2312" w:cs="Times New Roman"/>
          <w:kern w:val="0"/>
          <w:sz w:val="32"/>
          <w:szCs w:val="32"/>
        </w:rPr>
        <w:t>搬迁至六里桥办公区(后迁至通州城市副中心)，按照实际工作需求对2018年下半年政务网系统运维进行了调整，项目名称变更“2018年下半年信访诉求工作平台运维服务项目”。</w:t>
      </w:r>
      <w:r>
        <w:rPr>
          <w:rFonts w:hint="eastAsia" w:ascii="仿宋_GB2312" w:hAnsi="Times New Roman" w:eastAsia="仿宋_GB2312" w:cs="Times New Roman"/>
          <w:kern w:val="0"/>
          <w:sz w:val="32"/>
          <w:szCs w:val="32"/>
          <w:lang w:val="en-US" w:eastAsia="zh-CN"/>
        </w:rPr>
        <w:t>同时，</w:t>
      </w:r>
      <w:r>
        <w:rPr>
          <w:rFonts w:hint="eastAsia" w:ascii="仿宋_GB2312" w:hAnsi="Times New Roman" w:eastAsia="仿宋_GB2312" w:cs="Times New Roman"/>
          <w:kern w:val="0"/>
          <w:sz w:val="32"/>
          <w:szCs w:val="32"/>
        </w:rPr>
        <w:t>为了保障</w:t>
      </w:r>
      <w:r>
        <w:rPr>
          <w:rFonts w:hint="eastAsia" w:ascii="仿宋_GB2312" w:hAnsi="Times New Roman" w:eastAsia="仿宋_GB2312" w:cs="Times New Roman"/>
          <w:kern w:val="0"/>
          <w:sz w:val="32"/>
          <w:szCs w:val="32"/>
          <w:lang w:eastAsia="zh-CN"/>
        </w:rPr>
        <w:t>市信访办</w:t>
      </w:r>
      <w:r>
        <w:rPr>
          <w:rFonts w:hint="eastAsia" w:ascii="仿宋_GB2312" w:hAnsi="Times New Roman" w:eastAsia="仿宋_GB2312" w:cs="Times New Roman"/>
          <w:kern w:val="0"/>
          <w:sz w:val="32"/>
          <w:szCs w:val="32"/>
        </w:rPr>
        <w:t>信访来访接待业务的安全有序，维护来访群众和信访工作人员人身安全，</w:t>
      </w:r>
      <w:r>
        <w:rPr>
          <w:rFonts w:hint="eastAsia" w:ascii="仿宋_GB2312" w:hAnsi="Times New Roman" w:eastAsia="仿宋_GB2312" w:cs="Times New Roman"/>
          <w:kern w:val="0"/>
          <w:sz w:val="32"/>
          <w:szCs w:val="32"/>
          <w:lang w:eastAsia="zh-CN"/>
        </w:rPr>
        <w:t>市信访办</w:t>
      </w:r>
      <w:r>
        <w:rPr>
          <w:rFonts w:hint="eastAsia" w:ascii="仿宋_GB2312" w:hAnsi="Times New Roman" w:eastAsia="仿宋_GB2312" w:cs="Times New Roman"/>
          <w:kern w:val="0"/>
          <w:sz w:val="32"/>
          <w:szCs w:val="32"/>
        </w:rPr>
        <w:t>来访接待场所（通州城市副中心、六里桥中心城区来访接待场所）建设了安防系统，该系统包括来访接待大厅的集音监控系统、安检设备、视频监控系统。</w:t>
      </w:r>
    </w:p>
    <w:p>
      <w:pPr>
        <w:spacing w:line="360" w:lineRule="auto"/>
        <w:ind w:firstLine="640"/>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2022年，</w:t>
      </w:r>
      <w:r>
        <w:rPr>
          <w:rFonts w:hint="eastAsia" w:ascii="仿宋_GB2312" w:hAnsi="Times New Roman" w:eastAsia="仿宋_GB2312" w:cs="Times New Roman"/>
          <w:kern w:val="0"/>
          <w:sz w:val="32"/>
          <w:szCs w:val="32"/>
          <w:lang w:val="en-US" w:eastAsia="zh-CN"/>
        </w:rPr>
        <w:t>北京市信访办为保障</w:t>
      </w:r>
      <w:r>
        <w:rPr>
          <w:rFonts w:hint="eastAsia" w:ascii="仿宋_GB2312" w:hAnsi="Times New Roman" w:eastAsia="仿宋_GB2312" w:cs="Times New Roman"/>
          <w:kern w:val="0"/>
          <w:sz w:val="32"/>
          <w:szCs w:val="32"/>
        </w:rPr>
        <w:t>信访办网站、北京市信访矛盾分析研究中心门户网站工作平台</w:t>
      </w:r>
      <w:r>
        <w:rPr>
          <w:rFonts w:hint="eastAsia" w:ascii="仿宋_GB2312" w:hAnsi="Times New Roman" w:eastAsia="仿宋_GB2312" w:cs="Times New Roman"/>
          <w:kern w:val="0"/>
          <w:sz w:val="32"/>
          <w:szCs w:val="32"/>
          <w:lang w:val="en-US" w:eastAsia="zh-CN"/>
        </w:rPr>
        <w:t>等系统正常运转，申请2022年度信息系统运维类项目。同时，</w:t>
      </w:r>
      <w:r>
        <w:rPr>
          <w:rFonts w:hint="eastAsia" w:ascii="仿宋_GB2312" w:hAnsi="Times New Roman" w:eastAsia="仿宋_GB2312" w:cs="Times New Roman"/>
          <w:kern w:val="0"/>
          <w:sz w:val="32"/>
          <w:szCs w:val="32"/>
        </w:rPr>
        <w:t>按照北京市关于信息系统上云的工作要求，</w:t>
      </w:r>
      <w:r>
        <w:rPr>
          <w:rFonts w:hint="eastAsia" w:ascii="仿宋_GB2312" w:hAnsi="Times New Roman" w:eastAsia="仿宋_GB2312" w:cs="Times New Roman"/>
          <w:kern w:val="0"/>
          <w:sz w:val="32"/>
          <w:szCs w:val="32"/>
          <w:lang w:val="en-US" w:eastAsia="zh-CN"/>
        </w:rPr>
        <w:t>市信访办</w:t>
      </w:r>
      <w:r>
        <w:rPr>
          <w:rFonts w:hint="eastAsia" w:ascii="仿宋_GB2312" w:hAnsi="Times New Roman" w:eastAsia="仿宋_GB2312" w:cs="Times New Roman"/>
          <w:kern w:val="0"/>
          <w:sz w:val="32"/>
          <w:szCs w:val="32"/>
        </w:rPr>
        <w:t>将网站迁移上云</w:t>
      </w:r>
      <w:r>
        <w:rPr>
          <w:rFonts w:hint="eastAsia" w:ascii="仿宋_GB2312" w:hAnsi="Times New Roman" w:eastAsia="仿宋_GB2312" w:cs="Times New Roman"/>
          <w:kern w:val="0"/>
          <w:sz w:val="32"/>
          <w:szCs w:val="32"/>
          <w:lang w:eastAsia="zh-CN"/>
        </w:rPr>
        <w:t>。</w:t>
      </w:r>
      <w:r>
        <w:rPr>
          <w:rFonts w:hint="eastAsia" w:ascii="仿宋_GB2312" w:hAnsi="Times New Roman" w:eastAsia="仿宋_GB2312" w:cs="Times New Roman"/>
          <w:kern w:val="0"/>
          <w:sz w:val="32"/>
          <w:szCs w:val="32"/>
        </w:rPr>
        <w:t>同时按照</w:t>
      </w:r>
      <w:r>
        <w:rPr>
          <w:rFonts w:hint="eastAsia" w:ascii="仿宋_GB2312" w:hAnsi="Times New Roman" w:eastAsia="仿宋_GB2312" w:cs="Times New Roman"/>
          <w:kern w:val="0"/>
          <w:sz w:val="32"/>
          <w:szCs w:val="32"/>
          <w:lang w:val="en-US" w:eastAsia="zh-CN"/>
        </w:rPr>
        <w:t>北京</w:t>
      </w:r>
      <w:r>
        <w:rPr>
          <w:rFonts w:hint="eastAsia" w:ascii="仿宋_GB2312" w:hAnsi="Times New Roman" w:eastAsia="仿宋_GB2312" w:cs="Times New Roman"/>
          <w:kern w:val="0"/>
          <w:sz w:val="32"/>
          <w:szCs w:val="32"/>
        </w:rPr>
        <w:t>市经信局、</w:t>
      </w:r>
      <w:r>
        <w:rPr>
          <w:rFonts w:hint="eastAsia" w:ascii="仿宋_GB2312" w:hAnsi="Times New Roman" w:eastAsia="仿宋_GB2312" w:cs="Times New Roman"/>
          <w:kern w:val="0"/>
          <w:sz w:val="32"/>
          <w:szCs w:val="32"/>
          <w:lang w:val="en-US" w:eastAsia="zh-CN"/>
        </w:rPr>
        <w:t>北京</w:t>
      </w:r>
      <w:r>
        <w:rPr>
          <w:rFonts w:hint="eastAsia" w:ascii="仿宋_GB2312" w:hAnsi="Times New Roman" w:eastAsia="仿宋_GB2312" w:cs="Times New Roman"/>
          <w:kern w:val="0"/>
          <w:sz w:val="32"/>
          <w:szCs w:val="32"/>
        </w:rPr>
        <w:t>市财政局采购要求，将原运维工作拆分为互联网运维服务</w:t>
      </w:r>
      <w:r>
        <w:rPr>
          <w:rFonts w:hint="eastAsia" w:ascii="仿宋_GB2312" w:hAnsi="Times New Roman" w:eastAsia="仿宋_GB2312" w:cs="Times New Roman"/>
          <w:kern w:val="0"/>
          <w:sz w:val="32"/>
          <w:szCs w:val="32"/>
          <w:lang w:val="en-US" w:eastAsia="zh-CN"/>
        </w:rPr>
        <w:t>与</w:t>
      </w:r>
      <w:r>
        <w:rPr>
          <w:rFonts w:hint="eastAsia" w:ascii="仿宋_GB2312" w:hAnsi="Times New Roman" w:eastAsia="仿宋_GB2312" w:cs="Times New Roman"/>
          <w:kern w:val="0"/>
          <w:sz w:val="32"/>
          <w:szCs w:val="32"/>
        </w:rPr>
        <w:t>云技术服务两项工作。</w:t>
      </w:r>
    </w:p>
    <w:p>
      <w:pPr>
        <w:keepNext/>
        <w:keepLines/>
        <w:spacing w:line="360" w:lineRule="auto"/>
        <w:ind w:firstLine="640" w:firstLineChars="200"/>
        <w:jc w:val="left"/>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2.主要内容</w:t>
      </w:r>
    </w:p>
    <w:p>
      <w:pPr>
        <w:keepNext/>
        <w:keepLines/>
        <w:spacing w:line="360" w:lineRule="auto"/>
        <w:ind w:firstLine="640" w:firstLineChars="200"/>
        <w:jc w:val="left"/>
        <w:rPr>
          <w:rFonts w:hint="eastAsia" w:ascii="仿宋_GB2312" w:hAnsi="Times New Roman" w:eastAsia="仿宋_GB2312" w:cs="Times New Roman"/>
          <w:kern w:val="0"/>
          <w:sz w:val="32"/>
          <w:szCs w:val="32"/>
          <w:lang w:eastAsia="zh-CN"/>
        </w:rPr>
      </w:pPr>
      <w:r>
        <w:rPr>
          <w:rFonts w:hint="eastAsia" w:ascii="仿宋_GB2312" w:hAnsi="Times New Roman" w:eastAsia="仿宋_GB2312" w:cs="Times New Roman"/>
          <w:kern w:val="0"/>
          <w:sz w:val="32"/>
          <w:szCs w:val="32"/>
        </w:rPr>
        <w:t>该项目</w:t>
      </w:r>
      <w:r>
        <w:rPr>
          <w:rFonts w:hint="eastAsia" w:ascii="仿宋_GB2312" w:hAnsi="Times New Roman" w:eastAsia="仿宋_GB2312" w:cs="Times New Roman"/>
          <w:kern w:val="0"/>
          <w:sz w:val="32"/>
          <w:szCs w:val="32"/>
          <w:lang w:val="en-US" w:eastAsia="zh-CN"/>
        </w:rPr>
        <w:t>主要内容为对“互联网”“大数据系统”“安防系统”“视频信访系统”等进行系统运维，保障系统安全稳定运行</w:t>
      </w:r>
      <w:r>
        <w:rPr>
          <w:rFonts w:hint="eastAsia" w:ascii="仿宋_GB2312" w:hAnsi="Times New Roman" w:eastAsia="仿宋_GB2312" w:cs="Times New Roman"/>
          <w:kern w:val="0"/>
          <w:sz w:val="32"/>
          <w:szCs w:val="32"/>
          <w:lang w:eastAsia="zh-CN"/>
        </w:rPr>
        <w:t>。</w:t>
      </w:r>
    </w:p>
    <w:p>
      <w:pPr>
        <w:keepNext/>
        <w:keepLines/>
        <w:spacing w:line="360" w:lineRule="auto"/>
        <w:ind w:firstLine="640" w:firstLineChars="200"/>
        <w:jc w:val="left"/>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3.资金投入和使用情况</w:t>
      </w:r>
    </w:p>
    <w:p>
      <w:pPr>
        <w:spacing w:line="360" w:lineRule="auto"/>
        <w:ind w:firstLine="640"/>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lang w:eastAsia="zh-CN"/>
        </w:rPr>
        <w:t>市信访办</w:t>
      </w:r>
      <w:r>
        <w:rPr>
          <w:rFonts w:hint="eastAsia" w:ascii="仿宋_GB2312" w:hAnsi="Times New Roman" w:eastAsia="仿宋_GB2312" w:cs="Times New Roman"/>
          <w:kern w:val="0"/>
          <w:sz w:val="32"/>
          <w:szCs w:val="32"/>
        </w:rPr>
        <w:t>组织对项目总投入进行了预算评审，评审金额为</w:t>
      </w:r>
      <w:r>
        <w:rPr>
          <w:rFonts w:hint="eastAsia" w:ascii="仿宋_GB2312" w:hAnsi="Times New Roman" w:eastAsia="仿宋_GB2312" w:cs="Times New Roman"/>
          <w:kern w:val="0"/>
          <w:sz w:val="32"/>
          <w:szCs w:val="32"/>
          <w:lang w:val="en-US" w:eastAsia="zh-CN"/>
        </w:rPr>
        <w:t>513.01</w:t>
      </w:r>
      <w:r>
        <w:rPr>
          <w:rFonts w:hint="eastAsia" w:ascii="仿宋_GB2312" w:hAnsi="Times New Roman" w:eastAsia="仿宋_GB2312" w:cs="Times New Roman"/>
          <w:kern w:val="0"/>
          <w:sz w:val="32"/>
          <w:szCs w:val="32"/>
        </w:rPr>
        <w:t>万元。按评审金额向市财政局申请资金，市财政局全额批复</w:t>
      </w:r>
      <w:r>
        <w:rPr>
          <w:rFonts w:hint="eastAsia" w:ascii="仿宋_GB2312" w:hAnsi="Times New Roman" w:eastAsia="仿宋_GB2312" w:cs="Times New Roman"/>
          <w:kern w:val="0"/>
          <w:sz w:val="32"/>
          <w:szCs w:val="32"/>
          <w:lang w:val="en-US" w:eastAsia="zh-CN"/>
        </w:rPr>
        <w:t>513.01</w:t>
      </w:r>
      <w:r>
        <w:rPr>
          <w:rFonts w:hint="eastAsia" w:ascii="仿宋_GB2312" w:hAnsi="Times New Roman" w:eastAsia="仿宋_GB2312" w:cs="Times New Roman"/>
          <w:kern w:val="0"/>
          <w:sz w:val="32"/>
          <w:szCs w:val="32"/>
        </w:rPr>
        <w:t>万元。</w:t>
      </w:r>
      <w:r>
        <w:rPr>
          <w:rFonts w:ascii="仿宋_GB2312" w:hAnsi="Times New Roman" w:eastAsia="仿宋_GB2312" w:cs="Times New Roman"/>
          <w:kern w:val="0"/>
          <w:sz w:val="32"/>
          <w:szCs w:val="32"/>
        </w:rPr>
        <w:t>截</w:t>
      </w:r>
      <w:r>
        <w:rPr>
          <w:rFonts w:hint="eastAsia" w:ascii="仿宋_GB2312" w:hAnsi="Times New Roman" w:eastAsia="仿宋_GB2312" w:cs="Times New Roman"/>
          <w:kern w:val="0"/>
          <w:sz w:val="32"/>
          <w:szCs w:val="32"/>
        </w:rPr>
        <w:t>至202</w:t>
      </w:r>
      <w:r>
        <w:rPr>
          <w:rFonts w:hint="eastAsia" w:ascii="仿宋_GB2312" w:hAnsi="Times New Roman" w:eastAsia="仿宋_GB2312" w:cs="Times New Roman"/>
          <w:kern w:val="0"/>
          <w:sz w:val="32"/>
          <w:szCs w:val="32"/>
          <w:lang w:val="en-US" w:eastAsia="zh-CN"/>
        </w:rPr>
        <w:t>2</w:t>
      </w:r>
      <w:r>
        <w:rPr>
          <w:rFonts w:hint="eastAsia" w:ascii="仿宋_GB2312" w:hAnsi="Times New Roman" w:eastAsia="仿宋_GB2312" w:cs="Times New Roman"/>
          <w:kern w:val="0"/>
          <w:sz w:val="32"/>
          <w:szCs w:val="32"/>
        </w:rPr>
        <w:t>年12月底，项目实际使用资金504.79万元，结余8.21万元，已</w:t>
      </w:r>
      <w:r>
        <w:rPr>
          <w:rFonts w:hint="eastAsia" w:ascii="仿宋_GB2312" w:hAnsi="Times New Roman" w:eastAsia="仿宋_GB2312" w:cs="Times New Roman"/>
          <w:kern w:val="0"/>
          <w:sz w:val="32"/>
          <w:szCs w:val="32"/>
          <w:lang w:val="en-US" w:eastAsia="zh-CN"/>
        </w:rPr>
        <w:t>退回</w:t>
      </w:r>
      <w:r>
        <w:rPr>
          <w:rFonts w:hint="eastAsia" w:ascii="仿宋_GB2312" w:hAnsi="Times New Roman" w:eastAsia="仿宋_GB2312" w:cs="Times New Roman"/>
          <w:kern w:val="0"/>
          <w:sz w:val="32"/>
          <w:szCs w:val="32"/>
        </w:rPr>
        <w:t>财政。</w:t>
      </w:r>
    </w:p>
    <w:p>
      <w:pPr>
        <w:spacing w:line="360" w:lineRule="auto"/>
        <w:ind w:firstLine="640"/>
        <w:rPr>
          <w:rFonts w:hint="eastAsia" w:ascii="仿宋_GB2312" w:hAnsi="Times New Roman" w:eastAsia="仿宋_GB2312" w:cs="Times New Roman"/>
          <w:kern w:val="0"/>
          <w:sz w:val="32"/>
          <w:szCs w:val="32"/>
          <w:lang w:eastAsia="zh-CN"/>
        </w:rPr>
      </w:pPr>
      <w:r>
        <w:rPr>
          <w:rFonts w:hint="eastAsia" w:ascii="仿宋_GB2312" w:hAnsi="Times New Roman" w:eastAsia="仿宋_GB2312" w:cs="Times New Roman"/>
          <w:kern w:val="0"/>
          <w:sz w:val="32"/>
          <w:szCs w:val="32"/>
          <w:lang w:eastAsia="zh-CN"/>
        </w:rPr>
        <w:t>项目资金严格按照市信访办制定的《北京市信访办公室财务管理制度》和《</w:t>
      </w:r>
      <w:r>
        <w:rPr>
          <w:rFonts w:hint="eastAsia" w:ascii="仿宋_GB2312" w:hAnsi="Times New Roman" w:eastAsia="仿宋_GB2312" w:cs="Times New Roman"/>
          <w:kern w:val="0"/>
          <w:sz w:val="32"/>
          <w:szCs w:val="32"/>
          <w:lang w:val="en-US" w:eastAsia="zh-CN"/>
        </w:rPr>
        <w:t>北京</w:t>
      </w:r>
      <w:r>
        <w:rPr>
          <w:rFonts w:hint="eastAsia" w:ascii="仿宋_GB2312" w:hAnsi="Times New Roman" w:eastAsia="仿宋_GB2312" w:cs="Times New Roman"/>
          <w:kern w:val="0"/>
          <w:sz w:val="32"/>
          <w:szCs w:val="32"/>
          <w:lang w:eastAsia="zh-CN"/>
        </w:rPr>
        <w:t>市委办公厅财务管理制度》</w:t>
      </w:r>
      <w:r>
        <w:rPr>
          <w:rFonts w:hint="eastAsia" w:ascii="仿宋_GB2312" w:hAnsi="Times New Roman" w:eastAsia="仿宋_GB2312" w:cs="Times New Roman"/>
          <w:kern w:val="0"/>
          <w:sz w:val="32"/>
          <w:szCs w:val="32"/>
          <w:lang w:val="en-US" w:eastAsia="zh-CN"/>
        </w:rPr>
        <w:t>等文件</w:t>
      </w:r>
      <w:r>
        <w:rPr>
          <w:rFonts w:hint="eastAsia" w:ascii="仿宋_GB2312" w:hAnsi="Times New Roman" w:eastAsia="仿宋_GB2312" w:cs="Times New Roman"/>
          <w:kern w:val="0"/>
          <w:sz w:val="32"/>
          <w:szCs w:val="32"/>
          <w:lang w:eastAsia="zh-CN"/>
        </w:rPr>
        <w:t>规定执行，通过履行公开招标程序，确定服务商，并在规定时间内签订合同。项目资金按预算批复规模和方向、按审批权限和审批程序审批后使用，独立核算，专款专用，确保了项目资金使用的安全性和资金管理的规范性。</w:t>
      </w:r>
    </w:p>
    <w:p>
      <w:pPr>
        <w:pStyle w:val="3"/>
        <w:ind w:firstLine="640"/>
        <w:rPr>
          <w:rFonts w:ascii="楷体" w:hAnsi="楷体" w:eastAsia="楷体"/>
          <w:b w:val="0"/>
        </w:rPr>
      </w:pPr>
      <w:bookmarkStart w:id="4" w:name="_Toc102746350"/>
      <w:r>
        <w:rPr>
          <w:rFonts w:hint="eastAsia" w:ascii="楷体" w:hAnsi="楷体" w:eastAsia="楷体"/>
          <w:b w:val="0"/>
        </w:rPr>
        <w:t>（二）项目绩效目标</w:t>
      </w:r>
      <w:bookmarkEnd w:id="4"/>
    </w:p>
    <w:p>
      <w:pPr>
        <w:spacing w:line="360" w:lineRule="auto"/>
        <w:ind w:firstLine="640"/>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lang w:eastAsia="zh-CN"/>
        </w:rPr>
        <w:t>市信访办</w:t>
      </w:r>
      <w:r>
        <w:rPr>
          <w:rFonts w:hint="eastAsia" w:ascii="仿宋_GB2312" w:hAnsi="Times New Roman" w:eastAsia="仿宋_GB2312" w:cs="Times New Roman"/>
          <w:kern w:val="0"/>
          <w:sz w:val="32"/>
          <w:szCs w:val="32"/>
        </w:rPr>
        <w:t>按照财政要求设定了项目的预期绩效目标，具体如下：</w:t>
      </w:r>
    </w:p>
    <w:p>
      <w:pPr>
        <w:pStyle w:val="4"/>
        <w:spacing w:line="360" w:lineRule="auto"/>
        <w:ind w:firstLine="640"/>
        <w:rPr>
          <w:rFonts w:ascii="仿宋_GB2312"/>
          <w:color w:val="000000"/>
          <w:kern w:val="0"/>
          <w:sz w:val="32"/>
          <w:szCs w:val="32"/>
        </w:rPr>
      </w:pPr>
      <w:r>
        <w:rPr>
          <w:rFonts w:hint="eastAsia" w:ascii="仿宋_GB2312"/>
          <w:color w:val="000000"/>
          <w:kern w:val="0"/>
          <w:sz w:val="32"/>
          <w:szCs w:val="32"/>
        </w:rPr>
        <w:t>1.总体目标</w:t>
      </w:r>
    </w:p>
    <w:p>
      <w:pPr>
        <w:spacing w:line="360" w:lineRule="auto"/>
        <w:ind w:firstLine="640"/>
        <w:rPr>
          <w:rFonts w:hint="eastAsia" w:ascii="仿宋_GB2312" w:hAnsi="Times New Roman" w:eastAsia="仿宋_GB2312" w:cs="Times New Roman"/>
          <w:kern w:val="0"/>
          <w:sz w:val="32"/>
          <w:szCs w:val="32"/>
          <w:lang w:val="en-US" w:eastAsia="zh-CN"/>
        </w:rPr>
      </w:pPr>
      <w:r>
        <w:rPr>
          <w:rFonts w:hint="eastAsia" w:ascii="仿宋_GB2312" w:hAnsi="Times New Roman" w:eastAsia="仿宋_GB2312" w:cs="Times New Roman"/>
          <w:kern w:val="0"/>
          <w:sz w:val="32"/>
          <w:szCs w:val="32"/>
          <w:lang w:val="en-US" w:eastAsia="zh-CN"/>
        </w:rPr>
        <w:t>一是（1）完成信息系统性能优化、设备托管及线路租用等工作</w:t>
      </w:r>
      <w:r>
        <w:rPr>
          <w:rFonts w:hint="eastAsia" w:ascii="仿宋_GB2312" w:hAnsi="Times New Roman" w:eastAsia="仿宋_GB2312" w:cs="Times New Roman"/>
          <w:kern w:val="0"/>
          <w:sz w:val="32"/>
          <w:szCs w:val="32"/>
        </w:rPr>
        <w:t>。</w:t>
      </w:r>
      <w:r>
        <w:rPr>
          <w:rFonts w:hint="eastAsia" w:ascii="仿宋_GB2312" w:hAnsi="Times New Roman" w:eastAsia="仿宋_GB2312" w:cs="Times New Roman"/>
          <w:kern w:val="0"/>
          <w:sz w:val="32"/>
          <w:szCs w:val="32"/>
          <w:lang w:eastAsia="zh-CN"/>
        </w:rPr>
        <w:t>（</w:t>
      </w:r>
      <w:r>
        <w:rPr>
          <w:rFonts w:hint="eastAsia" w:ascii="仿宋_GB2312" w:hAnsi="Times New Roman" w:eastAsia="仿宋_GB2312" w:cs="Times New Roman"/>
          <w:kern w:val="0"/>
          <w:sz w:val="32"/>
          <w:szCs w:val="32"/>
          <w:lang w:val="en-US" w:eastAsia="zh-CN"/>
        </w:rPr>
        <w:t>2</w:t>
      </w:r>
      <w:r>
        <w:rPr>
          <w:rFonts w:hint="eastAsia" w:ascii="仿宋_GB2312" w:hAnsi="Times New Roman" w:eastAsia="仿宋_GB2312" w:cs="Times New Roman"/>
          <w:kern w:val="0"/>
          <w:sz w:val="32"/>
          <w:szCs w:val="32"/>
          <w:lang w:eastAsia="zh-CN"/>
        </w:rPr>
        <w:t>）</w:t>
      </w:r>
      <w:r>
        <w:rPr>
          <w:rFonts w:hint="eastAsia" w:ascii="仿宋_GB2312" w:hAnsi="Times New Roman" w:eastAsia="仿宋_GB2312" w:cs="Times New Roman"/>
          <w:kern w:val="0"/>
          <w:sz w:val="32"/>
          <w:szCs w:val="32"/>
          <w:lang w:val="en-US" w:eastAsia="zh-CN"/>
        </w:rPr>
        <w:t>保障项目基础设施、软件、硬件正常运转，为业务开展提供支撑。（3）提高工作效率，保障信息系统安全，为信息系统安全、稳定运行提供保障。</w:t>
      </w:r>
    </w:p>
    <w:p>
      <w:pPr>
        <w:spacing w:line="360" w:lineRule="auto"/>
        <w:ind w:firstLine="640"/>
        <w:rPr>
          <w:rFonts w:hint="eastAsia" w:ascii="仿宋_GB2312" w:hAnsi="Times New Roman" w:eastAsia="仿宋_GB2312" w:cs="Times New Roman"/>
          <w:kern w:val="0"/>
          <w:sz w:val="32"/>
          <w:szCs w:val="32"/>
          <w:lang w:val="en-US" w:eastAsia="zh-CN"/>
        </w:rPr>
      </w:pPr>
      <w:r>
        <w:rPr>
          <w:rFonts w:hint="eastAsia" w:ascii="仿宋_GB2312" w:hAnsi="Times New Roman" w:eastAsia="仿宋_GB2312" w:cs="Times New Roman"/>
          <w:kern w:val="0"/>
          <w:sz w:val="32"/>
          <w:szCs w:val="32"/>
          <w:lang w:val="en-US" w:eastAsia="zh-CN"/>
        </w:rPr>
        <w:t>二是（1）对安防系统所含设备进行日常维护，定期对安防系统进行检测，确保安防系统安全、稳定运行。（2）系统出现故障及时响应，并排查故障原因，恢复系统运行。（3）提高安防工作效率，为维护接访场所正常秩序提供技术保障。</w:t>
      </w:r>
    </w:p>
    <w:p>
      <w:pPr>
        <w:spacing w:line="360" w:lineRule="auto"/>
        <w:ind w:firstLine="640"/>
        <w:rPr>
          <w:rFonts w:hint="default" w:ascii="仿宋_GB2312" w:hAnsi="Times New Roman" w:eastAsia="仿宋_GB2312" w:cs="Times New Roman"/>
          <w:kern w:val="0"/>
          <w:sz w:val="32"/>
          <w:szCs w:val="32"/>
          <w:lang w:val="en-US" w:eastAsia="zh-CN"/>
        </w:rPr>
      </w:pPr>
      <w:r>
        <w:rPr>
          <w:rFonts w:hint="eastAsia" w:ascii="仿宋_GB2312" w:hAnsi="Times New Roman" w:eastAsia="仿宋_GB2312" w:cs="Times New Roman"/>
          <w:kern w:val="0"/>
          <w:sz w:val="32"/>
          <w:szCs w:val="32"/>
          <w:lang w:val="en-US" w:eastAsia="zh-CN"/>
        </w:rPr>
        <w:t>三是保障视频会议技术服务工作的顺利开展。</w:t>
      </w:r>
    </w:p>
    <w:p>
      <w:pPr>
        <w:pStyle w:val="4"/>
        <w:spacing w:line="360" w:lineRule="auto"/>
        <w:ind w:firstLine="640"/>
        <w:rPr>
          <w:rFonts w:ascii="仿宋_GB2312"/>
          <w:kern w:val="0"/>
          <w:sz w:val="32"/>
          <w:szCs w:val="32"/>
        </w:rPr>
      </w:pPr>
      <w:r>
        <w:rPr>
          <w:rFonts w:hint="eastAsia" w:ascii="仿宋_GB2312"/>
          <w:kern w:val="0"/>
          <w:sz w:val="32"/>
          <w:szCs w:val="32"/>
        </w:rPr>
        <w:t>2.具体指标</w:t>
      </w:r>
    </w:p>
    <w:p>
      <w:pPr>
        <w:spacing w:line="360" w:lineRule="auto"/>
        <w:ind w:firstLine="640"/>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依据项目总体目标，结合各</w:t>
      </w:r>
      <w:r>
        <w:rPr>
          <w:rFonts w:hint="eastAsia" w:ascii="仿宋_GB2312" w:hAnsi="Times New Roman" w:eastAsia="仿宋_GB2312" w:cs="Times New Roman"/>
          <w:kern w:val="0"/>
          <w:sz w:val="32"/>
          <w:szCs w:val="32"/>
          <w:lang w:val="en-US" w:eastAsia="zh-CN"/>
        </w:rPr>
        <w:t>系统</w:t>
      </w:r>
      <w:r>
        <w:rPr>
          <w:rFonts w:hint="eastAsia" w:ascii="仿宋_GB2312" w:hAnsi="Times New Roman" w:eastAsia="仿宋_GB2312" w:cs="Times New Roman"/>
          <w:kern w:val="0"/>
          <w:sz w:val="32"/>
          <w:szCs w:val="32"/>
        </w:rPr>
        <w:t>预计要达到的产出和效果，设定了1</w:t>
      </w:r>
      <w:r>
        <w:rPr>
          <w:rFonts w:hint="eastAsia" w:ascii="仿宋_GB2312" w:hAnsi="Times New Roman" w:eastAsia="仿宋_GB2312" w:cs="Times New Roman"/>
          <w:kern w:val="0"/>
          <w:sz w:val="32"/>
          <w:szCs w:val="32"/>
          <w:lang w:val="en-US" w:eastAsia="zh-CN"/>
        </w:rPr>
        <w:t>2</w:t>
      </w:r>
      <w:r>
        <w:rPr>
          <w:rFonts w:hint="eastAsia" w:ascii="仿宋_GB2312" w:hAnsi="Times New Roman" w:eastAsia="仿宋_GB2312" w:cs="Times New Roman"/>
          <w:kern w:val="0"/>
          <w:sz w:val="32"/>
          <w:szCs w:val="32"/>
        </w:rPr>
        <w:t>项具体指标。具体指标设定如下表：</w:t>
      </w:r>
    </w:p>
    <w:p>
      <w:pPr>
        <w:spacing w:line="640" w:lineRule="exact"/>
        <w:ind w:firstLine="640"/>
        <w:jc w:val="center"/>
        <w:rPr>
          <w:rFonts w:ascii="仿宋_GB2312" w:hAnsi="仿宋"/>
          <w:b/>
          <w:sz w:val="32"/>
          <w:szCs w:val="32"/>
        </w:rPr>
      </w:pPr>
      <w:r>
        <w:rPr>
          <w:rFonts w:hint="eastAsia" w:ascii="仿宋" w:hAnsi="仿宋" w:eastAsia="仿宋" w:cs="仿宋"/>
          <w:b/>
          <w:sz w:val="32"/>
          <w:szCs w:val="32"/>
          <w:lang w:eastAsia="zh-CN"/>
        </w:rPr>
        <w:t>信息系统运维类项目</w:t>
      </w:r>
      <w:r>
        <w:rPr>
          <w:rFonts w:hint="eastAsia" w:ascii="仿宋" w:hAnsi="仿宋" w:eastAsia="仿宋" w:cs="仿宋"/>
          <w:b/>
          <w:sz w:val="32"/>
          <w:szCs w:val="32"/>
        </w:rPr>
        <w:t>绩效指标</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596"/>
        <w:gridCol w:w="4236"/>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287" w:type="dxa"/>
            <w:vAlign w:val="center"/>
          </w:tcPr>
          <w:p>
            <w:pPr>
              <w:widowControl/>
              <w:spacing w:line="240" w:lineRule="auto"/>
              <w:jc w:val="center"/>
              <w:rPr>
                <w:rFonts w:hint="eastAsia" w:ascii="宋体" w:hAnsi="宋体" w:eastAsia="宋体" w:cs="宋体"/>
                <w:b/>
                <w:kern w:val="0"/>
                <w:sz w:val="24"/>
                <w:szCs w:val="24"/>
              </w:rPr>
            </w:pPr>
            <w:r>
              <w:rPr>
                <w:rFonts w:hint="eastAsia" w:ascii="宋体" w:hAnsi="宋体" w:eastAsia="宋体" w:cs="宋体"/>
                <w:b/>
                <w:kern w:val="0"/>
                <w:sz w:val="24"/>
                <w:szCs w:val="24"/>
              </w:rPr>
              <w:t>一级指标</w:t>
            </w:r>
          </w:p>
        </w:tc>
        <w:tc>
          <w:tcPr>
            <w:tcW w:w="1596" w:type="dxa"/>
            <w:vAlign w:val="center"/>
          </w:tcPr>
          <w:p>
            <w:pPr>
              <w:widowControl/>
              <w:spacing w:line="240" w:lineRule="auto"/>
              <w:jc w:val="center"/>
              <w:rPr>
                <w:rFonts w:hint="eastAsia" w:ascii="宋体" w:hAnsi="宋体" w:eastAsia="宋体" w:cs="宋体"/>
                <w:b/>
                <w:kern w:val="0"/>
                <w:sz w:val="24"/>
                <w:szCs w:val="24"/>
              </w:rPr>
            </w:pPr>
            <w:r>
              <w:rPr>
                <w:rFonts w:hint="eastAsia" w:ascii="宋体" w:hAnsi="宋体" w:eastAsia="宋体" w:cs="宋体"/>
                <w:b/>
                <w:kern w:val="0"/>
                <w:sz w:val="24"/>
                <w:szCs w:val="24"/>
              </w:rPr>
              <w:t>二级指标</w:t>
            </w:r>
          </w:p>
        </w:tc>
        <w:tc>
          <w:tcPr>
            <w:tcW w:w="4236" w:type="dxa"/>
            <w:vAlign w:val="center"/>
          </w:tcPr>
          <w:p>
            <w:pPr>
              <w:widowControl/>
              <w:spacing w:line="240" w:lineRule="auto"/>
              <w:jc w:val="center"/>
              <w:rPr>
                <w:rFonts w:hint="eastAsia" w:ascii="宋体" w:hAnsi="宋体" w:eastAsia="宋体" w:cs="宋体"/>
                <w:b/>
                <w:kern w:val="0"/>
                <w:sz w:val="24"/>
                <w:szCs w:val="24"/>
              </w:rPr>
            </w:pPr>
            <w:r>
              <w:rPr>
                <w:rFonts w:hint="eastAsia" w:ascii="宋体" w:hAnsi="宋体" w:eastAsia="宋体" w:cs="宋体"/>
                <w:b/>
                <w:kern w:val="0"/>
                <w:sz w:val="24"/>
                <w:szCs w:val="24"/>
              </w:rPr>
              <w:t>三级指标</w:t>
            </w:r>
          </w:p>
        </w:tc>
        <w:tc>
          <w:tcPr>
            <w:tcW w:w="1941" w:type="dxa"/>
            <w:vAlign w:val="center"/>
          </w:tcPr>
          <w:p>
            <w:pPr>
              <w:widowControl/>
              <w:spacing w:line="240" w:lineRule="auto"/>
              <w:jc w:val="center"/>
              <w:rPr>
                <w:rFonts w:hint="eastAsia" w:ascii="宋体" w:hAnsi="宋体" w:eastAsia="宋体" w:cs="宋体"/>
                <w:b/>
                <w:kern w:val="0"/>
                <w:sz w:val="24"/>
                <w:szCs w:val="24"/>
              </w:rPr>
            </w:pPr>
            <w:r>
              <w:rPr>
                <w:rFonts w:hint="eastAsia" w:ascii="宋体" w:hAnsi="宋体" w:eastAsia="宋体" w:cs="宋体"/>
                <w:b/>
                <w:kern w:val="0"/>
                <w:sz w:val="24"/>
                <w:szCs w:val="24"/>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87" w:type="dxa"/>
            <w:vMerge w:val="restart"/>
            <w:vAlign w:val="center"/>
          </w:tcPr>
          <w:p>
            <w:pPr>
              <w:widowControl/>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产出指标</w:t>
            </w:r>
          </w:p>
        </w:tc>
        <w:tc>
          <w:tcPr>
            <w:tcW w:w="1596" w:type="dxa"/>
            <w:vMerge w:val="restart"/>
            <w:vAlign w:val="center"/>
          </w:tcPr>
          <w:p>
            <w:pPr>
              <w:widowControl/>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数量指标</w:t>
            </w:r>
          </w:p>
        </w:tc>
        <w:tc>
          <w:tcPr>
            <w:tcW w:w="4236" w:type="dxa"/>
            <w:vAlign w:val="center"/>
          </w:tcPr>
          <w:p>
            <w:pPr>
              <w:widowControl/>
              <w:spacing w:line="360" w:lineRule="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信息系统维护数</w:t>
            </w:r>
          </w:p>
        </w:tc>
        <w:tc>
          <w:tcPr>
            <w:tcW w:w="1941" w:type="dxa"/>
            <w:vAlign w:val="center"/>
          </w:tcPr>
          <w:p>
            <w:pPr>
              <w:widowControl/>
              <w:spacing w:line="360" w:lineRule="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87" w:type="dxa"/>
            <w:vMerge w:val="continue"/>
          </w:tcPr>
          <w:p>
            <w:pPr>
              <w:widowControl/>
              <w:spacing w:line="360" w:lineRule="auto"/>
              <w:jc w:val="left"/>
              <w:rPr>
                <w:rFonts w:hint="eastAsia" w:ascii="宋体" w:hAnsi="宋体" w:eastAsia="宋体" w:cs="宋体"/>
                <w:kern w:val="0"/>
                <w:sz w:val="24"/>
                <w:szCs w:val="24"/>
              </w:rPr>
            </w:pPr>
          </w:p>
        </w:tc>
        <w:tc>
          <w:tcPr>
            <w:tcW w:w="1596" w:type="dxa"/>
            <w:vMerge w:val="continue"/>
            <w:vAlign w:val="center"/>
          </w:tcPr>
          <w:p>
            <w:pPr>
              <w:widowControl/>
              <w:spacing w:line="360" w:lineRule="auto"/>
              <w:jc w:val="center"/>
              <w:rPr>
                <w:rFonts w:hint="eastAsia" w:ascii="宋体" w:hAnsi="宋体" w:eastAsia="宋体" w:cs="宋体"/>
                <w:kern w:val="0"/>
                <w:sz w:val="24"/>
                <w:szCs w:val="24"/>
              </w:rPr>
            </w:pPr>
          </w:p>
        </w:tc>
        <w:tc>
          <w:tcPr>
            <w:tcW w:w="4236" w:type="dxa"/>
            <w:vAlign w:val="center"/>
          </w:tcPr>
          <w:p>
            <w:pPr>
              <w:widowControl/>
              <w:spacing w:line="360" w:lineRule="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安防系统维护数量</w:t>
            </w:r>
          </w:p>
        </w:tc>
        <w:tc>
          <w:tcPr>
            <w:tcW w:w="1941" w:type="dxa"/>
            <w:vAlign w:val="center"/>
          </w:tcPr>
          <w:p>
            <w:pPr>
              <w:widowControl/>
              <w:spacing w:line="360" w:lineRule="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87" w:type="dxa"/>
            <w:vMerge w:val="continue"/>
          </w:tcPr>
          <w:p>
            <w:pPr>
              <w:widowControl/>
              <w:spacing w:line="360" w:lineRule="auto"/>
              <w:jc w:val="left"/>
              <w:rPr>
                <w:rFonts w:hint="eastAsia" w:ascii="宋体" w:hAnsi="宋体" w:eastAsia="宋体" w:cs="宋体"/>
                <w:kern w:val="0"/>
                <w:sz w:val="24"/>
                <w:szCs w:val="24"/>
              </w:rPr>
            </w:pPr>
          </w:p>
        </w:tc>
        <w:tc>
          <w:tcPr>
            <w:tcW w:w="1596" w:type="dxa"/>
            <w:vMerge w:val="restart"/>
            <w:vAlign w:val="center"/>
          </w:tcPr>
          <w:p>
            <w:pPr>
              <w:widowControl/>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质量指标</w:t>
            </w:r>
          </w:p>
        </w:tc>
        <w:tc>
          <w:tcPr>
            <w:tcW w:w="4236" w:type="dxa"/>
            <w:vAlign w:val="center"/>
          </w:tcPr>
          <w:p>
            <w:pPr>
              <w:widowControl/>
              <w:spacing w:line="240" w:lineRule="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安防系统及信息系统运维，系统平均无故障时间</w:t>
            </w:r>
          </w:p>
        </w:tc>
        <w:tc>
          <w:tcPr>
            <w:tcW w:w="1941" w:type="dxa"/>
            <w:vAlign w:val="center"/>
          </w:tcPr>
          <w:p>
            <w:pPr>
              <w:widowControl/>
              <w:spacing w:line="240" w:lineRule="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87" w:type="dxa"/>
            <w:vMerge w:val="continue"/>
          </w:tcPr>
          <w:p>
            <w:pPr>
              <w:widowControl/>
              <w:spacing w:line="360" w:lineRule="auto"/>
              <w:jc w:val="left"/>
              <w:rPr>
                <w:rFonts w:hint="eastAsia" w:ascii="宋体" w:hAnsi="宋体" w:eastAsia="宋体" w:cs="宋体"/>
                <w:kern w:val="0"/>
                <w:sz w:val="24"/>
                <w:szCs w:val="24"/>
              </w:rPr>
            </w:pPr>
          </w:p>
        </w:tc>
        <w:tc>
          <w:tcPr>
            <w:tcW w:w="1596" w:type="dxa"/>
            <w:vMerge w:val="continue"/>
            <w:vAlign w:val="center"/>
          </w:tcPr>
          <w:p>
            <w:pPr>
              <w:widowControl/>
              <w:spacing w:line="360" w:lineRule="auto"/>
              <w:jc w:val="center"/>
              <w:rPr>
                <w:rFonts w:hint="eastAsia" w:ascii="宋体" w:hAnsi="宋体" w:eastAsia="宋体" w:cs="宋体"/>
                <w:kern w:val="0"/>
                <w:sz w:val="24"/>
                <w:szCs w:val="24"/>
              </w:rPr>
            </w:pPr>
          </w:p>
        </w:tc>
        <w:tc>
          <w:tcPr>
            <w:tcW w:w="4236" w:type="dxa"/>
            <w:vAlign w:val="center"/>
          </w:tcPr>
          <w:p>
            <w:pPr>
              <w:widowControl/>
              <w:spacing w:line="360" w:lineRule="auto"/>
              <w:rPr>
                <w:rFonts w:hint="eastAsia" w:ascii="宋体" w:hAnsi="宋体" w:eastAsia="宋体" w:cs="宋体"/>
                <w:kern w:val="0"/>
                <w:sz w:val="24"/>
                <w:szCs w:val="24"/>
                <w:lang w:val="en-US"/>
              </w:rPr>
            </w:pPr>
            <w:r>
              <w:rPr>
                <w:rFonts w:hint="eastAsia" w:ascii="宋体" w:hAnsi="宋体" w:eastAsia="宋体" w:cs="宋体"/>
                <w:kern w:val="0"/>
                <w:sz w:val="24"/>
                <w:szCs w:val="24"/>
                <w:lang w:val="en-US" w:eastAsia="zh-CN"/>
              </w:rPr>
              <w:t>安防系统及信息系统运维，故障响应率</w:t>
            </w:r>
          </w:p>
        </w:tc>
        <w:tc>
          <w:tcPr>
            <w:tcW w:w="1941" w:type="dxa"/>
            <w:vAlign w:val="center"/>
          </w:tcPr>
          <w:p>
            <w:pPr>
              <w:widowControl/>
              <w:spacing w:line="360" w:lineRule="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87" w:type="dxa"/>
            <w:vMerge w:val="continue"/>
          </w:tcPr>
          <w:p>
            <w:pPr>
              <w:widowControl/>
              <w:spacing w:line="360" w:lineRule="auto"/>
              <w:jc w:val="left"/>
              <w:rPr>
                <w:rFonts w:hint="eastAsia" w:ascii="宋体" w:hAnsi="宋体" w:eastAsia="宋体" w:cs="宋体"/>
                <w:kern w:val="0"/>
                <w:sz w:val="24"/>
                <w:szCs w:val="24"/>
              </w:rPr>
            </w:pPr>
          </w:p>
        </w:tc>
        <w:tc>
          <w:tcPr>
            <w:tcW w:w="1596" w:type="dxa"/>
            <w:vMerge w:val="continue"/>
            <w:vAlign w:val="center"/>
          </w:tcPr>
          <w:p>
            <w:pPr>
              <w:widowControl/>
              <w:spacing w:line="360" w:lineRule="auto"/>
              <w:jc w:val="center"/>
              <w:rPr>
                <w:rFonts w:hint="eastAsia" w:ascii="宋体" w:hAnsi="宋体" w:eastAsia="宋体" w:cs="宋体"/>
                <w:kern w:val="0"/>
                <w:sz w:val="24"/>
                <w:szCs w:val="24"/>
              </w:rPr>
            </w:pPr>
          </w:p>
        </w:tc>
        <w:tc>
          <w:tcPr>
            <w:tcW w:w="4236" w:type="dxa"/>
            <w:vAlign w:val="center"/>
          </w:tcPr>
          <w:p>
            <w:pPr>
              <w:widowControl/>
              <w:spacing w:line="360" w:lineRule="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安防系统及信息系统运维，故障排除率</w:t>
            </w:r>
          </w:p>
        </w:tc>
        <w:tc>
          <w:tcPr>
            <w:tcW w:w="1941" w:type="dxa"/>
            <w:vAlign w:val="center"/>
          </w:tcPr>
          <w:p>
            <w:pPr>
              <w:widowControl/>
              <w:spacing w:line="360" w:lineRule="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87" w:type="dxa"/>
            <w:vMerge w:val="continue"/>
          </w:tcPr>
          <w:p>
            <w:pPr>
              <w:widowControl/>
              <w:spacing w:line="360" w:lineRule="auto"/>
              <w:jc w:val="left"/>
              <w:rPr>
                <w:rFonts w:hint="eastAsia" w:ascii="宋体" w:hAnsi="宋体" w:eastAsia="宋体" w:cs="宋体"/>
                <w:kern w:val="0"/>
                <w:sz w:val="24"/>
                <w:szCs w:val="24"/>
              </w:rPr>
            </w:pPr>
          </w:p>
        </w:tc>
        <w:tc>
          <w:tcPr>
            <w:tcW w:w="1596" w:type="dxa"/>
            <w:vMerge w:val="continue"/>
            <w:vAlign w:val="center"/>
          </w:tcPr>
          <w:p>
            <w:pPr>
              <w:widowControl/>
              <w:spacing w:line="360" w:lineRule="auto"/>
              <w:jc w:val="center"/>
              <w:rPr>
                <w:rFonts w:hint="eastAsia" w:ascii="宋体" w:hAnsi="宋体" w:eastAsia="宋体" w:cs="宋体"/>
                <w:kern w:val="0"/>
                <w:sz w:val="24"/>
                <w:szCs w:val="24"/>
              </w:rPr>
            </w:pPr>
          </w:p>
        </w:tc>
        <w:tc>
          <w:tcPr>
            <w:tcW w:w="4236" w:type="dxa"/>
            <w:vAlign w:val="center"/>
          </w:tcPr>
          <w:p>
            <w:pPr>
              <w:widowControl/>
              <w:spacing w:line="360" w:lineRule="auto"/>
              <w:rPr>
                <w:rFonts w:hint="eastAsia" w:ascii="宋体" w:hAnsi="宋体" w:eastAsia="宋体" w:cs="宋体"/>
                <w:kern w:val="0"/>
                <w:sz w:val="24"/>
                <w:szCs w:val="24"/>
                <w:lang w:val="en-US"/>
              </w:rPr>
            </w:pPr>
            <w:r>
              <w:rPr>
                <w:rFonts w:hint="eastAsia" w:ascii="宋体" w:hAnsi="宋体" w:eastAsia="宋体" w:cs="宋体"/>
                <w:kern w:val="0"/>
                <w:sz w:val="24"/>
                <w:szCs w:val="24"/>
                <w:lang w:val="en-US" w:eastAsia="zh-CN"/>
              </w:rPr>
              <w:t>安防系统及信息系统运维，系统正常率</w:t>
            </w:r>
          </w:p>
        </w:tc>
        <w:tc>
          <w:tcPr>
            <w:tcW w:w="1941" w:type="dxa"/>
            <w:vAlign w:val="center"/>
          </w:tcPr>
          <w:p>
            <w:pPr>
              <w:widowControl/>
              <w:spacing w:line="360" w:lineRule="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87" w:type="dxa"/>
            <w:vMerge w:val="continue"/>
          </w:tcPr>
          <w:p>
            <w:pPr>
              <w:widowControl/>
              <w:spacing w:line="360" w:lineRule="auto"/>
              <w:jc w:val="left"/>
              <w:rPr>
                <w:rFonts w:hint="eastAsia" w:ascii="宋体" w:hAnsi="宋体" w:eastAsia="宋体" w:cs="宋体"/>
                <w:kern w:val="0"/>
                <w:sz w:val="24"/>
                <w:szCs w:val="24"/>
              </w:rPr>
            </w:pPr>
          </w:p>
        </w:tc>
        <w:tc>
          <w:tcPr>
            <w:tcW w:w="1596" w:type="dxa"/>
            <w:vMerge w:val="continue"/>
            <w:vAlign w:val="center"/>
          </w:tcPr>
          <w:p>
            <w:pPr>
              <w:widowControl/>
              <w:spacing w:line="360" w:lineRule="auto"/>
              <w:jc w:val="center"/>
              <w:rPr>
                <w:rFonts w:hint="eastAsia" w:ascii="宋体" w:hAnsi="宋体" w:eastAsia="宋体" w:cs="宋体"/>
                <w:kern w:val="0"/>
                <w:sz w:val="24"/>
                <w:szCs w:val="24"/>
              </w:rPr>
            </w:pPr>
          </w:p>
        </w:tc>
        <w:tc>
          <w:tcPr>
            <w:tcW w:w="4236" w:type="dxa"/>
            <w:vAlign w:val="center"/>
          </w:tcPr>
          <w:p>
            <w:pPr>
              <w:widowControl/>
              <w:spacing w:line="240" w:lineRule="auto"/>
              <w:rPr>
                <w:rFonts w:hint="eastAsia" w:ascii="宋体" w:hAnsi="宋体" w:eastAsia="宋体" w:cs="宋体"/>
                <w:kern w:val="0"/>
                <w:sz w:val="24"/>
                <w:szCs w:val="24"/>
                <w:lang w:val="en-US"/>
              </w:rPr>
            </w:pPr>
            <w:r>
              <w:rPr>
                <w:rFonts w:hint="eastAsia" w:ascii="宋体" w:hAnsi="宋体" w:eastAsia="宋体" w:cs="宋体"/>
                <w:kern w:val="0"/>
                <w:sz w:val="24"/>
                <w:szCs w:val="24"/>
                <w:lang w:val="en-US" w:eastAsia="zh-CN"/>
              </w:rPr>
              <w:t>安防系统及信息系统运维，系统故障修复响应时间</w:t>
            </w:r>
          </w:p>
        </w:tc>
        <w:tc>
          <w:tcPr>
            <w:tcW w:w="1941" w:type="dxa"/>
            <w:vAlign w:val="center"/>
          </w:tcPr>
          <w:p>
            <w:pPr>
              <w:widowControl/>
              <w:spacing w:line="240" w:lineRule="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87" w:type="dxa"/>
            <w:vMerge w:val="continue"/>
          </w:tcPr>
          <w:p>
            <w:pPr>
              <w:widowControl/>
              <w:spacing w:line="360" w:lineRule="auto"/>
              <w:jc w:val="left"/>
              <w:rPr>
                <w:rFonts w:hint="eastAsia" w:ascii="宋体" w:hAnsi="宋体" w:eastAsia="宋体" w:cs="宋体"/>
                <w:kern w:val="0"/>
                <w:sz w:val="24"/>
                <w:szCs w:val="24"/>
              </w:rPr>
            </w:pPr>
          </w:p>
        </w:tc>
        <w:tc>
          <w:tcPr>
            <w:tcW w:w="1596" w:type="dxa"/>
            <w:vMerge w:val="restart"/>
            <w:vAlign w:val="center"/>
          </w:tcPr>
          <w:p>
            <w:pPr>
              <w:widowControl/>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时效</w:t>
            </w:r>
            <w:r>
              <w:rPr>
                <w:rFonts w:hint="eastAsia" w:ascii="宋体" w:hAnsi="宋体" w:eastAsia="宋体" w:cs="宋体"/>
                <w:kern w:val="0"/>
                <w:sz w:val="24"/>
                <w:szCs w:val="24"/>
              </w:rPr>
              <w:t>指标</w:t>
            </w:r>
          </w:p>
        </w:tc>
        <w:tc>
          <w:tcPr>
            <w:tcW w:w="4236" w:type="dxa"/>
            <w:vAlign w:val="center"/>
          </w:tcPr>
          <w:p>
            <w:pPr>
              <w:widowControl/>
              <w:spacing w:line="360" w:lineRule="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信息系统运行维护响应时间</w:t>
            </w:r>
          </w:p>
        </w:tc>
        <w:tc>
          <w:tcPr>
            <w:tcW w:w="1941" w:type="dxa"/>
            <w:vAlign w:val="center"/>
          </w:tcPr>
          <w:p>
            <w:pPr>
              <w:widowControl/>
              <w:spacing w:line="360" w:lineRule="auto"/>
              <w:rPr>
                <w:rFonts w:hint="eastAsia" w:ascii="宋体" w:hAnsi="宋体" w:eastAsia="宋体" w:cs="宋体"/>
                <w:kern w:val="0"/>
                <w:sz w:val="24"/>
                <w:szCs w:val="24"/>
                <w:lang w:val="en-US"/>
              </w:rPr>
            </w:pPr>
            <w:r>
              <w:rPr>
                <w:rFonts w:hint="eastAsia" w:ascii="宋体" w:hAnsi="宋体" w:eastAsia="宋体" w:cs="宋体"/>
                <w:kern w:val="0"/>
                <w:sz w:val="24"/>
                <w:szCs w:val="24"/>
                <w:lang w:val="en-US" w:eastAsia="zh-CN"/>
              </w:rPr>
              <w:t>≤5分钟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87" w:type="dxa"/>
            <w:vMerge w:val="continue"/>
          </w:tcPr>
          <w:p>
            <w:pPr>
              <w:widowControl/>
              <w:spacing w:line="360" w:lineRule="auto"/>
              <w:jc w:val="left"/>
              <w:rPr>
                <w:rFonts w:hint="eastAsia" w:ascii="宋体" w:hAnsi="宋体" w:eastAsia="宋体" w:cs="宋体"/>
                <w:kern w:val="0"/>
                <w:sz w:val="24"/>
                <w:szCs w:val="24"/>
              </w:rPr>
            </w:pPr>
          </w:p>
        </w:tc>
        <w:tc>
          <w:tcPr>
            <w:tcW w:w="1596" w:type="dxa"/>
            <w:vMerge w:val="continue"/>
            <w:vAlign w:val="center"/>
          </w:tcPr>
          <w:p>
            <w:pPr>
              <w:widowControl/>
              <w:spacing w:line="360" w:lineRule="auto"/>
              <w:jc w:val="center"/>
              <w:rPr>
                <w:rFonts w:hint="eastAsia" w:ascii="宋体" w:hAnsi="宋体" w:eastAsia="宋体" w:cs="宋体"/>
                <w:kern w:val="0"/>
                <w:sz w:val="24"/>
                <w:szCs w:val="24"/>
              </w:rPr>
            </w:pPr>
          </w:p>
        </w:tc>
        <w:tc>
          <w:tcPr>
            <w:tcW w:w="4236" w:type="dxa"/>
            <w:vAlign w:val="center"/>
          </w:tcPr>
          <w:p>
            <w:pPr>
              <w:widowControl/>
              <w:spacing w:line="360" w:lineRule="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安防系统运行维护响应时间</w:t>
            </w:r>
          </w:p>
        </w:tc>
        <w:tc>
          <w:tcPr>
            <w:tcW w:w="1941" w:type="dxa"/>
            <w:vAlign w:val="center"/>
          </w:tcPr>
          <w:p>
            <w:pPr>
              <w:widowControl/>
              <w:spacing w:line="360" w:lineRule="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87" w:type="dxa"/>
            <w:vMerge w:val="continue"/>
          </w:tcPr>
          <w:p>
            <w:pPr>
              <w:widowControl/>
              <w:spacing w:line="360" w:lineRule="auto"/>
              <w:jc w:val="left"/>
              <w:rPr>
                <w:rFonts w:hint="eastAsia" w:ascii="宋体" w:hAnsi="宋体" w:eastAsia="宋体" w:cs="宋体"/>
                <w:kern w:val="0"/>
                <w:sz w:val="24"/>
                <w:szCs w:val="24"/>
              </w:rPr>
            </w:pPr>
          </w:p>
        </w:tc>
        <w:tc>
          <w:tcPr>
            <w:tcW w:w="1596" w:type="dxa"/>
            <w:vAlign w:val="center"/>
          </w:tcPr>
          <w:p>
            <w:pPr>
              <w:widowControl/>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成本指标</w:t>
            </w:r>
          </w:p>
        </w:tc>
        <w:tc>
          <w:tcPr>
            <w:tcW w:w="4236" w:type="dxa"/>
            <w:vAlign w:val="center"/>
          </w:tcPr>
          <w:p>
            <w:pPr>
              <w:widowControl/>
              <w:spacing w:line="360" w:lineRule="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项目预算控制</w:t>
            </w:r>
          </w:p>
        </w:tc>
        <w:tc>
          <w:tcPr>
            <w:tcW w:w="1941" w:type="dxa"/>
            <w:vAlign w:val="center"/>
          </w:tcPr>
          <w:p>
            <w:pPr>
              <w:widowControl/>
              <w:spacing w:line="360" w:lineRule="auto"/>
              <w:rPr>
                <w:rFonts w:hint="eastAsia" w:ascii="宋体" w:hAnsi="宋体" w:eastAsia="宋体" w:cs="宋体"/>
                <w:kern w:val="0"/>
                <w:sz w:val="24"/>
                <w:szCs w:val="24"/>
                <w:lang w:val="en-US"/>
              </w:rPr>
            </w:pPr>
            <w:r>
              <w:rPr>
                <w:rFonts w:hint="eastAsia" w:ascii="宋体" w:hAnsi="宋体" w:eastAsia="宋体" w:cs="宋体"/>
                <w:kern w:val="0"/>
                <w:sz w:val="24"/>
                <w:szCs w:val="24"/>
                <w:lang w:val="en-US" w:eastAsia="zh-CN"/>
              </w:rPr>
              <w:t>≤513.0118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87" w:type="dxa"/>
            <w:vMerge w:val="restart"/>
            <w:vAlign w:val="center"/>
          </w:tcPr>
          <w:p>
            <w:pPr>
              <w:widowControl/>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效果指标</w:t>
            </w:r>
          </w:p>
        </w:tc>
        <w:tc>
          <w:tcPr>
            <w:tcW w:w="1596" w:type="dxa"/>
            <w:vAlign w:val="center"/>
          </w:tcPr>
          <w:p>
            <w:pPr>
              <w:widowControl/>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可持续影响指标</w:t>
            </w:r>
          </w:p>
        </w:tc>
        <w:tc>
          <w:tcPr>
            <w:tcW w:w="4236" w:type="dxa"/>
            <w:vAlign w:val="center"/>
          </w:tcPr>
          <w:p>
            <w:pPr>
              <w:widowControl/>
              <w:spacing w:line="240" w:lineRule="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运行维护响应时间</w:t>
            </w:r>
          </w:p>
        </w:tc>
        <w:tc>
          <w:tcPr>
            <w:tcW w:w="1941" w:type="dxa"/>
            <w:vAlign w:val="center"/>
          </w:tcPr>
          <w:p>
            <w:pPr>
              <w:widowControl/>
              <w:spacing w:line="240" w:lineRule="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优良中低差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87" w:type="dxa"/>
            <w:vMerge w:val="continue"/>
          </w:tcPr>
          <w:p>
            <w:pPr>
              <w:widowControl/>
              <w:spacing w:line="360" w:lineRule="auto"/>
              <w:jc w:val="left"/>
              <w:rPr>
                <w:rFonts w:hint="eastAsia" w:ascii="宋体" w:hAnsi="宋体" w:eastAsia="宋体" w:cs="宋体"/>
                <w:kern w:val="0"/>
                <w:sz w:val="24"/>
                <w:szCs w:val="24"/>
              </w:rPr>
            </w:pPr>
          </w:p>
        </w:tc>
        <w:tc>
          <w:tcPr>
            <w:tcW w:w="1596" w:type="dxa"/>
            <w:vAlign w:val="center"/>
          </w:tcPr>
          <w:p>
            <w:pPr>
              <w:widowControl/>
              <w:spacing w:line="24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服务对象满意度指标</w:t>
            </w:r>
          </w:p>
        </w:tc>
        <w:tc>
          <w:tcPr>
            <w:tcW w:w="4236" w:type="dxa"/>
            <w:vAlign w:val="center"/>
          </w:tcPr>
          <w:p>
            <w:pPr>
              <w:widowControl/>
              <w:spacing w:line="240" w:lineRule="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系统使用人员</w:t>
            </w:r>
            <w:r>
              <w:rPr>
                <w:rFonts w:hint="eastAsia" w:ascii="宋体" w:hAnsi="宋体" w:eastAsia="宋体" w:cs="宋体"/>
                <w:kern w:val="0"/>
                <w:sz w:val="24"/>
                <w:szCs w:val="24"/>
              </w:rPr>
              <w:t>满意度</w:t>
            </w:r>
          </w:p>
        </w:tc>
        <w:tc>
          <w:tcPr>
            <w:tcW w:w="1941" w:type="dxa"/>
            <w:vAlign w:val="center"/>
          </w:tcPr>
          <w:p>
            <w:pPr>
              <w:widowControl/>
              <w:spacing w:line="240" w:lineRule="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9</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w:t>
            </w:r>
          </w:p>
        </w:tc>
      </w:tr>
    </w:tbl>
    <w:p>
      <w:pPr>
        <w:rPr>
          <w:rFonts w:hint="eastAsia"/>
        </w:rPr>
      </w:pPr>
      <w:bookmarkStart w:id="5" w:name="_Toc102746351"/>
    </w:p>
    <w:p>
      <w:pPr>
        <w:pStyle w:val="2"/>
        <w:spacing w:line="360" w:lineRule="auto"/>
        <w:ind w:firstLine="640"/>
        <w:rPr>
          <w:rFonts w:ascii="黑体" w:hAnsi="黑体" w:eastAsia="黑体" w:cs="Times New Roman"/>
          <w:b w:val="0"/>
          <w:sz w:val="32"/>
          <w:szCs w:val="32"/>
        </w:rPr>
      </w:pPr>
      <w:r>
        <w:rPr>
          <w:rFonts w:hint="eastAsia" w:ascii="黑体" w:hAnsi="黑体" w:eastAsia="黑体" w:cs="Times New Roman"/>
          <w:b w:val="0"/>
          <w:sz w:val="32"/>
          <w:szCs w:val="32"/>
        </w:rPr>
        <w:t>二、绩效评价工作开展情况</w:t>
      </w:r>
      <w:bookmarkEnd w:id="5"/>
    </w:p>
    <w:p>
      <w:pPr>
        <w:pStyle w:val="3"/>
        <w:ind w:firstLine="640"/>
        <w:rPr>
          <w:rFonts w:ascii="楷体" w:hAnsi="楷体" w:eastAsia="楷体"/>
          <w:b w:val="0"/>
        </w:rPr>
      </w:pPr>
      <w:bookmarkStart w:id="6" w:name="_Toc102746352"/>
      <w:r>
        <w:rPr>
          <w:rFonts w:hint="eastAsia" w:ascii="楷体" w:hAnsi="楷体" w:eastAsia="楷体"/>
          <w:b w:val="0"/>
        </w:rPr>
        <w:t>（一）绩效评价目的、对象和范围</w:t>
      </w:r>
      <w:bookmarkEnd w:id="6"/>
    </w:p>
    <w:p>
      <w:pPr>
        <w:pStyle w:val="4"/>
        <w:spacing w:line="360" w:lineRule="auto"/>
        <w:ind w:firstLine="640"/>
        <w:rPr>
          <w:rFonts w:ascii="仿宋_GB2312"/>
          <w:color w:val="000000"/>
          <w:kern w:val="0"/>
          <w:sz w:val="32"/>
          <w:szCs w:val="32"/>
        </w:rPr>
      </w:pPr>
      <w:r>
        <w:rPr>
          <w:rFonts w:hint="eastAsia" w:ascii="仿宋_GB2312"/>
          <w:color w:val="000000"/>
          <w:kern w:val="0"/>
          <w:sz w:val="32"/>
          <w:szCs w:val="32"/>
        </w:rPr>
        <w:t>1.评价目的</w:t>
      </w:r>
    </w:p>
    <w:p>
      <w:pPr>
        <w:spacing w:line="360" w:lineRule="auto"/>
        <w:ind w:firstLine="640" w:firstLineChars="200"/>
        <w:rPr>
          <w:rFonts w:ascii="仿宋_GB2312" w:hAnsi="Times New Roman" w:eastAsia="仿宋_GB2312" w:cs="Times New Roman"/>
          <w:kern w:val="0"/>
          <w:sz w:val="32"/>
          <w:szCs w:val="32"/>
        </w:rPr>
      </w:pPr>
      <w:r>
        <w:rPr>
          <w:rFonts w:ascii="仿宋_GB2312" w:hAnsi="Times New Roman" w:eastAsia="仿宋_GB2312" w:cs="Times New Roman"/>
          <w:kern w:val="0"/>
          <w:sz w:val="32"/>
          <w:szCs w:val="32"/>
        </w:rPr>
        <w:t>通过绩效评价，衡量和考核</w:t>
      </w:r>
      <w:r>
        <w:rPr>
          <w:rFonts w:hint="eastAsia" w:ascii="仿宋_GB2312" w:hAnsi="Times New Roman" w:eastAsia="仿宋_GB2312" w:cs="Times New Roman"/>
          <w:kern w:val="0"/>
          <w:sz w:val="32"/>
          <w:szCs w:val="32"/>
        </w:rPr>
        <w:t>该</w:t>
      </w:r>
      <w:r>
        <w:rPr>
          <w:rFonts w:ascii="仿宋_GB2312" w:hAnsi="Times New Roman" w:eastAsia="仿宋_GB2312" w:cs="Times New Roman"/>
          <w:kern w:val="0"/>
          <w:sz w:val="32"/>
          <w:szCs w:val="32"/>
        </w:rPr>
        <w:t>项目从项目申报、预算执行及项目验收等全过程的管理和绩效情况。</w:t>
      </w:r>
      <w:r>
        <w:rPr>
          <w:rFonts w:hint="eastAsia" w:ascii="仿宋_GB2312" w:hAnsi="Times New Roman" w:eastAsia="仿宋_GB2312" w:cs="Times New Roman"/>
          <w:kern w:val="0"/>
          <w:sz w:val="32"/>
          <w:szCs w:val="32"/>
        </w:rPr>
        <w:t>对</w:t>
      </w:r>
      <w:r>
        <w:rPr>
          <w:rFonts w:ascii="仿宋_GB2312" w:hAnsi="Times New Roman" w:eastAsia="仿宋_GB2312" w:cs="Times New Roman"/>
          <w:kern w:val="0"/>
          <w:sz w:val="32"/>
          <w:szCs w:val="32"/>
        </w:rPr>
        <w:t>项目资金决策过程的合理性、</w:t>
      </w:r>
      <w:r>
        <w:rPr>
          <w:rFonts w:hint="eastAsia" w:ascii="仿宋_GB2312" w:hAnsi="Times New Roman" w:eastAsia="仿宋_GB2312" w:cs="Times New Roman"/>
          <w:kern w:val="0"/>
          <w:sz w:val="32"/>
          <w:szCs w:val="32"/>
        </w:rPr>
        <w:t>过程</w:t>
      </w:r>
      <w:r>
        <w:rPr>
          <w:rFonts w:ascii="仿宋_GB2312" w:hAnsi="Times New Roman" w:eastAsia="仿宋_GB2312" w:cs="Times New Roman"/>
          <w:kern w:val="0"/>
          <w:sz w:val="32"/>
          <w:szCs w:val="32"/>
        </w:rPr>
        <w:t>管理的规范性</w:t>
      </w:r>
      <w:r>
        <w:rPr>
          <w:rFonts w:hint="eastAsia" w:ascii="仿宋_GB2312" w:hAnsi="Times New Roman" w:eastAsia="仿宋_GB2312" w:cs="Times New Roman"/>
          <w:kern w:val="0"/>
          <w:sz w:val="32"/>
          <w:szCs w:val="32"/>
        </w:rPr>
        <w:t>和</w:t>
      </w:r>
      <w:r>
        <w:rPr>
          <w:rFonts w:ascii="仿宋_GB2312" w:hAnsi="Times New Roman" w:eastAsia="仿宋_GB2312" w:cs="Times New Roman"/>
          <w:kern w:val="0"/>
          <w:sz w:val="32"/>
          <w:szCs w:val="32"/>
        </w:rPr>
        <w:t>绩效目标实现程度进行综合评价，以</w:t>
      </w:r>
      <w:r>
        <w:rPr>
          <w:rFonts w:hint="eastAsia" w:ascii="仿宋_GB2312" w:hAnsi="Times New Roman" w:eastAsia="仿宋_GB2312" w:cs="Times New Roman"/>
          <w:kern w:val="0"/>
          <w:sz w:val="32"/>
          <w:szCs w:val="32"/>
        </w:rPr>
        <w:t>进一步总结和分析项目资金的实施效果，检验</w:t>
      </w:r>
      <w:r>
        <w:rPr>
          <w:rFonts w:hint="eastAsia" w:ascii="仿宋_GB2312" w:hAnsi="Times New Roman" w:eastAsia="仿宋_GB2312" w:cs="Times New Roman"/>
          <w:kern w:val="0"/>
          <w:sz w:val="32"/>
          <w:szCs w:val="32"/>
          <w:lang w:val="en-US" w:eastAsia="zh-CN"/>
        </w:rPr>
        <w:t>系统运维运维</w:t>
      </w:r>
      <w:r>
        <w:rPr>
          <w:rFonts w:hint="eastAsia" w:ascii="仿宋_GB2312" w:hAnsi="Times New Roman" w:eastAsia="仿宋_GB2312" w:cs="Times New Roman"/>
          <w:kern w:val="0"/>
          <w:sz w:val="32"/>
          <w:szCs w:val="32"/>
        </w:rPr>
        <w:t>预期目标实现程度。</w:t>
      </w:r>
      <w:r>
        <w:rPr>
          <w:rFonts w:ascii="仿宋_GB2312" w:hAnsi="Times New Roman" w:eastAsia="仿宋_GB2312" w:cs="Times New Roman"/>
          <w:kern w:val="0"/>
          <w:sz w:val="32"/>
          <w:szCs w:val="32"/>
        </w:rPr>
        <w:t xml:space="preserve"> </w:t>
      </w:r>
    </w:p>
    <w:p>
      <w:pPr>
        <w:pStyle w:val="4"/>
        <w:spacing w:line="360" w:lineRule="auto"/>
        <w:ind w:firstLine="640"/>
        <w:rPr>
          <w:rFonts w:ascii="仿宋_GB2312"/>
          <w:color w:val="000000"/>
          <w:kern w:val="0"/>
          <w:sz w:val="32"/>
          <w:szCs w:val="32"/>
        </w:rPr>
      </w:pPr>
      <w:r>
        <w:rPr>
          <w:rFonts w:hint="eastAsia" w:ascii="仿宋_GB2312"/>
          <w:color w:val="000000"/>
          <w:kern w:val="0"/>
          <w:sz w:val="32"/>
          <w:szCs w:val="32"/>
        </w:rPr>
        <w:t>2.评价对象和范围</w:t>
      </w:r>
    </w:p>
    <w:p>
      <w:pPr>
        <w:spacing w:line="360" w:lineRule="auto"/>
        <w:ind w:firstLine="640" w:firstLineChars="200"/>
        <w:rPr>
          <w:rFonts w:ascii="仿宋_GB2312" w:hAnsi="Times New Roman" w:eastAsia="仿宋_GB2312" w:cs="Times New Roman"/>
          <w:kern w:val="0"/>
          <w:sz w:val="32"/>
          <w:szCs w:val="32"/>
        </w:rPr>
      </w:pPr>
      <w:r>
        <w:rPr>
          <w:rFonts w:ascii="仿宋_GB2312" w:hAnsi="Times New Roman" w:eastAsia="仿宋_GB2312" w:cs="Times New Roman"/>
          <w:kern w:val="0"/>
          <w:sz w:val="32"/>
          <w:szCs w:val="32"/>
        </w:rPr>
        <w:t>对</w:t>
      </w:r>
      <w:r>
        <w:rPr>
          <w:rFonts w:hint="eastAsia" w:ascii="仿宋_GB2312" w:hAnsi="Times New Roman" w:eastAsia="仿宋_GB2312" w:cs="Times New Roman"/>
          <w:kern w:val="0"/>
          <w:sz w:val="32"/>
          <w:szCs w:val="32"/>
          <w:lang w:eastAsia="zh-CN"/>
        </w:rPr>
        <w:t>市信访办</w:t>
      </w:r>
      <w:r>
        <w:rPr>
          <w:rFonts w:ascii="仿宋_GB2312" w:hAnsi="Times New Roman" w:eastAsia="仿宋_GB2312" w:cs="Times New Roman"/>
          <w:kern w:val="0"/>
          <w:sz w:val="32"/>
          <w:szCs w:val="32"/>
        </w:rPr>
        <w:t>“</w:t>
      </w:r>
      <w:r>
        <w:rPr>
          <w:rFonts w:hint="eastAsia" w:ascii="仿宋_GB2312" w:hAnsi="Times New Roman" w:eastAsia="仿宋_GB2312" w:cs="Times New Roman"/>
          <w:kern w:val="0"/>
          <w:sz w:val="32"/>
          <w:szCs w:val="32"/>
          <w:lang w:eastAsia="zh-CN"/>
        </w:rPr>
        <w:t>信息系统运维类项目</w:t>
      </w:r>
      <w:r>
        <w:rPr>
          <w:rFonts w:ascii="仿宋_GB2312" w:hAnsi="Times New Roman" w:eastAsia="仿宋_GB2312" w:cs="Times New Roman"/>
          <w:kern w:val="0"/>
          <w:sz w:val="32"/>
          <w:szCs w:val="32"/>
        </w:rPr>
        <w:t>”项目决策、项目过程、项目产出、项目效益情况进行绩效评价。</w:t>
      </w:r>
    </w:p>
    <w:p>
      <w:pPr>
        <w:pStyle w:val="3"/>
        <w:ind w:firstLine="640"/>
        <w:rPr>
          <w:rFonts w:ascii="楷体" w:hAnsi="楷体" w:eastAsia="楷体"/>
          <w:b w:val="0"/>
        </w:rPr>
      </w:pPr>
      <w:bookmarkStart w:id="7" w:name="_Toc102746353"/>
      <w:r>
        <w:rPr>
          <w:rFonts w:hint="eastAsia" w:ascii="楷体" w:hAnsi="楷体" w:eastAsia="楷体"/>
          <w:b w:val="0"/>
        </w:rPr>
        <w:t>（二）绩效评价原则、评价方法、评价标准</w:t>
      </w:r>
      <w:bookmarkEnd w:id="7"/>
    </w:p>
    <w:p>
      <w:pPr>
        <w:spacing w:line="360" w:lineRule="auto"/>
        <w:ind w:firstLine="640" w:firstLineChars="200"/>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本次评价工作遵循“科学公正、统筹兼顾、激励约束、公开透明”的原则，以绩效评价指标体系为评价标准，</w:t>
      </w:r>
      <w:r>
        <w:rPr>
          <w:rFonts w:hint="eastAsia" w:ascii="仿宋_GB2312" w:hAnsi="Times New Roman" w:eastAsia="仿宋_GB2312" w:cs="Times New Roman"/>
          <w:kern w:val="0"/>
          <w:sz w:val="32"/>
          <w:szCs w:val="32"/>
          <w:lang w:val="en-US" w:eastAsia="zh-CN"/>
        </w:rPr>
        <w:t>专家评审打</w:t>
      </w:r>
      <w:r>
        <w:rPr>
          <w:rFonts w:hint="eastAsia" w:ascii="仿宋_GB2312" w:hAnsi="Times New Roman" w:eastAsia="仿宋_GB2312" w:cs="Times New Roman"/>
          <w:kern w:val="0"/>
          <w:sz w:val="32"/>
          <w:szCs w:val="32"/>
        </w:rPr>
        <w:t>分的方法，对项目的决策、过程、产出和效益进行客观分析和评价。</w:t>
      </w:r>
    </w:p>
    <w:p>
      <w:pPr>
        <w:pStyle w:val="3"/>
        <w:ind w:firstLine="640"/>
        <w:rPr>
          <w:rFonts w:ascii="楷体" w:hAnsi="楷体" w:eastAsia="楷体"/>
          <w:b w:val="0"/>
        </w:rPr>
      </w:pPr>
      <w:bookmarkStart w:id="8" w:name="_Toc102746354"/>
      <w:r>
        <w:rPr>
          <w:rFonts w:hint="eastAsia" w:ascii="楷体" w:hAnsi="楷体" w:eastAsia="楷体"/>
          <w:b w:val="0"/>
        </w:rPr>
        <w:t>（三）</w:t>
      </w:r>
      <w:r>
        <w:rPr>
          <w:rFonts w:ascii="楷体" w:hAnsi="楷体" w:eastAsia="楷体"/>
          <w:b w:val="0"/>
        </w:rPr>
        <w:t>评价指标体系</w:t>
      </w:r>
      <w:bookmarkEnd w:id="8"/>
    </w:p>
    <w:p>
      <w:pPr>
        <w:spacing w:line="360" w:lineRule="auto"/>
        <w:ind w:firstLine="640" w:firstLineChars="200"/>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依据</w:t>
      </w:r>
      <w:r>
        <w:rPr>
          <w:rFonts w:hint="eastAsia" w:ascii="仿宋_GB2312" w:hAnsi="Times New Roman" w:eastAsia="仿宋_GB2312" w:cs="Times New Roman"/>
          <w:kern w:val="0"/>
          <w:sz w:val="32"/>
          <w:szCs w:val="32"/>
          <w:lang w:val="en-US" w:eastAsia="zh-CN"/>
        </w:rPr>
        <w:t>北京</w:t>
      </w:r>
      <w:r>
        <w:rPr>
          <w:rFonts w:ascii="仿宋_GB2312" w:hAnsi="Times New Roman" w:eastAsia="仿宋_GB2312" w:cs="Times New Roman"/>
          <w:kern w:val="0"/>
          <w:sz w:val="32"/>
          <w:szCs w:val="32"/>
        </w:rPr>
        <w:t>市财政局项目评价指标体系，</w:t>
      </w:r>
      <w:r>
        <w:rPr>
          <w:rFonts w:hint="eastAsia" w:ascii="仿宋_GB2312" w:hAnsi="Times New Roman" w:eastAsia="仿宋_GB2312" w:cs="Times New Roman"/>
          <w:kern w:val="0"/>
          <w:sz w:val="32"/>
          <w:szCs w:val="32"/>
        </w:rPr>
        <w:t>从</w:t>
      </w:r>
      <w:r>
        <w:rPr>
          <w:rFonts w:ascii="仿宋_GB2312" w:hAnsi="Times New Roman" w:eastAsia="仿宋_GB2312" w:cs="Times New Roman"/>
          <w:kern w:val="0"/>
          <w:sz w:val="32"/>
          <w:szCs w:val="32"/>
        </w:rPr>
        <w:t>决策、</w:t>
      </w:r>
      <w:r>
        <w:rPr>
          <w:rFonts w:hint="eastAsia" w:ascii="仿宋_GB2312" w:hAnsi="Times New Roman" w:eastAsia="仿宋_GB2312" w:cs="Times New Roman"/>
          <w:kern w:val="0"/>
          <w:sz w:val="32"/>
          <w:szCs w:val="32"/>
        </w:rPr>
        <w:t>过程</w:t>
      </w:r>
      <w:r>
        <w:rPr>
          <w:rFonts w:ascii="仿宋_GB2312" w:hAnsi="Times New Roman" w:eastAsia="仿宋_GB2312" w:cs="Times New Roman"/>
          <w:kern w:val="0"/>
          <w:sz w:val="32"/>
          <w:szCs w:val="32"/>
        </w:rPr>
        <w:t>、</w:t>
      </w:r>
      <w:r>
        <w:rPr>
          <w:rFonts w:hint="eastAsia" w:ascii="仿宋_GB2312" w:hAnsi="Times New Roman" w:eastAsia="仿宋_GB2312" w:cs="Times New Roman"/>
          <w:kern w:val="0"/>
          <w:sz w:val="32"/>
          <w:szCs w:val="32"/>
        </w:rPr>
        <w:t>产出、效益四</w:t>
      </w:r>
      <w:r>
        <w:rPr>
          <w:rFonts w:ascii="仿宋_GB2312" w:hAnsi="Times New Roman" w:eastAsia="仿宋_GB2312" w:cs="Times New Roman"/>
          <w:kern w:val="0"/>
          <w:sz w:val="32"/>
          <w:szCs w:val="32"/>
        </w:rPr>
        <w:t>个方面进行评价，满分100分。一是决策指标（1</w:t>
      </w:r>
      <w:r>
        <w:rPr>
          <w:rFonts w:hint="eastAsia" w:ascii="仿宋_GB2312" w:hAnsi="Times New Roman" w:eastAsia="仿宋_GB2312" w:cs="Times New Roman"/>
          <w:kern w:val="0"/>
          <w:sz w:val="32"/>
          <w:szCs w:val="32"/>
        </w:rPr>
        <w:t>0</w:t>
      </w:r>
      <w:r>
        <w:rPr>
          <w:rFonts w:ascii="仿宋_GB2312" w:hAnsi="Times New Roman" w:eastAsia="仿宋_GB2312" w:cs="Times New Roman"/>
          <w:kern w:val="0"/>
          <w:sz w:val="32"/>
          <w:szCs w:val="32"/>
        </w:rPr>
        <w:t>分），主要评价</w:t>
      </w:r>
      <w:r>
        <w:rPr>
          <w:rFonts w:hint="eastAsia" w:ascii="仿宋_GB2312" w:hAnsi="Times New Roman" w:eastAsia="仿宋_GB2312" w:cs="Times New Roman"/>
          <w:kern w:val="0"/>
          <w:sz w:val="32"/>
          <w:szCs w:val="32"/>
        </w:rPr>
        <w:t>项目立项、绩效目标、资金投入</w:t>
      </w:r>
      <w:r>
        <w:rPr>
          <w:rFonts w:ascii="仿宋_GB2312" w:hAnsi="Times New Roman" w:eastAsia="仿宋_GB2312" w:cs="Times New Roman"/>
          <w:kern w:val="0"/>
          <w:sz w:val="32"/>
          <w:szCs w:val="32"/>
        </w:rPr>
        <w:t>；二是</w:t>
      </w:r>
      <w:r>
        <w:rPr>
          <w:rFonts w:hint="eastAsia" w:ascii="仿宋_GB2312" w:hAnsi="Times New Roman" w:eastAsia="仿宋_GB2312" w:cs="Times New Roman"/>
          <w:kern w:val="0"/>
          <w:sz w:val="32"/>
          <w:szCs w:val="32"/>
        </w:rPr>
        <w:t>过程</w:t>
      </w:r>
      <w:r>
        <w:rPr>
          <w:rFonts w:ascii="仿宋_GB2312" w:hAnsi="Times New Roman" w:eastAsia="仿宋_GB2312" w:cs="Times New Roman"/>
          <w:kern w:val="0"/>
          <w:sz w:val="32"/>
          <w:szCs w:val="32"/>
        </w:rPr>
        <w:t>指标（</w:t>
      </w:r>
      <w:r>
        <w:rPr>
          <w:rFonts w:hint="eastAsia" w:ascii="仿宋_GB2312" w:hAnsi="Times New Roman" w:eastAsia="仿宋_GB2312" w:cs="Times New Roman"/>
          <w:kern w:val="0"/>
          <w:sz w:val="32"/>
          <w:szCs w:val="32"/>
        </w:rPr>
        <w:t>2</w:t>
      </w:r>
      <w:r>
        <w:rPr>
          <w:rFonts w:ascii="仿宋_GB2312" w:hAnsi="Times New Roman" w:eastAsia="仿宋_GB2312" w:cs="Times New Roman"/>
          <w:kern w:val="0"/>
          <w:sz w:val="32"/>
          <w:szCs w:val="32"/>
        </w:rPr>
        <w:t>0分），主要评价</w:t>
      </w:r>
      <w:r>
        <w:rPr>
          <w:rFonts w:hint="eastAsia" w:ascii="仿宋_GB2312" w:hAnsi="Times New Roman" w:eastAsia="仿宋_GB2312" w:cs="Times New Roman"/>
          <w:kern w:val="0"/>
          <w:sz w:val="32"/>
          <w:szCs w:val="32"/>
        </w:rPr>
        <w:t>资金管理、组织实施</w:t>
      </w:r>
      <w:r>
        <w:rPr>
          <w:rFonts w:ascii="仿宋_GB2312" w:hAnsi="Times New Roman" w:eastAsia="仿宋_GB2312" w:cs="Times New Roman"/>
          <w:kern w:val="0"/>
          <w:sz w:val="32"/>
          <w:szCs w:val="32"/>
        </w:rPr>
        <w:t>；三是</w:t>
      </w:r>
      <w:r>
        <w:rPr>
          <w:rFonts w:hint="eastAsia" w:ascii="仿宋_GB2312" w:hAnsi="Times New Roman" w:eastAsia="仿宋_GB2312" w:cs="Times New Roman"/>
          <w:kern w:val="0"/>
          <w:sz w:val="32"/>
          <w:szCs w:val="32"/>
        </w:rPr>
        <w:t>产出</w:t>
      </w:r>
      <w:r>
        <w:rPr>
          <w:rFonts w:ascii="仿宋_GB2312" w:hAnsi="Times New Roman" w:eastAsia="仿宋_GB2312" w:cs="Times New Roman"/>
          <w:kern w:val="0"/>
          <w:sz w:val="32"/>
          <w:szCs w:val="32"/>
        </w:rPr>
        <w:t>指标（</w:t>
      </w:r>
      <w:r>
        <w:rPr>
          <w:rFonts w:hint="eastAsia" w:ascii="仿宋_GB2312" w:hAnsi="Times New Roman" w:eastAsia="仿宋_GB2312" w:cs="Times New Roman"/>
          <w:kern w:val="0"/>
          <w:sz w:val="32"/>
          <w:szCs w:val="32"/>
        </w:rPr>
        <w:t>40</w:t>
      </w:r>
      <w:r>
        <w:rPr>
          <w:rFonts w:ascii="仿宋_GB2312" w:hAnsi="Times New Roman" w:eastAsia="仿宋_GB2312" w:cs="Times New Roman"/>
          <w:kern w:val="0"/>
          <w:sz w:val="32"/>
          <w:szCs w:val="32"/>
        </w:rPr>
        <w:t>分），主要评价</w:t>
      </w:r>
      <w:r>
        <w:rPr>
          <w:rFonts w:hint="eastAsia" w:ascii="仿宋_GB2312" w:hAnsi="Times New Roman" w:eastAsia="仿宋_GB2312" w:cs="Times New Roman"/>
          <w:kern w:val="0"/>
          <w:sz w:val="32"/>
          <w:szCs w:val="32"/>
        </w:rPr>
        <w:t>产出数量、产出质量、产出时效、产出成本；四是效益指标（30分），主要评价实施效益和满意度等内容。</w:t>
      </w:r>
    </w:p>
    <w:p>
      <w:pPr>
        <w:spacing w:line="640" w:lineRule="exact"/>
        <w:ind w:firstLine="640"/>
        <w:jc w:val="center"/>
        <w:rPr>
          <w:rFonts w:ascii="仿宋" w:hAnsi="仿宋" w:eastAsia="仿宋" w:cs="仿宋"/>
          <w:b/>
          <w:sz w:val="32"/>
          <w:szCs w:val="32"/>
        </w:rPr>
      </w:pPr>
      <w:r>
        <w:rPr>
          <w:rFonts w:hint="eastAsia" w:ascii="仿宋" w:hAnsi="仿宋" w:eastAsia="仿宋" w:cs="仿宋"/>
          <w:b/>
          <w:sz w:val="32"/>
          <w:szCs w:val="32"/>
        </w:rPr>
        <w:t>项目评价指标体系一览表</w:t>
      </w:r>
    </w:p>
    <w:tbl>
      <w:tblPr>
        <w:tblStyle w:val="18"/>
        <w:tblW w:w="9597" w:type="dxa"/>
        <w:tblInd w:w="96" w:type="dxa"/>
        <w:tblLayout w:type="fixed"/>
        <w:tblCellMar>
          <w:top w:w="0" w:type="dxa"/>
          <w:left w:w="108" w:type="dxa"/>
          <w:bottom w:w="0" w:type="dxa"/>
          <w:right w:w="108" w:type="dxa"/>
        </w:tblCellMar>
      </w:tblPr>
      <w:tblGrid>
        <w:gridCol w:w="684"/>
        <w:gridCol w:w="723"/>
        <w:gridCol w:w="576"/>
        <w:gridCol w:w="745"/>
        <w:gridCol w:w="621"/>
        <w:gridCol w:w="2066"/>
        <w:gridCol w:w="4182"/>
      </w:tblGrid>
      <w:tr>
        <w:tblPrEx>
          <w:tblCellMar>
            <w:top w:w="0" w:type="dxa"/>
            <w:left w:w="108" w:type="dxa"/>
            <w:bottom w:w="0" w:type="dxa"/>
            <w:right w:w="108" w:type="dxa"/>
          </w:tblCellMar>
        </w:tblPrEx>
        <w:trPr>
          <w:trHeight w:val="712" w:hRule="atLeast"/>
          <w:tblHeader/>
        </w:trPr>
        <w:tc>
          <w:tcPr>
            <w:tcW w:w="6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b/>
                <w:bCs/>
                <w:color w:val="000000"/>
                <w:sz w:val="22"/>
              </w:rPr>
            </w:pPr>
            <w:r>
              <w:rPr>
                <w:rFonts w:hint="eastAsia" w:ascii="宋体" w:hAnsi="宋体" w:eastAsia="宋体" w:cs="宋体"/>
                <w:b/>
                <w:bCs/>
                <w:color w:val="000000"/>
                <w:kern w:val="0"/>
                <w:sz w:val="22"/>
                <w:lang w:bidi="ar"/>
              </w:rPr>
              <w:t>一级指标</w:t>
            </w:r>
          </w:p>
        </w:tc>
        <w:tc>
          <w:tcPr>
            <w:tcW w:w="7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b/>
                <w:bCs/>
                <w:color w:val="000000"/>
                <w:sz w:val="22"/>
              </w:rPr>
            </w:pPr>
            <w:r>
              <w:rPr>
                <w:rFonts w:hint="eastAsia" w:ascii="宋体" w:hAnsi="宋体" w:eastAsia="宋体" w:cs="宋体"/>
                <w:b/>
                <w:bCs/>
                <w:color w:val="000000"/>
                <w:kern w:val="0"/>
                <w:sz w:val="22"/>
                <w:lang w:bidi="ar"/>
              </w:rPr>
              <w:t>二级指标</w:t>
            </w:r>
          </w:p>
        </w:tc>
        <w:tc>
          <w:tcPr>
            <w:tcW w:w="5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b/>
                <w:bCs/>
                <w:color w:val="000000"/>
                <w:sz w:val="22"/>
              </w:rPr>
            </w:pPr>
            <w:r>
              <w:rPr>
                <w:rFonts w:hint="eastAsia" w:ascii="宋体" w:hAnsi="宋体" w:eastAsia="宋体" w:cs="宋体"/>
                <w:b/>
                <w:bCs/>
                <w:color w:val="000000"/>
                <w:kern w:val="0"/>
                <w:sz w:val="22"/>
                <w:lang w:bidi="ar"/>
              </w:rPr>
              <w:t>分值</w:t>
            </w:r>
          </w:p>
        </w:tc>
        <w:tc>
          <w:tcPr>
            <w:tcW w:w="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b/>
                <w:bCs/>
                <w:color w:val="000000"/>
                <w:sz w:val="22"/>
              </w:rPr>
            </w:pPr>
            <w:r>
              <w:rPr>
                <w:rFonts w:hint="eastAsia" w:ascii="宋体" w:hAnsi="宋体" w:eastAsia="宋体" w:cs="宋体"/>
                <w:b/>
                <w:bCs/>
                <w:color w:val="000000"/>
                <w:kern w:val="0"/>
                <w:sz w:val="22"/>
                <w:lang w:bidi="ar"/>
              </w:rPr>
              <w:t>三级指标</w:t>
            </w:r>
          </w:p>
        </w:tc>
        <w:tc>
          <w:tcPr>
            <w:tcW w:w="6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b/>
                <w:bCs/>
                <w:color w:val="000000"/>
                <w:sz w:val="22"/>
              </w:rPr>
            </w:pPr>
            <w:r>
              <w:rPr>
                <w:rFonts w:hint="eastAsia" w:ascii="宋体" w:hAnsi="宋体" w:eastAsia="宋体" w:cs="宋体"/>
                <w:b/>
                <w:bCs/>
                <w:color w:val="000000"/>
                <w:kern w:val="0"/>
                <w:sz w:val="22"/>
                <w:lang w:bidi="ar"/>
              </w:rPr>
              <w:t>分值</w:t>
            </w:r>
          </w:p>
        </w:tc>
        <w:tc>
          <w:tcPr>
            <w:tcW w:w="20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b/>
                <w:bCs/>
                <w:color w:val="000000"/>
                <w:sz w:val="22"/>
              </w:rPr>
            </w:pPr>
            <w:r>
              <w:rPr>
                <w:rFonts w:hint="eastAsia" w:ascii="宋体" w:hAnsi="宋体" w:eastAsia="宋体" w:cs="宋体"/>
                <w:b/>
                <w:bCs/>
                <w:color w:val="000000"/>
                <w:kern w:val="0"/>
                <w:sz w:val="22"/>
                <w:lang w:bidi="ar"/>
              </w:rPr>
              <w:t>指标解释</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b/>
                <w:bCs/>
                <w:color w:val="000000"/>
                <w:sz w:val="22"/>
              </w:rPr>
            </w:pPr>
            <w:r>
              <w:rPr>
                <w:rFonts w:hint="eastAsia" w:ascii="宋体" w:hAnsi="宋体" w:eastAsia="宋体" w:cs="宋体"/>
                <w:b/>
                <w:bCs/>
                <w:color w:val="000000"/>
                <w:kern w:val="0"/>
                <w:sz w:val="22"/>
                <w:lang w:bidi="ar"/>
              </w:rPr>
              <w:t>评价要点</w:t>
            </w:r>
          </w:p>
        </w:tc>
      </w:tr>
      <w:tr>
        <w:tblPrEx>
          <w:tblCellMar>
            <w:top w:w="0" w:type="dxa"/>
            <w:left w:w="108" w:type="dxa"/>
            <w:bottom w:w="0" w:type="dxa"/>
            <w:right w:w="108" w:type="dxa"/>
          </w:tblCellMar>
        </w:tblPrEx>
        <w:trPr>
          <w:trHeight w:val="768"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决策　</w:t>
            </w: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项目立项　</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3</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立项依据充分性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1.5</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项目立项是否符合法律法规、相关政策、发展规划以及部门职责，用以反映和考核项目立项依据情况。</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①项目立项是否符合国家法律法规、国民经济发展规划和相关政策；</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②项目立项是否符合行业发展规划和政策要求；</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③项目立项是否与部门职责范围相符，属于部门履职所需；</w:t>
            </w:r>
          </w:p>
        </w:tc>
      </w:tr>
      <w:tr>
        <w:tblPrEx>
          <w:tblCellMar>
            <w:top w:w="0" w:type="dxa"/>
            <w:left w:w="108" w:type="dxa"/>
            <w:bottom w:w="0" w:type="dxa"/>
            <w:right w:w="108" w:type="dxa"/>
          </w:tblCellMar>
        </w:tblPrEx>
        <w:trPr>
          <w:trHeight w:val="955"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④项目是否属于公共财政支持范围，是否符合中央、地方事权支出责任划分原则；</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⑤项目是否与相关部门同类项目或部门内部相关项目重复。</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立项程序规范性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1.5</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项目申请、设立过程是否符合相关要求，用以反映和考核项目立项的规范情况。</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①项目是否按照规定的程序申请设立；</w:t>
            </w:r>
          </w:p>
        </w:tc>
      </w:tr>
      <w:tr>
        <w:tblPrEx>
          <w:tblCellMar>
            <w:top w:w="0" w:type="dxa"/>
            <w:left w:w="108" w:type="dxa"/>
            <w:bottom w:w="0" w:type="dxa"/>
            <w:right w:w="108" w:type="dxa"/>
          </w:tblCellMar>
        </w:tblPrEx>
        <w:trPr>
          <w:trHeight w:val="47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②审批文件、材料是否符合相关要求；</w:t>
            </w:r>
          </w:p>
        </w:tc>
      </w:tr>
      <w:tr>
        <w:tblPrEx>
          <w:tblCellMar>
            <w:top w:w="0" w:type="dxa"/>
            <w:left w:w="108" w:type="dxa"/>
            <w:bottom w:w="0" w:type="dxa"/>
            <w:right w:w="108" w:type="dxa"/>
          </w:tblCellMar>
        </w:tblPrEx>
        <w:trPr>
          <w:trHeight w:val="955"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③事前是否已经过必要的可行性研究、专家论证、风险评估、绩效评估、集体决策。</w:t>
            </w:r>
          </w:p>
        </w:tc>
      </w:tr>
      <w:tr>
        <w:tblPrEx>
          <w:tblCellMar>
            <w:top w:w="0" w:type="dxa"/>
            <w:left w:w="108" w:type="dxa"/>
            <w:bottom w:w="0" w:type="dxa"/>
            <w:right w:w="108" w:type="dxa"/>
          </w:tblCellMar>
        </w:tblPrEx>
        <w:trPr>
          <w:trHeight w:val="45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绩效目标　</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3</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绩效目标合理性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1.5</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项目设定的绩效目标是否依据充分，是否符合客观实际，用以反映和考核项目绩效目标与项目实施的相符情况。</w:t>
            </w:r>
          </w:p>
        </w:tc>
        <w:tc>
          <w:tcPr>
            <w:tcW w:w="4182" w:type="dxa"/>
            <w:tcBorders>
              <w:top w:val="single" w:color="000000" w:sz="4" w:space="0"/>
              <w:left w:val="single" w:color="000000" w:sz="4" w:space="0"/>
              <w:right w:val="single" w:color="000000" w:sz="4" w:space="0"/>
            </w:tcBorders>
            <w:shd w:val="clear" w:color="auto" w:fill="FFFFFF"/>
            <w:vAlign w:val="center"/>
          </w:tcPr>
          <w:p>
            <w:pPr>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①项目是否有绩效目标；</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②项目绩效目标与实际工作内容是否具有相关性；</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③项目预期产出效益和效果是否符合正常的业绩水平；</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④是否与预算确定的项目投资额或资金量相匹配。</w:t>
            </w:r>
          </w:p>
        </w:tc>
      </w:tr>
      <w:tr>
        <w:tblPrEx>
          <w:tblCellMar>
            <w:top w:w="0" w:type="dxa"/>
            <w:left w:w="108" w:type="dxa"/>
            <w:bottom w:w="0" w:type="dxa"/>
            <w:right w:w="108" w:type="dxa"/>
          </w:tblCellMar>
        </w:tblPrEx>
        <w:trPr>
          <w:trHeight w:val="102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绩效指标明确性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1.5</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依据绩效目标设定的绩效指标是否清晰、细化、可衡量等，用以反映和考核项目绩效目标的明细化情况。</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①是否将项目绩效目标细化分解为具体的绩效指标；</w:t>
            </w:r>
          </w:p>
        </w:tc>
      </w:tr>
      <w:tr>
        <w:tblPrEx>
          <w:tblCellMar>
            <w:top w:w="0" w:type="dxa"/>
            <w:left w:w="108" w:type="dxa"/>
            <w:bottom w:w="0" w:type="dxa"/>
            <w:right w:w="108" w:type="dxa"/>
          </w:tblCellMar>
        </w:tblPrEx>
        <w:trPr>
          <w:trHeight w:val="95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②是否通过清晰、可衡量的指标值予以体现；</w:t>
            </w:r>
          </w:p>
        </w:tc>
      </w:tr>
      <w:tr>
        <w:tblPrEx>
          <w:tblCellMar>
            <w:top w:w="0" w:type="dxa"/>
            <w:left w:w="108" w:type="dxa"/>
            <w:bottom w:w="0" w:type="dxa"/>
            <w:right w:w="108" w:type="dxa"/>
          </w:tblCellMar>
        </w:tblPrEx>
        <w:trPr>
          <w:trHeight w:val="7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③是否与项目目标任务数或计划数相对应。</w:t>
            </w:r>
          </w:p>
        </w:tc>
      </w:tr>
      <w:tr>
        <w:tblPrEx>
          <w:tblCellMar>
            <w:top w:w="0" w:type="dxa"/>
            <w:left w:w="108" w:type="dxa"/>
            <w:bottom w:w="0" w:type="dxa"/>
            <w:right w:w="108" w:type="dxa"/>
          </w:tblCellMar>
        </w:tblPrEx>
        <w:trPr>
          <w:trHeight w:val="47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资金投入</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4</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预算编制科学性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2</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项目预算编制是否经过科学论证、有明确标准，资金额度与年度目标是否相适应，用以反映和考核项目预算编制的科学性、合理性情况。</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①预算编制是否经过科学论证；</w:t>
            </w:r>
          </w:p>
        </w:tc>
      </w:tr>
      <w:tr>
        <w:tblPrEx>
          <w:tblCellMar>
            <w:top w:w="0" w:type="dxa"/>
            <w:left w:w="108" w:type="dxa"/>
            <w:bottom w:w="0" w:type="dxa"/>
            <w:right w:w="108" w:type="dxa"/>
          </w:tblCellMar>
        </w:tblPrEx>
        <w:trPr>
          <w:trHeight w:val="47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②预算内容与项目内容是否匹配；</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③预算额度测算依据是否充分，是否按照标准编制；</w:t>
            </w:r>
          </w:p>
        </w:tc>
      </w:tr>
      <w:tr>
        <w:tblPrEx>
          <w:tblCellMar>
            <w:top w:w="0" w:type="dxa"/>
            <w:left w:w="108" w:type="dxa"/>
            <w:bottom w:w="0" w:type="dxa"/>
            <w:right w:w="108" w:type="dxa"/>
          </w:tblCellMar>
        </w:tblPrEx>
        <w:trPr>
          <w:trHeight w:val="995"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④预算确定的项目投资额或资金量是否与工作任务相匹配。</w:t>
            </w:r>
          </w:p>
        </w:tc>
      </w:tr>
      <w:tr>
        <w:tblPrEx>
          <w:tblCellMar>
            <w:top w:w="0" w:type="dxa"/>
            <w:left w:w="108" w:type="dxa"/>
            <w:bottom w:w="0" w:type="dxa"/>
            <w:right w:w="108" w:type="dxa"/>
          </w:tblCellMar>
        </w:tblPrEx>
        <w:trPr>
          <w:trHeight w:val="123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资金分配合理性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2</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项目预算资金分配是否有测算依据，与补助单位或地方实际是否相适应，用以反映和考核项目预算资金分配的科学性、合理性情况。</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①预算资金分配依据是否充分；</w:t>
            </w:r>
          </w:p>
        </w:tc>
      </w:tr>
      <w:tr>
        <w:tblPrEx>
          <w:tblCellMar>
            <w:top w:w="0" w:type="dxa"/>
            <w:left w:w="108" w:type="dxa"/>
            <w:bottom w:w="0" w:type="dxa"/>
            <w:right w:w="108" w:type="dxa"/>
          </w:tblCellMar>
        </w:tblPrEx>
        <w:trPr>
          <w:trHeight w:val="148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②资金分配额度是否合理，与项目单位或地方实际是否相适应。</w:t>
            </w:r>
          </w:p>
        </w:tc>
      </w:tr>
      <w:tr>
        <w:tblPrEx>
          <w:tblCellMar>
            <w:top w:w="0" w:type="dxa"/>
            <w:left w:w="108" w:type="dxa"/>
            <w:bottom w:w="0" w:type="dxa"/>
            <w:right w:w="108" w:type="dxa"/>
          </w:tblCellMar>
        </w:tblPrEx>
        <w:trPr>
          <w:trHeight w:val="60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过程</w:t>
            </w: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资金管理</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kern w:val="0"/>
                <w:sz w:val="22"/>
                <w:lang w:val="en-US" w:eastAsia="zh-CN" w:bidi="ar"/>
              </w:rPr>
              <w:t>8</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资金到位率</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2</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实际到位资金与预算资金的比率，用以反映和考核资金落实情况对项目实施的总体保障程度。</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资金到位率=（实际到位资金/预算资金）×100%。</w:t>
            </w:r>
          </w:p>
        </w:tc>
      </w:tr>
      <w:tr>
        <w:tblPrEx>
          <w:tblCellMar>
            <w:top w:w="0" w:type="dxa"/>
            <w:left w:w="108" w:type="dxa"/>
            <w:bottom w:w="0" w:type="dxa"/>
            <w:right w:w="108" w:type="dxa"/>
          </w:tblCellMar>
        </w:tblPrEx>
        <w:trPr>
          <w:trHeight w:val="85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实际到位资金：一定时期（本年度或项目期）内落实到具体项目的资金。</w:t>
            </w:r>
          </w:p>
        </w:tc>
      </w:tr>
      <w:tr>
        <w:tblPrEx>
          <w:tblCellMar>
            <w:top w:w="0" w:type="dxa"/>
            <w:left w:w="108" w:type="dxa"/>
            <w:bottom w:w="0" w:type="dxa"/>
            <w:right w:w="108" w:type="dxa"/>
          </w:tblCellMar>
        </w:tblPrEx>
        <w:trPr>
          <w:trHeight w:val="116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预算资金：一定时期（本年度或项目期）内预算安排到具体项目的资金。</w:t>
            </w:r>
          </w:p>
        </w:tc>
      </w:tr>
      <w:tr>
        <w:tblPrEx>
          <w:tblCellMar>
            <w:top w:w="0" w:type="dxa"/>
            <w:left w:w="108" w:type="dxa"/>
            <w:bottom w:w="0" w:type="dxa"/>
            <w:right w:w="108" w:type="dxa"/>
          </w:tblCellMar>
        </w:tblPrEx>
        <w:trPr>
          <w:trHeight w:val="9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预算执行率</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2</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项目预算资金是否按照计划执行，用以反映或考核项目预算执行情况。</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预算执行率=（实际支出资金/实际到位资金）×100%。</w:t>
            </w:r>
          </w:p>
        </w:tc>
      </w:tr>
      <w:tr>
        <w:tblPrEx>
          <w:tblCellMar>
            <w:top w:w="0" w:type="dxa"/>
            <w:left w:w="108" w:type="dxa"/>
            <w:bottom w:w="0" w:type="dxa"/>
            <w:right w:w="108" w:type="dxa"/>
          </w:tblCellMar>
        </w:tblPrEx>
        <w:trPr>
          <w:trHeight w:val="76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kern w:val="0"/>
                <w:sz w:val="22"/>
                <w:lang w:bidi="ar"/>
              </w:rPr>
            </w:pPr>
            <w:r>
              <w:rPr>
                <w:rFonts w:hint="eastAsia" w:ascii="宋体" w:hAnsi="宋体" w:eastAsia="宋体" w:cs="宋体"/>
                <w:color w:val="000000"/>
                <w:kern w:val="0"/>
                <w:sz w:val="22"/>
                <w:lang w:bidi="ar"/>
              </w:rPr>
              <w:t>实际支出资金：一定时期（本年度或项目期）内项目实际拨付的资金。</w:t>
            </w:r>
          </w:p>
        </w:tc>
      </w:tr>
      <w:tr>
        <w:tblPrEx>
          <w:tblCellMar>
            <w:top w:w="0" w:type="dxa"/>
            <w:left w:w="108" w:type="dxa"/>
            <w:bottom w:w="0" w:type="dxa"/>
            <w:right w:w="108" w:type="dxa"/>
          </w:tblCellMar>
        </w:tblPrEx>
        <w:trPr>
          <w:trHeight w:val="955"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资金使用合规性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kern w:val="0"/>
                <w:sz w:val="22"/>
                <w:lang w:val="en-US" w:eastAsia="zh-CN" w:bidi="ar"/>
              </w:rPr>
              <w:t>4</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项目资金使用是否符合相关的财务管理制度规定，用以反映和考核项目资金的规范运行情况。</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①是否符合国家财经法规和财务管理制度以及有关专项资金管理办法的规定；</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②资金的拨付是否有完整的审批程序和手续；</w:t>
            </w:r>
          </w:p>
        </w:tc>
      </w:tr>
      <w:tr>
        <w:tblPrEx>
          <w:tblCellMar>
            <w:top w:w="0" w:type="dxa"/>
            <w:left w:w="108" w:type="dxa"/>
            <w:bottom w:w="0" w:type="dxa"/>
            <w:right w:w="108" w:type="dxa"/>
          </w:tblCellMar>
        </w:tblPrEx>
        <w:trPr>
          <w:trHeight w:val="6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③是否符合项目预算批复或合同规定的用途；</w:t>
            </w:r>
          </w:p>
        </w:tc>
      </w:tr>
      <w:tr>
        <w:tblPrEx>
          <w:tblCellMar>
            <w:top w:w="0" w:type="dxa"/>
            <w:left w:w="108" w:type="dxa"/>
            <w:bottom w:w="0" w:type="dxa"/>
            <w:right w:w="108" w:type="dxa"/>
          </w:tblCellMar>
        </w:tblPrEx>
        <w:trPr>
          <w:trHeight w:val="7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④是否存在截留、挤占、挪用、虚列支出等情况。</w:t>
            </w:r>
          </w:p>
        </w:tc>
      </w:tr>
      <w:tr>
        <w:tblPrEx>
          <w:tblCellMar>
            <w:top w:w="0" w:type="dxa"/>
            <w:left w:w="108" w:type="dxa"/>
            <w:bottom w:w="0" w:type="dxa"/>
            <w:right w:w="108" w:type="dxa"/>
          </w:tblCellMar>
        </w:tblPrEx>
        <w:trPr>
          <w:trHeight w:val="109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组织实施</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kern w:val="0"/>
                <w:sz w:val="22"/>
                <w:lang w:bidi="ar"/>
              </w:rPr>
              <w:t>1</w:t>
            </w:r>
            <w:r>
              <w:rPr>
                <w:rFonts w:hint="eastAsia" w:ascii="宋体" w:hAnsi="宋体" w:eastAsia="宋体" w:cs="宋体"/>
                <w:color w:val="000000"/>
                <w:kern w:val="0"/>
                <w:sz w:val="22"/>
                <w:lang w:val="en-US" w:eastAsia="zh-CN" w:bidi="ar"/>
              </w:rPr>
              <w:t>2</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管理制度健全性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kern w:val="0"/>
                <w:sz w:val="22"/>
                <w:lang w:val="en-US" w:eastAsia="zh-CN" w:bidi="ar"/>
              </w:rPr>
              <w:t>4</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项目实施单位的财务和业务管理制度是否健全，用以反映和考核财务和业务管理制度对项目顺利实施的保障情况。</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①是否已制定或具有相应的财务和业务管理制度；</w:t>
            </w:r>
          </w:p>
        </w:tc>
      </w:tr>
      <w:tr>
        <w:tblPrEx>
          <w:tblCellMar>
            <w:top w:w="0" w:type="dxa"/>
            <w:left w:w="108" w:type="dxa"/>
            <w:bottom w:w="0" w:type="dxa"/>
            <w:right w:w="108" w:type="dxa"/>
          </w:tblCellMar>
        </w:tblPrEx>
        <w:trPr>
          <w:trHeight w:val="106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②财务和业务管理制度是否合法、合规、完整。</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制度执行有效性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lang w:eastAsia="zh-CN"/>
              </w:rPr>
            </w:pPr>
            <w:r>
              <w:rPr>
                <w:rFonts w:hint="eastAsia" w:ascii="宋体" w:hAnsi="宋体" w:eastAsia="宋体" w:cs="宋体"/>
                <w:color w:val="000000"/>
                <w:kern w:val="0"/>
                <w:sz w:val="22"/>
                <w:lang w:val="en-US" w:eastAsia="zh-CN" w:bidi="ar"/>
              </w:rPr>
              <w:t>8</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项目实施是否符合相关管理规定，用以反映和考核相关管理制度的有效执行情况。</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①是否遵守相关法律法规和相关管理规定；</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②项目调整及支出调整手续是否完备；</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③项目合同书、验收报告、技术鉴定等资料是否齐全并及时归档；</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④项目实施的人员条件、场地设备、信息支撑等是否落实到位。</w:t>
            </w:r>
          </w:p>
        </w:tc>
      </w:tr>
      <w:tr>
        <w:tblPrEx>
          <w:tblCellMar>
            <w:top w:w="0" w:type="dxa"/>
            <w:left w:w="108" w:type="dxa"/>
            <w:bottom w:w="0" w:type="dxa"/>
            <w:right w:w="108" w:type="dxa"/>
          </w:tblCellMar>
        </w:tblPrEx>
        <w:trPr>
          <w:trHeight w:val="640"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产出</w:t>
            </w: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产出数量</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12</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实际完成率</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12</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项目实施的实际产出数与计划产出数的比率，用以反映和考核项目产出数量目标的实现程度。</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实际完成率=（实际产出数/计划产出数）×100%。</w:t>
            </w:r>
          </w:p>
        </w:tc>
      </w:tr>
      <w:tr>
        <w:tblPrEx>
          <w:tblCellMar>
            <w:top w:w="0" w:type="dxa"/>
            <w:left w:w="108" w:type="dxa"/>
            <w:bottom w:w="0" w:type="dxa"/>
            <w:right w:w="108" w:type="dxa"/>
          </w:tblCellMar>
        </w:tblPrEx>
        <w:trPr>
          <w:trHeight w:val="955"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实际产出数：一定时期（本年度或项目期）内项目实际产出的产品或提供的服务数量。</w:t>
            </w:r>
          </w:p>
        </w:tc>
      </w:tr>
      <w:tr>
        <w:tblPrEx>
          <w:tblCellMar>
            <w:top w:w="0" w:type="dxa"/>
            <w:left w:w="108" w:type="dxa"/>
            <w:bottom w:w="0" w:type="dxa"/>
            <w:right w:w="108" w:type="dxa"/>
          </w:tblCellMar>
        </w:tblPrEx>
        <w:trPr>
          <w:trHeight w:val="112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计划产出数：项目绩效目标确定的在一定时期（本年度或项目期）内计划产出的产品或提供的服务数量。</w:t>
            </w:r>
          </w:p>
        </w:tc>
      </w:tr>
      <w:tr>
        <w:tblPrEx>
          <w:tblCellMar>
            <w:top w:w="0" w:type="dxa"/>
            <w:left w:w="108" w:type="dxa"/>
            <w:bottom w:w="0" w:type="dxa"/>
            <w:right w:w="108" w:type="dxa"/>
          </w:tblCellMar>
        </w:tblPrEx>
        <w:trPr>
          <w:trHeight w:val="64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产出质量</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12</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质量达标率</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12</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项目完成的质量达标产出数与实际产出数的比率，用以反映和考核项目产出质量目标的实现程度。</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质量达标率=（质量达标产出数/实际产出数）×100%。</w:t>
            </w:r>
          </w:p>
        </w:tc>
      </w:tr>
      <w:tr>
        <w:tblPrEx>
          <w:tblCellMar>
            <w:top w:w="0" w:type="dxa"/>
            <w:left w:w="108" w:type="dxa"/>
            <w:bottom w:w="0" w:type="dxa"/>
            <w:right w:w="108" w:type="dxa"/>
          </w:tblCellMar>
        </w:tblPrEx>
        <w:trPr>
          <w:trHeight w:val="190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CellMar>
            <w:top w:w="0" w:type="dxa"/>
            <w:left w:w="108" w:type="dxa"/>
            <w:bottom w:w="0" w:type="dxa"/>
            <w:right w:w="108" w:type="dxa"/>
          </w:tblCellMar>
        </w:tblPrEx>
        <w:trPr>
          <w:trHeight w:val="78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产出时效</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8</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完成及时性</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8</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项目实际完成时间与计划完成时间的比较，用以反映和考核项目产出时效目标的实现程度。</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实际完成时间：项目实施单位完成该项目实际所耗用的时间。</w:t>
            </w:r>
          </w:p>
        </w:tc>
      </w:tr>
      <w:tr>
        <w:tblPrEx>
          <w:tblCellMar>
            <w:top w:w="0" w:type="dxa"/>
            <w:left w:w="108" w:type="dxa"/>
            <w:bottom w:w="0" w:type="dxa"/>
            <w:right w:w="108" w:type="dxa"/>
          </w:tblCellMar>
        </w:tblPrEx>
        <w:trPr>
          <w:trHeight w:val="945"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计划完成时间：按照项目实施计划或相关规定完成该项目所需的时间。</w:t>
            </w:r>
          </w:p>
        </w:tc>
      </w:tr>
      <w:tr>
        <w:tblPrEx>
          <w:tblCellMar>
            <w:top w:w="0" w:type="dxa"/>
            <w:left w:w="108" w:type="dxa"/>
            <w:bottom w:w="0" w:type="dxa"/>
            <w:right w:w="108" w:type="dxa"/>
          </w:tblCellMar>
        </w:tblPrEx>
        <w:trPr>
          <w:trHeight w:val="71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产出成本</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8</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成本节约率</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8</w:t>
            </w:r>
          </w:p>
        </w:tc>
        <w:tc>
          <w:tcPr>
            <w:tcW w:w="20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完成项目计划工作目标的实际节约成本与计划成本的比率，用以反映和考核项目的成本节约程度。</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成本节约率=[（计划成本-实际成本）/计划成本]×100%。</w:t>
            </w:r>
          </w:p>
        </w:tc>
      </w:tr>
      <w:tr>
        <w:tblPrEx>
          <w:tblCellMar>
            <w:top w:w="0" w:type="dxa"/>
            <w:left w:w="108" w:type="dxa"/>
            <w:bottom w:w="0" w:type="dxa"/>
            <w:right w:w="108" w:type="dxa"/>
          </w:tblCellMar>
        </w:tblPrEx>
        <w:trPr>
          <w:trHeight w:val="81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实际成本：项目实施单位如期、保质、保量完成既定工作目标实际所耗费的支出。</w:t>
            </w:r>
          </w:p>
        </w:tc>
      </w:tr>
      <w:tr>
        <w:tblPrEx>
          <w:tblCellMar>
            <w:top w:w="0" w:type="dxa"/>
            <w:left w:w="108" w:type="dxa"/>
            <w:bottom w:w="0" w:type="dxa"/>
            <w:right w:w="108" w:type="dxa"/>
          </w:tblCellMar>
        </w:tblPrEx>
        <w:trPr>
          <w:trHeight w:val="78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20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计划成本：项目实施单位为完成工作目标计划安排的支出，一般以项目预算为参考。</w:t>
            </w:r>
          </w:p>
        </w:tc>
      </w:tr>
      <w:tr>
        <w:tblPrEx>
          <w:tblCellMar>
            <w:top w:w="0" w:type="dxa"/>
            <w:left w:w="108" w:type="dxa"/>
            <w:bottom w:w="0" w:type="dxa"/>
            <w:right w:w="108" w:type="dxa"/>
          </w:tblCellMar>
        </w:tblPrEx>
        <w:trPr>
          <w:trHeight w:val="1080"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效益　</w:t>
            </w: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项目效益　</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30</w:t>
            </w:r>
          </w:p>
        </w:tc>
        <w:tc>
          <w:tcPr>
            <w:tcW w:w="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实施效益</w:t>
            </w:r>
          </w:p>
        </w:tc>
        <w:tc>
          <w:tcPr>
            <w:tcW w:w="6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20</w:t>
            </w:r>
          </w:p>
        </w:tc>
        <w:tc>
          <w:tcPr>
            <w:tcW w:w="20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项目实施所产生的效益。</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left"/>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项目实施所产生的社会效益、经济效益、生态效益、可持续影响等。可根据项目实际情况有选择地设置和细化。</w:t>
            </w:r>
          </w:p>
        </w:tc>
      </w:tr>
      <w:tr>
        <w:tblPrEx>
          <w:tblCellMar>
            <w:top w:w="0" w:type="dxa"/>
            <w:left w:w="108" w:type="dxa"/>
            <w:bottom w:w="0" w:type="dxa"/>
            <w:right w:w="108" w:type="dxa"/>
          </w:tblCellMar>
        </w:tblPrEx>
        <w:trPr>
          <w:trHeight w:val="115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240" w:lineRule="auto"/>
              <w:jc w:val="center"/>
              <w:rPr>
                <w:rFonts w:hint="eastAsia" w:ascii="宋体" w:hAnsi="宋体" w:eastAsia="宋体" w:cs="宋体"/>
                <w:color w:val="000000"/>
                <w:sz w:val="22"/>
              </w:rPr>
            </w:pPr>
          </w:p>
        </w:tc>
        <w:tc>
          <w:tcPr>
            <w:tcW w:w="7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满意度</w:t>
            </w:r>
          </w:p>
        </w:tc>
        <w:tc>
          <w:tcPr>
            <w:tcW w:w="6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10</w:t>
            </w:r>
          </w:p>
        </w:tc>
        <w:tc>
          <w:tcPr>
            <w:tcW w:w="20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社会公众或服务对象对项目实施效果的满意程度。</w:t>
            </w:r>
          </w:p>
        </w:tc>
        <w:tc>
          <w:tcPr>
            <w:tcW w:w="4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textAlignment w:val="center"/>
              <w:rPr>
                <w:rFonts w:hint="eastAsia" w:ascii="宋体" w:hAnsi="宋体" w:eastAsia="宋体" w:cs="宋体"/>
                <w:color w:val="000000"/>
                <w:sz w:val="22"/>
              </w:rPr>
            </w:pPr>
            <w:r>
              <w:rPr>
                <w:rFonts w:hint="eastAsia" w:ascii="宋体" w:hAnsi="宋体" w:eastAsia="宋体" w:cs="宋体"/>
                <w:color w:val="000000"/>
                <w:kern w:val="0"/>
                <w:sz w:val="22"/>
                <w:lang w:bidi="ar"/>
              </w:rPr>
              <w:t>社会公众或服务对象是指因该项目实施而受到影响的部门（单位）、群体或个人。一般采取社会调查的方式。</w:t>
            </w:r>
          </w:p>
        </w:tc>
      </w:tr>
    </w:tbl>
    <w:p>
      <w:pPr>
        <w:rPr>
          <w:rFonts w:hint="eastAsia"/>
        </w:rPr>
      </w:pPr>
      <w:bookmarkStart w:id="9" w:name="_Toc102746355"/>
    </w:p>
    <w:p>
      <w:pPr>
        <w:pStyle w:val="3"/>
        <w:ind w:firstLine="640"/>
        <w:rPr>
          <w:rFonts w:ascii="楷体" w:hAnsi="楷体" w:eastAsia="楷体"/>
          <w:b w:val="0"/>
        </w:rPr>
      </w:pPr>
      <w:r>
        <w:rPr>
          <w:rFonts w:hint="eastAsia" w:ascii="楷体" w:hAnsi="楷体" w:eastAsia="楷体"/>
          <w:b w:val="0"/>
        </w:rPr>
        <w:t>（四）绩效评价工作过程</w:t>
      </w:r>
      <w:bookmarkEnd w:id="9"/>
    </w:p>
    <w:p>
      <w:pPr>
        <w:spacing w:line="360" w:lineRule="auto"/>
        <w:ind w:firstLine="640" w:firstLineChars="200"/>
        <w:rPr>
          <w:rFonts w:hint="eastAsia"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本次绩效评价的程序包括评价准备、评价实施、撰写评价报告三个阶段，具体为：</w:t>
      </w:r>
    </w:p>
    <w:p>
      <w:pPr>
        <w:spacing w:line="360" w:lineRule="auto"/>
        <w:ind w:firstLine="640" w:firstLineChars="200"/>
        <w:rPr>
          <w:rFonts w:hint="eastAsia"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1.评价准备阶段。评价组收集、审核项目资料，制定绩效工作方案，明确评价工作程序、评价方法及指标体系等内容，在此基础上设计底稿和细化评价实施具体工作安排。</w:t>
      </w:r>
    </w:p>
    <w:p>
      <w:pPr>
        <w:spacing w:line="360" w:lineRule="auto"/>
        <w:ind w:firstLine="640" w:firstLineChars="200"/>
        <w:rPr>
          <w:rFonts w:hint="eastAsia"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2.评价实施阶段。通过基础数据核实、专家评审等多种方式，审核</w:t>
      </w:r>
      <w:r>
        <w:rPr>
          <w:rFonts w:hint="eastAsia" w:ascii="仿宋_GB2312" w:hAnsi="Times New Roman" w:eastAsia="仿宋_GB2312" w:cs="Times New Roman"/>
          <w:color w:val="000000"/>
          <w:kern w:val="0"/>
          <w:sz w:val="32"/>
          <w:szCs w:val="32"/>
          <w:lang w:val="en-US" w:eastAsia="zh-CN"/>
        </w:rPr>
        <w:t>信息系统运维类项目</w:t>
      </w:r>
      <w:r>
        <w:rPr>
          <w:rFonts w:hint="eastAsia" w:ascii="仿宋_GB2312" w:hAnsi="Times New Roman" w:eastAsia="仿宋_GB2312" w:cs="Times New Roman"/>
          <w:color w:val="000000"/>
          <w:kern w:val="0"/>
          <w:sz w:val="32"/>
          <w:szCs w:val="32"/>
        </w:rPr>
        <w:t>支出决策的科学合理性、过程管理的规范性、产出和效益的实现程度，在此基础上形成初步评价结论。</w:t>
      </w:r>
    </w:p>
    <w:p>
      <w:pPr>
        <w:spacing w:line="360" w:lineRule="auto"/>
        <w:ind w:firstLine="640" w:firstLineChars="200"/>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3.撰写评价报告阶段。综合前期资料审核和分析、专家评价意见等情况，初步形成绩效评价结论，报</w:t>
      </w:r>
      <w:r>
        <w:rPr>
          <w:rFonts w:hint="eastAsia" w:ascii="仿宋_GB2312" w:hAnsi="Times New Roman" w:eastAsia="仿宋_GB2312" w:cs="Times New Roman"/>
          <w:color w:val="000000"/>
          <w:kern w:val="0"/>
          <w:sz w:val="32"/>
          <w:szCs w:val="32"/>
          <w:lang w:val="en-US" w:eastAsia="zh-CN"/>
        </w:rPr>
        <w:t>市信访办</w:t>
      </w:r>
      <w:r>
        <w:rPr>
          <w:rFonts w:hint="eastAsia" w:ascii="仿宋_GB2312" w:hAnsi="Times New Roman" w:eastAsia="仿宋_GB2312" w:cs="Times New Roman"/>
          <w:color w:val="000000"/>
          <w:kern w:val="0"/>
          <w:sz w:val="32"/>
          <w:szCs w:val="32"/>
        </w:rPr>
        <w:t>审核，根据审核意见修改完善绩效评价结论，撰写绩效评价报告。</w:t>
      </w:r>
    </w:p>
    <w:p>
      <w:pPr>
        <w:pStyle w:val="2"/>
        <w:spacing w:line="360" w:lineRule="auto"/>
        <w:ind w:firstLine="640"/>
        <w:rPr>
          <w:rFonts w:ascii="黑体" w:hAnsi="黑体" w:eastAsia="黑体" w:cs="Times New Roman"/>
          <w:b w:val="0"/>
          <w:sz w:val="32"/>
          <w:szCs w:val="32"/>
        </w:rPr>
      </w:pPr>
      <w:bookmarkStart w:id="10" w:name="_Toc102746356"/>
      <w:r>
        <w:rPr>
          <w:rFonts w:hint="eastAsia" w:ascii="黑体" w:hAnsi="黑体" w:eastAsia="黑体" w:cs="Times New Roman"/>
          <w:b w:val="0"/>
          <w:sz w:val="32"/>
          <w:szCs w:val="32"/>
        </w:rPr>
        <w:t>三、综合评价情况及评价结论</w:t>
      </w:r>
      <w:bookmarkEnd w:id="10"/>
    </w:p>
    <w:p>
      <w:pPr>
        <w:spacing w:line="360" w:lineRule="auto"/>
        <w:ind w:firstLine="640" w:firstLineChars="200"/>
        <w:jc w:val="left"/>
        <w:rPr>
          <w:rFonts w:hint="eastAsia"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评价组认为，该项目的设立与</w:t>
      </w:r>
      <w:r>
        <w:rPr>
          <w:rFonts w:hint="eastAsia" w:ascii="仿宋_GB2312" w:hAnsi="Times New Roman" w:eastAsia="仿宋_GB2312" w:cs="Times New Roman"/>
          <w:color w:val="000000"/>
          <w:kern w:val="0"/>
          <w:sz w:val="32"/>
          <w:szCs w:val="32"/>
          <w:lang w:eastAsia="zh-CN"/>
        </w:rPr>
        <w:t>市信访办</w:t>
      </w:r>
      <w:r>
        <w:rPr>
          <w:rFonts w:hint="eastAsia" w:ascii="仿宋_GB2312" w:hAnsi="Times New Roman" w:eastAsia="仿宋_GB2312" w:cs="Times New Roman"/>
          <w:color w:val="000000"/>
          <w:kern w:val="0"/>
          <w:sz w:val="32"/>
          <w:szCs w:val="32"/>
        </w:rPr>
        <w:t>部门职责相符，与《北京市网上信访信息系统使用管理制度（试行）》《北京</w:t>
      </w:r>
      <w:r>
        <w:rPr>
          <w:rFonts w:hint="eastAsia" w:ascii="仿宋_GB2312" w:hAnsi="Times New Roman" w:eastAsia="仿宋_GB2312" w:cs="Times New Roman"/>
          <w:color w:val="000000"/>
          <w:kern w:val="0"/>
          <w:sz w:val="32"/>
          <w:szCs w:val="32"/>
          <w:lang w:val="en-US" w:eastAsia="zh-CN"/>
        </w:rPr>
        <w:t>市</w:t>
      </w:r>
      <w:r>
        <w:rPr>
          <w:rFonts w:hint="eastAsia" w:ascii="仿宋_GB2312" w:hAnsi="Times New Roman" w:eastAsia="仿宋_GB2312" w:cs="Times New Roman"/>
          <w:color w:val="000000"/>
          <w:kern w:val="0"/>
          <w:sz w:val="32"/>
          <w:szCs w:val="32"/>
        </w:rPr>
        <w:t>信访办信息化建设管理办法》相契合，立项依据充分、程序规范，预算编制科学，资金分配合理，部门内部财务等管理制度能够支撑项目规范实施。该项目属于延续性项目，有效保障了</w:t>
      </w:r>
      <w:r>
        <w:rPr>
          <w:rFonts w:hint="eastAsia" w:ascii="仿宋_GB2312" w:hAnsi="Times New Roman" w:eastAsia="仿宋_GB2312" w:cs="Times New Roman"/>
          <w:color w:val="000000"/>
          <w:kern w:val="0"/>
          <w:sz w:val="32"/>
          <w:szCs w:val="32"/>
          <w:lang w:eastAsia="zh-CN"/>
        </w:rPr>
        <w:t>市信访办</w:t>
      </w:r>
      <w:r>
        <w:rPr>
          <w:rFonts w:hint="eastAsia" w:ascii="仿宋_GB2312" w:hAnsi="Times New Roman" w:eastAsia="仿宋_GB2312" w:cs="Times New Roman"/>
          <w:color w:val="000000"/>
          <w:kern w:val="0"/>
          <w:sz w:val="32"/>
          <w:szCs w:val="32"/>
        </w:rPr>
        <w:t>对</w:t>
      </w:r>
      <w:r>
        <w:rPr>
          <w:rFonts w:hint="eastAsia" w:ascii="仿宋_GB2312" w:hAnsi="Times New Roman" w:eastAsia="仿宋_GB2312" w:cs="Times New Roman"/>
          <w:color w:val="000000"/>
          <w:kern w:val="0"/>
          <w:sz w:val="32"/>
          <w:szCs w:val="32"/>
          <w:lang w:val="en-US" w:eastAsia="zh-CN"/>
        </w:rPr>
        <w:t>信息系统及安防系统的运维工作</w:t>
      </w:r>
      <w:r>
        <w:rPr>
          <w:rFonts w:hint="eastAsia" w:ascii="仿宋_GB2312" w:hAnsi="Times New Roman" w:eastAsia="仿宋_GB2312" w:cs="Times New Roman"/>
          <w:color w:val="000000"/>
          <w:kern w:val="0"/>
          <w:sz w:val="32"/>
          <w:szCs w:val="32"/>
        </w:rPr>
        <w:t>，为部门提供了良好的履职基础。</w:t>
      </w:r>
    </w:p>
    <w:p>
      <w:pPr>
        <w:spacing w:line="360" w:lineRule="auto"/>
        <w:ind w:firstLine="640" w:firstLineChars="200"/>
        <w:jc w:val="left"/>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但评价发现该项目在实施中存在绩效目标合理性不足、</w:t>
      </w:r>
      <w:r>
        <w:rPr>
          <w:rFonts w:hint="eastAsia" w:ascii="仿宋_GB2312" w:hAnsi="Times New Roman" w:eastAsia="仿宋_GB2312" w:cs="Times New Roman"/>
          <w:color w:val="000000"/>
          <w:kern w:val="0"/>
          <w:sz w:val="32"/>
          <w:szCs w:val="32"/>
          <w:lang w:val="en-US" w:eastAsia="zh-CN"/>
        </w:rPr>
        <w:t>招标管理、</w:t>
      </w:r>
      <w:r>
        <w:rPr>
          <w:rFonts w:hint="eastAsia" w:ascii="仿宋_GB2312" w:hAnsi="Times New Roman" w:eastAsia="仿宋_GB2312" w:cs="Times New Roman"/>
          <w:color w:val="000000"/>
          <w:kern w:val="0"/>
          <w:sz w:val="32"/>
          <w:szCs w:val="32"/>
        </w:rPr>
        <w:t>合同管理不规范</w:t>
      </w:r>
      <w:r>
        <w:rPr>
          <w:rFonts w:hint="eastAsia" w:ascii="仿宋_GB2312" w:hAnsi="Times New Roman" w:eastAsia="仿宋_GB2312" w:cs="Times New Roman"/>
          <w:color w:val="000000"/>
          <w:kern w:val="0"/>
          <w:sz w:val="32"/>
          <w:szCs w:val="32"/>
          <w:lang w:val="en-US" w:eastAsia="zh-CN"/>
        </w:rPr>
        <w:t>等问题</w:t>
      </w:r>
      <w:r>
        <w:rPr>
          <w:rFonts w:hint="eastAsia" w:ascii="仿宋_GB2312" w:hAnsi="Times New Roman" w:eastAsia="仿宋_GB2312" w:cs="Times New Roman"/>
          <w:color w:val="000000"/>
          <w:kern w:val="0"/>
          <w:sz w:val="32"/>
          <w:szCs w:val="32"/>
        </w:rPr>
        <w:t>。</w:t>
      </w:r>
    </w:p>
    <w:p>
      <w:pPr>
        <w:spacing w:line="360" w:lineRule="auto"/>
        <w:ind w:firstLine="640" w:firstLineChars="200"/>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经</w:t>
      </w:r>
      <w:r>
        <w:rPr>
          <w:rFonts w:ascii="仿宋_GB2312" w:hAnsi="Times New Roman" w:eastAsia="仿宋_GB2312" w:cs="Times New Roman"/>
          <w:color w:val="000000"/>
          <w:kern w:val="0"/>
          <w:sz w:val="32"/>
          <w:szCs w:val="32"/>
        </w:rPr>
        <w:t>全面分析，综合评价该项目得分</w:t>
      </w:r>
      <w:r>
        <w:rPr>
          <w:rFonts w:hint="eastAsia" w:ascii="仿宋_GB2312" w:hAnsi="Times New Roman" w:eastAsia="仿宋_GB2312" w:cs="Times New Roman"/>
          <w:color w:val="000000"/>
          <w:kern w:val="0"/>
          <w:sz w:val="32"/>
          <w:szCs w:val="32"/>
        </w:rPr>
        <w:t>9</w:t>
      </w:r>
      <w:r>
        <w:rPr>
          <w:rFonts w:hint="eastAsia" w:ascii="仿宋_GB2312" w:hAnsi="Times New Roman" w:eastAsia="仿宋_GB2312" w:cs="Times New Roman"/>
          <w:color w:val="000000"/>
          <w:kern w:val="0"/>
          <w:sz w:val="32"/>
          <w:szCs w:val="32"/>
          <w:lang w:val="en-US" w:eastAsia="zh-CN"/>
        </w:rPr>
        <w:t>2</w:t>
      </w:r>
      <w:r>
        <w:rPr>
          <w:rFonts w:hint="eastAsia" w:ascii="仿宋_GB2312" w:hAnsi="Times New Roman" w:eastAsia="仿宋_GB2312" w:cs="Times New Roman"/>
          <w:color w:val="000000"/>
          <w:kern w:val="0"/>
          <w:sz w:val="32"/>
          <w:szCs w:val="32"/>
        </w:rPr>
        <w:t>.</w:t>
      </w:r>
      <w:r>
        <w:rPr>
          <w:rFonts w:hint="eastAsia" w:ascii="仿宋_GB2312" w:hAnsi="Times New Roman" w:eastAsia="仿宋_GB2312" w:cs="Times New Roman"/>
          <w:color w:val="000000"/>
          <w:kern w:val="0"/>
          <w:sz w:val="32"/>
          <w:szCs w:val="32"/>
          <w:lang w:val="en-US" w:eastAsia="zh-CN"/>
        </w:rPr>
        <w:t>97</w:t>
      </w:r>
      <w:r>
        <w:rPr>
          <w:rFonts w:ascii="仿宋_GB2312" w:hAnsi="Times New Roman" w:eastAsia="仿宋_GB2312" w:cs="Times New Roman"/>
          <w:color w:val="000000"/>
          <w:kern w:val="0"/>
          <w:sz w:val="32"/>
          <w:szCs w:val="32"/>
        </w:rPr>
        <w:t>分，绩效级别评定为“</w:t>
      </w:r>
      <w:r>
        <w:rPr>
          <w:rFonts w:hint="eastAsia" w:ascii="仿宋_GB2312" w:hAnsi="Times New Roman" w:eastAsia="仿宋_GB2312" w:cs="Times New Roman"/>
          <w:color w:val="000000"/>
          <w:kern w:val="0"/>
          <w:sz w:val="32"/>
          <w:szCs w:val="32"/>
        </w:rPr>
        <w:t>优秀</w:t>
      </w:r>
      <w:r>
        <w:rPr>
          <w:rFonts w:ascii="仿宋_GB2312" w:hAnsi="Times New Roman" w:eastAsia="仿宋_GB2312" w:cs="Times New Roman"/>
          <w:color w:val="000000"/>
          <w:kern w:val="0"/>
          <w:sz w:val="32"/>
          <w:szCs w:val="32"/>
        </w:rPr>
        <w:t>”。其中，项目决策平均得分</w:t>
      </w:r>
      <w:r>
        <w:rPr>
          <w:rFonts w:hint="eastAsia" w:ascii="仿宋_GB2312" w:hAnsi="Times New Roman" w:eastAsia="仿宋_GB2312" w:cs="Times New Roman"/>
          <w:color w:val="000000"/>
          <w:kern w:val="0"/>
          <w:sz w:val="32"/>
          <w:szCs w:val="32"/>
          <w:lang w:val="en-US" w:eastAsia="zh-CN"/>
        </w:rPr>
        <w:t>9.50</w:t>
      </w:r>
      <w:r>
        <w:rPr>
          <w:rFonts w:ascii="仿宋_GB2312" w:hAnsi="Times New Roman" w:eastAsia="仿宋_GB2312" w:cs="Times New Roman"/>
          <w:color w:val="000000"/>
          <w:kern w:val="0"/>
          <w:sz w:val="32"/>
          <w:szCs w:val="32"/>
        </w:rPr>
        <w:t>分，项目</w:t>
      </w:r>
      <w:r>
        <w:rPr>
          <w:rFonts w:hint="eastAsia" w:ascii="仿宋_GB2312" w:hAnsi="Times New Roman" w:eastAsia="仿宋_GB2312" w:cs="Times New Roman"/>
          <w:color w:val="000000"/>
          <w:kern w:val="0"/>
          <w:sz w:val="32"/>
          <w:szCs w:val="32"/>
        </w:rPr>
        <w:t>过程</w:t>
      </w:r>
      <w:r>
        <w:rPr>
          <w:rFonts w:ascii="仿宋_GB2312" w:hAnsi="Times New Roman" w:eastAsia="仿宋_GB2312" w:cs="Times New Roman"/>
          <w:color w:val="000000"/>
          <w:kern w:val="0"/>
          <w:sz w:val="32"/>
          <w:szCs w:val="32"/>
        </w:rPr>
        <w:t>平均得</w:t>
      </w:r>
      <w:r>
        <w:rPr>
          <w:rFonts w:ascii="仿宋_GB2312" w:hAnsi="Times New Roman" w:eastAsia="仿宋_GB2312" w:cs="Times New Roman"/>
          <w:color w:val="auto"/>
          <w:kern w:val="0"/>
          <w:sz w:val="32"/>
          <w:szCs w:val="32"/>
          <w:highlight w:val="none"/>
        </w:rPr>
        <w:t>分</w:t>
      </w:r>
      <w:r>
        <w:rPr>
          <w:rFonts w:hint="eastAsia" w:ascii="仿宋_GB2312" w:hAnsi="Times New Roman" w:eastAsia="仿宋_GB2312" w:cs="Times New Roman"/>
          <w:color w:val="auto"/>
          <w:kern w:val="0"/>
          <w:sz w:val="32"/>
          <w:szCs w:val="32"/>
          <w:highlight w:val="none"/>
        </w:rPr>
        <w:t>1</w:t>
      </w:r>
      <w:r>
        <w:rPr>
          <w:rFonts w:hint="eastAsia" w:ascii="仿宋_GB2312" w:hAnsi="Times New Roman" w:eastAsia="仿宋_GB2312" w:cs="Times New Roman"/>
          <w:color w:val="auto"/>
          <w:kern w:val="0"/>
          <w:sz w:val="32"/>
          <w:szCs w:val="32"/>
          <w:highlight w:val="none"/>
          <w:lang w:val="en-US" w:eastAsia="zh-CN"/>
        </w:rPr>
        <w:t>6.97</w:t>
      </w:r>
      <w:r>
        <w:rPr>
          <w:rFonts w:ascii="仿宋_GB2312" w:hAnsi="Times New Roman" w:eastAsia="仿宋_GB2312" w:cs="Times New Roman"/>
          <w:color w:val="auto"/>
          <w:kern w:val="0"/>
          <w:sz w:val="32"/>
          <w:szCs w:val="32"/>
          <w:highlight w:val="none"/>
        </w:rPr>
        <w:t>分，</w:t>
      </w:r>
      <w:r>
        <w:rPr>
          <w:rFonts w:hint="eastAsia" w:ascii="仿宋_GB2312" w:hAnsi="Times New Roman" w:eastAsia="仿宋_GB2312" w:cs="Times New Roman"/>
          <w:color w:val="auto"/>
          <w:kern w:val="0"/>
          <w:sz w:val="32"/>
          <w:szCs w:val="32"/>
          <w:highlight w:val="none"/>
        </w:rPr>
        <w:t>项目产</w:t>
      </w:r>
      <w:r>
        <w:rPr>
          <w:rFonts w:hint="eastAsia" w:ascii="仿宋_GB2312" w:hAnsi="Times New Roman" w:eastAsia="仿宋_GB2312" w:cs="Times New Roman"/>
          <w:color w:val="000000"/>
          <w:kern w:val="0"/>
          <w:sz w:val="32"/>
          <w:szCs w:val="32"/>
        </w:rPr>
        <w:t>出平均得分</w:t>
      </w:r>
      <w:r>
        <w:rPr>
          <w:rFonts w:hint="eastAsia" w:ascii="仿宋_GB2312" w:hAnsi="Times New Roman" w:eastAsia="仿宋_GB2312" w:cs="Times New Roman"/>
          <w:color w:val="000000"/>
          <w:kern w:val="0"/>
          <w:sz w:val="32"/>
          <w:szCs w:val="32"/>
          <w:lang w:val="en-US" w:eastAsia="zh-CN"/>
        </w:rPr>
        <w:t>40</w:t>
      </w:r>
      <w:r>
        <w:rPr>
          <w:rFonts w:hint="eastAsia" w:ascii="仿宋_GB2312" w:hAnsi="Times New Roman" w:eastAsia="仿宋_GB2312" w:cs="Times New Roman"/>
          <w:color w:val="000000"/>
          <w:kern w:val="0"/>
          <w:sz w:val="32"/>
          <w:szCs w:val="32"/>
        </w:rPr>
        <w:t>.</w:t>
      </w:r>
      <w:r>
        <w:rPr>
          <w:rFonts w:hint="eastAsia" w:ascii="仿宋_GB2312" w:hAnsi="Times New Roman" w:eastAsia="仿宋_GB2312" w:cs="Times New Roman"/>
          <w:color w:val="000000"/>
          <w:kern w:val="0"/>
          <w:sz w:val="32"/>
          <w:szCs w:val="32"/>
          <w:lang w:val="en-US" w:eastAsia="zh-CN"/>
        </w:rPr>
        <w:t>0</w:t>
      </w:r>
      <w:r>
        <w:rPr>
          <w:rFonts w:hint="eastAsia" w:ascii="仿宋_GB2312" w:hAnsi="Times New Roman" w:eastAsia="仿宋_GB2312" w:cs="Times New Roman"/>
          <w:color w:val="000000"/>
          <w:kern w:val="0"/>
          <w:sz w:val="32"/>
          <w:szCs w:val="32"/>
        </w:rPr>
        <w:t>0分，</w:t>
      </w:r>
      <w:r>
        <w:rPr>
          <w:rFonts w:ascii="仿宋_GB2312" w:hAnsi="Times New Roman" w:eastAsia="仿宋_GB2312" w:cs="Times New Roman"/>
          <w:color w:val="000000"/>
          <w:kern w:val="0"/>
          <w:sz w:val="32"/>
          <w:szCs w:val="32"/>
        </w:rPr>
        <w:t>项目</w:t>
      </w:r>
      <w:r>
        <w:rPr>
          <w:rFonts w:hint="eastAsia" w:ascii="仿宋_GB2312" w:hAnsi="Times New Roman" w:eastAsia="仿宋_GB2312" w:cs="Times New Roman"/>
          <w:color w:val="000000"/>
          <w:kern w:val="0"/>
          <w:sz w:val="32"/>
          <w:szCs w:val="32"/>
        </w:rPr>
        <w:t>效益</w:t>
      </w:r>
      <w:r>
        <w:rPr>
          <w:rFonts w:ascii="仿宋_GB2312" w:hAnsi="Times New Roman" w:eastAsia="仿宋_GB2312" w:cs="Times New Roman"/>
          <w:color w:val="000000"/>
          <w:kern w:val="0"/>
          <w:sz w:val="32"/>
          <w:szCs w:val="32"/>
        </w:rPr>
        <w:t>平均得分</w:t>
      </w:r>
      <w:r>
        <w:rPr>
          <w:rFonts w:hint="eastAsia" w:ascii="仿宋_GB2312" w:hAnsi="Times New Roman" w:eastAsia="仿宋_GB2312" w:cs="Times New Roman"/>
          <w:color w:val="000000"/>
          <w:kern w:val="0"/>
          <w:sz w:val="32"/>
          <w:szCs w:val="32"/>
          <w:highlight w:val="none"/>
        </w:rPr>
        <w:t>2</w:t>
      </w:r>
      <w:r>
        <w:rPr>
          <w:rFonts w:hint="eastAsia" w:ascii="仿宋_GB2312" w:hAnsi="Times New Roman" w:eastAsia="仿宋_GB2312" w:cs="Times New Roman"/>
          <w:color w:val="000000"/>
          <w:kern w:val="0"/>
          <w:sz w:val="32"/>
          <w:szCs w:val="32"/>
          <w:highlight w:val="none"/>
          <w:lang w:val="en-US" w:eastAsia="zh-CN"/>
        </w:rPr>
        <w:t>6.50</w:t>
      </w:r>
      <w:r>
        <w:rPr>
          <w:rFonts w:ascii="仿宋_GB2312" w:hAnsi="Times New Roman" w:eastAsia="仿宋_GB2312" w:cs="Times New Roman"/>
          <w:color w:val="000000"/>
          <w:kern w:val="0"/>
          <w:sz w:val="32"/>
          <w:szCs w:val="32"/>
        </w:rPr>
        <w:t>分。</w:t>
      </w:r>
      <w:r>
        <w:rPr>
          <w:rFonts w:hint="eastAsia" w:ascii="仿宋_GB2312" w:hAnsi="Times New Roman" w:eastAsia="仿宋_GB2312" w:cs="Times New Roman"/>
          <w:color w:val="000000"/>
          <w:kern w:val="0"/>
          <w:sz w:val="32"/>
          <w:szCs w:val="32"/>
        </w:rPr>
        <w:t>具体评分情况见附件专家评分汇总</w:t>
      </w:r>
      <w:r>
        <w:rPr>
          <w:rFonts w:hint="eastAsia" w:ascii="仿宋_GB2312" w:hAnsi="Times New Roman" w:eastAsia="仿宋_GB2312" w:cs="Times New Roman"/>
          <w:kern w:val="0"/>
          <w:sz w:val="32"/>
          <w:szCs w:val="32"/>
        </w:rPr>
        <w:t>表。</w:t>
      </w:r>
    </w:p>
    <w:p>
      <w:pPr>
        <w:widowControl/>
        <w:spacing w:after="156" w:afterLines="50" w:line="500" w:lineRule="exact"/>
        <w:jc w:val="center"/>
        <w:rPr>
          <w:rFonts w:ascii="仿宋_GB2312" w:hAnsi="Times New Roman" w:eastAsia="仿宋_GB2312" w:cs="Times New Roman"/>
          <w:b/>
          <w:kern w:val="0"/>
          <w:sz w:val="32"/>
          <w:szCs w:val="32"/>
        </w:rPr>
      </w:pPr>
      <w:r>
        <w:rPr>
          <w:rFonts w:hint="eastAsia" w:ascii="仿宋_GB2312" w:hAnsi="Times New Roman" w:eastAsia="仿宋_GB2312" w:cs="Times New Roman"/>
          <w:b/>
          <w:kern w:val="0"/>
          <w:sz w:val="32"/>
          <w:szCs w:val="32"/>
        </w:rPr>
        <w:t>项目绩效评价结论一览表</w:t>
      </w:r>
    </w:p>
    <w:tbl>
      <w:tblPr>
        <w:tblStyle w:val="18"/>
        <w:tblW w:w="8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3008"/>
        <w:gridCol w:w="2870"/>
        <w:gridCol w:w="3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05" w:hRule="atLeast"/>
          <w:jc w:val="center"/>
        </w:trPr>
        <w:tc>
          <w:tcPr>
            <w:tcW w:w="3008" w:type="dxa"/>
            <w:shd w:val="clear" w:color="auto" w:fill="auto"/>
            <w:vAlign w:val="center"/>
          </w:tcPr>
          <w:p>
            <w:pPr>
              <w:widowControl/>
              <w:adjustRightInd w:val="0"/>
              <w:snapToGrid w:val="0"/>
              <w:spacing w:before="120" w:after="60" w:line="276" w:lineRule="auto"/>
              <w:ind w:right="-56" w:rightChars="-27" w:firstLine="562"/>
              <w:rPr>
                <w:rFonts w:ascii="仿宋_GB2312" w:hAnsi="Times New Roman" w:eastAsia="仿宋_GB2312" w:cs="Times New Roman"/>
                <w:b/>
                <w:kern w:val="0"/>
                <w:sz w:val="28"/>
                <w:szCs w:val="28"/>
              </w:rPr>
            </w:pPr>
            <w:r>
              <w:rPr>
                <w:rFonts w:hint="eastAsia" w:ascii="仿宋_GB2312" w:hAnsi="Times New Roman" w:eastAsia="仿宋_GB2312" w:cs="Times New Roman"/>
                <w:b/>
                <w:kern w:val="0"/>
                <w:sz w:val="28"/>
                <w:szCs w:val="28"/>
              </w:rPr>
              <w:t>评价内容</w:t>
            </w:r>
          </w:p>
        </w:tc>
        <w:tc>
          <w:tcPr>
            <w:tcW w:w="2870" w:type="dxa"/>
            <w:shd w:val="clear" w:color="auto" w:fill="auto"/>
            <w:vAlign w:val="center"/>
          </w:tcPr>
          <w:p>
            <w:pPr>
              <w:adjustRightInd w:val="0"/>
              <w:snapToGrid w:val="0"/>
              <w:spacing w:before="120" w:after="60"/>
              <w:jc w:val="center"/>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分值</w:t>
            </w:r>
          </w:p>
        </w:tc>
        <w:tc>
          <w:tcPr>
            <w:tcW w:w="3007" w:type="dxa"/>
            <w:shd w:val="clear" w:color="auto" w:fill="auto"/>
            <w:vAlign w:val="center"/>
          </w:tcPr>
          <w:p>
            <w:pPr>
              <w:widowControl/>
              <w:adjustRightInd w:val="0"/>
              <w:snapToGrid w:val="0"/>
              <w:spacing w:before="120" w:after="60" w:line="276" w:lineRule="auto"/>
              <w:ind w:right="-56" w:rightChars="-27"/>
              <w:jc w:val="center"/>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3008" w:type="dxa"/>
            <w:shd w:val="clear" w:color="auto" w:fill="auto"/>
            <w:vAlign w:val="center"/>
          </w:tcPr>
          <w:p>
            <w:pPr>
              <w:widowControl/>
              <w:adjustRightInd w:val="0"/>
              <w:snapToGrid w:val="0"/>
              <w:spacing w:before="120" w:after="60" w:line="276" w:lineRule="auto"/>
              <w:ind w:right="-56" w:rightChars="-27"/>
              <w:jc w:val="center"/>
              <w:rPr>
                <w:rFonts w:ascii="仿宋_GB2312" w:hAnsi="Times New Roman" w:eastAsia="仿宋_GB2312" w:cs="Times New Roman"/>
                <w:bCs/>
                <w:kern w:val="0"/>
                <w:sz w:val="28"/>
                <w:szCs w:val="28"/>
              </w:rPr>
            </w:pPr>
            <w:r>
              <w:rPr>
                <w:rFonts w:hint="eastAsia" w:ascii="仿宋_GB2312" w:hAnsi="Times New Roman" w:eastAsia="仿宋_GB2312" w:cs="Times New Roman"/>
                <w:bCs/>
                <w:kern w:val="0"/>
                <w:sz w:val="28"/>
                <w:szCs w:val="28"/>
              </w:rPr>
              <w:t>项目决策</w:t>
            </w:r>
          </w:p>
        </w:tc>
        <w:tc>
          <w:tcPr>
            <w:tcW w:w="2870" w:type="dxa"/>
            <w:shd w:val="clear" w:color="auto" w:fill="auto"/>
            <w:vAlign w:val="center"/>
          </w:tcPr>
          <w:p>
            <w:pPr>
              <w:adjustRightInd w:val="0"/>
              <w:snapToGrid w:val="0"/>
              <w:spacing w:before="120" w:after="60"/>
              <w:jc w:val="center"/>
              <w:rPr>
                <w:rFonts w:ascii="仿宋_GB2312" w:hAnsi="Times New Roman" w:eastAsia="仿宋_GB2312" w:cs="Times New Roman"/>
                <w:bCs/>
                <w:sz w:val="28"/>
                <w:szCs w:val="28"/>
              </w:rPr>
            </w:pPr>
            <w:r>
              <w:rPr>
                <w:rFonts w:hint="eastAsia" w:ascii="仿宋_GB2312" w:hAnsi="Times New Roman" w:eastAsia="仿宋_GB2312" w:cs="Times New Roman"/>
                <w:bCs/>
                <w:sz w:val="28"/>
                <w:szCs w:val="28"/>
              </w:rPr>
              <w:t>10.00</w:t>
            </w:r>
          </w:p>
        </w:tc>
        <w:tc>
          <w:tcPr>
            <w:tcW w:w="3007" w:type="dxa"/>
            <w:shd w:val="clear" w:color="auto" w:fill="auto"/>
            <w:vAlign w:val="center"/>
          </w:tcPr>
          <w:p>
            <w:pPr>
              <w:adjustRightInd w:val="0"/>
              <w:snapToGrid w:val="0"/>
              <w:spacing w:before="120" w:after="60" w:line="276" w:lineRule="auto"/>
              <w:ind w:right="-56" w:rightChars="-27"/>
              <w:jc w:val="center"/>
              <w:rPr>
                <w:rFonts w:hint="default" w:ascii="仿宋_GB2312" w:hAnsi="Times New Roman" w:eastAsia="仿宋_GB2312" w:cs="Times New Roman"/>
                <w:bCs/>
                <w:sz w:val="28"/>
                <w:szCs w:val="28"/>
                <w:lang w:val="en-US" w:eastAsia="zh-CN"/>
              </w:rPr>
            </w:pPr>
            <w:r>
              <w:rPr>
                <w:rFonts w:ascii="仿宋_GB2312" w:hAnsi="Times New Roman" w:eastAsia="仿宋_GB2312" w:cs="Times New Roman"/>
                <w:bCs/>
                <w:sz w:val="28"/>
                <w:szCs w:val="28"/>
              </w:rPr>
              <w:t>9.</w:t>
            </w:r>
            <w:r>
              <w:rPr>
                <w:rFonts w:hint="eastAsia" w:ascii="仿宋_GB2312" w:hAnsi="Times New Roman" w:eastAsia="仿宋_GB2312" w:cs="Times New Roman"/>
                <w:bCs/>
                <w:sz w:val="28"/>
                <w:szCs w:val="28"/>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0" w:hRule="atLeast"/>
          <w:jc w:val="center"/>
        </w:trPr>
        <w:tc>
          <w:tcPr>
            <w:tcW w:w="3008" w:type="dxa"/>
            <w:shd w:val="clear" w:color="auto" w:fill="auto"/>
            <w:vAlign w:val="center"/>
          </w:tcPr>
          <w:p>
            <w:pPr>
              <w:widowControl/>
              <w:adjustRightInd w:val="0"/>
              <w:snapToGrid w:val="0"/>
              <w:spacing w:before="120" w:after="60" w:line="276" w:lineRule="auto"/>
              <w:ind w:right="-56" w:rightChars="-27"/>
              <w:jc w:val="center"/>
              <w:rPr>
                <w:rFonts w:ascii="仿宋_GB2312" w:hAnsi="Times New Roman" w:eastAsia="仿宋_GB2312" w:cs="Times New Roman"/>
                <w:bCs/>
                <w:kern w:val="0"/>
                <w:sz w:val="28"/>
                <w:szCs w:val="28"/>
              </w:rPr>
            </w:pPr>
            <w:r>
              <w:rPr>
                <w:rFonts w:hint="eastAsia" w:ascii="仿宋_GB2312" w:hAnsi="Times New Roman" w:eastAsia="仿宋_GB2312" w:cs="Times New Roman"/>
                <w:bCs/>
                <w:kern w:val="0"/>
                <w:sz w:val="28"/>
                <w:szCs w:val="28"/>
              </w:rPr>
              <w:t>项目过程</w:t>
            </w:r>
          </w:p>
        </w:tc>
        <w:tc>
          <w:tcPr>
            <w:tcW w:w="2870" w:type="dxa"/>
            <w:shd w:val="clear" w:color="auto" w:fill="auto"/>
            <w:vAlign w:val="center"/>
          </w:tcPr>
          <w:p>
            <w:pPr>
              <w:adjustRightInd w:val="0"/>
              <w:snapToGrid w:val="0"/>
              <w:spacing w:before="120" w:after="60"/>
              <w:jc w:val="center"/>
              <w:rPr>
                <w:rFonts w:ascii="仿宋_GB2312" w:hAnsi="Times New Roman" w:eastAsia="仿宋_GB2312" w:cs="Times New Roman"/>
                <w:bCs/>
                <w:sz w:val="28"/>
                <w:szCs w:val="28"/>
              </w:rPr>
            </w:pPr>
            <w:r>
              <w:rPr>
                <w:rFonts w:hint="eastAsia" w:ascii="仿宋_GB2312" w:hAnsi="Times New Roman" w:eastAsia="仿宋_GB2312" w:cs="Times New Roman"/>
                <w:bCs/>
                <w:sz w:val="28"/>
                <w:szCs w:val="28"/>
              </w:rPr>
              <w:t>20.00</w:t>
            </w:r>
          </w:p>
        </w:tc>
        <w:tc>
          <w:tcPr>
            <w:tcW w:w="3007" w:type="dxa"/>
            <w:shd w:val="clear" w:color="auto" w:fill="auto"/>
            <w:vAlign w:val="center"/>
          </w:tcPr>
          <w:p>
            <w:pPr>
              <w:adjustRightInd w:val="0"/>
              <w:snapToGrid w:val="0"/>
              <w:spacing w:before="120" w:after="60" w:line="276" w:lineRule="auto"/>
              <w:ind w:right="-56" w:rightChars="-27"/>
              <w:jc w:val="center"/>
              <w:rPr>
                <w:rFonts w:hint="default" w:ascii="仿宋_GB2312" w:hAnsi="Times New Roman" w:eastAsia="仿宋_GB2312" w:cs="Times New Roman"/>
                <w:bCs/>
                <w:sz w:val="28"/>
                <w:szCs w:val="28"/>
                <w:lang w:val="en-US" w:eastAsia="zh-CN"/>
              </w:rPr>
            </w:pPr>
            <w:r>
              <w:rPr>
                <w:rFonts w:hint="eastAsia" w:ascii="仿宋_GB2312" w:hAnsi="Times New Roman" w:eastAsia="仿宋_GB2312" w:cs="Times New Roman"/>
                <w:bCs/>
                <w:sz w:val="28"/>
                <w:szCs w:val="28"/>
              </w:rPr>
              <w:t>1</w:t>
            </w:r>
            <w:r>
              <w:rPr>
                <w:rFonts w:hint="eastAsia" w:ascii="仿宋_GB2312" w:hAnsi="Times New Roman" w:eastAsia="仿宋_GB2312" w:cs="Times New Roman"/>
                <w:bCs/>
                <w:sz w:val="28"/>
                <w:szCs w:val="28"/>
                <w:lang w:val="en-US" w:eastAsia="zh-CN"/>
              </w:rPr>
              <w:t>6.97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10" w:hRule="atLeast"/>
          <w:jc w:val="center"/>
        </w:trPr>
        <w:tc>
          <w:tcPr>
            <w:tcW w:w="3008" w:type="dxa"/>
            <w:shd w:val="clear" w:color="auto" w:fill="auto"/>
            <w:vAlign w:val="center"/>
          </w:tcPr>
          <w:p>
            <w:pPr>
              <w:widowControl/>
              <w:adjustRightInd w:val="0"/>
              <w:snapToGrid w:val="0"/>
              <w:spacing w:before="120" w:after="60" w:line="276" w:lineRule="auto"/>
              <w:ind w:right="-56" w:rightChars="-27"/>
              <w:jc w:val="center"/>
              <w:rPr>
                <w:rFonts w:ascii="仿宋_GB2312" w:hAnsi="Times New Roman" w:eastAsia="仿宋_GB2312" w:cs="Times New Roman"/>
                <w:bCs/>
                <w:kern w:val="0"/>
                <w:sz w:val="28"/>
                <w:szCs w:val="28"/>
              </w:rPr>
            </w:pPr>
            <w:r>
              <w:rPr>
                <w:rFonts w:hint="eastAsia" w:ascii="仿宋_GB2312" w:hAnsi="Times New Roman" w:eastAsia="仿宋_GB2312" w:cs="Times New Roman"/>
                <w:bCs/>
                <w:kern w:val="0"/>
                <w:sz w:val="28"/>
                <w:szCs w:val="28"/>
              </w:rPr>
              <w:t>项目产出</w:t>
            </w:r>
          </w:p>
        </w:tc>
        <w:tc>
          <w:tcPr>
            <w:tcW w:w="2870" w:type="dxa"/>
            <w:shd w:val="clear" w:color="auto" w:fill="auto"/>
            <w:vAlign w:val="center"/>
          </w:tcPr>
          <w:p>
            <w:pPr>
              <w:adjustRightInd w:val="0"/>
              <w:snapToGrid w:val="0"/>
              <w:spacing w:before="120" w:after="60"/>
              <w:jc w:val="center"/>
              <w:rPr>
                <w:rFonts w:ascii="仿宋_GB2312" w:hAnsi="Times New Roman" w:eastAsia="仿宋_GB2312" w:cs="Times New Roman"/>
                <w:bCs/>
                <w:sz w:val="28"/>
                <w:szCs w:val="28"/>
              </w:rPr>
            </w:pPr>
            <w:r>
              <w:rPr>
                <w:rFonts w:hint="eastAsia" w:ascii="仿宋_GB2312" w:hAnsi="Times New Roman" w:eastAsia="仿宋_GB2312" w:cs="Times New Roman"/>
                <w:bCs/>
                <w:sz w:val="28"/>
                <w:szCs w:val="28"/>
              </w:rPr>
              <w:t>40.00</w:t>
            </w:r>
          </w:p>
        </w:tc>
        <w:tc>
          <w:tcPr>
            <w:tcW w:w="3007" w:type="dxa"/>
            <w:shd w:val="clear" w:color="auto" w:fill="auto"/>
            <w:vAlign w:val="center"/>
          </w:tcPr>
          <w:p>
            <w:pPr>
              <w:adjustRightInd w:val="0"/>
              <w:snapToGrid w:val="0"/>
              <w:spacing w:before="120" w:after="60" w:line="276" w:lineRule="auto"/>
              <w:ind w:right="-56" w:rightChars="-27"/>
              <w:jc w:val="center"/>
              <w:rPr>
                <w:rFonts w:ascii="仿宋_GB2312" w:hAnsi="Times New Roman" w:eastAsia="仿宋_GB2312"/>
                <w:bCs/>
                <w:sz w:val="28"/>
                <w:szCs w:val="28"/>
              </w:rPr>
            </w:pPr>
            <w:r>
              <w:rPr>
                <w:rFonts w:hint="eastAsia" w:ascii="仿宋_GB2312" w:hAnsi="Times New Roman" w:eastAsia="仿宋_GB2312"/>
                <w:bCs/>
                <w:sz w:val="28"/>
                <w:szCs w:val="28"/>
                <w:lang w:val="en-US" w:eastAsia="zh-CN"/>
              </w:rPr>
              <w:t>40</w:t>
            </w:r>
            <w:r>
              <w:rPr>
                <w:rFonts w:hint="eastAsia" w:ascii="仿宋_GB2312" w:hAnsi="Times New Roman" w:eastAsia="仿宋_GB2312"/>
                <w:bCs/>
                <w:sz w:val="28"/>
                <w:szCs w:val="28"/>
              </w:rPr>
              <w:t>.</w:t>
            </w:r>
            <w:r>
              <w:rPr>
                <w:rFonts w:hint="eastAsia" w:ascii="仿宋_GB2312" w:hAnsi="Times New Roman" w:eastAsia="仿宋_GB2312"/>
                <w:bCs/>
                <w:sz w:val="28"/>
                <w:szCs w:val="28"/>
                <w:lang w:val="en-US" w:eastAsia="zh-CN"/>
              </w:rPr>
              <w:t>0</w:t>
            </w:r>
            <w:r>
              <w:rPr>
                <w:rFonts w:hint="eastAsia" w:ascii="仿宋_GB2312" w:hAnsi="Times New Roman" w:eastAsia="仿宋_GB2312"/>
                <w:bCs/>
                <w:sz w:val="28"/>
                <w:szCs w:val="2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10" w:hRule="atLeast"/>
          <w:jc w:val="center"/>
        </w:trPr>
        <w:tc>
          <w:tcPr>
            <w:tcW w:w="3008" w:type="dxa"/>
            <w:shd w:val="clear" w:color="auto" w:fill="auto"/>
            <w:vAlign w:val="center"/>
          </w:tcPr>
          <w:p>
            <w:pPr>
              <w:widowControl/>
              <w:adjustRightInd w:val="0"/>
              <w:snapToGrid w:val="0"/>
              <w:spacing w:before="120" w:after="60" w:line="276" w:lineRule="auto"/>
              <w:ind w:right="-56" w:rightChars="-27"/>
              <w:jc w:val="center"/>
              <w:rPr>
                <w:rFonts w:ascii="仿宋_GB2312" w:hAnsi="Times New Roman" w:eastAsia="仿宋_GB2312" w:cs="Times New Roman"/>
                <w:bCs/>
                <w:kern w:val="0"/>
                <w:sz w:val="28"/>
                <w:szCs w:val="28"/>
              </w:rPr>
            </w:pPr>
            <w:r>
              <w:rPr>
                <w:rFonts w:hint="eastAsia" w:ascii="仿宋_GB2312" w:hAnsi="Times New Roman" w:eastAsia="仿宋_GB2312" w:cs="Times New Roman"/>
                <w:bCs/>
                <w:kern w:val="0"/>
                <w:sz w:val="28"/>
                <w:szCs w:val="28"/>
              </w:rPr>
              <w:t>项目效益</w:t>
            </w:r>
          </w:p>
        </w:tc>
        <w:tc>
          <w:tcPr>
            <w:tcW w:w="2870" w:type="dxa"/>
            <w:shd w:val="clear" w:color="auto" w:fill="auto"/>
            <w:vAlign w:val="center"/>
          </w:tcPr>
          <w:p>
            <w:pPr>
              <w:adjustRightInd w:val="0"/>
              <w:snapToGrid w:val="0"/>
              <w:spacing w:before="120" w:after="60"/>
              <w:jc w:val="center"/>
              <w:rPr>
                <w:rFonts w:ascii="仿宋_GB2312" w:hAnsi="Times New Roman" w:eastAsia="仿宋_GB2312" w:cs="Times New Roman"/>
                <w:bCs/>
                <w:sz w:val="28"/>
                <w:szCs w:val="28"/>
              </w:rPr>
            </w:pPr>
            <w:r>
              <w:rPr>
                <w:rFonts w:hint="eastAsia" w:ascii="仿宋_GB2312" w:hAnsi="Times New Roman" w:eastAsia="仿宋_GB2312" w:cs="Times New Roman"/>
                <w:bCs/>
                <w:sz w:val="28"/>
                <w:szCs w:val="28"/>
              </w:rPr>
              <w:t>30.00</w:t>
            </w:r>
          </w:p>
        </w:tc>
        <w:tc>
          <w:tcPr>
            <w:tcW w:w="3007" w:type="dxa"/>
            <w:shd w:val="clear" w:color="auto" w:fill="auto"/>
            <w:vAlign w:val="center"/>
          </w:tcPr>
          <w:p>
            <w:pPr>
              <w:adjustRightInd w:val="0"/>
              <w:snapToGrid w:val="0"/>
              <w:spacing w:before="120" w:after="60" w:line="276" w:lineRule="auto"/>
              <w:ind w:right="-56" w:rightChars="-27"/>
              <w:jc w:val="center"/>
              <w:rPr>
                <w:rFonts w:hint="default" w:ascii="仿宋_GB2312" w:hAnsi="Times New Roman" w:eastAsia="仿宋_GB2312" w:cs="Times New Roman"/>
                <w:bCs/>
                <w:sz w:val="28"/>
                <w:szCs w:val="28"/>
                <w:lang w:val="en-US" w:eastAsia="zh-CN"/>
              </w:rPr>
            </w:pPr>
            <w:r>
              <w:rPr>
                <w:rFonts w:hint="eastAsia" w:ascii="仿宋_GB2312" w:hAnsi="Times New Roman" w:eastAsia="仿宋_GB2312" w:cs="Times New Roman"/>
                <w:bCs/>
                <w:sz w:val="28"/>
                <w:szCs w:val="28"/>
              </w:rPr>
              <w:t>2</w:t>
            </w:r>
            <w:r>
              <w:rPr>
                <w:rFonts w:hint="eastAsia" w:ascii="仿宋_GB2312" w:hAnsi="Times New Roman" w:eastAsia="仿宋_GB2312" w:cs="Times New Roman"/>
                <w:bCs/>
                <w:sz w:val="28"/>
                <w:szCs w:val="28"/>
                <w:lang w:val="en-US"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23" w:hRule="atLeast"/>
          <w:jc w:val="center"/>
        </w:trPr>
        <w:tc>
          <w:tcPr>
            <w:tcW w:w="3008" w:type="dxa"/>
            <w:shd w:val="clear" w:color="auto" w:fill="auto"/>
            <w:vAlign w:val="center"/>
          </w:tcPr>
          <w:p>
            <w:pPr>
              <w:widowControl/>
              <w:adjustRightInd w:val="0"/>
              <w:snapToGrid w:val="0"/>
              <w:spacing w:before="120" w:after="60" w:line="276" w:lineRule="auto"/>
              <w:ind w:right="-56" w:rightChars="-27"/>
              <w:jc w:val="center"/>
              <w:rPr>
                <w:rFonts w:ascii="仿宋_GB2312" w:hAnsi="Times New Roman" w:eastAsia="仿宋_GB2312" w:cs="Times New Roman"/>
                <w:b/>
                <w:bCs/>
                <w:kern w:val="0"/>
                <w:sz w:val="28"/>
                <w:szCs w:val="28"/>
              </w:rPr>
            </w:pPr>
            <w:r>
              <w:rPr>
                <w:rFonts w:hint="eastAsia" w:ascii="仿宋_GB2312" w:hAnsi="Times New Roman" w:eastAsia="仿宋_GB2312" w:cs="Times New Roman"/>
                <w:b/>
                <w:bCs/>
                <w:kern w:val="0"/>
                <w:sz w:val="28"/>
                <w:szCs w:val="28"/>
              </w:rPr>
              <w:t>综合得分</w:t>
            </w:r>
          </w:p>
        </w:tc>
        <w:tc>
          <w:tcPr>
            <w:tcW w:w="2870" w:type="dxa"/>
            <w:shd w:val="clear" w:color="auto" w:fill="auto"/>
            <w:vAlign w:val="center"/>
          </w:tcPr>
          <w:p>
            <w:pPr>
              <w:adjustRightInd w:val="0"/>
              <w:snapToGrid w:val="0"/>
              <w:spacing w:before="120" w:after="60"/>
              <w:jc w:val="center"/>
              <w:rPr>
                <w:rFonts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100.00</w:t>
            </w:r>
          </w:p>
        </w:tc>
        <w:tc>
          <w:tcPr>
            <w:tcW w:w="3007" w:type="dxa"/>
            <w:shd w:val="clear" w:color="auto" w:fill="auto"/>
            <w:vAlign w:val="center"/>
          </w:tcPr>
          <w:p>
            <w:pPr>
              <w:adjustRightInd w:val="0"/>
              <w:snapToGrid w:val="0"/>
              <w:spacing w:before="120" w:after="60" w:line="276" w:lineRule="auto"/>
              <w:ind w:right="-56" w:rightChars="-27"/>
              <w:jc w:val="center"/>
              <w:rPr>
                <w:rFonts w:hint="default" w:ascii="仿宋_GB2312" w:hAnsi="Times New Roman" w:eastAsia="仿宋_GB2312" w:cs="Times New Roman"/>
                <w:b/>
                <w:bCs/>
                <w:sz w:val="28"/>
                <w:szCs w:val="28"/>
                <w:lang w:val="en-US" w:eastAsia="zh-CN"/>
              </w:rPr>
            </w:pPr>
            <w:r>
              <w:rPr>
                <w:rFonts w:hint="eastAsia" w:ascii="仿宋_GB2312" w:hAnsi="Times New Roman" w:eastAsia="仿宋_GB2312" w:cs="Times New Roman"/>
                <w:b/>
                <w:bCs/>
                <w:sz w:val="28"/>
                <w:szCs w:val="28"/>
              </w:rPr>
              <w:t>92.</w:t>
            </w:r>
            <w:r>
              <w:rPr>
                <w:rFonts w:hint="eastAsia" w:ascii="仿宋_GB2312" w:hAnsi="Times New Roman" w:eastAsia="仿宋_GB2312" w:cs="Times New Roman"/>
                <w:b/>
                <w:bCs/>
                <w:sz w:val="28"/>
                <w:szCs w:val="28"/>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31" w:hRule="atLeast"/>
          <w:jc w:val="center"/>
        </w:trPr>
        <w:tc>
          <w:tcPr>
            <w:tcW w:w="3008" w:type="dxa"/>
            <w:shd w:val="clear" w:color="auto" w:fill="auto"/>
            <w:vAlign w:val="center"/>
          </w:tcPr>
          <w:p>
            <w:pPr>
              <w:widowControl/>
              <w:adjustRightInd w:val="0"/>
              <w:snapToGrid w:val="0"/>
              <w:spacing w:before="120" w:after="60" w:line="276" w:lineRule="auto"/>
              <w:ind w:right="-56" w:rightChars="-27" w:firstLine="562"/>
              <w:rPr>
                <w:rFonts w:ascii="仿宋_GB2312" w:hAnsi="Times New Roman" w:eastAsia="仿宋_GB2312" w:cs="Times New Roman"/>
                <w:b/>
                <w:bCs/>
                <w:kern w:val="0"/>
                <w:sz w:val="28"/>
                <w:szCs w:val="28"/>
              </w:rPr>
            </w:pPr>
            <w:r>
              <w:rPr>
                <w:rFonts w:hint="eastAsia" w:ascii="仿宋_GB2312" w:hAnsi="Times New Roman" w:eastAsia="仿宋_GB2312" w:cs="Times New Roman"/>
                <w:b/>
                <w:bCs/>
                <w:kern w:val="0"/>
                <w:sz w:val="28"/>
                <w:szCs w:val="28"/>
              </w:rPr>
              <w:t>绩效评定级别</w:t>
            </w:r>
          </w:p>
        </w:tc>
        <w:tc>
          <w:tcPr>
            <w:tcW w:w="5877" w:type="dxa"/>
            <w:gridSpan w:val="2"/>
            <w:shd w:val="clear" w:color="auto" w:fill="auto"/>
            <w:vAlign w:val="center"/>
          </w:tcPr>
          <w:p>
            <w:pPr>
              <w:adjustRightInd w:val="0"/>
              <w:snapToGrid w:val="0"/>
              <w:spacing w:before="120" w:after="60"/>
              <w:jc w:val="center"/>
              <w:rPr>
                <w:rFonts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优秀</w:t>
            </w:r>
          </w:p>
        </w:tc>
      </w:tr>
    </w:tbl>
    <w:p>
      <w:pPr>
        <w:pStyle w:val="2"/>
        <w:spacing w:line="360" w:lineRule="auto"/>
        <w:ind w:firstLine="640"/>
        <w:rPr>
          <w:rFonts w:ascii="黑体" w:hAnsi="黑体" w:eastAsia="黑体" w:cs="Times New Roman"/>
          <w:b w:val="0"/>
          <w:sz w:val="32"/>
          <w:szCs w:val="32"/>
        </w:rPr>
      </w:pPr>
      <w:bookmarkStart w:id="11" w:name="_Toc362348686"/>
      <w:bookmarkStart w:id="12" w:name="_Toc424567092"/>
      <w:bookmarkStart w:id="13" w:name="_Toc102746357"/>
      <w:r>
        <w:rPr>
          <w:rFonts w:hint="eastAsia" w:ascii="黑体" w:hAnsi="黑体" w:eastAsia="黑体" w:cs="Times New Roman"/>
          <w:b w:val="0"/>
          <w:sz w:val="32"/>
          <w:szCs w:val="32"/>
        </w:rPr>
        <w:t>四</w:t>
      </w:r>
      <w:r>
        <w:rPr>
          <w:rFonts w:ascii="黑体" w:hAnsi="黑体" w:eastAsia="黑体" w:cs="Times New Roman"/>
          <w:b w:val="0"/>
          <w:sz w:val="32"/>
          <w:szCs w:val="32"/>
        </w:rPr>
        <w:t>、</w:t>
      </w:r>
      <w:bookmarkEnd w:id="11"/>
      <w:bookmarkEnd w:id="12"/>
      <w:bookmarkStart w:id="14" w:name="_Toc424567093"/>
      <w:bookmarkStart w:id="15" w:name="_Toc362348687"/>
      <w:r>
        <w:rPr>
          <w:rFonts w:hint="eastAsia" w:ascii="黑体" w:hAnsi="黑体" w:eastAsia="黑体" w:cs="Times New Roman"/>
          <w:b w:val="0"/>
          <w:sz w:val="32"/>
          <w:szCs w:val="32"/>
        </w:rPr>
        <w:t>绩效评价指标分析</w:t>
      </w:r>
      <w:bookmarkEnd w:id="13"/>
    </w:p>
    <w:p>
      <w:pPr>
        <w:autoSpaceDE w:val="0"/>
        <w:autoSpaceDN w:val="0"/>
        <w:adjustRightInd w:val="0"/>
        <w:spacing w:line="600" w:lineRule="exact"/>
        <w:ind w:firstLine="640" w:firstLineChars="200"/>
        <w:rPr>
          <w:rFonts w:ascii="仿宋_GB2312" w:hAnsi="宋体" w:eastAsia="仿宋_GB2312" w:cs="宋体"/>
          <w:kern w:val="0"/>
          <w:sz w:val="32"/>
          <w:szCs w:val="32"/>
        </w:rPr>
      </w:pPr>
      <w:bookmarkStart w:id="16" w:name="_Toc102746358"/>
      <w:r>
        <w:rPr>
          <w:rFonts w:hint="eastAsia" w:ascii="仿宋_GB2312" w:hAnsi="宋体" w:eastAsia="仿宋_GB2312" w:cs="宋体"/>
          <w:kern w:val="0"/>
          <w:sz w:val="32"/>
          <w:szCs w:val="32"/>
          <w:lang w:eastAsia="zh-CN"/>
        </w:rPr>
        <w:t>市信访办</w:t>
      </w:r>
      <w:r>
        <w:rPr>
          <w:rFonts w:hint="eastAsia" w:ascii="仿宋_GB2312" w:hAnsi="宋体" w:eastAsia="仿宋_GB2312" w:cs="宋体"/>
          <w:kern w:val="0"/>
          <w:sz w:val="32"/>
          <w:szCs w:val="32"/>
        </w:rPr>
        <w:t>从项目</w:t>
      </w:r>
      <w:r>
        <w:rPr>
          <w:rFonts w:ascii="仿宋_GB2312" w:hAnsi="宋体" w:eastAsia="仿宋_GB2312" w:cs="宋体"/>
          <w:kern w:val="0"/>
          <w:sz w:val="32"/>
          <w:szCs w:val="32"/>
        </w:rPr>
        <w:t>预算申报、</w:t>
      </w:r>
      <w:r>
        <w:rPr>
          <w:rFonts w:hint="eastAsia" w:ascii="仿宋_GB2312" w:hAnsi="宋体" w:eastAsia="仿宋_GB2312" w:cs="宋体"/>
          <w:kern w:val="0"/>
          <w:sz w:val="32"/>
          <w:szCs w:val="32"/>
        </w:rPr>
        <w:t>资金</w:t>
      </w:r>
      <w:r>
        <w:rPr>
          <w:rFonts w:ascii="仿宋_GB2312" w:hAnsi="宋体" w:eastAsia="仿宋_GB2312" w:cs="宋体"/>
          <w:kern w:val="0"/>
          <w:sz w:val="32"/>
          <w:szCs w:val="32"/>
        </w:rPr>
        <w:t>管理</w:t>
      </w:r>
      <w:r>
        <w:rPr>
          <w:rFonts w:hint="eastAsia" w:ascii="仿宋_GB2312" w:hAnsi="宋体" w:eastAsia="仿宋_GB2312" w:cs="宋体"/>
          <w:kern w:val="0"/>
          <w:sz w:val="32"/>
          <w:szCs w:val="32"/>
        </w:rPr>
        <w:t>、过程管控</w:t>
      </w:r>
      <w:r>
        <w:rPr>
          <w:rFonts w:ascii="仿宋_GB2312" w:hAnsi="宋体" w:eastAsia="仿宋_GB2312" w:cs="宋体"/>
          <w:kern w:val="0"/>
          <w:sz w:val="32"/>
          <w:szCs w:val="32"/>
        </w:rPr>
        <w:t>、</w:t>
      </w:r>
      <w:r>
        <w:rPr>
          <w:rFonts w:hint="eastAsia" w:ascii="仿宋_GB2312" w:hAnsi="宋体" w:eastAsia="仿宋_GB2312" w:cs="宋体"/>
          <w:kern w:val="0"/>
          <w:sz w:val="32"/>
          <w:szCs w:val="32"/>
        </w:rPr>
        <w:t>总结验收、绩效管理</w:t>
      </w:r>
      <w:r>
        <w:rPr>
          <w:rFonts w:ascii="仿宋_GB2312" w:hAnsi="宋体" w:eastAsia="仿宋_GB2312" w:cs="宋体"/>
          <w:kern w:val="0"/>
          <w:sz w:val="32"/>
          <w:szCs w:val="32"/>
        </w:rPr>
        <w:t>等方面</w:t>
      </w:r>
      <w:r>
        <w:rPr>
          <w:rFonts w:hint="eastAsia" w:ascii="仿宋_GB2312" w:hAnsi="宋体" w:eastAsia="仿宋_GB2312" w:cs="宋体"/>
          <w:kern w:val="0"/>
          <w:sz w:val="32"/>
          <w:szCs w:val="32"/>
        </w:rPr>
        <w:t>实施</w:t>
      </w:r>
      <w:r>
        <w:rPr>
          <w:rFonts w:ascii="仿宋_GB2312" w:hAnsi="宋体" w:eastAsia="仿宋_GB2312" w:cs="宋体"/>
          <w:kern w:val="0"/>
          <w:sz w:val="32"/>
          <w:szCs w:val="32"/>
        </w:rPr>
        <w:t>全流程</w:t>
      </w:r>
      <w:r>
        <w:rPr>
          <w:rFonts w:hint="eastAsia" w:ascii="仿宋_GB2312" w:hAnsi="宋体" w:eastAsia="仿宋_GB2312" w:cs="宋体"/>
          <w:kern w:val="0"/>
          <w:sz w:val="32"/>
          <w:szCs w:val="32"/>
        </w:rPr>
        <w:t>统一监督管理，明确了职责分工，夯实绩效管理责任</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保障了市信访办各系统平台的正常运转，</w:t>
      </w:r>
      <w:r>
        <w:rPr>
          <w:rFonts w:hint="eastAsia" w:ascii="仿宋_GB2312" w:hAnsi="Times New Roman" w:eastAsia="仿宋_GB2312" w:cs="Times New Roman"/>
          <w:color w:val="000000"/>
          <w:kern w:val="0"/>
          <w:sz w:val="32"/>
          <w:szCs w:val="32"/>
        </w:rPr>
        <w:t>保质保量地完成各项绩效评价指标。</w:t>
      </w:r>
    </w:p>
    <w:p>
      <w:pPr>
        <w:pStyle w:val="3"/>
        <w:ind w:firstLine="640"/>
        <w:rPr>
          <w:rFonts w:ascii="楷体" w:hAnsi="楷体" w:eastAsia="楷体"/>
          <w:b w:val="0"/>
        </w:rPr>
      </w:pPr>
      <w:r>
        <w:rPr>
          <w:rFonts w:hint="eastAsia" w:ascii="楷体" w:hAnsi="楷体" w:eastAsia="楷体"/>
          <w:b w:val="0"/>
        </w:rPr>
        <w:t>（一）</w:t>
      </w:r>
      <w:bookmarkEnd w:id="14"/>
      <w:bookmarkEnd w:id="15"/>
      <w:r>
        <w:rPr>
          <w:rFonts w:hint="eastAsia" w:ascii="楷体" w:hAnsi="楷体" w:eastAsia="楷体"/>
          <w:b w:val="0"/>
        </w:rPr>
        <w:t>项目决策情况</w:t>
      </w:r>
      <w:bookmarkEnd w:id="16"/>
    </w:p>
    <w:p>
      <w:pPr>
        <w:spacing w:line="360" w:lineRule="auto"/>
        <w:ind w:firstLine="640" w:firstLineChars="200"/>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该项目立项依据充分、程序规范，</w:t>
      </w:r>
      <w:r>
        <w:rPr>
          <w:rFonts w:hint="eastAsia" w:ascii="仿宋_GB2312" w:hAnsi="Times New Roman" w:eastAsia="仿宋_GB2312" w:cs="Times New Roman"/>
          <w:color w:val="000000"/>
          <w:kern w:val="0"/>
          <w:sz w:val="32"/>
          <w:szCs w:val="32"/>
          <w:lang w:val="en-US" w:eastAsia="zh-CN"/>
        </w:rPr>
        <w:t>绩效目标</w:t>
      </w:r>
      <w:r>
        <w:rPr>
          <w:rFonts w:hint="eastAsia" w:ascii="仿宋_GB2312" w:hAnsi="Times New Roman" w:eastAsia="仿宋_GB2312" w:cs="Times New Roman"/>
          <w:color w:val="000000"/>
          <w:kern w:val="0"/>
          <w:sz w:val="32"/>
          <w:szCs w:val="32"/>
        </w:rPr>
        <w:t>设定比较合理、清晰、可衡量，预算编制</w:t>
      </w:r>
      <w:r>
        <w:rPr>
          <w:rFonts w:hint="eastAsia" w:ascii="仿宋_GB2312" w:hAnsi="Times New Roman" w:eastAsia="仿宋_GB2312" w:cs="Times New Roman"/>
          <w:color w:val="000000"/>
          <w:kern w:val="0"/>
          <w:sz w:val="32"/>
          <w:szCs w:val="32"/>
          <w:lang w:val="en-US" w:eastAsia="zh-CN"/>
        </w:rPr>
        <w:t>较</w:t>
      </w:r>
      <w:r>
        <w:rPr>
          <w:rFonts w:hint="eastAsia" w:ascii="仿宋_GB2312" w:hAnsi="Times New Roman" w:eastAsia="仿宋_GB2312" w:cs="Times New Roman"/>
          <w:color w:val="000000"/>
          <w:kern w:val="0"/>
          <w:sz w:val="32"/>
          <w:szCs w:val="32"/>
        </w:rPr>
        <w:t>科学、资金分配</w:t>
      </w:r>
      <w:r>
        <w:rPr>
          <w:rFonts w:hint="eastAsia" w:ascii="仿宋_GB2312" w:hAnsi="Times New Roman" w:eastAsia="仿宋_GB2312" w:cs="Times New Roman"/>
          <w:color w:val="000000"/>
          <w:kern w:val="0"/>
          <w:sz w:val="32"/>
          <w:szCs w:val="32"/>
          <w:lang w:val="en-US" w:eastAsia="zh-CN"/>
        </w:rPr>
        <w:t>较</w:t>
      </w:r>
      <w:r>
        <w:rPr>
          <w:rFonts w:hint="eastAsia" w:ascii="仿宋_GB2312" w:hAnsi="Times New Roman" w:eastAsia="仿宋_GB2312" w:cs="Times New Roman"/>
          <w:color w:val="000000"/>
          <w:kern w:val="0"/>
          <w:sz w:val="32"/>
          <w:szCs w:val="32"/>
        </w:rPr>
        <w:t>合理</w:t>
      </w:r>
      <w:r>
        <w:rPr>
          <w:rFonts w:hint="eastAsia" w:ascii="仿宋_GB2312" w:hAnsi="Times New Roman" w:eastAsia="仿宋_GB2312" w:cs="Times New Roman"/>
          <w:color w:val="000000"/>
          <w:kern w:val="0"/>
          <w:sz w:val="32"/>
          <w:szCs w:val="32"/>
          <w:lang w:eastAsia="zh-CN"/>
        </w:rPr>
        <w:t>，</w:t>
      </w:r>
      <w:r>
        <w:rPr>
          <w:rFonts w:hint="eastAsia" w:ascii="仿宋_GB2312" w:hAnsi="Times New Roman" w:eastAsia="仿宋_GB2312" w:cs="Times New Roman"/>
          <w:color w:val="000000"/>
          <w:kern w:val="0"/>
          <w:sz w:val="32"/>
          <w:szCs w:val="32"/>
          <w:lang w:val="en-US" w:eastAsia="zh-CN"/>
        </w:rPr>
        <w:t>但存在绩效指标设置不够完整、错误的情况</w:t>
      </w:r>
      <w:r>
        <w:rPr>
          <w:rFonts w:hint="eastAsia" w:ascii="仿宋_GB2312" w:hAnsi="Times New Roman" w:eastAsia="仿宋_GB2312" w:cs="Times New Roman"/>
          <w:color w:val="000000"/>
          <w:kern w:val="0"/>
          <w:sz w:val="32"/>
          <w:szCs w:val="32"/>
        </w:rPr>
        <w:t>。满分10.00分，评价得分为9.</w:t>
      </w:r>
      <w:r>
        <w:rPr>
          <w:rFonts w:hint="eastAsia" w:ascii="仿宋_GB2312" w:hAnsi="Times New Roman" w:eastAsia="仿宋_GB2312" w:cs="Times New Roman"/>
          <w:color w:val="000000"/>
          <w:kern w:val="0"/>
          <w:sz w:val="32"/>
          <w:szCs w:val="32"/>
          <w:lang w:val="en-US" w:eastAsia="zh-CN"/>
        </w:rPr>
        <w:t>50</w:t>
      </w:r>
      <w:r>
        <w:rPr>
          <w:rFonts w:hint="eastAsia" w:ascii="仿宋_GB2312" w:hAnsi="Times New Roman" w:eastAsia="仿宋_GB2312" w:cs="Times New Roman"/>
          <w:color w:val="000000"/>
          <w:kern w:val="0"/>
          <w:sz w:val="32"/>
          <w:szCs w:val="32"/>
        </w:rPr>
        <w:t>分。</w:t>
      </w:r>
    </w:p>
    <w:p>
      <w:pPr>
        <w:pStyle w:val="4"/>
        <w:spacing w:line="360" w:lineRule="auto"/>
        <w:ind w:firstLine="640"/>
        <w:rPr>
          <w:rFonts w:ascii="仿宋_GB2312"/>
          <w:color w:val="000000"/>
          <w:kern w:val="0"/>
          <w:sz w:val="32"/>
          <w:szCs w:val="32"/>
        </w:rPr>
      </w:pPr>
      <w:bookmarkStart w:id="17" w:name="_Toc14351472"/>
      <w:bookmarkStart w:id="18" w:name="_Toc19112400"/>
      <w:r>
        <w:rPr>
          <w:rFonts w:hint="eastAsia" w:ascii="仿宋_GB2312"/>
          <w:color w:val="000000"/>
          <w:kern w:val="0"/>
          <w:sz w:val="32"/>
          <w:szCs w:val="32"/>
        </w:rPr>
        <w:t>1.项目立项分析</w:t>
      </w:r>
      <w:bookmarkEnd w:id="17"/>
      <w:bookmarkEnd w:id="18"/>
    </w:p>
    <w:p>
      <w:pPr>
        <w:spacing w:line="360" w:lineRule="auto"/>
        <w:ind w:firstLine="640" w:firstLineChars="200"/>
        <w:rPr>
          <w:rFonts w:hint="eastAsia" w:ascii="仿宋_GB2312" w:hAnsi="Times New Roman" w:eastAsia="仿宋_GB2312" w:cs="Times New Roman"/>
          <w:color w:val="000000"/>
          <w:kern w:val="0"/>
          <w:sz w:val="32"/>
          <w:szCs w:val="32"/>
          <w:lang w:val="en-US" w:eastAsia="zh-CN"/>
        </w:rPr>
      </w:pPr>
      <w:r>
        <w:rPr>
          <w:rFonts w:hint="eastAsia" w:ascii="仿宋_GB2312" w:hAnsi="Times New Roman" w:eastAsia="仿宋_GB2312" w:cs="Times New Roman"/>
          <w:color w:val="000000"/>
          <w:kern w:val="0"/>
          <w:sz w:val="32"/>
          <w:szCs w:val="32"/>
        </w:rPr>
        <w:t>（1）立项依据充分。</w:t>
      </w:r>
      <w:r>
        <w:rPr>
          <w:rFonts w:hint="eastAsia" w:ascii="仿宋_GB2312" w:hAnsi="Times New Roman" w:eastAsia="仿宋_GB2312" w:cs="Times New Roman"/>
          <w:color w:val="000000"/>
          <w:kern w:val="0"/>
          <w:sz w:val="32"/>
          <w:szCs w:val="32"/>
          <w:lang w:eastAsia="zh-CN"/>
        </w:rPr>
        <w:t>市信访办</w:t>
      </w:r>
      <w:r>
        <w:rPr>
          <w:rFonts w:hint="eastAsia" w:ascii="仿宋_GB2312" w:hAnsi="Times New Roman" w:eastAsia="仿宋_GB2312" w:cs="Times New Roman"/>
          <w:color w:val="000000"/>
          <w:kern w:val="0"/>
          <w:sz w:val="32"/>
          <w:szCs w:val="32"/>
        </w:rPr>
        <w:t>依据“三定”方案“承担对全市信访信息的汇集分析职责，组织指导协调、推动全市信访系统信息化建设。负责信访工作的宣传和信息发布”职能，结合202</w:t>
      </w:r>
      <w:r>
        <w:rPr>
          <w:rFonts w:hint="eastAsia" w:ascii="仿宋_GB2312" w:hAnsi="Times New Roman" w:eastAsia="仿宋_GB2312" w:cs="Times New Roman"/>
          <w:color w:val="000000"/>
          <w:kern w:val="0"/>
          <w:sz w:val="32"/>
          <w:szCs w:val="32"/>
          <w:lang w:val="en-US" w:eastAsia="zh-CN"/>
        </w:rPr>
        <w:t>2</w:t>
      </w:r>
      <w:r>
        <w:rPr>
          <w:rFonts w:hint="eastAsia" w:ascii="仿宋_GB2312" w:hAnsi="Times New Roman" w:eastAsia="仿宋_GB2312" w:cs="Times New Roman"/>
          <w:color w:val="000000"/>
          <w:kern w:val="0"/>
          <w:sz w:val="32"/>
          <w:szCs w:val="32"/>
        </w:rPr>
        <w:t>年度工作任务，申报</w:t>
      </w:r>
      <w:r>
        <w:rPr>
          <w:rFonts w:hint="eastAsia" w:ascii="仿宋_GB2312" w:hAnsi="Times New Roman" w:eastAsia="仿宋_GB2312" w:cs="Times New Roman"/>
          <w:color w:val="000000"/>
          <w:kern w:val="0"/>
          <w:sz w:val="32"/>
          <w:szCs w:val="32"/>
          <w:lang w:val="en-US" w:eastAsia="zh-CN"/>
        </w:rPr>
        <w:t>信息系统运维类项目</w:t>
      </w:r>
      <w:r>
        <w:rPr>
          <w:rFonts w:hint="eastAsia" w:ascii="仿宋_GB2312" w:hAnsi="Times New Roman" w:eastAsia="仿宋_GB2312" w:cs="Times New Roman"/>
          <w:color w:val="000000"/>
          <w:kern w:val="0"/>
          <w:sz w:val="32"/>
          <w:szCs w:val="32"/>
        </w:rPr>
        <w:t>，符合国家和北京市“十四五”时期</w:t>
      </w:r>
      <w:r>
        <w:rPr>
          <w:rFonts w:hint="eastAsia" w:ascii="仿宋_GB2312" w:hAnsi="Times New Roman" w:eastAsia="仿宋_GB2312" w:cs="Times New Roman"/>
          <w:color w:val="000000"/>
          <w:kern w:val="0"/>
          <w:sz w:val="32"/>
          <w:szCs w:val="32"/>
          <w:lang w:val="en-US" w:eastAsia="zh-CN"/>
        </w:rPr>
        <w:t>信访信息安全规划</w:t>
      </w:r>
      <w:r>
        <w:rPr>
          <w:rFonts w:hint="eastAsia" w:ascii="仿宋_GB2312" w:hAnsi="Times New Roman" w:eastAsia="仿宋_GB2312" w:cs="Times New Roman"/>
          <w:color w:val="000000"/>
          <w:kern w:val="0"/>
          <w:sz w:val="32"/>
          <w:szCs w:val="32"/>
        </w:rPr>
        <w:t>。</w:t>
      </w:r>
      <w:r>
        <w:rPr>
          <w:rFonts w:hint="eastAsia" w:ascii="仿宋_GB2312" w:hAnsi="Times New Roman" w:eastAsia="仿宋_GB2312" w:cs="Times New Roman"/>
          <w:color w:val="000000"/>
          <w:kern w:val="0"/>
          <w:sz w:val="32"/>
          <w:szCs w:val="32"/>
          <w:lang w:val="en-US" w:eastAsia="zh-CN"/>
        </w:rPr>
        <w:t>项目立项依据充分。</w:t>
      </w:r>
    </w:p>
    <w:p>
      <w:pPr>
        <w:spacing w:line="360" w:lineRule="auto"/>
        <w:ind w:firstLine="640" w:firstLineChars="200"/>
        <w:rPr>
          <w:rFonts w:ascii="仿宋_GB2312" w:hAnsi="Times New Roman" w:eastAsia="仿宋_GB2312" w:cs="Times New Roman"/>
          <w:color w:val="000000"/>
          <w:kern w:val="0"/>
          <w:sz w:val="32"/>
          <w:szCs w:val="32"/>
          <w:highlight w:val="yellow"/>
        </w:rPr>
      </w:pPr>
      <w:r>
        <w:rPr>
          <w:rFonts w:hint="eastAsia" w:ascii="仿宋_GB2312" w:hAnsi="Times New Roman" w:eastAsia="仿宋_GB2312" w:cs="Times New Roman"/>
          <w:color w:val="000000"/>
          <w:kern w:val="0"/>
          <w:sz w:val="32"/>
          <w:szCs w:val="32"/>
        </w:rPr>
        <w:t>（2）立项程序规范。</w:t>
      </w:r>
      <w:r>
        <w:rPr>
          <w:rFonts w:hint="eastAsia" w:ascii="仿宋_GB2312" w:hAnsi="Times New Roman" w:eastAsia="仿宋_GB2312" w:cs="Times New Roman"/>
          <w:color w:val="000000"/>
          <w:kern w:val="0"/>
          <w:sz w:val="32"/>
          <w:szCs w:val="32"/>
          <w:lang w:val="en-US" w:eastAsia="zh-CN"/>
        </w:rPr>
        <w:t>该项目为延续性项目，市信访办根据相关经费管理办法编制经费预算，并在规定的报送时间内上报立项申请。项目立项程序规范</w:t>
      </w:r>
      <w:r>
        <w:rPr>
          <w:rFonts w:hint="eastAsia" w:ascii="仿宋_GB2312" w:hAnsi="Times New Roman" w:eastAsia="仿宋_GB2312" w:cs="Times New Roman"/>
          <w:color w:val="000000"/>
          <w:kern w:val="0"/>
          <w:sz w:val="32"/>
          <w:szCs w:val="32"/>
        </w:rPr>
        <w:t>。</w:t>
      </w:r>
    </w:p>
    <w:p>
      <w:pPr>
        <w:pStyle w:val="4"/>
        <w:spacing w:line="360" w:lineRule="auto"/>
        <w:ind w:firstLine="640"/>
        <w:rPr>
          <w:rFonts w:ascii="仿宋_GB2312"/>
          <w:color w:val="000000"/>
          <w:kern w:val="0"/>
          <w:sz w:val="32"/>
          <w:szCs w:val="32"/>
        </w:rPr>
      </w:pPr>
      <w:bookmarkStart w:id="19" w:name="_Toc14351474"/>
      <w:bookmarkStart w:id="20" w:name="_Toc19112402"/>
      <w:r>
        <w:rPr>
          <w:rFonts w:hint="eastAsia" w:ascii="仿宋_GB2312"/>
          <w:color w:val="000000"/>
          <w:kern w:val="0"/>
          <w:sz w:val="32"/>
          <w:szCs w:val="32"/>
        </w:rPr>
        <w:t>2.绩效目标分析</w:t>
      </w:r>
      <w:bookmarkEnd w:id="19"/>
      <w:bookmarkEnd w:id="20"/>
    </w:p>
    <w:p>
      <w:pPr>
        <w:spacing w:line="360" w:lineRule="auto"/>
        <w:ind w:firstLine="640" w:firstLineChars="200"/>
        <w:rPr>
          <w:rFonts w:ascii="仿宋_GB2312" w:hAnsi="Times New Roman" w:eastAsia="仿宋_GB2312" w:cs="Times New Roman"/>
          <w:color w:val="000000"/>
          <w:kern w:val="0"/>
          <w:sz w:val="32"/>
          <w:szCs w:val="32"/>
        </w:rPr>
      </w:pPr>
      <w:bookmarkStart w:id="21" w:name="_Toc19112403"/>
      <w:r>
        <w:rPr>
          <w:rFonts w:hint="eastAsia" w:ascii="仿宋_GB2312" w:hAnsi="Times New Roman" w:eastAsia="仿宋_GB2312" w:cs="Times New Roman"/>
          <w:kern w:val="0"/>
          <w:sz w:val="32"/>
          <w:szCs w:val="32"/>
        </w:rPr>
        <w:t>（1）绩效目标设定合理。查阅《项目支出绩效自评表》，</w:t>
      </w:r>
      <w:r>
        <w:rPr>
          <w:rFonts w:hint="eastAsia" w:ascii="仿宋_GB2312" w:hAnsi="Times New Roman" w:eastAsia="仿宋_GB2312" w:cs="Times New Roman"/>
          <w:kern w:val="0"/>
          <w:sz w:val="32"/>
          <w:szCs w:val="32"/>
          <w:lang w:val="en-US" w:eastAsia="zh-CN"/>
        </w:rPr>
        <w:t>该</w:t>
      </w:r>
      <w:r>
        <w:rPr>
          <w:rFonts w:hint="eastAsia" w:ascii="仿宋_GB2312" w:hAnsi="Times New Roman" w:eastAsia="仿宋_GB2312" w:cs="Times New Roman"/>
          <w:kern w:val="0"/>
          <w:sz w:val="32"/>
          <w:szCs w:val="32"/>
        </w:rPr>
        <w:t>项目设定了绩效目标，</w:t>
      </w:r>
      <w:r>
        <w:rPr>
          <w:rFonts w:hint="eastAsia" w:ascii="仿宋_GB2312" w:hAnsi="Times New Roman" w:eastAsia="仿宋_GB2312" w:cs="Times New Roman"/>
          <w:kern w:val="0"/>
          <w:sz w:val="32"/>
          <w:szCs w:val="32"/>
          <w:lang w:val="en-US" w:eastAsia="zh-CN"/>
        </w:rPr>
        <w:t>符合市信访办对2022年度信访工作的相关要求和年度计划，</w:t>
      </w:r>
      <w:r>
        <w:rPr>
          <w:rFonts w:hint="eastAsia" w:ascii="仿宋_GB2312" w:hAnsi="Times New Roman" w:eastAsia="仿宋_GB2312" w:cs="Times New Roman"/>
          <w:kern w:val="0"/>
          <w:sz w:val="32"/>
          <w:szCs w:val="32"/>
        </w:rPr>
        <w:t>与项目实施内容相符、紧密相关</w:t>
      </w:r>
      <w:r>
        <w:rPr>
          <w:rFonts w:hint="eastAsia" w:ascii="仿宋_GB2312" w:hAnsi="Times New Roman" w:eastAsia="仿宋_GB2312" w:cs="Times New Roman"/>
          <w:kern w:val="0"/>
          <w:sz w:val="32"/>
          <w:szCs w:val="32"/>
          <w:lang w:eastAsia="zh-CN"/>
        </w:rPr>
        <w:t>。</w:t>
      </w:r>
      <w:r>
        <w:rPr>
          <w:rFonts w:hint="eastAsia" w:ascii="仿宋_GB2312" w:hAnsi="Times New Roman" w:eastAsia="仿宋_GB2312" w:cs="Times New Roman"/>
          <w:kern w:val="0"/>
          <w:sz w:val="32"/>
          <w:szCs w:val="32"/>
          <w:lang w:val="en-US" w:eastAsia="zh-CN"/>
        </w:rPr>
        <w:t>项目绩效设定较为合理。</w:t>
      </w:r>
    </w:p>
    <w:p>
      <w:pPr>
        <w:spacing w:line="360" w:lineRule="auto"/>
        <w:ind w:firstLine="640" w:firstLineChars="200"/>
        <w:rPr>
          <w:rFonts w:hint="default" w:ascii="仿宋_GB2312" w:hAnsi="Times New Roman" w:eastAsia="仿宋_GB2312" w:cs="Times New Roman"/>
          <w:color w:val="000000"/>
          <w:kern w:val="0"/>
          <w:sz w:val="32"/>
          <w:szCs w:val="32"/>
          <w:lang w:val="en-US" w:eastAsia="zh-CN"/>
        </w:rPr>
      </w:pPr>
      <w:r>
        <w:rPr>
          <w:rFonts w:hint="eastAsia" w:ascii="仿宋_GB2312" w:hAnsi="Times New Roman" w:eastAsia="仿宋_GB2312" w:cs="Times New Roman"/>
          <w:color w:val="000000"/>
          <w:kern w:val="0"/>
          <w:sz w:val="32"/>
          <w:szCs w:val="32"/>
        </w:rPr>
        <w:t>（2）绩效目标设定科学。</w:t>
      </w:r>
      <w:r>
        <w:rPr>
          <w:rFonts w:hint="eastAsia" w:ascii="仿宋_GB2312" w:hAnsi="Times New Roman" w:eastAsia="仿宋_GB2312" w:cs="Times New Roman"/>
          <w:color w:val="000000"/>
          <w:kern w:val="0"/>
          <w:sz w:val="32"/>
          <w:szCs w:val="32"/>
          <w:lang w:val="en-US" w:eastAsia="zh-CN"/>
        </w:rPr>
        <w:t>市信访办</w:t>
      </w:r>
      <w:r>
        <w:rPr>
          <w:rFonts w:hint="eastAsia" w:ascii="仿宋_GB2312" w:hAnsi="Times New Roman" w:eastAsia="仿宋_GB2312" w:cs="Times New Roman"/>
          <w:color w:val="000000"/>
          <w:kern w:val="0"/>
          <w:sz w:val="32"/>
          <w:szCs w:val="32"/>
        </w:rPr>
        <w:t>将</w:t>
      </w:r>
      <w:r>
        <w:rPr>
          <w:rFonts w:hint="eastAsia" w:ascii="仿宋_GB2312" w:hAnsi="Times New Roman" w:eastAsia="仿宋_GB2312" w:cs="Times New Roman"/>
          <w:color w:val="000000"/>
          <w:kern w:val="0"/>
          <w:sz w:val="32"/>
          <w:szCs w:val="32"/>
          <w:lang w:val="en-US" w:eastAsia="zh-CN"/>
        </w:rPr>
        <w:t>该</w:t>
      </w:r>
      <w:r>
        <w:rPr>
          <w:rFonts w:hint="eastAsia" w:ascii="仿宋_GB2312" w:hAnsi="Times New Roman" w:eastAsia="仿宋_GB2312" w:cs="Times New Roman"/>
          <w:color w:val="000000"/>
          <w:kern w:val="0"/>
          <w:sz w:val="32"/>
          <w:szCs w:val="32"/>
        </w:rPr>
        <w:t>项目绩效目标细化分解为具体的</w:t>
      </w:r>
      <w:r>
        <w:rPr>
          <w:rFonts w:hint="eastAsia" w:ascii="仿宋_GB2312" w:hAnsi="Times New Roman" w:eastAsia="仿宋_GB2312" w:cs="Times New Roman"/>
          <w:color w:val="000000"/>
          <w:kern w:val="0"/>
          <w:sz w:val="32"/>
          <w:szCs w:val="32"/>
          <w:lang w:val="en-US" w:eastAsia="zh-CN"/>
        </w:rPr>
        <w:t>数量、质量、时效、成本、可持续影响、满意度等各项</w:t>
      </w:r>
      <w:r>
        <w:rPr>
          <w:rFonts w:hint="eastAsia" w:ascii="仿宋_GB2312" w:hAnsi="Times New Roman" w:eastAsia="仿宋_GB2312" w:cs="Times New Roman"/>
          <w:color w:val="000000"/>
          <w:kern w:val="0"/>
          <w:sz w:val="32"/>
          <w:szCs w:val="32"/>
        </w:rPr>
        <w:t>绩效指标，通过清晰、可衡量的指标值予以体现</w:t>
      </w:r>
      <w:r>
        <w:rPr>
          <w:rFonts w:hint="eastAsia" w:ascii="仿宋_GB2312" w:hAnsi="Times New Roman" w:eastAsia="仿宋_GB2312" w:cs="Times New Roman"/>
          <w:color w:val="000000"/>
          <w:kern w:val="0"/>
          <w:sz w:val="32"/>
          <w:szCs w:val="32"/>
          <w:lang w:eastAsia="zh-CN"/>
        </w:rPr>
        <w:t>。</w:t>
      </w:r>
      <w:r>
        <w:rPr>
          <w:rFonts w:hint="eastAsia" w:ascii="仿宋_GB2312" w:hAnsi="Times New Roman" w:eastAsia="仿宋_GB2312" w:cs="Times New Roman"/>
          <w:color w:val="000000"/>
          <w:kern w:val="0"/>
          <w:sz w:val="32"/>
          <w:szCs w:val="32"/>
          <w:lang w:val="en-US" w:eastAsia="zh-CN"/>
        </w:rPr>
        <w:t>但存在缺乏社会效益指标、可持续效益指标设置错误的问题</w:t>
      </w:r>
      <w:r>
        <w:rPr>
          <w:rFonts w:hint="eastAsia" w:ascii="仿宋_GB2312" w:hAnsi="Times New Roman" w:eastAsia="仿宋_GB2312" w:cs="Times New Roman"/>
          <w:color w:val="000000"/>
          <w:kern w:val="0"/>
          <w:sz w:val="32"/>
          <w:szCs w:val="32"/>
        </w:rPr>
        <w:t>。</w:t>
      </w:r>
      <w:r>
        <w:rPr>
          <w:rFonts w:hint="eastAsia" w:ascii="仿宋_GB2312" w:hAnsi="Times New Roman" w:eastAsia="仿宋_GB2312" w:cs="Times New Roman"/>
          <w:color w:val="000000"/>
          <w:kern w:val="0"/>
          <w:sz w:val="32"/>
          <w:szCs w:val="32"/>
          <w:lang w:val="en-US" w:eastAsia="zh-CN"/>
        </w:rPr>
        <w:t>绩效目标设定不够完整、合理。</w:t>
      </w:r>
    </w:p>
    <w:bookmarkEnd w:id="21"/>
    <w:p>
      <w:pPr>
        <w:pStyle w:val="4"/>
        <w:spacing w:line="360" w:lineRule="auto"/>
        <w:ind w:firstLine="640"/>
        <w:rPr>
          <w:rFonts w:ascii="仿宋_GB2312"/>
          <w:color w:val="000000"/>
          <w:kern w:val="0"/>
          <w:sz w:val="32"/>
          <w:szCs w:val="32"/>
        </w:rPr>
      </w:pPr>
      <w:bookmarkStart w:id="22" w:name="_Toc19112404"/>
      <w:bookmarkStart w:id="23" w:name="_Toc14351476"/>
      <w:r>
        <w:rPr>
          <w:rFonts w:hint="eastAsia" w:ascii="仿宋_GB2312"/>
          <w:color w:val="000000"/>
          <w:kern w:val="0"/>
          <w:sz w:val="32"/>
          <w:szCs w:val="32"/>
        </w:rPr>
        <w:t>3.资金投入分析</w:t>
      </w:r>
      <w:bookmarkEnd w:id="22"/>
      <w:bookmarkEnd w:id="23"/>
      <w:bookmarkStart w:id="24" w:name="_Toc19112405"/>
    </w:p>
    <w:bookmarkEnd w:id="24"/>
    <w:p>
      <w:pPr>
        <w:spacing w:line="360" w:lineRule="auto"/>
        <w:ind w:firstLine="640" w:firstLineChars="200"/>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（1）预算编制科学。预算申报后，专业评审机构依据行业收费标准、市场价格对项目进行预算评审，审定该项目预算</w:t>
      </w:r>
      <w:r>
        <w:rPr>
          <w:rFonts w:hint="eastAsia" w:ascii="仿宋_GB2312" w:hAnsi="Times New Roman" w:eastAsia="仿宋_GB2312" w:cs="Times New Roman"/>
          <w:color w:val="000000"/>
          <w:kern w:val="0"/>
          <w:sz w:val="32"/>
          <w:szCs w:val="32"/>
          <w:lang w:val="en-US" w:eastAsia="zh-CN"/>
        </w:rPr>
        <w:t>513.01</w:t>
      </w:r>
      <w:r>
        <w:rPr>
          <w:rFonts w:hint="eastAsia" w:ascii="仿宋_GB2312" w:hAnsi="Times New Roman" w:eastAsia="仿宋_GB2312" w:cs="Times New Roman"/>
          <w:color w:val="000000"/>
          <w:kern w:val="0"/>
          <w:sz w:val="32"/>
          <w:szCs w:val="32"/>
        </w:rPr>
        <w:t>万元。</w:t>
      </w:r>
    </w:p>
    <w:p>
      <w:pPr>
        <w:spacing w:line="360" w:lineRule="auto"/>
        <w:ind w:firstLine="640" w:firstLineChars="200"/>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（2）资金分配合理。</w:t>
      </w:r>
      <w:r>
        <w:rPr>
          <w:rFonts w:hint="eastAsia" w:ascii="仿宋_GB2312" w:hAnsi="Times New Roman" w:eastAsia="仿宋_GB2312" w:cs="Times New Roman"/>
          <w:color w:val="000000"/>
          <w:kern w:val="0"/>
          <w:sz w:val="32"/>
          <w:szCs w:val="32"/>
          <w:lang w:val="en-US" w:eastAsia="zh-CN"/>
        </w:rPr>
        <w:t>该项目为延续性项目，各项系统运维合同多为上一年度系统运维服务和运维合同的延续，</w:t>
      </w:r>
      <w:r>
        <w:rPr>
          <w:rFonts w:hint="eastAsia" w:ascii="仿宋" w:hAnsi="仿宋" w:eastAsia="仿宋" w:cs="仿宋"/>
          <w:bCs/>
          <w:kern w:val="0"/>
          <w:sz w:val="32"/>
          <w:szCs w:val="32"/>
          <w:lang w:bidi="ar"/>
        </w:rPr>
        <w:t>评价组通过查看各项目预算支出明细及测算依据，认为本</w:t>
      </w:r>
      <w:r>
        <w:rPr>
          <w:rFonts w:ascii="仿宋" w:hAnsi="仿宋" w:eastAsia="仿宋" w:cs="仿宋"/>
          <w:bCs/>
          <w:kern w:val="0"/>
          <w:sz w:val="32"/>
          <w:szCs w:val="32"/>
          <w:lang w:bidi="ar"/>
        </w:rPr>
        <w:t>项目</w:t>
      </w:r>
      <w:r>
        <w:rPr>
          <w:rFonts w:hint="eastAsia" w:ascii="仿宋" w:hAnsi="仿宋" w:eastAsia="仿宋" w:cs="仿宋"/>
          <w:bCs/>
          <w:kern w:val="0"/>
          <w:sz w:val="32"/>
          <w:szCs w:val="32"/>
          <w:lang w:bidi="ar"/>
        </w:rPr>
        <w:t>预算基本科学</w:t>
      </w:r>
      <w:r>
        <w:rPr>
          <w:rFonts w:hint="eastAsia" w:ascii="仿宋_GB2312" w:hAnsi="Times New Roman" w:eastAsia="仿宋_GB2312" w:cs="Times New Roman"/>
          <w:color w:val="000000"/>
          <w:kern w:val="0"/>
          <w:sz w:val="32"/>
          <w:szCs w:val="32"/>
        </w:rPr>
        <w:t>项目资金在预算额度内分配，程序规范</w:t>
      </w:r>
      <w:r>
        <w:rPr>
          <w:rFonts w:ascii="仿宋_GB2312" w:hAnsi="Times New Roman" w:eastAsia="仿宋_GB2312" w:cs="Times New Roman"/>
          <w:color w:val="000000"/>
          <w:kern w:val="0"/>
          <w:sz w:val="32"/>
          <w:szCs w:val="32"/>
        </w:rPr>
        <w:t>。</w:t>
      </w:r>
    </w:p>
    <w:p>
      <w:pPr>
        <w:pStyle w:val="3"/>
        <w:ind w:firstLine="640"/>
        <w:rPr>
          <w:rFonts w:ascii="楷体" w:hAnsi="楷体" w:eastAsia="楷体"/>
          <w:b w:val="0"/>
        </w:rPr>
      </w:pPr>
      <w:bookmarkStart w:id="25" w:name="_Toc102746359"/>
      <w:r>
        <w:rPr>
          <w:rFonts w:hint="eastAsia" w:ascii="楷体" w:hAnsi="楷体" w:eastAsia="楷体"/>
          <w:b w:val="0"/>
        </w:rPr>
        <w:t>（二）项目过程情况</w:t>
      </w:r>
      <w:bookmarkEnd w:id="25"/>
    </w:p>
    <w:p>
      <w:pPr>
        <w:spacing w:line="360" w:lineRule="auto"/>
        <w:ind w:firstLine="640" w:firstLineChars="200"/>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lang w:eastAsia="zh-CN"/>
        </w:rPr>
        <w:t>市信访办</w:t>
      </w:r>
      <w:r>
        <w:rPr>
          <w:rFonts w:hint="eastAsia" w:ascii="仿宋_GB2312" w:hAnsi="Times New Roman" w:eastAsia="仿宋_GB2312" w:cs="Times New Roman"/>
          <w:color w:val="000000"/>
          <w:kern w:val="0"/>
          <w:sz w:val="32"/>
          <w:szCs w:val="32"/>
        </w:rPr>
        <w:t>落实责任，精心准备、周密部署、完善方案，有序推进</w:t>
      </w:r>
      <w:r>
        <w:rPr>
          <w:rFonts w:hint="eastAsia" w:ascii="仿宋_GB2312" w:hAnsi="Times New Roman" w:eastAsia="仿宋_GB2312" w:cs="Times New Roman"/>
          <w:color w:val="000000"/>
          <w:kern w:val="0"/>
          <w:sz w:val="32"/>
          <w:szCs w:val="32"/>
          <w:lang w:val="en-US" w:eastAsia="zh-CN"/>
        </w:rPr>
        <w:t>信息系统和安防系统的运维工作</w:t>
      </w:r>
      <w:r>
        <w:rPr>
          <w:rFonts w:hint="eastAsia" w:ascii="仿宋_GB2312" w:hAnsi="Times New Roman" w:eastAsia="仿宋_GB2312" w:cs="Times New Roman"/>
          <w:color w:val="000000"/>
          <w:kern w:val="0"/>
          <w:sz w:val="32"/>
          <w:szCs w:val="32"/>
        </w:rPr>
        <w:t>，确保</w:t>
      </w:r>
      <w:r>
        <w:rPr>
          <w:rFonts w:hint="eastAsia" w:ascii="仿宋_GB2312" w:hAnsi="Times New Roman" w:eastAsia="仿宋_GB2312" w:cs="Times New Roman"/>
          <w:color w:val="000000"/>
          <w:kern w:val="0"/>
          <w:sz w:val="32"/>
          <w:szCs w:val="32"/>
          <w:lang w:eastAsia="zh-CN"/>
        </w:rPr>
        <w:t>了</w:t>
      </w:r>
      <w:r>
        <w:rPr>
          <w:rFonts w:hint="eastAsia" w:ascii="仿宋_GB2312" w:hAnsi="Times New Roman" w:eastAsia="仿宋_GB2312" w:cs="Times New Roman"/>
          <w:color w:val="000000"/>
          <w:kern w:val="0"/>
          <w:sz w:val="32"/>
          <w:szCs w:val="32"/>
          <w:lang w:val="en-US" w:eastAsia="zh-CN"/>
        </w:rPr>
        <w:t>市信访办各系统平台的正常运转和使用</w:t>
      </w:r>
      <w:r>
        <w:rPr>
          <w:rFonts w:hint="eastAsia" w:ascii="仿宋_GB2312" w:hAnsi="Times New Roman" w:eastAsia="仿宋_GB2312" w:cs="Times New Roman"/>
          <w:color w:val="000000"/>
          <w:kern w:val="0"/>
          <w:sz w:val="32"/>
          <w:szCs w:val="32"/>
        </w:rPr>
        <w:t>。</w:t>
      </w:r>
      <w:r>
        <w:rPr>
          <w:rFonts w:hint="eastAsia" w:ascii="仿宋_GB2312" w:hAnsi="Times New Roman" w:eastAsia="仿宋_GB2312" w:cs="Times New Roman"/>
          <w:color w:val="000000"/>
          <w:kern w:val="0"/>
          <w:sz w:val="32"/>
          <w:szCs w:val="32"/>
          <w:lang w:val="en-US" w:eastAsia="zh-CN"/>
        </w:rPr>
        <w:t>但存在合同管理、投标管理不够到位的问题。</w:t>
      </w:r>
      <w:r>
        <w:rPr>
          <w:rFonts w:hint="eastAsia" w:ascii="仿宋_GB2312" w:hAnsi="Times New Roman" w:eastAsia="仿宋_GB2312" w:cs="Times New Roman"/>
          <w:color w:val="000000"/>
          <w:kern w:val="0"/>
          <w:sz w:val="32"/>
          <w:szCs w:val="32"/>
        </w:rPr>
        <w:t>满分20.00分，评价得分为1</w:t>
      </w:r>
      <w:r>
        <w:rPr>
          <w:rFonts w:hint="eastAsia" w:ascii="仿宋_GB2312" w:hAnsi="Times New Roman" w:eastAsia="仿宋_GB2312" w:cs="Times New Roman"/>
          <w:color w:val="000000"/>
          <w:kern w:val="0"/>
          <w:sz w:val="32"/>
          <w:szCs w:val="32"/>
          <w:lang w:val="en-US" w:eastAsia="zh-CN"/>
        </w:rPr>
        <w:t>6</w:t>
      </w:r>
      <w:r>
        <w:rPr>
          <w:rFonts w:hint="eastAsia" w:ascii="仿宋_GB2312" w:hAnsi="Times New Roman" w:eastAsia="仿宋_GB2312" w:cs="Times New Roman"/>
          <w:color w:val="000000"/>
          <w:kern w:val="0"/>
          <w:sz w:val="32"/>
          <w:szCs w:val="32"/>
        </w:rPr>
        <w:t>.</w:t>
      </w:r>
      <w:r>
        <w:rPr>
          <w:rFonts w:hint="eastAsia" w:ascii="仿宋_GB2312" w:hAnsi="Times New Roman" w:eastAsia="仿宋_GB2312" w:cs="Times New Roman"/>
          <w:color w:val="000000"/>
          <w:kern w:val="0"/>
          <w:sz w:val="32"/>
          <w:szCs w:val="32"/>
          <w:lang w:val="en-US" w:eastAsia="zh-CN"/>
        </w:rPr>
        <w:t>97</w:t>
      </w:r>
      <w:r>
        <w:rPr>
          <w:rFonts w:hint="eastAsia" w:ascii="仿宋_GB2312" w:hAnsi="Times New Roman" w:eastAsia="仿宋_GB2312" w:cs="Times New Roman"/>
          <w:color w:val="000000"/>
          <w:kern w:val="0"/>
          <w:sz w:val="32"/>
          <w:szCs w:val="32"/>
        </w:rPr>
        <w:t>分。</w:t>
      </w:r>
    </w:p>
    <w:p>
      <w:pPr>
        <w:spacing w:line="360" w:lineRule="auto"/>
        <w:ind w:firstLine="640" w:firstLineChars="200"/>
        <w:rPr>
          <w:rFonts w:ascii="仿宋_GB2312" w:hAnsi="Times New Roman" w:eastAsia="仿宋_GB2312" w:cs="Times New Roman"/>
          <w:color w:val="000000"/>
          <w:kern w:val="0"/>
          <w:sz w:val="32"/>
          <w:szCs w:val="32"/>
        </w:rPr>
      </w:pPr>
      <w:bookmarkStart w:id="26" w:name="_Toc480969064"/>
      <w:bookmarkStart w:id="27" w:name="_Toc19112407"/>
      <w:bookmarkStart w:id="28" w:name="_Toc14351479"/>
      <w:r>
        <w:rPr>
          <w:rFonts w:hint="eastAsia" w:ascii="仿宋_GB2312" w:hAnsi="Times New Roman" w:eastAsia="仿宋_GB2312" w:cs="Times New Roman"/>
          <w:color w:val="000000"/>
          <w:kern w:val="0"/>
          <w:sz w:val="32"/>
          <w:szCs w:val="32"/>
        </w:rPr>
        <w:t>1.资金管理情况</w:t>
      </w:r>
      <w:bookmarkEnd w:id="26"/>
      <w:bookmarkEnd w:id="27"/>
      <w:bookmarkEnd w:id="28"/>
    </w:p>
    <w:p>
      <w:pPr>
        <w:spacing w:line="360" w:lineRule="auto"/>
        <w:ind w:firstLine="640" w:firstLineChars="200"/>
        <w:rPr>
          <w:rFonts w:ascii="仿宋_GB2312" w:hAnsi="Times New Roman" w:eastAsia="仿宋_GB2312" w:cs="Times New Roman"/>
          <w:color w:val="000000"/>
          <w:kern w:val="0"/>
          <w:sz w:val="32"/>
          <w:szCs w:val="32"/>
        </w:rPr>
      </w:pPr>
      <w:bookmarkStart w:id="29" w:name="_Toc483936051"/>
      <w:bookmarkStart w:id="30" w:name="_Toc14351480"/>
      <w:r>
        <w:rPr>
          <w:rFonts w:hint="eastAsia" w:ascii="仿宋_GB2312" w:hAnsi="Times New Roman" w:eastAsia="仿宋_GB2312" w:cs="Times New Roman"/>
          <w:color w:val="000000"/>
          <w:kern w:val="0"/>
          <w:sz w:val="32"/>
          <w:szCs w:val="32"/>
        </w:rPr>
        <w:t>（1）资金及时到位。202</w:t>
      </w:r>
      <w:r>
        <w:rPr>
          <w:rFonts w:hint="eastAsia" w:ascii="仿宋_GB2312" w:hAnsi="Times New Roman" w:eastAsia="仿宋_GB2312" w:cs="Times New Roman"/>
          <w:color w:val="000000"/>
          <w:kern w:val="0"/>
          <w:sz w:val="32"/>
          <w:szCs w:val="32"/>
          <w:lang w:val="en-US" w:eastAsia="zh-CN"/>
        </w:rPr>
        <w:t>2</w:t>
      </w:r>
      <w:r>
        <w:rPr>
          <w:rFonts w:hint="eastAsia" w:ascii="仿宋_GB2312" w:hAnsi="Times New Roman" w:eastAsia="仿宋_GB2312" w:cs="Times New Roman"/>
          <w:color w:val="000000"/>
          <w:kern w:val="0"/>
          <w:sz w:val="32"/>
          <w:szCs w:val="32"/>
        </w:rPr>
        <w:t>年3月，市财政及时、足额向</w:t>
      </w:r>
      <w:r>
        <w:rPr>
          <w:rFonts w:hint="eastAsia" w:ascii="仿宋_GB2312" w:hAnsi="Times New Roman" w:eastAsia="仿宋_GB2312" w:cs="Times New Roman"/>
          <w:color w:val="000000"/>
          <w:kern w:val="0"/>
          <w:sz w:val="32"/>
          <w:szCs w:val="32"/>
          <w:lang w:eastAsia="zh-CN"/>
        </w:rPr>
        <w:t>市信访办</w:t>
      </w:r>
      <w:r>
        <w:rPr>
          <w:rFonts w:hint="eastAsia" w:ascii="仿宋_GB2312" w:hAnsi="Times New Roman" w:eastAsia="仿宋_GB2312" w:cs="Times New Roman"/>
          <w:color w:val="000000"/>
          <w:kern w:val="0"/>
          <w:sz w:val="32"/>
          <w:szCs w:val="32"/>
        </w:rPr>
        <w:t>拨付该项目资金</w:t>
      </w:r>
      <w:r>
        <w:rPr>
          <w:rFonts w:hint="eastAsia" w:ascii="仿宋_GB2312" w:hAnsi="Times New Roman" w:eastAsia="仿宋_GB2312" w:cs="Times New Roman"/>
          <w:color w:val="000000"/>
          <w:kern w:val="0"/>
          <w:sz w:val="32"/>
          <w:szCs w:val="32"/>
          <w:lang w:val="en-US" w:eastAsia="zh-CN"/>
        </w:rPr>
        <w:t>513.01</w:t>
      </w:r>
      <w:r>
        <w:rPr>
          <w:rFonts w:hint="eastAsia" w:ascii="仿宋_GB2312" w:hAnsi="Times New Roman" w:eastAsia="仿宋_GB2312" w:cs="Times New Roman"/>
          <w:color w:val="000000"/>
          <w:kern w:val="0"/>
          <w:sz w:val="32"/>
          <w:szCs w:val="32"/>
        </w:rPr>
        <w:t>万元，项目投入所需资金及时拨付到位，有力确保了项目工作的正常开展。</w:t>
      </w:r>
    </w:p>
    <w:p>
      <w:pPr>
        <w:spacing w:line="360" w:lineRule="auto"/>
        <w:ind w:firstLine="640" w:firstLineChars="200"/>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（2）预算执行</w:t>
      </w:r>
      <w:r>
        <w:rPr>
          <w:rFonts w:hint="eastAsia" w:ascii="仿宋_GB2312" w:hAnsi="Times New Roman" w:eastAsia="仿宋_GB2312" w:cs="Times New Roman"/>
          <w:color w:val="000000"/>
          <w:kern w:val="0"/>
          <w:sz w:val="32"/>
          <w:szCs w:val="32"/>
          <w:lang w:val="en-US" w:eastAsia="zh-CN"/>
        </w:rPr>
        <w:t>情况</w:t>
      </w:r>
      <w:r>
        <w:rPr>
          <w:rFonts w:hint="eastAsia" w:ascii="仿宋_GB2312" w:hAnsi="Times New Roman" w:eastAsia="仿宋_GB2312" w:cs="Times New Roman"/>
          <w:color w:val="000000"/>
          <w:kern w:val="0"/>
          <w:sz w:val="32"/>
          <w:szCs w:val="32"/>
        </w:rPr>
        <w:t>。该项目预算申报</w:t>
      </w:r>
      <w:r>
        <w:rPr>
          <w:rFonts w:hint="eastAsia" w:ascii="仿宋_GB2312" w:hAnsi="Times New Roman" w:eastAsia="仿宋_GB2312" w:cs="Times New Roman"/>
          <w:color w:val="000000"/>
          <w:kern w:val="0"/>
          <w:sz w:val="32"/>
          <w:szCs w:val="32"/>
          <w:lang w:val="en-US" w:eastAsia="zh-CN"/>
        </w:rPr>
        <w:t>513.01</w:t>
      </w:r>
      <w:r>
        <w:rPr>
          <w:rFonts w:hint="eastAsia" w:ascii="仿宋_GB2312" w:hAnsi="Times New Roman" w:eastAsia="仿宋_GB2312" w:cs="Times New Roman"/>
          <w:color w:val="000000"/>
          <w:kern w:val="0"/>
          <w:sz w:val="32"/>
          <w:szCs w:val="32"/>
        </w:rPr>
        <w:t>万元，预算批复</w:t>
      </w:r>
      <w:r>
        <w:rPr>
          <w:rFonts w:hint="eastAsia" w:ascii="仿宋_GB2312" w:hAnsi="Times New Roman" w:eastAsia="仿宋_GB2312" w:cs="Times New Roman"/>
          <w:color w:val="000000"/>
          <w:kern w:val="0"/>
          <w:sz w:val="32"/>
          <w:szCs w:val="32"/>
          <w:lang w:val="en-US" w:eastAsia="zh-CN"/>
        </w:rPr>
        <w:t>513.01</w:t>
      </w:r>
      <w:r>
        <w:rPr>
          <w:rFonts w:hint="eastAsia" w:ascii="仿宋_GB2312" w:hAnsi="Times New Roman" w:eastAsia="仿宋_GB2312" w:cs="Times New Roman"/>
          <w:color w:val="000000"/>
          <w:kern w:val="0"/>
          <w:sz w:val="32"/>
          <w:szCs w:val="32"/>
        </w:rPr>
        <w:t>万元，实际支出</w:t>
      </w:r>
      <w:r>
        <w:rPr>
          <w:rFonts w:ascii="仿宋_GB2312"/>
          <w:color w:val="000000"/>
          <w:sz w:val="32"/>
          <w:szCs w:val="32"/>
        </w:rPr>
        <w:t>504.</w:t>
      </w:r>
      <w:r>
        <w:rPr>
          <w:rFonts w:hint="eastAsia" w:ascii="仿宋_GB2312"/>
          <w:color w:val="000000"/>
          <w:sz w:val="32"/>
          <w:szCs w:val="32"/>
          <w:lang w:val="en-US" w:eastAsia="zh-CN"/>
        </w:rPr>
        <w:t>80</w:t>
      </w:r>
      <w:r>
        <w:rPr>
          <w:rFonts w:hint="eastAsia" w:ascii="仿宋_GB2312" w:hAnsi="Times New Roman" w:eastAsia="仿宋_GB2312" w:cs="Times New Roman"/>
          <w:color w:val="000000"/>
          <w:kern w:val="0"/>
          <w:sz w:val="32"/>
          <w:szCs w:val="32"/>
        </w:rPr>
        <w:t>万元，结余</w:t>
      </w:r>
      <w:r>
        <w:rPr>
          <w:rFonts w:hint="eastAsia" w:ascii="仿宋_GB2312" w:hAnsi="Times New Roman" w:eastAsia="仿宋_GB2312" w:cs="Times New Roman"/>
          <w:color w:val="000000"/>
          <w:kern w:val="0"/>
          <w:sz w:val="32"/>
          <w:szCs w:val="32"/>
          <w:lang w:val="en-US" w:eastAsia="zh-CN"/>
        </w:rPr>
        <w:t>8.21</w:t>
      </w:r>
      <w:r>
        <w:rPr>
          <w:rFonts w:hint="eastAsia" w:ascii="仿宋_GB2312" w:hAnsi="Times New Roman" w:eastAsia="仿宋_GB2312" w:cs="Times New Roman"/>
          <w:color w:val="000000"/>
          <w:kern w:val="0"/>
          <w:sz w:val="32"/>
          <w:szCs w:val="32"/>
        </w:rPr>
        <w:t>万元</w:t>
      </w:r>
      <w:r>
        <w:rPr>
          <w:rFonts w:ascii="仿宋_GB2312" w:hAnsi="Times New Roman" w:eastAsia="仿宋_GB2312" w:cs="Times New Roman"/>
          <w:color w:val="000000"/>
          <w:kern w:val="0"/>
          <w:sz w:val="32"/>
          <w:szCs w:val="32"/>
        </w:rPr>
        <w:t>，</w:t>
      </w:r>
      <w:r>
        <w:rPr>
          <w:rFonts w:hint="eastAsia" w:ascii="仿宋_GB2312" w:hAnsi="Times New Roman" w:eastAsia="仿宋_GB2312" w:cs="Times New Roman"/>
          <w:color w:val="000000"/>
          <w:kern w:val="0"/>
          <w:sz w:val="32"/>
          <w:szCs w:val="32"/>
        </w:rPr>
        <w:t>预算执行</w:t>
      </w:r>
      <w:r>
        <w:rPr>
          <w:rFonts w:hint="eastAsia" w:ascii="仿宋_GB2312" w:hAnsi="Times New Roman" w:eastAsia="仿宋_GB2312" w:cs="Times New Roman"/>
          <w:color w:val="000000"/>
          <w:kern w:val="0"/>
          <w:sz w:val="32"/>
          <w:szCs w:val="32"/>
          <w:lang w:val="en-US" w:eastAsia="zh-CN"/>
        </w:rPr>
        <w:t>率98.40</w:t>
      </w:r>
      <w:r>
        <w:rPr>
          <w:rFonts w:hint="eastAsia" w:ascii="仿宋_GB2312" w:hAnsi="Times New Roman" w:eastAsia="仿宋_GB2312" w:cs="Times New Roman"/>
          <w:color w:val="000000"/>
          <w:kern w:val="0"/>
          <w:sz w:val="32"/>
          <w:szCs w:val="32"/>
        </w:rPr>
        <w:t>%,资金预算执行率高。</w:t>
      </w:r>
    </w:p>
    <w:bookmarkEnd w:id="29"/>
    <w:bookmarkEnd w:id="30"/>
    <w:p>
      <w:pPr>
        <w:pStyle w:val="4"/>
        <w:spacing w:line="360" w:lineRule="auto"/>
        <w:ind w:firstLine="640"/>
        <w:rPr>
          <w:rFonts w:ascii="仿宋_GB2312"/>
          <w:color w:val="000000"/>
          <w:kern w:val="0"/>
          <w:sz w:val="32"/>
          <w:szCs w:val="32"/>
        </w:rPr>
      </w:pPr>
      <w:bookmarkStart w:id="31" w:name="_Toc14351484"/>
      <w:bookmarkStart w:id="32" w:name="_Toc480969069"/>
      <w:bookmarkStart w:id="33" w:name="_Toc19112414"/>
      <w:r>
        <w:rPr>
          <w:rFonts w:hint="eastAsia" w:ascii="仿宋_GB2312"/>
          <w:color w:val="000000"/>
          <w:kern w:val="0"/>
          <w:sz w:val="32"/>
          <w:szCs w:val="32"/>
        </w:rPr>
        <w:t>2.项目组织实施分析</w:t>
      </w:r>
      <w:bookmarkEnd w:id="31"/>
      <w:bookmarkEnd w:id="32"/>
      <w:bookmarkEnd w:id="33"/>
      <w:bookmarkStart w:id="34" w:name="_Toc102746360"/>
    </w:p>
    <w:p>
      <w:pPr>
        <w:spacing w:line="360" w:lineRule="auto"/>
        <w:ind w:firstLine="640" w:firstLineChars="200"/>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（1）落实主体责任，明确职责分工。</w:t>
      </w:r>
      <w:r>
        <w:rPr>
          <w:rFonts w:hint="eastAsia" w:ascii="仿宋_GB2312" w:hAnsi="Times New Roman" w:eastAsia="仿宋_GB2312" w:cs="Times New Roman"/>
          <w:color w:val="000000"/>
          <w:kern w:val="0"/>
          <w:sz w:val="32"/>
          <w:szCs w:val="32"/>
          <w:lang w:eastAsia="zh-CN"/>
        </w:rPr>
        <w:t>市信访办</w:t>
      </w:r>
      <w:r>
        <w:rPr>
          <w:rFonts w:hint="eastAsia" w:ascii="仿宋_GB2312" w:hAnsi="Times New Roman" w:eastAsia="仿宋_GB2312" w:cs="Times New Roman"/>
          <w:color w:val="000000"/>
          <w:kern w:val="0"/>
          <w:sz w:val="32"/>
          <w:szCs w:val="32"/>
        </w:rPr>
        <w:t>严格落实项目计划执行的主体责任，明确了工作进程和</w:t>
      </w:r>
      <w:r>
        <w:rPr>
          <w:rFonts w:hint="eastAsia" w:ascii="仿宋_GB2312" w:hAnsi="Times New Roman" w:eastAsia="仿宋_GB2312" w:cs="Times New Roman"/>
          <w:color w:val="000000"/>
          <w:kern w:val="0"/>
          <w:sz w:val="32"/>
          <w:szCs w:val="32"/>
          <w:lang w:val="en-US" w:eastAsia="zh-CN"/>
        </w:rPr>
        <w:t>系统运维推进</w:t>
      </w:r>
      <w:r>
        <w:rPr>
          <w:rFonts w:hint="eastAsia" w:ascii="仿宋_GB2312" w:hAnsi="Times New Roman" w:eastAsia="仿宋_GB2312" w:cs="Times New Roman"/>
          <w:color w:val="000000"/>
          <w:kern w:val="0"/>
          <w:sz w:val="32"/>
          <w:szCs w:val="32"/>
        </w:rPr>
        <w:t>举措，</w:t>
      </w:r>
      <w:r>
        <w:rPr>
          <w:rFonts w:hint="eastAsia" w:ascii="仿宋_GB2312" w:hAnsi="Times New Roman" w:eastAsia="仿宋_GB2312" w:cs="Times New Roman"/>
          <w:color w:val="000000"/>
          <w:kern w:val="0"/>
          <w:sz w:val="32"/>
          <w:szCs w:val="32"/>
          <w:lang w:val="en-US" w:eastAsia="zh-CN"/>
        </w:rPr>
        <w:t>同时</w:t>
      </w:r>
      <w:r>
        <w:rPr>
          <w:rFonts w:hint="eastAsia" w:ascii="仿宋_GB2312" w:hAnsi="Times New Roman" w:eastAsia="仿宋_GB2312" w:cs="Times New Roman"/>
          <w:color w:val="000000"/>
          <w:kern w:val="0"/>
          <w:sz w:val="32"/>
          <w:szCs w:val="32"/>
        </w:rPr>
        <w:t>成立信息化建设领导小组，负责</w:t>
      </w:r>
      <w:r>
        <w:rPr>
          <w:rFonts w:hint="eastAsia" w:ascii="仿宋_GB2312" w:hAnsi="Times New Roman" w:eastAsia="仿宋_GB2312" w:cs="Times New Roman"/>
          <w:color w:val="000000"/>
          <w:kern w:val="0"/>
          <w:sz w:val="32"/>
          <w:szCs w:val="32"/>
          <w:lang w:val="en-US" w:eastAsia="zh-CN"/>
        </w:rPr>
        <w:t>该</w:t>
      </w:r>
      <w:r>
        <w:rPr>
          <w:rFonts w:hint="eastAsia" w:ascii="仿宋_GB2312" w:hAnsi="Times New Roman" w:eastAsia="仿宋_GB2312" w:cs="Times New Roman"/>
          <w:color w:val="000000"/>
          <w:kern w:val="0"/>
          <w:sz w:val="32"/>
          <w:szCs w:val="32"/>
        </w:rPr>
        <w:t>项目规划、实施监督</w:t>
      </w:r>
      <w:r>
        <w:rPr>
          <w:rFonts w:hint="eastAsia" w:ascii="仿宋_GB2312" w:hAnsi="Times New Roman" w:eastAsia="仿宋_GB2312" w:cs="Times New Roman"/>
          <w:color w:val="000000"/>
          <w:kern w:val="0"/>
          <w:sz w:val="32"/>
          <w:szCs w:val="32"/>
          <w:lang w:val="en-US" w:eastAsia="zh-CN"/>
        </w:rPr>
        <w:t>等，</w:t>
      </w:r>
      <w:r>
        <w:rPr>
          <w:rFonts w:hint="eastAsia" w:ascii="仿宋_GB2312" w:hAnsi="Times New Roman" w:eastAsia="仿宋_GB2312" w:cs="Times New Roman"/>
          <w:color w:val="000000"/>
          <w:kern w:val="0"/>
          <w:sz w:val="32"/>
          <w:szCs w:val="32"/>
        </w:rPr>
        <w:t>责任分工</w:t>
      </w:r>
      <w:r>
        <w:rPr>
          <w:rFonts w:hint="eastAsia" w:ascii="仿宋_GB2312" w:hAnsi="Times New Roman" w:eastAsia="仿宋_GB2312" w:cs="Times New Roman"/>
          <w:color w:val="000000"/>
          <w:kern w:val="0"/>
          <w:sz w:val="32"/>
          <w:szCs w:val="32"/>
          <w:lang w:val="en-US" w:eastAsia="zh-CN"/>
        </w:rPr>
        <w:t>较为明确</w:t>
      </w:r>
      <w:r>
        <w:rPr>
          <w:rFonts w:hint="eastAsia" w:ascii="仿宋_GB2312" w:hAnsi="Times New Roman" w:eastAsia="仿宋_GB2312" w:cs="Times New Roman"/>
          <w:color w:val="000000"/>
          <w:kern w:val="0"/>
          <w:sz w:val="32"/>
          <w:szCs w:val="32"/>
        </w:rPr>
        <w:t>。</w:t>
      </w:r>
    </w:p>
    <w:p>
      <w:pPr>
        <w:spacing w:line="360" w:lineRule="auto"/>
        <w:ind w:firstLine="640" w:firstLineChars="200"/>
        <w:rPr>
          <w:rFonts w:hint="eastAsia" w:ascii="仿宋_GB2312" w:hAnsi="Times New Roman" w:eastAsia="仿宋_GB2312" w:cs="Times New Roman"/>
          <w:color w:val="000000"/>
          <w:kern w:val="0"/>
          <w:sz w:val="32"/>
          <w:szCs w:val="32"/>
          <w:lang w:eastAsia="zh-CN"/>
        </w:rPr>
      </w:pPr>
      <w:r>
        <w:rPr>
          <w:rFonts w:hint="eastAsia" w:ascii="仿宋_GB2312" w:hAnsi="Times New Roman" w:eastAsia="仿宋_GB2312" w:cs="Times New Roman"/>
          <w:color w:val="000000"/>
          <w:kern w:val="0"/>
          <w:sz w:val="32"/>
          <w:szCs w:val="32"/>
        </w:rPr>
        <w:t>（2）</w:t>
      </w:r>
      <w:r>
        <w:rPr>
          <w:rFonts w:hint="eastAsia" w:ascii="仿宋_GB2312" w:hAnsi="Times New Roman" w:eastAsia="仿宋_GB2312" w:cs="Times New Roman"/>
          <w:color w:val="000000"/>
          <w:kern w:val="0"/>
          <w:sz w:val="32"/>
          <w:szCs w:val="32"/>
          <w:lang w:val="en-US" w:eastAsia="zh-CN"/>
        </w:rPr>
        <w:t>财务制度方面。该项目</w:t>
      </w:r>
      <w:r>
        <w:rPr>
          <w:rFonts w:hint="eastAsia" w:ascii="仿宋_GB2312" w:hAnsi="Times New Roman" w:eastAsia="仿宋_GB2312" w:cs="Times New Roman"/>
          <w:color w:val="000000"/>
          <w:kern w:val="0"/>
          <w:sz w:val="32"/>
          <w:szCs w:val="32"/>
        </w:rPr>
        <w:t>所有的费用支出</w:t>
      </w:r>
      <w:r>
        <w:rPr>
          <w:rFonts w:hint="eastAsia" w:ascii="仿宋_GB2312" w:hAnsi="Times New Roman" w:eastAsia="仿宋_GB2312" w:cs="Times New Roman"/>
          <w:color w:val="000000"/>
          <w:kern w:val="0"/>
          <w:sz w:val="32"/>
          <w:szCs w:val="32"/>
          <w:lang w:val="en-US" w:eastAsia="zh-CN"/>
        </w:rPr>
        <w:t>按照市信访办制定的</w:t>
      </w:r>
      <w:r>
        <w:rPr>
          <w:rFonts w:hint="eastAsia" w:ascii="仿宋_GB2312" w:hAnsi="Times New Roman" w:eastAsia="仿宋_GB2312" w:cs="Times New Roman"/>
          <w:color w:val="000000"/>
          <w:kern w:val="0"/>
          <w:sz w:val="32"/>
          <w:szCs w:val="32"/>
        </w:rPr>
        <w:t>《北京市信访办公室财务管理制度》</w:t>
      </w:r>
      <w:r>
        <w:rPr>
          <w:rFonts w:hint="eastAsia" w:ascii="仿宋_GB2312" w:hAnsi="Times New Roman" w:eastAsia="仿宋_GB2312" w:cs="Times New Roman"/>
          <w:color w:val="000000"/>
          <w:kern w:val="0"/>
          <w:sz w:val="32"/>
          <w:szCs w:val="32"/>
          <w:lang w:eastAsia="zh-CN"/>
        </w:rPr>
        <w:t>《</w:t>
      </w:r>
      <w:r>
        <w:rPr>
          <w:rFonts w:hint="eastAsia" w:ascii="仿宋_GB2312" w:hAnsi="Times New Roman" w:eastAsia="仿宋_GB2312" w:cs="Times New Roman"/>
          <w:color w:val="000000"/>
          <w:kern w:val="0"/>
          <w:sz w:val="32"/>
          <w:szCs w:val="32"/>
          <w:lang w:val="en-US" w:eastAsia="zh-CN"/>
        </w:rPr>
        <w:t>北京市信访办内部控制制度</w:t>
      </w:r>
      <w:r>
        <w:rPr>
          <w:rFonts w:hint="eastAsia" w:ascii="仿宋_GB2312" w:hAnsi="Times New Roman" w:eastAsia="仿宋_GB2312" w:cs="Times New Roman"/>
          <w:color w:val="000000"/>
          <w:kern w:val="0"/>
          <w:sz w:val="32"/>
          <w:szCs w:val="32"/>
          <w:lang w:eastAsia="zh-CN"/>
        </w:rPr>
        <w:t>》</w:t>
      </w:r>
      <w:r>
        <w:rPr>
          <w:rFonts w:hint="eastAsia" w:ascii="仿宋_GB2312" w:hAnsi="Times New Roman" w:eastAsia="仿宋_GB2312" w:cs="Times New Roman"/>
          <w:color w:val="000000"/>
          <w:kern w:val="0"/>
          <w:sz w:val="32"/>
          <w:szCs w:val="32"/>
        </w:rPr>
        <w:t>并参照《市委办公厅财务管理制度》执行，</w:t>
      </w:r>
      <w:r>
        <w:rPr>
          <w:rFonts w:hint="eastAsia" w:ascii="仿宋_GB2312" w:hAnsi="Times New Roman" w:eastAsia="仿宋_GB2312" w:cs="Times New Roman"/>
          <w:color w:val="000000"/>
          <w:kern w:val="0"/>
          <w:sz w:val="32"/>
          <w:szCs w:val="32"/>
          <w:lang w:val="en-US" w:eastAsia="zh-CN"/>
        </w:rPr>
        <w:t>有负责处室进行预算申报、授权审批、资金支付、资产管理，</w:t>
      </w:r>
      <w:r>
        <w:rPr>
          <w:rFonts w:hint="eastAsia" w:ascii="仿宋_GB2312" w:hAnsi="Times New Roman" w:eastAsia="仿宋_GB2312" w:cs="Times New Roman"/>
          <w:color w:val="000000"/>
          <w:kern w:val="0"/>
          <w:sz w:val="32"/>
          <w:szCs w:val="32"/>
        </w:rPr>
        <w:t>资金拨付有完整的审批程序和手续</w:t>
      </w:r>
      <w:r>
        <w:rPr>
          <w:rFonts w:hint="eastAsia" w:ascii="仿宋_GB2312" w:hAnsi="Times New Roman" w:eastAsia="仿宋_GB2312" w:cs="Times New Roman"/>
          <w:color w:val="000000"/>
          <w:kern w:val="0"/>
          <w:sz w:val="32"/>
          <w:szCs w:val="32"/>
          <w:lang w:eastAsia="zh-CN"/>
        </w:rPr>
        <w:t>，</w:t>
      </w:r>
      <w:r>
        <w:rPr>
          <w:rFonts w:hint="eastAsia" w:ascii="仿宋_GB2312" w:hAnsi="Times New Roman" w:eastAsia="仿宋_GB2312" w:cs="Times New Roman"/>
          <w:color w:val="000000"/>
          <w:kern w:val="0"/>
          <w:sz w:val="32"/>
          <w:szCs w:val="32"/>
          <w:lang w:val="en-US" w:eastAsia="zh-CN"/>
        </w:rPr>
        <w:t>资金使用</w:t>
      </w:r>
      <w:r>
        <w:rPr>
          <w:rFonts w:hint="eastAsia" w:ascii="仿宋_GB2312" w:hAnsi="Times New Roman" w:eastAsia="仿宋_GB2312" w:cs="Times New Roman"/>
          <w:color w:val="000000"/>
          <w:kern w:val="0"/>
          <w:sz w:val="32"/>
          <w:szCs w:val="32"/>
        </w:rPr>
        <w:t>符合项目预算批复</w:t>
      </w:r>
      <w:r>
        <w:rPr>
          <w:rFonts w:hint="eastAsia" w:ascii="仿宋_GB2312" w:hAnsi="Times New Roman" w:eastAsia="仿宋_GB2312" w:cs="Times New Roman"/>
          <w:color w:val="000000"/>
          <w:kern w:val="0"/>
          <w:sz w:val="32"/>
          <w:szCs w:val="32"/>
          <w:lang w:val="en-US" w:eastAsia="zh-CN"/>
        </w:rPr>
        <w:t>及</w:t>
      </w:r>
      <w:r>
        <w:rPr>
          <w:rFonts w:hint="eastAsia" w:ascii="仿宋_GB2312" w:hAnsi="Times New Roman" w:eastAsia="仿宋_GB2312" w:cs="Times New Roman"/>
          <w:color w:val="000000"/>
          <w:kern w:val="0"/>
          <w:sz w:val="32"/>
          <w:szCs w:val="32"/>
        </w:rPr>
        <w:t>合同规定的用途</w:t>
      </w:r>
      <w:r>
        <w:rPr>
          <w:rFonts w:hint="eastAsia" w:ascii="仿宋_GB2312" w:hAnsi="Times New Roman" w:eastAsia="仿宋_GB2312" w:cs="Times New Roman"/>
          <w:color w:val="000000"/>
          <w:kern w:val="0"/>
          <w:sz w:val="32"/>
          <w:szCs w:val="32"/>
          <w:lang w:eastAsia="zh-CN"/>
        </w:rPr>
        <w:t>，</w:t>
      </w:r>
      <w:r>
        <w:rPr>
          <w:rFonts w:hint="eastAsia" w:ascii="仿宋_GB2312" w:hAnsi="Times New Roman" w:eastAsia="仿宋_GB2312" w:cs="Times New Roman"/>
          <w:color w:val="000000"/>
          <w:kern w:val="0"/>
          <w:sz w:val="32"/>
          <w:szCs w:val="32"/>
          <w:lang w:val="en-US" w:eastAsia="zh-CN"/>
        </w:rPr>
        <w:t>不存在截留、挤占、挪用、虚列支出等情况。财务</w:t>
      </w:r>
      <w:r>
        <w:rPr>
          <w:rFonts w:hint="eastAsia" w:ascii="仿宋_GB2312" w:hAnsi="Times New Roman" w:eastAsia="仿宋_GB2312" w:cs="Times New Roman"/>
          <w:color w:val="000000"/>
          <w:kern w:val="0"/>
          <w:sz w:val="32"/>
          <w:szCs w:val="32"/>
        </w:rPr>
        <w:t>制度执行</w:t>
      </w:r>
      <w:r>
        <w:rPr>
          <w:rFonts w:hint="eastAsia" w:ascii="仿宋_GB2312" w:hAnsi="Times New Roman" w:eastAsia="仿宋_GB2312" w:cs="Times New Roman"/>
          <w:color w:val="000000"/>
          <w:kern w:val="0"/>
          <w:sz w:val="32"/>
          <w:szCs w:val="32"/>
          <w:lang w:val="en-US" w:eastAsia="zh-CN"/>
        </w:rPr>
        <w:t>较为</w:t>
      </w:r>
      <w:r>
        <w:rPr>
          <w:rFonts w:hint="eastAsia" w:ascii="仿宋_GB2312" w:hAnsi="Times New Roman" w:eastAsia="仿宋_GB2312" w:cs="Times New Roman"/>
          <w:color w:val="000000"/>
          <w:kern w:val="0"/>
          <w:sz w:val="32"/>
          <w:szCs w:val="32"/>
        </w:rPr>
        <w:t>有效，</w:t>
      </w:r>
      <w:r>
        <w:rPr>
          <w:rFonts w:hint="eastAsia" w:ascii="仿宋_GB2312" w:hAnsi="Times New Roman" w:eastAsia="仿宋_GB2312" w:cs="Times New Roman"/>
          <w:color w:val="000000"/>
          <w:kern w:val="0"/>
          <w:sz w:val="32"/>
          <w:szCs w:val="32"/>
          <w:lang w:val="en-US" w:eastAsia="zh-CN"/>
        </w:rPr>
        <w:t>项目单独核算，</w:t>
      </w:r>
      <w:r>
        <w:rPr>
          <w:rFonts w:hint="eastAsia" w:ascii="仿宋_GB2312" w:hAnsi="Times New Roman" w:eastAsia="仿宋_GB2312" w:cs="Times New Roman"/>
          <w:color w:val="000000"/>
          <w:kern w:val="0"/>
          <w:sz w:val="32"/>
          <w:szCs w:val="32"/>
        </w:rPr>
        <w:t>财务</w:t>
      </w:r>
      <w:r>
        <w:rPr>
          <w:rFonts w:hint="eastAsia" w:ascii="仿宋_GB2312" w:hAnsi="Times New Roman" w:eastAsia="仿宋_GB2312" w:cs="Times New Roman"/>
          <w:color w:val="000000"/>
          <w:kern w:val="0"/>
          <w:sz w:val="32"/>
          <w:szCs w:val="32"/>
          <w:lang w:val="en-US" w:eastAsia="zh-CN"/>
        </w:rPr>
        <w:t>核算基本准确、真实、可靠</w:t>
      </w:r>
      <w:r>
        <w:rPr>
          <w:rFonts w:hint="eastAsia" w:ascii="仿宋_GB2312" w:hAnsi="Times New Roman" w:eastAsia="仿宋_GB2312" w:cs="Times New Roman"/>
          <w:color w:val="000000"/>
          <w:kern w:val="0"/>
          <w:sz w:val="32"/>
          <w:szCs w:val="32"/>
          <w:lang w:eastAsia="zh-CN"/>
        </w:rPr>
        <w:t>。</w:t>
      </w:r>
    </w:p>
    <w:p>
      <w:pPr>
        <w:spacing w:line="360" w:lineRule="auto"/>
        <w:ind w:firstLine="640" w:firstLineChars="200"/>
        <w:rPr>
          <w:rFonts w:hint="eastAsia" w:ascii="仿宋_GB2312" w:hAnsi="Times New Roman" w:eastAsia="仿宋_GB2312" w:cs="Times New Roman"/>
          <w:color w:val="000000"/>
          <w:kern w:val="0"/>
          <w:sz w:val="32"/>
          <w:szCs w:val="32"/>
          <w:lang w:val="en-US" w:eastAsia="zh-CN"/>
        </w:rPr>
      </w:pPr>
      <w:r>
        <w:rPr>
          <w:rFonts w:hint="eastAsia" w:ascii="仿宋_GB2312" w:hAnsi="Times New Roman" w:eastAsia="仿宋_GB2312" w:cs="Times New Roman"/>
          <w:color w:val="000000"/>
          <w:kern w:val="0"/>
          <w:sz w:val="32"/>
          <w:szCs w:val="32"/>
        </w:rPr>
        <w:t>（3）</w:t>
      </w:r>
      <w:r>
        <w:rPr>
          <w:rFonts w:hint="eastAsia" w:ascii="仿宋_GB2312" w:hAnsi="Times New Roman" w:eastAsia="仿宋_GB2312" w:cs="Times New Roman"/>
          <w:color w:val="000000"/>
          <w:kern w:val="0"/>
          <w:sz w:val="32"/>
          <w:szCs w:val="32"/>
          <w:lang w:val="en-US" w:eastAsia="zh-CN"/>
        </w:rPr>
        <w:t>业务制度方面。市信访办制定了</w:t>
      </w:r>
      <w:r>
        <w:rPr>
          <w:rFonts w:hint="eastAsia" w:ascii="仿宋_GB2312" w:hAnsi="Times New Roman" w:eastAsia="仿宋_GB2312" w:cs="Times New Roman"/>
          <w:color w:val="000000"/>
          <w:kern w:val="0"/>
          <w:sz w:val="32"/>
          <w:szCs w:val="32"/>
        </w:rPr>
        <w:t>《北京市网上信访信息系统使用管理制度（试行）》《北京</w:t>
      </w:r>
      <w:r>
        <w:rPr>
          <w:rFonts w:hint="eastAsia" w:ascii="仿宋_GB2312" w:hAnsi="Times New Roman" w:eastAsia="仿宋_GB2312" w:cs="Times New Roman"/>
          <w:color w:val="000000"/>
          <w:kern w:val="0"/>
          <w:sz w:val="32"/>
          <w:szCs w:val="32"/>
          <w:lang w:val="en-US" w:eastAsia="zh-CN"/>
        </w:rPr>
        <w:t>市</w:t>
      </w:r>
      <w:r>
        <w:rPr>
          <w:rFonts w:hint="eastAsia" w:ascii="仿宋_GB2312" w:hAnsi="Times New Roman" w:eastAsia="仿宋_GB2312" w:cs="Times New Roman"/>
          <w:color w:val="000000"/>
          <w:kern w:val="0"/>
          <w:sz w:val="32"/>
          <w:szCs w:val="32"/>
        </w:rPr>
        <w:t>信访办信息化建设管理办法》和《市信访办合同管理办法（试行）》</w:t>
      </w:r>
      <w:r>
        <w:rPr>
          <w:rFonts w:hint="eastAsia" w:ascii="仿宋_GB2312" w:hAnsi="Times New Roman" w:eastAsia="仿宋_GB2312" w:cs="Times New Roman"/>
          <w:color w:val="000000"/>
          <w:kern w:val="0"/>
          <w:sz w:val="32"/>
          <w:szCs w:val="32"/>
          <w:lang w:val="en-US" w:eastAsia="zh-CN"/>
        </w:rPr>
        <w:t>等业务制度，能够有效保障该项目的顺利执行。</w:t>
      </w:r>
    </w:p>
    <w:p>
      <w:pPr>
        <w:spacing w:line="360" w:lineRule="auto"/>
        <w:ind w:firstLine="640" w:firstLineChars="200"/>
        <w:rPr>
          <w:rFonts w:hint="eastAsia" w:ascii="仿宋_GB2312" w:hAnsi="Times New Roman" w:eastAsia="仿宋_GB2312" w:cs="Times New Roman"/>
          <w:color w:val="000000"/>
          <w:kern w:val="0"/>
          <w:sz w:val="32"/>
          <w:szCs w:val="32"/>
          <w:lang w:val="en-US" w:eastAsia="zh-CN"/>
        </w:rPr>
      </w:pPr>
      <w:r>
        <w:rPr>
          <w:rFonts w:hint="eastAsia" w:ascii="仿宋_GB2312" w:hAnsi="Times New Roman" w:eastAsia="仿宋_GB2312" w:cs="Times New Roman"/>
          <w:color w:val="000000"/>
          <w:kern w:val="0"/>
          <w:sz w:val="32"/>
          <w:szCs w:val="32"/>
          <w:lang w:val="en-US" w:eastAsia="zh-CN"/>
        </w:rPr>
        <w:t>（4）组织实施方面。市信访办分别于2022年4月22日、5月10日对“北京市信访办公室拆求工作平台运维服务项目”、“北京市信访办公室互联网运维项目”组织开展了公开招标，最终确定中标方，并签订委托合同。合同服务期为2022年1月1日至12月31日。</w:t>
      </w:r>
    </w:p>
    <w:p>
      <w:pPr>
        <w:spacing w:line="360" w:lineRule="auto"/>
        <w:ind w:firstLine="640" w:firstLineChars="200"/>
        <w:rPr>
          <w:rFonts w:hint="eastAsia" w:ascii="仿宋_GB2312" w:hAnsi="Times New Roman" w:eastAsia="仿宋_GB2312" w:cs="Times New Roman"/>
          <w:color w:val="000000"/>
          <w:kern w:val="0"/>
          <w:sz w:val="32"/>
          <w:szCs w:val="32"/>
          <w:lang w:val="en-US" w:eastAsia="zh-CN"/>
        </w:rPr>
      </w:pPr>
      <w:r>
        <w:rPr>
          <w:rFonts w:hint="eastAsia" w:ascii="仿宋_GB2312" w:hAnsi="Times New Roman" w:eastAsia="仿宋_GB2312" w:cs="Times New Roman"/>
          <w:color w:val="000000"/>
          <w:kern w:val="0"/>
          <w:sz w:val="32"/>
          <w:szCs w:val="32"/>
          <w:lang w:val="en-US" w:eastAsia="zh-CN"/>
        </w:rPr>
        <w:t>合同订立后，市信访办严格按照《北京市网上信访信息系统使用管理制度（试行）》《北京市信访办信息化建设管理办法》《市信访办合同管理办法（试行）》以及运维服务合同的约定组织、指导、管理和监督运维公司开展互联网运维、信访诉求工作平台和安全保障服务工作，同时安排了专门的处室负责该项工作。</w:t>
      </w:r>
    </w:p>
    <w:p>
      <w:pPr>
        <w:spacing w:line="360" w:lineRule="auto"/>
        <w:ind w:firstLine="640" w:firstLineChars="200"/>
        <w:rPr>
          <w:rFonts w:hint="default" w:ascii="仿宋_GB2312" w:hAnsi="Times New Roman" w:eastAsia="仿宋_GB2312" w:cs="Times New Roman"/>
          <w:color w:val="000000"/>
          <w:kern w:val="0"/>
          <w:sz w:val="32"/>
          <w:szCs w:val="32"/>
          <w:lang w:val="en-US" w:eastAsia="zh-CN"/>
        </w:rPr>
      </w:pPr>
      <w:r>
        <w:rPr>
          <w:rFonts w:hint="eastAsia" w:ascii="仿宋_GB2312" w:hAnsi="Times New Roman" w:eastAsia="仿宋_GB2312" w:cs="Times New Roman"/>
          <w:color w:val="000000"/>
          <w:kern w:val="0"/>
          <w:sz w:val="32"/>
          <w:szCs w:val="32"/>
          <w:lang w:val="en-US" w:eastAsia="zh-CN"/>
        </w:rPr>
        <w:t>各运维公司严格按照《北京市信访办互联网运维项目技术服务合同书》《北京市信访办公室2020年安全保障服务项目技术服务合同》《北京市信访办信访诉求工作平台运维服务项目技术服务合同书》和《北京市信访办安防系统维护服务项目技术服务合同书》执行合同条款。运维公司按期进行系统软硬件设备的巡检、运行维护、系统安全维护，及时响应甲方服务请求，并按期提供运维报告。同时市信访办在运维过程中通过系统使用单位的意见反馈检查运维公司的运维工作。安全公司按期进行系统的漏洞扫描和渗透测试，及时响应甲方服务请求，并按期提供服务报告。该项目整体完成较好，并通过验收。</w:t>
      </w:r>
    </w:p>
    <w:p>
      <w:pPr>
        <w:pStyle w:val="3"/>
        <w:ind w:firstLine="640"/>
        <w:rPr>
          <w:rFonts w:ascii="楷体" w:hAnsi="楷体" w:eastAsia="楷体"/>
          <w:b w:val="0"/>
        </w:rPr>
      </w:pPr>
      <w:r>
        <w:rPr>
          <w:rFonts w:hint="eastAsia" w:ascii="楷体" w:hAnsi="楷体" w:eastAsia="楷体"/>
          <w:b w:val="0"/>
        </w:rPr>
        <w:t>（三）项目产出情况</w:t>
      </w:r>
      <w:bookmarkEnd w:id="34"/>
    </w:p>
    <w:p>
      <w:pPr>
        <w:spacing w:line="360" w:lineRule="auto"/>
        <w:ind w:firstLine="640" w:firstLineChars="200"/>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该项目</w:t>
      </w:r>
      <w:r>
        <w:rPr>
          <w:rFonts w:hint="eastAsia" w:ascii="仿宋_GB2312" w:hAnsi="Times New Roman" w:eastAsia="仿宋_GB2312" w:cs="Times New Roman"/>
          <w:color w:val="000000"/>
          <w:kern w:val="0"/>
          <w:sz w:val="32"/>
          <w:szCs w:val="32"/>
          <w:lang w:val="en-US" w:eastAsia="zh-CN"/>
        </w:rPr>
        <w:t>的实施为市信访办提供信访诉求工作平台运维、政务网运维、互联网运维提供安全保障等服务</w:t>
      </w:r>
      <w:r>
        <w:rPr>
          <w:rFonts w:hint="eastAsia" w:ascii="仿宋_GB2312" w:hAnsi="Times New Roman" w:eastAsia="仿宋_GB2312" w:cs="Times New Roman"/>
          <w:color w:val="000000"/>
          <w:kern w:val="0"/>
          <w:sz w:val="32"/>
          <w:szCs w:val="32"/>
        </w:rPr>
        <w:t>。满分40.00分，评价得分为</w:t>
      </w:r>
      <w:r>
        <w:rPr>
          <w:rFonts w:hint="eastAsia" w:ascii="仿宋_GB2312" w:hAnsi="Times New Roman" w:eastAsia="仿宋_GB2312" w:cs="Times New Roman"/>
          <w:color w:val="000000"/>
          <w:kern w:val="0"/>
          <w:sz w:val="32"/>
          <w:szCs w:val="32"/>
          <w:lang w:val="en-US" w:eastAsia="zh-CN"/>
        </w:rPr>
        <w:t>40.00</w:t>
      </w:r>
      <w:r>
        <w:rPr>
          <w:rFonts w:hint="eastAsia" w:ascii="仿宋_GB2312" w:hAnsi="Times New Roman" w:eastAsia="仿宋_GB2312" w:cs="Times New Roman"/>
          <w:color w:val="000000"/>
          <w:kern w:val="0"/>
          <w:sz w:val="32"/>
          <w:szCs w:val="32"/>
        </w:rPr>
        <w:t>分。</w:t>
      </w:r>
    </w:p>
    <w:p>
      <w:pPr>
        <w:pStyle w:val="4"/>
        <w:spacing w:line="360" w:lineRule="auto"/>
        <w:ind w:firstLine="640"/>
        <w:rPr>
          <w:rFonts w:ascii="仿宋_GB2312"/>
          <w:color w:val="000000"/>
          <w:kern w:val="0"/>
          <w:sz w:val="32"/>
          <w:szCs w:val="32"/>
        </w:rPr>
      </w:pPr>
      <w:bookmarkStart w:id="35" w:name="_Toc19112431"/>
      <w:bookmarkStart w:id="36" w:name="_Toc14351493"/>
      <w:bookmarkStart w:id="37" w:name="_Toc480969079"/>
      <w:r>
        <w:rPr>
          <w:rFonts w:hint="eastAsia" w:ascii="仿宋_GB2312"/>
          <w:color w:val="000000"/>
          <w:kern w:val="0"/>
          <w:sz w:val="32"/>
          <w:szCs w:val="32"/>
        </w:rPr>
        <w:t>1.项目产出数量分析</w:t>
      </w:r>
      <w:bookmarkEnd w:id="35"/>
      <w:bookmarkEnd w:id="36"/>
      <w:bookmarkEnd w:id="37"/>
    </w:p>
    <w:p>
      <w:pPr>
        <w:spacing w:line="360" w:lineRule="auto"/>
        <w:ind w:firstLine="640" w:firstLineChars="200"/>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202</w:t>
      </w:r>
      <w:r>
        <w:rPr>
          <w:rFonts w:hint="eastAsia" w:ascii="仿宋_GB2312" w:hAnsi="Times New Roman" w:eastAsia="仿宋_GB2312" w:cs="Times New Roman"/>
          <w:color w:val="000000"/>
          <w:kern w:val="0"/>
          <w:sz w:val="32"/>
          <w:szCs w:val="32"/>
          <w:lang w:val="en-US" w:eastAsia="zh-CN"/>
        </w:rPr>
        <w:t>2</w:t>
      </w:r>
      <w:r>
        <w:rPr>
          <w:rFonts w:hint="eastAsia" w:ascii="仿宋_GB2312" w:hAnsi="Times New Roman" w:eastAsia="仿宋_GB2312" w:cs="Times New Roman"/>
          <w:color w:val="000000"/>
          <w:kern w:val="0"/>
          <w:sz w:val="32"/>
          <w:szCs w:val="32"/>
        </w:rPr>
        <w:t>年</w:t>
      </w:r>
      <w:r>
        <w:rPr>
          <w:rFonts w:hint="eastAsia" w:ascii="仿宋_GB2312" w:hAnsi="Times New Roman" w:eastAsia="仿宋_GB2312" w:cs="Times New Roman"/>
          <w:color w:val="000000"/>
          <w:kern w:val="0"/>
          <w:sz w:val="32"/>
          <w:szCs w:val="32"/>
          <w:lang w:val="en-US" w:eastAsia="zh-CN"/>
        </w:rPr>
        <w:t>计划对3套信息系统、2套安防系统进行维护，实际全部完成维护工作</w:t>
      </w:r>
      <w:r>
        <w:rPr>
          <w:rFonts w:hint="eastAsia" w:ascii="仿宋_GB2312" w:hAnsi="Times New Roman" w:eastAsia="仿宋_GB2312" w:cs="Times New Roman"/>
          <w:color w:val="000000"/>
          <w:kern w:val="0"/>
          <w:sz w:val="32"/>
          <w:szCs w:val="32"/>
        </w:rPr>
        <w:t>。</w:t>
      </w:r>
    </w:p>
    <w:p>
      <w:pPr>
        <w:pStyle w:val="4"/>
        <w:spacing w:line="360" w:lineRule="auto"/>
        <w:ind w:firstLine="640"/>
        <w:rPr>
          <w:rFonts w:ascii="仿宋_GB2312"/>
          <w:color w:val="000000"/>
          <w:kern w:val="0"/>
          <w:sz w:val="32"/>
          <w:szCs w:val="32"/>
        </w:rPr>
      </w:pPr>
      <w:bookmarkStart w:id="38" w:name="_Toc480969080"/>
      <w:bookmarkStart w:id="39" w:name="_Toc19112440"/>
      <w:bookmarkStart w:id="40" w:name="_Toc14351495"/>
      <w:r>
        <w:rPr>
          <w:rFonts w:hint="eastAsia" w:ascii="仿宋_GB2312"/>
          <w:color w:val="000000"/>
          <w:kern w:val="0"/>
          <w:sz w:val="32"/>
          <w:szCs w:val="32"/>
        </w:rPr>
        <w:t>2.项目产出质量分析</w:t>
      </w:r>
      <w:bookmarkEnd w:id="38"/>
      <w:bookmarkEnd w:id="39"/>
      <w:bookmarkEnd w:id="40"/>
    </w:p>
    <w:p>
      <w:pPr>
        <w:spacing w:line="360" w:lineRule="auto"/>
        <w:ind w:firstLine="640" w:firstLineChars="200"/>
        <w:rPr>
          <w:rFonts w:ascii="仿宋_GB2312" w:hAnsi="Times New Roman" w:eastAsia="仿宋_GB2312" w:cs="Times New Roman"/>
          <w:color w:val="000000"/>
          <w:kern w:val="0"/>
          <w:sz w:val="32"/>
          <w:szCs w:val="32"/>
        </w:rPr>
      </w:pPr>
      <w:r>
        <w:rPr>
          <w:rFonts w:hint="eastAsia" w:ascii="仿宋_GB2312" w:eastAsia="仿宋_GB2312"/>
          <w:color w:val="000000"/>
          <w:kern w:val="0"/>
          <w:sz w:val="32"/>
          <w:szCs w:val="32"/>
          <w:lang w:val="en-US" w:eastAsia="zh-CN"/>
        </w:rPr>
        <w:t>该项目各运维服务商按照合同约定为系统软硬件设备进行了巡查、运行维护、系统安全维护。</w:t>
      </w:r>
      <w:r>
        <w:rPr>
          <w:rFonts w:hint="eastAsia" w:ascii="仿宋_GB2312" w:hAnsi="Times New Roman" w:eastAsia="仿宋_GB2312" w:cs="Times New Roman"/>
          <w:color w:val="000000"/>
          <w:kern w:val="0"/>
          <w:sz w:val="32"/>
          <w:szCs w:val="32"/>
        </w:rPr>
        <w:t>在运维过程中，对于运维服务请求能够及时响应，对软硬件故障能够及时排除处理，对软硬件设备定期巡查，并且定期对系统进行安全扫描。对于安全服务请求能够及时响应，并且定期对系统进行安全扫描和渗透测试。</w:t>
      </w:r>
      <w:r>
        <w:rPr>
          <w:rFonts w:hint="eastAsia" w:ascii="仿宋_GB2312" w:hAnsi="Times New Roman" w:eastAsia="仿宋_GB2312" w:cs="Times New Roman"/>
          <w:color w:val="000000"/>
          <w:kern w:val="0"/>
          <w:sz w:val="32"/>
          <w:szCs w:val="32"/>
          <w:lang w:val="en-US" w:eastAsia="zh-CN"/>
        </w:rPr>
        <w:t>市信访办于2022年底分别对各运维项目开展了验收，并全部验收通过</w:t>
      </w:r>
      <w:r>
        <w:rPr>
          <w:rFonts w:hint="eastAsia" w:ascii="仿宋_GB2312" w:hAnsi="Times New Roman" w:eastAsia="仿宋_GB2312" w:cs="Times New Roman"/>
          <w:color w:val="000000"/>
          <w:kern w:val="0"/>
          <w:sz w:val="32"/>
          <w:szCs w:val="32"/>
        </w:rPr>
        <w:t>，该项目完成质量较好。</w:t>
      </w:r>
      <w:r>
        <w:rPr>
          <w:rFonts w:ascii="仿宋_GB2312" w:hAnsi="Times New Roman" w:eastAsia="仿宋_GB2312" w:cs="Times New Roman"/>
          <w:color w:val="000000"/>
          <w:kern w:val="0"/>
          <w:sz w:val="32"/>
          <w:szCs w:val="32"/>
        </w:rPr>
        <w:t xml:space="preserve"> </w:t>
      </w:r>
    </w:p>
    <w:p>
      <w:pPr>
        <w:pStyle w:val="4"/>
        <w:spacing w:line="360" w:lineRule="auto"/>
        <w:ind w:firstLine="640"/>
        <w:rPr>
          <w:rFonts w:ascii="仿宋_GB2312"/>
          <w:kern w:val="0"/>
          <w:sz w:val="32"/>
          <w:szCs w:val="32"/>
        </w:rPr>
      </w:pPr>
      <w:r>
        <w:rPr>
          <w:rFonts w:hint="eastAsia" w:ascii="仿宋_GB2312"/>
          <w:kern w:val="0"/>
          <w:sz w:val="32"/>
          <w:szCs w:val="32"/>
        </w:rPr>
        <w:t>3.项目产出时效分析</w:t>
      </w:r>
    </w:p>
    <w:p>
      <w:pPr>
        <w:pStyle w:val="4"/>
        <w:spacing w:line="360" w:lineRule="auto"/>
        <w:ind w:firstLine="640"/>
        <w:rPr>
          <w:rFonts w:ascii="仿宋_GB2312" w:hAnsi="仿宋"/>
          <w:sz w:val="32"/>
          <w:szCs w:val="32"/>
        </w:rPr>
      </w:pPr>
      <w:r>
        <w:rPr>
          <w:rFonts w:hint="eastAsia" w:ascii="仿宋_GB2312" w:hAnsi="仿宋"/>
          <w:sz w:val="32"/>
          <w:szCs w:val="32"/>
        </w:rPr>
        <w:t>该项目总体上按照预期的进度执行</w:t>
      </w:r>
      <w:r>
        <w:rPr>
          <w:rFonts w:hint="eastAsia" w:ascii="仿宋_GB2312" w:hAnsi="仿宋"/>
          <w:sz w:val="32"/>
          <w:szCs w:val="32"/>
          <w:lang w:eastAsia="zh-CN"/>
        </w:rPr>
        <w:t>，</w:t>
      </w:r>
      <w:r>
        <w:rPr>
          <w:rFonts w:hint="eastAsia" w:ascii="仿宋_GB2312" w:hAnsi="仿宋"/>
          <w:sz w:val="32"/>
          <w:szCs w:val="32"/>
          <w:lang w:val="en-US" w:eastAsia="zh-CN"/>
        </w:rPr>
        <w:t>并完成所有运维工作任务</w:t>
      </w:r>
      <w:r>
        <w:rPr>
          <w:rFonts w:hint="eastAsia" w:ascii="仿宋_GB2312" w:hAnsi="仿宋"/>
          <w:sz w:val="32"/>
          <w:szCs w:val="32"/>
        </w:rPr>
        <w:t>。</w:t>
      </w:r>
      <w:bookmarkStart w:id="41" w:name="_Toc480969084"/>
      <w:bookmarkStart w:id="42" w:name="_Toc14351498"/>
      <w:bookmarkStart w:id="43" w:name="_Toc19112443"/>
      <w:r>
        <w:rPr>
          <w:rFonts w:hint="eastAsia" w:ascii="仿宋_GB2312"/>
          <w:kern w:val="0"/>
          <w:sz w:val="32"/>
          <w:szCs w:val="32"/>
        </w:rPr>
        <w:t xml:space="preserve"> </w:t>
      </w:r>
    </w:p>
    <w:bookmarkEnd w:id="41"/>
    <w:bookmarkEnd w:id="42"/>
    <w:bookmarkEnd w:id="43"/>
    <w:p>
      <w:pPr>
        <w:pStyle w:val="4"/>
        <w:spacing w:line="360" w:lineRule="auto"/>
        <w:ind w:firstLine="640"/>
        <w:rPr>
          <w:rFonts w:ascii="仿宋_GB2312"/>
          <w:color w:val="000000"/>
          <w:kern w:val="0"/>
          <w:sz w:val="32"/>
          <w:szCs w:val="32"/>
        </w:rPr>
      </w:pPr>
      <w:bookmarkStart w:id="44" w:name="_Toc14351499"/>
      <w:bookmarkStart w:id="45" w:name="_Toc480969085"/>
      <w:bookmarkStart w:id="46" w:name="_Toc19112444"/>
      <w:r>
        <w:rPr>
          <w:rFonts w:hint="eastAsia" w:ascii="仿宋_GB2312"/>
          <w:color w:val="000000"/>
          <w:kern w:val="0"/>
          <w:sz w:val="32"/>
          <w:szCs w:val="32"/>
        </w:rPr>
        <w:t>4.项目产出成本分析</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该项目支出504.</w:t>
      </w:r>
      <w:r>
        <w:rPr>
          <w:rFonts w:hint="eastAsia" w:ascii="仿宋_GB2312" w:hAnsi="Times New Roman" w:eastAsia="仿宋_GB2312" w:cs="Times New Roman"/>
          <w:color w:val="000000"/>
          <w:kern w:val="0"/>
          <w:sz w:val="32"/>
          <w:szCs w:val="32"/>
          <w:lang w:val="en-US" w:eastAsia="zh-CN"/>
        </w:rPr>
        <w:t>80</w:t>
      </w:r>
      <w:r>
        <w:rPr>
          <w:rFonts w:hint="eastAsia" w:ascii="仿宋_GB2312" w:hAnsi="Times New Roman" w:eastAsia="仿宋_GB2312" w:cs="Times New Roman"/>
          <w:color w:val="000000"/>
          <w:kern w:val="0"/>
          <w:sz w:val="32"/>
          <w:szCs w:val="32"/>
        </w:rPr>
        <w:t>万元，整体控制在513.01万元的预算范围内，《北京市信访办互联网运维项目技术服务合同书》《北京市信访办公室2020年安全保障服务项目技术服务合同》《北京市信访办信访诉求工作平台运维服务项目技术服务合同书》和《北京市信访办安防系统维护服务项目技术服务合同书》费用支出均控制在预算范围内。招标资金结余8.21万元已全部上交市财政局，完成年初设定的目标。</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ascii="仿宋_GB2312" w:hAnsi="Times New Roman" w:eastAsia="仿宋_GB2312" w:cs="Times New Roman"/>
          <w:color w:val="000000"/>
          <w:kern w:val="0"/>
          <w:sz w:val="32"/>
          <w:szCs w:val="32"/>
        </w:rPr>
      </w:pPr>
      <w:r>
        <w:rPr>
          <w:rFonts w:ascii="仿宋_GB2312" w:hAnsi="Times New Roman" w:eastAsia="仿宋_GB2312" w:cs="Times New Roman"/>
          <w:color w:val="000000"/>
          <w:kern w:val="0"/>
          <w:sz w:val="32"/>
          <w:szCs w:val="32"/>
        </w:rPr>
        <w:t>该</w:t>
      </w:r>
      <w:r>
        <w:rPr>
          <w:rFonts w:hint="eastAsia" w:ascii="仿宋_GB2312" w:hAnsi="Times New Roman" w:eastAsia="仿宋_GB2312" w:cs="Times New Roman"/>
          <w:color w:val="000000"/>
          <w:kern w:val="0"/>
          <w:sz w:val="32"/>
          <w:szCs w:val="32"/>
        </w:rPr>
        <w:t>项目按照</w:t>
      </w:r>
      <w:r>
        <w:rPr>
          <w:rFonts w:hint="eastAsia" w:ascii="仿宋_GB2312" w:hAnsi="Times New Roman" w:eastAsia="仿宋_GB2312" w:cs="Times New Roman"/>
          <w:color w:val="000000"/>
          <w:kern w:val="0"/>
          <w:sz w:val="32"/>
          <w:szCs w:val="32"/>
          <w:lang w:eastAsia="zh-CN"/>
        </w:rPr>
        <w:t>市信访办</w:t>
      </w:r>
      <w:r>
        <w:rPr>
          <w:rFonts w:hint="eastAsia" w:ascii="仿宋_GB2312" w:hAnsi="Times New Roman" w:eastAsia="仿宋_GB2312" w:cs="Times New Roman"/>
          <w:color w:val="000000"/>
          <w:kern w:val="0"/>
          <w:sz w:val="32"/>
          <w:szCs w:val="32"/>
        </w:rPr>
        <w:t>预算管理和项目资金管理制度规定，依据预算批复开展相关业务，未出现无预算、超预算支出，项目成本控制较好。</w:t>
      </w:r>
    </w:p>
    <w:bookmarkEnd w:id="44"/>
    <w:bookmarkEnd w:id="45"/>
    <w:bookmarkEnd w:id="46"/>
    <w:p>
      <w:pPr>
        <w:pStyle w:val="3"/>
        <w:ind w:firstLine="640"/>
        <w:rPr>
          <w:rFonts w:ascii="楷体" w:hAnsi="楷体" w:eastAsia="楷体"/>
          <w:b w:val="0"/>
        </w:rPr>
      </w:pPr>
      <w:bookmarkStart w:id="47" w:name="_Toc480969086"/>
      <w:bookmarkStart w:id="48" w:name="_Toc19112448"/>
      <w:bookmarkStart w:id="49" w:name="_Toc102746365"/>
      <w:bookmarkStart w:id="50" w:name="_Toc14351501"/>
      <w:r>
        <w:rPr>
          <w:rFonts w:hint="eastAsia" w:ascii="楷体" w:hAnsi="楷体" w:eastAsia="楷体"/>
          <w:b w:val="0"/>
        </w:rPr>
        <w:t>（四）项目效益情况</w:t>
      </w:r>
      <w:bookmarkEnd w:id="47"/>
      <w:bookmarkEnd w:id="48"/>
      <w:bookmarkEnd w:id="49"/>
      <w:bookmarkEnd w:id="50"/>
    </w:p>
    <w:p>
      <w:pPr>
        <w:spacing w:line="360" w:lineRule="auto"/>
        <w:ind w:firstLine="640" w:firstLineChars="200"/>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lang w:val="en-US" w:eastAsia="zh-CN"/>
        </w:rPr>
        <w:t>该项目的实施为市信访办各系统平台平稳运行提供了保障</w:t>
      </w:r>
      <w:r>
        <w:rPr>
          <w:rFonts w:hint="eastAsia" w:ascii="仿宋_GB2312" w:hAnsi="Times New Roman" w:eastAsia="仿宋_GB2312" w:cs="Times New Roman"/>
          <w:color w:val="000000"/>
          <w:kern w:val="0"/>
          <w:sz w:val="32"/>
          <w:szCs w:val="32"/>
        </w:rPr>
        <w:t>，项目效益较好地达到了预期目标。满分30.00分，评价得分为26.</w:t>
      </w:r>
      <w:r>
        <w:rPr>
          <w:rFonts w:hint="eastAsia" w:ascii="仿宋_GB2312" w:hAnsi="Times New Roman" w:eastAsia="仿宋_GB2312" w:cs="Times New Roman"/>
          <w:color w:val="000000"/>
          <w:kern w:val="0"/>
          <w:sz w:val="32"/>
          <w:szCs w:val="32"/>
          <w:lang w:val="en-US" w:eastAsia="zh-CN"/>
        </w:rPr>
        <w:t>50</w:t>
      </w:r>
      <w:r>
        <w:rPr>
          <w:rFonts w:hint="eastAsia" w:ascii="仿宋_GB2312" w:hAnsi="Times New Roman" w:eastAsia="仿宋_GB2312" w:cs="Times New Roman"/>
          <w:color w:val="000000"/>
          <w:kern w:val="0"/>
          <w:sz w:val="32"/>
          <w:szCs w:val="32"/>
        </w:rPr>
        <w:t>分。</w:t>
      </w:r>
    </w:p>
    <w:p>
      <w:pPr>
        <w:spacing w:line="360" w:lineRule="auto"/>
        <w:ind w:firstLine="640" w:firstLineChars="200"/>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1.效益情况</w:t>
      </w:r>
    </w:p>
    <w:p>
      <w:pPr>
        <w:pStyle w:val="4"/>
        <w:spacing w:line="360" w:lineRule="auto"/>
        <w:ind w:firstLine="640"/>
        <w:rPr>
          <w:rFonts w:hint="eastAsia" w:ascii="仿宋_GB2312" w:eastAsia="仿宋_GB2312" w:cs="Times New Roman"/>
          <w:color w:val="000000"/>
          <w:kern w:val="0"/>
          <w:sz w:val="32"/>
          <w:szCs w:val="32"/>
          <w:lang w:val="en-US" w:eastAsia="zh-CN"/>
        </w:rPr>
      </w:pPr>
      <w:r>
        <w:rPr>
          <w:rFonts w:hint="eastAsia" w:ascii="仿宋_GB2312" w:cs="Times New Roman"/>
          <w:color w:val="000000"/>
          <w:kern w:val="0"/>
          <w:sz w:val="32"/>
          <w:szCs w:val="32"/>
          <w:lang w:val="en-US" w:eastAsia="zh-CN"/>
        </w:rPr>
        <w:t>该项目的实施</w:t>
      </w:r>
      <w:r>
        <w:rPr>
          <w:rFonts w:hint="eastAsia" w:ascii="仿宋_GB2312" w:hAnsi="Times New Roman" w:eastAsia="仿宋_GB2312" w:cs="Times New Roman"/>
          <w:color w:val="000000"/>
          <w:kern w:val="0"/>
          <w:sz w:val="32"/>
          <w:szCs w:val="32"/>
          <w:lang w:val="en-US" w:eastAsia="zh-CN"/>
        </w:rPr>
        <w:t>为市信访办各系统平台平稳运行提供了保障</w:t>
      </w:r>
      <w:r>
        <w:rPr>
          <w:rFonts w:hint="eastAsia" w:ascii="仿宋_GB2312" w:hAnsi="Times New Roman" w:eastAsia="仿宋_GB2312" w:cs="Times New Roman"/>
          <w:color w:val="000000"/>
          <w:kern w:val="0"/>
          <w:sz w:val="32"/>
          <w:szCs w:val="32"/>
        </w:rPr>
        <w:t>，保证</w:t>
      </w:r>
      <w:r>
        <w:rPr>
          <w:rFonts w:hint="eastAsia" w:ascii="仿宋_GB2312" w:cs="Times New Roman"/>
          <w:color w:val="000000"/>
          <w:kern w:val="0"/>
          <w:sz w:val="32"/>
          <w:szCs w:val="32"/>
          <w:lang w:eastAsia="zh-CN"/>
        </w:rPr>
        <w:t>了</w:t>
      </w:r>
      <w:r>
        <w:rPr>
          <w:rFonts w:hint="eastAsia" w:ascii="仿宋_GB2312" w:hAnsi="Times New Roman" w:eastAsia="仿宋_GB2312" w:cs="Times New Roman"/>
          <w:color w:val="000000"/>
          <w:kern w:val="0"/>
          <w:sz w:val="32"/>
          <w:szCs w:val="32"/>
        </w:rPr>
        <w:t>使用系统的各级信访单位能够顺畅使用系统、办理信访业务、为信访群众服务</w:t>
      </w:r>
      <w:r>
        <w:rPr>
          <w:rFonts w:hint="eastAsia" w:ascii="仿宋_GB2312" w:cs="Times New Roman"/>
          <w:color w:val="000000"/>
          <w:kern w:val="0"/>
          <w:sz w:val="32"/>
          <w:szCs w:val="32"/>
          <w:lang w:eastAsia="zh-CN"/>
        </w:rPr>
        <w:t>。</w:t>
      </w:r>
      <w:r>
        <w:rPr>
          <w:rFonts w:hint="eastAsia" w:ascii="仿宋_GB2312" w:hAnsi="Times New Roman" w:eastAsia="仿宋_GB2312" w:cs="Times New Roman"/>
          <w:color w:val="000000"/>
          <w:kern w:val="0"/>
          <w:sz w:val="32"/>
          <w:szCs w:val="32"/>
        </w:rPr>
        <w:t>同时</w:t>
      </w:r>
      <w:r>
        <w:rPr>
          <w:rFonts w:hint="eastAsia" w:ascii="仿宋_GB2312" w:cs="Times New Roman"/>
          <w:color w:val="000000"/>
          <w:kern w:val="0"/>
          <w:sz w:val="32"/>
          <w:szCs w:val="32"/>
          <w:lang w:eastAsia="zh-CN"/>
        </w:rPr>
        <w:t>，</w:t>
      </w:r>
      <w:r>
        <w:rPr>
          <w:rFonts w:hint="eastAsia" w:ascii="仿宋_GB2312" w:hAnsi="Times New Roman" w:eastAsia="仿宋_GB2312" w:cs="Times New Roman"/>
          <w:color w:val="000000"/>
          <w:kern w:val="0"/>
          <w:sz w:val="32"/>
          <w:szCs w:val="32"/>
        </w:rPr>
        <w:t>通过网站监测和漏洞扫描等安全措施保障系统和网络运行安全。</w:t>
      </w:r>
      <w:r>
        <w:rPr>
          <w:rFonts w:hint="eastAsia" w:ascii="仿宋_GB2312" w:cs="Times New Roman"/>
          <w:color w:val="000000"/>
          <w:kern w:val="0"/>
          <w:sz w:val="32"/>
          <w:szCs w:val="32"/>
          <w:lang w:val="en-US" w:eastAsia="zh-CN"/>
        </w:rPr>
        <w:t>同时，</w:t>
      </w:r>
      <w:r>
        <w:rPr>
          <w:rFonts w:hint="eastAsia" w:ascii="仿宋_GB2312" w:hAnsi="Times New Roman" w:eastAsia="仿宋_GB2312" w:cs="Times New Roman"/>
          <w:color w:val="000000"/>
          <w:kern w:val="0"/>
          <w:sz w:val="32"/>
          <w:szCs w:val="32"/>
        </w:rPr>
        <w:t>安防系统还维护了信访来访接待秩序，保障了信访干部及信访群众人身安全</w:t>
      </w:r>
      <w:r>
        <w:rPr>
          <w:rFonts w:hint="eastAsia" w:ascii="仿宋_GB2312" w:cs="Times New Roman"/>
          <w:color w:val="000000"/>
          <w:kern w:val="0"/>
          <w:sz w:val="32"/>
          <w:szCs w:val="32"/>
          <w:lang w:val="en-US" w:eastAsia="zh-CN"/>
        </w:rPr>
        <w:t>。</w:t>
      </w:r>
      <w:r>
        <w:rPr>
          <w:rFonts w:hint="eastAsia" w:ascii="仿宋_GB2312" w:hAnsi="仿宋"/>
          <w:sz w:val="32"/>
          <w:szCs w:val="32"/>
        </w:rPr>
        <w:t>同时，</w:t>
      </w:r>
      <w:r>
        <w:rPr>
          <w:rFonts w:hint="eastAsia" w:ascii="仿宋_GB2312"/>
          <w:bCs/>
          <w:sz w:val="32"/>
          <w:szCs w:val="32"/>
          <w:lang w:val="en-US" w:eastAsia="zh-CN"/>
        </w:rPr>
        <w:t>市信访办</w:t>
      </w:r>
      <w:r>
        <w:rPr>
          <w:rFonts w:hint="eastAsia" w:ascii="仿宋_GB2312"/>
          <w:bCs/>
          <w:sz w:val="32"/>
          <w:szCs w:val="32"/>
        </w:rPr>
        <w:t>一直有专门的处室负责系统运费工作的组织、管理、协调和监督，通过使用单位对系统使用的意见反馈，</w:t>
      </w:r>
      <w:r>
        <w:rPr>
          <w:rFonts w:hint="eastAsia" w:ascii="仿宋_GB2312" w:hAnsi="仿宋"/>
          <w:sz w:val="32"/>
          <w:szCs w:val="32"/>
        </w:rPr>
        <w:t>总结运维工作中的经验，及时发现运维工作中的缺失和不足，服务好使用单位</w:t>
      </w:r>
      <w:r>
        <w:rPr>
          <w:rFonts w:hint="eastAsia" w:ascii="仿宋_GB2312" w:hAnsi="仿宋"/>
          <w:sz w:val="32"/>
          <w:szCs w:val="32"/>
          <w:lang w:val="en-US" w:eastAsia="zh-CN"/>
        </w:rPr>
        <w:t>和信访群众</w:t>
      </w:r>
      <w:r>
        <w:rPr>
          <w:rFonts w:hint="eastAsia" w:ascii="仿宋_GB2312" w:hAnsi="仿宋"/>
          <w:sz w:val="32"/>
          <w:szCs w:val="32"/>
          <w:lang w:eastAsia="zh-CN"/>
        </w:rPr>
        <w:t>。</w:t>
      </w:r>
    </w:p>
    <w:p>
      <w:pPr>
        <w:pStyle w:val="4"/>
        <w:spacing w:line="360" w:lineRule="auto"/>
        <w:ind w:firstLine="640"/>
        <w:rPr>
          <w:rFonts w:ascii="仿宋_GB2312"/>
          <w:color w:val="000000"/>
          <w:kern w:val="0"/>
          <w:sz w:val="32"/>
          <w:szCs w:val="32"/>
        </w:rPr>
      </w:pPr>
      <w:r>
        <w:rPr>
          <w:rFonts w:hint="eastAsia" w:ascii="仿宋_GB2312"/>
          <w:color w:val="000000"/>
          <w:kern w:val="0"/>
          <w:sz w:val="32"/>
          <w:szCs w:val="32"/>
        </w:rPr>
        <w:t>2.</w:t>
      </w:r>
      <w:r>
        <w:rPr>
          <w:rFonts w:ascii="仿宋_GB2312"/>
          <w:color w:val="000000"/>
          <w:kern w:val="0"/>
          <w:sz w:val="32"/>
          <w:szCs w:val="32"/>
        </w:rPr>
        <w:t>服务对象满意度情况</w:t>
      </w:r>
    </w:p>
    <w:p>
      <w:pPr>
        <w:spacing w:line="360" w:lineRule="auto"/>
        <w:ind w:firstLine="640" w:firstLineChars="200"/>
        <w:rPr>
          <w:rFonts w:hint="default" w:ascii="仿宋_GB2312" w:hAnsi="Times New Roman" w:eastAsia="仿宋_GB2312" w:cs="Times New Roman"/>
          <w:color w:val="000000"/>
          <w:kern w:val="0"/>
          <w:sz w:val="32"/>
          <w:szCs w:val="32"/>
          <w:lang w:val="en-US" w:eastAsia="zh-CN"/>
        </w:rPr>
      </w:pPr>
      <w:r>
        <w:rPr>
          <w:rFonts w:hint="eastAsia" w:ascii="仿宋_GB2312" w:hAnsi="Times New Roman" w:eastAsia="仿宋_GB2312" w:cs="Times New Roman"/>
          <w:color w:val="000000"/>
          <w:kern w:val="0"/>
          <w:sz w:val="32"/>
          <w:szCs w:val="32"/>
          <w:lang w:val="en-US" w:eastAsia="zh-CN"/>
        </w:rPr>
        <w:t>市信访办每月对运维公司开展月度考核，面向各处室发放问卷，从是否能够及时响应客户需求、服务态度是否端正、是否及时解决客户提出的问题、是否能在规定时间内完成工作、是否能够及时、高效解决问题进行方面进行评价。根据2022年各月考核表，项目使用人对项目的综合满意度为100%。该项目高效保障了市信访办信访业务、各系统平台等的正常办公需求，提供了良好的履职基础，未接到关于系统使用的投诉，使用人员整体满意度较高，满意率为100%。</w:t>
      </w:r>
    </w:p>
    <w:p>
      <w:pPr>
        <w:pStyle w:val="2"/>
        <w:spacing w:line="360" w:lineRule="auto"/>
        <w:ind w:firstLine="640"/>
        <w:rPr>
          <w:rFonts w:ascii="黑体" w:hAnsi="黑体" w:eastAsia="黑体" w:cs="Times New Roman"/>
          <w:b w:val="0"/>
          <w:sz w:val="32"/>
          <w:szCs w:val="32"/>
        </w:rPr>
      </w:pPr>
      <w:bookmarkStart w:id="51" w:name="_Toc424567097"/>
      <w:bookmarkStart w:id="52" w:name="_Toc102746366"/>
      <w:r>
        <w:rPr>
          <w:rFonts w:hint="eastAsia" w:ascii="黑体" w:hAnsi="黑体" w:eastAsia="黑体" w:cs="Times New Roman"/>
          <w:b w:val="0"/>
          <w:sz w:val="32"/>
          <w:szCs w:val="32"/>
        </w:rPr>
        <w:t>五、</w:t>
      </w:r>
      <w:bookmarkEnd w:id="51"/>
      <w:r>
        <w:rPr>
          <w:rFonts w:hint="eastAsia" w:ascii="黑体" w:hAnsi="黑体" w:eastAsia="黑体" w:cs="Times New Roman"/>
          <w:b w:val="0"/>
          <w:sz w:val="32"/>
          <w:szCs w:val="32"/>
        </w:rPr>
        <w:t>主要经验及做法、存在的问题</w:t>
      </w:r>
      <w:bookmarkEnd w:id="52"/>
    </w:p>
    <w:p>
      <w:pPr>
        <w:spacing w:line="360" w:lineRule="auto"/>
        <w:ind w:firstLine="640" w:firstLineChars="200"/>
        <w:rPr>
          <w:rFonts w:hint="eastAsia" w:ascii="仿宋_GB2312" w:hAnsi="Times New Roman" w:eastAsia="仿宋_GB2312" w:cs="Times New Roman"/>
          <w:color w:val="000000"/>
          <w:kern w:val="0"/>
          <w:sz w:val="32"/>
          <w:szCs w:val="32"/>
        </w:rPr>
      </w:pPr>
      <w:bookmarkStart w:id="53" w:name="_Toc19112465"/>
      <w:bookmarkStart w:id="54" w:name="_Toc475112423"/>
      <w:r>
        <w:rPr>
          <w:rFonts w:hint="eastAsia" w:ascii="仿宋_GB2312" w:hAnsi="Times New Roman" w:eastAsia="仿宋_GB2312" w:cs="Times New Roman"/>
          <w:color w:val="000000"/>
          <w:kern w:val="0"/>
          <w:sz w:val="32"/>
          <w:szCs w:val="32"/>
        </w:rPr>
        <w:t>自</w:t>
      </w:r>
      <w:r>
        <w:rPr>
          <w:rFonts w:hint="eastAsia" w:ascii="仿宋_GB2312" w:hAnsi="Times New Roman" w:eastAsia="仿宋_GB2312" w:cs="Times New Roman"/>
          <w:color w:val="000000"/>
          <w:kern w:val="0"/>
          <w:sz w:val="32"/>
          <w:szCs w:val="32"/>
          <w:lang w:val="en-US" w:eastAsia="zh-CN"/>
        </w:rPr>
        <w:t>市信访</w:t>
      </w:r>
      <w:r>
        <w:rPr>
          <w:rFonts w:hint="eastAsia" w:ascii="仿宋_GB2312" w:hAnsi="Times New Roman" w:eastAsia="仿宋_GB2312" w:cs="Times New Roman"/>
          <w:color w:val="000000"/>
          <w:kern w:val="0"/>
          <w:sz w:val="32"/>
          <w:szCs w:val="32"/>
        </w:rPr>
        <w:t>办开展信息化建设以来，已建成多个信访信息化系统，为信访单位和信访群众提供了信息化服务和保障，经过多年的系统运维工作，</w:t>
      </w:r>
      <w:r>
        <w:rPr>
          <w:rFonts w:hint="eastAsia" w:ascii="仿宋_GB2312" w:hAnsi="Times New Roman" w:eastAsia="仿宋_GB2312" w:cs="Times New Roman"/>
          <w:color w:val="000000"/>
          <w:kern w:val="0"/>
          <w:sz w:val="32"/>
          <w:szCs w:val="32"/>
          <w:lang w:val="en-US" w:eastAsia="zh-CN"/>
        </w:rPr>
        <w:t>市信访办</w:t>
      </w:r>
      <w:r>
        <w:rPr>
          <w:rFonts w:hint="eastAsia" w:ascii="仿宋_GB2312" w:hAnsi="Times New Roman" w:eastAsia="仿宋_GB2312" w:cs="Times New Roman"/>
          <w:color w:val="000000"/>
          <w:kern w:val="0"/>
          <w:sz w:val="32"/>
          <w:szCs w:val="32"/>
        </w:rPr>
        <w:t>各信息系统运行稳定，为系统使用单位提供了技术保障。</w:t>
      </w:r>
    </w:p>
    <w:p>
      <w:pPr>
        <w:spacing w:line="360" w:lineRule="auto"/>
        <w:ind w:firstLine="640" w:firstLineChars="200"/>
        <w:rPr>
          <w:rFonts w:ascii="楷体" w:hAnsi="楷体" w:eastAsia="楷体" w:cs="Times New Roman"/>
          <w:color w:val="000000"/>
          <w:kern w:val="0"/>
          <w:sz w:val="32"/>
          <w:szCs w:val="32"/>
        </w:rPr>
      </w:pPr>
      <w:r>
        <w:rPr>
          <w:rFonts w:hint="eastAsia" w:ascii="楷体" w:hAnsi="楷体" w:eastAsia="楷体" w:cs="Times New Roman"/>
          <w:color w:val="000000"/>
          <w:kern w:val="0"/>
          <w:sz w:val="32"/>
          <w:szCs w:val="32"/>
        </w:rPr>
        <w:t>（一）主要经验及做法</w:t>
      </w:r>
    </w:p>
    <w:p>
      <w:pPr>
        <w:spacing w:line="360" w:lineRule="auto"/>
        <w:ind w:firstLine="640" w:firstLineChars="200"/>
        <w:rPr>
          <w:rFonts w:hint="eastAsia" w:ascii="仿宋_GB2312" w:hAnsi="仿宋" w:eastAsia="仿宋_GB2312"/>
          <w:sz w:val="32"/>
          <w:szCs w:val="32"/>
        </w:rPr>
      </w:pPr>
      <w:r>
        <w:rPr>
          <w:rFonts w:hint="eastAsia" w:ascii="仿宋_GB2312" w:hAnsi="仿宋" w:eastAsia="仿宋_GB2312"/>
          <w:sz w:val="32"/>
          <w:szCs w:val="32"/>
        </w:rPr>
        <w:t>1.领导重视是系统运维开展的保证</w:t>
      </w:r>
    </w:p>
    <w:p>
      <w:pPr>
        <w:spacing w:line="360" w:lineRule="auto"/>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市信访办</w:t>
      </w:r>
      <w:r>
        <w:rPr>
          <w:rFonts w:hint="eastAsia" w:ascii="仿宋_GB2312" w:hAnsi="仿宋" w:eastAsia="仿宋_GB2312"/>
          <w:sz w:val="32"/>
          <w:szCs w:val="32"/>
        </w:rPr>
        <w:t>党组重视信息化建设和系统的运维工作，除专门制定了《北京市网上信访信息系统使用管理制度（试行）》和《北京</w:t>
      </w:r>
      <w:r>
        <w:rPr>
          <w:rFonts w:hint="eastAsia" w:ascii="仿宋_GB2312" w:hAnsi="仿宋" w:eastAsia="仿宋_GB2312"/>
          <w:sz w:val="32"/>
          <w:szCs w:val="32"/>
          <w:lang w:val="en-US" w:eastAsia="zh-CN"/>
        </w:rPr>
        <w:t>市</w:t>
      </w:r>
      <w:r>
        <w:rPr>
          <w:rFonts w:hint="eastAsia" w:ascii="仿宋_GB2312" w:hAnsi="仿宋" w:eastAsia="仿宋_GB2312"/>
          <w:sz w:val="32"/>
          <w:szCs w:val="32"/>
        </w:rPr>
        <w:t>信访办信息化建设管理办法》外，还成立了市信访办信息化建设领导小组，对信息化建设和系统的运维工作统一领导，将系统运维工作落到实处。</w:t>
      </w:r>
    </w:p>
    <w:p>
      <w:pPr>
        <w:spacing w:line="360" w:lineRule="auto"/>
        <w:ind w:firstLine="640" w:firstLineChars="200"/>
        <w:rPr>
          <w:rFonts w:hint="eastAsia" w:ascii="仿宋_GB2312" w:hAnsi="仿宋" w:eastAsia="仿宋_GB2312"/>
          <w:sz w:val="32"/>
          <w:szCs w:val="32"/>
        </w:rPr>
      </w:pPr>
      <w:r>
        <w:rPr>
          <w:rFonts w:hint="eastAsia" w:ascii="仿宋_GB2312" w:hAnsi="仿宋" w:eastAsia="仿宋_GB2312"/>
          <w:sz w:val="32"/>
          <w:szCs w:val="32"/>
        </w:rPr>
        <w:t>2.统一规划是系统运维开展的前提</w:t>
      </w:r>
    </w:p>
    <w:p>
      <w:pPr>
        <w:spacing w:line="360" w:lineRule="auto"/>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市信访办</w:t>
      </w:r>
      <w:r>
        <w:rPr>
          <w:rFonts w:hint="eastAsia" w:ascii="仿宋_GB2312" w:hAnsi="仿宋" w:eastAsia="仿宋_GB2312"/>
          <w:sz w:val="32"/>
          <w:szCs w:val="32"/>
        </w:rPr>
        <w:t>信息化项目按照“统一规划、统一立项、统一申报、统一建设、统一运维”的原则进行管理，</w:t>
      </w:r>
      <w:r>
        <w:rPr>
          <w:rFonts w:hint="eastAsia" w:ascii="仿宋_GB2312" w:hAnsi="仿宋" w:eastAsia="仿宋_GB2312"/>
          <w:sz w:val="32"/>
          <w:szCs w:val="32"/>
          <w:lang w:eastAsia="zh-CN"/>
        </w:rPr>
        <w:t>市信访办</w:t>
      </w:r>
      <w:r>
        <w:rPr>
          <w:rFonts w:hint="eastAsia" w:ascii="仿宋_GB2312" w:hAnsi="仿宋" w:eastAsia="仿宋_GB2312"/>
          <w:sz w:val="32"/>
          <w:szCs w:val="32"/>
        </w:rPr>
        <w:t>信息系统运维工作强调统一规划、统筹协调。</w:t>
      </w:r>
    </w:p>
    <w:p>
      <w:pPr>
        <w:spacing w:line="360" w:lineRule="auto"/>
        <w:ind w:firstLine="640" w:firstLineChars="200"/>
        <w:rPr>
          <w:rFonts w:hint="eastAsia" w:ascii="仿宋_GB2312" w:hAnsi="仿宋" w:eastAsia="仿宋_GB2312"/>
          <w:sz w:val="32"/>
          <w:szCs w:val="32"/>
        </w:rPr>
      </w:pPr>
      <w:r>
        <w:rPr>
          <w:rFonts w:hint="eastAsia" w:ascii="仿宋_GB2312" w:hAnsi="仿宋" w:eastAsia="仿宋_GB2312"/>
          <w:sz w:val="32"/>
          <w:szCs w:val="32"/>
        </w:rPr>
        <w:t>3.严格按合同审批流程签订规范、严谨的运维合同</w:t>
      </w:r>
    </w:p>
    <w:p>
      <w:pPr>
        <w:spacing w:line="360" w:lineRule="auto"/>
        <w:ind w:firstLine="640" w:firstLineChars="200"/>
        <w:rPr>
          <w:rFonts w:hint="eastAsia" w:ascii="仿宋_GB2312" w:hAnsi="仿宋" w:eastAsia="仿宋_GB2312"/>
          <w:sz w:val="32"/>
          <w:szCs w:val="32"/>
        </w:rPr>
      </w:pPr>
      <w:r>
        <w:rPr>
          <w:rFonts w:hint="eastAsia" w:ascii="仿宋_GB2312" w:hAnsi="仿宋" w:eastAsia="仿宋_GB2312"/>
          <w:sz w:val="32"/>
          <w:szCs w:val="32"/>
        </w:rPr>
        <w:t>在系统运维合同签订过程中，</w:t>
      </w:r>
      <w:r>
        <w:rPr>
          <w:rFonts w:hint="eastAsia" w:ascii="仿宋_GB2312" w:hAnsi="仿宋" w:eastAsia="仿宋_GB2312"/>
          <w:sz w:val="32"/>
          <w:szCs w:val="32"/>
          <w:lang w:eastAsia="zh-CN"/>
        </w:rPr>
        <w:t>市信访办</w:t>
      </w:r>
      <w:r>
        <w:rPr>
          <w:rFonts w:hint="eastAsia" w:ascii="仿宋_GB2312" w:hAnsi="仿宋" w:eastAsia="仿宋_GB2312"/>
          <w:sz w:val="32"/>
          <w:szCs w:val="32"/>
        </w:rPr>
        <w:t>严格依据《市信访办合同管理办法（试行）》中相关规定，严谨审查运维合同各项条款，严格按照合同订立流程签订运维合同，压实运维工作各项责任、确保了系统运维质量、保障了系统稳定运行。</w:t>
      </w:r>
    </w:p>
    <w:p>
      <w:pPr>
        <w:spacing w:line="360" w:lineRule="auto"/>
        <w:ind w:firstLine="640" w:firstLineChars="200"/>
        <w:rPr>
          <w:rFonts w:hint="eastAsia" w:ascii="楷体" w:hAnsi="楷体" w:eastAsia="楷体" w:cs="Times New Roman"/>
          <w:color w:val="000000"/>
          <w:kern w:val="0"/>
          <w:sz w:val="32"/>
          <w:szCs w:val="32"/>
        </w:rPr>
      </w:pPr>
      <w:r>
        <w:rPr>
          <w:rFonts w:hint="eastAsia" w:ascii="楷体" w:hAnsi="楷体" w:eastAsia="楷体" w:cs="Times New Roman"/>
          <w:color w:val="000000"/>
          <w:kern w:val="0"/>
          <w:sz w:val="32"/>
          <w:szCs w:val="32"/>
        </w:rPr>
        <w:t>（二）存在的问题</w:t>
      </w:r>
      <w:bookmarkEnd w:id="53"/>
      <w:bookmarkStart w:id="55" w:name="_Toc437268049"/>
      <w:bookmarkStart w:id="56" w:name="_Toc102746367"/>
    </w:p>
    <w:p>
      <w:pPr>
        <w:spacing w:line="360" w:lineRule="auto"/>
        <w:ind w:firstLine="640" w:firstLineChars="200"/>
        <w:rPr>
          <w:rFonts w:hint="eastAsia" w:ascii="仿宋_GB2312" w:hAnsi="仿宋" w:eastAsia="仿宋_GB2312"/>
          <w:b w:val="0"/>
          <w:bCs w:val="0"/>
          <w:kern w:val="2"/>
          <w:sz w:val="32"/>
          <w:szCs w:val="32"/>
          <w:lang w:val="en-US" w:eastAsia="zh-CN"/>
        </w:rPr>
      </w:pPr>
      <w:r>
        <w:rPr>
          <w:rFonts w:hint="eastAsia" w:ascii="仿宋_GB2312" w:hAnsi="仿宋" w:eastAsia="仿宋_GB2312"/>
          <w:b w:val="0"/>
          <w:bCs w:val="0"/>
          <w:kern w:val="2"/>
          <w:sz w:val="32"/>
          <w:szCs w:val="32"/>
          <w:lang w:val="en-US" w:eastAsia="zh-CN"/>
        </w:rPr>
        <w:t>1.绩效指标设置不够完善、个别指标指设置无法衡量</w:t>
      </w:r>
    </w:p>
    <w:p>
      <w:pPr>
        <w:spacing w:line="360" w:lineRule="auto"/>
        <w:ind w:firstLine="640" w:firstLineChars="200"/>
        <w:rPr>
          <w:rFonts w:hint="eastAsia" w:ascii="仿宋_GB2312" w:hAnsi="仿宋" w:eastAsia="仿宋_GB2312"/>
          <w:b w:val="0"/>
          <w:bCs w:val="0"/>
          <w:kern w:val="2"/>
          <w:sz w:val="32"/>
          <w:szCs w:val="32"/>
        </w:rPr>
      </w:pPr>
      <w:r>
        <w:rPr>
          <w:rFonts w:hint="eastAsia" w:ascii="仿宋_GB2312" w:hAnsi="仿宋" w:eastAsia="仿宋_GB2312"/>
          <w:b w:val="0"/>
          <w:bCs w:val="0"/>
          <w:kern w:val="2"/>
          <w:sz w:val="32"/>
          <w:szCs w:val="32"/>
        </w:rPr>
        <w:t>该项目绩效目标设置总体指向明确、合理可行</w:t>
      </w:r>
      <w:r>
        <w:rPr>
          <w:rFonts w:hint="eastAsia" w:ascii="仿宋_GB2312" w:hAnsi="仿宋" w:eastAsia="仿宋_GB2312"/>
          <w:b w:val="0"/>
          <w:bCs w:val="0"/>
          <w:kern w:val="2"/>
          <w:sz w:val="32"/>
          <w:szCs w:val="32"/>
          <w:lang w:val="en-US" w:eastAsia="zh-CN"/>
        </w:rPr>
        <w:t>并</w:t>
      </w:r>
      <w:r>
        <w:rPr>
          <w:rFonts w:hint="eastAsia" w:ascii="仿宋_GB2312" w:hAnsi="仿宋" w:eastAsia="仿宋_GB2312"/>
          <w:b w:val="0"/>
          <w:bCs w:val="0"/>
          <w:kern w:val="2"/>
          <w:sz w:val="32"/>
          <w:szCs w:val="32"/>
        </w:rPr>
        <w:t>围绕年度绩效目标设置了产出指标、效益指标和满意度指标，能够较好地满足预算支出绩效管理的要求。但仍存在绩效指标设置不够</w:t>
      </w:r>
      <w:r>
        <w:rPr>
          <w:rFonts w:hint="eastAsia" w:ascii="仿宋_GB2312" w:hAnsi="仿宋" w:eastAsia="仿宋_GB2312"/>
          <w:b w:val="0"/>
          <w:bCs w:val="0"/>
          <w:kern w:val="2"/>
          <w:sz w:val="32"/>
          <w:szCs w:val="32"/>
          <w:lang w:val="en-US" w:eastAsia="zh-CN"/>
        </w:rPr>
        <w:t>完善、个别指标设置错误</w:t>
      </w:r>
      <w:r>
        <w:rPr>
          <w:rFonts w:hint="eastAsia" w:ascii="仿宋_GB2312" w:hAnsi="仿宋" w:eastAsia="仿宋_GB2312"/>
          <w:b w:val="0"/>
          <w:bCs w:val="0"/>
          <w:kern w:val="2"/>
          <w:sz w:val="32"/>
          <w:szCs w:val="32"/>
        </w:rPr>
        <w:t>的问题，</w:t>
      </w:r>
      <w:r>
        <w:rPr>
          <w:rFonts w:hint="eastAsia" w:ascii="仿宋_GB2312" w:hAnsi="仿宋" w:eastAsia="仿宋_GB2312"/>
          <w:b w:val="0"/>
          <w:bCs w:val="0"/>
          <w:kern w:val="2"/>
          <w:sz w:val="32"/>
          <w:szCs w:val="32"/>
          <w:lang w:val="en-US" w:eastAsia="zh-CN"/>
        </w:rPr>
        <w:t>如未设置社会效益指标；未设置信访群众满意度指标；可持续影响指标“运行维护响应时间”指标值为“优良中低差”无法衡量完成情况</w:t>
      </w:r>
      <w:r>
        <w:rPr>
          <w:rFonts w:hint="eastAsia" w:ascii="仿宋_GB2312" w:hAnsi="仿宋" w:eastAsia="仿宋_GB2312"/>
          <w:b w:val="0"/>
          <w:bCs w:val="0"/>
          <w:kern w:val="2"/>
          <w:sz w:val="32"/>
          <w:szCs w:val="32"/>
          <w:lang w:eastAsia="zh-CN"/>
        </w:rPr>
        <w:t>。</w:t>
      </w:r>
      <w:r>
        <w:rPr>
          <w:rFonts w:hint="eastAsia" w:ascii="仿宋_GB2312" w:hAnsi="仿宋" w:eastAsia="仿宋_GB2312"/>
          <w:b w:val="0"/>
          <w:bCs w:val="0"/>
          <w:kern w:val="2"/>
          <w:sz w:val="32"/>
          <w:szCs w:val="32"/>
        </w:rPr>
        <w:t>绩效目标设置还需进一步优化。</w:t>
      </w:r>
    </w:p>
    <w:p>
      <w:pPr>
        <w:spacing w:line="360" w:lineRule="auto"/>
        <w:ind w:firstLine="640" w:firstLineChars="200"/>
        <w:rPr>
          <w:rFonts w:hint="eastAsia" w:ascii="仿宋_GB2312" w:hAnsi="仿宋" w:eastAsia="仿宋_GB2312"/>
          <w:b w:val="0"/>
          <w:bCs w:val="0"/>
          <w:kern w:val="2"/>
          <w:sz w:val="32"/>
          <w:szCs w:val="32"/>
          <w:lang w:val="en-US" w:eastAsia="zh-CN"/>
        </w:rPr>
      </w:pPr>
      <w:r>
        <w:rPr>
          <w:rFonts w:hint="eastAsia" w:ascii="仿宋_GB2312" w:hAnsi="仿宋" w:eastAsia="仿宋_GB2312"/>
          <w:b w:val="0"/>
          <w:bCs w:val="0"/>
          <w:kern w:val="2"/>
          <w:sz w:val="32"/>
          <w:szCs w:val="32"/>
          <w:lang w:val="en-US" w:eastAsia="zh-CN"/>
        </w:rPr>
        <w:t>2.项目过程管理不够到位，招标及合同管理的规范性不足</w:t>
      </w:r>
    </w:p>
    <w:p>
      <w:pPr>
        <w:spacing w:line="360" w:lineRule="auto"/>
        <w:ind w:firstLine="640" w:firstLineChars="200"/>
        <w:rPr>
          <w:rFonts w:hint="eastAsia" w:ascii="仿宋_GB2312" w:hAnsi="仿宋" w:eastAsia="仿宋_GB2312"/>
          <w:b w:val="0"/>
          <w:bCs w:val="0"/>
          <w:kern w:val="2"/>
          <w:sz w:val="32"/>
          <w:szCs w:val="32"/>
          <w:lang w:val="en-US" w:eastAsia="zh-CN"/>
        </w:rPr>
      </w:pPr>
      <w:r>
        <w:rPr>
          <w:rFonts w:hint="eastAsia" w:ascii="仿宋_GB2312" w:hAnsi="仿宋" w:eastAsia="仿宋_GB2312"/>
          <w:b w:val="0"/>
          <w:bCs w:val="0"/>
          <w:kern w:val="2"/>
          <w:sz w:val="32"/>
          <w:szCs w:val="32"/>
          <w:lang w:val="en-US" w:eastAsia="zh-CN"/>
        </w:rPr>
        <w:t>该项目公开招标时间、合同签订时间晚于项目开展时间，如，（1）市信访办与北京市是宇三鼎科技有限公司于2022年5月18日签订《北京市信访办公室拆求工作平台运维服务项目技术服务合同》，合同金额为272万元，合同服务期限为1年，自2022年1月1日至2022年12月31日。该标段于2022年4月22日评标，采购预算为272.60万元，2022年4月25日发布中标通知书。经评价发现，由北京市是宇三鼎科技有限公司出具的北京市信访办公室互联网运维项目考核评分表、系统实施/运维工作记录单中显示，该合同实际执行时间从2022年1月份开始，早于招标程序和合同签订。（2）市信访办与首都信息发展股份有限公司于2022年6月2日签订《北京市信访办公室互联网运维项目技术服务合同》，合同金额为99.89万元，合同服务期限为1年，自2022年1月1日至2022年12月31日。该标段于2022年5月10日评标，采购预算为100.60万元，2022年5月12日发布中标通知书。经评价发现，由首都信息发展股份有限公司出具的北京市信访办公室互联网运维项目第一、二季度报告中显示，该合同实际执行时间是从2022年1月份开始，早于招标程序和合同签订。该项目过程管理不够到位，招标及合同管理的规范性不足。</w:t>
      </w:r>
    </w:p>
    <w:p>
      <w:pPr>
        <w:pStyle w:val="2"/>
        <w:spacing w:line="360" w:lineRule="auto"/>
        <w:ind w:firstLine="640"/>
        <w:rPr>
          <w:rFonts w:ascii="黑体" w:hAnsi="黑体" w:eastAsia="黑体" w:cs="Times New Roman"/>
          <w:b w:val="0"/>
          <w:sz w:val="32"/>
          <w:szCs w:val="32"/>
        </w:rPr>
      </w:pPr>
      <w:r>
        <w:rPr>
          <w:rFonts w:hint="eastAsia" w:ascii="黑体" w:hAnsi="黑体" w:eastAsia="黑体" w:cs="Times New Roman"/>
          <w:b w:val="0"/>
          <w:sz w:val="32"/>
          <w:szCs w:val="32"/>
        </w:rPr>
        <w:t>六、</w:t>
      </w:r>
      <w:bookmarkEnd w:id="55"/>
      <w:r>
        <w:rPr>
          <w:rFonts w:hint="eastAsia" w:ascii="黑体" w:hAnsi="黑体" w:eastAsia="黑体" w:cs="Times New Roman"/>
          <w:b w:val="0"/>
          <w:sz w:val="32"/>
          <w:szCs w:val="32"/>
        </w:rPr>
        <w:t>有关建议</w:t>
      </w:r>
      <w:bookmarkEnd w:id="56"/>
    </w:p>
    <w:p>
      <w:pPr>
        <w:spacing w:line="360" w:lineRule="auto"/>
        <w:ind w:firstLine="640" w:firstLineChars="200"/>
        <w:rPr>
          <w:rFonts w:hint="eastAsia" w:ascii="楷体" w:hAnsi="楷体" w:eastAsia="楷体" w:cs="Times New Roman"/>
          <w:color w:val="000000"/>
          <w:kern w:val="0"/>
          <w:sz w:val="32"/>
          <w:szCs w:val="32"/>
        </w:rPr>
      </w:pPr>
      <w:r>
        <w:rPr>
          <w:rFonts w:hint="eastAsia" w:ascii="楷体" w:hAnsi="楷体" w:eastAsia="楷体" w:cs="Times New Roman"/>
          <w:color w:val="000000"/>
          <w:kern w:val="0"/>
          <w:sz w:val="32"/>
          <w:szCs w:val="32"/>
        </w:rPr>
        <w:t>（</w:t>
      </w:r>
      <w:r>
        <w:rPr>
          <w:rFonts w:hint="eastAsia" w:ascii="楷体" w:hAnsi="楷体" w:eastAsia="楷体" w:cs="Times New Roman"/>
          <w:color w:val="000000"/>
          <w:kern w:val="0"/>
          <w:sz w:val="32"/>
          <w:szCs w:val="32"/>
          <w:lang w:val="en-US" w:eastAsia="zh-CN"/>
        </w:rPr>
        <w:t>一</w:t>
      </w:r>
      <w:r>
        <w:rPr>
          <w:rFonts w:hint="eastAsia" w:ascii="楷体" w:hAnsi="楷体" w:eastAsia="楷体" w:cs="Times New Roman"/>
          <w:color w:val="000000"/>
          <w:kern w:val="0"/>
          <w:sz w:val="32"/>
          <w:szCs w:val="32"/>
        </w:rPr>
        <w:t>）加强预算绩效管理理念，提高绩效目标表编制水平</w:t>
      </w:r>
    </w:p>
    <w:p>
      <w:pPr>
        <w:spacing w:line="360" w:lineRule="auto"/>
        <w:ind w:firstLine="640" w:firstLineChars="200"/>
        <w:rPr>
          <w:rFonts w:hint="eastAsia"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建议</w:t>
      </w:r>
      <w:r>
        <w:rPr>
          <w:rFonts w:hint="eastAsia" w:ascii="Times New Roman" w:hAnsi="Times New Roman" w:eastAsia="仿宋_GB2312" w:cs="Times New Roman"/>
          <w:color w:val="000000"/>
          <w:kern w:val="0"/>
          <w:sz w:val="32"/>
          <w:szCs w:val="32"/>
          <w:lang w:val="en-US" w:eastAsia="zh-CN"/>
        </w:rPr>
        <w:t>市信访办</w:t>
      </w:r>
      <w:r>
        <w:rPr>
          <w:rFonts w:hint="eastAsia" w:ascii="Times New Roman" w:hAnsi="Times New Roman" w:eastAsia="仿宋_GB2312" w:cs="Times New Roman"/>
          <w:color w:val="000000"/>
          <w:kern w:val="0"/>
          <w:sz w:val="32"/>
          <w:szCs w:val="32"/>
        </w:rPr>
        <w:t>加强预算绩效管理相关文件学习，提高预算绩效管理理念，针对绩效目标及指标设置，根据年度重点工作任务和内容，准确提炼项目绩效目标、指标及指标值，结合目标任务完善目标表。</w:t>
      </w:r>
    </w:p>
    <w:p>
      <w:pPr>
        <w:spacing w:line="360" w:lineRule="auto"/>
        <w:ind w:firstLine="640" w:firstLineChars="200"/>
        <w:rPr>
          <w:rFonts w:hint="eastAsia"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根据绩效目标设置绩效指标，指标需反映目标的关键要素，且具有一定的量化值，同时指标应全面，以效益效果为导向，体现绩效管理要求，确保绩效目标具体、准确、可考核，从而进一步提升绩效目标和指标填报质量与水平。</w:t>
      </w:r>
    </w:p>
    <w:p>
      <w:pPr>
        <w:spacing w:line="360" w:lineRule="auto"/>
        <w:ind w:firstLine="640" w:firstLineChars="200"/>
        <w:rPr>
          <w:rFonts w:hint="eastAsia" w:ascii="楷体" w:hAnsi="楷体" w:eastAsia="楷体" w:cs="Times New Roman"/>
          <w:color w:val="000000"/>
          <w:kern w:val="0"/>
          <w:sz w:val="32"/>
          <w:szCs w:val="32"/>
          <w:lang w:val="en-US" w:eastAsia="zh-CN"/>
        </w:rPr>
      </w:pPr>
      <w:r>
        <w:rPr>
          <w:rFonts w:hint="eastAsia" w:ascii="楷体" w:hAnsi="楷体" w:eastAsia="楷体" w:cs="Times New Roman"/>
          <w:color w:val="000000"/>
          <w:kern w:val="0"/>
          <w:sz w:val="32"/>
          <w:szCs w:val="32"/>
          <w:lang w:eastAsia="zh-CN"/>
        </w:rPr>
        <w:t>（</w:t>
      </w:r>
      <w:r>
        <w:rPr>
          <w:rFonts w:hint="eastAsia" w:ascii="楷体" w:hAnsi="楷体" w:eastAsia="楷体" w:cs="Times New Roman"/>
          <w:color w:val="000000"/>
          <w:kern w:val="0"/>
          <w:sz w:val="32"/>
          <w:szCs w:val="32"/>
          <w:lang w:val="en-US" w:eastAsia="zh-CN"/>
        </w:rPr>
        <w:t>二</w:t>
      </w:r>
      <w:r>
        <w:rPr>
          <w:rFonts w:hint="eastAsia" w:ascii="楷体" w:hAnsi="楷体" w:eastAsia="楷体" w:cs="Times New Roman"/>
          <w:color w:val="000000"/>
          <w:kern w:val="0"/>
          <w:sz w:val="32"/>
          <w:szCs w:val="32"/>
          <w:lang w:eastAsia="zh-CN"/>
        </w:rPr>
        <w:t>）加强项目过程管控，</w:t>
      </w:r>
      <w:r>
        <w:rPr>
          <w:rFonts w:hint="eastAsia" w:ascii="楷体" w:hAnsi="楷体" w:eastAsia="楷体" w:cs="Times New Roman"/>
          <w:color w:val="000000"/>
          <w:kern w:val="0"/>
          <w:sz w:val="32"/>
          <w:szCs w:val="32"/>
          <w:lang w:val="en-US" w:eastAsia="zh-CN"/>
        </w:rPr>
        <w:t>合理合规开展招标及合同签订</w:t>
      </w:r>
    </w:p>
    <w:p>
      <w:pPr>
        <w:spacing w:line="360" w:lineRule="auto"/>
        <w:ind w:firstLine="640" w:firstLineChars="200"/>
        <w:rPr>
          <w:rFonts w:hint="default" w:ascii="Times New Roman" w:hAnsi="Times New Roman" w:eastAsia="仿宋_GB2312" w:cs="Times New Roman"/>
          <w:color w:val="000000"/>
          <w:kern w:val="0"/>
          <w:sz w:val="32"/>
          <w:szCs w:val="32"/>
          <w:lang w:val="en-US" w:eastAsia="zh-CN"/>
        </w:rPr>
      </w:pPr>
      <w:r>
        <w:rPr>
          <w:rFonts w:hint="eastAsia" w:ascii="Times New Roman" w:hAnsi="Times New Roman" w:eastAsia="仿宋_GB2312" w:cs="Times New Roman"/>
          <w:color w:val="000000"/>
          <w:kern w:val="0"/>
          <w:sz w:val="32"/>
          <w:szCs w:val="32"/>
        </w:rPr>
        <w:t>建议</w:t>
      </w:r>
      <w:r>
        <w:rPr>
          <w:rFonts w:hint="eastAsia" w:ascii="Times New Roman" w:hAnsi="Times New Roman" w:eastAsia="仿宋_GB2312" w:cs="Times New Roman"/>
          <w:color w:val="000000"/>
          <w:kern w:val="0"/>
          <w:sz w:val="32"/>
          <w:szCs w:val="32"/>
          <w:lang w:val="en-US" w:eastAsia="zh-CN"/>
        </w:rPr>
        <w:t>市信访办</w:t>
      </w:r>
      <w:r>
        <w:rPr>
          <w:rFonts w:hint="default" w:ascii="Times New Roman" w:hAnsi="Times New Roman" w:eastAsia="仿宋_GB2312" w:cs="Times New Roman"/>
          <w:color w:val="000000"/>
          <w:kern w:val="0"/>
          <w:sz w:val="32"/>
          <w:szCs w:val="32"/>
          <w:lang w:val="en-US" w:eastAsia="zh-CN"/>
        </w:rPr>
        <w:t>提高项目管理的规范性和精细化程度，落实主体责任，</w:t>
      </w:r>
      <w:r>
        <w:rPr>
          <w:rFonts w:hint="eastAsia" w:ascii="Times New Roman" w:hAnsi="Times New Roman" w:eastAsia="仿宋_GB2312" w:cs="Times New Roman"/>
          <w:color w:val="000000"/>
          <w:kern w:val="0"/>
          <w:sz w:val="32"/>
          <w:szCs w:val="32"/>
          <w:lang w:val="en-US" w:eastAsia="zh-CN"/>
        </w:rPr>
        <w:t>严格按照《中华人民共和国招标投标法》《</w:t>
      </w:r>
      <w:r>
        <w:rPr>
          <w:rFonts w:hint="eastAsia" w:ascii="仿宋_GB2312" w:hAnsi="Times New Roman" w:eastAsia="仿宋_GB2312" w:cs="Times New Roman"/>
          <w:color w:val="000000"/>
          <w:kern w:val="0"/>
          <w:sz w:val="32"/>
          <w:szCs w:val="32"/>
        </w:rPr>
        <w:t>市委办公厅财务管理制度》《北京市信访办公室财务管理制度》</w:t>
      </w:r>
      <w:r>
        <w:rPr>
          <w:rFonts w:hint="eastAsia" w:ascii="仿宋_GB2312" w:hAnsi="Times New Roman" w:eastAsia="仿宋_GB2312" w:cs="Times New Roman"/>
          <w:color w:val="000000"/>
          <w:kern w:val="0"/>
          <w:sz w:val="32"/>
          <w:szCs w:val="32"/>
          <w:lang w:eastAsia="zh-CN"/>
        </w:rPr>
        <w:t>《</w:t>
      </w:r>
      <w:r>
        <w:rPr>
          <w:rFonts w:hint="eastAsia" w:ascii="仿宋_GB2312" w:hAnsi="Times New Roman" w:eastAsia="仿宋_GB2312" w:cs="Times New Roman"/>
          <w:color w:val="000000"/>
          <w:kern w:val="0"/>
          <w:sz w:val="32"/>
          <w:szCs w:val="32"/>
          <w:lang w:val="en-US" w:eastAsia="zh-CN"/>
        </w:rPr>
        <w:t>北京市信访办内部控制制度</w:t>
      </w:r>
      <w:r>
        <w:rPr>
          <w:rFonts w:hint="eastAsia" w:ascii="仿宋_GB2312" w:hAnsi="Times New Roman" w:eastAsia="仿宋_GB2312" w:cs="Times New Roman"/>
          <w:color w:val="000000"/>
          <w:kern w:val="0"/>
          <w:sz w:val="32"/>
          <w:szCs w:val="32"/>
          <w:lang w:eastAsia="zh-CN"/>
        </w:rPr>
        <w:t>》</w:t>
      </w:r>
      <w:r>
        <w:rPr>
          <w:rFonts w:hint="eastAsia" w:ascii="仿宋_GB2312" w:hAnsi="Times New Roman" w:eastAsia="仿宋_GB2312" w:cs="Times New Roman"/>
          <w:color w:val="000000"/>
          <w:kern w:val="0"/>
          <w:sz w:val="32"/>
          <w:szCs w:val="32"/>
          <w:lang w:val="en-US" w:eastAsia="zh-CN"/>
        </w:rPr>
        <w:t>等制定规定开展</w:t>
      </w:r>
      <w:r>
        <w:rPr>
          <w:rFonts w:hint="eastAsia" w:ascii="Times New Roman" w:hAnsi="Times New Roman" w:eastAsia="仿宋_GB2312" w:cs="Times New Roman"/>
          <w:color w:val="000000"/>
          <w:kern w:val="0"/>
          <w:sz w:val="32"/>
          <w:szCs w:val="32"/>
          <w:lang w:val="en-US" w:eastAsia="zh-CN"/>
        </w:rPr>
        <w:t>招标工作、</w:t>
      </w:r>
      <w:r>
        <w:rPr>
          <w:rFonts w:hint="default" w:ascii="Times New Roman" w:hAnsi="Times New Roman" w:eastAsia="仿宋_GB2312" w:cs="Times New Roman"/>
          <w:color w:val="000000"/>
          <w:kern w:val="0"/>
          <w:sz w:val="32"/>
          <w:szCs w:val="32"/>
          <w:lang w:val="en-US" w:eastAsia="zh-CN"/>
        </w:rPr>
        <w:t>合同</w:t>
      </w:r>
      <w:r>
        <w:rPr>
          <w:rFonts w:hint="eastAsia" w:ascii="Times New Roman" w:hAnsi="Times New Roman" w:eastAsia="仿宋_GB2312" w:cs="Times New Roman"/>
          <w:color w:val="000000"/>
          <w:kern w:val="0"/>
          <w:sz w:val="32"/>
          <w:szCs w:val="32"/>
          <w:lang w:val="en-US" w:eastAsia="zh-CN"/>
        </w:rPr>
        <w:t>签订等，</w:t>
      </w:r>
      <w:r>
        <w:rPr>
          <w:rFonts w:hint="default" w:ascii="Times New Roman" w:hAnsi="Times New Roman" w:eastAsia="仿宋_GB2312" w:cs="Times New Roman"/>
          <w:color w:val="000000"/>
          <w:kern w:val="0"/>
          <w:sz w:val="32"/>
          <w:szCs w:val="32"/>
          <w:lang w:val="en-US" w:eastAsia="zh-CN"/>
        </w:rPr>
        <w:t>控制财政资金风险。</w:t>
      </w:r>
    </w:p>
    <w:bookmarkEnd w:id="54"/>
    <w:p>
      <w:pPr>
        <w:pStyle w:val="2"/>
        <w:spacing w:line="360" w:lineRule="auto"/>
        <w:ind w:firstLine="640"/>
        <w:rPr>
          <w:rFonts w:ascii="黑体" w:hAnsi="黑体" w:eastAsia="黑体" w:cs="Times New Roman"/>
          <w:b w:val="0"/>
          <w:sz w:val="32"/>
          <w:szCs w:val="32"/>
        </w:rPr>
      </w:pPr>
      <w:bookmarkStart w:id="57" w:name="_Toc102746368"/>
      <w:r>
        <w:rPr>
          <w:rFonts w:hint="eastAsia" w:ascii="黑体" w:hAnsi="黑体" w:eastAsia="黑体" w:cs="Times New Roman"/>
          <w:b w:val="0"/>
          <w:sz w:val="32"/>
          <w:szCs w:val="32"/>
        </w:rPr>
        <w:t>七、其他需要说明的问题</w:t>
      </w:r>
      <w:bookmarkEnd w:id="57"/>
    </w:p>
    <w:p>
      <w:pPr>
        <w:spacing w:line="360" w:lineRule="auto"/>
        <w:ind w:firstLine="640" w:firstLineChars="200"/>
        <w:rPr>
          <w:rFonts w:ascii="Times New Roman" w:hAnsi="Times New Roman" w:eastAsia="仿宋_GB2312" w:cs="Times New Roman"/>
          <w:bCs/>
          <w:sz w:val="32"/>
          <w:szCs w:val="32"/>
        </w:rPr>
      </w:pPr>
      <w:r>
        <w:rPr>
          <w:rFonts w:hint="eastAsia" w:ascii="Times New Roman" w:hAnsi="Times New Roman" w:eastAsia="仿宋_GB2312" w:cs="Times New Roman"/>
          <w:bCs/>
          <w:sz w:val="32"/>
          <w:szCs w:val="32"/>
        </w:rPr>
        <w:t>无。</w:t>
      </w:r>
    </w:p>
    <w:p>
      <w:pPr>
        <w:spacing w:line="360" w:lineRule="auto"/>
        <w:ind w:firstLine="640" w:firstLineChars="200"/>
        <w:rPr>
          <w:rFonts w:ascii="Times New Roman" w:hAnsi="Times New Roman" w:eastAsia="仿宋_GB2312" w:cs="Times New Roman"/>
          <w:bCs/>
          <w:sz w:val="32"/>
          <w:szCs w:val="32"/>
        </w:rPr>
      </w:pPr>
    </w:p>
    <w:p>
      <w:pPr>
        <w:pStyle w:val="30"/>
        <w:widowControl/>
        <w:spacing w:line="360" w:lineRule="auto"/>
        <w:ind w:firstLine="960" w:firstLineChars="300"/>
        <w:rPr>
          <w:rFonts w:ascii="仿宋_GB2312" w:hAnsi="Times New Roman" w:eastAsia="仿宋_GB2312" w:cs="Times New Roman"/>
          <w:bCs/>
          <w:kern w:val="0"/>
          <w:sz w:val="32"/>
          <w:szCs w:val="32"/>
        </w:rPr>
      </w:pPr>
      <w:r>
        <w:rPr>
          <w:rFonts w:hint="eastAsia" w:ascii="仿宋_GB2312" w:hAnsi="黑体" w:eastAsia="仿宋_GB2312" w:cs="Times New Roman"/>
          <w:bCs/>
          <w:sz w:val="32"/>
          <w:szCs w:val="32"/>
        </w:rPr>
        <w:t>附件：</w:t>
      </w:r>
      <w:r>
        <w:rPr>
          <w:rFonts w:hint="eastAsia" w:ascii="仿宋_GB2312" w:hAnsi="Times New Roman" w:eastAsia="仿宋_GB2312" w:cs="Times New Roman"/>
          <w:bCs/>
          <w:kern w:val="0"/>
          <w:sz w:val="32"/>
          <w:szCs w:val="32"/>
        </w:rPr>
        <w:t>1.指标体系及打分情况表</w:t>
      </w:r>
      <w:bookmarkStart w:id="58" w:name="_GoBack"/>
      <w:bookmarkEnd w:id="58"/>
    </w:p>
    <w:p>
      <w:pPr>
        <w:spacing w:line="360" w:lineRule="auto"/>
        <w:ind w:firstLine="640" w:firstLineChars="200"/>
        <w:jc w:val="right"/>
        <w:rPr>
          <w:rFonts w:ascii="Times New Roman" w:hAnsi="Times New Roman" w:eastAsia="仿宋_GB2312" w:cs="Times New Roman"/>
          <w:bCs/>
          <w:kern w:val="0"/>
          <w:sz w:val="32"/>
          <w:szCs w:val="32"/>
        </w:rPr>
      </w:pPr>
    </w:p>
    <w:p>
      <w:pPr>
        <w:spacing w:line="360" w:lineRule="auto"/>
        <w:ind w:firstLine="640" w:firstLineChars="200"/>
        <w:jc w:val="right"/>
        <w:rPr>
          <w:rFonts w:ascii="Times New Roman" w:hAnsi="Times New Roman" w:eastAsia="仿宋_GB2312" w:cs="Times New Roman"/>
          <w:bCs/>
          <w:kern w:val="0"/>
          <w:sz w:val="32"/>
          <w:szCs w:val="32"/>
        </w:rPr>
      </w:pPr>
    </w:p>
    <w:p>
      <w:pPr>
        <w:spacing w:line="360" w:lineRule="auto"/>
        <w:ind w:firstLine="640" w:firstLineChars="200"/>
        <w:jc w:val="right"/>
        <w:rPr>
          <w:rFonts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北京今诚明会计师事务所（普通合伙）</w:t>
      </w:r>
    </w:p>
    <w:p>
      <w:pPr>
        <w:spacing w:line="360" w:lineRule="auto"/>
        <w:ind w:right="1280" w:firstLine="640" w:firstLineChars="200"/>
        <w:jc w:val="right"/>
        <w:rPr>
          <w:rFonts w:ascii="仿宋_GB2312" w:hAnsi="Times New Roman" w:eastAsia="仿宋_GB2312" w:cs="Times New Roman"/>
          <w:bCs/>
          <w:kern w:val="0"/>
          <w:sz w:val="32"/>
          <w:szCs w:val="32"/>
        </w:rPr>
      </w:pPr>
    </w:p>
    <w:p>
      <w:pPr>
        <w:spacing w:line="360" w:lineRule="auto"/>
        <w:ind w:right="1280" w:firstLine="640" w:firstLineChars="200"/>
        <w:jc w:val="right"/>
        <w:rPr>
          <w:rFonts w:ascii="仿宋_GB2312" w:hAnsi="Times New Roman" w:eastAsia="仿宋_GB2312" w:cs="Times New Roman"/>
          <w:bCs/>
          <w:kern w:val="0"/>
          <w:sz w:val="28"/>
          <w:szCs w:val="28"/>
        </w:rPr>
        <w:sectPr>
          <w:headerReference r:id="rId5" w:type="default"/>
          <w:footerReference r:id="rId6" w:type="default"/>
          <w:pgSz w:w="11906" w:h="16838"/>
          <w:pgMar w:top="1440" w:right="1474" w:bottom="1440" w:left="1588" w:header="851" w:footer="851" w:gutter="0"/>
          <w:pgNumType w:start="1"/>
          <w:cols w:space="425" w:num="1"/>
          <w:docGrid w:type="linesAndChars" w:linePitch="312" w:charSpace="0"/>
        </w:sectPr>
      </w:pPr>
      <w:r>
        <w:rPr>
          <w:rFonts w:hint="eastAsia" w:ascii="仿宋_GB2312" w:hAnsi="Times New Roman" w:eastAsia="仿宋_GB2312" w:cs="Times New Roman"/>
          <w:bCs/>
          <w:kern w:val="0"/>
          <w:sz w:val="32"/>
          <w:szCs w:val="32"/>
        </w:rPr>
        <w:t>202</w:t>
      </w:r>
      <w:r>
        <w:rPr>
          <w:rFonts w:hint="eastAsia" w:ascii="仿宋_GB2312" w:hAnsi="Times New Roman" w:eastAsia="仿宋_GB2312" w:cs="Times New Roman"/>
          <w:bCs/>
          <w:kern w:val="0"/>
          <w:sz w:val="32"/>
          <w:szCs w:val="32"/>
          <w:lang w:val="en-US" w:eastAsia="zh-CN"/>
        </w:rPr>
        <w:t>3</w:t>
      </w:r>
      <w:r>
        <w:rPr>
          <w:rFonts w:hint="eastAsia" w:ascii="仿宋_GB2312" w:hAnsi="Times New Roman" w:eastAsia="仿宋_GB2312" w:cs="Times New Roman"/>
          <w:bCs/>
          <w:kern w:val="0"/>
          <w:sz w:val="32"/>
          <w:szCs w:val="32"/>
        </w:rPr>
        <w:t>年</w:t>
      </w:r>
      <w:r>
        <w:rPr>
          <w:rFonts w:hint="eastAsia" w:ascii="仿宋_GB2312" w:hAnsi="Times New Roman" w:eastAsia="仿宋_GB2312" w:cs="Times New Roman"/>
          <w:bCs/>
          <w:kern w:val="0"/>
          <w:sz w:val="32"/>
          <w:szCs w:val="32"/>
          <w:lang w:val="en-US" w:eastAsia="zh-CN"/>
        </w:rPr>
        <w:t>4</w:t>
      </w:r>
      <w:r>
        <w:rPr>
          <w:rFonts w:hint="eastAsia" w:ascii="仿宋_GB2312" w:hAnsi="Times New Roman" w:eastAsia="仿宋_GB2312" w:cs="Times New Roman"/>
          <w:bCs/>
          <w:kern w:val="0"/>
          <w:sz w:val="32"/>
          <w:szCs w:val="32"/>
        </w:rPr>
        <w:t>月</w:t>
      </w:r>
      <w:r>
        <w:rPr>
          <w:rFonts w:hint="eastAsia" w:ascii="仿宋_GB2312" w:hAnsi="Times New Roman" w:eastAsia="仿宋_GB2312" w:cs="Times New Roman"/>
          <w:bCs/>
          <w:kern w:val="0"/>
          <w:sz w:val="32"/>
          <w:szCs w:val="32"/>
          <w:lang w:val="en-US" w:eastAsia="zh-CN"/>
        </w:rPr>
        <w:t>30</w:t>
      </w:r>
      <w:r>
        <w:rPr>
          <w:rFonts w:hint="eastAsia" w:ascii="仿宋_GB2312" w:hAnsi="Times New Roman" w:eastAsia="仿宋_GB2312" w:cs="Times New Roman"/>
          <w:bCs/>
          <w:kern w:val="0"/>
          <w:sz w:val="32"/>
          <w:szCs w:val="32"/>
        </w:rPr>
        <w:t>日</w:t>
      </w:r>
    </w:p>
    <w:p>
      <w:pPr>
        <w:spacing w:line="360" w:lineRule="auto"/>
        <w:jc w:val="left"/>
        <w:rPr>
          <w:rFonts w:ascii="仿宋_GB2312" w:hAnsi="黑体" w:eastAsia="仿宋_GB2312" w:cs="Times New Roman"/>
          <w:bCs/>
          <w:sz w:val="28"/>
          <w:szCs w:val="28"/>
        </w:rPr>
      </w:pPr>
      <w:r>
        <w:rPr>
          <w:rFonts w:ascii="仿宋_GB2312" w:hAnsi="黑体" w:eastAsia="仿宋_GB2312" w:cs="Times New Roman"/>
          <w:bCs/>
          <w:sz w:val="28"/>
          <w:szCs w:val="28"/>
        </w:rPr>
        <w:t>附件</w:t>
      </w:r>
      <w:r>
        <w:rPr>
          <w:rFonts w:hint="eastAsia" w:ascii="仿宋_GB2312" w:hAnsi="黑体" w:eastAsia="仿宋_GB2312" w:cs="Times New Roman"/>
          <w:bCs/>
          <w:sz w:val="28"/>
          <w:szCs w:val="28"/>
          <w:lang w:val="en-US" w:eastAsia="zh-CN"/>
        </w:rPr>
        <w:t>1</w:t>
      </w:r>
      <w:r>
        <w:rPr>
          <w:rFonts w:hint="eastAsia" w:ascii="仿宋_GB2312" w:hAnsi="Times New Roman" w:eastAsia="仿宋_GB2312" w:cs="Times New Roman"/>
          <w:sz w:val="28"/>
          <w:szCs w:val="28"/>
        </w:rPr>
        <w:t>指标体系及打分情况表</w:t>
      </w:r>
    </w:p>
    <w:tbl>
      <w:tblPr>
        <w:tblStyle w:val="18"/>
        <w:tblW w:w="13981" w:type="dxa"/>
        <w:tblInd w:w="96" w:type="dxa"/>
        <w:tblLayout w:type="fixed"/>
        <w:tblCellMar>
          <w:top w:w="0" w:type="dxa"/>
          <w:left w:w="108" w:type="dxa"/>
          <w:bottom w:w="0" w:type="dxa"/>
          <w:right w:w="108" w:type="dxa"/>
        </w:tblCellMar>
      </w:tblPr>
      <w:tblGrid>
        <w:gridCol w:w="648"/>
        <w:gridCol w:w="744"/>
        <w:gridCol w:w="600"/>
        <w:gridCol w:w="792"/>
        <w:gridCol w:w="588"/>
        <w:gridCol w:w="2257"/>
        <w:gridCol w:w="5412"/>
        <w:gridCol w:w="828"/>
        <w:gridCol w:w="2112"/>
      </w:tblGrid>
      <w:tr>
        <w:tblPrEx>
          <w:tblCellMar>
            <w:top w:w="0" w:type="dxa"/>
            <w:left w:w="108" w:type="dxa"/>
            <w:bottom w:w="0" w:type="dxa"/>
            <w:right w:w="108" w:type="dxa"/>
          </w:tblCellMar>
        </w:tblPrEx>
        <w:trPr>
          <w:trHeight w:val="624" w:hRule="atLeast"/>
        </w:trPr>
        <w:tc>
          <w:tcPr>
            <w:tcW w:w="13981" w:type="dxa"/>
            <w:gridSpan w:val="9"/>
            <w:vMerge w:val="restart"/>
            <w:shd w:val="clear" w:color="auto" w:fill="auto"/>
            <w:noWrap/>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lang w:eastAsia="zh-CN" w:bidi="ar"/>
              </w:rPr>
              <w:t>信息系统运维类项目</w:t>
            </w:r>
            <w:r>
              <w:rPr>
                <w:rFonts w:hint="eastAsia" w:ascii="宋体" w:hAnsi="宋体" w:eastAsia="宋体" w:cs="宋体"/>
                <w:b/>
                <w:bCs/>
                <w:color w:val="000000"/>
                <w:kern w:val="0"/>
                <w:sz w:val="32"/>
                <w:szCs w:val="32"/>
                <w:lang w:bidi="ar"/>
              </w:rPr>
              <w:t>绩效评价指标体系及评分情况表</w:t>
            </w:r>
          </w:p>
        </w:tc>
      </w:tr>
      <w:tr>
        <w:tblPrEx>
          <w:tblCellMar>
            <w:top w:w="0" w:type="dxa"/>
            <w:left w:w="108" w:type="dxa"/>
            <w:bottom w:w="0" w:type="dxa"/>
            <w:right w:w="108" w:type="dxa"/>
          </w:tblCellMar>
        </w:tblPrEx>
        <w:trPr>
          <w:trHeight w:val="624" w:hRule="atLeast"/>
        </w:trPr>
        <w:tc>
          <w:tcPr>
            <w:tcW w:w="13981" w:type="dxa"/>
            <w:gridSpan w:val="9"/>
            <w:vMerge w:val="continue"/>
            <w:tcBorders>
              <w:bottom w:val="single" w:color="auto" w:sz="4" w:space="0"/>
            </w:tcBorders>
            <w:shd w:val="clear" w:color="auto" w:fill="auto"/>
            <w:noWrap/>
            <w:vAlign w:val="center"/>
          </w:tcPr>
          <w:p>
            <w:pPr>
              <w:jc w:val="center"/>
              <w:rPr>
                <w:rFonts w:ascii="宋体" w:hAnsi="宋体" w:eastAsia="宋体" w:cs="宋体"/>
                <w:b/>
                <w:bCs/>
                <w:color w:val="000000"/>
                <w:sz w:val="36"/>
                <w:szCs w:val="36"/>
              </w:rPr>
            </w:pPr>
          </w:p>
        </w:tc>
      </w:tr>
      <w:tr>
        <w:tblPrEx>
          <w:tblCellMar>
            <w:top w:w="0" w:type="dxa"/>
            <w:left w:w="108" w:type="dxa"/>
            <w:bottom w:w="0" w:type="dxa"/>
            <w:right w:w="108" w:type="dxa"/>
          </w:tblCellMar>
        </w:tblPrEx>
        <w:trPr>
          <w:trHeight w:val="1154" w:hRule="atLeast"/>
        </w:trPr>
        <w:tc>
          <w:tcPr>
            <w:tcW w:w="64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一级指标</w:t>
            </w:r>
          </w:p>
        </w:tc>
        <w:tc>
          <w:tcPr>
            <w:tcW w:w="74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二级指标</w:t>
            </w:r>
          </w:p>
        </w:tc>
        <w:tc>
          <w:tcPr>
            <w:tcW w:w="60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分值</w:t>
            </w:r>
          </w:p>
        </w:tc>
        <w:tc>
          <w:tcPr>
            <w:tcW w:w="79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三级指标</w:t>
            </w:r>
          </w:p>
        </w:tc>
        <w:tc>
          <w:tcPr>
            <w:tcW w:w="58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分值</w:t>
            </w:r>
          </w:p>
        </w:tc>
        <w:tc>
          <w:tcPr>
            <w:tcW w:w="2257"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指标解释</w:t>
            </w:r>
          </w:p>
        </w:tc>
        <w:tc>
          <w:tcPr>
            <w:tcW w:w="54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评价要点</w:t>
            </w:r>
          </w:p>
        </w:tc>
        <w:tc>
          <w:tcPr>
            <w:tcW w:w="828"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得分</w:t>
            </w:r>
          </w:p>
        </w:tc>
        <w:tc>
          <w:tcPr>
            <w:tcW w:w="21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扣分理由</w:t>
            </w:r>
          </w:p>
        </w:tc>
      </w:tr>
      <w:tr>
        <w:tblPrEx>
          <w:tblCellMar>
            <w:top w:w="0" w:type="dxa"/>
            <w:left w:w="108" w:type="dxa"/>
            <w:bottom w:w="0" w:type="dxa"/>
            <w:right w:w="108" w:type="dxa"/>
          </w:tblCellMar>
        </w:tblPrEx>
        <w:trPr>
          <w:trHeight w:val="751" w:hRule="atLeast"/>
        </w:trPr>
        <w:tc>
          <w:tcPr>
            <w:tcW w:w="648" w:type="dxa"/>
            <w:vMerge w:val="restart"/>
            <w:tcBorders>
              <w:top w:val="single" w:color="auto"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决策　</w:t>
            </w:r>
          </w:p>
        </w:tc>
        <w:tc>
          <w:tcPr>
            <w:tcW w:w="744" w:type="dxa"/>
            <w:vMerge w:val="restart"/>
            <w:tcBorders>
              <w:top w:val="single" w:color="auto"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项目立项　</w:t>
            </w:r>
          </w:p>
        </w:tc>
        <w:tc>
          <w:tcPr>
            <w:tcW w:w="600" w:type="dxa"/>
            <w:vMerge w:val="restart"/>
            <w:tcBorders>
              <w:top w:val="single" w:color="auto"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792" w:type="dxa"/>
            <w:vMerge w:val="restart"/>
            <w:tcBorders>
              <w:top w:val="single" w:color="auto"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立项依据充分性</w:t>
            </w:r>
          </w:p>
        </w:tc>
        <w:tc>
          <w:tcPr>
            <w:tcW w:w="588" w:type="dxa"/>
            <w:vMerge w:val="restart"/>
            <w:tcBorders>
              <w:top w:val="single" w:color="auto"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1.5</w:t>
            </w:r>
          </w:p>
        </w:tc>
        <w:tc>
          <w:tcPr>
            <w:tcW w:w="2257" w:type="dxa"/>
            <w:vMerge w:val="restart"/>
            <w:tcBorders>
              <w:top w:val="single" w:color="auto"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项目立项是否符合法律法规、相关政策、发展规划以及部门职责，用以反映和考核项目立项依据情况。</w:t>
            </w:r>
          </w:p>
        </w:tc>
        <w:tc>
          <w:tcPr>
            <w:tcW w:w="5412" w:type="dxa"/>
            <w:tcBorders>
              <w:top w:val="single" w:color="auto"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kern w:val="0"/>
                <w:sz w:val="20"/>
                <w:szCs w:val="20"/>
                <w:lang w:bidi="ar"/>
              </w:rPr>
              <w:fldChar w:fldCharType="begin"/>
            </w:r>
            <w:r>
              <w:rPr>
                <w:rFonts w:hint="eastAsia" w:ascii="宋体" w:hAnsi="宋体" w:eastAsia="宋体" w:cs="宋体"/>
                <w:kern w:val="0"/>
                <w:sz w:val="20"/>
                <w:szCs w:val="20"/>
                <w:lang w:bidi="ar"/>
              </w:rPr>
              <w:instrText xml:space="preserve"> = 1 \* GB3 </w:instrText>
            </w:r>
            <w:r>
              <w:rPr>
                <w:rFonts w:hint="eastAsia" w:ascii="宋体" w:hAnsi="宋体" w:eastAsia="宋体" w:cs="宋体"/>
                <w:kern w:val="0"/>
                <w:sz w:val="20"/>
                <w:szCs w:val="20"/>
                <w:lang w:bidi="ar"/>
              </w:rPr>
              <w:fldChar w:fldCharType="separate"/>
            </w:r>
            <w:r>
              <w:rPr>
                <w:rFonts w:hint="eastAsia" w:ascii="宋体" w:hAnsi="宋体" w:eastAsia="宋体" w:cs="宋体"/>
                <w:kern w:val="0"/>
                <w:sz w:val="20"/>
                <w:szCs w:val="20"/>
                <w:lang w:bidi="ar"/>
              </w:rPr>
              <w:t>①</w:t>
            </w:r>
            <w:r>
              <w:rPr>
                <w:rFonts w:hint="eastAsia" w:ascii="宋体" w:hAnsi="宋体" w:eastAsia="宋体" w:cs="宋体"/>
                <w:kern w:val="0"/>
                <w:sz w:val="20"/>
                <w:szCs w:val="20"/>
                <w:lang w:bidi="ar"/>
              </w:rPr>
              <w:fldChar w:fldCharType="end"/>
            </w:r>
            <w:r>
              <w:rPr>
                <w:rFonts w:hint="eastAsia" w:ascii="宋体" w:hAnsi="宋体" w:eastAsia="宋体" w:cs="宋体"/>
                <w:kern w:val="0"/>
                <w:sz w:val="20"/>
                <w:szCs w:val="20"/>
                <w:lang w:bidi="ar"/>
              </w:rPr>
              <w:t>项目立项是否符合国家法律法规、国民经济发展规划和相关政策；</w:t>
            </w:r>
          </w:p>
        </w:tc>
        <w:tc>
          <w:tcPr>
            <w:tcW w:w="828" w:type="dxa"/>
            <w:vMerge w:val="restart"/>
            <w:tcBorders>
              <w:top w:val="single" w:color="auto"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rPr>
              <w:t>1.5</w:t>
            </w:r>
            <w:r>
              <w:rPr>
                <w:rFonts w:hint="eastAsia" w:ascii="宋体" w:hAnsi="宋体" w:eastAsia="宋体" w:cs="宋体"/>
                <w:sz w:val="20"/>
                <w:szCs w:val="20"/>
                <w:lang w:val="en-US" w:eastAsia="zh-CN"/>
              </w:rPr>
              <w:t>0</w:t>
            </w:r>
          </w:p>
        </w:tc>
        <w:tc>
          <w:tcPr>
            <w:tcW w:w="2112" w:type="dxa"/>
            <w:vMerge w:val="restart"/>
            <w:tcBorders>
              <w:top w:val="single" w:color="auto"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633"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②项目立项是否符合行业发展规划和政策要求；</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557"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③项目立项是否与部门职责范围相符，属于部门履职所需；</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751"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④项目是否属于公共财政支持范围，是否符合中央、地方事权支出责任划分原则；</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504"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⑤项目是否与相关部门同类项目或部门内部相关项目重复。</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61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立项程序规范性</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1.5</w:t>
            </w:r>
          </w:p>
        </w:tc>
        <w:tc>
          <w:tcPr>
            <w:tcW w:w="225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项目申请、设立过程是否符合相关要求，用以反映和考核项目立项的规范情况。</w:t>
            </w: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fldChar w:fldCharType="begin"/>
            </w:r>
            <w:r>
              <w:rPr>
                <w:rFonts w:hint="eastAsia" w:ascii="宋体" w:hAnsi="宋体" w:eastAsia="宋体" w:cs="宋体"/>
                <w:color w:val="000000"/>
                <w:kern w:val="0"/>
                <w:sz w:val="20"/>
                <w:szCs w:val="20"/>
                <w:lang w:bidi="ar"/>
              </w:rPr>
              <w:instrText xml:space="preserve"> = 1 \* GB3 </w:instrText>
            </w:r>
            <w:r>
              <w:rPr>
                <w:rFonts w:hint="eastAsia" w:ascii="宋体" w:hAnsi="宋体" w:eastAsia="宋体" w:cs="宋体"/>
                <w:color w:val="000000"/>
                <w:kern w:val="0"/>
                <w:sz w:val="20"/>
                <w:szCs w:val="20"/>
                <w:lang w:bidi="ar"/>
              </w:rPr>
              <w:fldChar w:fldCharType="separate"/>
            </w:r>
            <w:r>
              <w:rPr>
                <w:rFonts w:hint="eastAsia" w:ascii="宋体" w:hAnsi="宋体" w:eastAsia="宋体" w:cs="宋体"/>
                <w:color w:val="000000"/>
                <w:kern w:val="0"/>
                <w:sz w:val="20"/>
                <w:szCs w:val="20"/>
                <w:lang w:bidi="ar"/>
              </w:rPr>
              <w:t>①</w:t>
            </w:r>
            <w:r>
              <w:rPr>
                <w:rFonts w:hint="eastAsia" w:ascii="宋体" w:hAnsi="宋体" w:eastAsia="宋体" w:cs="宋体"/>
                <w:color w:val="000000"/>
                <w:kern w:val="0"/>
                <w:sz w:val="20"/>
                <w:szCs w:val="20"/>
                <w:lang w:bidi="ar"/>
              </w:rPr>
              <w:fldChar w:fldCharType="end"/>
            </w:r>
            <w:r>
              <w:rPr>
                <w:rFonts w:hint="eastAsia" w:ascii="宋体" w:hAnsi="宋体" w:eastAsia="宋体" w:cs="宋体"/>
                <w:color w:val="000000"/>
                <w:kern w:val="0"/>
                <w:sz w:val="20"/>
                <w:szCs w:val="20"/>
                <w:lang w:bidi="ar"/>
              </w:rPr>
              <w:t>项目是否按照规定的程序申请设立；</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1.5</w:t>
            </w:r>
            <w:r>
              <w:rPr>
                <w:rFonts w:hint="eastAsia" w:ascii="宋体" w:hAnsi="宋体" w:eastAsia="宋体" w:cs="宋体"/>
                <w:color w:val="000000"/>
                <w:sz w:val="20"/>
                <w:szCs w:val="20"/>
                <w:lang w:val="en-US" w:eastAsia="zh-CN"/>
              </w:rPr>
              <w:t>0</w:t>
            </w:r>
          </w:p>
        </w:tc>
        <w:tc>
          <w:tcPr>
            <w:tcW w:w="21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34"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②审批文件、材料是否符合相关要求；</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812"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③事前是否已经过必要的可行性研究、专家论证、风险评估、绩效评估、集体决策。</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463"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绩效目标　</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绩效目标合理性</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1.5</w:t>
            </w:r>
          </w:p>
        </w:tc>
        <w:tc>
          <w:tcPr>
            <w:tcW w:w="225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项目设定的绩效目标是否依据充分，是否符合客观实际，用以反映和考核项目绩效目标与项目实施的相符情况。</w:t>
            </w: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（如未设定预算绩效目标，也可考核其他工作任务目标）</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rPr>
              <w:t>1.</w:t>
            </w:r>
            <w:r>
              <w:rPr>
                <w:rFonts w:hint="eastAsia" w:ascii="宋体" w:hAnsi="宋体" w:eastAsia="宋体" w:cs="宋体"/>
                <w:color w:val="000000"/>
                <w:sz w:val="20"/>
                <w:szCs w:val="20"/>
                <w:lang w:val="en-US" w:eastAsia="zh-CN"/>
              </w:rPr>
              <w:t>50</w:t>
            </w:r>
          </w:p>
        </w:tc>
        <w:tc>
          <w:tcPr>
            <w:tcW w:w="21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14"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①项目是否有绩效目标；</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705"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②项目绩效目标与实际工作内容是否具有相关性；</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544"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③项目预期产出效益和效果是否符合正常的业绩水平；</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553"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④是否与预算确定的项目投资额或资金量相匹配。</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58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绩效指标明确性</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1.5</w:t>
            </w:r>
          </w:p>
        </w:tc>
        <w:tc>
          <w:tcPr>
            <w:tcW w:w="225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依据绩效目标设定的绩效指标是否清晰、细化、可衡量等，用以反映和考核项目绩效目标的明细化情况。</w:t>
            </w: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fldChar w:fldCharType="begin"/>
            </w:r>
            <w:r>
              <w:rPr>
                <w:rFonts w:hint="eastAsia" w:ascii="宋体" w:hAnsi="宋体" w:eastAsia="宋体" w:cs="宋体"/>
                <w:color w:val="000000"/>
                <w:kern w:val="0"/>
                <w:sz w:val="20"/>
                <w:szCs w:val="20"/>
                <w:lang w:bidi="ar"/>
              </w:rPr>
              <w:instrText xml:space="preserve"> = 1 \* GB3 </w:instrText>
            </w:r>
            <w:r>
              <w:rPr>
                <w:rFonts w:hint="eastAsia" w:ascii="宋体" w:hAnsi="宋体" w:eastAsia="宋体" w:cs="宋体"/>
                <w:color w:val="000000"/>
                <w:kern w:val="0"/>
                <w:sz w:val="20"/>
                <w:szCs w:val="20"/>
                <w:lang w:bidi="ar"/>
              </w:rPr>
              <w:fldChar w:fldCharType="separate"/>
            </w:r>
            <w:r>
              <w:rPr>
                <w:rFonts w:hint="eastAsia" w:ascii="宋体" w:hAnsi="宋体" w:eastAsia="宋体" w:cs="宋体"/>
                <w:color w:val="000000"/>
                <w:kern w:val="0"/>
                <w:sz w:val="20"/>
                <w:szCs w:val="20"/>
                <w:lang w:bidi="ar"/>
              </w:rPr>
              <w:t>①</w:t>
            </w:r>
            <w:r>
              <w:rPr>
                <w:rFonts w:hint="eastAsia" w:ascii="宋体" w:hAnsi="宋体" w:eastAsia="宋体" w:cs="宋体"/>
                <w:color w:val="000000"/>
                <w:kern w:val="0"/>
                <w:sz w:val="20"/>
                <w:szCs w:val="20"/>
                <w:lang w:bidi="ar"/>
              </w:rPr>
              <w:fldChar w:fldCharType="end"/>
            </w:r>
            <w:r>
              <w:rPr>
                <w:rFonts w:hint="eastAsia" w:ascii="宋体" w:hAnsi="宋体" w:eastAsia="宋体" w:cs="宋体"/>
                <w:color w:val="000000"/>
                <w:kern w:val="0"/>
                <w:sz w:val="20"/>
                <w:szCs w:val="20"/>
                <w:lang w:bidi="ar"/>
              </w:rPr>
              <w:t>是否将项目绩效目标细化分解为具体的绩效指标；</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rPr>
              <w:t>1.</w:t>
            </w:r>
            <w:r>
              <w:rPr>
                <w:rFonts w:hint="eastAsia" w:ascii="宋体" w:hAnsi="宋体" w:eastAsia="宋体" w:cs="宋体"/>
                <w:color w:val="000000"/>
                <w:sz w:val="20"/>
                <w:szCs w:val="20"/>
                <w:lang w:val="en-US" w:eastAsia="zh-CN"/>
              </w:rPr>
              <w:t>00</w:t>
            </w:r>
          </w:p>
        </w:tc>
        <w:tc>
          <w:tcPr>
            <w:tcW w:w="21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kern w:val="0"/>
                <w:sz w:val="20"/>
                <w:szCs w:val="20"/>
                <w:lang w:val="en-US" w:eastAsia="zh-CN" w:bidi="ar"/>
              </w:rPr>
              <w:t>缺少社会效益指标、信访群众满意度指标；可持续影响指标设置错误。</w:t>
            </w:r>
          </w:p>
        </w:tc>
      </w:tr>
      <w:tr>
        <w:tblPrEx>
          <w:tblCellMar>
            <w:top w:w="0" w:type="dxa"/>
            <w:left w:w="108" w:type="dxa"/>
            <w:bottom w:w="0" w:type="dxa"/>
            <w:right w:w="108" w:type="dxa"/>
          </w:tblCellMar>
        </w:tblPrEx>
        <w:trPr>
          <w:trHeight w:val="56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②是否通过清晰、可衡量的指标值予以体现；</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463"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③是否与项目目标任务数或计划数相对应。</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55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资金投入</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预算编制科学性</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225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项目预算编制是否经过科学论证、有明确标准，资金额度与年度目标是否相适应，用以反映和考核项目预算编制的科学性、合理性情况。</w:t>
            </w: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fldChar w:fldCharType="begin"/>
            </w:r>
            <w:r>
              <w:rPr>
                <w:rFonts w:hint="eastAsia" w:ascii="宋体" w:hAnsi="宋体" w:eastAsia="宋体" w:cs="宋体"/>
                <w:color w:val="000000"/>
                <w:kern w:val="0"/>
                <w:sz w:val="20"/>
                <w:szCs w:val="20"/>
                <w:lang w:bidi="ar"/>
              </w:rPr>
              <w:instrText xml:space="preserve"> = 1 \* GB3 </w:instrText>
            </w:r>
            <w:r>
              <w:rPr>
                <w:rFonts w:hint="eastAsia" w:ascii="宋体" w:hAnsi="宋体" w:eastAsia="宋体" w:cs="宋体"/>
                <w:color w:val="000000"/>
                <w:kern w:val="0"/>
                <w:sz w:val="20"/>
                <w:szCs w:val="20"/>
                <w:lang w:bidi="ar"/>
              </w:rPr>
              <w:fldChar w:fldCharType="separate"/>
            </w:r>
            <w:r>
              <w:rPr>
                <w:rFonts w:hint="eastAsia" w:ascii="宋体" w:hAnsi="宋体" w:eastAsia="宋体" w:cs="宋体"/>
                <w:color w:val="000000"/>
                <w:kern w:val="0"/>
                <w:sz w:val="20"/>
                <w:szCs w:val="20"/>
                <w:lang w:bidi="ar"/>
              </w:rPr>
              <w:t>①</w:t>
            </w:r>
            <w:r>
              <w:rPr>
                <w:rFonts w:hint="eastAsia" w:ascii="宋体" w:hAnsi="宋体" w:eastAsia="宋体" w:cs="宋体"/>
                <w:color w:val="000000"/>
                <w:kern w:val="0"/>
                <w:sz w:val="20"/>
                <w:szCs w:val="20"/>
                <w:lang w:bidi="ar"/>
              </w:rPr>
              <w:fldChar w:fldCharType="end"/>
            </w:r>
            <w:r>
              <w:rPr>
                <w:rFonts w:hint="eastAsia" w:ascii="宋体" w:hAnsi="宋体" w:eastAsia="宋体" w:cs="宋体"/>
                <w:color w:val="000000"/>
                <w:kern w:val="0"/>
                <w:sz w:val="20"/>
                <w:szCs w:val="20"/>
                <w:lang w:bidi="ar"/>
              </w:rPr>
              <w:t>预算编制是否经过科学论证；</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2.00</w:t>
            </w:r>
          </w:p>
        </w:tc>
        <w:tc>
          <w:tcPr>
            <w:tcW w:w="21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72"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②预算内容与项目内容是否匹配；</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552"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③预算额度测算依据是否充分，是否按照标准编制；</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56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④预算确定的项目投资额或资金量是否与工作任务相匹配。</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748"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资金分配合理性</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225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项目预算资金分配是否有测算依据，与补助单位或地方实际是否相适应，用以反映和考核项目预算资金分配的科学性、合理性情况。</w:t>
            </w: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fldChar w:fldCharType="begin"/>
            </w:r>
            <w:r>
              <w:rPr>
                <w:rFonts w:hint="eastAsia" w:ascii="宋体" w:hAnsi="宋体" w:eastAsia="宋体" w:cs="宋体"/>
                <w:color w:val="000000"/>
                <w:kern w:val="0"/>
                <w:sz w:val="20"/>
                <w:szCs w:val="20"/>
                <w:lang w:bidi="ar"/>
              </w:rPr>
              <w:instrText xml:space="preserve"> = 1 \* GB3 </w:instrText>
            </w:r>
            <w:r>
              <w:rPr>
                <w:rFonts w:hint="eastAsia" w:ascii="宋体" w:hAnsi="宋体" w:eastAsia="宋体" w:cs="宋体"/>
                <w:color w:val="000000"/>
                <w:kern w:val="0"/>
                <w:sz w:val="20"/>
                <w:szCs w:val="20"/>
                <w:lang w:bidi="ar"/>
              </w:rPr>
              <w:fldChar w:fldCharType="separate"/>
            </w:r>
            <w:r>
              <w:rPr>
                <w:rFonts w:hint="eastAsia" w:ascii="宋体" w:hAnsi="宋体" w:eastAsia="宋体" w:cs="宋体"/>
                <w:color w:val="000000"/>
                <w:kern w:val="0"/>
                <w:sz w:val="20"/>
                <w:szCs w:val="20"/>
                <w:lang w:bidi="ar"/>
              </w:rPr>
              <w:t>①</w:t>
            </w:r>
            <w:r>
              <w:rPr>
                <w:rFonts w:hint="eastAsia" w:ascii="宋体" w:hAnsi="宋体" w:eastAsia="宋体" w:cs="宋体"/>
                <w:color w:val="000000"/>
                <w:kern w:val="0"/>
                <w:sz w:val="20"/>
                <w:szCs w:val="20"/>
                <w:lang w:bidi="ar"/>
              </w:rPr>
              <w:fldChar w:fldCharType="end"/>
            </w:r>
            <w:r>
              <w:rPr>
                <w:rFonts w:hint="eastAsia" w:ascii="宋体" w:hAnsi="宋体" w:eastAsia="宋体" w:cs="宋体"/>
                <w:color w:val="000000"/>
                <w:kern w:val="0"/>
                <w:sz w:val="20"/>
                <w:szCs w:val="20"/>
                <w:lang w:bidi="ar"/>
              </w:rPr>
              <w:t>资金分配依据是否充分；</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2.00</w:t>
            </w:r>
          </w:p>
        </w:tc>
        <w:tc>
          <w:tcPr>
            <w:tcW w:w="21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844" w:hRule="atLeast"/>
        </w:trPr>
        <w:tc>
          <w:tcPr>
            <w:tcW w:w="648"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auto"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②资金分配额度是否合理，与项目单位或地方实际是否相适应。</w:t>
            </w:r>
          </w:p>
        </w:tc>
        <w:tc>
          <w:tcPr>
            <w:tcW w:w="828"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833" w:hRule="atLeast"/>
        </w:trPr>
        <w:tc>
          <w:tcPr>
            <w:tcW w:w="6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过程</w:t>
            </w:r>
          </w:p>
        </w:tc>
        <w:tc>
          <w:tcPr>
            <w:tcW w:w="74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资金管理</w:t>
            </w:r>
          </w:p>
        </w:tc>
        <w:tc>
          <w:tcPr>
            <w:tcW w:w="60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kern w:val="0"/>
                <w:sz w:val="20"/>
                <w:szCs w:val="20"/>
                <w:lang w:val="en-US" w:eastAsia="zh-CN" w:bidi="ar"/>
              </w:rPr>
              <w:t>8</w:t>
            </w:r>
          </w:p>
        </w:tc>
        <w:tc>
          <w:tcPr>
            <w:tcW w:w="79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资金到位率</w:t>
            </w:r>
          </w:p>
        </w:tc>
        <w:tc>
          <w:tcPr>
            <w:tcW w:w="58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225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实际到位资金与预算资金的比率，用以反映和考核资金落实情况对项目实施的总体保障程度。</w:t>
            </w:r>
          </w:p>
        </w:tc>
        <w:tc>
          <w:tcPr>
            <w:tcW w:w="541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资金到位率=（实际到位资金/预算资金）×100%。</w:t>
            </w:r>
          </w:p>
        </w:tc>
        <w:tc>
          <w:tcPr>
            <w:tcW w:w="82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rPr>
              <w:t>2.</w:t>
            </w:r>
            <w:r>
              <w:rPr>
                <w:rFonts w:hint="eastAsia" w:ascii="宋体" w:hAnsi="宋体" w:eastAsia="宋体" w:cs="宋体"/>
                <w:color w:val="000000"/>
                <w:sz w:val="20"/>
                <w:szCs w:val="20"/>
                <w:lang w:val="en-US" w:eastAsia="zh-CN"/>
              </w:rPr>
              <w:t>00</w:t>
            </w:r>
          </w:p>
        </w:tc>
        <w:tc>
          <w:tcPr>
            <w:tcW w:w="211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843" w:hRule="atLeast"/>
        </w:trPr>
        <w:tc>
          <w:tcPr>
            <w:tcW w:w="648" w:type="dxa"/>
            <w:vMerge w:val="continue"/>
            <w:tcBorders>
              <w:top w:val="single" w:color="auto"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auto"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auto"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auto"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auto"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auto"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auto"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实际到位资金：一定时期（本年度或项目期）内落实到具体项目的资金。</w:t>
            </w:r>
          </w:p>
        </w:tc>
        <w:tc>
          <w:tcPr>
            <w:tcW w:w="828" w:type="dxa"/>
            <w:vMerge w:val="continue"/>
            <w:tcBorders>
              <w:top w:val="single" w:color="auto"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auto"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833"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预算资金：一定时期（本年度或项目期）内预算安排到具体项目的资金。</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854"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预算执行率</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225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项目预算资金是否按照计划执行，用以反映或考核项目预算执行情况。</w:t>
            </w: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预算执行率=（实际支出资金/实际到位资金）×100%。</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val="en-US" w:eastAsia="zh-CN"/>
              </w:rPr>
              <w:t>1.97</w:t>
            </w:r>
          </w:p>
        </w:tc>
        <w:tc>
          <w:tcPr>
            <w:tcW w:w="21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eastAsia" w:ascii="宋体" w:hAnsi="宋体" w:eastAsia="宋体" w:cs="宋体"/>
                <w:color w:val="000000"/>
                <w:sz w:val="20"/>
                <w:szCs w:val="20"/>
                <w:lang w:eastAsia="zh-CN"/>
              </w:rPr>
            </w:pPr>
            <w:r>
              <w:rPr>
                <w:rFonts w:hint="eastAsia" w:ascii="宋体" w:hAnsi="宋体" w:eastAsia="宋体" w:cs="宋体"/>
                <w:color w:val="000000"/>
                <w:kern w:val="0"/>
                <w:sz w:val="20"/>
                <w:szCs w:val="20"/>
                <w:lang w:bidi="ar"/>
              </w:rPr>
              <w:t>项目资金结余8.21万元</w:t>
            </w:r>
            <w:r>
              <w:rPr>
                <w:rFonts w:hint="eastAsia" w:ascii="宋体" w:hAnsi="宋体" w:eastAsia="宋体" w:cs="宋体"/>
                <w:color w:val="000000"/>
                <w:kern w:val="0"/>
                <w:sz w:val="20"/>
                <w:szCs w:val="20"/>
                <w:lang w:eastAsia="zh-CN" w:bidi="ar"/>
              </w:rPr>
              <w:t>。</w:t>
            </w:r>
          </w:p>
        </w:tc>
      </w:tr>
      <w:tr>
        <w:tblPrEx>
          <w:tblCellMar>
            <w:top w:w="0" w:type="dxa"/>
            <w:left w:w="108" w:type="dxa"/>
            <w:bottom w:w="0" w:type="dxa"/>
            <w:right w:w="108" w:type="dxa"/>
          </w:tblCellMar>
        </w:tblPrEx>
        <w:trPr>
          <w:trHeight w:val="838"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实际支出资金：一定时期（本年度或项目期）内项目实际拨付的资金。</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751"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资金使用合规性</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kern w:val="0"/>
                <w:sz w:val="20"/>
                <w:szCs w:val="20"/>
                <w:lang w:val="en-US" w:eastAsia="zh-CN" w:bidi="ar"/>
              </w:rPr>
              <w:t>4</w:t>
            </w:r>
          </w:p>
        </w:tc>
        <w:tc>
          <w:tcPr>
            <w:tcW w:w="225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项目资金使用是否符合相关的财务管理制度规定，用以反映和考核项目资金的规范运行情况。</w:t>
            </w: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①是否符合国家财经法规和财务管理制度以及有关专项资金管理办法的规定；</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val="en-US" w:eastAsia="zh-CN"/>
              </w:rPr>
              <w:t>4.00</w:t>
            </w:r>
          </w:p>
        </w:tc>
        <w:tc>
          <w:tcPr>
            <w:tcW w:w="21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96"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②资金的拨付是否有完整的审批程序和手续；</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548"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③是否符合项目预算批复或合同规定的用途；</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57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④是否存在截留、挤占、挪用、虚列支出等情况。</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975"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组织实施</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kern w:val="0"/>
                <w:sz w:val="20"/>
                <w:szCs w:val="20"/>
                <w:lang w:bidi="ar"/>
              </w:rPr>
              <w:t>1</w:t>
            </w:r>
            <w:r>
              <w:rPr>
                <w:rFonts w:hint="eastAsia" w:ascii="宋体" w:hAnsi="宋体" w:eastAsia="宋体" w:cs="宋体"/>
                <w:color w:val="000000"/>
                <w:kern w:val="0"/>
                <w:sz w:val="20"/>
                <w:szCs w:val="20"/>
                <w:lang w:val="en-US" w:eastAsia="zh-CN" w:bidi="ar"/>
              </w:rPr>
              <w:t>2</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管理制度健全性</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kern w:val="0"/>
                <w:sz w:val="20"/>
                <w:szCs w:val="20"/>
                <w:lang w:val="en-US" w:eastAsia="zh-CN" w:bidi="ar"/>
              </w:rPr>
              <w:t>4</w:t>
            </w:r>
          </w:p>
        </w:tc>
        <w:tc>
          <w:tcPr>
            <w:tcW w:w="225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项目实施单位的财务和业务管理制度是否健全，用以反映和考核财务和业务管理制度对项目顺利实施的保障情况。</w:t>
            </w: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fldChar w:fldCharType="begin"/>
            </w:r>
            <w:r>
              <w:rPr>
                <w:rFonts w:hint="eastAsia" w:ascii="宋体" w:hAnsi="宋体" w:eastAsia="宋体" w:cs="宋体"/>
                <w:color w:val="000000"/>
                <w:kern w:val="0"/>
                <w:sz w:val="20"/>
                <w:szCs w:val="20"/>
                <w:lang w:bidi="ar"/>
              </w:rPr>
              <w:instrText xml:space="preserve"> = 1 \* GB3 </w:instrText>
            </w:r>
            <w:r>
              <w:rPr>
                <w:rFonts w:hint="eastAsia" w:ascii="宋体" w:hAnsi="宋体" w:eastAsia="宋体" w:cs="宋体"/>
                <w:color w:val="000000"/>
                <w:kern w:val="0"/>
                <w:sz w:val="20"/>
                <w:szCs w:val="20"/>
                <w:lang w:bidi="ar"/>
              </w:rPr>
              <w:fldChar w:fldCharType="separate"/>
            </w:r>
            <w:r>
              <w:rPr>
                <w:rFonts w:hint="eastAsia" w:ascii="宋体" w:hAnsi="宋体" w:eastAsia="宋体" w:cs="宋体"/>
                <w:color w:val="000000"/>
                <w:kern w:val="0"/>
                <w:sz w:val="20"/>
                <w:szCs w:val="20"/>
                <w:lang w:bidi="ar"/>
              </w:rPr>
              <w:t>①</w:t>
            </w:r>
            <w:r>
              <w:rPr>
                <w:rFonts w:hint="eastAsia" w:ascii="宋体" w:hAnsi="宋体" w:eastAsia="宋体" w:cs="宋体"/>
                <w:color w:val="000000"/>
                <w:kern w:val="0"/>
                <w:sz w:val="20"/>
                <w:szCs w:val="20"/>
                <w:lang w:bidi="ar"/>
              </w:rPr>
              <w:fldChar w:fldCharType="end"/>
            </w:r>
            <w:r>
              <w:rPr>
                <w:rFonts w:hint="eastAsia" w:ascii="宋体" w:hAnsi="宋体" w:eastAsia="宋体" w:cs="宋体"/>
                <w:color w:val="000000"/>
                <w:kern w:val="0"/>
                <w:sz w:val="20"/>
                <w:szCs w:val="20"/>
                <w:lang w:bidi="ar"/>
              </w:rPr>
              <w:t>是否已制定或具有相应的财务和业务管理制度；</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val="en-US" w:eastAsia="zh-CN"/>
              </w:rPr>
              <w:t>4.00</w:t>
            </w:r>
          </w:p>
        </w:tc>
        <w:tc>
          <w:tcPr>
            <w:tcW w:w="21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984"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②财务和业务管理制度是否合法、合规、完整。</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833"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制度执行有效性</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kern w:val="0"/>
                <w:sz w:val="20"/>
                <w:szCs w:val="20"/>
                <w:lang w:val="en-US" w:eastAsia="zh-CN" w:bidi="ar"/>
              </w:rPr>
              <w:t>8</w:t>
            </w:r>
          </w:p>
        </w:tc>
        <w:tc>
          <w:tcPr>
            <w:tcW w:w="225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项目实施是否符合相关管理规定，用以反映和考核相关管理制度的有效执行情况。</w:t>
            </w: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fldChar w:fldCharType="begin"/>
            </w:r>
            <w:r>
              <w:rPr>
                <w:rFonts w:hint="eastAsia" w:ascii="宋体" w:hAnsi="宋体" w:eastAsia="宋体" w:cs="宋体"/>
                <w:color w:val="000000"/>
                <w:kern w:val="0"/>
                <w:sz w:val="20"/>
                <w:szCs w:val="20"/>
                <w:lang w:bidi="ar"/>
              </w:rPr>
              <w:instrText xml:space="preserve"> = 1 \* GB3 </w:instrText>
            </w:r>
            <w:r>
              <w:rPr>
                <w:rFonts w:hint="eastAsia" w:ascii="宋体" w:hAnsi="宋体" w:eastAsia="宋体" w:cs="宋体"/>
                <w:color w:val="000000"/>
                <w:kern w:val="0"/>
                <w:sz w:val="20"/>
                <w:szCs w:val="20"/>
                <w:lang w:bidi="ar"/>
              </w:rPr>
              <w:fldChar w:fldCharType="separate"/>
            </w:r>
            <w:r>
              <w:rPr>
                <w:rFonts w:hint="eastAsia" w:ascii="宋体" w:hAnsi="宋体" w:eastAsia="宋体" w:cs="宋体"/>
                <w:color w:val="000000"/>
                <w:kern w:val="0"/>
                <w:sz w:val="20"/>
                <w:szCs w:val="20"/>
                <w:lang w:bidi="ar"/>
              </w:rPr>
              <w:t>①</w:t>
            </w:r>
            <w:r>
              <w:rPr>
                <w:rFonts w:hint="eastAsia" w:ascii="宋体" w:hAnsi="宋体" w:eastAsia="宋体" w:cs="宋体"/>
                <w:color w:val="000000"/>
                <w:kern w:val="0"/>
                <w:sz w:val="20"/>
                <w:szCs w:val="20"/>
                <w:lang w:bidi="ar"/>
              </w:rPr>
              <w:fldChar w:fldCharType="end"/>
            </w:r>
            <w:r>
              <w:rPr>
                <w:rFonts w:hint="eastAsia" w:ascii="宋体" w:hAnsi="宋体" w:eastAsia="宋体" w:cs="宋体"/>
                <w:color w:val="000000"/>
                <w:kern w:val="0"/>
                <w:sz w:val="20"/>
                <w:szCs w:val="20"/>
                <w:lang w:bidi="ar"/>
              </w:rPr>
              <w:t>是否遵守相关法律法规和相关管理规定；</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val="en-US" w:eastAsia="zh-CN"/>
              </w:rPr>
              <w:t>5.00</w:t>
            </w:r>
          </w:p>
        </w:tc>
        <w:tc>
          <w:tcPr>
            <w:tcW w:w="21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numPr>
                <w:ilvl w:val="0"/>
                <w:numId w:val="1"/>
              </w:numPr>
              <w:jc w:val="left"/>
              <w:textAlignment w:val="center"/>
              <w:rPr>
                <w:rFonts w:hint="eastAsia" w:ascii="宋体" w:hAnsi="宋体" w:eastAsia="宋体" w:cs="宋体"/>
                <w:color w:val="000000"/>
                <w:kern w:val="0"/>
                <w:sz w:val="20"/>
                <w:szCs w:val="20"/>
                <w:lang w:eastAsia="zh-CN" w:bidi="ar"/>
              </w:rPr>
            </w:pPr>
            <w:r>
              <w:rPr>
                <w:rFonts w:hint="eastAsia" w:ascii="宋体" w:hAnsi="宋体" w:eastAsia="宋体" w:cs="宋体"/>
                <w:color w:val="000000"/>
                <w:kern w:val="0"/>
                <w:sz w:val="20"/>
                <w:szCs w:val="20"/>
                <w:lang w:bidi="ar"/>
              </w:rPr>
              <w:t>合同管理不规范</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bidi="ar"/>
              </w:rPr>
              <w:t>先开展工作后签订合同</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合同未执行完毕支付尾款</w:t>
            </w:r>
            <w:r>
              <w:rPr>
                <w:rFonts w:hint="eastAsia" w:ascii="宋体" w:hAnsi="宋体" w:eastAsia="宋体" w:cs="宋体"/>
                <w:color w:val="000000"/>
                <w:kern w:val="0"/>
                <w:sz w:val="20"/>
                <w:szCs w:val="20"/>
                <w:lang w:eastAsia="zh-CN" w:bidi="ar"/>
              </w:rPr>
              <w:t>。</w:t>
            </w:r>
          </w:p>
          <w:p>
            <w:pPr>
              <w:widowControl/>
              <w:numPr>
                <w:ilvl w:val="0"/>
                <w:numId w:val="1"/>
              </w:numPr>
              <w:jc w:val="left"/>
              <w:textAlignment w:val="center"/>
              <w:rPr>
                <w:rFonts w:hint="eastAsia" w:ascii="宋体" w:hAnsi="宋体" w:eastAsia="宋体" w:cs="宋体"/>
                <w:color w:val="000000"/>
                <w:kern w:val="0"/>
                <w:sz w:val="20"/>
                <w:szCs w:val="20"/>
                <w:lang w:eastAsia="zh-CN" w:bidi="ar"/>
              </w:rPr>
            </w:pPr>
            <w:r>
              <w:rPr>
                <w:rFonts w:hint="eastAsia" w:ascii="宋体" w:hAnsi="宋体" w:eastAsia="宋体" w:cs="宋体"/>
                <w:color w:val="000000"/>
                <w:kern w:val="0"/>
                <w:sz w:val="20"/>
                <w:szCs w:val="20"/>
                <w:lang w:val="en-US" w:eastAsia="zh-CN" w:bidi="ar"/>
              </w:rPr>
              <w:t>招标</w:t>
            </w:r>
            <w:r>
              <w:rPr>
                <w:rFonts w:hint="eastAsia" w:ascii="宋体" w:hAnsi="宋体" w:eastAsia="宋体" w:cs="宋体"/>
                <w:color w:val="000000"/>
                <w:kern w:val="0"/>
                <w:sz w:val="20"/>
                <w:szCs w:val="20"/>
                <w:lang w:bidi="ar"/>
              </w:rPr>
              <w:t>管理不规范</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bidi="ar"/>
              </w:rPr>
              <w:t>先开展工作后</w:t>
            </w:r>
            <w:r>
              <w:rPr>
                <w:rFonts w:hint="eastAsia" w:ascii="宋体" w:hAnsi="宋体" w:eastAsia="宋体" w:cs="宋体"/>
                <w:color w:val="000000"/>
                <w:kern w:val="0"/>
                <w:sz w:val="20"/>
                <w:szCs w:val="20"/>
                <w:lang w:val="en-US" w:eastAsia="zh-CN" w:bidi="ar"/>
              </w:rPr>
              <w:t>组织招标</w:t>
            </w:r>
            <w:r>
              <w:rPr>
                <w:rFonts w:hint="eastAsia" w:ascii="宋体" w:hAnsi="宋体" w:eastAsia="宋体" w:cs="宋体"/>
                <w:color w:val="000000"/>
                <w:kern w:val="0"/>
                <w:sz w:val="20"/>
                <w:szCs w:val="20"/>
                <w:lang w:eastAsia="zh-CN" w:bidi="ar"/>
              </w:rPr>
              <w:t>。</w:t>
            </w:r>
          </w:p>
        </w:tc>
      </w:tr>
      <w:tr>
        <w:tblPrEx>
          <w:tblCellMar>
            <w:top w:w="0" w:type="dxa"/>
            <w:left w:w="108" w:type="dxa"/>
            <w:bottom w:w="0" w:type="dxa"/>
            <w:right w:w="108" w:type="dxa"/>
          </w:tblCellMar>
        </w:tblPrEx>
        <w:trPr>
          <w:trHeight w:val="713"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②项目调整及支出调整手续是否完备；</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697"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③项目合同书、验收报告、技术鉴定等资料是否齐全并及时归档；</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692"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④项目实施的人员条件、场地设备、信息支撑等是否落实到位。</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844" w:hRule="atLeast"/>
        </w:trPr>
        <w:tc>
          <w:tcPr>
            <w:tcW w:w="64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产出</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产出数量</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12</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实际完成率</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12</w:t>
            </w:r>
          </w:p>
        </w:tc>
        <w:tc>
          <w:tcPr>
            <w:tcW w:w="225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项目实施的实际产出数与计划产出数的比率，用以反映和考核项目产出数量目标的实现程度。</w:t>
            </w: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实际完成率=（实际产出数/计划产出数）×100%。</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12.00</w:t>
            </w:r>
          </w:p>
        </w:tc>
        <w:tc>
          <w:tcPr>
            <w:tcW w:w="21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982"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实际产出数：一定时期（本年度或项目期）内项目实际产出的产品或提供的服务数量。</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1105"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计划产出数：项目绩效目标确定的在一定时期（本年度或项目期）内计划产出的产品或提供的服务数量。</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846"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产出质量</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12</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质量达标率</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12</w:t>
            </w:r>
          </w:p>
        </w:tc>
        <w:tc>
          <w:tcPr>
            <w:tcW w:w="225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项目完成的质量达标产出数与实际产出数的比率，用以反映和考核项目产出质量目标的实现程度。</w:t>
            </w: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质量达标率=（质量达标产出数/实际产出数）×100%。</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rPr>
              <w:t>1</w:t>
            </w:r>
            <w:r>
              <w:rPr>
                <w:rFonts w:hint="eastAsia" w:ascii="宋体" w:hAnsi="宋体" w:eastAsia="宋体" w:cs="宋体"/>
                <w:color w:val="000000"/>
                <w:sz w:val="20"/>
                <w:szCs w:val="20"/>
                <w:lang w:val="en-US" w:eastAsia="zh-CN"/>
              </w:rPr>
              <w:t>2.00</w:t>
            </w:r>
          </w:p>
        </w:tc>
        <w:tc>
          <w:tcPr>
            <w:tcW w:w="21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1550"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691"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产出时效</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8</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完成及时性</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8</w:t>
            </w:r>
          </w:p>
        </w:tc>
        <w:tc>
          <w:tcPr>
            <w:tcW w:w="225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项目实际完成时间与计划完成时间的比较，用以反映和考核项目产出时效目标的实现程度。</w:t>
            </w: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实际完成时间：项目实施单位完成该项目实际所耗用的时间。</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val="en-US" w:eastAsia="zh-CN"/>
              </w:rPr>
              <w:t>8.00</w:t>
            </w:r>
          </w:p>
        </w:tc>
        <w:tc>
          <w:tcPr>
            <w:tcW w:w="21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843"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计划完成时间：按照项目实施计划或相关规定完成该项目所需的时间。</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713"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产出成本</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8</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成本节约率</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8</w:t>
            </w:r>
          </w:p>
        </w:tc>
        <w:tc>
          <w:tcPr>
            <w:tcW w:w="225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完成项目计划工作目标的实际节约成本与计划成本的比率，用以反映和考核项目的成本节约程度。</w:t>
            </w: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成本节约率=[（计划成本-实际成本）/计划成本]×100%。</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val="en-US" w:eastAsia="zh-CN"/>
              </w:rPr>
              <w:t>8.00</w:t>
            </w:r>
          </w:p>
        </w:tc>
        <w:tc>
          <w:tcPr>
            <w:tcW w:w="21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964"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实际成本：项目实施单位如期、保质、保量完成既定工作目标实际所耗费的支出。</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849"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25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计划成本：项目实施单位为完成工作目标计划安排的支出，一般以项目预算为参考。</w:t>
            </w: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ascii="宋体" w:hAnsi="宋体" w:eastAsia="宋体" w:cs="宋体"/>
                <w:color w:val="000000"/>
                <w:sz w:val="20"/>
                <w:szCs w:val="20"/>
              </w:rPr>
            </w:pPr>
          </w:p>
        </w:tc>
      </w:tr>
      <w:tr>
        <w:tblPrEx>
          <w:tblCellMar>
            <w:top w:w="0" w:type="dxa"/>
            <w:left w:w="108" w:type="dxa"/>
            <w:bottom w:w="0" w:type="dxa"/>
            <w:right w:w="108" w:type="dxa"/>
          </w:tblCellMar>
        </w:tblPrEx>
        <w:trPr>
          <w:trHeight w:val="1117" w:hRule="atLeast"/>
        </w:trPr>
        <w:tc>
          <w:tcPr>
            <w:tcW w:w="64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效益　</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项目效益　</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30</w:t>
            </w:r>
          </w:p>
        </w:tc>
        <w:tc>
          <w:tcPr>
            <w:tcW w:w="7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实施效益</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w:t>
            </w:r>
          </w:p>
        </w:tc>
        <w:tc>
          <w:tcPr>
            <w:tcW w:w="22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项目实施所产生的效益。</w:t>
            </w: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项目实施所产生的社会效益、经济效益、生态效益、可持续影响等。可根据项目实际情况有选择地设置和细化。</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val="en-US" w:eastAsia="zh-CN"/>
              </w:rPr>
              <w:t>18.50</w:t>
            </w:r>
          </w:p>
        </w:tc>
        <w:tc>
          <w:tcPr>
            <w:tcW w:w="21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个别印证性材料不足</w:t>
            </w:r>
          </w:p>
        </w:tc>
      </w:tr>
      <w:tr>
        <w:tblPrEx>
          <w:tblCellMar>
            <w:top w:w="0" w:type="dxa"/>
            <w:left w:w="108" w:type="dxa"/>
            <w:bottom w:w="0" w:type="dxa"/>
            <w:right w:w="108" w:type="dxa"/>
          </w:tblCellMar>
        </w:tblPrEx>
        <w:trPr>
          <w:trHeight w:val="1133"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宋体" w:hAnsi="宋体" w:eastAsia="宋体" w:cs="宋体"/>
                <w:color w:val="000000"/>
                <w:sz w:val="20"/>
                <w:szCs w:val="20"/>
              </w:rPr>
            </w:pPr>
          </w:p>
        </w:tc>
        <w:tc>
          <w:tcPr>
            <w:tcW w:w="7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满意度</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10</w:t>
            </w:r>
          </w:p>
        </w:tc>
        <w:tc>
          <w:tcPr>
            <w:tcW w:w="22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社会公众或服务对象对项目实施效果的满意程度。</w:t>
            </w:r>
          </w:p>
        </w:tc>
        <w:tc>
          <w:tcPr>
            <w:tcW w:w="54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社会公众或服务对象是指因该项目实施而受到影响的部门（单位）、群体或个人。一般采取社会调查的方式。</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lang w:val="en-US" w:eastAsia="zh-CN"/>
              </w:rPr>
              <w:t>8.00</w:t>
            </w:r>
          </w:p>
        </w:tc>
        <w:tc>
          <w:tcPr>
            <w:tcW w:w="21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kern w:val="0"/>
                <w:sz w:val="20"/>
                <w:szCs w:val="20"/>
                <w:lang w:val="en-US" w:eastAsia="zh-CN" w:bidi="ar"/>
              </w:rPr>
              <w:t>未对使用系统的社会群众开展满意度调查</w:t>
            </w:r>
          </w:p>
        </w:tc>
      </w:tr>
      <w:tr>
        <w:tblPrEx>
          <w:tblCellMar>
            <w:top w:w="0" w:type="dxa"/>
            <w:left w:w="108" w:type="dxa"/>
            <w:bottom w:w="0" w:type="dxa"/>
            <w:right w:w="108" w:type="dxa"/>
          </w:tblCellMar>
        </w:tblPrEx>
        <w:trPr>
          <w:trHeight w:val="751" w:hRule="atLeast"/>
        </w:trPr>
        <w:tc>
          <w:tcPr>
            <w:tcW w:w="11041"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合计</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default" w:ascii="宋体" w:hAnsi="宋体" w:eastAsia="宋体" w:cs="宋体"/>
                <w:b/>
                <w:bCs/>
                <w:color w:val="000000"/>
                <w:sz w:val="20"/>
                <w:szCs w:val="20"/>
                <w:lang w:val="en-US" w:eastAsia="zh-CN"/>
              </w:rPr>
            </w:pPr>
            <w:r>
              <w:rPr>
                <w:rFonts w:hint="eastAsia" w:ascii="宋体" w:hAnsi="宋体" w:eastAsia="宋体" w:cs="宋体"/>
                <w:b/>
                <w:bCs/>
                <w:color w:val="000000"/>
                <w:sz w:val="20"/>
                <w:szCs w:val="20"/>
              </w:rPr>
              <w:t>92.</w:t>
            </w:r>
            <w:r>
              <w:rPr>
                <w:rFonts w:hint="eastAsia" w:ascii="宋体" w:hAnsi="宋体" w:eastAsia="宋体" w:cs="宋体"/>
                <w:b/>
                <w:bCs/>
                <w:color w:val="000000"/>
                <w:sz w:val="20"/>
                <w:szCs w:val="20"/>
                <w:lang w:val="en-US" w:eastAsia="zh-CN"/>
              </w:rPr>
              <w:t>97</w:t>
            </w:r>
          </w:p>
        </w:tc>
        <w:tc>
          <w:tcPr>
            <w:tcW w:w="21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eastAsia="宋体" w:cs="宋体"/>
                <w:b/>
                <w:bCs/>
                <w:color w:val="000000"/>
                <w:kern w:val="0"/>
                <w:sz w:val="20"/>
                <w:szCs w:val="20"/>
                <w:lang w:bidi="ar"/>
              </w:rPr>
            </w:pPr>
          </w:p>
        </w:tc>
      </w:tr>
    </w:tbl>
    <w:p>
      <w:pPr>
        <w:widowControl/>
        <w:jc w:val="left"/>
        <w:sectPr>
          <w:pgSz w:w="16838" w:h="11906" w:orient="landscape"/>
          <w:pgMar w:top="1588" w:right="1440" w:bottom="1474" w:left="1440" w:header="851" w:footer="851" w:gutter="0"/>
          <w:cols w:space="425" w:num="1"/>
          <w:docGrid w:type="linesAndChars" w:linePitch="312" w:charSpace="0"/>
        </w:sectPr>
      </w:pPr>
    </w:p>
    <w:p>
      <w:pPr>
        <w:widowControl/>
        <w:jc w:val="both"/>
        <w:outlineLvl w:val="0"/>
        <w:rPr>
          <w:rFonts w:asciiTheme="minorEastAsia" w:hAnsiTheme="minorEastAsia"/>
          <w:sz w:val="28"/>
          <w:szCs w:val="32"/>
        </w:rPr>
      </w:pPr>
    </w:p>
    <w:sectPr>
      <w:pgSz w:w="11906" w:h="16838"/>
      <w:pgMar w:top="1440" w:right="1474" w:bottom="1440" w:left="1588" w:header="851" w:footer="851"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2010601030101010101"/>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PAGE   \* MERGEFORMAT</w:instrText>
    </w:r>
    <w:r>
      <w:fldChar w:fldCharType="separate"/>
    </w:r>
    <w:r>
      <w:rPr>
        <w:lang w:val="zh-CN"/>
      </w:rPr>
      <w:t>23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tabs>
        <w:tab w:val="left" w:pos="660"/>
        <w:tab w:val="clear" w:pos="4153"/>
        <w:tab w:val="clear" w:pos="8306"/>
      </w:tabs>
      <w:jc w:val="both"/>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tabs>
        <w:tab w:val="left" w:pos="660"/>
        <w:tab w:val="left" w:pos="1005"/>
        <w:tab w:val="clear" w:pos="4153"/>
        <w:tab w:val="clear" w:pos="8306"/>
      </w:tabs>
      <w:ind w:firstLine="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tabs>
        <w:tab w:val="left" w:pos="660"/>
        <w:tab w:val="left" w:pos="1005"/>
        <w:tab w:val="clear" w:pos="4153"/>
        <w:tab w:val="clear" w:pos="8306"/>
      </w:tabs>
      <w:ind w:firstLine="36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77D0E8"/>
    <w:multiLevelType w:val="singleLevel"/>
    <w:tmpl w:val="4477D0E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mNGJhNTA2MWFhYmE1OGIyYzdkZWY1N2NlNmUzNWUifQ=="/>
  </w:docVars>
  <w:rsids>
    <w:rsidRoot w:val="00004F61"/>
    <w:rsid w:val="00001176"/>
    <w:rsid w:val="00002B8E"/>
    <w:rsid w:val="00002BBA"/>
    <w:rsid w:val="000037B4"/>
    <w:rsid w:val="00003A0B"/>
    <w:rsid w:val="00004139"/>
    <w:rsid w:val="00004F61"/>
    <w:rsid w:val="0000518E"/>
    <w:rsid w:val="00005782"/>
    <w:rsid w:val="000068E0"/>
    <w:rsid w:val="00006B92"/>
    <w:rsid w:val="00007AB6"/>
    <w:rsid w:val="00007C63"/>
    <w:rsid w:val="0001045E"/>
    <w:rsid w:val="00010518"/>
    <w:rsid w:val="000111D9"/>
    <w:rsid w:val="0001179C"/>
    <w:rsid w:val="00011D27"/>
    <w:rsid w:val="0001249E"/>
    <w:rsid w:val="000124D3"/>
    <w:rsid w:val="0001419E"/>
    <w:rsid w:val="000146EB"/>
    <w:rsid w:val="00014DE1"/>
    <w:rsid w:val="00014E32"/>
    <w:rsid w:val="00014F8F"/>
    <w:rsid w:val="00020F3C"/>
    <w:rsid w:val="000215FC"/>
    <w:rsid w:val="00021BDC"/>
    <w:rsid w:val="00021CCB"/>
    <w:rsid w:val="00021CEA"/>
    <w:rsid w:val="00022C5D"/>
    <w:rsid w:val="00024C51"/>
    <w:rsid w:val="0002558E"/>
    <w:rsid w:val="00026416"/>
    <w:rsid w:val="00027640"/>
    <w:rsid w:val="00027DF5"/>
    <w:rsid w:val="0003098F"/>
    <w:rsid w:val="00030DDB"/>
    <w:rsid w:val="000323BB"/>
    <w:rsid w:val="00032D14"/>
    <w:rsid w:val="00032EC2"/>
    <w:rsid w:val="000340A4"/>
    <w:rsid w:val="00035419"/>
    <w:rsid w:val="000369D0"/>
    <w:rsid w:val="0003734F"/>
    <w:rsid w:val="000378B5"/>
    <w:rsid w:val="00037A88"/>
    <w:rsid w:val="00040B7F"/>
    <w:rsid w:val="00041BB5"/>
    <w:rsid w:val="00042306"/>
    <w:rsid w:val="00042A38"/>
    <w:rsid w:val="000434E2"/>
    <w:rsid w:val="00043D12"/>
    <w:rsid w:val="000450A3"/>
    <w:rsid w:val="00045A9B"/>
    <w:rsid w:val="00045AA9"/>
    <w:rsid w:val="00045EB4"/>
    <w:rsid w:val="000464B5"/>
    <w:rsid w:val="00046694"/>
    <w:rsid w:val="0004674A"/>
    <w:rsid w:val="0004747E"/>
    <w:rsid w:val="00050778"/>
    <w:rsid w:val="00051BA8"/>
    <w:rsid w:val="0005313D"/>
    <w:rsid w:val="00054654"/>
    <w:rsid w:val="00054715"/>
    <w:rsid w:val="00054A02"/>
    <w:rsid w:val="00054C2E"/>
    <w:rsid w:val="00054E46"/>
    <w:rsid w:val="00055303"/>
    <w:rsid w:val="000565FA"/>
    <w:rsid w:val="000568AF"/>
    <w:rsid w:val="00060512"/>
    <w:rsid w:val="000605F6"/>
    <w:rsid w:val="0006089B"/>
    <w:rsid w:val="0006101B"/>
    <w:rsid w:val="0006131A"/>
    <w:rsid w:val="000614BF"/>
    <w:rsid w:val="0006166F"/>
    <w:rsid w:val="00061980"/>
    <w:rsid w:val="00061994"/>
    <w:rsid w:val="000620AF"/>
    <w:rsid w:val="000628A2"/>
    <w:rsid w:val="0006391D"/>
    <w:rsid w:val="00065512"/>
    <w:rsid w:val="00072E60"/>
    <w:rsid w:val="00073D98"/>
    <w:rsid w:val="000744E7"/>
    <w:rsid w:val="00080502"/>
    <w:rsid w:val="00082D7E"/>
    <w:rsid w:val="00083FAB"/>
    <w:rsid w:val="000842F9"/>
    <w:rsid w:val="00084665"/>
    <w:rsid w:val="00084694"/>
    <w:rsid w:val="00084951"/>
    <w:rsid w:val="00086010"/>
    <w:rsid w:val="00086A64"/>
    <w:rsid w:val="000908E1"/>
    <w:rsid w:val="000927E2"/>
    <w:rsid w:val="00095B5A"/>
    <w:rsid w:val="000A2099"/>
    <w:rsid w:val="000A6096"/>
    <w:rsid w:val="000A6B8A"/>
    <w:rsid w:val="000B0035"/>
    <w:rsid w:val="000B1526"/>
    <w:rsid w:val="000B1719"/>
    <w:rsid w:val="000B26FE"/>
    <w:rsid w:val="000B28FE"/>
    <w:rsid w:val="000B2E47"/>
    <w:rsid w:val="000B60FF"/>
    <w:rsid w:val="000B6BF9"/>
    <w:rsid w:val="000C02D1"/>
    <w:rsid w:val="000C3398"/>
    <w:rsid w:val="000C3A8C"/>
    <w:rsid w:val="000C4B6D"/>
    <w:rsid w:val="000C508E"/>
    <w:rsid w:val="000C6C6F"/>
    <w:rsid w:val="000D0331"/>
    <w:rsid w:val="000D1AE6"/>
    <w:rsid w:val="000D3EB5"/>
    <w:rsid w:val="000D3F27"/>
    <w:rsid w:val="000D4495"/>
    <w:rsid w:val="000D44B3"/>
    <w:rsid w:val="000D4B88"/>
    <w:rsid w:val="000D55CB"/>
    <w:rsid w:val="000D5A39"/>
    <w:rsid w:val="000D5A6C"/>
    <w:rsid w:val="000D7262"/>
    <w:rsid w:val="000D7E14"/>
    <w:rsid w:val="000E0B4D"/>
    <w:rsid w:val="000E0EA3"/>
    <w:rsid w:val="000E10FF"/>
    <w:rsid w:val="000E1A86"/>
    <w:rsid w:val="000E4F1E"/>
    <w:rsid w:val="000E5936"/>
    <w:rsid w:val="000E721E"/>
    <w:rsid w:val="000F04EB"/>
    <w:rsid w:val="000F1C2F"/>
    <w:rsid w:val="000F32AB"/>
    <w:rsid w:val="000F3E5F"/>
    <w:rsid w:val="000F3F45"/>
    <w:rsid w:val="000F4B10"/>
    <w:rsid w:val="000F4B1C"/>
    <w:rsid w:val="000F4CA1"/>
    <w:rsid w:val="000F4FD8"/>
    <w:rsid w:val="000F50A1"/>
    <w:rsid w:val="000F5AFA"/>
    <w:rsid w:val="000F6669"/>
    <w:rsid w:val="000F6C1C"/>
    <w:rsid w:val="000F6E84"/>
    <w:rsid w:val="000F7FED"/>
    <w:rsid w:val="001017FA"/>
    <w:rsid w:val="00103A77"/>
    <w:rsid w:val="00103FEB"/>
    <w:rsid w:val="00105368"/>
    <w:rsid w:val="001075A2"/>
    <w:rsid w:val="001077E1"/>
    <w:rsid w:val="00110991"/>
    <w:rsid w:val="00110F06"/>
    <w:rsid w:val="00111DAD"/>
    <w:rsid w:val="00111F29"/>
    <w:rsid w:val="00112082"/>
    <w:rsid w:val="00114D9F"/>
    <w:rsid w:val="00115F29"/>
    <w:rsid w:val="00116C23"/>
    <w:rsid w:val="0012004E"/>
    <w:rsid w:val="001223C4"/>
    <w:rsid w:val="00123C5A"/>
    <w:rsid w:val="00123ED1"/>
    <w:rsid w:val="001244BA"/>
    <w:rsid w:val="001250DE"/>
    <w:rsid w:val="001253B8"/>
    <w:rsid w:val="00125975"/>
    <w:rsid w:val="00127381"/>
    <w:rsid w:val="001309B4"/>
    <w:rsid w:val="00131459"/>
    <w:rsid w:val="00132DAB"/>
    <w:rsid w:val="0013397F"/>
    <w:rsid w:val="00136389"/>
    <w:rsid w:val="00136C7A"/>
    <w:rsid w:val="00140550"/>
    <w:rsid w:val="00142893"/>
    <w:rsid w:val="00143D3F"/>
    <w:rsid w:val="00144A51"/>
    <w:rsid w:val="00145630"/>
    <w:rsid w:val="00145D69"/>
    <w:rsid w:val="00147156"/>
    <w:rsid w:val="0015007E"/>
    <w:rsid w:val="00151013"/>
    <w:rsid w:val="001515D4"/>
    <w:rsid w:val="00151BD6"/>
    <w:rsid w:val="00152CA2"/>
    <w:rsid w:val="00153310"/>
    <w:rsid w:val="00155300"/>
    <w:rsid w:val="0015544A"/>
    <w:rsid w:val="00156CBD"/>
    <w:rsid w:val="00156F06"/>
    <w:rsid w:val="0015779A"/>
    <w:rsid w:val="00157CBC"/>
    <w:rsid w:val="00157EF5"/>
    <w:rsid w:val="00160590"/>
    <w:rsid w:val="0016075D"/>
    <w:rsid w:val="00161A6F"/>
    <w:rsid w:val="00161D71"/>
    <w:rsid w:val="001626B7"/>
    <w:rsid w:val="00162DF9"/>
    <w:rsid w:val="001637A2"/>
    <w:rsid w:val="0016484F"/>
    <w:rsid w:val="00165B45"/>
    <w:rsid w:val="00165C5C"/>
    <w:rsid w:val="00165F4C"/>
    <w:rsid w:val="00165F86"/>
    <w:rsid w:val="00166D45"/>
    <w:rsid w:val="0017001C"/>
    <w:rsid w:val="00170EA4"/>
    <w:rsid w:val="001727FA"/>
    <w:rsid w:val="00173281"/>
    <w:rsid w:val="00173601"/>
    <w:rsid w:val="00173C21"/>
    <w:rsid w:val="00174249"/>
    <w:rsid w:val="0017471C"/>
    <w:rsid w:val="001759F5"/>
    <w:rsid w:val="001765F7"/>
    <w:rsid w:val="00177863"/>
    <w:rsid w:val="001801A8"/>
    <w:rsid w:val="001806F7"/>
    <w:rsid w:val="001810F0"/>
    <w:rsid w:val="001818C6"/>
    <w:rsid w:val="001822B6"/>
    <w:rsid w:val="001829A1"/>
    <w:rsid w:val="0018383B"/>
    <w:rsid w:val="001847B0"/>
    <w:rsid w:val="00184ED6"/>
    <w:rsid w:val="00185B59"/>
    <w:rsid w:val="00186300"/>
    <w:rsid w:val="001869E0"/>
    <w:rsid w:val="00186E71"/>
    <w:rsid w:val="00190297"/>
    <w:rsid w:val="00191C65"/>
    <w:rsid w:val="00192410"/>
    <w:rsid w:val="00192736"/>
    <w:rsid w:val="00192A03"/>
    <w:rsid w:val="00194CED"/>
    <w:rsid w:val="0019529E"/>
    <w:rsid w:val="00195D18"/>
    <w:rsid w:val="001973C3"/>
    <w:rsid w:val="0019743B"/>
    <w:rsid w:val="00197C92"/>
    <w:rsid w:val="001A2CFD"/>
    <w:rsid w:val="001A3647"/>
    <w:rsid w:val="001A4212"/>
    <w:rsid w:val="001A50B5"/>
    <w:rsid w:val="001A51E9"/>
    <w:rsid w:val="001A5871"/>
    <w:rsid w:val="001A5A28"/>
    <w:rsid w:val="001A6752"/>
    <w:rsid w:val="001A6C90"/>
    <w:rsid w:val="001A7628"/>
    <w:rsid w:val="001A7948"/>
    <w:rsid w:val="001A7D14"/>
    <w:rsid w:val="001A7F0C"/>
    <w:rsid w:val="001B0038"/>
    <w:rsid w:val="001B0854"/>
    <w:rsid w:val="001B1699"/>
    <w:rsid w:val="001B18D9"/>
    <w:rsid w:val="001B2103"/>
    <w:rsid w:val="001B2FDF"/>
    <w:rsid w:val="001B327E"/>
    <w:rsid w:val="001B35D9"/>
    <w:rsid w:val="001B4DF3"/>
    <w:rsid w:val="001B4E87"/>
    <w:rsid w:val="001B5444"/>
    <w:rsid w:val="001B5589"/>
    <w:rsid w:val="001B77B6"/>
    <w:rsid w:val="001C0D7E"/>
    <w:rsid w:val="001C5949"/>
    <w:rsid w:val="001C5FFC"/>
    <w:rsid w:val="001C61D2"/>
    <w:rsid w:val="001C652D"/>
    <w:rsid w:val="001C7270"/>
    <w:rsid w:val="001C767E"/>
    <w:rsid w:val="001C7E44"/>
    <w:rsid w:val="001D0534"/>
    <w:rsid w:val="001D0D28"/>
    <w:rsid w:val="001D1206"/>
    <w:rsid w:val="001D1A8F"/>
    <w:rsid w:val="001D3B7D"/>
    <w:rsid w:val="001D3F1F"/>
    <w:rsid w:val="001D55A6"/>
    <w:rsid w:val="001D640C"/>
    <w:rsid w:val="001D7771"/>
    <w:rsid w:val="001E03AC"/>
    <w:rsid w:val="001E1DFB"/>
    <w:rsid w:val="001E25C3"/>
    <w:rsid w:val="001E37AA"/>
    <w:rsid w:val="001E56DB"/>
    <w:rsid w:val="001E7679"/>
    <w:rsid w:val="001F0FED"/>
    <w:rsid w:val="001F12C1"/>
    <w:rsid w:val="001F152F"/>
    <w:rsid w:val="001F31B3"/>
    <w:rsid w:val="001F3301"/>
    <w:rsid w:val="001F3933"/>
    <w:rsid w:val="001F457B"/>
    <w:rsid w:val="001F4FF8"/>
    <w:rsid w:val="001F5A5E"/>
    <w:rsid w:val="001F5B8D"/>
    <w:rsid w:val="001F6EDE"/>
    <w:rsid w:val="0020054A"/>
    <w:rsid w:val="002009F6"/>
    <w:rsid w:val="0020384D"/>
    <w:rsid w:val="002041A5"/>
    <w:rsid w:val="002051A8"/>
    <w:rsid w:val="002062D3"/>
    <w:rsid w:val="00207C47"/>
    <w:rsid w:val="002109D4"/>
    <w:rsid w:val="00212F4C"/>
    <w:rsid w:val="002149EB"/>
    <w:rsid w:val="00215DCD"/>
    <w:rsid w:val="0022044A"/>
    <w:rsid w:val="00220CF6"/>
    <w:rsid w:val="00220D02"/>
    <w:rsid w:val="00220E53"/>
    <w:rsid w:val="00221418"/>
    <w:rsid w:val="002222D5"/>
    <w:rsid w:val="0022279C"/>
    <w:rsid w:val="002229BD"/>
    <w:rsid w:val="00222DB1"/>
    <w:rsid w:val="00222FF4"/>
    <w:rsid w:val="00223066"/>
    <w:rsid w:val="0022357C"/>
    <w:rsid w:val="00223AC3"/>
    <w:rsid w:val="00224C17"/>
    <w:rsid w:val="00225C13"/>
    <w:rsid w:val="00225CD2"/>
    <w:rsid w:val="00235117"/>
    <w:rsid w:val="00235C30"/>
    <w:rsid w:val="00235D37"/>
    <w:rsid w:val="0023668F"/>
    <w:rsid w:val="00237FC0"/>
    <w:rsid w:val="0024002B"/>
    <w:rsid w:val="002402AA"/>
    <w:rsid w:val="0024241B"/>
    <w:rsid w:val="00242F34"/>
    <w:rsid w:val="002435B5"/>
    <w:rsid w:val="00243B17"/>
    <w:rsid w:val="0024434D"/>
    <w:rsid w:val="00244DA6"/>
    <w:rsid w:val="00247471"/>
    <w:rsid w:val="002478AE"/>
    <w:rsid w:val="00250DBB"/>
    <w:rsid w:val="0025225A"/>
    <w:rsid w:val="0025226F"/>
    <w:rsid w:val="00252F56"/>
    <w:rsid w:val="002540A8"/>
    <w:rsid w:val="0025682B"/>
    <w:rsid w:val="00256F42"/>
    <w:rsid w:val="002577FD"/>
    <w:rsid w:val="002600B4"/>
    <w:rsid w:val="00260E53"/>
    <w:rsid w:val="00263F75"/>
    <w:rsid w:val="002640D1"/>
    <w:rsid w:val="002642FB"/>
    <w:rsid w:val="00265164"/>
    <w:rsid w:val="002654CA"/>
    <w:rsid w:val="002654E2"/>
    <w:rsid w:val="002656D7"/>
    <w:rsid w:val="00265982"/>
    <w:rsid w:val="00265C58"/>
    <w:rsid w:val="00265CF7"/>
    <w:rsid w:val="00265E2D"/>
    <w:rsid w:val="00266193"/>
    <w:rsid w:val="0026664F"/>
    <w:rsid w:val="0026709B"/>
    <w:rsid w:val="00270AC7"/>
    <w:rsid w:val="00270C0A"/>
    <w:rsid w:val="00271958"/>
    <w:rsid w:val="00272537"/>
    <w:rsid w:val="002741F2"/>
    <w:rsid w:val="00274833"/>
    <w:rsid w:val="002766E6"/>
    <w:rsid w:val="00280197"/>
    <w:rsid w:val="00280CB1"/>
    <w:rsid w:val="00280EA3"/>
    <w:rsid w:val="002812BE"/>
    <w:rsid w:val="00281825"/>
    <w:rsid w:val="00282C9C"/>
    <w:rsid w:val="00282E16"/>
    <w:rsid w:val="002832AE"/>
    <w:rsid w:val="002856B0"/>
    <w:rsid w:val="00285768"/>
    <w:rsid w:val="00285F93"/>
    <w:rsid w:val="002872FE"/>
    <w:rsid w:val="00291351"/>
    <w:rsid w:val="002936C6"/>
    <w:rsid w:val="002945A4"/>
    <w:rsid w:val="002957EA"/>
    <w:rsid w:val="0029734F"/>
    <w:rsid w:val="00297B8D"/>
    <w:rsid w:val="00297D77"/>
    <w:rsid w:val="002A050B"/>
    <w:rsid w:val="002A12DB"/>
    <w:rsid w:val="002A22BB"/>
    <w:rsid w:val="002A33A2"/>
    <w:rsid w:val="002A3FFA"/>
    <w:rsid w:val="002A560C"/>
    <w:rsid w:val="002A611C"/>
    <w:rsid w:val="002A63D7"/>
    <w:rsid w:val="002A69B0"/>
    <w:rsid w:val="002A782F"/>
    <w:rsid w:val="002A7F09"/>
    <w:rsid w:val="002B03F6"/>
    <w:rsid w:val="002B2170"/>
    <w:rsid w:val="002B2514"/>
    <w:rsid w:val="002B2D59"/>
    <w:rsid w:val="002B33EE"/>
    <w:rsid w:val="002B4A48"/>
    <w:rsid w:val="002B6235"/>
    <w:rsid w:val="002B66BA"/>
    <w:rsid w:val="002B6A20"/>
    <w:rsid w:val="002B700E"/>
    <w:rsid w:val="002B76EB"/>
    <w:rsid w:val="002C0CF3"/>
    <w:rsid w:val="002C202A"/>
    <w:rsid w:val="002C2C9E"/>
    <w:rsid w:val="002C3935"/>
    <w:rsid w:val="002C3F6D"/>
    <w:rsid w:val="002C5449"/>
    <w:rsid w:val="002C5BC7"/>
    <w:rsid w:val="002C658A"/>
    <w:rsid w:val="002D1E57"/>
    <w:rsid w:val="002D25BD"/>
    <w:rsid w:val="002D3E85"/>
    <w:rsid w:val="002D45D3"/>
    <w:rsid w:val="002D67AD"/>
    <w:rsid w:val="002D7142"/>
    <w:rsid w:val="002E1924"/>
    <w:rsid w:val="002E1D8C"/>
    <w:rsid w:val="002E2B2E"/>
    <w:rsid w:val="002E315C"/>
    <w:rsid w:val="002E3AEE"/>
    <w:rsid w:val="002E4626"/>
    <w:rsid w:val="002E56DA"/>
    <w:rsid w:val="002E5B74"/>
    <w:rsid w:val="002E66F7"/>
    <w:rsid w:val="002E680D"/>
    <w:rsid w:val="002E73E7"/>
    <w:rsid w:val="002F065D"/>
    <w:rsid w:val="002F0B5F"/>
    <w:rsid w:val="002F0DE7"/>
    <w:rsid w:val="002F19BD"/>
    <w:rsid w:val="002F1E93"/>
    <w:rsid w:val="002F3C75"/>
    <w:rsid w:val="002F57E5"/>
    <w:rsid w:val="002F5B77"/>
    <w:rsid w:val="002F68B2"/>
    <w:rsid w:val="002F7A2C"/>
    <w:rsid w:val="003010F7"/>
    <w:rsid w:val="00301139"/>
    <w:rsid w:val="003069F1"/>
    <w:rsid w:val="00310CBC"/>
    <w:rsid w:val="00311031"/>
    <w:rsid w:val="00311153"/>
    <w:rsid w:val="0031169B"/>
    <w:rsid w:val="00311779"/>
    <w:rsid w:val="003135F7"/>
    <w:rsid w:val="00315D31"/>
    <w:rsid w:val="00316C7C"/>
    <w:rsid w:val="00316F84"/>
    <w:rsid w:val="00320026"/>
    <w:rsid w:val="00321A54"/>
    <w:rsid w:val="0032210E"/>
    <w:rsid w:val="003225F1"/>
    <w:rsid w:val="00322FF9"/>
    <w:rsid w:val="00323450"/>
    <w:rsid w:val="00323EB1"/>
    <w:rsid w:val="00325A6D"/>
    <w:rsid w:val="00326442"/>
    <w:rsid w:val="00326AC9"/>
    <w:rsid w:val="00326B4E"/>
    <w:rsid w:val="003271B9"/>
    <w:rsid w:val="0032728F"/>
    <w:rsid w:val="00327DF1"/>
    <w:rsid w:val="00330859"/>
    <w:rsid w:val="00330A59"/>
    <w:rsid w:val="0033227B"/>
    <w:rsid w:val="003328C4"/>
    <w:rsid w:val="00332ADD"/>
    <w:rsid w:val="00334A62"/>
    <w:rsid w:val="00334F1A"/>
    <w:rsid w:val="0033549B"/>
    <w:rsid w:val="00336CB6"/>
    <w:rsid w:val="00337588"/>
    <w:rsid w:val="00337FAB"/>
    <w:rsid w:val="00342BC1"/>
    <w:rsid w:val="003444EF"/>
    <w:rsid w:val="0034486C"/>
    <w:rsid w:val="00344E95"/>
    <w:rsid w:val="00344E9C"/>
    <w:rsid w:val="00345AA4"/>
    <w:rsid w:val="00346F6A"/>
    <w:rsid w:val="00347F0F"/>
    <w:rsid w:val="00350638"/>
    <w:rsid w:val="00350956"/>
    <w:rsid w:val="00351E8D"/>
    <w:rsid w:val="003548F6"/>
    <w:rsid w:val="00356C85"/>
    <w:rsid w:val="0035760F"/>
    <w:rsid w:val="00360597"/>
    <w:rsid w:val="00362C88"/>
    <w:rsid w:val="003634AD"/>
    <w:rsid w:val="003635B2"/>
    <w:rsid w:val="00365426"/>
    <w:rsid w:val="00365E51"/>
    <w:rsid w:val="00366B15"/>
    <w:rsid w:val="00366BA3"/>
    <w:rsid w:val="00366C5D"/>
    <w:rsid w:val="00366D6F"/>
    <w:rsid w:val="00367A87"/>
    <w:rsid w:val="0037076A"/>
    <w:rsid w:val="00371210"/>
    <w:rsid w:val="0037238E"/>
    <w:rsid w:val="00373F1A"/>
    <w:rsid w:val="00375418"/>
    <w:rsid w:val="00375620"/>
    <w:rsid w:val="00375B5A"/>
    <w:rsid w:val="00375DD5"/>
    <w:rsid w:val="00376FA9"/>
    <w:rsid w:val="0038128C"/>
    <w:rsid w:val="00381315"/>
    <w:rsid w:val="003813FE"/>
    <w:rsid w:val="003818BD"/>
    <w:rsid w:val="00382505"/>
    <w:rsid w:val="00382BDF"/>
    <w:rsid w:val="003835B3"/>
    <w:rsid w:val="003843F9"/>
    <w:rsid w:val="00385AB9"/>
    <w:rsid w:val="00385F31"/>
    <w:rsid w:val="00387351"/>
    <w:rsid w:val="003905B9"/>
    <w:rsid w:val="00390762"/>
    <w:rsid w:val="00394583"/>
    <w:rsid w:val="00395356"/>
    <w:rsid w:val="00396692"/>
    <w:rsid w:val="00396E00"/>
    <w:rsid w:val="00397416"/>
    <w:rsid w:val="003A126C"/>
    <w:rsid w:val="003A4B31"/>
    <w:rsid w:val="003A5AD2"/>
    <w:rsid w:val="003A5D4D"/>
    <w:rsid w:val="003A630B"/>
    <w:rsid w:val="003A643F"/>
    <w:rsid w:val="003B0C2A"/>
    <w:rsid w:val="003B14AD"/>
    <w:rsid w:val="003B15B6"/>
    <w:rsid w:val="003B18C6"/>
    <w:rsid w:val="003B1FCB"/>
    <w:rsid w:val="003B35B3"/>
    <w:rsid w:val="003B4585"/>
    <w:rsid w:val="003B4717"/>
    <w:rsid w:val="003B5FE8"/>
    <w:rsid w:val="003B73CC"/>
    <w:rsid w:val="003B7B36"/>
    <w:rsid w:val="003C02E0"/>
    <w:rsid w:val="003C1122"/>
    <w:rsid w:val="003C1ADD"/>
    <w:rsid w:val="003C1C50"/>
    <w:rsid w:val="003C2B0B"/>
    <w:rsid w:val="003C2FDE"/>
    <w:rsid w:val="003C3755"/>
    <w:rsid w:val="003C444D"/>
    <w:rsid w:val="003C487C"/>
    <w:rsid w:val="003C4975"/>
    <w:rsid w:val="003D1913"/>
    <w:rsid w:val="003D1CB8"/>
    <w:rsid w:val="003D2359"/>
    <w:rsid w:val="003D2B84"/>
    <w:rsid w:val="003D40AA"/>
    <w:rsid w:val="003D48EA"/>
    <w:rsid w:val="003D48EC"/>
    <w:rsid w:val="003D63ED"/>
    <w:rsid w:val="003D6AB2"/>
    <w:rsid w:val="003D6FA5"/>
    <w:rsid w:val="003E0B17"/>
    <w:rsid w:val="003E14FB"/>
    <w:rsid w:val="003E1710"/>
    <w:rsid w:val="003E1875"/>
    <w:rsid w:val="003E30FE"/>
    <w:rsid w:val="003E3B7F"/>
    <w:rsid w:val="003E3DAE"/>
    <w:rsid w:val="003E5365"/>
    <w:rsid w:val="003E5EC0"/>
    <w:rsid w:val="003E682A"/>
    <w:rsid w:val="003E6EEB"/>
    <w:rsid w:val="003E747A"/>
    <w:rsid w:val="003F0401"/>
    <w:rsid w:val="003F0673"/>
    <w:rsid w:val="003F0702"/>
    <w:rsid w:val="003F0A2A"/>
    <w:rsid w:val="003F0CE5"/>
    <w:rsid w:val="003F1912"/>
    <w:rsid w:val="003F27B3"/>
    <w:rsid w:val="003F35DD"/>
    <w:rsid w:val="003F48B0"/>
    <w:rsid w:val="003F56E0"/>
    <w:rsid w:val="003F67C8"/>
    <w:rsid w:val="003F6D83"/>
    <w:rsid w:val="003F704C"/>
    <w:rsid w:val="003F7250"/>
    <w:rsid w:val="003F7D74"/>
    <w:rsid w:val="00400991"/>
    <w:rsid w:val="0040189F"/>
    <w:rsid w:val="004019A2"/>
    <w:rsid w:val="00402414"/>
    <w:rsid w:val="00402AB9"/>
    <w:rsid w:val="00403391"/>
    <w:rsid w:val="00403443"/>
    <w:rsid w:val="004045DD"/>
    <w:rsid w:val="0040579B"/>
    <w:rsid w:val="00405CE6"/>
    <w:rsid w:val="004062C8"/>
    <w:rsid w:val="004068EB"/>
    <w:rsid w:val="00406AD2"/>
    <w:rsid w:val="00407BA1"/>
    <w:rsid w:val="004101FD"/>
    <w:rsid w:val="00410F35"/>
    <w:rsid w:val="00411D97"/>
    <w:rsid w:val="00412329"/>
    <w:rsid w:val="00412CA5"/>
    <w:rsid w:val="00414A86"/>
    <w:rsid w:val="0041555A"/>
    <w:rsid w:val="0041755F"/>
    <w:rsid w:val="00417CDC"/>
    <w:rsid w:val="00417F5F"/>
    <w:rsid w:val="004202BE"/>
    <w:rsid w:val="00422D6A"/>
    <w:rsid w:val="00423699"/>
    <w:rsid w:val="00423766"/>
    <w:rsid w:val="0042445C"/>
    <w:rsid w:val="00424730"/>
    <w:rsid w:val="00425AEB"/>
    <w:rsid w:val="004269E6"/>
    <w:rsid w:val="00427E66"/>
    <w:rsid w:val="00430606"/>
    <w:rsid w:val="00431294"/>
    <w:rsid w:val="004313EE"/>
    <w:rsid w:val="00431836"/>
    <w:rsid w:val="00431F24"/>
    <w:rsid w:val="00433C9C"/>
    <w:rsid w:val="00440D79"/>
    <w:rsid w:val="0044305A"/>
    <w:rsid w:val="004438D9"/>
    <w:rsid w:val="0044394B"/>
    <w:rsid w:val="0044488E"/>
    <w:rsid w:val="00445A36"/>
    <w:rsid w:val="00446890"/>
    <w:rsid w:val="004504C5"/>
    <w:rsid w:val="0045123C"/>
    <w:rsid w:val="004521AA"/>
    <w:rsid w:val="00453556"/>
    <w:rsid w:val="00455811"/>
    <w:rsid w:val="00455C31"/>
    <w:rsid w:val="004604D3"/>
    <w:rsid w:val="004611D9"/>
    <w:rsid w:val="00462F59"/>
    <w:rsid w:val="004648BA"/>
    <w:rsid w:val="00465EAF"/>
    <w:rsid w:val="0046667A"/>
    <w:rsid w:val="00467393"/>
    <w:rsid w:val="0047266F"/>
    <w:rsid w:val="00474D1F"/>
    <w:rsid w:val="00475858"/>
    <w:rsid w:val="00476B2F"/>
    <w:rsid w:val="00480263"/>
    <w:rsid w:val="00480BD9"/>
    <w:rsid w:val="0048220B"/>
    <w:rsid w:val="00483033"/>
    <w:rsid w:val="00484A66"/>
    <w:rsid w:val="00484D33"/>
    <w:rsid w:val="00486A08"/>
    <w:rsid w:val="00487EB4"/>
    <w:rsid w:val="0049024E"/>
    <w:rsid w:val="00490E7D"/>
    <w:rsid w:val="00490EAC"/>
    <w:rsid w:val="00491A10"/>
    <w:rsid w:val="004923F1"/>
    <w:rsid w:val="00492D7F"/>
    <w:rsid w:val="00493768"/>
    <w:rsid w:val="00493F18"/>
    <w:rsid w:val="00494903"/>
    <w:rsid w:val="004961D4"/>
    <w:rsid w:val="004975FA"/>
    <w:rsid w:val="004A00BA"/>
    <w:rsid w:val="004A1F0B"/>
    <w:rsid w:val="004A3289"/>
    <w:rsid w:val="004A36A6"/>
    <w:rsid w:val="004A388D"/>
    <w:rsid w:val="004A4E47"/>
    <w:rsid w:val="004A584D"/>
    <w:rsid w:val="004A6128"/>
    <w:rsid w:val="004A641A"/>
    <w:rsid w:val="004A69E2"/>
    <w:rsid w:val="004A6B80"/>
    <w:rsid w:val="004A76F6"/>
    <w:rsid w:val="004B1F35"/>
    <w:rsid w:val="004B2493"/>
    <w:rsid w:val="004B4063"/>
    <w:rsid w:val="004B4620"/>
    <w:rsid w:val="004B58BE"/>
    <w:rsid w:val="004B5B74"/>
    <w:rsid w:val="004B6B7A"/>
    <w:rsid w:val="004B7856"/>
    <w:rsid w:val="004C0A69"/>
    <w:rsid w:val="004C15AA"/>
    <w:rsid w:val="004C1E18"/>
    <w:rsid w:val="004C26F9"/>
    <w:rsid w:val="004C2991"/>
    <w:rsid w:val="004C386C"/>
    <w:rsid w:val="004C5D7E"/>
    <w:rsid w:val="004C7221"/>
    <w:rsid w:val="004C76ED"/>
    <w:rsid w:val="004D00A8"/>
    <w:rsid w:val="004D014F"/>
    <w:rsid w:val="004D0A48"/>
    <w:rsid w:val="004D138D"/>
    <w:rsid w:val="004D1C80"/>
    <w:rsid w:val="004D5B7C"/>
    <w:rsid w:val="004E049C"/>
    <w:rsid w:val="004E04D6"/>
    <w:rsid w:val="004E12EF"/>
    <w:rsid w:val="004E1320"/>
    <w:rsid w:val="004E2A8F"/>
    <w:rsid w:val="004E31A2"/>
    <w:rsid w:val="004E3276"/>
    <w:rsid w:val="004E46D1"/>
    <w:rsid w:val="004E4D49"/>
    <w:rsid w:val="004E6782"/>
    <w:rsid w:val="004E6DC1"/>
    <w:rsid w:val="004E7EB3"/>
    <w:rsid w:val="004F1AD4"/>
    <w:rsid w:val="004F20EF"/>
    <w:rsid w:val="004F39C7"/>
    <w:rsid w:val="004F3C1F"/>
    <w:rsid w:val="004F6E60"/>
    <w:rsid w:val="005008A1"/>
    <w:rsid w:val="005025C5"/>
    <w:rsid w:val="005026AD"/>
    <w:rsid w:val="00503132"/>
    <w:rsid w:val="00503A4C"/>
    <w:rsid w:val="00504174"/>
    <w:rsid w:val="0050475F"/>
    <w:rsid w:val="00505502"/>
    <w:rsid w:val="00506D73"/>
    <w:rsid w:val="00507EBE"/>
    <w:rsid w:val="00510974"/>
    <w:rsid w:val="005112A6"/>
    <w:rsid w:val="00514315"/>
    <w:rsid w:val="00514AF6"/>
    <w:rsid w:val="00515F22"/>
    <w:rsid w:val="0051634C"/>
    <w:rsid w:val="00516EE0"/>
    <w:rsid w:val="00516F00"/>
    <w:rsid w:val="005205C4"/>
    <w:rsid w:val="00520F0F"/>
    <w:rsid w:val="0052153B"/>
    <w:rsid w:val="005215D6"/>
    <w:rsid w:val="00522126"/>
    <w:rsid w:val="00522703"/>
    <w:rsid w:val="00523260"/>
    <w:rsid w:val="00523625"/>
    <w:rsid w:val="00524B81"/>
    <w:rsid w:val="00524F4B"/>
    <w:rsid w:val="005256A1"/>
    <w:rsid w:val="0052711E"/>
    <w:rsid w:val="00527997"/>
    <w:rsid w:val="00527BEC"/>
    <w:rsid w:val="00530479"/>
    <w:rsid w:val="00532402"/>
    <w:rsid w:val="0053560F"/>
    <w:rsid w:val="00537948"/>
    <w:rsid w:val="0054049D"/>
    <w:rsid w:val="00540D31"/>
    <w:rsid w:val="00541D5A"/>
    <w:rsid w:val="00542700"/>
    <w:rsid w:val="0054320B"/>
    <w:rsid w:val="005434D3"/>
    <w:rsid w:val="00543F50"/>
    <w:rsid w:val="005455B8"/>
    <w:rsid w:val="00547965"/>
    <w:rsid w:val="005513E4"/>
    <w:rsid w:val="00551CE2"/>
    <w:rsid w:val="00551E28"/>
    <w:rsid w:val="00552ECA"/>
    <w:rsid w:val="00553165"/>
    <w:rsid w:val="00555D29"/>
    <w:rsid w:val="00555E4B"/>
    <w:rsid w:val="00555FF1"/>
    <w:rsid w:val="00556689"/>
    <w:rsid w:val="00557358"/>
    <w:rsid w:val="00557747"/>
    <w:rsid w:val="0056001B"/>
    <w:rsid w:val="005605EA"/>
    <w:rsid w:val="00560B17"/>
    <w:rsid w:val="00560F7F"/>
    <w:rsid w:val="005619A5"/>
    <w:rsid w:val="00561E07"/>
    <w:rsid w:val="00561F76"/>
    <w:rsid w:val="00562A27"/>
    <w:rsid w:val="005647C8"/>
    <w:rsid w:val="005714AF"/>
    <w:rsid w:val="005715BD"/>
    <w:rsid w:val="0057198A"/>
    <w:rsid w:val="00571C42"/>
    <w:rsid w:val="00572557"/>
    <w:rsid w:val="005737FC"/>
    <w:rsid w:val="005741F9"/>
    <w:rsid w:val="00575A37"/>
    <w:rsid w:val="00577690"/>
    <w:rsid w:val="00580AEB"/>
    <w:rsid w:val="00580DA5"/>
    <w:rsid w:val="00582166"/>
    <w:rsid w:val="005829B1"/>
    <w:rsid w:val="005830A9"/>
    <w:rsid w:val="00583B83"/>
    <w:rsid w:val="005841E3"/>
    <w:rsid w:val="00584ECF"/>
    <w:rsid w:val="005851A7"/>
    <w:rsid w:val="0058525A"/>
    <w:rsid w:val="00587BD2"/>
    <w:rsid w:val="00591714"/>
    <w:rsid w:val="0059179B"/>
    <w:rsid w:val="00592232"/>
    <w:rsid w:val="005924C7"/>
    <w:rsid w:val="005924C9"/>
    <w:rsid w:val="00592598"/>
    <w:rsid w:val="00595DEF"/>
    <w:rsid w:val="0059773C"/>
    <w:rsid w:val="005A16D5"/>
    <w:rsid w:val="005A3A00"/>
    <w:rsid w:val="005A5BCF"/>
    <w:rsid w:val="005A5E94"/>
    <w:rsid w:val="005B0A6C"/>
    <w:rsid w:val="005B0AC9"/>
    <w:rsid w:val="005B0C2D"/>
    <w:rsid w:val="005B0CB2"/>
    <w:rsid w:val="005B132B"/>
    <w:rsid w:val="005B1A54"/>
    <w:rsid w:val="005B228E"/>
    <w:rsid w:val="005B244B"/>
    <w:rsid w:val="005B2E35"/>
    <w:rsid w:val="005B59B3"/>
    <w:rsid w:val="005B64B9"/>
    <w:rsid w:val="005B71C3"/>
    <w:rsid w:val="005C235B"/>
    <w:rsid w:val="005C266D"/>
    <w:rsid w:val="005C54B6"/>
    <w:rsid w:val="005C6912"/>
    <w:rsid w:val="005D021E"/>
    <w:rsid w:val="005D1AB0"/>
    <w:rsid w:val="005D1BF9"/>
    <w:rsid w:val="005D7332"/>
    <w:rsid w:val="005D7359"/>
    <w:rsid w:val="005E0099"/>
    <w:rsid w:val="005E0E82"/>
    <w:rsid w:val="005E2288"/>
    <w:rsid w:val="005E2830"/>
    <w:rsid w:val="005E2BEA"/>
    <w:rsid w:val="005E2E5D"/>
    <w:rsid w:val="005E330B"/>
    <w:rsid w:val="005E44CB"/>
    <w:rsid w:val="005E490A"/>
    <w:rsid w:val="005E4D90"/>
    <w:rsid w:val="005E5A0B"/>
    <w:rsid w:val="005E6CB4"/>
    <w:rsid w:val="005F0E52"/>
    <w:rsid w:val="005F1DA0"/>
    <w:rsid w:val="005F3561"/>
    <w:rsid w:val="005F39C6"/>
    <w:rsid w:val="005F3B64"/>
    <w:rsid w:val="005F43AF"/>
    <w:rsid w:val="005F4476"/>
    <w:rsid w:val="005F6271"/>
    <w:rsid w:val="005F7C3A"/>
    <w:rsid w:val="00600C99"/>
    <w:rsid w:val="0060247C"/>
    <w:rsid w:val="0060263E"/>
    <w:rsid w:val="00603723"/>
    <w:rsid w:val="006046B3"/>
    <w:rsid w:val="0060503D"/>
    <w:rsid w:val="00606FFB"/>
    <w:rsid w:val="006074B2"/>
    <w:rsid w:val="0060782E"/>
    <w:rsid w:val="006106AD"/>
    <w:rsid w:val="00610E95"/>
    <w:rsid w:val="00610F4C"/>
    <w:rsid w:val="006114E7"/>
    <w:rsid w:val="006117AA"/>
    <w:rsid w:val="00611E00"/>
    <w:rsid w:val="00611ED3"/>
    <w:rsid w:val="00612A5D"/>
    <w:rsid w:val="00614D43"/>
    <w:rsid w:val="00615450"/>
    <w:rsid w:val="006154E9"/>
    <w:rsid w:val="00615638"/>
    <w:rsid w:val="006159A8"/>
    <w:rsid w:val="00615AF8"/>
    <w:rsid w:val="00616022"/>
    <w:rsid w:val="006167F6"/>
    <w:rsid w:val="006174F2"/>
    <w:rsid w:val="00617985"/>
    <w:rsid w:val="00621324"/>
    <w:rsid w:val="006216C3"/>
    <w:rsid w:val="00621890"/>
    <w:rsid w:val="00621B43"/>
    <w:rsid w:val="006226A4"/>
    <w:rsid w:val="00622999"/>
    <w:rsid w:val="00623046"/>
    <w:rsid w:val="006232A9"/>
    <w:rsid w:val="00623DAA"/>
    <w:rsid w:val="00623DD4"/>
    <w:rsid w:val="0062483C"/>
    <w:rsid w:val="00624FB9"/>
    <w:rsid w:val="006257B8"/>
    <w:rsid w:val="00625812"/>
    <w:rsid w:val="00625AE7"/>
    <w:rsid w:val="00627D93"/>
    <w:rsid w:val="00634405"/>
    <w:rsid w:val="006354AF"/>
    <w:rsid w:val="006357EA"/>
    <w:rsid w:val="00636D98"/>
    <w:rsid w:val="00637933"/>
    <w:rsid w:val="0064149B"/>
    <w:rsid w:val="006418C2"/>
    <w:rsid w:val="006421E3"/>
    <w:rsid w:val="006433C8"/>
    <w:rsid w:val="0064387E"/>
    <w:rsid w:val="006455EF"/>
    <w:rsid w:val="00645C57"/>
    <w:rsid w:val="0064634F"/>
    <w:rsid w:val="0064789F"/>
    <w:rsid w:val="00647EB7"/>
    <w:rsid w:val="006503AB"/>
    <w:rsid w:val="00651D4E"/>
    <w:rsid w:val="00652369"/>
    <w:rsid w:val="00654202"/>
    <w:rsid w:val="006602BB"/>
    <w:rsid w:val="00660732"/>
    <w:rsid w:val="00662D6D"/>
    <w:rsid w:val="00663A2A"/>
    <w:rsid w:val="00664CB8"/>
    <w:rsid w:val="00665A66"/>
    <w:rsid w:val="006667D3"/>
    <w:rsid w:val="00671C38"/>
    <w:rsid w:val="00671C8D"/>
    <w:rsid w:val="00671DC5"/>
    <w:rsid w:val="00673A16"/>
    <w:rsid w:val="0067433F"/>
    <w:rsid w:val="0067543D"/>
    <w:rsid w:val="00676134"/>
    <w:rsid w:val="00676E55"/>
    <w:rsid w:val="00680A4C"/>
    <w:rsid w:val="00680E60"/>
    <w:rsid w:val="006818AA"/>
    <w:rsid w:val="00682A19"/>
    <w:rsid w:val="00682FE7"/>
    <w:rsid w:val="0068412E"/>
    <w:rsid w:val="00684513"/>
    <w:rsid w:val="0068468B"/>
    <w:rsid w:val="006857D4"/>
    <w:rsid w:val="006860A8"/>
    <w:rsid w:val="006875ED"/>
    <w:rsid w:val="00692FFC"/>
    <w:rsid w:val="006937CE"/>
    <w:rsid w:val="0069422E"/>
    <w:rsid w:val="0069541E"/>
    <w:rsid w:val="006975DC"/>
    <w:rsid w:val="006978CD"/>
    <w:rsid w:val="006A0341"/>
    <w:rsid w:val="006A0FD4"/>
    <w:rsid w:val="006A1B99"/>
    <w:rsid w:val="006A5CCB"/>
    <w:rsid w:val="006A7651"/>
    <w:rsid w:val="006B0636"/>
    <w:rsid w:val="006B0B25"/>
    <w:rsid w:val="006B11D0"/>
    <w:rsid w:val="006B199E"/>
    <w:rsid w:val="006B2262"/>
    <w:rsid w:val="006B395A"/>
    <w:rsid w:val="006B3EFC"/>
    <w:rsid w:val="006B3FA3"/>
    <w:rsid w:val="006B6219"/>
    <w:rsid w:val="006B7336"/>
    <w:rsid w:val="006C02C4"/>
    <w:rsid w:val="006C1EAF"/>
    <w:rsid w:val="006C3382"/>
    <w:rsid w:val="006C3B80"/>
    <w:rsid w:val="006C4F5A"/>
    <w:rsid w:val="006C5A5B"/>
    <w:rsid w:val="006C5D3E"/>
    <w:rsid w:val="006C6A90"/>
    <w:rsid w:val="006C6BDC"/>
    <w:rsid w:val="006D1D00"/>
    <w:rsid w:val="006D30C8"/>
    <w:rsid w:val="006D332A"/>
    <w:rsid w:val="006D34B8"/>
    <w:rsid w:val="006D4A87"/>
    <w:rsid w:val="006D508C"/>
    <w:rsid w:val="006D7996"/>
    <w:rsid w:val="006D7E06"/>
    <w:rsid w:val="006D7F3D"/>
    <w:rsid w:val="006E04AE"/>
    <w:rsid w:val="006E057D"/>
    <w:rsid w:val="006E0F87"/>
    <w:rsid w:val="006E261E"/>
    <w:rsid w:val="006E30F6"/>
    <w:rsid w:val="006E4504"/>
    <w:rsid w:val="006E4B25"/>
    <w:rsid w:val="006E4BE3"/>
    <w:rsid w:val="006E5238"/>
    <w:rsid w:val="006E5456"/>
    <w:rsid w:val="006E59D3"/>
    <w:rsid w:val="006E5EA9"/>
    <w:rsid w:val="006E6006"/>
    <w:rsid w:val="006E7324"/>
    <w:rsid w:val="006F0361"/>
    <w:rsid w:val="006F153D"/>
    <w:rsid w:val="006F2B0A"/>
    <w:rsid w:val="006F2C58"/>
    <w:rsid w:val="006F2E22"/>
    <w:rsid w:val="006F54A1"/>
    <w:rsid w:val="006F58B9"/>
    <w:rsid w:val="006F63B9"/>
    <w:rsid w:val="006F6E2B"/>
    <w:rsid w:val="0070285F"/>
    <w:rsid w:val="00702A11"/>
    <w:rsid w:val="00703A99"/>
    <w:rsid w:val="00703E08"/>
    <w:rsid w:val="0070478F"/>
    <w:rsid w:val="007048E4"/>
    <w:rsid w:val="00705783"/>
    <w:rsid w:val="0070698A"/>
    <w:rsid w:val="007104E0"/>
    <w:rsid w:val="00710EC3"/>
    <w:rsid w:val="00712190"/>
    <w:rsid w:val="0071381C"/>
    <w:rsid w:val="00713907"/>
    <w:rsid w:val="0071497A"/>
    <w:rsid w:val="0071585A"/>
    <w:rsid w:val="00715CB7"/>
    <w:rsid w:val="00716E4D"/>
    <w:rsid w:val="00717B1B"/>
    <w:rsid w:val="0072085A"/>
    <w:rsid w:val="007217BB"/>
    <w:rsid w:val="00721A9F"/>
    <w:rsid w:val="007226C5"/>
    <w:rsid w:val="0072383F"/>
    <w:rsid w:val="00723C3E"/>
    <w:rsid w:val="007246DA"/>
    <w:rsid w:val="00725F2D"/>
    <w:rsid w:val="0072771E"/>
    <w:rsid w:val="007312BF"/>
    <w:rsid w:val="00731710"/>
    <w:rsid w:val="0073196C"/>
    <w:rsid w:val="00732263"/>
    <w:rsid w:val="00732CD8"/>
    <w:rsid w:val="00732D09"/>
    <w:rsid w:val="0073428D"/>
    <w:rsid w:val="007342C7"/>
    <w:rsid w:val="007343B9"/>
    <w:rsid w:val="00735A4A"/>
    <w:rsid w:val="0073676D"/>
    <w:rsid w:val="0073793B"/>
    <w:rsid w:val="00741442"/>
    <w:rsid w:val="00742E8E"/>
    <w:rsid w:val="00744B10"/>
    <w:rsid w:val="00746A19"/>
    <w:rsid w:val="00746FF8"/>
    <w:rsid w:val="0075080D"/>
    <w:rsid w:val="00750982"/>
    <w:rsid w:val="00751376"/>
    <w:rsid w:val="00751B5C"/>
    <w:rsid w:val="00751E7A"/>
    <w:rsid w:val="00751EAF"/>
    <w:rsid w:val="00753EC1"/>
    <w:rsid w:val="00753F21"/>
    <w:rsid w:val="0075400F"/>
    <w:rsid w:val="007542DA"/>
    <w:rsid w:val="0075481D"/>
    <w:rsid w:val="0075623F"/>
    <w:rsid w:val="0075781E"/>
    <w:rsid w:val="00757A84"/>
    <w:rsid w:val="00757B19"/>
    <w:rsid w:val="007613E8"/>
    <w:rsid w:val="0076275D"/>
    <w:rsid w:val="00762B66"/>
    <w:rsid w:val="00765C68"/>
    <w:rsid w:val="00765F2C"/>
    <w:rsid w:val="007672EE"/>
    <w:rsid w:val="0076759B"/>
    <w:rsid w:val="00767663"/>
    <w:rsid w:val="007705B3"/>
    <w:rsid w:val="00770734"/>
    <w:rsid w:val="00771AA7"/>
    <w:rsid w:val="00772BE0"/>
    <w:rsid w:val="00772C00"/>
    <w:rsid w:val="00773C9E"/>
    <w:rsid w:val="00775840"/>
    <w:rsid w:val="00775D97"/>
    <w:rsid w:val="0077600E"/>
    <w:rsid w:val="00783B56"/>
    <w:rsid w:val="0078731D"/>
    <w:rsid w:val="00787C4D"/>
    <w:rsid w:val="007906CD"/>
    <w:rsid w:val="00791ED0"/>
    <w:rsid w:val="00794A84"/>
    <w:rsid w:val="0079614D"/>
    <w:rsid w:val="007965C2"/>
    <w:rsid w:val="007970AB"/>
    <w:rsid w:val="007A0576"/>
    <w:rsid w:val="007A232D"/>
    <w:rsid w:val="007A2BFB"/>
    <w:rsid w:val="007A3566"/>
    <w:rsid w:val="007A56E4"/>
    <w:rsid w:val="007A5ECF"/>
    <w:rsid w:val="007A5FC3"/>
    <w:rsid w:val="007A6CD0"/>
    <w:rsid w:val="007A70E4"/>
    <w:rsid w:val="007A77F0"/>
    <w:rsid w:val="007A7FEA"/>
    <w:rsid w:val="007B04AE"/>
    <w:rsid w:val="007B0691"/>
    <w:rsid w:val="007B0980"/>
    <w:rsid w:val="007B0ADD"/>
    <w:rsid w:val="007B1233"/>
    <w:rsid w:val="007B2B61"/>
    <w:rsid w:val="007B3593"/>
    <w:rsid w:val="007B380D"/>
    <w:rsid w:val="007B3BF9"/>
    <w:rsid w:val="007B3EFB"/>
    <w:rsid w:val="007B640B"/>
    <w:rsid w:val="007B771E"/>
    <w:rsid w:val="007C0F7B"/>
    <w:rsid w:val="007C1C96"/>
    <w:rsid w:val="007C1E97"/>
    <w:rsid w:val="007C28A2"/>
    <w:rsid w:val="007C3497"/>
    <w:rsid w:val="007C3778"/>
    <w:rsid w:val="007C4971"/>
    <w:rsid w:val="007C510E"/>
    <w:rsid w:val="007C5BBF"/>
    <w:rsid w:val="007C5DBE"/>
    <w:rsid w:val="007C6758"/>
    <w:rsid w:val="007D0DEC"/>
    <w:rsid w:val="007D1325"/>
    <w:rsid w:val="007D15ED"/>
    <w:rsid w:val="007D44E5"/>
    <w:rsid w:val="007D4B82"/>
    <w:rsid w:val="007D4FA2"/>
    <w:rsid w:val="007D782C"/>
    <w:rsid w:val="007E013F"/>
    <w:rsid w:val="007E1E54"/>
    <w:rsid w:val="007E205D"/>
    <w:rsid w:val="007E2F59"/>
    <w:rsid w:val="007E3C45"/>
    <w:rsid w:val="007E3F9A"/>
    <w:rsid w:val="007E447D"/>
    <w:rsid w:val="007E6550"/>
    <w:rsid w:val="007E6826"/>
    <w:rsid w:val="007E6D8E"/>
    <w:rsid w:val="007E722A"/>
    <w:rsid w:val="007E7683"/>
    <w:rsid w:val="007E76AB"/>
    <w:rsid w:val="007F04E6"/>
    <w:rsid w:val="007F0C22"/>
    <w:rsid w:val="007F2E80"/>
    <w:rsid w:val="007F3CBC"/>
    <w:rsid w:val="007F5C58"/>
    <w:rsid w:val="007F6AA5"/>
    <w:rsid w:val="007F6CE0"/>
    <w:rsid w:val="007F7B85"/>
    <w:rsid w:val="0080091A"/>
    <w:rsid w:val="008016E6"/>
    <w:rsid w:val="00801EA2"/>
    <w:rsid w:val="00802336"/>
    <w:rsid w:val="0080291D"/>
    <w:rsid w:val="00802B25"/>
    <w:rsid w:val="00802C35"/>
    <w:rsid w:val="008039A9"/>
    <w:rsid w:val="008041C7"/>
    <w:rsid w:val="008052A5"/>
    <w:rsid w:val="00806B10"/>
    <w:rsid w:val="00807819"/>
    <w:rsid w:val="00807857"/>
    <w:rsid w:val="00807C3B"/>
    <w:rsid w:val="00810D04"/>
    <w:rsid w:val="0081144C"/>
    <w:rsid w:val="00811E1A"/>
    <w:rsid w:val="00813931"/>
    <w:rsid w:val="0081421E"/>
    <w:rsid w:val="00814A74"/>
    <w:rsid w:val="00814E66"/>
    <w:rsid w:val="008157D8"/>
    <w:rsid w:val="00815EED"/>
    <w:rsid w:val="00816318"/>
    <w:rsid w:val="00816B3E"/>
    <w:rsid w:val="00816C25"/>
    <w:rsid w:val="00816D44"/>
    <w:rsid w:val="00817BD7"/>
    <w:rsid w:val="00817F76"/>
    <w:rsid w:val="008208B3"/>
    <w:rsid w:val="00820C62"/>
    <w:rsid w:val="008216E3"/>
    <w:rsid w:val="00822087"/>
    <w:rsid w:val="00825A44"/>
    <w:rsid w:val="00825DB1"/>
    <w:rsid w:val="0082660C"/>
    <w:rsid w:val="00832708"/>
    <w:rsid w:val="008331CB"/>
    <w:rsid w:val="00833ACD"/>
    <w:rsid w:val="008348F1"/>
    <w:rsid w:val="008353E6"/>
    <w:rsid w:val="00835945"/>
    <w:rsid w:val="008360F0"/>
    <w:rsid w:val="008412D1"/>
    <w:rsid w:val="00841DB4"/>
    <w:rsid w:val="00843B2E"/>
    <w:rsid w:val="008455EA"/>
    <w:rsid w:val="00851437"/>
    <w:rsid w:val="0085432D"/>
    <w:rsid w:val="00854B5D"/>
    <w:rsid w:val="00854CEB"/>
    <w:rsid w:val="00857AAD"/>
    <w:rsid w:val="008606A1"/>
    <w:rsid w:val="00863438"/>
    <w:rsid w:val="0086483B"/>
    <w:rsid w:val="00864D7B"/>
    <w:rsid w:val="008657DF"/>
    <w:rsid w:val="00866281"/>
    <w:rsid w:val="0086662A"/>
    <w:rsid w:val="00866F9A"/>
    <w:rsid w:val="00867ECF"/>
    <w:rsid w:val="00871290"/>
    <w:rsid w:val="00871CF6"/>
    <w:rsid w:val="00873DD3"/>
    <w:rsid w:val="00873EA9"/>
    <w:rsid w:val="0087521A"/>
    <w:rsid w:val="00877316"/>
    <w:rsid w:val="00877719"/>
    <w:rsid w:val="00877E94"/>
    <w:rsid w:val="0088066C"/>
    <w:rsid w:val="00880823"/>
    <w:rsid w:val="00880EF4"/>
    <w:rsid w:val="00885B91"/>
    <w:rsid w:val="00891123"/>
    <w:rsid w:val="008923D8"/>
    <w:rsid w:val="008929FB"/>
    <w:rsid w:val="008930F6"/>
    <w:rsid w:val="0089415E"/>
    <w:rsid w:val="00894174"/>
    <w:rsid w:val="00895B8C"/>
    <w:rsid w:val="00895D97"/>
    <w:rsid w:val="00896810"/>
    <w:rsid w:val="008968B0"/>
    <w:rsid w:val="00896D5D"/>
    <w:rsid w:val="00896E53"/>
    <w:rsid w:val="008A0276"/>
    <w:rsid w:val="008A0CB9"/>
    <w:rsid w:val="008A1107"/>
    <w:rsid w:val="008A375D"/>
    <w:rsid w:val="008A4440"/>
    <w:rsid w:val="008A4C47"/>
    <w:rsid w:val="008A5253"/>
    <w:rsid w:val="008A615B"/>
    <w:rsid w:val="008A674D"/>
    <w:rsid w:val="008A67EA"/>
    <w:rsid w:val="008A6FC0"/>
    <w:rsid w:val="008A79F4"/>
    <w:rsid w:val="008B16B2"/>
    <w:rsid w:val="008B1A08"/>
    <w:rsid w:val="008B211E"/>
    <w:rsid w:val="008B296D"/>
    <w:rsid w:val="008B340C"/>
    <w:rsid w:val="008B3A89"/>
    <w:rsid w:val="008B4306"/>
    <w:rsid w:val="008B4423"/>
    <w:rsid w:val="008B52C4"/>
    <w:rsid w:val="008B66C2"/>
    <w:rsid w:val="008B6A42"/>
    <w:rsid w:val="008B6C54"/>
    <w:rsid w:val="008B780C"/>
    <w:rsid w:val="008C0EA3"/>
    <w:rsid w:val="008C4C81"/>
    <w:rsid w:val="008C5E9D"/>
    <w:rsid w:val="008C5FEB"/>
    <w:rsid w:val="008C7DCB"/>
    <w:rsid w:val="008D1CD6"/>
    <w:rsid w:val="008D1DA1"/>
    <w:rsid w:val="008D4EE1"/>
    <w:rsid w:val="008D6CAD"/>
    <w:rsid w:val="008D6E21"/>
    <w:rsid w:val="008D7237"/>
    <w:rsid w:val="008D73A5"/>
    <w:rsid w:val="008D74D8"/>
    <w:rsid w:val="008D750D"/>
    <w:rsid w:val="008D77AF"/>
    <w:rsid w:val="008E0027"/>
    <w:rsid w:val="008E0707"/>
    <w:rsid w:val="008E0886"/>
    <w:rsid w:val="008E1866"/>
    <w:rsid w:val="008E250F"/>
    <w:rsid w:val="008E33D2"/>
    <w:rsid w:val="008E346E"/>
    <w:rsid w:val="008E442F"/>
    <w:rsid w:val="008E4EC1"/>
    <w:rsid w:val="008E5889"/>
    <w:rsid w:val="008E5E2A"/>
    <w:rsid w:val="008E74BC"/>
    <w:rsid w:val="008E7F4D"/>
    <w:rsid w:val="008F0A81"/>
    <w:rsid w:val="008F18B2"/>
    <w:rsid w:val="008F411D"/>
    <w:rsid w:val="008F4783"/>
    <w:rsid w:val="008F5DD2"/>
    <w:rsid w:val="008F66EB"/>
    <w:rsid w:val="008F74FA"/>
    <w:rsid w:val="00900EA8"/>
    <w:rsid w:val="00901F34"/>
    <w:rsid w:val="00902694"/>
    <w:rsid w:val="009032A3"/>
    <w:rsid w:val="00906B5C"/>
    <w:rsid w:val="0090713B"/>
    <w:rsid w:val="00907168"/>
    <w:rsid w:val="009100C6"/>
    <w:rsid w:val="0091156A"/>
    <w:rsid w:val="00912F14"/>
    <w:rsid w:val="0091361B"/>
    <w:rsid w:val="00913B05"/>
    <w:rsid w:val="00913ED8"/>
    <w:rsid w:val="009143FC"/>
    <w:rsid w:val="0091551B"/>
    <w:rsid w:val="00915931"/>
    <w:rsid w:val="0091698E"/>
    <w:rsid w:val="00916C20"/>
    <w:rsid w:val="009172BB"/>
    <w:rsid w:val="00917B7E"/>
    <w:rsid w:val="009211C8"/>
    <w:rsid w:val="009211F8"/>
    <w:rsid w:val="009212B4"/>
    <w:rsid w:val="00921532"/>
    <w:rsid w:val="009216AF"/>
    <w:rsid w:val="00921858"/>
    <w:rsid w:val="00925872"/>
    <w:rsid w:val="0092596A"/>
    <w:rsid w:val="009272A9"/>
    <w:rsid w:val="00927B23"/>
    <w:rsid w:val="00927BC2"/>
    <w:rsid w:val="0093029A"/>
    <w:rsid w:val="00930ADF"/>
    <w:rsid w:val="00932915"/>
    <w:rsid w:val="0093322E"/>
    <w:rsid w:val="00934CDE"/>
    <w:rsid w:val="009351E9"/>
    <w:rsid w:val="00935A6D"/>
    <w:rsid w:val="00936375"/>
    <w:rsid w:val="009365AB"/>
    <w:rsid w:val="009372A2"/>
    <w:rsid w:val="00937D7C"/>
    <w:rsid w:val="00940640"/>
    <w:rsid w:val="00942647"/>
    <w:rsid w:val="009428D3"/>
    <w:rsid w:val="00944901"/>
    <w:rsid w:val="00945AE0"/>
    <w:rsid w:val="0094668B"/>
    <w:rsid w:val="009479F0"/>
    <w:rsid w:val="00950613"/>
    <w:rsid w:val="0095148E"/>
    <w:rsid w:val="00951BC4"/>
    <w:rsid w:val="00953079"/>
    <w:rsid w:val="0095435D"/>
    <w:rsid w:val="00954EA8"/>
    <w:rsid w:val="00954F26"/>
    <w:rsid w:val="00956102"/>
    <w:rsid w:val="009569AF"/>
    <w:rsid w:val="00960360"/>
    <w:rsid w:val="0096261A"/>
    <w:rsid w:val="00962684"/>
    <w:rsid w:val="00962ECF"/>
    <w:rsid w:val="0096429B"/>
    <w:rsid w:val="00964867"/>
    <w:rsid w:val="00964C49"/>
    <w:rsid w:val="009661AC"/>
    <w:rsid w:val="00966939"/>
    <w:rsid w:val="00967338"/>
    <w:rsid w:val="009702DB"/>
    <w:rsid w:val="009721CD"/>
    <w:rsid w:val="00972E82"/>
    <w:rsid w:val="0097335A"/>
    <w:rsid w:val="0097500D"/>
    <w:rsid w:val="00975DFD"/>
    <w:rsid w:val="009765C3"/>
    <w:rsid w:val="00976BFF"/>
    <w:rsid w:val="00976DC6"/>
    <w:rsid w:val="00981ED7"/>
    <w:rsid w:val="009824C4"/>
    <w:rsid w:val="00984C88"/>
    <w:rsid w:val="00985B14"/>
    <w:rsid w:val="00985BAD"/>
    <w:rsid w:val="009862C4"/>
    <w:rsid w:val="00990F67"/>
    <w:rsid w:val="00991A66"/>
    <w:rsid w:val="00991CC3"/>
    <w:rsid w:val="00996392"/>
    <w:rsid w:val="00997500"/>
    <w:rsid w:val="009A0111"/>
    <w:rsid w:val="009A23C0"/>
    <w:rsid w:val="009A3F88"/>
    <w:rsid w:val="009A4792"/>
    <w:rsid w:val="009A48DF"/>
    <w:rsid w:val="009A56B6"/>
    <w:rsid w:val="009A689A"/>
    <w:rsid w:val="009B04E3"/>
    <w:rsid w:val="009B27F8"/>
    <w:rsid w:val="009B38EA"/>
    <w:rsid w:val="009B4007"/>
    <w:rsid w:val="009B416E"/>
    <w:rsid w:val="009B7679"/>
    <w:rsid w:val="009B7D9C"/>
    <w:rsid w:val="009C0407"/>
    <w:rsid w:val="009C16AC"/>
    <w:rsid w:val="009C4229"/>
    <w:rsid w:val="009C4276"/>
    <w:rsid w:val="009C4BF3"/>
    <w:rsid w:val="009C5C2E"/>
    <w:rsid w:val="009C67D0"/>
    <w:rsid w:val="009C757A"/>
    <w:rsid w:val="009C7EBE"/>
    <w:rsid w:val="009D1060"/>
    <w:rsid w:val="009D13F8"/>
    <w:rsid w:val="009D2D37"/>
    <w:rsid w:val="009D4F26"/>
    <w:rsid w:val="009D5FF1"/>
    <w:rsid w:val="009D62FF"/>
    <w:rsid w:val="009D69AC"/>
    <w:rsid w:val="009D72E7"/>
    <w:rsid w:val="009D76A5"/>
    <w:rsid w:val="009D7BAE"/>
    <w:rsid w:val="009D7C2A"/>
    <w:rsid w:val="009E0CA9"/>
    <w:rsid w:val="009E3DDD"/>
    <w:rsid w:val="009E4446"/>
    <w:rsid w:val="009E58B5"/>
    <w:rsid w:val="009E5FFC"/>
    <w:rsid w:val="009E6802"/>
    <w:rsid w:val="009E68D9"/>
    <w:rsid w:val="009E76AD"/>
    <w:rsid w:val="009E78DC"/>
    <w:rsid w:val="009E7AC8"/>
    <w:rsid w:val="009F01C9"/>
    <w:rsid w:val="009F0C8B"/>
    <w:rsid w:val="009F125E"/>
    <w:rsid w:val="009F12CA"/>
    <w:rsid w:val="009F15DA"/>
    <w:rsid w:val="009F1BD9"/>
    <w:rsid w:val="009F2C90"/>
    <w:rsid w:val="009F3281"/>
    <w:rsid w:val="009F32E6"/>
    <w:rsid w:val="009F39C1"/>
    <w:rsid w:val="009F416B"/>
    <w:rsid w:val="009F5046"/>
    <w:rsid w:val="009F6051"/>
    <w:rsid w:val="00A0170D"/>
    <w:rsid w:val="00A020C5"/>
    <w:rsid w:val="00A02573"/>
    <w:rsid w:val="00A0319F"/>
    <w:rsid w:val="00A034CB"/>
    <w:rsid w:val="00A04622"/>
    <w:rsid w:val="00A0521A"/>
    <w:rsid w:val="00A05ACC"/>
    <w:rsid w:val="00A05F46"/>
    <w:rsid w:val="00A06ADF"/>
    <w:rsid w:val="00A07D85"/>
    <w:rsid w:val="00A10307"/>
    <w:rsid w:val="00A12671"/>
    <w:rsid w:val="00A141B1"/>
    <w:rsid w:val="00A14C4E"/>
    <w:rsid w:val="00A159AB"/>
    <w:rsid w:val="00A1696B"/>
    <w:rsid w:val="00A16EF2"/>
    <w:rsid w:val="00A20BEF"/>
    <w:rsid w:val="00A20EC7"/>
    <w:rsid w:val="00A2114A"/>
    <w:rsid w:val="00A223F1"/>
    <w:rsid w:val="00A22F22"/>
    <w:rsid w:val="00A23FEB"/>
    <w:rsid w:val="00A240C2"/>
    <w:rsid w:val="00A25029"/>
    <w:rsid w:val="00A25B40"/>
    <w:rsid w:val="00A261D3"/>
    <w:rsid w:val="00A26DFE"/>
    <w:rsid w:val="00A26F14"/>
    <w:rsid w:val="00A27927"/>
    <w:rsid w:val="00A27DC7"/>
    <w:rsid w:val="00A27EC2"/>
    <w:rsid w:val="00A27F94"/>
    <w:rsid w:val="00A3039B"/>
    <w:rsid w:val="00A303C4"/>
    <w:rsid w:val="00A30DF6"/>
    <w:rsid w:val="00A30F9E"/>
    <w:rsid w:val="00A325DC"/>
    <w:rsid w:val="00A35CE2"/>
    <w:rsid w:val="00A361F8"/>
    <w:rsid w:val="00A36ABC"/>
    <w:rsid w:val="00A36D07"/>
    <w:rsid w:val="00A371E2"/>
    <w:rsid w:val="00A373AB"/>
    <w:rsid w:val="00A3757B"/>
    <w:rsid w:val="00A376F1"/>
    <w:rsid w:val="00A37937"/>
    <w:rsid w:val="00A37943"/>
    <w:rsid w:val="00A4042E"/>
    <w:rsid w:val="00A40B5C"/>
    <w:rsid w:val="00A40CED"/>
    <w:rsid w:val="00A41C7F"/>
    <w:rsid w:val="00A42DCC"/>
    <w:rsid w:val="00A43E29"/>
    <w:rsid w:val="00A4791C"/>
    <w:rsid w:val="00A47921"/>
    <w:rsid w:val="00A47A96"/>
    <w:rsid w:val="00A507BD"/>
    <w:rsid w:val="00A51D5F"/>
    <w:rsid w:val="00A5232E"/>
    <w:rsid w:val="00A52F3F"/>
    <w:rsid w:val="00A53721"/>
    <w:rsid w:val="00A54419"/>
    <w:rsid w:val="00A548AF"/>
    <w:rsid w:val="00A63508"/>
    <w:rsid w:val="00A64EA9"/>
    <w:rsid w:val="00A66051"/>
    <w:rsid w:val="00A66FB2"/>
    <w:rsid w:val="00A6737A"/>
    <w:rsid w:val="00A6752E"/>
    <w:rsid w:val="00A67572"/>
    <w:rsid w:val="00A67AE8"/>
    <w:rsid w:val="00A67C12"/>
    <w:rsid w:val="00A70C67"/>
    <w:rsid w:val="00A74694"/>
    <w:rsid w:val="00A76A6A"/>
    <w:rsid w:val="00A76A8B"/>
    <w:rsid w:val="00A77713"/>
    <w:rsid w:val="00A77B06"/>
    <w:rsid w:val="00A77CD5"/>
    <w:rsid w:val="00A77D3A"/>
    <w:rsid w:val="00A814D8"/>
    <w:rsid w:val="00A8195B"/>
    <w:rsid w:val="00A82D5B"/>
    <w:rsid w:val="00A84D65"/>
    <w:rsid w:val="00A863A0"/>
    <w:rsid w:val="00A86BA7"/>
    <w:rsid w:val="00A90728"/>
    <w:rsid w:val="00A91409"/>
    <w:rsid w:val="00A924A6"/>
    <w:rsid w:val="00A94608"/>
    <w:rsid w:val="00A94883"/>
    <w:rsid w:val="00A96854"/>
    <w:rsid w:val="00AA081B"/>
    <w:rsid w:val="00AA08DC"/>
    <w:rsid w:val="00AA19A2"/>
    <w:rsid w:val="00AA26FE"/>
    <w:rsid w:val="00AA44EC"/>
    <w:rsid w:val="00AA49D2"/>
    <w:rsid w:val="00AA4BC8"/>
    <w:rsid w:val="00AA4CA2"/>
    <w:rsid w:val="00AA4EFF"/>
    <w:rsid w:val="00AA52F9"/>
    <w:rsid w:val="00AA5450"/>
    <w:rsid w:val="00AA5D07"/>
    <w:rsid w:val="00AA7364"/>
    <w:rsid w:val="00AA7BF5"/>
    <w:rsid w:val="00AB0243"/>
    <w:rsid w:val="00AB12F2"/>
    <w:rsid w:val="00AB1AD0"/>
    <w:rsid w:val="00AB1F42"/>
    <w:rsid w:val="00AB4292"/>
    <w:rsid w:val="00AB42D7"/>
    <w:rsid w:val="00AB43F9"/>
    <w:rsid w:val="00AB4497"/>
    <w:rsid w:val="00AB4545"/>
    <w:rsid w:val="00AB5043"/>
    <w:rsid w:val="00AB5250"/>
    <w:rsid w:val="00AB54C5"/>
    <w:rsid w:val="00AB78B1"/>
    <w:rsid w:val="00AB7FAF"/>
    <w:rsid w:val="00AC1F38"/>
    <w:rsid w:val="00AC3055"/>
    <w:rsid w:val="00AC5E0B"/>
    <w:rsid w:val="00AD0143"/>
    <w:rsid w:val="00AD0846"/>
    <w:rsid w:val="00AD3031"/>
    <w:rsid w:val="00AD3176"/>
    <w:rsid w:val="00AD346A"/>
    <w:rsid w:val="00AD47F7"/>
    <w:rsid w:val="00AD5414"/>
    <w:rsid w:val="00AD5503"/>
    <w:rsid w:val="00AD6151"/>
    <w:rsid w:val="00AD7C8C"/>
    <w:rsid w:val="00AE0041"/>
    <w:rsid w:val="00AE1E3C"/>
    <w:rsid w:val="00AE66CE"/>
    <w:rsid w:val="00AE6C2F"/>
    <w:rsid w:val="00AF1E9F"/>
    <w:rsid w:val="00AF3948"/>
    <w:rsid w:val="00AF4336"/>
    <w:rsid w:val="00AF4E11"/>
    <w:rsid w:val="00AF5B09"/>
    <w:rsid w:val="00AF676F"/>
    <w:rsid w:val="00AF6DD5"/>
    <w:rsid w:val="00B00477"/>
    <w:rsid w:val="00B0080F"/>
    <w:rsid w:val="00B01D1E"/>
    <w:rsid w:val="00B02505"/>
    <w:rsid w:val="00B0316E"/>
    <w:rsid w:val="00B04E86"/>
    <w:rsid w:val="00B100F9"/>
    <w:rsid w:val="00B10399"/>
    <w:rsid w:val="00B1107C"/>
    <w:rsid w:val="00B12E9C"/>
    <w:rsid w:val="00B1334B"/>
    <w:rsid w:val="00B16104"/>
    <w:rsid w:val="00B224E1"/>
    <w:rsid w:val="00B22791"/>
    <w:rsid w:val="00B24A43"/>
    <w:rsid w:val="00B25201"/>
    <w:rsid w:val="00B25231"/>
    <w:rsid w:val="00B25F67"/>
    <w:rsid w:val="00B27024"/>
    <w:rsid w:val="00B27487"/>
    <w:rsid w:val="00B311AF"/>
    <w:rsid w:val="00B323F6"/>
    <w:rsid w:val="00B32845"/>
    <w:rsid w:val="00B330D4"/>
    <w:rsid w:val="00B33990"/>
    <w:rsid w:val="00B340DA"/>
    <w:rsid w:val="00B3585D"/>
    <w:rsid w:val="00B36D4E"/>
    <w:rsid w:val="00B36DF5"/>
    <w:rsid w:val="00B37061"/>
    <w:rsid w:val="00B40B69"/>
    <w:rsid w:val="00B41729"/>
    <w:rsid w:val="00B4187B"/>
    <w:rsid w:val="00B41C65"/>
    <w:rsid w:val="00B428E6"/>
    <w:rsid w:val="00B42DA8"/>
    <w:rsid w:val="00B439D9"/>
    <w:rsid w:val="00B453DB"/>
    <w:rsid w:val="00B45E13"/>
    <w:rsid w:val="00B467E0"/>
    <w:rsid w:val="00B46802"/>
    <w:rsid w:val="00B473E9"/>
    <w:rsid w:val="00B47871"/>
    <w:rsid w:val="00B478EE"/>
    <w:rsid w:val="00B52C87"/>
    <w:rsid w:val="00B52CF9"/>
    <w:rsid w:val="00B536D1"/>
    <w:rsid w:val="00B54470"/>
    <w:rsid w:val="00B545E7"/>
    <w:rsid w:val="00B55674"/>
    <w:rsid w:val="00B55E97"/>
    <w:rsid w:val="00B56089"/>
    <w:rsid w:val="00B60E52"/>
    <w:rsid w:val="00B6172E"/>
    <w:rsid w:val="00B6244B"/>
    <w:rsid w:val="00B626DC"/>
    <w:rsid w:val="00B6322E"/>
    <w:rsid w:val="00B6368C"/>
    <w:rsid w:val="00B6388A"/>
    <w:rsid w:val="00B64272"/>
    <w:rsid w:val="00B6451A"/>
    <w:rsid w:val="00B655F4"/>
    <w:rsid w:val="00B65859"/>
    <w:rsid w:val="00B664B2"/>
    <w:rsid w:val="00B66992"/>
    <w:rsid w:val="00B66C8F"/>
    <w:rsid w:val="00B670A2"/>
    <w:rsid w:val="00B6794E"/>
    <w:rsid w:val="00B67C91"/>
    <w:rsid w:val="00B67F72"/>
    <w:rsid w:val="00B715BA"/>
    <w:rsid w:val="00B728F5"/>
    <w:rsid w:val="00B731FA"/>
    <w:rsid w:val="00B75309"/>
    <w:rsid w:val="00B75D30"/>
    <w:rsid w:val="00B75D42"/>
    <w:rsid w:val="00B77646"/>
    <w:rsid w:val="00B80380"/>
    <w:rsid w:val="00B80CCA"/>
    <w:rsid w:val="00B8161B"/>
    <w:rsid w:val="00B828FE"/>
    <w:rsid w:val="00B84146"/>
    <w:rsid w:val="00B84787"/>
    <w:rsid w:val="00B87E6A"/>
    <w:rsid w:val="00B90A0D"/>
    <w:rsid w:val="00B9153A"/>
    <w:rsid w:val="00B91D55"/>
    <w:rsid w:val="00B92351"/>
    <w:rsid w:val="00B928A4"/>
    <w:rsid w:val="00B9331B"/>
    <w:rsid w:val="00B937DE"/>
    <w:rsid w:val="00B9393E"/>
    <w:rsid w:val="00B9408E"/>
    <w:rsid w:val="00B94C9D"/>
    <w:rsid w:val="00B95103"/>
    <w:rsid w:val="00B95591"/>
    <w:rsid w:val="00B964F9"/>
    <w:rsid w:val="00BA0BA6"/>
    <w:rsid w:val="00BA1B8F"/>
    <w:rsid w:val="00BA27AD"/>
    <w:rsid w:val="00BA3477"/>
    <w:rsid w:val="00BA421A"/>
    <w:rsid w:val="00BA644E"/>
    <w:rsid w:val="00BA6E11"/>
    <w:rsid w:val="00BB1C60"/>
    <w:rsid w:val="00BB228E"/>
    <w:rsid w:val="00BB3186"/>
    <w:rsid w:val="00BB3213"/>
    <w:rsid w:val="00BB36B2"/>
    <w:rsid w:val="00BB3ABF"/>
    <w:rsid w:val="00BB4FDD"/>
    <w:rsid w:val="00BB61F4"/>
    <w:rsid w:val="00BB6E3F"/>
    <w:rsid w:val="00BC01F3"/>
    <w:rsid w:val="00BC0DC2"/>
    <w:rsid w:val="00BC178D"/>
    <w:rsid w:val="00BC1AAB"/>
    <w:rsid w:val="00BC2E32"/>
    <w:rsid w:val="00BC3427"/>
    <w:rsid w:val="00BC419A"/>
    <w:rsid w:val="00BC48C3"/>
    <w:rsid w:val="00BC5BF1"/>
    <w:rsid w:val="00BD09C5"/>
    <w:rsid w:val="00BD1795"/>
    <w:rsid w:val="00BD1D5C"/>
    <w:rsid w:val="00BD2C77"/>
    <w:rsid w:val="00BD2CBE"/>
    <w:rsid w:val="00BD3C20"/>
    <w:rsid w:val="00BD3FAB"/>
    <w:rsid w:val="00BD40D2"/>
    <w:rsid w:val="00BD4E55"/>
    <w:rsid w:val="00BD6BD1"/>
    <w:rsid w:val="00BD785F"/>
    <w:rsid w:val="00BD7E22"/>
    <w:rsid w:val="00BD7E61"/>
    <w:rsid w:val="00BE018F"/>
    <w:rsid w:val="00BE1B3B"/>
    <w:rsid w:val="00BE1D67"/>
    <w:rsid w:val="00BE2174"/>
    <w:rsid w:val="00BE2420"/>
    <w:rsid w:val="00BE2DB3"/>
    <w:rsid w:val="00BE44CD"/>
    <w:rsid w:val="00BE4CC9"/>
    <w:rsid w:val="00BE5B01"/>
    <w:rsid w:val="00BE6801"/>
    <w:rsid w:val="00BE6CEB"/>
    <w:rsid w:val="00BF0DDD"/>
    <w:rsid w:val="00BF2E8F"/>
    <w:rsid w:val="00BF3043"/>
    <w:rsid w:val="00BF3645"/>
    <w:rsid w:val="00BF57A0"/>
    <w:rsid w:val="00BF6D1D"/>
    <w:rsid w:val="00BF6F9E"/>
    <w:rsid w:val="00BF7B4B"/>
    <w:rsid w:val="00C01748"/>
    <w:rsid w:val="00C0232D"/>
    <w:rsid w:val="00C03E5B"/>
    <w:rsid w:val="00C0511C"/>
    <w:rsid w:val="00C053DA"/>
    <w:rsid w:val="00C059CC"/>
    <w:rsid w:val="00C0718F"/>
    <w:rsid w:val="00C07A09"/>
    <w:rsid w:val="00C10AEA"/>
    <w:rsid w:val="00C121AB"/>
    <w:rsid w:val="00C127E0"/>
    <w:rsid w:val="00C13552"/>
    <w:rsid w:val="00C13608"/>
    <w:rsid w:val="00C13F05"/>
    <w:rsid w:val="00C155FE"/>
    <w:rsid w:val="00C1743A"/>
    <w:rsid w:val="00C1754F"/>
    <w:rsid w:val="00C17A77"/>
    <w:rsid w:val="00C200C1"/>
    <w:rsid w:val="00C21CF7"/>
    <w:rsid w:val="00C21E20"/>
    <w:rsid w:val="00C230E7"/>
    <w:rsid w:val="00C24AFA"/>
    <w:rsid w:val="00C24B12"/>
    <w:rsid w:val="00C301E8"/>
    <w:rsid w:val="00C309B0"/>
    <w:rsid w:val="00C31E82"/>
    <w:rsid w:val="00C329E9"/>
    <w:rsid w:val="00C333F2"/>
    <w:rsid w:val="00C337AC"/>
    <w:rsid w:val="00C33A27"/>
    <w:rsid w:val="00C3511B"/>
    <w:rsid w:val="00C35574"/>
    <w:rsid w:val="00C371B6"/>
    <w:rsid w:val="00C37D58"/>
    <w:rsid w:val="00C403DB"/>
    <w:rsid w:val="00C4073C"/>
    <w:rsid w:val="00C42B64"/>
    <w:rsid w:val="00C43568"/>
    <w:rsid w:val="00C4450B"/>
    <w:rsid w:val="00C445B2"/>
    <w:rsid w:val="00C45E66"/>
    <w:rsid w:val="00C46D97"/>
    <w:rsid w:val="00C470BD"/>
    <w:rsid w:val="00C4722E"/>
    <w:rsid w:val="00C50141"/>
    <w:rsid w:val="00C5095C"/>
    <w:rsid w:val="00C50C8D"/>
    <w:rsid w:val="00C50D17"/>
    <w:rsid w:val="00C50E2E"/>
    <w:rsid w:val="00C50F5E"/>
    <w:rsid w:val="00C51562"/>
    <w:rsid w:val="00C52E9B"/>
    <w:rsid w:val="00C5375B"/>
    <w:rsid w:val="00C54B35"/>
    <w:rsid w:val="00C55B1D"/>
    <w:rsid w:val="00C563C8"/>
    <w:rsid w:val="00C5787A"/>
    <w:rsid w:val="00C60B93"/>
    <w:rsid w:val="00C60D14"/>
    <w:rsid w:val="00C612A4"/>
    <w:rsid w:val="00C6153A"/>
    <w:rsid w:val="00C63185"/>
    <w:rsid w:val="00C632D5"/>
    <w:rsid w:val="00C651E2"/>
    <w:rsid w:val="00C660AF"/>
    <w:rsid w:val="00C6757F"/>
    <w:rsid w:val="00C70138"/>
    <w:rsid w:val="00C70C15"/>
    <w:rsid w:val="00C75598"/>
    <w:rsid w:val="00C77D9C"/>
    <w:rsid w:val="00C80790"/>
    <w:rsid w:val="00C82990"/>
    <w:rsid w:val="00C8318E"/>
    <w:rsid w:val="00C83F58"/>
    <w:rsid w:val="00C84AB5"/>
    <w:rsid w:val="00C84E1D"/>
    <w:rsid w:val="00C84FFC"/>
    <w:rsid w:val="00C868B6"/>
    <w:rsid w:val="00C86A87"/>
    <w:rsid w:val="00C87926"/>
    <w:rsid w:val="00C917CC"/>
    <w:rsid w:val="00C92D1B"/>
    <w:rsid w:val="00C949F3"/>
    <w:rsid w:val="00C95F43"/>
    <w:rsid w:val="00C96291"/>
    <w:rsid w:val="00C96813"/>
    <w:rsid w:val="00C96FFA"/>
    <w:rsid w:val="00C970E8"/>
    <w:rsid w:val="00C97691"/>
    <w:rsid w:val="00CA3EEE"/>
    <w:rsid w:val="00CA4193"/>
    <w:rsid w:val="00CA756D"/>
    <w:rsid w:val="00CA769F"/>
    <w:rsid w:val="00CA7DF3"/>
    <w:rsid w:val="00CB0D96"/>
    <w:rsid w:val="00CB20FD"/>
    <w:rsid w:val="00CB2391"/>
    <w:rsid w:val="00CB39F1"/>
    <w:rsid w:val="00CB4885"/>
    <w:rsid w:val="00CB5EE2"/>
    <w:rsid w:val="00CB6B00"/>
    <w:rsid w:val="00CB7863"/>
    <w:rsid w:val="00CC0771"/>
    <w:rsid w:val="00CC22D8"/>
    <w:rsid w:val="00CC25DB"/>
    <w:rsid w:val="00CC435F"/>
    <w:rsid w:val="00CC5545"/>
    <w:rsid w:val="00CC5986"/>
    <w:rsid w:val="00CC5D88"/>
    <w:rsid w:val="00CC612C"/>
    <w:rsid w:val="00CC64E2"/>
    <w:rsid w:val="00CC650E"/>
    <w:rsid w:val="00CC778A"/>
    <w:rsid w:val="00CC7A10"/>
    <w:rsid w:val="00CD1114"/>
    <w:rsid w:val="00CD13A2"/>
    <w:rsid w:val="00CD2B4E"/>
    <w:rsid w:val="00CD3443"/>
    <w:rsid w:val="00CD43EC"/>
    <w:rsid w:val="00CD514B"/>
    <w:rsid w:val="00CD5DDC"/>
    <w:rsid w:val="00CD6E28"/>
    <w:rsid w:val="00CD7510"/>
    <w:rsid w:val="00CE1050"/>
    <w:rsid w:val="00CE1388"/>
    <w:rsid w:val="00CE16DF"/>
    <w:rsid w:val="00CE1A24"/>
    <w:rsid w:val="00CE2F8B"/>
    <w:rsid w:val="00CE3B65"/>
    <w:rsid w:val="00CE476A"/>
    <w:rsid w:val="00CE6E2A"/>
    <w:rsid w:val="00CE7735"/>
    <w:rsid w:val="00CF10C0"/>
    <w:rsid w:val="00CF194D"/>
    <w:rsid w:val="00CF24D6"/>
    <w:rsid w:val="00CF2C60"/>
    <w:rsid w:val="00CF3E2D"/>
    <w:rsid w:val="00CF4A41"/>
    <w:rsid w:val="00CF508F"/>
    <w:rsid w:val="00CF53F8"/>
    <w:rsid w:val="00CF645D"/>
    <w:rsid w:val="00CF7500"/>
    <w:rsid w:val="00CF7A83"/>
    <w:rsid w:val="00D00662"/>
    <w:rsid w:val="00D02189"/>
    <w:rsid w:val="00D0251E"/>
    <w:rsid w:val="00D03B88"/>
    <w:rsid w:val="00D0447F"/>
    <w:rsid w:val="00D0798C"/>
    <w:rsid w:val="00D07A17"/>
    <w:rsid w:val="00D107DD"/>
    <w:rsid w:val="00D10F0F"/>
    <w:rsid w:val="00D1139C"/>
    <w:rsid w:val="00D117BA"/>
    <w:rsid w:val="00D129E1"/>
    <w:rsid w:val="00D13EE9"/>
    <w:rsid w:val="00D16C7B"/>
    <w:rsid w:val="00D17213"/>
    <w:rsid w:val="00D17DAD"/>
    <w:rsid w:val="00D213E6"/>
    <w:rsid w:val="00D227EA"/>
    <w:rsid w:val="00D22813"/>
    <w:rsid w:val="00D2505E"/>
    <w:rsid w:val="00D266AE"/>
    <w:rsid w:val="00D2763A"/>
    <w:rsid w:val="00D27E94"/>
    <w:rsid w:val="00D27F62"/>
    <w:rsid w:val="00D303AD"/>
    <w:rsid w:val="00D31699"/>
    <w:rsid w:val="00D3325C"/>
    <w:rsid w:val="00D332C1"/>
    <w:rsid w:val="00D33A55"/>
    <w:rsid w:val="00D348C8"/>
    <w:rsid w:val="00D34EED"/>
    <w:rsid w:val="00D35848"/>
    <w:rsid w:val="00D363FA"/>
    <w:rsid w:val="00D4021E"/>
    <w:rsid w:val="00D41998"/>
    <w:rsid w:val="00D42397"/>
    <w:rsid w:val="00D438FC"/>
    <w:rsid w:val="00D4440D"/>
    <w:rsid w:val="00D4602A"/>
    <w:rsid w:val="00D4688D"/>
    <w:rsid w:val="00D46A17"/>
    <w:rsid w:val="00D4761B"/>
    <w:rsid w:val="00D47991"/>
    <w:rsid w:val="00D47A30"/>
    <w:rsid w:val="00D47F9D"/>
    <w:rsid w:val="00D5128C"/>
    <w:rsid w:val="00D51BE2"/>
    <w:rsid w:val="00D51D39"/>
    <w:rsid w:val="00D522BE"/>
    <w:rsid w:val="00D552BE"/>
    <w:rsid w:val="00D552E2"/>
    <w:rsid w:val="00D55391"/>
    <w:rsid w:val="00D56569"/>
    <w:rsid w:val="00D57407"/>
    <w:rsid w:val="00D607C4"/>
    <w:rsid w:val="00D60BC0"/>
    <w:rsid w:val="00D62350"/>
    <w:rsid w:val="00D6308C"/>
    <w:rsid w:val="00D63423"/>
    <w:rsid w:val="00D64481"/>
    <w:rsid w:val="00D6652D"/>
    <w:rsid w:val="00D66692"/>
    <w:rsid w:val="00D66A61"/>
    <w:rsid w:val="00D675A6"/>
    <w:rsid w:val="00D72A9B"/>
    <w:rsid w:val="00D74883"/>
    <w:rsid w:val="00D76023"/>
    <w:rsid w:val="00D76192"/>
    <w:rsid w:val="00D7624B"/>
    <w:rsid w:val="00D76FBE"/>
    <w:rsid w:val="00D77163"/>
    <w:rsid w:val="00D800F9"/>
    <w:rsid w:val="00D81FE0"/>
    <w:rsid w:val="00D820E3"/>
    <w:rsid w:val="00D85B54"/>
    <w:rsid w:val="00D86852"/>
    <w:rsid w:val="00D86D6B"/>
    <w:rsid w:val="00D91A9F"/>
    <w:rsid w:val="00D9271D"/>
    <w:rsid w:val="00D93804"/>
    <w:rsid w:val="00D93C4E"/>
    <w:rsid w:val="00D94965"/>
    <w:rsid w:val="00D96D61"/>
    <w:rsid w:val="00D9735B"/>
    <w:rsid w:val="00D97A05"/>
    <w:rsid w:val="00D97C70"/>
    <w:rsid w:val="00DA0233"/>
    <w:rsid w:val="00DA0D5D"/>
    <w:rsid w:val="00DA1186"/>
    <w:rsid w:val="00DA12C9"/>
    <w:rsid w:val="00DA1A4F"/>
    <w:rsid w:val="00DA1EED"/>
    <w:rsid w:val="00DA2E7D"/>
    <w:rsid w:val="00DA3BE5"/>
    <w:rsid w:val="00DA3F4F"/>
    <w:rsid w:val="00DA4AC9"/>
    <w:rsid w:val="00DA5025"/>
    <w:rsid w:val="00DA63E4"/>
    <w:rsid w:val="00DA6A73"/>
    <w:rsid w:val="00DB0773"/>
    <w:rsid w:val="00DB0AC8"/>
    <w:rsid w:val="00DB1357"/>
    <w:rsid w:val="00DB19AA"/>
    <w:rsid w:val="00DB4E0D"/>
    <w:rsid w:val="00DB5167"/>
    <w:rsid w:val="00DB57C7"/>
    <w:rsid w:val="00DB69F2"/>
    <w:rsid w:val="00DB7E50"/>
    <w:rsid w:val="00DB7F56"/>
    <w:rsid w:val="00DB7FA9"/>
    <w:rsid w:val="00DC200F"/>
    <w:rsid w:val="00DC23BF"/>
    <w:rsid w:val="00DC3045"/>
    <w:rsid w:val="00DC3089"/>
    <w:rsid w:val="00DC50D8"/>
    <w:rsid w:val="00DC6323"/>
    <w:rsid w:val="00DC66AA"/>
    <w:rsid w:val="00DC6E39"/>
    <w:rsid w:val="00DD0214"/>
    <w:rsid w:val="00DD0C12"/>
    <w:rsid w:val="00DD0FE3"/>
    <w:rsid w:val="00DD131A"/>
    <w:rsid w:val="00DD153D"/>
    <w:rsid w:val="00DD4A6C"/>
    <w:rsid w:val="00DD4D61"/>
    <w:rsid w:val="00DD514C"/>
    <w:rsid w:val="00DD771F"/>
    <w:rsid w:val="00DD7A24"/>
    <w:rsid w:val="00DE0827"/>
    <w:rsid w:val="00DE269C"/>
    <w:rsid w:val="00DE42C8"/>
    <w:rsid w:val="00DE5326"/>
    <w:rsid w:val="00DE5B0E"/>
    <w:rsid w:val="00DE5CCB"/>
    <w:rsid w:val="00DE6290"/>
    <w:rsid w:val="00DE64BD"/>
    <w:rsid w:val="00DE7330"/>
    <w:rsid w:val="00DF0046"/>
    <w:rsid w:val="00DF0150"/>
    <w:rsid w:val="00DF0715"/>
    <w:rsid w:val="00DF1019"/>
    <w:rsid w:val="00DF1F58"/>
    <w:rsid w:val="00DF1F68"/>
    <w:rsid w:val="00DF21E9"/>
    <w:rsid w:val="00DF314F"/>
    <w:rsid w:val="00DF44DF"/>
    <w:rsid w:val="00DF5060"/>
    <w:rsid w:val="00E0060E"/>
    <w:rsid w:val="00E00D04"/>
    <w:rsid w:val="00E00F57"/>
    <w:rsid w:val="00E01937"/>
    <w:rsid w:val="00E01968"/>
    <w:rsid w:val="00E0262C"/>
    <w:rsid w:val="00E033CC"/>
    <w:rsid w:val="00E0351B"/>
    <w:rsid w:val="00E036E3"/>
    <w:rsid w:val="00E042D3"/>
    <w:rsid w:val="00E06736"/>
    <w:rsid w:val="00E07B21"/>
    <w:rsid w:val="00E103D4"/>
    <w:rsid w:val="00E13066"/>
    <w:rsid w:val="00E13490"/>
    <w:rsid w:val="00E134F8"/>
    <w:rsid w:val="00E14204"/>
    <w:rsid w:val="00E15C6B"/>
    <w:rsid w:val="00E15F09"/>
    <w:rsid w:val="00E160E5"/>
    <w:rsid w:val="00E16A3E"/>
    <w:rsid w:val="00E16F85"/>
    <w:rsid w:val="00E170C5"/>
    <w:rsid w:val="00E17716"/>
    <w:rsid w:val="00E17DCE"/>
    <w:rsid w:val="00E17EDF"/>
    <w:rsid w:val="00E20969"/>
    <w:rsid w:val="00E210A0"/>
    <w:rsid w:val="00E21558"/>
    <w:rsid w:val="00E21B63"/>
    <w:rsid w:val="00E22B09"/>
    <w:rsid w:val="00E235CB"/>
    <w:rsid w:val="00E23756"/>
    <w:rsid w:val="00E2381B"/>
    <w:rsid w:val="00E238EA"/>
    <w:rsid w:val="00E23E8A"/>
    <w:rsid w:val="00E23F11"/>
    <w:rsid w:val="00E30CFD"/>
    <w:rsid w:val="00E313A9"/>
    <w:rsid w:val="00E31748"/>
    <w:rsid w:val="00E32504"/>
    <w:rsid w:val="00E33483"/>
    <w:rsid w:val="00E338AE"/>
    <w:rsid w:val="00E33F12"/>
    <w:rsid w:val="00E341C4"/>
    <w:rsid w:val="00E34210"/>
    <w:rsid w:val="00E3422D"/>
    <w:rsid w:val="00E34447"/>
    <w:rsid w:val="00E35815"/>
    <w:rsid w:val="00E35C1C"/>
    <w:rsid w:val="00E35FE8"/>
    <w:rsid w:val="00E41AAF"/>
    <w:rsid w:val="00E41D7F"/>
    <w:rsid w:val="00E43ACF"/>
    <w:rsid w:val="00E44492"/>
    <w:rsid w:val="00E44C45"/>
    <w:rsid w:val="00E4533B"/>
    <w:rsid w:val="00E5002E"/>
    <w:rsid w:val="00E51990"/>
    <w:rsid w:val="00E51BD5"/>
    <w:rsid w:val="00E52DB0"/>
    <w:rsid w:val="00E52F20"/>
    <w:rsid w:val="00E53B36"/>
    <w:rsid w:val="00E53C99"/>
    <w:rsid w:val="00E54E65"/>
    <w:rsid w:val="00E55148"/>
    <w:rsid w:val="00E57362"/>
    <w:rsid w:val="00E602F3"/>
    <w:rsid w:val="00E603D1"/>
    <w:rsid w:val="00E61A35"/>
    <w:rsid w:val="00E62D0C"/>
    <w:rsid w:val="00E62F2D"/>
    <w:rsid w:val="00E633C1"/>
    <w:rsid w:val="00E64211"/>
    <w:rsid w:val="00E64597"/>
    <w:rsid w:val="00E6469A"/>
    <w:rsid w:val="00E66326"/>
    <w:rsid w:val="00E6755F"/>
    <w:rsid w:val="00E677D5"/>
    <w:rsid w:val="00E70E91"/>
    <w:rsid w:val="00E71915"/>
    <w:rsid w:val="00E71F12"/>
    <w:rsid w:val="00E72646"/>
    <w:rsid w:val="00E73869"/>
    <w:rsid w:val="00E73E28"/>
    <w:rsid w:val="00E73FE2"/>
    <w:rsid w:val="00E74259"/>
    <w:rsid w:val="00E7541A"/>
    <w:rsid w:val="00E7585C"/>
    <w:rsid w:val="00E75C4E"/>
    <w:rsid w:val="00E76129"/>
    <w:rsid w:val="00E7692C"/>
    <w:rsid w:val="00E7727F"/>
    <w:rsid w:val="00E77EC9"/>
    <w:rsid w:val="00E8175F"/>
    <w:rsid w:val="00E825EE"/>
    <w:rsid w:val="00E83D32"/>
    <w:rsid w:val="00E8422C"/>
    <w:rsid w:val="00E84464"/>
    <w:rsid w:val="00E854C0"/>
    <w:rsid w:val="00E8603B"/>
    <w:rsid w:val="00E905FA"/>
    <w:rsid w:val="00E912D7"/>
    <w:rsid w:val="00E919F3"/>
    <w:rsid w:val="00E93E28"/>
    <w:rsid w:val="00E946DD"/>
    <w:rsid w:val="00E94FA2"/>
    <w:rsid w:val="00E952DB"/>
    <w:rsid w:val="00E96176"/>
    <w:rsid w:val="00E96E9A"/>
    <w:rsid w:val="00E97AAB"/>
    <w:rsid w:val="00E97D93"/>
    <w:rsid w:val="00EA081E"/>
    <w:rsid w:val="00EA1716"/>
    <w:rsid w:val="00EA2E24"/>
    <w:rsid w:val="00EA3575"/>
    <w:rsid w:val="00EA5AAC"/>
    <w:rsid w:val="00EA7EA4"/>
    <w:rsid w:val="00EB258B"/>
    <w:rsid w:val="00EB29F0"/>
    <w:rsid w:val="00EB2EB3"/>
    <w:rsid w:val="00EB3322"/>
    <w:rsid w:val="00EB34D8"/>
    <w:rsid w:val="00EB5838"/>
    <w:rsid w:val="00EB6355"/>
    <w:rsid w:val="00EC0AA0"/>
    <w:rsid w:val="00EC0DD9"/>
    <w:rsid w:val="00EC11D7"/>
    <w:rsid w:val="00EC30DD"/>
    <w:rsid w:val="00EC37BD"/>
    <w:rsid w:val="00EC43C8"/>
    <w:rsid w:val="00EC4BBC"/>
    <w:rsid w:val="00EC4E43"/>
    <w:rsid w:val="00EC71ED"/>
    <w:rsid w:val="00EC73B6"/>
    <w:rsid w:val="00EC7DF3"/>
    <w:rsid w:val="00EC7FB8"/>
    <w:rsid w:val="00ED0DAD"/>
    <w:rsid w:val="00ED1DB3"/>
    <w:rsid w:val="00ED2D11"/>
    <w:rsid w:val="00ED3C2D"/>
    <w:rsid w:val="00ED4DD6"/>
    <w:rsid w:val="00ED5561"/>
    <w:rsid w:val="00EE0E60"/>
    <w:rsid w:val="00EE1C75"/>
    <w:rsid w:val="00EE24C9"/>
    <w:rsid w:val="00EE2AAB"/>
    <w:rsid w:val="00EE2C22"/>
    <w:rsid w:val="00EE314E"/>
    <w:rsid w:val="00EE3C3F"/>
    <w:rsid w:val="00EE43F3"/>
    <w:rsid w:val="00EE4A88"/>
    <w:rsid w:val="00EE6F17"/>
    <w:rsid w:val="00EE77D7"/>
    <w:rsid w:val="00EE786D"/>
    <w:rsid w:val="00EF10A3"/>
    <w:rsid w:val="00EF1A8F"/>
    <w:rsid w:val="00EF37A7"/>
    <w:rsid w:val="00EF3D42"/>
    <w:rsid w:val="00EF6120"/>
    <w:rsid w:val="00EF6BDA"/>
    <w:rsid w:val="00EF70BC"/>
    <w:rsid w:val="00EF733A"/>
    <w:rsid w:val="00F00420"/>
    <w:rsid w:val="00F01759"/>
    <w:rsid w:val="00F02588"/>
    <w:rsid w:val="00F02F35"/>
    <w:rsid w:val="00F030FB"/>
    <w:rsid w:val="00F05178"/>
    <w:rsid w:val="00F05977"/>
    <w:rsid w:val="00F0659E"/>
    <w:rsid w:val="00F07154"/>
    <w:rsid w:val="00F102B5"/>
    <w:rsid w:val="00F11138"/>
    <w:rsid w:val="00F16034"/>
    <w:rsid w:val="00F16D2E"/>
    <w:rsid w:val="00F1726E"/>
    <w:rsid w:val="00F178DD"/>
    <w:rsid w:val="00F22C32"/>
    <w:rsid w:val="00F23E0C"/>
    <w:rsid w:val="00F23FC9"/>
    <w:rsid w:val="00F24561"/>
    <w:rsid w:val="00F24A3D"/>
    <w:rsid w:val="00F260F4"/>
    <w:rsid w:val="00F2626F"/>
    <w:rsid w:val="00F31F15"/>
    <w:rsid w:val="00F339C6"/>
    <w:rsid w:val="00F34E09"/>
    <w:rsid w:val="00F35220"/>
    <w:rsid w:val="00F36BEE"/>
    <w:rsid w:val="00F36D37"/>
    <w:rsid w:val="00F371DD"/>
    <w:rsid w:val="00F37EAC"/>
    <w:rsid w:val="00F41F3C"/>
    <w:rsid w:val="00F434FF"/>
    <w:rsid w:val="00F43EDA"/>
    <w:rsid w:val="00F449C6"/>
    <w:rsid w:val="00F44A23"/>
    <w:rsid w:val="00F44A86"/>
    <w:rsid w:val="00F454CB"/>
    <w:rsid w:val="00F513A4"/>
    <w:rsid w:val="00F516D6"/>
    <w:rsid w:val="00F51A28"/>
    <w:rsid w:val="00F52B9A"/>
    <w:rsid w:val="00F52F7C"/>
    <w:rsid w:val="00F54258"/>
    <w:rsid w:val="00F55FC8"/>
    <w:rsid w:val="00F55FCA"/>
    <w:rsid w:val="00F568D6"/>
    <w:rsid w:val="00F56F88"/>
    <w:rsid w:val="00F57002"/>
    <w:rsid w:val="00F57962"/>
    <w:rsid w:val="00F600E7"/>
    <w:rsid w:val="00F6181F"/>
    <w:rsid w:val="00F65059"/>
    <w:rsid w:val="00F65139"/>
    <w:rsid w:val="00F652AD"/>
    <w:rsid w:val="00F65576"/>
    <w:rsid w:val="00F65625"/>
    <w:rsid w:val="00F65F42"/>
    <w:rsid w:val="00F66AFA"/>
    <w:rsid w:val="00F67C53"/>
    <w:rsid w:val="00F701D8"/>
    <w:rsid w:val="00F705E1"/>
    <w:rsid w:val="00F71AE6"/>
    <w:rsid w:val="00F72530"/>
    <w:rsid w:val="00F73C08"/>
    <w:rsid w:val="00F740AD"/>
    <w:rsid w:val="00F74245"/>
    <w:rsid w:val="00F74CEC"/>
    <w:rsid w:val="00F75E2A"/>
    <w:rsid w:val="00F766B4"/>
    <w:rsid w:val="00F77147"/>
    <w:rsid w:val="00F771D6"/>
    <w:rsid w:val="00F77F61"/>
    <w:rsid w:val="00F80B13"/>
    <w:rsid w:val="00F8196D"/>
    <w:rsid w:val="00F82CE9"/>
    <w:rsid w:val="00F83F7D"/>
    <w:rsid w:val="00F843C8"/>
    <w:rsid w:val="00F85F0C"/>
    <w:rsid w:val="00F86022"/>
    <w:rsid w:val="00F86106"/>
    <w:rsid w:val="00F87310"/>
    <w:rsid w:val="00F87BF4"/>
    <w:rsid w:val="00F87C04"/>
    <w:rsid w:val="00F90CF0"/>
    <w:rsid w:val="00F90E1A"/>
    <w:rsid w:val="00F90F9B"/>
    <w:rsid w:val="00F935AB"/>
    <w:rsid w:val="00F959A5"/>
    <w:rsid w:val="00FA0A4D"/>
    <w:rsid w:val="00FA0F02"/>
    <w:rsid w:val="00FA1AE0"/>
    <w:rsid w:val="00FA1AF3"/>
    <w:rsid w:val="00FA1BF5"/>
    <w:rsid w:val="00FA23CD"/>
    <w:rsid w:val="00FA2533"/>
    <w:rsid w:val="00FA3925"/>
    <w:rsid w:val="00FA46C1"/>
    <w:rsid w:val="00FA494C"/>
    <w:rsid w:val="00FA52BC"/>
    <w:rsid w:val="00FA55D3"/>
    <w:rsid w:val="00FA572F"/>
    <w:rsid w:val="00FB2120"/>
    <w:rsid w:val="00FB250E"/>
    <w:rsid w:val="00FB53E0"/>
    <w:rsid w:val="00FB54AC"/>
    <w:rsid w:val="00FC0E2A"/>
    <w:rsid w:val="00FC0E45"/>
    <w:rsid w:val="00FC2AFF"/>
    <w:rsid w:val="00FC32D6"/>
    <w:rsid w:val="00FC3D46"/>
    <w:rsid w:val="00FC504A"/>
    <w:rsid w:val="00FC5CE1"/>
    <w:rsid w:val="00FC701E"/>
    <w:rsid w:val="00FC7BCF"/>
    <w:rsid w:val="00FC7C6A"/>
    <w:rsid w:val="00FD0638"/>
    <w:rsid w:val="00FD132F"/>
    <w:rsid w:val="00FD154A"/>
    <w:rsid w:val="00FD17D9"/>
    <w:rsid w:val="00FD30DB"/>
    <w:rsid w:val="00FD350A"/>
    <w:rsid w:val="00FD43F3"/>
    <w:rsid w:val="00FD4A5B"/>
    <w:rsid w:val="00FD52D6"/>
    <w:rsid w:val="00FD54E6"/>
    <w:rsid w:val="00FD551F"/>
    <w:rsid w:val="00FD55D1"/>
    <w:rsid w:val="00FD58C5"/>
    <w:rsid w:val="00FD6359"/>
    <w:rsid w:val="00FD6E8B"/>
    <w:rsid w:val="00FE0E88"/>
    <w:rsid w:val="00FE1487"/>
    <w:rsid w:val="00FE1A79"/>
    <w:rsid w:val="00FE285C"/>
    <w:rsid w:val="00FE31AB"/>
    <w:rsid w:val="00FE37DA"/>
    <w:rsid w:val="00FE4458"/>
    <w:rsid w:val="00FE4C18"/>
    <w:rsid w:val="00FE51A6"/>
    <w:rsid w:val="00FE60F0"/>
    <w:rsid w:val="00FE7015"/>
    <w:rsid w:val="00FE769C"/>
    <w:rsid w:val="00FE7847"/>
    <w:rsid w:val="00FF0998"/>
    <w:rsid w:val="00FF1CF1"/>
    <w:rsid w:val="00FF376F"/>
    <w:rsid w:val="00FF388A"/>
    <w:rsid w:val="00FF50D0"/>
    <w:rsid w:val="00FF7A01"/>
    <w:rsid w:val="01493F97"/>
    <w:rsid w:val="01670013"/>
    <w:rsid w:val="017E2A82"/>
    <w:rsid w:val="02C941D1"/>
    <w:rsid w:val="02D53CAC"/>
    <w:rsid w:val="0390227C"/>
    <w:rsid w:val="03DB401C"/>
    <w:rsid w:val="04616182"/>
    <w:rsid w:val="050F05C1"/>
    <w:rsid w:val="056B5181"/>
    <w:rsid w:val="056F2751"/>
    <w:rsid w:val="064C2841"/>
    <w:rsid w:val="06776246"/>
    <w:rsid w:val="06AC5CC2"/>
    <w:rsid w:val="07155860"/>
    <w:rsid w:val="07C84A57"/>
    <w:rsid w:val="08B269B7"/>
    <w:rsid w:val="093A679E"/>
    <w:rsid w:val="0960582B"/>
    <w:rsid w:val="098F1CD1"/>
    <w:rsid w:val="09BB76AA"/>
    <w:rsid w:val="09E17CE8"/>
    <w:rsid w:val="09E65108"/>
    <w:rsid w:val="0A1813D9"/>
    <w:rsid w:val="0B4D2722"/>
    <w:rsid w:val="0BA22ECE"/>
    <w:rsid w:val="0BA947A7"/>
    <w:rsid w:val="0BCC0B84"/>
    <w:rsid w:val="0BDD075A"/>
    <w:rsid w:val="0BEF6026"/>
    <w:rsid w:val="0C8C5380"/>
    <w:rsid w:val="0CD752CA"/>
    <w:rsid w:val="0D334A1F"/>
    <w:rsid w:val="0D8D4779"/>
    <w:rsid w:val="0DC121B2"/>
    <w:rsid w:val="0DDD219D"/>
    <w:rsid w:val="0DDE4FD5"/>
    <w:rsid w:val="0DF23B19"/>
    <w:rsid w:val="0E6F3328"/>
    <w:rsid w:val="0ED57C4A"/>
    <w:rsid w:val="0F1B7B63"/>
    <w:rsid w:val="0F474DFC"/>
    <w:rsid w:val="0FD52EBB"/>
    <w:rsid w:val="0FEA30D7"/>
    <w:rsid w:val="10A9398C"/>
    <w:rsid w:val="10DE51C0"/>
    <w:rsid w:val="111807FE"/>
    <w:rsid w:val="1143336E"/>
    <w:rsid w:val="114F7DF0"/>
    <w:rsid w:val="117468FE"/>
    <w:rsid w:val="11CC15E8"/>
    <w:rsid w:val="11ED440A"/>
    <w:rsid w:val="123A4B45"/>
    <w:rsid w:val="125F16DA"/>
    <w:rsid w:val="129713CC"/>
    <w:rsid w:val="12B1102E"/>
    <w:rsid w:val="12D13486"/>
    <w:rsid w:val="135F034D"/>
    <w:rsid w:val="13897791"/>
    <w:rsid w:val="13A7550E"/>
    <w:rsid w:val="13CA7912"/>
    <w:rsid w:val="13D46C8C"/>
    <w:rsid w:val="13D80718"/>
    <w:rsid w:val="141B462A"/>
    <w:rsid w:val="143A0A8B"/>
    <w:rsid w:val="149E1A09"/>
    <w:rsid w:val="14A147AF"/>
    <w:rsid w:val="15601AFE"/>
    <w:rsid w:val="159438C8"/>
    <w:rsid w:val="15A000FC"/>
    <w:rsid w:val="16842491"/>
    <w:rsid w:val="1720398C"/>
    <w:rsid w:val="17A257E9"/>
    <w:rsid w:val="186E5327"/>
    <w:rsid w:val="187116E8"/>
    <w:rsid w:val="18CA4399"/>
    <w:rsid w:val="18EB2C9C"/>
    <w:rsid w:val="190850D3"/>
    <w:rsid w:val="190C7EEA"/>
    <w:rsid w:val="194924B3"/>
    <w:rsid w:val="19834C82"/>
    <w:rsid w:val="199756AB"/>
    <w:rsid w:val="19A370D2"/>
    <w:rsid w:val="19AB22C4"/>
    <w:rsid w:val="1A273E9F"/>
    <w:rsid w:val="1B9E63E4"/>
    <w:rsid w:val="1BC27D22"/>
    <w:rsid w:val="1BCF24FE"/>
    <w:rsid w:val="1BE86AF3"/>
    <w:rsid w:val="1C052855"/>
    <w:rsid w:val="1C145C8B"/>
    <w:rsid w:val="1C3F6678"/>
    <w:rsid w:val="1CBD1898"/>
    <w:rsid w:val="1CD63546"/>
    <w:rsid w:val="1CEF0429"/>
    <w:rsid w:val="1D256673"/>
    <w:rsid w:val="1D2D0E9F"/>
    <w:rsid w:val="1D3A0284"/>
    <w:rsid w:val="1D742F5E"/>
    <w:rsid w:val="1D807E56"/>
    <w:rsid w:val="1E103F74"/>
    <w:rsid w:val="1EA61022"/>
    <w:rsid w:val="1ED72AEA"/>
    <w:rsid w:val="1FB86721"/>
    <w:rsid w:val="209B4FA7"/>
    <w:rsid w:val="20FA3253"/>
    <w:rsid w:val="21A75033"/>
    <w:rsid w:val="22350CF3"/>
    <w:rsid w:val="228A341D"/>
    <w:rsid w:val="22BD02FF"/>
    <w:rsid w:val="22E83A68"/>
    <w:rsid w:val="235C4AFE"/>
    <w:rsid w:val="238C19D6"/>
    <w:rsid w:val="23953F30"/>
    <w:rsid w:val="23C71C0F"/>
    <w:rsid w:val="24256A3C"/>
    <w:rsid w:val="24396CDA"/>
    <w:rsid w:val="24743B45"/>
    <w:rsid w:val="248A5E6C"/>
    <w:rsid w:val="2492028F"/>
    <w:rsid w:val="24A106B2"/>
    <w:rsid w:val="24D50A31"/>
    <w:rsid w:val="24EA02AB"/>
    <w:rsid w:val="257D4C7B"/>
    <w:rsid w:val="25EC3BAF"/>
    <w:rsid w:val="267D5782"/>
    <w:rsid w:val="26FE3B9A"/>
    <w:rsid w:val="272D41CB"/>
    <w:rsid w:val="2732552C"/>
    <w:rsid w:val="27A6442E"/>
    <w:rsid w:val="28D3707E"/>
    <w:rsid w:val="29080D00"/>
    <w:rsid w:val="294914C5"/>
    <w:rsid w:val="29912DFB"/>
    <w:rsid w:val="2A0A4E95"/>
    <w:rsid w:val="2AB31CF3"/>
    <w:rsid w:val="2B4F3221"/>
    <w:rsid w:val="2C0E6F0A"/>
    <w:rsid w:val="2C1128A3"/>
    <w:rsid w:val="2C651119"/>
    <w:rsid w:val="2CD21D51"/>
    <w:rsid w:val="2CDB429B"/>
    <w:rsid w:val="2D4157F3"/>
    <w:rsid w:val="2DC14B6B"/>
    <w:rsid w:val="2DF83A39"/>
    <w:rsid w:val="2E224612"/>
    <w:rsid w:val="2EC52DFB"/>
    <w:rsid w:val="2F2C0D21"/>
    <w:rsid w:val="2F5A7F7C"/>
    <w:rsid w:val="2F87429B"/>
    <w:rsid w:val="2FA50623"/>
    <w:rsid w:val="300511AE"/>
    <w:rsid w:val="306035C8"/>
    <w:rsid w:val="306C0754"/>
    <w:rsid w:val="309645F2"/>
    <w:rsid w:val="30C13052"/>
    <w:rsid w:val="30C17E43"/>
    <w:rsid w:val="30F74A06"/>
    <w:rsid w:val="31335AFD"/>
    <w:rsid w:val="31833619"/>
    <w:rsid w:val="3208240B"/>
    <w:rsid w:val="32116E77"/>
    <w:rsid w:val="32AC6A32"/>
    <w:rsid w:val="33014493"/>
    <w:rsid w:val="332D02A5"/>
    <w:rsid w:val="33460DA3"/>
    <w:rsid w:val="334F2796"/>
    <w:rsid w:val="33C561C8"/>
    <w:rsid w:val="33CB0CC7"/>
    <w:rsid w:val="33D14E26"/>
    <w:rsid w:val="34A8490C"/>
    <w:rsid w:val="35225AB0"/>
    <w:rsid w:val="35394A23"/>
    <w:rsid w:val="355427E8"/>
    <w:rsid w:val="3575551F"/>
    <w:rsid w:val="36E6461B"/>
    <w:rsid w:val="37353F2B"/>
    <w:rsid w:val="378B78CD"/>
    <w:rsid w:val="37A50625"/>
    <w:rsid w:val="37AB3AEE"/>
    <w:rsid w:val="383D6974"/>
    <w:rsid w:val="386B6ADF"/>
    <w:rsid w:val="39593688"/>
    <w:rsid w:val="39603745"/>
    <w:rsid w:val="39A44A75"/>
    <w:rsid w:val="3A450EAA"/>
    <w:rsid w:val="3A4E1265"/>
    <w:rsid w:val="3AB962FE"/>
    <w:rsid w:val="3B27798E"/>
    <w:rsid w:val="3B411BCF"/>
    <w:rsid w:val="3B57224F"/>
    <w:rsid w:val="3C9372B0"/>
    <w:rsid w:val="3CB7492B"/>
    <w:rsid w:val="3D0361AF"/>
    <w:rsid w:val="3D743230"/>
    <w:rsid w:val="3D994FF8"/>
    <w:rsid w:val="3DA86E06"/>
    <w:rsid w:val="3E75354A"/>
    <w:rsid w:val="3E832232"/>
    <w:rsid w:val="3E99447C"/>
    <w:rsid w:val="3EF736B0"/>
    <w:rsid w:val="3EF9316D"/>
    <w:rsid w:val="3F134480"/>
    <w:rsid w:val="3FD0252A"/>
    <w:rsid w:val="40820042"/>
    <w:rsid w:val="408944D7"/>
    <w:rsid w:val="4145144F"/>
    <w:rsid w:val="41CF6407"/>
    <w:rsid w:val="421E0B59"/>
    <w:rsid w:val="421F13C5"/>
    <w:rsid w:val="43066342"/>
    <w:rsid w:val="43226354"/>
    <w:rsid w:val="435A0721"/>
    <w:rsid w:val="4391606A"/>
    <w:rsid w:val="43C932DC"/>
    <w:rsid w:val="43CC52F4"/>
    <w:rsid w:val="456A53D5"/>
    <w:rsid w:val="45B1418A"/>
    <w:rsid w:val="462F56C6"/>
    <w:rsid w:val="46496515"/>
    <w:rsid w:val="464A2095"/>
    <w:rsid w:val="4658384B"/>
    <w:rsid w:val="46697269"/>
    <w:rsid w:val="46771FDA"/>
    <w:rsid w:val="473C69CB"/>
    <w:rsid w:val="47506A40"/>
    <w:rsid w:val="47825B3E"/>
    <w:rsid w:val="478678C0"/>
    <w:rsid w:val="48016B4E"/>
    <w:rsid w:val="480903AE"/>
    <w:rsid w:val="48251FB9"/>
    <w:rsid w:val="48622FD8"/>
    <w:rsid w:val="48A80B96"/>
    <w:rsid w:val="48C7732D"/>
    <w:rsid w:val="493109A8"/>
    <w:rsid w:val="497C4BF5"/>
    <w:rsid w:val="49AE2DA6"/>
    <w:rsid w:val="49C02BFA"/>
    <w:rsid w:val="49FE52CC"/>
    <w:rsid w:val="4A4C1F84"/>
    <w:rsid w:val="4A900A37"/>
    <w:rsid w:val="4A9318F5"/>
    <w:rsid w:val="4A9F72BE"/>
    <w:rsid w:val="4B2C0DBA"/>
    <w:rsid w:val="4B555D2E"/>
    <w:rsid w:val="4B63653E"/>
    <w:rsid w:val="4B6776B0"/>
    <w:rsid w:val="4B9D750D"/>
    <w:rsid w:val="4BB004D1"/>
    <w:rsid w:val="4BC66ACD"/>
    <w:rsid w:val="4C135F79"/>
    <w:rsid w:val="4C4D664D"/>
    <w:rsid w:val="4C5045A4"/>
    <w:rsid w:val="4C981F80"/>
    <w:rsid w:val="4D887F73"/>
    <w:rsid w:val="4E0D1F82"/>
    <w:rsid w:val="4EDB61B5"/>
    <w:rsid w:val="4F8922EB"/>
    <w:rsid w:val="5038592F"/>
    <w:rsid w:val="507F29F4"/>
    <w:rsid w:val="50AF5D81"/>
    <w:rsid w:val="50C95898"/>
    <w:rsid w:val="51024103"/>
    <w:rsid w:val="518E6B70"/>
    <w:rsid w:val="520958A3"/>
    <w:rsid w:val="52892D24"/>
    <w:rsid w:val="528B6591"/>
    <w:rsid w:val="529A7499"/>
    <w:rsid w:val="52E90567"/>
    <w:rsid w:val="54821DBF"/>
    <w:rsid w:val="548B08B3"/>
    <w:rsid w:val="54B04451"/>
    <w:rsid w:val="55450A62"/>
    <w:rsid w:val="55693143"/>
    <w:rsid w:val="566A69C4"/>
    <w:rsid w:val="56A025C8"/>
    <w:rsid w:val="584B2834"/>
    <w:rsid w:val="58761D2A"/>
    <w:rsid w:val="58D0216F"/>
    <w:rsid w:val="58E94388"/>
    <w:rsid w:val="58EA3F45"/>
    <w:rsid w:val="58EC4E27"/>
    <w:rsid w:val="593E5EF4"/>
    <w:rsid w:val="59C208D3"/>
    <w:rsid w:val="59DB4D34"/>
    <w:rsid w:val="59FD72AB"/>
    <w:rsid w:val="5A1D5B0A"/>
    <w:rsid w:val="5A845B3B"/>
    <w:rsid w:val="5A8C55A1"/>
    <w:rsid w:val="5AAE70AA"/>
    <w:rsid w:val="5BAF4E87"/>
    <w:rsid w:val="5C24009A"/>
    <w:rsid w:val="5CC65AED"/>
    <w:rsid w:val="5CD252D1"/>
    <w:rsid w:val="5D002CFC"/>
    <w:rsid w:val="5D9A4AC5"/>
    <w:rsid w:val="5DA01822"/>
    <w:rsid w:val="5DAD2DC8"/>
    <w:rsid w:val="5DEB4590"/>
    <w:rsid w:val="5E8E7BB3"/>
    <w:rsid w:val="5EC16A84"/>
    <w:rsid w:val="5FBD6E15"/>
    <w:rsid w:val="5FC05266"/>
    <w:rsid w:val="600B3AC1"/>
    <w:rsid w:val="600E3DAC"/>
    <w:rsid w:val="60104B30"/>
    <w:rsid w:val="60213E7A"/>
    <w:rsid w:val="60430BDE"/>
    <w:rsid w:val="60597AB8"/>
    <w:rsid w:val="607A4613"/>
    <w:rsid w:val="609A7CDF"/>
    <w:rsid w:val="61670E82"/>
    <w:rsid w:val="61D00E63"/>
    <w:rsid w:val="61D912D4"/>
    <w:rsid w:val="61ED7ED2"/>
    <w:rsid w:val="62236B7B"/>
    <w:rsid w:val="62A3501A"/>
    <w:rsid w:val="6323248E"/>
    <w:rsid w:val="63B342EE"/>
    <w:rsid w:val="63EE5DB5"/>
    <w:rsid w:val="64491FC5"/>
    <w:rsid w:val="646B7CA6"/>
    <w:rsid w:val="64A82DBC"/>
    <w:rsid w:val="64CC7AC6"/>
    <w:rsid w:val="64D042E3"/>
    <w:rsid w:val="651421FF"/>
    <w:rsid w:val="653D50FB"/>
    <w:rsid w:val="658B4EE7"/>
    <w:rsid w:val="66A57DD1"/>
    <w:rsid w:val="66BB795E"/>
    <w:rsid w:val="66E23ED2"/>
    <w:rsid w:val="66ED0545"/>
    <w:rsid w:val="66F10A4A"/>
    <w:rsid w:val="674046AB"/>
    <w:rsid w:val="678924D5"/>
    <w:rsid w:val="67C238DE"/>
    <w:rsid w:val="67E34A63"/>
    <w:rsid w:val="68256D1E"/>
    <w:rsid w:val="68E862E0"/>
    <w:rsid w:val="68F74D78"/>
    <w:rsid w:val="68FF519A"/>
    <w:rsid w:val="692D5F20"/>
    <w:rsid w:val="692E5D82"/>
    <w:rsid w:val="69CC6E19"/>
    <w:rsid w:val="6A0C7949"/>
    <w:rsid w:val="6A7801ED"/>
    <w:rsid w:val="6B072BD4"/>
    <w:rsid w:val="6B267481"/>
    <w:rsid w:val="6B4B00C3"/>
    <w:rsid w:val="6B8E2D0B"/>
    <w:rsid w:val="6BF80EC8"/>
    <w:rsid w:val="6CB87914"/>
    <w:rsid w:val="6D260C49"/>
    <w:rsid w:val="6D616152"/>
    <w:rsid w:val="6D8617C0"/>
    <w:rsid w:val="6E9323E7"/>
    <w:rsid w:val="6EC125B1"/>
    <w:rsid w:val="6EC74810"/>
    <w:rsid w:val="6F71431F"/>
    <w:rsid w:val="6FDF4CAB"/>
    <w:rsid w:val="6FFC6F2D"/>
    <w:rsid w:val="70144B5F"/>
    <w:rsid w:val="70A20543"/>
    <w:rsid w:val="71310276"/>
    <w:rsid w:val="71B56D55"/>
    <w:rsid w:val="72EB1890"/>
    <w:rsid w:val="73167736"/>
    <w:rsid w:val="733E3E8B"/>
    <w:rsid w:val="73A53DF3"/>
    <w:rsid w:val="73B46994"/>
    <w:rsid w:val="745061CA"/>
    <w:rsid w:val="748654FB"/>
    <w:rsid w:val="74B9618C"/>
    <w:rsid w:val="74F5010B"/>
    <w:rsid w:val="74F636CF"/>
    <w:rsid w:val="74F6547D"/>
    <w:rsid w:val="758F7A8B"/>
    <w:rsid w:val="75CB6D2C"/>
    <w:rsid w:val="75DEF9F8"/>
    <w:rsid w:val="75E83018"/>
    <w:rsid w:val="75EE6C50"/>
    <w:rsid w:val="760060B6"/>
    <w:rsid w:val="7610256F"/>
    <w:rsid w:val="765C4870"/>
    <w:rsid w:val="76F97212"/>
    <w:rsid w:val="770E6AAE"/>
    <w:rsid w:val="775D331F"/>
    <w:rsid w:val="77843D85"/>
    <w:rsid w:val="78B66203"/>
    <w:rsid w:val="79BD4FFA"/>
    <w:rsid w:val="7A395C82"/>
    <w:rsid w:val="7A3B3EF9"/>
    <w:rsid w:val="7A733C7C"/>
    <w:rsid w:val="7AA62AF0"/>
    <w:rsid w:val="7AB73E3E"/>
    <w:rsid w:val="7BEF7282"/>
    <w:rsid w:val="7C0B7A60"/>
    <w:rsid w:val="7C356973"/>
    <w:rsid w:val="7C3E4007"/>
    <w:rsid w:val="7C9522AA"/>
    <w:rsid w:val="7CDF675C"/>
    <w:rsid w:val="7CE4330E"/>
    <w:rsid w:val="7CEE0D4B"/>
    <w:rsid w:val="7CEF3A51"/>
    <w:rsid w:val="7CF14EA8"/>
    <w:rsid w:val="7D73732F"/>
    <w:rsid w:val="7E1503B0"/>
    <w:rsid w:val="7E847CC6"/>
    <w:rsid w:val="7F057D31"/>
    <w:rsid w:val="7F0A2251"/>
    <w:rsid w:val="7F191311"/>
    <w:rsid w:val="7F9B3138"/>
    <w:rsid w:val="7FC5261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line="440" w:lineRule="exact"/>
      <w:ind w:firstLine="200" w:firstLineChars="200"/>
      <w:jc w:val="left"/>
      <w:outlineLvl w:val="0"/>
    </w:pPr>
    <w:rPr>
      <w:rFonts w:eastAsia="仿宋"/>
      <w:b/>
      <w:bCs/>
      <w:kern w:val="44"/>
      <w:sz w:val="28"/>
      <w:szCs w:val="44"/>
    </w:rPr>
  </w:style>
  <w:style w:type="paragraph" w:styleId="3">
    <w:name w:val="heading 2"/>
    <w:basedOn w:val="1"/>
    <w:next w:val="1"/>
    <w:link w:val="27"/>
    <w:unhideWhenUsed/>
    <w:qFormat/>
    <w:uiPriority w:val="9"/>
    <w:pPr>
      <w:keepNext/>
      <w:keepLines/>
      <w:spacing w:line="360" w:lineRule="auto"/>
      <w:ind w:firstLine="643" w:firstLineChars="200"/>
      <w:jc w:val="left"/>
      <w:outlineLvl w:val="1"/>
    </w:pPr>
    <w:rPr>
      <w:rFonts w:ascii="Times New Roman" w:hAnsi="Times New Roman" w:eastAsia="楷体_GB2312" w:cs="Times New Roman"/>
      <w:b/>
      <w:bCs/>
      <w:sz w:val="32"/>
      <w:szCs w:val="32"/>
    </w:rPr>
  </w:style>
  <w:style w:type="character" w:default="1" w:styleId="20">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0"/>
    <w:pPr>
      <w:ind w:firstLine="420" w:firstLineChars="200"/>
    </w:pPr>
    <w:rPr>
      <w:rFonts w:ascii="Times New Roman" w:hAnsi="Times New Roman" w:eastAsia="仿宋_GB2312" w:cs="Times New Roman"/>
      <w:sz w:val="28"/>
    </w:rPr>
  </w:style>
  <w:style w:type="paragraph" w:styleId="5">
    <w:name w:val="annotation text"/>
    <w:basedOn w:val="1"/>
    <w:link w:val="33"/>
    <w:unhideWhenUsed/>
    <w:qFormat/>
    <w:uiPriority w:val="99"/>
    <w:pPr>
      <w:jc w:val="left"/>
    </w:pPr>
  </w:style>
  <w:style w:type="paragraph" w:styleId="6">
    <w:name w:val="toc 3"/>
    <w:basedOn w:val="1"/>
    <w:next w:val="1"/>
    <w:unhideWhenUsed/>
    <w:qFormat/>
    <w:uiPriority w:val="39"/>
    <w:pPr>
      <w:ind w:left="840" w:leftChars="400"/>
    </w:pPr>
  </w:style>
  <w:style w:type="paragraph" w:styleId="7">
    <w:name w:val="endnote text"/>
    <w:basedOn w:val="1"/>
    <w:link w:val="37"/>
    <w:unhideWhenUsed/>
    <w:qFormat/>
    <w:uiPriority w:val="99"/>
    <w:pPr>
      <w:snapToGrid w:val="0"/>
      <w:jc w:val="left"/>
    </w:pPr>
  </w:style>
  <w:style w:type="paragraph" w:styleId="8">
    <w:name w:val="Balloon Text"/>
    <w:basedOn w:val="1"/>
    <w:link w:val="32"/>
    <w:unhideWhenUsed/>
    <w:qFormat/>
    <w:uiPriority w:val="99"/>
    <w:rPr>
      <w:sz w:val="18"/>
      <w:szCs w:val="18"/>
    </w:rPr>
  </w:style>
  <w:style w:type="paragraph" w:styleId="9">
    <w:name w:val="footer"/>
    <w:basedOn w:val="1"/>
    <w:link w:val="29"/>
    <w:unhideWhenUsed/>
    <w:qFormat/>
    <w:uiPriority w:val="99"/>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tabs>
        <w:tab w:val="right" w:leader="dot" w:pos="8777"/>
      </w:tabs>
      <w:spacing w:line="520" w:lineRule="exact"/>
    </w:pPr>
    <w:rPr>
      <w:rFonts w:ascii="仿宋" w:hAnsi="仿宋" w:eastAsia="仿宋"/>
      <w:b/>
      <w:sz w:val="24"/>
      <w:szCs w:val="24"/>
    </w:rPr>
  </w:style>
  <w:style w:type="paragraph" w:styleId="12">
    <w:name w:val="Subtitle"/>
    <w:basedOn w:val="1"/>
    <w:next w:val="1"/>
    <w:link w:val="39"/>
    <w:qFormat/>
    <w:uiPriority w:val="0"/>
    <w:pPr>
      <w:spacing w:line="312" w:lineRule="auto"/>
      <w:ind w:firstLine="200" w:firstLineChars="200"/>
      <w:jc w:val="left"/>
      <w:outlineLvl w:val="2"/>
    </w:pPr>
    <w:rPr>
      <w:rFonts w:ascii="Cambria" w:hAnsi="Cambria" w:eastAsia="黑体" w:cs="Times New Roman"/>
      <w:bCs/>
      <w:kern w:val="28"/>
      <w:sz w:val="24"/>
      <w:szCs w:val="32"/>
    </w:rPr>
  </w:style>
  <w:style w:type="paragraph" w:styleId="13">
    <w:name w:val="footnote text"/>
    <w:basedOn w:val="1"/>
    <w:link w:val="38"/>
    <w:unhideWhenUsed/>
    <w:qFormat/>
    <w:uiPriority w:val="99"/>
    <w:pPr>
      <w:snapToGrid w:val="0"/>
      <w:jc w:val="left"/>
    </w:pPr>
    <w:rPr>
      <w:sz w:val="18"/>
      <w:szCs w:val="18"/>
    </w:rPr>
  </w:style>
  <w:style w:type="paragraph" w:styleId="14">
    <w:name w:val="toc 2"/>
    <w:basedOn w:val="1"/>
    <w:next w:val="1"/>
    <w:unhideWhenUsed/>
    <w:qFormat/>
    <w:uiPriority w:val="39"/>
    <w:pPr>
      <w:tabs>
        <w:tab w:val="right" w:leader="dot" w:pos="8777"/>
      </w:tabs>
    </w:pPr>
  </w:style>
  <w:style w:type="paragraph" w:styleId="1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Title"/>
    <w:basedOn w:val="1"/>
    <w:next w:val="1"/>
    <w:link w:val="31"/>
    <w:qFormat/>
    <w:uiPriority w:val="0"/>
    <w:pPr>
      <w:spacing w:before="240" w:after="60"/>
      <w:jc w:val="center"/>
      <w:outlineLvl w:val="0"/>
    </w:pPr>
    <w:rPr>
      <w:rFonts w:ascii="Cambria" w:hAnsi="Cambria" w:eastAsia="宋体" w:cs="Times New Roman"/>
      <w:b/>
      <w:bCs/>
      <w:sz w:val="32"/>
      <w:szCs w:val="32"/>
    </w:rPr>
  </w:style>
  <w:style w:type="paragraph" w:styleId="17">
    <w:name w:val="annotation subject"/>
    <w:basedOn w:val="5"/>
    <w:next w:val="5"/>
    <w:link w:val="34"/>
    <w:unhideWhenUsed/>
    <w:qFormat/>
    <w:uiPriority w:val="99"/>
    <w:rPr>
      <w:b/>
      <w:bCs/>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ndnote reference"/>
    <w:basedOn w:val="20"/>
    <w:unhideWhenUsed/>
    <w:qFormat/>
    <w:uiPriority w:val="99"/>
    <w:rPr>
      <w:vertAlign w:val="superscript"/>
    </w:rPr>
  </w:style>
  <w:style w:type="character" w:styleId="22">
    <w:name w:val="Emphasis"/>
    <w:basedOn w:val="20"/>
    <w:qFormat/>
    <w:uiPriority w:val="20"/>
    <w:rPr>
      <w:i/>
      <w:iCs/>
    </w:rPr>
  </w:style>
  <w:style w:type="character" w:styleId="23">
    <w:name w:val="Hyperlink"/>
    <w:basedOn w:val="20"/>
    <w:unhideWhenUsed/>
    <w:qFormat/>
    <w:uiPriority w:val="99"/>
    <w:rPr>
      <w:color w:val="0000FF" w:themeColor="hyperlink"/>
      <w:u w:val="single"/>
      <w14:textFill>
        <w14:solidFill>
          <w14:schemeClr w14:val="hlink"/>
        </w14:solidFill>
      </w14:textFill>
    </w:rPr>
  </w:style>
  <w:style w:type="character" w:styleId="24">
    <w:name w:val="annotation reference"/>
    <w:basedOn w:val="20"/>
    <w:unhideWhenUsed/>
    <w:qFormat/>
    <w:uiPriority w:val="99"/>
    <w:rPr>
      <w:sz w:val="21"/>
      <w:szCs w:val="21"/>
    </w:rPr>
  </w:style>
  <w:style w:type="character" w:styleId="25">
    <w:name w:val="footnote reference"/>
    <w:basedOn w:val="20"/>
    <w:unhideWhenUsed/>
    <w:qFormat/>
    <w:uiPriority w:val="99"/>
    <w:rPr>
      <w:vertAlign w:val="superscript"/>
    </w:rPr>
  </w:style>
  <w:style w:type="character" w:customStyle="1" w:styleId="26">
    <w:name w:val="标题 1 字符"/>
    <w:basedOn w:val="20"/>
    <w:link w:val="2"/>
    <w:qFormat/>
    <w:uiPriority w:val="9"/>
    <w:rPr>
      <w:rFonts w:eastAsia="仿宋"/>
      <w:b/>
      <w:bCs/>
      <w:kern w:val="44"/>
      <w:sz w:val="28"/>
      <w:szCs w:val="44"/>
    </w:rPr>
  </w:style>
  <w:style w:type="character" w:customStyle="1" w:styleId="27">
    <w:name w:val="标题 2 字符"/>
    <w:basedOn w:val="20"/>
    <w:link w:val="3"/>
    <w:qFormat/>
    <w:uiPriority w:val="9"/>
    <w:rPr>
      <w:rFonts w:ascii="Times New Roman" w:hAnsi="Times New Roman" w:eastAsia="楷体_GB2312" w:cs="Times New Roman"/>
      <w:b/>
      <w:bCs/>
      <w:sz w:val="32"/>
      <w:szCs w:val="32"/>
    </w:rPr>
  </w:style>
  <w:style w:type="character" w:customStyle="1" w:styleId="28">
    <w:name w:val="页眉 字符"/>
    <w:basedOn w:val="20"/>
    <w:link w:val="10"/>
    <w:qFormat/>
    <w:uiPriority w:val="99"/>
    <w:rPr>
      <w:sz w:val="18"/>
      <w:szCs w:val="18"/>
    </w:rPr>
  </w:style>
  <w:style w:type="character" w:customStyle="1" w:styleId="29">
    <w:name w:val="页脚 字符"/>
    <w:basedOn w:val="20"/>
    <w:link w:val="9"/>
    <w:qFormat/>
    <w:uiPriority w:val="99"/>
    <w:rPr>
      <w:sz w:val="18"/>
      <w:szCs w:val="18"/>
    </w:rPr>
  </w:style>
  <w:style w:type="paragraph" w:customStyle="1" w:styleId="30">
    <w:name w:val="列出段落1"/>
    <w:basedOn w:val="1"/>
    <w:qFormat/>
    <w:uiPriority w:val="99"/>
    <w:pPr>
      <w:ind w:firstLine="420" w:firstLineChars="200"/>
    </w:pPr>
  </w:style>
  <w:style w:type="character" w:customStyle="1" w:styleId="31">
    <w:name w:val="标题 字符"/>
    <w:basedOn w:val="20"/>
    <w:link w:val="16"/>
    <w:qFormat/>
    <w:uiPriority w:val="0"/>
    <w:rPr>
      <w:rFonts w:ascii="Cambria" w:hAnsi="Cambria" w:eastAsia="宋体" w:cs="Times New Roman"/>
      <w:b/>
      <w:bCs/>
      <w:sz w:val="32"/>
      <w:szCs w:val="32"/>
    </w:rPr>
  </w:style>
  <w:style w:type="character" w:customStyle="1" w:styleId="32">
    <w:name w:val="批注框文本 字符"/>
    <w:basedOn w:val="20"/>
    <w:link w:val="8"/>
    <w:semiHidden/>
    <w:qFormat/>
    <w:uiPriority w:val="99"/>
    <w:rPr>
      <w:sz w:val="18"/>
      <w:szCs w:val="18"/>
    </w:rPr>
  </w:style>
  <w:style w:type="character" w:customStyle="1" w:styleId="33">
    <w:name w:val="批注文字 字符"/>
    <w:basedOn w:val="20"/>
    <w:link w:val="5"/>
    <w:semiHidden/>
    <w:qFormat/>
    <w:uiPriority w:val="99"/>
  </w:style>
  <w:style w:type="character" w:customStyle="1" w:styleId="34">
    <w:name w:val="批注主题 字符"/>
    <w:basedOn w:val="33"/>
    <w:link w:val="17"/>
    <w:semiHidden/>
    <w:qFormat/>
    <w:uiPriority w:val="99"/>
    <w:rPr>
      <w:b/>
      <w:bCs/>
    </w:rPr>
  </w:style>
  <w:style w:type="paragraph" w:customStyle="1" w:styleId="35">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6">
    <w:name w:val="TOC 标题1"/>
    <w:basedOn w:val="2"/>
    <w:next w:val="1"/>
    <w:unhideWhenUsed/>
    <w:qFormat/>
    <w:uiPriority w:val="39"/>
    <w:pPr>
      <w:widowControl/>
      <w:spacing w:before="240" w:line="259" w:lineRule="auto"/>
      <w:ind w:firstLine="0" w:firstLineChars="0"/>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7">
    <w:name w:val="尾注文本 字符"/>
    <w:basedOn w:val="20"/>
    <w:link w:val="7"/>
    <w:semiHidden/>
    <w:qFormat/>
    <w:uiPriority w:val="99"/>
  </w:style>
  <w:style w:type="character" w:customStyle="1" w:styleId="38">
    <w:name w:val="脚注文本 字符"/>
    <w:basedOn w:val="20"/>
    <w:link w:val="13"/>
    <w:semiHidden/>
    <w:qFormat/>
    <w:uiPriority w:val="99"/>
    <w:rPr>
      <w:sz w:val="18"/>
      <w:szCs w:val="18"/>
    </w:rPr>
  </w:style>
  <w:style w:type="character" w:customStyle="1" w:styleId="39">
    <w:name w:val="副标题 字符"/>
    <w:link w:val="12"/>
    <w:qFormat/>
    <w:uiPriority w:val="0"/>
    <w:rPr>
      <w:rFonts w:ascii="Cambria" w:hAnsi="Cambria" w:eastAsia="黑体" w:cs="Times New Roman"/>
      <w:bCs/>
      <w:kern w:val="28"/>
      <w:sz w:val="24"/>
      <w:szCs w:val="32"/>
    </w:rPr>
  </w:style>
  <w:style w:type="character" w:customStyle="1" w:styleId="40">
    <w:name w:val="副标题 Char1"/>
    <w:basedOn w:val="20"/>
    <w:qFormat/>
    <w:uiPriority w:val="11"/>
    <w:rPr>
      <w:rFonts w:eastAsia="宋体" w:asciiTheme="majorHAnsi" w:hAnsiTheme="majorHAnsi" w:cstheme="majorBidi"/>
      <w:b/>
      <w:bCs/>
      <w:kern w:val="28"/>
      <w:sz w:val="32"/>
      <w:szCs w:val="32"/>
    </w:rPr>
  </w:style>
  <w:style w:type="character" w:customStyle="1" w:styleId="41">
    <w:name w:val="ask-title"/>
    <w:basedOn w:val="20"/>
    <w:qFormat/>
    <w:uiPriority w:val="0"/>
  </w:style>
  <w:style w:type="paragraph" w:styleId="42">
    <w:name w:val="List Paragraph"/>
    <w:basedOn w:val="1"/>
    <w:qFormat/>
    <w:uiPriority w:val="99"/>
    <w:pPr>
      <w:ind w:firstLine="420" w:firstLineChars="200"/>
    </w:pPr>
  </w:style>
  <w:style w:type="character" w:customStyle="1" w:styleId="43">
    <w:name w:val="font31"/>
    <w:basedOn w:val="20"/>
    <w:qFormat/>
    <w:uiPriority w:val="0"/>
    <w:rPr>
      <w:rFonts w:hint="eastAsia" w:ascii="等线" w:hAnsi="等线" w:eastAsia="等线" w:cs="等线"/>
      <w:b/>
      <w:bCs/>
      <w:color w:val="000000"/>
      <w:sz w:val="20"/>
      <w:szCs w:val="20"/>
      <w:u w:val="none"/>
    </w:rPr>
  </w:style>
  <w:style w:type="character" w:customStyle="1" w:styleId="44">
    <w:name w:val="font41"/>
    <w:basedOn w:val="20"/>
    <w:qFormat/>
    <w:uiPriority w:val="0"/>
    <w:rPr>
      <w:rFonts w:hint="eastAsia" w:ascii="宋体" w:hAnsi="宋体" w:eastAsia="宋体" w:cs="宋体"/>
      <w:b/>
      <w:bCs/>
      <w:color w:val="000000"/>
      <w:sz w:val="20"/>
      <w:szCs w:val="20"/>
      <w:u w:val="none"/>
    </w:rPr>
  </w:style>
  <w:style w:type="character" w:customStyle="1" w:styleId="45">
    <w:name w:val="font71"/>
    <w:basedOn w:val="20"/>
    <w:qFormat/>
    <w:uiPriority w:val="0"/>
    <w:rPr>
      <w:rFonts w:hint="eastAsia" w:ascii="等线" w:hAnsi="等线" w:eastAsia="等线" w:cs="等线"/>
      <w:color w:val="000000"/>
      <w:sz w:val="20"/>
      <w:szCs w:val="20"/>
      <w:u w:val="none"/>
    </w:rPr>
  </w:style>
  <w:style w:type="character" w:customStyle="1" w:styleId="46">
    <w:name w:val="font51"/>
    <w:basedOn w:val="20"/>
    <w:qFormat/>
    <w:uiPriority w:val="0"/>
    <w:rPr>
      <w:rFonts w:hint="eastAsia" w:ascii="宋体" w:hAnsi="宋体" w:eastAsia="宋体" w:cs="宋体"/>
      <w:color w:val="000000"/>
      <w:sz w:val="20"/>
      <w:szCs w:val="20"/>
      <w:u w:val="none"/>
    </w:rPr>
  </w:style>
  <w:style w:type="table" w:customStyle="1" w:styleId="47">
    <w:name w:val="网格型1"/>
    <w:basedOn w:val="1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8">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9">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512585-BC6A-4E84-8C07-BC20D7CD6BD8}">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28</Pages>
  <Words>12620</Words>
  <Characters>13119</Characters>
  <Lines>122</Lines>
  <Paragraphs>34</Paragraphs>
  <TotalTime>0</TotalTime>
  <ScaleCrop>false</ScaleCrop>
  <LinksUpToDate>false</LinksUpToDate>
  <CharactersWithSpaces>13329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2022-05-25T03:43:00Z</dcterms:created>
  <dc:creator>user</dc:creator>
  <cp:lastModifiedBy>曦晟</cp:lastModifiedBy>
  <cp:lastPrinted>2021-05-28T05:38:00Z</cp:lastPrinted>
  <dcterms:modified xsi:type="dcterms:W3CDTF">2023-05-17T02:11:54Z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697935F5F5DF4532BB302D90CFABDF56</vt:lpwstr>
  </property>
</Properties>
</file>