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b/>
          <w:color w:val="auto"/>
          <w:sz w:val="24"/>
          <w:szCs w:val="24"/>
          <w:highlight w:val="none"/>
        </w:rPr>
      </w:pPr>
      <w:bookmarkStart w:id="15" w:name="_GoBack"/>
      <w:bookmarkEnd w:id="15"/>
    </w:p>
    <w:p>
      <w:pPr>
        <w:spacing w:line="360" w:lineRule="auto"/>
        <w:jc w:val="center"/>
        <w:rPr>
          <w:rFonts w:ascii="黑体" w:hAnsi="黑体" w:eastAsia="黑体"/>
          <w:b/>
          <w:color w:val="auto"/>
          <w:sz w:val="24"/>
          <w:szCs w:val="24"/>
          <w:highlight w:val="none"/>
        </w:rPr>
      </w:pPr>
    </w:p>
    <w:p>
      <w:pPr>
        <w:adjustRightInd w:val="0"/>
        <w:snapToGrid w:val="0"/>
        <w:jc w:val="center"/>
        <w:rPr>
          <w:rFonts w:ascii="黑体" w:hAnsi="黑体" w:eastAsia="黑体"/>
          <w:color w:val="auto"/>
          <w:sz w:val="44"/>
          <w:szCs w:val="44"/>
          <w:highlight w:val="none"/>
          <w:lang w:val="zh-CN"/>
        </w:rPr>
      </w:pPr>
    </w:p>
    <w:p>
      <w:pPr>
        <w:adjustRightInd w:val="0"/>
        <w:snapToGrid w:val="0"/>
        <w:spacing w:line="0" w:lineRule="atLeast"/>
        <w:jc w:val="center"/>
        <w:rPr>
          <w:rFonts w:hint="eastAsia" w:ascii="黑体" w:hAnsi="黑体" w:eastAsia="黑体" w:cs="黑体"/>
          <w:b w:val="0"/>
          <w:bCs/>
          <w:color w:val="auto"/>
          <w:sz w:val="52"/>
          <w:szCs w:val="52"/>
          <w:highlight w:val="none"/>
        </w:rPr>
      </w:pPr>
      <w:r>
        <w:rPr>
          <w:rFonts w:hint="eastAsia" w:ascii="方正小标宋简体" w:hAnsi="方正小标宋简体" w:eastAsia="方正小标宋简体" w:cs="方正小标宋简体"/>
          <w:b w:val="0"/>
          <w:bCs/>
          <w:color w:val="auto"/>
          <w:sz w:val="52"/>
          <w:szCs w:val="52"/>
          <w:highlight w:val="none"/>
          <w:lang w:val="en-US" w:eastAsia="zh-CN"/>
        </w:rPr>
        <w:t>2022年度</w:t>
      </w:r>
      <w:r>
        <w:rPr>
          <w:rFonts w:hint="eastAsia" w:ascii="方正小标宋简体" w:hAnsi="方正小标宋简体" w:eastAsia="方正小标宋简体" w:cs="方正小标宋简体"/>
          <w:b w:val="0"/>
          <w:bCs/>
          <w:color w:val="auto"/>
          <w:sz w:val="52"/>
          <w:szCs w:val="52"/>
          <w:highlight w:val="none"/>
        </w:rPr>
        <w:t>部门整体绩效报告</w:t>
      </w:r>
    </w:p>
    <w:p>
      <w:pPr>
        <w:spacing w:line="360" w:lineRule="auto"/>
        <w:jc w:val="center"/>
        <w:rPr>
          <w:rFonts w:ascii="黑体" w:hAnsi="黑体" w:eastAsia="黑体"/>
          <w:b/>
          <w:color w:val="auto"/>
          <w:sz w:val="72"/>
          <w:szCs w:val="72"/>
          <w:highlight w:val="none"/>
          <w:lang w:val="zh-CN"/>
        </w:rPr>
      </w:pPr>
    </w:p>
    <w:p>
      <w:pPr>
        <w:adjustRightInd w:val="0"/>
        <w:snapToGrid w:val="0"/>
        <w:spacing w:line="0" w:lineRule="atLeast"/>
        <w:jc w:val="center"/>
        <w:rPr>
          <w:rFonts w:ascii="黑体" w:hAnsi="黑体" w:eastAsia="黑体"/>
          <w:color w:val="auto"/>
          <w:sz w:val="30"/>
          <w:szCs w:val="30"/>
          <w:highlight w:val="none"/>
          <w:lang w:val="zh-CN"/>
        </w:rPr>
      </w:pPr>
    </w:p>
    <w:p>
      <w:pPr>
        <w:spacing w:line="600" w:lineRule="exact"/>
        <w:jc w:val="left"/>
        <w:rPr>
          <w:rFonts w:ascii="黑体" w:hAnsi="黑体" w:eastAsia="黑体"/>
          <w:color w:val="auto"/>
          <w:sz w:val="30"/>
          <w:szCs w:val="30"/>
          <w:highlight w:val="none"/>
          <w:lang w:val="zh-CN"/>
        </w:rPr>
      </w:pPr>
    </w:p>
    <w:p>
      <w:pPr>
        <w:spacing w:line="600" w:lineRule="exact"/>
        <w:jc w:val="left"/>
        <w:rPr>
          <w:rFonts w:ascii="黑体" w:hAnsi="黑体" w:eastAsia="黑体"/>
          <w:color w:val="auto"/>
          <w:sz w:val="30"/>
          <w:szCs w:val="30"/>
          <w:highlight w:val="none"/>
          <w:lang w:val="zh-CN"/>
        </w:rPr>
      </w:pPr>
    </w:p>
    <w:p>
      <w:pPr>
        <w:spacing w:line="600" w:lineRule="exact"/>
        <w:jc w:val="left"/>
        <w:rPr>
          <w:rFonts w:ascii="黑体" w:hAnsi="黑体" w:eastAsia="黑体"/>
          <w:color w:val="auto"/>
          <w:sz w:val="30"/>
          <w:szCs w:val="30"/>
          <w:highlight w:val="none"/>
          <w:lang w:val="zh-CN"/>
        </w:rPr>
      </w:pPr>
    </w:p>
    <w:p>
      <w:pPr>
        <w:spacing w:line="600" w:lineRule="exact"/>
        <w:jc w:val="left"/>
        <w:rPr>
          <w:rFonts w:ascii="黑体" w:hAnsi="黑体" w:eastAsia="黑体"/>
          <w:color w:val="auto"/>
          <w:sz w:val="30"/>
          <w:szCs w:val="30"/>
          <w:highlight w:val="none"/>
          <w:lang w:val="zh-CN"/>
        </w:rPr>
      </w:pPr>
    </w:p>
    <w:p>
      <w:pPr>
        <w:spacing w:line="600" w:lineRule="exact"/>
        <w:jc w:val="left"/>
        <w:rPr>
          <w:rFonts w:ascii="黑体" w:hAnsi="黑体" w:eastAsia="黑体"/>
          <w:color w:val="auto"/>
          <w:sz w:val="30"/>
          <w:szCs w:val="30"/>
          <w:highlight w:val="none"/>
          <w:lang w:val="zh-CN"/>
        </w:rPr>
      </w:pPr>
    </w:p>
    <w:p>
      <w:pPr>
        <w:spacing w:line="600" w:lineRule="exact"/>
        <w:jc w:val="left"/>
        <w:rPr>
          <w:rFonts w:ascii="黑体" w:hAnsi="黑体" w:eastAsia="黑体"/>
          <w:color w:val="auto"/>
          <w:sz w:val="30"/>
          <w:szCs w:val="30"/>
          <w:highlight w:val="none"/>
          <w:lang w:val="zh-CN"/>
        </w:rPr>
      </w:pPr>
    </w:p>
    <w:p>
      <w:pPr>
        <w:pStyle w:val="16"/>
        <w:rPr>
          <w:color w:val="auto"/>
          <w:highlight w:val="none"/>
          <w:lang w:val="zh-CN"/>
        </w:rPr>
      </w:pPr>
    </w:p>
    <w:p>
      <w:pPr>
        <w:spacing w:line="600" w:lineRule="exact"/>
        <w:jc w:val="left"/>
        <w:rPr>
          <w:rFonts w:ascii="黑体" w:hAnsi="黑体" w:eastAsia="黑体"/>
          <w:color w:val="auto"/>
          <w:sz w:val="30"/>
          <w:szCs w:val="30"/>
          <w:highlight w:val="none"/>
          <w:lang w:val="zh-CN"/>
        </w:rPr>
      </w:pPr>
    </w:p>
    <w:p>
      <w:pPr>
        <w:spacing w:line="600" w:lineRule="exact"/>
        <w:jc w:val="left"/>
        <w:rPr>
          <w:rFonts w:ascii="黑体" w:hAnsi="黑体" w:eastAsia="黑体"/>
          <w:color w:val="auto"/>
          <w:sz w:val="30"/>
          <w:szCs w:val="30"/>
          <w:highlight w:val="none"/>
          <w:lang w:val="zh-CN"/>
        </w:rPr>
      </w:pPr>
    </w:p>
    <w:p>
      <w:pPr>
        <w:spacing w:line="600" w:lineRule="exact"/>
        <w:jc w:val="left"/>
        <w:rPr>
          <w:rFonts w:ascii="黑体" w:hAnsi="黑体" w:eastAsia="黑体"/>
          <w:color w:val="auto"/>
          <w:sz w:val="30"/>
          <w:szCs w:val="30"/>
          <w:highlight w:val="none"/>
          <w:lang w:val="zh-CN"/>
        </w:rPr>
      </w:pPr>
    </w:p>
    <w:p>
      <w:pPr>
        <w:jc w:val="center"/>
        <w:rPr>
          <w:rFonts w:ascii="楷体" w:hAnsi="楷体" w:eastAsia="楷体" w:cs="楷体"/>
          <w:b/>
          <w:color w:val="auto"/>
          <w:sz w:val="44"/>
          <w:szCs w:val="44"/>
          <w:highlight w:val="none"/>
        </w:rPr>
      </w:pPr>
    </w:p>
    <w:p>
      <w:pPr>
        <w:pStyle w:val="16"/>
        <w:rPr>
          <w:color w:val="auto"/>
          <w:highlight w:val="none"/>
        </w:rPr>
      </w:pPr>
    </w:p>
    <w:p>
      <w:pPr>
        <w:spacing w:line="660" w:lineRule="exact"/>
        <w:jc w:val="center"/>
        <w:rPr>
          <w:rFonts w:hint="eastAsia" w:ascii="方正小标宋简体" w:hAnsi="方正小标宋简体" w:eastAsia="方正小标宋简体" w:cs="方正小标宋简体"/>
          <w:color w:val="auto"/>
          <w:sz w:val="36"/>
          <w:szCs w:val="36"/>
          <w:lang w:eastAsia="zh-CN"/>
        </w:rPr>
      </w:pPr>
      <w:r>
        <w:rPr>
          <w:rFonts w:hint="eastAsia" w:ascii="方正小标宋简体" w:hAnsi="方正小标宋简体" w:eastAsia="方正小标宋简体" w:cs="方正小标宋简体"/>
          <w:color w:val="auto"/>
          <w:sz w:val="36"/>
          <w:szCs w:val="36"/>
          <w:lang w:eastAsia="zh-CN"/>
        </w:rPr>
        <w:t>北京市城市管理委员会</w:t>
      </w:r>
    </w:p>
    <w:p>
      <w:pPr>
        <w:spacing w:line="660" w:lineRule="exact"/>
        <w:jc w:val="center"/>
        <w:rPr>
          <w:rFonts w:hint="eastAsia" w:ascii="楷体_GB2312" w:hAnsi="楷体_GB2312" w:eastAsia="楷体_GB2312" w:cs="楷体_GB2312"/>
          <w:b w:val="0"/>
          <w:bCs w:val="0"/>
          <w:color w:val="auto"/>
          <w:sz w:val="32"/>
          <w:szCs w:val="32"/>
          <w:highlight w:val="none"/>
        </w:rPr>
      </w:pPr>
      <w:r>
        <w:rPr>
          <w:rFonts w:hint="eastAsia" w:ascii="楷体_GB2312" w:hAnsi="楷体_GB2312" w:eastAsia="楷体_GB2312" w:cs="楷体_GB2312"/>
          <w:b w:val="0"/>
          <w:bCs w:val="0"/>
          <w:color w:val="auto"/>
          <w:sz w:val="32"/>
          <w:szCs w:val="32"/>
          <w:highlight w:val="none"/>
        </w:rPr>
        <w:t>202</w:t>
      </w:r>
      <w:r>
        <w:rPr>
          <w:rFonts w:hint="eastAsia" w:ascii="楷体_GB2312" w:hAnsi="楷体_GB2312" w:eastAsia="楷体_GB2312" w:cs="楷体_GB2312"/>
          <w:b w:val="0"/>
          <w:bCs w:val="0"/>
          <w:color w:val="auto"/>
          <w:sz w:val="32"/>
          <w:szCs w:val="32"/>
          <w:highlight w:val="none"/>
          <w:lang w:val="en-US" w:eastAsia="zh-CN"/>
        </w:rPr>
        <w:t>3</w:t>
      </w:r>
      <w:r>
        <w:rPr>
          <w:rFonts w:hint="eastAsia" w:ascii="楷体_GB2312" w:hAnsi="楷体_GB2312" w:eastAsia="楷体_GB2312" w:cs="楷体_GB2312"/>
          <w:b w:val="0"/>
          <w:bCs w:val="0"/>
          <w:color w:val="auto"/>
          <w:sz w:val="32"/>
          <w:szCs w:val="32"/>
          <w:highlight w:val="none"/>
        </w:rPr>
        <w:t>年5月</w:t>
      </w:r>
    </w:p>
    <w:p>
      <w:pPr>
        <w:snapToGrid w:val="0"/>
        <w:jc w:val="center"/>
        <w:rPr>
          <w:rFonts w:ascii="宋体" w:hAnsi="宋体" w:cs="宋体"/>
          <w:color w:val="auto"/>
          <w:sz w:val="36"/>
          <w:szCs w:val="36"/>
          <w:highlight w:val="none"/>
        </w:rPr>
      </w:pPr>
    </w:p>
    <w:p>
      <w:pPr>
        <w:adjustRightInd w:val="0"/>
        <w:snapToGrid w:val="0"/>
        <w:rPr>
          <w:rFonts w:ascii="仿宋" w:hAnsi="仿宋" w:eastAsia="仿宋" w:cs="仿宋"/>
          <w:color w:val="auto"/>
          <w:sz w:val="30"/>
          <w:szCs w:val="30"/>
          <w:highlight w:val="none"/>
        </w:rPr>
        <w:sectPr>
          <w:pgSz w:w="11906" w:h="16838"/>
          <w:pgMar w:top="1440" w:right="1800" w:bottom="1440" w:left="1800" w:header="851" w:footer="992" w:gutter="0"/>
          <w:cols w:space="720" w:num="1"/>
          <w:docGrid w:type="lines" w:linePitch="312" w:charSpace="0"/>
        </w:sectPr>
      </w:pPr>
    </w:p>
    <w:p>
      <w:pPr>
        <w:pStyle w:val="20"/>
        <w:rPr>
          <w:color w:val="auto"/>
          <w:sz w:val="36"/>
          <w:szCs w:val="36"/>
          <w:highlight w:val="none"/>
        </w:rPr>
        <w:sectPr>
          <w:footerReference r:id="rId3" w:type="default"/>
          <w:footnotePr>
            <w:numFmt w:val="decimalEnclosedCircleChinese"/>
          </w:footnotePr>
          <w:type w:val="continuous"/>
          <w:pgSz w:w="11906" w:h="16838"/>
          <w:pgMar w:top="1440" w:right="1416" w:bottom="1440" w:left="1800" w:header="851" w:footer="992" w:gutter="0"/>
          <w:cols w:space="720" w:num="1"/>
          <w:docGrid w:type="lines" w:linePitch="312" w:charSpace="0"/>
        </w:sectPr>
      </w:pPr>
    </w:p>
    <w:p>
      <w:pPr>
        <w:pStyle w:val="20"/>
        <w:ind w:left="0" w:leftChars="0"/>
        <w:rPr>
          <w:color w:val="auto"/>
          <w:sz w:val="36"/>
          <w:szCs w:val="36"/>
          <w:highlight w:val="none"/>
        </w:rPr>
      </w:pPr>
      <w:r>
        <w:rPr>
          <w:rFonts w:hint="eastAsia"/>
          <w:color w:val="auto"/>
          <w:sz w:val="36"/>
          <w:szCs w:val="36"/>
          <w:highlight w:val="none"/>
        </w:rPr>
        <w:t>目  录</w:t>
      </w:r>
    </w:p>
    <w:p>
      <w:pPr>
        <w:pStyle w:val="20"/>
        <w:tabs>
          <w:tab w:val="right" w:leader="dot" w:pos="8690"/>
          <w:tab w:val="clear" w:pos="8680"/>
        </w:tabs>
        <w:rPr>
          <w:color w:val="auto"/>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TOC \o "1-2" \h \z \u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_Toc29664 </w:instrText>
      </w:r>
      <w:r>
        <w:rPr>
          <w:rFonts w:hint="eastAsia" w:ascii="仿宋" w:hAnsi="仿宋" w:eastAsia="仿宋" w:cs="仿宋"/>
          <w:color w:val="auto"/>
          <w:highlight w:val="none"/>
        </w:rPr>
        <w:fldChar w:fldCharType="separate"/>
      </w:r>
      <w:r>
        <w:rPr>
          <w:rFonts w:hint="eastAsia" w:ascii="黑体" w:hAnsi="黑体" w:eastAsia="黑体"/>
          <w:bCs w:val="0"/>
          <w:color w:val="auto"/>
          <w:highlight w:val="none"/>
        </w:rPr>
        <w:t>一、部门概况</w:t>
      </w:r>
      <w:r>
        <w:rPr>
          <w:color w:val="auto"/>
        </w:rPr>
        <w:tab/>
      </w:r>
      <w:r>
        <w:rPr>
          <w:color w:val="auto"/>
        </w:rPr>
        <w:fldChar w:fldCharType="begin"/>
      </w:r>
      <w:r>
        <w:rPr>
          <w:color w:val="auto"/>
        </w:rPr>
        <w:instrText xml:space="preserve"> PAGEREF _Toc29664 </w:instrText>
      </w:r>
      <w:r>
        <w:rPr>
          <w:color w:val="auto"/>
        </w:rPr>
        <w:fldChar w:fldCharType="separate"/>
      </w:r>
      <w:r>
        <w:rPr>
          <w:color w:val="auto"/>
        </w:rPr>
        <w:t>1</w:t>
      </w:r>
      <w:r>
        <w:rPr>
          <w:color w:val="auto"/>
        </w:rPr>
        <w:fldChar w:fldCharType="end"/>
      </w:r>
      <w:r>
        <w:rPr>
          <w:rFonts w:hint="eastAsia" w:ascii="仿宋" w:hAnsi="仿宋" w:eastAsia="仿宋" w:cs="仿宋"/>
          <w:color w:val="auto"/>
          <w:highlight w:val="none"/>
        </w:rPr>
        <w:fldChar w:fldCharType="end"/>
      </w:r>
    </w:p>
    <w:p>
      <w:pPr>
        <w:pStyle w:val="20"/>
        <w:tabs>
          <w:tab w:val="right" w:leader="dot" w:pos="8690"/>
          <w:tab w:val="clear" w:pos="8680"/>
        </w:tabs>
        <w:rPr>
          <w:color w:val="auto"/>
        </w:rPr>
      </w:pPr>
      <w:r>
        <w:rPr>
          <w:rFonts w:hint="eastAsia" w:ascii="仿宋" w:hAnsi="仿宋" w:eastAsia="仿宋" w:cs="仿宋"/>
          <w:color w:val="auto"/>
          <w:szCs w:val="32"/>
          <w:highlight w:val="none"/>
        </w:rPr>
        <w:fldChar w:fldCharType="begin"/>
      </w:r>
      <w:r>
        <w:rPr>
          <w:rFonts w:hint="eastAsia" w:ascii="仿宋" w:hAnsi="仿宋" w:eastAsia="仿宋" w:cs="仿宋"/>
          <w:color w:val="auto"/>
          <w:szCs w:val="32"/>
          <w:highlight w:val="none"/>
        </w:rPr>
        <w:instrText xml:space="preserve"> HYPERLINK \l _Toc19144 </w:instrText>
      </w:r>
      <w:r>
        <w:rPr>
          <w:rFonts w:hint="eastAsia" w:ascii="仿宋" w:hAnsi="仿宋" w:eastAsia="仿宋" w:cs="仿宋"/>
          <w:color w:val="auto"/>
          <w:szCs w:val="32"/>
          <w:highlight w:val="none"/>
        </w:rPr>
        <w:fldChar w:fldCharType="separate"/>
      </w:r>
      <w:r>
        <w:rPr>
          <w:rFonts w:hint="eastAsia" w:ascii="楷体" w:hAnsi="楷体" w:eastAsia="楷体"/>
          <w:bCs w:val="0"/>
          <w:color w:val="auto"/>
          <w:highlight w:val="none"/>
        </w:rPr>
        <w:t>（一）机构设置及职责工作任务情况</w:t>
      </w:r>
      <w:r>
        <w:rPr>
          <w:color w:val="auto"/>
        </w:rPr>
        <w:tab/>
      </w:r>
      <w:r>
        <w:rPr>
          <w:color w:val="auto"/>
        </w:rPr>
        <w:fldChar w:fldCharType="begin"/>
      </w:r>
      <w:r>
        <w:rPr>
          <w:color w:val="auto"/>
        </w:rPr>
        <w:instrText xml:space="preserve"> PAGEREF _Toc19144 </w:instrText>
      </w:r>
      <w:r>
        <w:rPr>
          <w:color w:val="auto"/>
        </w:rPr>
        <w:fldChar w:fldCharType="separate"/>
      </w:r>
      <w:r>
        <w:rPr>
          <w:color w:val="auto"/>
        </w:rPr>
        <w:t>1</w:t>
      </w:r>
      <w:r>
        <w:rPr>
          <w:color w:val="auto"/>
        </w:rPr>
        <w:fldChar w:fldCharType="end"/>
      </w:r>
      <w:r>
        <w:rPr>
          <w:rFonts w:hint="eastAsia" w:ascii="仿宋" w:hAnsi="仿宋" w:eastAsia="仿宋" w:cs="仿宋"/>
          <w:color w:val="auto"/>
          <w:szCs w:val="32"/>
          <w:highlight w:val="none"/>
        </w:rPr>
        <w:fldChar w:fldCharType="end"/>
      </w:r>
    </w:p>
    <w:p>
      <w:pPr>
        <w:pStyle w:val="20"/>
        <w:tabs>
          <w:tab w:val="right" w:leader="dot" w:pos="8690"/>
          <w:tab w:val="clear" w:pos="8680"/>
        </w:tabs>
        <w:rPr>
          <w:color w:val="auto"/>
        </w:rPr>
      </w:pPr>
      <w:r>
        <w:rPr>
          <w:rFonts w:hint="eastAsia" w:ascii="仿宋" w:hAnsi="仿宋" w:eastAsia="仿宋" w:cs="仿宋"/>
          <w:color w:val="auto"/>
          <w:szCs w:val="32"/>
          <w:highlight w:val="none"/>
        </w:rPr>
        <w:fldChar w:fldCharType="begin"/>
      </w:r>
      <w:r>
        <w:rPr>
          <w:rFonts w:hint="eastAsia" w:ascii="仿宋" w:hAnsi="仿宋" w:eastAsia="仿宋" w:cs="仿宋"/>
          <w:color w:val="auto"/>
          <w:szCs w:val="32"/>
          <w:highlight w:val="none"/>
        </w:rPr>
        <w:instrText xml:space="preserve"> HYPERLINK \l _Toc9379 </w:instrText>
      </w:r>
      <w:r>
        <w:rPr>
          <w:rFonts w:hint="eastAsia" w:ascii="仿宋" w:hAnsi="仿宋" w:eastAsia="仿宋" w:cs="仿宋"/>
          <w:color w:val="auto"/>
          <w:szCs w:val="32"/>
          <w:highlight w:val="none"/>
        </w:rPr>
        <w:fldChar w:fldCharType="separate"/>
      </w:r>
      <w:r>
        <w:rPr>
          <w:rFonts w:hint="eastAsia" w:ascii="楷体" w:hAnsi="楷体" w:eastAsia="楷体"/>
          <w:bCs w:val="0"/>
          <w:color w:val="auto"/>
          <w:highlight w:val="none"/>
        </w:rPr>
        <w:t>（二）部门整体绩效目标设立情况</w:t>
      </w:r>
      <w:r>
        <w:rPr>
          <w:color w:val="auto"/>
        </w:rPr>
        <w:tab/>
      </w:r>
      <w:r>
        <w:rPr>
          <w:color w:val="auto"/>
        </w:rPr>
        <w:fldChar w:fldCharType="begin"/>
      </w:r>
      <w:r>
        <w:rPr>
          <w:color w:val="auto"/>
        </w:rPr>
        <w:instrText xml:space="preserve"> PAGEREF _Toc9379 </w:instrText>
      </w:r>
      <w:r>
        <w:rPr>
          <w:color w:val="auto"/>
        </w:rPr>
        <w:fldChar w:fldCharType="separate"/>
      </w:r>
      <w:r>
        <w:rPr>
          <w:color w:val="auto"/>
        </w:rPr>
        <w:t>5</w:t>
      </w:r>
      <w:r>
        <w:rPr>
          <w:color w:val="auto"/>
        </w:rPr>
        <w:fldChar w:fldCharType="end"/>
      </w:r>
      <w:r>
        <w:rPr>
          <w:rFonts w:hint="eastAsia" w:ascii="仿宋" w:hAnsi="仿宋" w:eastAsia="仿宋" w:cs="仿宋"/>
          <w:color w:val="auto"/>
          <w:szCs w:val="32"/>
          <w:highlight w:val="none"/>
        </w:rPr>
        <w:fldChar w:fldCharType="end"/>
      </w:r>
    </w:p>
    <w:p>
      <w:pPr>
        <w:pStyle w:val="20"/>
        <w:tabs>
          <w:tab w:val="right" w:leader="dot" w:pos="8690"/>
          <w:tab w:val="clear" w:pos="8680"/>
        </w:tabs>
        <w:rPr>
          <w:color w:val="auto"/>
        </w:rPr>
      </w:pPr>
      <w:r>
        <w:rPr>
          <w:rFonts w:hint="eastAsia" w:ascii="仿宋" w:hAnsi="仿宋" w:eastAsia="仿宋" w:cs="仿宋"/>
          <w:color w:val="auto"/>
          <w:szCs w:val="32"/>
          <w:highlight w:val="none"/>
        </w:rPr>
        <w:fldChar w:fldCharType="begin"/>
      </w:r>
      <w:r>
        <w:rPr>
          <w:rFonts w:hint="eastAsia" w:ascii="仿宋" w:hAnsi="仿宋" w:eastAsia="仿宋" w:cs="仿宋"/>
          <w:color w:val="auto"/>
          <w:szCs w:val="32"/>
          <w:highlight w:val="none"/>
        </w:rPr>
        <w:instrText xml:space="preserve"> HYPERLINK \l _Toc16587 </w:instrText>
      </w:r>
      <w:r>
        <w:rPr>
          <w:rFonts w:hint="eastAsia" w:ascii="仿宋" w:hAnsi="仿宋" w:eastAsia="仿宋" w:cs="仿宋"/>
          <w:color w:val="auto"/>
          <w:szCs w:val="32"/>
          <w:highlight w:val="none"/>
        </w:rPr>
        <w:fldChar w:fldCharType="separate"/>
      </w:r>
      <w:r>
        <w:rPr>
          <w:rFonts w:hint="eastAsia" w:ascii="黑体" w:hAnsi="黑体" w:eastAsia="黑体"/>
          <w:bCs w:val="0"/>
          <w:color w:val="auto"/>
          <w:highlight w:val="none"/>
        </w:rPr>
        <w:t>二、当年预算执行情况</w:t>
      </w:r>
      <w:r>
        <w:rPr>
          <w:color w:val="auto"/>
        </w:rPr>
        <w:tab/>
      </w:r>
      <w:r>
        <w:rPr>
          <w:color w:val="auto"/>
        </w:rPr>
        <w:fldChar w:fldCharType="begin"/>
      </w:r>
      <w:r>
        <w:rPr>
          <w:color w:val="auto"/>
        </w:rPr>
        <w:instrText xml:space="preserve"> PAGEREF _Toc16587 </w:instrText>
      </w:r>
      <w:r>
        <w:rPr>
          <w:color w:val="auto"/>
        </w:rPr>
        <w:fldChar w:fldCharType="separate"/>
      </w:r>
      <w:r>
        <w:rPr>
          <w:color w:val="auto"/>
        </w:rPr>
        <w:t>9</w:t>
      </w:r>
      <w:r>
        <w:rPr>
          <w:color w:val="auto"/>
        </w:rPr>
        <w:fldChar w:fldCharType="end"/>
      </w:r>
      <w:r>
        <w:rPr>
          <w:rFonts w:hint="eastAsia" w:ascii="仿宋" w:hAnsi="仿宋" w:eastAsia="仿宋" w:cs="仿宋"/>
          <w:color w:val="auto"/>
          <w:szCs w:val="32"/>
          <w:highlight w:val="none"/>
        </w:rPr>
        <w:fldChar w:fldCharType="end"/>
      </w:r>
    </w:p>
    <w:p>
      <w:pPr>
        <w:pStyle w:val="20"/>
        <w:tabs>
          <w:tab w:val="right" w:leader="dot" w:pos="8690"/>
          <w:tab w:val="clear" w:pos="8680"/>
        </w:tabs>
        <w:rPr>
          <w:color w:val="auto"/>
        </w:rPr>
      </w:pPr>
      <w:r>
        <w:rPr>
          <w:rFonts w:hint="eastAsia" w:ascii="仿宋" w:hAnsi="仿宋" w:eastAsia="仿宋" w:cs="仿宋"/>
          <w:color w:val="auto"/>
          <w:szCs w:val="32"/>
          <w:highlight w:val="none"/>
        </w:rPr>
        <w:fldChar w:fldCharType="begin"/>
      </w:r>
      <w:r>
        <w:rPr>
          <w:rFonts w:hint="eastAsia" w:ascii="仿宋" w:hAnsi="仿宋" w:eastAsia="仿宋" w:cs="仿宋"/>
          <w:color w:val="auto"/>
          <w:szCs w:val="32"/>
          <w:highlight w:val="none"/>
        </w:rPr>
        <w:instrText xml:space="preserve"> HYPERLINK \l _Toc24283 </w:instrText>
      </w:r>
      <w:r>
        <w:rPr>
          <w:rFonts w:hint="eastAsia" w:ascii="仿宋" w:hAnsi="仿宋" w:eastAsia="仿宋" w:cs="仿宋"/>
          <w:color w:val="auto"/>
          <w:szCs w:val="32"/>
          <w:highlight w:val="none"/>
        </w:rPr>
        <w:fldChar w:fldCharType="separate"/>
      </w:r>
      <w:r>
        <w:rPr>
          <w:rFonts w:hint="eastAsia" w:ascii="黑体" w:hAnsi="黑体" w:eastAsia="黑体"/>
          <w:bCs w:val="0"/>
          <w:color w:val="auto"/>
          <w:highlight w:val="none"/>
        </w:rPr>
        <w:t>三、整体绩效目标实现情况</w:t>
      </w:r>
      <w:r>
        <w:rPr>
          <w:color w:val="auto"/>
        </w:rPr>
        <w:tab/>
      </w:r>
      <w:r>
        <w:rPr>
          <w:color w:val="auto"/>
        </w:rPr>
        <w:fldChar w:fldCharType="begin"/>
      </w:r>
      <w:r>
        <w:rPr>
          <w:color w:val="auto"/>
        </w:rPr>
        <w:instrText xml:space="preserve"> PAGEREF _Toc24283 </w:instrText>
      </w:r>
      <w:r>
        <w:rPr>
          <w:color w:val="auto"/>
        </w:rPr>
        <w:fldChar w:fldCharType="separate"/>
      </w:r>
      <w:r>
        <w:rPr>
          <w:color w:val="auto"/>
        </w:rPr>
        <w:t>9</w:t>
      </w:r>
      <w:r>
        <w:rPr>
          <w:color w:val="auto"/>
        </w:rPr>
        <w:fldChar w:fldCharType="end"/>
      </w:r>
      <w:r>
        <w:rPr>
          <w:rFonts w:hint="eastAsia" w:ascii="仿宋" w:hAnsi="仿宋" w:eastAsia="仿宋" w:cs="仿宋"/>
          <w:color w:val="auto"/>
          <w:szCs w:val="32"/>
          <w:highlight w:val="none"/>
        </w:rPr>
        <w:fldChar w:fldCharType="end"/>
      </w:r>
    </w:p>
    <w:p>
      <w:pPr>
        <w:pStyle w:val="20"/>
        <w:tabs>
          <w:tab w:val="right" w:leader="dot" w:pos="8690"/>
          <w:tab w:val="clear" w:pos="8680"/>
        </w:tabs>
        <w:rPr>
          <w:color w:val="auto"/>
        </w:rPr>
      </w:pPr>
      <w:r>
        <w:rPr>
          <w:rFonts w:hint="eastAsia" w:ascii="仿宋" w:hAnsi="仿宋" w:eastAsia="仿宋" w:cs="仿宋"/>
          <w:color w:val="auto"/>
          <w:szCs w:val="32"/>
          <w:highlight w:val="none"/>
        </w:rPr>
        <w:fldChar w:fldCharType="begin"/>
      </w:r>
      <w:r>
        <w:rPr>
          <w:rFonts w:hint="eastAsia" w:ascii="仿宋" w:hAnsi="仿宋" w:eastAsia="仿宋" w:cs="仿宋"/>
          <w:color w:val="auto"/>
          <w:szCs w:val="32"/>
          <w:highlight w:val="none"/>
        </w:rPr>
        <w:instrText xml:space="preserve"> HYPERLINK \l _Toc7683 </w:instrText>
      </w:r>
      <w:r>
        <w:rPr>
          <w:rFonts w:hint="eastAsia" w:ascii="仿宋" w:hAnsi="仿宋" w:eastAsia="仿宋" w:cs="仿宋"/>
          <w:color w:val="auto"/>
          <w:szCs w:val="32"/>
          <w:highlight w:val="none"/>
        </w:rPr>
        <w:fldChar w:fldCharType="separate"/>
      </w:r>
      <w:r>
        <w:rPr>
          <w:rFonts w:hint="eastAsia" w:ascii="楷体" w:hAnsi="楷体" w:eastAsia="楷体"/>
          <w:bCs w:val="0"/>
          <w:color w:val="auto"/>
          <w:highlight w:val="none"/>
        </w:rPr>
        <w:t>（一）产出完成情况分析</w:t>
      </w:r>
      <w:r>
        <w:rPr>
          <w:color w:val="auto"/>
        </w:rPr>
        <w:tab/>
      </w:r>
      <w:r>
        <w:rPr>
          <w:color w:val="auto"/>
        </w:rPr>
        <w:fldChar w:fldCharType="begin"/>
      </w:r>
      <w:r>
        <w:rPr>
          <w:color w:val="auto"/>
        </w:rPr>
        <w:instrText xml:space="preserve"> PAGEREF _Toc7683 </w:instrText>
      </w:r>
      <w:r>
        <w:rPr>
          <w:color w:val="auto"/>
        </w:rPr>
        <w:fldChar w:fldCharType="separate"/>
      </w:r>
      <w:r>
        <w:rPr>
          <w:color w:val="auto"/>
        </w:rPr>
        <w:t>10</w:t>
      </w:r>
      <w:r>
        <w:rPr>
          <w:color w:val="auto"/>
        </w:rPr>
        <w:fldChar w:fldCharType="end"/>
      </w:r>
      <w:r>
        <w:rPr>
          <w:rFonts w:hint="eastAsia" w:ascii="仿宋" w:hAnsi="仿宋" w:eastAsia="仿宋" w:cs="仿宋"/>
          <w:color w:val="auto"/>
          <w:szCs w:val="32"/>
          <w:highlight w:val="none"/>
        </w:rPr>
        <w:fldChar w:fldCharType="end"/>
      </w:r>
    </w:p>
    <w:p>
      <w:pPr>
        <w:pStyle w:val="20"/>
        <w:tabs>
          <w:tab w:val="right" w:leader="dot" w:pos="8690"/>
          <w:tab w:val="clear" w:pos="8680"/>
        </w:tabs>
        <w:rPr>
          <w:color w:val="auto"/>
        </w:rPr>
      </w:pPr>
      <w:r>
        <w:rPr>
          <w:rFonts w:hint="eastAsia" w:ascii="仿宋" w:hAnsi="仿宋" w:eastAsia="仿宋" w:cs="仿宋"/>
          <w:color w:val="auto"/>
          <w:szCs w:val="32"/>
          <w:highlight w:val="none"/>
        </w:rPr>
        <w:fldChar w:fldCharType="begin"/>
      </w:r>
      <w:r>
        <w:rPr>
          <w:rFonts w:hint="eastAsia" w:ascii="仿宋" w:hAnsi="仿宋" w:eastAsia="仿宋" w:cs="仿宋"/>
          <w:color w:val="auto"/>
          <w:szCs w:val="32"/>
          <w:highlight w:val="none"/>
        </w:rPr>
        <w:instrText xml:space="preserve"> HYPERLINK \l _Toc431 </w:instrText>
      </w:r>
      <w:r>
        <w:rPr>
          <w:rFonts w:hint="eastAsia" w:ascii="仿宋" w:hAnsi="仿宋" w:eastAsia="仿宋" w:cs="仿宋"/>
          <w:color w:val="auto"/>
          <w:szCs w:val="32"/>
          <w:highlight w:val="none"/>
        </w:rPr>
        <w:fldChar w:fldCharType="separate"/>
      </w:r>
      <w:r>
        <w:rPr>
          <w:rFonts w:hint="eastAsia" w:ascii="楷体" w:hAnsi="楷体" w:eastAsia="楷体"/>
          <w:bCs w:val="0"/>
          <w:color w:val="auto"/>
          <w:highlight w:val="none"/>
        </w:rPr>
        <w:t>（二）效果实现情况分析</w:t>
      </w:r>
      <w:r>
        <w:rPr>
          <w:color w:val="auto"/>
        </w:rPr>
        <w:tab/>
      </w:r>
      <w:r>
        <w:rPr>
          <w:color w:val="auto"/>
        </w:rPr>
        <w:fldChar w:fldCharType="begin"/>
      </w:r>
      <w:r>
        <w:rPr>
          <w:color w:val="auto"/>
        </w:rPr>
        <w:instrText xml:space="preserve"> PAGEREF _Toc431 </w:instrText>
      </w:r>
      <w:r>
        <w:rPr>
          <w:color w:val="auto"/>
        </w:rPr>
        <w:fldChar w:fldCharType="separate"/>
      </w:r>
      <w:r>
        <w:rPr>
          <w:color w:val="auto"/>
        </w:rPr>
        <w:t>14</w:t>
      </w:r>
      <w:r>
        <w:rPr>
          <w:color w:val="auto"/>
        </w:rPr>
        <w:fldChar w:fldCharType="end"/>
      </w:r>
      <w:r>
        <w:rPr>
          <w:rFonts w:hint="eastAsia" w:ascii="仿宋" w:hAnsi="仿宋" w:eastAsia="仿宋" w:cs="仿宋"/>
          <w:color w:val="auto"/>
          <w:szCs w:val="32"/>
          <w:highlight w:val="none"/>
        </w:rPr>
        <w:fldChar w:fldCharType="end"/>
      </w:r>
    </w:p>
    <w:p>
      <w:pPr>
        <w:pStyle w:val="20"/>
        <w:tabs>
          <w:tab w:val="right" w:leader="dot" w:pos="8690"/>
          <w:tab w:val="clear" w:pos="8680"/>
        </w:tabs>
        <w:rPr>
          <w:rFonts w:hint="eastAsia" w:eastAsia="仿宋"/>
          <w:color w:val="auto"/>
          <w:lang w:val="en-US" w:eastAsia="zh-CN"/>
        </w:rPr>
      </w:pPr>
      <w:r>
        <w:rPr>
          <w:rFonts w:hint="eastAsia" w:ascii="仿宋" w:hAnsi="仿宋" w:eastAsia="仿宋" w:cs="仿宋"/>
          <w:color w:val="auto"/>
          <w:szCs w:val="32"/>
          <w:highlight w:val="none"/>
        </w:rPr>
        <w:fldChar w:fldCharType="begin"/>
      </w:r>
      <w:r>
        <w:rPr>
          <w:rFonts w:hint="eastAsia" w:ascii="仿宋" w:hAnsi="仿宋" w:eastAsia="仿宋" w:cs="仿宋"/>
          <w:color w:val="auto"/>
          <w:szCs w:val="32"/>
          <w:highlight w:val="none"/>
        </w:rPr>
        <w:instrText xml:space="preserve"> HYPERLINK \l _Toc27569 </w:instrText>
      </w:r>
      <w:r>
        <w:rPr>
          <w:rFonts w:hint="eastAsia" w:ascii="仿宋" w:hAnsi="仿宋" w:eastAsia="仿宋" w:cs="仿宋"/>
          <w:color w:val="auto"/>
          <w:szCs w:val="32"/>
          <w:highlight w:val="none"/>
        </w:rPr>
        <w:fldChar w:fldCharType="separate"/>
      </w:r>
      <w:r>
        <w:rPr>
          <w:rFonts w:hint="eastAsia" w:ascii="黑体" w:hAnsi="黑体" w:eastAsia="黑体"/>
          <w:bCs w:val="0"/>
          <w:color w:val="auto"/>
          <w:highlight w:val="none"/>
        </w:rPr>
        <w:t>四、预算管理情况分析</w:t>
      </w:r>
      <w:r>
        <w:rPr>
          <w:color w:val="auto"/>
        </w:rPr>
        <w:tab/>
      </w:r>
      <w:r>
        <w:rPr>
          <w:rFonts w:hint="eastAsia"/>
          <w:color w:val="auto"/>
          <w:lang w:val="en-US" w:eastAsia="zh-CN"/>
        </w:rPr>
        <w:t>2</w:t>
      </w:r>
      <w:r>
        <w:rPr>
          <w:rFonts w:hint="eastAsia" w:ascii="仿宋" w:hAnsi="仿宋" w:eastAsia="仿宋" w:cs="仿宋"/>
          <w:color w:val="auto"/>
          <w:szCs w:val="32"/>
          <w:highlight w:val="none"/>
        </w:rPr>
        <w:fldChar w:fldCharType="end"/>
      </w:r>
      <w:r>
        <w:rPr>
          <w:rFonts w:hint="eastAsia" w:ascii="仿宋" w:hAnsi="仿宋" w:eastAsia="仿宋" w:cs="仿宋"/>
          <w:color w:val="auto"/>
          <w:szCs w:val="32"/>
          <w:highlight w:val="none"/>
          <w:lang w:val="en-US" w:eastAsia="zh-CN"/>
        </w:rPr>
        <w:t>0</w:t>
      </w:r>
    </w:p>
    <w:p>
      <w:pPr>
        <w:pStyle w:val="20"/>
        <w:tabs>
          <w:tab w:val="right" w:leader="dot" w:pos="8690"/>
          <w:tab w:val="clear" w:pos="8680"/>
        </w:tabs>
        <w:rPr>
          <w:rFonts w:hint="eastAsia" w:eastAsia="仿宋"/>
          <w:color w:val="auto"/>
          <w:lang w:val="en-US" w:eastAsia="zh-CN"/>
        </w:rPr>
      </w:pPr>
      <w:r>
        <w:rPr>
          <w:rFonts w:hint="eastAsia" w:ascii="仿宋" w:hAnsi="仿宋" w:eastAsia="仿宋" w:cs="仿宋"/>
          <w:color w:val="auto"/>
          <w:szCs w:val="32"/>
          <w:highlight w:val="none"/>
        </w:rPr>
        <w:fldChar w:fldCharType="begin"/>
      </w:r>
      <w:r>
        <w:rPr>
          <w:rFonts w:hint="eastAsia" w:ascii="仿宋" w:hAnsi="仿宋" w:eastAsia="仿宋" w:cs="仿宋"/>
          <w:color w:val="auto"/>
          <w:szCs w:val="32"/>
          <w:highlight w:val="none"/>
        </w:rPr>
        <w:instrText xml:space="preserve"> HYPERLINK \l _Toc17736 </w:instrText>
      </w:r>
      <w:r>
        <w:rPr>
          <w:rFonts w:hint="eastAsia" w:ascii="仿宋" w:hAnsi="仿宋" w:eastAsia="仿宋" w:cs="仿宋"/>
          <w:color w:val="auto"/>
          <w:szCs w:val="32"/>
          <w:highlight w:val="none"/>
        </w:rPr>
        <w:fldChar w:fldCharType="separate"/>
      </w:r>
      <w:r>
        <w:rPr>
          <w:rFonts w:hint="eastAsia" w:ascii="楷体" w:hAnsi="楷体" w:eastAsia="楷体"/>
          <w:bCs w:val="0"/>
          <w:color w:val="auto"/>
          <w:highlight w:val="none"/>
        </w:rPr>
        <w:t>（一）财务管理</w:t>
      </w:r>
      <w:r>
        <w:rPr>
          <w:color w:val="auto"/>
        </w:rPr>
        <w:tab/>
      </w:r>
      <w:r>
        <w:rPr>
          <w:rFonts w:hint="eastAsia"/>
          <w:color w:val="auto"/>
          <w:lang w:val="en-US" w:eastAsia="zh-CN"/>
        </w:rPr>
        <w:t>2</w:t>
      </w:r>
      <w:r>
        <w:rPr>
          <w:rFonts w:hint="eastAsia" w:ascii="仿宋" w:hAnsi="仿宋" w:eastAsia="仿宋" w:cs="仿宋"/>
          <w:color w:val="auto"/>
          <w:szCs w:val="32"/>
          <w:highlight w:val="none"/>
        </w:rPr>
        <w:fldChar w:fldCharType="end"/>
      </w:r>
      <w:r>
        <w:rPr>
          <w:rFonts w:hint="eastAsia" w:ascii="仿宋" w:hAnsi="仿宋" w:eastAsia="仿宋" w:cs="仿宋"/>
          <w:color w:val="auto"/>
          <w:szCs w:val="32"/>
          <w:highlight w:val="none"/>
          <w:lang w:val="en-US" w:eastAsia="zh-CN"/>
        </w:rPr>
        <w:t>0</w:t>
      </w:r>
    </w:p>
    <w:p>
      <w:pPr>
        <w:pStyle w:val="20"/>
        <w:tabs>
          <w:tab w:val="right" w:leader="dot" w:pos="8690"/>
          <w:tab w:val="clear" w:pos="8680"/>
        </w:tabs>
        <w:rPr>
          <w:color w:val="auto"/>
        </w:rPr>
      </w:pPr>
      <w:r>
        <w:rPr>
          <w:rFonts w:hint="eastAsia" w:ascii="仿宋" w:hAnsi="仿宋" w:eastAsia="仿宋" w:cs="仿宋"/>
          <w:color w:val="auto"/>
          <w:szCs w:val="32"/>
          <w:highlight w:val="none"/>
        </w:rPr>
        <w:fldChar w:fldCharType="begin"/>
      </w:r>
      <w:r>
        <w:rPr>
          <w:rFonts w:hint="eastAsia" w:ascii="仿宋" w:hAnsi="仿宋" w:eastAsia="仿宋" w:cs="仿宋"/>
          <w:color w:val="auto"/>
          <w:szCs w:val="32"/>
          <w:highlight w:val="none"/>
        </w:rPr>
        <w:instrText xml:space="preserve"> HYPERLINK \l _Toc11673 </w:instrText>
      </w:r>
      <w:r>
        <w:rPr>
          <w:rFonts w:hint="eastAsia" w:ascii="仿宋" w:hAnsi="仿宋" w:eastAsia="仿宋" w:cs="仿宋"/>
          <w:color w:val="auto"/>
          <w:szCs w:val="32"/>
          <w:highlight w:val="none"/>
        </w:rPr>
        <w:fldChar w:fldCharType="separate"/>
      </w:r>
      <w:r>
        <w:rPr>
          <w:rFonts w:hint="eastAsia" w:ascii="楷体" w:hAnsi="楷体" w:eastAsia="楷体"/>
          <w:bCs w:val="0"/>
          <w:color w:val="auto"/>
          <w:highlight w:val="none"/>
        </w:rPr>
        <w:t>（二）资产管理</w:t>
      </w:r>
      <w:r>
        <w:rPr>
          <w:color w:val="auto"/>
        </w:rPr>
        <w:tab/>
      </w:r>
      <w:r>
        <w:rPr>
          <w:color w:val="auto"/>
        </w:rPr>
        <w:fldChar w:fldCharType="begin"/>
      </w:r>
      <w:r>
        <w:rPr>
          <w:color w:val="auto"/>
        </w:rPr>
        <w:instrText xml:space="preserve"> PAGEREF _Toc11673 </w:instrText>
      </w:r>
      <w:r>
        <w:rPr>
          <w:color w:val="auto"/>
        </w:rPr>
        <w:fldChar w:fldCharType="separate"/>
      </w:r>
      <w:r>
        <w:rPr>
          <w:color w:val="auto"/>
        </w:rPr>
        <w:t>16</w:t>
      </w:r>
      <w:r>
        <w:rPr>
          <w:color w:val="auto"/>
        </w:rPr>
        <w:fldChar w:fldCharType="end"/>
      </w:r>
      <w:r>
        <w:rPr>
          <w:rFonts w:hint="eastAsia" w:ascii="仿宋" w:hAnsi="仿宋" w:eastAsia="仿宋" w:cs="仿宋"/>
          <w:color w:val="auto"/>
          <w:szCs w:val="32"/>
          <w:highlight w:val="none"/>
        </w:rPr>
        <w:fldChar w:fldCharType="end"/>
      </w:r>
    </w:p>
    <w:p>
      <w:pPr>
        <w:pStyle w:val="20"/>
        <w:tabs>
          <w:tab w:val="right" w:leader="dot" w:pos="8690"/>
          <w:tab w:val="clear" w:pos="8680"/>
        </w:tabs>
        <w:rPr>
          <w:color w:val="auto"/>
        </w:rPr>
      </w:pPr>
      <w:r>
        <w:rPr>
          <w:rFonts w:hint="eastAsia" w:ascii="仿宋" w:hAnsi="仿宋" w:eastAsia="仿宋" w:cs="仿宋"/>
          <w:color w:val="auto"/>
          <w:szCs w:val="32"/>
          <w:highlight w:val="none"/>
        </w:rPr>
        <w:fldChar w:fldCharType="begin"/>
      </w:r>
      <w:r>
        <w:rPr>
          <w:rFonts w:hint="eastAsia" w:ascii="仿宋" w:hAnsi="仿宋" w:eastAsia="仿宋" w:cs="仿宋"/>
          <w:color w:val="auto"/>
          <w:szCs w:val="32"/>
          <w:highlight w:val="none"/>
        </w:rPr>
        <w:instrText xml:space="preserve"> HYPERLINK \l _Toc8599 </w:instrText>
      </w:r>
      <w:r>
        <w:rPr>
          <w:rFonts w:hint="eastAsia" w:ascii="仿宋" w:hAnsi="仿宋" w:eastAsia="仿宋" w:cs="仿宋"/>
          <w:color w:val="auto"/>
          <w:szCs w:val="32"/>
          <w:highlight w:val="none"/>
        </w:rPr>
        <w:fldChar w:fldCharType="separate"/>
      </w:r>
      <w:r>
        <w:rPr>
          <w:rFonts w:hint="eastAsia" w:ascii="楷体" w:hAnsi="楷体" w:eastAsia="楷体"/>
          <w:bCs w:val="0"/>
          <w:color w:val="auto"/>
          <w:highlight w:val="none"/>
        </w:rPr>
        <w:t>（三）绩效管理</w:t>
      </w:r>
      <w:r>
        <w:rPr>
          <w:color w:val="auto"/>
        </w:rPr>
        <w:tab/>
      </w:r>
      <w:r>
        <w:rPr>
          <w:color w:val="auto"/>
        </w:rPr>
        <w:fldChar w:fldCharType="begin"/>
      </w:r>
      <w:r>
        <w:rPr>
          <w:color w:val="auto"/>
        </w:rPr>
        <w:instrText xml:space="preserve"> PAGEREF _Toc8599 </w:instrText>
      </w:r>
      <w:r>
        <w:rPr>
          <w:color w:val="auto"/>
        </w:rPr>
        <w:fldChar w:fldCharType="separate"/>
      </w:r>
      <w:r>
        <w:rPr>
          <w:color w:val="auto"/>
        </w:rPr>
        <w:t>16</w:t>
      </w:r>
      <w:r>
        <w:rPr>
          <w:color w:val="auto"/>
        </w:rPr>
        <w:fldChar w:fldCharType="end"/>
      </w:r>
      <w:r>
        <w:rPr>
          <w:rFonts w:hint="eastAsia" w:ascii="仿宋" w:hAnsi="仿宋" w:eastAsia="仿宋" w:cs="仿宋"/>
          <w:color w:val="auto"/>
          <w:szCs w:val="32"/>
          <w:highlight w:val="none"/>
        </w:rPr>
        <w:fldChar w:fldCharType="end"/>
      </w:r>
    </w:p>
    <w:p>
      <w:pPr>
        <w:pStyle w:val="20"/>
        <w:tabs>
          <w:tab w:val="right" w:leader="dot" w:pos="8690"/>
          <w:tab w:val="clear" w:pos="8680"/>
        </w:tabs>
        <w:rPr>
          <w:color w:val="auto"/>
        </w:rPr>
      </w:pPr>
      <w:r>
        <w:rPr>
          <w:rFonts w:hint="eastAsia" w:ascii="仿宋" w:hAnsi="仿宋" w:eastAsia="仿宋" w:cs="仿宋"/>
          <w:color w:val="auto"/>
          <w:szCs w:val="32"/>
          <w:highlight w:val="none"/>
        </w:rPr>
        <w:fldChar w:fldCharType="begin"/>
      </w:r>
      <w:r>
        <w:rPr>
          <w:rFonts w:hint="eastAsia" w:ascii="仿宋" w:hAnsi="仿宋" w:eastAsia="仿宋" w:cs="仿宋"/>
          <w:color w:val="auto"/>
          <w:szCs w:val="32"/>
          <w:highlight w:val="none"/>
        </w:rPr>
        <w:instrText xml:space="preserve"> HYPERLINK \l _Toc23102 </w:instrText>
      </w:r>
      <w:r>
        <w:rPr>
          <w:rFonts w:hint="eastAsia" w:ascii="仿宋" w:hAnsi="仿宋" w:eastAsia="仿宋" w:cs="仿宋"/>
          <w:color w:val="auto"/>
          <w:szCs w:val="32"/>
          <w:highlight w:val="none"/>
        </w:rPr>
        <w:fldChar w:fldCharType="separate"/>
      </w:r>
      <w:r>
        <w:rPr>
          <w:rFonts w:hint="eastAsia" w:ascii="楷体" w:hAnsi="楷体" w:eastAsia="楷体"/>
          <w:bCs w:val="0"/>
          <w:color w:val="auto"/>
          <w:highlight w:val="none"/>
        </w:rPr>
        <w:t>（四）结转结余率</w:t>
      </w:r>
      <w:r>
        <w:rPr>
          <w:color w:val="auto"/>
        </w:rPr>
        <w:tab/>
      </w:r>
      <w:r>
        <w:rPr>
          <w:color w:val="auto"/>
        </w:rPr>
        <w:fldChar w:fldCharType="begin"/>
      </w:r>
      <w:r>
        <w:rPr>
          <w:color w:val="auto"/>
        </w:rPr>
        <w:instrText xml:space="preserve"> PAGEREF _Toc23102 </w:instrText>
      </w:r>
      <w:r>
        <w:rPr>
          <w:color w:val="auto"/>
        </w:rPr>
        <w:fldChar w:fldCharType="separate"/>
      </w:r>
      <w:r>
        <w:rPr>
          <w:color w:val="auto"/>
        </w:rPr>
        <w:t>17</w:t>
      </w:r>
      <w:r>
        <w:rPr>
          <w:color w:val="auto"/>
        </w:rPr>
        <w:fldChar w:fldCharType="end"/>
      </w:r>
      <w:r>
        <w:rPr>
          <w:rFonts w:hint="eastAsia" w:ascii="仿宋" w:hAnsi="仿宋" w:eastAsia="仿宋" w:cs="仿宋"/>
          <w:color w:val="auto"/>
          <w:szCs w:val="32"/>
          <w:highlight w:val="none"/>
        </w:rPr>
        <w:fldChar w:fldCharType="end"/>
      </w:r>
    </w:p>
    <w:p>
      <w:pPr>
        <w:pStyle w:val="20"/>
        <w:tabs>
          <w:tab w:val="right" w:leader="dot" w:pos="8690"/>
          <w:tab w:val="clear" w:pos="8680"/>
        </w:tabs>
        <w:rPr>
          <w:color w:val="auto"/>
        </w:rPr>
      </w:pPr>
      <w:r>
        <w:rPr>
          <w:rFonts w:hint="eastAsia" w:ascii="仿宋" w:hAnsi="仿宋" w:eastAsia="仿宋" w:cs="仿宋"/>
          <w:color w:val="auto"/>
          <w:szCs w:val="32"/>
          <w:highlight w:val="none"/>
        </w:rPr>
        <w:fldChar w:fldCharType="begin"/>
      </w:r>
      <w:r>
        <w:rPr>
          <w:rFonts w:hint="eastAsia" w:ascii="仿宋" w:hAnsi="仿宋" w:eastAsia="仿宋" w:cs="仿宋"/>
          <w:color w:val="auto"/>
          <w:szCs w:val="32"/>
          <w:highlight w:val="none"/>
        </w:rPr>
        <w:instrText xml:space="preserve"> HYPERLINK \l _Toc24601 </w:instrText>
      </w:r>
      <w:r>
        <w:rPr>
          <w:rFonts w:hint="eastAsia" w:ascii="仿宋" w:hAnsi="仿宋" w:eastAsia="仿宋" w:cs="仿宋"/>
          <w:color w:val="auto"/>
          <w:szCs w:val="32"/>
          <w:highlight w:val="none"/>
        </w:rPr>
        <w:fldChar w:fldCharType="separate"/>
      </w:r>
      <w:r>
        <w:rPr>
          <w:rFonts w:hint="eastAsia" w:ascii="楷体" w:hAnsi="楷体" w:eastAsia="楷体"/>
          <w:bCs w:val="0"/>
          <w:color w:val="auto"/>
          <w:highlight w:val="none"/>
        </w:rPr>
        <w:t>（五）部门预决算差异</w:t>
      </w:r>
      <w:r>
        <w:rPr>
          <w:color w:val="auto"/>
        </w:rPr>
        <w:tab/>
      </w:r>
      <w:r>
        <w:rPr>
          <w:color w:val="auto"/>
        </w:rPr>
        <w:fldChar w:fldCharType="begin"/>
      </w:r>
      <w:r>
        <w:rPr>
          <w:color w:val="auto"/>
        </w:rPr>
        <w:instrText xml:space="preserve"> PAGEREF _Toc24601 </w:instrText>
      </w:r>
      <w:r>
        <w:rPr>
          <w:color w:val="auto"/>
        </w:rPr>
        <w:fldChar w:fldCharType="separate"/>
      </w:r>
      <w:r>
        <w:rPr>
          <w:color w:val="auto"/>
        </w:rPr>
        <w:t>17</w:t>
      </w:r>
      <w:r>
        <w:rPr>
          <w:color w:val="auto"/>
        </w:rPr>
        <w:fldChar w:fldCharType="end"/>
      </w:r>
      <w:r>
        <w:rPr>
          <w:rFonts w:hint="eastAsia" w:ascii="仿宋" w:hAnsi="仿宋" w:eastAsia="仿宋" w:cs="仿宋"/>
          <w:color w:val="auto"/>
          <w:szCs w:val="32"/>
          <w:highlight w:val="none"/>
        </w:rPr>
        <w:fldChar w:fldCharType="end"/>
      </w:r>
    </w:p>
    <w:p>
      <w:pPr>
        <w:pStyle w:val="20"/>
        <w:tabs>
          <w:tab w:val="right" w:leader="dot" w:pos="8690"/>
          <w:tab w:val="clear" w:pos="8680"/>
        </w:tabs>
        <w:rPr>
          <w:color w:val="auto"/>
        </w:rPr>
      </w:pPr>
      <w:r>
        <w:rPr>
          <w:rFonts w:hint="eastAsia" w:ascii="仿宋" w:hAnsi="仿宋" w:eastAsia="仿宋" w:cs="仿宋"/>
          <w:color w:val="auto"/>
          <w:szCs w:val="32"/>
          <w:highlight w:val="none"/>
        </w:rPr>
        <w:fldChar w:fldCharType="begin"/>
      </w:r>
      <w:r>
        <w:rPr>
          <w:rFonts w:hint="eastAsia" w:ascii="仿宋" w:hAnsi="仿宋" w:eastAsia="仿宋" w:cs="仿宋"/>
          <w:color w:val="auto"/>
          <w:szCs w:val="32"/>
          <w:highlight w:val="none"/>
        </w:rPr>
        <w:instrText xml:space="preserve"> HYPERLINK \l _Toc13829 </w:instrText>
      </w:r>
      <w:r>
        <w:rPr>
          <w:rFonts w:hint="eastAsia" w:ascii="仿宋" w:hAnsi="仿宋" w:eastAsia="仿宋" w:cs="仿宋"/>
          <w:color w:val="auto"/>
          <w:szCs w:val="32"/>
          <w:highlight w:val="none"/>
        </w:rPr>
        <w:fldChar w:fldCharType="separate"/>
      </w:r>
      <w:r>
        <w:rPr>
          <w:rFonts w:hint="eastAsia" w:ascii="黑体" w:hAnsi="黑体" w:eastAsia="黑体"/>
          <w:bCs w:val="0"/>
          <w:color w:val="auto"/>
        </w:rPr>
        <w:t>五、</w:t>
      </w:r>
      <w:r>
        <w:rPr>
          <w:rFonts w:hint="eastAsia" w:ascii="黑体" w:hAnsi="黑体" w:eastAsia="黑体"/>
          <w:bCs w:val="0"/>
          <w:color w:val="auto"/>
          <w:highlight w:val="none"/>
        </w:rPr>
        <w:t>总体评价结论</w:t>
      </w:r>
      <w:r>
        <w:rPr>
          <w:color w:val="auto"/>
        </w:rPr>
        <w:tab/>
      </w:r>
      <w:r>
        <w:rPr>
          <w:color w:val="auto"/>
        </w:rPr>
        <w:fldChar w:fldCharType="begin"/>
      </w:r>
      <w:r>
        <w:rPr>
          <w:color w:val="auto"/>
        </w:rPr>
        <w:instrText xml:space="preserve"> PAGEREF _Toc13829 </w:instrText>
      </w:r>
      <w:r>
        <w:rPr>
          <w:color w:val="auto"/>
        </w:rPr>
        <w:fldChar w:fldCharType="separate"/>
      </w:r>
      <w:r>
        <w:rPr>
          <w:color w:val="auto"/>
        </w:rPr>
        <w:t>18</w:t>
      </w:r>
      <w:r>
        <w:rPr>
          <w:color w:val="auto"/>
        </w:rPr>
        <w:fldChar w:fldCharType="end"/>
      </w:r>
      <w:r>
        <w:rPr>
          <w:rFonts w:hint="eastAsia" w:ascii="仿宋" w:hAnsi="仿宋" w:eastAsia="仿宋" w:cs="仿宋"/>
          <w:color w:val="auto"/>
          <w:szCs w:val="32"/>
          <w:highlight w:val="none"/>
        </w:rPr>
        <w:fldChar w:fldCharType="end"/>
      </w:r>
    </w:p>
    <w:p>
      <w:pPr>
        <w:pStyle w:val="20"/>
        <w:tabs>
          <w:tab w:val="right" w:leader="dot" w:pos="8690"/>
          <w:tab w:val="clear" w:pos="8680"/>
        </w:tabs>
        <w:rPr>
          <w:color w:val="auto"/>
        </w:rPr>
      </w:pPr>
      <w:r>
        <w:rPr>
          <w:rFonts w:hint="eastAsia" w:ascii="仿宋" w:hAnsi="仿宋" w:eastAsia="仿宋" w:cs="仿宋"/>
          <w:color w:val="auto"/>
          <w:szCs w:val="32"/>
          <w:highlight w:val="none"/>
        </w:rPr>
        <w:fldChar w:fldCharType="begin"/>
      </w:r>
      <w:r>
        <w:rPr>
          <w:rFonts w:hint="eastAsia" w:ascii="仿宋" w:hAnsi="仿宋" w:eastAsia="仿宋" w:cs="仿宋"/>
          <w:color w:val="auto"/>
          <w:szCs w:val="32"/>
          <w:highlight w:val="none"/>
        </w:rPr>
        <w:instrText xml:space="preserve"> HYPERLINK \l _Toc22776 </w:instrText>
      </w:r>
      <w:r>
        <w:rPr>
          <w:rFonts w:hint="eastAsia" w:ascii="仿宋" w:hAnsi="仿宋" w:eastAsia="仿宋" w:cs="仿宋"/>
          <w:color w:val="auto"/>
          <w:szCs w:val="32"/>
          <w:highlight w:val="none"/>
        </w:rPr>
        <w:fldChar w:fldCharType="separate"/>
      </w:r>
      <w:r>
        <w:rPr>
          <w:rFonts w:hint="eastAsia" w:ascii="黑体" w:hAnsi="黑体" w:eastAsia="黑体"/>
          <w:bCs w:val="0"/>
          <w:color w:val="auto"/>
          <w:highlight w:val="none"/>
        </w:rPr>
        <w:t>六、措施建议</w:t>
      </w:r>
      <w:r>
        <w:rPr>
          <w:color w:val="auto"/>
        </w:rPr>
        <w:tab/>
      </w:r>
      <w:r>
        <w:rPr>
          <w:color w:val="auto"/>
        </w:rPr>
        <w:fldChar w:fldCharType="begin"/>
      </w:r>
      <w:r>
        <w:rPr>
          <w:color w:val="auto"/>
        </w:rPr>
        <w:instrText xml:space="preserve"> PAGEREF _Toc22776 </w:instrText>
      </w:r>
      <w:r>
        <w:rPr>
          <w:color w:val="auto"/>
        </w:rPr>
        <w:fldChar w:fldCharType="separate"/>
      </w:r>
      <w:r>
        <w:rPr>
          <w:color w:val="auto"/>
        </w:rPr>
        <w:t>18</w:t>
      </w:r>
      <w:r>
        <w:rPr>
          <w:color w:val="auto"/>
        </w:rPr>
        <w:fldChar w:fldCharType="end"/>
      </w:r>
      <w:r>
        <w:rPr>
          <w:rFonts w:hint="eastAsia" w:ascii="仿宋" w:hAnsi="仿宋" w:eastAsia="仿宋" w:cs="仿宋"/>
          <w:color w:val="auto"/>
          <w:szCs w:val="32"/>
          <w:highlight w:val="none"/>
        </w:rPr>
        <w:fldChar w:fldCharType="end"/>
      </w:r>
    </w:p>
    <w:p>
      <w:pPr>
        <w:outlineLvl w:val="0"/>
        <w:rPr>
          <w:rFonts w:ascii="黑体" w:hAnsi="黑体" w:eastAsia="黑体" w:cs="黑体"/>
          <w:color w:val="auto"/>
          <w:sz w:val="44"/>
          <w:szCs w:val="44"/>
          <w:highlight w:val="none"/>
        </w:rPr>
      </w:pPr>
      <w:r>
        <w:rPr>
          <w:rFonts w:hint="eastAsia" w:ascii="仿宋" w:hAnsi="仿宋" w:eastAsia="仿宋" w:cs="仿宋"/>
          <w:color w:val="auto"/>
          <w:szCs w:val="32"/>
          <w:highlight w:val="none"/>
        </w:rPr>
        <w:fldChar w:fldCharType="end"/>
      </w:r>
    </w:p>
    <w:p>
      <w:pPr>
        <w:pStyle w:val="5"/>
        <w:spacing w:before="0" w:after="0" w:line="360" w:lineRule="auto"/>
        <w:ind w:firstLine="643" w:firstLineChars="200"/>
        <w:rPr>
          <w:rFonts w:ascii="黑体" w:hAnsi="黑体" w:eastAsia="黑体"/>
          <w:color w:val="auto"/>
          <w:highlight w:val="none"/>
        </w:rPr>
        <w:sectPr>
          <w:footerReference r:id="rId4" w:type="default"/>
          <w:footnotePr>
            <w:numFmt w:val="decimalEnclosedCircleChinese"/>
          </w:footnotePr>
          <w:pgSz w:w="11906" w:h="16838"/>
          <w:pgMar w:top="1440" w:right="1416" w:bottom="1440" w:left="1800" w:header="851" w:footer="992" w:gutter="0"/>
          <w:pgNumType w:start="1"/>
          <w:cols w:space="720" w:num="1"/>
          <w:docGrid w:type="lines" w:linePitch="312" w:charSpace="0"/>
        </w:sectPr>
      </w:pPr>
    </w:p>
    <w:p>
      <w:pPr>
        <w:pStyle w:val="5"/>
        <w:adjustRightInd w:val="0"/>
        <w:snapToGrid w:val="0"/>
        <w:spacing w:before="0" w:after="0" w:line="560" w:lineRule="exact"/>
        <w:ind w:firstLine="640" w:firstLineChars="200"/>
        <w:rPr>
          <w:rFonts w:ascii="黑体" w:hAnsi="黑体" w:eastAsia="黑体"/>
          <w:b w:val="0"/>
          <w:bCs w:val="0"/>
          <w:color w:val="auto"/>
          <w:highlight w:val="none"/>
        </w:rPr>
      </w:pPr>
      <w:bookmarkStart w:id="0" w:name="_Toc29664"/>
      <w:r>
        <w:rPr>
          <w:rFonts w:hint="eastAsia" w:ascii="黑体" w:hAnsi="黑体" w:eastAsia="黑体"/>
          <w:b w:val="0"/>
          <w:bCs w:val="0"/>
          <w:color w:val="auto"/>
          <w:highlight w:val="none"/>
        </w:rPr>
        <w:t>一、部门概况</w:t>
      </w:r>
      <w:bookmarkEnd w:id="0"/>
    </w:p>
    <w:p>
      <w:pPr>
        <w:pStyle w:val="5"/>
        <w:adjustRightInd w:val="0"/>
        <w:snapToGrid w:val="0"/>
        <w:spacing w:before="0" w:after="0" w:line="560" w:lineRule="exact"/>
        <w:ind w:firstLine="640" w:firstLineChars="200"/>
        <w:rPr>
          <w:rFonts w:hint="eastAsia" w:ascii="楷体_GB2312" w:hAnsi="楷体_GB2312" w:eastAsia="楷体_GB2312" w:cs="楷体_GB2312"/>
          <w:b w:val="0"/>
          <w:bCs w:val="0"/>
          <w:color w:val="auto"/>
          <w:highlight w:val="none"/>
        </w:rPr>
      </w:pPr>
      <w:bookmarkStart w:id="1" w:name="_Toc19144"/>
      <w:r>
        <w:rPr>
          <w:rFonts w:hint="eastAsia" w:ascii="楷体_GB2312" w:hAnsi="楷体_GB2312" w:eastAsia="楷体_GB2312" w:cs="楷体_GB2312"/>
          <w:b w:val="0"/>
          <w:bCs w:val="0"/>
          <w:color w:val="auto"/>
          <w:highlight w:val="none"/>
        </w:rPr>
        <w:t>（一）机构设置及职责工作任务情况</w:t>
      </w:r>
      <w:bookmarkEnd w:id="1"/>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 w:eastAsia="仿宋_GB2312" w:cs="仿宋"/>
          <w:color w:val="auto"/>
          <w:sz w:val="32"/>
          <w:szCs w:val="40"/>
          <w:highlight w:val="none"/>
          <w:lang w:eastAsia="zh-CN"/>
        </w:rPr>
      </w:pPr>
      <w:r>
        <w:rPr>
          <w:rFonts w:hint="eastAsia" w:ascii="仿宋_GB2312" w:hAnsi="仿宋" w:eastAsia="仿宋_GB2312" w:cs="仿宋"/>
          <w:color w:val="auto"/>
          <w:sz w:val="32"/>
          <w:szCs w:val="40"/>
          <w:highlight w:val="none"/>
        </w:rPr>
        <w:t>北京市城市管理委员会（首都城市环境建设管理委员会办公室）作为本市城市管理主管部门，是负责本市城市管理、城乡环境建设的综合协调和市容环境卫生管理、能源日常运行管理、相关市政公用事业管理的市政府组成部门。部门包括内设处室</w:t>
      </w:r>
      <w:r>
        <w:rPr>
          <w:rFonts w:hint="eastAsia" w:ascii="仿宋_GB2312" w:hAnsi="仿宋" w:eastAsia="仿宋_GB2312" w:cs="仿宋"/>
          <w:color w:val="auto"/>
          <w:sz w:val="32"/>
          <w:szCs w:val="40"/>
          <w:highlight w:val="none"/>
          <w:lang w:val="en-US" w:eastAsia="zh-CN"/>
        </w:rPr>
        <w:t>29</w:t>
      </w:r>
      <w:r>
        <w:rPr>
          <w:rFonts w:hint="eastAsia" w:ascii="仿宋_GB2312" w:hAnsi="仿宋" w:eastAsia="仿宋_GB2312" w:cs="仿宋"/>
          <w:color w:val="auto"/>
          <w:sz w:val="32"/>
          <w:szCs w:val="40"/>
          <w:highlight w:val="none"/>
        </w:rPr>
        <w:t>个，分别为：办公室、研究室、法制处、综合计划处、环境建设规划发展处、城市管理综合协调处、城市管理督查考评处、网格化城市管理办公室（城市管理监督指挥中心）、市容景观管理处、市容环境整治处、户外广告管理处、城市照明管理处、环境卫生管理处、固体废弃物管理处、环境卫生设施处、能源运行管理处、电力煤炭管理处（北京市电力管理办公室、北京市煤炭管理办公室）、燃气管理办公室、供热管理办公室、车用能源站管理处、地下综合管廊管理处（市政设施建设协调处）、市政管线管理处、石油天然气管道保护办公室、安全应急工作处、科技信息处、宣传动员处、财务处（审计处）、组织人事处</w:t>
      </w:r>
      <w:r>
        <w:rPr>
          <w:rFonts w:hint="eastAsia" w:ascii="仿宋_GB2312" w:hAnsi="仿宋" w:eastAsia="仿宋_GB2312" w:cs="仿宋"/>
          <w:color w:val="auto"/>
          <w:sz w:val="32"/>
          <w:szCs w:val="40"/>
          <w:highlight w:val="none"/>
          <w:lang w:eastAsia="zh-CN"/>
        </w:rPr>
        <w:t>。另设</w:t>
      </w:r>
      <w:r>
        <w:rPr>
          <w:rFonts w:hint="eastAsia" w:ascii="仿宋_GB2312" w:hAnsi="仿宋" w:eastAsia="仿宋_GB2312" w:cs="仿宋"/>
          <w:color w:val="auto"/>
          <w:sz w:val="32"/>
          <w:szCs w:val="40"/>
          <w:highlight w:val="none"/>
        </w:rPr>
        <w:t>机关党委（党建工作处）、机关纪委、工会、离退休干部处</w:t>
      </w:r>
      <w:r>
        <w:rPr>
          <w:rFonts w:hint="eastAsia" w:ascii="仿宋_GB2312" w:hAnsi="仿宋" w:eastAsia="仿宋_GB2312" w:cs="仿宋"/>
          <w:color w:val="auto"/>
          <w:sz w:val="32"/>
          <w:szCs w:val="40"/>
          <w:highlight w:val="none"/>
          <w:lang w:eastAsia="zh-CN"/>
        </w:rPr>
        <w:t>。</w:t>
      </w:r>
      <w:r>
        <w:rPr>
          <w:rFonts w:hint="eastAsia" w:ascii="仿宋_GB2312" w:hAnsi="仿宋" w:eastAsia="仿宋_GB2312" w:cs="仿宋"/>
          <w:color w:val="auto"/>
          <w:sz w:val="32"/>
          <w:szCs w:val="40"/>
          <w:highlight w:val="none"/>
          <w:lang w:val="en-US" w:eastAsia="zh-CN"/>
        </w:rPr>
        <w:t>2022年新增</w:t>
      </w:r>
      <w:r>
        <w:rPr>
          <w:rFonts w:hint="eastAsia" w:ascii="仿宋_GB2312" w:hAnsi="仿宋" w:eastAsia="仿宋_GB2312" w:cs="仿宋"/>
          <w:color w:val="auto"/>
          <w:sz w:val="32"/>
          <w:szCs w:val="40"/>
          <w:highlight w:val="none"/>
        </w:rPr>
        <w:t>服务联络处</w:t>
      </w:r>
      <w:r>
        <w:rPr>
          <w:rFonts w:hint="eastAsia" w:ascii="仿宋_GB2312" w:hAnsi="仿宋" w:eastAsia="仿宋_GB2312" w:cs="仿宋"/>
          <w:color w:val="auto"/>
          <w:sz w:val="32"/>
          <w:szCs w:val="40"/>
          <w:highlight w:val="none"/>
          <w:lang w:eastAsia="zh-CN"/>
        </w:rPr>
        <w:t>。</w:t>
      </w:r>
    </w:p>
    <w:p>
      <w:pPr>
        <w:snapToGrid w:val="0"/>
        <w:spacing w:line="520" w:lineRule="exact"/>
        <w:ind w:firstLine="640" w:firstLineChars="200"/>
        <w:rPr>
          <w:rFonts w:hint="eastAsia" w:ascii="宋体" w:hAnsi="宋体" w:eastAsia="仿宋_GB2312"/>
          <w:color w:val="auto"/>
          <w:sz w:val="32"/>
          <w:szCs w:val="32"/>
          <w:highlight w:val="none"/>
        </w:rPr>
      </w:pPr>
      <w:r>
        <w:rPr>
          <w:rFonts w:hint="eastAsia" w:ascii="仿宋_GB2312" w:hAnsi="仿宋" w:eastAsia="仿宋_GB2312" w:cs="仿宋"/>
          <w:color w:val="auto"/>
          <w:sz w:val="32"/>
          <w:szCs w:val="40"/>
          <w:highlight w:val="none"/>
        </w:rPr>
        <w:t>北京市城市管理委员会（首都城市环境建设管理委员会办公室）下属</w:t>
      </w:r>
      <w:r>
        <w:rPr>
          <w:rFonts w:hint="eastAsia" w:ascii="仿宋_GB2312" w:hAnsi="仿宋" w:eastAsia="仿宋_GB2312" w:cs="仿宋"/>
          <w:color w:val="auto"/>
          <w:sz w:val="32"/>
          <w:szCs w:val="40"/>
          <w:highlight w:val="none"/>
          <w:lang w:val="en-US" w:eastAsia="zh-CN"/>
        </w:rPr>
        <w:t>10</w:t>
      </w:r>
      <w:r>
        <w:rPr>
          <w:rFonts w:hint="eastAsia" w:ascii="仿宋_GB2312" w:hAnsi="仿宋" w:eastAsia="仿宋_GB2312" w:cs="仿宋"/>
          <w:color w:val="auto"/>
          <w:sz w:val="32"/>
          <w:szCs w:val="40"/>
          <w:highlight w:val="none"/>
        </w:rPr>
        <w:t>个</w:t>
      </w:r>
      <w:r>
        <w:rPr>
          <w:rFonts w:hint="eastAsia" w:ascii="仿宋_GB2312" w:hAnsi="仿宋" w:eastAsia="仿宋_GB2312" w:cs="仿宋"/>
          <w:color w:val="auto"/>
          <w:sz w:val="32"/>
          <w:szCs w:val="40"/>
          <w:highlight w:val="none"/>
          <w:lang w:val="en-US" w:eastAsia="zh-CN"/>
        </w:rPr>
        <w:t>预算</w:t>
      </w:r>
      <w:r>
        <w:rPr>
          <w:rFonts w:hint="eastAsia" w:ascii="仿宋_GB2312" w:hAnsi="仿宋" w:eastAsia="仿宋_GB2312" w:cs="仿宋"/>
          <w:color w:val="auto"/>
          <w:sz w:val="32"/>
          <w:szCs w:val="40"/>
          <w:highlight w:val="none"/>
        </w:rPr>
        <w:t>单位，分别为：北京市公用工程质量监督站、北京市垃圾分类治理促进中心、北京市环境卫生管理事务中心、北京市城市管理委员会综合事务中心、北京市城市运行管理事务中心、北京市城市管理研究院（北京市环境卫生监测中心）、北京市环境卫生涉外服务中心、北京市城市管理委员会宣传教育中心、北京市城市管理高级技术学校、北京市城市照明管理中心。20</w:t>
      </w:r>
      <w:r>
        <w:rPr>
          <w:rFonts w:hint="eastAsia" w:ascii="仿宋_GB2312" w:hAnsi="仿宋" w:eastAsia="仿宋_GB2312" w:cs="仿宋"/>
          <w:color w:val="auto"/>
          <w:sz w:val="32"/>
          <w:szCs w:val="40"/>
          <w:highlight w:val="none"/>
          <w:lang w:val="en-US" w:eastAsia="zh-CN"/>
        </w:rPr>
        <w:t>22</w:t>
      </w:r>
      <w:r>
        <w:rPr>
          <w:rFonts w:hint="eastAsia" w:ascii="仿宋_GB2312" w:hAnsi="仿宋" w:eastAsia="仿宋_GB2312" w:cs="仿宋"/>
          <w:color w:val="auto"/>
          <w:sz w:val="32"/>
          <w:szCs w:val="40"/>
          <w:highlight w:val="none"/>
        </w:rPr>
        <w:t>年末</w:t>
      </w:r>
      <w:r>
        <w:rPr>
          <w:rFonts w:hint="eastAsia" w:ascii="仿宋_GB2312" w:hAnsi="仿宋" w:eastAsia="仿宋_GB2312" w:cs="仿宋"/>
          <w:color w:val="auto"/>
          <w:sz w:val="32"/>
          <w:szCs w:val="40"/>
          <w:highlight w:val="none"/>
          <w:lang w:eastAsia="zh-CN"/>
        </w:rPr>
        <w:t>实有人数</w:t>
      </w:r>
      <w:r>
        <w:rPr>
          <w:rFonts w:hint="eastAsia" w:ascii="仿宋_GB2312" w:hAnsi="仿宋" w:eastAsia="仿宋_GB2312" w:cs="仿宋"/>
          <w:color w:val="auto"/>
          <w:sz w:val="32"/>
          <w:szCs w:val="40"/>
          <w:highlight w:val="none"/>
          <w:lang w:val="en-US" w:eastAsia="zh-CN"/>
        </w:rPr>
        <w:t>1198人，其中</w:t>
      </w:r>
      <w:r>
        <w:rPr>
          <w:rFonts w:hint="eastAsia" w:ascii="仿宋_GB2312" w:hAnsi="仿宋" w:eastAsia="仿宋_GB2312" w:cs="仿宋"/>
          <w:color w:val="auto"/>
          <w:sz w:val="32"/>
          <w:szCs w:val="40"/>
          <w:highlight w:val="none"/>
          <w:lang w:eastAsia="zh-CN"/>
        </w:rPr>
        <w:t>：</w:t>
      </w:r>
      <w:r>
        <w:rPr>
          <w:rFonts w:hint="eastAsia" w:ascii="仿宋_GB2312" w:hAnsi="仿宋" w:eastAsia="仿宋_GB2312" w:cs="仿宋"/>
          <w:color w:val="auto"/>
          <w:sz w:val="32"/>
          <w:szCs w:val="40"/>
          <w:highlight w:val="none"/>
        </w:rPr>
        <w:t>行政</w:t>
      </w:r>
      <w:r>
        <w:rPr>
          <w:rFonts w:hint="eastAsia" w:ascii="仿宋_GB2312" w:hAnsi="仿宋" w:eastAsia="仿宋_GB2312" w:cs="仿宋"/>
          <w:color w:val="auto"/>
          <w:sz w:val="32"/>
          <w:szCs w:val="40"/>
          <w:highlight w:val="none"/>
          <w:lang w:eastAsia="zh-CN"/>
        </w:rPr>
        <w:t>人员</w:t>
      </w:r>
      <w:r>
        <w:rPr>
          <w:rFonts w:hint="eastAsia" w:ascii="仿宋_GB2312" w:hAnsi="仿宋" w:eastAsia="仿宋_GB2312" w:cs="仿宋"/>
          <w:color w:val="auto"/>
          <w:sz w:val="32"/>
          <w:szCs w:val="40"/>
          <w:highlight w:val="none"/>
          <w:lang w:val="en-US" w:eastAsia="zh-CN"/>
        </w:rPr>
        <w:t>241</w:t>
      </w:r>
      <w:r>
        <w:rPr>
          <w:rFonts w:hint="eastAsia" w:ascii="仿宋_GB2312" w:hAnsi="仿宋" w:eastAsia="仿宋_GB2312" w:cs="仿宋"/>
          <w:color w:val="auto"/>
          <w:sz w:val="32"/>
          <w:szCs w:val="40"/>
          <w:highlight w:val="none"/>
        </w:rPr>
        <w:t>人，事业</w:t>
      </w:r>
      <w:r>
        <w:rPr>
          <w:rFonts w:hint="eastAsia" w:ascii="仿宋_GB2312" w:hAnsi="仿宋" w:eastAsia="仿宋_GB2312" w:cs="仿宋"/>
          <w:color w:val="auto"/>
          <w:sz w:val="32"/>
          <w:szCs w:val="40"/>
          <w:highlight w:val="none"/>
          <w:lang w:eastAsia="zh-CN"/>
        </w:rPr>
        <w:t>编人员</w:t>
      </w:r>
      <w:r>
        <w:rPr>
          <w:rFonts w:hint="eastAsia" w:ascii="仿宋_GB2312" w:hAnsi="仿宋" w:eastAsia="仿宋_GB2312" w:cs="仿宋"/>
          <w:color w:val="auto"/>
          <w:sz w:val="32"/>
          <w:szCs w:val="40"/>
          <w:highlight w:val="none"/>
          <w:lang w:val="en-US" w:eastAsia="zh-CN"/>
        </w:rPr>
        <w:t>636</w:t>
      </w:r>
      <w:r>
        <w:rPr>
          <w:rFonts w:hint="eastAsia" w:ascii="仿宋_GB2312" w:hAnsi="仿宋" w:eastAsia="仿宋_GB2312" w:cs="仿宋"/>
          <w:color w:val="auto"/>
          <w:sz w:val="32"/>
          <w:szCs w:val="40"/>
          <w:highlight w:val="none"/>
        </w:rPr>
        <w:t>人</w:t>
      </w:r>
      <w:r>
        <w:rPr>
          <w:rFonts w:hint="eastAsia" w:ascii="仿宋_GB2312" w:hAnsi="仿宋" w:eastAsia="仿宋_GB2312" w:cs="仿宋"/>
          <w:color w:val="auto"/>
          <w:sz w:val="32"/>
          <w:szCs w:val="40"/>
          <w:highlight w:val="none"/>
          <w:lang w:eastAsia="zh-CN"/>
        </w:rPr>
        <w:t>，其他人员</w:t>
      </w:r>
      <w:r>
        <w:rPr>
          <w:rFonts w:hint="eastAsia" w:ascii="仿宋_GB2312" w:hAnsi="仿宋" w:eastAsia="仿宋_GB2312" w:cs="仿宋"/>
          <w:color w:val="auto"/>
          <w:sz w:val="32"/>
          <w:szCs w:val="40"/>
          <w:highlight w:val="none"/>
          <w:lang w:val="en-US" w:eastAsia="zh-CN"/>
        </w:rPr>
        <w:t>308人</w:t>
      </w:r>
      <w:r>
        <w:rPr>
          <w:rFonts w:hint="eastAsia" w:ascii="仿宋_GB2312" w:hAnsi="仿宋" w:eastAsia="仿宋_GB2312" w:cs="仿宋"/>
          <w:color w:val="auto"/>
          <w:sz w:val="32"/>
          <w:szCs w:val="40"/>
          <w:highlight w:val="none"/>
        </w:rPr>
        <w:t>；年末离休人员1</w:t>
      </w:r>
      <w:r>
        <w:rPr>
          <w:rFonts w:hint="eastAsia" w:ascii="仿宋_GB2312" w:hAnsi="仿宋" w:eastAsia="仿宋_GB2312" w:cs="仿宋"/>
          <w:color w:val="auto"/>
          <w:sz w:val="32"/>
          <w:szCs w:val="40"/>
          <w:highlight w:val="none"/>
          <w:lang w:val="en-US" w:eastAsia="zh-CN"/>
        </w:rPr>
        <w:t>3</w:t>
      </w:r>
      <w:r>
        <w:rPr>
          <w:rFonts w:hint="eastAsia" w:ascii="仿宋_GB2312" w:hAnsi="仿宋" w:eastAsia="仿宋_GB2312" w:cs="仿宋"/>
          <w:color w:val="auto"/>
          <w:sz w:val="32"/>
          <w:szCs w:val="40"/>
          <w:highlight w:val="none"/>
        </w:rPr>
        <w:t>人。</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 w:eastAsia="仿宋_GB2312" w:cs="仿宋"/>
          <w:color w:val="auto"/>
          <w:sz w:val="32"/>
          <w:szCs w:val="40"/>
          <w:highlight w:val="none"/>
        </w:rPr>
      </w:pPr>
      <w:r>
        <w:rPr>
          <w:rFonts w:hint="eastAsia" w:ascii="仿宋_GB2312" w:hAnsi="仿宋" w:eastAsia="仿宋_GB2312" w:cs="仿宋"/>
          <w:color w:val="auto"/>
          <w:sz w:val="32"/>
          <w:szCs w:val="40"/>
          <w:highlight w:val="none"/>
        </w:rPr>
        <w:t>1.部门职责</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 w:eastAsia="仿宋_GB2312" w:cs="仿宋"/>
          <w:color w:val="auto"/>
          <w:sz w:val="32"/>
          <w:szCs w:val="40"/>
          <w:highlight w:val="none"/>
          <w:lang w:val="en-US" w:eastAsia="zh-CN"/>
        </w:rPr>
      </w:pPr>
      <w:r>
        <w:rPr>
          <w:rFonts w:hint="eastAsia" w:ascii="仿宋_GB2312" w:hAnsi="仿宋" w:eastAsia="仿宋_GB2312" w:cs="仿宋"/>
          <w:color w:val="auto"/>
          <w:sz w:val="32"/>
          <w:szCs w:val="40"/>
          <w:highlight w:val="none"/>
          <w:lang w:val="en-US" w:eastAsia="zh-CN"/>
        </w:rPr>
        <w:t>（1）贯彻执行国家有关法律法规、战略规划和政策措施；起草本市关于城市管理和城乡环境建设综合协调、市容环境卫生管理、能源日常运行管理、相关市政公用事业管理等方面的地方性法规草案、政府规章草案，拟订城市管理方面的发展规划、年度计划，并组织实施；制定相关标准化工作规划、计划，拟订相关地方标准和规范，并组织监督实施。</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 w:eastAsia="仿宋_GB2312" w:cs="仿宋"/>
          <w:color w:val="auto"/>
          <w:sz w:val="32"/>
          <w:szCs w:val="40"/>
          <w:highlight w:val="none"/>
          <w:lang w:val="en-US" w:eastAsia="zh-CN"/>
        </w:rPr>
      </w:pPr>
      <w:r>
        <w:rPr>
          <w:rFonts w:hint="eastAsia" w:ascii="仿宋_GB2312" w:hAnsi="仿宋" w:eastAsia="仿宋_GB2312" w:cs="仿宋"/>
          <w:color w:val="auto"/>
          <w:sz w:val="32"/>
          <w:szCs w:val="40"/>
          <w:highlight w:val="none"/>
          <w:lang w:val="en-US" w:eastAsia="zh-CN"/>
        </w:rPr>
        <w:t>（2）负责对本市城市管理工作的业务指导、组织协调、指挥调度、专项整治和检查评价；承担城市管理、城乡环境建设的综合协调、监督考核工作；承担首都城市环境建设管理委员会的具体工作。</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 w:eastAsia="仿宋_GB2312" w:cs="仿宋"/>
          <w:color w:val="auto"/>
          <w:sz w:val="32"/>
          <w:szCs w:val="40"/>
          <w:highlight w:val="none"/>
          <w:lang w:val="en-US" w:eastAsia="zh-CN"/>
        </w:rPr>
      </w:pPr>
      <w:r>
        <w:rPr>
          <w:rFonts w:hint="eastAsia" w:ascii="仿宋_GB2312" w:hAnsi="仿宋" w:eastAsia="仿宋_GB2312" w:cs="仿宋"/>
          <w:color w:val="auto"/>
          <w:sz w:val="32"/>
          <w:szCs w:val="40"/>
          <w:highlight w:val="none"/>
          <w:lang w:val="en-US" w:eastAsia="zh-CN"/>
        </w:rPr>
        <w:t>（3）负责统筹、规划、指导本市网格化城市管理工作，负责本市城市管理网格化体系建设、运行和日常管理工作；组织协调、管理城市运行保障的监测工作。</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 w:eastAsia="仿宋_GB2312" w:cs="仿宋"/>
          <w:color w:val="auto"/>
          <w:sz w:val="32"/>
          <w:szCs w:val="40"/>
          <w:highlight w:val="none"/>
          <w:lang w:val="en-US" w:eastAsia="zh-CN"/>
        </w:rPr>
      </w:pPr>
      <w:r>
        <w:rPr>
          <w:rFonts w:hint="eastAsia" w:ascii="仿宋_GB2312" w:hAnsi="仿宋" w:eastAsia="仿宋_GB2312" w:cs="仿宋"/>
          <w:color w:val="auto"/>
          <w:sz w:val="32"/>
          <w:szCs w:val="40"/>
          <w:highlight w:val="none"/>
          <w:lang w:val="en-US" w:eastAsia="zh-CN"/>
        </w:rPr>
        <w:t>（4）承担本市城市容貌管理责任；组织协调落实重点地区、重点街道的景观建设和治理工作；组织协调、管理城市道路公共服务设施设置；负责市容环境综合整治工作，组织架空线入地和规范整治工作；负责管理户外广告、牌匾标识、标语、宣传品设置；负责城市照明管理工作，会同市规划国土管理部门编制夜景照明专项规划并组织实施，监督照明设施的维护管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 w:eastAsia="仿宋_GB2312" w:cs="仿宋"/>
          <w:color w:val="auto"/>
          <w:sz w:val="32"/>
          <w:szCs w:val="40"/>
          <w:highlight w:val="none"/>
          <w:lang w:val="en-US" w:eastAsia="zh-CN"/>
        </w:rPr>
      </w:pPr>
      <w:r>
        <w:rPr>
          <w:rFonts w:hint="eastAsia" w:ascii="仿宋_GB2312" w:hAnsi="仿宋" w:eastAsia="仿宋_GB2312" w:cs="仿宋"/>
          <w:color w:val="auto"/>
          <w:sz w:val="32"/>
          <w:szCs w:val="40"/>
          <w:highlight w:val="none"/>
          <w:lang w:val="en-US" w:eastAsia="zh-CN"/>
        </w:rPr>
        <w:t>（5）负责本市环境卫生的组织管理和监督检查工作；承担生活垃圾等固体废弃物清扫、收集、贮存、运输和处置的监督管理责任；负责指导、管理环境卫生设施建设工作；负责垃圾分类工作，按有关规定对再生资源回收行业进行监督管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 w:eastAsia="仿宋_GB2312" w:cs="仿宋"/>
          <w:color w:val="auto"/>
          <w:sz w:val="32"/>
          <w:szCs w:val="40"/>
          <w:highlight w:val="none"/>
          <w:lang w:val="en-US" w:eastAsia="zh-CN"/>
        </w:rPr>
      </w:pPr>
      <w:r>
        <w:rPr>
          <w:rFonts w:hint="eastAsia" w:ascii="仿宋_GB2312" w:hAnsi="仿宋" w:eastAsia="仿宋_GB2312" w:cs="仿宋"/>
          <w:color w:val="auto"/>
          <w:sz w:val="32"/>
          <w:szCs w:val="40"/>
          <w:highlight w:val="none"/>
          <w:lang w:val="en-US" w:eastAsia="zh-CN"/>
        </w:rPr>
        <w:t>（6）负责本市燃气、供热、煤炭、电力、电源点的行业管理；负责加油(气)站管理的综合协调；负责新能源汽车充电站(桩)的建设和运营管理。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 w:eastAsia="仿宋_GB2312" w:cs="仿宋"/>
          <w:color w:val="auto"/>
          <w:sz w:val="32"/>
          <w:szCs w:val="40"/>
          <w:highlight w:val="none"/>
          <w:lang w:val="en-US" w:eastAsia="zh-CN"/>
        </w:rPr>
      </w:pPr>
      <w:r>
        <w:rPr>
          <w:rFonts w:hint="eastAsia" w:ascii="仿宋_GB2312" w:hAnsi="仿宋" w:eastAsia="仿宋_GB2312" w:cs="仿宋"/>
          <w:color w:val="auto"/>
          <w:sz w:val="32"/>
          <w:szCs w:val="40"/>
          <w:highlight w:val="none"/>
          <w:lang w:val="en-US" w:eastAsia="zh-CN"/>
        </w:rPr>
        <w:t>（7）统筹本市能源日常运行工作，承担煤、电、油、气等能源的日常运行监测、调度、协调和供应保障工作；建立健全热电气常态化联调联供机制。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 w:eastAsia="仿宋_GB2312" w:cs="仿宋"/>
          <w:color w:val="auto"/>
          <w:sz w:val="32"/>
          <w:szCs w:val="40"/>
          <w:highlight w:val="none"/>
          <w:lang w:val="en-US" w:eastAsia="zh-CN"/>
        </w:rPr>
      </w:pPr>
      <w:r>
        <w:rPr>
          <w:rFonts w:hint="eastAsia" w:ascii="仿宋_GB2312" w:hAnsi="仿宋" w:eastAsia="仿宋_GB2312" w:cs="仿宋"/>
          <w:color w:val="auto"/>
          <w:sz w:val="32"/>
          <w:szCs w:val="40"/>
          <w:highlight w:val="none"/>
          <w:lang w:val="en-US" w:eastAsia="zh-CN"/>
        </w:rPr>
        <w:t>（8）承担综合协调管理本市地下管线及其检查井和井盖设施的责任；会同市交通等相关管理部门推进地下管线工程与道路工程同步实施；负责地下综合管廊规划、建设和运营的综合协调管理，制定相关政策，参与编制地下综合管廊规划，拟订年度建设计划，负责地下综合管廊运营的监督管理；承担相关市政设施建设的统筹协调工作，建立市政设施工程规划、建设、管理有效衔接机制，参与相关建设工程的联合验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 w:eastAsia="仿宋_GB2312" w:cs="仿宋"/>
          <w:color w:val="auto"/>
          <w:sz w:val="32"/>
          <w:szCs w:val="40"/>
          <w:highlight w:val="none"/>
          <w:lang w:val="en-US" w:eastAsia="zh-CN"/>
        </w:rPr>
      </w:pPr>
      <w:r>
        <w:rPr>
          <w:rFonts w:hint="eastAsia" w:ascii="仿宋_GB2312" w:hAnsi="仿宋" w:eastAsia="仿宋_GB2312" w:cs="仿宋"/>
          <w:color w:val="auto"/>
          <w:sz w:val="32"/>
          <w:szCs w:val="40"/>
          <w:highlight w:val="none"/>
          <w:lang w:val="en-US" w:eastAsia="zh-CN"/>
        </w:rPr>
        <w:t>（9）负责本市石油、天然气管道(不包括炼油、化工等企业厂区内管道)保护工作，并承担相应监管职责。</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 w:eastAsia="仿宋_GB2312" w:cs="仿宋"/>
          <w:color w:val="auto"/>
          <w:sz w:val="32"/>
          <w:szCs w:val="40"/>
          <w:highlight w:val="none"/>
          <w:lang w:val="en-US" w:eastAsia="zh-CN"/>
        </w:rPr>
      </w:pPr>
      <w:r>
        <w:rPr>
          <w:rFonts w:hint="eastAsia" w:ascii="仿宋_GB2312" w:hAnsi="仿宋" w:eastAsia="仿宋_GB2312" w:cs="仿宋"/>
          <w:color w:val="auto"/>
          <w:sz w:val="32"/>
          <w:szCs w:val="40"/>
          <w:highlight w:val="none"/>
          <w:lang w:val="en-US" w:eastAsia="zh-CN"/>
        </w:rPr>
        <w:t>（10）承担本市市容环境卫生、燃气、供热、煤炭、电力、电源点、市政管线及附属设施、地下综合管廊、再生资源回收、加气(电)站、户外广告设施、城市照明设施等方面的安全监管或管理责任；负责相关重要设施建设工程质量和安全运行的监督管理；督促行业内重点单位建立安全管理制度和应急预案，落实安全防范措施，消除事故隐患，并在职责权限范围内负责监督检查和依法处理；承担北京市城市公共设施事故应急指挥部、北京市电力事故应急指挥部的具体工作，负责组织、协调、指导、检查城市公共设施事故的预防和应对工作。</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 w:eastAsia="仿宋_GB2312" w:cs="仿宋"/>
          <w:color w:val="auto"/>
          <w:sz w:val="32"/>
          <w:szCs w:val="40"/>
          <w:highlight w:val="none"/>
          <w:lang w:val="en-US" w:eastAsia="zh-CN"/>
        </w:rPr>
      </w:pPr>
      <w:r>
        <w:rPr>
          <w:rFonts w:hint="eastAsia" w:ascii="仿宋_GB2312" w:hAnsi="仿宋" w:eastAsia="仿宋_GB2312" w:cs="仿宋"/>
          <w:color w:val="auto"/>
          <w:sz w:val="32"/>
          <w:szCs w:val="40"/>
          <w:highlight w:val="none"/>
          <w:lang w:val="en-US" w:eastAsia="zh-CN"/>
        </w:rPr>
        <w:t>（11）负责本市市容环境卫生管理、能源日常运行管理、相关市政公用事业管理等方面科技发展和信息化建设工作，指导重大科技项目攻关、成果推广和新技术引进；承担本市城市管理财政预算运维资金的统筹管理责任；组织开展对外交流合作。</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 w:eastAsia="仿宋_GB2312" w:cs="仿宋"/>
          <w:color w:val="auto"/>
          <w:sz w:val="32"/>
          <w:szCs w:val="40"/>
          <w:highlight w:val="none"/>
          <w:lang w:val="en-US" w:eastAsia="zh-CN"/>
        </w:rPr>
      </w:pPr>
      <w:r>
        <w:rPr>
          <w:rFonts w:hint="eastAsia" w:ascii="仿宋_GB2312" w:hAnsi="仿宋" w:eastAsia="仿宋_GB2312" w:cs="仿宋"/>
          <w:color w:val="auto"/>
          <w:sz w:val="32"/>
          <w:szCs w:val="40"/>
          <w:highlight w:val="none"/>
          <w:lang w:val="en-US" w:eastAsia="zh-CN"/>
        </w:rPr>
        <w:t>（12）承办市政府交办的其他事项。</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 w:eastAsia="仿宋_GB2312" w:cs="仿宋"/>
          <w:color w:val="auto"/>
          <w:sz w:val="32"/>
          <w:szCs w:val="40"/>
          <w:highlight w:val="none"/>
          <w:lang w:val="en-US" w:eastAsia="zh-CN"/>
        </w:rPr>
      </w:pPr>
      <w:r>
        <w:rPr>
          <w:rFonts w:hint="eastAsia" w:ascii="仿宋_GB2312" w:hAnsi="仿宋" w:eastAsia="仿宋_GB2312" w:cs="仿宋"/>
          <w:color w:val="auto"/>
          <w:sz w:val="32"/>
          <w:szCs w:val="40"/>
          <w:highlight w:val="none"/>
          <w:lang w:val="en-US" w:eastAsia="zh-CN"/>
        </w:rPr>
        <w:t>2022年，市委编办《关于增加市城市管理委车用能源管理相关职责编制事项的批复》同意市城市管理委增加承担本市汽车加氢站、换电站及电动自行车充(换)电设施管理相关工作的职责。市委编办《关于明确生物调和燃料油管理职责分工(试行)的通知》规定，市城市管理委牵头负责“生物调和燃料油”规范管理相关工作，组织协调“生物调和燃料油”的使用管理，会同有关部门研究制定“生物调和燃料油”产品以及与之配套的储存、运输、使用等设施设备的标准、规范。</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 w:eastAsia="仿宋_GB2312" w:cs="仿宋"/>
          <w:color w:val="auto"/>
          <w:sz w:val="32"/>
          <w:szCs w:val="40"/>
          <w:highlight w:val="none"/>
          <w:lang w:val="en-US" w:eastAsia="zh-CN"/>
        </w:rPr>
      </w:pPr>
      <w:r>
        <w:rPr>
          <w:rFonts w:hint="eastAsia" w:ascii="仿宋_GB2312" w:hAnsi="仿宋" w:eastAsia="仿宋_GB2312" w:cs="仿宋"/>
          <w:color w:val="auto"/>
          <w:sz w:val="32"/>
          <w:szCs w:val="40"/>
          <w:highlight w:val="none"/>
          <w:lang w:val="en-US" w:eastAsia="zh-CN"/>
        </w:rPr>
        <w:t>2.2022年重点工作任务</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 w:eastAsia="仿宋_GB2312" w:cs="仿宋"/>
          <w:color w:val="auto"/>
          <w:sz w:val="32"/>
          <w:szCs w:val="40"/>
          <w:highlight w:val="none"/>
          <w:lang w:val="en-US" w:eastAsia="zh-CN"/>
        </w:rPr>
      </w:pPr>
      <w:r>
        <w:rPr>
          <w:rFonts w:hint="eastAsia" w:ascii="仿宋_GB2312" w:hAnsi="仿宋" w:eastAsia="仿宋_GB2312" w:cs="仿宋"/>
          <w:color w:val="auto"/>
          <w:sz w:val="32"/>
          <w:szCs w:val="40"/>
          <w:highlight w:val="none"/>
          <w:lang w:val="en-US" w:eastAsia="zh-CN"/>
        </w:rPr>
        <w:t>我委在市委市政府的坚强领导下，认真落实市第十三次党代会部署要求，完整准确全面贯彻新发展理念，坚持人民至上、安全发展，加强党建引领、统筹协调，突出创新驱动、智慧赋能，着力打造“双奥之城”美丽环境，推动城市精治共治法治水平不断提升，重要民生实事、固定资产投资、深化改革、建议提案、督察督办等年度目标任务顺利完成，取得了显著成效。</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9"/>
        <w:rPr>
          <w:rFonts w:hint="eastAsia" w:ascii="仿宋_GB2312" w:hAnsi="仿宋" w:eastAsia="仿宋_GB2312" w:cs="仿宋"/>
          <w:color w:val="auto"/>
          <w:sz w:val="32"/>
          <w:szCs w:val="40"/>
          <w:highlight w:val="none"/>
          <w:lang w:val="en-US" w:eastAsia="zh-CN"/>
        </w:rPr>
      </w:pPr>
      <w:r>
        <w:rPr>
          <w:rFonts w:hint="eastAsia" w:ascii="仿宋_GB2312" w:hAnsi="仿宋" w:eastAsia="仿宋_GB2312" w:cs="仿宋"/>
          <w:color w:val="auto"/>
          <w:sz w:val="32"/>
          <w:szCs w:val="40"/>
          <w:highlight w:val="none"/>
          <w:lang w:val="en-US" w:eastAsia="zh-CN"/>
        </w:rPr>
        <w:t>2022年重点工作任务主要包括：</w:t>
      </w:r>
      <w:r>
        <w:rPr>
          <w:rFonts w:hint="eastAsia" w:ascii="仿宋_GB2312" w:hAnsi="仿宋" w:eastAsia="仿宋_GB2312" w:cs="仿宋"/>
          <w:b/>
          <w:bCs/>
          <w:color w:val="auto"/>
          <w:sz w:val="32"/>
          <w:szCs w:val="40"/>
          <w:highlight w:val="none"/>
          <w:lang w:val="en-US" w:eastAsia="zh-CN"/>
        </w:rPr>
        <w:t>一是</w:t>
      </w:r>
      <w:r>
        <w:rPr>
          <w:rFonts w:hint="eastAsia" w:ascii="仿宋_GB2312" w:hAnsi="仿宋" w:eastAsia="仿宋_GB2312" w:cs="仿宋"/>
          <w:color w:val="auto"/>
          <w:sz w:val="32"/>
          <w:szCs w:val="40"/>
          <w:highlight w:val="none"/>
          <w:lang w:val="en-US" w:eastAsia="zh-CN"/>
        </w:rPr>
        <w:t>城乡环境面貌改善，组织重点环境建设任务推进落实，高标准做好冬奥环境和运行服务保障，全力做好党的二十大等重大活动服务保障，加强首都环境建设管理工作机制建设，持续提升网格化管理效能，深化首都环境建设督查考评作用；</w:t>
      </w:r>
      <w:r>
        <w:rPr>
          <w:rFonts w:hint="eastAsia" w:ascii="仿宋_GB2312" w:hAnsi="仿宋" w:eastAsia="仿宋_GB2312" w:cs="仿宋"/>
          <w:b/>
          <w:bCs/>
          <w:color w:val="auto"/>
          <w:sz w:val="32"/>
          <w:szCs w:val="40"/>
          <w:highlight w:val="none"/>
          <w:lang w:val="en-US" w:eastAsia="zh-CN"/>
        </w:rPr>
        <w:t>二是</w:t>
      </w:r>
      <w:r>
        <w:rPr>
          <w:rFonts w:hint="eastAsia" w:ascii="仿宋_GB2312" w:hAnsi="仿宋" w:eastAsia="仿宋_GB2312" w:cs="仿宋"/>
          <w:color w:val="auto"/>
          <w:sz w:val="32"/>
          <w:szCs w:val="40"/>
          <w:highlight w:val="none"/>
          <w:lang w:val="en-US" w:eastAsia="zh-CN"/>
        </w:rPr>
        <w:t>环境卫生管理取得新进展，持续推进垃圾分类关键小事，加快推进环卫设施建设，加大建筑垃圾治理力度，提升城市道路街巷洁净度，推动“厕所革命”向纵深发展；</w:t>
      </w:r>
      <w:r>
        <w:rPr>
          <w:rFonts w:hint="eastAsia" w:ascii="仿宋_GB2312" w:hAnsi="仿宋" w:eastAsia="仿宋_GB2312" w:cs="仿宋"/>
          <w:b/>
          <w:bCs/>
          <w:color w:val="auto"/>
          <w:sz w:val="32"/>
          <w:szCs w:val="40"/>
          <w:highlight w:val="none"/>
          <w:lang w:val="en-US" w:eastAsia="zh-CN"/>
        </w:rPr>
        <w:t>三是</w:t>
      </w:r>
      <w:r>
        <w:rPr>
          <w:rFonts w:hint="eastAsia" w:ascii="仿宋_GB2312" w:hAnsi="仿宋" w:eastAsia="仿宋_GB2312" w:cs="仿宋"/>
          <w:color w:val="auto"/>
          <w:sz w:val="32"/>
          <w:szCs w:val="40"/>
          <w:highlight w:val="none"/>
          <w:lang w:val="en-US" w:eastAsia="zh-CN"/>
        </w:rPr>
        <w:t>市政设施韧性建设不断加强，大力推进城市运行安全“百日行动”，持续加强地下管线安全防护和隐患治理，提升市政报装和综合管廊运营管理水平，持续做好石油天然气管道保护工作，强化安全生产和应急处置；</w:t>
      </w:r>
      <w:r>
        <w:rPr>
          <w:rFonts w:hint="eastAsia" w:ascii="仿宋_GB2312" w:hAnsi="仿宋" w:eastAsia="仿宋_GB2312" w:cs="仿宋"/>
          <w:b/>
          <w:bCs/>
          <w:color w:val="auto"/>
          <w:sz w:val="32"/>
          <w:szCs w:val="40"/>
          <w:highlight w:val="none"/>
          <w:lang w:val="en-US" w:eastAsia="zh-CN"/>
        </w:rPr>
        <w:t>四是</w:t>
      </w:r>
      <w:r>
        <w:rPr>
          <w:rFonts w:hint="eastAsia" w:ascii="仿宋_GB2312" w:hAnsi="仿宋" w:eastAsia="仿宋_GB2312" w:cs="仿宋"/>
          <w:color w:val="auto"/>
          <w:sz w:val="32"/>
          <w:szCs w:val="40"/>
          <w:highlight w:val="none"/>
          <w:lang w:val="en-US" w:eastAsia="zh-CN"/>
        </w:rPr>
        <w:t>能源供应保障经受新考验，推动能源供给保障总体平稳，持续提升电力运行保障水平，深化燃气行业综合治理，提升供热规范服务品质，推动电动自行车充电设施全覆盖；</w:t>
      </w:r>
      <w:r>
        <w:rPr>
          <w:rFonts w:hint="eastAsia" w:ascii="仿宋_GB2312" w:hAnsi="仿宋" w:eastAsia="仿宋_GB2312" w:cs="仿宋"/>
          <w:b/>
          <w:bCs/>
          <w:color w:val="auto"/>
          <w:sz w:val="32"/>
          <w:szCs w:val="40"/>
          <w:highlight w:val="none"/>
          <w:lang w:val="en-US" w:eastAsia="zh-CN"/>
        </w:rPr>
        <w:t>五是</w:t>
      </w:r>
      <w:r>
        <w:rPr>
          <w:rFonts w:hint="eastAsia" w:ascii="仿宋_GB2312" w:hAnsi="仿宋" w:eastAsia="仿宋_GB2312" w:cs="仿宋"/>
          <w:color w:val="auto"/>
          <w:sz w:val="32"/>
          <w:szCs w:val="40"/>
          <w:highlight w:val="none"/>
          <w:lang w:val="en-US" w:eastAsia="zh-CN"/>
        </w:rPr>
        <w:t>市容景观品质新提升，开展背街小巷环境精细化整治提升，推进长安街及核心区环境整治提升，实施架空线入地和公服设施精细化治理，提升广告牌匾和城市照明规范管理水平；</w:t>
      </w:r>
      <w:r>
        <w:rPr>
          <w:rFonts w:hint="eastAsia" w:ascii="仿宋_GB2312" w:hAnsi="仿宋" w:eastAsia="仿宋_GB2312" w:cs="仿宋"/>
          <w:b/>
          <w:bCs/>
          <w:color w:val="auto"/>
          <w:sz w:val="32"/>
          <w:szCs w:val="40"/>
          <w:highlight w:val="none"/>
          <w:lang w:val="en-US" w:eastAsia="zh-CN"/>
        </w:rPr>
        <w:t>六是</w:t>
      </w:r>
      <w:r>
        <w:rPr>
          <w:rFonts w:hint="eastAsia" w:ascii="仿宋_GB2312" w:hAnsi="仿宋" w:eastAsia="仿宋_GB2312" w:cs="仿宋"/>
          <w:color w:val="auto"/>
          <w:sz w:val="32"/>
          <w:szCs w:val="40"/>
          <w:highlight w:val="none"/>
          <w:lang w:val="en-US" w:eastAsia="zh-CN"/>
        </w:rPr>
        <w:t>机关综合能力建设提升新水平，推动机关党建全面进步全面过硬，持续涵养风清气正政治生态，打造高素质专业化人才队伍，持续推进法规标准体系建设，大力加强智慧城市建设，立体传播管城理市好声音。</w:t>
      </w:r>
    </w:p>
    <w:p>
      <w:pPr>
        <w:pStyle w:val="5"/>
        <w:adjustRightInd w:val="0"/>
        <w:snapToGrid w:val="0"/>
        <w:spacing w:before="0" w:after="0" w:line="560" w:lineRule="exact"/>
        <w:ind w:firstLine="640" w:firstLineChars="200"/>
        <w:rPr>
          <w:rFonts w:hint="eastAsia" w:ascii="楷体_GB2312" w:hAnsi="楷体_GB2312" w:eastAsia="楷体_GB2312" w:cs="楷体_GB2312"/>
          <w:b w:val="0"/>
          <w:bCs w:val="0"/>
          <w:color w:val="auto"/>
          <w:highlight w:val="none"/>
        </w:rPr>
      </w:pPr>
      <w:bookmarkStart w:id="2" w:name="_Toc9379"/>
      <w:r>
        <w:rPr>
          <w:rFonts w:hint="eastAsia" w:ascii="楷体_GB2312" w:hAnsi="楷体_GB2312" w:eastAsia="楷体_GB2312" w:cs="楷体_GB2312"/>
          <w:b w:val="0"/>
          <w:bCs w:val="0"/>
          <w:color w:val="auto"/>
          <w:highlight w:val="none"/>
        </w:rPr>
        <w:t>（二）部门整体绩效目标设立情况</w:t>
      </w:r>
      <w:bookmarkEnd w:id="2"/>
    </w:p>
    <w:p>
      <w:pPr>
        <w:adjustRightInd w:val="0"/>
        <w:snapToGrid w:val="0"/>
        <w:spacing w:line="560" w:lineRule="exact"/>
        <w:ind w:firstLine="640" w:firstLineChars="200"/>
        <w:rPr>
          <w:rFonts w:hint="eastAsia" w:ascii="仿宋_GB2312" w:hAnsi="仿宋" w:eastAsia="仿宋_GB2312" w:cs="Times New Roman"/>
          <w:bCs/>
          <w:color w:val="auto"/>
          <w:sz w:val="32"/>
          <w:szCs w:val="32"/>
          <w:highlight w:val="none"/>
        </w:rPr>
      </w:pPr>
      <w:r>
        <w:rPr>
          <w:rFonts w:ascii="仿宋_GB2312" w:hAnsi="仿宋" w:eastAsia="仿宋_GB2312"/>
          <w:bCs/>
          <w:color w:val="auto"/>
          <w:sz w:val="32"/>
          <w:szCs w:val="32"/>
        </w:rPr>
        <w:t>我委</w:t>
      </w:r>
      <w:r>
        <w:rPr>
          <w:rFonts w:hint="eastAsia" w:ascii="仿宋_GB2312" w:hAnsi="仿宋" w:eastAsia="仿宋_GB2312"/>
          <w:bCs/>
          <w:color w:val="auto"/>
          <w:sz w:val="32"/>
          <w:szCs w:val="32"/>
        </w:rPr>
        <w:t>结合部门职责、2022年重点工作任务及财政资金分配使用计划，制定了《部门整体支出绩效目标申报表》</w:t>
      </w:r>
      <w:r>
        <w:rPr>
          <w:rFonts w:hint="eastAsia" w:ascii="仿宋_GB2312" w:hAnsi="仿宋" w:eastAsia="仿宋_GB2312"/>
          <w:bCs/>
          <w:color w:val="auto"/>
          <w:sz w:val="32"/>
          <w:szCs w:val="32"/>
          <w:lang w:eastAsia="zh-CN"/>
        </w:rPr>
        <w:t>。</w:t>
      </w:r>
      <w:r>
        <w:rPr>
          <w:rFonts w:hint="eastAsia" w:ascii="仿宋_GB2312" w:hAnsi="仿宋" w:eastAsia="仿宋_GB2312" w:cs="Times New Roman"/>
          <w:bCs/>
          <w:color w:val="auto"/>
          <w:sz w:val="32"/>
          <w:szCs w:val="32"/>
          <w:highlight w:val="none"/>
        </w:rPr>
        <w:t>坚持以习近平新时代中国特色社会主义思想为指导，</w:t>
      </w:r>
      <w:r>
        <w:rPr>
          <w:rFonts w:hint="eastAsia" w:ascii="仿宋_GB2312" w:hAnsi="仿宋" w:eastAsia="仿宋_GB2312" w:cs="Times New Roman"/>
          <w:bCs/>
          <w:color w:val="auto"/>
          <w:sz w:val="32"/>
          <w:szCs w:val="32"/>
          <w:highlight w:val="none"/>
          <w:lang w:eastAsia="zh-CN"/>
        </w:rPr>
        <w:t>全面</w:t>
      </w:r>
      <w:r>
        <w:rPr>
          <w:rFonts w:hint="eastAsia" w:ascii="仿宋_GB2312" w:hAnsi="仿宋" w:eastAsia="仿宋_GB2312" w:cs="Times New Roman"/>
          <w:bCs/>
          <w:color w:val="auto"/>
          <w:sz w:val="32"/>
          <w:szCs w:val="32"/>
          <w:highlight w:val="none"/>
        </w:rPr>
        <w:t>贯彻</w:t>
      </w:r>
      <w:r>
        <w:rPr>
          <w:rFonts w:hint="eastAsia" w:ascii="仿宋_GB2312" w:hAnsi="仿宋" w:eastAsia="仿宋_GB2312" w:cs="Times New Roman"/>
          <w:bCs/>
          <w:color w:val="auto"/>
          <w:sz w:val="32"/>
          <w:szCs w:val="32"/>
          <w:highlight w:val="none"/>
          <w:lang w:eastAsia="zh-CN"/>
        </w:rPr>
        <w:t>落实</w:t>
      </w:r>
      <w:r>
        <w:rPr>
          <w:rFonts w:hint="eastAsia" w:ascii="仿宋_GB2312" w:hAnsi="仿宋" w:eastAsia="仿宋_GB2312" w:cs="Times New Roman"/>
          <w:bCs/>
          <w:color w:val="auto"/>
          <w:sz w:val="32"/>
          <w:szCs w:val="32"/>
          <w:highlight w:val="none"/>
        </w:rPr>
        <w:t>党的</w:t>
      </w:r>
      <w:r>
        <w:rPr>
          <w:rFonts w:hint="eastAsia" w:ascii="仿宋_GB2312" w:hAnsi="仿宋" w:eastAsia="仿宋_GB2312" w:cs="Times New Roman"/>
          <w:bCs/>
          <w:color w:val="auto"/>
          <w:sz w:val="32"/>
          <w:szCs w:val="32"/>
          <w:highlight w:val="none"/>
          <w:lang w:eastAsia="zh-CN"/>
        </w:rPr>
        <w:t>二十大</w:t>
      </w:r>
      <w:r>
        <w:rPr>
          <w:rFonts w:hint="eastAsia" w:ascii="仿宋_GB2312" w:hAnsi="仿宋" w:eastAsia="仿宋_GB2312" w:cs="Times New Roman"/>
          <w:bCs/>
          <w:color w:val="auto"/>
          <w:sz w:val="32"/>
          <w:szCs w:val="32"/>
          <w:highlight w:val="none"/>
        </w:rPr>
        <w:t>精神，</w:t>
      </w:r>
      <w:r>
        <w:rPr>
          <w:rFonts w:hint="eastAsia" w:ascii="仿宋_GB2312" w:hAnsi="仿宋" w:eastAsia="仿宋_GB2312" w:cs="Times New Roman"/>
          <w:bCs/>
          <w:color w:val="auto"/>
          <w:sz w:val="32"/>
          <w:szCs w:val="32"/>
          <w:highlight w:val="none"/>
          <w:lang w:eastAsia="zh-CN"/>
        </w:rPr>
        <w:t>深入</w:t>
      </w:r>
      <w:r>
        <w:rPr>
          <w:rFonts w:hint="eastAsia" w:ascii="仿宋_GB2312" w:hAnsi="仿宋" w:eastAsia="仿宋_GB2312" w:cs="Times New Roman"/>
          <w:bCs/>
          <w:color w:val="auto"/>
          <w:sz w:val="32"/>
          <w:szCs w:val="32"/>
          <w:highlight w:val="none"/>
        </w:rPr>
        <w:t>贯彻习近平总书记对北京</w:t>
      </w:r>
      <w:r>
        <w:rPr>
          <w:rFonts w:hint="eastAsia" w:ascii="仿宋_GB2312" w:hAnsi="仿宋" w:eastAsia="仿宋_GB2312" w:cs="Times New Roman"/>
          <w:bCs/>
          <w:color w:val="auto"/>
          <w:sz w:val="32"/>
          <w:szCs w:val="32"/>
          <w:highlight w:val="none"/>
          <w:lang w:eastAsia="zh-CN"/>
        </w:rPr>
        <w:t>一系列</w:t>
      </w:r>
      <w:r>
        <w:rPr>
          <w:rFonts w:hint="eastAsia" w:ascii="仿宋_GB2312" w:hAnsi="仿宋" w:eastAsia="仿宋_GB2312" w:cs="Times New Roman"/>
          <w:bCs/>
          <w:color w:val="auto"/>
          <w:sz w:val="32"/>
          <w:szCs w:val="32"/>
          <w:highlight w:val="none"/>
        </w:rPr>
        <w:t>重要指示精神，按照市委市政府重大决策部署，贯彻新发展理念，持续推进环境整治，继续促进垃圾分类，强化城市照明运行管理，满足</w:t>
      </w:r>
      <w:r>
        <w:rPr>
          <w:rFonts w:hint="eastAsia" w:ascii="仿宋_GB2312" w:hAnsi="仿宋" w:eastAsia="仿宋_GB2312" w:cs="Times New Roman"/>
          <w:bCs/>
          <w:color w:val="auto"/>
          <w:sz w:val="32"/>
          <w:szCs w:val="32"/>
          <w:highlight w:val="none"/>
          <w:lang w:eastAsia="zh-CN"/>
        </w:rPr>
        <w:t>电力</w:t>
      </w:r>
      <w:r>
        <w:rPr>
          <w:rFonts w:hint="eastAsia" w:ascii="仿宋_GB2312" w:hAnsi="仿宋" w:eastAsia="仿宋_GB2312" w:cs="Times New Roman"/>
          <w:bCs/>
          <w:color w:val="auto"/>
          <w:sz w:val="32"/>
          <w:szCs w:val="32"/>
          <w:highlight w:val="none"/>
        </w:rPr>
        <w:t>供热燃气需求，优化提升市容景观，加强城市管理宣传，进一步提升城市</w:t>
      </w:r>
      <w:r>
        <w:rPr>
          <w:rFonts w:hint="eastAsia" w:ascii="仿宋_GB2312" w:hAnsi="仿宋" w:eastAsia="仿宋_GB2312" w:cs="Times New Roman"/>
          <w:bCs/>
          <w:color w:val="auto"/>
          <w:sz w:val="32"/>
          <w:szCs w:val="32"/>
          <w:highlight w:val="none"/>
          <w:lang w:eastAsia="zh-CN"/>
        </w:rPr>
        <w:t>精细化</w:t>
      </w:r>
      <w:r>
        <w:rPr>
          <w:rFonts w:hint="eastAsia" w:ascii="仿宋_GB2312" w:hAnsi="仿宋" w:eastAsia="仿宋_GB2312" w:cs="Times New Roman"/>
          <w:bCs/>
          <w:color w:val="auto"/>
          <w:sz w:val="32"/>
          <w:szCs w:val="32"/>
          <w:highlight w:val="none"/>
        </w:rPr>
        <w:t>管理</w:t>
      </w:r>
      <w:r>
        <w:rPr>
          <w:rFonts w:hint="eastAsia" w:ascii="仿宋_GB2312" w:hAnsi="仿宋" w:eastAsia="仿宋_GB2312" w:cs="Times New Roman"/>
          <w:bCs/>
          <w:color w:val="auto"/>
          <w:sz w:val="32"/>
          <w:szCs w:val="32"/>
          <w:highlight w:val="none"/>
          <w:lang w:eastAsia="zh-CN"/>
        </w:rPr>
        <w:t>水平</w:t>
      </w:r>
      <w:r>
        <w:rPr>
          <w:rFonts w:hint="eastAsia" w:ascii="仿宋_GB2312" w:hAnsi="仿宋" w:eastAsia="仿宋_GB2312" w:cs="Times New Roman"/>
          <w:bCs/>
          <w:color w:val="auto"/>
          <w:sz w:val="32"/>
          <w:szCs w:val="32"/>
          <w:highlight w:val="none"/>
        </w:rPr>
        <w:t>，夯实城市治理新基础，以优异成绩保障冬奥顺利召开。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宋体" w:hAnsi="宋体" w:eastAsia="仿宋_GB2312" w:cs="宋体"/>
          <w:color w:val="auto"/>
          <w:kern w:val="0"/>
          <w:sz w:val="32"/>
          <w:szCs w:val="32"/>
        </w:rPr>
      </w:pPr>
      <w:r>
        <w:rPr>
          <w:rFonts w:hint="eastAsia" w:ascii="黑体" w:hAnsi="黑体" w:eastAsia="黑体" w:cs="黑体"/>
          <w:color w:val="auto"/>
          <w:kern w:val="0"/>
          <w:sz w:val="32"/>
          <w:szCs w:val="32"/>
          <w:lang w:eastAsia="zh-CN"/>
        </w:rPr>
        <w:t>一是</w:t>
      </w:r>
      <w:r>
        <w:rPr>
          <w:rFonts w:hint="eastAsia" w:ascii="黑体" w:hAnsi="黑体" w:eastAsia="黑体" w:cs="黑体"/>
          <w:color w:val="auto"/>
          <w:kern w:val="0"/>
          <w:sz w:val="32"/>
          <w:szCs w:val="32"/>
        </w:rPr>
        <w:t>城市环境综合整治方面</w:t>
      </w:r>
    </w:p>
    <w:p>
      <w:pPr>
        <w:adjustRightInd w:val="0"/>
        <w:snapToGrid w:val="0"/>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每日随机抽查10条背街小巷进行检查；对各区202</w:t>
      </w:r>
      <w:r>
        <w:rPr>
          <w:rFonts w:hint="eastAsia" w:ascii="仿宋_GB2312" w:hAnsi="仿宋" w:eastAsia="仿宋_GB2312" w:cs="Times New Roman"/>
          <w:bCs/>
          <w:color w:val="auto"/>
          <w:sz w:val="32"/>
          <w:szCs w:val="32"/>
          <w:highlight w:val="none"/>
          <w:lang w:val="en-US" w:eastAsia="zh-CN"/>
        </w:rPr>
        <w:t>1</w:t>
      </w:r>
      <w:r>
        <w:rPr>
          <w:rFonts w:hint="eastAsia" w:ascii="仿宋_GB2312" w:hAnsi="仿宋" w:eastAsia="仿宋_GB2312" w:cs="Times New Roman"/>
          <w:bCs/>
          <w:color w:val="auto"/>
          <w:sz w:val="32"/>
          <w:szCs w:val="32"/>
          <w:highlight w:val="none"/>
        </w:rPr>
        <w:t>年开展的1385条背街小巷精细化整治提升任务逐条进行现场核查验收；对全市背街小巷环境精细化整治提升年度任务完成情况进行综合考评，根据考评结果给予资金奖励；对150个完成公共区域综合整治和群众诉求量突出的老旧小区实施现场察访核验；202</w:t>
      </w:r>
      <w:r>
        <w:rPr>
          <w:rFonts w:hint="eastAsia" w:ascii="仿宋_GB2312" w:hAnsi="仿宋" w:eastAsia="仿宋_GB2312" w:cs="Times New Roman"/>
          <w:bCs/>
          <w:color w:val="auto"/>
          <w:sz w:val="32"/>
          <w:szCs w:val="32"/>
          <w:highlight w:val="none"/>
          <w:lang w:val="en-US" w:eastAsia="zh-CN"/>
        </w:rPr>
        <w:t>1</w:t>
      </w:r>
      <w:r>
        <w:rPr>
          <w:rFonts w:hint="eastAsia" w:ascii="仿宋_GB2312" w:hAnsi="仿宋" w:eastAsia="仿宋_GB2312" w:cs="Times New Roman"/>
          <w:bCs/>
          <w:color w:val="auto"/>
          <w:sz w:val="32"/>
          <w:szCs w:val="32"/>
          <w:highlight w:val="none"/>
        </w:rPr>
        <w:t>年，围绕城市副中心老城“双修”，推进实施15.3公里电力架空线入地；启动《架空线管理若干规定》修订工作，逐步完善规章制度。积极推进202</w:t>
      </w:r>
      <w:r>
        <w:rPr>
          <w:rFonts w:hint="eastAsia" w:ascii="仿宋_GB2312" w:hAnsi="仿宋" w:eastAsia="仿宋_GB2312" w:cs="Times New Roman"/>
          <w:bCs/>
          <w:color w:val="auto"/>
          <w:sz w:val="32"/>
          <w:szCs w:val="32"/>
          <w:highlight w:val="none"/>
          <w:lang w:val="en-US" w:eastAsia="zh-CN"/>
        </w:rPr>
        <w:t>1</w:t>
      </w:r>
      <w:r>
        <w:rPr>
          <w:rFonts w:hint="eastAsia" w:ascii="仿宋_GB2312" w:hAnsi="仿宋" w:eastAsia="仿宋_GB2312" w:cs="Times New Roman"/>
          <w:bCs/>
          <w:color w:val="auto"/>
          <w:sz w:val="32"/>
          <w:szCs w:val="32"/>
          <w:highlight w:val="none"/>
        </w:rPr>
        <w:t>年首都环境建设市级重点项目。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color w:val="auto"/>
          <w:kern w:val="0"/>
          <w:sz w:val="32"/>
          <w:szCs w:val="32"/>
        </w:rPr>
      </w:pPr>
      <w:r>
        <w:rPr>
          <w:rFonts w:hint="eastAsia" w:ascii="黑体" w:hAnsi="黑体" w:eastAsia="黑体" w:cs="黑体"/>
          <w:color w:val="auto"/>
          <w:kern w:val="0"/>
          <w:sz w:val="32"/>
          <w:szCs w:val="32"/>
          <w:lang w:eastAsia="zh-CN"/>
        </w:rPr>
        <w:t>二是</w:t>
      </w:r>
      <w:r>
        <w:rPr>
          <w:rFonts w:hint="eastAsia" w:ascii="黑体" w:hAnsi="黑体" w:eastAsia="黑体" w:cs="黑体"/>
          <w:color w:val="auto"/>
          <w:kern w:val="0"/>
          <w:sz w:val="32"/>
          <w:szCs w:val="32"/>
        </w:rPr>
        <w:t>环境卫生管理方面</w:t>
      </w:r>
    </w:p>
    <w:p>
      <w:pPr>
        <w:adjustRightInd w:val="0"/>
        <w:snapToGrid w:val="0"/>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完成202</w:t>
      </w:r>
      <w:r>
        <w:rPr>
          <w:rFonts w:hint="eastAsia" w:ascii="仿宋_GB2312" w:hAnsi="仿宋" w:eastAsia="仿宋_GB2312" w:cs="Times New Roman"/>
          <w:bCs/>
          <w:color w:val="auto"/>
          <w:sz w:val="32"/>
          <w:szCs w:val="32"/>
          <w:highlight w:val="none"/>
          <w:lang w:val="en-US" w:eastAsia="zh-CN"/>
        </w:rPr>
        <w:t>2</w:t>
      </w:r>
      <w:r>
        <w:rPr>
          <w:rFonts w:hint="eastAsia" w:ascii="仿宋_GB2312" w:hAnsi="仿宋" w:eastAsia="仿宋_GB2312" w:cs="Times New Roman"/>
          <w:bCs/>
          <w:color w:val="auto"/>
          <w:sz w:val="32"/>
          <w:szCs w:val="32"/>
          <w:highlight w:val="none"/>
        </w:rPr>
        <w:t>年示范片区创建验收工作，完成2017-2019年已通过验收示范片区首次复检。推进生活垃圾分类全流程精细化管理系统建设。开展生活垃圾分类治理数据平台运行及数据管理服务，实现生活垃圾排放登记系统建设。组织开展二、三、四环主辅路等9条跨区快速路主路清扫保洁服务、环卫临时任务、长安街及迎宾线主辅路清扫保洁、扫雪铲冰；通过建筑垃圾车辆管理监控，进行重点时期车辆运行监控服务；对16区进行夜间建筑垃圾土方砂石运输违法违规信息收集；组织建筑垃圾运输全流程数据的采集、核查，有效控制业务运行的违规操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color w:val="auto"/>
          <w:kern w:val="0"/>
          <w:sz w:val="32"/>
          <w:szCs w:val="32"/>
        </w:rPr>
      </w:pPr>
      <w:r>
        <w:rPr>
          <w:rFonts w:hint="eastAsia" w:ascii="黑体" w:hAnsi="黑体" w:eastAsia="黑体" w:cs="黑体"/>
          <w:color w:val="auto"/>
          <w:kern w:val="0"/>
          <w:sz w:val="32"/>
          <w:szCs w:val="32"/>
          <w:lang w:eastAsia="zh-CN"/>
        </w:rPr>
        <w:t>三是</w:t>
      </w:r>
      <w:r>
        <w:rPr>
          <w:rFonts w:hint="eastAsia" w:ascii="黑体" w:hAnsi="黑体" w:eastAsia="黑体" w:cs="黑体"/>
          <w:color w:val="auto"/>
          <w:kern w:val="0"/>
          <w:sz w:val="32"/>
          <w:szCs w:val="32"/>
        </w:rPr>
        <w:t>城市照明管理方面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bCs/>
          <w:color w:val="auto"/>
          <w:sz w:val="32"/>
          <w:szCs w:val="32"/>
          <w:highlight w:val="none"/>
        </w:rPr>
      </w:pPr>
      <w:r>
        <w:rPr>
          <w:rFonts w:hint="eastAsia" w:ascii="仿宋_GB2312" w:hAnsi="仿宋" w:eastAsia="仿宋_GB2312" w:cs="Times New Roman"/>
          <w:bCs/>
          <w:color w:val="auto"/>
          <w:sz w:val="32"/>
          <w:szCs w:val="32"/>
          <w:highlight w:val="none"/>
        </w:rPr>
        <w:t>严格落实《城市景观照明技术规范》和《北京市夜景照明管理办法》等标准要求，建设项目达到设计要求，呈现与环境匹配的光效品质；维护项目照明设施完好率达到95%，亮灯率达到98%，实现安全、正常运行保障，营造首都庄重、大气、安全、辉煌的夜景氛围；完成3031028万盏路灯及其附属电源设施、管线的运行维护，年平均亮灯率不低于98％，设施完好率不低于96%；市民热线报修响应率、解决率、满意率均不低于90%；</w:t>
      </w:r>
      <w:r>
        <w:rPr>
          <w:rFonts w:hint="eastAsia" w:ascii="仿宋_GB2312" w:hAnsi="仿宋" w:eastAsia="仿宋_GB2312" w:cs="Times New Roman"/>
          <w:bCs/>
          <w:color w:val="auto"/>
          <w:sz w:val="32"/>
          <w:szCs w:val="32"/>
          <w:highlight w:val="none"/>
          <w:lang w:eastAsia="zh-CN"/>
        </w:rPr>
        <w:t>未</w:t>
      </w:r>
      <w:r>
        <w:rPr>
          <w:rFonts w:hint="eastAsia" w:ascii="仿宋_GB2312" w:hAnsi="仿宋" w:eastAsia="仿宋_GB2312" w:cs="Times New Roman"/>
          <w:bCs/>
          <w:color w:val="auto"/>
          <w:sz w:val="32"/>
          <w:szCs w:val="32"/>
          <w:highlight w:val="none"/>
        </w:rPr>
        <w:t>发生安全生产事故；完成全年各项重大活动保障任务；持续推进年度路灯设施大修技改项目的实施，确保设施安全运行。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color w:val="auto"/>
          <w:kern w:val="0"/>
          <w:sz w:val="32"/>
          <w:szCs w:val="32"/>
        </w:rPr>
      </w:pPr>
      <w:r>
        <w:rPr>
          <w:rFonts w:hint="eastAsia" w:ascii="黑体" w:hAnsi="黑体" w:eastAsia="黑体" w:cs="黑体"/>
          <w:color w:val="auto"/>
          <w:kern w:val="0"/>
          <w:sz w:val="32"/>
          <w:szCs w:val="32"/>
          <w:lang w:eastAsia="zh-CN"/>
        </w:rPr>
        <w:t>四是</w:t>
      </w:r>
      <w:r>
        <w:rPr>
          <w:rFonts w:hint="eastAsia" w:ascii="黑体" w:hAnsi="黑体" w:eastAsia="黑体" w:cs="黑体"/>
          <w:color w:val="auto"/>
          <w:kern w:val="0"/>
          <w:sz w:val="32"/>
          <w:szCs w:val="32"/>
        </w:rPr>
        <w:t>供热燃气管理方面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保障全市供热单位按时供暖；完成2021-2022年采暖季市级应急煤炭储备任务。非动用期保持液化石油气市级政府应急储备5000吨；定期对储备液化石油气的数量和质量情况开展监督检查；对按期领取补贴的天然气分户自采暖居民用户发放补贴；完成对15000户居民用户关于燃气供应企业入户巡检情况的抽查工作；完成90个液化天然气和液化石油气气样的抽测工作，并形成抽测报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color w:val="auto"/>
          <w:kern w:val="0"/>
          <w:sz w:val="32"/>
          <w:szCs w:val="32"/>
        </w:rPr>
      </w:pPr>
      <w:r>
        <w:rPr>
          <w:rFonts w:hint="eastAsia" w:ascii="黑体" w:hAnsi="黑体" w:eastAsia="黑体" w:cs="黑体"/>
          <w:color w:val="auto"/>
          <w:kern w:val="0"/>
          <w:sz w:val="32"/>
          <w:szCs w:val="32"/>
          <w:lang w:eastAsia="zh-CN"/>
        </w:rPr>
        <w:t>五是</w:t>
      </w:r>
      <w:r>
        <w:rPr>
          <w:rFonts w:hint="eastAsia" w:ascii="黑体" w:hAnsi="黑体" w:eastAsia="黑体" w:cs="黑体"/>
          <w:color w:val="auto"/>
          <w:kern w:val="0"/>
          <w:sz w:val="32"/>
          <w:szCs w:val="32"/>
        </w:rPr>
        <w:t>户外广告管理方面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根据市委市政府领导批示精神，市城市管理委系统梳理本市立柱式户外广告设施情况，会同相关部门研究规范治理工作措施，形成了治理方案，经2020年第84次市政府常务会及2021年</w:t>
      </w:r>
      <w:r>
        <w:rPr>
          <w:rFonts w:hint="eastAsia" w:ascii="仿宋_GB2312" w:hAnsi="仿宋" w:eastAsia="仿宋_GB2312" w:cs="Times New Roman"/>
          <w:bCs/>
          <w:color w:val="auto"/>
          <w:sz w:val="32"/>
          <w:szCs w:val="32"/>
          <w:highlight w:val="none"/>
          <w:lang w:eastAsia="zh-CN"/>
        </w:rPr>
        <w:t>第</w:t>
      </w:r>
      <w:r>
        <w:rPr>
          <w:rFonts w:hint="eastAsia" w:ascii="仿宋_GB2312" w:hAnsi="仿宋" w:eastAsia="仿宋_GB2312" w:cs="Times New Roman"/>
          <w:bCs/>
          <w:color w:val="auto"/>
          <w:sz w:val="32"/>
          <w:szCs w:val="32"/>
          <w:highlight w:val="none"/>
        </w:rPr>
        <w:t>2次市委城工委主任专题会审议通过，拆除市属立柱式户外广告设施266处，其中：2021年底前拆除258处市属立柱式户外广告设施；2022年6月30前拆除8处专项用于冬奥会及冬残奥会公益宣传设施。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color w:val="auto"/>
          <w:kern w:val="0"/>
          <w:sz w:val="32"/>
          <w:szCs w:val="32"/>
        </w:rPr>
      </w:pPr>
      <w:r>
        <w:rPr>
          <w:rFonts w:hint="eastAsia" w:ascii="黑体" w:hAnsi="黑体" w:eastAsia="黑体" w:cs="黑体"/>
          <w:color w:val="auto"/>
          <w:kern w:val="0"/>
          <w:sz w:val="32"/>
          <w:szCs w:val="32"/>
          <w:lang w:eastAsia="zh-CN"/>
        </w:rPr>
        <w:t>六是</w:t>
      </w:r>
      <w:r>
        <w:rPr>
          <w:rFonts w:hint="eastAsia" w:ascii="黑体" w:hAnsi="黑体" w:eastAsia="黑体" w:cs="黑体"/>
          <w:color w:val="auto"/>
          <w:kern w:val="0"/>
          <w:sz w:val="32"/>
          <w:szCs w:val="32"/>
        </w:rPr>
        <w:t>能源运行管理方面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bCs/>
          <w:color w:val="auto"/>
          <w:sz w:val="32"/>
          <w:szCs w:val="32"/>
          <w:highlight w:val="none"/>
        </w:rPr>
      </w:pPr>
      <w:r>
        <w:rPr>
          <w:rFonts w:hint="eastAsia" w:ascii="仿宋_GB2312" w:hAnsi="仿宋" w:eastAsia="仿宋_GB2312" w:cs="Times New Roman"/>
          <w:bCs/>
          <w:color w:val="auto"/>
          <w:sz w:val="32"/>
          <w:szCs w:val="32"/>
          <w:highlight w:val="none"/>
        </w:rPr>
        <w:t>开展充电设施补助资金的核验工作，发放中央财政补助资金；完成400-500个公共充电设施运营站点现场检查。完成全市汽车加气站风险评估工作，完成20座车用加气站隐患排查。推进实施车用柴油减量化发展工作；开展全市能源运行动态数据综合分析；开展本市压减燃煤工作。开展本市电网、发电行业领域“双随机”安全生产现场调查摸底；开展电网、发电行业安全生产标准化评审复核；对部分热电厂、水泥厂用煤情况进行日常监测监管；对供应本市优质煤企业进行年度考核。</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color w:val="auto"/>
          <w:kern w:val="0"/>
          <w:sz w:val="32"/>
          <w:szCs w:val="32"/>
        </w:rPr>
      </w:pPr>
      <w:r>
        <w:rPr>
          <w:rFonts w:hint="eastAsia" w:ascii="黑体" w:hAnsi="黑体" w:eastAsia="黑体" w:cs="黑体"/>
          <w:color w:val="auto"/>
          <w:kern w:val="0"/>
          <w:sz w:val="32"/>
          <w:szCs w:val="32"/>
          <w:lang w:eastAsia="zh-CN"/>
        </w:rPr>
        <w:t>七是</w:t>
      </w:r>
      <w:r>
        <w:rPr>
          <w:rFonts w:hint="eastAsia" w:ascii="黑体" w:hAnsi="黑体" w:eastAsia="黑体" w:cs="黑体"/>
          <w:color w:val="auto"/>
          <w:kern w:val="0"/>
          <w:sz w:val="32"/>
          <w:szCs w:val="32"/>
        </w:rPr>
        <w:t>城市管理宣传方面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利用多种渠道、多种形式，开展广泛宣传动员等工作。计划开展《垃圾分类我们在行动》等栏目宣传；在平面媒体开设“垃圾分类”“背街小巷”专版、观点文章等；利用报纸等版面刊载首都环境月检查月曝光情况；利用广播电台推播城市运行及环境建设的公益宣传广告；在地铁站台投放公益图片广告；开展舆情研判分析与应对服务；对微博信息进行采编发送、数据采集、舆情分析等；运营新媒体平台；开展普法宣传。向广大市民普及城市管理相关政策知识，传递绿色生活理念，保障首都城市运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bCs/>
          <w:color w:val="auto"/>
          <w:sz w:val="32"/>
          <w:szCs w:val="32"/>
          <w:highlight w:val="none"/>
        </w:rPr>
      </w:pPr>
      <w:r>
        <w:rPr>
          <w:rFonts w:hint="eastAsia" w:ascii="仿宋_GB2312" w:hAnsi="仿宋" w:eastAsia="仿宋_GB2312"/>
          <w:bCs/>
          <w:color w:val="auto"/>
          <w:sz w:val="32"/>
          <w:szCs w:val="32"/>
          <w:highlight w:val="none"/>
        </w:rPr>
        <w:t>根据总体目标并结合工作重点，</w:t>
      </w:r>
      <w:r>
        <w:rPr>
          <w:rFonts w:hint="eastAsia" w:ascii="仿宋_GB2312" w:hAnsi="仿宋" w:eastAsia="仿宋_GB2312"/>
          <w:bCs/>
          <w:color w:val="auto"/>
          <w:sz w:val="32"/>
          <w:szCs w:val="32"/>
          <w:highlight w:val="none"/>
          <w:lang w:eastAsia="zh-CN"/>
        </w:rPr>
        <w:t>我委</w:t>
      </w:r>
      <w:r>
        <w:rPr>
          <w:rFonts w:hint="eastAsia" w:ascii="仿宋_GB2312" w:hAnsi="仿宋" w:eastAsia="仿宋_GB2312"/>
          <w:bCs/>
          <w:color w:val="auto"/>
          <w:sz w:val="32"/>
          <w:szCs w:val="32"/>
          <w:highlight w:val="none"/>
        </w:rPr>
        <w:t>设定了</w:t>
      </w:r>
      <w:r>
        <w:rPr>
          <w:rFonts w:hint="eastAsia" w:ascii="仿宋_GB2312" w:hAnsi="仿宋" w:eastAsia="仿宋_GB2312"/>
          <w:bCs/>
          <w:color w:val="auto"/>
          <w:sz w:val="32"/>
          <w:szCs w:val="32"/>
          <w:highlight w:val="none"/>
          <w:lang w:val="en-US" w:eastAsia="zh-CN"/>
        </w:rPr>
        <w:t>7</w:t>
      </w:r>
      <w:r>
        <w:rPr>
          <w:rFonts w:hint="eastAsia" w:ascii="仿宋_GB2312" w:hAnsi="仿宋" w:eastAsia="仿宋_GB2312"/>
          <w:bCs/>
          <w:color w:val="auto"/>
          <w:sz w:val="32"/>
          <w:szCs w:val="32"/>
          <w:highlight w:val="none"/>
        </w:rPr>
        <w:t>个</w:t>
      </w:r>
      <w:r>
        <w:rPr>
          <w:rFonts w:hint="eastAsia" w:ascii="仿宋_GB2312" w:hAnsi="仿宋" w:eastAsia="仿宋_GB2312"/>
          <w:bCs/>
          <w:color w:val="auto"/>
          <w:sz w:val="32"/>
          <w:szCs w:val="32"/>
          <w:highlight w:val="none"/>
          <w:lang w:eastAsia="zh-CN"/>
        </w:rPr>
        <w:t>领域方面的</w:t>
      </w:r>
      <w:r>
        <w:rPr>
          <w:rFonts w:hint="eastAsia" w:ascii="仿宋_GB2312" w:hAnsi="仿宋" w:eastAsia="仿宋_GB2312"/>
          <w:bCs/>
          <w:color w:val="auto"/>
          <w:sz w:val="32"/>
          <w:szCs w:val="32"/>
          <w:highlight w:val="none"/>
        </w:rPr>
        <w:t>绩效指标，指标设定与全委职能任务匹配，符合相关法律法规的要求及部门整体支出的客观实际，目标依据充分，具有一定的可操作性和可实现性。</w:t>
      </w:r>
    </w:p>
    <w:p>
      <w:pPr>
        <w:pStyle w:val="5"/>
        <w:snapToGrid w:val="0"/>
        <w:spacing w:before="0" w:after="0" w:line="560" w:lineRule="exact"/>
        <w:ind w:firstLine="640" w:firstLineChars="200"/>
        <w:rPr>
          <w:rFonts w:ascii="黑体" w:hAnsi="黑体" w:eastAsia="黑体"/>
          <w:b w:val="0"/>
          <w:bCs w:val="0"/>
          <w:color w:val="auto"/>
          <w:highlight w:val="none"/>
        </w:rPr>
      </w:pPr>
      <w:bookmarkStart w:id="3" w:name="_Toc16587"/>
      <w:r>
        <w:rPr>
          <w:rFonts w:hint="eastAsia" w:ascii="黑体" w:hAnsi="黑体" w:eastAsia="黑体"/>
          <w:b w:val="0"/>
          <w:bCs w:val="0"/>
          <w:color w:val="auto"/>
          <w:highlight w:val="none"/>
        </w:rPr>
        <w:t>二、当年预算执行情况</w:t>
      </w:r>
      <w:bookmarkEnd w:id="3"/>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202</w:t>
      </w:r>
      <w:r>
        <w:rPr>
          <w:rFonts w:hint="eastAsia" w:ascii="仿宋_GB2312" w:hAnsi="仿宋" w:eastAsia="仿宋_GB2312" w:cs="Times New Roman"/>
          <w:bCs/>
          <w:color w:val="auto"/>
          <w:sz w:val="32"/>
          <w:szCs w:val="32"/>
          <w:highlight w:val="none"/>
          <w:lang w:val="en-US" w:eastAsia="zh-CN"/>
        </w:rPr>
        <w:t>2</w:t>
      </w:r>
      <w:r>
        <w:rPr>
          <w:rFonts w:hint="eastAsia" w:ascii="仿宋_GB2312" w:hAnsi="仿宋" w:eastAsia="仿宋_GB2312" w:cs="Times New Roman"/>
          <w:bCs/>
          <w:color w:val="auto"/>
          <w:sz w:val="32"/>
          <w:szCs w:val="32"/>
          <w:highlight w:val="none"/>
        </w:rPr>
        <w:t>年全年预算数638</w:t>
      </w:r>
      <w:r>
        <w:rPr>
          <w:rFonts w:hint="eastAsia" w:ascii="仿宋_GB2312" w:hAnsi="仿宋" w:eastAsia="仿宋_GB2312" w:cs="Times New Roman"/>
          <w:bCs/>
          <w:color w:val="auto"/>
          <w:sz w:val="32"/>
          <w:szCs w:val="32"/>
          <w:highlight w:val="none"/>
          <w:lang w:val="en-US" w:eastAsia="zh-CN"/>
        </w:rPr>
        <w:t>,</w:t>
      </w:r>
      <w:r>
        <w:rPr>
          <w:rFonts w:hint="eastAsia" w:ascii="仿宋_GB2312" w:hAnsi="仿宋" w:eastAsia="仿宋_GB2312" w:cs="Times New Roman"/>
          <w:bCs/>
          <w:color w:val="auto"/>
          <w:sz w:val="32"/>
          <w:szCs w:val="32"/>
          <w:highlight w:val="none"/>
        </w:rPr>
        <w:t>913</w:t>
      </w:r>
      <w:r>
        <w:rPr>
          <w:rFonts w:hint="eastAsia" w:ascii="仿宋_GB2312" w:hAnsi="仿宋" w:eastAsia="仿宋_GB2312" w:cs="Times New Roman"/>
          <w:bCs/>
          <w:color w:val="auto"/>
          <w:sz w:val="32"/>
          <w:szCs w:val="32"/>
          <w:highlight w:val="none"/>
          <w:lang w:val="en-US" w:eastAsia="zh-CN"/>
        </w:rPr>
        <w:t>.</w:t>
      </w:r>
      <w:r>
        <w:rPr>
          <w:rFonts w:hint="eastAsia" w:ascii="仿宋_GB2312" w:hAnsi="仿宋" w:eastAsia="仿宋_GB2312" w:cs="Times New Roman"/>
          <w:bCs/>
          <w:color w:val="auto"/>
          <w:sz w:val="32"/>
          <w:szCs w:val="32"/>
          <w:highlight w:val="none"/>
        </w:rPr>
        <w:t>9</w:t>
      </w:r>
      <w:r>
        <w:rPr>
          <w:rFonts w:hint="eastAsia" w:ascii="仿宋_GB2312" w:hAnsi="仿宋" w:eastAsia="仿宋_GB2312" w:cs="Times New Roman"/>
          <w:bCs/>
          <w:color w:val="auto"/>
          <w:sz w:val="32"/>
          <w:szCs w:val="32"/>
          <w:highlight w:val="none"/>
          <w:lang w:val="en-US" w:eastAsia="zh-CN"/>
        </w:rPr>
        <w:t>4</w:t>
      </w:r>
      <w:r>
        <w:rPr>
          <w:rFonts w:hint="eastAsia" w:ascii="仿宋_GB2312" w:hAnsi="仿宋" w:eastAsia="仿宋_GB2312" w:cs="Times New Roman"/>
          <w:bCs/>
          <w:color w:val="auto"/>
          <w:sz w:val="32"/>
          <w:szCs w:val="32"/>
          <w:highlight w:val="none"/>
        </w:rPr>
        <w:t>万元，其中财政拨款633</w:t>
      </w:r>
      <w:r>
        <w:rPr>
          <w:rFonts w:hint="eastAsia" w:ascii="仿宋_GB2312" w:hAnsi="仿宋" w:eastAsia="仿宋_GB2312" w:cs="Times New Roman"/>
          <w:bCs/>
          <w:color w:val="auto"/>
          <w:sz w:val="32"/>
          <w:szCs w:val="32"/>
          <w:highlight w:val="none"/>
          <w:lang w:val="en-US" w:eastAsia="zh-CN"/>
        </w:rPr>
        <w:t>,</w:t>
      </w:r>
      <w:r>
        <w:rPr>
          <w:rFonts w:hint="eastAsia" w:ascii="仿宋_GB2312" w:hAnsi="仿宋" w:eastAsia="仿宋_GB2312" w:cs="Times New Roman"/>
          <w:bCs/>
          <w:color w:val="auto"/>
          <w:sz w:val="32"/>
          <w:szCs w:val="32"/>
          <w:highlight w:val="none"/>
        </w:rPr>
        <w:t>867</w:t>
      </w:r>
      <w:r>
        <w:rPr>
          <w:rFonts w:hint="eastAsia" w:ascii="仿宋_GB2312" w:hAnsi="仿宋" w:eastAsia="仿宋_GB2312" w:cs="Times New Roman"/>
          <w:bCs/>
          <w:color w:val="auto"/>
          <w:sz w:val="32"/>
          <w:szCs w:val="32"/>
          <w:highlight w:val="none"/>
          <w:lang w:val="en-US" w:eastAsia="zh-CN"/>
        </w:rPr>
        <w:t>.</w:t>
      </w:r>
      <w:r>
        <w:rPr>
          <w:rFonts w:hint="eastAsia" w:ascii="仿宋_GB2312" w:hAnsi="仿宋" w:eastAsia="仿宋_GB2312" w:cs="Times New Roman"/>
          <w:bCs/>
          <w:color w:val="auto"/>
          <w:sz w:val="32"/>
          <w:szCs w:val="32"/>
          <w:highlight w:val="none"/>
        </w:rPr>
        <w:t>98</w:t>
      </w:r>
      <w:r>
        <w:rPr>
          <w:rFonts w:hint="eastAsia" w:ascii="仿宋_GB2312" w:hAnsi="仿宋" w:eastAsia="仿宋_GB2312" w:cs="Times New Roman"/>
          <w:bCs/>
          <w:color w:val="auto"/>
          <w:sz w:val="32"/>
          <w:szCs w:val="32"/>
          <w:highlight w:val="none"/>
          <w:lang w:eastAsia="zh-CN"/>
        </w:rPr>
        <w:t>万元</w:t>
      </w:r>
      <w:r>
        <w:rPr>
          <w:rFonts w:hint="eastAsia" w:ascii="仿宋_GB2312" w:hAnsi="仿宋" w:eastAsia="仿宋_GB2312" w:cs="Times New Roman"/>
          <w:bCs/>
          <w:color w:val="auto"/>
          <w:sz w:val="32"/>
          <w:szCs w:val="32"/>
          <w:highlight w:val="none"/>
        </w:rPr>
        <w:t>，事业收入</w:t>
      </w:r>
      <w:r>
        <w:rPr>
          <w:rFonts w:hint="eastAsia" w:ascii="仿宋_GB2312" w:hAnsi="仿宋" w:eastAsia="仿宋_GB2312" w:cs="Times New Roman"/>
          <w:bCs/>
          <w:color w:val="auto"/>
          <w:sz w:val="32"/>
          <w:szCs w:val="32"/>
          <w:highlight w:val="none"/>
          <w:lang w:val="en-US" w:eastAsia="zh-CN"/>
        </w:rPr>
        <w:t>123.55</w:t>
      </w:r>
      <w:r>
        <w:rPr>
          <w:rFonts w:hint="eastAsia" w:ascii="仿宋_GB2312" w:hAnsi="仿宋" w:eastAsia="仿宋_GB2312" w:cs="Times New Roman"/>
          <w:bCs/>
          <w:color w:val="auto"/>
          <w:sz w:val="32"/>
          <w:szCs w:val="32"/>
          <w:highlight w:val="none"/>
          <w:lang w:eastAsia="zh-CN"/>
        </w:rPr>
        <w:t>万元</w:t>
      </w:r>
      <w:r>
        <w:rPr>
          <w:rFonts w:hint="eastAsia" w:ascii="仿宋_GB2312" w:hAnsi="仿宋" w:eastAsia="仿宋_GB2312" w:cs="Times New Roman"/>
          <w:bCs/>
          <w:color w:val="auto"/>
          <w:sz w:val="32"/>
          <w:szCs w:val="32"/>
          <w:highlight w:val="none"/>
        </w:rPr>
        <w:t>，其他收入</w:t>
      </w:r>
      <w:r>
        <w:rPr>
          <w:rFonts w:hint="eastAsia" w:ascii="仿宋_GB2312" w:hAnsi="仿宋" w:eastAsia="仿宋_GB2312" w:cs="Times New Roman"/>
          <w:bCs/>
          <w:color w:val="auto"/>
          <w:sz w:val="32"/>
          <w:szCs w:val="32"/>
          <w:highlight w:val="none"/>
          <w:lang w:val="en-US" w:eastAsia="zh-CN"/>
        </w:rPr>
        <w:t>125.85</w:t>
      </w:r>
      <w:r>
        <w:rPr>
          <w:rFonts w:hint="eastAsia" w:ascii="仿宋_GB2312" w:hAnsi="仿宋" w:eastAsia="仿宋_GB2312" w:cs="Times New Roman"/>
          <w:bCs/>
          <w:color w:val="auto"/>
          <w:sz w:val="32"/>
          <w:szCs w:val="32"/>
          <w:highlight w:val="none"/>
          <w:lang w:eastAsia="zh-CN"/>
        </w:rPr>
        <w:t>万</w:t>
      </w:r>
      <w:r>
        <w:rPr>
          <w:rFonts w:hint="eastAsia" w:ascii="仿宋_GB2312" w:hAnsi="仿宋" w:eastAsia="仿宋_GB2312" w:cs="Times New Roman"/>
          <w:bCs/>
          <w:color w:val="auto"/>
          <w:sz w:val="32"/>
          <w:szCs w:val="32"/>
          <w:highlight w:val="none"/>
        </w:rPr>
        <w:t>元</w:t>
      </w:r>
      <w:r>
        <w:rPr>
          <w:rFonts w:hint="eastAsia" w:ascii="仿宋_GB2312" w:hAnsi="仿宋" w:eastAsia="仿宋_GB2312" w:cs="Times New Roman"/>
          <w:bCs/>
          <w:color w:val="auto"/>
          <w:sz w:val="32"/>
          <w:szCs w:val="32"/>
          <w:highlight w:val="none"/>
          <w:lang w:eastAsia="zh-CN"/>
        </w:rPr>
        <w:t>，</w:t>
      </w:r>
      <w:r>
        <w:rPr>
          <w:rFonts w:hint="eastAsia" w:ascii="仿宋_GB2312" w:hAnsi="仿宋" w:eastAsia="仿宋_GB2312" w:cs="Times New Roman"/>
          <w:bCs/>
          <w:color w:val="auto"/>
          <w:sz w:val="32"/>
          <w:szCs w:val="32"/>
          <w:highlight w:val="none"/>
        </w:rPr>
        <w:t>年初结转和结余4</w:t>
      </w:r>
      <w:r>
        <w:rPr>
          <w:rFonts w:hint="eastAsia" w:ascii="仿宋_GB2312" w:hAnsi="仿宋" w:eastAsia="仿宋_GB2312" w:cs="Times New Roman"/>
          <w:bCs/>
          <w:color w:val="auto"/>
          <w:sz w:val="32"/>
          <w:szCs w:val="32"/>
          <w:highlight w:val="none"/>
          <w:lang w:val="en-US" w:eastAsia="zh-CN"/>
        </w:rPr>
        <w:t>,</w:t>
      </w:r>
      <w:r>
        <w:rPr>
          <w:rFonts w:hint="eastAsia" w:ascii="仿宋_GB2312" w:hAnsi="仿宋" w:eastAsia="仿宋_GB2312" w:cs="Times New Roman"/>
          <w:bCs/>
          <w:color w:val="auto"/>
          <w:sz w:val="32"/>
          <w:szCs w:val="32"/>
          <w:highlight w:val="none"/>
        </w:rPr>
        <w:t>796</w:t>
      </w:r>
      <w:r>
        <w:rPr>
          <w:rFonts w:hint="eastAsia" w:ascii="仿宋_GB2312" w:hAnsi="仿宋" w:eastAsia="仿宋_GB2312" w:cs="Times New Roman"/>
          <w:bCs/>
          <w:color w:val="auto"/>
          <w:sz w:val="32"/>
          <w:szCs w:val="32"/>
          <w:highlight w:val="none"/>
          <w:lang w:val="en-US" w:eastAsia="zh-CN"/>
        </w:rPr>
        <w:t>.</w:t>
      </w:r>
      <w:r>
        <w:rPr>
          <w:rFonts w:hint="eastAsia" w:ascii="仿宋_GB2312" w:hAnsi="仿宋" w:eastAsia="仿宋_GB2312" w:cs="Times New Roman"/>
          <w:bCs/>
          <w:color w:val="auto"/>
          <w:sz w:val="32"/>
          <w:szCs w:val="32"/>
          <w:highlight w:val="none"/>
        </w:rPr>
        <w:t>5</w:t>
      </w:r>
      <w:r>
        <w:rPr>
          <w:rFonts w:hint="eastAsia" w:ascii="仿宋_GB2312" w:hAnsi="仿宋" w:eastAsia="仿宋_GB2312" w:cs="Times New Roman"/>
          <w:bCs/>
          <w:color w:val="auto"/>
          <w:sz w:val="32"/>
          <w:szCs w:val="32"/>
          <w:highlight w:val="none"/>
          <w:lang w:val="en-US" w:eastAsia="zh-CN"/>
        </w:rPr>
        <w:t>6</w:t>
      </w:r>
      <w:r>
        <w:rPr>
          <w:rFonts w:hint="eastAsia" w:ascii="仿宋_GB2312" w:hAnsi="仿宋" w:eastAsia="仿宋_GB2312" w:cs="Times New Roman"/>
          <w:bCs/>
          <w:color w:val="auto"/>
          <w:sz w:val="32"/>
          <w:szCs w:val="32"/>
          <w:highlight w:val="none"/>
          <w:lang w:eastAsia="zh-CN"/>
        </w:rPr>
        <w:t>万</w:t>
      </w:r>
      <w:r>
        <w:rPr>
          <w:rFonts w:hint="eastAsia" w:ascii="仿宋_GB2312" w:hAnsi="仿宋" w:eastAsia="仿宋_GB2312" w:cs="Times New Roman"/>
          <w:bCs/>
          <w:color w:val="auto"/>
          <w:sz w:val="32"/>
          <w:szCs w:val="32"/>
          <w:highlight w:val="none"/>
        </w:rPr>
        <w:t>元</w:t>
      </w:r>
      <w:r>
        <w:rPr>
          <w:rFonts w:hint="eastAsia" w:ascii="仿宋_GB2312" w:hAnsi="仿宋" w:eastAsia="仿宋_GB2312" w:cs="Times New Roman"/>
          <w:bCs/>
          <w:color w:val="auto"/>
          <w:sz w:val="32"/>
          <w:szCs w:val="32"/>
          <w:highlight w:val="none"/>
          <w:lang w:eastAsia="zh-CN"/>
        </w:rPr>
        <w:t>。</w:t>
      </w:r>
      <w:r>
        <w:rPr>
          <w:rFonts w:hint="eastAsia" w:ascii="仿宋_GB2312" w:hAnsi="仿宋" w:eastAsia="仿宋_GB2312" w:cs="Times New Roman"/>
          <w:bCs/>
          <w:color w:val="auto"/>
          <w:sz w:val="32"/>
          <w:szCs w:val="32"/>
          <w:highlight w:val="none"/>
        </w:rPr>
        <w:t>资金总体支出607</w:t>
      </w:r>
      <w:r>
        <w:rPr>
          <w:rFonts w:hint="eastAsia" w:ascii="仿宋_GB2312" w:hAnsi="仿宋" w:eastAsia="仿宋_GB2312" w:cs="Times New Roman"/>
          <w:bCs/>
          <w:color w:val="auto"/>
          <w:sz w:val="32"/>
          <w:szCs w:val="32"/>
          <w:highlight w:val="none"/>
          <w:lang w:val="en-US" w:eastAsia="zh-CN"/>
        </w:rPr>
        <w:t>,</w:t>
      </w:r>
      <w:r>
        <w:rPr>
          <w:rFonts w:hint="eastAsia" w:ascii="仿宋_GB2312" w:hAnsi="仿宋" w:eastAsia="仿宋_GB2312" w:cs="Times New Roman"/>
          <w:bCs/>
          <w:color w:val="auto"/>
          <w:sz w:val="32"/>
          <w:szCs w:val="32"/>
          <w:highlight w:val="none"/>
        </w:rPr>
        <w:t>327</w:t>
      </w:r>
      <w:r>
        <w:rPr>
          <w:rFonts w:hint="eastAsia" w:ascii="仿宋_GB2312" w:hAnsi="仿宋" w:eastAsia="仿宋_GB2312" w:cs="Times New Roman"/>
          <w:bCs/>
          <w:color w:val="auto"/>
          <w:sz w:val="32"/>
          <w:szCs w:val="32"/>
          <w:highlight w:val="none"/>
          <w:lang w:val="en-US" w:eastAsia="zh-CN"/>
        </w:rPr>
        <w:t>.</w:t>
      </w:r>
      <w:r>
        <w:rPr>
          <w:rFonts w:hint="eastAsia" w:ascii="仿宋_GB2312" w:hAnsi="仿宋" w:eastAsia="仿宋_GB2312" w:cs="Times New Roman"/>
          <w:bCs/>
          <w:color w:val="auto"/>
          <w:sz w:val="32"/>
          <w:szCs w:val="32"/>
          <w:highlight w:val="none"/>
        </w:rPr>
        <w:t>8</w:t>
      </w:r>
      <w:r>
        <w:rPr>
          <w:rFonts w:hint="eastAsia" w:ascii="仿宋_GB2312" w:hAnsi="仿宋" w:eastAsia="仿宋_GB2312" w:cs="Times New Roman"/>
          <w:bCs/>
          <w:color w:val="auto"/>
          <w:sz w:val="32"/>
          <w:szCs w:val="32"/>
          <w:highlight w:val="none"/>
          <w:lang w:val="en-US" w:eastAsia="zh-CN"/>
        </w:rPr>
        <w:t>4</w:t>
      </w:r>
      <w:r>
        <w:rPr>
          <w:rFonts w:hint="eastAsia" w:ascii="仿宋_GB2312" w:hAnsi="仿宋" w:eastAsia="仿宋_GB2312" w:cs="Times New Roman"/>
          <w:bCs/>
          <w:color w:val="auto"/>
          <w:sz w:val="32"/>
          <w:szCs w:val="32"/>
          <w:highlight w:val="none"/>
        </w:rPr>
        <w:t>万元，其中</w:t>
      </w:r>
      <w:r>
        <w:rPr>
          <w:rFonts w:hint="eastAsia" w:ascii="仿宋_GB2312" w:hAnsi="仿宋" w:eastAsia="仿宋_GB2312" w:cs="Times New Roman"/>
          <w:bCs/>
          <w:color w:val="auto"/>
          <w:sz w:val="32"/>
          <w:szCs w:val="32"/>
          <w:highlight w:val="none"/>
          <w:lang w:eastAsia="zh-CN"/>
        </w:rPr>
        <w:t>：</w:t>
      </w:r>
      <w:r>
        <w:rPr>
          <w:rFonts w:hint="eastAsia" w:ascii="仿宋_GB2312" w:hAnsi="仿宋" w:eastAsia="仿宋_GB2312" w:cs="Times New Roman"/>
          <w:bCs/>
          <w:color w:val="auto"/>
          <w:sz w:val="32"/>
          <w:szCs w:val="32"/>
          <w:highlight w:val="none"/>
        </w:rPr>
        <w:t>基本</w:t>
      </w:r>
      <w:r>
        <w:rPr>
          <w:rFonts w:hint="eastAsia" w:ascii="仿宋_GB2312" w:hAnsi="仿宋" w:eastAsia="仿宋_GB2312" w:cs="Times New Roman"/>
          <w:bCs/>
          <w:color w:val="auto"/>
          <w:sz w:val="32"/>
          <w:szCs w:val="32"/>
          <w:highlight w:val="none"/>
          <w:lang w:val="en-US" w:eastAsia="zh-CN"/>
        </w:rPr>
        <w:t>支出41,</w:t>
      </w:r>
      <w:r>
        <w:rPr>
          <w:rFonts w:hint="eastAsia" w:ascii="仿宋_GB2312" w:hAnsi="仿宋" w:eastAsia="仿宋_GB2312" w:cs="Times New Roman"/>
          <w:bCs/>
          <w:color w:val="auto"/>
          <w:sz w:val="32"/>
          <w:szCs w:val="32"/>
          <w:highlight w:val="none"/>
        </w:rPr>
        <w:t>5</w:t>
      </w:r>
      <w:r>
        <w:rPr>
          <w:rFonts w:hint="eastAsia" w:ascii="仿宋_GB2312" w:hAnsi="仿宋" w:eastAsia="仿宋_GB2312" w:cs="Times New Roman"/>
          <w:bCs/>
          <w:color w:val="auto"/>
          <w:sz w:val="32"/>
          <w:szCs w:val="32"/>
          <w:highlight w:val="none"/>
          <w:lang w:val="en-US" w:eastAsia="zh-CN"/>
        </w:rPr>
        <w:t>7</w:t>
      </w:r>
      <w:r>
        <w:rPr>
          <w:rFonts w:hint="eastAsia" w:ascii="仿宋_GB2312" w:hAnsi="仿宋" w:eastAsia="仿宋_GB2312" w:cs="Times New Roman"/>
          <w:bCs/>
          <w:color w:val="auto"/>
          <w:sz w:val="32"/>
          <w:szCs w:val="32"/>
          <w:highlight w:val="none"/>
        </w:rPr>
        <w:t>8.3</w:t>
      </w:r>
      <w:r>
        <w:rPr>
          <w:rFonts w:hint="eastAsia" w:ascii="仿宋_GB2312" w:hAnsi="仿宋" w:eastAsia="仿宋_GB2312" w:cs="Times New Roman"/>
          <w:bCs/>
          <w:color w:val="auto"/>
          <w:sz w:val="32"/>
          <w:szCs w:val="32"/>
          <w:highlight w:val="none"/>
          <w:lang w:val="en-US" w:eastAsia="zh-CN"/>
        </w:rPr>
        <w:t>5</w:t>
      </w:r>
      <w:r>
        <w:rPr>
          <w:rFonts w:hint="eastAsia" w:ascii="仿宋_GB2312" w:hAnsi="仿宋" w:eastAsia="仿宋_GB2312" w:cs="Times New Roman"/>
          <w:bCs/>
          <w:color w:val="auto"/>
          <w:sz w:val="32"/>
          <w:szCs w:val="32"/>
          <w:highlight w:val="none"/>
        </w:rPr>
        <w:t>万元，项目支出</w:t>
      </w:r>
      <w:r>
        <w:rPr>
          <w:rFonts w:hint="eastAsia" w:ascii="仿宋_GB2312" w:hAnsi="仿宋" w:eastAsia="仿宋_GB2312" w:cs="Times New Roman"/>
          <w:bCs/>
          <w:color w:val="auto"/>
          <w:sz w:val="32"/>
          <w:szCs w:val="32"/>
          <w:highlight w:val="none"/>
          <w:lang w:val="en-US" w:eastAsia="zh-CN"/>
        </w:rPr>
        <w:t>565749.49</w:t>
      </w:r>
      <w:r>
        <w:rPr>
          <w:rFonts w:hint="eastAsia" w:ascii="仿宋_GB2312" w:hAnsi="仿宋" w:eastAsia="仿宋_GB2312" w:cs="Times New Roman"/>
          <w:bCs/>
          <w:color w:val="auto"/>
          <w:sz w:val="32"/>
          <w:szCs w:val="32"/>
          <w:highlight w:val="none"/>
        </w:rPr>
        <w:t>万元。全口径预算执行率为9</w:t>
      </w:r>
      <w:r>
        <w:rPr>
          <w:rFonts w:hint="eastAsia" w:ascii="仿宋_GB2312" w:hAnsi="仿宋" w:eastAsia="仿宋_GB2312" w:cs="Times New Roman"/>
          <w:bCs/>
          <w:color w:val="auto"/>
          <w:sz w:val="32"/>
          <w:szCs w:val="32"/>
          <w:highlight w:val="none"/>
          <w:lang w:val="en-US" w:eastAsia="zh-CN"/>
        </w:rPr>
        <w:t>5</w:t>
      </w:r>
      <w:r>
        <w:rPr>
          <w:rFonts w:hint="eastAsia" w:ascii="仿宋_GB2312" w:hAnsi="仿宋" w:eastAsia="仿宋_GB2312" w:cs="Times New Roman"/>
          <w:bCs/>
          <w:color w:val="auto"/>
          <w:sz w:val="32"/>
          <w:szCs w:val="32"/>
          <w:highlight w:val="none"/>
        </w:rPr>
        <w:t>.</w:t>
      </w:r>
      <w:r>
        <w:rPr>
          <w:rFonts w:hint="eastAsia" w:ascii="仿宋_GB2312" w:hAnsi="仿宋" w:eastAsia="仿宋_GB2312" w:cs="Times New Roman"/>
          <w:bCs/>
          <w:color w:val="auto"/>
          <w:sz w:val="32"/>
          <w:szCs w:val="32"/>
          <w:highlight w:val="none"/>
          <w:lang w:val="en-US" w:eastAsia="zh-CN"/>
        </w:rPr>
        <w:t>06</w:t>
      </w:r>
      <w:r>
        <w:rPr>
          <w:rFonts w:hint="eastAsia" w:ascii="仿宋_GB2312" w:hAnsi="仿宋" w:eastAsia="仿宋_GB2312" w:cs="Times New Roman"/>
          <w:bCs/>
          <w:color w:val="auto"/>
          <w:sz w:val="32"/>
          <w:szCs w:val="32"/>
          <w:highlight w:val="none"/>
        </w:rPr>
        <w:t>%（财政拨款资金预算执行率为9</w:t>
      </w:r>
      <w:r>
        <w:rPr>
          <w:rFonts w:hint="eastAsia" w:ascii="仿宋_GB2312" w:hAnsi="仿宋" w:eastAsia="仿宋_GB2312" w:cs="Times New Roman"/>
          <w:bCs/>
          <w:color w:val="auto"/>
          <w:sz w:val="32"/>
          <w:szCs w:val="32"/>
          <w:highlight w:val="none"/>
          <w:lang w:val="en-US" w:eastAsia="zh-CN"/>
        </w:rPr>
        <w:t>5</w:t>
      </w:r>
      <w:r>
        <w:rPr>
          <w:rFonts w:hint="eastAsia" w:ascii="仿宋_GB2312" w:hAnsi="仿宋" w:eastAsia="仿宋_GB2312" w:cs="Times New Roman"/>
          <w:bCs/>
          <w:color w:val="auto"/>
          <w:sz w:val="32"/>
          <w:szCs w:val="32"/>
          <w:highlight w:val="none"/>
        </w:rPr>
        <w:t>.</w:t>
      </w:r>
      <w:r>
        <w:rPr>
          <w:rFonts w:hint="eastAsia" w:ascii="仿宋_GB2312" w:hAnsi="仿宋" w:eastAsia="仿宋_GB2312" w:cs="Times New Roman"/>
          <w:bCs/>
          <w:color w:val="auto"/>
          <w:sz w:val="32"/>
          <w:szCs w:val="32"/>
          <w:highlight w:val="none"/>
          <w:lang w:val="en-US" w:eastAsia="zh-CN"/>
        </w:rPr>
        <w:t>18</w:t>
      </w:r>
      <w:r>
        <w:rPr>
          <w:rFonts w:hint="eastAsia" w:ascii="仿宋_GB2312" w:hAnsi="仿宋" w:eastAsia="仿宋_GB2312" w:cs="Times New Roman"/>
          <w:bCs/>
          <w:color w:val="auto"/>
          <w:sz w:val="32"/>
          <w:szCs w:val="32"/>
          <w:highlight w:val="none"/>
        </w:rPr>
        <w:t>%）。</w:t>
      </w:r>
    </w:p>
    <w:p>
      <w:pPr>
        <w:pStyle w:val="5"/>
        <w:tabs>
          <w:tab w:val="left" w:pos="5746"/>
        </w:tabs>
        <w:snapToGrid w:val="0"/>
        <w:spacing w:before="0" w:after="0" w:line="560" w:lineRule="exact"/>
        <w:ind w:firstLine="640" w:firstLineChars="200"/>
        <w:rPr>
          <w:rFonts w:ascii="黑体" w:hAnsi="黑体" w:eastAsia="黑体"/>
          <w:b w:val="0"/>
          <w:bCs w:val="0"/>
          <w:color w:val="auto"/>
          <w:highlight w:val="none"/>
        </w:rPr>
      </w:pPr>
      <w:bookmarkStart w:id="4" w:name="_Toc24283"/>
      <w:r>
        <w:rPr>
          <w:rFonts w:hint="eastAsia" w:ascii="黑体" w:hAnsi="黑体" w:eastAsia="黑体"/>
          <w:b w:val="0"/>
          <w:bCs w:val="0"/>
          <w:color w:val="auto"/>
          <w:highlight w:val="none"/>
        </w:rPr>
        <w:t>三、整体绩效目标实现情况</w:t>
      </w:r>
      <w:bookmarkEnd w:id="4"/>
      <w:r>
        <w:rPr>
          <w:rFonts w:ascii="黑体" w:hAnsi="黑体" w:eastAsia="黑体"/>
          <w:b w:val="0"/>
          <w:bCs w:val="0"/>
          <w:color w:val="auto"/>
          <w:highlight w:val="none"/>
        </w:rPr>
        <w:tab/>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eastAsia="zh-CN"/>
        </w:rPr>
        <w:t>202</w:t>
      </w:r>
      <w:r>
        <w:rPr>
          <w:rFonts w:hint="eastAsia" w:ascii="仿宋_GB2312" w:hAnsi="仿宋" w:eastAsia="仿宋_GB2312" w:cs="Times New Roman"/>
          <w:bCs/>
          <w:color w:val="auto"/>
          <w:sz w:val="32"/>
          <w:szCs w:val="32"/>
          <w:highlight w:val="none"/>
          <w:lang w:val="en-US" w:eastAsia="zh-CN"/>
        </w:rPr>
        <w:t>2</w:t>
      </w:r>
      <w:r>
        <w:rPr>
          <w:rFonts w:hint="eastAsia" w:ascii="仿宋_GB2312" w:hAnsi="仿宋" w:eastAsia="仿宋_GB2312" w:cs="Times New Roman"/>
          <w:bCs/>
          <w:color w:val="auto"/>
          <w:sz w:val="32"/>
          <w:szCs w:val="32"/>
          <w:highlight w:val="none"/>
          <w:lang w:eastAsia="zh-CN"/>
        </w:rPr>
        <w:t>年我委按照部门职责，确定了年度重点工作任务，细化任务目标及牵头处室、印发工作方案，并根据年度重点工作任务安排项目预算。全年按照任务目标的数量、质量、进度和成本要求完成了各项工作。</w:t>
      </w:r>
      <w:r>
        <w:rPr>
          <w:rFonts w:hint="eastAsia" w:ascii="仿宋_GB2312" w:hAnsi="仿宋" w:eastAsia="仿宋_GB2312" w:cs="Times New Roman"/>
          <w:bCs/>
          <w:color w:val="auto"/>
          <w:sz w:val="32"/>
          <w:szCs w:val="32"/>
          <w:highlight w:val="none"/>
        </w:rPr>
        <w:t>2023年4-5月按照《北京市财政局关于2023年推进全面实施预算绩效管理工作的预通知》要求对2022年度部门项目支出实施绩效自评，评价项目</w:t>
      </w:r>
      <w:r>
        <w:rPr>
          <w:rFonts w:hint="eastAsia" w:ascii="仿宋_GB2312" w:hAnsi="仿宋" w:eastAsia="仿宋_GB2312" w:cs="Times New Roman"/>
          <w:bCs/>
          <w:color w:val="auto"/>
          <w:sz w:val="32"/>
          <w:szCs w:val="32"/>
          <w:highlight w:val="none"/>
          <w:lang w:val="en-US" w:eastAsia="zh-CN"/>
        </w:rPr>
        <w:t>375</w:t>
      </w:r>
      <w:r>
        <w:rPr>
          <w:rFonts w:hint="eastAsia" w:ascii="仿宋_GB2312" w:hAnsi="仿宋" w:eastAsia="仿宋_GB2312" w:cs="Times New Roman"/>
          <w:bCs/>
          <w:color w:val="auto"/>
          <w:sz w:val="32"/>
          <w:szCs w:val="32"/>
          <w:highlight w:val="none"/>
        </w:rPr>
        <w:t>个，其中，开展部门绩效评价项目</w:t>
      </w:r>
      <w:r>
        <w:rPr>
          <w:rFonts w:hint="eastAsia" w:ascii="仿宋_GB2312" w:hAnsi="仿宋" w:eastAsia="仿宋_GB2312" w:cs="Times New Roman"/>
          <w:bCs/>
          <w:color w:val="auto"/>
          <w:sz w:val="32"/>
          <w:szCs w:val="32"/>
          <w:highlight w:val="none"/>
          <w:lang w:val="en-US" w:eastAsia="zh-CN"/>
        </w:rPr>
        <w:t>12</w:t>
      </w:r>
      <w:r>
        <w:rPr>
          <w:rFonts w:hint="eastAsia" w:ascii="仿宋_GB2312" w:hAnsi="仿宋" w:eastAsia="仿宋_GB2312" w:cs="Times New Roman"/>
          <w:bCs/>
          <w:color w:val="auto"/>
          <w:sz w:val="32"/>
          <w:szCs w:val="32"/>
          <w:highlight w:val="none"/>
        </w:rPr>
        <w:t>个，评价得分在90分（含）-100分的</w:t>
      </w:r>
      <w:r>
        <w:rPr>
          <w:rFonts w:hint="eastAsia" w:ascii="仿宋_GB2312" w:hAnsi="仿宋" w:eastAsia="仿宋_GB2312" w:cs="Times New Roman"/>
          <w:bCs/>
          <w:color w:val="auto"/>
          <w:sz w:val="32"/>
          <w:szCs w:val="32"/>
          <w:highlight w:val="none"/>
          <w:lang w:val="en-US" w:eastAsia="zh-CN"/>
        </w:rPr>
        <w:t>3</w:t>
      </w:r>
      <w:r>
        <w:rPr>
          <w:rFonts w:hint="eastAsia" w:ascii="仿宋_GB2312" w:hAnsi="仿宋" w:eastAsia="仿宋_GB2312" w:cs="Times New Roman"/>
          <w:bCs/>
          <w:color w:val="auto"/>
          <w:sz w:val="32"/>
          <w:szCs w:val="32"/>
          <w:highlight w:val="none"/>
        </w:rPr>
        <w:t>个、评价得分在80分（含）-90分的</w:t>
      </w:r>
      <w:r>
        <w:rPr>
          <w:rFonts w:hint="eastAsia" w:ascii="仿宋_GB2312" w:hAnsi="仿宋" w:eastAsia="仿宋_GB2312" w:cs="Times New Roman"/>
          <w:bCs/>
          <w:color w:val="auto"/>
          <w:sz w:val="32"/>
          <w:szCs w:val="32"/>
          <w:highlight w:val="none"/>
          <w:lang w:val="en-US" w:eastAsia="zh-CN"/>
        </w:rPr>
        <w:t>9</w:t>
      </w:r>
      <w:r>
        <w:rPr>
          <w:rFonts w:hint="eastAsia" w:ascii="仿宋_GB2312" w:hAnsi="仿宋" w:eastAsia="仿宋_GB2312" w:cs="Times New Roman"/>
          <w:bCs/>
          <w:color w:val="auto"/>
          <w:sz w:val="32"/>
          <w:szCs w:val="32"/>
          <w:highlight w:val="none"/>
        </w:rPr>
        <w:t>个。单位自评项目</w:t>
      </w:r>
      <w:r>
        <w:rPr>
          <w:rFonts w:hint="eastAsia" w:ascii="仿宋_GB2312" w:hAnsi="仿宋" w:eastAsia="仿宋_GB2312" w:cs="Times New Roman"/>
          <w:bCs/>
          <w:color w:val="auto"/>
          <w:sz w:val="32"/>
          <w:szCs w:val="32"/>
          <w:highlight w:val="none"/>
          <w:lang w:val="en-US" w:eastAsia="zh-CN"/>
        </w:rPr>
        <w:t>363</w:t>
      </w:r>
      <w:r>
        <w:rPr>
          <w:rFonts w:hint="eastAsia" w:ascii="仿宋_GB2312" w:hAnsi="仿宋" w:eastAsia="仿宋_GB2312" w:cs="Times New Roman"/>
          <w:bCs/>
          <w:color w:val="auto"/>
          <w:sz w:val="32"/>
          <w:szCs w:val="32"/>
          <w:highlight w:val="none"/>
        </w:rPr>
        <w:t>个（含部门绩效评价项目），评价得分在90分（含）-100分的</w:t>
      </w:r>
      <w:r>
        <w:rPr>
          <w:rFonts w:hint="eastAsia" w:ascii="仿宋_GB2312" w:hAnsi="仿宋" w:eastAsia="仿宋_GB2312" w:cs="Times New Roman"/>
          <w:bCs/>
          <w:color w:val="auto"/>
          <w:sz w:val="32"/>
          <w:szCs w:val="32"/>
          <w:highlight w:val="none"/>
          <w:lang w:val="en-US" w:eastAsia="zh-CN"/>
        </w:rPr>
        <w:t>353</w:t>
      </w:r>
      <w:r>
        <w:rPr>
          <w:rFonts w:hint="eastAsia" w:ascii="仿宋_GB2312" w:hAnsi="仿宋" w:eastAsia="仿宋_GB2312" w:cs="Times New Roman"/>
          <w:bCs/>
          <w:color w:val="auto"/>
          <w:sz w:val="32"/>
          <w:szCs w:val="32"/>
          <w:highlight w:val="none"/>
        </w:rPr>
        <w:t>个、评价得分在80分（含）-90分的</w:t>
      </w:r>
      <w:r>
        <w:rPr>
          <w:rFonts w:hint="eastAsia" w:ascii="仿宋_GB2312" w:hAnsi="仿宋" w:eastAsia="仿宋_GB2312" w:cs="Times New Roman"/>
          <w:bCs/>
          <w:color w:val="auto"/>
          <w:sz w:val="32"/>
          <w:szCs w:val="32"/>
          <w:highlight w:val="none"/>
          <w:lang w:val="en-US" w:eastAsia="zh-CN"/>
        </w:rPr>
        <w:t>10</w:t>
      </w:r>
      <w:r>
        <w:rPr>
          <w:rFonts w:hint="eastAsia" w:ascii="仿宋_GB2312" w:hAnsi="仿宋" w:eastAsia="仿宋_GB2312" w:cs="Times New Roman"/>
          <w:bCs/>
          <w:color w:val="auto"/>
          <w:sz w:val="32"/>
          <w:szCs w:val="32"/>
          <w:highlight w:val="none"/>
        </w:rPr>
        <w:t>个</w:t>
      </w:r>
      <w:r>
        <w:rPr>
          <w:rFonts w:hint="eastAsia" w:ascii="仿宋_GB2312" w:hAnsi="仿宋" w:eastAsia="仿宋_GB2312" w:cs="Times New Roman"/>
          <w:bCs/>
          <w:color w:val="auto"/>
          <w:sz w:val="32"/>
          <w:szCs w:val="32"/>
          <w:highlight w:val="none"/>
          <w:lang w:val="en-US" w:eastAsia="zh-CN"/>
        </w:rPr>
        <w:t>。</w:t>
      </w:r>
    </w:p>
    <w:p>
      <w:pPr>
        <w:pStyle w:val="5"/>
        <w:snapToGrid w:val="0"/>
        <w:spacing w:before="0" w:after="0" w:line="560" w:lineRule="exact"/>
        <w:ind w:firstLine="640" w:firstLineChars="200"/>
        <w:rPr>
          <w:rFonts w:hint="eastAsia" w:ascii="楷体_GB2312" w:hAnsi="楷体_GB2312" w:eastAsia="楷体_GB2312" w:cs="楷体_GB2312"/>
          <w:b w:val="0"/>
          <w:bCs w:val="0"/>
          <w:color w:val="auto"/>
          <w:highlight w:val="none"/>
        </w:rPr>
      </w:pPr>
      <w:bookmarkStart w:id="5" w:name="_Toc7683"/>
      <w:r>
        <w:rPr>
          <w:rFonts w:hint="eastAsia" w:ascii="楷体_GB2312" w:hAnsi="楷体_GB2312" w:eastAsia="楷体_GB2312" w:cs="楷体_GB2312"/>
          <w:b w:val="0"/>
          <w:bCs w:val="0"/>
          <w:color w:val="auto"/>
          <w:highlight w:val="none"/>
        </w:rPr>
        <w:t>（一）产出完成情况分析</w:t>
      </w:r>
      <w:bookmarkEnd w:id="5"/>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1.城市环境综合整治方面。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产出数量及质量：加大力度推进城乡环境整治建设，环境建设重点项目有序实施，重点区域环境景观整体提升，圆满完成党的二十大服务保障任务。深化完善环境建设管理千分制考核，落实“月检查、月曝光、月排名”机制，直接督办解决问题1.5万余个。首都城市环境建设社会公众满意度86.87分，同比上升2.27%。</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统筹推进背街小巷精细化整治提升，完成15个片区、354条年度整治任务，持续开展精治和达标类街巷长效管理、维护类街巷标准提升，新三年整治行动圆满收官，人居环境和便利度显著提升。推进城市副中心、玉泉山等重点区域架空线入地及规范梳理。西城区西长安街街道率先实现架空线清零，亮出了美丽天际线。实施鼓楼东大街、前门大街等道路多杆合一、电力箱体“三化”治理。开展交通护栏、设备箱、标志牌等公服设施治理，规范桥下空间、施工围挡、</w:t>
      </w:r>
      <w:r>
        <w:rPr>
          <w:rFonts w:hint="eastAsia" w:ascii="仿宋_GB2312" w:hAnsi="仿宋" w:eastAsia="仿宋_GB2312" w:cs="Times New Roman"/>
          <w:bCs/>
          <w:color w:val="auto"/>
          <w:sz w:val="32"/>
          <w:szCs w:val="32"/>
          <w:highlight w:val="none"/>
          <w:lang w:val="zh-CN" w:eastAsia="zh-CN"/>
        </w:rPr>
        <w:t>违规广告牌匾，全市1133处单立柱户外广告牌拆除清零，</w:t>
      </w:r>
      <w:r>
        <w:rPr>
          <w:rFonts w:hint="eastAsia" w:ascii="仿宋_GB2312" w:hAnsi="仿宋" w:eastAsia="仿宋_GB2312" w:cs="Times New Roman"/>
          <w:bCs/>
          <w:color w:val="auto"/>
          <w:sz w:val="32"/>
          <w:szCs w:val="32"/>
          <w:highlight w:val="none"/>
          <w:lang w:val="en-US" w:eastAsia="zh-CN"/>
        </w:rPr>
        <w:t>朝阳、丰台、顺义、昌平、怀柔和经开区提前完成任务，密云、平谷主要领导亲自抓历史遗留问题解决，城市公共空间环境更加清朗有序。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2.环境卫生管理方面。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产出数量及质量：落实“疫情要防住、经济要稳住、发展要安全”总要求，坚持“动态清零”总方针，严格落实“四方责任”，及时调整疫情防控措施，制定公厕消毒、再生资源回收等12项防疫指引，12座垃圾焚烧厂具备应急处置重点管控垃圾能力，2022年共处置各类垃圾7.1万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落实习近平总书记关于垃圾分类、“厕所革命”重要批示指示精神，主管副市长每月一次现场调度，持续推进垃圾分类“关键小事”，全市4.58万家单位实施厨余垃圾计量收费，生活垃圾回收利用率达38%，在住房和城乡建部垃圾分类工作评估中首次迈上90分台阶，在全国名列前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加快推进环卫基础设施建设，大兴安定垃圾焚烧处理项目主体完工，顺义三期、平谷二期实现试运行，新增厨余垃圾处理能力600吨以上。开展京津冀建筑垃圾违法行为联合治理，查处偷运乱倒行为1.67万起，打掉“黑窝点”11个，形成高压态势。</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提升城市道路街巷洁净度，机械化作业率达95%，新能源环卫车占45.5%。推进完成核心区平房院不达标厕所改造，按计划完成870座公厕无障碍设施、除臭节水节能升级改造，农村地区三类以上公厕达99%。</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3.城市照明管理方面。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产出数量及质量：持续推进无灯道路治理新三年行动计划，加快西长安街10号院、城市副中心二期景观照明设施改造，打造智能化城市照明管控体系。全年共建无灯道路补建路灯119条（超额完成14条），核心区全部实现非居民用户液化石油气替代，有效防范和化解了安全风险隐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4.供热燃气管理方面。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产出数量及质量：落实国务院能源保供要求，协调首都资源，落实天然气供应195亿立方米，天津南港LNG应急储备项目一期工程完成96.8%，确保能源供给安全。积极推动绿电进京，外受电输送能力增至3400万千瓦，实现冬奥场馆绿电供应100%。推进油、气、氢、充电等能源服务站一体化，年度新建电动汽车充电桩2万个、换电站36座、加氢站6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全口径摸排供热单位和供热设施，准确掌握备案和未备案锅炉房底数，上一采暖季增加供热时间16天，群众诉求“五连降”，降幅达53.9%。实施“冬病夏治”供热管网改造，开展智能化供热试点、燃油锅炉清洁能源改造，核心区燃油锅炉基本清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5.户外广告管理方面。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产出数量及质量：加强广告牌匾和照明设施管控。持续巩固单立柱广告治理成果，保持高压态势整治户外广告设施，加强对公共汽电车、公交候车亭户外广告设置规范管理。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6.能源运行管理方面。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产出数量及质量：着眼城市运行安全，将电动自行车充电设施、燃气安全配件、无灯道路治理列入政府民生实事。全年共建成电动自行车充电设施接口36.7万个（超额完成11.7万个），加装燃气安全配件169.5万户（超额完成69.5万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持续加强地下管线隐患治理，完成939公里老旧管网更新消隐改造；升级“北京市地下管线防护系统”，施工破坏管线事故同比下降57%。</w:t>
      </w:r>
      <w:r>
        <w:rPr>
          <w:rFonts w:hint="eastAsia" w:ascii="仿宋_GB2312" w:hAnsi="仿宋" w:eastAsia="仿宋_GB2312" w:cs="Times New Roman"/>
          <w:bCs/>
          <w:color w:val="auto"/>
          <w:sz w:val="32"/>
          <w:szCs w:val="32"/>
          <w:highlight w:val="none"/>
          <w:lang w:val="en-US" w:eastAsia="zh-Hans"/>
        </w:rPr>
        <w:t>统筹推进</w:t>
      </w:r>
      <w:r>
        <w:rPr>
          <w:rFonts w:hint="eastAsia" w:ascii="仿宋_GB2312" w:hAnsi="仿宋" w:eastAsia="仿宋_GB2312" w:cs="Times New Roman"/>
          <w:bCs/>
          <w:color w:val="auto"/>
          <w:sz w:val="32"/>
          <w:szCs w:val="32"/>
          <w:highlight w:val="none"/>
          <w:lang w:val="en-US" w:eastAsia="zh-CN"/>
        </w:rPr>
        <w:t>老旧小区管线改造、电梯管线拆改移，完善石油天然气长输管道高后果区识别管理，建立地下综合管廊有偿使用制度。推进水电气热、通信等市政报装一网通办、一站办结，优化营商环境新举措，深受各方好评。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7.城市管理宣传方面。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产出数量及质量：利用广播电视台、平面媒体、地铁站台等多渠道，宣传城市管理相关政策出台及实施推进，通过开设专栏专题、推出公益宣传等多种形式，对城市管理领域“十四五”规划、垃圾分类、燃气供暖、户外广告牌匾、电力能源、环境建设等相关方面工作开展广泛宣传动员等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9.其他执法保障方面。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产出数量及质量：加强综合执法、联动执法，查处占道游商、非法小广告、非法运营、违法建设等一批环境秩序顽疾，拆除违法建设2874万平方米，开展“三类场所”执法检查，形成疫情防控严查严管严控态势。</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加强执法队伍规范化建设，制定加强基层综合行政执法队伍建设意见，深入推进分类分级执法。实施重点案件“追本溯源”、全链条打击，有效解决了大兴区永定河干渠西堤、朝阳区四惠桥下等违法倾倒垃圾行为。紧盯黑气瓶和黑窝点，与公安等部门和所在区联手，跨省追溯上游气站气源，探索了京津冀协同执法新模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强化接诉即办、主动治理。编制实施“一网统管”方案，率先建成生活垃圾分类投放收运等应用场景。全市网格系统发现问题924.72万件，问题解决率97.64%。朝阳、通州、房山区主动发现能力较强。探索“热线+网格”深度融合，开展“每月一题”集中治理，全系统群众投诉量同比下降61%，高频共性问题降量提质成效明显。</w:t>
      </w:r>
    </w:p>
    <w:p>
      <w:pPr>
        <w:pStyle w:val="5"/>
        <w:snapToGrid w:val="0"/>
        <w:spacing w:before="0" w:after="0" w:line="560" w:lineRule="exact"/>
        <w:ind w:firstLine="640" w:firstLineChars="200"/>
        <w:rPr>
          <w:rFonts w:hint="eastAsia" w:ascii="楷体_GB2312" w:hAnsi="楷体_GB2312" w:eastAsia="楷体_GB2312" w:cs="楷体_GB2312"/>
          <w:b w:val="0"/>
          <w:bCs w:val="0"/>
          <w:color w:val="auto"/>
          <w:highlight w:val="none"/>
        </w:rPr>
      </w:pPr>
      <w:bookmarkStart w:id="6" w:name="_Toc431"/>
      <w:r>
        <w:rPr>
          <w:rFonts w:hint="eastAsia" w:ascii="楷体_GB2312" w:hAnsi="楷体_GB2312" w:eastAsia="楷体_GB2312" w:cs="楷体_GB2312"/>
          <w:b w:val="0"/>
          <w:bCs w:val="0"/>
          <w:color w:val="auto"/>
          <w:highlight w:val="none"/>
        </w:rPr>
        <w:t>（二）效果实现情况分析</w:t>
      </w:r>
      <w:bookmarkEnd w:id="6"/>
    </w:p>
    <w:p>
      <w:pPr>
        <w:snapToGrid w:val="0"/>
        <w:spacing w:line="560" w:lineRule="exact"/>
        <w:ind w:firstLine="640" w:firstLineChars="200"/>
        <w:rPr>
          <w:rFonts w:ascii="仿宋_GB2312" w:hAnsi="仿宋" w:eastAsia="仿宋_GB2312"/>
          <w:bCs/>
          <w:color w:val="auto"/>
          <w:sz w:val="32"/>
          <w:szCs w:val="32"/>
          <w:highlight w:val="none"/>
        </w:rPr>
      </w:pPr>
      <w:r>
        <w:rPr>
          <w:rFonts w:hint="eastAsia" w:ascii="仿宋_GB2312" w:hAnsi="仿宋" w:eastAsia="仿宋_GB2312"/>
          <w:bCs/>
          <w:color w:val="auto"/>
          <w:sz w:val="32"/>
          <w:szCs w:val="32"/>
          <w:highlight w:val="none"/>
          <w:lang w:val="en-US" w:eastAsia="zh-CN"/>
        </w:rPr>
        <w:t>2022年，</w:t>
      </w:r>
      <w:r>
        <w:rPr>
          <w:rFonts w:hint="eastAsia" w:ascii="仿宋_GB2312" w:hAnsi="仿宋" w:eastAsia="仿宋_GB2312"/>
          <w:bCs/>
          <w:color w:val="auto"/>
          <w:sz w:val="32"/>
          <w:szCs w:val="32"/>
          <w:highlight w:val="none"/>
        </w:rPr>
        <w:t>在市委市政府的坚强领导下，在市财政局等部门的支持配合下</w:t>
      </w:r>
      <w:r>
        <w:rPr>
          <w:rFonts w:hint="eastAsia" w:ascii="仿宋_GB2312" w:hAnsi="仿宋" w:eastAsia="仿宋_GB2312"/>
          <w:bCs/>
          <w:color w:val="auto"/>
          <w:sz w:val="32"/>
          <w:szCs w:val="32"/>
          <w:highlight w:val="none"/>
          <w:lang w:eastAsia="zh-CN"/>
        </w:rPr>
        <w:t>，我委干部职工团结一心、迎难而上，各项工作取得明显成效，经济效益、社会效益、环境效益显著。</w:t>
      </w:r>
    </w:p>
    <w:p>
      <w:pPr>
        <w:snapToGrid w:val="0"/>
        <w:spacing w:line="560" w:lineRule="exact"/>
        <w:ind w:firstLine="640" w:firstLineChars="200"/>
        <w:rPr>
          <w:rFonts w:hint="eastAsia" w:ascii="仿宋_GB2312" w:hAnsi="仿宋" w:eastAsia="仿宋_GB2312"/>
          <w:bCs/>
          <w:color w:val="auto"/>
          <w:sz w:val="32"/>
          <w:szCs w:val="32"/>
          <w:highlight w:val="none"/>
        </w:rPr>
      </w:pPr>
      <w:r>
        <w:rPr>
          <w:rFonts w:hint="eastAsia" w:ascii="仿宋_GB2312" w:hAnsi="仿宋" w:eastAsia="仿宋_GB2312"/>
          <w:bCs/>
          <w:color w:val="auto"/>
          <w:sz w:val="32"/>
          <w:szCs w:val="32"/>
          <w:highlight w:val="none"/>
        </w:rPr>
        <w:t>1.效益</w:t>
      </w:r>
      <w:r>
        <w:rPr>
          <w:rFonts w:hint="eastAsia" w:ascii="仿宋_GB2312" w:hAnsi="仿宋" w:eastAsia="仿宋_GB2312"/>
          <w:bCs/>
          <w:color w:val="auto"/>
          <w:sz w:val="32"/>
          <w:szCs w:val="32"/>
          <w:highlight w:val="none"/>
          <w:lang w:eastAsia="zh-CN"/>
        </w:rPr>
        <w:t>指标完成情况</w:t>
      </w:r>
      <w:r>
        <w:rPr>
          <w:rFonts w:hint="eastAsia" w:ascii="仿宋_GB2312" w:hAnsi="仿宋" w:eastAsia="仿宋_GB2312"/>
          <w:bCs/>
          <w:color w:val="auto"/>
          <w:sz w:val="32"/>
          <w:szCs w:val="32"/>
          <w:highlight w:val="none"/>
        </w:rPr>
        <w:t>。</w:t>
      </w:r>
    </w:p>
    <w:p>
      <w:pPr>
        <w:keepNext w:val="0"/>
        <w:keepLines w:val="0"/>
        <w:pageBreakBefore w:val="0"/>
        <w:widowControl w:val="0"/>
        <w:kinsoku/>
        <w:wordWrap/>
        <w:overflowPunct/>
        <w:topLinePunct w:val="0"/>
        <w:autoSpaceDE/>
        <w:autoSpaceDN/>
        <w:bidi w:val="0"/>
        <w:adjustRightInd/>
        <w:spacing w:before="0" w:beforeLines="0" w:beforeAutospacing="0" w:after="0" w:afterLines="0" w:afterAutospacing="0" w:line="560" w:lineRule="exact"/>
        <w:ind w:left="0" w:leftChars="0" w:right="0" w:rightChars="0" w:firstLine="640" w:firstLineChars="200"/>
        <w:rPr>
          <w:rFonts w:hint="eastAsia" w:ascii="宋体" w:hAnsi="宋体" w:eastAsia="仿宋_GB2312" w:cs="仿宋_GB2312"/>
          <w:b w:val="0"/>
          <w:bCs w:val="0"/>
          <w:color w:val="auto"/>
          <w:kern w:val="2"/>
          <w:sz w:val="32"/>
          <w:szCs w:val="32"/>
          <w:highlight w:val="none"/>
        </w:rPr>
      </w:pPr>
      <w:r>
        <w:rPr>
          <w:rFonts w:hint="eastAsia" w:ascii="宋体" w:hAnsi="宋体" w:eastAsia="仿宋_GB2312" w:cs="仿宋_GB2312"/>
          <w:b w:val="0"/>
          <w:bCs w:val="0"/>
          <w:color w:val="auto"/>
          <w:sz w:val="32"/>
          <w:szCs w:val="32"/>
          <w:highlight w:val="none"/>
          <w:lang w:eastAsia="zh-CN"/>
        </w:rPr>
        <w:t>一是落实中央</w:t>
      </w:r>
      <w:r>
        <w:rPr>
          <w:rFonts w:hint="eastAsia" w:ascii="宋体" w:hAnsi="宋体" w:eastAsia="仿宋_GB2312" w:cs="仿宋_GB2312"/>
          <w:b w:val="0"/>
          <w:bCs w:val="0"/>
          <w:color w:val="auto"/>
          <w:sz w:val="32"/>
          <w:szCs w:val="32"/>
          <w:highlight w:val="none"/>
        </w:rPr>
        <w:t>巡视</w:t>
      </w:r>
      <w:r>
        <w:rPr>
          <w:rFonts w:hint="eastAsia" w:ascii="宋体" w:hAnsi="宋体" w:eastAsia="仿宋_GB2312" w:cs="仿宋_GB2312"/>
          <w:b w:val="0"/>
          <w:bCs w:val="0"/>
          <w:color w:val="auto"/>
          <w:sz w:val="32"/>
          <w:szCs w:val="32"/>
          <w:highlight w:val="none"/>
          <w:lang w:eastAsia="zh-CN"/>
        </w:rPr>
        <w:t>、</w:t>
      </w:r>
      <w:r>
        <w:rPr>
          <w:rFonts w:hint="eastAsia" w:ascii="宋体" w:hAnsi="宋体" w:eastAsia="仿宋_GB2312" w:cs="仿宋_GB2312"/>
          <w:b w:val="0"/>
          <w:bCs w:val="0"/>
          <w:color w:val="auto"/>
          <w:sz w:val="32"/>
          <w:szCs w:val="32"/>
          <w:highlight w:val="none"/>
        </w:rPr>
        <w:t>环保督察</w:t>
      </w:r>
      <w:r>
        <w:rPr>
          <w:rFonts w:hint="eastAsia" w:ascii="宋体" w:hAnsi="宋体" w:eastAsia="仿宋_GB2312" w:cs="仿宋_GB2312"/>
          <w:b w:val="0"/>
          <w:bCs w:val="0"/>
          <w:color w:val="auto"/>
          <w:sz w:val="32"/>
          <w:szCs w:val="32"/>
          <w:highlight w:val="none"/>
          <w:lang w:eastAsia="zh-CN"/>
        </w:rPr>
        <w:t>、</w:t>
      </w:r>
      <w:r>
        <w:rPr>
          <w:rFonts w:hint="eastAsia" w:ascii="宋体" w:hAnsi="宋体" w:eastAsia="仿宋_GB2312" w:cs="仿宋_GB2312"/>
          <w:b w:val="0"/>
          <w:bCs w:val="0"/>
          <w:color w:val="auto"/>
          <w:sz w:val="32"/>
          <w:szCs w:val="32"/>
          <w:highlight w:val="none"/>
        </w:rPr>
        <w:t>折子工程、民生实事</w:t>
      </w:r>
      <w:r>
        <w:rPr>
          <w:rFonts w:hint="eastAsia" w:ascii="宋体" w:hAnsi="宋体" w:eastAsia="仿宋_GB2312" w:cs="仿宋_GB2312"/>
          <w:b w:val="0"/>
          <w:bCs w:val="0"/>
          <w:color w:val="auto"/>
          <w:sz w:val="32"/>
          <w:szCs w:val="32"/>
          <w:highlight w:val="none"/>
          <w:lang w:eastAsia="zh-CN"/>
        </w:rPr>
        <w:t>坚决彻底；二是</w:t>
      </w:r>
      <w:r>
        <w:rPr>
          <w:rFonts w:hint="eastAsia" w:ascii="宋体" w:hAnsi="宋体" w:eastAsia="仿宋_GB2312" w:cs="仿宋_GB2312"/>
          <w:b w:val="0"/>
          <w:bCs w:val="0"/>
          <w:color w:val="auto"/>
          <w:sz w:val="32"/>
          <w:szCs w:val="32"/>
          <w:highlight w:val="none"/>
        </w:rPr>
        <w:t>“建党百年、冬奥会冬残奥会</w:t>
      </w:r>
      <w:r>
        <w:rPr>
          <w:rFonts w:hint="eastAsia" w:ascii="宋体" w:hAnsi="宋体" w:eastAsia="仿宋_GB2312" w:cs="仿宋_GB2312"/>
          <w:b w:val="0"/>
          <w:bCs w:val="0"/>
          <w:color w:val="auto"/>
          <w:sz w:val="32"/>
          <w:szCs w:val="32"/>
          <w:highlight w:val="none"/>
          <w:lang w:eastAsia="zh-CN"/>
        </w:rPr>
        <w:t>”</w:t>
      </w:r>
      <w:r>
        <w:rPr>
          <w:rFonts w:hint="eastAsia" w:ascii="宋体" w:hAnsi="宋体" w:eastAsia="仿宋_GB2312" w:cs="仿宋_GB2312"/>
          <w:b w:val="0"/>
          <w:bCs w:val="0"/>
          <w:color w:val="auto"/>
          <w:sz w:val="32"/>
          <w:szCs w:val="32"/>
          <w:highlight w:val="none"/>
        </w:rPr>
        <w:t>服务保障</w:t>
      </w:r>
      <w:r>
        <w:rPr>
          <w:rFonts w:hint="eastAsia" w:ascii="宋体" w:hAnsi="宋体" w:eastAsia="仿宋_GB2312" w:cs="仿宋_GB2312"/>
          <w:b w:val="0"/>
          <w:bCs w:val="0"/>
          <w:color w:val="auto"/>
          <w:sz w:val="32"/>
          <w:szCs w:val="32"/>
          <w:highlight w:val="none"/>
          <w:lang w:eastAsia="zh-CN"/>
        </w:rPr>
        <w:t>工作顺利圆满，</w:t>
      </w:r>
      <w:r>
        <w:rPr>
          <w:rFonts w:hint="eastAsia" w:ascii="宋体" w:hAnsi="宋体" w:eastAsia="仿宋_GB2312" w:cs="仿宋_GB2312"/>
          <w:b w:val="0"/>
          <w:bCs w:val="0"/>
          <w:color w:val="auto"/>
          <w:kern w:val="2"/>
          <w:sz w:val="32"/>
          <w:szCs w:val="32"/>
          <w:highlight w:val="none"/>
          <w:lang w:val="en-US" w:eastAsia="zh-CN" w:bidi="ar-SA"/>
        </w:rPr>
        <w:t>以首善标准、国际水准，全力以赴做好“建党百年、冬奥会冬残奥会”两件大事服务保障工作</w:t>
      </w:r>
      <w:r>
        <w:rPr>
          <w:rFonts w:hint="eastAsia" w:ascii="宋体" w:hAnsi="宋体" w:eastAsia="仿宋_GB2312" w:cs="仿宋_GB2312"/>
          <w:b w:val="0"/>
          <w:bCs w:val="0"/>
          <w:color w:val="auto"/>
          <w:sz w:val="32"/>
          <w:szCs w:val="32"/>
          <w:highlight w:val="none"/>
          <w:lang w:eastAsia="zh-CN"/>
        </w:rPr>
        <w:t>；三是生活垃圾分类持续推进成效显著，认真贯彻落实市委市政府关于生活垃圾分类部署要求，充分发挥</w:t>
      </w:r>
      <w:r>
        <w:rPr>
          <w:rFonts w:hint="eastAsia" w:ascii="宋体" w:hAnsi="宋体" w:eastAsia="仿宋_GB2312" w:cs="仿宋_GB2312"/>
          <w:b w:val="0"/>
          <w:bCs w:val="0"/>
          <w:color w:val="auto"/>
          <w:sz w:val="32"/>
          <w:szCs w:val="32"/>
          <w:highlight w:val="none"/>
        </w:rPr>
        <w:t>指挥部统筹调度，</w:t>
      </w:r>
      <w:r>
        <w:rPr>
          <w:rFonts w:hint="eastAsia" w:ascii="宋体" w:hAnsi="宋体" w:eastAsia="仿宋_GB2312" w:cs="仿宋_GB2312"/>
          <w:b w:val="0"/>
          <w:bCs w:val="0"/>
          <w:color w:val="auto"/>
          <w:sz w:val="32"/>
          <w:szCs w:val="32"/>
          <w:highlight w:val="none"/>
          <w:lang w:eastAsia="zh-CN"/>
        </w:rPr>
        <w:t>全面落实生活垃圾管理条例；四是煤电气热</w:t>
      </w:r>
      <w:r>
        <w:rPr>
          <w:rFonts w:hint="eastAsia" w:ascii="宋体" w:hAnsi="宋体" w:eastAsia="仿宋_GB2312" w:cs="仿宋_GB2312"/>
          <w:b w:val="0"/>
          <w:bCs w:val="0"/>
          <w:color w:val="auto"/>
          <w:sz w:val="32"/>
          <w:szCs w:val="32"/>
          <w:highlight w:val="none"/>
        </w:rPr>
        <w:t>保供运行</w:t>
      </w:r>
      <w:r>
        <w:rPr>
          <w:rFonts w:hint="eastAsia" w:ascii="宋体" w:hAnsi="宋体" w:eastAsia="仿宋_GB2312" w:cs="仿宋_GB2312"/>
          <w:b w:val="0"/>
          <w:bCs w:val="0"/>
          <w:color w:val="auto"/>
          <w:sz w:val="32"/>
          <w:szCs w:val="32"/>
          <w:highlight w:val="none"/>
          <w:lang w:eastAsia="zh-CN"/>
        </w:rPr>
        <w:t>稳定</w:t>
      </w:r>
      <w:r>
        <w:rPr>
          <w:rFonts w:hint="eastAsia" w:ascii="宋体" w:hAnsi="宋体" w:eastAsia="仿宋_GB2312" w:cs="仿宋_GB2312"/>
          <w:b w:val="0"/>
          <w:bCs w:val="0"/>
          <w:color w:val="auto"/>
          <w:sz w:val="32"/>
          <w:szCs w:val="32"/>
          <w:highlight w:val="none"/>
        </w:rPr>
        <w:t>安全可靠</w:t>
      </w:r>
      <w:r>
        <w:rPr>
          <w:rFonts w:hint="eastAsia" w:ascii="宋体" w:hAnsi="宋体" w:eastAsia="仿宋_GB2312" w:cs="仿宋_GB2312"/>
          <w:b w:val="0"/>
          <w:bCs w:val="0"/>
          <w:color w:val="auto"/>
          <w:sz w:val="32"/>
          <w:szCs w:val="32"/>
          <w:highlight w:val="none"/>
          <w:lang w:eastAsia="zh-CN"/>
        </w:rPr>
        <w:t>，</w:t>
      </w:r>
      <w:r>
        <w:rPr>
          <w:rFonts w:hint="eastAsia" w:ascii="宋体" w:hAnsi="宋体" w:eastAsia="仿宋_GB2312" w:cs="仿宋_GB2312"/>
          <w:b w:val="0"/>
          <w:bCs w:val="0"/>
          <w:color w:val="auto"/>
          <w:sz w:val="32"/>
          <w:szCs w:val="32"/>
          <w:highlight w:val="none"/>
        </w:rPr>
        <w:t>市领导高度重视</w:t>
      </w:r>
      <w:r>
        <w:rPr>
          <w:rFonts w:hint="eastAsia" w:ascii="宋体" w:hAnsi="宋体" w:eastAsia="仿宋_GB2312" w:cs="仿宋_GB2312"/>
          <w:b w:val="0"/>
          <w:bCs w:val="0"/>
          <w:color w:val="auto"/>
          <w:sz w:val="32"/>
          <w:szCs w:val="32"/>
          <w:highlight w:val="none"/>
          <w:lang w:eastAsia="zh-CN"/>
        </w:rPr>
        <w:t>、亲自谋划、</w:t>
      </w:r>
      <w:r>
        <w:rPr>
          <w:rFonts w:hint="eastAsia" w:ascii="宋体" w:hAnsi="宋体" w:eastAsia="仿宋_GB2312" w:cs="仿宋_GB2312"/>
          <w:b w:val="0"/>
          <w:bCs w:val="0"/>
          <w:color w:val="auto"/>
          <w:sz w:val="32"/>
          <w:szCs w:val="32"/>
          <w:highlight w:val="none"/>
        </w:rPr>
        <w:t>高位协调</w:t>
      </w:r>
      <w:r>
        <w:rPr>
          <w:rFonts w:hint="eastAsia" w:ascii="宋体" w:hAnsi="宋体" w:eastAsia="仿宋_GB2312" w:cs="仿宋_GB2312"/>
          <w:b w:val="0"/>
          <w:bCs w:val="0"/>
          <w:color w:val="auto"/>
          <w:sz w:val="32"/>
          <w:szCs w:val="32"/>
          <w:highlight w:val="none"/>
          <w:lang w:eastAsia="zh-CN"/>
        </w:rPr>
        <w:t>，推动首都</w:t>
      </w:r>
      <w:r>
        <w:rPr>
          <w:rFonts w:hint="eastAsia" w:ascii="宋体" w:hAnsi="宋体" w:eastAsia="仿宋_GB2312" w:cs="仿宋_GB2312"/>
          <w:b w:val="0"/>
          <w:bCs w:val="0"/>
          <w:color w:val="auto"/>
          <w:sz w:val="32"/>
          <w:szCs w:val="32"/>
          <w:highlight w:val="none"/>
        </w:rPr>
        <w:t>能源保供</w:t>
      </w:r>
      <w:r>
        <w:rPr>
          <w:rFonts w:hint="eastAsia" w:ascii="宋体" w:hAnsi="宋体" w:eastAsia="仿宋_GB2312" w:cs="仿宋_GB2312"/>
          <w:b w:val="0"/>
          <w:bCs w:val="0"/>
          <w:color w:val="auto"/>
          <w:sz w:val="32"/>
          <w:szCs w:val="32"/>
          <w:highlight w:val="none"/>
          <w:lang w:eastAsia="zh-CN"/>
        </w:rPr>
        <w:t>，顺利应对</w:t>
      </w:r>
      <w:r>
        <w:rPr>
          <w:rFonts w:hint="eastAsia" w:ascii="宋体" w:hAnsi="宋体" w:eastAsia="仿宋_GB2312" w:cs="仿宋_GB2312"/>
          <w:b w:val="0"/>
          <w:bCs w:val="0"/>
          <w:color w:val="auto"/>
          <w:sz w:val="32"/>
          <w:szCs w:val="32"/>
          <w:highlight w:val="none"/>
          <w:lang w:val="en-US" w:eastAsia="zh-CN"/>
        </w:rPr>
        <w:t>11月6日、21日两次寒潮天气</w:t>
      </w:r>
      <w:r>
        <w:rPr>
          <w:rFonts w:hint="eastAsia" w:ascii="宋体" w:hAnsi="宋体" w:eastAsia="仿宋_GB2312" w:cs="仿宋_GB2312"/>
          <w:b w:val="0"/>
          <w:bCs w:val="0"/>
          <w:color w:val="auto"/>
          <w:sz w:val="32"/>
          <w:szCs w:val="32"/>
          <w:highlight w:val="none"/>
          <w:lang w:eastAsia="zh-CN"/>
        </w:rPr>
        <w:t>；五是</w:t>
      </w:r>
      <w:r>
        <w:rPr>
          <w:rFonts w:hint="eastAsia" w:ascii="宋体" w:hAnsi="宋体" w:eastAsia="仿宋_GB2312" w:cs="仿宋_GB2312"/>
          <w:b w:val="0"/>
          <w:bCs w:val="0"/>
          <w:color w:val="auto"/>
          <w:sz w:val="32"/>
          <w:szCs w:val="32"/>
          <w:highlight w:val="none"/>
        </w:rPr>
        <w:t>市容环境景观</w:t>
      </w:r>
      <w:r>
        <w:rPr>
          <w:rFonts w:hint="eastAsia" w:ascii="宋体" w:hAnsi="宋体" w:eastAsia="仿宋_GB2312" w:cs="仿宋_GB2312"/>
          <w:b w:val="0"/>
          <w:bCs w:val="0"/>
          <w:color w:val="auto"/>
          <w:sz w:val="32"/>
          <w:szCs w:val="32"/>
          <w:highlight w:val="none"/>
          <w:lang w:eastAsia="zh-CN"/>
        </w:rPr>
        <w:t>更加整洁规范有序，按照首都城乡环境建设部署要求，</w:t>
      </w:r>
      <w:r>
        <w:rPr>
          <w:rFonts w:hint="eastAsia" w:ascii="宋体" w:hAnsi="宋体" w:eastAsia="仿宋_GB2312" w:cs="仿宋_GB2312"/>
          <w:b w:val="0"/>
          <w:bCs w:val="0"/>
          <w:color w:val="auto"/>
          <w:sz w:val="32"/>
          <w:szCs w:val="32"/>
          <w:highlight w:val="none"/>
        </w:rPr>
        <w:t>发挥首环办高位统筹作用，</w:t>
      </w:r>
      <w:r>
        <w:rPr>
          <w:rFonts w:hint="eastAsia" w:ascii="宋体" w:hAnsi="宋体" w:eastAsia="仿宋_GB2312" w:cs="仿宋_GB2312"/>
          <w:b w:val="0"/>
          <w:bCs w:val="0"/>
          <w:color w:val="auto"/>
          <w:sz w:val="32"/>
          <w:szCs w:val="32"/>
          <w:highlight w:val="none"/>
          <w:lang w:eastAsia="zh-CN"/>
        </w:rPr>
        <w:t>以绣花功夫推进城市环境面貌实现新改善；六是行业安全建设和隐患治理扎实深入，坚持管行业必须管安全、管业务必须管安全，深入推进城市生命线隐患治理，提升城市韧性水平；七是现代城市管理新模式初具雏形，落实“十四五”智慧城市建设发展规划，抓住城市运行“一网统管”牛鼻子工程，赋能城市管理精细化水平提升；八是</w:t>
      </w:r>
      <w:r>
        <w:rPr>
          <w:rFonts w:hint="eastAsia" w:ascii="宋体" w:hAnsi="宋体" w:eastAsia="仿宋_GB2312" w:cs="仿宋_GB2312"/>
          <w:b w:val="0"/>
          <w:bCs w:val="0"/>
          <w:color w:val="auto"/>
          <w:sz w:val="32"/>
          <w:szCs w:val="32"/>
          <w:highlight w:val="none"/>
        </w:rPr>
        <w:t>城市管理宣</w:t>
      </w:r>
      <w:r>
        <w:rPr>
          <w:rFonts w:hint="eastAsia" w:ascii="宋体" w:hAnsi="宋体" w:eastAsia="仿宋_GB2312" w:cs="仿宋_GB2312"/>
          <w:b w:val="0"/>
          <w:bCs w:val="0"/>
          <w:color w:val="auto"/>
          <w:sz w:val="32"/>
          <w:szCs w:val="32"/>
          <w:highlight w:val="none"/>
          <w:lang w:eastAsia="zh-CN"/>
        </w:rPr>
        <w:t>传走进市民生活效果明显，</w:t>
      </w:r>
      <w:r>
        <w:rPr>
          <w:rFonts w:hint="eastAsia" w:ascii="宋体" w:hAnsi="宋体" w:eastAsia="仿宋_GB2312" w:cs="仿宋_GB2312"/>
          <w:b w:val="0"/>
          <w:bCs w:val="0"/>
          <w:color w:val="auto"/>
          <w:kern w:val="2"/>
          <w:sz w:val="32"/>
          <w:szCs w:val="32"/>
          <w:highlight w:val="none"/>
        </w:rPr>
        <w:t>利用广播电视台、平面媒体、地铁站台等多渠道，</w:t>
      </w:r>
      <w:r>
        <w:rPr>
          <w:rFonts w:hint="eastAsia" w:ascii="宋体" w:hAnsi="宋体" w:eastAsia="仿宋_GB2312" w:cs="仿宋_GB2312"/>
          <w:b w:val="0"/>
          <w:bCs w:val="0"/>
          <w:color w:val="auto"/>
          <w:kern w:val="2"/>
          <w:sz w:val="32"/>
          <w:szCs w:val="32"/>
          <w:highlight w:val="none"/>
          <w:lang w:eastAsia="zh-CN"/>
        </w:rPr>
        <w:t>宣传</w:t>
      </w:r>
      <w:r>
        <w:rPr>
          <w:rFonts w:hint="eastAsia" w:ascii="宋体" w:hAnsi="宋体" w:eastAsia="仿宋_GB2312" w:cs="仿宋_GB2312"/>
          <w:b w:val="0"/>
          <w:bCs w:val="0"/>
          <w:color w:val="auto"/>
          <w:kern w:val="2"/>
          <w:sz w:val="32"/>
          <w:szCs w:val="32"/>
          <w:highlight w:val="none"/>
        </w:rPr>
        <w:t>城市管理相关政策出台及实施推进，通过开设专栏专题、推出公益宣传等多种形式，对城市管理领域</w:t>
      </w:r>
      <w:r>
        <w:rPr>
          <w:rFonts w:hint="eastAsia" w:ascii="宋体" w:hAnsi="宋体" w:eastAsia="仿宋_GB2312" w:cs="仿宋_GB2312"/>
          <w:b w:val="0"/>
          <w:bCs w:val="0"/>
          <w:color w:val="auto"/>
          <w:kern w:val="2"/>
          <w:sz w:val="32"/>
          <w:szCs w:val="32"/>
          <w:highlight w:val="none"/>
          <w:lang w:eastAsia="zh-CN"/>
        </w:rPr>
        <w:t>“</w:t>
      </w:r>
      <w:r>
        <w:rPr>
          <w:rFonts w:hint="eastAsia" w:ascii="宋体" w:hAnsi="宋体" w:eastAsia="仿宋_GB2312" w:cs="仿宋_GB2312"/>
          <w:b w:val="0"/>
          <w:bCs w:val="0"/>
          <w:color w:val="auto"/>
          <w:kern w:val="2"/>
          <w:sz w:val="32"/>
          <w:szCs w:val="32"/>
          <w:highlight w:val="none"/>
        </w:rPr>
        <w:t>十四五</w:t>
      </w:r>
      <w:r>
        <w:rPr>
          <w:rFonts w:hint="eastAsia" w:ascii="宋体" w:hAnsi="宋体" w:eastAsia="仿宋_GB2312" w:cs="仿宋_GB2312"/>
          <w:b w:val="0"/>
          <w:bCs w:val="0"/>
          <w:color w:val="auto"/>
          <w:kern w:val="2"/>
          <w:sz w:val="32"/>
          <w:szCs w:val="32"/>
          <w:highlight w:val="none"/>
          <w:lang w:eastAsia="zh-CN"/>
        </w:rPr>
        <w:t>”</w:t>
      </w:r>
      <w:r>
        <w:rPr>
          <w:rFonts w:hint="eastAsia" w:ascii="宋体" w:hAnsi="宋体" w:eastAsia="仿宋_GB2312" w:cs="仿宋_GB2312"/>
          <w:b w:val="0"/>
          <w:bCs w:val="0"/>
          <w:color w:val="auto"/>
          <w:kern w:val="2"/>
          <w:sz w:val="32"/>
          <w:szCs w:val="32"/>
          <w:highlight w:val="none"/>
        </w:rPr>
        <w:t>规划、垃圾分类、燃气供暖、户外广告牌匾、电力能源、环境建设等相关方面工作开展广泛宣传动员等工作。</w:t>
      </w:r>
    </w:p>
    <w:p>
      <w:pPr>
        <w:keepNext w:val="0"/>
        <w:keepLines w:val="0"/>
        <w:pageBreakBefore w:val="0"/>
        <w:widowControl w:val="0"/>
        <w:numPr>
          <w:ilvl w:val="-1"/>
          <w:numId w:val="0"/>
        </w:numPr>
        <w:kinsoku/>
        <w:wordWrap/>
        <w:overflowPunct/>
        <w:topLinePunct w:val="0"/>
        <w:autoSpaceDE/>
        <w:autoSpaceDN/>
        <w:bidi w:val="0"/>
        <w:adjustRightInd/>
        <w:snapToGrid/>
        <w:spacing w:beforeLines="0" w:beforeAutospacing="0" w:afterLines="0" w:afterAutospacing="0" w:line="560" w:lineRule="exact"/>
        <w:ind w:left="0" w:leftChars="0" w:right="0" w:rightChars="0" w:firstLine="648" w:firstLineChars="0"/>
        <w:jc w:val="both"/>
        <w:textAlignment w:val="auto"/>
        <w:outlineLvl w:val="9"/>
        <w:rPr>
          <w:rFonts w:hint="eastAsia" w:ascii="仿宋_GB2312" w:hAnsi="仿宋" w:eastAsia="仿宋_GB2312"/>
          <w:b w:val="0"/>
          <w:bCs w:val="0"/>
          <w:color w:val="auto"/>
          <w:sz w:val="32"/>
          <w:szCs w:val="32"/>
          <w:highlight w:val="none"/>
        </w:rPr>
      </w:pPr>
      <w:r>
        <w:rPr>
          <w:rFonts w:hint="eastAsia" w:ascii="仿宋_GB2312" w:hAnsi="仿宋" w:eastAsia="仿宋_GB2312"/>
          <w:b w:val="0"/>
          <w:bCs w:val="0"/>
          <w:color w:val="auto"/>
          <w:sz w:val="32"/>
          <w:szCs w:val="32"/>
          <w:highlight w:val="none"/>
          <w:lang w:val="en-US" w:eastAsia="zh-CN"/>
        </w:rPr>
        <w:t>2</w:t>
      </w:r>
      <w:r>
        <w:rPr>
          <w:rFonts w:hint="eastAsia" w:ascii="仿宋_GB2312" w:hAnsi="仿宋" w:eastAsia="仿宋_GB2312"/>
          <w:b w:val="0"/>
          <w:bCs w:val="0"/>
          <w:color w:val="auto"/>
          <w:sz w:val="32"/>
          <w:szCs w:val="32"/>
          <w:highlight w:val="none"/>
        </w:rPr>
        <w:t>.服务对象满意度。</w:t>
      </w:r>
    </w:p>
    <w:p>
      <w:pPr>
        <w:snapToGrid w:val="0"/>
        <w:spacing w:line="560" w:lineRule="exact"/>
        <w:ind w:firstLine="640" w:firstLineChars="200"/>
        <w:jc w:val="both"/>
        <w:rPr>
          <w:rFonts w:hint="eastAsia" w:ascii="仿宋_GB2312" w:eastAsia="仿宋_GB2312" w:cs="Times New Roman"/>
          <w:color w:val="auto"/>
          <w:sz w:val="32"/>
          <w:szCs w:val="32"/>
          <w:highlight w:val="none"/>
          <w:lang w:eastAsia="zh-CN"/>
        </w:rPr>
      </w:pPr>
      <w:r>
        <w:rPr>
          <w:rFonts w:hint="eastAsia" w:ascii="仿宋_GB2312" w:eastAsia="仿宋_GB2312" w:cs="Times New Roman"/>
          <w:color w:val="auto"/>
          <w:sz w:val="32"/>
          <w:szCs w:val="32"/>
          <w:highlight w:val="none"/>
          <w:lang w:eastAsia="zh-CN"/>
        </w:rPr>
        <w:t>北京市人民政府办公厅对我委202</w:t>
      </w:r>
      <w:r>
        <w:rPr>
          <w:rFonts w:hint="eastAsia" w:ascii="仿宋_GB2312" w:eastAsia="仿宋_GB2312" w:cs="Times New Roman"/>
          <w:color w:val="auto"/>
          <w:sz w:val="32"/>
          <w:szCs w:val="32"/>
          <w:highlight w:val="none"/>
          <w:lang w:val="en-US" w:eastAsia="zh-CN"/>
        </w:rPr>
        <w:t>2</w:t>
      </w:r>
      <w:r>
        <w:rPr>
          <w:rFonts w:hint="eastAsia" w:ascii="仿宋_GB2312" w:eastAsia="仿宋_GB2312" w:cs="Times New Roman"/>
          <w:color w:val="auto"/>
          <w:sz w:val="32"/>
          <w:szCs w:val="32"/>
          <w:highlight w:val="none"/>
          <w:lang w:eastAsia="zh-CN"/>
        </w:rPr>
        <w:t>年的绩效考评结果为</w:t>
      </w:r>
      <w:r>
        <w:rPr>
          <w:rFonts w:hint="eastAsia" w:ascii="仿宋_GB2312" w:eastAsia="仿宋_GB2312" w:cs="Times New Roman"/>
          <w:color w:val="auto"/>
          <w:sz w:val="32"/>
          <w:szCs w:val="32"/>
          <w:highlight w:val="none"/>
          <w:lang w:val="en-US" w:eastAsia="zh-CN"/>
        </w:rPr>
        <w:t>96.36</w:t>
      </w:r>
      <w:r>
        <w:rPr>
          <w:rFonts w:hint="eastAsia" w:ascii="仿宋_GB2312" w:eastAsia="仿宋_GB2312" w:cs="Times New Roman"/>
          <w:color w:val="auto"/>
          <w:sz w:val="32"/>
          <w:szCs w:val="32"/>
          <w:highlight w:val="none"/>
          <w:lang w:eastAsia="zh-CN"/>
        </w:rPr>
        <w:t>分，其中，日常履职考核</w:t>
      </w:r>
      <w:r>
        <w:rPr>
          <w:rFonts w:hint="eastAsia" w:ascii="仿宋_GB2312" w:eastAsia="仿宋_GB2312" w:cs="Times New Roman"/>
          <w:color w:val="auto"/>
          <w:sz w:val="32"/>
          <w:szCs w:val="32"/>
          <w:highlight w:val="none"/>
          <w:lang w:val="en-US" w:eastAsia="zh-CN"/>
        </w:rPr>
        <w:t>59.22</w:t>
      </w:r>
      <w:r>
        <w:rPr>
          <w:rFonts w:hint="eastAsia" w:ascii="仿宋_GB2312" w:eastAsia="仿宋_GB2312" w:cs="Times New Roman"/>
          <w:color w:val="auto"/>
          <w:sz w:val="32"/>
          <w:szCs w:val="32"/>
          <w:highlight w:val="none"/>
          <w:lang w:eastAsia="zh-CN"/>
        </w:rPr>
        <w:t>分，综合评价</w:t>
      </w:r>
      <w:r>
        <w:rPr>
          <w:rFonts w:hint="eastAsia" w:ascii="仿宋_GB2312" w:eastAsia="仿宋_GB2312" w:cs="Times New Roman"/>
          <w:color w:val="auto"/>
          <w:sz w:val="32"/>
          <w:szCs w:val="32"/>
          <w:highlight w:val="none"/>
          <w:lang w:val="en-US" w:eastAsia="zh-CN"/>
        </w:rPr>
        <w:t>37.34</w:t>
      </w:r>
      <w:r>
        <w:rPr>
          <w:rFonts w:hint="eastAsia" w:ascii="仿宋_GB2312" w:eastAsia="仿宋_GB2312" w:cs="Times New Roman"/>
          <w:color w:val="auto"/>
          <w:sz w:val="32"/>
          <w:szCs w:val="32"/>
          <w:highlight w:val="none"/>
          <w:lang w:eastAsia="zh-CN"/>
        </w:rPr>
        <w:t>分，扣分为</w:t>
      </w:r>
      <w:r>
        <w:rPr>
          <w:rFonts w:hint="eastAsia" w:ascii="仿宋_GB2312" w:eastAsia="仿宋_GB2312" w:cs="Times New Roman"/>
          <w:color w:val="auto"/>
          <w:sz w:val="32"/>
          <w:szCs w:val="32"/>
          <w:highlight w:val="none"/>
          <w:lang w:val="en-US" w:eastAsia="zh-CN"/>
        </w:rPr>
        <w:t>0.2分，</w:t>
      </w:r>
      <w:r>
        <w:rPr>
          <w:rFonts w:hint="eastAsia" w:ascii="仿宋_GB2312" w:eastAsia="仿宋_GB2312" w:cs="Times New Roman"/>
          <w:color w:val="auto"/>
          <w:sz w:val="32"/>
          <w:szCs w:val="32"/>
          <w:highlight w:val="none"/>
          <w:lang w:eastAsia="zh-CN"/>
        </w:rPr>
        <w:t>考评等次为“优秀”。市绩效处对我委在202</w:t>
      </w:r>
      <w:r>
        <w:rPr>
          <w:rFonts w:hint="eastAsia" w:ascii="仿宋_GB2312" w:eastAsia="仿宋_GB2312" w:cs="Times New Roman"/>
          <w:color w:val="auto"/>
          <w:sz w:val="32"/>
          <w:szCs w:val="32"/>
          <w:highlight w:val="none"/>
          <w:lang w:val="en-US" w:eastAsia="zh-CN"/>
        </w:rPr>
        <w:t>2</w:t>
      </w:r>
      <w:r>
        <w:rPr>
          <w:rFonts w:hint="eastAsia" w:ascii="仿宋_GB2312" w:eastAsia="仿宋_GB2312" w:cs="Times New Roman"/>
          <w:color w:val="auto"/>
          <w:sz w:val="32"/>
          <w:szCs w:val="32"/>
          <w:highlight w:val="none"/>
          <w:lang w:eastAsia="zh-CN"/>
        </w:rPr>
        <w:t>年度主要职责履行情况和市委市政府重点工作完成效果方面开展了满意度调查，我委综合满意度为</w:t>
      </w:r>
      <w:r>
        <w:rPr>
          <w:rFonts w:hint="eastAsia" w:ascii="仿宋_GB2312" w:eastAsia="仿宋_GB2312" w:cs="Times New Roman"/>
          <w:color w:val="auto"/>
          <w:sz w:val="32"/>
          <w:szCs w:val="32"/>
          <w:highlight w:val="none"/>
          <w:lang w:val="en-US" w:eastAsia="zh-CN"/>
        </w:rPr>
        <w:t>91.39分，其中：</w:t>
      </w:r>
      <w:r>
        <w:rPr>
          <w:rFonts w:hint="eastAsia" w:ascii="仿宋_GB2312" w:eastAsia="仿宋_GB2312" w:cs="Times New Roman"/>
          <w:color w:val="auto"/>
          <w:sz w:val="32"/>
          <w:szCs w:val="32"/>
          <w:highlight w:val="none"/>
          <w:lang w:eastAsia="zh-CN"/>
        </w:rPr>
        <w:t>社会公众满意度</w:t>
      </w:r>
      <w:r>
        <w:rPr>
          <w:rFonts w:hint="eastAsia" w:ascii="仿宋_GB2312" w:eastAsia="仿宋_GB2312" w:cs="Times New Roman"/>
          <w:color w:val="auto"/>
          <w:sz w:val="32"/>
          <w:szCs w:val="32"/>
          <w:highlight w:val="none"/>
          <w:lang w:val="en-US" w:eastAsia="zh-CN"/>
        </w:rPr>
        <w:t>85.45分</w:t>
      </w:r>
      <w:r>
        <w:rPr>
          <w:rFonts w:hint="eastAsia" w:ascii="仿宋_GB2312" w:eastAsia="仿宋_GB2312" w:cs="Times New Roman"/>
          <w:color w:val="auto"/>
          <w:sz w:val="32"/>
          <w:szCs w:val="32"/>
          <w:highlight w:val="none"/>
          <w:lang w:eastAsia="zh-CN"/>
        </w:rPr>
        <w:t>、服务对象</w:t>
      </w:r>
      <w:r>
        <w:rPr>
          <w:rFonts w:hint="eastAsia" w:ascii="仿宋_GB2312" w:eastAsia="仿宋_GB2312" w:cs="Times New Roman"/>
          <w:color w:val="auto"/>
          <w:sz w:val="32"/>
          <w:szCs w:val="32"/>
          <w:highlight w:val="none"/>
          <w:lang w:val="en-US" w:eastAsia="zh-CN"/>
        </w:rPr>
        <w:t>满意度97.33分</w:t>
      </w:r>
      <w:r>
        <w:rPr>
          <w:rFonts w:hint="eastAsia" w:ascii="仿宋_GB2312" w:eastAsia="仿宋_GB2312" w:cs="Times New Roman"/>
          <w:color w:val="auto"/>
          <w:sz w:val="32"/>
          <w:szCs w:val="32"/>
          <w:highlight w:val="none"/>
          <w:lang w:eastAsia="zh-CN"/>
        </w:rPr>
        <w:t>。</w:t>
      </w:r>
    </w:p>
    <w:p>
      <w:pPr>
        <w:snapToGrid w:val="0"/>
        <w:spacing w:line="560" w:lineRule="exact"/>
        <w:ind w:firstLine="640" w:firstLineChars="200"/>
        <w:jc w:val="both"/>
        <w:rPr>
          <w:rFonts w:hint="eastAsia" w:ascii="仿宋_GB2312" w:eastAsia="仿宋_GB2312" w:cs="Times New Roman"/>
          <w:color w:val="auto"/>
          <w:sz w:val="32"/>
          <w:szCs w:val="32"/>
          <w:highlight w:val="none"/>
          <w:lang w:eastAsia="zh-CN"/>
        </w:rPr>
      </w:pPr>
      <w:r>
        <w:rPr>
          <w:rFonts w:hint="eastAsia" w:ascii="仿宋_GB2312" w:eastAsia="仿宋_GB2312" w:cs="Times New Roman"/>
          <w:color w:val="auto"/>
          <w:sz w:val="32"/>
          <w:szCs w:val="32"/>
          <w:highlight w:val="none"/>
          <w:lang w:val="en-US" w:eastAsia="zh-CN"/>
        </w:rPr>
        <w:t>2022年北京冬奥会、冬残奥会总结表彰大会，北京市城市管理委员会获得“突出贡献集体”奖。</w:t>
      </w:r>
    </w:p>
    <w:p>
      <w:pPr>
        <w:pStyle w:val="5"/>
        <w:snapToGrid w:val="0"/>
        <w:spacing w:before="0" w:after="0" w:line="560" w:lineRule="exact"/>
        <w:ind w:firstLine="640" w:firstLineChars="200"/>
        <w:rPr>
          <w:rFonts w:ascii="仿宋" w:hAnsi="仿宋" w:eastAsia="仿宋" w:cs="仿宋"/>
          <w:b w:val="0"/>
          <w:bCs w:val="0"/>
          <w:color w:val="auto"/>
          <w:szCs w:val="36"/>
          <w:highlight w:val="none"/>
        </w:rPr>
      </w:pPr>
      <w:bookmarkStart w:id="7" w:name="_Toc27569"/>
      <w:r>
        <w:rPr>
          <w:rFonts w:hint="eastAsia" w:ascii="黑体" w:hAnsi="黑体" w:eastAsia="黑体"/>
          <w:b w:val="0"/>
          <w:bCs w:val="0"/>
          <w:color w:val="auto"/>
          <w:highlight w:val="none"/>
        </w:rPr>
        <w:t>四、预算管理情况分析</w:t>
      </w:r>
      <w:bookmarkEnd w:id="7"/>
    </w:p>
    <w:p>
      <w:pPr>
        <w:pStyle w:val="5"/>
        <w:snapToGrid w:val="0"/>
        <w:spacing w:before="0" w:after="0" w:line="560" w:lineRule="exact"/>
        <w:ind w:firstLine="640" w:firstLineChars="200"/>
        <w:rPr>
          <w:rFonts w:hint="eastAsia" w:ascii="楷体_GB2312" w:hAnsi="楷体_GB2312" w:eastAsia="楷体_GB2312" w:cs="楷体_GB2312"/>
          <w:b w:val="0"/>
          <w:bCs w:val="0"/>
          <w:color w:val="auto"/>
          <w:highlight w:val="none"/>
        </w:rPr>
      </w:pPr>
      <w:bookmarkStart w:id="8" w:name="_Toc17736"/>
      <w:r>
        <w:rPr>
          <w:rFonts w:hint="eastAsia" w:ascii="楷体_GB2312" w:hAnsi="楷体_GB2312" w:eastAsia="楷体_GB2312" w:cs="楷体_GB2312"/>
          <w:b w:val="0"/>
          <w:bCs w:val="0"/>
          <w:color w:val="auto"/>
          <w:highlight w:val="none"/>
        </w:rPr>
        <w:t>（一）财务管理</w:t>
      </w:r>
      <w:bookmarkEnd w:id="8"/>
    </w:p>
    <w:p>
      <w:pPr>
        <w:snapToGrid w:val="0"/>
        <w:spacing w:line="560" w:lineRule="exact"/>
        <w:ind w:firstLine="640" w:firstLineChars="200"/>
        <w:jc w:val="both"/>
        <w:rPr>
          <w:rFonts w:hint="eastAsia" w:ascii="仿宋_GB2312" w:eastAsia="仿宋_GB2312" w:cs="Times New Roman"/>
          <w:color w:val="auto"/>
          <w:sz w:val="32"/>
          <w:szCs w:val="32"/>
          <w:highlight w:val="none"/>
          <w:lang w:eastAsia="zh-CN"/>
        </w:rPr>
      </w:pPr>
      <w:r>
        <w:rPr>
          <w:rFonts w:hint="eastAsia" w:ascii="仿宋_GB2312" w:eastAsia="仿宋_GB2312" w:cs="Times New Roman"/>
          <w:color w:val="auto"/>
          <w:sz w:val="32"/>
          <w:szCs w:val="32"/>
          <w:highlight w:val="none"/>
          <w:lang w:eastAsia="zh-CN"/>
        </w:rPr>
        <w:t>1.财务管理制度完善健全。</w:t>
      </w:r>
    </w:p>
    <w:p>
      <w:pPr>
        <w:snapToGrid w:val="0"/>
        <w:spacing w:line="560" w:lineRule="exact"/>
        <w:ind w:firstLine="640" w:firstLineChars="200"/>
        <w:jc w:val="both"/>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为进一步提高全委财务管理能力和水平，我委建立了完善的财务管理制度体系，从预算管理、资金审批、会计核算、资产管理、政府采购等方面对财务工作进行了规范监督，保障日常工作有章可循、稳步推进。</w:t>
      </w:r>
    </w:p>
    <w:p>
      <w:pPr>
        <w:snapToGrid w:val="0"/>
        <w:spacing w:line="560" w:lineRule="exact"/>
        <w:ind w:firstLine="640" w:firstLineChars="200"/>
        <w:jc w:val="both"/>
        <w:rPr>
          <w:rFonts w:hint="eastAsia" w:ascii="仿宋_GB2312" w:eastAsia="仿宋_GB2312" w:cs="Times New Roman"/>
          <w:color w:val="auto"/>
          <w:sz w:val="32"/>
          <w:szCs w:val="32"/>
          <w:highlight w:val="none"/>
          <w:lang w:eastAsia="zh-CN"/>
        </w:rPr>
      </w:pPr>
      <w:r>
        <w:rPr>
          <w:rFonts w:hint="eastAsia" w:ascii="仿宋_GB2312" w:eastAsia="仿宋_GB2312" w:cs="Times New Roman"/>
          <w:color w:val="auto"/>
          <w:sz w:val="32"/>
          <w:szCs w:val="32"/>
          <w:highlight w:val="none"/>
          <w:lang w:eastAsia="zh-CN"/>
        </w:rPr>
        <w:t>2.资金使用安全合规。</w:t>
      </w:r>
    </w:p>
    <w:p>
      <w:pPr>
        <w:snapToGrid w:val="0"/>
        <w:spacing w:line="560" w:lineRule="exact"/>
        <w:ind w:firstLine="640" w:firstLineChars="200"/>
        <w:jc w:val="both"/>
        <w:rPr>
          <w:rFonts w:hint="eastAsia" w:ascii="仿宋_GB2312" w:eastAsia="仿宋_GB2312" w:cs="Times New Roman"/>
          <w:color w:val="auto"/>
          <w:sz w:val="32"/>
          <w:szCs w:val="32"/>
          <w:highlight w:val="none"/>
          <w:lang w:eastAsia="zh-CN"/>
        </w:rPr>
      </w:pPr>
      <w:r>
        <w:rPr>
          <w:rFonts w:hint="eastAsia" w:ascii="仿宋_GB2312" w:eastAsia="仿宋_GB2312" w:cs="Times New Roman"/>
          <w:color w:val="auto"/>
          <w:sz w:val="32"/>
          <w:szCs w:val="32"/>
          <w:highlight w:val="none"/>
          <w:lang w:val="en-US" w:eastAsia="zh-CN"/>
        </w:rPr>
        <w:t>在资金使用过程中，严格执行国家财经法规和财务管理制度规定及我委制定的内控制度，严守内控管理制度和流程，强化按制度程序办事，严格事前审批，确保支付、审批程序完整，重大支出必须经过集体决策；预算不得截留、挤占、挪用；遵守政府采购程序和流程；执行公务卡结算相关制度和规定。</w:t>
      </w:r>
    </w:p>
    <w:p>
      <w:pPr>
        <w:snapToGrid w:val="0"/>
        <w:spacing w:line="560" w:lineRule="exact"/>
        <w:ind w:firstLine="640" w:firstLineChars="200"/>
        <w:jc w:val="both"/>
        <w:rPr>
          <w:rFonts w:hint="eastAsia" w:ascii="仿宋_GB2312" w:eastAsia="仿宋_GB2312" w:cs="Times New Roman"/>
          <w:color w:val="auto"/>
          <w:sz w:val="32"/>
          <w:szCs w:val="32"/>
          <w:highlight w:val="none"/>
          <w:lang w:eastAsia="zh-CN"/>
        </w:rPr>
      </w:pPr>
      <w:r>
        <w:rPr>
          <w:rFonts w:hint="eastAsia" w:ascii="仿宋_GB2312" w:eastAsia="仿宋_GB2312" w:cs="Times New Roman"/>
          <w:color w:val="auto"/>
          <w:sz w:val="32"/>
          <w:szCs w:val="32"/>
          <w:highlight w:val="none"/>
          <w:lang w:eastAsia="zh-CN"/>
        </w:rPr>
        <w:t>3.会计基础信息完整准确。</w:t>
      </w:r>
    </w:p>
    <w:p>
      <w:pPr>
        <w:snapToGrid w:val="0"/>
        <w:spacing w:line="560" w:lineRule="exact"/>
        <w:ind w:firstLine="640" w:firstLineChars="200"/>
        <w:jc w:val="both"/>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严格按照政府会计制度及时进行财务处理、编制财务会计报告，会计基础信息能够真实、准确、完整反映单位各项实际发生的经济业务事项。建账、记账凭证根据经过审核的原始凭证及有关资料编制，更正错误方法符合会计制度的要求；会计账簿的登记，以经过审核的会计凭证为依据，且符合统一的会计制度的要求；财务会计报告根据经过审核的会计账簿记录和有关资料编制；定期进行账目核对，做到账证、账账、账实相符；会计凭证、会计账簿、会计报告和其他会计资料按照国家规定定期整理归档，妥善保管。</w:t>
      </w:r>
      <w:bookmarkStart w:id="9" w:name="_Toc11673"/>
    </w:p>
    <w:p>
      <w:pPr>
        <w:pStyle w:val="5"/>
        <w:snapToGrid w:val="0"/>
        <w:spacing w:before="0" w:after="0" w:line="560" w:lineRule="exact"/>
        <w:ind w:firstLine="640" w:firstLineChars="200"/>
        <w:rPr>
          <w:rFonts w:hint="eastAsia" w:ascii="楷体_GB2312" w:hAnsi="楷体_GB2312" w:eastAsia="楷体_GB2312" w:cs="楷体_GB2312"/>
          <w:b w:val="0"/>
          <w:bCs w:val="0"/>
          <w:color w:val="auto"/>
          <w:highlight w:val="none"/>
        </w:rPr>
      </w:pPr>
      <w:r>
        <w:rPr>
          <w:rFonts w:hint="eastAsia" w:ascii="楷体_GB2312" w:hAnsi="楷体_GB2312" w:eastAsia="楷体_GB2312" w:cs="楷体_GB2312"/>
          <w:b w:val="0"/>
          <w:bCs w:val="0"/>
          <w:color w:val="auto"/>
          <w:highlight w:val="none"/>
        </w:rPr>
        <w:t>（二）资产管理</w:t>
      </w:r>
      <w:bookmarkEnd w:id="9"/>
    </w:p>
    <w:p>
      <w:pPr>
        <w:pStyle w:val="29"/>
        <w:keepNext w:val="0"/>
        <w:keepLines w:val="0"/>
        <w:pageBreakBefore w:val="0"/>
        <w:kinsoku/>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 w:val="0"/>
          <w:bCs w:val="0"/>
          <w:color w:val="auto"/>
          <w:kern w:val="2"/>
          <w:sz w:val="32"/>
          <w:szCs w:val="32"/>
          <w:highlight w:val="none"/>
          <w:lang w:val="en-US" w:eastAsia="zh-CN" w:bidi="ar-SA"/>
        </w:rPr>
      </w:pPr>
      <w:r>
        <w:rPr>
          <w:rFonts w:hint="eastAsia" w:ascii="仿宋_GB2312" w:hAnsi="仿宋" w:eastAsia="仿宋_GB2312" w:cs="Times New Roman"/>
          <w:b w:val="0"/>
          <w:bCs w:val="0"/>
          <w:color w:val="auto"/>
          <w:kern w:val="2"/>
          <w:sz w:val="32"/>
          <w:szCs w:val="32"/>
          <w:highlight w:val="none"/>
          <w:lang w:val="en-US" w:eastAsia="zh-CN" w:bidi="ar-SA"/>
        </w:rPr>
        <w:t>为规范资产管理，我委制定了《北京市城市管理委员会固定资产管理办法》，以资产管理系统为依托，加强对资产的监控，把账务核算和实物管理结合起来，及时反映资产动态和资产存量，确保资产保存完整、使用合规、配置合理及规范处置。落实资产清查、盘点、核对、处理工作，对取得的资产实物及时进行会计核算，录入资产管理系统，做到资产账实相符。认真做好资产调研分析工作，制定合理的新资产购置建议方案，保障资产报废、更新循环顺畅，最大限度的提升资产使用效率。</w:t>
      </w:r>
    </w:p>
    <w:p>
      <w:pPr>
        <w:pStyle w:val="5"/>
        <w:snapToGrid w:val="0"/>
        <w:spacing w:before="0" w:after="0" w:line="560" w:lineRule="exact"/>
        <w:ind w:firstLine="640" w:firstLineChars="200"/>
        <w:rPr>
          <w:rFonts w:hint="eastAsia" w:ascii="楷体_GB2312" w:hAnsi="楷体_GB2312" w:eastAsia="楷体_GB2312" w:cs="楷体_GB2312"/>
          <w:b w:val="0"/>
          <w:bCs w:val="0"/>
          <w:color w:val="auto"/>
          <w:highlight w:val="none"/>
        </w:rPr>
      </w:pPr>
      <w:bookmarkStart w:id="10" w:name="_Toc8599"/>
      <w:r>
        <w:rPr>
          <w:rFonts w:hint="eastAsia" w:ascii="楷体_GB2312" w:hAnsi="楷体_GB2312" w:eastAsia="楷体_GB2312" w:cs="楷体_GB2312"/>
          <w:b w:val="0"/>
          <w:bCs w:val="0"/>
          <w:color w:val="auto"/>
          <w:highlight w:val="none"/>
        </w:rPr>
        <w:t>（三）绩效管理</w:t>
      </w:r>
      <w:bookmarkEnd w:id="10"/>
    </w:p>
    <w:p>
      <w:pPr>
        <w:pStyle w:val="29"/>
        <w:keepNext w:val="0"/>
        <w:keepLines w:val="0"/>
        <w:pageBreakBefore w:val="0"/>
        <w:kinsoku/>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 w:val="0"/>
          <w:bCs w:val="0"/>
          <w:color w:val="auto"/>
          <w:kern w:val="2"/>
          <w:sz w:val="32"/>
          <w:szCs w:val="32"/>
          <w:highlight w:val="none"/>
          <w:lang w:val="en-US" w:eastAsia="zh-CN" w:bidi="ar-SA"/>
        </w:rPr>
      </w:pPr>
      <w:r>
        <w:rPr>
          <w:rFonts w:hint="eastAsia" w:ascii="仿宋_GB2312" w:hAnsi="仿宋" w:eastAsia="仿宋_GB2312" w:cs="Times New Roman"/>
          <w:b w:val="0"/>
          <w:bCs w:val="0"/>
          <w:color w:val="auto"/>
          <w:kern w:val="2"/>
          <w:sz w:val="32"/>
          <w:szCs w:val="32"/>
          <w:highlight w:val="none"/>
          <w:lang w:val="en-US" w:eastAsia="zh-CN" w:bidi="ar-SA"/>
        </w:rPr>
        <w:t>为深入做好2022年部门绩效评价工作，切实增强部门支出</w:t>
      </w:r>
      <w:r>
        <w:rPr>
          <w:rFonts w:hint="eastAsia" w:ascii="仿宋_GB2312" w:hAnsi="仿宋_GB2312" w:eastAsia="仿宋_GB2312" w:cs="仿宋_GB2312"/>
          <w:color w:val="auto"/>
          <w:sz w:val="32"/>
          <w:szCs w:val="32"/>
          <w:highlight w:val="none"/>
          <w:lang w:val="en-US" w:eastAsia="zh-CN"/>
        </w:rPr>
        <w:t>责任和效率意识，提高财政资金使用效益，根据《</w:t>
      </w:r>
      <w:r>
        <w:rPr>
          <w:rFonts w:hint="eastAsia" w:ascii="仿宋_GB2312" w:hAnsi="仿宋_GB2312" w:eastAsia="仿宋_GB2312" w:cs="仿宋_GB2312"/>
          <w:color w:val="auto"/>
          <w:sz w:val="32"/>
          <w:szCs w:val="32"/>
          <w:highlight w:val="none"/>
          <w:lang w:eastAsia="zh-CN"/>
        </w:rPr>
        <w:t>《北京市财政局关于开展政府购买服务项目绩效评价工作的通知》（京财综〔</w:t>
      </w:r>
      <w:r>
        <w:rPr>
          <w:rFonts w:hint="eastAsia" w:ascii="仿宋_GB2312" w:hAnsi="仿宋_GB2312" w:eastAsia="仿宋_GB2312" w:cs="仿宋_GB2312"/>
          <w:color w:val="auto"/>
          <w:sz w:val="32"/>
          <w:szCs w:val="32"/>
          <w:highlight w:val="none"/>
          <w:lang w:val="en-US" w:eastAsia="zh-CN"/>
        </w:rPr>
        <w:t>2023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407号）</w:t>
      </w:r>
      <w:r>
        <w:rPr>
          <w:rFonts w:hint="eastAsia" w:ascii="仿宋_GB2312" w:hAnsi="仿宋" w:eastAsia="仿宋_GB2312" w:cs="Times New Roman"/>
          <w:b w:val="0"/>
          <w:bCs w:val="0"/>
          <w:color w:val="auto"/>
          <w:kern w:val="2"/>
          <w:sz w:val="32"/>
          <w:szCs w:val="32"/>
          <w:highlight w:val="none"/>
          <w:lang w:val="en-US" w:eastAsia="zh-CN" w:bidi="ar-SA"/>
        </w:rPr>
        <w:t>，制定了北京市城市管理委员会绩效评价工作方案，成立由委分管财务委领导任组长的绩效自评工作组。</w:t>
      </w:r>
    </w:p>
    <w:p>
      <w:pPr>
        <w:pStyle w:val="29"/>
        <w:keepNext w:val="0"/>
        <w:keepLines w:val="0"/>
        <w:pageBreakBefore w:val="0"/>
        <w:kinsoku/>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 w:val="0"/>
          <w:bCs w:val="0"/>
          <w:color w:val="auto"/>
          <w:kern w:val="2"/>
          <w:sz w:val="32"/>
          <w:szCs w:val="32"/>
          <w:highlight w:val="none"/>
          <w:lang w:val="en-US" w:eastAsia="zh-CN" w:bidi="ar-SA"/>
        </w:rPr>
      </w:pPr>
      <w:r>
        <w:rPr>
          <w:rFonts w:hint="eastAsia" w:ascii="仿宋_GB2312" w:hAnsi="仿宋" w:eastAsia="仿宋_GB2312" w:cs="Times New Roman"/>
          <w:b w:val="0"/>
          <w:bCs w:val="0"/>
          <w:color w:val="auto"/>
          <w:kern w:val="2"/>
          <w:sz w:val="32"/>
          <w:szCs w:val="32"/>
          <w:highlight w:val="none"/>
          <w:lang w:val="en-US" w:eastAsia="zh-CN" w:bidi="ar-SA"/>
        </w:rPr>
        <w:t>本次绩效评价工作由财务处（审计处）牵头组织，机关处室和委属预算单位对本部门本单位申报项目进行绩效自评，委财务处（审计处）组织北京源隆会计师事务所对机关处室和委属预算单位的自评项目进行了复核，委托北京源隆会计师事务所对12个重点项目开展普通程序绩效评价，及时对绩效评价信息进行汇总分析整理，对评价结果提出整改意见，督促机关处室和预算单位积极落实整改意见，通过绩效自评工作，促进了我委全过程预算绩效管理工作，明确内部管理职责和预算项目支出责任，加强项目精细化管理，确保财政资金发挥最大效益。</w:t>
      </w:r>
    </w:p>
    <w:p>
      <w:pPr>
        <w:pStyle w:val="5"/>
        <w:snapToGrid w:val="0"/>
        <w:spacing w:before="0" w:after="0" w:line="560" w:lineRule="exact"/>
        <w:ind w:firstLine="640" w:firstLineChars="200"/>
        <w:rPr>
          <w:rFonts w:hint="eastAsia" w:ascii="楷体_GB2312" w:hAnsi="楷体_GB2312" w:eastAsia="楷体_GB2312" w:cs="楷体_GB2312"/>
          <w:b w:val="0"/>
          <w:bCs w:val="0"/>
          <w:color w:val="auto"/>
          <w:highlight w:val="none"/>
        </w:rPr>
      </w:pPr>
      <w:bookmarkStart w:id="11" w:name="_Toc23102"/>
      <w:r>
        <w:rPr>
          <w:rFonts w:hint="eastAsia" w:ascii="楷体_GB2312" w:hAnsi="楷体_GB2312" w:eastAsia="楷体_GB2312" w:cs="楷体_GB2312"/>
          <w:b w:val="0"/>
          <w:bCs w:val="0"/>
          <w:color w:val="auto"/>
          <w:highlight w:val="none"/>
        </w:rPr>
        <w:t>（四）结转结余率</w:t>
      </w:r>
      <w:bookmarkEnd w:id="11"/>
    </w:p>
    <w:p>
      <w:pPr>
        <w:snapToGrid w:val="0"/>
        <w:spacing w:line="520" w:lineRule="exact"/>
        <w:ind w:firstLine="640" w:firstLineChars="200"/>
        <w:rPr>
          <w:rFonts w:hint="eastAsia" w:ascii="仿宋_GB2312" w:hAnsi="仿宋" w:eastAsia="仿宋_GB2312" w:cs="Times New Roman"/>
          <w:b w:val="0"/>
          <w:bCs w:val="0"/>
          <w:color w:val="auto"/>
          <w:kern w:val="2"/>
          <w:sz w:val="32"/>
          <w:szCs w:val="32"/>
          <w:highlight w:val="none"/>
          <w:lang w:val="en-US" w:eastAsia="zh-CN" w:bidi="ar-SA"/>
        </w:rPr>
      </w:pPr>
      <w:r>
        <w:rPr>
          <w:rFonts w:hint="eastAsia" w:ascii="仿宋_GB2312" w:hAnsi="仿宋" w:eastAsia="仿宋_GB2312" w:cs="Times New Roman"/>
          <w:b w:val="0"/>
          <w:bCs w:val="0"/>
          <w:color w:val="auto"/>
          <w:kern w:val="2"/>
          <w:sz w:val="32"/>
          <w:szCs w:val="32"/>
          <w:highlight w:val="none"/>
          <w:lang w:val="en-US" w:eastAsia="zh-CN" w:bidi="ar-SA"/>
        </w:rPr>
        <w:t>财政拨款结转和结余率4.82%，较上年结转率有所上升。主要原因是2022年中央财政年中下达新能源充电基础设施补助中央资金48000万元，其中剩余26413.237万元按照预算管理要求，结转下年继续使用，下一步将根据相关办法以及市政府有关要求做好资金拨付工作。</w:t>
      </w:r>
    </w:p>
    <w:p>
      <w:pPr>
        <w:pStyle w:val="5"/>
        <w:snapToGrid w:val="0"/>
        <w:spacing w:before="0" w:after="0" w:line="560" w:lineRule="exact"/>
        <w:ind w:firstLine="640" w:firstLineChars="200"/>
        <w:rPr>
          <w:rFonts w:hint="eastAsia" w:ascii="楷体_GB2312" w:hAnsi="楷体_GB2312" w:eastAsia="楷体_GB2312" w:cs="楷体_GB2312"/>
          <w:b w:val="0"/>
          <w:bCs w:val="0"/>
          <w:color w:val="auto"/>
          <w:highlight w:val="none"/>
        </w:rPr>
      </w:pPr>
      <w:bookmarkStart w:id="12" w:name="_Toc24601"/>
      <w:r>
        <w:rPr>
          <w:rFonts w:hint="eastAsia" w:ascii="楷体_GB2312" w:hAnsi="楷体_GB2312" w:eastAsia="楷体_GB2312" w:cs="楷体_GB2312"/>
          <w:b w:val="0"/>
          <w:bCs w:val="0"/>
          <w:color w:val="auto"/>
          <w:highlight w:val="none"/>
        </w:rPr>
        <w:t>（五）部门预决算差异</w:t>
      </w:r>
      <w:bookmarkEnd w:id="12"/>
    </w:p>
    <w:p>
      <w:pPr>
        <w:snapToGrid w:val="0"/>
        <w:spacing w:line="520" w:lineRule="exact"/>
        <w:ind w:firstLine="640" w:firstLineChars="200"/>
        <w:rPr>
          <w:rFonts w:hint="eastAsia" w:ascii="仿宋_GB2312" w:hAnsi="仿宋" w:eastAsia="仿宋_GB2312" w:cs="Times New Roman"/>
          <w:b w:val="0"/>
          <w:bCs w:val="0"/>
          <w:color w:val="auto"/>
          <w:kern w:val="2"/>
          <w:sz w:val="32"/>
          <w:szCs w:val="32"/>
          <w:highlight w:val="none"/>
          <w:lang w:val="en-US" w:eastAsia="zh-CN" w:bidi="ar-SA"/>
        </w:rPr>
      </w:pPr>
      <w:r>
        <w:rPr>
          <w:rFonts w:hint="eastAsia" w:ascii="仿宋_GB2312" w:hAnsi="仿宋" w:eastAsia="仿宋_GB2312" w:cs="Times New Roman"/>
          <w:b w:val="0"/>
          <w:bCs w:val="0"/>
          <w:color w:val="auto"/>
          <w:kern w:val="2"/>
          <w:sz w:val="32"/>
          <w:szCs w:val="32"/>
          <w:highlight w:val="none"/>
          <w:lang w:val="en-US" w:eastAsia="zh-CN" w:bidi="ar-SA"/>
        </w:rPr>
        <w:t>2022年末决算收入638,913.94万元，年初预算收入533,903.23万元，部门预算决算差异率为19.66%。差异的主要原因：根据市委市政府工作要求以及我委实际，委机关年中追加阿苏卫和安定填埋场库区增容优化工程财政补助（功能分类：2120501）10,677万元、天津南港LNG应急储备设施市级补助（功能分类：2119999）37,000万元、重大活动环境卫生保障补助等部分事项预算；中央财政年中下达新能源充电基础设施充电补助（功能分类：2111001）48,000万元。委属城市运行管理事务中心追加北京市网格化城市管理平台项目（功能分类：2120103）1,805万元。委属照明中心追加路灯电费项目（功能分类：2120399）4,200万元。</w:t>
      </w:r>
    </w:p>
    <w:p>
      <w:pPr>
        <w:pStyle w:val="5"/>
        <w:numPr>
          <w:ilvl w:val="0"/>
          <w:numId w:val="1"/>
        </w:numPr>
        <w:snapToGrid w:val="0"/>
        <w:spacing w:before="0" w:after="0" w:line="560" w:lineRule="exact"/>
        <w:ind w:firstLine="640" w:firstLineChars="200"/>
        <w:rPr>
          <w:rFonts w:hint="eastAsia" w:ascii="黑体" w:hAnsi="黑体" w:eastAsia="黑体"/>
          <w:b w:val="0"/>
          <w:bCs w:val="0"/>
          <w:color w:val="auto"/>
          <w:highlight w:val="none"/>
        </w:rPr>
      </w:pPr>
      <w:bookmarkStart w:id="13" w:name="_Toc13829"/>
      <w:r>
        <w:rPr>
          <w:rFonts w:hint="eastAsia" w:ascii="黑体" w:hAnsi="黑体" w:eastAsia="黑体"/>
          <w:b w:val="0"/>
          <w:bCs w:val="0"/>
          <w:color w:val="auto"/>
          <w:highlight w:val="none"/>
        </w:rPr>
        <w:t>总体评价结论</w:t>
      </w:r>
      <w:bookmarkEnd w:id="13"/>
    </w:p>
    <w:p>
      <w:pPr>
        <w:snapToGrid w:val="0"/>
        <w:spacing w:line="560" w:lineRule="exact"/>
        <w:ind w:firstLine="640" w:firstLineChars="200"/>
        <w:outlineLvl w:val="2"/>
        <w:rPr>
          <w:rFonts w:hint="eastAsia" w:ascii="楷体_GB2312" w:hAnsi="楷体_GB2312" w:eastAsia="楷体_GB2312" w:cs="楷体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（一）评价得分情况</w:t>
      </w:r>
    </w:p>
    <w:p>
      <w:pPr>
        <w:pStyle w:val="29"/>
        <w:keepNext w:val="0"/>
        <w:keepLines w:val="0"/>
        <w:pageBreakBefore w:val="0"/>
        <w:kinsoku/>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 w:val="0"/>
          <w:bCs w:val="0"/>
          <w:color w:val="auto"/>
          <w:kern w:val="2"/>
          <w:sz w:val="32"/>
          <w:szCs w:val="32"/>
          <w:highlight w:val="none"/>
          <w:lang w:val="en-US" w:eastAsia="zh-CN" w:bidi="ar-SA"/>
        </w:rPr>
      </w:pPr>
      <w:r>
        <w:rPr>
          <w:rFonts w:hint="eastAsia" w:ascii="仿宋_GB2312" w:hAnsi="仿宋" w:eastAsia="仿宋_GB2312" w:cs="Times New Roman"/>
          <w:b w:val="0"/>
          <w:bCs w:val="0"/>
          <w:color w:val="auto"/>
          <w:kern w:val="2"/>
          <w:sz w:val="32"/>
          <w:szCs w:val="32"/>
          <w:highlight w:val="none"/>
          <w:lang w:val="en-US" w:eastAsia="zh-CN" w:bidi="ar-SA"/>
        </w:rPr>
        <w:t>本次部门整体绩效评价通过资料分析、专家评议、人大代表监督等多种方式，</w:t>
      </w:r>
      <w:r>
        <w:rPr>
          <w:rFonts w:hint="eastAsia" w:ascii="宋体" w:hAnsi="宋体" w:eastAsia="仿宋_GB2312" w:cs="仿宋"/>
          <w:b w:val="0"/>
          <w:bCs w:val="0"/>
          <w:color w:val="auto"/>
          <w:kern w:val="2"/>
          <w:sz w:val="32"/>
          <w:szCs w:val="32"/>
          <w:highlight w:val="none"/>
          <w:lang w:val="en-US" w:eastAsia="zh-CN" w:bidi="ar-SA"/>
        </w:rPr>
        <w:t>对我委的预算执行</w:t>
      </w:r>
      <w:r>
        <w:rPr>
          <w:rFonts w:hint="eastAsia" w:ascii="仿宋_GB2312" w:hAnsi="仿宋" w:eastAsia="仿宋_GB2312" w:cs="Times New Roman"/>
          <w:b w:val="0"/>
          <w:bCs w:val="0"/>
          <w:color w:val="auto"/>
          <w:kern w:val="2"/>
          <w:sz w:val="32"/>
          <w:szCs w:val="32"/>
          <w:highlight w:val="none"/>
          <w:lang w:val="en-US" w:eastAsia="zh-CN" w:bidi="ar-SA"/>
        </w:rPr>
        <w:t>开展了全面、系统、客观的分析评价，2022年我委整体评价得</w:t>
      </w:r>
      <w:r>
        <w:rPr>
          <w:rFonts w:hint="eastAsia" w:ascii="仿宋_GB2312" w:hAnsi="仿宋" w:eastAsia="仿宋_GB2312" w:cs="Times New Roman"/>
          <w:b w:val="0"/>
          <w:bCs w:val="0"/>
          <w:color w:val="auto"/>
          <w:kern w:val="2"/>
          <w:sz w:val="32"/>
          <w:szCs w:val="32"/>
          <w:highlight w:val="none"/>
          <w:lang w:val="en-US" w:eastAsia="zh-CN" w:bidi="ar-SA"/>
        </w:rPr>
        <w:t>分</w:t>
      </w:r>
      <w:r>
        <w:rPr>
          <w:rFonts w:hint="eastAsia" w:ascii="仿宋_GB2312" w:hAnsi="仿宋" w:eastAsia="仿宋_GB2312" w:cs="Times New Roman"/>
          <w:b w:val="0"/>
          <w:bCs w:val="0"/>
          <w:color w:val="FF0000"/>
          <w:kern w:val="2"/>
          <w:sz w:val="32"/>
          <w:szCs w:val="32"/>
          <w:highlight w:val="none"/>
          <w:lang w:val="en-US" w:eastAsia="zh-CN" w:bidi="ar-SA"/>
        </w:rPr>
        <w:t>96.5分</w:t>
      </w:r>
      <w:r>
        <w:rPr>
          <w:rFonts w:hint="eastAsia" w:ascii="仿宋_GB2312" w:hAnsi="仿宋" w:eastAsia="仿宋_GB2312" w:cs="Times New Roman"/>
          <w:b w:val="0"/>
          <w:bCs w:val="0"/>
          <w:color w:val="auto"/>
          <w:kern w:val="2"/>
          <w:sz w:val="32"/>
          <w:szCs w:val="32"/>
          <w:highlight w:val="none"/>
          <w:lang w:val="en-US" w:eastAsia="zh-CN" w:bidi="ar-SA"/>
        </w:rPr>
        <w:t>。其</w:t>
      </w:r>
      <w:r>
        <w:rPr>
          <w:rFonts w:hint="eastAsia" w:ascii="仿宋_GB2312" w:hAnsi="仿宋" w:eastAsia="仿宋_GB2312" w:cs="Times New Roman"/>
          <w:b w:val="0"/>
          <w:bCs w:val="0"/>
          <w:color w:val="auto"/>
          <w:kern w:val="2"/>
          <w:sz w:val="32"/>
          <w:szCs w:val="32"/>
          <w:highlight w:val="none"/>
          <w:lang w:val="en-US" w:eastAsia="zh-CN" w:bidi="ar-SA"/>
        </w:rPr>
        <w:t>中：当年预算执行情况9.7分，产出指标49.8分，效益指标28分，满意度指标9分。</w:t>
      </w:r>
    </w:p>
    <w:p>
      <w:pPr>
        <w:keepNext w:val="0"/>
        <w:keepLines w:val="0"/>
        <w:pageBreakBefore w:val="0"/>
        <w:kinsoku/>
        <w:overflowPunct/>
        <w:topLinePunct w:val="0"/>
        <w:autoSpaceDE/>
        <w:autoSpaceDN/>
        <w:bidi w:val="0"/>
        <w:adjustRightInd/>
        <w:snapToGrid w:val="0"/>
        <w:spacing w:line="560" w:lineRule="exact"/>
        <w:ind w:left="0" w:leftChars="0" w:right="0" w:rightChars="0" w:firstLine="640" w:firstLineChars="200"/>
        <w:jc w:val="both"/>
        <w:textAlignment w:val="auto"/>
        <w:outlineLvl w:val="2"/>
        <w:rPr>
          <w:rFonts w:hint="eastAsia" w:ascii="楷体_GB2312" w:hAnsi="楷体_GB2312" w:eastAsia="楷体_GB2312" w:cs="楷体_GB2312"/>
          <w:color w:val="auto"/>
          <w:sz w:val="32"/>
          <w:szCs w:val="32"/>
          <w:highlight w:val="none"/>
          <w:lang w:val="en-US" w:eastAsia="zh-CN"/>
        </w:rPr>
      </w:pPr>
      <w:r>
        <w:rPr>
          <w:rFonts w:hint="eastAsia" w:ascii="楷体_GB2312" w:hAnsi="楷体_GB2312" w:eastAsia="楷体_GB2312" w:cs="楷体_GB2312"/>
          <w:color w:val="auto"/>
          <w:sz w:val="32"/>
          <w:szCs w:val="32"/>
          <w:highlight w:val="none"/>
          <w:lang w:val="en-US" w:eastAsia="zh-CN"/>
        </w:rPr>
        <w:t>（二）存在的问题及原因分析</w:t>
      </w:r>
    </w:p>
    <w:p>
      <w:pPr>
        <w:pStyle w:val="29"/>
        <w:keepNext w:val="0"/>
        <w:keepLines w:val="0"/>
        <w:pageBreakBefore w:val="0"/>
        <w:kinsoku/>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 w:val="0"/>
          <w:bCs w:val="0"/>
          <w:color w:val="auto"/>
          <w:kern w:val="2"/>
          <w:sz w:val="32"/>
          <w:szCs w:val="32"/>
          <w:highlight w:val="none"/>
          <w:lang w:val="en-US" w:eastAsia="zh-CN" w:bidi="ar-SA"/>
        </w:rPr>
      </w:pPr>
      <w:r>
        <w:rPr>
          <w:rFonts w:hint="eastAsia" w:ascii="仿宋_GB2312" w:hAnsi="仿宋" w:eastAsia="仿宋_GB2312" w:cs="Times New Roman"/>
          <w:b w:val="0"/>
          <w:bCs w:val="0"/>
          <w:color w:val="auto"/>
          <w:kern w:val="2"/>
          <w:sz w:val="32"/>
          <w:szCs w:val="32"/>
          <w:highlight w:val="none"/>
          <w:lang w:val="en-US" w:eastAsia="zh-CN" w:bidi="ar-SA"/>
        </w:rPr>
        <w:t>在看到成绩的同时，我们也清醒地认识到，与城市精细化管理新要求、市民群众新需求相比仍有一定差距和不足。</w:t>
      </w:r>
      <w:bookmarkStart w:id="14" w:name="_Toc22776"/>
      <w:r>
        <w:rPr>
          <w:rFonts w:hint="eastAsia" w:ascii="仿宋_GB2312" w:hAnsi="仿宋" w:eastAsia="仿宋_GB2312" w:cs="Times New Roman"/>
          <w:b w:val="0"/>
          <w:bCs w:val="0"/>
          <w:color w:val="auto"/>
          <w:kern w:val="2"/>
          <w:sz w:val="32"/>
          <w:szCs w:val="32"/>
          <w:highlight w:val="none"/>
          <w:lang w:val="en-US" w:eastAsia="zh-CN" w:bidi="ar-SA"/>
        </w:rPr>
        <w:t>首都城市运行管理面临许多困难和挑战。主要表现在：能源保供形势仍比较紧张，基础设施承载力相对不足，生活垃圾处理能力尚未实现原生垃圾“零填埋”；燃气爆燃、地下管线遭外力破坏等事故多发频发，城市运行安全仍面临挑战；城乡环境统筹、公共空间环境治理力度还需加大，精细化管理水平不高，城市运行“一网统管”体系尚未完全建成。这些问题，我们将认真研究，并逐步解决。</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before="0" w:after="0" w:line="560" w:lineRule="exact"/>
        <w:ind w:firstLine="640" w:firstLineChars="200"/>
        <w:textAlignment w:val="auto"/>
        <w:outlineLvl w:val="1"/>
        <w:rPr>
          <w:rFonts w:hint="eastAsia" w:ascii="黑体" w:hAnsi="黑体" w:eastAsia="黑体"/>
          <w:b w:val="0"/>
          <w:bCs w:val="0"/>
          <w:color w:val="auto"/>
          <w:highlight w:val="none"/>
        </w:rPr>
      </w:pPr>
      <w:r>
        <w:rPr>
          <w:rFonts w:hint="eastAsia" w:ascii="黑体" w:hAnsi="黑体" w:eastAsia="黑体"/>
          <w:b w:val="0"/>
          <w:bCs w:val="0"/>
          <w:color w:val="auto"/>
          <w:highlight w:val="none"/>
        </w:rPr>
        <w:t>六、措施建议</w:t>
      </w:r>
      <w:bookmarkEnd w:id="14"/>
    </w:p>
    <w:p>
      <w:pPr>
        <w:pStyle w:val="29"/>
        <w:keepNext w:val="0"/>
        <w:keepLines w:val="0"/>
        <w:pageBreakBefore w:val="0"/>
        <w:kinsoku/>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 w:val="0"/>
          <w:bCs w:val="0"/>
          <w:color w:val="auto"/>
          <w:kern w:val="2"/>
          <w:sz w:val="32"/>
          <w:szCs w:val="32"/>
          <w:highlight w:val="none"/>
          <w:lang w:val="en-US" w:eastAsia="zh-CN" w:bidi="ar-SA"/>
        </w:rPr>
      </w:pPr>
      <w:r>
        <w:rPr>
          <w:rFonts w:hint="eastAsia" w:ascii="仿宋_GB2312" w:hAnsi="仿宋" w:eastAsia="仿宋_GB2312" w:cs="Times New Roman"/>
          <w:b w:val="0"/>
          <w:bCs w:val="0"/>
          <w:color w:val="auto"/>
          <w:kern w:val="2"/>
          <w:sz w:val="32"/>
          <w:szCs w:val="32"/>
          <w:highlight w:val="none"/>
          <w:lang w:val="en-US" w:eastAsia="zh-CN" w:bidi="ar-SA"/>
        </w:rPr>
        <w:t>通过此次部门绩效自评，发现了我委在预算绩效管理过程中存在的一些问题。针对存在的问题，我委积极查找原因，举一反三，提出具有针对性的整改措施，防止类似问题再次发生。</w:t>
      </w:r>
    </w:p>
    <w:p>
      <w:pPr>
        <w:pStyle w:val="11"/>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一是</w:t>
      </w:r>
      <w:r>
        <w:rPr>
          <w:rFonts w:hint="eastAsia" w:ascii="仿宋_GB2312" w:hAnsi="仿宋_GB2312" w:eastAsia="仿宋_GB2312" w:cs="仿宋_GB2312"/>
          <w:b w:val="0"/>
          <w:bCs/>
          <w:color w:val="auto"/>
          <w:sz w:val="32"/>
          <w:szCs w:val="32"/>
          <w:highlight w:val="none"/>
          <w:lang w:eastAsia="zh-CN"/>
        </w:rPr>
        <w:t>强化项目前期论证</w:t>
      </w:r>
      <w:r>
        <w:rPr>
          <w:rFonts w:hint="eastAsia" w:ascii="仿宋_GB2312" w:hAnsi="仿宋_GB2312" w:eastAsia="仿宋_GB2312" w:cs="仿宋_GB2312"/>
          <w:b w:val="0"/>
          <w:bCs/>
          <w:color w:val="auto"/>
          <w:sz w:val="32"/>
          <w:szCs w:val="32"/>
          <w:highlight w:val="none"/>
        </w:rPr>
        <w:t>。我委将进一步加强预算编制工作，</w:t>
      </w:r>
      <w:r>
        <w:rPr>
          <w:rFonts w:hint="eastAsia" w:ascii="仿宋_GB2312" w:hAnsi="仿宋_GB2312" w:eastAsia="仿宋_GB2312" w:cs="仿宋_GB2312"/>
          <w:b w:val="0"/>
          <w:bCs/>
          <w:color w:val="auto"/>
          <w:sz w:val="32"/>
          <w:szCs w:val="32"/>
          <w:highlight w:val="none"/>
          <w:lang w:eastAsia="zh-CN"/>
        </w:rPr>
        <w:t>把审核项目绩效目标和实施方案做为预算编制重要的一环</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eastAsia="zh-CN"/>
        </w:rPr>
        <w:t>防止随意制定项目绩效目标和实施方案现象的发生，</w:t>
      </w:r>
      <w:r>
        <w:rPr>
          <w:rFonts w:hint="eastAsia" w:ascii="仿宋_GB2312" w:hAnsi="仿宋_GB2312" w:eastAsia="仿宋_GB2312" w:cs="仿宋_GB2312"/>
          <w:b w:val="0"/>
          <w:bCs/>
          <w:color w:val="auto"/>
          <w:sz w:val="32"/>
          <w:szCs w:val="32"/>
          <w:highlight w:val="none"/>
        </w:rPr>
        <w:t>督促项目实施单位</w:t>
      </w:r>
      <w:r>
        <w:rPr>
          <w:rFonts w:hint="eastAsia" w:ascii="仿宋_GB2312" w:hAnsi="仿宋_GB2312" w:eastAsia="仿宋_GB2312" w:cs="仿宋_GB2312"/>
          <w:b w:val="0"/>
          <w:bCs/>
          <w:color w:val="auto"/>
          <w:sz w:val="32"/>
          <w:szCs w:val="32"/>
          <w:highlight w:val="none"/>
          <w:lang w:eastAsia="zh-CN"/>
        </w:rPr>
        <w:t>分类</w:t>
      </w:r>
      <w:r>
        <w:rPr>
          <w:rFonts w:hint="eastAsia" w:ascii="仿宋_GB2312" w:hAnsi="仿宋_GB2312" w:eastAsia="仿宋_GB2312" w:cs="仿宋_GB2312"/>
          <w:b w:val="0"/>
          <w:bCs/>
          <w:color w:val="auto"/>
          <w:sz w:val="32"/>
          <w:szCs w:val="32"/>
          <w:highlight w:val="none"/>
        </w:rPr>
        <w:t>做好项目前期工作，细化项目</w:t>
      </w:r>
      <w:r>
        <w:rPr>
          <w:rFonts w:hint="eastAsia" w:ascii="仿宋_GB2312" w:hAnsi="仿宋_GB2312" w:eastAsia="仿宋_GB2312" w:cs="仿宋_GB2312"/>
          <w:b w:val="0"/>
          <w:bCs/>
          <w:color w:val="auto"/>
          <w:sz w:val="32"/>
          <w:szCs w:val="32"/>
          <w:highlight w:val="none"/>
          <w:lang w:eastAsia="zh-CN"/>
        </w:rPr>
        <w:t>实施工作</w:t>
      </w:r>
      <w:r>
        <w:rPr>
          <w:rFonts w:hint="eastAsia" w:ascii="仿宋_GB2312" w:hAnsi="仿宋_GB2312" w:eastAsia="仿宋_GB2312" w:cs="仿宋_GB2312"/>
          <w:b w:val="0"/>
          <w:bCs/>
          <w:color w:val="auto"/>
          <w:sz w:val="32"/>
          <w:szCs w:val="32"/>
          <w:highlight w:val="none"/>
        </w:rPr>
        <w:t>方案、项目资金预算、可行性报告及专家论证意见，</w:t>
      </w:r>
      <w:r>
        <w:rPr>
          <w:rFonts w:hint="eastAsia" w:ascii="仿宋_GB2312" w:hAnsi="仿宋_GB2312" w:eastAsia="仿宋_GB2312" w:cs="仿宋_GB2312"/>
          <w:b w:val="0"/>
          <w:bCs/>
          <w:color w:val="auto"/>
          <w:sz w:val="32"/>
          <w:szCs w:val="32"/>
          <w:highlight w:val="none"/>
          <w:lang w:eastAsia="zh-CN"/>
        </w:rPr>
        <w:t>确保项目绩效目标能够顺利实施</w:t>
      </w:r>
      <w:r>
        <w:rPr>
          <w:rFonts w:hint="eastAsia" w:ascii="仿宋_GB2312" w:hAnsi="仿宋_GB2312" w:eastAsia="仿宋_GB2312" w:cs="仿宋_GB2312"/>
          <w:b w:val="0"/>
          <w:bCs/>
          <w:color w:val="auto"/>
          <w:sz w:val="32"/>
          <w:szCs w:val="32"/>
          <w:highlight w:val="none"/>
        </w:rPr>
        <w:t>。</w:t>
      </w:r>
    </w:p>
    <w:p>
      <w:pPr>
        <w:pStyle w:val="11"/>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rPr>
        <w:t>二是</w:t>
      </w:r>
      <w:r>
        <w:rPr>
          <w:rFonts w:hint="eastAsia" w:ascii="仿宋_GB2312" w:hAnsi="仿宋_GB2312" w:eastAsia="仿宋_GB2312" w:cs="仿宋_GB2312"/>
          <w:b w:val="0"/>
          <w:bCs/>
          <w:color w:val="auto"/>
          <w:sz w:val="32"/>
          <w:szCs w:val="32"/>
          <w:highlight w:val="none"/>
          <w:lang w:eastAsia="zh-CN"/>
        </w:rPr>
        <w:t>强化项目过程监控</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eastAsia="zh-CN"/>
        </w:rPr>
        <w:t>每月都公布机关处室和预算单位项目资金支付进度，及时</w:t>
      </w:r>
      <w:r>
        <w:rPr>
          <w:rFonts w:hint="eastAsia" w:ascii="仿宋_GB2312" w:hAnsi="仿宋_GB2312" w:eastAsia="仿宋_GB2312" w:cs="仿宋_GB2312"/>
          <w:b w:val="0"/>
          <w:bCs/>
          <w:color w:val="auto"/>
          <w:sz w:val="32"/>
          <w:szCs w:val="32"/>
          <w:highlight w:val="none"/>
          <w:lang w:val="en-US" w:eastAsia="zh-CN"/>
        </w:rPr>
        <w:t>发现项目不执行的问题，对有特殊情况不能执行的项目，我们进行及时调整，确保预算资金发挥应有的作用。</w:t>
      </w:r>
    </w:p>
    <w:p>
      <w:pPr>
        <w:pStyle w:val="11"/>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640" w:firstLineChars="200"/>
        <w:textAlignment w:val="auto"/>
        <w:outlineLvl w:val="9"/>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kern w:val="2"/>
          <w:sz w:val="32"/>
          <w:szCs w:val="32"/>
          <w:highlight w:val="none"/>
          <w:lang w:val="en-US" w:eastAsia="zh-CN" w:bidi="ar-SA"/>
        </w:rPr>
        <w:t>三是强化绩效结果使用。</w:t>
      </w:r>
      <w:r>
        <w:rPr>
          <w:rFonts w:hint="eastAsia" w:ascii="宋体" w:hAnsi="宋体" w:eastAsia="仿宋_GB2312" w:cs="仿宋_GB2312"/>
          <w:b w:val="0"/>
          <w:bCs/>
          <w:color w:val="auto"/>
          <w:kern w:val="2"/>
          <w:sz w:val="32"/>
          <w:szCs w:val="32"/>
          <w:highlight w:val="none"/>
          <w:lang w:val="en-US" w:eastAsia="zh-CN" w:bidi="ar-SA"/>
        </w:rPr>
        <w:t>将</w:t>
      </w:r>
      <w:r>
        <w:rPr>
          <w:rFonts w:hint="eastAsia" w:ascii="仿宋_GB2312" w:hAnsi="仿宋_GB2312" w:eastAsia="仿宋_GB2312" w:cs="仿宋_GB2312"/>
          <w:b w:val="0"/>
          <w:bCs/>
          <w:color w:val="auto"/>
          <w:kern w:val="2"/>
          <w:sz w:val="32"/>
          <w:szCs w:val="32"/>
          <w:highlight w:val="none"/>
          <w:lang w:val="en-US" w:eastAsia="zh-CN" w:bidi="ar-SA"/>
        </w:rPr>
        <w:t>项目绩效评价结果根据财政相关要求及时向社会公开、委内网公布，强化社会监督和委内处室相互监督。</w:t>
      </w:r>
      <w:r>
        <w:rPr>
          <w:rFonts w:hint="eastAsia" w:ascii="仿宋_GB2312" w:hAnsi="仿宋_GB2312" w:eastAsia="仿宋_GB2312" w:cs="仿宋_GB2312"/>
          <w:b w:val="0"/>
          <w:bCs/>
          <w:color w:val="auto"/>
          <w:sz w:val="32"/>
          <w:szCs w:val="32"/>
          <w:highlight w:val="none"/>
          <w:lang w:eastAsia="zh-CN"/>
        </w:rPr>
        <w:t>进一步</w:t>
      </w:r>
      <w:r>
        <w:rPr>
          <w:rFonts w:hint="eastAsia" w:ascii="仿宋_GB2312" w:hAnsi="仿宋_GB2312" w:eastAsia="仿宋_GB2312" w:cs="仿宋_GB2312"/>
          <w:b w:val="0"/>
          <w:bCs/>
          <w:color w:val="auto"/>
          <w:sz w:val="32"/>
          <w:szCs w:val="32"/>
          <w:highlight w:val="none"/>
        </w:rPr>
        <w:t>规范预算</w:t>
      </w:r>
      <w:r>
        <w:rPr>
          <w:rFonts w:hint="eastAsia" w:ascii="仿宋_GB2312" w:hAnsi="仿宋_GB2312" w:eastAsia="仿宋_GB2312" w:cs="仿宋_GB2312"/>
          <w:b w:val="0"/>
          <w:bCs/>
          <w:color w:val="auto"/>
          <w:sz w:val="32"/>
          <w:szCs w:val="32"/>
          <w:highlight w:val="none"/>
          <w:lang w:eastAsia="zh-CN"/>
        </w:rPr>
        <w:t>项目的编制和</w:t>
      </w:r>
      <w:r>
        <w:rPr>
          <w:rFonts w:hint="eastAsia" w:ascii="仿宋_GB2312" w:hAnsi="仿宋_GB2312" w:eastAsia="仿宋_GB2312" w:cs="仿宋_GB2312"/>
          <w:b w:val="0"/>
          <w:bCs/>
          <w:color w:val="auto"/>
          <w:sz w:val="32"/>
          <w:szCs w:val="32"/>
          <w:highlight w:val="none"/>
        </w:rPr>
        <w:t>执行，提高预算</w:t>
      </w:r>
      <w:r>
        <w:rPr>
          <w:rFonts w:hint="eastAsia" w:ascii="仿宋_GB2312" w:hAnsi="仿宋_GB2312" w:eastAsia="仿宋_GB2312" w:cs="仿宋_GB2312"/>
          <w:b w:val="0"/>
          <w:bCs/>
          <w:color w:val="auto"/>
          <w:sz w:val="32"/>
          <w:szCs w:val="32"/>
          <w:highlight w:val="none"/>
          <w:lang w:eastAsia="zh-CN"/>
        </w:rPr>
        <w:t>项目</w:t>
      </w:r>
      <w:r>
        <w:rPr>
          <w:rFonts w:hint="eastAsia" w:ascii="仿宋_GB2312" w:hAnsi="仿宋_GB2312" w:eastAsia="仿宋_GB2312" w:cs="仿宋_GB2312"/>
          <w:b w:val="0"/>
          <w:bCs/>
          <w:color w:val="auto"/>
          <w:sz w:val="32"/>
          <w:szCs w:val="32"/>
          <w:highlight w:val="none"/>
        </w:rPr>
        <w:t>管理水平</w:t>
      </w:r>
      <w:r>
        <w:rPr>
          <w:rFonts w:hint="eastAsia" w:ascii="仿宋_GB2312" w:hAnsi="仿宋_GB2312" w:eastAsia="仿宋_GB2312" w:cs="仿宋_GB2312"/>
          <w:b w:val="0"/>
          <w:bCs/>
          <w:color w:val="auto"/>
          <w:sz w:val="32"/>
          <w:szCs w:val="32"/>
          <w:highlight w:val="none"/>
          <w:lang w:eastAsia="zh-CN"/>
        </w:rPr>
        <w:t>，强化项目</w:t>
      </w:r>
      <w:r>
        <w:rPr>
          <w:rFonts w:hint="eastAsia" w:ascii="仿宋_GB2312" w:hAnsi="仿宋_GB2312" w:eastAsia="仿宋_GB2312" w:cs="仿宋_GB2312"/>
          <w:b w:val="0"/>
          <w:bCs/>
          <w:color w:val="auto"/>
          <w:sz w:val="32"/>
          <w:szCs w:val="32"/>
          <w:highlight w:val="none"/>
        </w:rPr>
        <w:t>绩效意识，提</w:t>
      </w:r>
      <w:r>
        <w:rPr>
          <w:rFonts w:hint="eastAsia" w:ascii="仿宋_GB2312" w:hAnsi="仿宋_GB2312" w:eastAsia="仿宋_GB2312" w:cs="仿宋_GB2312"/>
          <w:b w:val="0"/>
          <w:bCs/>
          <w:color w:val="auto"/>
          <w:sz w:val="32"/>
          <w:szCs w:val="32"/>
          <w:highlight w:val="none"/>
          <w:lang w:eastAsia="zh-CN"/>
        </w:rPr>
        <w:t>高</w:t>
      </w:r>
      <w:r>
        <w:rPr>
          <w:rFonts w:hint="eastAsia" w:ascii="仿宋_GB2312" w:hAnsi="仿宋_GB2312" w:eastAsia="仿宋_GB2312" w:cs="仿宋_GB2312"/>
          <w:b w:val="0"/>
          <w:bCs/>
          <w:color w:val="auto"/>
          <w:sz w:val="32"/>
          <w:szCs w:val="32"/>
          <w:highlight w:val="none"/>
        </w:rPr>
        <w:t>预算执行与绩效目标的有效结合，促进</w:t>
      </w:r>
      <w:r>
        <w:rPr>
          <w:rFonts w:hint="eastAsia" w:ascii="仿宋_GB2312" w:hAnsi="仿宋_GB2312" w:eastAsia="仿宋_GB2312" w:cs="仿宋_GB2312"/>
          <w:b w:val="0"/>
          <w:bCs/>
          <w:color w:val="auto"/>
          <w:sz w:val="32"/>
          <w:szCs w:val="32"/>
          <w:highlight w:val="none"/>
          <w:lang w:eastAsia="zh-CN"/>
        </w:rPr>
        <w:t>项目</w:t>
      </w:r>
      <w:r>
        <w:rPr>
          <w:rFonts w:hint="eastAsia" w:ascii="仿宋_GB2312" w:hAnsi="仿宋_GB2312" w:eastAsia="仿宋_GB2312" w:cs="仿宋_GB2312"/>
          <w:b w:val="0"/>
          <w:bCs/>
          <w:color w:val="auto"/>
          <w:sz w:val="32"/>
          <w:szCs w:val="32"/>
          <w:highlight w:val="none"/>
        </w:rPr>
        <w:t>资金</w:t>
      </w:r>
      <w:r>
        <w:rPr>
          <w:rFonts w:hint="eastAsia" w:ascii="仿宋_GB2312" w:hAnsi="仿宋_GB2312" w:eastAsia="仿宋_GB2312" w:cs="仿宋_GB2312"/>
          <w:b w:val="0"/>
          <w:bCs/>
          <w:color w:val="auto"/>
          <w:sz w:val="32"/>
          <w:szCs w:val="32"/>
          <w:highlight w:val="none"/>
          <w:lang w:eastAsia="zh-CN"/>
        </w:rPr>
        <w:t>使用</w:t>
      </w:r>
      <w:r>
        <w:rPr>
          <w:rFonts w:hint="eastAsia" w:ascii="仿宋_GB2312" w:hAnsi="仿宋_GB2312" w:eastAsia="仿宋_GB2312" w:cs="仿宋_GB2312"/>
          <w:b w:val="0"/>
          <w:bCs/>
          <w:color w:val="auto"/>
          <w:sz w:val="32"/>
          <w:szCs w:val="32"/>
          <w:highlight w:val="none"/>
        </w:rPr>
        <w:t>更加合理、规范和透明，确保财政资金最大限度发挥作用。</w:t>
      </w:r>
    </w:p>
    <w:p>
      <w:pPr>
        <w:pStyle w:val="29"/>
        <w:keepNext w:val="0"/>
        <w:keepLines w:val="0"/>
        <w:pageBreakBefore w:val="0"/>
        <w:kinsoku/>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Times New Roman"/>
          <w:b w:val="0"/>
          <w:bCs/>
          <w:color w:val="auto"/>
          <w:kern w:val="2"/>
          <w:sz w:val="32"/>
          <w:szCs w:val="32"/>
          <w:highlight w:val="none"/>
          <w:lang w:val="en-US" w:eastAsia="zh-CN" w:bidi="ar-SA"/>
        </w:rPr>
      </w:pPr>
    </w:p>
    <w:p>
      <w:pPr>
        <w:rPr>
          <w:rFonts w:hint="eastAsia" w:ascii="仿宋_GB2312" w:hAnsi="仿宋" w:eastAsia="仿宋_GB2312" w:cs="Times New Roman"/>
          <w:b w:val="0"/>
          <w:bCs/>
          <w:color w:val="auto"/>
          <w:kern w:val="2"/>
          <w:sz w:val="32"/>
          <w:szCs w:val="32"/>
          <w:highlight w:val="none"/>
          <w:lang w:val="en-US" w:eastAsia="zh-CN" w:bidi="ar-SA"/>
        </w:rPr>
      </w:pPr>
    </w:p>
    <w:p>
      <w:pPr>
        <w:pStyle w:val="2"/>
        <w:rPr>
          <w:rFonts w:hint="eastAsia" w:ascii="仿宋_GB2312" w:hAnsi="仿宋" w:eastAsia="仿宋_GB2312" w:cs="Times New Roman"/>
          <w:b w:val="0"/>
          <w:bCs/>
          <w:color w:val="auto"/>
          <w:kern w:val="2"/>
          <w:sz w:val="32"/>
          <w:szCs w:val="32"/>
          <w:highlight w:val="none"/>
          <w:lang w:val="en-US" w:eastAsia="zh-CN" w:bidi="ar-SA"/>
        </w:rPr>
      </w:pPr>
    </w:p>
    <w:p>
      <w:pPr>
        <w:pStyle w:val="2"/>
        <w:rPr>
          <w:rFonts w:hint="eastAsia" w:ascii="仿宋_GB2312" w:hAnsi="仿宋" w:eastAsia="仿宋_GB2312" w:cs="Times New Roman"/>
          <w:b w:val="0"/>
          <w:bCs/>
          <w:color w:val="auto"/>
          <w:kern w:val="2"/>
          <w:sz w:val="32"/>
          <w:szCs w:val="32"/>
          <w:highlight w:val="none"/>
          <w:lang w:val="en-US" w:eastAsia="zh-CN" w:bidi="ar-SA"/>
        </w:rPr>
      </w:pPr>
    </w:p>
    <w:p>
      <w:pPr>
        <w:pStyle w:val="2"/>
        <w:rPr>
          <w:rFonts w:hint="eastAsia" w:ascii="仿宋_GB2312" w:hAnsi="仿宋" w:eastAsia="仿宋_GB2312" w:cs="Times New Roman"/>
          <w:b w:val="0"/>
          <w:bCs/>
          <w:color w:val="auto"/>
          <w:kern w:val="2"/>
          <w:sz w:val="32"/>
          <w:szCs w:val="32"/>
          <w:highlight w:val="none"/>
          <w:lang w:val="en-US" w:eastAsia="zh-CN" w:bidi="ar-SA"/>
        </w:rPr>
      </w:pPr>
    </w:p>
    <w:tbl>
      <w:tblPr>
        <w:tblStyle w:val="27"/>
        <w:tblW w:w="138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60"/>
        <w:gridCol w:w="581"/>
        <w:gridCol w:w="1334"/>
        <w:gridCol w:w="1609"/>
        <w:gridCol w:w="608"/>
        <w:gridCol w:w="3184"/>
        <w:gridCol w:w="322"/>
        <w:gridCol w:w="696"/>
        <w:gridCol w:w="1965"/>
        <w:gridCol w:w="28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877" w:hRule="atLeast"/>
        </w:trPr>
        <w:tc>
          <w:tcPr>
            <w:tcW w:w="13841" w:type="dxa"/>
            <w:gridSpan w:val="10"/>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36"/>
                <w:szCs w:val="36"/>
                <w:u w:val="none"/>
              </w:rPr>
            </w:pPr>
            <w:r>
              <w:rPr>
                <w:rFonts w:hint="eastAsia" w:ascii="方正小标宋简体" w:hAnsi="方正小标宋简体" w:eastAsia="方正小标宋简体" w:cs="方正小标宋简体"/>
                <w:i w:val="0"/>
                <w:color w:val="000000"/>
                <w:kern w:val="0"/>
                <w:sz w:val="36"/>
                <w:szCs w:val="36"/>
                <w:u w:val="none"/>
                <w:lang w:val="en-US" w:eastAsia="zh-CN" w:bidi="ar"/>
              </w:rPr>
              <w:t>北京市城市管理委员会2022年度部门整体绩效评价指标体系评分表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1384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一、当年预算执行情况（20分）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预算数（万元）</w:t>
            </w:r>
          </w:p>
        </w:tc>
        <w:tc>
          <w:tcPr>
            <w:tcW w:w="22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执行数（万元）</w:t>
            </w:r>
          </w:p>
        </w:tc>
        <w:tc>
          <w:tcPr>
            <w:tcW w:w="3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预算执行率</w:t>
            </w:r>
          </w:p>
        </w:tc>
        <w:tc>
          <w:tcPr>
            <w:tcW w:w="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自评得分</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指标解释</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评分标准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93"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当年预算执行情况（20分）</w:t>
            </w: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资金总体</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638,913.94</w:t>
            </w:r>
          </w:p>
        </w:tc>
        <w:tc>
          <w:tcPr>
            <w:tcW w:w="22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607,327.84</w:t>
            </w:r>
          </w:p>
        </w:tc>
        <w:tc>
          <w:tcPr>
            <w:tcW w:w="3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95.06%</w:t>
            </w:r>
          </w:p>
        </w:tc>
        <w:tc>
          <w:tcPr>
            <w:tcW w:w="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19.01 </w:t>
            </w:r>
          </w:p>
        </w:tc>
        <w:tc>
          <w:tcPr>
            <w:tcW w:w="19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部门全年执行数与全年预算数的比率。资金总体=基本支出+项目支出+其他</w:t>
            </w:r>
          </w:p>
        </w:tc>
        <w:tc>
          <w:tcPr>
            <w:tcW w:w="28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①得分一档最高不能超过该指标分值上限（20分）。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含）-300%区间，则按照该指标分值的10%扣分；计算结果在300%（含）-500%区间，则按照该指标分值的20%扣分；计算结果高于500%（含），则按照该指标分值的30%扣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93"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基本支出</w:t>
            </w:r>
          </w:p>
        </w:tc>
        <w:tc>
          <w:tcPr>
            <w:tcW w:w="1334" w:type="dxa"/>
            <w:tcBorders>
              <w:bottom w:val="single" w:color="000000" w:sz="4" w:space="0"/>
            </w:tcBorders>
            <w:shd w:val="clear" w:color="auto" w:fill="auto"/>
            <w:vAlign w:val="center"/>
          </w:tcPr>
          <w:p>
            <w:pPr>
              <w:widowControl/>
              <w:jc w:val="center"/>
              <w:rPr>
                <w:rFonts w:hint="eastAsia" w:ascii="宋体" w:hAnsi="宋体" w:eastAsia="宋体" w:cs="宋体"/>
                <w:i w:val="0"/>
                <w:color w:val="000000"/>
                <w:sz w:val="20"/>
                <w:szCs w:val="20"/>
                <w:u w:val="none"/>
              </w:rPr>
            </w:pPr>
            <w:r>
              <w:rPr>
                <w:rFonts w:hint="eastAsia" w:ascii="宋体" w:hAnsi="宋体" w:cs="宋体"/>
                <w:color w:val="000000"/>
                <w:kern w:val="0"/>
                <w:sz w:val="20"/>
                <w:szCs w:val="20"/>
              </w:rPr>
              <w:t>43564</w:t>
            </w:r>
            <w:r>
              <w:rPr>
                <w:rFonts w:hint="eastAsia" w:ascii="宋体" w:hAnsi="宋体" w:cs="宋体"/>
                <w:color w:val="000000"/>
                <w:kern w:val="0"/>
                <w:sz w:val="20"/>
                <w:szCs w:val="20"/>
                <w:lang w:val="en-US" w:eastAsia="zh-CN"/>
              </w:rPr>
              <w:t>.</w:t>
            </w:r>
            <w:r>
              <w:rPr>
                <w:rFonts w:hint="eastAsia" w:ascii="宋体" w:hAnsi="宋体" w:cs="宋体"/>
                <w:color w:val="000000"/>
                <w:kern w:val="0"/>
                <w:sz w:val="20"/>
                <w:szCs w:val="20"/>
              </w:rPr>
              <w:t>78</w:t>
            </w:r>
          </w:p>
        </w:tc>
        <w:tc>
          <w:tcPr>
            <w:tcW w:w="22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41,578.35</w:t>
            </w:r>
          </w:p>
        </w:tc>
        <w:tc>
          <w:tcPr>
            <w:tcW w:w="31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95.06%</w:t>
            </w:r>
          </w:p>
        </w:tc>
        <w:tc>
          <w:tcPr>
            <w:tcW w:w="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28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93"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项目支出</w:t>
            </w:r>
          </w:p>
        </w:tc>
        <w:tc>
          <w:tcPr>
            <w:tcW w:w="1334" w:type="dxa"/>
            <w:tcBorders>
              <w:bottom w:val="single" w:color="000000" w:sz="4" w:space="0"/>
            </w:tcBorders>
            <w:shd w:val="clear" w:color="auto" w:fill="auto"/>
            <w:vAlign w:val="center"/>
          </w:tcPr>
          <w:p>
            <w:pPr>
              <w:widowControl/>
              <w:jc w:val="center"/>
              <w:rPr>
                <w:rFonts w:hint="eastAsia" w:ascii="宋体" w:hAnsi="宋体" w:eastAsia="宋体" w:cs="宋体"/>
                <w:i w:val="0"/>
                <w:color w:val="000000"/>
                <w:sz w:val="20"/>
                <w:szCs w:val="20"/>
                <w:u w:val="none"/>
              </w:rPr>
            </w:pPr>
            <w:r>
              <w:rPr>
                <w:rFonts w:hint="eastAsia" w:ascii="宋体" w:hAnsi="宋体" w:cs="宋体"/>
                <w:color w:val="000000"/>
                <w:kern w:val="0"/>
                <w:sz w:val="20"/>
                <w:szCs w:val="20"/>
              </w:rPr>
              <w:t>5953</w:t>
            </w:r>
            <w:r>
              <w:rPr>
                <w:rFonts w:hint="eastAsia" w:ascii="宋体" w:hAnsi="宋体" w:cs="宋体"/>
                <w:color w:val="000000"/>
                <w:kern w:val="0"/>
                <w:sz w:val="20"/>
                <w:szCs w:val="20"/>
                <w:lang w:eastAsia="zh-CN"/>
              </w:rPr>
              <w:t>4</w:t>
            </w:r>
            <w:r>
              <w:rPr>
                <w:rFonts w:hint="eastAsia" w:ascii="宋体" w:hAnsi="宋体" w:cs="宋体"/>
                <w:color w:val="000000"/>
                <w:kern w:val="0"/>
                <w:sz w:val="20"/>
                <w:szCs w:val="20"/>
                <w:lang w:val="en-US" w:eastAsia="zh-CN"/>
              </w:rPr>
              <w:t>9.16</w:t>
            </w:r>
          </w:p>
        </w:tc>
        <w:tc>
          <w:tcPr>
            <w:tcW w:w="22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565,749.49</w:t>
            </w:r>
          </w:p>
        </w:tc>
        <w:tc>
          <w:tcPr>
            <w:tcW w:w="31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28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93"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w:t>
            </w:r>
          </w:p>
        </w:tc>
        <w:tc>
          <w:tcPr>
            <w:tcW w:w="1334" w:type="dxa"/>
            <w:tcBorders>
              <w:bottom w:val="single" w:color="000000" w:sz="4" w:space="0"/>
            </w:tcBorders>
            <w:shd w:val="clear" w:color="auto" w:fill="auto"/>
            <w:vAlign w:val="center"/>
          </w:tcPr>
          <w:p>
            <w:pPr>
              <w:widowControl/>
              <w:jc w:val="center"/>
              <w:rPr>
                <w:rFonts w:hint="eastAsia" w:ascii="宋体" w:hAnsi="宋体" w:eastAsia="宋体" w:cs="宋体"/>
                <w:i w:val="0"/>
                <w:color w:val="000000"/>
                <w:sz w:val="20"/>
                <w:szCs w:val="20"/>
                <w:u w:val="none"/>
              </w:rPr>
            </w:pPr>
            <w:r>
              <w:rPr>
                <w:rFonts w:hint="eastAsia" w:ascii="宋体" w:hAnsi="宋体" w:cs="宋体"/>
                <w:color w:val="000000"/>
                <w:kern w:val="0"/>
                <w:sz w:val="20"/>
                <w:szCs w:val="20"/>
                <w:lang w:val="en-US" w:eastAsia="zh-CN"/>
              </w:rPr>
              <w:t>0</w:t>
            </w:r>
          </w:p>
        </w:tc>
        <w:tc>
          <w:tcPr>
            <w:tcW w:w="22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31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28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1384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二、整体绩效目标实际情况（60分）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6"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22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指标值</w:t>
            </w:r>
          </w:p>
        </w:tc>
        <w:tc>
          <w:tcPr>
            <w:tcW w:w="3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完成值</w:t>
            </w:r>
          </w:p>
        </w:tc>
        <w:tc>
          <w:tcPr>
            <w:tcW w:w="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指标解释</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评分标准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521"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整体绩效目标实现情况（60分）</w:t>
            </w:r>
          </w:p>
        </w:tc>
        <w:tc>
          <w:tcPr>
            <w:tcW w:w="58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（30分）</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1.城市环境综合整治方面。</w:t>
            </w:r>
          </w:p>
        </w:tc>
        <w:tc>
          <w:tcPr>
            <w:tcW w:w="1609"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1.加大力度推进城乡环境整治建设，环境建设重点项目有序实施，重点区域环境景观整体提升，圆满完成党的二十大服务保障任务。深化完善环境建设管理千分制考核，落实“月检查、月曝光、月排名”机制。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2.统筹推进持续开展提升类街巷长效管理、维护类街巷标准提升，新三年整治行动圆满收官，人居环境和便利度显著提升。</w:t>
            </w:r>
          </w:p>
        </w:tc>
        <w:tc>
          <w:tcPr>
            <w:tcW w:w="37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1.直接督办解决问题1.5万余个。首都城市环境建设社会公众满意度86.87分，同比上升2.27%。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统筹推进背街小巷精细化整治提升，完成15个片区、354条年度整治任务。实施鼓楼东大街、前门大街等道路多杆合一、电力箱体“三化”治理。开展交通护栏、设备箱、标志牌等公服设施治理，规范桥下空间、施工围挡、违规广告牌匾，全市1133处单立柱户外广告牌拆除清零，朝阳、丰台、顺义、昌平、怀柔和经开区提前完成任务，密云、平谷主要领导亲自抓历史遗留问题解决，城市公共空间环境更加清朗有序。</w:t>
            </w:r>
          </w:p>
        </w:tc>
        <w:tc>
          <w:tcPr>
            <w:tcW w:w="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评价要点：各项部门指标的完成度</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完成计划工作的90%以上，满分；每少完成10%的工作量扣适当分，扣完为止。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1"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81" w:type="dxa"/>
            <w:vMerge w:val="continue"/>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2.环境卫生管理方面。</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落实“疫情要防住、经济要稳住、发展要安全”总要求，坚持“动态清零”总方针，严格落实“四方责任”，及时调整疫情防控措施，制定公厕消毒、再生资源回收等。</w:t>
            </w:r>
          </w:p>
        </w:tc>
        <w:tc>
          <w:tcPr>
            <w:tcW w:w="37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1.制定12项防疫指引，12座垃圾焚烧厂具备应急处置重点管控垃圾能力，2022年共处置各类垃圾7.1万吨。</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2.持续推进垃圾分类“关键小事”，全市4.58万家单位实施厨余垃圾计量收费，生活垃圾回收利用率达38%，在住建部垃圾分类工作评估中首次迈上90分台阶，在全国名列前茅。</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3.加快推进环卫基础设施建设，大兴安定垃圾焚烧处理项目主体完工，顺义三期、平谷二期实现试运行，新增厨余垃圾处理能力600吨以上。</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4.开展京津冀建筑垃圾违法行为联合治理，查处偷运乱倒行为1.67万起，打掉“黑窝点”11个，形成高压态势。</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提升城市道路街巷洁净度，机械化作业率达95%，新能源环卫车占45.5%。推进完成核心区平房院不达标厕所改造，按计划完成870座公厕无障碍设施、除臭节水节能升级改造，农村地区三类以上公厕达99%。</w:t>
            </w:r>
          </w:p>
        </w:tc>
        <w:tc>
          <w:tcPr>
            <w:tcW w:w="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评价要点：各项部门指标的完成度</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完成计划工作的90%以上，满分；每少完成10%的工作量扣适当分，扣完为止。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17"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81" w:type="dxa"/>
            <w:vMerge w:val="continue"/>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3.城市照明管理方面。</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持续推进无灯道路治理新三年行动计划，加快西长安街10号院、城市副中心二期景观照明设施改造，打造智能化城市照明管控体系。</w:t>
            </w:r>
          </w:p>
        </w:tc>
        <w:tc>
          <w:tcPr>
            <w:tcW w:w="37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全年共建无灯道路补建路灯119条（超额完成14条），核心区全部实现非居民用户液化石油气替代，有效防范和化解了安全风险隐患。</w:t>
            </w:r>
          </w:p>
        </w:tc>
        <w:tc>
          <w:tcPr>
            <w:tcW w:w="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评价要点：各项部门指标的完成度</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完成计划工作的90%以上，满分；每少完成10%的工作量扣适当分，扣完为止。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61"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81" w:type="dxa"/>
            <w:vMerge w:val="continue"/>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4.供热燃气管理方面。</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落实国务院能源保供要求，协调首都资源，落实天然气供应195亿立方米，天津南港LNG应急储备项目一期工程完成96.8%，确保能源供给安全。积极推动绿电进京，外受电输送能力增至3400万千瓦，实现冬奥场馆绿电供应100%。推进油、气、氢、充电等能源服务站一体化，年度新建电动汽车充电桩2万个、换电站36座、加氢站6座。</w:t>
            </w:r>
          </w:p>
        </w:tc>
        <w:tc>
          <w:tcPr>
            <w:tcW w:w="37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达到预期目标，全口径摸排供热单位和供热设施，准确掌握备案和未备案锅炉房底数，上一采暖季增加供热时间16天，群众诉求“五连降”，降幅达53.9%。实施“冬病夏治”供热管网改造，开展智能化供热试点、燃油锅炉清洁能源改造，核心区燃油锅炉基本清零。</w:t>
            </w:r>
          </w:p>
        </w:tc>
        <w:tc>
          <w:tcPr>
            <w:tcW w:w="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评价要点：各项部门指标的完成度</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完成计划工作的90%以上，满分；每少完成10%的工作量扣适当分，扣完为止。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8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81" w:type="dxa"/>
            <w:vMerge w:val="continue"/>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5.户外广告管理方面。</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加强广告牌匾和照明设施管控。持续巩固单立柱广告治理成果，保持高压态势整治户外广告设施，加强对公共汽电车、公交候车亭户外广告设置规范管理。</w:t>
            </w:r>
          </w:p>
        </w:tc>
        <w:tc>
          <w:tcPr>
            <w:tcW w:w="37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达到预期目标。</w:t>
            </w:r>
          </w:p>
        </w:tc>
        <w:tc>
          <w:tcPr>
            <w:tcW w:w="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评价要点：各项部门指标的完成度</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完成计划工作的90%以上，满分；每少完成10%的工作量扣适当分，扣完为止。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01"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81" w:type="dxa"/>
            <w:vMerge w:val="continue"/>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6.能源运行管理方面。</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着眼城市运行安全，将电动自行车充电设施、燃气安全配件、无灯道路治理列入政府民生实事。</w:t>
            </w:r>
          </w:p>
        </w:tc>
        <w:tc>
          <w:tcPr>
            <w:tcW w:w="37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全年共建成电动自行车充电设施接口36.7万个（超额完成11.7万个），加装燃气安全配件169.5万户（超额完成69.5万户），</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持续加强地下管线隐患治理，完成939公里老旧管网更新消隐改造；升级“北京市地下管线防护系统”，施工破坏管线事故同比下降57%。统筹推进老旧小区管线改造、电梯管线拆改移，完善石油天然气长输管道高后果区识别管理，建立地下综合管廊有偿使用制度。推进水电气热、通信等市政报装一网通办、一站办结，优化营商环境新举措，深受各方好评。</w:t>
            </w:r>
          </w:p>
        </w:tc>
        <w:tc>
          <w:tcPr>
            <w:tcW w:w="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评价要点：各项部门指标的完成度</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完成计划工作的90%以上，满分；每少完成10%的工作量扣适当分，扣完为止。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97"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81" w:type="dxa"/>
            <w:vMerge w:val="continue"/>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7.城市管理宣传方面。</w:t>
            </w:r>
          </w:p>
        </w:tc>
        <w:tc>
          <w:tcPr>
            <w:tcW w:w="1609" w:type="dxa"/>
            <w:shd w:val="clear" w:color="auto" w:fill="auto"/>
            <w:vAlign w:val="center"/>
          </w:tcPr>
          <w:p>
            <w:pPr>
              <w:keepNext w:val="0"/>
              <w:keepLines w:val="0"/>
              <w:widowControl/>
              <w:suppressLineNumbers w:val="0"/>
              <w:ind w:firstLineChars="20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利用广播电视台、平面媒体、地铁站台等多渠道，宣传城市管理相关政策出台及实施推进，通过开设专栏专题、推出公益宣传等多种形式，对城市管理领域十四五规划、垃圾分类、燃气供暖、户外广告牌匾、电力能源、环境建设等相关方面工作开展广泛宣传动员等工作。</w:t>
            </w:r>
          </w:p>
        </w:tc>
        <w:tc>
          <w:tcPr>
            <w:tcW w:w="37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达到预期目标。</w:t>
            </w:r>
          </w:p>
        </w:tc>
        <w:tc>
          <w:tcPr>
            <w:tcW w:w="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评价要点：各项部门指标的完成度</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完成计划工作的90%以上，满分；每少完成10%的工作量扣适当分，扣完为止。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41"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81" w:type="dxa"/>
            <w:vMerge w:val="continue"/>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8.其他执法保障方面。</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加强综合执法、联动执法，查处占道游商、非法小广告、非法运营、违法建设等一批环境秩序顽疾，拆除违法建设2874万平方米，开展“三类场所”执法检查，形成疫情防控严查严管严控态势。</w:t>
            </w:r>
          </w:p>
        </w:tc>
        <w:tc>
          <w:tcPr>
            <w:tcW w:w="37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加强执法队伍规范化建设，制定加强基层综合行政执法队伍建设意见，深入推进分类分级执法。强化接诉即办、主动治理。编制实施“一网统管”方案，率先建成生活垃圾分类投放收运等应用场景。全市网格系统发现问题924.72万件，问题解决率97.64%。</w:t>
            </w:r>
          </w:p>
        </w:tc>
        <w:tc>
          <w:tcPr>
            <w:tcW w:w="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评价要点：各项部门指标的完成度</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完成计划工作的90%以上，满分；每少完成10%的工作量扣适当分，扣完为止。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2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效益指标（30分）</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全方面落实社会效益。</w:t>
            </w:r>
          </w:p>
        </w:tc>
        <w:tc>
          <w:tcPr>
            <w:tcW w:w="3792" w:type="dxa"/>
            <w:gridSpan w:val="2"/>
            <w:shd w:val="clear" w:color="auto" w:fill="auto"/>
            <w:vAlign w:val="center"/>
          </w:tcPr>
          <w:p>
            <w:pPr>
              <w:keepNext w:val="0"/>
              <w:keepLines w:val="0"/>
              <w:widowControl/>
              <w:suppressLineNumbers w:val="0"/>
              <w:ind w:firstLineChars="20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是落实中央巡视、环保督察、折子工程、民生实事坚决彻底；二是“建党百年、冬奥会冬残奥会”服务保障工作顺利圆满，以首善标准、国际水准，全力以赴做好“建党百年、冬奥会冬残奥会”两件大事服务保障工作；三是生活垃圾分类持续推进成效显著，认真贯彻落实市委市政府关于生活垃圾分类部署要求，充分发挥指挥部统筹调度，全面落实生活垃圾管理条例；四是煤电气热保供运行稳定安全可靠，市领导高度重视、亲自谋划、高位协调，推动首都能源保供，顺利应对11月6日、21日两次寒潮天气；五是市容环境景观更加整洁规范有序，按照首都城乡环境建设部署要求，发挥首环办高位统筹作用，以绣花功夫推进城市环境面貌实现新改善；六是行业安全建设和隐患治理扎实深入，坚持管行业必须管安全、管业务必须管安全，深入推进城市生命线隐患治理，提升城市韧性水平；七是现代城市管理新模式初具雏形，落实“十四五”智慧城市建设发展规划，抓住城市运行“一网统管”牛鼻子工程，赋能城市管理精细化水平提升；八是城市管理宣传走进市民生活效果明显，利用广播电视台、平面媒体、地铁站台等多渠道，宣传城市管理相关政策出台及实施推进，通过开设专栏专题、推出公益宣传等多种形式，对城市管理领域十四五规划、垃圾分类、燃气供暖、户外广告牌匾、电力能源、环境建设等相关方面工作开展广泛宣传动员等工作。</w:t>
            </w:r>
          </w:p>
        </w:tc>
        <w:tc>
          <w:tcPr>
            <w:tcW w:w="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19.99</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53"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服务对象满意度</w:t>
            </w:r>
          </w:p>
        </w:tc>
        <w:tc>
          <w:tcPr>
            <w:tcW w:w="1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年度绩效考评结果</w:t>
            </w:r>
          </w:p>
        </w:tc>
        <w:tc>
          <w:tcPr>
            <w:tcW w:w="37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北京市人民政府办公厅对我委2022年的绩效考评结果为96.36分（全市平均值96.46分），其中，日常履职考核59.22分（全市平均值59.30分），综合评价37.34分（全市平均值37.21分），考评等次为“优秀”。</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2022年北京冬奥会、冬残奥会总结表彰大会，北京市城市管理委员会获得“突出贡献集体”奖。</w:t>
            </w:r>
          </w:p>
        </w:tc>
        <w:tc>
          <w:tcPr>
            <w:tcW w:w="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部门（单位）的服务对象对部门履职效果的满意程度。</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绩效考评结果为“优秀”，满分；每降低一个档次，扣1分。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3" w:hRule="atLeast"/>
        </w:trPr>
        <w:tc>
          <w:tcPr>
            <w:tcW w:w="1384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三、预算管理情况（20分）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97"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22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指标值</w:t>
            </w:r>
          </w:p>
        </w:tc>
        <w:tc>
          <w:tcPr>
            <w:tcW w:w="3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完成值</w:t>
            </w:r>
          </w:p>
        </w:tc>
        <w:tc>
          <w:tcPr>
            <w:tcW w:w="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指标解释</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评分标准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93"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预算管理情况</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（20分）</w:t>
            </w:r>
          </w:p>
        </w:tc>
        <w:tc>
          <w:tcPr>
            <w:tcW w:w="5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财务管理（4分)</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财务管理制度健全性</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（1分）</w:t>
            </w:r>
          </w:p>
        </w:tc>
        <w:tc>
          <w:tcPr>
            <w:tcW w:w="22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健全、完整、合规</w:t>
            </w:r>
          </w:p>
        </w:tc>
        <w:tc>
          <w:tcPr>
            <w:tcW w:w="3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健全、完整、合规</w:t>
            </w:r>
          </w:p>
        </w:tc>
        <w:tc>
          <w:tcPr>
            <w:tcW w:w="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财务管理制度健全性：部门（单位）为加强财务管理、规范财务行为而制定的管理制度。</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①预算资金管理办法、绩效跟踪管理办法、资产管理办法等各项制度是否健全；②部门内部财务管理制度是否完整、合规；③会计核算制度是否完整、合规。每有一项不合格扣0.5分，扣完为止。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73"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资金使用合规性和安全性</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（2分）</w:t>
            </w:r>
          </w:p>
        </w:tc>
        <w:tc>
          <w:tcPr>
            <w:tcW w:w="22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合规、安全</w:t>
            </w:r>
          </w:p>
        </w:tc>
        <w:tc>
          <w:tcPr>
            <w:tcW w:w="3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合规、安全</w:t>
            </w:r>
          </w:p>
        </w:tc>
        <w:tc>
          <w:tcPr>
            <w:tcW w:w="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资金使用合规性和安全性：部门（单位）使用预算资金是否符合相关的预算财务管理制度的规定，是否符合相关规定的开支范围，用以反映考核部门（单位）预算资金的规范运行和安全运行情况。</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97"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会计基础信息完善性</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（1分）</w:t>
            </w:r>
          </w:p>
        </w:tc>
        <w:tc>
          <w:tcPr>
            <w:tcW w:w="22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完整、准确</w:t>
            </w:r>
          </w:p>
        </w:tc>
        <w:tc>
          <w:tcPr>
            <w:tcW w:w="3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完整、准确</w:t>
            </w:r>
          </w:p>
        </w:tc>
        <w:tc>
          <w:tcPr>
            <w:tcW w:w="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会计基础信息完善性：部门（单位）会计基础信息情况。</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①基础数据信息和会计信息资料是否真实；②基础数据信息和会计信息资料是否完整；③基础数据信息和会计信息资料是否准确。每有一项不合格扣0.5分，扣完为止。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53"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资产管理（4分）</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资产管理规范性</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（4分）</w:t>
            </w:r>
          </w:p>
        </w:tc>
        <w:tc>
          <w:tcPr>
            <w:tcW w:w="22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规范</w:t>
            </w:r>
          </w:p>
        </w:tc>
        <w:tc>
          <w:tcPr>
            <w:tcW w:w="3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规范</w:t>
            </w:r>
          </w:p>
        </w:tc>
        <w:tc>
          <w:tcPr>
            <w:tcW w:w="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资产管理规范性：部门（单位）的资产是否保持安全完整，资产配置是否合理，资产使用和资产处理是否规范，用以反映和考核部门（单位）资产管理的整体水平。</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照要求进行报批或资产不公开处置行为；⑥其它资产管理制度办法执行情况。每有一项不合格扣0.8分，扣完为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53"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绩效管理（4分）</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绩效管理情况</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（4分）</w:t>
            </w:r>
          </w:p>
        </w:tc>
        <w:tc>
          <w:tcPr>
            <w:tcW w:w="22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及时、有效</w:t>
            </w:r>
          </w:p>
        </w:tc>
        <w:tc>
          <w:tcPr>
            <w:tcW w:w="3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及时、有效</w:t>
            </w:r>
          </w:p>
        </w:tc>
        <w:tc>
          <w:tcPr>
            <w:tcW w:w="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绩效管理情况：考核部门（单位）在绩效管理信息的汇总和应用情况。</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①部门（单位）是否及时对绩效信息进行汇总分析整理；②部门（单位）是否对绩效目标偏离情况及时进行矫正。每有一项不合格扣2分。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同上</w:t>
            </w: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35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2021年</w:t>
            </w:r>
          </w:p>
        </w:tc>
        <w:tc>
          <w:tcPr>
            <w:tcW w:w="3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2022年</w:t>
            </w:r>
          </w:p>
        </w:tc>
        <w:tc>
          <w:tcPr>
            <w:tcW w:w="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指标解释</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评分标准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6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结转结余率（4分）</w:t>
            </w:r>
          </w:p>
        </w:tc>
        <w:tc>
          <w:tcPr>
            <w:tcW w:w="35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1.14%</w:t>
            </w:r>
          </w:p>
        </w:tc>
        <w:tc>
          <w:tcPr>
            <w:tcW w:w="318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4.82%</w:t>
            </w:r>
          </w:p>
        </w:tc>
        <w:tc>
          <w:tcPr>
            <w:tcW w:w="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结转结余率=结转结余总额/支出预算数*100%。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结转结余总额：部门（单位）本年度的结转资金与结余资金之和。</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部门结转结余率低于上年的不扣分；高于上年结余率，高于上年结余率，每高出1个百分点扣0.4分，扣完为止。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6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部门预决算差异率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（4分）</w:t>
            </w:r>
          </w:p>
        </w:tc>
        <w:tc>
          <w:tcPr>
            <w:tcW w:w="35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23.35%</w:t>
            </w:r>
          </w:p>
        </w:tc>
        <w:tc>
          <w:tcPr>
            <w:tcW w:w="3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19.66%</w:t>
            </w:r>
          </w:p>
        </w:tc>
        <w:tc>
          <w:tcPr>
            <w:tcW w:w="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通过年度部门决算与年初部门预算对比，对部门的年度支出情况进行考核，衡量部门预算的约束力。</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部门预决算差异率高于上年市级平均差异率</w:t>
            </w:r>
            <w:r>
              <w:rPr>
                <w:rStyle w:val="45"/>
                <w:color w:val="auto"/>
                <w:lang w:val="en-US" w:eastAsia="zh-CN" w:bidi="ar"/>
              </w:rPr>
              <w:t>（28.3%）</w:t>
            </w:r>
            <w:r>
              <w:rPr>
                <w:rFonts w:hint="eastAsia" w:ascii="宋体" w:hAnsi="宋体" w:eastAsia="宋体" w:cs="宋体"/>
                <w:i w:val="0"/>
                <w:color w:val="000000"/>
                <w:kern w:val="0"/>
                <w:sz w:val="20"/>
                <w:szCs w:val="20"/>
                <w:u w:val="none"/>
                <w:lang w:val="en-US" w:eastAsia="zh-CN" w:bidi="ar"/>
              </w:rPr>
              <w:t>的，每高出10%（含），扣0.4分，扣完为止。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6" w:hRule="atLeast"/>
        </w:trPr>
        <w:tc>
          <w:tcPr>
            <w:tcW w:w="79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96.50 </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r>
    </w:tbl>
    <w:p>
      <w:pPr>
        <w:pStyle w:val="2"/>
        <w:rPr>
          <w:rFonts w:hint="eastAsia" w:ascii="仿宋_GB2312" w:hAnsi="仿宋" w:eastAsia="仿宋_GB2312" w:cs="Times New Roman"/>
          <w:b w:val="0"/>
          <w:bCs/>
          <w:color w:val="auto"/>
          <w:kern w:val="2"/>
          <w:sz w:val="32"/>
          <w:szCs w:val="32"/>
          <w:highlight w:val="none"/>
          <w:lang w:val="en-US" w:eastAsia="zh-CN" w:bidi="ar-SA"/>
        </w:rPr>
      </w:pPr>
    </w:p>
    <w:sectPr>
      <w:footerReference r:id="rId5" w:type="default"/>
      <w:footnotePr>
        <w:numFmt w:val="decimalEnclosedCircleChinese"/>
      </w:footnotePr>
      <w:pgSz w:w="16838" w:h="11906" w:orient="landscape"/>
      <w:pgMar w:top="1800" w:right="1587" w:bottom="1416" w:left="1440" w:header="851" w:footer="992"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方正小标宋简体">
    <w:panose1 w:val="03000509000000000000"/>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Batang">
    <w:panose1 w:val="0203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DilleniaUPC">
    <w:panose1 w:val="02020603050405020304"/>
    <w:charset w:val="00"/>
    <w:family w:val="auto"/>
    <w:pitch w:val="default"/>
    <w:sig w:usb0="81000027" w:usb1="00000002" w:usb2="00000000" w:usb3="00000000" w:csb0="00010001" w:csb1="00000000"/>
  </w:font>
  <w:font w:name="BatangChe">
    <w:panose1 w:val="02030609000101010101"/>
    <w:charset w:val="81"/>
    <w:family w:val="auto"/>
    <w:pitch w:val="default"/>
    <w:sig w:usb0="B00002AF" w:usb1="69D77CFB" w:usb2="00000030" w:usb3="00000000" w:csb0="4008009F" w:csb1="DFD7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 w:name="楷体_GB2312">
    <w:panose1 w:val="02010609030101010101"/>
    <w:charset w:val="86"/>
    <w:family w:val="auto"/>
    <w:pitch w:val="default"/>
    <w:sig w:usb0="00000001" w:usb1="080E0000" w:usb2="00000000" w:usb3="00000000" w:csb0="00040000" w:csb1="00000000"/>
  </w:font>
  <w:font w:name="方正书宋_GBK">
    <w:altName w:val="微软雅黑"/>
    <w:panose1 w:val="02000000000000000000"/>
    <w:charset w:val="86"/>
    <w:family w:val="auto"/>
    <w:pitch w:val="default"/>
    <w:sig w:usb0="00000000" w:usb1="00000000" w:usb2="00000000" w:usb3="00000000" w:csb0="00040000" w:csb1="00000000"/>
  </w:font>
  <w:font w:name="方正黑体_GBK">
    <w:altName w:val="微软雅黑"/>
    <w:panose1 w:val="02000000000000000000"/>
    <w:charset w:val="86"/>
    <w:family w:val="auto"/>
    <w:pitch w:val="default"/>
    <w:sig w:usb0="00000000" w:usb1="00000000" w:usb2="00000000" w:usb3="00000000" w:csb0="00040000" w:csb1="00000000"/>
  </w:font>
  <w:font w:name="DejaVu Sans">
    <w:altName w:val="Segoe Print"/>
    <w:panose1 w:val="020B0603030804020204"/>
    <w:charset w:val="00"/>
    <w:family w:val="auto"/>
    <w:pitch w:val="default"/>
    <w:sig w:usb0="00000000" w:usb1="00000000" w:usb2="0A246029" w:usb3="0400200C" w:csb0="600001FF" w:csb1="DFFF0000"/>
  </w:font>
  <w:font w:name="方正仿宋_GBK">
    <w:altName w:val="微软雅黑"/>
    <w:panose1 w:val="02000000000000000000"/>
    <w:charset w:val="86"/>
    <w:family w:val="auto"/>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方正宋体S-超大字符集">
    <w:altName w:val="宋体"/>
    <w:panose1 w:val="02000000000000000000"/>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华文中宋">
    <w:altName w:val="宋体"/>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 w:name="Meiryo UI">
    <w:panose1 w:val="020B0604030504040204"/>
    <w:charset w:val="80"/>
    <w:family w:val="auto"/>
    <w:pitch w:val="default"/>
    <w:sig w:usb0="E10102FF" w:usb1="EAC7FFFF" w:usb2="00010012" w:usb3="00000000" w:csb0="6002009F" w:csb1="DFD70000"/>
  </w:font>
  <w:font w:name="幼圆">
    <w:altName w:val="宋体"/>
    <w:panose1 w:val="02010509060101010101"/>
    <w:charset w:val="86"/>
    <w:family w:val="auto"/>
    <w:pitch w:val="default"/>
    <w:sig w:usb0="00000000" w:usb1="00000000" w:usb2="00000000" w:usb3="00000000" w:csb0="00040000" w:csb1="00000000"/>
  </w:font>
  <w:font w:name="方正兰亭超细黑简体">
    <w:altName w:val="黑体"/>
    <w:panose1 w:val="02000000000000000000"/>
    <w:charset w:val="86"/>
    <w:family w:val="auto"/>
    <w:pitch w:val="default"/>
    <w:sig w:usb0="00000000" w:usb1="00000000" w:usb2="00000000" w:usb3="00000000" w:csb0="00040000" w:csb1="00000000"/>
  </w:font>
  <w:font w:name="方正姚体">
    <w:altName w:val="宋体"/>
    <w:panose1 w:val="02010601030101010101"/>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隶书">
    <w:altName w:val="微软雅黑"/>
    <w:panose1 w:val="02010509060101010101"/>
    <w:charset w:val="86"/>
    <w:family w:val="auto"/>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华文宋体">
    <w:altName w:val="宋体"/>
    <w:panose1 w:val="02010600040101010101"/>
    <w:charset w:val="86"/>
    <w:family w:val="auto"/>
    <w:pitch w:val="default"/>
    <w:sig w:usb0="00000000" w:usb1="00000000" w:usb2="00000000" w:usb3="00000000" w:csb0="0004009F" w:csb1="DFD70000"/>
  </w:font>
  <w:font w:name="Nimbus Roman No9 L">
    <w:altName w:val="Segoe Print"/>
    <w:panose1 w:val="00000000000000000000"/>
    <w:charset w:val="00"/>
    <w:family w:val="auto"/>
    <w:pitch w:val="default"/>
    <w:sig w:usb0="00000000" w:usb1="00000000" w:usb2="00000000" w:usb3="00000000" w:csb0="00000000" w:csb1="00000000"/>
  </w:font>
  <w:font w:name="Noto Sans Syriac Eastern">
    <w:altName w:val="宋体"/>
    <w:panose1 w:val="02040503050306020203"/>
    <w:charset w:val="86"/>
    <w:family w:val="auto"/>
    <w:pitch w:val="default"/>
    <w:sig w:usb0="00000000" w:usb1="00000000" w:usb2="00000080" w:usb3="00000000" w:csb0="203E0161" w:csb1="D7FF0000"/>
  </w:font>
  <w:font w:name="Droid Sans">
    <w:altName w:val="微软雅黑"/>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6"/>
                            <w:jc w:val="center"/>
                          </w:pPr>
                          <w:r>
                            <w:fldChar w:fldCharType="begin"/>
                          </w:r>
                          <w:r>
                            <w:instrText xml:space="preserve">PAGE   \* MERGEFORMAT</w:instrText>
                          </w:r>
                          <w:r>
                            <w:fldChar w:fldCharType="separate"/>
                          </w:r>
                          <w:r>
                            <w:rPr>
                              <w:lang w:val="zh-CN"/>
                            </w:rPr>
                            <w:t>34</w:t>
                          </w:r>
                          <w:r>
                            <w:rPr>
                              <w:lang w:val="zh-CN"/>
                            </w:rPr>
                            <w:fldChar w:fldCharType="end"/>
                          </w:r>
                        </w:p>
                      </w:txbxContent>
                    </wps:txbx>
                    <wps:bodyPr vert="horz" wrap="none" lIns="0" tIns="0" rIns="0" bIns="0" anchor="t"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xurdMyQEAAG4DAAAOAAAAAAAAAAEAIAAAAB4BAABkcnMvZTJvRG9j&#10;LnhtbFBLBQYAAAAABgAGAFkBAABZBQAAAAA=&#10;">
              <v:fill on="f" focussize="0,0"/>
              <v:stroke on="f"/>
              <v:imagedata o:title=""/>
              <o:lock v:ext="edit" aspectratio="f"/>
              <v:textbox inset="0mm,0mm,0mm,0mm" style="mso-fit-shape-to-text:t;">
                <w:txbxContent>
                  <w:p>
                    <w:pPr>
                      <w:pStyle w:val="16"/>
                      <w:jc w:val="center"/>
                    </w:pPr>
                    <w:r>
                      <w:fldChar w:fldCharType="begin"/>
                    </w:r>
                    <w:r>
                      <w:instrText xml:space="preserve">PAGE   \* MERGEFORMAT</w:instrText>
                    </w:r>
                    <w:r>
                      <w:fldChar w:fldCharType="separate"/>
                    </w:r>
                    <w:r>
                      <w:rPr>
                        <w:lang w:val="zh-CN"/>
                      </w:rPr>
                      <w:t>34</w:t>
                    </w:r>
                    <w:r>
                      <w:rPr>
                        <w:lang w:val="zh-CN"/>
                      </w:rPr>
                      <w:fldChar w:fldCharType="end"/>
                    </w:r>
                  </w:p>
                </w:txbxContent>
              </v:textbox>
            </v:shape>
          </w:pict>
        </mc:Fallback>
      </mc:AlternateContent>
    </w: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6"/>
                            <w:jc w:val="center"/>
                          </w:pPr>
                          <w:r>
                            <w:fldChar w:fldCharType="begin"/>
                          </w:r>
                          <w:r>
                            <w:instrText xml:space="preserve">PAGE   \* MERGEFORMAT</w:instrText>
                          </w:r>
                          <w:r>
                            <w:fldChar w:fldCharType="separate"/>
                          </w:r>
                          <w:r>
                            <w:rPr>
                              <w:lang w:val="zh-CN"/>
                            </w:rPr>
                            <w:t>11</w:t>
                          </w:r>
                          <w:r>
                            <w:rPr>
                              <w:lang w:val="zh-CN"/>
                            </w:rPr>
                            <w:fldChar w:fldCharType="end"/>
                          </w:r>
                        </w:p>
                        <w:p/>
                      </w:txbxContent>
                    </wps:txbx>
                    <wps:bodyPr wrap="none" lIns="0" tIns="0" rIns="0" bIns="0" upright="1">
                      <a:spAutoFit/>
                    </wps:bodyPr>
                  </wps:wsp>
                </a:graphicData>
              </a:graphic>
            </wp:anchor>
          </w:drawing>
        </mc:Choice>
        <mc:Fallback>
          <w:pict>
            <v:shape id="Quad Arrow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6pebnPAAAABQEAAA8AAAAA&#10;AAAAAQAgAAAAIgAAAGRycy9kb3ducmV2LnhtbFBLAQIUABQAAAAIAIdO4kCPaqXRqwEAAFUDAAAO&#10;AAAAAAAAAAEAIAAAAB4BAABkcnMvZTJvRG9jLnhtbFBLBQYAAAAABgAGAFkBAAA7BQAAAAA=&#10;">
              <v:fill on="f" focussize="0,0"/>
              <v:stroke on="f"/>
              <v:imagedata o:title=""/>
              <o:lock v:ext="edit" aspectratio="f"/>
              <v:textbox inset="0mm,0mm,0mm,0mm" style="mso-fit-shape-to-text:t;">
                <w:txbxContent>
                  <w:p>
                    <w:pPr>
                      <w:pStyle w:val="16"/>
                      <w:jc w:val="center"/>
                    </w:pPr>
                    <w:r>
                      <w:fldChar w:fldCharType="begin"/>
                    </w:r>
                    <w:r>
                      <w:instrText xml:space="preserve">PAGE   \* MERGEFORMAT</w:instrText>
                    </w:r>
                    <w:r>
                      <w:fldChar w:fldCharType="separate"/>
                    </w:r>
                    <w:r>
                      <w:rPr>
                        <w:lang w:val="zh-CN"/>
                      </w:rPr>
                      <w:t>11</w:t>
                    </w:r>
                    <w:r>
                      <w:rPr>
                        <w:lang w:val="zh-CN"/>
                      </w:rPr>
                      <w:fldChar w:fldCharType="end"/>
                    </w:r>
                  </w:p>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AC4AEF"/>
    <w:multiLevelType w:val="singleLevel"/>
    <w:tmpl w:val="60AC4AEF"/>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DU3NzQ5OWU0YjJkYjNhNjQ3NTg0YjBmY2ZhZDkifQ=="/>
  </w:docVars>
  <w:rsids>
    <w:rsidRoot w:val="008F65C7"/>
    <w:rsid w:val="00001B05"/>
    <w:rsid w:val="00004C74"/>
    <w:rsid w:val="00005A47"/>
    <w:rsid w:val="0000744B"/>
    <w:rsid w:val="00007E49"/>
    <w:rsid w:val="00014393"/>
    <w:rsid w:val="000178DB"/>
    <w:rsid w:val="00021247"/>
    <w:rsid w:val="000259C5"/>
    <w:rsid w:val="00026745"/>
    <w:rsid w:val="000277F2"/>
    <w:rsid w:val="000334C0"/>
    <w:rsid w:val="000357A9"/>
    <w:rsid w:val="000359AF"/>
    <w:rsid w:val="00036BFA"/>
    <w:rsid w:val="000379C4"/>
    <w:rsid w:val="0005553D"/>
    <w:rsid w:val="00055E6A"/>
    <w:rsid w:val="00056D2A"/>
    <w:rsid w:val="0005742C"/>
    <w:rsid w:val="00057D1B"/>
    <w:rsid w:val="0006148C"/>
    <w:rsid w:val="000626EB"/>
    <w:rsid w:val="00062839"/>
    <w:rsid w:val="0006286F"/>
    <w:rsid w:val="00062BC6"/>
    <w:rsid w:val="00063A95"/>
    <w:rsid w:val="00063FE1"/>
    <w:rsid w:val="00065636"/>
    <w:rsid w:val="0006595C"/>
    <w:rsid w:val="00065C74"/>
    <w:rsid w:val="000704A9"/>
    <w:rsid w:val="00071BD7"/>
    <w:rsid w:val="000739F2"/>
    <w:rsid w:val="00075439"/>
    <w:rsid w:val="000830C3"/>
    <w:rsid w:val="0008321C"/>
    <w:rsid w:val="000839B8"/>
    <w:rsid w:val="00084CE9"/>
    <w:rsid w:val="00084F29"/>
    <w:rsid w:val="00091C0B"/>
    <w:rsid w:val="00097ACA"/>
    <w:rsid w:val="000A1AE9"/>
    <w:rsid w:val="000A39E6"/>
    <w:rsid w:val="000A5039"/>
    <w:rsid w:val="000A5AFD"/>
    <w:rsid w:val="000A74AC"/>
    <w:rsid w:val="000A7EDF"/>
    <w:rsid w:val="000C6B89"/>
    <w:rsid w:val="000C7684"/>
    <w:rsid w:val="000D2EC2"/>
    <w:rsid w:val="000D5841"/>
    <w:rsid w:val="000E09B2"/>
    <w:rsid w:val="000E2154"/>
    <w:rsid w:val="000F5CCA"/>
    <w:rsid w:val="00101D13"/>
    <w:rsid w:val="0010271A"/>
    <w:rsid w:val="001027AB"/>
    <w:rsid w:val="0010413F"/>
    <w:rsid w:val="00105782"/>
    <w:rsid w:val="00106AD3"/>
    <w:rsid w:val="00115276"/>
    <w:rsid w:val="00123963"/>
    <w:rsid w:val="0012746E"/>
    <w:rsid w:val="00134F8B"/>
    <w:rsid w:val="00135D90"/>
    <w:rsid w:val="00136629"/>
    <w:rsid w:val="00144C17"/>
    <w:rsid w:val="00145C82"/>
    <w:rsid w:val="00160221"/>
    <w:rsid w:val="001630E1"/>
    <w:rsid w:val="00163465"/>
    <w:rsid w:val="001664F0"/>
    <w:rsid w:val="00166862"/>
    <w:rsid w:val="00166DE3"/>
    <w:rsid w:val="001673D2"/>
    <w:rsid w:val="00167F5C"/>
    <w:rsid w:val="00173614"/>
    <w:rsid w:val="001742A7"/>
    <w:rsid w:val="00174A50"/>
    <w:rsid w:val="0017588C"/>
    <w:rsid w:val="001773FE"/>
    <w:rsid w:val="001818A7"/>
    <w:rsid w:val="001829C8"/>
    <w:rsid w:val="001867C6"/>
    <w:rsid w:val="00186C38"/>
    <w:rsid w:val="00186EC6"/>
    <w:rsid w:val="001909EF"/>
    <w:rsid w:val="00191DA2"/>
    <w:rsid w:val="00193788"/>
    <w:rsid w:val="00194469"/>
    <w:rsid w:val="00195E08"/>
    <w:rsid w:val="00197475"/>
    <w:rsid w:val="001974E1"/>
    <w:rsid w:val="001A1360"/>
    <w:rsid w:val="001A3085"/>
    <w:rsid w:val="001A371C"/>
    <w:rsid w:val="001A7857"/>
    <w:rsid w:val="001B030A"/>
    <w:rsid w:val="001B1FD2"/>
    <w:rsid w:val="001B77A4"/>
    <w:rsid w:val="001C4ECE"/>
    <w:rsid w:val="001C7500"/>
    <w:rsid w:val="001D3D44"/>
    <w:rsid w:val="001D6DAC"/>
    <w:rsid w:val="001E1F9F"/>
    <w:rsid w:val="001E61FB"/>
    <w:rsid w:val="001E753D"/>
    <w:rsid w:val="001F089B"/>
    <w:rsid w:val="001F0D1C"/>
    <w:rsid w:val="001F15F3"/>
    <w:rsid w:val="001F364A"/>
    <w:rsid w:val="0020372A"/>
    <w:rsid w:val="002063B0"/>
    <w:rsid w:val="0021202E"/>
    <w:rsid w:val="00217F5D"/>
    <w:rsid w:val="00223ADF"/>
    <w:rsid w:val="0022607D"/>
    <w:rsid w:val="002277D5"/>
    <w:rsid w:val="00232AD8"/>
    <w:rsid w:val="002408C5"/>
    <w:rsid w:val="00242033"/>
    <w:rsid w:val="002422CC"/>
    <w:rsid w:val="0024426E"/>
    <w:rsid w:val="0024602F"/>
    <w:rsid w:val="00250B0E"/>
    <w:rsid w:val="002521AD"/>
    <w:rsid w:val="00252548"/>
    <w:rsid w:val="00256018"/>
    <w:rsid w:val="00262AEF"/>
    <w:rsid w:val="002631A0"/>
    <w:rsid w:val="00263DC9"/>
    <w:rsid w:val="002655B8"/>
    <w:rsid w:val="00270119"/>
    <w:rsid w:val="00273671"/>
    <w:rsid w:val="00282CEB"/>
    <w:rsid w:val="00282D8C"/>
    <w:rsid w:val="00282E74"/>
    <w:rsid w:val="002845FC"/>
    <w:rsid w:val="002A4156"/>
    <w:rsid w:val="002A55A7"/>
    <w:rsid w:val="002A6DFF"/>
    <w:rsid w:val="002A6E10"/>
    <w:rsid w:val="002A7824"/>
    <w:rsid w:val="002B0F61"/>
    <w:rsid w:val="002B6452"/>
    <w:rsid w:val="002B6FF1"/>
    <w:rsid w:val="002C1CC5"/>
    <w:rsid w:val="002C277F"/>
    <w:rsid w:val="002C7047"/>
    <w:rsid w:val="002D3791"/>
    <w:rsid w:val="002E030B"/>
    <w:rsid w:val="002E354C"/>
    <w:rsid w:val="002E3D34"/>
    <w:rsid w:val="002E6D1F"/>
    <w:rsid w:val="002F3D8C"/>
    <w:rsid w:val="002F4D90"/>
    <w:rsid w:val="0030355D"/>
    <w:rsid w:val="00310C24"/>
    <w:rsid w:val="0031251F"/>
    <w:rsid w:val="00312DE7"/>
    <w:rsid w:val="00315AC6"/>
    <w:rsid w:val="00317136"/>
    <w:rsid w:val="00323756"/>
    <w:rsid w:val="00325946"/>
    <w:rsid w:val="00330EDB"/>
    <w:rsid w:val="00331499"/>
    <w:rsid w:val="00335FCB"/>
    <w:rsid w:val="00340601"/>
    <w:rsid w:val="00340C1A"/>
    <w:rsid w:val="00343D71"/>
    <w:rsid w:val="0034725D"/>
    <w:rsid w:val="003475D9"/>
    <w:rsid w:val="00353D19"/>
    <w:rsid w:val="0035769A"/>
    <w:rsid w:val="003613BC"/>
    <w:rsid w:val="003633D7"/>
    <w:rsid w:val="003658DD"/>
    <w:rsid w:val="00365B74"/>
    <w:rsid w:val="003660D4"/>
    <w:rsid w:val="00371172"/>
    <w:rsid w:val="00373CDA"/>
    <w:rsid w:val="003742A8"/>
    <w:rsid w:val="0037594A"/>
    <w:rsid w:val="003839F5"/>
    <w:rsid w:val="00391557"/>
    <w:rsid w:val="00391D7E"/>
    <w:rsid w:val="00395AA3"/>
    <w:rsid w:val="00396B4A"/>
    <w:rsid w:val="00396E7B"/>
    <w:rsid w:val="00396E95"/>
    <w:rsid w:val="003A2161"/>
    <w:rsid w:val="003A363E"/>
    <w:rsid w:val="003A4238"/>
    <w:rsid w:val="003A4D6F"/>
    <w:rsid w:val="003A6D5E"/>
    <w:rsid w:val="003A721A"/>
    <w:rsid w:val="003B0D04"/>
    <w:rsid w:val="003B3685"/>
    <w:rsid w:val="003B3C68"/>
    <w:rsid w:val="003B4353"/>
    <w:rsid w:val="003B43F3"/>
    <w:rsid w:val="003C0693"/>
    <w:rsid w:val="003C08C0"/>
    <w:rsid w:val="003C5F90"/>
    <w:rsid w:val="003D17A3"/>
    <w:rsid w:val="003D21DD"/>
    <w:rsid w:val="003D4456"/>
    <w:rsid w:val="003D52A0"/>
    <w:rsid w:val="003E040B"/>
    <w:rsid w:val="003E2BF4"/>
    <w:rsid w:val="003E397B"/>
    <w:rsid w:val="003E4C1B"/>
    <w:rsid w:val="003E7732"/>
    <w:rsid w:val="003F3FF6"/>
    <w:rsid w:val="003F430F"/>
    <w:rsid w:val="003F5833"/>
    <w:rsid w:val="003F619E"/>
    <w:rsid w:val="003F6B8F"/>
    <w:rsid w:val="003F741C"/>
    <w:rsid w:val="00400B2B"/>
    <w:rsid w:val="00401614"/>
    <w:rsid w:val="00401B02"/>
    <w:rsid w:val="004067F0"/>
    <w:rsid w:val="004072A8"/>
    <w:rsid w:val="00413C0C"/>
    <w:rsid w:val="00413D35"/>
    <w:rsid w:val="00416375"/>
    <w:rsid w:val="0042307D"/>
    <w:rsid w:val="00423D52"/>
    <w:rsid w:val="00425433"/>
    <w:rsid w:val="00445B90"/>
    <w:rsid w:val="004463E0"/>
    <w:rsid w:val="0045206A"/>
    <w:rsid w:val="00462472"/>
    <w:rsid w:val="0046768C"/>
    <w:rsid w:val="004733A9"/>
    <w:rsid w:val="00474699"/>
    <w:rsid w:val="00476E4C"/>
    <w:rsid w:val="0048680F"/>
    <w:rsid w:val="004873D3"/>
    <w:rsid w:val="00494834"/>
    <w:rsid w:val="00497AE0"/>
    <w:rsid w:val="004A2348"/>
    <w:rsid w:val="004A28DB"/>
    <w:rsid w:val="004A6F1F"/>
    <w:rsid w:val="004B13A1"/>
    <w:rsid w:val="004B4687"/>
    <w:rsid w:val="004B7105"/>
    <w:rsid w:val="004B7901"/>
    <w:rsid w:val="004C21FC"/>
    <w:rsid w:val="004C299C"/>
    <w:rsid w:val="004C3184"/>
    <w:rsid w:val="004D13E3"/>
    <w:rsid w:val="004D31B5"/>
    <w:rsid w:val="004D32AA"/>
    <w:rsid w:val="004E0083"/>
    <w:rsid w:val="004E2911"/>
    <w:rsid w:val="004E3D6C"/>
    <w:rsid w:val="004E5C5B"/>
    <w:rsid w:val="004E5D3F"/>
    <w:rsid w:val="004E64C7"/>
    <w:rsid w:val="004F06FD"/>
    <w:rsid w:val="004F1FD5"/>
    <w:rsid w:val="004F3F0F"/>
    <w:rsid w:val="004F4686"/>
    <w:rsid w:val="004F560A"/>
    <w:rsid w:val="004F7CEC"/>
    <w:rsid w:val="00510E51"/>
    <w:rsid w:val="005110EE"/>
    <w:rsid w:val="0051775D"/>
    <w:rsid w:val="00523AF4"/>
    <w:rsid w:val="005271B2"/>
    <w:rsid w:val="0053300C"/>
    <w:rsid w:val="00533707"/>
    <w:rsid w:val="005401A7"/>
    <w:rsid w:val="0054416C"/>
    <w:rsid w:val="005451AC"/>
    <w:rsid w:val="00546B56"/>
    <w:rsid w:val="00550470"/>
    <w:rsid w:val="00551231"/>
    <w:rsid w:val="00554BDE"/>
    <w:rsid w:val="00554E33"/>
    <w:rsid w:val="00561483"/>
    <w:rsid w:val="0056224D"/>
    <w:rsid w:val="005666A9"/>
    <w:rsid w:val="0056768A"/>
    <w:rsid w:val="00570A3A"/>
    <w:rsid w:val="005716A7"/>
    <w:rsid w:val="005751B3"/>
    <w:rsid w:val="00575ABF"/>
    <w:rsid w:val="00577B86"/>
    <w:rsid w:val="00583CB9"/>
    <w:rsid w:val="005A0A27"/>
    <w:rsid w:val="005A1CEB"/>
    <w:rsid w:val="005A3577"/>
    <w:rsid w:val="005A3D65"/>
    <w:rsid w:val="005B1F78"/>
    <w:rsid w:val="005B40A1"/>
    <w:rsid w:val="005B48F6"/>
    <w:rsid w:val="005B55F9"/>
    <w:rsid w:val="005B69DE"/>
    <w:rsid w:val="005C295E"/>
    <w:rsid w:val="005D73E0"/>
    <w:rsid w:val="005E37AD"/>
    <w:rsid w:val="0060142A"/>
    <w:rsid w:val="006014F4"/>
    <w:rsid w:val="00601DE4"/>
    <w:rsid w:val="0060525D"/>
    <w:rsid w:val="00612758"/>
    <w:rsid w:val="006141B9"/>
    <w:rsid w:val="00617108"/>
    <w:rsid w:val="006205B9"/>
    <w:rsid w:val="00620ACB"/>
    <w:rsid w:val="00620EC5"/>
    <w:rsid w:val="00621EA9"/>
    <w:rsid w:val="00622FC9"/>
    <w:rsid w:val="00632225"/>
    <w:rsid w:val="00633A3A"/>
    <w:rsid w:val="0063470B"/>
    <w:rsid w:val="00635CCA"/>
    <w:rsid w:val="00640F00"/>
    <w:rsid w:val="00643EE4"/>
    <w:rsid w:val="00652577"/>
    <w:rsid w:val="006538C2"/>
    <w:rsid w:val="00653D34"/>
    <w:rsid w:val="00653DB7"/>
    <w:rsid w:val="0065589A"/>
    <w:rsid w:val="00655931"/>
    <w:rsid w:val="00656A14"/>
    <w:rsid w:val="0066282A"/>
    <w:rsid w:val="00662E88"/>
    <w:rsid w:val="00664856"/>
    <w:rsid w:val="006660D2"/>
    <w:rsid w:val="00667394"/>
    <w:rsid w:val="00670C84"/>
    <w:rsid w:val="00673854"/>
    <w:rsid w:val="00676984"/>
    <w:rsid w:val="00681EA4"/>
    <w:rsid w:val="00686366"/>
    <w:rsid w:val="0069091A"/>
    <w:rsid w:val="00692465"/>
    <w:rsid w:val="006A1C39"/>
    <w:rsid w:val="006A2C3A"/>
    <w:rsid w:val="006A37B8"/>
    <w:rsid w:val="006A46D3"/>
    <w:rsid w:val="006A5CBA"/>
    <w:rsid w:val="006B2703"/>
    <w:rsid w:val="006C0CC3"/>
    <w:rsid w:val="006C2891"/>
    <w:rsid w:val="006C326D"/>
    <w:rsid w:val="006D0EE0"/>
    <w:rsid w:val="006D7C6E"/>
    <w:rsid w:val="006E1605"/>
    <w:rsid w:val="006E1B08"/>
    <w:rsid w:val="006E2202"/>
    <w:rsid w:val="006E2AA3"/>
    <w:rsid w:val="006E4154"/>
    <w:rsid w:val="006E464D"/>
    <w:rsid w:val="006F57FA"/>
    <w:rsid w:val="006F713E"/>
    <w:rsid w:val="00700719"/>
    <w:rsid w:val="00700871"/>
    <w:rsid w:val="00705BCE"/>
    <w:rsid w:val="00705CDC"/>
    <w:rsid w:val="007064A4"/>
    <w:rsid w:val="00707BB1"/>
    <w:rsid w:val="00711E3E"/>
    <w:rsid w:val="007141FF"/>
    <w:rsid w:val="007164DB"/>
    <w:rsid w:val="007224D6"/>
    <w:rsid w:val="00723049"/>
    <w:rsid w:val="00723753"/>
    <w:rsid w:val="00724001"/>
    <w:rsid w:val="00730D65"/>
    <w:rsid w:val="00733341"/>
    <w:rsid w:val="0073777D"/>
    <w:rsid w:val="00740583"/>
    <w:rsid w:val="0074493F"/>
    <w:rsid w:val="00745E2E"/>
    <w:rsid w:val="00750CE7"/>
    <w:rsid w:val="0075643B"/>
    <w:rsid w:val="007564C7"/>
    <w:rsid w:val="00756629"/>
    <w:rsid w:val="00761CB0"/>
    <w:rsid w:val="00767CDC"/>
    <w:rsid w:val="0077011B"/>
    <w:rsid w:val="00771B04"/>
    <w:rsid w:val="00774D7D"/>
    <w:rsid w:val="00777085"/>
    <w:rsid w:val="007800E4"/>
    <w:rsid w:val="00781D2C"/>
    <w:rsid w:val="00786B97"/>
    <w:rsid w:val="00787617"/>
    <w:rsid w:val="00790841"/>
    <w:rsid w:val="0079313D"/>
    <w:rsid w:val="007958BB"/>
    <w:rsid w:val="00796312"/>
    <w:rsid w:val="0079746A"/>
    <w:rsid w:val="007A3E6F"/>
    <w:rsid w:val="007B2A8F"/>
    <w:rsid w:val="007B44F5"/>
    <w:rsid w:val="007B4581"/>
    <w:rsid w:val="007B5414"/>
    <w:rsid w:val="007C10F0"/>
    <w:rsid w:val="007C2CC6"/>
    <w:rsid w:val="007C78A8"/>
    <w:rsid w:val="007D4084"/>
    <w:rsid w:val="007D5F3A"/>
    <w:rsid w:val="007D6CE9"/>
    <w:rsid w:val="007E0F3C"/>
    <w:rsid w:val="007E2BFF"/>
    <w:rsid w:val="007E6AEE"/>
    <w:rsid w:val="007E72DA"/>
    <w:rsid w:val="007E7B59"/>
    <w:rsid w:val="007F178D"/>
    <w:rsid w:val="007F1B3A"/>
    <w:rsid w:val="0080263D"/>
    <w:rsid w:val="008041F0"/>
    <w:rsid w:val="00804BD9"/>
    <w:rsid w:val="008052A8"/>
    <w:rsid w:val="00805CB8"/>
    <w:rsid w:val="00807E8F"/>
    <w:rsid w:val="00810062"/>
    <w:rsid w:val="00812F06"/>
    <w:rsid w:val="0081481F"/>
    <w:rsid w:val="0081630F"/>
    <w:rsid w:val="0081637F"/>
    <w:rsid w:val="008168C4"/>
    <w:rsid w:val="00824813"/>
    <w:rsid w:val="00825276"/>
    <w:rsid w:val="0082669C"/>
    <w:rsid w:val="00826E2F"/>
    <w:rsid w:val="00830CC6"/>
    <w:rsid w:val="008343E8"/>
    <w:rsid w:val="00845002"/>
    <w:rsid w:val="0085330D"/>
    <w:rsid w:val="0085370A"/>
    <w:rsid w:val="00854F5E"/>
    <w:rsid w:val="00855166"/>
    <w:rsid w:val="00861D9F"/>
    <w:rsid w:val="00862678"/>
    <w:rsid w:val="0086589C"/>
    <w:rsid w:val="0086626D"/>
    <w:rsid w:val="0087392F"/>
    <w:rsid w:val="00873AF4"/>
    <w:rsid w:val="0088457A"/>
    <w:rsid w:val="00891AC2"/>
    <w:rsid w:val="00894046"/>
    <w:rsid w:val="0089580E"/>
    <w:rsid w:val="008A1D45"/>
    <w:rsid w:val="008A296E"/>
    <w:rsid w:val="008A4CB1"/>
    <w:rsid w:val="008A6381"/>
    <w:rsid w:val="008B2ABB"/>
    <w:rsid w:val="008B4CA2"/>
    <w:rsid w:val="008B4FFB"/>
    <w:rsid w:val="008B6EB1"/>
    <w:rsid w:val="008C00E6"/>
    <w:rsid w:val="008C340E"/>
    <w:rsid w:val="008C4D06"/>
    <w:rsid w:val="008D1643"/>
    <w:rsid w:val="008D23FB"/>
    <w:rsid w:val="008D3EF0"/>
    <w:rsid w:val="008E0E2D"/>
    <w:rsid w:val="008E4659"/>
    <w:rsid w:val="008F487D"/>
    <w:rsid w:val="008F65C7"/>
    <w:rsid w:val="008F6A76"/>
    <w:rsid w:val="00900475"/>
    <w:rsid w:val="009044E5"/>
    <w:rsid w:val="009139CD"/>
    <w:rsid w:val="0091555B"/>
    <w:rsid w:val="0092022D"/>
    <w:rsid w:val="00922A68"/>
    <w:rsid w:val="0092617E"/>
    <w:rsid w:val="00930001"/>
    <w:rsid w:val="009306A4"/>
    <w:rsid w:val="00932C19"/>
    <w:rsid w:val="00933F93"/>
    <w:rsid w:val="00946044"/>
    <w:rsid w:val="00947346"/>
    <w:rsid w:val="00950A67"/>
    <w:rsid w:val="009541B5"/>
    <w:rsid w:val="00954591"/>
    <w:rsid w:val="00960423"/>
    <w:rsid w:val="009606C8"/>
    <w:rsid w:val="00961994"/>
    <w:rsid w:val="00961E68"/>
    <w:rsid w:val="0096345F"/>
    <w:rsid w:val="00964944"/>
    <w:rsid w:val="00973D5E"/>
    <w:rsid w:val="00975C73"/>
    <w:rsid w:val="0097643E"/>
    <w:rsid w:val="009777AC"/>
    <w:rsid w:val="00983667"/>
    <w:rsid w:val="00983BCD"/>
    <w:rsid w:val="00983CB7"/>
    <w:rsid w:val="00984091"/>
    <w:rsid w:val="009915D6"/>
    <w:rsid w:val="009A2834"/>
    <w:rsid w:val="009A3FEF"/>
    <w:rsid w:val="009A5C9F"/>
    <w:rsid w:val="009A761D"/>
    <w:rsid w:val="009B0659"/>
    <w:rsid w:val="009B17DD"/>
    <w:rsid w:val="009B3D55"/>
    <w:rsid w:val="009B585C"/>
    <w:rsid w:val="009C08CA"/>
    <w:rsid w:val="009C2DA5"/>
    <w:rsid w:val="009C3F78"/>
    <w:rsid w:val="009C4FC2"/>
    <w:rsid w:val="009C75D8"/>
    <w:rsid w:val="009D37B7"/>
    <w:rsid w:val="009D5306"/>
    <w:rsid w:val="009D64C6"/>
    <w:rsid w:val="009E10C2"/>
    <w:rsid w:val="009E42D9"/>
    <w:rsid w:val="009F022D"/>
    <w:rsid w:val="009F2FF0"/>
    <w:rsid w:val="009F391C"/>
    <w:rsid w:val="009F3CA2"/>
    <w:rsid w:val="009F3FE2"/>
    <w:rsid w:val="009F494A"/>
    <w:rsid w:val="00A01C19"/>
    <w:rsid w:val="00A14E8E"/>
    <w:rsid w:val="00A1504E"/>
    <w:rsid w:val="00A20B44"/>
    <w:rsid w:val="00A24BFA"/>
    <w:rsid w:val="00A24D19"/>
    <w:rsid w:val="00A2551B"/>
    <w:rsid w:val="00A263B9"/>
    <w:rsid w:val="00A274BD"/>
    <w:rsid w:val="00A27C99"/>
    <w:rsid w:val="00A31353"/>
    <w:rsid w:val="00A318CC"/>
    <w:rsid w:val="00A33D4E"/>
    <w:rsid w:val="00A34A87"/>
    <w:rsid w:val="00A34AC7"/>
    <w:rsid w:val="00A3535B"/>
    <w:rsid w:val="00A37723"/>
    <w:rsid w:val="00A40A54"/>
    <w:rsid w:val="00A41D0F"/>
    <w:rsid w:val="00A4234C"/>
    <w:rsid w:val="00A4353B"/>
    <w:rsid w:val="00A43BF8"/>
    <w:rsid w:val="00A45916"/>
    <w:rsid w:val="00A50E4C"/>
    <w:rsid w:val="00A53693"/>
    <w:rsid w:val="00A549DA"/>
    <w:rsid w:val="00A5608C"/>
    <w:rsid w:val="00A571CB"/>
    <w:rsid w:val="00A7112F"/>
    <w:rsid w:val="00A73212"/>
    <w:rsid w:val="00A76731"/>
    <w:rsid w:val="00A7742B"/>
    <w:rsid w:val="00A805AC"/>
    <w:rsid w:val="00A80953"/>
    <w:rsid w:val="00A81A9C"/>
    <w:rsid w:val="00A8254E"/>
    <w:rsid w:val="00A837A1"/>
    <w:rsid w:val="00A87A0A"/>
    <w:rsid w:val="00A91E05"/>
    <w:rsid w:val="00A92D01"/>
    <w:rsid w:val="00A93308"/>
    <w:rsid w:val="00A9722C"/>
    <w:rsid w:val="00A97EA2"/>
    <w:rsid w:val="00AA70CD"/>
    <w:rsid w:val="00AB0B2A"/>
    <w:rsid w:val="00AB1167"/>
    <w:rsid w:val="00AB1CD7"/>
    <w:rsid w:val="00AB1E80"/>
    <w:rsid w:val="00AB2044"/>
    <w:rsid w:val="00AB28BD"/>
    <w:rsid w:val="00AC3572"/>
    <w:rsid w:val="00AC6A2A"/>
    <w:rsid w:val="00AD02BC"/>
    <w:rsid w:val="00AD279C"/>
    <w:rsid w:val="00AD4B6D"/>
    <w:rsid w:val="00AD6A1E"/>
    <w:rsid w:val="00AD6D32"/>
    <w:rsid w:val="00AE710C"/>
    <w:rsid w:val="00AF18EC"/>
    <w:rsid w:val="00AF59D9"/>
    <w:rsid w:val="00AF769D"/>
    <w:rsid w:val="00B07457"/>
    <w:rsid w:val="00B10D0A"/>
    <w:rsid w:val="00B111EA"/>
    <w:rsid w:val="00B11C1F"/>
    <w:rsid w:val="00B12EC8"/>
    <w:rsid w:val="00B15CE5"/>
    <w:rsid w:val="00B23601"/>
    <w:rsid w:val="00B23750"/>
    <w:rsid w:val="00B2497E"/>
    <w:rsid w:val="00B27190"/>
    <w:rsid w:val="00B34521"/>
    <w:rsid w:val="00B36B24"/>
    <w:rsid w:val="00B43537"/>
    <w:rsid w:val="00B45A08"/>
    <w:rsid w:val="00B54387"/>
    <w:rsid w:val="00B55207"/>
    <w:rsid w:val="00B56A8D"/>
    <w:rsid w:val="00B62368"/>
    <w:rsid w:val="00B62B68"/>
    <w:rsid w:val="00B65A54"/>
    <w:rsid w:val="00B65AA7"/>
    <w:rsid w:val="00B7465A"/>
    <w:rsid w:val="00B7512B"/>
    <w:rsid w:val="00B75F2B"/>
    <w:rsid w:val="00B77C63"/>
    <w:rsid w:val="00B80311"/>
    <w:rsid w:val="00B841AC"/>
    <w:rsid w:val="00B84595"/>
    <w:rsid w:val="00B84F75"/>
    <w:rsid w:val="00B86DB3"/>
    <w:rsid w:val="00B872BE"/>
    <w:rsid w:val="00B9168B"/>
    <w:rsid w:val="00B91C04"/>
    <w:rsid w:val="00B955A1"/>
    <w:rsid w:val="00BA282D"/>
    <w:rsid w:val="00BA2975"/>
    <w:rsid w:val="00BB00B2"/>
    <w:rsid w:val="00BB1489"/>
    <w:rsid w:val="00BB1A1D"/>
    <w:rsid w:val="00BB35E7"/>
    <w:rsid w:val="00BB51E2"/>
    <w:rsid w:val="00BC30A1"/>
    <w:rsid w:val="00BC5EBF"/>
    <w:rsid w:val="00BC7ECB"/>
    <w:rsid w:val="00BD094F"/>
    <w:rsid w:val="00BD7E40"/>
    <w:rsid w:val="00BD7EFA"/>
    <w:rsid w:val="00BE3B9D"/>
    <w:rsid w:val="00BE3CA3"/>
    <w:rsid w:val="00BE5E86"/>
    <w:rsid w:val="00BF181E"/>
    <w:rsid w:val="00BF4937"/>
    <w:rsid w:val="00BF5913"/>
    <w:rsid w:val="00BF620C"/>
    <w:rsid w:val="00BF78E2"/>
    <w:rsid w:val="00C00B9C"/>
    <w:rsid w:val="00C03B1D"/>
    <w:rsid w:val="00C03B6E"/>
    <w:rsid w:val="00C05FAE"/>
    <w:rsid w:val="00C07890"/>
    <w:rsid w:val="00C10A45"/>
    <w:rsid w:val="00C13853"/>
    <w:rsid w:val="00C14EB3"/>
    <w:rsid w:val="00C23C00"/>
    <w:rsid w:val="00C25E9D"/>
    <w:rsid w:val="00C2691D"/>
    <w:rsid w:val="00C36E92"/>
    <w:rsid w:val="00C372C0"/>
    <w:rsid w:val="00C37304"/>
    <w:rsid w:val="00C41B74"/>
    <w:rsid w:val="00C4596D"/>
    <w:rsid w:val="00C50D9E"/>
    <w:rsid w:val="00C524F4"/>
    <w:rsid w:val="00C52613"/>
    <w:rsid w:val="00C539F4"/>
    <w:rsid w:val="00C53DAC"/>
    <w:rsid w:val="00C53F79"/>
    <w:rsid w:val="00C5439B"/>
    <w:rsid w:val="00C54A75"/>
    <w:rsid w:val="00C54BC3"/>
    <w:rsid w:val="00C54FF3"/>
    <w:rsid w:val="00C579E1"/>
    <w:rsid w:val="00C61F53"/>
    <w:rsid w:val="00C6773F"/>
    <w:rsid w:val="00C67CE5"/>
    <w:rsid w:val="00C758C0"/>
    <w:rsid w:val="00C77BB7"/>
    <w:rsid w:val="00C80F7D"/>
    <w:rsid w:val="00C855A4"/>
    <w:rsid w:val="00C86865"/>
    <w:rsid w:val="00C8775A"/>
    <w:rsid w:val="00C92603"/>
    <w:rsid w:val="00C95693"/>
    <w:rsid w:val="00C9631C"/>
    <w:rsid w:val="00C963B3"/>
    <w:rsid w:val="00C97408"/>
    <w:rsid w:val="00CA4862"/>
    <w:rsid w:val="00CA5021"/>
    <w:rsid w:val="00CB0E79"/>
    <w:rsid w:val="00CB286A"/>
    <w:rsid w:val="00CB531E"/>
    <w:rsid w:val="00CB63E1"/>
    <w:rsid w:val="00CB7A72"/>
    <w:rsid w:val="00CC2726"/>
    <w:rsid w:val="00CD05A4"/>
    <w:rsid w:val="00CD2F65"/>
    <w:rsid w:val="00CD3477"/>
    <w:rsid w:val="00CE08D0"/>
    <w:rsid w:val="00CE15D8"/>
    <w:rsid w:val="00CE3893"/>
    <w:rsid w:val="00CE645C"/>
    <w:rsid w:val="00CE6FEE"/>
    <w:rsid w:val="00CE76D1"/>
    <w:rsid w:val="00CF1F70"/>
    <w:rsid w:val="00CF335E"/>
    <w:rsid w:val="00CF5F0E"/>
    <w:rsid w:val="00CF6F6C"/>
    <w:rsid w:val="00CF71AD"/>
    <w:rsid w:val="00CF75C6"/>
    <w:rsid w:val="00CF779E"/>
    <w:rsid w:val="00D02D0A"/>
    <w:rsid w:val="00D02E7C"/>
    <w:rsid w:val="00D147ED"/>
    <w:rsid w:val="00D156C4"/>
    <w:rsid w:val="00D22686"/>
    <w:rsid w:val="00D237BC"/>
    <w:rsid w:val="00D24692"/>
    <w:rsid w:val="00D26BCF"/>
    <w:rsid w:val="00D3331D"/>
    <w:rsid w:val="00D343F0"/>
    <w:rsid w:val="00D449AB"/>
    <w:rsid w:val="00D4537C"/>
    <w:rsid w:val="00D47115"/>
    <w:rsid w:val="00D607C2"/>
    <w:rsid w:val="00D60A84"/>
    <w:rsid w:val="00D621C9"/>
    <w:rsid w:val="00D64D92"/>
    <w:rsid w:val="00D67702"/>
    <w:rsid w:val="00D67BE6"/>
    <w:rsid w:val="00D75171"/>
    <w:rsid w:val="00D759CE"/>
    <w:rsid w:val="00D760D4"/>
    <w:rsid w:val="00D7732F"/>
    <w:rsid w:val="00D806D8"/>
    <w:rsid w:val="00D91964"/>
    <w:rsid w:val="00D97A56"/>
    <w:rsid w:val="00DA1CAE"/>
    <w:rsid w:val="00DA2BFA"/>
    <w:rsid w:val="00DA3701"/>
    <w:rsid w:val="00DA4AB1"/>
    <w:rsid w:val="00DA795B"/>
    <w:rsid w:val="00DB079B"/>
    <w:rsid w:val="00DB4DE3"/>
    <w:rsid w:val="00DB7EB0"/>
    <w:rsid w:val="00DC2568"/>
    <w:rsid w:val="00DC3630"/>
    <w:rsid w:val="00DC4906"/>
    <w:rsid w:val="00DC5B60"/>
    <w:rsid w:val="00DD0579"/>
    <w:rsid w:val="00DD0D20"/>
    <w:rsid w:val="00DD3BBD"/>
    <w:rsid w:val="00DD4EA5"/>
    <w:rsid w:val="00DD5061"/>
    <w:rsid w:val="00DD5B05"/>
    <w:rsid w:val="00DD6ABF"/>
    <w:rsid w:val="00DD75CD"/>
    <w:rsid w:val="00DD79B0"/>
    <w:rsid w:val="00DE112E"/>
    <w:rsid w:val="00DE5CE2"/>
    <w:rsid w:val="00DE66A7"/>
    <w:rsid w:val="00DE7F49"/>
    <w:rsid w:val="00DF3421"/>
    <w:rsid w:val="00DF4121"/>
    <w:rsid w:val="00DF5C10"/>
    <w:rsid w:val="00E01E45"/>
    <w:rsid w:val="00E02812"/>
    <w:rsid w:val="00E0696E"/>
    <w:rsid w:val="00E06C04"/>
    <w:rsid w:val="00E11893"/>
    <w:rsid w:val="00E11D62"/>
    <w:rsid w:val="00E1564B"/>
    <w:rsid w:val="00E159BF"/>
    <w:rsid w:val="00E172F7"/>
    <w:rsid w:val="00E1736F"/>
    <w:rsid w:val="00E1757D"/>
    <w:rsid w:val="00E206DD"/>
    <w:rsid w:val="00E2474A"/>
    <w:rsid w:val="00E25610"/>
    <w:rsid w:val="00E26EAB"/>
    <w:rsid w:val="00E30A20"/>
    <w:rsid w:val="00E32DF8"/>
    <w:rsid w:val="00E40B34"/>
    <w:rsid w:val="00E41C73"/>
    <w:rsid w:val="00E5356B"/>
    <w:rsid w:val="00E5445A"/>
    <w:rsid w:val="00E54672"/>
    <w:rsid w:val="00E5508D"/>
    <w:rsid w:val="00E573B1"/>
    <w:rsid w:val="00E616F0"/>
    <w:rsid w:val="00E62739"/>
    <w:rsid w:val="00E62B68"/>
    <w:rsid w:val="00E63B35"/>
    <w:rsid w:val="00E66B5A"/>
    <w:rsid w:val="00E71A87"/>
    <w:rsid w:val="00E727D9"/>
    <w:rsid w:val="00E749E3"/>
    <w:rsid w:val="00E768AD"/>
    <w:rsid w:val="00E81BCA"/>
    <w:rsid w:val="00E82EDA"/>
    <w:rsid w:val="00E8541E"/>
    <w:rsid w:val="00E9343D"/>
    <w:rsid w:val="00EA215D"/>
    <w:rsid w:val="00EB0101"/>
    <w:rsid w:val="00EB2895"/>
    <w:rsid w:val="00EB323A"/>
    <w:rsid w:val="00EB67A7"/>
    <w:rsid w:val="00EB6EB6"/>
    <w:rsid w:val="00EB760E"/>
    <w:rsid w:val="00EC4313"/>
    <w:rsid w:val="00EC6525"/>
    <w:rsid w:val="00ED2B7C"/>
    <w:rsid w:val="00ED4F7F"/>
    <w:rsid w:val="00ED4F8D"/>
    <w:rsid w:val="00EE0494"/>
    <w:rsid w:val="00EE117C"/>
    <w:rsid w:val="00EE16B6"/>
    <w:rsid w:val="00EF0CF2"/>
    <w:rsid w:val="00EF1016"/>
    <w:rsid w:val="00EF6D64"/>
    <w:rsid w:val="00F00391"/>
    <w:rsid w:val="00F021E2"/>
    <w:rsid w:val="00F03BCB"/>
    <w:rsid w:val="00F04CC3"/>
    <w:rsid w:val="00F04D9C"/>
    <w:rsid w:val="00F0641A"/>
    <w:rsid w:val="00F123FB"/>
    <w:rsid w:val="00F20980"/>
    <w:rsid w:val="00F20EFE"/>
    <w:rsid w:val="00F21240"/>
    <w:rsid w:val="00F21381"/>
    <w:rsid w:val="00F24C10"/>
    <w:rsid w:val="00F315F3"/>
    <w:rsid w:val="00F32B82"/>
    <w:rsid w:val="00F35106"/>
    <w:rsid w:val="00F4218D"/>
    <w:rsid w:val="00F435E4"/>
    <w:rsid w:val="00F45D2E"/>
    <w:rsid w:val="00F55172"/>
    <w:rsid w:val="00F6026B"/>
    <w:rsid w:val="00F620F1"/>
    <w:rsid w:val="00F63B8D"/>
    <w:rsid w:val="00F66CD0"/>
    <w:rsid w:val="00F724E5"/>
    <w:rsid w:val="00F74A85"/>
    <w:rsid w:val="00F74F03"/>
    <w:rsid w:val="00F765C5"/>
    <w:rsid w:val="00F81415"/>
    <w:rsid w:val="00F856E9"/>
    <w:rsid w:val="00F873FC"/>
    <w:rsid w:val="00F92352"/>
    <w:rsid w:val="00FA3C24"/>
    <w:rsid w:val="00FA70BF"/>
    <w:rsid w:val="00FB4412"/>
    <w:rsid w:val="00FB46F0"/>
    <w:rsid w:val="00FC0768"/>
    <w:rsid w:val="00FC11B6"/>
    <w:rsid w:val="00FC5848"/>
    <w:rsid w:val="00FD385B"/>
    <w:rsid w:val="00FD7096"/>
    <w:rsid w:val="00FD7DB1"/>
    <w:rsid w:val="00FD7E2E"/>
    <w:rsid w:val="00FE273B"/>
    <w:rsid w:val="00FE29BC"/>
    <w:rsid w:val="00FE3D99"/>
    <w:rsid w:val="00FF1E6B"/>
    <w:rsid w:val="00FF279F"/>
    <w:rsid w:val="00FF51E8"/>
    <w:rsid w:val="00FF6780"/>
    <w:rsid w:val="010F0552"/>
    <w:rsid w:val="01171186"/>
    <w:rsid w:val="011D0840"/>
    <w:rsid w:val="011D78AE"/>
    <w:rsid w:val="011E00B5"/>
    <w:rsid w:val="011E3AF5"/>
    <w:rsid w:val="012A4928"/>
    <w:rsid w:val="01340AE2"/>
    <w:rsid w:val="01405697"/>
    <w:rsid w:val="01456907"/>
    <w:rsid w:val="014976A0"/>
    <w:rsid w:val="016F346A"/>
    <w:rsid w:val="01702627"/>
    <w:rsid w:val="01783D85"/>
    <w:rsid w:val="01873853"/>
    <w:rsid w:val="018841CA"/>
    <w:rsid w:val="019C597A"/>
    <w:rsid w:val="01A03A4F"/>
    <w:rsid w:val="01A75904"/>
    <w:rsid w:val="01A907B7"/>
    <w:rsid w:val="01A90B8E"/>
    <w:rsid w:val="01C743A2"/>
    <w:rsid w:val="01D00747"/>
    <w:rsid w:val="01D23D77"/>
    <w:rsid w:val="01DB0CC9"/>
    <w:rsid w:val="01DE44F6"/>
    <w:rsid w:val="01E10A6D"/>
    <w:rsid w:val="01E1780B"/>
    <w:rsid w:val="01E41120"/>
    <w:rsid w:val="01E71180"/>
    <w:rsid w:val="01E77BEE"/>
    <w:rsid w:val="01EA4B85"/>
    <w:rsid w:val="01ED6321"/>
    <w:rsid w:val="01F74DB5"/>
    <w:rsid w:val="0202330B"/>
    <w:rsid w:val="0209253A"/>
    <w:rsid w:val="020F790C"/>
    <w:rsid w:val="02150167"/>
    <w:rsid w:val="021C2000"/>
    <w:rsid w:val="022C5A80"/>
    <w:rsid w:val="02436BA8"/>
    <w:rsid w:val="02437B74"/>
    <w:rsid w:val="024B0640"/>
    <w:rsid w:val="024B2998"/>
    <w:rsid w:val="02517C05"/>
    <w:rsid w:val="02706069"/>
    <w:rsid w:val="02787649"/>
    <w:rsid w:val="028A2470"/>
    <w:rsid w:val="029570D5"/>
    <w:rsid w:val="02981110"/>
    <w:rsid w:val="02A164F1"/>
    <w:rsid w:val="02A323B6"/>
    <w:rsid w:val="02A44DE3"/>
    <w:rsid w:val="02AA6CBC"/>
    <w:rsid w:val="02AB48D4"/>
    <w:rsid w:val="02AD74A7"/>
    <w:rsid w:val="02B820A2"/>
    <w:rsid w:val="02C167B1"/>
    <w:rsid w:val="02C64921"/>
    <w:rsid w:val="02C66D77"/>
    <w:rsid w:val="02D0613D"/>
    <w:rsid w:val="02D2627B"/>
    <w:rsid w:val="02D265ED"/>
    <w:rsid w:val="02DA6B1D"/>
    <w:rsid w:val="02DB0BD0"/>
    <w:rsid w:val="02DF5557"/>
    <w:rsid w:val="02EC6598"/>
    <w:rsid w:val="02FF5323"/>
    <w:rsid w:val="030342A8"/>
    <w:rsid w:val="03034D08"/>
    <w:rsid w:val="03054189"/>
    <w:rsid w:val="03116497"/>
    <w:rsid w:val="0330015E"/>
    <w:rsid w:val="03304D38"/>
    <w:rsid w:val="0334635D"/>
    <w:rsid w:val="033C7A10"/>
    <w:rsid w:val="0346219A"/>
    <w:rsid w:val="034958B1"/>
    <w:rsid w:val="03574AA3"/>
    <w:rsid w:val="03575611"/>
    <w:rsid w:val="035A5EA0"/>
    <w:rsid w:val="03710A9A"/>
    <w:rsid w:val="03736871"/>
    <w:rsid w:val="03750DAF"/>
    <w:rsid w:val="03790286"/>
    <w:rsid w:val="037A1943"/>
    <w:rsid w:val="037C08E4"/>
    <w:rsid w:val="0381116F"/>
    <w:rsid w:val="03844EF2"/>
    <w:rsid w:val="038A40B4"/>
    <w:rsid w:val="038A5D17"/>
    <w:rsid w:val="03932568"/>
    <w:rsid w:val="039B53AE"/>
    <w:rsid w:val="03A031C4"/>
    <w:rsid w:val="03A15394"/>
    <w:rsid w:val="03B70B13"/>
    <w:rsid w:val="03C031D2"/>
    <w:rsid w:val="03CA6159"/>
    <w:rsid w:val="03CF0143"/>
    <w:rsid w:val="03D940EE"/>
    <w:rsid w:val="03E02175"/>
    <w:rsid w:val="03EB13E4"/>
    <w:rsid w:val="03F741E7"/>
    <w:rsid w:val="03FB29D5"/>
    <w:rsid w:val="04020C75"/>
    <w:rsid w:val="040B40E1"/>
    <w:rsid w:val="040D72D1"/>
    <w:rsid w:val="04106487"/>
    <w:rsid w:val="04132C74"/>
    <w:rsid w:val="041C0F50"/>
    <w:rsid w:val="042010F0"/>
    <w:rsid w:val="04216019"/>
    <w:rsid w:val="04272C7E"/>
    <w:rsid w:val="04297A57"/>
    <w:rsid w:val="042D12B1"/>
    <w:rsid w:val="043819F3"/>
    <w:rsid w:val="043E6D61"/>
    <w:rsid w:val="044040F4"/>
    <w:rsid w:val="044D2740"/>
    <w:rsid w:val="04542A5D"/>
    <w:rsid w:val="04585A8B"/>
    <w:rsid w:val="045A2820"/>
    <w:rsid w:val="046200EF"/>
    <w:rsid w:val="04655950"/>
    <w:rsid w:val="046736EA"/>
    <w:rsid w:val="0467541C"/>
    <w:rsid w:val="046B6145"/>
    <w:rsid w:val="04776C81"/>
    <w:rsid w:val="047A192B"/>
    <w:rsid w:val="047A3324"/>
    <w:rsid w:val="047B4C84"/>
    <w:rsid w:val="047D0309"/>
    <w:rsid w:val="048707FB"/>
    <w:rsid w:val="049B5A51"/>
    <w:rsid w:val="049F0E2C"/>
    <w:rsid w:val="04A36B65"/>
    <w:rsid w:val="04A918BC"/>
    <w:rsid w:val="04AD4A1F"/>
    <w:rsid w:val="04AE5E3F"/>
    <w:rsid w:val="04B34F96"/>
    <w:rsid w:val="04BC0624"/>
    <w:rsid w:val="04BD5B8F"/>
    <w:rsid w:val="04C0574D"/>
    <w:rsid w:val="04CE5AB2"/>
    <w:rsid w:val="04E36FED"/>
    <w:rsid w:val="04F375BD"/>
    <w:rsid w:val="04F76DEF"/>
    <w:rsid w:val="04F87901"/>
    <w:rsid w:val="04FE52A6"/>
    <w:rsid w:val="05014155"/>
    <w:rsid w:val="05032F9C"/>
    <w:rsid w:val="050372C2"/>
    <w:rsid w:val="050774D4"/>
    <w:rsid w:val="051E2627"/>
    <w:rsid w:val="05372082"/>
    <w:rsid w:val="05452C6A"/>
    <w:rsid w:val="054A1787"/>
    <w:rsid w:val="05556088"/>
    <w:rsid w:val="05591693"/>
    <w:rsid w:val="055F1886"/>
    <w:rsid w:val="056748D2"/>
    <w:rsid w:val="056A77DD"/>
    <w:rsid w:val="056B10F6"/>
    <w:rsid w:val="057023DA"/>
    <w:rsid w:val="05767A5C"/>
    <w:rsid w:val="05782413"/>
    <w:rsid w:val="05791C40"/>
    <w:rsid w:val="058B57D3"/>
    <w:rsid w:val="058D3611"/>
    <w:rsid w:val="05A7707C"/>
    <w:rsid w:val="05B25A51"/>
    <w:rsid w:val="05B34024"/>
    <w:rsid w:val="05BA54C3"/>
    <w:rsid w:val="05BC2B39"/>
    <w:rsid w:val="05C171C2"/>
    <w:rsid w:val="05DA0ADE"/>
    <w:rsid w:val="05DD43A7"/>
    <w:rsid w:val="05E029A5"/>
    <w:rsid w:val="05E20BC3"/>
    <w:rsid w:val="05E537C2"/>
    <w:rsid w:val="05E66CB7"/>
    <w:rsid w:val="05F82144"/>
    <w:rsid w:val="05F928F8"/>
    <w:rsid w:val="060047D8"/>
    <w:rsid w:val="060E7F2A"/>
    <w:rsid w:val="061A0D30"/>
    <w:rsid w:val="06275FBE"/>
    <w:rsid w:val="06292B4D"/>
    <w:rsid w:val="062D3580"/>
    <w:rsid w:val="062E1D6B"/>
    <w:rsid w:val="062F3A10"/>
    <w:rsid w:val="06321CA7"/>
    <w:rsid w:val="0632264C"/>
    <w:rsid w:val="06475461"/>
    <w:rsid w:val="06527E2F"/>
    <w:rsid w:val="06595547"/>
    <w:rsid w:val="066C3EB1"/>
    <w:rsid w:val="066E3B75"/>
    <w:rsid w:val="067B6CBA"/>
    <w:rsid w:val="069822D9"/>
    <w:rsid w:val="069A5C01"/>
    <w:rsid w:val="069E6492"/>
    <w:rsid w:val="06A527F0"/>
    <w:rsid w:val="06AC171C"/>
    <w:rsid w:val="06AE3964"/>
    <w:rsid w:val="06B324FE"/>
    <w:rsid w:val="06B37627"/>
    <w:rsid w:val="06B62719"/>
    <w:rsid w:val="06C504CE"/>
    <w:rsid w:val="06C53D03"/>
    <w:rsid w:val="06C93C5E"/>
    <w:rsid w:val="06CA5C18"/>
    <w:rsid w:val="06CC0BD5"/>
    <w:rsid w:val="06D25D71"/>
    <w:rsid w:val="06D34459"/>
    <w:rsid w:val="06D974E8"/>
    <w:rsid w:val="06ED1021"/>
    <w:rsid w:val="06F657D0"/>
    <w:rsid w:val="06F70BF4"/>
    <w:rsid w:val="071D128A"/>
    <w:rsid w:val="072A4E93"/>
    <w:rsid w:val="072D2F81"/>
    <w:rsid w:val="073711F4"/>
    <w:rsid w:val="07376561"/>
    <w:rsid w:val="073830AF"/>
    <w:rsid w:val="07386D26"/>
    <w:rsid w:val="073B4F81"/>
    <w:rsid w:val="073D03C6"/>
    <w:rsid w:val="073F714A"/>
    <w:rsid w:val="074D7D48"/>
    <w:rsid w:val="075563C9"/>
    <w:rsid w:val="07710F49"/>
    <w:rsid w:val="077146A3"/>
    <w:rsid w:val="07793CB7"/>
    <w:rsid w:val="078305C4"/>
    <w:rsid w:val="07894BBF"/>
    <w:rsid w:val="0789741D"/>
    <w:rsid w:val="078C12A5"/>
    <w:rsid w:val="078C35BD"/>
    <w:rsid w:val="0797656A"/>
    <w:rsid w:val="07A1237B"/>
    <w:rsid w:val="07AB31B8"/>
    <w:rsid w:val="07AF5CBD"/>
    <w:rsid w:val="07B36280"/>
    <w:rsid w:val="07BB756C"/>
    <w:rsid w:val="07C67BEF"/>
    <w:rsid w:val="07C74585"/>
    <w:rsid w:val="07CC25FA"/>
    <w:rsid w:val="07CD1F3F"/>
    <w:rsid w:val="07DB6A3D"/>
    <w:rsid w:val="07DF3AF2"/>
    <w:rsid w:val="07E62052"/>
    <w:rsid w:val="07EF6B7D"/>
    <w:rsid w:val="07FB705E"/>
    <w:rsid w:val="08177C1C"/>
    <w:rsid w:val="081866CE"/>
    <w:rsid w:val="082309F3"/>
    <w:rsid w:val="082B0362"/>
    <w:rsid w:val="082B5213"/>
    <w:rsid w:val="082F38AB"/>
    <w:rsid w:val="08324C29"/>
    <w:rsid w:val="08326169"/>
    <w:rsid w:val="083971E1"/>
    <w:rsid w:val="08432B91"/>
    <w:rsid w:val="084714FA"/>
    <w:rsid w:val="085D5A5A"/>
    <w:rsid w:val="086462CD"/>
    <w:rsid w:val="08740339"/>
    <w:rsid w:val="087414B6"/>
    <w:rsid w:val="08761325"/>
    <w:rsid w:val="087613FE"/>
    <w:rsid w:val="08827DF0"/>
    <w:rsid w:val="08974F89"/>
    <w:rsid w:val="08A42035"/>
    <w:rsid w:val="08B920A2"/>
    <w:rsid w:val="08BB321D"/>
    <w:rsid w:val="08C517A0"/>
    <w:rsid w:val="08CC1768"/>
    <w:rsid w:val="08D144DB"/>
    <w:rsid w:val="08D151C5"/>
    <w:rsid w:val="08D37234"/>
    <w:rsid w:val="08D6248A"/>
    <w:rsid w:val="08DD60B9"/>
    <w:rsid w:val="08DE318F"/>
    <w:rsid w:val="08E4633B"/>
    <w:rsid w:val="08F36BAC"/>
    <w:rsid w:val="08F809AA"/>
    <w:rsid w:val="08F92DB8"/>
    <w:rsid w:val="09012991"/>
    <w:rsid w:val="091453FE"/>
    <w:rsid w:val="091974DF"/>
    <w:rsid w:val="09236970"/>
    <w:rsid w:val="092905B8"/>
    <w:rsid w:val="09342126"/>
    <w:rsid w:val="093B5F8B"/>
    <w:rsid w:val="09436560"/>
    <w:rsid w:val="094F59DA"/>
    <w:rsid w:val="09575089"/>
    <w:rsid w:val="095B255C"/>
    <w:rsid w:val="095C2537"/>
    <w:rsid w:val="095F1305"/>
    <w:rsid w:val="09623EF2"/>
    <w:rsid w:val="097125A0"/>
    <w:rsid w:val="09804807"/>
    <w:rsid w:val="09853C90"/>
    <w:rsid w:val="098C17B9"/>
    <w:rsid w:val="09936FC3"/>
    <w:rsid w:val="09946D5C"/>
    <w:rsid w:val="09A64E42"/>
    <w:rsid w:val="09AD59EE"/>
    <w:rsid w:val="09AE12C5"/>
    <w:rsid w:val="09B12A44"/>
    <w:rsid w:val="09C32654"/>
    <w:rsid w:val="09C702DD"/>
    <w:rsid w:val="09CB0B0D"/>
    <w:rsid w:val="09D3769D"/>
    <w:rsid w:val="09DA1166"/>
    <w:rsid w:val="09E366DE"/>
    <w:rsid w:val="09E5583C"/>
    <w:rsid w:val="09ED02CC"/>
    <w:rsid w:val="09EE3AD3"/>
    <w:rsid w:val="09EE6657"/>
    <w:rsid w:val="09F66D64"/>
    <w:rsid w:val="0A031F61"/>
    <w:rsid w:val="0A0C347C"/>
    <w:rsid w:val="0A127B6F"/>
    <w:rsid w:val="0A222A1C"/>
    <w:rsid w:val="0A29722D"/>
    <w:rsid w:val="0A2C16CF"/>
    <w:rsid w:val="0A362975"/>
    <w:rsid w:val="0A384148"/>
    <w:rsid w:val="0A3A7D09"/>
    <w:rsid w:val="0A437D58"/>
    <w:rsid w:val="0A492346"/>
    <w:rsid w:val="0A4D0BCF"/>
    <w:rsid w:val="0A4F0699"/>
    <w:rsid w:val="0A566443"/>
    <w:rsid w:val="0A634F6F"/>
    <w:rsid w:val="0A6D6118"/>
    <w:rsid w:val="0A707775"/>
    <w:rsid w:val="0A744864"/>
    <w:rsid w:val="0A7B0AEE"/>
    <w:rsid w:val="0A7F0818"/>
    <w:rsid w:val="0A81023E"/>
    <w:rsid w:val="0A840B51"/>
    <w:rsid w:val="0A93351A"/>
    <w:rsid w:val="0A974E90"/>
    <w:rsid w:val="0AA3430A"/>
    <w:rsid w:val="0AB24423"/>
    <w:rsid w:val="0AB90A56"/>
    <w:rsid w:val="0ABC1246"/>
    <w:rsid w:val="0ABD7E7A"/>
    <w:rsid w:val="0AC811C3"/>
    <w:rsid w:val="0AC8329E"/>
    <w:rsid w:val="0ACE2920"/>
    <w:rsid w:val="0ADC5956"/>
    <w:rsid w:val="0ADF714A"/>
    <w:rsid w:val="0AE51545"/>
    <w:rsid w:val="0AEC1707"/>
    <w:rsid w:val="0AEF3257"/>
    <w:rsid w:val="0AF6400E"/>
    <w:rsid w:val="0B0750F0"/>
    <w:rsid w:val="0B181B0D"/>
    <w:rsid w:val="0B185FC3"/>
    <w:rsid w:val="0B1A38DA"/>
    <w:rsid w:val="0B397DE7"/>
    <w:rsid w:val="0B3F6ED7"/>
    <w:rsid w:val="0B4E68F3"/>
    <w:rsid w:val="0B5B7494"/>
    <w:rsid w:val="0B5D2FEC"/>
    <w:rsid w:val="0B752406"/>
    <w:rsid w:val="0B781007"/>
    <w:rsid w:val="0B8B4E56"/>
    <w:rsid w:val="0B974136"/>
    <w:rsid w:val="0B9A53DA"/>
    <w:rsid w:val="0BAA094B"/>
    <w:rsid w:val="0BB95620"/>
    <w:rsid w:val="0BC46F87"/>
    <w:rsid w:val="0BC97E2A"/>
    <w:rsid w:val="0BCF0C8F"/>
    <w:rsid w:val="0BD453CF"/>
    <w:rsid w:val="0BDB1723"/>
    <w:rsid w:val="0BE46C37"/>
    <w:rsid w:val="0BE47AEA"/>
    <w:rsid w:val="0BF31B2B"/>
    <w:rsid w:val="0BF735AB"/>
    <w:rsid w:val="0BFE6929"/>
    <w:rsid w:val="0C06165F"/>
    <w:rsid w:val="0C1D2405"/>
    <w:rsid w:val="0C3211CF"/>
    <w:rsid w:val="0C3F1F4B"/>
    <w:rsid w:val="0C4E53DC"/>
    <w:rsid w:val="0C520F4C"/>
    <w:rsid w:val="0C5307CD"/>
    <w:rsid w:val="0C547855"/>
    <w:rsid w:val="0C564C94"/>
    <w:rsid w:val="0C623E5B"/>
    <w:rsid w:val="0C640BA5"/>
    <w:rsid w:val="0C83191D"/>
    <w:rsid w:val="0C8B2068"/>
    <w:rsid w:val="0C945B0C"/>
    <w:rsid w:val="0C9F3036"/>
    <w:rsid w:val="0CA1108E"/>
    <w:rsid w:val="0CA627DE"/>
    <w:rsid w:val="0CA92FCB"/>
    <w:rsid w:val="0CAC6A0C"/>
    <w:rsid w:val="0CCB0863"/>
    <w:rsid w:val="0CCB5BE0"/>
    <w:rsid w:val="0CCE325B"/>
    <w:rsid w:val="0CCF611E"/>
    <w:rsid w:val="0CD02B56"/>
    <w:rsid w:val="0CE65050"/>
    <w:rsid w:val="0CF01379"/>
    <w:rsid w:val="0CF04C03"/>
    <w:rsid w:val="0D011728"/>
    <w:rsid w:val="0D094F4C"/>
    <w:rsid w:val="0D0A3016"/>
    <w:rsid w:val="0D112C42"/>
    <w:rsid w:val="0D142DA3"/>
    <w:rsid w:val="0D1611BE"/>
    <w:rsid w:val="0D1F7808"/>
    <w:rsid w:val="0D232094"/>
    <w:rsid w:val="0D2B69AC"/>
    <w:rsid w:val="0D3F3238"/>
    <w:rsid w:val="0D403D50"/>
    <w:rsid w:val="0D5930B4"/>
    <w:rsid w:val="0D6C37CA"/>
    <w:rsid w:val="0D6D52FB"/>
    <w:rsid w:val="0D804A00"/>
    <w:rsid w:val="0D804AF7"/>
    <w:rsid w:val="0D8A2318"/>
    <w:rsid w:val="0D8C3B39"/>
    <w:rsid w:val="0D8D2BB1"/>
    <w:rsid w:val="0D947909"/>
    <w:rsid w:val="0D9C1F69"/>
    <w:rsid w:val="0DA51B8A"/>
    <w:rsid w:val="0DA731A8"/>
    <w:rsid w:val="0DA77AA8"/>
    <w:rsid w:val="0DAB5E3E"/>
    <w:rsid w:val="0DB5208C"/>
    <w:rsid w:val="0DC96F2A"/>
    <w:rsid w:val="0DCD21C8"/>
    <w:rsid w:val="0DCF3F5F"/>
    <w:rsid w:val="0DDE1014"/>
    <w:rsid w:val="0DE10940"/>
    <w:rsid w:val="0DE36AA8"/>
    <w:rsid w:val="0DE538B8"/>
    <w:rsid w:val="0DF50F71"/>
    <w:rsid w:val="0DF80FE8"/>
    <w:rsid w:val="0DF8136C"/>
    <w:rsid w:val="0E1D4B14"/>
    <w:rsid w:val="0E297F0A"/>
    <w:rsid w:val="0E351ED5"/>
    <w:rsid w:val="0E494D17"/>
    <w:rsid w:val="0E500971"/>
    <w:rsid w:val="0E5C0B54"/>
    <w:rsid w:val="0E6200BA"/>
    <w:rsid w:val="0E92229F"/>
    <w:rsid w:val="0EB74FB6"/>
    <w:rsid w:val="0EBA3E96"/>
    <w:rsid w:val="0EBD00B9"/>
    <w:rsid w:val="0EBD14BB"/>
    <w:rsid w:val="0EC11770"/>
    <w:rsid w:val="0ECE7C05"/>
    <w:rsid w:val="0EDA4193"/>
    <w:rsid w:val="0EE36FFE"/>
    <w:rsid w:val="0EE471DF"/>
    <w:rsid w:val="0EEF4888"/>
    <w:rsid w:val="0EF86BAF"/>
    <w:rsid w:val="0EFF695E"/>
    <w:rsid w:val="0F0A266B"/>
    <w:rsid w:val="0F0E72E0"/>
    <w:rsid w:val="0F19183D"/>
    <w:rsid w:val="0F2335AB"/>
    <w:rsid w:val="0F250BAF"/>
    <w:rsid w:val="0F262023"/>
    <w:rsid w:val="0F26508B"/>
    <w:rsid w:val="0F2817A1"/>
    <w:rsid w:val="0F2A0028"/>
    <w:rsid w:val="0F303C1E"/>
    <w:rsid w:val="0F362667"/>
    <w:rsid w:val="0F3C7401"/>
    <w:rsid w:val="0F3E3E38"/>
    <w:rsid w:val="0F402224"/>
    <w:rsid w:val="0F451577"/>
    <w:rsid w:val="0F4F4996"/>
    <w:rsid w:val="0F5229B3"/>
    <w:rsid w:val="0F58009F"/>
    <w:rsid w:val="0F612436"/>
    <w:rsid w:val="0F694AA9"/>
    <w:rsid w:val="0F6956E4"/>
    <w:rsid w:val="0F81737E"/>
    <w:rsid w:val="0F872E0F"/>
    <w:rsid w:val="0FA062F3"/>
    <w:rsid w:val="0FAE784A"/>
    <w:rsid w:val="0FB22494"/>
    <w:rsid w:val="0FB41949"/>
    <w:rsid w:val="0FB90369"/>
    <w:rsid w:val="0FBC5D75"/>
    <w:rsid w:val="0FC475B0"/>
    <w:rsid w:val="0FCB4D59"/>
    <w:rsid w:val="0FCD6509"/>
    <w:rsid w:val="0FCE27E7"/>
    <w:rsid w:val="0FD82F98"/>
    <w:rsid w:val="0FE035A6"/>
    <w:rsid w:val="0FE231CA"/>
    <w:rsid w:val="0FE82539"/>
    <w:rsid w:val="0FF45F0D"/>
    <w:rsid w:val="0FFC4CE5"/>
    <w:rsid w:val="0FFD2047"/>
    <w:rsid w:val="101677BE"/>
    <w:rsid w:val="101773DB"/>
    <w:rsid w:val="102612F5"/>
    <w:rsid w:val="102F73C2"/>
    <w:rsid w:val="10374854"/>
    <w:rsid w:val="103B4A6E"/>
    <w:rsid w:val="10500BE0"/>
    <w:rsid w:val="105110FF"/>
    <w:rsid w:val="105F0F86"/>
    <w:rsid w:val="10672A05"/>
    <w:rsid w:val="10785AA8"/>
    <w:rsid w:val="107A607D"/>
    <w:rsid w:val="107D5524"/>
    <w:rsid w:val="108816F7"/>
    <w:rsid w:val="10925381"/>
    <w:rsid w:val="10A16005"/>
    <w:rsid w:val="10A446AE"/>
    <w:rsid w:val="10B5541F"/>
    <w:rsid w:val="10C27421"/>
    <w:rsid w:val="10E155EE"/>
    <w:rsid w:val="10E66CBA"/>
    <w:rsid w:val="10EA6828"/>
    <w:rsid w:val="10EC452A"/>
    <w:rsid w:val="10EF4A7E"/>
    <w:rsid w:val="10F31B4F"/>
    <w:rsid w:val="10F35DD7"/>
    <w:rsid w:val="10F4276D"/>
    <w:rsid w:val="10FA4B0D"/>
    <w:rsid w:val="110E3A82"/>
    <w:rsid w:val="11132A39"/>
    <w:rsid w:val="1117761D"/>
    <w:rsid w:val="11196308"/>
    <w:rsid w:val="111C3718"/>
    <w:rsid w:val="11222B03"/>
    <w:rsid w:val="11297EBD"/>
    <w:rsid w:val="11365503"/>
    <w:rsid w:val="11427DE1"/>
    <w:rsid w:val="1147189A"/>
    <w:rsid w:val="114A7560"/>
    <w:rsid w:val="114B4B74"/>
    <w:rsid w:val="114E04E2"/>
    <w:rsid w:val="11506F7F"/>
    <w:rsid w:val="115D5315"/>
    <w:rsid w:val="11683BE9"/>
    <w:rsid w:val="11765A51"/>
    <w:rsid w:val="11783DD5"/>
    <w:rsid w:val="117D7A64"/>
    <w:rsid w:val="118273A1"/>
    <w:rsid w:val="118B349C"/>
    <w:rsid w:val="11A030D6"/>
    <w:rsid w:val="11B408EE"/>
    <w:rsid w:val="11B45EBA"/>
    <w:rsid w:val="11B54E0F"/>
    <w:rsid w:val="11BF7C12"/>
    <w:rsid w:val="11C8237D"/>
    <w:rsid w:val="11CD1B5E"/>
    <w:rsid w:val="11D41AF6"/>
    <w:rsid w:val="11D55DA8"/>
    <w:rsid w:val="11E331E0"/>
    <w:rsid w:val="11F00300"/>
    <w:rsid w:val="11F934CC"/>
    <w:rsid w:val="11FD0BCA"/>
    <w:rsid w:val="1205755A"/>
    <w:rsid w:val="1214783D"/>
    <w:rsid w:val="12191EC2"/>
    <w:rsid w:val="122901DE"/>
    <w:rsid w:val="1229525E"/>
    <w:rsid w:val="123477BF"/>
    <w:rsid w:val="123B5BA0"/>
    <w:rsid w:val="124720AA"/>
    <w:rsid w:val="124C0A08"/>
    <w:rsid w:val="124D16D2"/>
    <w:rsid w:val="12544FD8"/>
    <w:rsid w:val="125A788A"/>
    <w:rsid w:val="125B0AC3"/>
    <w:rsid w:val="125C2979"/>
    <w:rsid w:val="125D114D"/>
    <w:rsid w:val="1269054F"/>
    <w:rsid w:val="12691ED8"/>
    <w:rsid w:val="126A0311"/>
    <w:rsid w:val="127316B6"/>
    <w:rsid w:val="12784A53"/>
    <w:rsid w:val="1288245E"/>
    <w:rsid w:val="128B3B27"/>
    <w:rsid w:val="1291433D"/>
    <w:rsid w:val="129220B8"/>
    <w:rsid w:val="12937CB3"/>
    <w:rsid w:val="12952467"/>
    <w:rsid w:val="129A7DC3"/>
    <w:rsid w:val="129D78EB"/>
    <w:rsid w:val="129E39A6"/>
    <w:rsid w:val="12A80A90"/>
    <w:rsid w:val="12AC62D3"/>
    <w:rsid w:val="12B80C15"/>
    <w:rsid w:val="12C43FAF"/>
    <w:rsid w:val="12CE5301"/>
    <w:rsid w:val="12D17696"/>
    <w:rsid w:val="12DE050E"/>
    <w:rsid w:val="12E65846"/>
    <w:rsid w:val="12E73C34"/>
    <w:rsid w:val="12EE7A34"/>
    <w:rsid w:val="12F57336"/>
    <w:rsid w:val="12F65C29"/>
    <w:rsid w:val="12FD3485"/>
    <w:rsid w:val="13022974"/>
    <w:rsid w:val="13033C0C"/>
    <w:rsid w:val="1306576C"/>
    <w:rsid w:val="130E26E1"/>
    <w:rsid w:val="131A31F0"/>
    <w:rsid w:val="131C6AAD"/>
    <w:rsid w:val="131D7B8F"/>
    <w:rsid w:val="131E5414"/>
    <w:rsid w:val="13236E43"/>
    <w:rsid w:val="13283B41"/>
    <w:rsid w:val="132F480C"/>
    <w:rsid w:val="13393182"/>
    <w:rsid w:val="134145B5"/>
    <w:rsid w:val="134625FD"/>
    <w:rsid w:val="134A1A56"/>
    <w:rsid w:val="13526C9F"/>
    <w:rsid w:val="1353235A"/>
    <w:rsid w:val="136B4542"/>
    <w:rsid w:val="137A2A6A"/>
    <w:rsid w:val="13966FD3"/>
    <w:rsid w:val="13A041CC"/>
    <w:rsid w:val="13A15104"/>
    <w:rsid w:val="13A51648"/>
    <w:rsid w:val="13A66E07"/>
    <w:rsid w:val="13B0617B"/>
    <w:rsid w:val="13B32590"/>
    <w:rsid w:val="13C32C46"/>
    <w:rsid w:val="13C72E82"/>
    <w:rsid w:val="13C74753"/>
    <w:rsid w:val="13CF6522"/>
    <w:rsid w:val="13D43765"/>
    <w:rsid w:val="13D521F9"/>
    <w:rsid w:val="13DB6AF6"/>
    <w:rsid w:val="13EB31F1"/>
    <w:rsid w:val="13ED31BA"/>
    <w:rsid w:val="13F4549E"/>
    <w:rsid w:val="140B2C94"/>
    <w:rsid w:val="140D0883"/>
    <w:rsid w:val="140D56A0"/>
    <w:rsid w:val="1410457B"/>
    <w:rsid w:val="141131A0"/>
    <w:rsid w:val="14122E98"/>
    <w:rsid w:val="1414340A"/>
    <w:rsid w:val="14162F2D"/>
    <w:rsid w:val="14176A23"/>
    <w:rsid w:val="141A121C"/>
    <w:rsid w:val="142B5F52"/>
    <w:rsid w:val="143A03C2"/>
    <w:rsid w:val="144168A3"/>
    <w:rsid w:val="144A0B11"/>
    <w:rsid w:val="144B56EF"/>
    <w:rsid w:val="144C008F"/>
    <w:rsid w:val="144C59B5"/>
    <w:rsid w:val="144D46EF"/>
    <w:rsid w:val="144F7241"/>
    <w:rsid w:val="14680762"/>
    <w:rsid w:val="146B69E4"/>
    <w:rsid w:val="146F5296"/>
    <w:rsid w:val="14782755"/>
    <w:rsid w:val="14801919"/>
    <w:rsid w:val="14861714"/>
    <w:rsid w:val="1492637A"/>
    <w:rsid w:val="14983A4A"/>
    <w:rsid w:val="14A94FED"/>
    <w:rsid w:val="14A9504A"/>
    <w:rsid w:val="14AB3FC0"/>
    <w:rsid w:val="14AE3408"/>
    <w:rsid w:val="14AE4E20"/>
    <w:rsid w:val="14B05AE3"/>
    <w:rsid w:val="14B247CF"/>
    <w:rsid w:val="14B63EC6"/>
    <w:rsid w:val="14BB3D85"/>
    <w:rsid w:val="14C87271"/>
    <w:rsid w:val="14C9149D"/>
    <w:rsid w:val="14C91B58"/>
    <w:rsid w:val="14D62DCD"/>
    <w:rsid w:val="14D6585D"/>
    <w:rsid w:val="14E21AEC"/>
    <w:rsid w:val="14EB5121"/>
    <w:rsid w:val="14ED1AF1"/>
    <w:rsid w:val="14EF4729"/>
    <w:rsid w:val="15050DB6"/>
    <w:rsid w:val="15054273"/>
    <w:rsid w:val="150B7290"/>
    <w:rsid w:val="150D49E0"/>
    <w:rsid w:val="15135019"/>
    <w:rsid w:val="151625F0"/>
    <w:rsid w:val="151725C0"/>
    <w:rsid w:val="15227D0B"/>
    <w:rsid w:val="15256486"/>
    <w:rsid w:val="15277D13"/>
    <w:rsid w:val="15344EF4"/>
    <w:rsid w:val="15374C81"/>
    <w:rsid w:val="154532F3"/>
    <w:rsid w:val="154630B6"/>
    <w:rsid w:val="154A0E69"/>
    <w:rsid w:val="155F0F2F"/>
    <w:rsid w:val="156170C6"/>
    <w:rsid w:val="15643FF0"/>
    <w:rsid w:val="15726376"/>
    <w:rsid w:val="15831973"/>
    <w:rsid w:val="158E0D42"/>
    <w:rsid w:val="158E1DA9"/>
    <w:rsid w:val="1592589C"/>
    <w:rsid w:val="159769BC"/>
    <w:rsid w:val="159A5864"/>
    <w:rsid w:val="159B697B"/>
    <w:rsid w:val="159F5416"/>
    <w:rsid w:val="15A54F38"/>
    <w:rsid w:val="15A602F2"/>
    <w:rsid w:val="15A912C8"/>
    <w:rsid w:val="15A97536"/>
    <w:rsid w:val="15B06493"/>
    <w:rsid w:val="15B32753"/>
    <w:rsid w:val="15B63097"/>
    <w:rsid w:val="15C34D2D"/>
    <w:rsid w:val="15C70747"/>
    <w:rsid w:val="15CF072B"/>
    <w:rsid w:val="15D565F9"/>
    <w:rsid w:val="15D90D6D"/>
    <w:rsid w:val="15DD3E84"/>
    <w:rsid w:val="15E04E1F"/>
    <w:rsid w:val="15E503B5"/>
    <w:rsid w:val="15E77567"/>
    <w:rsid w:val="15E917E8"/>
    <w:rsid w:val="15EA62E9"/>
    <w:rsid w:val="15ECDC34"/>
    <w:rsid w:val="15FC1C8E"/>
    <w:rsid w:val="15FE2D6C"/>
    <w:rsid w:val="16123768"/>
    <w:rsid w:val="1617097C"/>
    <w:rsid w:val="16184C36"/>
    <w:rsid w:val="161C3E21"/>
    <w:rsid w:val="16200801"/>
    <w:rsid w:val="162674E6"/>
    <w:rsid w:val="162D6022"/>
    <w:rsid w:val="16385C65"/>
    <w:rsid w:val="163C02B5"/>
    <w:rsid w:val="163C0349"/>
    <w:rsid w:val="164D199F"/>
    <w:rsid w:val="164D5E99"/>
    <w:rsid w:val="165C683C"/>
    <w:rsid w:val="166164A5"/>
    <w:rsid w:val="16625CB6"/>
    <w:rsid w:val="1676111C"/>
    <w:rsid w:val="167F411B"/>
    <w:rsid w:val="167F4EFC"/>
    <w:rsid w:val="1685774E"/>
    <w:rsid w:val="16875C9E"/>
    <w:rsid w:val="16894593"/>
    <w:rsid w:val="168E1F79"/>
    <w:rsid w:val="169110E8"/>
    <w:rsid w:val="169644A9"/>
    <w:rsid w:val="169A7B3B"/>
    <w:rsid w:val="16AC6366"/>
    <w:rsid w:val="16B107C7"/>
    <w:rsid w:val="16B5338C"/>
    <w:rsid w:val="16B8722B"/>
    <w:rsid w:val="16BF6881"/>
    <w:rsid w:val="16C5250B"/>
    <w:rsid w:val="16C70099"/>
    <w:rsid w:val="16C87A82"/>
    <w:rsid w:val="16CB3BCC"/>
    <w:rsid w:val="16CD6F5D"/>
    <w:rsid w:val="16D9579A"/>
    <w:rsid w:val="16ED61F6"/>
    <w:rsid w:val="16F11E7F"/>
    <w:rsid w:val="16F36502"/>
    <w:rsid w:val="16F8500B"/>
    <w:rsid w:val="16FC56A3"/>
    <w:rsid w:val="171152DE"/>
    <w:rsid w:val="17180376"/>
    <w:rsid w:val="172A45AF"/>
    <w:rsid w:val="172B063D"/>
    <w:rsid w:val="17366025"/>
    <w:rsid w:val="173970B9"/>
    <w:rsid w:val="173C129F"/>
    <w:rsid w:val="173D5C8D"/>
    <w:rsid w:val="17414199"/>
    <w:rsid w:val="174677BB"/>
    <w:rsid w:val="174B21FD"/>
    <w:rsid w:val="174B7873"/>
    <w:rsid w:val="17563CDB"/>
    <w:rsid w:val="17620EEE"/>
    <w:rsid w:val="17641D0C"/>
    <w:rsid w:val="17666B8B"/>
    <w:rsid w:val="17672AE0"/>
    <w:rsid w:val="17673B2D"/>
    <w:rsid w:val="176F7856"/>
    <w:rsid w:val="177E19D4"/>
    <w:rsid w:val="1780159D"/>
    <w:rsid w:val="178907EB"/>
    <w:rsid w:val="1789394D"/>
    <w:rsid w:val="1792438C"/>
    <w:rsid w:val="17950266"/>
    <w:rsid w:val="179B410F"/>
    <w:rsid w:val="17A32EA2"/>
    <w:rsid w:val="17A3464C"/>
    <w:rsid w:val="17A42247"/>
    <w:rsid w:val="17AB0E90"/>
    <w:rsid w:val="17AC4A25"/>
    <w:rsid w:val="17AE3DF9"/>
    <w:rsid w:val="17B17001"/>
    <w:rsid w:val="17B66C8C"/>
    <w:rsid w:val="17B7390A"/>
    <w:rsid w:val="17CE4EE8"/>
    <w:rsid w:val="17D30995"/>
    <w:rsid w:val="17D51474"/>
    <w:rsid w:val="17E14BE0"/>
    <w:rsid w:val="17E9009B"/>
    <w:rsid w:val="17F04B0C"/>
    <w:rsid w:val="17F9514B"/>
    <w:rsid w:val="17FA028A"/>
    <w:rsid w:val="18052C62"/>
    <w:rsid w:val="18222D01"/>
    <w:rsid w:val="18233912"/>
    <w:rsid w:val="182F4000"/>
    <w:rsid w:val="18320EDA"/>
    <w:rsid w:val="1842371C"/>
    <w:rsid w:val="18465356"/>
    <w:rsid w:val="184675AA"/>
    <w:rsid w:val="184D75B5"/>
    <w:rsid w:val="184E57AD"/>
    <w:rsid w:val="18570F48"/>
    <w:rsid w:val="185D7F03"/>
    <w:rsid w:val="18651308"/>
    <w:rsid w:val="18691228"/>
    <w:rsid w:val="187D68BE"/>
    <w:rsid w:val="187E61D4"/>
    <w:rsid w:val="188405EE"/>
    <w:rsid w:val="18870B3C"/>
    <w:rsid w:val="18887FCB"/>
    <w:rsid w:val="188D113E"/>
    <w:rsid w:val="188D2C31"/>
    <w:rsid w:val="189221DA"/>
    <w:rsid w:val="189B0340"/>
    <w:rsid w:val="18AB5F50"/>
    <w:rsid w:val="18C50DCA"/>
    <w:rsid w:val="18CC5680"/>
    <w:rsid w:val="18D351C1"/>
    <w:rsid w:val="18DA0C0E"/>
    <w:rsid w:val="18E273C9"/>
    <w:rsid w:val="18E31592"/>
    <w:rsid w:val="18E46383"/>
    <w:rsid w:val="18E77C11"/>
    <w:rsid w:val="18EA422C"/>
    <w:rsid w:val="18EB4D39"/>
    <w:rsid w:val="18EC1531"/>
    <w:rsid w:val="190C148B"/>
    <w:rsid w:val="1915664F"/>
    <w:rsid w:val="19286A05"/>
    <w:rsid w:val="192D6677"/>
    <w:rsid w:val="193619AF"/>
    <w:rsid w:val="19377763"/>
    <w:rsid w:val="193A1063"/>
    <w:rsid w:val="193D169B"/>
    <w:rsid w:val="19483488"/>
    <w:rsid w:val="19541E21"/>
    <w:rsid w:val="195B2677"/>
    <w:rsid w:val="19615618"/>
    <w:rsid w:val="19726221"/>
    <w:rsid w:val="19774296"/>
    <w:rsid w:val="197A5974"/>
    <w:rsid w:val="19882C6F"/>
    <w:rsid w:val="198C7D58"/>
    <w:rsid w:val="19915327"/>
    <w:rsid w:val="19963FD6"/>
    <w:rsid w:val="19AD174C"/>
    <w:rsid w:val="19B11F24"/>
    <w:rsid w:val="19BC0BC7"/>
    <w:rsid w:val="19C94B44"/>
    <w:rsid w:val="19CA6F8B"/>
    <w:rsid w:val="19CF0F3E"/>
    <w:rsid w:val="19D72D72"/>
    <w:rsid w:val="19DE2F19"/>
    <w:rsid w:val="19E03225"/>
    <w:rsid w:val="19E172C1"/>
    <w:rsid w:val="19E222FF"/>
    <w:rsid w:val="19F517D2"/>
    <w:rsid w:val="19F6750F"/>
    <w:rsid w:val="1A086052"/>
    <w:rsid w:val="1A0F270F"/>
    <w:rsid w:val="1A1B6926"/>
    <w:rsid w:val="1A1D0E5F"/>
    <w:rsid w:val="1A1E3D8E"/>
    <w:rsid w:val="1A255D45"/>
    <w:rsid w:val="1A2B3E01"/>
    <w:rsid w:val="1A2D042A"/>
    <w:rsid w:val="1A373710"/>
    <w:rsid w:val="1A3E3664"/>
    <w:rsid w:val="1A536F52"/>
    <w:rsid w:val="1A54786E"/>
    <w:rsid w:val="1A5E0937"/>
    <w:rsid w:val="1A647A89"/>
    <w:rsid w:val="1A661089"/>
    <w:rsid w:val="1A6747D5"/>
    <w:rsid w:val="1A6C4EB1"/>
    <w:rsid w:val="1A704D89"/>
    <w:rsid w:val="1A754AB6"/>
    <w:rsid w:val="1A7A3149"/>
    <w:rsid w:val="1A7F4F97"/>
    <w:rsid w:val="1A8E5240"/>
    <w:rsid w:val="1A953D98"/>
    <w:rsid w:val="1A9E55BE"/>
    <w:rsid w:val="1AAA5D29"/>
    <w:rsid w:val="1AAB017A"/>
    <w:rsid w:val="1AAE7847"/>
    <w:rsid w:val="1AB0305E"/>
    <w:rsid w:val="1AB12E86"/>
    <w:rsid w:val="1AB61DCB"/>
    <w:rsid w:val="1AC34736"/>
    <w:rsid w:val="1AC807BD"/>
    <w:rsid w:val="1ACF4628"/>
    <w:rsid w:val="1AD305F7"/>
    <w:rsid w:val="1AD8671D"/>
    <w:rsid w:val="1ADE1CE9"/>
    <w:rsid w:val="1ADF68C2"/>
    <w:rsid w:val="1AE313A7"/>
    <w:rsid w:val="1AEB2657"/>
    <w:rsid w:val="1AED2AC5"/>
    <w:rsid w:val="1AF21441"/>
    <w:rsid w:val="1AF7720B"/>
    <w:rsid w:val="1AF86173"/>
    <w:rsid w:val="1B043150"/>
    <w:rsid w:val="1B0A0449"/>
    <w:rsid w:val="1B214344"/>
    <w:rsid w:val="1B2618AA"/>
    <w:rsid w:val="1B282A1F"/>
    <w:rsid w:val="1B2C2900"/>
    <w:rsid w:val="1B2E270D"/>
    <w:rsid w:val="1B3A6ABC"/>
    <w:rsid w:val="1B411CAD"/>
    <w:rsid w:val="1B472C60"/>
    <w:rsid w:val="1B481F20"/>
    <w:rsid w:val="1B525520"/>
    <w:rsid w:val="1B5D658A"/>
    <w:rsid w:val="1B6810CA"/>
    <w:rsid w:val="1B847190"/>
    <w:rsid w:val="1B855D1B"/>
    <w:rsid w:val="1B901D24"/>
    <w:rsid w:val="1B9238C5"/>
    <w:rsid w:val="1BA330E6"/>
    <w:rsid w:val="1BAA12C3"/>
    <w:rsid w:val="1BB11D65"/>
    <w:rsid w:val="1BBB4785"/>
    <w:rsid w:val="1BC842A7"/>
    <w:rsid w:val="1BCE55CD"/>
    <w:rsid w:val="1BD22422"/>
    <w:rsid w:val="1BD758BF"/>
    <w:rsid w:val="1BD85C0F"/>
    <w:rsid w:val="1BE665A9"/>
    <w:rsid w:val="1BEA7134"/>
    <w:rsid w:val="1BEF752C"/>
    <w:rsid w:val="1C094D52"/>
    <w:rsid w:val="1C09660A"/>
    <w:rsid w:val="1C0C12F3"/>
    <w:rsid w:val="1C0C5FC4"/>
    <w:rsid w:val="1C121A2E"/>
    <w:rsid w:val="1C213CA2"/>
    <w:rsid w:val="1C2166E4"/>
    <w:rsid w:val="1C3450D3"/>
    <w:rsid w:val="1C395626"/>
    <w:rsid w:val="1C411BAD"/>
    <w:rsid w:val="1C4214B8"/>
    <w:rsid w:val="1C446FD1"/>
    <w:rsid w:val="1C5E4C20"/>
    <w:rsid w:val="1C627F5F"/>
    <w:rsid w:val="1C694234"/>
    <w:rsid w:val="1C6B0791"/>
    <w:rsid w:val="1C6C0803"/>
    <w:rsid w:val="1C6C2F64"/>
    <w:rsid w:val="1C6C7F45"/>
    <w:rsid w:val="1C75055D"/>
    <w:rsid w:val="1C78079F"/>
    <w:rsid w:val="1C7A5560"/>
    <w:rsid w:val="1C8F5CE6"/>
    <w:rsid w:val="1CA32590"/>
    <w:rsid w:val="1CA33E9F"/>
    <w:rsid w:val="1CA607B5"/>
    <w:rsid w:val="1CA8077E"/>
    <w:rsid w:val="1CAD3C39"/>
    <w:rsid w:val="1CAD3C3E"/>
    <w:rsid w:val="1CC2215E"/>
    <w:rsid w:val="1CC94337"/>
    <w:rsid w:val="1CE449DF"/>
    <w:rsid w:val="1CED2ECD"/>
    <w:rsid w:val="1CF54195"/>
    <w:rsid w:val="1CF93E83"/>
    <w:rsid w:val="1CFA75FA"/>
    <w:rsid w:val="1D0761EB"/>
    <w:rsid w:val="1D0A56B3"/>
    <w:rsid w:val="1D0B255B"/>
    <w:rsid w:val="1D0C052F"/>
    <w:rsid w:val="1D16136B"/>
    <w:rsid w:val="1D1979CC"/>
    <w:rsid w:val="1D200E8A"/>
    <w:rsid w:val="1D24489F"/>
    <w:rsid w:val="1D276E31"/>
    <w:rsid w:val="1D324838"/>
    <w:rsid w:val="1D4A6C0C"/>
    <w:rsid w:val="1D4E0F11"/>
    <w:rsid w:val="1D544CD0"/>
    <w:rsid w:val="1D570664"/>
    <w:rsid w:val="1D5959B8"/>
    <w:rsid w:val="1D662D00"/>
    <w:rsid w:val="1D6715D4"/>
    <w:rsid w:val="1D731564"/>
    <w:rsid w:val="1D7F48D9"/>
    <w:rsid w:val="1D800675"/>
    <w:rsid w:val="1D883C26"/>
    <w:rsid w:val="1D901466"/>
    <w:rsid w:val="1D916CA9"/>
    <w:rsid w:val="1D986D58"/>
    <w:rsid w:val="1DA03981"/>
    <w:rsid w:val="1DA436CC"/>
    <w:rsid w:val="1DAA548B"/>
    <w:rsid w:val="1DAE6C6E"/>
    <w:rsid w:val="1DB03F77"/>
    <w:rsid w:val="1DBB5F1A"/>
    <w:rsid w:val="1DBC6165"/>
    <w:rsid w:val="1DCB6C52"/>
    <w:rsid w:val="1DD332A5"/>
    <w:rsid w:val="1DE75E8F"/>
    <w:rsid w:val="1DE819A8"/>
    <w:rsid w:val="1DEC5DFD"/>
    <w:rsid w:val="1DEE6BE7"/>
    <w:rsid w:val="1DF00C8B"/>
    <w:rsid w:val="1DF57CC0"/>
    <w:rsid w:val="1E0631EA"/>
    <w:rsid w:val="1E07035C"/>
    <w:rsid w:val="1E0A72C5"/>
    <w:rsid w:val="1E0E1D8B"/>
    <w:rsid w:val="1E136084"/>
    <w:rsid w:val="1E152737"/>
    <w:rsid w:val="1E19443F"/>
    <w:rsid w:val="1E1A4A82"/>
    <w:rsid w:val="1E1E7098"/>
    <w:rsid w:val="1E414076"/>
    <w:rsid w:val="1E444ACF"/>
    <w:rsid w:val="1E4809CB"/>
    <w:rsid w:val="1E4D2C6C"/>
    <w:rsid w:val="1E560B35"/>
    <w:rsid w:val="1E583CD3"/>
    <w:rsid w:val="1E5F1645"/>
    <w:rsid w:val="1E5F35E9"/>
    <w:rsid w:val="1E6142BE"/>
    <w:rsid w:val="1E7A5305"/>
    <w:rsid w:val="1E7F64D3"/>
    <w:rsid w:val="1E820C8A"/>
    <w:rsid w:val="1E86624C"/>
    <w:rsid w:val="1E9021F3"/>
    <w:rsid w:val="1EA57CBE"/>
    <w:rsid w:val="1EA920DC"/>
    <w:rsid w:val="1EAA3A02"/>
    <w:rsid w:val="1EAC1876"/>
    <w:rsid w:val="1EB31215"/>
    <w:rsid w:val="1EB41EF0"/>
    <w:rsid w:val="1ED627B8"/>
    <w:rsid w:val="1EDC0CE5"/>
    <w:rsid w:val="1EDC6549"/>
    <w:rsid w:val="1F0513B1"/>
    <w:rsid w:val="1F0C3501"/>
    <w:rsid w:val="1F1375E7"/>
    <w:rsid w:val="1F165715"/>
    <w:rsid w:val="1F1A0957"/>
    <w:rsid w:val="1F1B3A0D"/>
    <w:rsid w:val="1F1F3FCD"/>
    <w:rsid w:val="1F1F4D89"/>
    <w:rsid w:val="1F236E35"/>
    <w:rsid w:val="1F291469"/>
    <w:rsid w:val="1F2C754B"/>
    <w:rsid w:val="1F2F45FF"/>
    <w:rsid w:val="1F2F5EFC"/>
    <w:rsid w:val="1F332C99"/>
    <w:rsid w:val="1F3F43A2"/>
    <w:rsid w:val="1F46517B"/>
    <w:rsid w:val="1F490484"/>
    <w:rsid w:val="1F4D6CC4"/>
    <w:rsid w:val="1F4E7A1B"/>
    <w:rsid w:val="1F50248D"/>
    <w:rsid w:val="1F57217C"/>
    <w:rsid w:val="1F677E03"/>
    <w:rsid w:val="1F727F37"/>
    <w:rsid w:val="1F8320D0"/>
    <w:rsid w:val="1F9920A5"/>
    <w:rsid w:val="1FA0216D"/>
    <w:rsid w:val="1FAD225B"/>
    <w:rsid w:val="1FB31D0A"/>
    <w:rsid w:val="1FB524DE"/>
    <w:rsid w:val="1FB572A9"/>
    <w:rsid w:val="1FBC7C24"/>
    <w:rsid w:val="1FC4563B"/>
    <w:rsid w:val="1FC76D3D"/>
    <w:rsid w:val="1FC81159"/>
    <w:rsid w:val="1FE34BC6"/>
    <w:rsid w:val="1FE41856"/>
    <w:rsid w:val="1FE83DDC"/>
    <w:rsid w:val="1FEB7446"/>
    <w:rsid w:val="1FFE0A77"/>
    <w:rsid w:val="1FFE8942"/>
    <w:rsid w:val="20055C68"/>
    <w:rsid w:val="2008261D"/>
    <w:rsid w:val="202B2AF4"/>
    <w:rsid w:val="20316D2A"/>
    <w:rsid w:val="203F0F39"/>
    <w:rsid w:val="20461C42"/>
    <w:rsid w:val="204D2584"/>
    <w:rsid w:val="204E57D3"/>
    <w:rsid w:val="20515FBA"/>
    <w:rsid w:val="20517BEC"/>
    <w:rsid w:val="20555725"/>
    <w:rsid w:val="206538A3"/>
    <w:rsid w:val="206755AB"/>
    <w:rsid w:val="20703A0E"/>
    <w:rsid w:val="207B7A31"/>
    <w:rsid w:val="20807B83"/>
    <w:rsid w:val="208A1412"/>
    <w:rsid w:val="20925FB2"/>
    <w:rsid w:val="20B220B5"/>
    <w:rsid w:val="20B517CC"/>
    <w:rsid w:val="20C874CF"/>
    <w:rsid w:val="20D43928"/>
    <w:rsid w:val="20D44D86"/>
    <w:rsid w:val="20DA02A4"/>
    <w:rsid w:val="20DB5196"/>
    <w:rsid w:val="20F1332C"/>
    <w:rsid w:val="20FF2023"/>
    <w:rsid w:val="21012B73"/>
    <w:rsid w:val="21052FDF"/>
    <w:rsid w:val="210543B3"/>
    <w:rsid w:val="210B1F41"/>
    <w:rsid w:val="211A0F79"/>
    <w:rsid w:val="21305EA8"/>
    <w:rsid w:val="21331C19"/>
    <w:rsid w:val="213754B1"/>
    <w:rsid w:val="213C22A1"/>
    <w:rsid w:val="213E37E4"/>
    <w:rsid w:val="213E5369"/>
    <w:rsid w:val="21446326"/>
    <w:rsid w:val="21467F17"/>
    <w:rsid w:val="214833CD"/>
    <w:rsid w:val="214E64EF"/>
    <w:rsid w:val="215163F7"/>
    <w:rsid w:val="21523A44"/>
    <w:rsid w:val="21526A50"/>
    <w:rsid w:val="21590FA5"/>
    <w:rsid w:val="2159361F"/>
    <w:rsid w:val="217043C3"/>
    <w:rsid w:val="217334F8"/>
    <w:rsid w:val="21847EDE"/>
    <w:rsid w:val="21863A96"/>
    <w:rsid w:val="219011FB"/>
    <w:rsid w:val="21A17DBB"/>
    <w:rsid w:val="21AB744A"/>
    <w:rsid w:val="21AC46EE"/>
    <w:rsid w:val="21AD38FB"/>
    <w:rsid w:val="21BA3FD6"/>
    <w:rsid w:val="21BA7D0C"/>
    <w:rsid w:val="21BD0253"/>
    <w:rsid w:val="21CE1B27"/>
    <w:rsid w:val="21CF3FE7"/>
    <w:rsid w:val="21D05CDD"/>
    <w:rsid w:val="21D35012"/>
    <w:rsid w:val="21D604E6"/>
    <w:rsid w:val="21DC43C2"/>
    <w:rsid w:val="21FC6987"/>
    <w:rsid w:val="22054593"/>
    <w:rsid w:val="22190DF0"/>
    <w:rsid w:val="221966A6"/>
    <w:rsid w:val="22346226"/>
    <w:rsid w:val="223660EF"/>
    <w:rsid w:val="2246615D"/>
    <w:rsid w:val="22467831"/>
    <w:rsid w:val="225709AF"/>
    <w:rsid w:val="226264E4"/>
    <w:rsid w:val="22712124"/>
    <w:rsid w:val="22756396"/>
    <w:rsid w:val="2277737E"/>
    <w:rsid w:val="227D3DD3"/>
    <w:rsid w:val="227D50AF"/>
    <w:rsid w:val="228A32ED"/>
    <w:rsid w:val="229F0FDC"/>
    <w:rsid w:val="22AB34FD"/>
    <w:rsid w:val="22B00FE3"/>
    <w:rsid w:val="22B412BB"/>
    <w:rsid w:val="22B921DA"/>
    <w:rsid w:val="22B94355"/>
    <w:rsid w:val="22C00FF6"/>
    <w:rsid w:val="22C31AB2"/>
    <w:rsid w:val="22C93511"/>
    <w:rsid w:val="22C97A4D"/>
    <w:rsid w:val="22CA1123"/>
    <w:rsid w:val="22D448A9"/>
    <w:rsid w:val="22DA4910"/>
    <w:rsid w:val="22DB44FC"/>
    <w:rsid w:val="22E67F1C"/>
    <w:rsid w:val="22E76EF6"/>
    <w:rsid w:val="22E92F5A"/>
    <w:rsid w:val="22EE232A"/>
    <w:rsid w:val="22F834E5"/>
    <w:rsid w:val="22F846D3"/>
    <w:rsid w:val="22FC38E3"/>
    <w:rsid w:val="22FF54B6"/>
    <w:rsid w:val="23140095"/>
    <w:rsid w:val="23157F61"/>
    <w:rsid w:val="231D5C46"/>
    <w:rsid w:val="232936D0"/>
    <w:rsid w:val="232D4051"/>
    <w:rsid w:val="23314992"/>
    <w:rsid w:val="2332113F"/>
    <w:rsid w:val="23351FA9"/>
    <w:rsid w:val="23393DBB"/>
    <w:rsid w:val="234472BE"/>
    <w:rsid w:val="2345336D"/>
    <w:rsid w:val="234A76EF"/>
    <w:rsid w:val="234B2789"/>
    <w:rsid w:val="234E4970"/>
    <w:rsid w:val="235B61C9"/>
    <w:rsid w:val="236E3CBA"/>
    <w:rsid w:val="23764990"/>
    <w:rsid w:val="238A6CD1"/>
    <w:rsid w:val="239E0AFE"/>
    <w:rsid w:val="23A36852"/>
    <w:rsid w:val="23A42FE5"/>
    <w:rsid w:val="23A80A91"/>
    <w:rsid w:val="23B52E13"/>
    <w:rsid w:val="23B53DAB"/>
    <w:rsid w:val="23B963A3"/>
    <w:rsid w:val="23C960C1"/>
    <w:rsid w:val="23CE7222"/>
    <w:rsid w:val="23D52154"/>
    <w:rsid w:val="23D8590C"/>
    <w:rsid w:val="23DE3EE7"/>
    <w:rsid w:val="23DF237D"/>
    <w:rsid w:val="23ED5C81"/>
    <w:rsid w:val="23EF3C87"/>
    <w:rsid w:val="23FF7332"/>
    <w:rsid w:val="24001527"/>
    <w:rsid w:val="24060475"/>
    <w:rsid w:val="240772B1"/>
    <w:rsid w:val="24134A87"/>
    <w:rsid w:val="242949C1"/>
    <w:rsid w:val="242B3B88"/>
    <w:rsid w:val="242F5319"/>
    <w:rsid w:val="24366057"/>
    <w:rsid w:val="24395BC7"/>
    <w:rsid w:val="243E1454"/>
    <w:rsid w:val="24480B04"/>
    <w:rsid w:val="244B00C0"/>
    <w:rsid w:val="24504564"/>
    <w:rsid w:val="245E4B1C"/>
    <w:rsid w:val="245E65F7"/>
    <w:rsid w:val="246063DF"/>
    <w:rsid w:val="246451CA"/>
    <w:rsid w:val="246A734E"/>
    <w:rsid w:val="246B20E8"/>
    <w:rsid w:val="247C4CC8"/>
    <w:rsid w:val="247C711F"/>
    <w:rsid w:val="24AD0773"/>
    <w:rsid w:val="24AD5999"/>
    <w:rsid w:val="24AE00D1"/>
    <w:rsid w:val="24B35271"/>
    <w:rsid w:val="24B521B5"/>
    <w:rsid w:val="24B545C8"/>
    <w:rsid w:val="24BA19EE"/>
    <w:rsid w:val="24CE4AF6"/>
    <w:rsid w:val="24D20846"/>
    <w:rsid w:val="24DD64FC"/>
    <w:rsid w:val="24E329D4"/>
    <w:rsid w:val="24E57B81"/>
    <w:rsid w:val="24E61D5B"/>
    <w:rsid w:val="24E65598"/>
    <w:rsid w:val="24E96743"/>
    <w:rsid w:val="24EA675F"/>
    <w:rsid w:val="24EE5A0B"/>
    <w:rsid w:val="25072191"/>
    <w:rsid w:val="250A037F"/>
    <w:rsid w:val="250C1650"/>
    <w:rsid w:val="25110489"/>
    <w:rsid w:val="25160237"/>
    <w:rsid w:val="251850C4"/>
    <w:rsid w:val="251C5DE8"/>
    <w:rsid w:val="251D141E"/>
    <w:rsid w:val="251F4CB8"/>
    <w:rsid w:val="254210BC"/>
    <w:rsid w:val="254A3B8D"/>
    <w:rsid w:val="254F2870"/>
    <w:rsid w:val="255C18BB"/>
    <w:rsid w:val="255C5353"/>
    <w:rsid w:val="255C5DFA"/>
    <w:rsid w:val="25614D56"/>
    <w:rsid w:val="25634FB9"/>
    <w:rsid w:val="256A3635"/>
    <w:rsid w:val="258249F5"/>
    <w:rsid w:val="25852F8D"/>
    <w:rsid w:val="258C1E50"/>
    <w:rsid w:val="25963BDC"/>
    <w:rsid w:val="259E0F52"/>
    <w:rsid w:val="25A131B1"/>
    <w:rsid w:val="25A56969"/>
    <w:rsid w:val="25AC209F"/>
    <w:rsid w:val="25AF5AD1"/>
    <w:rsid w:val="25B0694C"/>
    <w:rsid w:val="25C03F3E"/>
    <w:rsid w:val="25C913AC"/>
    <w:rsid w:val="25C94238"/>
    <w:rsid w:val="25D90F75"/>
    <w:rsid w:val="25DA3DD7"/>
    <w:rsid w:val="25E17531"/>
    <w:rsid w:val="260A62CD"/>
    <w:rsid w:val="260C0317"/>
    <w:rsid w:val="260D0F43"/>
    <w:rsid w:val="261B2A21"/>
    <w:rsid w:val="26230FB3"/>
    <w:rsid w:val="26277D9A"/>
    <w:rsid w:val="26280A3A"/>
    <w:rsid w:val="262C2DFB"/>
    <w:rsid w:val="26362445"/>
    <w:rsid w:val="264B79AC"/>
    <w:rsid w:val="265D2C36"/>
    <w:rsid w:val="266863CC"/>
    <w:rsid w:val="266D068F"/>
    <w:rsid w:val="26771D77"/>
    <w:rsid w:val="267A3EA7"/>
    <w:rsid w:val="26811112"/>
    <w:rsid w:val="26881D7F"/>
    <w:rsid w:val="269162C2"/>
    <w:rsid w:val="26941211"/>
    <w:rsid w:val="269A39CE"/>
    <w:rsid w:val="26A364C5"/>
    <w:rsid w:val="26A44093"/>
    <w:rsid w:val="26AA72BE"/>
    <w:rsid w:val="26AC0A54"/>
    <w:rsid w:val="26B079EB"/>
    <w:rsid w:val="26B56802"/>
    <w:rsid w:val="26B93D6C"/>
    <w:rsid w:val="26B972F5"/>
    <w:rsid w:val="26CA4E13"/>
    <w:rsid w:val="26E12CEB"/>
    <w:rsid w:val="26E165B9"/>
    <w:rsid w:val="27001A1C"/>
    <w:rsid w:val="2707669F"/>
    <w:rsid w:val="27093B41"/>
    <w:rsid w:val="270975D9"/>
    <w:rsid w:val="270B0F88"/>
    <w:rsid w:val="270F6DCE"/>
    <w:rsid w:val="27104E2C"/>
    <w:rsid w:val="271D074B"/>
    <w:rsid w:val="272A076F"/>
    <w:rsid w:val="273A6D23"/>
    <w:rsid w:val="2744508E"/>
    <w:rsid w:val="27475DA8"/>
    <w:rsid w:val="27514BF7"/>
    <w:rsid w:val="275B2D4B"/>
    <w:rsid w:val="27675135"/>
    <w:rsid w:val="277D0B81"/>
    <w:rsid w:val="27811362"/>
    <w:rsid w:val="278334F7"/>
    <w:rsid w:val="278A44E6"/>
    <w:rsid w:val="279C45E8"/>
    <w:rsid w:val="27A25E51"/>
    <w:rsid w:val="27A8737C"/>
    <w:rsid w:val="27AC2852"/>
    <w:rsid w:val="27B14F29"/>
    <w:rsid w:val="27BB232A"/>
    <w:rsid w:val="27BC7000"/>
    <w:rsid w:val="27C34BCB"/>
    <w:rsid w:val="27D03B58"/>
    <w:rsid w:val="27D711E9"/>
    <w:rsid w:val="27E17E6D"/>
    <w:rsid w:val="27E5487F"/>
    <w:rsid w:val="27EC3678"/>
    <w:rsid w:val="27F87B30"/>
    <w:rsid w:val="27FC3FF5"/>
    <w:rsid w:val="27FC5B66"/>
    <w:rsid w:val="28001066"/>
    <w:rsid w:val="280964C0"/>
    <w:rsid w:val="281A3EA5"/>
    <w:rsid w:val="28271983"/>
    <w:rsid w:val="28273F08"/>
    <w:rsid w:val="282D4A2F"/>
    <w:rsid w:val="28494535"/>
    <w:rsid w:val="284D0039"/>
    <w:rsid w:val="285F1B5C"/>
    <w:rsid w:val="2864350E"/>
    <w:rsid w:val="286706B6"/>
    <w:rsid w:val="286E406A"/>
    <w:rsid w:val="28713AB4"/>
    <w:rsid w:val="287B2CA8"/>
    <w:rsid w:val="287C7545"/>
    <w:rsid w:val="28923372"/>
    <w:rsid w:val="28977F29"/>
    <w:rsid w:val="289B7D7E"/>
    <w:rsid w:val="28A36416"/>
    <w:rsid w:val="28B134F3"/>
    <w:rsid w:val="28C7538A"/>
    <w:rsid w:val="28CF2658"/>
    <w:rsid w:val="28DB5F36"/>
    <w:rsid w:val="28E62AF5"/>
    <w:rsid w:val="28E667CC"/>
    <w:rsid w:val="28F93D04"/>
    <w:rsid w:val="28FE1AB3"/>
    <w:rsid w:val="28FE4B2D"/>
    <w:rsid w:val="29041E6B"/>
    <w:rsid w:val="29162F3C"/>
    <w:rsid w:val="291C315B"/>
    <w:rsid w:val="292A2587"/>
    <w:rsid w:val="29336423"/>
    <w:rsid w:val="29362C39"/>
    <w:rsid w:val="293C308A"/>
    <w:rsid w:val="293D7E8D"/>
    <w:rsid w:val="29415C67"/>
    <w:rsid w:val="2944459C"/>
    <w:rsid w:val="294B48E7"/>
    <w:rsid w:val="295623BD"/>
    <w:rsid w:val="29572119"/>
    <w:rsid w:val="295F59C2"/>
    <w:rsid w:val="29611C40"/>
    <w:rsid w:val="29763832"/>
    <w:rsid w:val="297B3133"/>
    <w:rsid w:val="297E1B70"/>
    <w:rsid w:val="29852C66"/>
    <w:rsid w:val="29887F9D"/>
    <w:rsid w:val="29893502"/>
    <w:rsid w:val="29965DD0"/>
    <w:rsid w:val="299A5C41"/>
    <w:rsid w:val="29A61CF2"/>
    <w:rsid w:val="29A81854"/>
    <w:rsid w:val="29A935D8"/>
    <w:rsid w:val="29B36F12"/>
    <w:rsid w:val="29C17AA0"/>
    <w:rsid w:val="29CD7459"/>
    <w:rsid w:val="29D44229"/>
    <w:rsid w:val="29E17195"/>
    <w:rsid w:val="29E22061"/>
    <w:rsid w:val="29E41979"/>
    <w:rsid w:val="29E6213E"/>
    <w:rsid w:val="29E672C5"/>
    <w:rsid w:val="29E77616"/>
    <w:rsid w:val="29E80F86"/>
    <w:rsid w:val="29F30E61"/>
    <w:rsid w:val="29F96629"/>
    <w:rsid w:val="29FB045E"/>
    <w:rsid w:val="29FD43DC"/>
    <w:rsid w:val="29FD7288"/>
    <w:rsid w:val="2A053F98"/>
    <w:rsid w:val="2A0659E1"/>
    <w:rsid w:val="2A0B4CFD"/>
    <w:rsid w:val="2A0F566E"/>
    <w:rsid w:val="2A0F5AD0"/>
    <w:rsid w:val="2A122202"/>
    <w:rsid w:val="2A152DB6"/>
    <w:rsid w:val="2A1A285E"/>
    <w:rsid w:val="2A2468B8"/>
    <w:rsid w:val="2A2F2E6F"/>
    <w:rsid w:val="2A301D68"/>
    <w:rsid w:val="2A357449"/>
    <w:rsid w:val="2A4A5ED1"/>
    <w:rsid w:val="2A4D0573"/>
    <w:rsid w:val="2A5B012D"/>
    <w:rsid w:val="2A5E6191"/>
    <w:rsid w:val="2A67601F"/>
    <w:rsid w:val="2A6932E0"/>
    <w:rsid w:val="2A6E71D0"/>
    <w:rsid w:val="2A7C0FEE"/>
    <w:rsid w:val="2AA33CFD"/>
    <w:rsid w:val="2AAE40CF"/>
    <w:rsid w:val="2AC2238B"/>
    <w:rsid w:val="2AC5066A"/>
    <w:rsid w:val="2AC805B9"/>
    <w:rsid w:val="2ACC748C"/>
    <w:rsid w:val="2ACF6A8A"/>
    <w:rsid w:val="2AE23FC9"/>
    <w:rsid w:val="2AE609CA"/>
    <w:rsid w:val="2AE6274F"/>
    <w:rsid w:val="2AE70EB2"/>
    <w:rsid w:val="2AE75AFF"/>
    <w:rsid w:val="2AEF405A"/>
    <w:rsid w:val="2AF37208"/>
    <w:rsid w:val="2AF50B76"/>
    <w:rsid w:val="2AFD31AB"/>
    <w:rsid w:val="2B205BA3"/>
    <w:rsid w:val="2B285E7C"/>
    <w:rsid w:val="2B2C5116"/>
    <w:rsid w:val="2B3136F7"/>
    <w:rsid w:val="2B3559C2"/>
    <w:rsid w:val="2B3F1E1C"/>
    <w:rsid w:val="2B4A3D8D"/>
    <w:rsid w:val="2B4A471E"/>
    <w:rsid w:val="2B4A5FA4"/>
    <w:rsid w:val="2B4C6985"/>
    <w:rsid w:val="2B501B65"/>
    <w:rsid w:val="2B613C4D"/>
    <w:rsid w:val="2B6F182C"/>
    <w:rsid w:val="2B74171E"/>
    <w:rsid w:val="2B7C62E4"/>
    <w:rsid w:val="2B841A50"/>
    <w:rsid w:val="2B873A41"/>
    <w:rsid w:val="2BA0294D"/>
    <w:rsid w:val="2BA11B99"/>
    <w:rsid w:val="2BA864FF"/>
    <w:rsid w:val="2BC91F60"/>
    <w:rsid w:val="2BD73FEB"/>
    <w:rsid w:val="2BDC3C01"/>
    <w:rsid w:val="2BEC6C7A"/>
    <w:rsid w:val="2BF0238C"/>
    <w:rsid w:val="2BF07ED6"/>
    <w:rsid w:val="2BF44B30"/>
    <w:rsid w:val="2BF7191D"/>
    <w:rsid w:val="2C020E52"/>
    <w:rsid w:val="2C051307"/>
    <w:rsid w:val="2C0819FF"/>
    <w:rsid w:val="2C091F09"/>
    <w:rsid w:val="2C140305"/>
    <w:rsid w:val="2C155EFF"/>
    <w:rsid w:val="2C1E2655"/>
    <w:rsid w:val="2C290AD7"/>
    <w:rsid w:val="2C36789D"/>
    <w:rsid w:val="2C37579C"/>
    <w:rsid w:val="2C413362"/>
    <w:rsid w:val="2C471CC1"/>
    <w:rsid w:val="2C554F9D"/>
    <w:rsid w:val="2C6124BC"/>
    <w:rsid w:val="2C6203AC"/>
    <w:rsid w:val="2C696F2A"/>
    <w:rsid w:val="2C764051"/>
    <w:rsid w:val="2C7B30C7"/>
    <w:rsid w:val="2C801670"/>
    <w:rsid w:val="2C83561C"/>
    <w:rsid w:val="2C8B4EF3"/>
    <w:rsid w:val="2C8F1FC8"/>
    <w:rsid w:val="2C8F4CA1"/>
    <w:rsid w:val="2C93279C"/>
    <w:rsid w:val="2C955175"/>
    <w:rsid w:val="2CA366B4"/>
    <w:rsid w:val="2CA75A8F"/>
    <w:rsid w:val="2CAA59A1"/>
    <w:rsid w:val="2CB60393"/>
    <w:rsid w:val="2CB6664F"/>
    <w:rsid w:val="2CBA7EE4"/>
    <w:rsid w:val="2CBC5E92"/>
    <w:rsid w:val="2CC16776"/>
    <w:rsid w:val="2CD53BF3"/>
    <w:rsid w:val="2CDF1C79"/>
    <w:rsid w:val="2CFA45B1"/>
    <w:rsid w:val="2D08622F"/>
    <w:rsid w:val="2D0D0C73"/>
    <w:rsid w:val="2D2345C7"/>
    <w:rsid w:val="2D261723"/>
    <w:rsid w:val="2D307812"/>
    <w:rsid w:val="2D494825"/>
    <w:rsid w:val="2D4C0DCE"/>
    <w:rsid w:val="2D4F3BDF"/>
    <w:rsid w:val="2D533460"/>
    <w:rsid w:val="2D581CCF"/>
    <w:rsid w:val="2D5C1DB2"/>
    <w:rsid w:val="2D5E173E"/>
    <w:rsid w:val="2D650E42"/>
    <w:rsid w:val="2D66368B"/>
    <w:rsid w:val="2D75475C"/>
    <w:rsid w:val="2D7B4B2E"/>
    <w:rsid w:val="2D801ABC"/>
    <w:rsid w:val="2D8258F3"/>
    <w:rsid w:val="2D856830"/>
    <w:rsid w:val="2D8613F9"/>
    <w:rsid w:val="2D882515"/>
    <w:rsid w:val="2D8D74A4"/>
    <w:rsid w:val="2D926137"/>
    <w:rsid w:val="2DA22417"/>
    <w:rsid w:val="2DA500D9"/>
    <w:rsid w:val="2DAC06F5"/>
    <w:rsid w:val="2DAE0F14"/>
    <w:rsid w:val="2DAF5AAF"/>
    <w:rsid w:val="2DB65AAE"/>
    <w:rsid w:val="2DC8442F"/>
    <w:rsid w:val="2DD32C8F"/>
    <w:rsid w:val="2DDD25EF"/>
    <w:rsid w:val="2DE45CFD"/>
    <w:rsid w:val="2DEF5A58"/>
    <w:rsid w:val="2DFA7F9E"/>
    <w:rsid w:val="2DFF4613"/>
    <w:rsid w:val="2E0105C4"/>
    <w:rsid w:val="2E0138AD"/>
    <w:rsid w:val="2E1B4AFC"/>
    <w:rsid w:val="2E1C2D47"/>
    <w:rsid w:val="2E2022A8"/>
    <w:rsid w:val="2E245F9F"/>
    <w:rsid w:val="2E2603E5"/>
    <w:rsid w:val="2E2D43B8"/>
    <w:rsid w:val="2E2F11A0"/>
    <w:rsid w:val="2E316F3F"/>
    <w:rsid w:val="2E3F49AD"/>
    <w:rsid w:val="2E4462D2"/>
    <w:rsid w:val="2E4E530C"/>
    <w:rsid w:val="2E6D227D"/>
    <w:rsid w:val="2E6D7E65"/>
    <w:rsid w:val="2E787995"/>
    <w:rsid w:val="2E79424B"/>
    <w:rsid w:val="2E7C45AD"/>
    <w:rsid w:val="2E8554FA"/>
    <w:rsid w:val="2E8D7461"/>
    <w:rsid w:val="2EA60516"/>
    <w:rsid w:val="2EA8442B"/>
    <w:rsid w:val="2EAD2145"/>
    <w:rsid w:val="2EB81B62"/>
    <w:rsid w:val="2EBC2263"/>
    <w:rsid w:val="2EBD0643"/>
    <w:rsid w:val="2EC233F9"/>
    <w:rsid w:val="2EC35595"/>
    <w:rsid w:val="2EC547F2"/>
    <w:rsid w:val="2ED07EF2"/>
    <w:rsid w:val="2EDE0469"/>
    <w:rsid w:val="2EE37FA0"/>
    <w:rsid w:val="2EE711B6"/>
    <w:rsid w:val="2EEB49FA"/>
    <w:rsid w:val="2F06315B"/>
    <w:rsid w:val="2F0B0AE3"/>
    <w:rsid w:val="2F14652F"/>
    <w:rsid w:val="2F1F7372"/>
    <w:rsid w:val="2F24468F"/>
    <w:rsid w:val="2F270AC3"/>
    <w:rsid w:val="2F2D4FF3"/>
    <w:rsid w:val="2F342A84"/>
    <w:rsid w:val="2F3454EE"/>
    <w:rsid w:val="2F371654"/>
    <w:rsid w:val="2F395E92"/>
    <w:rsid w:val="2F3A4E04"/>
    <w:rsid w:val="2F4003EC"/>
    <w:rsid w:val="2F4076BB"/>
    <w:rsid w:val="2F430FF7"/>
    <w:rsid w:val="2F481044"/>
    <w:rsid w:val="2F4A7913"/>
    <w:rsid w:val="2F5A149E"/>
    <w:rsid w:val="2F5C7A53"/>
    <w:rsid w:val="2F604ED2"/>
    <w:rsid w:val="2F662C24"/>
    <w:rsid w:val="2F6B07A4"/>
    <w:rsid w:val="2F6F6E22"/>
    <w:rsid w:val="2F733E59"/>
    <w:rsid w:val="2F75606A"/>
    <w:rsid w:val="2F780359"/>
    <w:rsid w:val="2F8E6C98"/>
    <w:rsid w:val="2F9327A7"/>
    <w:rsid w:val="2FA6537A"/>
    <w:rsid w:val="2FA67D1F"/>
    <w:rsid w:val="2FA867E1"/>
    <w:rsid w:val="2FAB76D1"/>
    <w:rsid w:val="2FB56B98"/>
    <w:rsid w:val="2FBA0D9A"/>
    <w:rsid w:val="2FBE5B8D"/>
    <w:rsid w:val="2FBF713D"/>
    <w:rsid w:val="2FC77845"/>
    <w:rsid w:val="2FC9676A"/>
    <w:rsid w:val="2FCB4DD1"/>
    <w:rsid w:val="2FDC4FF1"/>
    <w:rsid w:val="2FDC5166"/>
    <w:rsid w:val="2FDE194E"/>
    <w:rsid w:val="2FDE6B46"/>
    <w:rsid w:val="2FE232A7"/>
    <w:rsid w:val="2FE3161C"/>
    <w:rsid w:val="2FE754B4"/>
    <w:rsid w:val="2FE94B9A"/>
    <w:rsid w:val="2FF108F6"/>
    <w:rsid w:val="2FF67A42"/>
    <w:rsid w:val="30077136"/>
    <w:rsid w:val="30090875"/>
    <w:rsid w:val="300C16BD"/>
    <w:rsid w:val="3016617D"/>
    <w:rsid w:val="30251522"/>
    <w:rsid w:val="302C1774"/>
    <w:rsid w:val="30345EE8"/>
    <w:rsid w:val="30370F83"/>
    <w:rsid w:val="30372891"/>
    <w:rsid w:val="30396B10"/>
    <w:rsid w:val="303B336D"/>
    <w:rsid w:val="30433157"/>
    <w:rsid w:val="304F6B17"/>
    <w:rsid w:val="30516C77"/>
    <w:rsid w:val="30600370"/>
    <w:rsid w:val="306741DB"/>
    <w:rsid w:val="30780DFA"/>
    <w:rsid w:val="307B4F89"/>
    <w:rsid w:val="308B5CBA"/>
    <w:rsid w:val="30A706D1"/>
    <w:rsid w:val="30AB2825"/>
    <w:rsid w:val="30AB3B6B"/>
    <w:rsid w:val="30AD36ED"/>
    <w:rsid w:val="30CD2327"/>
    <w:rsid w:val="30D0530A"/>
    <w:rsid w:val="30D55375"/>
    <w:rsid w:val="30D9094A"/>
    <w:rsid w:val="30DA1C8A"/>
    <w:rsid w:val="30DB6191"/>
    <w:rsid w:val="30DD06A7"/>
    <w:rsid w:val="30DD29CE"/>
    <w:rsid w:val="30DE37F5"/>
    <w:rsid w:val="30E57BC8"/>
    <w:rsid w:val="30E6523C"/>
    <w:rsid w:val="30E7578F"/>
    <w:rsid w:val="30E91822"/>
    <w:rsid w:val="30ED62B1"/>
    <w:rsid w:val="30EE18BE"/>
    <w:rsid w:val="30EE58FA"/>
    <w:rsid w:val="30F12587"/>
    <w:rsid w:val="30F8450D"/>
    <w:rsid w:val="30F94B3F"/>
    <w:rsid w:val="30FA66F9"/>
    <w:rsid w:val="3102477E"/>
    <w:rsid w:val="31026961"/>
    <w:rsid w:val="3105390F"/>
    <w:rsid w:val="311E3592"/>
    <w:rsid w:val="31225802"/>
    <w:rsid w:val="3138432A"/>
    <w:rsid w:val="313D5697"/>
    <w:rsid w:val="314E4954"/>
    <w:rsid w:val="31500B3C"/>
    <w:rsid w:val="31542211"/>
    <w:rsid w:val="315E2D3B"/>
    <w:rsid w:val="316124DC"/>
    <w:rsid w:val="31643D76"/>
    <w:rsid w:val="31682BB3"/>
    <w:rsid w:val="3168625F"/>
    <w:rsid w:val="31704633"/>
    <w:rsid w:val="3172332D"/>
    <w:rsid w:val="31864D3E"/>
    <w:rsid w:val="318F6100"/>
    <w:rsid w:val="31910D55"/>
    <w:rsid w:val="31991C66"/>
    <w:rsid w:val="319C7B3C"/>
    <w:rsid w:val="31A3175F"/>
    <w:rsid w:val="31A60F66"/>
    <w:rsid w:val="31A87ADD"/>
    <w:rsid w:val="31AA213A"/>
    <w:rsid w:val="31AB33E4"/>
    <w:rsid w:val="31B000F0"/>
    <w:rsid w:val="31B75E47"/>
    <w:rsid w:val="31BB57B1"/>
    <w:rsid w:val="31BD7DC2"/>
    <w:rsid w:val="31C50591"/>
    <w:rsid w:val="31CB53D5"/>
    <w:rsid w:val="31D36060"/>
    <w:rsid w:val="31E73000"/>
    <w:rsid w:val="31EC21BD"/>
    <w:rsid w:val="31EC7522"/>
    <w:rsid w:val="31ED2EF1"/>
    <w:rsid w:val="32017785"/>
    <w:rsid w:val="322721C8"/>
    <w:rsid w:val="32381C5F"/>
    <w:rsid w:val="323C4A2E"/>
    <w:rsid w:val="324030EE"/>
    <w:rsid w:val="32422E19"/>
    <w:rsid w:val="324E140C"/>
    <w:rsid w:val="32542963"/>
    <w:rsid w:val="32614B4A"/>
    <w:rsid w:val="326B6851"/>
    <w:rsid w:val="326F4E9C"/>
    <w:rsid w:val="32702BD5"/>
    <w:rsid w:val="32811F79"/>
    <w:rsid w:val="32864655"/>
    <w:rsid w:val="32893451"/>
    <w:rsid w:val="329965F5"/>
    <w:rsid w:val="329A6A9E"/>
    <w:rsid w:val="329A736B"/>
    <w:rsid w:val="32A04A94"/>
    <w:rsid w:val="32A427CA"/>
    <w:rsid w:val="32A7197B"/>
    <w:rsid w:val="32B33797"/>
    <w:rsid w:val="32B37E0D"/>
    <w:rsid w:val="32B51BDE"/>
    <w:rsid w:val="32BC3D75"/>
    <w:rsid w:val="32C40A07"/>
    <w:rsid w:val="32CA0686"/>
    <w:rsid w:val="32D228DB"/>
    <w:rsid w:val="32D2292A"/>
    <w:rsid w:val="32D8332E"/>
    <w:rsid w:val="32DD110C"/>
    <w:rsid w:val="32E27584"/>
    <w:rsid w:val="32E4274D"/>
    <w:rsid w:val="32EA4356"/>
    <w:rsid w:val="32EA7272"/>
    <w:rsid w:val="32F87F99"/>
    <w:rsid w:val="32FB3799"/>
    <w:rsid w:val="33083D6C"/>
    <w:rsid w:val="330B4E46"/>
    <w:rsid w:val="33102D67"/>
    <w:rsid w:val="33125B66"/>
    <w:rsid w:val="331414B9"/>
    <w:rsid w:val="33190E82"/>
    <w:rsid w:val="331A4778"/>
    <w:rsid w:val="331D2FB2"/>
    <w:rsid w:val="33304D51"/>
    <w:rsid w:val="33346406"/>
    <w:rsid w:val="33412A47"/>
    <w:rsid w:val="33443787"/>
    <w:rsid w:val="33482C37"/>
    <w:rsid w:val="335131FB"/>
    <w:rsid w:val="3360622F"/>
    <w:rsid w:val="336205A2"/>
    <w:rsid w:val="336D2C26"/>
    <w:rsid w:val="337269A6"/>
    <w:rsid w:val="33791790"/>
    <w:rsid w:val="33834D7C"/>
    <w:rsid w:val="33852819"/>
    <w:rsid w:val="33871999"/>
    <w:rsid w:val="338C37F9"/>
    <w:rsid w:val="33900DD8"/>
    <w:rsid w:val="33933FAE"/>
    <w:rsid w:val="33AC185A"/>
    <w:rsid w:val="33AD4603"/>
    <w:rsid w:val="33AD67B5"/>
    <w:rsid w:val="33B900C0"/>
    <w:rsid w:val="33BC00F2"/>
    <w:rsid w:val="33BF13B4"/>
    <w:rsid w:val="33CF792F"/>
    <w:rsid w:val="33DD1044"/>
    <w:rsid w:val="33E22A9F"/>
    <w:rsid w:val="33E252DE"/>
    <w:rsid w:val="33EF4903"/>
    <w:rsid w:val="33F319D8"/>
    <w:rsid w:val="340D1BC5"/>
    <w:rsid w:val="340D4B04"/>
    <w:rsid w:val="342B76AC"/>
    <w:rsid w:val="342F7562"/>
    <w:rsid w:val="34364B8B"/>
    <w:rsid w:val="34375332"/>
    <w:rsid w:val="34442D5D"/>
    <w:rsid w:val="34443210"/>
    <w:rsid w:val="344D76D4"/>
    <w:rsid w:val="34577CDD"/>
    <w:rsid w:val="345965FA"/>
    <w:rsid w:val="3461183B"/>
    <w:rsid w:val="34674748"/>
    <w:rsid w:val="346B2570"/>
    <w:rsid w:val="34716A18"/>
    <w:rsid w:val="34716D4F"/>
    <w:rsid w:val="347C5154"/>
    <w:rsid w:val="3482183C"/>
    <w:rsid w:val="34850D8B"/>
    <w:rsid w:val="348659F9"/>
    <w:rsid w:val="34887FF5"/>
    <w:rsid w:val="348A1767"/>
    <w:rsid w:val="34920DBA"/>
    <w:rsid w:val="3493711F"/>
    <w:rsid w:val="349F5C3D"/>
    <w:rsid w:val="34AE00F1"/>
    <w:rsid w:val="34AE5218"/>
    <w:rsid w:val="34B070F1"/>
    <w:rsid w:val="34B271E0"/>
    <w:rsid w:val="34B57A6A"/>
    <w:rsid w:val="34B90A4C"/>
    <w:rsid w:val="34BC2AEE"/>
    <w:rsid w:val="34BE4EFB"/>
    <w:rsid w:val="34CB4A12"/>
    <w:rsid w:val="34D21EE8"/>
    <w:rsid w:val="34D47537"/>
    <w:rsid w:val="34D53539"/>
    <w:rsid w:val="34E205A8"/>
    <w:rsid w:val="34EA761F"/>
    <w:rsid w:val="34F262D6"/>
    <w:rsid w:val="34F368AB"/>
    <w:rsid w:val="34F74066"/>
    <w:rsid w:val="34F741B9"/>
    <w:rsid w:val="34FA0D1C"/>
    <w:rsid w:val="34FE0255"/>
    <w:rsid w:val="350730B8"/>
    <w:rsid w:val="35124BDF"/>
    <w:rsid w:val="351547F2"/>
    <w:rsid w:val="351847DE"/>
    <w:rsid w:val="352164B6"/>
    <w:rsid w:val="35263A2B"/>
    <w:rsid w:val="3528176C"/>
    <w:rsid w:val="352A1A45"/>
    <w:rsid w:val="352B2DCA"/>
    <w:rsid w:val="352F5D97"/>
    <w:rsid w:val="35383E18"/>
    <w:rsid w:val="353E2CF6"/>
    <w:rsid w:val="353F4A21"/>
    <w:rsid w:val="35434E58"/>
    <w:rsid w:val="354E17ED"/>
    <w:rsid w:val="355149E3"/>
    <w:rsid w:val="35526504"/>
    <w:rsid w:val="355C5A55"/>
    <w:rsid w:val="356660A7"/>
    <w:rsid w:val="357C663A"/>
    <w:rsid w:val="357D5641"/>
    <w:rsid w:val="35815594"/>
    <w:rsid w:val="35825DFF"/>
    <w:rsid w:val="35985A19"/>
    <w:rsid w:val="359B36CE"/>
    <w:rsid w:val="359C2E88"/>
    <w:rsid w:val="359F3754"/>
    <w:rsid w:val="35BB566F"/>
    <w:rsid w:val="35C04EAE"/>
    <w:rsid w:val="35C55293"/>
    <w:rsid w:val="35CA2A36"/>
    <w:rsid w:val="35D178B2"/>
    <w:rsid w:val="35D43014"/>
    <w:rsid w:val="35D650EC"/>
    <w:rsid w:val="35DB6B26"/>
    <w:rsid w:val="35DE3A4D"/>
    <w:rsid w:val="35E22D8D"/>
    <w:rsid w:val="35E55251"/>
    <w:rsid w:val="35F81772"/>
    <w:rsid w:val="36011A02"/>
    <w:rsid w:val="36094C87"/>
    <w:rsid w:val="36170DC0"/>
    <w:rsid w:val="362A1DFA"/>
    <w:rsid w:val="362B427C"/>
    <w:rsid w:val="362D0BBA"/>
    <w:rsid w:val="362D138E"/>
    <w:rsid w:val="362D79C7"/>
    <w:rsid w:val="363B3F7C"/>
    <w:rsid w:val="363F6804"/>
    <w:rsid w:val="36530F8F"/>
    <w:rsid w:val="365F6233"/>
    <w:rsid w:val="36604F52"/>
    <w:rsid w:val="36631EBB"/>
    <w:rsid w:val="36710540"/>
    <w:rsid w:val="367914DA"/>
    <w:rsid w:val="36816BEC"/>
    <w:rsid w:val="36944A6B"/>
    <w:rsid w:val="36963D16"/>
    <w:rsid w:val="36A03182"/>
    <w:rsid w:val="36A118C0"/>
    <w:rsid w:val="36A46123"/>
    <w:rsid w:val="36AB75A5"/>
    <w:rsid w:val="36CB7422"/>
    <w:rsid w:val="36D24FE3"/>
    <w:rsid w:val="36D44FD1"/>
    <w:rsid w:val="36E147DC"/>
    <w:rsid w:val="36E66A2E"/>
    <w:rsid w:val="36F8159F"/>
    <w:rsid w:val="370658EE"/>
    <w:rsid w:val="370C5A67"/>
    <w:rsid w:val="371C792D"/>
    <w:rsid w:val="371F7C4F"/>
    <w:rsid w:val="37216194"/>
    <w:rsid w:val="37292D18"/>
    <w:rsid w:val="372944A5"/>
    <w:rsid w:val="372B5434"/>
    <w:rsid w:val="372F2B17"/>
    <w:rsid w:val="373204C6"/>
    <w:rsid w:val="3733618B"/>
    <w:rsid w:val="373524E8"/>
    <w:rsid w:val="373A4572"/>
    <w:rsid w:val="37446F64"/>
    <w:rsid w:val="374638CE"/>
    <w:rsid w:val="374E1C28"/>
    <w:rsid w:val="37584853"/>
    <w:rsid w:val="37687349"/>
    <w:rsid w:val="37774AF1"/>
    <w:rsid w:val="37825B07"/>
    <w:rsid w:val="37AF4CE7"/>
    <w:rsid w:val="37BE70F0"/>
    <w:rsid w:val="37C279E6"/>
    <w:rsid w:val="37C75D9B"/>
    <w:rsid w:val="37CA1B5C"/>
    <w:rsid w:val="37D92B41"/>
    <w:rsid w:val="37DF4A7F"/>
    <w:rsid w:val="37E420C4"/>
    <w:rsid w:val="37EB040A"/>
    <w:rsid w:val="37F43B51"/>
    <w:rsid w:val="37F976E5"/>
    <w:rsid w:val="38110CEC"/>
    <w:rsid w:val="38290DB3"/>
    <w:rsid w:val="38326A66"/>
    <w:rsid w:val="38376340"/>
    <w:rsid w:val="383D70E7"/>
    <w:rsid w:val="38664E2E"/>
    <w:rsid w:val="386A5665"/>
    <w:rsid w:val="38735FE6"/>
    <w:rsid w:val="38754BF2"/>
    <w:rsid w:val="3876702E"/>
    <w:rsid w:val="387828C4"/>
    <w:rsid w:val="387B6682"/>
    <w:rsid w:val="387C42B2"/>
    <w:rsid w:val="387F773D"/>
    <w:rsid w:val="38872071"/>
    <w:rsid w:val="388B73AC"/>
    <w:rsid w:val="388D2005"/>
    <w:rsid w:val="38935752"/>
    <w:rsid w:val="38A16812"/>
    <w:rsid w:val="38A81F49"/>
    <w:rsid w:val="38AA4DCF"/>
    <w:rsid w:val="38AA6CCD"/>
    <w:rsid w:val="38B067ED"/>
    <w:rsid w:val="38B61C08"/>
    <w:rsid w:val="38C016C5"/>
    <w:rsid w:val="38C5631F"/>
    <w:rsid w:val="38CA6981"/>
    <w:rsid w:val="38CE5788"/>
    <w:rsid w:val="38D0041A"/>
    <w:rsid w:val="38D03CA5"/>
    <w:rsid w:val="38D56E7C"/>
    <w:rsid w:val="38DA4C4D"/>
    <w:rsid w:val="38DF49DC"/>
    <w:rsid w:val="38E13451"/>
    <w:rsid w:val="38E16704"/>
    <w:rsid w:val="38E511CC"/>
    <w:rsid w:val="38F14A9A"/>
    <w:rsid w:val="38F55363"/>
    <w:rsid w:val="38FC27C1"/>
    <w:rsid w:val="39086667"/>
    <w:rsid w:val="390F2FF9"/>
    <w:rsid w:val="3910200E"/>
    <w:rsid w:val="391C61E0"/>
    <w:rsid w:val="391D1AF6"/>
    <w:rsid w:val="391F121C"/>
    <w:rsid w:val="39227ED6"/>
    <w:rsid w:val="39247565"/>
    <w:rsid w:val="39275CC8"/>
    <w:rsid w:val="39373005"/>
    <w:rsid w:val="39425244"/>
    <w:rsid w:val="39447834"/>
    <w:rsid w:val="39452CF0"/>
    <w:rsid w:val="394B1976"/>
    <w:rsid w:val="39576EF4"/>
    <w:rsid w:val="395A0C8B"/>
    <w:rsid w:val="39623066"/>
    <w:rsid w:val="397F20EE"/>
    <w:rsid w:val="39826C0F"/>
    <w:rsid w:val="39834066"/>
    <w:rsid w:val="39942750"/>
    <w:rsid w:val="39946946"/>
    <w:rsid w:val="39A40146"/>
    <w:rsid w:val="39A66893"/>
    <w:rsid w:val="39B11BBD"/>
    <w:rsid w:val="39BD380D"/>
    <w:rsid w:val="39C678D5"/>
    <w:rsid w:val="39C8188B"/>
    <w:rsid w:val="39D33090"/>
    <w:rsid w:val="39D6511B"/>
    <w:rsid w:val="39DB63B7"/>
    <w:rsid w:val="39EC63B4"/>
    <w:rsid w:val="39EF3E2E"/>
    <w:rsid w:val="39F14B5C"/>
    <w:rsid w:val="39F31198"/>
    <w:rsid w:val="39FC5027"/>
    <w:rsid w:val="3A0251EF"/>
    <w:rsid w:val="3A052141"/>
    <w:rsid w:val="3A106E99"/>
    <w:rsid w:val="3A175247"/>
    <w:rsid w:val="3A22354D"/>
    <w:rsid w:val="3A281AFF"/>
    <w:rsid w:val="3A334EF5"/>
    <w:rsid w:val="3A3C4A01"/>
    <w:rsid w:val="3A4241F8"/>
    <w:rsid w:val="3A4246A7"/>
    <w:rsid w:val="3A5D13E2"/>
    <w:rsid w:val="3A657FBD"/>
    <w:rsid w:val="3A6A0A69"/>
    <w:rsid w:val="3A6D151C"/>
    <w:rsid w:val="3A6D6026"/>
    <w:rsid w:val="3A7B0FED"/>
    <w:rsid w:val="3A8C4B88"/>
    <w:rsid w:val="3A92109E"/>
    <w:rsid w:val="3A94135D"/>
    <w:rsid w:val="3A975E8B"/>
    <w:rsid w:val="3AA143DE"/>
    <w:rsid w:val="3AA77A0B"/>
    <w:rsid w:val="3AA8108F"/>
    <w:rsid w:val="3AAC1FDD"/>
    <w:rsid w:val="3AAD5296"/>
    <w:rsid w:val="3AB31CB2"/>
    <w:rsid w:val="3ABC3EC1"/>
    <w:rsid w:val="3ABE3B67"/>
    <w:rsid w:val="3AC419C7"/>
    <w:rsid w:val="3AC86074"/>
    <w:rsid w:val="3AD07FD8"/>
    <w:rsid w:val="3AE30733"/>
    <w:rsid w:val="3AE42081"/>
    <w:rsid w:val="3AFA2A62"/>
    <w:rsid w:val="3B022044"/>
    <w:rsid w:val="3B0320C2"/>
    <w:rsid w:val="3B050AD6"/>
    <w:rsid w:val="3B057691"/>
    <w:rsid w:val="3B070A8E"/>
    <w:rsid w:val="3B0F7440"/>
    <w:rsid w:val="3B1212F4"/>
    <w:rsid w:val="3B1337B8"/>
    <w:rsid w:val="3B172B4F"/>
    <w:rsid w:val="3B185FF2"/>
    <w:rsid w:val="3B1C653F"/>
    <w:rsid w:val="3B27041B"/>
    <w:rsid w:val="3B31003F"/>
    <w:rsid w:val="3B332AD5"/>
    <w:rsid w:val="3B3701AA"/>
    <w:rsid w:val="3B457E78"/>
    <w:rsid w:val="3B4A44AC"/>
    <w:rsid w:val="3B595F92"/>
    <w:rsid w:val="3B615221"/>
    <w:rsid w:val="3B662AA0"/>
    <w:rsid w:val="3B7B2F20"/>
    <w:rsid w:val="3B7F5877"/>
    <w:rsid w:val="3B800C8A"/>
    <w:rsid w:val="3B8915E1"/>
    <w:rsid w:val="3B904CA9"/>
    <w:rsid w:val="3B9E4948"/>
    <w:rsid w:val="3BAF241F"/>
    <w:rsid w:val="3BB85C1D"/>
    <w:rsid w:val="3BBD0A80"/>
    <w:rsid w:val="3BBD3523"/>
    <w:rsid w:val="3BD00E93"/>
    <w:rsid w:val="3BD13884"/>
    <w:rsid w:val="3BDB1D94"/>
    <w:rsid w:val="3BE3271A"/>
    <w:rsid w:val="3BF0187E"/>
    <w:rsid w:val="3BF24721"/>
    <w:rsid w:val="3BF35B55"/>
    <w:rsid w:val="3BF80CB4"/>
    <w:rsid w:val="3BFE6FB8"/>
    <w:rsid w:val="3C022CB9"/>
    <w:rsid w:val="3C0269F3"/>
    <w:rsid w:val="3C064D0A"/>
    <w:rsid w:val="3C0D6273"/>
    <w:rsid w:val="3C1220DB"/>
    <w:rsid w:val="3C1A5D98"/>
    <w:rsid w:val="3C200389"/>
    <w:rsid w:val="3C265A11"/>
    <w:rsid w:val="3C300A38"/>
    <w:rsid w:val="3C372852"/>
    <w:rsid w:val="3C383425"/>
    <w:rsid w:val="3C392C95"/>
    <w:rsid w:val="3C3950B9"/>
    <w:rsid w:val="3C3E244B"/>
    <w:rsid w:val="3C416A98"/>
    <w:rsid w:val="3C4A7F1D"/>
    <w:rsid w:val="3C62410F"/>
    <w:rsid w:val="3C7DD2EC"/>
    <w:rsid w:val="3C877A7E"/>
    <w:rsid w:val="3C8D6DE4"/>
    <w:rsid w:val="3C953614"/>
    <w:rsid w:val="3CBA1FE0"/>
    <w:rsid w:val="3CC44CC1"/>
    <w:rsid w:val="3CCD425B"/>
    <w:rsid w:val="3CCE048D"/>
    <w:rsid w:val="3CDA219E"/>
    <w:rsid w:val="3CDA5A95"/>
    <w:rsid w:val="3CE0091C"/>
    <w:rsid w:val="3CE30C99"/>
    <w:rsid w:val="3CE7312D"/>
    <w:rsid w:val="3CF00162"/>
    <w:rsid w:val="3CF15B83"/>
    <w:rsid w:val="3CFA2C61"/>
    <w:rsid w:val="3CFA340A"/>
    <w:rsid w:val="3CFB3BB2"/>
    <w:rsid w:val="3CFC1871"/>
    <w:rsid w:val="3D0C3C0C"/>
    <w:rsid w:val="3D0F32E4"/>
    <w:rsid w:val="3D21752B"/>
    <w:rsid w:val="3D2363DE"/>
    <w:rsid w:val="3D236C6B"/>
    <w:rsid w:val="3D257B7D"/>
    <w:rsid w:val="3D295CEB"/>
    <w:rsid w:val="3D2B1C09"/>
    <w:rsid w:val="3D372DF7"/>
    <w:rsid w:val="3D4C63C7"/>
    <w:rsid w:val="3D5C5D0B"/>
    <w:rsid w:val="3D5C74E1"/>
    <w:rsid w:val="3D626116"/>
    <w:rsid w:val="3D661F9E"/>
    <w:rsid w:val="3D697B45"/>
    <w:rsid w:val="3D6B1CC2"/>
    <w:rsid w:val="3D7224BB"/>
    <w:rsid w:val="3D794F2B"/>
    <w:rsid w:val="3D803C2A"/>
    <w:rsid w:val="3D921760"/>
    <w:rsid w:val="3D935DC9"/>
    <w:rsid w:val="3D9C74E3"/>
    <w:rsid w:val="3D9C7BE7"/>
    <w:rsid w:val="3D9C7D4F"/>
    <w:rsid w:val="3D9F4DE4"/>
    <w:rsid w:val="3DA73AC3"/>
    <w:rsid w:val="3DAB3355"/>
    <w:rsid w:val="3DAB6840"/>
    <w:rsid w:val="3DB260AE"/>
    <w:rsid w:val="3DBA16D5"/>
    <w:rsid w:val="3DC2476F"/>
    <w:rsid w:val="3DC76976"/>
    <w:rsid w:val="3DDA4C2C"/>
    <w:rsid w:val="3DE906D1"/>
    <w:rsid w:val="3DE92602"/>
    <w:rsid w:val="3DEA7231"/>
    <w:rsid w:val="3DEC7A38"/>
    <w:rsid w:val="3DED276E"/>
    <w:rsid w:val="3DF3277A"/>
    <w:rsid w:val="3DF8397D"/>
    <w:rsid w:val="3DFA7DC1"/>
    <w:rsid w:val="3DFB1337"/>
    <w:rsid w:val="3DFD6502"/>
    <w:rsid w:val="3E04260E"/>
    <w:rsid w:val="3E045DF4"/>
    <w:rsid w:val="3E0735F6"/>
    <w:rsid w:val="3E0A10D6"/>
    <w:rsid w:val="3E0F5A7C"/>
    <w:rsid w:val="3E110F37"/>
    <w:rsid w:val="3E161447"/>
    <w:rsid w:val="3E195271"/>
    <w:rsid w:val="3E213816"/>
    <w:rsid w:val="3E233C25"/>
    <w:rsid w:val="3E2675E7"/>
    <w:rsid w:val="3E287A32"/>
    <w:rsid w:val="3E2E097B"/>
    <w:rsid w:val="3E3370B2"/>
    <w:rsid w:val="3E3434AD"/>
    <w:rsid w:val="3E370B80"/>
    <w:rsid w:val="3E3B6B03"/>
    <w:rsid w:val="3E4337BF"/>
    <w:rsid w:val="3E452CEA"/>
    <w:rsid w:val="3E4937FB"/>
    <w:rsid w:val="3E4D2593"/>
    <w:rsid w:val="3E746C96"/>
    <w:rsid w:val="3E7A29C4"/>
    <w:rsid w:val="3E7C0A8B"/>
    <w:rsid w:val="3E7E5709"/>
    <w:rsid w:val="3E814541"/>
    <w:rsid w:val="3E9416B0"/>
    <w:rsid w:val="3E955332"/>
    <w:rsid w:val="3E972947"/>
    <w:rsid w:val="3E977B78"/>
    <w:rsid w:val="3E9B0BD0"/>
    <w:rsid w:val="3EA831CB"/>
    <w:rsid w:val="3EAF3365"/>
    <w:rsid w:val="3EAF4DE2"/>
    <w:rsid w:val="3EB02CF7"/>
    <w:rsid w:val="3EB472EA"/>
    <w:rsid w:val="3EBA58E4"/>
    <w:rsid w:val="3EC171DE"/>
    <w:rsid w:val="3ED13664"/>
    <w:rsid w:val="3ED260B2"/>
    <w:rsid w:val="3EDC311B"/>
    <w:rsid w:val="3EEC4975"/>
    <w:rsid w:val="3EED5649"/>
    <w:rsid w:val="3EF32E4D"/>
    <w:rsid w:val="3F0119A3"/>
    <w:rsid w:val="3F085415"/>
    <w:rsid w:val="3F0F58EA"/>
    <w:rsid w:val="3F166C0A"/>
    <w:rsid w:val="3F1B3A62"/>
    <w:rsid w:val="3F20737D"/>
    <w:rsid w:val="3F2675AA"/>
    <w:rsid w:val="3F2759A8"/>
    <w:rsid w:val="3F2B4A98"/>
    <w:rsid w:val="3F323A33"/>
    <w:rsid w:val="3F352B64"/>
    <w:rsid w:val="3F3674B2"/>
    <w:rsid w:val="3F3E0999"/>
    <w:rsid w:val="3F404C89"/>
    <w:rsid w:val="3F450FDB"/>
    <w:rsid w:val="3F4E3420"/>
    <w:rsid w:val="3F5C462C"/>
    <w:rsid w:val="3F5E78C6"/>
    <w:rsid w:val="3F635A61"/>
    <w:rsid w:val="3F681639"/>
    <w:rsid w:val="3F693A5A"/>
    <w:rsid w:val="3F8F79C6"/>
    <w:rsid w:val="3F9160E8"/>
    <w:rsid w:val="3F96388E"/>
    <w:rsid w:val="3F992E13"/>
    <w:rsid w:val="3F9ECC99"/>
    <w:rsid w:val="3FA7C3E5"/>
    <w:rsid w:val="3FAE571D"/>
    <w:rsid w:val="3FB07776"/>
    <w:rsid w:val="3FB266B6"/>
    <w:rsid w:val="3FB52A2F"/>
    <w:rsid w:val="3FBA4B49"/>
    <w:rsid w:val="3FC82785"/>
    <w:rsid w:val="3FC82F10"/>
    <w:rsid w:val="3FD354C0"/>
    <w:rsid w:val="3FD77C27"/>
    <w:rsid w:val="3FDE5A2C"/>
    <w:rsid w:val="3FE70A09"/>
    <w:rsid w:val="3FEF5FE4"/>
    <w:rsid w:val="3FF34101"/>
    <w:rsid w:val="3FFC0C43"/>
    <w:rsid w:val="40010DA8"/>
    <w:rsid w:val="40130AB9"/>
    <w:rsid w:val="401C527C"/>
    <w:rsid w:val="401E24FE"/>
    <w:rsid w:val="402A405C"/>
    <w:rsid w:val="40366D92"/>
    <w:rsid w:val="404A4B00"/>
    <w:rsid w:val="40541512"/>
    <w:rsid w:val="405B69B7"/>
    <w:rsid w:val="406225E0"/>
    <w:rsid w:val="406A07A5"/>
    <w:rsid w:val="407435D3"/>
    <w:rsid w:val="407B46EF"/>
    <w:rsid w:val="407B7720"/>
    <w:rsid w:val="40986F7A"/>
    <w:rsid w:val="40A57F06"/>
    <w:rsid w:val="40BF77BE"/>
    <w:rsid w:val="40CB1D2F"/>
    <w:rsid w:val="40D9702B"/>
    <w:rsid w:val="40DE16DE"/>
    <w:rsid w:val="40F036ED"/>
    <w:rsid w:val="40F2481C"/>
    <w:rsid w:val="40F31DB4"/>
    <w:rsid w:val="40F70084"/>
    <w:rsid w:val="40FC556D"/>
    <w:rsid w:val="410E63CA"/>
    <w:rsid w:val="411879D0"/>
    <w:rsid w:val="411C5801"/>
    <w:rsid w:val="412F3AFF"/>
    <w:rsid w:val="412F4602"/>
    <w:rsid w:val="412F5C87"/>
    <w:rsid w:val="413167F0"/>
    <w:rsid w:val="41367747"/>
    <w:rsid w:val="41413401"/>
    <w:rsid w:val="41422405"/>
    <w:rsid w:val="414C0EAA"/>
    <w:rsid w:val="414E0B3E"/>
    <w:rsid w:val="414F6FF2"/>
    <w:rsid w:val="4153045F"/>
    <w:rsid w:val="41546154"/>
    <w:rsid w:val="41572F62"/>
    <w:rsid w:val="415B40DB"/>
    <w:rsid w:val="4160648B"/>
    <w:rsid w:val="41612A11"/>
    <w:rsid w:val="416A659E"/>
    <w:rsid w:val="416E52D2"/>
    <w:rsid w:val="417A4050"/>
    <w:rsid w:val="417F6B37"/>
    <w:rsid w:val="41834EAD"/>
    <w:rsid w:val="419F7587"/>
    <w:rsid w:val="41AC5BFD"/>
    <w:rsid w:val="41B24D0C"/>
    <w:rsid w:val="41B62584"/>
    <w:rsid w:val="41BD7C6A"/>
    <w:rsid w:val="41DA46A9"/>
    <w:rsid w:val="41DC6E65"/>
    <w:rsid w:val="41E21A59"/>
    <w:rsid w:val="41E32E1B"/>
    <w:rsid w:val="41E52704"/>
    <w:rsid w:val="41EB3A2C"/>
    <w:rsid w:val="41EE4E31"/>
    <w:rsid w:val="41F03646"/>
    <w:rsid w:val="41F13142"/>
    <w:rsid w:val="41F43008"/>
    <w:rsid w:val="4209746C"/>
    <w:rsid w:val="420F1061"/>
    <w:rsid w:val="421319BB"/>
    <w:rsid w:val="4217286E"/>
    <w:rsid w:val="421D13C7"/>
    <w:rsid w:val="421E3260"/>
    <w:rsid w:val="42392B6D"/>
    <w:rsid w:val="423C17F5"/>
    <w:rsid w:val="424A7C49"/>
    <w:rsid w:val="424B7D79"/>
    <w:rsid w:val="42682B55"/>
    <w:rsid w:val="42687C4C"/>
    <w:rsid w:val="426C0E01"/>
    <w:rsid w:val="426D3625"/>
    <w:rsid w:val="42763B2F"/>
    <w:rsid w:val="427F01E0"/>
    <w:rsid w:val="42962F4C"/>
    <w:rsid w:val="429A03F4"/>
    <w:rsid w:val="42A47574"/>
    <w:rsid w:val="42A5183F"/>
    <w:rsid w:val="42A94991"/>
    <w:rsid w:val="42AC7708"/>
    <w:rsid w:val="42B55834"/>
    <w:rsid w:val="42C20EF5"/>
    <w:rsid w:val="42C24E97"/>
    <w:rsid w:val="42C953BF"/>
    <w:rsid w:val="42CB5598"/>
    <w:rsid w:val="42CC3676"/>
    <w:rsid w:val="42D22EAA"/>
    <w:rsid w:val="42DC7894"/>
    <w:rsid w:val="42DD12B8"/>
    <w:rsid w:val="42E7080D"/>
    <w:rsid w:val="42EF1ECA"/>
    <w:rsid w:val="42F1358E"/>
    <w:rsid w:val="42F44D74"/>
    <w:rsid w:val="42F93A0F"/>
    <w:rsid w:val="42FA2C71"/>
    <w:rsid w:val="43001F84"/>
    <w:rsid w:val="43043A39"/>
    <w:rsid w:val="431A7B55"/>
    <w:rsid w:val="432951F6"/>
    <w:rsid w:val="432B3B3F"/>
    <w:rsid w:val="43401E67"/>
    <w:rsid w:val="434206D5"/>
    <w:rsid w:val="43627F42"/>
    <w:rsid w:val="43631EF9"/>
    <w:rsid w:val="4363310A"/>
    <w:rsid w:val="436B21D8"/>
    <w:rsid w:val="436B341D"/>
    <w:rsid w:val="437A5975"/>
    <w:rsid w:val="438A0835"/>
    <w:rsid w:val="438B52E0"/>
    <w:rsid w:val="43916981"/>
    <w:rsid w:val="439C45A4"/>
    <w:rsid w:val="43B901A7"/>
    <w:rsid w:val="43BC7EBD"/>
    <w:rsid w:val="43C64ECB"/>
    <w:rsid w:val="43CB0869"/>
    <w:rsid w:val="43D00944"/>
    <w:rsid w:val="43D25F89"/>
    <w:rsid w:val="43DD4C04"/>
    <w:rsid w:val="43E37A0E"/>
    <w:rsid w:val="43E75AC5"/>
    <w:rsid w:val="43F41C3D"/>
    <w:rsid w:val="43F44980"/>
    <w:rsid w:val="43F60B10"/>
    <w:rsid w:val="43FB6C70"/>
    <w:rsid w:val="44040CCC"/>
    <w:rsid w:val="440E51B7"/>
    <w:rsid w:val="441373B9"/>
    <w:rsid w:val="4417428C"/>
    <w:rsid w:val="4419668D"/>
    <w:rsid w:val="442E6DCD"/>
    <w:rsid w:val="443F168F"/>
    <w:rsid w:val="44416A28"/>
    <w:rsid w:val="445A16E7"/>
    <w:rsid w:val="44695A64"/>
    <w:rsid w:val="446A1F2B"/>
    <w:rsid w:val="446B2A97"/>
    <w:rsid w:val="44785348"/>
    <w:rsid w:val="44883E1A"/>
    <w:rsid w:val="448D112C"/>
    <w:rsid w:val="4494718F"/>
    <w:rsid w:val="44B37920"/>
    <w:rsid w:val="44B81C74"/>
    <w:rsid w:val="44C412E0"/>
    <w:rsid w:val="44C6239C"/>
    <w:rsid w:val="44C90E74"/>
    <w:rsid w:val="44CD7B5D"/>
    <w:rsid w:val="44D242F0"/>
    <w:rsid w:val="44E25EC8"/>
    <w:rsid w:val="44ED1AB7"/>
    <w:rsid w:val="44EF5927"/>
    <w:rsid w:val="44F1176D"/>
    <w:rsid w:val="44F33246"/>
    <w:rsid w:val="44F40E09"/>
    <w:rsid w:val="44FD3CCF"/>
    <w:rsid w:val="450A5E13"/>
    <w:rsid w:val="451262FD"/>
    <w:rsid w:val="4516721D"/>
    <w:rsid w:val="45194E52"/>
    <w:rsid w:val="451C6E79"/>
    <w:rsid w:val="451D4342"/>
    <w:rsid w:val="451D691D"/>
    <w:rsid w:val="451D6BCE"/>
    <w:rsid w:val="452766AE"/>
    <w:rsid w:val="452B1D79"/>
    <w:rsid w:val="4538439A"/>
    <w:rsid w:val="453C6751"/>
    <w:rsid w:val="4541256D"/>
    <w:rsid w:val="45554DA6"/>
    <w:rsid w:val="45591BF3"/>
    <w:rsid w:val="455F4AC8"/>
    <w:rsid w:val="456C373B"/>
    <w:rsid w:val="456D33B0"/>
    <w:rsid w:val="45746190"/>
    <w:rsid w:val="457A6482"/>
    <w:rsid w:val="45805174"/>
    <w:rsid w:val="45812E66"/>
    <w:rsid w:val="4583686C"/>
    <w:rsid w:val="45845D76"/>
    <w:rsid w:val="458B3FE8"/>
    <w:rsid w:val="459643F7"/>
    <w:rsid w:val="459A7348"/>
    <w:rsid w:val="459F53F5"/>
    <w:rsid w:val="45AC2415"/>
    <w:rsid w:val="45AC7BA2"/>
    <w:rsid w:val="45B413A4"/>
    <w:rsid w:val="45BA740D"/>
    <w:rsid w:val="45BE5366"/>
    <w:rsid w:val="45C72682"/>
    <w:rsid w:val="45CD5527"/>
    <w:rsid w:val="45CE42DE"/>
    <w:rsid w:val="45D87BEF"/>
    <w:rsid w:val="45E657C3"/>
    <w:rsid w:val="45F25875"/>
    <w:rsid w:val="45F32D90"/>
    <w:rsid w:val="45F864BD"/>
    <w:rsid w:val="45FA0300"/>
    <w:rsid w:val="45FD69CD"/>
    <w:rsid w:val="45FF0F3E"/>
    <w:rsid w:val="45FF17EF"/>
    <w:rsid w:val="460075EB"/>
    <w:rsid w:val="46035A57"/>
    <w:rsid w:val="460B47C4"/>
    <w:rsid w:val="462264EF"/>
    <w:rsid w:val="463246FD"/>
    <w:rsid w:val="46371A60"/>
    <w:rsid w:val="463B6000"/>
    <w:rsid w:val="464014DD"/>
    <w:rsid w:val="46495061"/>
    <w:rsid w:val="4649770B"/>
    <w:rsid w:val="464A6A97"/>
    <w:rsid w:val="464C72CE"/>
    <w:rsid w:val="46521EE5"/>
    <w:rsid w:val="46525093"/>
    <w:rsid w:val="4661125D"/>
    <w:rsid w:val="468269BA"/>
    <w:rsid w:val="46861B61"/>
    <w:rsid w:val="46891BFD"/>
    <w:rsid w:val="46902F03"/>
    <w:rsid w:val="46966495"/>
    <w:rsid w:val="46975376"/>
    <w:rsid w:val="469E5829"/>
    <w:rsid w:val="46A132A1"/>
    <w:rsid w:val="46AF5785"/>
    <w:rsid w:val="46B00BEB"/>
    <w:rsid w:val="46B017DC"/>
    <w:rsid w:val="46B11DA1"/>
    <w:rsid w:val="46B3719C"/>
    <w:rsid w:val="46C7595A"/>
    <w:rsid w:val="46CA3EAC"/>
    <w:rsid w:val="46CD108A"/>
    <w:rsid w:val="46CF2B8E"/>
    <w:rsid w:val="46D039A6"/>
    <w:rsid w:val="46D1570C"/>
    <w:rsid w:val="46D835E4"/>
    <w:rsid w:val="46E90864"/>
    <w:rsid w:val="46F3301E"/>
    <w:rsid w:val="46F35F18"/>
    <w:rsid w:val="46F61C13"/>
    <w:rsid w:val="46FA6CB1"/>
    <w:rsid w:val="470A7C30"/>
    <w:rsid w:val="47141380"/>
    <w:rsid w:val="471472EB"/>
    <w:rsid w:val="47177045"/>
    <w:rsid w:val="472D330E"/>
    <w:rsid w:val="474110AE"/>
    <w:rsid w:val="474430FA"/>
    <w:rsid w:val="474D4F88"/>
    <w:rsid w:val="475340F0"/>
    <w:rsid w:val="47562583"/>
    <w:rsid w:val="475C53EC"/>
    <w:rsid w:val="47837970"/>
    <w:rsid w:val="47845F6A"/>
    <w:rsid w:val="478522B7"/>
    <w:rsid w:val="47A76B68"/>
    <w:rsid w:val="47B47089"/>
    <w:rsid w:val="47B54119"/>
    <w:rsid w:val="47D559FD"/>
    <w:rsid w:val="47DB1730"/>
    <w:rsid w:val="47DB22FE"/>
    <w:rsid w:val="47DF492E"/>
    <w:rsid w:val="47E7533C"/>
    <w:rsid w:val="47F55F20"/>
    <w:rsid w:val="47FC24A8"/>
    <w:rsid w:val="48045892"/>
    <w:rsid w:val="480C7137"/>
    <w:rsid w:val="4810371F"/>
    <w:rsid w:val="4814777E"/>
    <w:rsid w:val="481E346C"/>
    <w:rsid w:val="482F2574"/>
    <w:rsid w:val="483D36B2"/>
    <w:rsid w:val="484A37E9"/>
    <w:rsid w:val="485C6BBC"/>
    <w:rsid w:val="485D6CD3"/>
    <w:rsid w:val="48613C9F"/>
    <w:rsid w:val="48642C1F"/>
    <w:rsid w:val="486432FB"/>
    <w:rsid w:val="4871207B"/>
    <w:rsid w:val="48751272"/>
    <w:rsid w:val="48780CF1"/>
    <w:rsid w:val="488324B7"/>
    <w:rsid w:val="488E4989"/>
    <w:rsid w:val="488F47FC"/>
    <w:rsid w:val="48905215"/>
    <w:rsid w:val="48947D88"/>
    <w:rsid w:val="48952D8E"/>
    <w:rsid w:val="489768B9"/>
    <w:rsid w:val="48990266"/>
    <w:rsid w:val="489B64E0"/>
    <w:rsid w:val="48A05398"/>
    <w:rsid w:val="48A55824"/>
    <w:rsid w:val="48AA47E4"/>
    <w:rsid w:val="48AD0D6E"/>
    <w:rsid w:val="48AF0222"/>
    <w:rsid w:val="48B118D1"/>
    <w:rsid w:val="48C32F97"/>
    <w:rsid w:val="48C82506"/>
    <w:rsid w:val="48D34DBE"/>
    <w:rsid w:val="48D42328"/>
    <w:rsid w:val="48DF2E1E"/>
    <w:rsid w:val="48E85F04"/>
    <w:rsid w:val="48EB6147"/>
    <w:rsid w:val="48EF4857"/>
    <w:rsid w:val="48F053BB"/>
    <w:rsid w:val="48F3112A"/>
    <w:rsid w:val="48F90735"/>
    <w:rsid w:val="49042FB8"/>
    <w:rsid w:val="490F71F1"/>
    <w:rsid w:val="491E1F88"/>
    <w:rsid w:val="492A51F8"/>
    <w:rsid w:val="492D76E6"/>
    <w:rsid w:val="49307255"/>
    <w:rsid w:val="49313764"/>
    <w:rsid w:val="4933374B"/>
    <w:rsid w:val="493957EA"/>
    <w:rsid w:val="493A0A08"/>
    <w:rsid w:val="494224B8"/>
    <w:rsid w:val="494275AE"/>
    <w:rsid w:val="494707A3"/>
    <w:rsid w:val="49485C35"/>
    <w:rsid w:val="494D45F3"/>
    <w:rsid w:val="495D3DC1"/>
    <w:rsid w:val="49617F11"/>
    <w:rsid w:val="49627A95"/>
    <w:rsid w:val="496B39E2"/>
    <w:rsid w:val="49721D88"/>
    <w:rsid w:val="497929CF"/>
    <w:rsid w:val="497C0DC1"/>
    <w:rsid w:val="497E39DE"/>
    <w:rsid w:val="497E4960"/>
    <w:rsid w:val="49856A68"/>
    <w:rsid w:val="49870AFA"/>
    <w:rsid w:val="49891DB7"/>
    <w:rsid w:val="498A3DFA"/>
    <w:rsid w:val="499450B3"/>
    <w:rsid w:val="4994719C"/>
    <w:rsid w:val="49964DD5"/>
    <w:rsid w:val="49994538"/>
    <w:rsid w:val="49994B15"/>
    <w:rsid w:val="499969AB"/>
    <w:rsid w:val="49A26F46"/>
    <w:rsid w:val="49A51C8E"/>
    <w:rsid w:val="49A71AE5"/>
    <w:rsid w:val="49A94277"/>
    <w:rsid w:val="49AF1190"/>
    <w:rsid w:val="49B44777"/>
    <w:rsid w:val="49BA19D7"/>
    <w:rsid w:val="49BB114E"/>
    <w:rsid w:val="49BC645D"/>
    <w:rsid w:val="49C9661F"/>
    <w:rsid w:val="49D071F1"/>
    <w:rsid w:val="49D71A3A"/>
    <w:rsid w:val="49DB050B"/>
    <w:rsid w:val="49DD728F"/>
    <w:rsid w:val="49E62680"/>
    <w:rsid w:val="49E72BDC"/>
    <w:rsid w:val="49EA7937"/>
    <w:rsid w:val="49F028E0"/>
    <w:rsid w:val="49F43609"/>
    <w:rsid w:val="49FB25F1"/>
    <w:rsid w:val="4A065FDF"/>
    <w:rsid w:val="4A0B14BE"/>
    <w:rsid w:val="4A0B3E80"/>
    <w:rsid w:val="4A0C125A"/>
    <w:rsid w:val="4A0E15C8"/>
    <w:rsid w:val="4A10048D"/>
    <w:rsid w:val="4A1D0F7A"/>
    <w:rsid w:val="4A1E2952"/>
    <w:rsid w:val="4A2234C7"/>
    <w:rsid w:val="4A2B42BD"/>
    <w:rsid w:val="4A2B5503"/>
    <w:rsid w:val="4A2E2790"/>
    <w:rsid w:val="4A3A5F22"/>
    <w:rsid w:val="4A480433"/>
    <w:rsid w:val="4A4D3C6C"/>
    <w:rsid w:val="4A6253CB"/>
    <w:rsid w:val="4A6927CE"/>
    <w:rsid w:val="4A7D1D31"/>
    <w:rsid w:val="4A847C04"/>
    <w:rsid w:val="4A865E58"/>
    <w:rsid w:val="4A9E31C7"/>
    <w:rsid w:val="4AAD74CC"/>
    <w:rsid w:val="4ABA375D"/>
    <w:rsid w:val="4AC25DDB"/>
    <w:rsid w:val="4AC86E3C"/>
    <w:rsid w:val="4ACBDB3C"/>
    <w:rsid w:val="4AD0632C"/>
    <w:rsid w:val="4AD136EB"/>
    <w:rsid w:val="4ADB024C"/>
    <w:rsid w:val="4ADF4A04"/>
    <w:rsid w:val="4AE05C37"/>
    <w:rsid w:val="4AE87EF3"/>
    <w:rsid w:val="4AFF57A0"/>
    <w:rsid w:val="4B0222FB"/>
    <w:rsid w:val="4B070135"/>
    <w:rsid w:val="4B0F34C3"/>
    <w:rsid w:val="4B116085"/>
    <w:rsid w:val="4B1576F3"/>
    <w:rsid w:val="4B1F7399"/>
    <w:rsid w:val="4B2731A5"/>
    <w:rsid w:val="4B360CA0"/>
    <w:rsid w:val="4B3E7214"/>
    <w:rsid w:val="4B465D0E"/>
    <w:rsid w:val="4B500FBC"/>
    <w:rsid w:val="4B51247A"/>
    <w:rsid w:val="4B553168"/>
    <w:rsid w:val="4B644B6E"/>
    <w:rsid w:val="4B6A4E3B"/>
    <w:rsid w:val="4B7052C7"/>
    <w:rsid w:val="4B733C5D"/>
    <w:rsid w:val="4B766759"/>
    <w:rsid w:val="4B7C3483"/>
    <w:rsid w:val="4B893B8A"/>
    <w:rsid w:val="4B8A766E"/>
    <w:rsid w:val="4B9C0FA4"/>
    <w:rsid w:val="4BBC7F50"/>
    <w:rsid w:val="4BC17D85"/>
    <w:rsid w:val="4BC31389"/>
    <w:rsid w:val="4BD22EDF"/>
    <w:rsid w:val="4BD42EDC"/>
    <w:rsid w:val="4BE3154E"/>
    <w:rsid w:val="4BE61D31"/>
    <w:rsid w:val="4BEC3947"/>
    <w:rsid w:val="4BFA060C"/>
    <w:rsid w:val="4C01015B"/>
    <w:rsid w:val="4C0479CE"/>
    <w:rsid w:val="4C176BC6"/>
    <w:rsid w:val="4C1B1631"/>
    <w:rsid w:val="4C1B5304"/>
    <w:rsid w:val="4C1B72E7"/>
    <w:rsid w:val="4C1C1F65"/>
    <w:rsid w:val="4C22424A"/>
    <w:rsid w:val="4C2B166D"/>
    <w:rsid w:val="4C2D2E4F"/>
    <w:rsid w:val="4C2D72A5"/>
    <w:rsid w:val="4C2E589B"/>
    <w:rsid w:val="4C350015"/>
    <w:rsid w:val="4C375EA1"/>
    <w:rsid w:val="4C3C7C87"/>
    <w:rsid w:val="4C424792"/>
    <w:rsid w:val="4C504585"/>
    <w:rsid w:val="4C566AB8"/>
    <w:rsid w:val="4C577AB7"/>
    <w:rsid w:val="4C5904D7"/>
    <w:rsid w:val="4C6C3DA3"/>
    <w:rsid w:val="4C7154D0"/>
    <w:rsid w:val="4C790F23"/>
    <w:rsid w:val="4C7925D2"/>
    <w:rsid w:val="4C8245B0"/>
    <w:rsid w:val="4C8347F8"/>
    <w:rsid w:val="4C863110"/>
    <w:rsid w:val="4C8D1F8F"/>
    <w:rsid w:val="4CA36DF1"/>
    <w:rsid w:val="4CAE0D95"/>
    <w:rsid w:val="4CBA06D4"/>
    <w:rsid w:val="4CBA10CB"/>
    <w:rsid w:val="4CC12BE0"/>
    <w:rsid w:val="4CCA1913"/>
    <w:rsid w:val="4CD45F49"/>
    <w:rsid w:val="4CDA60FF"/>
    <w:rsid w:val="4CEA5424"/>
    <w:rsid w:val="4CEC3C0A"/>
    <w:rsid w:val="4CEE4CBB"/>
    <w:rsid w:val="4CF02834"/>
    <w:rsid w:val="4CF527BF"/>
    <w:rsid w:val="4CF7206F"/>
    <w:rsid w:val="4D000B99"/>
    <w:rsid w:val="4D070D9A"/>
    <w:rsid w:val="4D076CF6"/>
    <w:rsid w:val="4D106337"/>
    <w:rsid w:val="4D111596"/>
    <w:rsid w:val="4D1332A6"/>
    <w:rsid w:val="4D16248A"/>
    <w:rsid w:val="4D2772AE"/>
    <w:rsid w:val="4D317C62"/>
    <w:rsid w:val="4D3D2579"/>
    <w:rsid w:val="4D4E7D77"/>
    <w:rsid w:val="4D5A7C22"/>
    <w:rsid w:val="4D5C74F5"/>
    <w:rsid w:val="4D632858"/>
    <w:rsid w:val="4D6412B2"/>
    <w:rsid w:val="4D646D2F"/>
    <w:rsid w:val="4D6C0EFF"/>
    <w:rsid w:val="4D7D11B1"/>
    <w:rsid w:val="4D833718"/>
    <w:rsid w:val="4D852A7F"/>
    <w:rsid w:val="4D86234D"/>
    <w:rsid w:val="4D89150A"/>
    <w:rsid w:val="4D896AAB"/>
    <w:rsid w:val="4D8B25FA"/>
    <w:rsid w:val="4D941C0B"/>
    <w:rsid w:val="4DA36B48"/>
    <w:rsid w:val="4DA611C9"/>
    <w:rsid w:val="4DA61737"/>
    <w:rsid w:val="4DAA2F1E"/>
    <w:rsid w:val="4DAC4A4D"/>
    <w:rsid w:val="4DAD45AB"/>
    <w:rsid w:val="4DBB5F38"/>
    <w:rsid w:val="4DC4607F"/>
    <w:rsid w:val="4DC80C04"/>
    <w:rsid w:val="4DD42F7A"/>
    <w:rsid w:val="4DDA5AB5"/>
    <w:rsid w:val="4DDC1174"/>
    <w:rsid w:val="4DDC5F80"/>
    <w:rsid w:val="4DE244DC"/>
    <w:rsid w:val="4DED3507"/>
    <w:rsid w:val="4DED59D8"/>
    <w:rsid w:val="4DEE0BA6"/>
    <w:rsid w:val="4DF3379E"/>
    <w:rsid w:val="4E017AF8"/>
    <w:rsid w:val="4E053E33"/>
    <w:rsid w:val="4E0F3079"/>
    <w:rsid w:val="4E137F97"/>
    <w:rsid w:val="4E155F51"/>
    <w:rsid w:val="4E161CDB"/>
    <w:rsid w:val="4E2719DE"/>
    <w:rsid w:val="4E274868"/>
    <w:rsid w:val="4E293BFF"/>
    <w:rsid w:val="4E317A5B"/>
    <w:rsid w:val="4E32646C"/>
    <w:rsid w:val="4E3C091D"/>
    <w:rsid w:val="4E417944"/>
    <w:rsid w:val="4E4361B3"/>
    <w:rsid w:val="4E4C3DFB"/>
    <w:rsid w:val="4E4E5217"/>
    <w:rsid w:val="4E4F5C66"/>
    <w:rsid w:val="4E56224C"/>
    <w:rsid w:val="4E6661C9"/>
    <w:rsid w:val="4E67415E"/>
    <w:rsid w:val="4E69167C"/>
    <w:rsid w:val="4E7439DF"/>
    <w:rsid w:val="4E7A05C3"/>
    <w:rsid w:val="4E850A83"/>
    <w:rsid w:val="4E864833"/>
    <w:rsid w:val="4E89095B"/>
    <w:rsid w:val="4E8E7512"/>
    <w:rsid w:val="4E8F722D"/>
    <w:rsid w:val="4EA932FE"/>
    <w:rsid w:val="4EAC78C0"/>
    <w:rsid w:val="4EAD02DF"/>
    <w:rsid w:val="4EAE0C37"/>
    <w:rsid w:val="4EAE4D4D"/>
    <w:rsid w:val="4EB46637"/>
    <w:rsid w:val="4EBE7FEA"/>
    <w:rsid w:val="4EC1332E"/>
    <w:rsid w:val="4EC2456A"/>
    <w:rsid w:val="4EC81BF7"/>
    <w:rsid w:val="4EC847BA"/>
    <w:rsid w:val="4EE03590"/>
    <w:rsid w:val="4EE450CC"/>
    <w:rsid w:val="4EE67D8A"/>
    <w:rsid w:val="4EEC0D10"/>
    <w:rsid w:val="4EFB1846"/>
    <w:rsid w:val="4EFC3CE7"/>
    <w:rsid w:val="4F0024E4"/>
    <w:rsid w:val="4F01550E"/>
    <w:rsid w:val="4F071A2A"/>
    <w:rsid w:val="4F2D7545"/>
    <w:rsid w:val="4F3019E1"/>
    <w:rsid w:val="4F4C3DD2"/>
    <w:rsid w:val="4F541BD1"/>
    <w:rsid w:val="4F5B248A"/>
    <w:rsid w:val="4F671B40"/>
    <w:rsid w:val="4F732E08"/>
    <w:rsid w:val="4F755ABA"/>
    <w:rsid w:val="4F7D7B6F"/>
    <w:rsid w:val="4F88708C"/>
    <w:rsid w:val="4F9471C8"/>
    <w:rsid w:val="4F9C59BD"/>
    <w:rsid w:val="4FA554D0"/>
    <w:rsid w:val="4FB50C3D"/>
    <w:rsid w:val="4FB70C9E"/>
    <w:rsid w:val="4FBC6C28"/>
    <w:rsid w:val="4FC2174E"/>
    <w:rsid w:val="4FC95D22"/>
    <w:rsid w:val="4FC96BDD"/>
    <w:rsid w:val="4FD84FFC"/>
    <w:rsid w:val="4FEE56C6"/>
    <w:rsid w:val="4FEF62BA"/>
    <w:rsid w:val="4FF223AF"/>
    <w:rsid w:val="4FF3250C"/>
    <w:rsid w:val="4FF4635F"/>
    <w:rsid w:val="4FF52176"/>
    <w:rsid w:val="4FFF3ACF"/>
    <w:rsid w:val="50014F85"/>
    <w:rsid w:val="500801EE"/>
    <w:rsid w:val="501577E6"/>
    <w:rsid w:val="501B12FA"/>
    <w:rsid w:val="502A3FE7"/>
    <w:rsid w:val="50437F47"/>
    <w:rsid w:val="504E0A1C"/>
    <w:rsid w:val="504F5E58"/>
    <w:rsid w:val="5050366A"/>
    <w:rsid w:val="50524B42"/>
    <w:rsid w:val="505F6968"/>
    <w:rsid w:val="50674DF4"/>
    <w:rsid w:val="506812DC"/>
    <w:rsid w:val="507546FB"/>
    <w:rsid w:val="5087340C"/>
    <w:rsid w:val="50945719"/>
    <w:rsid w:val="50957357"/>
    <w:rsid w:val="50985A88"/>
    <w:rsid w:val="509C6BA1"/>
    <w:rsid w:val="509D641C"/>
    <w:rsid w:val="50A0282F"/>
    <w:rsid w:val="50A33D09"/>
    <w:rsid w:val="50A77B3B"/>
    <w:rsid w:val="50A97965"/>
    <w:rsid w:val="50B131BD"/>
    <w:rsid w:val="50B8301B"/>
    <w:rsid w:val="50CC0E90"/>
    <w:rsid w:val="50CD0B1D"/>
    <w:rsid w:val="50DC2512"/>
    <w:rsid w:val="50DE4D41"/>
    <w:rsid w:val="50E47B0A"/>
    <w:rsid w:val="50ED166F"/>
    <w:rsid w:val="50F12DEB"/>
    <w:rsid w:val="50F24353"/>
    <w:rsid w:val="50FA1F48"/>
    <w:rsid w:val="50FB0C27"/>
    <w:rsid w:val="50FF230B"/>
    <w:rsid w:val="51082401"/>
    <w:rsid w:val="510B0A7B"/>
    <w:rsid w:val="510B1E42"/>
    <w:rsid w:val="510D415F"/>
    <w:rsid w:val="5116134F"/>
    <w:rsid w:val="5118245E"/>
    <w:rsid w:val="51191774"/>
    <w:rsid w:val="511E0724"/>
    <w:rsid w:val="512013C3"/>
    <w:rsid w:val="51220351"/>
    <w:rsid w:val="51224F3F"/>
    <w:rsid w:val="51296729"/>
    <w:rsid w:val="512970B2"/>
    <w:rsid w:val="51323A6D"/>
    <w:rsid w:val="513736F6"/>
    <w:rsid w:val="514D7F52"/>
    <w:rsid w:val="51515572"/>
    <w:rsid w:val="5157778E"/>
    <w:rsid w:val="5158272B"/>
    <w:rsid w:val="516F0D9A"/>
    <w:rsid w:val="51832318"/>
    <w:rsid w:val="518971ED"/>
    <w:rsid w:val="51967504"/>
    <w:rsid w:val="51A100F9"/>
    <w:rsid w:val="51A134CC"/>
    <w:rsid w:val="51B10993"/>
    <w:rsid w:val="51B31CDE"/>
    <w:rsid w:val="51B5657C"/>
    <w:rsid w:val="51B97320"/>
    <w:rsid w:val="51CB2862"/>
    <w:rsid w:val="51D35AC5"/>
    <w:rsid w:val="51DF5EE2"/>
    <w:rsid w:val="51E10EC5"/>
    <w:rsid w:val="51E11A88"/>
    <w:rsid w:val="51E4639C"/>
    <w:rsid w:val="51FE1EB4"/>
    <w:rsid w:val="520157DD"/>
    <w:rsid w:val="52042995"/>
    <w:rsid w:val="52087915"/>
    <w:rsid w:val="520F474A"/>
    <w:rsid w:val="521366A5"/>
    <w:rsid w:val="521427E5"/>
    <w:rsid w:val="52153D05"/>
    <w:rsid w:val="52203C7C"/>
    <w:rsid w:val="52204E3C"/>
    <w:rsid w:val="522119F4"/>
    <w:rsid w:val="5222456F"/>
    <w:rsid w:val="522409F1"/>
    <w:rsid w:val="523E0171"/>
    <w:rsid w:val="52443F13"/>
    <w:rsid w:val="52465F54"/>
    <w:rsid w:val="52527F91"/>
    <w:rsid w:val="5255718B"/>
    <w:rsid w:val="52626852"/>
    <w:rsid w:val="52647786"/>
    <w:rsid w:val="52660409"/>
    <w:rsid w:val="52691CEF"/>
    <w:rsid w:val="527A116F"/>
    <w:rsid w:val="52826223"/>
    <w:rsid w:val="52833F88"/>
    <w:rsid w:val="528D054C"/>
    <w:rsid w:val="5291550A"/>
    <w:rsid w:val="529156DF"/>
    <w:rsid w:val="529A1137"/>
    <w:rsid w:val="52A622E2"/>
    <w:rsid w:val="52AC685B"/>
    <w:rsid w:val="52B1645E"/>
    <w:rsid w:val="52C418D2"/>
    <w:rsid w:val="52C41EA5"/>
    <w:rsid w:val="52C45067"/>
    <w:rsid w:val="52C836EB"/>
    <w:rsid w:val="52D16561"/>
    <w:rsid w:val="52D9769B"/>
    <w:rsid w:val="52DB3C85"/>
    <w:rsid w:val="52DE7FEB"/>
    <w:rsid w:val="52E129E7"/>
    <w:rsid w:val="52E701B7"/>
    <w:rsid w:val="52E82EC3"/>
    <w:rsid w:val="52EE34B2"/>
    <w:rsid w:val="52FB1613"/>
    <w:rsid w:val="53084914"/>
    <w:rsid w:val="532B1F08"/>
    <w:rsid w:val="533C5A79"/>
    <w:rsid w:val="53455292"/>
    <w:rsid w:val="53461A42"/>
    <w:rsid w:val="53461D72"/>
    <w:rsid w:val="53483DF3"/>
    <w:rsid w:val="53485467"/>
    <w:rsid w:val="534F794F"/>
    <w:rsid w:val="53502C2C"/>
    <w:rsid w:val="53621C23"/>
    <w:rsid w:val="53653D3E"/>
    <w:rsid w:val="536900F0"/>
    <w:rsid w:val="536D1C35"/>
    <w:rsid w:val="53750EF7"/>
    <w:rsid w:val="5390208E"/>
    <w:rsid w:val="53917015"/>
    <w:rsid w:val="539B1075"/>
    <w:rsid w:val="53A37B0D"/>
    <w:rsid w:val="53A86CFC"/>
    <w:rsid w:val="53AC17E0"/>
    <w:rsid w:val="53AC42AC"/>
    <w:rsid w:val="53B275F6"/>
    <w:rsid w:val="53B612F2"/>
    <w:rsid w:val="53B724AF"/>
    <w:rsid w:val="53BC1D1A"/>
    <w:rsid w:val="53BC7D8A"/>
    <w:rsid w:val="53C3550A"/>
    <w:rsid w:val="53CF4463"/>
    <w:rsid w:val="53D75012"/>
    <w:rsid w:val="53DB0468"/>
    <w:rsid w:val="53F342C8"/>
    <w:rsid w:val="53F84C14"/>
    <w:rsid w:val="53FB3F6A"/>
    <w:rsid w:val="53FF1684"/>
    <w:rsid w:val="54045D31"/>
    <w:rsid w:val="540817BB"/>
    <w:rsid w:val="540E41E7"/>
    <w:rsid w:val="54106CA6"/>
    <w:rsid w:val="54123EA6"/>
    <w:rsid w:val="541F126E"/>
    <w:rsid w:val="54230505"/>
    <w:rsid w:val="542B7D85"/>
    <w:rsid w:val="543512B2"/>
    <w:rsid w:val="5438056D"/>
    <w:rsid w:val="543D38C7"/>
    <w:rsid w:val="544B19FF"/>
    <w:rsid w:val="544B51E5"/>
    <w:rsid w:val="544C3429"/>
    <w:rsid w:val="54523A54"/>
    <w:rsid w:val="54545D5F"/>
    <w:rsid w:val="5456436D"/>
    <w:rsid w:val="546537C4"/>
    <w:rsid w:val="54667494"/>
    <w:rsid w:val="547D04CD"/>
    <w:rsid w:val="5491674B"/>
    <w:rsid w:val="54A4171E"/>
    <w:rsid w:val="54A57BB3"/>
    <w:rsid w:val="54B906EA"/>
    <w:rsid w:val="54BF419A"/>
    <w:rsid w:val="54C96C6D"/>
    <w:rsid w:val="54CD26B0"/>
    <w:rsid w:val="54E10573"/>
    <w:rsid w:val="54E90C9C"/>
    <w:rsid w:val="54ECA29A"/>
    <w:rsid w:val="54F43B90"/>
    <w:rsid w:val="55066F08"/>
    <w:rsid w:val="5507381A"/>
    <w:rsid w:val="550E01BD"/>
    <w:rsid w:val="551415E2"/>
    <w:rsid w:val="551A6C6B"/>
    <w:rsid w:val="55235E30"/>
    <w:rsid w:val="55432EB8"/>
    <w:rsid w:val="55463F5B"/>
    <w:rsid w:val="55475B0D"/>
    <w:rsid w:val="5548157C"/>
    <w:rsid w:val="554863B8"/>
    <w:rsid w:val="5555770C"/>
    <w:rsid w:val="55560268"/>
    <w:rsid w:val="55661533"/>
    <w:rsid w:val="556F5E1A"/>
    <w:rsid w:val="55741056"/>
    <w:rsid w:val="55791361"/>
    <w:rsid w:val="557B6B2B"/>
    <w:rsid w:val="558351D1"/>
    <w:rsid w:val="55877DF9"/>
    <w:rsid w:val="558A4132"/>
    <w:rsid w:val="559F173A"/>
    <w:rsid w:val="55AC2A2D"/>
    <w:rsid w:val="55B0300F"/>
    <w:rsid w:val="55B10E0C"/>
    <w:rsid w:val="55B62D99"/>
    <w:rsid w:val="55BD63A9"/>
    <w:rsid w:val="55C946A6"/>
    <w:rsid w:val="55CB06E3"/>
    <w:rsid w:val="55CC0B49"/>
    <w:rsid w:val="55D53A3D"/>
    <w:rsid w:val="55D66F30"/>
    <w:rsid w:val="55D8703F"/>
    <w:rsid w:val="55DA611C"/>
    <w:rsid w:val="55E15A70"/>
    <w:rsid w:val="55F93187"/>
    <w:rsid w:val="560D181B"/>
    <w:rsid w:val="56163132"/>
    <w:rsid w:val="561815A2"/>
    <w:rsid w:val="561977E3"/>
    <w:rsid w:val="5630661A"/>
    <w:rsid w:val="563B18C7"/>
    <w:rsid w:val="56494199"/>
    <w:rsid w:val="56581D07"/>
    <w:rsid w:val="565E398E"/>
    <w:rsid w:val="565F4B00"/>
    <w:rsid w:val="56611F01"/>
    <w:rsid w:val="56791DE5"/>
    <w:rsid w:val="56AC7BCD"/>
    <w:rsid w:val="56B87265"/>
    <w:rsid w:val="56C2705A"/>
    <w:rsid w:val="56DA7B4D"/>
    <w:rsid w:val="56E21353"/>
    <w:rsid w:val="56F23A4F"/>
    <w:rsid w:val="56F718D3"/>
    <w:rsid w:val="56FA6595"/>
    <w:rsid w:val="56FF2BE5"/>
    <w:rsid w:val="57000B67"/>
    <w:rsid w:val="57002D2C"/>
    <w:rsid w:val="57006A64"/>
    <w:rsid w:val="570850AA"/>
    <w:rsid w:val="570A3450"/>
    <w:rsid w:val="57155229"/>
    <w:rsid w:val="57200B63"/>
    <w:rsid w:val="57213C62"/>
    <w:rsid w:val="5723178A"/>
    <w:rsid w:val="572E3655"/>
    <w:rsid w:val="572F1200"/>
    <w:rsid w:val="5730000D"/>
    <w:rsid w:val="573B2D6F"/>
    <w:rsid w:val="5740796C"/>
    <w:rsid w:val="574166D2"/>
    <w:rsid w:val="5749576E"/>
    <w:rsid w:val="575B25B7"/>
    <w:rsid w:val="57636C94"/>
    <w:rsid w:val="576471A6"/>
    <w:rsid w:val="57695050"/>
    <w:rsid w:val="576F67EC"/>
    <w:rsid w:val="577E65AD"/>
    <w:rsid w:val="57882CFD"/>
    <w:rsid w:val="57950F4C"/>
    <w:rsid w:val="57952103"/>
    <w:rsid w:val="57966FD7"/>
    <w:rsid w:val="5797100C"/>
    <w:rsid w:val="579A6E67"/>
    <w:rsid w:val="57A501B2"/>
    <w:rsid w:val="57A50274"/>
    <w:rsid w:val="57A61C5F"/>
    <w:rsid w:val="57A646D9"/>
    <w:rsid w:val="57AA2D40"/>
    <w:rsid w:val="57AD6BB5"/>
    <w:rsid w:val="57AD6F26"/>
    <w:rsid w:val="57B152DB"/>
    <w:rsid w:val="57B64263"/>
    <w:rsid w:val="57BA517D"/>
    <w:rsid w:val="57BF2AC3"/>
    <w:rsid w:val="57C156C8"/>
    <w:rsid w:val="57C17085"/>
    <w:rsid w:val="57C31E4A"/>
    <w:rsid w:val="57F10061"/>
    <w:rsid w:val="582E41C9"/>
    <w:rsid w:val="583120BF"/>
    <w:rsid w:val="58367BFA"/>
    <w:rsid w:val="5839331D"/>
    <w:rsid w:val="583969CB"/>
    <w:rsid w:val="584302DC"/>
    <w:rsid w:val="58477C34"/>
    <w:rsid w:val="584D0815"/>
    <w:rsid w:val="585760A2"/>
    <w:rsid w:val="586324DA"/>
    <w:rsid w:val="58663D34"/>
    <w:rsid w:val="58683E50"/>
    <w:rsid w:val="58696917"/>
    <w:rsid w:val="586C6EBC"/>
    <w:rsid w:val="588102A4"/>
    <w:rsid w:val="58824593"/>
    <w:rsid w:val="588805DE"/>
    <w:rsid w:val="58922414"/>
    <w:rsid w:val="58922742"/>
    <w:rsid w:val="589E1A25"/>
    <w:rsid w:val="58A558F7"/>
    <w:rsid w:val="58A573F5"/>
    <w:rsid w:val="58AA5221"/>
    <w:rsid w:val="58B606CF"/>
    <w:rsid w:val="58C94BD0"/>
    <w:rsid w:val="58CC409F"/>
    <w:rsid w:val="58CD4299"/>
    <w:rsid w:val="58D300C1"/>
    <w:rsid w:val="58DE775E"/>
    <w:rsid w:val="58E440FE"/>
    <w:rsid w:val="58E73BE7"/>
    <w:rsid w:val="58E95FEA"/>
    <w:rsid w:val="58F92870"/>
    <w:rsid w:val="590609C7"/>
    <w:rsid w:val="590A1350"/>
    <w:rsid w:val="590C1FEF"/>
    <w:rsid w:val="59174765"/>
    <w:rsid w:val="591F3D4C"/>
    <w:rsid w:val="5932025B"/>
    <w:rsid w:val="593B4D1E"/>
    <w:rsid w:val="593C7301"/>
    <w:rsid w:val="5957333B"/>
    <w:rsid w:val="596003EE"/>
    <w:rsid w:val="59641F24"/>
    <w:rsid w:val="59681C3C"/>
    <w:rsid w:val="596C65FC"/>
    <w:rsid w:val="59741E09"/>
    <w:rsid w:val="59747622"/>
    <w:rsid w:val="59767BF5"/>
    <w:rsid w:val="59771D9E"/>
    <w:rsid w:val="5979418C"/>
    <w:rsid w:val="597E0270"/>
    <w:rsid w:val="5986345F"/>
    <w:rsid w:val="598C7E42"/>
    <w:rsid w:val="5995408F"/>
    <w:rsid w:val="5998557D"/>
    <w:rsid w:val="599A76C2"/>
    <w:rsid w:val="599C0813"/>
    <w:rsid w:val="599F0359"/>
    <w:rsid w:val="59A607BC"/>
    <w:rsid w:val="59AE3C0F"/>
    <w:rsid w:val="59B07300"/>
    <w:rsid w:val="59B07FB1"/>
    <w:rsid w:val="59B57FA8"/>
    <w:rsid w:val="59BE09ED"/>
    <w:rsid w:val="59C406D1"/>
    <w:rsid w:val="59D05500"/>
    <w:rsid w:val="59DD28A6"/>
    <w:rsid w:val="59DD4297"/>
    <w:rsid w:val="59E75A1E"/>
    <w:rsid w:val="59EB6439"/>
    <w:rsid w:val="59F4357E"/>
    <w:rsid w:val="59F827D9"/>
    <w:rsid w:val="59FA6429"/>
    <w:rsid w:val="59FD602A"/>
    <w:rsid w:val="5A041AD7"/>
    <w:rsid w:val="5A070E9C"/>
    <w:rsid w:val="5A0B0154"/>
    <w:rsid w:val="5A0D6618"/>
    <w:rsid w:val="5A251C8F"/>
    <w:rsid w:val="5A367E74"/>
    <w:rsid w:val="5A5058CB"/>
    <w:rsid w:val="5A555F76"/>
    <w:rsid w:val="5A6760B5"/>
    <w:rsid w:val="5A6B46D9"/>
    <w:rsid w:val="5A7652F3"/>
    <w:rsid w:val="5A7E7A8F"/>
    <w:rsid w:val="5A836FDF"/>
    <w:rsid w:val="5A8A56BF"/>
    <w:rsid w:val="5A8C18DD"/>
    <w:rsid w:val="5A8F5646"/>
    <w:rsid w:val="5A94004B"/>
    <w:rsid w:val="5A98006A"/>
    <w:rsid w:val="5AA07A36"/>
    <w:rsid w:val="5AA258CA"/>
    <w:rsid w:val="5AA90BDD"/>
    <w:rsid w:val="5AAB6BA6"/>
    <w:rsid w:val="5AB87E0B"/>
    <w:rsid w:val="5AC05D65"/>
    <w:rsid w:val="5AC9244F"/>
    <w:rsid w:val="5ACA6932"/>
    <w:rsid w:val="5ADE2BBA"/>
    <w:rsid w:val="5AE802C5"/>
    <w:rsid w:val="5AEA6B64"/>
    <w:rsid w:val="5AEE6466"/>
    <w:rsid w:val="5AF74542"/>
    <w:rsid w:val="5AF97841"/>
    <w:rsid w:val="5AFC1DFF"/>
    <w:rsid w:val="5B02167F"/>
    <w:rsid w:val="5B093548"/>
    <w:rsid w:val="5B09715C"/>
    <w:rsid w:val="5B0E549E"/>
    <w:rsid w:val="5B130D39"/>
    <w:rsid w:val="5B1A68F5"/>
    <w:rsid w:val="5B1D34B1"/>
    <w:rsid w:val="5B2B7067"/>
    <w:rsid w:val="5B2F694C"/>
    <w:rsid w:val="5B304F60"/>
    <w:rsid w:val="5B32089C"/>
    <w:rsid w:val="5B39513D"/>
    <w:rsid w:val="5B3E3807"/>
    <w:rsid w:val="5B443E3A"/>
    <w:rsid w:val="5B4F1FDC"/>
    <w:rsid w:val="5B685FE2"/>
    <w:rsid w:val="5B6A0AD0"/>
    <w:rsid w:val="5B6E342D"/>
    <w:rsid w:val="5B7F6D96"/>
    <w:rsid w:val="5B8158C8"/>
    <w:rsid w:val="5B8541C5"/>
    <w:rsid w:val="5B8A7460"/>
    <w:rsid w:val="5B8B09AB"/>
    <w:rsid w:val="5B923CD5"/>
    <w:rsid w:val="5B9D3914"/>
    <w:rsid w:val="5BAB4D57"/>
    <w:rsid w:val="5BB02991"/>
    <w:rsid w:val="5BBF2701"/>
    <w:rsid w:val="5BDD1B42"/>
    <w:rsid w:val="5BED535D"/>
    <w:rsid w:val="5BED7BB2"/>
    <w:rsid w:val="5BEE3ADC"/>
    <w:rsid w:val="5BFC7B76"/>
    <w:rsid w:val="5C094DB3"/>
    <w:rsid w:val="5C1102B0"/>
    <w:rsid w:val="5C184EF3"/>
    <w:rsid w:val="5C1D60C8"/>
    <w:rsid w:val="5C200928"/>
    <w:rsid w:val="5C3D18C9"/>
    <w:rsid w:val="5C4F18D5"/>
    <w:rsid w:val="5C57422B"/>
    <w:rsid w:val="5C5920B9"/>
    <w:rsid w:val="5C5B2FE8"/>
    <w:rsid w:val="5C731040"/>
    <w:rsid w:val="5C742923"/>
    <w:rsid w:val="5C79451E"/>
    <w:rsid w:val="5C8678C1"/>
    <w:rsid w:val="5C8869EB"/>
    <w:rsid w:val="5C8C2731"/>
    <w:rsid w:val="5C8F19C9"/>
    <w:rsid w:val="5C93243D"/>
    <w:rsid w:val="5C933B25"/>
    <w:rsid w:val="5C9C7311"/>
    <w:rsid w:val="5CA819CD"/>
    <w:rsid w:val="5CAC54B9"/>
    <w:rsid w:val="5CAD75BC"/>
    <w:rsid w:val="5CC03785"/>
    <w:rsid w:val="5CC30737"/>
    <w:rsid w:val="5CC30B73"/>
    <w:rsid w:val="5CC65634"/>
    <w:rsid w:val="5CC65D8C"/>
    <w:rsid w:val="5CC8798E"/>
    <w:rsid w:val="5CCF592A"/>
    <w:rsid w:val="5CD00C39"/>
    <w:rsid w:val="5CE43EE0"/>
    <w:rsid w:val="5CE963C2"/>
    <w:rsid w:val="5CEF7531"/>
    <w:rsid w:val="5CF15B09"/>
    <w:rsid w:val="5CF313EF"/>
    <w:rsid w:val="5CFF436D"/>
    <w:rsid w:val="5D083D48"/>
    <w:rsid w:val="5D090453"/>
    <w:rsid w:val="5D0A5312"/>
    <w:rsid w:val="5D0B519F"/>
    <w:rsid w:val="5D0C1626"/>
    <w:rsid w:val="5D0F1FBD"/>
    <w:rsid w:val="5D1718BE"/>
    <w:rsid w:val="5D1F240F"/>
    <w:rsid w:val="5D254995"/>
    <w:rsid w:val="5D485840"/>
    <w:rsid w:val="5D4916DE"/>
    <w:rsid w:val="5D51714C"/>
    <w:rsid w:val="5D535034"/>
    <w:rsid w:val="5D54036D"/>
    <w:rsid w:val="5D6B6FDD"/>
    <w:rsid w:val="5D711D7F"/>
    <w:rsid w:val="5D7602B3"/>
    <w:rsid w:val="5D7621CE"/>
    <w:rsid w:val="5D766ADE"/>
    <w:rsid w:val="5D7EE094"/>
    <w:rsid w:val="5D7F1010"/>
    <w:rsid w:val="5D8240E3"/>
    <w:rsid w:val="5D86445A"/>
    <w:rsid w:val="5D897178"/>
    <w:rsid w:val="5D962018"/>
    <w:rsid w:val="5D9A703F"/>
    <w:rsid w:val="5DA40595"/>
    <w:rsid w:val="5DAC1755"/>
    <w:rsid w:val="5DAC7E65"/>
    <w:rsid w:val="5DB13ADE"/>
    <w:rsid w:val="5DB4019F"/>
    <w:rsid w:val="5DBB72FE"/>
    <w:rsid w:val="5DC70600"/>
    <w:rsid w:val="5DC717A6"/>
    <w:rsid w:val="5DC8665F"/>
    <w:rsid w:val="5DCD3D6F"/>
    <w:rsid w:val="5DCE5C1F"/>
    <w:rsid w:val="5DDA33C1"/>
    <w:rsid w:val="5DDC1927"/>
    <w:rsid w:val="5DE247A3"/>
    <w:rsid w:val="5DE53D04"/>
    <w:rsid w:val="5DE65116"/>
    <w:rsid w:val="5DEE00B1"/>
    <w:rsid w:val="5DF12A41"/>
    <w:rsid w:val="5DF5215D"/>
    <w:rsid w:val="5DFA2928"/>
    <w:rsid w:val="5DFD670B"/>
    <w:rsid w:val="5DFE1DC2"/>
    <w:rsid w:val="5E006CAF"/>
    <w:rsid w:val="5E0B0CF6"/>
    <w:rsid w:val="5E0C09BB"/>
    <w:rsid w:val="5E0F3961"/>
    <w:rsid w:val="5E143748"/>
    <w:rsid w:val="5E1A5910"/>
    <w:rsid w:val="5E2106E9"/>
    <w:rsid w:val="5E282CCF"/>
    <w:rsid w:val="5E2978A3"/>
    <w:rsid w:val="5E2D1087"/>
    <w:rsid w:val="5E3522CF"/>
    <w:rsid w:val="5E3F07D8"/>
    <w:rsid w:val="5E4D12DF"/>
    <w:rsid w:val="5E4D4FC9"/>
    <w:rsid w:val="5E617B22"/>
    <w:rsid w:val="5E6F15A4"/>
    <w:rsid w:val="5E706F71"/>
    <w:rsid w:val="5E733AFE"/>
    <w:rsid w:val="5E786107"/>
    <w:rsid w:val="5E803A23"/>
    <w:rsid w:val="5E8237DF"/>
    <w:rsid w:val="5E8B3284"/>
    <w:rsid w:val="5E9F73EE"/>
    <w:rsid w:val="5EB3655C"/>
    <w:rsid w:val="5EB70C72"/>
    <w:rsid w:val="5EBD7906"/>
    <w:rsid w:val="5EC12590"/>
    <w:rsid w:val="5EC4123A"/>
    <w:rsid w:val="5EC72E48"/>
    <w:rsid w:val="5ED0419C"/>
    <w:rsid w:val="5ED27DCA"/>
    <w:rsid w:val="5ED44AFC"/>
    <w:rsid w:val="5ED722D9"/>
    <w:rsid w:val="5ED908A4"/>
    <w:rsid w:val="5EDB38C8"/>
    <w:rsid w:val="5EDD75E8"/>
    <w:rsid w:val="5EDF3EB7"/>
    <w:rsid w:val="5EF0691C"/>
    <w:rsid w:val="5EF25A1B"/>
    <w:rsid w:val="5F0A54CE"/>
    <w:rsid w:val="5F215264"/>
    <w:rsid w:val="5F3B7E49"/>
    <w:rsid w:val="5F460402"/>
    <w:rsid w:val="5F4D03DB"/>
    <w:rsid w:val="5F5E0D5A"/>
    <w:rsid w:val="5F5E5CA5"/>
    <w:rsid w:val="5F645D67"/>
    <w:rsid w:val="5F6B3D85"/>
    <w:rsid w:val="5F6B564E"/>
    <w:rsid w:val="5F6B7DEC"/>
    <w:rsid w:val="5F6E0461"/>
    <w:rsid w:val="5F747AD1"/>
    <w:rsid w:val="5F78397E"/>
    <w:rsid w:val="5F794CF2"/>
    <w:rsid w:val="5F7E2D90"/>
    <w:rsid w:val="5F801DE2"/>
    <w:rsid w:val="5F8550C7"/>
    <w:rsid w:val="5F86408B"/>
    <w:rsid w:val="5F982EAC"/>
    <w:rsid w:val="5F9A3E47"/>
    <w:rsid w:val="5FAA6187"/>
    <w:rsid w:val="5FBF19D4"/>
    <w:rsid w:val="5FCA2C2A"/>
    <w:rsid w:val="5FD712CD"/>
    <w:rsid w:val="5FE66AE4"/>
    <w:rsid w:val="5FEB593B"/>
    <w:rsid w:val="5FFC34AB"/>
    <w:rsid w:val="5FFF190C"/>
    <w:rsid w:val="5FFF1FC7"/>
    <w:rsid w:val="601005C2"/>
    <w:rsid w:val="60174A4F"/>
    <w:rsid w:val="601B33EC"/>
    <w:rsid w:val="60303445"/>
    <w:rsid w:val="603303D1"/>
    <w:rsid w:val="60395379"/>
    <w:rsid w:val="603F6EDC"/>
    <w:rsid w:val="60406A93"/>
    <w:rsid w:val="60450393"/>
    <w:rsid w:val="6045087B"/>
    <w:rsid w:val="60567839"/>
    <w:rsid w:val="6059292E"/>
    <w:rsid w:val="60595F9E"/>
    <w:rsid w:val="606A0FF4"/>
    <w:rsid w:val="606B478A"/>
    <w:rsid w:val="606E27FE"/>
    <w:rsid w:val="608E41C0"/>
    <w:rsid w:val="60942943"/>
    <w:rsid w:val="60DD641D"/>
    <w:rsid w:val="60E00A33"/>
    <w:rsid w:val="60EF3B13"/>
    <w:rsid w:val="60FC68D3"/>
    <w:rsid w:val="61021F62"/>
    <w:rsid w:val="610E38FC"/>
    <w:rsid w:val="611722A2"/>
    <w:rsid w:val="61180C9D"/>
    <w:rsid w:val="611C0456"/>
    <w:rsid w:val="61252B28"/>
    <w:rsid w:val="61314937"/>
    <w:rsid w:val="6152291A"/>
    <w:rsid w:val="61551AF2"/>
    <w:rsid w:val="615578FA"/>
    <w:rsid w:val="61561F9F"/>
    <w:rsid w:val="616C61A7"/>
    <w:rsid w:val="616F44B1"/>
    <w:rsid w:val="617764AE"/>
    <w:rsid w:val="617827A7"/>
    <w:rsid w:val="61784E29"/>
    <w:rsid w:val="617F501C"/>
    <w:rsid w:val="61860707"/>
    <w:rsid w:val="61952AD8"/>
    <w:rsid w:val="619858D0"/>
    <w:rsid w:val="619E0BD0"/>
    <w:rsid w:val="619E41CF"/>
    <w:rsid w:val="61BB7D24"/>
    <w:rsid w:val="61BC6B36"/>
    <w:rsid w:val="61BE39F8"/>
    <w:rsid w:val="61C54A2C"/>
    <w:rsid w:val="61C839A7"/>
    <w:rsid w:val="61CA47AE"/>
    <w:rsid w:val="61DA72AB"/>
    <w:rsid w:val="61E43D0E"/>
    <w:rsid w:val="61F9272E"/>
    <w:rsid w:val="61FA1902"/>
    <w:rsid w:val="62156036"/>
    <w:rsid w:val="622A6EC2"/>
    <w:rsid w:val="622F47B0"/>
    <w:rsid w:val="62365F09"/>
    <w:rsid w:val="62390CB6"/>
    <w:rsid w:val="623A5F53"/>
    <w:rsid w:val="62435DCB"/>
    <w:rsid w:val="624A10A9"/>
    <w:rsid w:val="624B58DB"/>
    <w:rsid w:val="628407B1"/>
    <w:rsid w:val="628E2E22"/>
    <w:rsid w:val="62932032"/>
    <w:rsid w:val="62934A57"/>
    <w:rsid w:val="629813F8"/>
    <w:rsid w:val="62A60A16"/>
    <w:rsid w:val="62A97D63"/>
    <w:rsid w:val="62AB777F"/>
    <w:rsid w:val="62AD5A83"/>
    <w:rsid w:val="62AE20B2"/>
    <w:rsid w:val="62C40A78"/>
    <w:rsid w:val="62CA45A4"/>
    <w:rsid w:val="62CD3C18"/>
    <w:rsid w:val="62D154F4"/>
    <w:rsid w:val="62DB45F3"/>
    <w:rsid w:val="62DB66DB"/>
    <w:rsid w:val="62DD2D1D"/>
    <w:rsid w:val="62E06987"/>
    <w:rsid w:val="62E3363E"/>
    <w:rsid w:val="62E46E82"/>
    <w:rsid w:val="62EC2A0D"/>
    <w:rsid w:val="62ED2730"/>
    <w:rsid w:val="62ED4F35"/>
    <w:rsid w:val="62EF4F95"/>
    <w:rsid w:val="62F2372C"/>
    <w:rsid w:val="62FC2F6E"/>
    <w:rsid w:val="63005F59"/>
    <w:rsid w:val="63026CED"/>
    <w:rsid w:val="631509E4"/>
    <w:rsid w:val="631B5D73"/>
    <w:rsid w:val="631E6003"/>
    <w:rsid w:val="632161A3"/>
    <w:rsid w:val="632A37BB"/>
    <w:rsid w:val="632D4F26"/>
    <w:rsid w:val="633006B0"/>
    <w:rsid w:val="63343DAE"/>
    <w:rsid w:val="63366CF1"/>
    <w:rsid w:val="633D491F"/>
    <w:rsid w:val="633F7C7C"/>
    <w:rsid w:val="6347004C"/>
    <w:rsid w:val="6348218C"/>
    <w:rsid w:val="634906C0"/>
    <w:rsid w:val="634D119A"/>
    <w:rsid w:val="634F1A75"/>
    <w:rsid w:val="63662614"/>
    <w:rsid w:val="636B4C33"/>
    <w:rsid w:val="636C64F0"/>
    <w:rsid w:val="636F4D01"/>
    <w:rsid w:val="637C52E7"/>
    <w:rsid w:val="637F5704"/>
    <w:rsid w:val="637F5EF4"/>
    <w:rsid w:val="63801807"/>
    <w:rsid w:val="63821837"/>
    <w:rsid w:val="63983B46"/>
    <w:rsid w:val="63A04041"/>
    <w:rsid w:val="63AF30A8"/>
    <w:rsid w:val="63B66091"/>
    <w:rsid w:val="63B84349"/>
    <w:rsid w:val="63B87B36"/>
    <w:rsid w:val="63BD2CDF"/>
    <w:rsid w:val="63BE441F"/>
    <w:rsid w:val="63C30706"/>
    <w:rsid w:val="63CE07EC"/>
    <w:rsid w:val="63D64C7A"/>
    <w:rsid w:val="63EA18E6"/>
    <w:rsid w:val="63EE35EE"/>
    <w:rsid w:val="63F66E28"/>
    <w:rsid w:val="63F71815"/>
    <w:rsid w:val="63FD003F"/>
    <w:rsid w:val="64012899"/>
    <w:rsid w:val="640A3456"/>
    <w:rsid w:val="641360FB"/>
    <w:rsid w:val="64183B3A"/>
    <w:rsid w:val="641A2856"/>
    <w:rsid w:val="64254CA9"/>
    <w:rsid w:val="643D4780"/>
    <w:rsid w:val="643E241F"/>
    <w:rsid w:val="644E6B71"/>
    <w:rsid w:val="645050FA"/>
    <w:rsid w:val="64533603"/>
    <w:rsid w:val="645B7D89"/>
    <w:rsid w:val="645F5C12"/>
    <w:rsid w:val="64695447"/>
    <w:rsid w:val="646A3702"/>
    <w:rsid w:val="64704A63"/>
    <w:rsid w:val="64725549"/>
    <w:rsid w:val="647532BD"/>
    <w:rsid w:val="647A288D"/>
    <w:rsid w:val="647B128B"/>
    <w:rsid w:val="647B3E17"/>
    <w:rsid w:val="64910CD9"/>
    <w:rsid w:val="64A30365"/>
    <w:rsid w:val="64AA3309"/>
    <w:rsid w:val="64AA3E10"/>
    <w:rsid w:val="64AE4354"/>
    <w:rsid w:val="64B972BE"/>
    <w:rsid w:val="64BD1347"/>
    <w:rsid w:val="64BD4E54"/>
    <w:rsid w:val="64C24FBD"/>
    <w:rsid w:val="64C5082B"/>
    <w:rsid w:val="64C8345D"/>
    <w:rsid w:val="64CB72F5"/>
    <w:rsid w:val="64D70E03"/>
    <w:rsid w:val="64DA45FF"/>
    <w:rsid w:val="64DE09CD"/>
    <w:rsid w:val="64E06343"/>
    <w:rsid w:val="64EA0439"/>
    <w:rsid w:val="64EF7A50"/>
    <w:rsid w:val="64F06511"/>
    <w:rsid w:val="64FF6DF5"/>
    <w:rsid w:val="65026A30"/>
    <w:rsid w:val="650B60F2"/>
    <w:rsid w:val="650E3602"/>
    <w:rsid w:val="6514571A"/>
    <w:rsid w:val="6514758F"/>
    <w:rsid w:val="65165191"/>
    <w:rsid w:val="65227FE9"/>
    <w:rsid w:val="65274189"/>
    <w:rsid w:val="65314887"/>
    <w:rsid w:val="654273A2"/>
    <w:rsid w:val="654D3A68"/>
    <w:rsid w:val="65515A8C"/>
    <w:rsid w:val="655227FD"/>
    <w:rsid w:val="65540770"/>
    <w:rsid w:val="65664E54"/>
    <w:rsid w:val="656665D3"/>
    <w:rsid w:val="657B03B2"/>
    <w:rsid w:val="657C3D1E"/>
    <w:rsid w:val="658D070D"/>
    <w:rsid w:val="65907A4E"/>
    <w:rsid w:val="65950EF8"/>
    <w:rsid w:val="65AB40C0"/>
    <w:rsid w:val="65B338D0"/>
    <w:rsid w:val="65B445B5"/>
    <w:rsid w:val="65C203DF"/>
    <w:rsid w:val="65C653AB"/>
    <w:rsid w:val="65C80D0D"/>
    <w:rsid w:val="65D917F2"/>
    <w:rsid w:val="65EC4BEC"/>
    <w:rsid w:val="65F42A8E"/>
    <w:rsid w:val="65FD452A"/>
    <w:rsid w:val="66061444"/>
    <w:rsid w:val="6606776F"/>
    <w:rsid w:val="66101C65"/>
    <w:rsid w:val="66180394"/>
    <w:rsid w:val="661F2D41"/>
    <w:rsid w:val="66366F92"/>
    <w:rsid w:val="66375B80"/>
    <w:rsid w:val="663A5677"/>
    <w:rsid w:val="66426477"/>
    <w:rsid w:val="66474439"/>
    <w:rsid w:val="66495441"/>
    <w:rsid w:val="664A2444"/>
    <w:rsid w:val="66540D83"/>
    <w:rsid w:val="66581BBC"/>
    <w:rsid w:val="66672105"/>
    <w:rsid w:val="66677CAC"/>
    <w:rsid w:val="666845A2"/>
    <w:rsid w:val="66714D68"/>
    <w:rsid w:val="66760DC5"/>
    <w:rsid w:val="667D480D"/>
    <w:rsid w:val="66821B0B"/>
    <w:rsid w:val="66887617"/>
    <w:rsid w:val="66984910"/>
    <w:rsid w:val="669B59E7"/>
    <w:rsid w:val="66A71BBE"/>
    <w:rsid w:val="66AD7F94"/>
    <w:rsid w:val="66B12236"/>
    <w:rsid w:val="66C855FF"/>
    <w:rsid w:val="66CF62BF"/>
    <w:rsid w:val="66D37B8D"/>
    <w:rsid w:val="66E8423D"/>
    <w:rsid w:val="66EA6D79"/>
    <w:rsid w:val="66EC2A73"/>
    <w:rsid w:val="66F028E3"/>
    <w:rsid w:val="66F5749B"/>
    <w:rsid w:val="6703581A"/>
    <w:rsid w:val="671359B7"/>
    <w:rsid w:val="67185A8E"/>
    <w:rsid w:val="671A19D9"/>
    <w:rsid w:val="671A3D72"/>
    <w:rsid w:val="671F2D72"/>
    <w:rsid w:val="67204A56"/>
    <w:rsid w:val="67255FB2"/>
    <w:rsid w:val="67271BB3"/>
    <w:rsid w:val="672826E9"/>
    <w:rsid w:val="6733494D"/>
    <w:rsid w:val="673522BC"/>
    <w:rsid w:val="673A79C2"/>
    <w:rsid w:val="674459AF"/>
    <w:rsid w:val="6753060D"/>
    <w:rsid w:val="675C67AF"/>
    <w:rsid w:val="67791B52"/>
    <w:rsid w:val="677A29C5"/>
    <w:rsid w:val="677E45A0"/>
    <w:rsid w:val="677F5D0D"/>
    <w:rsid w:val="6786497D"/>
    <w:rsid w:val="67872A49"/>
    <w:rsid w:val="67882A93"/>
    <w:rsid w:val="678F38BC"/>
    <w:rsid w:val="67965B48"/>
    <w:rsid w:val="67A943E9"/>
    <w:rsid w:val="67AA4760"/>
    <w:rsid w:val="67AD6DC0"/>
    <w:rsid w:val="67BA53CE"/>
    <w:rsid w:val="67C2591A"/>
    <w:rsid w:val="67C30CA4"/>
    <w:rsid w:val="67DF5154"/>
    <w:rsid w:val="67E13153"/>
    <w:rsid w:val="67E3779A"/>
    <w:rsid w:val="67ED58FA"/>
    <w:rsid w:val="67F507A9"/>
    <w:rsid w:val="67FA1B66"/>
    <w:rsid w:val="680A4D64"/>
    <w:rsid w:val="680E7852"/>
    <w:rsid w:val="681165DF"/>
    <w:rsid w:val="68206AA8"/>
    <w:rsid w:val="682072E8"/>
    <w:rsid w:val="68260E76"/>
    <w:rsid w:val="682D67EB"/>
    <w:rsid w:val="682F05C2"/>
    <w:rsid w:val="683A7919"/>
    <w:rsid w:val="683E7E47"/>
    <w:rsid w:val="68440EEC"/>
    <w:rsid w:val="684A6FFD"/>
    <w:rsid w:val="685378CE"/>
    <w:rsid w:val="6857778C"/>
    <w:rsid w:val="685B2AEB"/>
    <w:rsid w:val="685B5BC2"/>
    <w:rsid w:val="68613875"/>
    <w:rsid w:val="68622599"/>
    <w:rsid w:val="686A7AC1"/>
    <w:rsid w:val="686A7D67"/>
    <w:rsid w:val="687A3BC8"/>
    <w:rsid w:val="687B5854"/>
    <w:rsid w:val="68804EFC"/>
    <w:rsid w:val="688130BA"/>
    <w:rsid w:val="688346B4"/>
    <w:rsid w:val="688410AC"/>
    <w:rsid w:val="6886258F"/>
    <w:rsid w:val="688E188A"/>
    <w:rsid w:val="689147D1"/>
    <w:rsid w:val="68956F32"/>
    <w:rsid w:val="68A34C36"/>
    <w:rsid w:val="68A8486E"/>
    <w:rsid w:val="68A940B5"/>
    <w:rsid w:val="68C16AA1"/>
    <w:rsid w:val="68C271D0"/>
    <w:rsid w:val="68C426A5"/>
    <w:rsid w:val="68DA12D9"/>
    <w:rsid w:val="68F40B67"/>
    <w:rsid w:val="68F70E78"/>
    <w:rsid w:val="68FA3A40"/>
    <w:rsid w:val="69097D44"/>
    <w:rsid w:val="69143A90"/>
    <w:rsid w:val="69177FA7"/>
    <w:rsid w:val="69234727"/>
    <w:rsid w:val="69307509"/>
    <w:rsid w:val="694309C6"/>
    <w:rsid w:val="69457549"/>
    <w:rsid w:val="694D423C"/>
    <w:rsid w:val="694E623A"/>
    <w:rsid w:val="69547C77"/>
    <w:rsid w:val="695A0E2F"/>
    <w:rsid w:val="69643C47"/>
    <w:rsid w:val="69695D38"/>
    <w:rsid w:val="69732F52"/>
    <w:rsid w:val="69741E70"/>
    <w:rsid w:val="69847201"/>
    <w:rsid w:val="69860B94"/>
    <w:rsid w:val="698E6255"/>
    <w:rsid w:val="6990295B"/>
    <w:rsid w:val="69956DD0"/>
    <w:rsid w:val="69984E80"/>
    <w:rsid w:val="699A3C99"/>
    <w:rsid w:val="69A24F0E"/>
    <w:rsid w:val="69AD2238"/>
    <w:rsid w:val="69B7411A"/>
    <w:rsid w:val="69BC243A"/>
    <w:rsid w:val="69BE53C7"/>
    <w:rsid w:val="69CA5A8F"/>
    <w:rsid w:val="69CB015D"/>
    <w:rsid w:val="69CF3BF9"/>
    <w:rsid w:val="69D00CF3"/>
    <w:rsid w:val="69DD51EA"/>
    <w:rsid w:val="69E51F20"/>
    <w:rsid w:val="69E80700"/>
    <w:rsid w:val="69E8185C"/>
    <w:rsid w:val="69F556AB"/>
    <w:rsid w:val="69FD6977"/>
    <w:rsid w:val="69FD7122"/>
    <w:rsid w:val="69FE19B4"/>
    <w:rsid w:val="6A1F30FE"/>
    <w:rsid w:val="6A235975"/>
    <w:rsid w:val="6A2971AA"/>
    <w:rsid w:val="6A2D0CE2"/>
    <w:rsid w:val="6A321D74"/>
    <w:rsid w:val="6A34587C"/>
    <w:rsid w:val="6A397855"/>
    <w:rsid w:val="6A400776"/>
    <w:rsid w:val="6A413A96"/>
    <w:rsid w:val="6A473146"/>
    <w:rsid w:val="6A4D00FD"/>
    <w:rsid w:val="6A5307D8"/>
    <w:rsid w:val="6A6642AA"/>
    <w:rsid w:val="6A6A346F"/>
    <w:rsid w:val="6A6E5CE5"/>
    <w:rsid w:val="6A721764"/>
    <w:rsid w:val="6A826FDA"/>
    <w:rsid w:val="6A857977"/>
    <w:rsid w:val="6AA45E3A"/>
    <w:rsid w:val="6AA7685F"/>
    <w:rsid w:val="6AAE7655"/>
    <w:rsid w:val="6AB077AD"/>
    <w:rsid w:val="6ABD00BE"/>
    <w:rsid w:val="6AD27C22"/>
    <w:rsid w:val="6AD7D006"/>
    <w:rsid w:val="6ADB7183"/>
    <w:rsid w:val="6AE560B0"/>
    <w:rsid w:val="6AEA28C6"/>
    <w:rsid w:val="6AF33CFE"/>
    <w:rsid w:val="6AFB49D0"/>
    <w:rsid w:val="6AFC42A9"/>
    <w:rsid w:val="6AFD7431"/>
    <w:rsid w:val="6B051DF1"/>
    <w:rsid w:val="6B15539D"/>
    <w:rsid w:val="6B1A2310"/>
    <w:rsid w:val="6B246E34"/>
    <w:rsid w:val="6B28101E"/>
    <w:rsid w:val="6B2F0D68"/>
    <w:rsid w:val="6B2F162A"/>
    <w:rsid w:val="6B3F03D2"/>
    <w:rsid w:val="6B456EEE"/>
    <w:rsid w:val="6B4673DF"/>
    <w:rsid w:val="6B492CC0"/>
    <w:rsid w:val="6B500F24"/>
    <w:rsid w:val="6B510123"/>
    <w:rsid w:val="6B5A451D"/>
    <w:rsid w:val="6B6B33D1"/>
    <w:rsid w:val="6B6F155C"/>
    <w:rsid w:val="6B70322F"/>
    <w:rsid w:val="6B7F2304"/>
    <w:rsid w:val="6B8E126B"/>
    <w:rsid w:val="6B971742"/>
    <w:rsid w:val="6B991C92"/>
    <w:rsid w:val="6B9D6FDD"/>
    <w:rsid w:val="6BA02CFA"/>
    <w:rsid w:val="6BB027CC"/>
    <w:rsid w:val="6BB0499C"/>
    <w:rsid w:val="6BB8620A"/>
    <w:rsid w:val="6BBA043C"/>
    <w:rsid w:val="6BBC0552"/>
    <w:rsid w:val="6BBF61CF"/>
    <w:rsid w:val="6BC009EB"/>
    <w:rsid w:val="6BC36779"/>
    <w:rsid w:val="6BC527DF"/>
    <w:rsid w:val="6BC668BD"/>
    <w:rsid w:val="6BC84E73"/>
    <w:rsid w:val="6BC94361"/>
    <w:rsid w:val="6BCB165A"/>
    <w:rsid w:val="6BCC27B1"/>
    <w:rsid w:val="6BD10DD4"/>
    <w:rsid w:val="6BE434AD"/>
    <w:rsid w:val="6BE837B9"/>
    <w:rsid w:val="6BFA4DC1"/>
    <w:rsid w:val="6BFD295F"/>
    <w:rsid w:val="6C121948"/>
    <w:rsid w:val="6C144F2A"/>
    <w:rsid w:val="6C17550E"/>
    <w:rsid w:val="6C1C1335"/>
    <w:rsid w:val="6C1D51FA"/>
    <w:rsid w:val="6C1D73C1"/>
    <w:rsid w:val="6C1E79B4"/>
    <w:rsid w:val="6C351E27"/>
    <w:rsid w:val="6C3B043A"/>
    <w:rsid w:val="6C55338F"/>
    <w:rsid w:val="6C5B638C"/>
    <w:rsid w:val="6C6241DE"/>
    <w:rsid w:val="6C6A69EB"/>
    <w:rsid w:val="6C764B91"/>
    <w:rsid w:val="6C7B3BAF"/>
    <w:rsid w:val="6C7F3CD0"/>
    <w:rsid w:val="6C835F93"/>
    <w:rsid w:val="6C8961C2"/>
    <w:rsid w:val="6C972684"/>
    <w:rsid w:val="6CA94313"/>
    <w:rsid w:val="6CB5554F"/>
    <w:rsid w:val="6CB772F1"/>
    <w:rsid w:val="6CB77D36"/>
    <w:rsid w:val="6CB87C36"/>
    <w:rsid w:val="6CC401BC"/>
    <w:rsid w:val="6CC81647"/>
    <w:rsid w:val="6CCB1C40"/>
    <w:rsid w:val="6CCC082F"/>
    <w:rsid w:val="6CE114A1"/>
    <w:rsid w:val="6CEE7B90"/>
    <w:rsid w:val="6CF66A19"/>
    <w:rsid w:val="6D0C2C53"/>
    <w:rsid w:val="6D14133C"/>
    <w:rsid w:val="6D176763"/>
    <w:rsid w:val="6D1A573A"/>
    <w:rsid w:val="6D1E0752"/>
    <w:rsid w:val="6D236497"/>
    <w:rsid w:val="6D293037"/>
    <w:rsid w:val="6D3B41A8"/>
    <w:rsid w:val="6D430603"/>
    <w:rsid w:val="6D43540D"/>
    <w:rsid w:val="6D4A769A"/>
    <w:rsid w:val="6D4D2999"/>
    <w:rsid w:val="6D535AF6"/>
    <w:rsid w:val="6D550BA5"/>
    <w:rsid w:val="6D5B3A36"/>
    <w:rsid w:val="6D62557E"/>
    <w:rsid w:val="6D7919D3"/>
    <w:rsid w:val="6D83148D"/>
    <w:rsid w:val="6D853FBC"/>
    <w:rsid w:val="6D9510D7"/>
    <w:rsid w:val="6D9F7FB2"/>
    <w:rsid w:val="6DA140E4"/>
    <w:rsid w:val="6DA459DA"/>
    <w:rsid w:val="6DA767C8"/>
    <w:rsid w:val="6DA94EFF"/>
    <w:rsid w:val="6DB21D88"/>
    <w:rsid w:val="6DC81284"/>
    <w:rsid w:val="6DE05A9F"/>
    <w:rsid w:val="6DE201E9"/>
    <w:rsid w:val="6DF02946"/>
    <w:rsid w:val="6DF77AEA"/>
    <w:rsid w:val="6DFC0A3C"/>
    <w:rsid w:val="6E06513A"/>
    <w:rsid w:val="6E144771"/>
    <w:rsid w:val="6E203CB8"/>
    <w:rsid w:val="6E220E46"/>
    <w:rsid w:val="6E255F8D"/>
    <w:rsid w:val="6E3709A6"/>
    <w:rsid w:val="6E3A0DA2"/>
    <w:rsid w:val="6E520F94"/>
    <w:rsid w:val="6E592F9E"/>
    <w:rsid w:val="6E5B502D"/>
    <w:rsid w:val="6E600C41"/>
    <w:rsid w:val="6E665ABD"/>
    <w:rsid w:val="6E6F0A3D"/>
    <w:rsid w:val="6E6F3964"/>
    <w:rsid w:val="6E7D2ECF"/>
    <w:rsid w:val="6E893F46"/>
    <w:rsid w:val="6E922F2C"/>
    <w:rsid w:val="6E964C2C"/>
    <w:rsid w:val="6E975B13"/>
    <w:rsid w:val="6E9A52B7"/>
    <w:rsid w:val="6EA52E09"/>
    <w:rsid w:val="6EBC18CC"/>
    <w:rsid w:val="6EBF6644"/>
    <w:rsid w:val="6EC6178C"/>
    <w:rsid w:val="6ECC4ECD"/>
    <w:rsid w:val="6ED506EB"/>
    <w:rsid w:val="6ED63D08"/>
    <w:rsid w:val="6ED92756"/>
    <w:rsid w:val="6EDF783E"/>
    <w:rsid w:val="6EE234C0"/>
    <w:rsid w:val="6EE25BB6"/>
    <w:rsid w:val="6F0125BE"/>
    <w:rsid w:val="6F0C7590"/>
    <w:rsid w:val="6F224465"/>
    <w:rsid w:val="6F257CCA"/>
    <w:rsid w:val="6F2C3D0A"/>
    <w:rsid w:val="6F2E02B8"/>
    <w:rsid w:val="6F31606A"/>
    <w:rsid w:val="6F331D37"/>
    <w:rsid w:val="6F415B22"/>
    <w:rsid w:val="6F482CA1"/>
    <w:rsid w:val="6F4B198F"/>
    <w:rsid w:val="6F4B44FC"/>
    <w:rsid w:val="6F4E452C"/>
    <w:rsid w:val="6F55416B"/>
    <w:rsid w:val="6F575EF7"/>
    <w:rsid w:val="6F5C4C8E"/>
    <w:rsid w:val="6F5D7C5B"/>
    <w:rsid w:val="6F5E5CDC"/>
    <w:rsid w:val="6F6850FA"/>
    <w:rsid w:val="6F6B59B5"/>
    <w:rsid w:val="6F8155C5"/>
    <w:rsid w:val="6F8263E4"/>
    <w:rsid w:val="6F864B2A"/>
    <w:rsid w:val="6F867DB2"/>
    <w:rsid w:val="6FAD62FF"/>
    <w:rsid w:val="6FB9429E"/>
    <w:rsid w:val="6FBA0265"/>
    <w:rsid w:val="6FBA670D"/>
    <w:rsid w:val="6FBD79D4"/>
    <w:rsid w:val="6FBF2D4F"/>
    <w:rsid w:val="6FBF7414"/>
    <w:rsid w:val="6FCB0266"/>
    <w:rsid w:val="6FD259FE"/>
    <w:rsid w:val="6FDC46A0"/>
    <w:rsid w:val="6FDC661D"/>
    <w:rsid w:val="6FDD2BC8"/>
    <w:rsid w:val="6FE17C4F"/>
    <w:rsid w:val="6FEF0DA0"/>
    <w:rsid w:val="6FF13AE2"/>
    <w:rsid w:val="6FF776EA"/>
    <w:rsid w:val="6FFD2AB2"/>
    <w:rsid w:val="700919A0"/>
    <w:rsid w:val="700B1AE0"/>
    <w:rsid w:val="700B6273"/>
    <w:rsid w:val="70212DD3"/>
    <w:rsid w:val="70247F45"/>
    <w:rsid w:val="7032387B"/>
    <w:rsid w:val="705F5B0A"/>
    <w:rsid w:val="706327C9"/>
    <w:rsid w:val="70671D09"/>
    <w:rsid w:val="706F05D6"/>
    <w:rsid w:val="707B3087"/>
    <w:rsid w:val="707E384E"/>
    <w:rsid w:val="707E4706"/>
    <w:rsid w:val="70877E2E"/>
    <w:rsid w:val="70892D0A"/>
    <w:rsid w:val="708A4F7F"/>
    <w:rsid w:val="708F583A"/>
    <w:rsid w:val="70950B2D"/>
    <w:rsid w:val="709915CE"/>
    <w:rsid w:val="709E2E9C"/>
    <w:rsid w:val="70A02205"/>
    <w:rsid w:val="70A02682"/>
    <w:rsid w:val="70A36C22"/>
    <w:rsid w:val="70A46059"/>
    <w:rsid w:val="70A56E6A"/>
    <w:rsid w:val="70A81615"/>
    <w:rsid w:val="70B537C6"/>
    <w:rsid w:val="70B7016A"/>
    <w:rsid w:val="70C80224"/>
    <w:rsid w:val="70C918EC"/>
    <w:rsid w:val="70CD2E7A"/>
    <w:rsid w:val="70D3117C"/>
    <w:rsid w:val="70DE0B4B"/>
    <w:rsid w:val="70DF6B8E"/>
    <w:rsid w:val="70E81623"/>
    <w:rsid w:val="70E86DC3"/>
    <w:rsid w:val="70F0216E"/>
    <w:rsid w:val="70F05911"/>
    <w:rsid w:val="70F461D1"/>
    <w:rsid w:val="70F61403"/>
    <w:rsid w:val="70F76FA1"/>
    <w:rsid w:val="71045217"/>
    <w:rsid w:val="710A2629"/>
    <w:rsid w:val="710B7772"/>
    <w:rsid w:val="710C4EEB"/>
    <w:rsid w:val="711457A4"/>
    <w:rsid w:val="71175C91"/>
    <w:rsid w:val="71177F52"/>
    <w:rsid w:val="7124733D"/>
    <w:rsid w:val="712C09D6"/>
    <w:rsid w:val="71324AC6"/>
    <w:rsid w:val="71361676"/>
    <w:rsid w:val="71401124"/>
    <w:rsid w:val="71494FD3"/>
    <w:rsid w:val="714A1050"/>
    <w:rsid w:val="715D16C2"/>
    <w:rsid w:val="717042FD"/>
    <w:rsid w:val="7171353D"/>
    <w:rsid w:val="71762C8C"/>
    <w:rsid w:val="717D392C"/>
    <w:rsid w:val="718C3F37"/>
    <w:rsid w:val="718E0997"/>
    <w:rsid w:val="71923367"/>
    <w:rsid w:val="71A36753"/>
    <w:rsid w:val="71AE0D5E"/>
    <w:rsid w:val="71B86D22"/>
    <w:rsid w:val="71CD71C6"/>
    <w:rsid w:val="71F008A9"/>
    <w:rsid w:val="71F35DEE"/>
    <w:rsid w:val="71F57D11"/>
    <w:rsid w:val="71FA2F95"/>
    <w:rsid w:val="71FE3A37"/>
    <w:rsid w:val="71FF799F"/>
    <w:rsid w:val="720B0937"/>
    <w:rsid w:val="72261CA4"/>
    <w:rsid w:val="72274F07"/>
    <w:rsid w:val="722A124C"/>
    <w:rsid w:val="72392D35"/>
    <w:rsid w:val="723949DB"/>
    <w:rsid w:val="72413A6B"/>
    <w:rsid w:val="7245415D"/>
    <w:rsid w:val="724C7958"/>
    <w:rsid w:val="725176AD"/>
    <w:rsid w:val="725B3204"/>
    <w:rsid w:val="726114CD"/>
    <w:rsid w:val="726808B1"/>
    <w:rsid w:val="726E223C"/>
    <w:rsid w:val="726F5195"/>
    <w:rsid w:val="7272211D"/>
    <w:rsid w:val="727779F9"/>
    <w:rsid w:val="727907FE"/>
    <w:rsid w:val="7279451E"/>
    <w:rsid w:val="727D60A5"/>
    <w:rsid w:val="727F4E3F"/>
    <w:rsid w:val="72806044"/>
    <w:rsid w:val="7286436D"/>
    <w:rsid w:val="728A2A12"/>
    <w:rsid w:val="728C5C63"/>
    <w:rsid w:val="72910D60"/>
    <w:rsid w:val="72923A89"/>
    <w:rsid w:val="72924838"/>
    <w:rsid w:val="7295436B"/>
    <w:rsid w:val="729B795B"/>
    <w:rsid w:val="72A52784"/>
    <w:rsid w:val="72A71A1A"/>
    <w:rsid w:val="72A87141"/>
    <w:rsid w:val="72A940B7"/>
    <w:rsid w:val="72AE543E"/>
    <w:rsid w:val="72B378B8"/>
    <w:rsid w:val="72B40D47"/>
    <w:rsid w:val="72B54CCC"/>
    <w:rsid w:val="72BD17A4"/>
    <w:rsid w:val="72C33283"/>
    <w:rsid w:val="72C57F43"/>
    <w:rsid w:val="72C6633C"/>
    <w:rsid w:val="72CB537A"/>
    <w:rsid w:val="72CE2A28"/>
    <w:rsid w:val="72D56631"/>
    <w:rsid w:val="72DE4F1F"/>
    <w:rsid w:val="72EC5980"/>
    <w:rsid w:val="72EC6E4B"/>
    <w:rsid w:val="72F115C9"/>
    <w:rsid w:val="72F70B14"/>
    <w:rsid w:val="72FA3E4C"/>
    <w:rsid w:val="72FB0D9E"/>
    <w:rsid w:val="73040B82"/>
    <w:rsid w:val="730608CD"/>
    <w:rsid w:val="730B28B2"/>
    <w:rsid w:val="731514BB"/>
    <w:rsid w:val="731B07E3"/>
    <w:rsid w:val="731C4035"/>
    <w:rsid w:val="732A4806"/>
    <w:rsid w:val="73376512"/>
    <w:rsid w:val="733D14CA"/>
    <w:rsid w:val="73406EDC"/>
    <w:rsid w:val="73481144"/>
    <w:rsid w:val="73540DC4"/>
    <w:rsid w:val="735839A5"/>
    <w:rsid w:val="736D2851"/>
    <w:rsid w:val="736D2A16"/>
    <w:rsid w:val="7376152A"/>
    <w:rsid w:val="73793495"/>
    <w:rsid w:val="73874146"/>
    <w:rsid w:val="738B71C1"/>
    <w:rsid w:val="739502A2"/>
    <w:rsid w:val="73954268"/>
    <w:rsid w:val="73B62154"/>
    <w:rsid w:val="73D2314C"/>
    <w:rsid w:val="73DA7F87"/>
    <w:rsid w:val="73DB6245"/>
    <w:rsid w:val="73DC4929"/>
    <w:rsid w:val="73DC7E17"/>
    <w:rsid w:val="73DD387B"/>
    <w:rsid w:val="73E871A3"/>
    <w:rsid w:val="73F75967"/>
    <w:rsid w:val="74026476"/>
    <w:rsid w:val="74113740"/>
    <w:rsid w:val="74144CE1"/>
    <w:rsid w:val="7416763C"/>
    <w:rsid w:val="74183CC8"/>
    <w:rsid w:val="742363C8"/>
    <w:rsid w:val="74300D0F"/>
    <w:rsid w:val="743D3EB9"/>
    <w:rsid w:val="744011C6"/>
    <w:rsid w:val="74475758"/>
    <w:rsid w:val="74513757"/>
    <w:rsid w:val="7454028C"/>
    <w:rsid w:val="74545BB4"/>
    <w:rsid w:val="745E570F"/>
    <w:rsid w:val="74612566"/>
    <w:rsid w:val="747959BF"/>
    <w:rsid w:val="747E1A70"/>
    <w:rsid w:val="7483161A"/>
    <w:rsid w:val="74882F4D"/>
    <w:rsid w:val="748B05FD"/>
    <w:rsid w:val="74A51B18"/>
    <w:rsid w:val="74A938A5"/>
    <w:rsid w:val="74AE24F7"/>
    <w:rsid w:val="74B763D6"/>
    <w:rsid w:val="74B768C6"/>
    <w:rsid w:val="74C0442B"/>
    <w:rsid w:val="74C55B3F"/>
    <w:rsid w:val="74C7154E"/>
    <w:rsid w:val="74D813B3"/>
    <w:rsid w:val="74DF0013"/>
    <w:rsid w:val="74E249AE"/>
    <w:rsid w:val="74E62DCB"/>
    <w:rsid w:val="74EE25E0"/>
    <w:rsid w:val="74F738DE"/>
    <w:rsid w:val="750556FE"/>
    <w:rsid w:val="750F57C8"/>
    <w:rsid w:val="750F6250"/>
    <w:rsid w:val="751A009B"/>
    <w:rsid w:val="75365D06"/>
    <w:rsid w:val="753C4B9E"/>
    <w:rsid w:val="75436915"/>
    <w:rsid w:val="75446D15"/>
    <w:rsid w:val="75507D71"/>
    <w:rsid w:val="75622AAC"/>
    <w:rsid w:val="756A1004"/>
    <w:rsid w:val="756C3DC1"/>
    <w:rsid w:val="756E607F"/>
    <w:rsid w:val="757E63E1"/>
    <w:rsid w:val="75833381"/>
    <w:rsid w:val="7588189D"/>
    <w:rsid w:val="75890EEE"/>
    <w:rsid w:val="758977A2"/>
    <w:rsid w:val="758B5C71"/>
    <w:rsid w:val="75A35A3E"/>
    <w:rsid w:val="75A4194B"/>
    <w:rsid w:val="75B71A94"/>
    <w:rsid w:val="75C1144A"/>
    <w:rsid w:val="75C12685"/>
    <w:rsid w:val="75C51C20"/>
    <w:rsid w:val="75C8076E"/>
    <w:rsid w:val="75D2544B"/>
    <w:rsid w:val="75D75691"/>
    <w:rsid w:val="75E02F4D"/>
    <w:rsid w:val="75E072E7"/>
    <w:rsid w:val="75E52D02"/>
    <w:rsid w:val="75E77356"/>
    <w:rsid w:val="75E9409A"/>
    <w:rsid w:val="760B666C"/>
    <w:rsid w:val="760E2C16"/>
    <w:rsid w:val="76133896"/>
    <w:rsid w:val="76203741"/>
    <w:rsid w:val="762439CB"/>
    <w:rsid w:val="76282E2B"/>
    <w:rsid w:val="763703BC"/>
    <w:rsid w:val="763B2448"/>
    <w:rsid w:val="763E6F08"/>
    <w:rsid w:val="764366DD"/>
    <w:rsid w:val="764E6FED"/>
    <w:rsid w:val="76500980"/>
    <w:rsid w:val="765731F0"/>
    <w:rsid w:val="765E1290"/>
    <w:rsid w:val="765F5194"/>
    <w:rsid w:val="76673987"/>
    <w:rsid w:val="76695353"/>
    <w:rsid w:val="766C20C2"/>
    <w:rsid w:val="766D79B8"/>
    <w:rsid w:val="766F5CA9"/>
    <w:rsid w:val="76735C01"/>
    <w:rsid w:val="76753696"/>
    <w:rsid w:val="767845D6"/>
    <w:rsid w:val="767E6647"/>
    <w:rsid w:val="76836646"/>
    <w:rsid w:val="76907353"/>
    <w:rsid w:val="7696076E"/>
    <w:rsid w:val="76974B9D"/>
    <w:rsid w:val="769778F8"/>
    <w:rsid w:val="76984760"/>
    <w:rsid w:val="769A22F1"/>
    <w:rsid w:val="769A300E"/>
    <w:rsid w:val="769F7771"/>
    <w:rsid w:val="76A51258"/>
    <w:rsid w:val="76A73C3A"/>
    <w:rsid w:val="76AB7AC3"/>
    <w:rsid w:val="76B11A70"/>
    <w:rsid w:val="76BF486A"/>
    <w:rsid w:val="76CC763E"/>
    <w:rsid w:val="76CF105C"/>
    <w:rsid w:val="76DF4924"/>
    <w:rsid w:val="76E34668"/>
    <w:rsid w:val="76F02098"/>
    <w:rsid w:val="76F35976"/>
    <w:rsid w:val="76FB7C23"/>
    <w:rsid w:val="76FC595B"/>
    <w:rsid w:val="770539C1"/>
    <w:rsid w:val="77154F40"/>
    <w:rsid w:val="7719221D"/>
    <w:rsid w:val="771D7AFA"/>
    <w:rsid w:val="772F28D5"/>
    <w:rsid w:val="773E131C"/>
    <w:rsid w:val="77514A70"/>
    <w:rsid w:val="775556B3"/>
    <w:rsid w:val="77560535"/>
    <w:rsid w:val="77583D64"/>
    <w:rsid w:val="775D310E"/>
    <w:rsid w:val="77653ACF"/>
    <w:rsid w:val="776B2934"/>
    <w:rsid w:val="776C2FF9"/>
    <w:rsid w:val="77823383"/>
    <w:rsid w:val="7783056B"/>
    <w:rsid w:val="778B2327"/>
    <w:rsid w:val="778D2A54"/>
    <w:rsid w:val="77915E48"/>
    <w:rsid w:val="7792467E"/>
    <w:rsid w:val="77A908D4"/>
    <w:rsid w:val="77AC4A81"/>
    <w:rsid w:val="77B82832"/>
    <w:rsid w:val="77C91CB8"/>
    <w:rsid w:val="77D0750B"/>
    <w:rsid w:val="77D93481"/>
    <w:rsid w:val="77DA1060"/>
    <w:rsid w:val="77DC668C"/>
    <w:rsid w:val="77DF065C"/>
    <w:rsid w:val="77E66378"/>
    <w:rsid w:val="77F273D8"/>
    <w:rsid w:val="77FB2812"/>
    <w:rsid w:val="78022FDE"/>
    <w:rsid w:val="78072EA4"/>
    <w:rsid w:val="780D421E"/>
    <w:rsid w:val="78120E1B"/>
    <w:rsid w:val="7821427B"/>
    <w:rsid w:val="783F411A"/>
    <w:rsid w:val="78576968"/>
    <w:rsid w:val="78625B50"/>
    <w:rsid w:val="78666846"/>
    <w:rsid w:val="786B48F9"/>
    <w:rsid w:val="786C5D85"/>
    <w:rsid w:val="786E4DD2"/>
    <w:rsid w:val="78704B5F"/>
    <w:rsid w:val="787410D9"/>
    <w:rsid w:val="78787F87"/>
    <w:rsid w:val="787A14BF"/>
    <w:rsid w:val="788E1BEE"/>
    <w:rsid w:val="78951396"/>
    <w:rsid w:val="789575A2"/>
    <w:rsid w:val="789772EA"/>
    <w:rsid w:val="789978D2"/>
    <w:rsid w:val="789A3FB0"/>
    <w:rsid w:val="78A6102E"/>
    <w:rsid w:val="78AB7035"/>
    <w:rsid w:val="78AC2C4D"/>
    <w:rsid w:val="78B77947"/>
    <w:rsid w:val="78C64762"/>
    <w:rsid w:val="78CF07AC"/>
    <w:rsid w:val="78DF761C"/>
    <w:rsid w:val="78E27CBF"/>
    <w:rsid w:val="78E41E10"/>
    <w:rsid w:val="78E90148"/>
    <w:rsid w:val="78E9381B"/>
    <w:rsid w:val="78EF95C6"/>
    <w:rsid w:val="78F271D7"/>
    <w:rsid w:val="78F31C00"/>
    <w:rsid w:val="790009B6"/>
    <w:rsid w:val="79041A64"/>
    <w:rsid w:val="79073292"/>
    <w:rsid w:val="79083113"/>
    <w:rsid w:val="79101DE6"/>
    <w:rsid w:val="79150DEB"/>
    <w:rsid w:val="791A77A8"/>
    <w:rsid w:val="791E479F"/>
    <w:rsid w:val="791F6672"/>
    <w:rsid w:val="79215340"/>
    <w:rsid w:val="792C20EC"/>
    <w:rsid w:val="792E1E94"/>
    <w:rsid w:val="793F37B1"/>
    <w:rsid w:val="794814AA"/>
    <w:rsid w:val="79507CCE"/>
    <w:rsid w:val="79527482"/>
    <w:rsid w:val="796C3D0C"/>
    <w:rsid w:val="797875E2"/>
    <w:rsid w:val="7988126F"/>
    <w:rsid w:val="798B7B54"/>
    <w:rsid w:val="799114EA"/>
    <w:rsid w:val="79A876C5"/>
    <w:rsid w:val="79AF3DC5"/>
    <w:rsid w:val="79C3570F"/>
    <w:rsid w:val="79C6076E"/>
    <w:rsid w:val="79CF12D7"/>
    <w:rsid w:val="79D80BE1"/>
    <w:rsid w:val="79DE0095"/>
    <w:rsid w:val="79EC0EF4"/>
    <w:rsid w:val="79ED5DA7"/>
    <w:rsid w:val="79ED7BF5"/>
    <w:rsid w:val="79F375CC"/>
    <w:rsid w:val="79F968C8"/>
    <w:rsid w:val="79FB505C"/>
    <w:rsid w:val="7A0E3DF3"/>
    <w:rsid w:val="7A165A8A"/>
    <w:rsid w:val="7A1E6D59"/>
    <w:rsid w:val="7A221A11"/>
    <w:rsid w:val="7A2D70B2"/>
    <w:rsid w:val="7A326D3D"/>
    <w:rsid w:val="7A424AD9"/>
    <w:rsid w:val="7A497DC2"/>
    <w:rsid w:val="7A612E31"/>
    <w:rsid w:val="7A626B2C"/>
    <w:rsid w:val="7A6F1486"/>
    <w:rsid w:val="7A761088"/>
    <w:rsid w:val="7A7715A2"/>
    <w:rsid w:val="7A7F60D1"/>
    <w:rsid w:val="7A8025F7"/>
    <w:rsid w:val="7A8650BD"/>
    <w:rsid w:val="7A98500E"/>
    <w:rsid w:val="7A9C4FF3"/>
    <w:rsid w:val="7A9F5728"/>
    <w:rsid w:val="7AA56864"/>
    <w:rsid w:val="7AAA217C"/>
    <w:rsid w:val="7AAE3407"/>
    <w:rsid w:val="7AB55B92"/>
    <w:rsid w:val="7AB86D75"/>
    <w:rsid w:val="7AB902F6"/>
    <w:rsid w:val="7AB93D30"/>
    <w:rsid w:val="7ABD18FF"/>
    <w:rsid w:val="7AC0670E"/>
    <w:rsid w:val="7ACE0684"/>
    <w:rsid w:val="7AD81B7E"/>
    <w:rsid w:val="7ADA6124"/>
    <w:rsid w:val="7AE45532"/>
    <w:rsid w:val="7AE82707"/>
    <w:rsid w:val="7AF226B1"/>
    <w:rsid w:val="7AF27D45"/>
    <w:rsid w:val="7AF609B5"/>
    <w:rsid w:val="7AF973AE"/>
    <w:rsid w:val="7AFF4711"/>
    <w:rsid w:val="7B007416"/>
    <w:rsid w:val="7B0940E7"/>
    <w:rsid w:val="7B182183"/>
    <w:rsid w:val="7B19134A"/>
    <w:rsid w:val="7B28225E"/>
    <w:rsid w:val="7B29084A"/>
    <w:rsid w:val="7B3319CF"/>
    <w:rsid w:val="7B354382"/>
    <w:rsid w:val="7B372F65"/>
    <w:rsid w:val="7B3A6BDF"/>
    <w:rsid w:val="7B3C1F7D"/>
    <w:rsid w:val="7B47007E"/>
    <w:rsid w:val="7B544A64"/>
    <w:rsid w:val="7B68023D"/>
    <w:rsid w:val="7B691DCE"/>
    <w:rsid w:val="7B7E1F95"/>
    <w:rsid w:val="7B863477"/>
    <w:rsid w:val="7B8E47AF"/>
    <w:rsid w:val="7B9663F0"/>
    <w:rsid w:val="7B977DAA"/>
    <w:rsid w:val="7B981B14"/>
    <w:rsid w:val="7B9A151E"/>
    <w:rsid w:val="7B9B473C"/>
    <w:rsid w:val="7BA74C09"/>
    <w:rsid w:val="7BA80D18"/>
    <w:rsid w:val="7BA9632A"/>
    <w:rsid w:val="7BAD61C9"/>
    <w:rsid w:val="7BAE13D5"/>
    <w:rsid w:val="7BAE275F"/>
    <w:rsid w:val="7BB365CA"/>
    <w:rsid w:val="7BB46FAC"/>
    <w:rsid w:val="7BB52976"/>
    <w:rsid w:val="7BB56A53"/>
    <w:rsid w:val="7BC021B0"/>
    <w:rsid w:val="7BC77989"/>
    <w:rsid w:val="7BCD576B"/>
    <w:rsid w:val="7BD161A0"/>
    <w:rsid w:val="7BD953C3"/>
    <w:rsid w:val="7BEF71C2"/>
    <w:rsid w:val="7BF05623"/>
    <w:rsid w:val="7BFB35B2"/>
    <w:rsid w:val="7BFF6F6F"/>
    <w:rsid w:val="7BFFFF3B"/>
    <w:rsid w:val="7C0915AE"/>
    <w:rsid w:val="7C1065EC"/>
    <w:rsid w:val="7C1449D0"/>
    <w:rsid w:val="7C1B6C7E"/>
    <w:rsid w:val="7C1D3961"/>
    <w:rsid w:val="7C2A6DEA"/>
    <w:rsid w:val="7C2E3626"/>
    <w:rsid w:val="7C395C46"/>
    <w:rsid w:val="7C3A1137"/>
    <w:rsid w:val="7C3D4391"/>
    <w:rsid w:val="7C40528B"/>
    <w:rsid w:val="7C444CF8"/>
    <w:rsid w:val="7C4E6C7C"/>
    <w:rsid w:val="7C512E85"/>
    <w:rsid w:val="7C561191"/>
    <w:rsid w:val="7C6823BE"/>
    <w:rsid w:val="7C6975A9"/>
    <w:rsid w:val="7C7160C9"/>
    <w:rsid w:val="7C7F77DF"/>
    <w:rsid w:val="7C821FDC"/>
    <w:rsid w:val="7C8371B3"/>
    <w:rsid w:val="7C8426BC"/>
    <w:rsid w:val="7C94769A"/>
    <w:rsid w:val="7C9A5D0B"/>
    <w:rsid w:val="7CAE3FDD"/>
    <w:rsid w:val="7CBA63FB"/>
    <w:rsid w:val="7CBC6D70"/>
    <w:rsid w:val="7CBD2654"/>
    <w:rsid w:val="7CBF5429"/>
    <w:rsid w:val="7CD607F6"/>
    <w:rsid w:val="7CE84271"/>
    <w:rsid w:val="7CEC027A"/>
    <w:rsid w:val="7CEC5AA8"/>
    <w:rsid w:val="7CEC6FE9"/>
    <w:rsid w:val="7CED5325"/>
    <w:rsid w:val="7CF2748B"/>
    <w:rsid w:val="7CF35DDE"/>
    <w:rsid w:val="7CF51B63"/>
    <w:rsid w:val="7CF8049C"/>
    <w:rsid w:val="7CF84703"/>
    <w:rsid w:val="7CFE5896"/>
    <w:rsid w:val="7CFF8BB4"/>
    <w:rsid w:val="7D0554BA"/>
    <w:rsid w:val="7D0D7D48"/>
    <w:rsid w:val="7D12671E"/>
    <w:rsid w:val="7D273622"/>
    <w:rsid w:val="7D287965"/>
    <w:rsid w:val="7D4251BD"/>
    <w:rsid w:val="7D431846"/>
    <w:rsid w:val="7D4448E3"/>
    <w:rsid w:val="7D451CAD"/>
    <w:rsid w:val="7D4C09B1"/>
    <w:rsid w:val="7D5B464A"/>
    <w:rsid w:val="7D607ABF"/>
    <w:rsid w:val="7D673CA9"/>
    <w:rsid w:val="7D67461A"/>
    <w:rsid w:val="7D696795"/>
    <w:rsid w:val="7D762D06"/>
    <w:rsid w:val="7D766C94"/>
    <w:rsid w:val="7D76A467"/>
    <w:rsid w:val="7D8313FA"/>
    <w:rsid w:val="7D896A14"/>
    <w:rsid w:val="7D8A0046"/>
    <w:rsid w:val="7D931EC1"/>
    <w:rsid w:val="7DA607A1"/>
    <w:rsid w:val="7DBF451B"/>
    <w:rsid w:val="7DC139B5"/>
    <w:rsid w:val="7DC518DD"/>
    <w:rsid w:val="7DC774DD"/>
    <w:rsid w:val="7DCA747B"/>
    <w:rsid w:val="7DD441EB"/>
    <w:rsid w:val="7DD71D69"/>
    <w:rsid w:val="7DE92089"/>
    <w:rsid w:val="7DEAC2EF"/>
    <w:rsid w:val="7DEE23C1"/>
    <w:rsid w:val="7DF11250"/>
    <w:rsid w:val="7DF258AE"/>
    <w:rsid w:val="7DF93975"/>
    <w:rsid w:val="7E187C04"/>
    <w:rsid w:val="7E1C4369"/>
    <w:rsid w:val="7E434B4D"/>
    <w:rsid w:val="7E44281B"/>
    <w:rsid w:val="7E4703D6"/>
    <w:rsid w:val="7E592945"/>
    <w:rsid w:val="7E602E4A"/>
    <w:rsid w:val="7E61127B"/>
    <w:rsid w:val="7E620F92"/>
    <w:rsid w:val="7E641663"/>
    <w:rsid w:val="7E6A2E14"/>
    <w:rsid w:val="7E6D011C"/>
    <w:rsid w:val="7E706E3E"/>
    <w:rsid w:val="7E722F3A"/>
    <w:rsid w:val="7E750F24"/>
    <w:rsid w:val="7E8660D0"/>
    <w:rsid w:val="7E885B32"/>
    <w:rsid w:val="7E975F10"/>
    <w:rsid w:val="7E9C140B"/>
    <w:rsid w:val="7EA03E00"/>
    <w:rsid w:val="7EA22DFC"/>
    <w:rsid w:val="7EA36D0F"/>
    <w:rsid w:val="7EA66BD6"/>
    <w:rsid w:val="7EA7120C"/>
    <w:rsid w:val="7EA87E0C"/>
    <w:rsid w:val="7EB43B0B"/>
    <w:rsid w:val="7EB72412"/>
    <w:rsid w:val="7EBD6CD6"/>
    <w:rsid w:val="7EBE46D0"/>
    <w:rsid w:val="7EBF44B5"/>
    <w:rsid w:val="7EC05132"/>
    <w:rsid w:val="7EC81B12"/>
    <w:rsid w:val="7EC932C7"/>
    <w:rsid w:val="7ED47721"/>
    <w:rsid w:val="7ED92421"/>
    <w:rsid w:val="7EDC23EC"/>
    <w:rsid w:val="7EE31608"/>
    <w:rsid w:val="7EE73F34"/>
    <w:rsid w:val="7EED11CF"/>
    <w:rsid w:val="7EFB3D84"/>
    <w:rsid w:val="7F04112D"/>
    <w:rsid w:val="7F0D5B31"/>
    <w:rsid w:val="7F124073"/>
    <w:rsid w:val="7F15741E"/>
    <w:rsid w:val="7F1A28F4"/>
    <w:rsid w:val="7F1C6EF2"/>
    <w:rsid w:val="7F1E4274"/>
    <w:rsid w:val="7F291E09"/>
    <w:rsid w:val="7F310F6B"/>
    <w:rsid w:val="7F323B39"/>
    <w:rsid w:val="7F445491"/>
    <w:rsid w:val="7F5168FF"/>
    <w:rsid w:val="7F544A77"/>
    <w:rsid w:val="7F555F62"/>
    <w:rsid w:val="7F5851AA"/>
    <w:rsid w:val="7F5F440C"/>
    <w:rsid w:val="7F6E2514"/>
    <w:rsid w:val="7F7A01C3"/>
    <w:rsid w:val="7F7B7F13"/>
    <w:rsid w:val="7F7E2BC0"/>
    <w:rsid w:val="7F7E5882"/>
    <w:rsid w:val="7F8C32F3"/>
    <w:rsid w:val="7F9F7615"/>
    <w:rsid w:val="7FAA15DA"/>
    <w:rsid w:val="7FAB1120"/>
    <w:rsid w:val="7FBE2049"/>
    <w:rsid w:val="7FBF0D15"/>
    <w:rsid w:val="7FC33949"/>
    <w:rsid w:val="7FC7322C"/>
    <w:rsid w:val="7FCEE72D"/>
    <w:rsid w:val="7FD15A2A"/>
    <w:rsid w:val="7FD988AF"/>
    <w:rsid w:val="7FDE029F"/>
    <w:rsid w:val="7FE9691C"/>
    <w:rsid w:val="7FEF7369"/>
    <w:rsid w:val="7FF8C562"/>
    <w:rsid w:val="7FFE521F"/>
    <w:rsid w:val="7FFF61F7"/>
    <w:rsid w:val="7FFFC72C"/>
    <w:rsid w:val="947EE42B"/>
    <w:rsid w:val="97479AE8"/>
    <w:rsid w:val="A6FA8F09"/>
    <w:rsid w:val="AEEAB5E5"/>
    <w:rsid w:val="AFFCA306"/>
    <w:rsid w:val="B6B5ABAB"/>
    <w:rsid w:val="B7F5FE86"/>
    <w:rsid w:val="B94F20DD"/>
    <w:rsid w:val="BDDF3B48"/>
    <w:rsid w:val="BE63444B"/>
    <w:rsid w:val="BFBE66DE"/>
    <w:rsid w:val="BFFE31BE"/>
    <w:rsid w:val="BFFFB4CC"/>
    <w:rsid w:val="CBBF1FBF"/>
    <w:rsid w:val="CBF7EA73"/>
    <w:rsid w:val="CF6FCB3D"/>
    <w:rsid w:val="D3F2DDB3"/>
    <w:rsid w:val="DB9F51E6"/>
    <w:rsid w:val="DBFC6E00"/>
    <w:rsid w:val="DF6F409F"/>
    <w:rsid w:val="DFF5D16C"/>
    <w:rsid w:val="E2B565F4"/>
    <w:rsid w:val="ED3F279C"/>
    <w:rsid w:val="EF752E29"/>
    <w:rsid w:val="EFCD4D88"/>
    <w:rsid w:val="EFFEF28B"/>
    <w:rsid w:val="F3EF2F02"/>
    <w:rsid w:val="F9FF6CD1"/>
    <w:rsid w:val="FDA63043"/>
    <w:rsid w:val="FDB7FE41"/>
    <w:rsid w:val="FEFFEF36"/>
    <w:rsid w:val="FF3FA59C"/>
    <w:rsid w:val="FF5D69C3"/>
    <w:rsid w:val="FF9FA51F"/>
    <w:rsid w:val="FFCB1BEA"/>
    <w:rsid w:val="FFCE0A4A"/>
    <w:rsid w:val="FFDFE74B"/>
    <w:rsid w:val="FFE8447C"/>
    <w:rsid w:val="FFF5031B"/>
    <w:rsid w:val="FFF9A4E1"/>
    <w:rsid w:val="FFFD6A4A"/>
    <w:rsid w:val="FFFF9A2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5"/>
    <w:unhideWhenUsed/>
    <w:qFormat/>
    <w:uiPriority w:val="9"/>
    <w:pPr>
      <w:keepNext/>
      <w:keepLines/>
      <w:spacing w:before="260" w:after="260" w:line="416" w:lineRule="auto"/>
      <w:outlineLvl w:val="1"/>
    </w:pPr>
    <w:rPr>
      <w:rFonts w:ascii="Calibri Light" w:hAnsi="Calibri Light"/>
      <w:b/>
      <w:bCs/>
      <w:sz w:val="32"/>
      <w:szCs w:val="32"/>
    </w:rPr>
  </w:style>
  <w:style w:type="paragraph" w:styleId="6">
    <w:name w:val="heading 3"/>
    <w:basedOn w:val="1"/>
    <w:next w:val="1"/>
    <w:unhideWhenUsed/>
    <w:qFormat/>
    <w:uiPriority w:val="0"/>
    <w:pPr>
      <w:spacing w:beforeAutospacing="1" w:afterAutospacing="1"/>
      <w:jc w:val="left"/>
      <w:outlineLvl w:val="2"/>
    </w:pPr>
    <w:rPr>
      <w:rFonts w:hint="eastAsia" w:ascii="宋体" w:hAnsi="宋体"/>
      <w:b/>
      <w:kern w:val="0"/>
      <w:sz w:val="27"/>
      <w:szCs w:val="27"/>
    </w:rPr>
  </w:style>
  <w:style w:type="character" w:default="1" w:styleId="22">
    <w:name w:val="Default Paragraph Font"/>
    <w:unhideWhenUsed/>
    <w:qFormat/>
    <w:uiPriority w:val="1"/>
  </w:style>
  <w:style w:type="table" w:default="1" w:styleId="27">
    <w:name w:val="Normal Table"/>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0"/>
    <w:pPr>
      <w:ind w:left="0" w:firstLine="420"/>
    </w:pPr>
    <w:rPr>
      <w:rFonts w:ascii="仿宋_GB2312" w:hAnsi="Times New Roman" w:eastAsia="仿宋_GB2312" w:cs="仿宋_GB2312"/>
      <w:sz w:val="32"/>
      <w:szCs w:val="32"/>
    </w:rPr>
  </w:style>
  <w:style w:type="paragraph" w:styleId="3">
    <w:name w:val="Body Text Indent"/>
    <w:basedOn w:val="1"/>
    <w:qFormat/>
    <w:uiPriority w:val="0"/>
    <w:pPr>
      <w:spacing w:after="120"/>
      <w:ind w:left="420" w:leftChars="200"/>
    </w:pPr>
  </w:style>
  <w:style w:type="paragraph" w:styleId="7">
    <w:name w:val="annotation subject"/>
    <w:basedOn w:val="8"/>
    <w:next w:val="8"/>
    <w:link w:val="37"/>
    <w:qFormat/>
    <w:uiPriority w:val="0"/>
    <w:rPr>
      <w:b/>
      <w:bCs/>
    </w:rPr>
  </w:style>
  <w:style w:type="paragraph" w:styleId="8">
    <w:name w:val="annotation text"/>
    <w:basedOn w:val="1"/>
    <w:link w:val="38"/>
    <w:qFormat/>
    <w:uiPriority w:val="0"/>
    <w:pPr>
      <w:jc w:val="left"/>
    </w:pPr>
  </w:style>
  <w:style w:type="paragraph" w:styleId="9">
    <w:name w:val="Normal Indent"/>
    <w:basedOn w:val="1"/>
    <w:uiPriority w:val="0"/>
    <w:pPr>
      <w:ind w:firstLine="200" w:firstLineChars="200"/>
    </w:pPr>
  </w:style>
  <w:style w:type="paragraph" w:styleId="10">
    <w:name w:val="caption"/>
    <w:basedOn w:val="1"/>
    <w:next w:val="1"/>
    <w:unhideWhenUsed/>
    <w:qFormat/>
    <w:uiPriority w:val="0"/>
    <w:rPr>
      <w:rFonts w:ascii="Arial" w:hAnsi="Arial" w:eastAsia="黑体"/>
      <w:sz w:val="20"/>
    </w:rPr>
  </w:style>
  <w:style w:type="paragraph" w:styleId="11">
    <w:name w:val="Body Text"/>
    <w:basedOn w:val="1"/>
    <w:next w:val="12"/>
    <w:qFormat/>
    <w:uiPriority w:val="0"/>
    <w:pPr>
      <w:spacing w:after="120"/>
    </w:pPr>
  </w:style>
  <w:style w:type="paragraph" w:customStyle="1" w:styleId="12">
    <w:name w:val="toc 11"/>
    <w:next w:val="1"/>
    <w:qFormat/>
    <w:uiPriority w:val="0"/>
    <w:pPr>
      <w:wordWrap w:val="0"/>
      <w:jc w:val="both"/>
    </w:pPr>
    <w:rPr>
      <w:rFonts w:ascii="Times New Roman" w:hAnsi="Times New Roman" w:eastAsia="宋体" w:cs="Times New Roman"/>
      <w:sz w:val="21"/>
      <w:szCs w:val="22"/>
      <w:lang w:val="en-US" w:eastAsia="zh-CN" w:bidi="ar-SA"/>
    </w:rPr>
  </w:style>
  <w:style w:type="paragraph" w:styleId="13">
    <w:name w:val="toc 3"/>
    <w:basedOn w:val="1"/>
    <w:next w:val="1"/>
    <w:qFormat/>
    <w:uiPriority w:val="39"/>
    <w:pPr>
      <w:ind w:left="840" w:leftChars="400"/>
    </w:pPr>
  </w:style>
  <w:style w:type="paragraph" w:styleId="14">
    <w:name w:val="endnote text"/>
    <w:basedOn w:val="1"/>
    <w:link w:val="41"/>
    <w:qFormat/>
    <w:uiPriority w:val="0"/>
    <w:pPr>
      <w:snapToGrid w:val="0"/>
      <w:jc w:val="left"/>
    </w:pPr>
  </w:style>
  <w:style w:type="paragraph" w:styleId="15">
    <w:name w:val="Balloon Text"/>
    <w:basedOn w:val="1"/>
    <w:link w:val="40"/>
    <w:qFormat/>
    <w:uiPriority w:val="0"/>
    <w:rPr>
      <w:sz w:val="18"/>
      <w:szCs w:val="18"/>
    </w:rPr>
  </w:style>
  <w:style w:type="paragraph" w:styleId="16">
    <w:name w:val="footer"/>
    <w:basedOn w:val="1"/>
    <w:next w:val="1"/>
    <w:unhideWhenUsed/>
    <w:qFormat/>
    <w:uiPriority w:val="99"/>
    <w:pPr>
      <w:tabs>
        <w:tab w:val="center" w:pos="4153"/>
        <w:tab w:val="right" w:pos="8306"/>
      </w:tabs>
      <w:snapToGrid w:val="0"/>
      <w:jc w:val="left"/>
    </w:pPr>
    <w:rPr>
      <w:sz w:val="18"/>
      <w:szCs w:val="18"/>
    </w:rPr>
  </w:style>
  <w:style w:type="paragraph" w:styleId="17">
    <w:name w:val="header"/>
    <w:basedOn w:val="1"/>
    <w:link w:val="34"/>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pPr>
      <w:spacing w:before="360"/>
      <w:jc w:val="left"/>
    </w:pPr>
    <w:rPr>
      <w:rFonts w:ascii="Cambria" w:hAnsi="Cambria" w:eastAsia="仿宋_GB2312"/>
      <w:b/>
      <w:bCs/>
      <w:caps/>
      <w:w w:val="90"/>
      <w:sz w:val="24"/>
      <w:szCs w:val="24"/>
    </w:rPr>
  </w:style>
  <w:style w:type="paragraph" w:styleId="19">
    <w:name w:val="footnote text"/>
    <w:basedOn w:val="1"/>
    <w:link w:val="33"/>
    <w:qFormat/>
    <w:uiPriority w:val="99"/>
    <w:pPr>
      <w:snapToGrid w:val="0"/>
      <w:jc w:val="left"/>
    </w:pPr>
    <w:rPr>
      <w:sz w:val="18"/>
      <w:szCs w:val="18"/>
    </w:rPr>
  </w:style>
  <w:style w:type="paragraph" w:styleId="20">
    <w:name w:val="toc 2"/>
    <w:basedOn w:val="1"/>
    <w:next w:val="1"/>
    <w:qFormat/>
    <w:uiPriority w:val="39"/>
    <w:pPr>
      <w:tabs>
        <w:tab w:val="right" w:leader="dot" w:pos="8680"/>
      </w:tabs>
      <w:ind w:left="420" w:leftChars="200"/>
      <w:jc w:val="center"/>
    </w:pPr>
    <w:rPr>
      <w:rFonts w:ascii="黑体" w:hAnsi="黑体" w:eastAsia="黑体" w:cs="黑体"/>
      <w:sz w:val="32"/>
      <w:szCs w:val="32"/>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23">
    <w:name w:val="endnote reference"/>
    <w:basedOn w:val="22"/>
    <w:qFormat/>
    <w:uiPriority w:val="0"/>
    <w:rPr>
      <w:vertAlign w:val="superscript"/>
    </w:rPr>
  </w:style>
  <w:style w:type="character" w:styleId="24">
    <w:name w:val="Hyperlink"/>
    <w:qFormat/>
    <w:uiPriority w:val="99"/>
    <w:rPr>
      <w:rFonts w:cs="Times New Roman"/>
      <w:color w:val="0000FF"/>
      <w:u w:val="single"/>
    </w:rPr>
  </w:style>
  <w:style w:type="character" w:styleId="25">
    <w:name w:val="annotation reference"/>
    <w:basedOn w:val="22"/>
    <w:qFormat/>
    <w:uiPriority w:val="0"/>
    <w:rPr>
      <w:sz w:val="21"/>
      <w:szCs w:val="21"/>
    </w:rPr>
  </w:style>
  <w:style w:type="character" w:styleId="26">
    <w:name w:val="footnote reference"/>
    <w:basedOn w:val="22"/>
    <w:qFormat/>
    <w:uiPriority w:val="0"/>
    <w:rPr>
      <w:vertAlign w:val="superscript"/>
    </w:r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9">
    <w:name w:val="TOC 11"/>
    <w:next w:val="1"/>
    <w:qFormat/>
    <w:uiPriority w:val="0"/>
    <w:pPr>
      <w:wordWrap w:val="0"/>
      <w:jc w:val="both"/>
    </w:pPr>
    <w:rPr>
      <w:rFonts w:ascii="Times New Roman" w:hAnsi="Times New Roman" w:eastAsia="宋体" w:cs="Times New Roman"/>
      <w:sz w:val="21"/>
      <w:szCs w:val="22"/>
      <w:lang w:val="en-US" w:eastAsia="zh-CN" w:bidi="ar-SA"/>
    </w:rPr>
  </w:style>
  <w:style w:type="paragraph" w:customStyle="1" w:styleId="30">
    <w:name w:val="Char Char Char Char"/>
    <w:basedOn w:val="1"/>
    <w:qFormat/>
    <w:uiPriority w:val="0"/>
    <w:pPr>
      <w:widowControl/>
      <w:spacing w:after="160" w:line="240" w:lineRule="exact"/>
      <w:jc w:val="left"/>
    </w:pPr>
    <w:rPr>
      <w:rFonts w:ascii="Tahoma" w:hAnsi="Tahoma" w:cs="黑体"/>
      <w:kern w:val="0"/>
      <w:sz w:val="24"/>
    </w:rPr>
  </w:style>
  <w:style w:type="paragraph" w:customStyle="1" w:styleId="31">
    <w:name w:val="List Paragraph"/>
    <w:basedOn w:val="1"/>
    <w:unhideWhenUsed/>
    <w:qFormat/>
    <w:uiPriority w:val="34"/>
    <w:pPr>
      <w:ind w:firstLine="420" w:firstLineChars="200"/>
    </w:pPr>
  </w:style>
  <w:style w:type="paragraph" w:customStyle="1" w:styleId="32">
    <w:name w:val="默认段落字体 Para Char Char Char Char Char Char Char"/>
    <w:basedOn w:val="1"/>
    <w:qFormat/>
    <w:uiPriority w:val="0"/>
    <w:rPr>
      <w:rFonts w:ascii="Tahoma" w:hAnsi="Tahoma"/>
      <w:sz w:val="24"/>
      <w:szCs w:val="20"/>
    </w:rPr>
  </w:style>
  <w:style w:type="character" w:customStyle="1" w:styleId="33">
    <w:name w:val="脚注文本 Char"/>
    <w:basedOn w:val="22"/>
    <w:link w:val="19"/>
    <w:qFormat/>
    <w:uiPriority w:val="99"/>
    <w:rPr>
      <w:rFonts w:ascii="Calibri" w:hAnsi="Calibri"/>
      <w:kern w:val="2"/>
      <w:sz w:val="18"/>
      <w:szCs w:val="18"/>
    </w:rPr>
  </w:style>
  <w:style w:type="character" w:customStyle="1" w:styleId="34">
    <w:name w:val="页眉 Char"/>
    <w:basedOn w:val="22"/>
    <w:link w:val="17"/>
    <w:qFormat/>
    <w:uiPriority w:val="0"/>
    <w:rPr>
      <w:rFonts w:ascii="Calibri" w:hAnsi="Calibri"/>
      <w:kern w:val="2"/>
      <w:sz w:val="18"/>
      <w:szCs w:val="18"/>
    </w:rPr>
  </w:style>
  <w:style w:type="character" w:customStyle="1" w:styleId="35">
    <w:name w:val="标题 2 Char"/>
    <w:basedOn w:val="22"/>
    <w:link w:val="5"/>
    <w:qFormat/>
    <w:uiPriority w:val="9"/>
    <w:rPr>
      <w:rFonts w:ascii="Calibri Light" w:hAnsi="Calibri Light" w:eastAsia="宋体" w:cs="Times New Roman"/>
      <w:b/>
      <w:bCs/>
      <w:kern w:val="2"/>
      <w:sz w:val="32"/>
      <w:szCs w:val="32"/>
    </w:rPr>
  </w:style>
  <w:style w:type="character" w:customStyle="1" w:styleId="36">
    <w:name w:val="font11"/>
    <w:basedOn w:val="22"/>
    <w:qFormat/>
    <w:uiPriority w:val="0"/>
    <w:rPr>
      <w:rFonts w:hint="eastAsia" w:ascii="宋体" w:hAnsi="宋体" w:eastAsia="宋体" w:cs="宋体"/>
      <w:color w:val="000000"/>
      <w:sz w:val="20"/>
      <w:szCs w:val="20"/>
      <w:u w:val="none"/>
    </w:rPr>
  </w:style>
  <w:style w:type="character" w:customStyle="1" w:styleId="37">
    <w:name w:val="批注主题 Char"/>
    <w:basedOn w:val="38"/>
    <w:link w:val="7"/>
    <w:qFormat/>
    <w:uiPriority w:val="0"/>
    <w:rPr>
      <w:rFonts w:ascii="Calibri" w:hAnsi="Calibri"/>
      <w:b/>
      <w:bCs/>
      <w:kern w:val="2"/>
      <w:sz w:val="21"/>
      <w:szCs w:val="22"/>
    </w:rPr>
  </w:style>
  <w:style w:type="character" w:customStyle="1" w:styleId="38">
    <w:name w:val="批注文字 Char"/>
    <w:basedOn w:val="22"/>
    <w:link w:val="8"/>
    <w:qFormat/>
    <w:uiPriority w:val="0"/>
    <w:rPr>
      <w:rFonts w:ascii="Calibri" w:hAnsi="Calibri"/>
      <w:kern w:val="2"/>
      <w:sz w:val="21"/>
      <w:szCs w:val="22"/>
    </w:rPr>
  </w:style>
  <w:style w:type="character" w:customStyle="1" w:styleId="39">
    <w:name w:val="font31"/>
    <w:basedOn w:val="22"/>
    <w:qFormat/>
    <w:uiPriority w:val="0"/>
    <w:rPr>
      <w:rFonts w:hint="eastAsia" w:ascii="宋体" w:hAnsi="宋体" w:eastAsia="宋体" w:cs="宋体"/>
      <w:color w:val="000000"/>
      <w:sz w:val="20"/>
      <w:szCs w:val="20"/>
      <w:u w:val="none"/>
    </w:rPr>
  </w:style>
  <w:style w:type="character" w:customStyle="1" w:styleId="40">
    <w:name w:val="批注框文本 Char"/>
    <w:basedOn w:val="22"/>
    <w:link w:val="15"/>
    <w:qFormat/>
    <w:uiPriority w:val="0"/>
    <w:rPr>
      <w:rFonts w:ascii="Calibri" w:hAnsi="Calibri"/>
      <w:kern w:val="2"/>
      <w:sz w:val="18"/>
      <w:szCs w:val="18"/>
    </w:rPr>
  </w:style>
  <w:style w:type="character" w:customStyle="1" w:styleId="41">
    <w:name w:val="尾注文本 Char"/>
    <w:basedOn w:val="22"/>
    <w:link w:val="14"/>
    <w:qFormat/>
    <w:uiPriority w:val="0"/>
    <w:rPr>
      <w:rFonts w:ascii="Calibri" w:hAnsi="Calibri"/>
      <w:kern w:val="2"/>
      <w:sz w:val="21"/>
      <w:szCs w:val="22"/>
    </w:rPr>
  </w:style>
  <w:style w:type="character" w:customStyle="1" w:styleId="42">
    <w:name w:val="NormalCharacter"/>
    <w:link w:val="43"/>
    <w:qFormat/>
    <w:uiPriority w:val="0"/>
    <w:rPr>
      <w:color w:val="000000"/>
    </w:rPr>
  </w:style>
  <w:style w:type="paragraph" w:customStyle="1" w:styleId="43">
    <w:name w:val="UserStyle_0"/>
    <w:basedOn w:val="1"/>
    <w:next w:val="1"/>
    <w:link w:val="42"/>
    <w:qFormat/>
    <w:uiPriority w:val="0"/>
    <w:pPr>
      <w:suppressAutoHyphens/>
      <w:spacing w:after="120"/>
      <w:textAlignment w:val="baseline"/>
    </w:pPr>
    <w:rPr>
      <w:color w:val="000000"/>
    </w:rPr>
  </w:style>
  <w:style w:type="paragraph" w:customStyle="1" w:styleId="44">
    <w:name w:val="目录 11"/>
    <w:next w:val="1"/>
    <w:qFormat/>
    <w:uiPriority w:val="0"/>
    <w:pPr>
      <w:wordWrap w:val="0"/>
      <w:spacing w:line="640" w:lineRule="exact"/>
      <w:ind w:left="0" w:firstLine="200" w:firstLineChars="200"/>
      <w:jc w:val="both"/>
    </w:pPr>
    <w:rPr>
      <w:rFonts w:ascii="Calibri" w:hAnsi="Calibri" w:eastAsia="宋体" w:cs="Times New Roman"/>
      <w:color w:val="auto"/>
      <w:kern w:val="0"/>
      <w:sz w:val="21"/>
      <w:szCs w:val="22"/>
      <w:lang w:val="en-US" w:eastAsia="zh-CN" w:bidi="ar-SA"/>
    </w:rPr>
  </w:style>
  <w:style w:type="character" w:customStyle="1" w:styleId="45">
    <w:name w:val="font01"/>
    <w:basedOn w:val="22"/>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10839</Words>
  <Characters>11346</Characters>
  <Lines>114</Lines>
  <Paragraphs>32</Paragraphs>
  <ScaleCrop>false</ScaleCrop>
  <LinksUpToDate>false</LinksUpToDate>
  <CharactersWithSpaces>11366</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2019-07-03T07:15:00Z</dcterms:created>
  <dc:creator>Administrator</dc:creator>
  <cp:lastModifiedBy>Administrator</cp:lastModifiedBy>
  <cp:lastPrinted>2019-07-19T01:04:00Z</cp:lastPrinted>
  <dcterms:modified xsi:type="dcterms:W3CDTF">2023-08-17T07:35:27Z</dcterms:modified>
  <dc:title>2020年度北京市规划和自然资源委员会</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B9FB6F2E0E304DB899491E5355F9C88D</vt:lpwstr>
  </property>
</Properties>
</file>