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sz w:val="52"/>
          <w:szCs w:val="52"/>
        </w:rPr>
      </w:pPr>
    </w:p>
    <w:p>
      <w:pPr>
        <w:spacing w:line="360" w:lineRule="auto"/>
        <w:jc w:val="center"/>
        <w:rPr>
          <w:rFonts w:ascii="黑体" w:hAnsi="黑体" w:eastAsia="黑体"/>
          <w:b/>
          <w:sz w:val="52"/>
          <w:szCs w:val="52"/>
        </w:rPr>
      </w:pPr>
    </w:p>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北京市文化市场综合执法总队202</w:t>
      </w:r>
      <w:r>
        <w:rPr>
          <w:rFonts w:asciiTheme="majorEastAsia" w:hAnsiTheme="majorEastAsia" w:eastAsiaTheme="majorEastAsia"/>
          <w:b/>
          <w:bCs/>
          <w:sz w:val="44"/>
          <w:szCs w:val="44"/>
        </w:rPr>
        <w:t>2</w:t>
      </w:r>
      <w:r>
        <w:rPr>
          <w:rFonts w:hint="eastAsia" w:asciiTheme="majorEastAsia" w:hAnsiTheme="majorEastAsia" w:eastAsiaTheme="majorEastAsia"/>
          <w:b/>
          <w:bCs/>
          <w:sz w:val="44"/>
          <w:szCs w:val="44"/>
        </w:rPr>
        <w:t>年度</w:t>
      </w:r>
      <w:bookmarkStart w:id="20" w:name="_GoBack"/>
      <w:bookmarkEnd w:id="20"/>
    </w:p>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部门整体绩效报告</w:t>
      </w:r>
    </w:p>
    <w:p>
      <w:pPr>
        <w:adjustRightInd w:val="0"/>
        <w:snapToGrid w:val="0"/>
        <w:spacing w:line="0" w:lineRule="atLeast"/>
        <w:jc w:val="center"/>
        <w:rPr>
          <w:rFonts w:ascii="黑体" w:hAnsi="黑体" w:eastAsia="黑体" w:cs="黑体"/>
          <w:bCs/>
          <w:sz w:val="72"/>
          <w:szCs w:val="72"/>
        </w:rPr>
      </w:pPr>
    </w:p>
    <w:p>
      <w:pPr>
        <w:spacing w:line="360" w:lineRule="auto"/>
        <w:jc w:val="center"/>
        <w:rPr>
          <w:rFonts w:ascii="黑体" w:hAnsi="黑体" w:eastAsia="黑体"/>
          <w:b/>
          <w:sz w:val="72"/>
          <w:szCs w:val="72"/>
          <w:lang w:val="zh-CN"/>
        </w:rPr>
      </w:pPr>
    </w:p>
    <w:p>
      <w:pPr>
        <w:adjustRightInd w:val="0"/>
        <w:snapToGrid w:val="0"/>
        <w:spacing w:line="0" w:lineRule="atLeast"/>
        <w:jc w:val="center"/>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jc w:val="center"/>
        <w:rPr>
          <w:rFonts w:ascii="楷体" w:hAnsi="楷体" w:eastAsia="楷体" w:cs="楷体"/>
          <w:b/>
          <w:sz w:val="44"/>
          <w:szCs w:val="44"/>
        </w:rPr>
      </w:pPr>
    </w:p>
    <w:p>
      <w:pPr>
        <w:pStyle w:val="9"/>
      </w:pPr>
    </w:p>
    <w:p>
      <w:pPr>
        <w:jc w:val="center"/>
        <w:rPr>
          <w:rFonts w:ascii="宋体" w:hAnsi="宋体"/>
          <w:sz w:val="36"/>
          <w:szCs w:val="36"/>
        </w:rPr>
      </w:pPr>
      <w:r>
        <w:rPr>
          <w:rFonts w:hint="eastAsia" w:ascii="宋体" w:hAnsi="宋体"/>
          <w:sz w:val="36"/>
          <w:szCs w:val="36"/>
        </w:rPr>
        <w:t>北京市文化市场综合执法总队</w:t>
      </w:r>
    </w:p>
    <w:p>
      <w:pPr>
        <w:jc w:val="center"/>
        <w:rPr>
          <w:rFonts w:ascii="宋体" w:hAnsi="宋体"/>
          <w:sz w:val="36"/>
          <w:szCs w:val="36"/>
        </w:rPr>
      </w:pPr>
      <w:r>
        <w:rPr>
          <w:rFonts w:hint="eastAsia" w:ascii="宋体" w:hAnsi="宋体"/>
          <w:sz w:val="36"/>
          <w:szCs w:val="36"/>
        </w:rPr>
        <w:t>202</w:t>
      </w:r>
      <w:r>
        <w:rPr>
          <w:rFonts w:ascii="宋体" w:hAnsi="宋体"/>
          <w:sz w:val="36"/>
          <w:szCs w:val="36"/>
        </w:rPr>
        <w:t>3</w:t>
      </w:r>
      <w:r>
        <w:rPr>
          <w:rFonts w:hint="eastAsia" w:ascii="宋体" w:hAnsi="宋体"/>
          <w:sz w:val="36"/>
          <w:szCs w:val="36"/>
        </w:rPr>
        <w:t>年5月</w:t>
      </w:r>
    </w:p>
    <w:p>
      <w:pPr>
        <w:snapToGrid w:val="0"/>
        <w:jc w:val="center"/>
        <w:rPr>
          <w:rFonts w:ascii="宋体" w:hAnsi="宋体" w:cs="宋体"/>
          <w:sz w:val="36"/>
          <w:szCs w:val="36"/>
        </w:rPr>
      </w:pPr>
    </w:p>
    <w:p>
      <w:pPr>
        <w:adjustRightInd w:val="0"/>
        <w:snapToGrid w:val="0"/>
        <w:rPr>
          <w:rFonts w:ascii="仿宋" w:hAnsi="仿宋" w:eastAsia="仿宋" w:cs="仿宋"/>
          <w:sz w:val="30"/>
          <w:szCs w:val="30"/>
        </w:rPr>
        <w:sectPr>
          <w:pgSz w:w="11906" w:h="16838"/>
          <w:pgMar w:top="1440" w:right="1800" w:bottom="1440" w:left="1800" w:header="851" w:footer="992" w:gutter="0"/>
          <w:cols w:space="720" w:num="1"/>
          <w:docGrid w:type="lines" w:linePitch="312" w:charSpace="0"/>
        </w:sectPr>
      </w:pPr>
    </w:p>
    <w:p>
      <w:pPr>
        <w:pStyle w:val="14"/>
        <w:rPr>
          <w:sz w:val="36"/>
          <w:szCs w:val="36"/>
        </w:rPr>
        <w:sectPr>
          <w:footerReference r:id="rId3"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p>
      <w:pPr>
        <w:spacing w:line="560" w:lineRule="exact"/>
        <w:jc w:val="left"/>
        <w:rPr>
          <w:rFonts w:ascii="方正黑体_GBK" w:hAnsi="方正黑体_GBK" w:eastAsia="方正黑体_GBK" w:cs="方正黑体_GBK"/>
          <w:sz w:val="32"/>
        </w:rPr>
      </w:pPr>
    </w:p>
    <w:sdt>
      <w:sdtPr>
        <w:rPr>
          <w:rFonts w:ascii="Times New Roman" w:hAnsi="Times New Roman" w:eastAsia="宋体" w:cs="Times New Roman"/>
          <w:color w:val="auto"/>
          <w:kern w:val="2"/>
          <w:sz w:val="21"/>
          <w:szCs w:val="24"/>
          <w:lang w:val="zh-CN"/>
        </w:rPr>
        <w:id w:val="1173989215"/>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21"/>
            <w:spacing w:line="540" w:lineRule="exact"/>
            <w:jc w:val="center"/>
            <w:rPr>
              <w:color w:val="auto"/>
            </w:rPr>
          </w:pPr>
          <w:r>
            <w:rPr>
              <w:color w:val="auto"/>
              <w:lang w:val="zh-CN"/>
            </w:rPr>
            <w:t>目录</w:t>
          </w:r>
        </w:p>
        <w:p>
          <w:pPr>
            <w:pStyle w:val="11"/>
            <w:tabs>
              <w:tab w:val="right" w:leader="dot" w:pos="8296"/>
            </w:tabs>
            <w:spacing w:line="520" w:lineRule="exact"/>
            <w:rPr>
              <w:rFonts w:asciiTheme="majorEastAsia" w:hAnsiTheme="majorEastAsia" w:eastAsiaTheme="majorEastAsia" w:cstheme="minorBidi"/>
              <w:b w:val="0"/>
              <w:bCs w:val="0"/>
              <w:caps w:val="0"/>
              <w:sz w:val="24"/>
              <w:szCs w:val="24"/>
              <w14:ligatures w14:val="standardContextual"/>
            </w:rPr>
          </w:pPr>
          <w:r>
            <w:rPr>
              <w:b w:val="0"/>
              <w:bCs w:val="0"/>
              <w:caps w:val="0"/>
            </w:rPr>
            <w:fldChar w:fldCharType="begin"/>
          </w:r>
          <w:r>
            <w:rPr>
              <w:b w:val="0"/>
              <w:bCs w:val="0"/>
              <w:caps w:val="0"/>
            </w:rPr>
            <w:instrText xml:space="preserve"> TOC \o "1-3" \h \z \u </w:instrText>
          </w:r>
          <w:r>
            <w:rPr>
              <w:b w:val="0"/>
              <w:bCs w:val="0"/>
              <w:caps w:val="0"/>
            </w:rPr>
            <w:fldChar w:fldCharType="separate"/>
          </w:r>
          <w:r>
            <w:fldChar w:fldCharType="begin"/>
          </w:r>
          <w:r>
            <w:instrText xml:space="preserve"> HYPERLINK \l "_Toc135436091" </w:instrText>
          </w:r>
          <w:r>
            <w:fldChar w:fldCharType="separate"/>
          </w:r>
          <w:r>
            <w:rPr>
              <w:rStyle w:val="18"/>
              <w:rFonts w:hint="eastAsia" w:cs="宋体" w:asciiTheme="majorEastAsia" w:hAnsiTheme="majorEastAsia" w:eastAsiaTheme="majorEastAsia"/>
              <w:kern w:val="0"/>
              <w:sz w:val="24"/>
              <w:szCs w:val="24"/>
            </w:rPr>
            <w:t>一、部门概况</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_Toc135436091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"_Toc135436092" </w:instrText>
          </w:r>
          <w:r>
            <w:fldChar w:fldCharType="separate"/>
          </w:r>
          <w:r>
            <w:rPr>
              <w:rStyle w:val="18"/>
              <w:rFonts w:hint="eastAsia" w:asciiTheme="majorEastAsia" w:hAnsiTheme="majorEastAsia" w:eastAsiaTheme="majorEastAsia"/>
              <w:sz w:val="24"/>
              <w:szCs w:val="24"/>
            </w:rPr>
            <w:t>（一）机构设置及职责工作任务情况</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_Toc135436092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"_Toc135436093" </w:instrText>
          </w:r>
          <w:r>
            <w:fldChar w:fldCharType="separate"/>
          </w:r>
          <w:r>
            <w:rPr>
              <w:rStyle w:val="18"/>
              <w:rFonts w:hint="eastAsia" w:asciiTheme="majorEastAsia" w:hAnsiTheme="majorEastAsia" w:eastAsiaTheme="majorEastAsia"/>
              <w:sz w:val="24"/>
              <w:szCs w:val="24"/>
            </w:rPr>
            <w:t>（二）部门整体绩效目标设立情况</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_Toc135436093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2</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1"/>
            <w:tabs>
              <w:tab w:val="right" w:leader="dot" w:pos="8296"/>
            </w:tabs>
            <w:spacing w:line="520" w:lineRule="exact"/>
            <w:rPr>
              <w:rFonts w:asciiTheme="majorEastAsia" w:hAnsiTheme="majorEastAsia" w:eastAsiaTheme="majorEastAsia" w:cstheme="minorBidi"/>
              <w:b w:val="0"/>
              <w:bCs w:val="0"/>
              <w:caps w:val="0"/>
              <w:sz w:val="24"/>
              <w:szCs w:val="24"/>
              <w14:ligatures w14:val="standardContextual"/>
            </w:rPr>
          </w:pPr>
          <w:r>
            <w:fldChar w:fldCharType="begin"/>
          </w:r>
          <w:r>
            <w:instrText xml:space="preserve"> HYPERLINK \l "_Toc135436094" </w:instrText>
          </w:r>
          <w:r>
            <w:fldChar w:fldCharType="separate"/>
          </w:r>
          <w:r>
            <w:rPr>
              <w:rStyle w:val="18"/>
              <w:rFonts w:hint="eastAsia" w:cs="宋体" w:asciiTheme="majorEastAsia" w:hAnsiTheme="majorEastAsia" w:eastAsiaTheme="majorEastAsia"/>
              <w:kern w:val="0"/>
              <w:sz w:val="24"/>
              <w:szCs w:val="24"/>
            </w:rPr>
            <w:t>二、当年预算执行情况</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_Toc135436094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3</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1"/>
            <w:tabs>
              <w:tab w:val="right" w:leader="dot" w:pos="8296"/>
            </w:tabs>
            <w:spacing w:line="520" w:lineRule="exact"/>
            <w:rPr>
              <w:rFonts w:asciiTheme="majorEastAsia" w:hAnsiTheme="majorEastAsia" w:eastAsiaTheme="majorEastAsia" w:cstheme="minorBidi"/>
              <w:b w:val="0"/>
              <w:bCs w:val="0"/>
              <w:caps w:val="0"/>
              <w:sz w:val="24"/>
              <w:szCs w:val="24"/>
              <w14:ligatures w14:val="standardContextual"/>
            </w:rPr>
          </w:pPr>
          <w:r>
            <w:fldChar w:fldCharType="begin"/>
          </w:r>
          <w:r>
            <w:instrText xml:space="preserve"> HYPERLINK \l "_Toc135436095" </w:instrText>
          </w:r>
          <w:r>
            <w:fldChar w:fldCharType="separate"/>
          </w:r>
          <w:r>
            <w:rPr>
              <w:rStyle w:val="18"/>
              <w:rFonts w:hint="eastAsia" w:cs="宋体" w:asciiTheme="majorEastAsia" w:hAnsiTheme="majorEastAsia" w:eastAsiaTheme="majorEastAsia"/>
              <w:kern w:val="0"/>
              <w:sz w:val="24"/>
              <w:szCs w:val="24"/>
            </w:rPr>
            <w:t>三、整体绩效目标实现情况</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_Toc135436095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3</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"_Toc135436096" </w:instrText>
          </w:r>
          <w:r>
            <w:fldChar w:fldCharType="separate"/>
          </w:r>
          <w:r>
            <w:rPr>
              <w:rStyle w:val="18"/>
              <w:rFonts w:hint="eastAsia" w:asciiTheme="majorEastAsia" w:hAnsiTheme="majorEastAsia" w:eastAsiaTheme="majorEastAsia"/>
              <w:sz w:val="24"/>
              <w:szCs w:val="24"/>
            </w:rPr>
            <w:t>（一）产出完成情况分析</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_Toc135436096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3</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"_Toc135436097" </w:instrText>
          </w:r>
          <w:r>
            <w:fldChar w:fldCharType="separate"/>
          </w:r>
          <w:r>
            <w:rPr>
              <w:rStyle w:val="18"/>
              <w:rFonts w:hint="eastAsia" w:asciiTheme="majorEastAsia" w:hAnsiTheme="majorEastAsia" w:eastAsiaTheme="majorEastAsia"/>
              <w:sz w:val="24"/>
              <w:szCs w:val="24"/>
            </w:rPr>
            <w:t>（二）效果实现情况分析</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_Toc135436097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10</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1"/>
            <w:tabs>
              <w:tab w:val="right" w:leader="dot" w:pos="8296"/>
            </w:tabs>
            <w:spacing w:line="520" w:lineRule="exact"/>
            <w:rPr>
              <w:rFonts w:asciiTheme="majorEastAsia" w:hAnsiTheme="majorEastAsia" w:eastAsiaTheme="majorEastAsia" w:cstheme="minorBidi"/>
              <w:b w:val="0"/>
              <w:bCs w:val="0"/>
              <w:caps w:val="0"/>
              <w:sz w:val="24"/>
              <w:szCs w:val="24"/>
              <w14:ligatures w14:val="standardContextual"/>
            </w:rPr>
          </w:pPr>
          <w:r>
            <w:fldChar w:fldCharType="begin"/>
          </w:r>
          <w:r>
            <w:instrText xml:space="preserve"> HYPERLINK \l "_Toc135436098" </w:instrText>
          </w:r>
          <w:r>
            <w:fldChar w:fldCharType="separate"/>
          </w:r>
          <w:r>
            <w:rPr>
              <w:rStyle w:val="18"/>
              <w:rFonts w:hint="eastAsia" w:cs="宋体" w:asciiTheme="majorEastAsia" w:hAnsiTheme="majorEastAsia" w:eastAsiaTheme="majorEastAsia"/>
              <w:kern w:val="0"/>
              <w:sz w:val="24"/>
              <w:szCs w:val="24"/>
            </w:rPr>
            <w:t>四、预算管理情况分析</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_Toc135436098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12</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"_Toc135436099" </w:instrText>
          </w:r>
          <w:r>
            <w:fldChar w:fldCharType="separate"/>
          </w:r>
          <w:r>
            <w:rPr>
              <w:rStyle w:val="18"/>
              <w:rFonts w:hint="eastAsia" w:asciiTheme="majorEastAsia" w:hAnsiTheme="majorEastAsia" w:eastAsiaTheme="majorEastAsia"/>
              <w:sz w:val="24"/>
              <w:szCs w:val="24"/>
            </w:rPr>
            <w:t>（一）财务管理</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_Toc135436099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12</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"_Toc135436100" </w:instrText>
          </w:r>
          <w:r>
            <w:fldChar w:fldCharType="separate"/>
          </w:r>
          <w:r>
            <w:rPr>
              <w:rStyle w:val="18"/>
              <w:rFonts w:hint="eastAsia" w:asciiTheme="majorEastAsia" w:hAnsiTheme="majorEastAsia" w:eastAsiaTheme="majorEastAsia"/>
              <w:sz w:val="24"/>
              <w:szCs w:val="24"/>
            </w:rPr>
            <w:t>（二）资产管理</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_Toc135436100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13</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"_Toc135436101" </w:instrText>
          </w:r>
          <w:r>
            <w:fldChar w:fldCharType="separate"/>
          </w:r>
          <w:r>
            <w:rPr>
              <w:rStyle w:val="18"/>
              <w:rFonts w:hint="eastAsia" w:asciiTheme="majorEastAsia" w:hAnsiTheme="majorEastAsia" w:eastAsiaTheme="majorEastAsia"/>
              <w:sz w:val="24"/>
              <w:szCs w:val="24"/>
            </w:rPr>
            <w:t>（三）绩效管理</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_Toc135436101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14</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"_Toc135436102" </w:instrText>
          </w:r>
          <w:r>
            <w:fldChar w:fldCharType="separate"/>
          </w:r>
          <w:r>
            <w:rPr>
              <w:rStyle w:val="18"/>
              <w:rFonts w:hint="eastAsia" w:asciiTheme="majorEastAsia" w:hAnsiTheme="majorEastAsia" w:eastAsiaTheme="majorEastAsia"/>
              <w:sz w:val="24"/>
              <w:szCs w:val="24"/>
            </w:rPr>
            <w:t>（四）结转结余率</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_Toc135436102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14</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"_Toc135436103" </w:instrText>
          </w:r>
          <w:r>
            <w:fldChar w:fldCharType="separate"/>
          </w:r>
          <w:r>
            <w:rPr>
              <w:rStyle w:val="18"/>
              <w:rFonts w:hint="eastAsia" w:asciiTheme="majorEastAsia" w:hAnsiTheme="majorEastAsia" w:eastAsiaTheme="majorEastAsia"/>
              <w:sz w:val="24"/>
              <w:szCs w:val="24"/>
            </w:rPr>
            <w:t>（五）部门预决算差异</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_Toc135436103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15</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1"/>
            <w:tabs>
              <w:tab w:val="right" w:leader="dot" w:pos="8296"/>
            </w:tabs>
            <w:spacing w:line="520" w:lineRule="exact"/>
            <w:rPr>
              <w:rFonts w:asciiTheme="majorEastAsia" w:hAnsiTheme="majorEastAsia" w:eastAsiaTheme="majorEastAsia" w:cstheme="minorBidi"/>
              <w:b w:val="0"/>
              <w:bCs w:val="0"/>
              <w:caps w:val="0"/>
              <w:sz w:val="24"/>
              <w:szCs w:val="24"/>
              <w14:ligatures w14:val="standardContextual"/>
            </w:rPr>
          </w:pPr>
          <w:r>
            <w:fldChar w:fldCharType="begin"/>
          </w:r>
          <w:r>
            <w:instrText xml:space="preserve"> HYPERLINK \l "_Toc135436104" </w:instrText>
          </w:r>
          <w:r>
            <w:fldChar w:fldCharType="separate"/>
          </w:r>
          <w:r>
            <w:rPr>
              <w:rStyle w:val="18"/>
              <w:rFonts w:hint="eastAsia" w:cs="宋体" w:asciiTheme="majorEastAsia" w:hAnsiTheme="majorEastAsia" w:eastAsiaTheme="majorEastAsia"/>
              <w:kern w:val="0"/>
              <w:sz w:val="24"/>
              <w:szCs w:val="24"/>
            </w:rPr>
            <w:t>五、总体评价结论</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_Toc135436104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15</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"_Toc135436105" </w:instrText>
          </w:r>
          <w:r>
            <w:fldChar w:fldCharType="separate"/>
          </w:r>
          <w:r>
            <w:rPr>
              <w:rStyle w:val="18"/>
              <w:rFonts w:hint="eastAsia" w:asciiTheme="majorEastAsia" w:hAnsiTheme="majorEastAsia" w:eastAsiaTheme="majorEastAsia"/>
              <w:sz w:val="24"/>
              <w:szCs w:val="24"/>
            </w:rPr>
            <w:t>（一）部门整体绩效评价得分情况</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_Toc135436105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15</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"_Toc135436106" </w:instrText>
          </w:r>
          <w:r>
            <w:fldChar w:fldCharType="separate"/>
          </w:r>
          <w:r>
            <w:rPr>
              <w:rStyle w:val="18"/>
              <w:rFonts w:hint="eastAsia" w:asciiTheme="majorEastAsia" w:hAnsiTheme="majorEastAsia" w:eastAsiaTheme="majorEastAsia"/>
              <w:sz w:val="24"/>
              <w:szCs w:val="24"/>
            </w:rPr>
            <w:t>（二）单位项目支出绩效自评情况</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_Toc135436106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15</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4"/>
            <w:tabs>
              <w:tab w:val="right" w:leader="dot" w:pos="8296"/>
            </w:tabs>
            <w:spacing w:line="520" w:lineRule="exact"/>
            <w:rPr>
              <w:rFonts w:asciiTheme="majorEastAsia" w:hAnsiTheme="majorEastAsia" w:eastAsiaTheme="majorEastAsia" w:cstheme="minorBidi"/>
              <w:smallCaps w:val="0"/>
              <w:sz w:val="24"/>
              <w:szCs w:val="24"/>
              <w14:ligatures w14:val="standardContextual"/>
            </w:rPr>
          </w:pPr>
          <w:r>
            <w:fldChar w:fldCharType="begin"/>
          </w:r>
          <w:r>
            <w:instrText xml:space="preserve"> HYPERLINK \l "_Toc135436107" </w:instrText>
          </w:r>
          <w:r>
            <w:fldChar w:fldCharType="separate"/>
          </w:r>
          <w:r>
            <w:rPr>
              <w:rStyle w:val="18"/>
              <w:rFonts w:hint="eastAsia" w:asciiTheme="majorEastAsia" w:hAnsiTheme="majorEastAsia" w:eastAsiaTheme="majorEastAsia"/>
              <w:sz w:val="24"/>
              <w:szCs w:val="24"/>
            </w:rPr>
            <w:t>（三）存在的问题及原因分析</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_Toc135436107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16</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1"/>
            <w:tabs>
              <w:tab w:val="right" w:leader="dot" w:pos="8296"/>
            </w:tabs>
            <w:spacing w:line="520" w:lineRule="exact"/>
            <w:rPr>
              <w:rFonts w:asciiTheme="majorEastAsia" w:hAnsiTheme="majorEastAsia" w:eastAsiaTheme="majorEastAsia" w:cstheme="minorBidi"/>
              <w:b w:val="0"/>
              <w:bCs w:val="0"/>
              <w:caps w:val="0"/>
              <w:sz w:val="24"/>
              <w:szCs w:val="24"/>
              <w14:ligatures w14:val="standardContextual"/>
            </w:rPr>
          </w:pPr>
          <w:r>
            <w:fldChar w:fldCharType="begin"/>
          </w:r>
          <w:r>
            <w:instrText xml:space="preserve"> HYPERLINK \l "_Toc135436108" </w:instrText>
          </w:r>
          <w:r>
            <w:fldChar w:fldCharType="separate"/>
          </w:r>
          <w:r>
            <w:rPr>
              <w:rStyle w:val="18"/>
              <w:rFonts w:hint="eastAsia" w:cs="宋体" w:asciiTheme="majorEastAsia" w:hAnsiTheme="majorEastAsia" w:eastAsiaTheme="majorEastAsia"/>
              <w:kern w:val="0"/>
              <w:sz w:val="24"/>
              <w:szCs w:val="24"/>
            </w:rPr>
            <w:t>六、措施建议</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_Toc135436108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16</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pStyle w:val="11"/>
            <w:tabs>
              <w:tab w:val="right" w:leader="dot" w:pos="8296"/>
            </w:tabs>
            <w:spacing w:line="520" w:lineRule="exact"/>
            <w:rPr>
              <w:rFonts w:asciiTheme="majorEastAsia" w:hAnsiTheme="majorEastAsia" w:eastAsiaTheme="majorEastAsia" w:cstheme="minorBidi"/>
              <w:b w:val="0"/>
              <w:bCs w:val="0"/>
              <w:caps w:val="0"/>
              <w:sz w:val="24"/>
              <w:szCs w:val="24"/>
              <w14:ligatures w14:val="standardContextual"/>
            </w:rPr>
          </w:pPr>
          <w:r>
            <w:fldChar w:fldCharType="begin"/>
          </w:r>
          <w:r>
            <w:instrText xml:space="preserve"> HYPERLINK \l "_Toc135436109" </w:instrText>
          </w:r>
          <w:r>
            <w:fldChar w:fldCharType="separate"/>
          </w:r>
          <w:r>
            <w:rPr>
              <w:rStyle w:val="18"/>
              <w:rFonts w:hint="eastAsia" w:asciiTheme="majorEastAsia" w:hAnsiTheme="majorEastAsia" w:eastAsiaTheme="majorEastAsia"/>
              <w:sz w:val="24"/>
              <w:szCs w:val="24"/>
            </w:rPr>
            <w:t>七、附件</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fldChar w:fldCharType="begin"/>
          </w:r>
          <w:r>
            <w:rPr>
              <w:rFonts w:hint="eastAsia" w:asciiTheme="majorEastAsia" w:hAnsiTheme="majorEastAsia" w:eastAsiaTheme="majorEastAsia"/>
              <w:sz w:val="24"/>
              <w:szCs w:val="24"/>
            </w:rPr>
            <w:instrText xml:space="preserve"> PAGEREF _Toc135436109 \h </w:instrText>
          </w:r>
          <w:r>
            <w:rPr>
              <w:rFonts w:hint="eastAsia" w:asciiTheme="majorEastAsia" w:hAnsiTheme="majorEastAsia" w:eastAsiaTheme="majorEastAsia"/>
              <w:sz w:val="24"/>
              <w:szCs w:val="24"/>
            </w:rPr>
            <w:fldChar w:fldCharType="separate"/>
          </w:r>
          <w:r>
            <w:rPr>
              <w:rFonts w:asciiTheme="majorEastAsia" w:hAnsiTheme="majorEastAsia" w:eastAsiaTheme="majorEastAsia"/>
              <w:sz w:val="24"/>
              <w:szCs w:val="24"/>
            </w:rPr>
            <w:t>16</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fldChar w:fldCharType="end"/>
          </w:r>
        </w:p>
        <w:p>
          <w:pPr>
            <w:spacing w:line="540" w:lineRule="exact"/>
            <w:contextualSpacing/>
          </w:pPr>
          <w:r>
            <w:rPr>
              <w:rFonts w:asciiTheme="minorHAnsi" w:hAnsiTheme="minorHAnsi" w:cstheme="minorHAnsi"/>
              <w:b/>
              <w:bCs/>
              <w:caps/>
              <w:sz w:val="20"/>
              <w:szCs w:val="20"/>
            </w:rPr>
            <w:fldChar w:fldCharType="end"/>
          </w:r>
        </w:p>
      </w:sdtContent>
    </w:sdt>
    <w:p>
      <w:pPr>
        <w:jc w:val="center"/>
        <w:rPr>
          <w:rFonts w:ascii="方正小标宋简体" w:eastAsia="方正小标宋简体"/>
          <w:sz w:val="36"/>
          <w:szCs w:val="36"/>
        </w:rPr>
        <w:sectPr>
          <w:footerReference r:id="rId4" w:type="default"/>
          <w:pgSz w:w="11906" w:h="16838"/>
          <w:pgMar w:top="1440" w:right="1800" w:bottom="1440" w:left="1800" w:header="851" w:footer="992" w:gutter="0"/>
          <w:cols w:space="425" w:num="1"/>
          <w:titlePg/>
          <w:docGrid w:type="lines" w:linePitch="312" w:charSpace="0"/>
        </w:sectPr>
      </w:pPr>
    </w:p>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202</w:t>
      </w:r>
      <w:r>
        <w:rPr>
          <w:rFonts w:asciiTheme="majorEastAsia" w:hAnsiTheme="majorEastAsia" w:eastAsiaTheme="majorEastAsia"/>
          <w:b/>
          <w:bCs/>
          <w:sz w:val="44"/>
          <w:szCs w:val="44"/>
        </w:rPr>
        <w:t>2</w:t>
      </w:r>
      <w:r>
        <w:rPr>
          <w:rFonts w:hint="eastAsia" w:asciiTheme="majorEastAsia" w:hAnsiTheme="majorEastAsia" w:eastAsiaTheme="majorEastAsia"/>
          <w:b/>
          <w:bCs/>
          <w:sz w:val="44"/>
          <w:szCs w:val="44"/>
        </w:rPr>
        <w:t>年度北京市文化市场综合执法总队</w:t>
      </w:r>
    </w:p>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部门整体绩效评价报告</w:t>
      </w:r>
    </w:p>
    <w:p>
      <w:pPr>
        <w:spacing w:before="312" w:beforeLines="100" w:line="600" w:lineRule="exact"/>
        <w:ind w:firstLine="640" w:firstLineChars="200"/>
        <w:outlineLvl w:val="0"/>
        <w:rPr>
          <w:rFonts w:ascii="仿宋" w:hAnsi="仿宋" w:eastAsia="仿宋" w:cs="宋体"/>
          <w:color w:val="000000"/>
          <w:kern w:val="0"/>
          <w:sz w:val="32"/>
          <w:szCs w:val="32"/>
        </w:rPr>
      </w:pPr>
      <w:bookmarkStart w:id="0" w:name="_Toc135436091"/>
      <w:r>
        <w:rPr>
          <w:rFonts w:hint="eastAsia" w:ascii="仿宋" w:hAnsi="仿宋" w:eastAsia="仿宋" w:cs="宋体"/>
          <w:color w:val="000000"/>
          <w:kern w:val="0"/>
          <w:sz w:val="32"/>
          <w:szCs w:val="32"/>
        </w:rPr>
        <w:t>一、部门概况</w:t>
      </w:r>
      <w:bookmarkEnd w:id="0"/>
    </w:p>
    <w:p>
      <w:pPr>
        <w:spacing w:line="600" w:lineRule="exact"/>
        <w:ind w:firstLine="640" w:firstLineChars="200"/>
        <w:outlineLvl w:val="1"/>
        <w:rPr>
          <w:rFonts w:ascii="仿宋" w:hAnsi="仿宋" w:eastAsia="仿宋"/>
          <w:sz w:val="32"/>
          <w:szCs w:val="32"/>
        </w:rPr>
      </w:pPr>
      <w:bookmarkStart w:id="1" w:name="_Toc135436092"/>
      <w:r>
        <w:rPr>
          <w:rFonts w:hint="eastAsia" w:ascii="仿宋" w:hAnsi="仿宋" w:eastAsia="仿宋"/>
          <w:sz w:val="32"/>
          <w:szCs w:val="32"/>
        </w:rPr>
        <w:t>（一）机构设置及职责工作任务情况</w:t>
      </w:r>
      <w:bookmarkEnd w:id="1"/>
    </w:p>
    <w:p>
      <w:pPr>
        <w:spacing w:line="600" w:lineRule="exact"/>
        <w:ind w:firstLine="640" w:firstLineChars="200"/>
        <w:rPr>
          <w:rFonts w:ascii="仿宋" w:hAnsi="仿宋" w:eastAsia="仿宋"/>
          <w:sz w:val="32"/>
          <w:szCs w:val="32"/>
        </w:rPr>
      </w:pPr>
      <w:r>
        <w:rPr>
          <w:rFonts w:hint="eastAsia" w:ascii="仿宋" w:hAnsi="仿宋" w:eastAsia="仿宋"/>
          <w:sz w:val="32"/>
          <w:szCs w:val="32"/>
        </w:rPr>
        <w:t>根据中共北京市委机构编制委员会《关于北京市文化市场综合执法总队职责机构编制事项的通知》(京编委〔2020〕]16号)，设立北京市文化市场综合执法总队(简称“总队”)，为市委宣传部、市文化和旅游局双重管理的副局级行政执法机构，以市文化和旅游局名义执法。根据工作职责内设13个处室队，分别为：办公室(装备财务处)、法制监督处(研究室)、协调指导处、人事处、党群工作处、一支队、二支队、三支队、四支队、五支队、六支队、七支队、八支队；</w:t>
      </w:r>
      <w:r>
        <w:rPr>
          <w:rFonts w:hint="eastAsia" w:ascii="仿宋" w:hAnsi="仿宋" w:eastAsia="仿宋"/>
          <w:sz w:val="32"/>
          <w:szCs w:val="32"/>
          <w:highlight w:val="none"/>
        </w:rPr>
        <w:t>下属</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个全额拨款事业单位</w:t>
      </w:r>
      <w:r>
        <w:rPr>
          <w:rFonts w:hint="eastAsia" w:ascii="仿宋" w:hAnsi="仿宋" w:eastAsia="仿宋"/>
          <w:sz w:val="32"/>
          <w:szCs w:val="32"/>
          <w:highlight w:val="none"/>
          <w:lang w:eastAsia="zh-CN"/>
        </w:rPr>
        <w:t>：</w:t>
      </w:r>
      <w:r>
        <w:rPr>
          <w:rFonts w:hint="eastAsia" w:ascii="仿宋" w:hAnsi="仿宋" w:eastAsia="仿宋"/>
          <w:sz w:val="32"/>
          <w:szCs w:val="32"/>
          <w:highlight w:val="none"/>
        </w:rPr>
        <w:t>北京市文化市场</w:t>
      </w:r>
      <w:r>
        <w:rPr>
          <w:rFonts w:hint="eastAsia" w:ascii="仿宋" w:hAnsi="仿宋" w:eastAsia="仿宋"/>
          <w:sz w:val="32"/>
          <w:szCs w:val="32"/>
          <w:highlight w:val="none"/>
          <w:lang w:eastAsia="zh-CN"/>
        </w:rPr>
        <w:t>综合</w:t>
      </w:r>
      <w:r>
        <w:rPr>
          <w:rFonts w:hint="eastAsia" w:ascii="仿宋" w:hAnsi="仿宋" w:eastAsia="仿宋"/>
          <w:sz w:val="32"/>
          <w:szCs w:val="32"/>
          <w:highlight w:val="none"/>
        </w:rPr>
        <w:t>执法总队宣传和</w:t>
      </w:r>
      <w:r>
        <w:rPr>
          <w:rFonts w:hint="eastAsia" w:ascii="仿宋" w:hAnsi="仿宋" w:eastAsia="仿宋"/>
          <w:sz w:val="32"/>
          <w:szCs w:val="32"/>
          <w:highlight w:val="none"/>
          <w:lang w:eastAsia="zh-CN"/>
        </w:rPr>
        <w:t>执法保障</w:t>
      </w:r>
      <w:r>
        <w:rPr>
          <w:rFonts w:hint="eastAsia" w:ascii="仿宋" w:hAnsi="仿宋" w:eastAsia="仿宋"/>
          <w:sz w:val="32"/>
          <w:szCs w:val="32"/>
          <w:highlight w:val="none"/>
        </w:rPr>
        <w:t>中心。2022年总队编制208人，其中：行政编制179</w:t>
      </w:r>
      <w:r>
        <w:rPr>
          <w:rFonts w:hint="eastAsia" w:ascii="仿宋" w:hAnsi="仿宋" w:eastAsia="仿宋"/>
          <w:sz w:val="32"/>
          <w:szCs w:val="32"/>
        </w:rPr>
        <w:t>人，事业编制29人。年末实有人数189人，较2021年增加了8人。退休人员36人（纳入社保养老体系）。</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1.部门职责</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负责集中行使法律、法规、规章规定的文化、文物、新闻出版、版权、广播电视、电影、旅游市场以及宗教等领域应由省级行政主管部门行使的行政处罚权以及与之相关的行政检查、行政强制权。负责相关领域重大疑难复杂案件和跨区域案件的查处工作。负责指导、协调、监督、考核各区文化市场综合执法工作。承担“扫黄打非”有关工作任务。完成市委、市政府和市委宣传部、市文化和旅游局交办的其他任务。</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2.202</w:t>
      </w:r>
      <w:r>
        <w:rPr>
          <w:rFonts w:ascii="仿宋" w:hAnsi="仿宋" w:eastAsia="仿宋"/>
          <w:sz w:val="32"/>
          <w:szCs w:val="32"/>
        </w:rPr>
        <w:t>2</w:t>
      </w:r>
      <w:r>
        <w:rPr>
          <w:rFonts w:hint="eastAsia" w:ascii="仿宋" w:hAnsi="仿宋" w:eastAsia="仿宋"/>
          <w:sz w:val="32"/>
          <w:szCs w:val="32"/>
        </w:rPr>
        <w:t>年重点工作任务</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2022年，总队坚持以习近平新时代中国特色社会主义思想为指导，深入贯彻党的十九大和十九届历次全会精神，紧紧围绕“政治建队、纪律管队、作风塑队、科技强队”工作要求，着力强化政治思维与法治思维相统一的执法理念，着力构建政治素质更加过硬、执法行为更加规范、执法协作更加顺畅的高质量文化执法体系，打造全面过硬首都文化铁军，坚决守牢意识形态阵地，护航首都文化市场安全健康有序发展，以优异成绩迎接党的二十大胜利召开。</w:t>
      </w:r>
    </w:p>
    <w:p>
      <w:pPr>
        <w:spacing w:line="600" w:lineRule="exact"/>
        <w:ind w:firstLine="640" w:firstLineChars="200"/>
        <w:outlineLvl w:val="1"/>
        <w:rPr>
          <w:rFonts w:ascii="仿宋" w:hAnsi="仿宋" w:eastAsia="仿宋"/>
          <w:sz w:val="32"/>
          <w:szCs w:val="32"/>
        </w:rPr>
      </w:pPr>
      <w:bookmarkStart w:id="2" w:name="_Toc135436093"/>
      <w:r>
        <w:rPr>
          <w:rFonts w:hint="eastAsia" w:ascii="仿宋" w:hAnsi="仿宋" w:eastAsia="仿宋"/>
          <w:sz w:val="32"/>
          <w:szCs w:val="32"/>
        </w:rPr>
        <w:t>（二）部门整体绩效目标设立情况</w:t>
      </w:r>
      <w:bookmarkEnd w:id="2"/>
    </w:p>
    <w:p>
      <w:pPr>
        <w:spacing w:line="60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总队依据202</w:t>
      </w:r>
      <w:r>
        <w:rPr>
          <w:rFonts w:ascii="仿宋" w:hAnsi="仿宋" w:eastAsia="仿宋" w:cs="宋体"/>
          <w:color w:val="000000"/>
          <w:kern w:val="0"/>
          <w:sz w:val="32"/>
          <w:szCs w:val="32"/>
        </w:rPr>
        <w:t>2</w:t>
      </w:r>
      <w:r>
        <w:rPr>
          <w:rFonts w:hint="eastAsia" w:ascii="仿宋" w:hAnsi="仿宋" w:eastAsia="仿宋" w:cs="宋体"/>
          <w:color w:val="000000"/>
          <w:kern w:val="0"/>
          <w:sz w:val="32"/>
          <w:szCs w:val="32"/>
        </w:rPr>
        <w:t>年工作任务设立绩效目标，制定了《北京市文化市场综合执法总队202</w:t>
      </w:r>
      <w:r>
        <w:rPr>
          <w:rFonts w:ascii="仿宋" w:hAnsi="仿宋" w:eastAsia="仿宋" w:cs="宋体"/>
          <w:color w:val="000000"/>
          <w:kern w:val="0"/>
          <w:sz w:val="32"/>
          <w:szCs w:val="32"/>
        </w:rPr>
        <w:t>2</w:t>
      </w:r>
      <w:r>
        <w:rPr>
          <w:rFonts w:hint="eastAsia" w:ascii="仿宋" w:hAnsi="仿宋" w:eastAsia="仿宋" w:cs="宋体"/>
          <w:color w:val="000000"/>
          <w:kern w:val="0"/>
          <w:sz w:val="32"/>
          <w:szCs w:val="32"/>
        </w:rPr>
        <w:t>年部门整体支出绩效目标申报表》，明确了部门总体绩效目标：在市委、市政府的正确领导下，全面深化执法改革工作，不断推进文化执法专业化、规范化、现代化建设，履职效率、管理效能和服务效果进一步提升，有力维护首都文化安全，规范首都文化市场秩序，净化文化市场环境，确保文化市场健康有序、安全稳定。</w:t>
      </w:r>
    </w:p>
    <w:p>
      <w:pPr>
        <w:spacing w:line="60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根据总体目标并结合工作重点，总队从</w:t>
      </w:r>
      <w:r>
        <w:rPr>
          <w:rFonts w:hint="eastAsia" w:ascii="仿宋" w:hAnsi="仿宋" w:eastAsia="仿宋" w:cs="宋体"/>
          <w:color w:val="000000" w:themeColor="text1"/>
          <w:kern w:val="0"/>
          <w:sz w:val="32"/>
          <w:szCs w:val="32"/>
          <w14:textFill>
            <w14:solidFill>
              <w14:schemeClr w14:val="tx1"/>
            </w14:solidFill>
          </w14:textFill>
        </w:rPr>
        <w:t>党建工作</w:t>
      </w:r>
      <w:r>
        <w:rPr>
          <w:rFonts w:hint="eastAsia" w:ascii="仿宋" w:hAnsi="仿宋" w:eastAsia="仿宋" w:cs="宋体"/>
          <w:color w:val="000000"/>
          <w:kern w:val="0"/>
          <w:sz w:val="32"/>
          <w:szCs w:val="32"/>
        </w:rPr>
        <w:t>、文化执法、学习交流、</w:t>
      </w:r>
      <w:r>
        <w:rPr>
          <w:rFonts w:hint="eastAsia" w:ascii="仿宋" w:hAnsi="仿宋" w:eastAsia="仿宋" w:cs="宋体"/>
          <w:color w:val="000000" w:themeColor="text1"/>
          <w:kern w:val="0"/>
          <w:sz w:val="32"/>
          <w:szCs w:val="32"/>
          <w14:textFill>
            <w14:solidFill>
              <w14:schemeClr w14:val="tx1"/>
            </w14:solidFill>
          </w14:textFill>
        </w:rPr>
        <w:t>执法队伍建设与平台建设运维</w:t>
      </w:r>
      <w:r>
        <w:rPr>
          <w:rFonts w:hint="eastAsia" w:ascii="仿宋" w:hAnsi="仿宋" w:eastAsia="仿宋" w:cs="宋体"/>
          <w:color w:val="000000"/>
          <w:kern w:val="0"/>
          <w:sz w:val="32"/>
          <w:szCs w:val="32"/>
        </w:rPr>
        <w:t>等方面设定了</w:t>
      </w:r>
      <w:r>
        <w:rPr>
          <w:rFonts w:ascii="仿宋" w:hAnsi="仿宋" w:eastAsia="仿宋" w:cs="宋体"/>
          <w:color w:val="000000"/>
          <w:kern w:val="0"/>
          <w:sz w:val="32"/>
          <w:szCs w:val="32"/>
        </w:rPr>
        <w:t>4</w:t>
      </w:r>
      <w:r>
        <w:rPr>
          <w:rFonts w:hint="eastAsia" w:ascii="仿宋" w:hAnsi="仿宋" w:eastAsia="仿宋" w:cs="宋体"/>
          <w:color w:val="000000"/>
          <w:kern w:val="0"/>
          <w:sz w:val="32"/>
          <w:szCs w:val="32"/>
        </w:rPr>
        <w:t>个绩效指标，指标设定与总队职能任务匹配，符合相关法律法规的要求及部门整体支出的客观实际，目标依据充分，具有一定的可操作性和可实现性。</w:t>
      </w:r>
    </w:p>
    <w:p>
      <w:pPr>
        <w:spacing w:line="600" w:lineRule="exact"/>
        <w:ind w:firstLine="640" w:firstLineChars="200"/>
        <w:outlineLvl w:val="0"/>
        <w:rPr>
          <w:rFonts w:ascii="仿宋" w:hAnsi="仿宋" w:eastAsia="仿宋" w:cs="宋体"/>
          <w:color w:val="000000"/>
          <w:kern w:val="0"/>
          <w:sz w:val="32"/>
          <w:szCs w:val="32"/>
        </w:rPr>
      </w:pPr>
      <w:bookmarkStart w:id="3" w:name="_Toc135436094"/>
      <w:r>
        <w:rPr>
          <w:rFonts w:hint="eastAsia" w:ascii="仿宋" w:hAnsi="仿宋" w:eastAsia="仿宋" w:cs="宋体"/>
          <w:color w:val="000000"/>
          <w:kern w:val="0"/>
          <w:sz w:val="32"/>
          <w:szCs w:val="32"/>
        </w:rPr>
        <w:t>二</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当年</w:t>
      </w:r>
      <w:r>
        <w:rPr>
          <w:rFonts w:ascii="仿宋" w:hAnsi="仿宋" w:eastAsia="仿宋" w:cs="宋体"/>
          <w:color w:val="000000"/>
          <w:kern w:val="0"/>
          <w:sz w:val="32"/>
          <w:szCs w:val="32"/>
        </w:rPr>
        <w:t>预算执行情况</w:t>
      </w:r>
      <w:bookmarkEnd w:id="3"/>
    </w:p>
    <w:p>
      <w:pPr>
        <w:spacing w:line="600" w:lineRule="exact"/>
        <w:ind w:firstLine="640" w:firstLineChars="200"/>
        <w:rPr>
          <w:rFonts w:ascii="仿宋" w:hAnsi="仿宋" w:eastAsia="仿宋" w:cs="宋体"/>
          <w:color w:val="000000"/>
          <w:kern w:val="0"/>
          <w:sz w:val="32"/>
          <w:szCs w:val="32"/>
        </w:rPr>
      </w:pPr>
      <w:r>
        <w:rPr>
          <w:rFonts w:hint="eastAsia" w:ascii="仿宋" w:hAnsi="仿宋" w:eastAsia="仿宋" w:cs="宋体"/>
          <w:kern w:val="0"/>
          <w:sz w:val="32"/>
          <w:szCs w:val="32"/>
        </w:rPr>
        <w:t>2022年</w:t>
      </w:r>
      <w:r>
        <w:rPr>
          <w:rFonts w:ascii="仿宋" w:hAnsi="仿宋" w:eastAsia="仿宋" w:cs="宋体"/>
          <w:kern w:val="0"/>
          <w:sz w:val="32"/>
          <w:szCs w:val="32"/>
        </w:rPr>
        <w:t>全年</w:t>
      </w:r>
      <w:r>
        <w:rPr>
          <w:rFonts w:hint="eastAsia" w:ascii="仿宋" w:hAnsi="仿宋" w:eastAsia="仿宋" w:cs="宋体"/>
          <w:kern w:val="0"/>
          <w:sz w:val="32"/>
          <w:szCs w:val="32"/>
        </w:rPr>
        <w:t>预算数</w:t>
      </w:r>
      <w:r>
        <w:rPr>
          <w:rFonts w:ascii="仿宋" w:hAnsi="仿宋" w:eastAsia="仿宋" w:cs="宋体"/>
          <w:kern w:val="0"/>
          <w:sz w:val="32"/>
          <w:szCs w:val="32"/>
        </w:rPr>
        <w:t>10,254.56</w:t>
      </w:r>
      <w:r>
        <w:rPr>
          <w:rFonts w:hint="eastAsia" w:ascii="仿宋" w:hAnsi="仿宋" w:eastAsia="仿宋" w:cs="宋体"/>
          <w:kern w:val="0"/>
          <w:sz w:val="32"/>
          <w:szCs w:val="32"/>
        </w:rPr>
        <w:t>万元</w:t>
      </w:r>
      <w:r>
        <w:rPr>
          <w:rFonts w:ascii="仿宋" w:hAnsi="仿宋" w:eastAsia="仿宋" w:cs="宋体"/>
          <w:kern w:val="0"/>
          <w:sz w:val="32"/>
          <w:szCs w:val="32"/>
        </w:rPr>
        <w:t>，</w:t>
      </w:r>
      <w:r>
        <w:rPr>
          <w:rFonts w:hint="eastAsia" w:ascii="仿宋" w:hAnsi="仿宋" w:eastAsia="仿宋" w:cs="宋体"/>
          <w:kern w:val="0"/>
          <w:sz w:val="32"/>
          <w:szCs w:val="32"/>
        </w:rPr>
        <w:t>其中</w:t>
      </w:r>
      <w:r>
        <w:rPr>
          <w:rFonts w:ascii="仿宋" w:hAnsi="仿宋" w:eastAsia="仿宋" w:cs="宋体"/>
          <w:kern w:val="0"/>
          <w:sz w:val="32"/>
          <w:szCs w:val="32"/>
        </w:rPr>
        <w:t>，基本</w:t>
      </w:r>
      <w:r>
        <w:rPr>
          <w:rFonts w:hint="eastAsia" w:ascii="仿宋" w:hAnsi="仿宋" w:eastAsia="仿宋" w:cs="宋体"/>
          <w:kern w:val="0"/>
          <w:sz w:val="32"/>
          <w:szCs w:val="32"/>
        </w:rPr>
        <w:t>支出</w:t>
      </w:r>
      <w:r>
        <w:rPr>
          <w:rFonts w:ascii="仿宋" w:hAnsi="仿宋" w:eastAsia="仿宋" w:cs="宋体"/>
          <w:kern w:val="0"/>
          <w:sz w:val="32"/>
          <w:szCs w:val="32"/>
        </w:rPr>
        <w:t>预算数7,771.12万元，</w:t>
      </w:r>
      <w:r>
        <w:rPr>
          <w:rFonts w:hint="eastAsia" w:ascii="仿宋" w:hAnsi="仿宋" w:eastAsia="仿宋" w:cs="宋体"/>
          <w:kern w:val="0"/>
          <w:sz w:val="32"/>
          <w:szCs w:val="32"/>
        </w:rPr>
        <w:t>项目支出预算数</w:t>
      </w:r>
      <w:r>
        <w:rPr>
          <w:rFonts w:ascii="仿宋" w:hAnsi="仿宋" w:eastAsia="仿宋" w:cs="宋体"/>
          <w:kern w:val="0"/>
          <w:sz w:val="32"/>
          <w:szCs w:val="32"/>
        </w:rPr>
        <w:t>2,483.44万元，其他支出</w:t>
      </w:r>
      <w:r>
        <w:rPr>
          <w:rFonts w:hint="eastAsia" w:ascii="仿宋" w:hAnsi="仿宋" w:eastAsia="仿宋" w:cs="宋体"/>
          <w:kern w:val="0"/>
          <w:sz w:val="32"/>
          <w:szCs w:val="32"/>
        </w:rPr>
        <w:t>预算数</w:t>
      </w:r>
      <w:r>
        <w:rPr>
          <w:rFonts w:ascii="仿宋" w:hAnsi="仿宋" w:eastAsia="仿宋" w:cs="宋体"/>
          <w:kern w:val="0"/>
          <w:sz w:val="32"/>
          <w:szCs w:val="32"/>
        </w:rPr>
        <w:t>0</w:t>
      </w:r>
      <w:r>
        <w:rPr>
          <w:rFonts w:hint="eastAsia" w:ascii="仿宋" w:hAnsi="仿宋" w:eastAsia="仿宋" w:cs="宋体"/>
          <w:kern w:val="0"/>
          <w:sz w:val="32"/>
          <w:szCs w:val="32"/>
        </w:rPr>
        <w:t>.</w:t>
      </w:r>
      <w:r>
        <w:rPr>
          <w:rFonts w:ascii="仿宋" w:hAnsi="仿宋" w:eastAsia="仿宋" w:cs="宋体"/>
          <w:kern w:val="0"/>
          <w:sz w:val="32"/>
          <w:szCs w:val="32"/>
        </w:rPr>
        <w:t>00万元</w:t>
      </w:r>
      <w:r>
        <w:rPr>
          <w:rFonts w:hint="eastAsia" w:ascii="仿宋" w:hAnsi="仿宋" w:eastAsia="仿宋" w:cs="宋体"/>
          <w:kern w:val="0"/>
          <w:sz w:val="32"/>
          <w:szCs w:val="32"/>
        </w:rPr>
        <w:t>。</w:t>
      </w:r>
      <w:r>
        <w:rPr>
          <w:rFonts w:ascii="仿宋" w:hAnsi="仿宋" w:eastAsia="仿宋" w:cs="宋体"/>
          <w:kern w:val="0"/>
          <w:sz w:val="32"/>
          <w:szCs w:val="32"/>
        </w:rPr>
        <w:t>资金总体</w:t>
      </w:r>
      <w:r>
        <w:rPr>
          <w:rFonts w:hint="eastAsia" w:ascii="仿宋" w:hAnsi="仿宋" w:eastAsia="仿宋" w:cs="宋体"/>
          <w:kern w:val="0"/>
          <w:sz w:val="32"/>
          <w:szCs w:val="32"/>
        </w:rPr>
        <w:t>支出</w:t>
      </w:r>
      <w:r>
        <w:rPr>
          <w:rFonts w:ascii="仿宋" w:hAnsi="仿宋" w:eastAsia="仿宋" w:cs="宋体"/>
          <w:kern w:val="0"/>
          <w:sz w:val="32"/>
          <w:szCs w:val="32"/>
        </w:rPr>
        <w:t>9,833.62万元，其中，基本支出7,368.69万元，项目</w:t>
      </w:r>
      <w:r>
        <w:rPr>
          <w:rFonts w:hint="eastAsia" w:ascii="仿宋" w:hAnsi="仿宋" w:eastAsia="仿宋" w:cs="宋体"/>
          <w:color w:val="000000"/>
          <w:kern w:val="0"/>
          <w:sz w:val="32"/>
          <w:szCs w:val="32"/>
        </w:rPr>
        <w:t>支出</w:t>
      </w:r>
      <w:r>
        <w:rPr>
          <w:rFonts w:ascii="仿宋" w:hAnsi="仿宋" w:eastAsia="仿宋" w:cs="宋体"/>
          <w:color w:val="000000"/>
          <w:kern w:val="0"/>
          <w:sz w:val="32"/>
          <w:szCs w:val="32"/>
        </w:rPr>
        <w:t>2,464.93万元，其他支出0.00万元。</w:t>
      </w:r>
      <w:r>
        <w:rPr>
          <w:rFonts w:hint="eastAsia" w:ascii="仿宋" w:hAnsi="仿宋" w:eastAsia="仿宋" w:cs="宋体"/>
          <w:color w:val="000000"/>
          <w:kern w:val="0"/>
          <w:sz w:val="32"/>
          <w:szCs w:val="32"/>
        </w:rPr>
        <w:t>预算</w:t>
      </w:r>
      <w:r>
        <w:rPr>
          <w:rFonts w:ascii="仿宋" w:hAnsi="仿宋" w:eastAsia="仿宋" w:cs="宋体"/>
          <w:color w:val="000000"/>
          <w:kern w:val="0"/>
          <w:sz w:val="32"/>
          <w:szCs w:val="32"/>
        </w:rPr>
        <w:t>执行率为95.90%</w:t>
      </w:r>
      <w:r>
        <w:rPr>
          <w:rFonts w:hint="eastAsia" w:ascii="仿宋" w:hAnsi="仿宋" w:eastAsia="仿宋" w:cs="宋体"/>
          <w:color w:val="000000"/>
          <w:kern w:val="0"/>
          <w:sz w:val="32"/>
          <w:szCs w:val="32"/>
        </w:rPr>
        <w:t>。整体预算执行良好，较好地发挥了财政资金的使用效益。</w:t>
      </w:r>
    </w:p>
    <w:p>
      <w:pPr>
        <w:spacing w:line="600" w:lineRule="exact"/>
        <w:ind w:firstLine="640" w:firstLineChars="200"/>
        <w:outlineLvl w:val="0"/>
        <w:rPr>
          <w:rFonts w:ascii="仿宋" w:hAnsi="仿宋" w:eastAsia="仿宋" w:cs="宋体"/>
          <w:color w:val="000000"/>
          <w:kern w:val="0"/>
          <w:sz w:val="32"/>
          <w:szCs w:val="32"/>
        </w:rPr>
      </w:pPr>
      <w:bookmarkStart w:id="4" w:name="_Toc135436095"/>
      <w:r>
        <w:rPr>
          <w:rFonts w:hint="eastAsia" w:ascii="仿宋" w:hAnsi="仿宋" w:eastAsia="仿宋" w:cs="宋体"/>
          <w:color w:val="000000"/>
          <w:kern w:val="0"/>
          <w:sz w:val="32"/>
          <w:szCs w:val="32"/>
        </w:rPr>
        <w:t>三</w:t>
      </w:r>
      <w:r>
        <w:rPr>
          <w:rFonts w:ascii="仿宋" w:hAnsi="仿宋" w:eastAsia="仿宋" w:cs="宋体"/>
          <w:color w:val="000000"/>
          <w:kern w:val="0"/>
          <w:sz w:val="32"/>
          <w:szCs w:val="32"/>
        </w:rPr>
        <w:t>、整体绩效目标实现情况</w:t>
      </w:r>
      <w:bookmarkEnd w:id="4"/>
    </w:p>
    <w:p>
      <w:pPr>
        <w:spacing w:line="600" w:lineRule="exact"/>
        <w:ind w:firstLine="640" w:firstLineChars="200"/>
        <w:outlineLvl w:val="1"/>
        <w:rPr>
          <w:rFonts w:ascii="仿宋" w:hAnsi="仿宋" w:eastAsia="仿宋"/>
          <w:sz w:val="32"/>
          <w:szCs w:val="32"/>
        </w:rPr>
      </w:pPr>
      <w:bookmarkStart w:id="5" w:name="_Toc135436096"/>
      <w:r>
        <w:rPr>
          <w:rFonts w:hint="eastAsia" w:ascii="仿宋" w:hAnsi="仿宋" w:eastAsia="仿宋"/>
          <w:sz w:val="32"/>
          <w:szCs w:val="32"/>
        </w:rPr>
        <w:t>（一）产出完成情况分析</w:t>
      </w:r>
      <w:bookmarkEnd w:id="5"/>
    </w:p>
    <w:p>
      <w:pPr>
        <w:spacing w:line="600" w:lineRule="exact"/>
        <w:ind w:firstLine="640" w:firstLineChars="200"/>
        <w:rPr>
          <w:rFonts w:ascii="仿宋" w:hAnsi="仿宋" w:eastAsia="仿宋"/>
          <w:sz w:val="32"/>
          <w:szCs w:val="32"/>
        </w:rPr>
      </w:pPr>
      <w:r>
        <w:rPr>
          <w:rFonts w:hint="eastAsia" w:ascii="仿宋" w:hAnsi="仿宋" w:eastAsia="仿宋"/>
          <w:sz w:val="32"/>
          <w:szCs w:val="32"/>
        </w:rPr>
        <w:t>202</w:t>
      </w:r>
      <w:r>
        <w:rPr>
          <w:rFonts w:ascii="仿宋" w:hAnsi="仿宋" w:eastAsia="仿宋"/>
          <w:sz w:val="32"/>
          <w:szCs w:val="32"/>
        </w:rPr>
        <w:t>2</w:t>
      </w:r>
      <w:r>
        <w:rPr>
          <w:rFonts w:hint="eastAsia" w:ascii="仿宋" w:hAnsi="仿宋" w:eastAsia="仿宋"/>
          <w:sz w:val="32"/>
          <w:szCs w:val="32"/>
        </w:rPr>
        <w:t>年总队按照部门职责，确定了年度重点工作任务，细化任务目标及牵头处室、印发分工方案，并根据年度重点工作任务安排项目预算。全年按照任务目标的数量、质量、进度和成本要求完成了各项工作。具体情况如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1.党建工作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2022年，总队坚持以习近平新时代中国特色社会主义思想为指导，深入贯彻落实中央、市委市政府工作部署。坚持政治统领，切实把“两个确立”“两个维护”落到实处。具体包括：</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认真学习宣传贯彻党的二十大精神。建立总队党委会“第一议题”制度，组织中心组学习21次。坚持静下心来“自觉学”、咬文嚼字“扩展学”、边学边思“悟中学”、结合工作“转化学”的总队“四学”学风，学深悟透党的二十大和二十届一中全会精神、习近平总书记对北京一系列重要讲话精神。研究出台《总队学习宣传贯彻党的二十大精神实施方案》，组织党委班子专题授课2场，开展支部交流研学活动33场，举办青年理论骨干网络培训班，编发简报专刊26期，推送“微党课”232条，确保将大会精神抓到位、贯到底、全覆盖，不断强化开展首都文化执法工作的使命感、责任感、方向感。</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坚决贯彻中央、市委决策部署。坚持凡事从政治上考量、在大局下行事。着眼推进习近平新时代中国特色社会主义思想在京华大地落地生根，集中学习习近平总书记重要讲话、党中央国务院、市委市政府相关会议文件65份，集体研究“三重一大”等事项167项，办结中宣部、文旅部、广电总局、国家文物局、市委市政府等上级交办案事件661件，形成总结报告189篇，制度方案35个，获得各级领导肯定性批示29次，6篇特色工作信息被中宣部《每日要情》刊载。取得2021年度领导班子和绩效考评“双优秀”成绩，“接诉即办”工作考核排名市级部门并列第一。在文旅部“平安中国”全国文化市场综合执法考评中，总队获得100分，排名全国文化执法队伍并列第一，切实将“两个确立”“两个维护”落到实处。</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2.文化执法工作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总队202</w:t>
      </w:r>
      <w:r>
        <w:rPr>
          <w:rFonts w:ascii="仿宋" w:hAnsi="仿宋" w:eastAsia="仿宋"/>
          <w:sz w:val="32"/>
          <w:szCs w:val="32"/>
        </w:rPr>
        <w:t>2</w:t>
      </w:r>
      <w:r>
        <w:rPr>
          <w:rFonts w:hint="eastAsia" w:ascii="仿宋" w:hAnsi="仿宋" w:eastAsia="仿宋"/>
          <w:sz w:val="32"/>
          <w:szCs w:val="32"/>
        </w:rPr>
        <w:t>年在文化执法工作方面的重点工作任务主要包括：日常文化综合执法检查办案、重大要案查办、各区文化市场综合执法工作、罚没物品及时收缴管理和举报核查工作五方面内容，全年共计完成执法检查量近17万件，同比增长102.62%，创历年最高。立案1849起，结案2279起，罚没款1169万余元，没收各类非法出版物6万余册，查处了一批在全国具有影响力的重大典型案件，取得了以全国“扫黄打非”先进集体、全国人民满意公务员等为代表的市级以上集体荣誉10项次，个人荣誉27项次，有效维护了首都文化市场政治安全、意识形态安全、文化安全。各项工作完成情况如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（1）文化综合执法检查办案费</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产出成本：项目经费</w:t>
      </w:r>
      <w:r>
        <w:rPr>
          <w:rFonts w:ascii="仿宋" w:hAnsi="仿宋" w:eastAsia="仿宋"/>
          <w:sz w:val="32"/>
          <w:szCs w:val="32"/>
        </w:rPr>
        <w:t>49.56</w:t>
      </w:r>
      <w:r>
        <w:rPr>
          <w:rFonts w:hint="eastAsia"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数量及质量：做好文化、旅游、文物及宗教等综合执法日常巡查工作，达到北京市司法局执法考核指标。其中2022年日常巡查年度累计次数86605，全年共接收各类举报信息4786件，依法受理648件，完成举报回复共计5012件。其中接收“接诉即办”派单864件,审核处理行业数据12783件。</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年人均执法检查数量 740.21，A岗执法人员参与执法率91.13%，“双随机”检查次数44690，违法行为纳入检查率95.06%，全年共接收各类举报信息4786件，依法受理648件，完成举报回复共计5012件，举报案件回复率≥104.72%。</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）罚没物品收缴管理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产出成本：项目经费</w:t>
      </w:r>
      <w:r>
        <w:rPr>
          <w:rFonts w:ascii="仿宋" w:hAnsi="仿宋" w:eastAsia="仿宋"/>
          <w:sz w:val="32"/>
          <w:szCs w:val="32"/>
        </w:rPr>
        <w:t>199.23</w:t>
      </w:r>
      <w:r>
        <w:rPr>
          <w:rFonts w:hint="eastAsia"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产出数量及质量：罚没款1169万余元，没收各类非法出版物6万余册，查处了一批在全国具有影响力的重大典型案件。</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）完成举报核查、接诉即办、满意回复</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产出成本：项目经费</w:t>
      </w:r>
      <w:r>
        <w:rPr>
          <w:rFonts w:ascii="仿宋" w:hAnsi="仿宋" w:eastAsia="仿宋"/>
          <w:sz w:val="32"/>
          <w:szCs w:val="32"/>
        </w:rPr>
        <w:t>2.44</w:t>
      </w:r>
      <w:r>
        <w:rPr>
          <w:rFonts w:hint="eastAsia"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数量及质量：坚持群众诉求驱动，深化“接诉即办”改革。截至12月31日，全年共接收各类举报信息4786件，依法受理648件，完成举报回复共计5012件；其中接收“接诉即办”派单864件,审核处理行业数据12783件。落实文旅部、市扫等上级机关交办案件277件，回复率均达100%。全年共计接收网上信访派单187件，受理34件，直接回复153件。</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宣传和执法保障中心作为“接诉即办”牵头部门，严格落实接诉即办条例和考评实施办法，坚持问题导向、把握时间节点、加强预警研判、完善精准接转、强化协调沟通，不断提升把握政策能力、应急处置能力；打造“网上接诉即办”工作体系，内容涵盖官网、政民互动、举报邮箱等渠道。四月份、八月份和十月份接诉即办，取得市级部门考核并列第一的成绩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）法制监督与保障经费</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产出成本：项目成本46.00万元。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数量和质量：印刷《法规汇编》3250册；《法规自由索取小册子》4030册；《裁量基准》50册；《大练兵抗演练案卷材料》75套;《处罚案卷标准及评分细则》500册，及时印刷和更新法规汇编、自由索取册、执法文书。审核合同89件，案卷审核率100%,确保合同无重大争议、避免相关风险。</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5</w:t>
      </w:r>
      <w:r>
        <w:rPr>
          <w:rFonts w:hint="eastAsia" w:ascii="仿宋" w:hAnsi="仿宋" w:eastAsia="仿宋"/>
          <w:sz w:val="32"/>
          <w:szCs w:val="32"/>
        </w:rPr>
        <w:t>）文旅市场“体检式”暗访经费</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产出成本：项目经费</w:t>
      </w:r>
      <w:r>
        <w:rPr>
          <w:rFonts w:ascii="仿宋" w:hAnsi="仿宋" w:eastAsia="仿宋"/>
          <w:sz w:val="32"/>
          <w:szCs w:val="32"/>
        </w:rPr>
        <w:t>16</w:t>
      </w:r>
      <w:r>
        <w:rPr>
          <w:rFonts w:hint="eastAsia"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数量及质量：采取随时暗访和集中暗访相结合的方式，随时暗访不定时开展工作，集中暗访在暑期旅游高峰期、十一“黄金周”和党的二十大召开之前等重点时段，对本市非法“一日游”和老年团重点线路进行暗访，并以信息和视频成片形式汇总，暗访服务8次。充分发挥社会舆论监督作用，达到预期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3.学习交流工作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（1）培训情况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产出成本：项目经费53.5</w:t>
      </w:r>
      <w:r>
        <w:rPr>
          <w:rFonts w:ascii="仿宋" w:hAnsi="仿宋" w:eastAsia="仿宋"/>
          <w:sz w:val="32"/>
          <w:szCs w:val="32"/>
        </w:rPr>
        <w:t>3</w:t>
      </w:r>
      <w:r>
        <w:rPr>
          <w:rFonts w:hint="eastAsia"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产出数量及质量：</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一是组织党委班子专题授课2场，开展支部交流研学活动33场，举办青年理论骨干网络培训班，编发简报专刊26期，推送“微党课”232条。</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是严密组织第三届全市文化市场综合执法岗位练兵技能竞赛，组织领导干部会前学法8次、执法骨干“普训＋专训＋特训”系列培训24场、全体干部线上平台自学自测5200余人次，开展副处级以上实职干部执法业务考核。</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三是创新开办第一期优秀年轻干部“长训班”，精准开展新招录干部专题培训，建立并实施干部实训锻炼机制，“全链条”培养模式初步形成。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四是做精执法培训。强化“三支队伍”及办案能手、办案标兵引领作用，健全完善“法治日”“法治周”制度，持续推进“普训+专训+特训”依法行政能力生成体系建设。开展文化执法大讲堂活动，加大以案代训力度，对重大经典案例进行讲解，传授办案技巧，提升办案能力。突出抓好法治人才培养，推动执法骨干到法制部门轮训。</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五是编印《总队基层党组织标准化建设指导手册》，分批次组织支部书记、支部委员、理论骨干集训，探索“学分制”党务工作培训，建立完善“三会一课”考勤补课通报制度，以支部为单位开展“文化铁军”主题党日示范活动，切实提升基层组织建设规范化水平。</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）北京市文化市场监管的调查研究</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产出成本：项目经费</w:t>
      </w:r>
      <w:r>
        <w:rPr>
          <w:rFonts w:ascii="仿宋" w:hAnsi="仿宋" w:eastAsia="仿宋"/>
          <w:sz w:val="32"/>
          <w:szCs w:val="32"/>
        </w:rPr>
        <w:t>10.00</w:t>
      </w:r>
      <w:r>
        <w:rPr>
          <w:rFonts w:hint="eastAsia"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产出数量及质量：完成调研报告2篇,</w:t>
      </w:r>
      <w:r>
        <w:rPr>
          <w:rFonts w:hint="eastAsia"/>
        </w:rPr>
        <w:t xml:space="preserve"> </w:t>
      </w:r>
      <w:r>
        <w:rPr>
          <w:rFonts w:hint="eastAsia" w:ascii="仿宋" w:hAnsi="仿宋" w:eastAsia="仿宋"/>
          <w:sz w:val="32"/>
          <w:szCs w:val="32"/>
        </w:rPr>
        <w:t>达到预期目标。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）文化执法宣传工作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产出成本：项目经费</w:t>
      </w:r>
      <w:r>
        <w:rPr>
          <w:rFonts w:ascii="仿宋" w:hAnsi="仿宋" w:eastAsia="仿宋"/>
          <w:sz w:val="32"/>
          <w:szCs w:val="32"/>
        </w:rPr>
        <w:t>61.02</w:t>
      </w:r>
      <w:r>
        <w:rPr>
          <w:rFonts w:hint="eastAsia"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数量及质量：依托总队外宣平台、中央以及市属权威媒体，构建“声、屏、纸、网”线上线下多维宣传矩阵，加大对第二批《文化市场初次违法后果轻微不予行政处罚清单》宣传力度；及时权威发布未按要求履行疫情防控企业通报十六批次；通报文物“第一案”、适用“新未保法”案例、“一日游”“老年团”专项行动等多起案例，取得良好宣传成效。</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以旅游市场宣传为切入点，在北京卫视天气预报栏目投放三期公益广告，受众人数达6760万人次；探索建立旅游市场体检式暗访项目，取得初步成效；及时在总队官网、内刊开设二十大专栏，传递总队声音，讲好总队故事。截止目前，官网更新信息782篇，内刊刊发稿件313篇幅；新媒体平台累计发布信息955篇，展现量1222万次；在20多家媒体刊发转载稿件1500余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立足“4·15”“4·26”等关键节点，多渠道、多角度、多方位确保“八五”普法纵深推进。以总队着装仪式为契机，通过媒体深度报道、H5作品互动、队歌MV展示，全面展现文化铁军风采。《中国文化报》和《中国旅游报》分别在头版大版面刊登了总队统一着装仪式工作纪实。</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4.执法保障情况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）综合行政执法制式服装和标志制作费</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产出成本：项目成本</w:t>
      </w:r>
      <w:r>
        <w:rPr>
          <w:rFonts w:ascii="仿宋" w:hAnsi="仿宋" w:eastAsia="仿宋"/>
          <w:sz w:val="32"/>
          <w:szCs w:val="32"/>
        </w:rPr>
        <w:t>56.83</w:t>
      </w:r>
      <w:r>
        <w:rPr>
          <w:rFonts w:hint="eastAsia"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产出数量和质量：按照全国统一要求，完成总队2022年在编在岗</w:t>
      </w:r>
      <w:r>
        <w:rPr>
          <w:rFonts w:ascii="仿宋" w:hAnsi="仿宋" w:eastAsia="仿宋"/>
          <w:sz w:val="32"/>
          <w:szCs w:val="32"/>
        </w:rPr>
        <w:t>167</w:t>
      </w:r>
      <w:r>
        <w:rPr>
          <w:rFonts w:hint="eastAsia" w:ascii="仿宋" w:hAnsi="仿宋" w:eastAsia="仿宋"/>
          <w:sz w:val="32"/>
          <w:szCs w:val="32"/>
        </w:rPr>
        <w:t>人规范着装。</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）执法信息化建设与运行维护</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产出成本：项目成本</w:t>
      </w:r>
      <w:r>
        <w:rPr>
          <w:rFonts w:ascii="仿宋" w:hAnsi="仿宋" w:eastAsia="仿宋"/>
          <w:sz w:val="32"/>
          <w:szCs w:val="32"/>
        </w:rPr>
        <w:t>1,548.26</w:t>
      </w:r>
      <w:r>
        <w:rPr>
          <w:rFonts w:hint="eastAsia"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产出数量和质量：一是规划编制顶层设计渐入正轨。对标《北京市“十四五”时期智慧城市发展行动纲要》，高标准完成总队规划编制工作。顶层设计方案进入沟通完善阶段。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二是信息化系统建设加速推进。完成一标准三制度的编写工作；助力疫情常态化防控工作，快速响应、高效上线疫情防控检查功能；分级分类项目顺利进入研发阶段。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是运维服务安全日趋完善。针对“冬奥”“二十大”等重要时期，制定应急预案、加强防护演练，圆满完成网络安全保障任务；积极开展密码应用管理工作，组织应用方案和制度的编制；高标准完成“京办”APP应用在市区两级的推广使用，总队的激活使用率已达100%；“月报季评”各项考核指标均超过全市平均水平，部分关键指标排名前列。</w:t>
      </w:r>
    </w:p>
    <w:p>
      <w:pPr>
        <w:spacing w:line="600" w:lineRule="exact"/>
        <w:ind w:firstLine="640" w:firstLineChars="200"/>
        <w:outlineLvl w:val="1"/>
        <w:rPr>
          <w:rFonts w:ascii="仿宋" w:hAnsi="仿宋" w:eastAsia="仿宋"/>
          <w:sz w:val="32"/>
          <w:szCs w:val="32"/>
        </w:rPr>
      </w:pPr>
      <w:bookmarkStart w:id="6" w:name="_Toc135436097"/>
      <w:r>
        <w:rPr>
          <w:rFonts w:hint="eastAsia" w:ascii="仿宋" w:hAnsi="仿宋" w:eastAsia="仿宋"/>
          <w:sz w:val="32"/>
          <w:szCs w:val="32"/>
        </w:rPr>
        <w:t>（二）效果实现情况分析</w:t>
      </w:r>
      <w:bookmarkEnd w:id="6"/>
    </w:p>
    <w:p>
      <w:pPr>
        <w:spacing w:line="600" w:lineRule="exact"/>
        <w:ind w:firstLine="640" w:firstLineChars="200"/>
        <w:rPr>
          <w:rFonts w:ascii="仿宋" w:hAnsi="仿宋" w:eastAsia="仿宋"/>
          <w:sz w:val="32"/>
          <w:szCs w:val="32"/>
        </w:rPr>
      </w:pPr>
      <w:r>
        <w:rPr>
          <w:rFonts w:hint="eastAsia" w:ascii="仿宋" w:hAnsi="仿宋" w:eastAsia="仿宋"/>
          <w:sz w:val="32"/>
          <w:szCs w:val="32"/>
        </w:rPr>
        <w:t>202</w:t>
      </w:r>
      <w:r>
        <w:rPr>
          <w:rFonts w:ascii="仿宋" w:hAnsi="仿宋" w:eastAsia="仿宋"/>
          <w:sz w:val="32"/>
          <w:szCs w:val="32"/>
        </w:rPr>
        <w:t>2</w:t>
      </w:r>
      <w:r>
        <w:rPr>
          <w:rFonts w:hint="eastAsia" w:ascii="仿宋" w:hAnsi="仿宋" w:eastAsia="仿宋"/>
          <w:sz w:val="32"/>
          <w:szCs w:val="32"/>
        </w:rPr>
        <w:t>年，在市委市政府的坚强领导下，在市财政局等部门的支持配合下，总队团结一心、迎难而上，总队各项工作取得明显成效，经济效益、社会效益显著。</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1.经济效益</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落实政府部门过“紧日子”的要求，提高项目规划水平，按照轻重缓急对项目进行排序，全年完成三次预算压减（调整），节约财政资金</w:t>
      </w:r>
      <w:r>
        <w:rPr>
          <w:rFonts w:ascii="仿宋" w:hAnsi="仿宋" w:eastAsia="仿宋"/>
          <w:sz w:val="32"/>
          <w:szCs w:val="32"/>
        </w:rPr>
        <w:t>546</w:t>
      </w:r>
      <w:r>
        <w:rPr>
          <w:rFonts w:hint="eastAsia" w:ascii="仿宋" w:hAnsi="仿宋" w:eastAsia="仿宋"/>
          <w:sz w:val="32"/>
          <w:szCs w:val="32"/>
        </w:rPr>
        <w:t>.</w:t>
      </w:r>
      <w:r>
        <w:rPr>
          <w:rFonts w:ascii="仿宋" w:hAnsi="仿宋" w:eastAsia="仿宋"/>
          <w:sz w:val="32"/>
          <w:szCs w:val="32"/>
        </w:rPr>
        <w:t>67</w:t>
      </w:r>
      <w:r>
        <w:rPr>
          <w:rFonts w:hint="eastAsia"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2.社会效益</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是紧守疫情防控安全底线。健全完善总队“1+3+9”疫情防控机制与重大时间节点、疫情防控重点时期总队领导带队跟班检查机制，全年班子成员带队跟班检查240次。建立总队疫情防控工作专班，每日派出督导组分赴十六区及经开区开展一线督导检查，共计出动检查人员18.6万余人次，检查经营单位11.4万余家次，消除隐患1400余处次。围绕压实“四方责任”，建立“一个提示，两个通报”机制，发布督导检查重点提示53期、通报43期、快报29期，向社会曝光16批次106家未履责企业。依法从速查处某旅行社擅自组织团队旅游活动案、某上网服务有限公司未落实停业要求擅自营业案等典型涉疫案件。</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二是捍卫文化市场健康发展。202</w:t>
      </w:r>
      <w:r>
        <w:rPr>
          <w:rFonts w:ascii="仿宋" w:hAnsi="仿宋" w:eastAsia="仿宋"/>
          <w:sz w:val="32"/>
          <w:szCs w:val="32"/>
        </w:rPr>
        <w:t>2</w:t>
      </w:r>
      <w:r>
        <w:rPr>
          <w:rFonts w:hint="eastAsia" w:ascii="仿宋" w:hAnsi="仿宋" w:eastAsia="仿宋"/>
          <w:sz w:val="32"/>
          <w:szCs w:val="32"/>
        </w:rPr>
        <w:t>年全年共计完成执法检查量近17万件，同比增长102.62%，创历年最高。立案1849起，结案2279起，罚没款1169万余元，没收各类非法出版物6万余册，查处了一批在全国具有影响力的重大典型案件，有效维护了首都文化市场政治安全、意识形态安全、文化安全。</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是全面推进法治政府建设。着眼法治轨道优化营商环境，积极探索“6+4”一体化综合监管模式，率先在文化艺术培训机构等5个试点场景探索建立“一业一单”和“一业一查”，积极协调公安、市场监管、卫健等有关部门，将原有689个检查项整合精简至125个，精简率达到81.85%，开展联合执法200余次，有效实现“进一次门、查多项事”。深入推进初次违法后果轻微不予处罚，研究出台第二批免罚清单，累计办理不予处罚案件571起，约占同时期行政处罚案件总量的33%，免罚总额逾千万元,有效助力疫情期间首都文旅企业复工复产。</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四是持续擦亮首都文化铁军品牌。深入贯彻落实新时代党的建设总要求，坚持思想建党和制度治党同向发力，精心筹办总队第一次党员大会和工会大会，选举产生总队首届党委班子、纪委班子、工会班子，以高质量党建品牌体系建设为牵引，全面压实管党治党政治责任。</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.服务对象满意度</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北京市人民政府办公厅对总队202</w:t>
      </w:r>
      <w:r>
        <w:rPr>
          <w:rFonts w:ascii="仿宋" w:hAnsi="仿宋" w:eastAsia="仿宋"/>
          <w:sz w:val="32"/>
          <w:szCs w:val="32"/>
        </w:rPr>
        <w:t>2</w:t>
      </w:r>
      <w:r>
        <w:rPr>
          <w:rFonts w:hint="eastAsia" w:ascii="仿宋" w:hAnsi="仿宋" w:eastAsia="仿宋"/>
          <w:sz w:val="32"/>
          <w:szCs w:val="32"/>
        </w:rPr>
        <w:t>年的绩效考评结果为</w:t>
      </w:r>
      <w:r>
        <w:rPr>
          <w:rFonts w:ascii="仿宋" w:hAnsi="仿宋" w:eastAsia="仿宋"/>
          <w:sz w:val="32"/>
          <w:szCs w:val="32"/>
        </w:rPr>
        <w:t>96.11</w:t>
      </w:r>
      <w:r>
        <w:rPr>
          <w:rFonts w:hint="eastAsia" w:ascii="仿宋" w:hAnsi="仿宋" w:eastAsia="仿宋"/>
          <w:sz w:val="32"/>
          <w:szCs w:val="32"/>
        </w:rPr>
        <w:t>分, 其中，日常履职考核为59.16分，综合评价36.95分，考评等次为“优秀”。</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2022年度，北京市人民政府办公厅组织首都之窗和12345市民热线，采取网上调查和电话访问的方式，对总队进行了满意度调查，主要围绕总队全面履职总体情况进行调查，共有332位社会公众进行了网上评价，151位服务对象接受了电话调查，经审核后选取有效样本350人，其中社会公众200人，服务对象150人，经统计汇总，市文化执法总队的综合满意度为92.02分。</w:t>
      </w:r>
    </w:p>
    <w:p>
      <w:pPr>
        <w:spacing w:line="600" w:lineRule="exact"/>
        <w:ind w:firstLine="640" w:firstLineChars="200"/>
        <w:outlineLvl w:val="0"/>
        <w:rPr>
          <w:rFonts w:ascii="仿宋" w:hAnsi="仿宋" w:eastAsia="仿宋" w:cs="宋体"/>
          <w:color w:val="000000"/>
          <w:kern w:val="0"/>
          <w:sz w:val="32"/>
          <w:szCs w:val="32"/>
        </w:rPr>
      </w:pPr>
      <w:bookmarkStart w:id="7" w:name="_Toc135436098"/>
      <w:r>
        <w:rPr>
          <w:rFonts w:hint="eastAsia" w:ascii="仿宋" w:hAnsi="仿宋" w:eastAsia="仿宋" w:cs="宋体"/>
          <w:color w:val="000000"/>
          <w:kern w:val="0"/>
          <w:sz w:val="32"/>
          <w:szCs w:val="32"/>
        </w:rPr>
        <w:t>四、预算管理情况分析</w:t>
      </w:r>
      <w:bookmarkEnd w:id="7"/>
    </w:p>
    <w:p>
      <w:pPr>
        <w:spacing w:line="600" w:lineRule="exact"/>
        <w:ind w:firstLine="640" w:firstLineChars="200"/>
        <w:outlineLvl w:val="1"/>
        <w:rPr>
          <w:rFonts w:ascii="仿宋" w:hAnsi="仿宋" w:eastAsia="仿宋"/>
          <w:sz w:val="32"/>
          <w:szCs w:val="32"/>
        </w:rPr>
      </w:pPr>
      <w:bookmarkStart w:id="8" w:name="_Toc135436099"/>
      <w:r>
        <w:rPr>
          <w:rFonts w:hint="eastAsia" w:ascii="仿宋" w:hAnsi="仿宋" w:eastAsia="仿宋"/>
          <w:sz w:val="32"/>
          <w:szCs w:val="32"/>
        </w:rPr>
        <w:t>（一）财务管理</w:t>
      </w:r>
      <w:bookmarkEnd w:id="8"/>
    </w:p>
    <w:p>
      <w:pPr>
        <w:spacing w:line="600" w:lineRule="exact"/>
        <w:ind w:firstLine="640" w:firstLineChars="200"/>
        <w:rPr>
          <w:rFonts w:ascii="仿宋" w:hAnsi="仿宋" w:eastAsia="仿宋"/>
          <w:sz w:val="32"/>
          <w:szCs w:val="32"/>
        </w:rPr>
      </w:pPr>
      <w:r>
        <w:rPr>
          <w:rFonts w:hint="eastAsia" w:ascii="仿宋" w:hAnsi="仿宋" w:eastAsia="仿宋"/>
          <w:sz w:val="32"/>
          <w:szCs w:val="32"/>
        </w:rPr>
        <w:t>1.财务管理制度完善健全。</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为进一步提高总队财务管理能力和水平，总队建立了完善的财务管理制度体系，从资金审批、预算管理、会计核算、资产管理、政府采购等方面对财务工作进行了规范监督，保障日常工作有章可循、稳步推进。</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2.资金使用安全合规。</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资金使用严格遵照国家法律法规和有关管理制度执行，资金拨付审批程序完整规范，资金使用安全合规。内部审计和监督机制完善，审计监督全面、纵深发展，为资金高效安全的使用保驾护航。</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3.会计基础信息完整准确。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在费用报销及合同付款过程中，严格审批原始凭证，对内容不全、手续不完备的原始凭证以及未审批完成的支出不予办理支付。</w:t>
      </w:r>
    </w:p>
    <w:p>
      <w:pPr>
        <w:spacing w:line="600" w:lineRule="exact"/>
        <w:ind w:firstLine="640" w:firstLineChars="200"/>
        <w:outlineLvl w:val="1"/>
        <w:rPr>
          <w:rFonts w:ascii="仿宋" w:hAnsi="仿宋" w:eastAsia="仿宋"/>
          <w:sz w:val="32"/>
          <w:szCs w:val="32"/>
        </w:rPr>
      </w:pPr>
      <w:bookmarkStart w:id="9" w:name="_Toc135436100"/>
      <w:r>
        <w:rPr>
          <w:rFonts w:hint="eastAsia" w:ascii="仿宋" w:hAnsi="仿宋" w:eastAsia="仿宋"/>
          <w:sz w:val="32"/>
          <w:szCs w:val="32"/>
        </w:rPr>
        <w:t>（二）资产管理</w:t>
      </w:r>
      <w:bookmarkEnd w:id="9"/>
    </w:p>
    <w:p>
      <w:pPr>
        <w:spacing w:line="600" w:lineRule="exact"/>
        <w:ind w:firstLine="640" w:firstLineChars="200"/>
        <w:rPr>
          <w:rFonts w:ascii="仿宋" w:hAnsi="仿宋" w:eastAsia="仿宋"/>
          <w:sz w:val="32"/>
          <w:szCs w:val="32"/>
        </w:rPr>
      </w:pPr>
      <w:r>
        <w:rPr>
          <w:rFonts w:hint="eastAsia" w:ascii="仿宋" w:hAnsi="仿宋" w:eastAsia="仿宋"/>
          <w:sz w:val="32"/>
          <w:szCs w:val="32"/>
        </w:rPr>
        <w:t>1.完善资产管理相关制度。</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一是制定《北京市文化市场综合执法总队国有资产管理暂行办法》，按照“合理配置、分工负责、归口管理、依规使用、毁损问责”的原则，管理调配总队实物资产。</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二是规范固定资产存量管理，按照用途严格区分办公设备、执法办案设备，实行分类管理。</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w:t>
      </w:r>
      <w:r>
        <w:rPr>
          <w:rFonts w:hint="eastAsia"/>
          <w:color w:val="000000" w:themeColor="text1"/>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加强资产动态管理，夯实资产管理基础。</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一是以内部自查和定期清查的方式开展年度资产盘点清查工作，全面真实掌握机关固定资产的数量、价值和配置使用情况。对事业单位机构改革涉及的原宣举中心、原信息中心进行资产清查。</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二是及时进行资产卡片信息更新，初步实现固定资产管理信息化，资产的审批、领用、入库基本实现内控管理信息化。</w:t>
      </w:r>
    </w:p>
    <w:p>
      <w:pPr>
        <w:spacing w:line="600" w:lineRule="exact"/>
        <w:ind w:firstLine="640" w:firstLineChars="200"/>
        <w:rPr>
          <w:rFonts w:ascii="仿宋" w:hAnsi="仿宋" w:eastAsia="仿宋"/>
          <w:sz w:val="32"/>
          <w:szCs w:val="32"/>
        </w:rPr>
      </w:pPr>
      <w:r>
        <w:rPr>
          <w:rFonts w:hint="eastAsia" w:ascii="仿宋" w:hAnsi="仿宋" w:eastAsia="仿宋"/>
          <w:color w:val="000000" w:themeColor="text1"/>
          <w:sz w:val="32"/>
          <w:szCs w:val="32"/>
          <w14:textFill>
            <w14:solidFill>
              <w14:schemeClr w14:val="tx1"/>
            </w14:solidFill>
          </w14:textFill>
        </w:rPr>
        <w:t>三是及时办理固定资产的转移、报废等工作。处理公车改革遗留问题，为已移交车改办8辆公务用车办理报废手续。办理原旅游执法大队、文物局执法队固定资产移交。</w:t>
      </w:r>
    </w:p>
    <w:p>
      <w:pPr>
        <w:spacing w:line="600" w:lineRule="exact"/>
        <w:ind w:firstLine="640" w:firstLineChars="200"/>
        <w:outlineLvl w:val="1"/>
        <w:rPr>
          <w:rFonts w:ascii="仿宋" w:hAnsi="仿宋" w:eastAsia="仿宋"/>
          <w:sz w:val="32"/>
          <w:szCs w:val="32"/>
        </w:rPr>
      </w:pPr>
      <w:bookmarkStart w:id="10" w:name="_Toc135436101"/>
      <w:r>
        <w:rPr>
          <w:rFonts w:hint="eastAsia" w:ascii="仿宋" w:hAnsi="仿宋" w:eastAsia="仿宋"/>
          <w:sz w:val="32"/>
          <w:szCs w:val="32"/>
        </w:rPr>
        <w:t>（三）绩效管理</w:t>
      </w:r>
      <w:bookmarkEnd w:id="10"/>
    </w:p>
    <w:p>
      <w:pPr>
        <w:spacing w:line="600" w:lineRule="exact"/>
        <w:ind w:firstLine="640" w:firstLineChars="200"/>
        <w:rPr>
          <w:rFonts w:ascii="仿宋" w:hAnsi="仿宋" w:eastAsia="仿宋"/>
          <w:sz w:val="32"/>
          <w:szCs w:val="32"/>
        </w:rPr>
      </w:pPr>
      <w:r>
        <w:rPr>
          <w:rFonts w:hint="eastAsia" w:ascii="仿宋" w:hAnsi="仿宋" w:eastAsia="仿宋"/>
          <w:sz w:val="32"/>
          <w:szCs w:val="32"/>
        </w:rPr>
        <w:t>总队高度重视绩效管理工作，将绩效理念深度融入预算编制、执行和监督全过程，构建事前、事中、事后绩效管理闭环系统，创新预算管理方式，扎实做好各项绩效管理工作。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1.深化全过程预算绩效管理。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一是加强绩效目标管理。按照市财政局要求，将202</w:t>
      </w:r>
      <w:r>
        <w:rPr>
          <w:rFonts w:ascii="仿宋" w:hAnsi="仿宋" w:eastAsia="仿宋"/>
          <w:sz w:val="32"/>
          <w:szCs w:val="32"/>
        </w:rPr>
        <w:t>2</w:t>
      </w:r>
      <w:r>
        <w:rPr>
          <w:rFonts w:hint="eastAsia" w:ascii="仿宋" w:hAnsi="仿宋" w:eastAsia="仿宋"/>
          <w:sz w:val="32"/>
          <w:szCs w:val="32"/>
        </w:rPr>
        <w:t>年预算项目的绩效目标填报范围继续保持为全部项目，完成了总队</w:t>
      </w:r>
      <w:r>
        <w:rPr>
          <w:rFonts w:ascii="仿宋" w:hAnsi="仿宋" w:eastAsia="仿宋"/>
          <w:sz w:val="32"/>
          <w:szCs w:val="32"/>
        </w:rPr>
        <w:t>29</w:t>
      </w:r>
      <w:r>
        <w:rPr>
          <w:rFonts w:hint="eastAsia" w:ascii="仿宋" w:hAnsi="仿宋" w:eastAsia="仿宋"/>
          <w:sz w:val="32"/>
          <w:szCs w:val="32"/>
        </w:rPr>
        <w:t>个项目绩效目标申报表的审核及系统录入工作。</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sz w:val="32"/>
          <w:szCs w:val="32"/>
        </w:rPr>
        <w:t>二是开展事后绩效自评和事中绩效运行监控。对202</w:t>
      </w:r>
      <w:r>
        <w:rPr>
          <w:rFonts w:ascii="仿宋" w:hAnsi="仿宋" w:eastAsia="仿宋"/>
          <w:sz w:val="32"/>
          <w:szCs w:val="32"/>
        </w:rPr>
        <w:t>2</w:t>
      </w:r>
      <w:r>
        <w:rPr>
          <w:rFonts w:hint="eastAsia" w:ascii="仿宋" w:hAnsi="仿宋" w:eastAsia="仿宋"/>
          <w:sz w:val="32"/>
          <w:szCs w:val="32"/>
        </w:rPr>
        <w:t>年</w:t>
      </w:r>
      <w:r>
        <w:rPr>
          <w:rFonts w:ascii="仿宋" w:hAnsi="仿宋" w:eastAsia="仿宋"/>
          <w:sz w:val="32"/>
          <w:szCs w:val="32"/>
        </w:rPr>
        <w:t>29</w:t>
      </w:r>
      <w:r>
        <w:rPr>
          <w:rFonts w:hint="eastAsia" w:ascii="仿宋" w:hAnsi="仿宋" w:eastAsia="仿宋"/>
          <w:sz w:val="32"/>
          <w:szCs w:val="32"/>
        </w:rPr>
        <w:t>个财政支出项目进行了绩效运行监控，对27个项目实施了绩效自评</w:t>
      </w:r>
      <w:r>
        <w:rPr>
          <w:rFonts w:hint="eastAsia" w:ascii="仿宋" w:hAnsi="仿宋" w:eastAsia="仿宋"/>
          <w:color w:val="000000" w:themeColor="text1"/>
          <w:sz w:val="32"/>
          <w:szCs w:val="32"/>
          <w14:textFill>
            <w14:solidFill>
              <w14:schemeClr w14:val="tx1"/>
            </w14:solidFill>
          </w14:textFill>
        </w:rPr>
        <w:t>（因年初预算调整，调减2个项目）。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2.开展成本预算绩效分析。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对“政务云安全运维服务费项目”项目开展成本预算绩效分析，涉及预算金额</w:t>
      </w:r>
      <w:r>
        <w:rPr>
          <w:rFonts w:ascii="仿宋" w:hAnsi="仿宋" w:eastAsia="仿宋"/>
          <w:sz w:val="32"/>
          <w:szCs w:val="32"/>
        </w:rPr>
        <w:t>152.64</w:t>
      </w:r>
      <w:r>
        <w:rPr>
          <w:rFonts w:hint="eastAsia" w:ascii="仿宋" w:hAnsi="仿宋" w:eastAsia="仿宋"/>
          <w:sz w:val="32"/>
          <w:szCs w:val="32"/>
        </w:rPr>
        <w:t>万元，压减资金</w:t>
      </w:r>
      <w:r>
        <w:rPr>
          <w:rFonts w:ascii="仿宋" w:hAnsi="仿宋" w:eastAsia="仿宋"/>
          <w:sz w:val="32"/>
          <w:szCs w:val="32"/>
        </w:rPr>
        <w:t>33.09</w:t>
      </w:r>
      <w:r>
        <w:rPr>
          <w:rFonts w:hint="eastAsia" w:ascii="仿宋" w:hAnsi="仿宋" w:eastAsia="仿宋"/>
          <w:sz w:val="32"/>
          <w:szCs w:val="32"/>
        </w:rPr>
        <w:t>万元，压减率达</w:t>
      </w:r>
      <w:r>
        <w:rPr>
          <w:rFonts w:ascii="仿宋" w:hAnsi="仿宋" w:eastAsia="仿宋"/>
          <w:sz w:val="32"/>
          <w:szCs w:val="32"/>
        </w:rPr>
        <w:t>21.68%</w:t>
      </w:r>
      <w:r>
        <w:rPr>
          <w:rFonts w:hint="eastAsia" w:ascii="仿宋" w:hAnsi="仿宋" w:eastAsia="仿宋"/>
          <w:sz w:val="32"/>
          <w:szCs w:val="32"/>
        </w:rPr>
        <w:t>。</w:t>
      </w:r>
    </w:p>
    <w:p>
      <w:pPr>
        <w:spacing w:line="600" w:lineRule="exact"/>
        <w:ind w:firstLine="640" w:firstLineChars="200"/>
        <w:outlineLvl w:val="1"/>
        <w:rPr>
          <w:rFonts w:ascii="仿宋" w:hAnsi="仿宋" w:eastAsia="仿宋"/>
          <w:sz w:val="32"/>
          <w:szCs w:val="32"/>
        </w:rPr>
      </w:pPr>
      <w:bookmarkStart w:id="11" w:name="_Toc135436102"/>
      <w:r>
        <w:rPr>
          <w:rFonts w:hint="eastAsia" w:ascii="仿宋" w:hAnsi="仿宋" w:eastAsia="仿宋"/>
          <w:sz w:val="32"/>
          <w:szCs w:val="32"/>
        </w:rPr>
        <w:t>（四）结转结余率</w:t>
      </w:r>
      <w:bookmarkEnd w:id="11"/>
    </w:p>
    <w:p>
      <w:pPr>
        <w:spacing w:line="600" w:lineRule="exact"/>
        <w:ind w:firstLine="640" w:firstLineChars="200"/>
        <w:rPr>
          <w:rFonts w:ascii="仿宋" w:hAnsi="仿宋" w:eastAsia="仿宋"/>
          <w:sz w:val="32"/>
          <w:szCs w:val="32"/>
        </w:rPr>
      </w:pPr>
      <w:r>
        <w:rPr>
          <w:rFonts w:hint="eastAsia" w:ascii="仿宋" w:hAnsi="仿宋" w:eastAsia="仿宋"/>
          <w:sz w:val="32"/>
          <w:szCs w:val="32"/>
        </w:rPr>
        <w:t>2021年末结转结余</w:t>
      </w:r>
      <w:r>
        <w:rPr>
          <w:rFonts w:ascii="仿宋" w:hAnsi="仿宋" w:eastAsia="仿宋"/>
          <w:sz w:val="32"/>
          <w:szCs w:val="32"/>
        </w:rPr>
        <w:t>420.95</w:t>
      </w:r>
      <w:r>
        <w:rPr>
          <w:rFonts w:hint="eastAsia" w:ascii="仿宋" w:hAnsi="仿宋" w:eastAsia="仿宋"/>
          <w:sz w:val="32"/>
          <w:szCs w:val="32"/>
        </w:rPr>
        <w:t>万元，占全年支出预算金额</w:t>
      </w:r>
      <w:r>
        <w:rPr>
          <w:rFonts w:ascii="仿宋" w:hAnsi="仿宋" w:eastAsia="仿宋"/>
          <w:sz w:val="32"/>
          <w:szCs w:val="32"/>
        </w:rPr>
        <w:t>10,254.57</w:t>
      </w:r>
      <w:r>
        <w:rPr>
          <w:rFonts w:hint="eastAsia" w:ascii="仿宋" w:hAnsi="仿宋" w:eastAsia="仿宋"/>
          <w:sz w:val="32"/>
          <w:szCs w:val="32"/>
        </w:rPr>
        <w:t>万元的</w:t>
      </w:r>
      <w:r>
        <w:rPr>
          <w:rFonts w:ascii="仿宋" w:hAnsi="仿宋" w:eastAsia="仿宋"/>
          <w:sz w:val="32"/>
          <w:szCs w:val="32"/>
        </w:rPr>
        <w:t>4.10</w:t>
      </w:r>
      <w:r>
        <w:rPr>
          <w:rFonts w:hint="eastAsia" w:ascii="仿宋" w:hAnsi="仿宋" w:eastAsia="仿宋"/>
          <w:sz w:val="32"/>
          <w:szCs w:val="32"/>
        </w:rPr>
        <w:t>%，较上年结转结余率</w:t>
      </w:r>
      <w:r>
        <w:rPr>
          <w:rFonts w:ascii="仿宋" w:hAnsi="仿宋" w:eastAsia="仿宋"/>
          <w:sz w:val="32"/>
          <w:szCs w:val="32"/>
        </w:rPr>
        <w:t>5.43</w:t>
      </w:r>
      <w:r>
        <w:rPr>
          <w:rFonts w:hint="eastAsia" w:ascii="仿宋" w:hAnsi="仿宋" w:eastAsia="仿宋"/>
          <w:sz w:val="32"/>
          <w:szCs w:val="32"/>
        </w:rPr>
        <w:t>%有所下降。</w:t>
      </w:r>
    </w:p>
    <w:p>
      <w:pPr>
        <w:spacing w:line="600" w:lineRule="exact"/>
        <w:ind w:firstLine="640" w:firstLineChars="200"/>
        <w:outlineLvl w:val="1"/>
        <w:rPr>
          <w:rFonts w:ascii="仿宋" w:hAnsi="仿宋" w:eastAsia="仿宋"/>
          <w:sz w:val="32"/>
          <w:szCs w:val="32"/>
        </w:rPr>
      </w:pPr>
      <w:bookmarkStart w:id="12" w:name="_Toc135436103"/>
      <w:r>
        <w:rPr>
          <w:rFonts w:hint="eastAsia" w:ascii="仿宋" w:hAnsi="仿宋" w:eastAsia="仿宋"/>
          <w:sz w:val="32"/>
          <w:szCs w:val="32"/>
        </w:rPr>
        <w:t>（五）部门预决算差异</w:t>
      </w:r>
      <w:bookmarkEnd w:id="12"/>
    </w:p>
    <w:p>
      <w:pPr>
        <w:spacing w:line="600" w:lineRule="exact"/>
        <w:ind w:firstLine="640" w:firstLineChars="200"/>
        <w:rPr>
          <w:rFonts w:ascii="仿宋" w:hAnsi="仿宋" w:eastAsia="仿宋"/>
          <w:sz w:val="32"/>
          <w:szCs w:val="32"/>
        </w:rPr>
      </w:pPr>
      <w:r>
        <w:rPr>
          <w:rFonts w:hint="eastAsia" w:ascii="仿宋" w:hAnsi="仿宋" w:eastAsia="仿宋"/>
          <w:sz w:val="32"/>
          <w:szCs w:val="32"/>
        </w:rPr>
        <w:t>202</w:t>
      </w:r>
      <w:r>
        <w:rPr>
          <w:rFonts w:ascii="仿宋" w:hAnsi="仿宋" w:eastAsia="仿宋"/>
          <w:sz w:val="32"/>
          <w:szCs w:val="32"/>
        </w:rPr>
        <w:t>2</w:t>
      </w:r>
      <w:r>
        <w:rPr>
          <w:rFonts w:hint="eastAsia" w:ascii="仿宋" w:hAnsi="仿宋" w:eastAsia="仿宋"/>
          <w:sz w:val="32"/>
          <w:szCs w:val="32"/>
        </w:rPr>
        <w:t>年决算支出</w:t>
      </w:r>
      <w:r>
        <w:rPr>
          <w:rFonts w:ascii="仿宋" w:hAnsi="仿宋" w:eastAsia="仿宋"/>
          <w:sz w:val="32"/>
          <w:szCs w:val="32"/>
        </w:rPr>
        <w:t>9,833.62</w:t>
      </w:r>
      <w:r>
        <w:rPr>
          <w:rFonts w:hint="eastAsia" w:ascii="仿宋" w:hAnsi="仿宋" w:eastAsia="仿宋"/>
          <w:sz w:val="32"/>
          <w:szCs w:val="32"/>
        </w:rPr>
        <w:t>万元，预算支出</w:t>
      </w:r>
      <w:r>
        <w:rPr>
          <w:rFonts w:ascii="仿宋" w:hAnsi="仿宋" w:eastAsia="仿宋"/>
          <w:sz w:val="32"/>
          <w:szCs w:val="32"/>
        </w:rPr>
        <w:t>10,254.57</w:t>
      </w:r>
      <w:r>
        <w:rPr>
          <w:rFonts w:hint="eastAsia" w:ascii="仿宋" w:hAnsi="仿宋" w:eastAsia="仿宋"/>
          <w:sz w:val="32"/>
          <w:szCs w:val="32"/>
        </w:rPr>
        <w:t>万元，部门预算决算差异率为</w:t>
      </w:r>
      <w:r>
        <w:rPr>
          <w:rFonts w:ascii="仿宋" w:hAnsi="仿宋" w:eastAsia="仿宋"/>
          <w:sz w:val="32"/>
          <w:szCs w:val="32"/>
        </w:rPr>
        <w:t>-4.</w:t>
      </w:r>
      <w:r>
        <w:rPr>
          <w:rFonts w:hint="eastAsia" w:ascii="仿宋" w:hAnsi="仿宋" w:eastAsia="仿宋"/>
          <w:sz w:val="32"/>
          <w:szCs w:val="32"/>
        </w:rPr>
        <w:t>10</w:t>
      </w:r>
      <w:r>
        <w:rPr>
          <w:rFonts w:ascii="仿宋" w:hAnsi="仿宋" w:eastAsia="仿宋"/>
          <w:sz w:val="32"/>
          <w:szCs w:val="32"/>
        </w:rPr>
        <w:t>%</w:t>
      </w:r>
      <w:r>
        <w:rPr>
          <w:rFonts w:hint="eastAsia" w:ascii="仿宋" w:hAnsi="仿宋" w:eastAsia="仿宋"/>
          <w:sz w:val="32"/>
          <w:szCs w:val="32"/>
        </w:rPr>
        <w:t>，低于市级</w:t>
      </w:r>
      <w:r>
        <w:rPr>
          <w:rFonts w:ascii="仿宋" w:hAnsi="仿宋" w:eastAsia="仿宋"/>
          <w:sz w:val="32"/>
          <w:szCs w:val="32"/>
        </w:rPr>
        <w:t>28.3%</w:t>
      </w:r>
      <w:r>
        <w:rPr>
          <w:rFonts w:hint="eastAsia" w:ascii="仿宋" w:hAnsi="仿宋" w:eastAsia="仿宋"/>
          <w:sz w:val="32"/>
          <w:szCs w:val="32"/>
        </w:rPr>
        <w:t>的平均差异率。</w:t>
      </w:r>
    </w:p>
    <w:p>
      <w:pPr>
        <w:spacing w:line="600" w:lineRule="exact"/>
        <w:ind w:firstLine="640" w:firstLineChars="200"/>
        <w:outlineLvl w:val="0"/>
        <w:rPr>
          <w:rFonts w:ascii="仿宋" w:hAnsi="仿宋" w:eastAsia="仿宋" w:cs="宋体"/>
          <w:color w:val="000000"/>
          <w:kern w:val="0"/>
          <w:sz w:val="32"/>
          <w:szCs w:val="32"/>
        </w:rPr>
      </w:pPr>
      <w:bookmarkStart w:id="13" w:name="_Toc135436104"/>
      <w:r>
        <w:rPr>
          <w:rFonts w:hint="eastAsia" w:ascii="仿宋" w:hAnsi="仿宋" w:eastAsia="仿宋" w:cs="宋体"/>
          <w:color w:val="000000"/>
          <w:kern w:val="0"/>
          <w:sz w:val="32"/>
          <w:szCs w:val="32"/>
        </w:rPr>
        <w:t>五、总体评价结论</w:t>
      </w:r>
      <w:bookmarkEnd w:id="13"/>
    </w:p>
    <w:p>
      <w:pPr>
        <w:spacing w:line="600" w:lineRule="exact"/>
        <w:ind w:firstLine="640" w:firstLineChars="200"/>
        <w:outlineLvl w:val="1"/>
        <w:rPr>
          <w:rFonts w:ascii="仿宋" w:hAnsi="仿宋" w:eastAsia="仿宋"/>
          <w:sz w:val="32"/>
          <w:szCs w:val="32"/>
        </w:rPr>
      </w:pPr>
      <w:bookmarkStart w:id="14" w:name="_Toc135436105"/>
      <w:r>
        <w:rPr>
          <w:rFonts w:hint="eastAsia" w:ascii="仿宋" w:hAnsi="仿宋" w:eastAsia="仿宋"/>
          <w:sz w:val="32"/>
          <w:szCs w:val="32"/>
        </w:rPr>
        <w:t>（一）部门整体绩效评价得分情况</w:t>
      </w:r>
      <w:bookmarkEnd w:id="14"/>
    </w:p>
    <w:p>
      <w:pPr>
        <w:spacing w:line="600" w:lineRule="exact"/>
        <w:ind w:firstLine="640" w:firstLineChars="200"/>
        <w:rPr>
          <w:rFonts w:ascii="仿宋" w:hAnsi="仿宋" w:eastAsia="仿宋"/>
          <w:sz w:val="32"/>
          <w:szCs w:val="32"/>
        </w:rPr>
      </w:pPr>
      <w:r>
        <w:rPr>
          <w:rFonts w:hint="eastAsia" w:ascii="仿宋" w:hAnsi="仿宋" w:eastAsia="仿宋"/>
          <w:sz w:val="32"/>
          <w:szCs w:val="32"/>
        </w:rPr>
        <w:t>本次部门整体绩效评价通过资料分析、内部评议等多种方式开展了全面、系统、客观的分析评价，最终得分为</w:t>
      </w:r>
      <w:r>
        <w:rPr>
          <w:rFonts w:ascii="仿宋" w:hAnsi="仿宋" w:eastAsia="仿宋"/>
          <w:sz w:val="32"/>
          <w:szCs w:val="32"/>
        </w:rPr>
        <w:t>93.18</w:t>
      </w:r>
      <w:r>
        <w:rPr>
          <w:rFonts w:hint="eastAsia" w:ascii="仿宋" w:hAnsi="仿宋" w:eastAsia="仿宋"/>
          <w:sz w:val="32"/>
          <w:szCs w:val="32"/>
        </w:rPr>
        <w:t>分，综合评价等级为“优秀”。其中：当年预算执行情况</w:t>
      </w:r>
      <w:r>
        <w:rPr>
          <w:rFonts w:ascii="仿宋" w:hAnsi="仿宋" w:eastAsia="仿宋"/>
          <w:sz w:val="32"/>
          <w:szCs w:val="32"/>
        </w:rPr>
        <w:t>19.18</w:t>
      </w:r>
      <w:r>
        <w:rPr>
          <w:rFonts w:hint="eastAsia" w:ascii="仿宋" w:hAnsi="仿宋" w:eastAsia="仿宋"/>
          <w:sz w:val="32"/>
          <w:szCs w:val="32"/>
        </w:rPr>
        <w:t>分，整体绩效目标实际情况</w:t>
      </w:r>
      <w:r>
        <w:rPr>
          <w:rFonts w:ascii="仿宋" w:hAnsi="仿宋" w:eastAsia="仿宋"/>
          <w:sz w:val="32"/>
          <w:szCs w:val="32"/>
        </w:rPr>
        <w:t>55</w:t>
      </w:r>
      <w:r>
        <w:rPr>
          <w:rFonts w:hint="eastAsia" w:ascii="仿宋" w:hAnsi="仿宋" w:eastAsia="仿宋"/>
          <w:sz w:val="32"/>
          <w:szCs w:val="32"/>
        </w:rPr>
        <w:t>.</w:t>
      </w:r>
      <w:r>
        <w:rPr>
          <w:rFonts w:ascii="仿宋" w:hAnsi="仿宋" w:eastAsia="仿宋"/>
          <w:sz w:val="32"/>
          <w:szCs w:val="32"/>
        </w:rPr>
        <w:t>00</w:t>
      </w:r>
      <w:r>
        <w:rPr>
          <w:rFonts w:hint="eastAsia" w:ascii="仿宋" w:hAnsi="仿宋" w:eastAsia="仿宋"/>
          <w:sz w:val="32"/>
          <w:szCs w:val="32"/>
        </w:rPr>
        <w:t>分，预算管理情况</w:t>
      </w:r>
      <w:r>
        <w:rPr>
          <w:rFonts w:ascii="仿宋" w:hAnsi="仿宋" w:eastAsia="仿宋"/>
          <w:sz w:val="32"/>
          <w:szCs w:val="32"/>
        </w:rPr>
        <w:t>19</w:t>
      </w:r>
      <w:r>
        <w:rPr>
          <w:rFonts w:hint="eastAsia" w:ascii="仿宋" w:hAnsi="仿宋" w:eastAsia="仿宋"/>
          <w:sz w:val="32"/>
          <w:szCs w:val="32"/>
        </w:rPr>
        <w:t>分，具体评分见《2022年部门整体绩效评价指标体系评分表》。</w:t>
      </w:r>
    </w:p>
    <w:p>
      <w:pPr>
        <w:spacing w:line="600" w:lineRule="exact"/>
        <w:ind w:firstLine="640" w:firstLineChars="200"/>
        <w:outlineLvl w:val="1"/>
        <w:rPr>
          <w:rFonts w:ascii="仿宋" w:hAnsi="仿宋" w:eastAsia="仿宋"/>
          <w:sz w:val="32"/>
          <w:szCs w:val="32"/>
        </w:rPr>
      </w:pPr>
      <w:bookmarkStart w:id="15" w:name="_Toc135436106"/>
      <w:r>
        <w:rPr>
          <w:rFonts w:hint="eastAsia" w:ascii="仿宋" w:hAnsi="仿宋" w:eastAsia="仿宋"/>
          <w:sz w:val="32"/>
          <w:szCs w:val="32"/>
        </w:rPr>
        <w:t>（二）单位项目支出绩效自评情况</w:t>
      </w:r>
      <w:bookmarkEnd w:id="15"/>
    </w:p>
    <w:p>
      <w:pPr>
        <w:spacing w:line="600" w:lineRule="exact"/>
        <w:ind w:firstLine="640" w:firstLineChars="200"/>
        <w:rPr>
          <w:rFonts w:ascii="仿宋" w:hAnsi="仿宋" w:eastAsia="仿宋"/>
          <w:color w:val="FF0000"/>
          <w:sz w:val="32"/>
          <w:szCs w:val="32"/>
        </w:rPr>
      </w:pPr>
      <w:r>
        <w:rPr>
          <w:rFonts w:hint="eastAsia" w:ascii="仿宋" w:hAnsi="仿宋" w:eastAsia="仿宋"/>
          <w:sz w:val="32"/>
          <w:szCs w:val="32"/>
        </w:rPr>
        <w:t>总队于202</w:t>
      </w:r>
      <w:r>
        <w:rPr>
          <w:rFonts w:ascii="仿宋" w:hAnsi="仿宋" w:eastAsia="仿宋"/>
          <w:sz w:val="32"/>
          <w:szCs w:val="32"/>
        </w:rPr>
        <w:t>3</w:t>
      </w:r>
      <w:r>
        <w:rPr>
          <w:rFonts w:hint="eastAsia" w:ascii="仿宋" w:hAnsi="仿宋" w:eastAsia="仿宋"/>
          <w:sz w:val="32"/>
          <w:szCs w:val="32"/>
        </w:rPr>
        <w:t>年5月按照《北京市财政局关于2023年推进全面实施预算绩效管理工作的通知》）要求对202</w:t>
      </w:r>
      <w:r>
        <w:rPr>
          <w:rFonts w:ascii="仿宋" w:hAnsi="仿宋" w:eastAsia="仿宋"/>
          <w:sz w:val="32"/>
          <w:szCs w:val="32"/>
        </w:rPr>
        <w:t>2</w:t>
      </w:r>
      <w:r>
        <w:rPr>
          <w:rFonts w:hint="eastAsia" w:ascii="仿宋" w:hAnsi="仿宋" w:eastAsia="仿宋"/>
          <w:sz w:val="32"/>
          <w:szCs w:val="32"/>
        </w:rPr>
        <w:t>年度部门项目支出实施绩效自评，评价项目2</w:t>
      </w:r>
      <w:r>
        <w:rPr>
          <w:rFonts w:ascii="仿宋" w:hAnsi="仿宋" w:eastAsia="仿宋"/>
          <w:sz w:val="32"/>
          <w:szCs w:val="32"/>
        </w:rPr>
        <w:t>7</w:t>
      </w:r>
      <w:r>
        <w:rPr>
          <w:rFonts w:hint="eastAsia" w:ascii="仿宋" w:hAnsi="仿宋" w:eastAsia="仿宋"/>
          <w:sz w:val="32"/>
          <w:szCs w:val="32"/>
        </w:rPr>
        <w:t xml:space="preserve">个，涉及金额 </w:t>
      </w:r>
      <w:r>
        <w:rPr>
          <w:rFonts w:ascii="仿宋" w:hAnsi="仿宋" w:eastAsia="仿宋"/>
          <w:sz w:val="32"/>
          <w:szCs w:val="32"/>
        </w:rPr>
        <w:t>2,464.93</w:t>
      </w:r>
      <w:r>
        <w:rPr>
          <w:rFonts w:hint="eastAsia" w:ascii="仿宋" w:hAnsi="仿宋" w:eastAsia="仿宋"/>
          <w:sz w:val="32"/>
          <w:szCs w:val="32"/>
        </w:rPr>
        <w:t>万元。其中，开展部门</w:t>
      </w:r>
      <w:r>
        <w:rPr>
          <w:rFonts w:hint="eastAsia" w:ascii="仿宋" w:hAnsi="仿宋" w:eastAsia="仿宋"/>
          <w:color w:val="000000" w:themeColor="text1"/>
          <w:sz w:val="32"/>
          <w:szCs w:val="32"/>
          <w14:textFill>
            <w14:solidFill>
              <w14:schemeClr w14:val="tx1"/>
            </w14:solidFill>
          </w14:textFill>
        </w:rPr>
        <w:t>重点</w:t>
      </w:r>
      <w:r>
        <w:rPr>
          <w:rFonts w:hint="eastAsia" w:ascii="仿宋" w:hAnsi="仿宋" w:eastAsia="仿宋"/>
          <w:sz w:val="32"/>
          <w:szCs w:val="32"/>
        </w:rPr>
        <w:t xml:space="preserve">绩效评价项目1个，涉及金额 </w:t>
      </w:r>
      <w:r>
        <w:rPr>
          <w:rFonts w:ascii="仿宋" w:hAnsi="仿宋" w:eastAsia="仿宋"/>
          <w:sz w:val="32"/>
          <w:szCs w:val="32"/>
        </w:rPr>
        <w:t>196</w:t>
      </w:r>
      <w:r>
        <w:rPr>
          <w:rFonts w:hint="eastAsia" w:ascii="仿宋" w:hAnsi="仿宋" w:eastAsia="仿宋"/>
          <w:sz w:val="32"/>
          <w:szCs w:val="32"/>
        </w:rPr>
        <w:t>.0</w:t>
      </w:r>
      <w:r>
        <w:rPr>
          <w:rFonts w:ascii="仿宋" w:hAnsi="仿宋" w:eastAsia="仿宋"/>
          <w:sz w:val="32"/>
          <w:szCs w:val="32"/>
        </w:rPr>
        <w:t>0</w:t>
      </w:r>
      <w:r>
        <w:rPr>
          <w:rFonts w:hint="eastAsia" w:ascii="仿宋" w:hAnsi="仿宋" w:eastAsia="仿宋"/>
          <w:sz w:val="32"/>
          <w:szCs w:val="32"/>
        </w:rPr>
        <w:t>万元，评价得分8</w:t>
      </w:r>
      <w:r>
        <w:rPr>
          <w:rFonts w:ascii="仿宋" w:hAnsi="仿宋" w:eastAsia="仿宋"/>
          <w:sz w:val="32"/>
          <w:szCs w:val="32"/>
        </w:rPr>
        <w:t>7</w:t>
      </w:r>
      <w:r>
        <w:rPr>
          <w:rFonts w:hint="eastAsia" w:ascii="仿宋" w:hAnsi="仿宋" w:eastAsia="仿宋"/>
          <w:sz w:val="32"/>
          <w:szCs w:val="32"/>
        </w:rPr>
        <w:t>.</w:t>
      </w:r>
      <w:r>
        <w:rPr>
          <w:rFonts w:ascii="仿宋" w:hAnsi="仿宋" w:eastAsia="仿宋"/>
          <w:sz w:val="32"/>
          <w:szCs w:val="32"/>
        </w:rPr>
        <w:t>76</w:t>
      </w:r>
      <w:r>
        <w:rPr>
          <w:rFonts w:hint="eastAsia" w:ascii="仿宋" w:hAnsi="仿宋" w:eastAsia="仿宋"/>
          <w:sz w:val="32"/>
          <w:szCs w:val="32"/>
        </w:rPr>
        <w:t>分，单位自评项目2</w:t>
      </w:r>
      <w:r>
        <w:rPr>
          <w:rFonts w:ascii="仿宋" w:hAnsi="仿宋" w:eastAsia="仿宋"/>
          <w:sz w:val="32"/>
          <w:szCs w:val="32"/>
        </w:rPr>
        <w:t>6</w:t>
      </w:r>
      <w:r>
        <w:rPr>
          <w:rFonts w:hint="eastAsia" w:ascii="仿宋" w:hAnsi="仿宋" w:eastAsia="仿宋"/>
          <w:sz w:val="32"/>
          <w:szCs w:val="32"/>
        </w:rPr>
        <w:t>个，评价得分在90（含）-100分的</w:t>
      </w:r>
      <w:r>
        <w:rPr>
          <w:rFonts w:hint="eastAsia" w:ascii="仿宋" w:hAnsi="仿宋" w:eastAsia="仿宋"/>
          <w:color w:val="000000" w:themeColor="text1"/>
          <w:sz w:val="32"/>
          <w:szCs w:val="32"/>
          <w:lang w:val="en-US" w:eastAsia="zh-CN"/>
          <w14:textFill>
            <w14:solidFill>
              <w14:schemeClr w14:val="tx1"/>
            </w14:solidFill>
          </w14:textFill>
        </w:rPr>
        <w:t>19</w:t>
      </w:r>
      <w:r>
        <w:rPr>
          <w:rFonts w:hint="eastAsia" w:ascii="仿宋" w:hAnsi="仿宋" w:eastAsia="仿宋"/>
          <w:color w:val="000000" w:themeColor="text1"/>
          <w:sz w:val="32"/>
          <w:szCs w:val="32"/>
          <w14:textFill>
            <w14:solidFill>
              <w14:schemeClr w14:val="tx1"/>
            </w14:solidFill>
          </w14:textFill>
        </w:rPr>
        <w:t>个</w:t>
      </w:r>
      <w:r>
        <w:rPr>
          <w:rFonts w:hint="eastAsia" w:ascii="仿宋" w:hAnsi="仿宋" w:eastAsia="仿宋"/>
          <w:sz w:val="32"/>
          <w:szCs w:val="32"/>
        </w:rPr>
        <w:t>、评价得分在80（含）-90分的</w:t>
      </w:r>
      <w:r>
        <w:rPr>
          <w:rFonts w:hint="eastAsia" w:ascii="仿宋" w:hAnsi="仿宋" w:eastAsia="仿宋"/>
          <w:sz w:val="32"/>
          <w:szCs w:val="32"/>
          <w:lang w:val="en-US" w:eastAsia="zh-CN"/>
        </w:rPr>
        <w:t>7</w:t>
      </w:r>
      <w:r>
        <w:rPr>
          <w:rFonts w:hint="eastAsia" w:ascii="仿宋" w:hAnsi="仿宋" w:eastAsia="仿宋"/>
          <w:sz w:val="32"/>
          <w:szCs w:val="32"/>
        </w:rPr>
        <w:t>个、评价得分在60（含）-80分的0个。</w:t>
      </w:r>
      <w:r>
        <w:rPr>
          <w:rFonts w:hint="eastAsia" w:ascii="仿宋" w:hAnsi="仿宋" w:eastAsia="仿宋"/>
          <w:color w:val="000000" w:themeColor="text1"/>
          <w:sz w:val="32"/>
          <w:szCs w:val="32"/>
          <w14:textFill>
            <w14:solidFill>
              <w14:schemeClr w14:val="tx1"/>
            </w14:solidFill>
          </w14:textFill>
        </w:rPr>
        <w:t>重大要案查办经费项目，因2022年查办的案件均未达到重大要案的标准，未形成支出，节约了项目经费，该笔经费将结转到2023年统筹使用。</w:t>
      </w:r>
    </w:p>
    <w:p>
      <w:pPr>
        <w:spacing w:line="600" w:lineRule="exact"/>
        <w:ind w:firstLine="640" w:firstLineChars="200"/>
        <w:outlineLvl w:val="1"/>
        <w:rPr>
          <w:rFonts w:ascii="仿宋" w:hAnsi="仿宋" w:eastAsia="仿宋"/>
          <w:sz w:val="32"/>
          <w:szCs w:val="32"/>
        </w:rPr>
      </w:pPr>
      <w:bookmarkStart w:id="16" w:name="_Toc135436107"/>
      <w:r>
        <w:rPr>
          <w:rFonts w:hint="eastAsia" w:ascii="仿宋" w:hAnsi="仿宋" w:eastAsia="仿宋"/>
          <w:sz w:val="32"/>
          <w:szCs w:val="32"/>
        </w:rPr>
        <w:t>（三）存在的问题及原因分析</w:t>
      </w:r>
      <w:bookmarkEnd w:id="16"/>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部分项目绩效目标设定存在困难。总队的常规履职项目如重大要案查办经费、日常执法办案费、监督及奖励经费等与年度实际工作开展情况相关度高，且每年上级部门的考核指标也不尽相同，年初无法合理设定绩效目标难度较大。</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2.有的部门对项目绩效目标的设定和各项指标的理解、认识不到位，导致项目绩效目标不够明确、不够细化、不够量化，缺乏可衡量性和可实现性。</w:t>
      </w:r>
    </w:p>
    <w:p>
      <w:pPr>
        <w:spacing w:line="600" w:lineRule="exact"/>
        <w:ind w:firstLine="642" w:firstLineChars="200"/>
        <w:outlineLvl w:val="0"/>
        <w:rPr>
          <w:rFonts w:ascii="仿宋" w:hAnsi="仿宋" w:eastAsia="仿宋" w:cs="宋体"/>
          <w:b/>
          <w:bCs/>
          <w:color w:val="000000"/>
          <w:kern w:val="0"/>
          <w:sz w:val="32"/>
          <w:szCs w:val="32"/>
        </w:rPr>
      </w:pPr>
      <w:bookmarkStart w:id="17" w:name="_Toc135436108"/>
      <w:r>
        <w:rPr>
          <w:rFonts w:hint="eastAsia" w:ascii="仿宋" w:hAnsi="仿宋" w:eastAsia="仿宋" w:cs="宋体"/>
          <w:b/>
          <w:bCs/>
          <w:color w:val="000000"/>
          <w:kern w:val="0"/>
          <w:sz w:val="32"/>
          <w:szCs w:val="32"/>
        </w:rPr>
        <w:t>六、措施建议</w:t>
      </w:r>
      <w:bookmarkEnd w:id="17"/>
    </w:p>
    <w:p>
      <w:pPr>
        <w:spacing w:line="60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结合年初预算及绩效目标，除日常利用内控系统严格审核预算执行情况外，开展半年和年度的专项绩效运行监控工作。对年度内各项目经费进行绩效运行监控，发生偏离及时纠正，确保绩效目标全部实现，发挥绩效管理职能，提高履职和资金使用效益。</w:t>
      </w:r>
    </w:p>
    <w:p>
      <w:pPr>
        <w:spacing w:line="60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建议项目指标以定量指标为主、定性指标为辅，应清晰反映部门核心履职成效和资金支出的核心产出及效果，做到可采集、可衡量、可比较。应合理制定绩效目标，设定全面、细化的绩效目标，保证绩效指标的可衡量性。</w:t>
      </w:r>
    </w:p>
    <w:p>
      <w:pPr>
        <w:pStyle w:val="2"/>
        <w:rPr>
          <w:rFonts w:ascii="仿宋" w:hAnsi="仿宋" w:eastAsia="仿宋"/>
          <w:b/>
          <w:bCs/>
          <w:color w:val="auto"/>
          <w:sz w:val="32"/>
          <w:szCs w:val="32"/>
        </w:rPr>
      </w:pPr>
      <w:bookmarkStart w:id="18" w:name="_Toc103006301"/>
      <w:bookmarkStart w:id="19" w:name="_Toc135436109"/>
      <w:r>
        <w:rPr>
          <w:rFonts w:hint="eastAsia" w:ascii="仿宋" w:hAnsi="仿宋" w:eastAsia="仿宋"/>
          <w:b/>
          <w:bCs/>
          <w:color w:val="auto"/>
          <w:sz w:val="32"/>
          <w:szCs w:val="32"/>
        </w:rPr>
        <w:t>七、附件</w:t>
      </w:r>
      <w:bookmarkEnd w:id="18"/>
      <w:bookmarkEnd w:id="19"/>
    </w:p>
    <w:p>
      <w:pPr>
        <w:spacing w:line="600" w:lineRule="exact"/>
        <w:ind w:firstLine="641"/>
        <w:rPr>
          <w:rFonts w:ascii="仿宋" w:hAnsi="仿宋" w:eastAsia="仿宋"/>
          <w:sz w:val="32"/>
          <w:szCs w:val="32"/>
        </w:rPr>
      </w:pPr>
      <w:r>
        <w:rPr>
          <w:rFonts w:hint="eastAsia" w:ascii="仿宋" w:hAnsi="仿宋" w:eastAsia="仿宋" w:cs="仿宋_GB2312"/>
          <w:sz w:val="32"/>
          <w:szCs w:val="32"/>
        </w:rPr>
        <w:t>2022年部门整体绩效评价指标体系评分表</w:t>
      </w: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3412113"/>
      <w:docPartObj>
        <w:docPartGallery w:val="autotext"/>
      </w:docPartObj>
    </w:sdtPr>
    <w:sdtContent>
      <w:p>
        <w:pPr>
          <w:pStyle w:val="9"/>
          <w:jc w:val="center"/>
        </w:pPr>
        <w:r>
          <w:fldChar w:fldCharType="begin"/>
        </w:r>
        <w:r>
          <w:instrText xml:space="preserve">PAGE   \* MERGEFORMAT</w:instrText>
        </w:r>
        <w:r>
          <w:fldChar w:fldCharType="separate"/>
        </w:r>
        <w:r>
          <w:rPr>
            <w:lang w:val="zh-CN"/>
          </w:rPr>
          <w:t>2</w:t>
        </w:r>
        <w:r>
          <w:fldChar w:fldCharType="end"/>
        </w:r>
      </w:p>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8461249"/>
      <w:docPartObj>
        <w:docPartGallery w:val="autotext"/>
      </w:docPartObj>
    </w:sdtPr>
    <w:sdtContent>
      <w:p>
        <w:pPr>
          <w:pStyle w:val="9"/>
          <w:jc w:val="center"/>
        </w:pPr>
        <w:r>
          <w:fldChar w:fldCharType="begin"/>
        </w:r>
        <w:r>
          <w:instrText xml:space="preserve">PAGE   \* MERGEFORMAT</w:instrText>
        </w:r>
        <w:r>
          <w:fldChar w:fldCharType="separate"/>
        </w:r>
        <w:r>
          <w:rPr>
            <w:lang w:val="zh-CN"/>
          </w:rPr>
          <w:t>15</w:t>
        </w:r>
        <w:r>
          <w:fldChar w:fldCharType="end"/>
        </w:r>
      </w:p>
    </w:sdtContent>
  </w:sdt>
  <w:p>
    <w:pPr>
      <w:pStyle w:val="9"/>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008BB"/>
    <w:rsid w:val="0001017B"/>
    <w:rsid w:val="00013155"/>
    <w:rsid w:val="00037D81"/>
    <w:rsid w:val="00040EF4"/>
    <w:rsid w:val="00043C2B"/>
    <w:rsid w:val="00055182"/>
    <w:rsid w:val="00067148"/>
    <w:rsid w:val="00083069"/>
    <w:rsid w:val="00087E86"/>
    <w:rsid w:val="00090D6B"/>
    <w:rsid w:val="000910A3"/>
    <w:rsid w:val="00097707"/>
    <w:rsid w:val="000A193E"/>
    <w:rsid w:val="000C0FCA"/>
    <w:rsid w:val="000D0FA6"/>
    <w:rsid w:val="000E3A15"/>
    <w:rsid w:val="000F4E1A"/>
    <w:rsid w:val="001010CF"/>
    <w:rsid w:val="00110385"/>
    <w:rsid w:val="00113127"/>
    <w:rsid w:val="00114A15"/>
    <w:rsid w:val="00120071"/>
    <w:rsid w:val="00126B82"/>
    <w:rsid w:val="00135FD2"/>
    <w:rsid w:val="001457BC"/>
    <w:rsid w:val="00165425"/>
    <w:rsid w:val="00165587"/>
    <w:rsid w:val="001806B1"/>
    <w:rsid w:val="001954D0"/>
    <w:rsid w:val="001A17CE"/>
    <w:rsid w:val="001B571B"/>
    <w:rsid w:val="001B6A86"/>
    <w:rsid w:val="001C26A9"/>
    <w:rsid w:val="001D6FDE"/>
    <w:rsid w:val="001D75AD"/>
    <w:rsid w:val="001E348D"/>
    <w:rsid w:val="001E7B48"/>
    <w:rsid w:val="001F0FEA"/>
    <w:rsid w:val="001F1710"/>
    <w:rsid w:val="00210777"/>
    <w:rsid w:val="00212661"/>
    <w:rsid w:val="00217518"/>
    <w:rsid w:val="00237572"/>
    <w:rsid w:val="0024161B"/>
    <w:rsid w:val="0025171B"/>
    <w:rsid w:val="00260FAC"/>
    <w:rsid w:val="00262107"/>
    <w:rsid w:val="00263C3A"/>
    <w:rsid w:val="00272F07"/>
    <w:rsid w:val="002B4BE4"/>
    <w:rsid w:val="002B62B6"/>
    <w:rsid w:val="002C5339"/>
    <w:rsid w:val="002D3280"/>
    <w:rsid w:val="002D755F"/>
    <w:rsid w:val="002E1E38"/>
    <w:rsid w:val="002E4224"/>
    <w:rsid w:val="002E7AC4"/>
    <w:rsid w:val="002E7D48"/>
    <w:rsid w:val="002F594E"/>
    <w:rsid w:val="0030222C"/>
    <w:rsid w:val="00317A58"/>
    <w:rsid w:val="00324CC0"/>
    <w:rsid w:val="00330BE7"/>
    <w:rsid w:val="00341F20"/>
    <w:rsid w:val="00370C96"/>
    <w:rsid w:val="00371877"/>
    <w:rsid w:val="0039177F"/>
    <w:rsid w:val="0039666D"/>
    <w:rsid w:val="00397C8A"/>
    <w:rsid w:val="003B3102"/>
    <w:rsid w:val="003B4D80"/>
    <w:rsid w:val="003B7C20"/>
    <w:rsid w:val="003D0B45"/>
    <w:rsid w:val="003E18EE"/>
    <w:rsid w:val="003E3299"/>
    <w:rsid w:val="003F272C"/>
    <w:rsid w:val="003F3A58"/>
    <w:rsid w:val="003F62B1"/>
    <w:rsid w:val="00433165"/>
    <w:rsid w:val="00443D72"/>
    <w:rsid w:val="004469E5"/>
    <w:rsid w:val="00450E1F"/>
    <w:rsid w:val="004530BE"/>
    <w:rsid w:val="0046142E"/>
    <w:rsid w:val="004647D1"/>
    <w:rsid w:val="004667EF"/>
    <w:rsid w:val="0047360B"/>
    <w:rsid w:val="004860CB"/>
    <w:rsid w:val="00496366"/>
    <w:rsid w:val="004A7386"/>
    <w:rsid w:val="004C01D2"/>
    <w:rsid w:val="004C7A60"/>
    <w:rsid w:val="004E3CD5"/>
    <w:rsid w:val="004E6264"/>
    <w:rsid w:val="004E702B"/>
    <w:rsid w:val="004F6841"/>
    <w:rsid w:val="00502FA4"/>
    <w:rsid w:val="00506BB5"/>
    <w:rsid w:val="00515395"/>
    <w:rsid w:val="00542A41"/>
    <w:rsid w:val="005451BD"/>
    <w:rsid w:val="00545321"/>
    <w:rsid w:val="0055097E"/>
    <w:rsid w:val="005544E4"/>
    <w:rsid w:val="005600EB"/>
    <w:rsid w:val="00561D3D"/>
    <w:rsid w:val="00566568"/>
    <w:rsid w:val="0057689B"/>
    <w:rsid w:val="005806DF"/>
    <w:rsid w:val="00591698"/>
    <w:rsid w:val="00596D90"/>
    <w:rsid w:val="005A3FEE"/>
    <w:rsid w:val="005A7A7F"/>
    <w:rsid w:val="005C22B4"/>
    <w:rsid w:val="005C4006"/>
    <w:rsid w:val="005C78D3"/>
    <w:rsid w:val="005D3A30"/>
    <w:rsid w:val="005D40DC"/>
    <w:rsid w:val="005D7B0B"/>
    <w:rsid w:val="005F6653"/>
    <w:rsid w:val="00605D48"/>
    <w:rsid w:val="00635E0D"/>
    <w:rsid w:val="006460E5"/>
    <w:rsid w:val="006658C5"/>
    <w:rsid w:val="00696639"/>
    <w:rsid w:val="006B13D0"/>
    <w:rsid w:val="006B1EC4"/>
    <w:rsid w:val="006B26B8"/>
    <w:rsid w:val="006C51A4"/>
    <w:rsid w:val="006C7AD7"/>
    <w:rsid w:val="006E56B2"/>
    <w:rsid w:val="006E75F6"/>
    <w:rsid w:val="006F159F"/>
    <w:rsid w:val="00710253"/>
    <w:rsid w:val="00710481"/>
    <w:rsid w:val="00720635"/>
    <w:rsid w:val="00722742"/>
    <w:rsid w:val="0075367B"/>
    <w:rsid w:val="0075368E"/>
    <w:rsid w:val="00794D14"/>
    <w:rsid w:val="007A07B4"/>
    <w:rsid w:val="007D798D"/>
    <w:rsid w:val="00807626"/>
    <w:rsid w:val="0081268F"/>
    <w:rsid w:val="00832D24"/>
    <w:rsid w:val="00863F87"/>
    <w:rsid w:val="008721AD"/>
    <w:rsid w:val="00875413"/>
    <w:rsid w:val="008926EA"/>
    <w:rsid w:val="008931CD"/>
    <w:rsid w:val="008A1D54"/>
    <w:rsid w:val="008A3803"/>
    <w:rsid w:val="008A3D68"/>
    <w:rsid w:val="008B417F"/>
    <w:rsid w:val="008C600E"/>
    <w:rsid w:val="008C70C6"/>
    <w:rsid w:val="008D18F2"/>
    <w:rsid w:val="008E2801"/>
    <w:rsid w:val="008E2AA1"/>
    <w:rsid w:val="0092346C"/>
    <w:rsid w:val="00940DC0"/>
    <w:rsid w:val="00942CF1"/>
    <w:rsid w:val="0094492F"/>
    <w:rsid w:val="00950307"/>
    <w:rsid w:val="009574CB"/>
    <w:rsid w:val="009731B9"/>
    <w:rsid w:val="00990446"/>
    <w:rsid w:val="009974E6"/>
    <w:rsid w:val="009B702C"/>
    <w:rsid w:val="009B70F5"/>
    <w:rsid w:val="009C45CE"/>
    <w:rsid w:val="009D0730"/>
    <w:rsid w:val="009D07A9"/>
    <w:rsid w:val="009D1284"/>
    <w:rsid w:val="009E24E1"/>
    <w:rsid w:val="009E64C3"/>
    <w:rsid w:val="00A0352D"/>
    <w:rsid w:val="00A03678"/>
    <w:rsid w:val="00A041EE"/>
    <w:rsid w:val="00A06456"/>
    <w:rsid w:val="00A06A07"/>
    <w:rsid w:val="00A168DB"/>
    <w:rsid w:val="00A219B9"/>
    <w:rsid w:val="00A25C9D"/>
    <w:rsid w:val="00A300AB"/>
    <w:rsid w:val="00A427BC"/>
    <w:rsid w:val="00A53134"/>
    <w:rsid w:val="00A874E6"/>
    <w:rsid w:val="00A87EF5"/>
    <w:rsid w:val="00AC2558"/>
    <w:rsid w:val="00AD4B22"/>
    <w:rsid w:val="00AE0890"/>
    <w:rsid w:val="00AE7811"/>
    <w:rsid w:val="00B04DF0"/>
    <w:rsid w:val="00B04E16"/>
    <w:rsid w:val="00B10407"/>
    <w:rsid w:val="00B14696"/>
    <w:rsid w:val="00B1594B"/>
    <w:rsid w:val="00B23C9B"/>
    <w:rsid w:val="00B36DC9"/>
    <w:rsid w:val="00B41E83"/>
    <w:rsid w:val="00B52356"/>
    <w:rsid w:val="00B565EF"/>
    <w:rsid w:val="00B67643"/>
    <w:rsid w:val="00B720FF"/>
    <w:rsid w:val="00B83B54"/>
    <w:rsid w:val="00BA1A4E"/>
    <w:rsid w:val="00BA460D"/>
    <w:rsid w:val="00BA72A1"/>
    <w:rsid w:val="00BB4AC7"/>
    <w:rsid w:val="00BC0A6E"/>
    <w:rsid w:val="00BE11FC"/>
    <w:rsid w:val="00BE52CD"/>
    <w:rsid w:val="00BF29EB"/>
    <w:rsid w:val="00BF39BC"/>
    <w:rsid w:val="00C02348"/>
    <w:rsid w:val="00C026AE"/>
    <w:rsid w:val="00C03F17"/>
    <w:rsid w:val="00C218A3"/>
    <w:rsid w:val="00C42130"/>
    <w:rsid w:val="00C46578"/>
    <w:rsid w:val="00C51E80"/>
    <w:rsid w:val="00C559F4"/>
    <w:rsid w:val="00C66209"/>
    <w:rsid w:val="00C743BE"/>
    <w:rsid w:val="00C84F9E"/>
    <w:rsid w:val="00C85E19"/>
    <w:rsid w:val="00CA2643"/>
    <w:rsid w:val="00CA319E"/>
    <w:rsid w:val="00CA42A2"/>
    <w:rsid w:val="00CB055E"/>
    <w:rsid w:val="00CB1698"/>
    <w:rsid w:val="00CB2ADC"/>
    <w:rsid w:val="00CB39DB"/>
    <w:rsid w:val="00CC7421"/>
    <w:rsid w:val="00CE7474"/>
    <w:rsid w:val="00CE7777"/>
    <w:rsid w:val="00CF0E43"/>
    <w:rsid w:val="00CF5BE6"/>
    <w:rsid w:val="00D30F2A"/>
    <w:rsid w:val="00D47DB0"/>
    <w:rsid w:val="00D50084"/>
    <w:rsid w:val="00D51781"/>
    <w:rsid w:val="00D52B21"/>
    <w:rsid w:val="00D53DEE"/>
    <w:rsid w:val="00D6098B"/>
    <w:rsid w:val="00D673E3"/>
    <w:rsid w:val="00D71C19"/>
    <w:rsid w:val="00D7240C"/>
    <w:rsid w:val="00D8582A"/>
    <w:rsid w:val="00D96142"/>
    <w:rsid w:val="00D975AB"/>
    <w:rsid w:val="00D97F16"/>
    <w:rsid w:val="00DB6873"/>
    <w:rsid w:val="00DC3085"/>
    <w:rsid w:val="00DD0F9E"/>
    <w:rsid w:val="00DE3167"/>
    <w:rsid w:val="00DE62DA"/>
    <w:rsid w:val="00E20A4A"/>
    <w:rsid w:val="00E23D7A"/>
    <w:rsid w:val="00E248C7"/>
    <w:rsid w:val="00E323D4"/>
    <w:rsid w:val="00E346E7"/>
    <w:rsid w:val="00E34D1F"/>
    <w:rsid w:val="00E45CEB"/>
    <w:rsid w:val="00E67D34"/>
    <w:rsid w:val="00E7722A"/>
    <w:rsid w:val="00E81B1B"/>
    <w:rsid w:val="00E82B3A"/>
    <w:rsid w:val="00EA3E12"/>
    <w:rsid w:val="00EC65E4"/>
    <w:rsid w:val="00EE3940"/>
    <w:rsid w:val="00EE4765"/>
    <w:rsid w:val="00EE7B2D"/>
    <w:rsid w:val="00EF3C99"/>
    <w:rsid w:val="00EF5602"/>
    <w:rsid w:val="00EF6908"/>
    <w:rsid w:val="00F234C7"/>
    <w:rsid w:val="00F37CF7"/>
    <w:rsid w:val="00F5089F"/>
    <w:rsid w:val="00F52782"/>
    <w:rsid w:val="00F7360D"/>
    <w:rsid w:val="00F86B84"/>
    <w:rsid w:val="00F86F86"/>
    <w:rsid w:val="00FB307F"/>
    <w:rsid w:val="00FB4089"/>
    <w:rsid w:val="00FB5B85"/>
    <w:rsid w:val="00FB687F"/>
    <w:rsid w:val="00FC0238"/>
    <w:rsid w:val="00FC1EE8"/>
    <w:rsid w:val="00FC3CB7"/>
    <w:rsid w:val="00FD1822"/>
    <w:rsid w:val="00FF7861"/>
    <w:rsid w:val="175F53D8"/>
    <w:rsid w:val="37173543"/>
    <w:rsid w:val="3EBBFE76"/>
    <w:rsid w:val="3FDBA076"/>
    <w:rsid w:val="3FDFB3F0"/>
    <w:rsid w:val="3FDFC9A6"/>
    <w:rsid w:val="3FF76880"/>
    <w:rsid w:val="5BFD4AC2"/>
    <w:rsid w:val="67759716"/>
    <w:rsid w:val="6F7ED27B"/>
    <w:rsid w:val="75B17A7C"/>
    <w:rsid w:val="7AB7FF50"/>
    <w:rsid w:val="7AEAF641"/>
    <w:rsid w:val="7BAD2729"/>
    <w:rsid w:val="7BFEB0DB"/>
    <w:rsid w:val="7ECAC945"/>
    <w:rsid w:val="7F1D05AA"/>
    <w:rsid w:val="7FFF4E81"/>
    <w:rsid w:val="7FFFD0D3"/>
    <w:rsid w:val="8716660E"/>
    <w:rsid w:val="A3AA735E"/>
    <w:rsid w:val="A75D4892"/>
    <w:rsid w:val="AFFFCE02"/>
    <w:rsid w:val="CEFD3F3D"/>
    <w:rsid w:val="D6B22E60"/>
    <w:rsid w:val="EA3F77F2"/>
    <w:rsid w:val="EEFE5989"/>
    <w:rsid w:val="EFCF3EAE"/>
    <w:rsid w:val="F4FDEB06"/>
    <w:rsid w:val="F5B764A2"/>
    <w:rsid w:val="F6E665A3"/>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qFormat/>
    <w:uiPriority w:val="0"/>
    <w:pPr>
      <w:ind w:left="1260"/>
      <w:jc w:val="left"/>
    </w:pPr>
    <w:rPr>
      <w:rFonts w:asciiTheme="minorHAnsi" w:hAnsiTheme="minorHAnsi" w:cstheme="minorHAnsi"/>
      <w:sz w:val="18"/>
      <w:szCs w:val="18"/>
    </w:rPr>
  </w:style>
  <w:style w:type="paragraph" w:styleId="5">
    <w:name w:val="toc 5"/>
    <w:basedOn w:val="1"/>
    <w:next w:val="1"/>
    <w:qFormat/>
    <w:uiPriority w:val="0"/>
    <w:pPr>
      <w:ind w:left="840"/>
      <w:jc w:val="left"/>
    </w:pPr>
    <w:rPr>
      <w:rFonts w:asciiTheme="minorHAnsi" w:hAnsiTheme="minorHAnsi" w:cstheme="minorHAnsi"/>
      <w:sz w:val="18"/>
      <w:szCs w:val="18"/>
    </w:rPr>
  </w:style>
  <w:style w:type="paragraph" w:styleId="6">
    <w:name w:val="toc 3"/>
    <w:basedOn w:val="1"/>
    <w:next w:val="1"/>
    <w:unhideWhenUsed/>
    <w:qFormat/>
    <w:uiPriority w:val="39"/>
    <w:pPr>
      <w:ind w:left="420"/>
      <w:jc w:val="left"/>
    </w:pPr>
    <w:rPr>
      <w:rFonts w:asciiTheme="minorHAnsi" w:hAnsiTheme="minorHAnsi" w:cstheme="minorHAnsi"/>
      <w:i/>
      <w:iCs/>
      <w:sz w:val="20"/>
      <w:szCs w:val="20"/>
    </w:rPr>
  </w:style>
  <w:style w:type="paragraph" w:styleId="7">
    <w:name w:val="toc 8"/>
    <w:basedOn w:val="1"/>
    <w:next w:val="1"/>
    <w:qFormat/>
    <w:uiPriority w:val="0"/>
    <w:pPr>
      <w:ind w:left="1470"/>
      <w:jc w:val="left"/>
    </w:pPr>
    <w:rPr>
      <w:rFonts w:asciiTheme="minorHAnsi" w:hAnsiTheme="minorHAnsi" w:cstheme="minorHAnsi"/>
      <w:sz w:val="18"/>
      <w:szCs w:val="18"/>
    </w:rPr>
  </w:style>
  <w:style w:type="paragraph" w:styleId="8">
    <w:name w:val="Balloon Text"/>
    <w:basedOn w:val="1"/>
    <w:link w:val="23"/>
    <w:qFormat/>
    <w:uiPriority w:val="0"/>
    <w:rPr>
      <w:sz w:val="18"/>
      <w:szCs w:val="18"/>
    </w:rPr>
  </w:style>
  <w:style w:type="paragraph" w:styleId="9">
    <w:name w:val="footer"/>
    <w:basedOn w:val="1"/>
    <w:link w:val="22"/>
    <w:qFormat/>
    <w:uiPriority w:val="99"/>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unhideWhenUsed/>
    <w:qFormat/>
    <w:uiPriority w:val="39"/>
    <w:pPr>
      <w:spacing w:before="120" w:after="120"/>
      <w:jc w:val="left"/>
    </w:pPr>
    <w:rPr>
      <w:rFonts w:asciiTheme="minorHAnsi" w:hAnsiTheme="minorHAnsi" w:cstheme="minorHAnsi"/>
      <w:b/>
      <w:bCs/>
      <w:caps/>
      <w:sz w:val="20"/>
      <w:szCs w:val="20"/>
    </w:rPr>
  </w:style>
  <w:style w:type="paragraph" w:styleId="12">
    <w:name w:val="toc 4"/>
    <w:basedOn w:val="1"/>
    <w:next w:val="1"/>
    <w:qFormat/>
    <w:uiPriority w:val="0"/>
    <w:pPr>
      <w:ind w:left="630"/>
      <w:jc w:val="left"/>
    </w:pPr>
    <w:rPr>
      <w:rFonts w:asciiTheme="minorHAnsi" w:hAnsiTheme="minorHAnsi" w:cstheme="minorHAnsi"/>
      <w:sz w:val="18"/>
      <w:szCs w:val="18"/>
    </w:rPr>
  </w:style>
  <w:style w:type="paragraph" w:styleId="13">
    <w:name w:val="toc 6"/>
    <w:basedOn w:val="1"/>
    <w:next w:val="1"/>
    <w:qFormat/>
    <w:uiPriority w:val="0"/>
    <w:pPr>
      <w:ind w:left="1050"/>
      <w:jc w:val="left"/>
    </w:pPr>
    <w:rPr>
      <w:rFonts w:asciiTheme="minorHAnsi" w:hAnsiTheme="minorHAnsi" w:cstheme="minorHAnsi"/>
      <w:sz w:val="18"/>
      <w:szCs w:val="18"/>
    </w:rPr>
  </w:style>
  <w:style w:type="paragraph" w:styleId="14">
    <w:name w:val="toc 2"/>
    <w:basedOn w:val="1"/>
    <w:next w:val="1"/>
    <w:qFormat/>
    <w:uiPriority w:val="39"/>
    <w:pPr>
      <w:ind w:left="210"/>
      <w:jc w:val="left"/>
    </w:pPr>
    <w:rPr>
      <w:rFonts w:asciiTheme="minorHAnsi" w:hAnsiTheme="minorHAnsi" w:cstheme="minorHAnsi"/>
      <w:smallCaps/>
      <w:sz w:val="20"/>
      <w:szCs w:val="20"/>
    </w:rPr>
  </w:style>
  <w:style w:type="paragraph" w:styleId="15">
    <w:name w:val="toc 9"/>
    <w:basedOn w:val="1"/>
    <w:next w:val="1"/>
    <w:qFormat/>
    <w:uiPriority w:val="0"/>
    <w:pPr>
      <w:ind w:left="1680"/>
      <w:jc w:val="left"/>
    </w:pPr>
    <w:rPr>
      <w:rFonts w:asciiTheme="minorHAnsi" w:hAnsiTheme="minorHAnsi" w:cstheme="minorHAnsi"/>
      <w:sz w:val="18"/>
      <w:szCs w:val="18"/>
    </w:r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paragraph" w:customStyle="1" w:styleId="19">
    <w:name w:val="列出段落1"/>
    <w:basedOn w:val="1"/>
    <w:qFormat/>
    <w:uiPriority w:val="34"/>
    <w:pPr>
      <w:ind w:firstLine="420" w:firstLineChars="200"/>
    </w:pPr>
    <w:rPr>
      <w:rFonts w:ascii="Calibri" w:hAnsi="Calibri" w:cs="黑体"/>
      <w:szCs w:val="22"/>
    </w:rPr>
  </w:style>
  <w:style w:type="paragraph" w:styleId="20">
    <w:name w:val="List Paragraph"/>
    <w:basedOn w:val="1"/>
    <w:qFormat/>
    <w:uiPriority w:val="99"/>
    <w:pPr>
      <w:ind w:firstLine="420" w:firstLineChars="200"/>
    </w:pPr>
  </w:style>
  <w:style w:type="paragraph" w:customStyle="1" w:styleId="21">
    <w:name w:val="TOC Heading"/>
    <w:basedOn w:val="2"/>
    <w:next w:val="1"/>
    <w:unhideWhenUsed/>
    <w:qFormat/>
    <w:uiPriority w:val="39"/>
    <w:pPr>
      <w:keepNext/>
      <w:keepLines/>
      <w:widowControl/>
      <w:spacing w:before="240" w:line="259" w:lineRule="auto"/>
      <w:ind w:firstLine="0"/>
      <w:jc w:val="left"/>
      <w:outlineLvl w:val="9"/>
    </w:pPr>
    <w:rPr>
      <w:rFonts w:asciiTheme="majorHAnsi" w:hAnsiTheme="majorHAnsi" w:eastAsiaTheme="majorEastAsia" w:cstheme="majorBidi"/>
      <w:color w:val="2E75B6" w:themeColor="accent1" w:themeShade="BF"/>
      <w:sz w:val="32"/>
      <w:szCs w:val="32"/>
    </w:rPr>
  </w:style>
  <w:style w:type="character" w:customStyle="1" w:styleId="22">
    <w:name w:val="页脚 Char"/>
    <w:basedOn w:val="17"/>
    <w:link w:val="9"/>
    <w:qFormat/>
    <w:uiPriority w:val="99"/>
    <w:rPr>
      <w:rFonts w:ascii="Times New Roman" w:hAnsi="Times New Roman" w:eastAsia="宋体" w:cs="Times New Roman"/>
      <w:kern w:val="2"/>
      <w:sz w:val="18"/>
    </w:rPr>
  </w:style>
  <w:style w:type="character" w:customStyle="1" w:styleId="23">
    <w:name w:val="批注框文本 Char"/>
    <w:basedOn w:val="17"/>
    <w:link w:val="8"/>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1474</Words>
  <Characters>8408</Characters>
  <Lines>70</Lines>
  <Paragraphs>19</Paragraphs>
  <TotalTime>0</TotalTime>
  <ScaleCrop>false</ScaleCrop>
  <LinksUpToDate>false</LinksUpToDate>
  <CharactersWithSpaces>9863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2023-06-13T05:06:00Z</dcterms:created>
  <dc:creator>user</dc:creator>
  <cp:lastModifiedBy>wangmeimei</cp:lastModifiedBy>
  <cp:lastPrinted>2023-03-07T01:31:00Z</cp:lastPrinted>
  <dcterms:modified xsi:type="dcterms:W3CDTF">2023-08-23T11:34:18Z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