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p>
    <w:p>
      <w:pPr>
        <w:spacing w:line="480"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（2022年度）</w:t>
      </w:r>
    </w:p>
    <w:p>
      <w:pPr>
        <w:spacing w:line="240" w:lineRule="exact"/>
        <w:rPr>
          <w:rFonts w:ascii="仿宋_GB2312" w:hAnsi="宋体" w:eastAsia="仿宋_GB2312"/>
          <w:sz w:val="30"/>
          <w:szCs w:val="30"/>
        </w:rPr>
      </w:pPr>
    </w:p>
    <w:tbl>
      <w:tblPr>
        <w:tblStyle w:val="6"/>
        <w:tblW w:w="9351"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318"/>
        <w:gridCol w:w="425"/>
        <w:gridCol w:w="266"/>
        <w:gridCol w:w="584"/>
        <w:gridCol w:w="267"/>
        <w:gridCol w:w="992"/>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791"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专业团队协助服务管理</w:t>
            </w:r>
          </w:p>
        </w:tc>
      </w:tr>
      <w:tr>
        <w:tblPrEx>
          <w:tblCellMar>
            <w:top w:w="0" w:type="dxa"/>
            <w:left w:w="108" w:type="dxa"/>
            <w:bottom w:w="0" w:type="dxa"/>
            <w:right w:w="108" w:type="dxa"/>
          </w:tblCellMar>
        </w:tblPrEx>
        <w:trPr>
          <w:trHeight w:val="478"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北京市体育局</w:t>
            </w: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53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北京市体育竞赛管理和国际交流中心</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崔红梅</w:t>
            </w: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53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65522526</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69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99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550"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117.8675</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117.8675</w:t>
            </w: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50.737900</w:t>
            </w:r>
          </w:p>
        </w:tc>
        <w:tc>
          <w:tcPr>
            <w:tcW w:w="69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43.05%</w:t>
            </w:r>
          </w:p>
        </w:tc>
        <w:tc>
          <w:tcPr>
            <w:tcW w:w="99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4.31</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9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9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9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9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9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9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70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784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1.为中心近年来举办的一系列体育赛事活动及2022年举办的北京市第十六届运动会及北京市第二届冬季运动会等体育赛事活动租赁库房储存赛事物资。</w:t>
            </w:r>
          </w:p>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2.为更好地完成中心法务咨询服务、档案管理、保洁服务，聘请律师事务所、物业服务公司提供服务，提升履职能力。</w:t>
            </w:r>
          </w:p>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3.通过加强对单位主责承办赛事及对全市裁判员队伍建设工作的新闻宣传推广力度，推动单位政务新媒体矩阵融合发展，扩大我市传统品牌体育赛事社会影响力、深挖赛事品牌价值，加快我市“十四五”时期裁判员队伍建设更好更快发展，促进广泛开展全民健身活动,加快推进体育强国建设。</w:t>
            </w:r>
          </w:p>
        </w:tc>
        <w:tc>
          <w:tcPr>
            <w:tcW w:w="3700" w:type="dxa"/>
            <w:gridSpan w:val="7"/>
            <w:tcBorders>
              <w:top w:val="single" w:color="auto" w:sz="4" w:space="0"/>
              <w:left w:val="nil"/>
              <w:bottom w:val="single" w:color="auto" w:sz="4" w:space="0"/>
              <w:right w:val="single" w:color="auto" w:sz="4" w:space="0"/>
            </w:tcBorders>
            <w:vAlign w:val="center"/>
          </w:tcPr>
          <w:p>
            <w:pPr>
              <w:spacing w:line="160" w:lineRule="exact"/>
              <w:rPr>
                <w:rFonts w:ascii="仿宋_GB2312" w:hAnsi="宋体" w:eastAsia="仿宋_GB2312" w:cs="宋体"/>
                <w:kern w:val="0"/>
                <w:szCs w:val="21"/>
              </w:rPr>
            </w:pPr>
            <w:r>
              <w:rPr>
                <w:rFonts w:hint="eastAsia" w:ascii="仿宋_GB2312" w:hAnsi="仿宋_GB2312" w:eastAsia="仿宋_GB2312" w:cs="仿宋_GB2312"/>
                <w:sz w:val="18"/>
                <w:szCs w:val="13"/>
              </w:rPr>
              <w:t>在项目执行过程中，采取多种方式实施监控监管，尽可能确保项目实施和资金使用不偏离目标，不出现违规和滞后问题。一是购买律师服务。2022年委托北京天达共和律师事务所为中心提供法律服务，全年共服务20项次，服务时长91.9小时，圆满完成中心日常法律咨询服务工作。二是库房租赁。为做好中心赛事物资保管工作，2022年租用北京逆唯科贸发展有限公司库房（位于北京市房山区城关街道辛庄村西），租用面积1000平方米，圆满完成库房租赁工作。三是档案整理工作。2021年度档案整理工作已全部完成，共存档中心编号文、赛事审批、赛事组织、行政管理、党群管理、裁判员管理等6大类档案共2315件，圆满完成工作任务。四是购买保洁服务。2022年委托北京燕侨物业管理有限公司提供中心办公楼日常物业保洁服务，圆满完成工作任务。四是做好中心融媒体平台建设工作，顺利完成2022北京马拉松、北京市第十六届运动会，2022年北京市青少年锦标赛等赛事活动宣传推广和网络直播工作，包括对中心新媒体账号进行内容运维，“北京竞技场”微信公众号已编辑推送宣传文章705篇，总阅读量超过22.4万人次；对“北京竞技场”微信视频号和抖音号视频进行了及时同步发布，共发布视频动态331条，总观看量超过75.1万人次。通过撰写我中心赛事活动的新闻稿件并进行媒体宣传推广工作，加大中心2022年度参与举办的各项赛事活动推广力度，提高知名度和影响力。受我市疫情影响，中心2022年度部分赛事取消举办，原计划撰写126篇稿件并进行140次媒体推广工作未全部完成，实际为中心2022年度赛事活动撰写41篇稿件并进行29次媒体推广。受我市疫情影响，中心2022年度部分赛事取消举办，原计划的资料采集和专题片制作工作未全部完成，实际共为中心提供了图片资料采集服务15人次，视频资料采集服务45人次，制作宣传专题片43部，其中已完成制作的视频经我部门验收全部合格，并在中心宣传平台进行了发布。为了满足参赛运动员、家长和社会各界观看中心2022年度举办的各类赛事实况和回放的需求，前期我中心计划开展30场赛事网络直播。受我市疫情影响，中心2022年度部分赛事取消举办，原计划直播30场赛事活动未全部完成，实际为中心2022年度赛事活动提供了4天网络直播服务，回看视频均在中心官网、微信公众号等平台进行了发布。</w:t>
            </w:r>
          </w:p>
        </w:tc>
      </w:tr>
      <w:tr>
        <w:tblPrEx>
          <w:tblCellMar>
            <w:top w:w="0" w:type="dxa"/>
            <w:left w:w="108" w:type="dxa"/>
            <w:bottom w:w="0" w:type="dxa"/>
            <w:right w:w="108" w:type="dxa"/>
          </w:tblCellMar>
        </w:tblPrEx>
        <w:trPr>
          <w:trHeight w:val="1087"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7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律师服务</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1年</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1年</w:t>
            </w:r>
          </w:p>
        </w:tc>
        <w:tc>
          <w:tcPr>
            <w:tcW w:w="7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库房租赁</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1年</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1年</w:t>
            </w:r>
          </w:p>
        </w:tc>
        <w:tc>
          <w:tcPr>
            <w:tcW w:w="7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档案管理</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1年</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1年</w:t>
            </w:r>
          </w:p>
        </w:tc>
        <w:tc>
          <w:tcPr>
            <w:tcW w:w="7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8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提供法律咨询服务、出具法律意见</w:t>
            </w:r>
          </w:p>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及时准确</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优良中低差</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7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1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库房内外环境整洁，安全防护措施到位，全年不发生安全事故</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优良中低差</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7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99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根据中心工作任务档案分类客观准确，档案整理规范，档案扫描上传系统软件及时</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优良中低差</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7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开始租赁时间（1月）</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1月</w:t>
            </w:r>
          </w:p>
        </w:tc>
        <w:tc>
          <w:tcPr>
            <w:tcW w:w="7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库房验收时间（12月）</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12月</w:t>
            </w:r>
          </w:p>
        </w:tc>
        <w:tc>
          <w:tcPr>
            <w:tcW w:w="7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299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项目预算控制数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117.8675</w:t>
            </w:r>
            <w:r>
              <w:rPr>
                <w:rFonts w:hint="eastAsia" w:ascii="仿宋_GB2312" w:hAnsi="宋体" w:eastAsia="仿宋_GB2312" w:cs="宋体"/>
                <w:kern w:val="0"/>
                <w:szCs w:val="21"/>
              </w:rPr>
              <w:t>万元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50.73790万元</w:t>
            </w:r>
          </w:p>
        </w:tc>
        <w:tc>
          <w:tcPr>
            <w:tcW w:w="7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4.31</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160" w:lineRule="exact"/>
              <w:jc w:val="left"/>
              <w:rPr>
                <w:rFonts w:ascii="仿宋_GB2312" w:hAnsi="宋体" w:eastAsia="仿宋_GB2312" w:cs="宋体"/>
                <w:kern w:val="0"/>
                <w:sz w:val="15"/>
                <w:szCs w:val="15"/>
              </w:rPr>
            </w:pPr>
            <w:r>
              <w:rPr>
                <w:rFonts w:hint="eastAsia" w:ascii="仿宋_GB2312" w:hAnsi="宋体" w:eastAsia="仿宋_GB2312" w:cs="宋体"/>
                <w:kern w:val="0"/>
                <w:sz w:val="18"/>
                <w:szCs w:val="15"/>
              </w:rPr>
              <w:t>受疫情影响，以及其他项目经费调剂使用等原因，本年度专业团队协助服务管理预算未全部执行，下一年度将全力做好项目预算控制执行。</w:t>
            </w:r>
          </w:p>
        </w:tc>
      </w:tr>
      <w:tr>
        <w:tblPrEx>
          <w:tblCellMar>
            <w:top w:w="0" w:type="dxa"/>
            <w:left w:w="108" w:type="dxa"/>
            <w:bottom w:w="0" w:type="dxa"/>
            <w:right w:w="108" w:type="dxa"/>
          </w:tblCellMar>
        </w:tblPrEx>
        <w:trPr>
          <w:trHeight w:val="49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bookmarkStart w:id="0" w:name="_GoBack"/>
            <w:bookmarkEnd w:id="0"/>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我市体育赛事社会关注度得到提升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优良中低差</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7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8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0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提升履职能力和工作效率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优良中低差</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7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8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9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法务、档案、保洁、工作满意度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90</w:t>
            </w:r>
            <w:r>
              <w:rPr>
                <w:rFonts w:hint="eastAsia" w:ascii="仿宋_GB2312" w:hAnsi="宋体" w:eastAsia="仿宋_GB2312" w:cs="宋体"/>
                <w:kern w:val="0"/>
                <w:szCs w:val="21"/>
              </w:rPr>
              <w:t>%</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7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88.62</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widowControl/>
        <w:jc w:val="left"/>
        <w:rPr>
          <w:rFonts w:ascii="仿宋_GB2312" w:hAnsi="宋体" w:eastAsia="仿宋_GB2312" w:cs="宋体"/>
          <w:color w:val="000000"/>
          <w:kern w:val="0"/>
          <w:sz w:val="32"/>
          <w:szCs w:val="32"/>
        </w:rPr>
      </w:pPr>
    </w:p>
    <w:p>
      <w:pPr>
        <w:spacing w:line="520" w:lineRule="exact"/>
        <w:ind w:firstLine="640" w:firstLineChars="200"/>
        <w:rPr>
          <w:rFonts w:ascii="仿宋_GB2312" w:hAnsi="宋体" w:eastAsia="仿宋_GB2312" w:cs="宋体"/>
          <w:color w:val="000000"/>
          <w:kern w:val="0"/>
          <w:sz w:val="32"/>
          <w:szCs w:val="32"/>
        </w:rPr>
      </w:pPr>
    </w:p>
    <w:sectPr>
      <w:footerReference r:id="rId3" w:type="default"/>
      <w:pgSz w:w="11906" w:h="16838"/>
      <w:pgMar w:top="1440" w:right="1588" w:bottom="1440"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14935" cy="131445"/>
              <wp:effectExtent l="0" t="0" r="0" b="0"/>
              <wp:wrapNone/>
              <wp:docPr id="2" name="文本框 1"/>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w="6350">
                        <a:noFill/>
                      </a:ln>
                    </wps:spPr>
                    <wps:txbx>
                      <w:txbxContent>
                        <w:p>
                          <w:pPr>
                            <w:pStyle w:val="4"/>
                            <w:jc w:val="right"/>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1" o:spid="_x0000_s1026" o:spt="202" type="#_x0000_t202" style="position:absolute;left:0pt;margin-top:0pt;height:10.35pt;width:9.05pt;mso-position-horizontal:right;mso-position-horizontal-relative:margin;mso-wrap-style:none;z-index:251659264;mso-width-relative:page;mso-height-relative:page;" filled="f" stroked="f" coordsize="21600,21600" o:gfxdata="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l3GF10gAAAAMBAAAPAAAAAAAAAAEAIAAAACIAAABkcnMvZG93bnJldi54bWxQSwECFAAU&#10;AAAACACHTuJAkvkClTACAABTBAAADgAAAAAAAAABACAAAAAhAQAAZHJzL2Uyb0RvYy54bWxQSwUG&#10;AAAAAAYABgBZAQAAwwUAAAAA&#10;">
              <v:fill on="f" focussize="0,0"/>
              <v:stroke on="f" weight="0.5pt"/>
              <v:imagedata o:title=""/>
              <o:lock v:ext="edit" aspectratio="f"/>
              <v:textbox inset="0mm,0mm,0mm,0mm" style="mso-fit-shape-to-text:t;">
                <w:txbxContent>
                  <w:p>
                    <w:pPr>
                      <w:pStyle w:val="4"/>
                      <w:jc w:val="right"/>
                    </w:pPr>
                  </w:p>
                </w:txbxContent>
              </v:textbox>
            </v:shape>
          </w:pict>
        </mc:Fallback>
      </mc:AlternateConten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cyMzE1OTA4YzgxZDhkMDc2MmYwNGYwMWY2YjM2YzgifQ=="/>
  </w:docVars>
  <w:rsids>
    <w:rsidRoot w:val="F77F09F4"/>
    <w:rsid w:val="000144A1"/>
    <w:rsid w:val="00032470"/>
    <w:rsid w:val="000C72B5"/>
    <w:rsid w:val="000D28C4"/>
    <w:rsid w:val="00105F46"/>
    <w:rsid w:val="0027792A"/>
    <w:rsid w:val="002A7EF8"/>
    <w:rsid w:val="002E5051"/>
    <w:rsid w:val="0036019D"/>
    <w:rsid w:val="003A6459"/>
    <w:rsid w:val="00434D9C"/>
    <w:rsid w:val="004510F9"/>
    <w:rsid w:val="004A6DB5"/>
    <w:rsid w:val="004F5598"/>
    <w:rsid w:val="00557849"/>
    <w:rsid w:val="00582168"/>
    <w:rsid w:val="00621ABC"/>
    <w:rsid w:val="006656AE"/>
    <w:rsid w:val="00687775"/>
    <w:rsid w:val="007178E4"/>
    <w:rsid w:val="007308DE"/>
    <w:rsid w:val="007312D4"/>
    <w:rsid w:val="0073270D"/>
    <w:rsid w:val="007779A4"/>
    <w:rsid w:val="00784E19"/>
    <w:rsid w:val="007872D7"/>
    <w:rsid w:val="008027E6"/>
    <w:rsid w:val="00820772"/>
    <w:rsid w:val="00825398"/>
    <w:rsid w:val="008937B0"/>
    <w:rsid w:val="008C1EEF"/>
    <w:rsid w:val="00964477"/>
    <w:rsid w:val="00992CF7"/>
    <w:rsid w:val="009E4B39"/>
    <w:rsid w:val="00A60F66"/>
    <w:rsid w:val="00A92A5B"/>
    <w:rsid w:val="00B10CAF"/>
    <w:rsid w:val="00B23F72"/>
    <w:rsid w:val="00B30BA4"/>
    <w:rsid w:val="00B758E4"/>
    <w:rsid w:val="00B90EC9"/>
    <w:rsid w:val="00BC6C01"/>
    <w:rsid w:val="00C95FA1"/>
    <w:rsid w:val="00CF6022"/>
    <w:rsid w:val="00D01EAB"/>
    <w:rsid w:val="00D15BD0"/>
    <w:rsid w:val="00D37BDF"/>
    <w:rsid w:val="00EA15E2"/>
    <w:rsid w:val="00F61447"/>
    <w:rsid w:val="00FA43CE"/>
    <w:rsid w:val="00FD0CB7"/>
    <w:rsid w:val="11E16CC7"/>
    <w:rsid w:val="19EF4F75"/>
    <w:rsid w:val="2A261E3C"/>
    <w:rsid w:val="336F66AB"/>
    <w:rsid w:val="37173543"/>
    <w:rsid w:val="3FF76880"/>
    <w:rsid w:val="4407632C"/>
    <w:rsid w:val="6170774E"/>
    <w:rsid w:val="657D2AD7"/>
    <w:rsid w:val="6A3861A3"/>
    <w:rsid w:val="6A6C0337"/>
    <w:rsid w:val="7AB7FF50"/>
    <w:rsid w:val="7B297D10"/>
    <w:rsid w:val="7BFEB0DB"/>
    <w:rsid w:val="CEFD3F3D"/>
    <w:rsid w:val="EA3F77F2"/>
    <w:rsid w:val="EEFE5989"/>
    <w:rsid w:val="EFCF3EAE"/>
    <w:rsid w:val="F5B764A2"/>
    <w:rsid w:val="F77F09F4"/>
    <w:rsid w:val="FFD7BFF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9"/>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列出段落1"/>
    <w:basedOn w:val="1"/>
    <w:qFormat/>
    <w:uiPriority w:val="34"/>
    <w:pPr>
      <w:ind w:firstLine="420" w:firstLineChars="200"/>
    </w:pPr>
    <w:rPr>
      <w:rFonts w:ascii="Calibri" w:hAnsi="Calibri" w:cs="黑体"/>
      <w:szCs w:val="22"/>
    </w:rPr>
  </w:style>
  <w:style w:type="character" w:customStyle="1" w:styleId="9">
    <w:name w:val="批注框文本 字符"/>
    <w:basedOn w:val="7"/>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2</Pages>
  <Words>1688</Words>
  <Characters>1843</Characters>
  <Lines>14</Lines>
  <Paragraphs>4</Paragraphs>
  <TotalTime>0</TotalTime>
  <ScaleCrop>false</ScaleCrop>
  <LinksUpToDate>false</LinksUpToDate>
  <CharactersWithSpaces>1843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2023-06-04T07:45:00Z</dcterms:created>
  <dc:creator>user</dc:creator>
  <cp:lastModifiedBy>rw</cp:lastModifiedBy>
  <cp:lastPrinted>2022-04-08T07:49:00Z</cp:lastPrinted>
  <dcterms:modified xsi:type="dcterms:W3CDTF">2023-08-30T06:11:47Z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C14EFB9545D74940BA34D080E382BD1C_12</vt:lpwstr>
  </property>
</Properties>
</file>