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D33" w:rsidRDefault="00CF4D33">
      <w:pPr>
        <w:spacing w:line="480" w:lineRule="exact"/>
        <w:rPr>
          <w:rFonts w:ascii="黑体" w:eastAsia="黑体" w:hAnsi="黑体"/>
          <w:sz w:val="32"/>
          <w:szCs w:val="32"/>
        </w:rPr>
      </w:pPr>
    </w:p>
    <w:p w:rsidR="00CF4D33" w:rsidRDefault="00BB15F9">
      <w:pPr>
        <w:spacing w:line="48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项目支出绩效自评表</w:t>
      </w:r>
    </w:p>
    <w:p w:rsidR="00CF4D33" w:rsidRDefault="00BB15F9">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（2022年度）</w:t>
      </w:r>
    </w:p>
    <w:p w:rsidR="00CF4D33" w:rsidRDefault="00CF4D33">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975"/>
        <w:gridCol w:w="1004"/>
        <w:gridCol w:w="692"/>
        <w:gridCol w:w="992"/>
        <w:gridCol w:w="442"/>
        <w:gridCol w:w="692"/>
        <w:gridCol w:w="1293"/>
        <w:gridCol w:w="103"/>
        <w:gridCol w:w="464"/>
        <w:gridCol w:w="240"/>
        <w:gridCol w:w="327"/>
        <w:gridCol w:w="519"/>
        <w:gridCol w:w="710"/>
      </w:tblGrid>
      <w:tr w:rsidR="00CF4D33">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运动与健康专业群</w:t>
            </w:r>
          </w:p>
        </w:tc>
      </w:tr>
      <w:tr w:rsidR="00CF4D33" w:rsidTr="008845DA">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3822" w:type="dxa"/>
            <w:gridSpan w:val="5"/>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北京市体育局</w:t>
            </w:r>
          </w:p>
        </w:tc>
        <w:tc>
          <w:tcPr>
            <w:tcW w:w="1396" w:type="dxa"/>
            <w:gridSpan w:val="2"/>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北京体育职业学院</w:t>
            </w:r>
          </w:p>
        </w:tc>
      </w:tr>
      <w:tr w:rsidR="00CF4D33" w:rsidTr="008845DA">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3822" w:type="dxa"/>
            <w:gridSpan w:val="5"/>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李建亚</w:t>
            </w:r>
          </w:p>
        </w:tc>
        <w:tc>
          <w:tcPr>
            <w:tcW w:w="1396" w:type="dxa"/>
            <w:gridSpan w:val="2"/>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13810422021</w:t>
            </w:r>
          </w:p>
        </w:tc>
      </w:tr>
      <w:tr w:rsidR="00CF4D33" w:rsidTr="008845DA">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696"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bookmarkStart w:id="0" w:name="_GoBack"/>
            <w:bookmarkEnd w:id="0"/>
          </w:p>
        </w:tc>
        <w:tc>
          <w:tcPr>
            <w:tcW w:w="992" w:type="dxa"/>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4" w:type="dxa"/>
            <w:gridSpan w:val="2"/>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396" w:type="dxa"/>
            <w:gridSpan w:val="2"/>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CF4D33" w:rsidTr="008845DA">
        <w:trPr>
          <w:trHeight w:hRule="exact" w:val="458"/>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696"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992" w:type="dxa"/>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327.0</w:t>
            </w:r>
            <w:r>
              <w:rPr>
                <w:rFonts w:ascii="仿宋_GB2312" w:eastAsia="仿宋_GB2312" w:hAnsi="宋体" w:cs="宋体" w:hint="eastAsia"/>
                <w:kern w:val="0"/>
                <w:szCs w:val="21"/>
              </w:rPr>
              <w:t>77015</w:t>
            </w:r>
          </w:p>
        </w:tc>
        <w:tc>
          <w:tcPr>
            <w:tcW w:w="1134" w:type="dxa"/>
            <w:gridSpan w:val="2"/>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327.0</w:t>
            </w:r>
            <w:r>
              <w:rPr>
                <w:rFonts w:ascii="仿宋_GB2312" w:eastAsia="仿宋_GB2312" w:hAnsi="宋体" w:cs="宋体" w:hint="eastAsia"/>
                <w:kern w:val="0"/>
                <w:szCs w:val="21"/>
              </w:rPr>
              <w:t>77015</w:t>
            </w:r>
          </w:p>
        </w:tc>
        <w:tc>
          <w:tcPr>
            <w:tcW w:w="1396" w:type="dxa"/>
            <w:gridSpan w:val="2"/>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325.86738</w:t>
            </w:r>
          </w:p>
          <w:p w:rsidR="00CF4D33" w:rsidRDefault="00CF4D33">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99.62%</w:t>
            </w:r>
          </w:p>
        </w:tc>
        <w:tc>
          <w:tcPr>
            <w:tcW w:w="710" w:type="dxa"/>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w:t>
            </w:r>
          </w:p>
        </w:tc>
      </w:tr>
      <w:tr w:rsidR="00CF4D33" w:rsidTr="008845DA">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696"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992" w:type="dxa"/>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327.0</w:t>
            </w:r>
            <w:r>
              <w:rPr>
                <w:rFonts w:ascii="仿宋_GB2312" w:eastAsia="仿宋_GB2312" w:hAnsi="宋体" w:cs="宋体" w:hint="eastAsia"/>
                <w:kern w:val="0"/>
                <w:szCs w:val="21"/>
              </w:rPr>
              <w:t>77015</w:t>
            </w:r>
          </w:p>
        </w:tc>
        <w:tc>
          <w:tcPr>
            <w:tcW w:w="1134" w:type="dxa"/>
            <w:gridSpan w:val="2"/>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327.</w:t>
            </w:r>
            <w:r>
              <w:rPr>
                <w:rFonts w:ascii="仿宋_GB2312" w:eastAsia="仿宋_GB2312" w:hAnsi="宋体" w:cs="宋体" w:hint="eastAsia"/>
                <w:kern w:val="0"/>
                <w:szCs w:val="21"/>
              </w:rPr>
              <w:t>077015</w:t>
            </w:r>
          </w:p>
        </w:tc>
        <w:tc>
          <w:tcPr>
            <w:tcW w:w="1396" w:type="dxa"/>
            <w:gridSpan w:val="2"/>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325.8673</w:t>
            </w:r>
          </w:p>
        </w:tc>
        <w:tc>
          <w:tcPr>
            <w:tcW w:w="704" w:type="dxa"/>
            <w:gridSpan w:val="2"/>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99.62%</w:t>
            </w:r>
          </w:p>
        </w:tc>
        <w:tc>
          <w:tcPr>
            <w:tcW w:w="710" w:type="dxa"/>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F4D33" w:rsidTr="008845DA">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696"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992" w:type="dxa"/>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34" w:type="dxa"/>
            <w:gridSpan w:val="2"/>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396" w:type="dxa"/>
            <w:gridSpan w:val="2"/>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704" w:type="dxa"/>
            <w:gridSpan w:val="2"/>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710" w:type="dxa"/>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F4D33" w:rsidTr="008845DA">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696"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992" w:type="dxa"/>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34" w:type="dxa"/>
            <w:gridSpan w:val="2"/>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396" w:type="dxa"/>
            <w:gridSpan w:val="2"/>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704" w:type="dxa"/>
            <w:gridSpan w:val="2"/>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710" w:type="dxa"/>
            <w:tcBorders>
              <w:top w:val="nil"/>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F4D33" w:rsidTr="008845DA">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4797" w:type="dxa"/>
            <w:gridSpan w:val="6"/>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656" w:type="dxa"/>
            <w:gridSpan w:val="7"/>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CF4D33" w:rsidTr="008845DA">
        <w:trPr>
          <w:trHeight w:hRule="exact" w:val="7830"/>
          <w:jc w:val="center"/>
        </w:trPr>
        <w:tc>
          <w:tcPr>
            <w:tcW w:w="585" w:type="dxa"/>
            <w:vMerge/>
            <w:tcBorders>
              <w:top w:val="nil"/>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4797" w:type="dxa"/>
            <w:gridSpan w:val="6"/>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落实立德树人根本任务，抓牢</w:t>
            </w:r>
            <w:proofErr w:type="gramStart"/>
            <w:r>
              <w:rPr>
                <w:rFonts w:ascii="仿宋_GB2312" w:eastAsia="仿宋_GB2312" w:hAnsi="宋体" w:cs="宋体" w:hint="eastAsia"/>
                <w:kern w:val="0"/>
                <w:szCs w:val="21"/>
              </w:rPr>
              <w:t>课程思政大方向</w:t>
            </w:r>
            <w:proofErr w:type="gramEnd"/>
            <w:r>
              <w:rPr>
                <w:rFonts w:ascii="仿宋_GB2312" w:eastAsia="仿宋_GB2312" w:hAnsi="宋体" w:cs="宋体" w:hint="eastAsia"/>
                <w:kern w:val="0"/>
                <w:szCs w:val="21"/>
              </w:rPr>
              <w:t>，打造体现“祖国至上、团结协作、顽强拼搏、永不言败”体育精神的立德</w:t>
            </w:r>
            <w:proofErr w:type="gramStart"/>
            <w:r>
              <w:rPr>
                <w:rFonts w:ascii="仿宋_GB2312" w:eastAsia="仿宋_GB2312" w:hAnsi="宋体" w:cs="宋体" w:hint="eastAsia"/>
                <w:kern w:val="0"/>
                <w:szCs w:val="21"/>
              </w:rPr>
              <w:t>树人思政课程</w:t>
            </w:r>
            <w:proofErr w:type="gramEnd"/>
            <w:r>
              <w:rPr>
                <w:rFonts w:ascii="仿宋_GB2312" w:eastAsia="仿宋_GB2312" w:hAnsi="宋体" w:cs="宋体" w:hint="eastAsia"/>
                <w:kern w:val="0"/>
                <w:szCs w:val="21"/>
              </w:rPr>
              <w:t>体系。构建学校、运动队、企业“共建、共育、共管”的机制，形成人才培养主体的“三元化”，形成“三元互融、学训同步、阶梯递进”的人才培养模式。提升学生专项体育技能、较强实践能力以及生活与运动融合的多元化综合能力，促使学生增强核心竞争力，提升学生就业率。以“公共基础课、专业共享课、专业技术课、专业拓展课”四类课程，形成融合理论基础、技术技能、实践拓展、素养教育为一体的课程体系。深化学训同步，运动队、学校、体育企业共同研究制定运动与健康专业群课程标准、教学标准、信息化教学资源建设标准。合理运用现代信息技术手段，持续完善一平三端网络教学平台。通过教学大赛，探索构建三有课堂的教学模式。加强教学团队的教师培养和梯队建设工作，有针对性地打造一支结构合理，专兼结合、双师型及“三创”能力较强的教学团队，为专业群发展奠定基础。建立学训同步的实训基地打造完成智慧型体能训练教室，整体提高实习实训技术装备应用水平。紧贴社会需求和北京奥运城市定位，发挥自身专业、师资、场地的优势，打造专业群社会服务品牌，促进冬奥教育实践活动及文化教育进校园，增强大众健康意识。在专业群建设指导委员会指导下，统筹开展专业建设、教育教学改革、人才培养等方面建设，提升专业群建设的质量和水平。</w:t>
            </w:r>
          </w:p>
        </w:tc>
        <w:tc>
          <w:tcPr>
            <w:tcW w:w="3656" w:type="dxa"/>
            <w:gridSpan w:val="7"/>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rPr>
                <w:rFonts w:ascii="仿宋_GB2312" w:eastAsia="仿宋_GB2312" w:hAnsi="宋体" w:cs="宋体"/>
                <w:kern w:val="0"/>
                <w:sz w:val="18"/>
                <w:szCs w:val="18"/>
              </w:rPr>
            </w:pPr>
            <w:r>
              <w:rPr>
                <w:rFonts w:ascii="仿宋_GB2312" w:eastAsia="仿宋_GB2312" w:hAnsi="宋体" w:cs="宋体" w:hint="eastAsia"/>
                <w:kern w:val="0"/>
                <w:sz w:val="18"/>
                <w:szCs w:val="18"/>
              </w:rPr>
              <w:t>落实立德树人根本任务，抓牢</w:t>
            </w:r>
            <w:proofErr w:type="gramStart"/>
            <w:r>
              <w:rPr>
                <w:rFonts w:ascii="仿宋_GB2312" w:eastAsia="仿宋_GB2312" w:hAnsi="宋体" w:cs="宋体" w:hint="eastAsia"/>
                <w:kern w:val="0"/>
                <w:sz w:val="18"/>
                <w:szCs w:val="18"/>
              </w:rPr>
              <w:t>课程思政大方向</w:t>
            </w:r>
            <w:proofErr w:type="gramEnd"/>
            <w:r>
              <w:rPr>
                <w:rFonts w:ascii="仿宋_GB2312" w:eastAsia="仿宋_GB2312" w:hAnsi="宋体" w:cs="宋体" w:hint="eastAsia"/>
                <w:kern w:val="0"/>
                <w:sz w:val="18"/>
                <w:szCs w:val="18"/>
              </w:rPr>
              <w:t>，打造体现“祖国至上、团结协作、顽强拼搏、永不言败”体育精神的立德</w:t>
            </w:r>
            <w:proofErr w:type="gramStart"/>
            <w:r>
              <w:rPr>
                <w:rFonts w:ascii="仿宋_GB2312" w:eastAsia="仿宋_GB2312" w:hAnsi="宋体" w:cs="宋体" w:hint="eastAsia"/>
                <w:kern w:val="0"/>
                <w:sz w:val="18"/>
                <w:szCs w:val="18"/>
              </w:rPr>
              <w:t>树人思政课程</w:t>
            </w:r>
            <w:proofErr w:type="gramEnd"/>
            <w:r>
              <w:rPr>
                <w:rFonts w:ascii="仿宋_GB2312" w:eastAsia="仿宋_GB2312" w:hAnsi="宋体" w:cs="宋体" w:hint="eastAsia"/>
                <w:kern w:val="0"/>
                <w:sz w:val="18"/>
                <w:szCs w:val="18"/>
              </w:rPr>
              <w:t>体系。构建学校、运动队、企业“共建、共育、共管”的机制，形成人才培养主体的“三元化”，形成“三元互融、学训同步、阶梯递进”的人才培养模式。提升学生专项体育技能、较强实践能力以及生活与运动融合的多元化综合能力，促使学生增强核心竞争力，提升学生就业率。以“公共基础课、专业共享课、专业技术课、专业拓展课”四类课程，形成融合理论基础、技术技能、实践拓展、素养教育为一体的课程体系。深化学训同步，运动队、学校、体育企业共同研究制定运动与健康专业群课程标准、教学标准、信息化教学资源建设标准。合理运用现代信息技术手段，持续完善一平三端网络教学平台。通过教学大赛，探索构建三有课堂的教学模式。加强教学团队的教师培养和梯队建设工作，有针对性地打造一支结构合理，专兼结合、双师型及“三创”能力较强的教学团队，为专业群发展奠定基础。建立学训同步的实训基地，打造完成智慧型体能训练教室，整体提高实习实训技术装备应用水平。紧贴社会需求和北京奥运城市定位，发挥自身专业、师资、场地的优势，打造专业群社会服务品牌，促进冬奥教育实践活动及文化教育进校园，增强大众健康意识。在专业群建设指导委员会指导下，统筹开展专业建设、教育教学改革、人才培养等方面建设，提升专业群建设的质量和水平。</w:t>
            </w:r>
          </w:p>
        </w:tc>
      </w:tr>
      <w:tr w:rsidR="00CF4D33" w:rsidTr="008845DA">
        <w:trPr>
          <w:trHeight w:hRule="exact" w:val="958"/>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004"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229"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CF4D33" w:rsidTr="008845DA">
        <w:trPr>
          <w:trHeight w:hRule="exact" w:val="55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004" w:type="dxa"/>
            <w:vMerge w:val="restart"/>
            <w:tcBorders>
              <w:top w:val="single" w:sz="4" w:space="0" w:color="auto"/>
              <w:left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课程</w:t>
            </w:r>
            <w:proofErr w:type="gramStart"/>
            <w:r>
              <w:rPr>
                <w:rFonts w:ascii="仿宋_GB2312" w:eastAsia="仿宋_GB2312" w:hAnsi="宋体" w:cs="宋体" w:hint="eastAsia"/>
                <w:kern w:val="0"/>
                <w:szCs w:val="21"/>
              </w:rPr>
              <w:t>思政教学</w:t>
            </w:r>
            <w:proofErr w:type="gramEnd"/>
            <w:r>
              <w:rPr>
                <w:rFonts w:ascii="仿宋_GB2312" w:eastAsia="仿宋_GB2312" w:hAnsi="宋体" w:cs="宋体" w:hint="eastAsia"/>
                <w:kern w:val="0"/>
                <w:szCs w:val="21"/>
              </w:rPr>
              <w:t>案例</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1项</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1项</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56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tcBorders>
              <w:left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纵向课题申报</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56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tcBorders>
              <w:left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发表论文</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43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tcBorders>
              <w:left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校级课题</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ind w:firstLineChars="50" w:firstLine="105"/>
              <w:jc w:val="left"/>
              <w:rPr>
                <w:rFonts w:ascii="仿宋_GB2312" w:eastAsia="仿宋_GB2312" w:hAnsi="宋体" w:cs="宋体"/>
                <w:kern w:val="0"/>
                <w:szCs w:val="21"/>
              </w:rPr>
            </w:pPr>
            <w:r>
              <w:rPr>
                <w:rFonts w:ascii="仿宋_GB2312" w:eastAsia="仿宋_GB2312" w:hAnsi="宋体" w:cs="宋体" w:hint="eastAsia"/>
                <w:kern w:val="0"/>
                <w:szCs w:val="21"/>
              </w:rPr>
              <w:t>2</w:t>
            </w:r>
          </w:p>
          <w:p w:rsidR="00CF4D33" w:rsidRDefault="00CF4D33">
            <w:pPr>
              <w:widowControl/>
              <w:spacing w:line="240" w:lineRule="exact"/>
              <w:jc w:val="center"/>
              <w:rPr>
                <w:rFonts w:ascii="仿宋_GB2312" w:eastAsia="仿宋_GB2312" w:hAnsi="宋体" w:cs="宋体"/>
                <w:kern w:val="0"/>
                <w:szCs w:val="21"/>
              </w:rPr>
            </w:pP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55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tcBorders>
              <w:left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kern w:val="0"/>
                <w:szCs w:val="21"/>
              </w:rPr>
            </w:pPr>
            <w:r>
              <w:rPr>
                <w:rFonts w:ascii="仿宋_GB2312" w:eastAsia="仿宋_GB2312" w:hAnsi="宋体" w:cs="宋体" w:hint="eastAsia"/>
                <w:color w:val="000000"/>
                <w:kern w:val="0"/>
                <w:szCs w:val="21"/>
              </w:rPr>
              <w:t>智慧共享实训室</w:t>
            </w:r>
            <w:r>
              <w:rPr>
                <w:rFonts w:ascii="仿宋_GB2312" w:eastAsia="仿宋_GB2312" w:hAnsi="宋体" w:cs="宋体"/>
                <w:kern w:val="0"/>
                <w:szCs w:val="21"/>
              </w:rPr>
              <w:t xml:space="preserve"> </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1项</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1项</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43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tcBorders>
              <w:left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课程标准</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43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tcBorders>
              <w:left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实际使用信息化教学资源的课程占学期开设本课程的教学班次比例</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43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tcBorders>
              <w:left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高级职称教师占比</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43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tcBorders>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社会服务</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1000人天</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1050人天</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41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val="restart"/>
            <w:tcBorders>
              <w:top w:val="single" w:sz="4" w:space="0" w:color="auto"/>
              <w:left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实践教学基地合格率</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43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tcBorders>
              <w:left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课程建设合格率</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43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tcBorders>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科研成果发表率</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43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val="restart"/>
            <w:tcBorders>
              <w:top w:val="single" w:sz="4" w:space="0" w:color="auto"/>
              <w:left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高级职称教师占比达到50%</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12个月</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按时</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tcBorders>
              <w:left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完成校级课题2项完成</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12个月</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按时</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55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tcBorders>
              <w:left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完成纵向课题申报2项</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12个月</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按时</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55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tcBorders>
              <w:left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完成社会服务1000人天</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12个月</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按时</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68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tcBorders>
              <w:left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实际使用信息化教学资源的课程占学期开设本课程的教学班次比例达到50%</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12个月</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按时</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55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tcBorders>
              <w:left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完成课程标准8门</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12个月</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按时</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55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vMerge/>
            <w:tcBorders>
              <w:left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完成课程</w:t>
            </w:r>
            <w:proofErr w:type="gramStart"/>
            <w:r>
              <w:rPr>
                <w:rFonts w:ascii="仿宋_GB2312" w:eastAsia="仿宋_GB2312" w:hAnsi="宋体" w:cs="宋体" w:hint="eastAsia"/>
                <w:color w:val="000000"/>
                <w:kern w:val="0"/>
                <w:szCs w:val="21"/>
              </w:rPr>
              <w:t>思政教学</w:t>
            </w:r>
            <w:proofErr w:type="gramEnd"/>
            <w:r>
              <w:rPr>
                <w:rFonts w:ascii="仿宋_GB2312" w:eastAsia="仿宋_GB2312" w:hAnsi="宋体" w:cs="宋体" w:hint="eastAsia"/>
                <w:color w:val="000000"/>
                <w:kern w:val="0"/>
                <w:szCs w:val="21"/>
              </w:rPr>
              <w:t>案例1个</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11个月</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按时</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55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tcBorders>
              <w:left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建设完成实</w:t>
            </w:r>
            <w:proofErr w:type="gramStart"/>
            <w:r>
              <w:rPr>
                <w:rFonts w:ascii="仿宋_GB2312" w:eastAsia="仿宋_GB2312" w:hAnsi="宋体" w:cs="宋体" w:hint="eastAsia"/>
                <w:color w:val="000000"/>
                <w:kern w:val="0"/>
                <w:szCs w:val="21"/>
              </w:rPr>
              <w:t>训教室</w:t>
            </w:r>
            <w:proofErr w:type="gramEnd"/>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9个月</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按时</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55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tcBorders>
              <w:left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发表论文4篇</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12个月</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按时</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52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tcBorders>
              <w:top w:val="single" w:sz="4" w:space="0" w:color="auto"/>
              <w:left w:val="single" w:sz="4" w:space="0" w:color="auto"/>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项目预算数</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327.0</w:t>
            </w:r>
            <w:r>
              <w:rPr>
                <w:rFonts w:ascii="仿宋_GB2312" w:eastAsia="仿宋_GB2312" w:hAnsi="宋体" w:cs="宋体" w:hint="eastAsia"/>
                <w:kern w:val="0"/>
                <w:szCs w:val="21"/>
              </w:rPr>
              <w:t>77015</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327.0</w:t>
            </w:r>
            <w:r>
              <w:rPr>
                <w:rFonts w:ascii="仿宋_GB2312" w:eastAsia="仿宋_GB2312" w:hAnsi="宋体" w:cs="宋体" w:hint="eastAsia"/>
                <w:kern w:val="0"/>
                <w:szCs w:val="21"/>
              </w:rPr>
              <w:t>77015</w:t>
            </w:r>
            <w:r>
              <w:rPr>
                <w:rFonts w:ascii="仿宋_GB2312" w:eastAsia="仿宋_GB2312" w:hAnsi="宋体" w:cs="宋体"/>
                <w:kern w:val="0"/>
                <w:szCs w:val="21"/>
              </w:rPr>
              <w:t>7015</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51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1004" w:type="dxa"/>
            <w:tcBorders>
              <w:top w:val="single" w:sz="4" w:space="0" w:color="auto"/>
              <w:left w:val="single" w:sz="4" w:space="0" w:color="auto"/>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完成社会培训</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达成目标</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rsidTr="008845DA">
        <w:trPr>
          <w:trHeight w:hRule="exact" w:val="67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004" w:type="dxa"/>
            <w:tcBorders>
              <w:top w:val="single" w:sz="4" w:space="0" w:color="auto"/>
              <w:left w:val="single" w:sz="4" w:space="0" w:color="auto"/>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2126" w:type="dxa"/>
            <w:gridSpan w:val="3"/>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使用人员满意度</w:t>
            </w:r>
          </w:p>
        </w:tc>
        <w:tc>
          <w:tcPr>
            <w:tcW w:w="692"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w:t>
            </w:r>
          </w:p>
        </w:tc>
        <w:tc>
          <w:tcPr>
            <w:tcW w:w="1293" w:type="dxa"/>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r w:rsidR="00CF4D33">
        <w:trPr>
          <w:trHeight w:hRule="exact" w:val="477"/>
          <w:jc w:val="center"/>
        </w:trPr>
        <w:tc>
          <w:tcPr>
            <w:tcW w:w="6675" w:type="dxa"/>
            <w:gridSpan w:val="8"/>
            <w:tcBorders>
              <w:top w:val="single" w:sz="4" w:space="0" w:color="auto"/>
              <w:left w:val="single" w:sz="4" w:space="0" w:color="auto"/>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7" w:type="dxa"/>
            <w:gridSpan w:val="2"/>
            <w:tcBorders>
              <w:top w:val="single" w:sz="4" w:space="0" w:color="auto"/>
              <w:left w:val="nil"/>
              <w:bottom w:val="single" w:sz="4" w:space="0" w:color="auto"/>
              <w:right w:val="single" w:sz="4" w:space="0" w:color="auto"/>
            </w:tcBorders>
            <w:vAlign w:val="center"/>
          </w:tcPr>
          <w:p w:rsidR="00CF4D33" w:rsidRDefault="00BB15F9">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99.9</w:t>
            </w:r>
          </w:p>
        </w:tc>
        <w:tc>
          <w:tcPr>
            <w:tcW w:w="1229" w:type="dxa"/>
            <w:gridSpan w:val="2"/>
            <w:tcBorders>
              <w:top w:val="single" w:sz="4" w:space="0" w:color="auto"/>
              <w:left w:val="nil"/>
              <w:bottom w:val="single" w:sz="4" w:space="0" w:color="auto"/>
              <w:right w:val="single" w:sz="4" w:space="0" w:color="auto"/>
            </w:tcBorders>
            <w:vAlign w:val="center"/>
          </w:tcPr>
          <w:p w:rsidR="00CF4D33" w:rsidRDefault="00CF4D33">
            <w:pPr>
              <w:widowControl/>
              <w:spacing w:line="240" w:lineRule="exact"/>
              <w:jc w:val="center"/>
              <w:rPr>
                <w:rFonts w:ascii="仿宋_GB2312" w:eastAsia="仿宋_GB2312" w:hAnsi="宋体" w:cs="宋体"/>
                <w:kern w:val="0"/>
                <w:szCs w:val="21"/>
              </w:rPr>
            </w:pPr>
          </w:p>
        </w:tc>
      </w:tr>
    </w:tbl>
    <w:p w:rsidR="00CF4D33" w:rsidRDefault="00CF4D33">
      <w:pPr>
        <w:widowControl/>
        <w:jc w:val="left"/>
        <w:rPr>
          <w:rFonts w:ascii="仿宋_GB2312" w:eastAsia="仿宋_GB2312" w:hAnsi="宋体" w:cs="宋体"/>
          <w:color w:val="000000"/>
          <w:kern w:val="0"/>
          <w:sz w:val="32"/>
          <w:szCs w:val="32"/>
        </w:rPr>
      </w:pPr>
    </w:p>
    <w:p w:rsidR="00CF4D33" w:rsidRDefault="00CF4D33">
      <w:pPr>
        <w:spacing w:line="520" w:lineRule="exact"/>
        <w:ind w:firstLineChars="200" w:firstLine="640"/>
        <w:rPr>
          <w:rFonts w:ascii="仿宋_GB2312" w:eastAsia="仿宋_GB2312" w:hAnsi="宋体" w:cs="宋体"/>
          <w:color w:val="000000"/>
          <w:kern w:val="0"/>
          <w:sz w:val="32"/>
          <w:szCs w:val="32"/>
        </w:rPr>
      </w:pPr>
    </w:p>
    <w:sectPr w:rsidR="00CF4D33">
      <w:footerReference w:type="default" r:id="rId7"/>
      <w:pgSz w:w="11906" w:h="16838"/>
      <w:pgMar w:top="1440" w:right="1588" w:bottom="1440"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5F7" w:rsidRDefault="00D905F7">
      <w:r>
        <w:separator/>
      </w:r>
    </w:p>
  </w:endnote>
  <w:endnote w:type="continuationSeparator" w:id="0">
    <w:p w:rsidR="00D905F7" w:rsidRDefault="00D90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D33" w:rsidRDefault="00BB15F9">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F4D33" w:rsidRDefault="00CF4D33">
                          <w:pPr>
                            <w:pStyle w:val="a5"/>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p>
                </w:txbxContent>
              </v:textbox>
            </v:shape>
          </w:pict>
        </mc:Fallback>
      </mc:AlternateContent>
    </w:r>
  </w:p>
  <w:p w:rsidR="00CF4D33" w:rsidRDefault="00CF4D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5F7" w:rsidRDefault="00D905F7">
      <w:r>
        <w:separator/>
      </w:r>
    </w:p>
  </w:footnote>
  <w:footnote w:type="continuationSeparator" w:id="0">
    <w:p w:rsidR="00D905F7" w:rsidRDefault="00D905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yMzE1OTA4YzgxZDhkMDc2MmYwNGYwMWY2YjM2YzgifQ=="/>
  </w:docVars>
  <w:rsids>
    <w:rsidRoot w:val="F77F09F4"/>
    <w:rsid w:val="CEFD3F3D"/>
    <w:rsid w:val="EA3F77F2"/>
    <w:rsid w:val="EEFE5989"/>
    <w:rsid w:val="EFCF3EAE"/>
    <w:rsid w:val="F5B764A2"/>
    <w:rsid w:val="F77F09F4"/>
    <w:rsid w:val="FFD7BFFC"/>
    <w:rsid w:val="00007ABD"/>
    <w:rsid w:val="0006579B"/>
    <w:rsid w:val="000825DA"/>
    <w:rsid w:val="000D0515"/>
    <w:rsid w:val="00105F46"/>
    <w:rsid w:val="00204B3F"/>
    <w:rsid w:val="0035194C"/>
    <w:rsid w:val="00372EAA"/>
    <w:rsid w:val="004510F9"/>
    <w:rsid w:val="004A6DB5"/>
    <w:rsid w:val="004E0FAC"/>
    <w:rsid w:val="004F5598"/>
    <w:rsid w:val="005145A5"/>
    <w:rsid w:val="005356F8"/>
    <w:rsid w:val="005D5268"/>
    <w:rsid w:val="00605BD9"/>
    <w:rsid w:val="006656AE"/>
    <w:rsid w:val="00687775"/>
    <w:rsid w:val="007178E4"/>
    <w:rsid w:val="007308DE"/>
    <w:rsid w:val="007312D4"/>
    <w:rsid w:val="0073270D"/>
    <w:rsid w:val="007779A4"/>
    <w:rsid w:val="00784E19"/>
    <w:rsid w:val="007872D7"/>
    <w:rsid w:val="0083097C"/>
    <w:rsid w:val="008845DA"/>
    <w:rsid w:val="008937B0"/>
    <w:rsid w:val="008C1EEF"/>
    <w:rsid w:val="00964477"/>
    <w:rsid w:val="009E4B39"/>
    <w:rsid w:val="00A46D2F"/>
    <w:rsid w:val="00A60F66"/>
    <w:rsid w:val="00A773F2"/>
    <w:rsid w:val="00A92A5B"/>
    <w:rsid w:val="00AA6700"/>
    <w:rsid w:val="00AB62C2"/>
    <w:rsid w:val="00B10CAF"/>
    <w:rsid w:val="00B30BA4"/>
    <w:rsid w:val="00B758E4"/>
    <w:rsid w:val="00BA3441"/>
    <w:rsid w:val="00BB15F9"/>
    <w:rsid w:val="00BC6C01"/>
    <w:rsid w:val="00CF4D33"/>
    <w:rsid w:val="00CF6022"/>
    <w:rsid w:val="00D37BDF"/>
    <w:rsid w:val="00D905F7"/>
    <w:rsid w:val="00DE5C80"/>
    <w:rsid w:val="00E43265"/>
    <w:rsid w:val="00E60752"/>
    <w:rsid w:val="00EA15E2"/>
    <w:rsid w:val="00EA713D"/>
    <w:rsid w:val="00EC2FF6"/>
    <w:rsid w:val="00EE557B"/>
    <w:rsid w:val="00F15F33"/>
    <w:rsid w:val="00F23784"/>
    <w:rsid w:val="00F61447"/>
    <w:rsid w:val="00F81DB9"/>
    <w:rsid w:val="00F856E1"/>
    <w:rsid w:val="00FD0CB7"/>
    <w:rsid w:val="37173543"/>
    <w:rsid w:val="39DF4470"/>
    <w:rsid w:val="3FF76880"/>
    <w:rsid w:val="7AB7FF50"/>
    <w:rsid w:val="7B215A01"/>
    <w:rsid w:val="7BFEB0DB"/>
    <w:rsid w:val="7E381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02649B"/>
  <w15:docId w15:val="{689FF4FF-10C4-4329-ADCC-95D7802C6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uiPriority w:val="99"/>
    <w:qFormat/>
    <w:pPr>
      <w:tabs>
        <w:tab w:val="center" w:pos="4153"/>
        <w:tab w:val="right" w:pos="8306"/>
      </w:tabs>
      <w:snapToGrid w:val="0"/>
      <w:jc w:val="left"/>
    </w:pPr>
    <w:rPr>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a4">
    <w:name w:val="批注框文本 字符"/>
    <w:basedOn w:val="a0"/>
    <w:link w:val="a3"/>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342</Words>
  <Characters>1956</Characters>
  <Application>Microsoft Office Word</Application>
  <DocSecurity>0</DocSecurity>
  <Lines>16</Lines>
  <Paragraphs>4</Paragraphs>
  <ScaleCrop>false</ScaleCrop>
  <Company>bjtzhy</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zhaoyi</cp:lastModifiedBy>
  <cp:revision>4</cp:revision>
  <cp:lastPrinted>2022-04-08T07:49:00Z</cp:lastPrinted>
  <dcterms:created xsi:type="dcterms:W3CDTF">2023-06-05T07:45:00Z</dcterms:created>
  <dcterms:modified xsi:type="dcterms:W3CDTF">2023-08-28T09:27:00Z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30AF3750EFA64DCB98231FD9EFD4537D_12</vt:lpwstr>
  </property>
</Properties>
</file>