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 xml:space="preserve"> </w:t>
      </w: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w:t>
      </w:r>
      <w:r>
        <w:rPr>
          <w:rFonts w:ascii="仿宋_GB2312" w:hAnsi="宋体" w:eastAsia="仿宋_GB2312"/>
          <w:sz w:val="28"/>
          <w:szCs w:val="28"/>
        </w:rPr>
        <w:t>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815" w:type="dxa"/>
        <w:jc w:val="center"/>
        <w:tblLayout w:type="fixed"/>
        <w:tblCellMar>
          <w:top w:w="0" w:type="dxa"/>
          <w:left w:w="108" w:type="dxa"/>
          <w:bottom w:w="0" w:type="dxa"/>
          <w:right w:w="108" w:type="dxa"/>
        </w:tblCellMar>
      </w:tblPr>
      <w:tblGrid>
        <w:gridCol w:w="585"/>
        <w:gridCol w:w="706"/>
        <w:gridCol w:w="1084"/>
        <w:gridCol w:w="485"/>
        <w:gridCol w:w="900"/>
        <w:gridCol w:w="1771"/>
        <w:gridCol w:w="1247"/>
        <w:gridCol w:w="704"/>
        <w:gridCol w:w="97"/>
        <w:gridCol w:w="658"/>
        <w:gridCol w:w="531"/>
        <w:gridCol w:w="1047"/>
      </w:tblGrid>
      <w:tr>
        <w:tblPrEx>
          <w:tblCellMar>
            <w:top w:w="0" w:type="dxa"/>
            <w:left w:w="108" w:type="dxa"/>
            <w:bottom w:w="0" w:type="dxa"/>
            <w:right w:w="108" w:type="dxa"/>
          </w:tblCellMar>
        </w:tblPrEx>
        <w:trPr>
          <w:trHeight w:val="306" w:hRule="exact"/>
          <w:jc w:val="center"/>
        </w:trPr>
        <w:tc>
          <w:tcPr>
            <w:tcW w:w="12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524"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落实体医融合战略合作协议相关工作经费</w:t>
            </w:r>
          </w:p>
        </w:tc>
      </w:tr>
      <w:tr>
        <w:tblPrEx>
          <w:tblCellMar>
            <w:top w:w="0" w:type="dxa"/>
            <w:left w:w="108" w:type="dxa"/>
            <w:bottom w:w="0" w:type="dxa"/>
            <w:right w:w="108" w:type="dxa"/>
          </w:tblCellMar>
        </w:tblPrEx>
        <w:trPr>
          <w:trHeight w:val="306" w:hRule="exact"/>
          <w:jc w:val="center"/>
        </w:trPr>
        <w:tc>
          <w:tcPr>
            <w:tcW w:w="12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4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3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北京市体育局本级行政</w:t>
            </w:r>
          </w:p>
        </w:tc>
      </w:tr>
      <w:tr>
        <w:tblPrEx>
          <w:tblCellMar>
            <w:top w:w="0" w:type="dxa"/>
            <w:left w:w="108" w:type="dxa"/>
            <w:bottom w:w="0" w:type="dxa"/>
            <w:right w:w="108" w:type="dxa"/>
          </w:tblCellMar>
        </w:tblPrEx>
        <w:trPr>
          <w:trHeight w:val="402" w:hRule="exact"/>
          <w:jc w:val="center"/>
        </w:trPr>
        <w:tc>
          <w:tcPr>
            <w:tcW w:w="12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4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史江平</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03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87244805</w:t>
            </w:r>
          </w:p>
        </w:tc>
      </w:tr>
      <w:tr>
        <w:tblPrEx>
          <w:tblCellMar>
            <w:top w:w="0" w:type="dxa"/>
            <w:left w:w="108" w:type="dxa"/>
            <w:bottom w:w="0" w:type="dxa"/>
            <w:right w:w="108" w:type="dxa"/>
          </w:tblCellMar>
        </w:tblPrEx>
        <w:trPr>
          <w:trHeight w:val="787" w:hRule="exact"/>
          <w:jc w:val="center"/>
        </w:trPr>
        <w:tc>
          <w:tcPr>
            <w:tcW w:w="129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2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2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9"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68.812</w:t>
            </w:r>
          </w:p>
        </w:tc>
        <w:tc>
          <w:tcPr>
            <w:tcW w:w="17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33.512</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33.512</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2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68.812</w:t>
            </w:r>
          </w:p>
        </w:tc>
        <w:tc>
          <w:tcPr>
            <w:tcW w:w="17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33.512</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33.512</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2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2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2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2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7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2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28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90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6"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lang w:val="en"/>
              </w:rPr>
            </w:pPr>
            <w:r>
              <w:rPr>
                <w:rFonts w:hint="eastAsia" w:ascii="仿宋_GB2312" w:hAnsi="宋体" w:eastAsia="仿宋_GB2312" w:cs="宋体"/>
                <w:kern w:val="0"/>
                <w:szCs w:val="21"/>
              </w:rPr>
              <w:t>构建科学合理的健身指导体系，培养包括医疗机构、健康体检机构、健康管理机构以及基层健身团队的骨干队伍人员，为市民提供科学健身指导，为群众健身提供安全保障，促进居民身体素质和健康水平不断提高，使医务工作者、体育专业人员充分了解常见运动损伤及康复的讲解与实操，常用运动训练动作及体能训练讲解与实操，特殊人群运动处方的制定及运动前健康筛查等。</w:t>
            </w:r>
          </w:p>
        </w:tc>
        <w:tc>
          <w:tcPr>
            <w:tcW w:w="4284" w:type="dxa"/>
            <w:gridSpan w:val="6"/>
            <w:tcBorders>
              <w:top w:val="single" w:color="auto" w:sz="4" w:space="0"/>
              <w:left w:val="nil"/>
              <w:bottom w:val="single" w:color="auto" w:sz="4" w:space="0"/>
              <w:right w:val="single" w:color="auto" w:sz="4" w:space="0"/>
            </w:tcBorders>
            <w:vAlign w:val="center"/>
          </w:tcPr>
          <w:p>
            <w:pPr>
              <w:spacing w:line="260" w:lineRule="exact"/>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举办运动处方培训班2期，共培训465余人（其中初级班409人，中级班56人），通过对各类医疗、体检、健康管理机构、家庭医生等人群的培训，使其充分了解常见运动损伤及康复的讲解与实操，常用运动训练动作及体能训练讲解与实操，特殊人群运动处方的制定及运动前健康筛查等初步组建我市体医融合专业骨干队伍，为市民提供健身方案或运动促进健康的指导服务，为群众健身提供安全保障，不断提高居民身体素质和健康水平。</w:t>
            </w:r>
          </w:p>
        </w:tc>
      </w:tr>
      <w:tr>
        <w:tblPrEx>
          <w:tblCellMar>
            <w:top w:w="0" w:type="dxa"/>
            <w:left w:w="108" w:type="dxa"/>
            <w:bottom w:w="0" w:type="dxa"/>
            <w:right w:w="108" w:type="dxa"/>
          </w:tblCellMar>
        </w:tblPrEx>
        <w:trPr>
          <w:trHeight w:val="1075"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08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20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9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0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培训覆盖人员数</w:t>
            </w:r>
          </w:p>
        </w:tc>
        <w:tc>
          <w:tcPr>
            <w:tcW w:w="1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培训人数不少于400人</w:t>
            </w:r>
          </w:p>
        </w:tc>
        <w:tc>
          <w:tcPr>
            <w:tcW w:w="20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465</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培训学时</w:t>
            </w:r>
          </w:p>
        </w:tc>
        <w:tc>
          <w:tcPr>
            <w:tcW w:w="1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不少于40学时</w:t>
            </w:r>
          </w:p>
        </w:tc>
        <w:tc>
          <w:tcPr>
            <w:tcW w:w="20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38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培训合格率</w:t>
            </w:r>
          </w:p>
        </w:tc>
        <w:tc>
          <w:tcPr>
            <w:tcW w:w="17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≥70%</w:t>
            </w:r>
          </w:p>
        </w:tc>
        <w:tc>
          <w:tcPr>
            <w:tcW w:w="20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93.26%</w:t>
            </w: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6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8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培训人群：医务工作者、体育专业人员等人群</w:t>
            </w:r>
          </w:p>
        </w:tc>
        <w:tc>
          <w:tcPr>
            <w:tcW w:w="17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20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进度指标</w:t>
            </w:r>
          </w:p>
        </w:tc>
        <w:tc>
          <w:tcPr>
            <w:tcW w:w="138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完成时间</w:t>
            </w:r>
          </w:p>
        </w:tc>
        <w:tc>
          <w:tcPr>
            <w:tcW w:w="177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2022年底前</w:t>
            </w:r>
          </w:p>
        </w:tc>
        <w:tc>
          <w:tcPr>
            <w:tcW w:w="20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2022年11月</w:t>
            </w:r>
          </w:p>
        </w:tc>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2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bookmarkStart w:id="0" w:name="_GoBack"/>
            <w:bookmarkEnd w:id="0"/>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总成本</w:t>
            </w:r>
          </w:p>
        </w:tc>
        <w:tc>
          <w:tcPr>
            <w:tcW w:w="1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不超过80.4万元</w:t>
            </w:r>
          </w:p>
        </w:tc>
        <w:tc>
          <w:tcPr>
            <w:tcW w:w="20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33.512万元</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效果指标</w:t>
            </w:r>
          </w:p>
          <w:p>
            <w:pPr>
              <w:widowControl/>
              <w:spacing w:line="240" w:lineRule="exact"/>
              <w:jc w:val="center"/>
              <w:rPr>
                <w:rFonts w:ascii="仿宋_GB2312" w:hAnsi="宋体" w:eastAsia="仿宋_GB2312" w:cs="宋体"/>
                <w:kern w:val="0"/>
                <w:szCs w:val="21"/>
              </w:rPr>
            </w:pPr>
          </w:p>
        </w:tc>
        <w:tc>
          <w:tcPr>
            <w:tcW w:w="10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85"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提升</w:t>
            </w:r>
            <w:r>
              <w:rPr>
                <w:rFonts w:ascii="仿宋_GB2312" w:hAnsi="宋体" w:eastAsia="仿宋_GB2312" w:cs="宋体"/>
                <w:kern w:val="0"/>
                <w:szCs w:val="21"/>
              </w:rPr>
              <w:t>管理服务水平</w:t>
            </w:r>
          </w:p>
        </w:tc>
        <w:tc>
          <w:tcPr>
            <w:tcW w:w="1771"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2048" w:type="dxa"/>
            <w:gridSpan w:val="3"/>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658"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53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政策执行情况</w:t>
            </w:r>
            <w:r>
              <w:rPr>
                <w:rFonts w:hint="eastAsia" w:ascii="仿宋_GB2312" w:hAnsi="宋体" w:eastAsia="仿宋_GB2312" w:cs="宋体"/>
                <w:kern w:val="0"/>
                <w:szCs w:val="21"/>
              </w:rPr>
              <w:t>：落实《体医融合战略合作协议》</w:t>
            </w:r>
          </w:p>
        </w:tc>
        <w:tc>
          <w:tcPr>
            <w:tcW w:w="1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20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相关人员满意度</w:t>
            </w:r>
          </w:p>
        </w:tc>
        <w:tc>
          <w:tcPr>
            <w:tcW w:w="1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20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7579"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3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100  </w:t>
            </w:r>
          </w:p>
        </w:tc>
        <w:tc>
          <w:tcPr>
            <w:tcW w:w="10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bl>
    <w:p>
      <w:pPr>
        <w:rPr>
          <w:rFonts w:ascii="仿宋_GB2312" w:eastAsia="仿宋_GB2312"/>
          <w:vanish/>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5F5ECA71"/>
    <w:rsid w:val="00047B8A"/>
    <w:rsid w:val="00415073"/>
    <w:rsid w:val="005F0B56"/>
    <w:rsid w:val="00611276"/>
    <w:rsid w:val="006D2726"/>
    <w:rsid w:val="008470D4"/>
    <w:rsid w:val="00935D9B"/>
    <w:rsid w:val="0094477F"/>
    <w:rsid w:val="00A35E34"/>
    <w:rsid w:val="00AF52CC"/>
    <w:rsid w:val="00B82F39"/>
    <w:rsid w:val="00CE2BBF"/>
    <w:rsid w:val="00FB1D3B"/>
    <w:rsid w:val="0CCF17CC"/>
    <w:rsid w:val="0F5B79B6"/>
    <w:rsid w:val="3B076BC6"/>
    <w:rsid w:val="3DE93B74"/>
    <w:rsid w:val="3EDDBBE4"/>
    <w:rsid w:val="4A8378C3"/>
    <w:rsid w:val="5F5ECA71"/>
    <w:rsid w:val="6BF2A74E"/>
    <w:rsid w:val="6EFF3198"/>
    <w:rsid w:val="73F7B669"/>
    <w:rsid w:val="775945BB"/>
    <w:rsid w:val="77DBDD5F"/>
    <w:rsid w:val="7D3EEB6B"/>
    <w:rsid w:val="7DEFD59C"/>
    <w:rsid w:val="7FDF5ADB"/>
    <w:rsid w:val="7FF7D595"/>
    <w:rsid w:val="D7B72DD7"/>
    <w:rsid w:val="D7F16EFD"/>
    <w:rsid w:val="DEEF9B8A"/>
    <w:rsid w:val="E6DF743C"/>
    <w:rsid w:val="F7DE14EE"/>
    <w:rsid w:val="FBF7F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customStyle="1" w:styleId="7">
    <w:name w:val="font11"/>
    <w:basedOn w:val="6"/>
    <w:qFormat/>
    <w:uiPriority w:val="0"/>
    <w:rPr>
      <w:rFonts w:ascii="Arial" w:hAnsi="Arial" w:cs="Arial"/>
      <w:color w:val="000000"/>
      <w:sz w:val="24"/>
      <w:szCs w:val="24"/>
      <w:u w:val="none"/>
    </w:rPr>
  </w:style>
  <w:style w:type="character" w:customStyle="1" w:styleId="8">
    <w:name w:val="font41"/>
    <w:basedOn w:val="6"/>
    <w:qFormat/>
    <w:uiPriority w:val="0"/>
    <w:rPr>
      <w:rFonts w:hint="eastAsia" w:ascii="宋体" w:hAnsi="宋体" w:eastAsia="宋体" w:cs="宋体"/>
      <w:color w:val="000000"/>
      <w:sz w:val="24"/>
      <w:szCs w:val="24"/>
      <w:u w:val="none"/>
    </w:rPr>
  </w:style>
  <w:style w:type="character" w:customStyle="1" w:styleId="9">
    <w:name w:val="font01"/>
    <w:basedOn w:val="6"/>
    <w:qFormat/>
    <w:uiPriority w:val="0"/>
    <w:rPr>
      <w:rFonts w:hint="default" w:ascii="Arial" w:hAnsi="Arial" w:cs="Arial"/>
      <w:color w:val="000000"/>
      <w:sz w:val="24"/>
      <w:szCs w:val="24"/>
      <w:u w:val="none"/>
    </w:rPr>
  </w:style>
  <w:style w:type="character" w:customStyle="1" w:styleId="10">
    <w:name w:val="页眉 字符"/>
    <w:basedOn w:val="6"/>
    <w:link w:val="3"/>
    <w:qFormat/>
    <w:uiPriority w:val="0"/>
    <w:rPr>
      <w:kern w:val="2"/>
      <w:sz w:val="18"/>
      <w:szCs w:val="18"/>
    </w:rPr>
  </w:style>
  <w:style w:type="character" w:customStyle="1" w:styleId="11">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162</Words>
  <Characters>926</Characters>
  <Lines>7</Lines>
  <Paragraphs>2</Paragraphs>
  <TotalTime>1</TotalTime>
  <ScaleCrop>false</ScaleCrop>
  <LinksUpToDate>false</LinksUpToDate>
  <CharactersWithSpaces>1086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2023-06-07T09:39:00Z</dcterms:created>
  <dc:creator>tyj</dc:creator>
  <cp:lastModifiedBy>rw</cp:lastModifiedBy>
  <dcterms:modified xsi:type="dcterms:W3CDTF">2023-08-30T05:02:41Z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6C3928538947489583C87AD1C32C2859_12</vt:lpwstr>
  </property>
</Properties>
</file>