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p>
    <w:p>
      <w:pPr>
        <w:jc w:val="center"/>
        <w:rPr>
          <w:b/>
          <w:bCs/>
          <w:sz w:val="52"/>
          <w:szCs w:val="52"/>
        </w:rPr>
      </w:pPr>
    </w:p>
    <w:p>
      <w:pPr>
        <w:jc w:val="center"/>
        <w:rPr>
          <w:b/>
          <w:bCs/>
          <w:sz w:val="52"/>
          <w:szCs w:val="52"/>
        </w:rPr>
      </w:pPr>
    </w:p>
    <w:p>
      <w:pPr>
        <w:jc w:val="center"/>
        <w:rPr>
          <w:b/>
          <w:bCs/>
          <w:sz w:val="52"/>
          <w:szCs w:val="52"/>
        </w:rPr>
      </w:pPr>
    </w:p>
    <w:p>
      <w:pPr>
        <w:jc w:val="center"/>
        <w:rPr>
          <w:b/>
          <w:bCs/>
          <w:sz w:val="52"/>
          <w:szCs w:val="52"/>
        </w:rPr>
      </w:pPr>
    </w:p>
    <w:p>
      <w:pPr>
        <w:jc w:val="center"/>
        <w:rPr>
          <w:rFonts w:hint="eastAsia" w:eastAsia="宋体"/>
          <w:b/>
          <w:bCs/>
          <w:sz w:val="52"/>
          <w:szCs w:val="52"/>
        </w:rPr>
      </w:pPr>
    </w:p>
    <w:p>
      <w:pPr>
        <w:spacing w:afterLines="-2147483648" w:line="240" w:lineRule="auto"/>
        <w:jc w:val="center"/>
        <w:rPr>
          <w:rFonts w:hint="eastAsia" w:ascii="Times New Roman" w:hAnsi="Times New Roman" w:eastAsia="宋体" w:cs="Times New Roman"/>
          <w:b/>
          <w:bCs/>
          <w:kern w:val="2"/>
          <w:sz w:val="52"/>
          <w:szCs w:val="52"/>
        </w:rPr>
      </w:pPr>
      <w:r>
        <w:rPr>
          <w:rFonts w:hint="eastAsia" w:ascii="Times New Roman" w:hAnsi="Times New Roman" w:eastAsia="宋体" w:cs="Times New Roman"/>
          <w:b/>
          <w:bCs/>
          <w:kern w:val="2"/>
          <w:sz w:val="52"/>
          <w:szCs w:val="52"/>
        </w:rPr>
        <w:t>北京市农村经济研究中心</w:t>
      </w:r>
    </w:p>
    <w:p>
      <w:pPr>
        <w:spacing w:afterLines="-2147483648" w:line="240" w:lineRule="auto"/>
        <w:jc w:val="center"/>
        <w:rPr>
          <w:rFonts w:hint="eastAsia" w:ascii="Times New Roman" w:hAnsi="Times New Roman" w:eastAsia="宋体" w:cs="Times New Roman"/>
          <w:b/>
          <w:bCs/>
          <w:kern w:val="2"/>
          <w:sz w:val="52"/>
          <w:szCs w:val="52"/>
        </w:rPr>
      </w:pPr>
      <w:r>
        <w:rPr>
          <w:rFonts w:hint="eastAsia" w:ascii="Times New Roman" w:hAnsi="Times New Roman" w:eastAsia="宋体" w:cs="Times New Roman"/>
          <w:b/>
          <w:bCs/>
          <w:kern w:val="2"/>
          <w:sz w:val="52"/>
          <w:szCs w:val="52"/>
          <w:lang w:val="en-US" w:eastAsia="zh-CN"/>
        </w:rPr>
        <w:t>2022年度</w:t>
      </w:r>
      <w:r>
        <w:rPr>
          <w:rFonts w:hint="eastAsia" w:ascii="Times New Roman" w:hAnsi="Times New Roman" w:eastAsia="宋体" w:cs="Times New Roman"/>
          <w:b/>
          <w:bCs/>
          <w:kern w:val="2"/>
          <w:sz w:val="52"/>
          <w:szCs w:val="52"/>
        </w:rPr>
        <w:t>部门整体绩效评价报告</w:t>
      </w:r>
    </w:p>
    <w:p>
      <w:pPr>
        <w:jc w:val="center"/>
        <w:rPr>
          <w:b/>
          <w:bCs/>
          <w:sz w:val="52"/>
        </w:rPr>
      </w:pPr>
    </w:p>
    <w:p>
      <w:pPr>
        <w:rPr>
          <w:rFonts w:eastAsia="黑体"/>
          <w:sz w:val="30"/>
        </w:rPr>
      </w:pPr>
    </w:p>
    <w:p>
      <w:pPr>
        <w:rPr>
          <w:rFonts w:eastAsia="黑体"/>
          <w:sz w:val="30"/>
        </w:rPr>
      </w:pPr>
    </w:p>
    <w:p>
      <w:pPr>
        <w:jc w:val="center"/>
        <w:rPr>
          <w:rFonts w:eastAsia="黑体"/>
          <w:sz w:val="30"/>
        </w:rPr>
      </w:pPr>
    </w:p>
    <w:p>
      <w:pPr>
        <w:jc w:val="center"/>
        <w:rPr>
          <w:rFonts w:eastAsia="黑体"/>
          <w:sz w:val="30"/>
        </w:rPr>
      </w:pPr>
    </w:p>
    <w:p>
      <w:pPr>
        <w:jc w:val="center"/>
        <w:rPr>
          <w:rFonts w:eastAsia="黑体"/>
          <w:sz w:val="30"/>
        </w:rPr>
      </w:pPr>
    </w:p>
    <w:p>
      <w:pPr>
        <w:rPr>
          <w:rFonts w:eastAsia="黑体"/>
          <w:sz w:val="30"/>
          <w:u w:val="single"/>
        </w:rPr>
      </w:pPr>
    </w:p>
    <w:p>
      <w:pPr>
        <w:rPr>
          <w:rFonts w:eastAsia="黑体"/>
          <w:sz w:val="30"/>
          <w:u w:val="single"/>
        </w:rPr>
      </w:pPr>
    </w:p>
    <w:p>
      <w:pPr>
        <w:rPr>
          <w:rFonts w:eastAsia="黑体"/>
          <w:sz w:val="30"/>
          <w:u w:val="single"/>
        </w:rPr>
      </w:pPr>
    </w:p>
    <w:p>
      <w:pPr>
        <w:jc w:val="center"/>
        <w:rPr>
          <w:rFonts w:ascii="宋体"/>
          <w:bCs/>
          <w:sz w:val="36"/>
          <w:szCs w:val="36"/>
        </w:rPr>
      </w:pPr>
      <w:r>
        <w:rPr>
          <w:rFonts w:hint="eastAsia" w:ascii="宋体" w:hAnsi="宋体" w:cs="宋体"/>
          <w:bCs/>
          <w:sz w:val="36"/>
          <w:szCs w:val="36"/>
        </w:rPr>
        <w:t>二</w:t>
      </w:r>
      <w:r>
        <w:rPr>
          <w:rFonts w:hint="eastAsia" w:ascii="宋体" w:cs="宋体"/>
          <w:bCs/>
          <w:sz w:val="36"/>
          <w:szCs w:val="36"/>
        </w:rPr>
        <w:t>〇</w:t>
      </w:r>
      <w:r>
        <w:rPr>
          <w:rFonts w:hint="eastAsia" w:ascii="宋体" w:hAnsi="宋体" w:cs="宋体"/>
          <w:bCs/>
          <w:sz w:val="36"/>
          <w:szCs w:val="36"/>
        </w:rPr>
        <w:t>二</w:t>
      </w:r>
      <w:r>
        <w:rPr>
          <w:rFonts w:hint="eastAsia" w:ascii="宋体" w:hAnsi="宋体" w:cs="宋体"/>
          <w:bCs/>
          <w:sz w:val="36"/>
          <w:szCs w:val="36"/>
          <w:lang w:val="en-US" w:eastAsia="zh-CN"/>
        </w:rPr>
        <w:t>三</w:t>
      </w:r>
      <w:r>
        <w:rPr>
          <w:rFonts w:hint="eastAsia" w:ascii="宋体" w:hAnsi="宋体" w:cs="宋体"/>
          <w:bCs/>
          <w:sz w:val="36"/>
          <w:szCs w:val="36"/>
        </w:rPr>
        <w:t>年五月</w:t>
      </w:r>
      <w:r>
        <w:rPr>
          <w:rFonts w:hint="eastAsia" w:ascii="黑体" w:eastAsia="黑体"/>
          <w:b/>
          <w:color w:val="auto"/>
          <w:sz w:val="32"/>
          <w:szCs w:val="20"/>
        </w:rPr>
        <w:t xml:space="preserve"> </w:t>
      </w:r>
    </w:p>
    <w:p>
      <w:pPr>
        <w:rPr>
          <w:rFonts w:ascii="方正小标宋简体" w:eastAsia="方正小标宋简体"/>
          <w:sz w:val="36"/>
          <w:szCs w:val="36"/>
        </w:rPr>
      </w:pPr>
      <w:r>
        <w:rPr>
          <w:rFonts w:hint="eastAsia" w:ascii="方正小标宋简体" w:eastAsia="方正小标宋简体"/>
          <w:sz w:val="36"/>
          <w:szCs w:val="36"/>
        </w:rPr>
        <w:br w:type="page"/>
      </w:r>
    </w:p>
    <w:p>
      <w:pPr>
        <w:spacing w:line="560" w:lineRule="exact"/>
        <w:jc w:val="center"/>
        <w:rPr>
          <w:rFonts w:ascii="方正小标宋简体" w:eastAsia="方正小标宋简体"/>
          <w:sz w:val="36"/>
          <w:szCs w:val="36"/>
        </w:rPr>
        <w:sectPr>
          <w:pgSz w:w="11906" w:h="16838"/>
          <w:pgMar w:top="1440" w:right="1800" w:bottom="1440" w:left="1800" w:header="851" w:footer="992" w:gutter="0"/>
          <w:pgNumType w:start="1"/>
          <w:cols w:space="425" w:num="1"/>
          <w:docGrid w:type="lines" w:linePitch="312" w:charSpace="0"/>
        </w:sect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北京市农村经济研究中心</w:t>
      </w:r>
      <w:r>
        <w:rPr>
          <w:rFonts w:ascii="方正小标宋简体" w:eastAsia="方正小标宋简体"/>
          <w:sz w:val="36"/>
          <w:szCs w:val="36"/>
        </w:rPr>
        <w:br w:type="textWrapping"/>
      </w:r>
      <w:r>
        <w:rPr>
          <w:rFonts w:hint="eastAsia" w:ascii="方正小标宋简体" w:eastAsia="方正小标宋简体"/>
          <w:sz w:val="36"/>
          <w:szCs w:val="36"/>
          <w:lang w:val="en-US" w:eastAsia="zh-CN"/>
        </w:rPr>
        <w:t>2022年度</w:t>
      </w:r>
      <w:r>
        <w:rPr>
          <w:rFonts w:hint="eastAsia" w:ascii="方正小标宋简体" w:eastAsia="方正小标宋简体"/>
          <w:sz w:val="36"/>
          <w:szCs w:val="36"/>
        </w:rPr>
        <w:t>部门整体绩效评价报告</w:t>
      </w:r>
    </w:p>
    <w:p>
      <w:pPr>
        <w:spacing w:line="560" w:lineRule="exact"/>
        <w:jc w:val="center"/>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Cs/>
          <w:kern w:val="0"/>
          <w:sz w:val="32"/>
          <w:szCs w:val="28"/>
        </w:rPr>
        <w:t>为进一步加强预算绩效管理，强化支出责任，提高财政资金使用效益，考核财政支出效率和综合效果，根据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仿宋_GB2312" w:eastAsia="仿宋_GB2312" w:cs="仿宋_GB2312"/>
          <w:sz w:val="32"/>
          <w:lang w:eastAsia="zh-CN"/>
        </w:rPr>
        <w:t>、</w:t>
      </w:r>
      <w:r>
        <w:rPr>
          <w:rFonts w:hint="eastAsia" w:ascii="仿宋_GB2312" w:hAnsi="仿宋_GB2312" w:eastAsia="仿宋_GB2312" w:cs="仿宋_GB2312"/>
          <w:bCs/>
          <w:kern w:val="0"/>
          <w:sz w:val="32"/>
          <w:szCs w:val="28"/>
        </w:rPr>
        <w:t>《北京市项目支出绩效评价管理办法》（京财绩效〔2020〕2146号），</w:t>
      </w:r>
      <w:r>
        <w:rPr>
          <w:rFonts w:hint="eastAsia" w:ascii="仿宋_GB2312" w:hAnsi="楷体" w:eastAsia="仿宋_GB2312"/>
          <w:bCs/>
          <w:kern w:val="0"/>
          <w:sz w:val="32"/>
          <w:szCs w:val="28"/>
        </w:rPr>
        <w:t>结合</w:t>
      </w:r>
      <w:r>
        <w:rPr>
          <w:rFonts w:hint="eastAsia" w:ascii="仿宋_GB2312" w:hAnsi="楷体" w:eastAsia="仿宋_GB2312"/>
          <w:bCs/>
          <w:kern w:val="0"/>
          <w:sz w:val="32"/>
          <w:szCs w:val="28"/>
          <w:highlight w:val="none"/>
        </w:rPr>
        <w:t>《北京市财政局关于2023年推进全面实施预算绩效管理工作的预通知》</w:t>
      </w:r>
      <w:r>
        <w:rPr>
          <w:rFonts w:hint="eastAsia" w:ascii="仿宋_GB2312" w:hAnsi="楷体" w:eastAsia="仿宋_GB2312"/>
          <w:bCs/>
          <w:kern w:val="0"/>
          <w:sz w:val="32"/>
          <w:szCs w:val="28"/>
        </w:rPr>
        <w:t>的工作安排</w:t>
      </w:r>
      <w:r>
        <w:rPr>
          <w:rFonts w:hint="eastAsia" w:ascii="仿宋_GB2312" w:hAnsi="仿宋_GB2312" w:eastAsia="仿宋_GB2312" w:cs="仿宋_GB2312"/>
          <w:bCs/>
          <w:kern w:val="0"/>
          <w:sz w:val="32"/>
          <w:szCs w:val="28"/>
        </w:rPr>
        <w:t>，北京市农村经济研究中心（以下简称“市农研中心”）组建绩效评价工作组，</w:t>
      </w:r>
      <w:r>
        <w:rPr>
          <w:rFonts w:hint="eastAsia" w:ascii="仿宋_GB2312" w:hAnsi="仿宋_GB2312" w:eastAsia="仿宋_GB2312" w:cs="仿宋_GB2312"/>
          <w:bCs/>
          <w:kern w:val="0"/>
          <w:sz w:val="32"/>
          <w:szCs w:val="28"/>
          <w:lang w:val="en-US" w:eastAsia="zh-CN"/>
        </w:rPr>
        <w:t>对</w:t>
      </w:r>
      <w:r>
        <w:rPr>
          <w:rFonts w:hint="eastAsia" w:ascii="仿宋_GB2312" w:hAnsi="仿宋_GB2312" w:eastAsia="仿宋_GB2312" w:cs="仿宋_GB2312"/>
          <w:bCs/>
          <w:kern w:val="0"/>
          <w:sz w:val="32"/>
          <w:szCs w:val="28"/>
        </w:rPr>
        <w:t>202</w:t>
      </w:r>
      <w:r>
        <w:rPr>
          <w:rFonts w:hint="eastAsia" w:ascii="仿宋_GB2312" w:hAnsi="仿宋_GB2312" w:eastAsia="仿宋_GB2312" w:cs="仿宋_GB2312"/>
          <w:bCs/>
          <w:kern w:val="0"/>
          <w:sz w:val="32"/>
          <w:szCs w:val="28"/>
          <w:lang w:val="en-US" w:eastAsia="zh-CN"/>
        </w:rPr>
        <w:t>2</w:t>
      </w:r>
      <w:r>
        <w:rPr>
          <w:rFonts w:hint="eastAsia" w:ascii="仿宋_GB2312" w:hAnsi="仿宋_GB2312" w:eastAsia="仿宋_GB2312" w:cs="仿宋_GB2312"/>
          <w:bCs/>
          <w:kern w:val="0"/>
          <w:sz w:val="32"/>
          <w:szCs w:val="28"/>
        </w:rPr>
        <w:t>年度部门整体</w:t>
      </w:r>
      <w:r>
        <w:rPr>
          <w:rFonts w:hint="eastAsia" w:ascii="仿宋_GB2312" w:hAnsi="仿宋_GB2312" w:eastAsia="仿宋_GB2312" w:cs="仿宋_GB2312"/>
          <w:bCs/>
          <w:kern w:val="0"/>
          <w:sz w:val="32"/>
          <w:szCs w:val="28"/>
          <w:lang w:val="en-US" w:eastAsia="zh-CN"/>
        </w:rPr>
        <w:t>实施</w:t>
      </w:r>
      <w:r>
        <w:rPr>
          <w:rFonts w:hint="eastAsia" w:ascii="仿宋_GB2312" w:hAnsi="仿宋_GB2312" w:eastAsia="仿宋_GB2312" w:cs="仿宋_GB2312"/>
          <w:bCs/>
          <w:kern w:val="0"/>
          <w:sz w:val="32"/>
          <w:szCs w:val="28"/>
        </w:rPr>
        <w:t>绩效评价，形成本绩效评价报告。</w:t>
      </w:r>
    </w:p>
    <w:p>
      <w:pPr>
        <w:keepNext w:val="0"/>
        <w:keepLines w:val="0"/>
        <w:pageBreakBefore w:val="0"/>
        <w:kinsoku/>
        <w:wordWrap/>
        <w:overflowPunct/>
        <w:topLinePunct w:val="0"/>
        <w:autoSpaceDE/>
        <w:autoSpaceDN/>
        <w:bidi w:val="0"/>
        <w:adjustRightInd/>
        <w:spacing w:line="240" w:lineRule="auto"/>
        <w:ind w:right="0" w:firstLine="640" w:firstLineChars="200"/>
        <w:textAlignment w:val="auto"/>
        <w:outlineLvl w:val="0"/>
        <w:rPr>
          <w:rFonts w:hint="eastAsia" w:ascii="黑体" w:hAnsi="黑体" w:eastAsia="黑体" w:cs="黑体"/>
          <w:color w:val="auto"/>
          <w:kern w:val="0"/>
          <w:sz w:val="32"/>
          <w:szCs w:val="32"/>
        </w:rPr>
      </w:pPr>
      <w:bookmarkStart w:id="0" w:name="_Toc26898"/>
      <w:r>
        <w:rPr>
          <w:rFonts w:hint="eastAsia" w:ascii="黑体" w:hAnsi="黑体" w:eastAsia="黑体" w:cs="黑体"/>
          <w:color w:val="auto"/>
          <w:kern w:val="0"/>
          <w:sz w:val="32"/>
          <w:szCs w:val="32"/>
        </w:rPr>
        <w:t>一、部门概况</w:t>
      </w:r>
      <w:bookmarkEnd w:id="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1"/>
        <w:rPr>
          <w:rFonts w:hint="eastAsia" w:ascii="楷体" w:hAnsi="楷体" w:eastAsia="楷体" w:cs="楷体"/>
          <w:sz w:val="32"/>
          <w:szCs w:val="32"/>
        </w:rPr>
      </w:pPr>
      <w:bookmarkStart w:id="1" w:name="_Toc16522"/>
      <w:r>
        <w:rPr>
          <w:rFonts w:hint="eastAsia" w:ascii="楷体" w:hAnsi="楷体" w:eastAsia="楷体" w:cs="楷体"/>
          <w:sz w:val="32"/>
          <w:szCs w:val="32"/>
        </w:rPr>
        <w:t>（一）机构设置及职责工作任务情况</w:t>
      </w:r>
      <w:bookmarkEnd w:id="1"/>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1.机构设置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lang w:eastAsia="zh-CN"/>
        </w:rPr>
      </w:pPr>
      <w:r>
        <w:rPr>
          <w:rFonts w:hint="eastAsia" w:ascii="仿宋_GB2312" w:hAnsi="仿宋_GB2312" w:eastAsia="仿宋_GB2312" w:cs="仿宋_GB2312"/>
          <w:bCs/>
          <w:kern w:val="0"/>
          <w:sz w:val="32"/>
          <w:szCs w:val="28"/>
        </w:rPr>
        <w:t>北京市农村经济研究中心内设办公室、调研综合处、经济体制处、城乡发展处、社会处、资源区划处、史志处、金融处、计财处、人事处</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离退休干部处</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、机关党委</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工会</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等11个处室</w:t>
      </w:r>
      <w:r>
        <w:rPr>
          <w:rFonts w:hint="eastAsia" w:ascii="仿宋_GB2312" w:hAnsi="仿宋_GB2312" w:eastAsia="仿宋_GB2312" w:cs="仿宋_GB2312"/>
          <w:bCs/>
          <w:kern w:val="0"/>
          <w:sz w:val="32"/>
          <w:szCs w:val="28"/>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2.人员配置及人员构成情况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rPr>
        <w:t>截</w:t>
      </w:r>
      <w:r>
        <w:rPr>
          <w:rFonts w:hint="eastAsia" w:ascii="仿宋_GB2312" w:hAnsi="仿宋_GB2312" w:eastAsia="仿宋_GB2312" w:cs="仿宋_GB2312"/>
          <w:bCs/>
          <w:kern w:val="0"/>
          <w:sz w:val="32"/>
          <w:szCs w:val="28"/>
          <w:lang w:val="en-US" w:eastAsia="zh-CN"/>
        </w:rPr>
        <w:t>至</w:t>
      </w:r>
      <w:r>
        <w:rPr>
          <w:rFonts w:hint="eastAsia" w:ascii="仿宋_GB2312" w:hAnsi="仿宋_GB2312" w:eastAsia="仿宋_GB2312" w:cs="仿宋_GB2312"/>
          <w:bCs/>
          <w:kern w:val="0"/>
          <w:sz w:val="32"/>
          <w:szCs w:val="28"/>
        </w:rPr>
        <w:t>202</w:t>
      </w:r>
      <w:r>
        <w:rPr>
          <w:rFonts w:hint="eastAsia" w:ascii="仿宋_GB2312" w:hAnsi="仿宋_GB2312" w:eastAsia="仿宋_GB2312" w:cs="仿宋_GB2312"/>
          <w:bCs/>
          <w:kern w:val="0"/>
          <w:sz w:val="32"/>
          <w:szCs w:val="28"/>
          <w:lang w:val="en-US" w:eastAsia="zh-CN"/>
        </w:rPr>
        <w:t>2</w:t>
      </w:r>
      <w:r>
        <w:rPr>
          <w:rFonts w:hint="eastAsia" w:ascii="仿宋_GB2312" w:hAnsi="仿宋_GB2312" w:eastAsia="仿宋_GB2312" w:cs="仿宋_GB2312"/>
          <w:bCs/>
          <w:kern w:val="0"/>
          <w:sz w:val="32"/>
          <w:szCs w:val="28"/>
        </w:rPr>
        <w:t>年12月31日，市农研中心编制人数</w:t>
      </w:r>
      <w:r>
        <w:rPr>
          <w:rFonts w:hint="eastAsia" w:ascii="仿宋_GB2312" w:hAnsi="仿宋_GB2312" w:eastAsia="仿宋_GB2312" w:cs="仿宋_GB2312"/>
          <w:bCs/>
          <w:kern w:val="0"/>
          <w:sz w:val="32"/>
          <w:szCs w:val="28"/>
          <w:lang w:val="en-US" w:eastAsia="zh-CN"/>
        </w:rPr>
        <w:t>73人，</w:t>
      </w:r>
      <w:r>
        <w:rPr>
          <w:rFonts w:hint="eastAsia" w:ascii="仿宋_GB2312" w:hAnsi="仿宋_GB2312" w:eastAsia="仿宋_GB2312" w:cs="仿宋_GB2312"/>
          <w:bCs/>
          <w:kern w:val="0"/>
          <w:sz w:val="32"/>
          <w:szCs w:val="28"/>
        </w:rPr>
        <w:t>年末</w:t>
      </w:r>
      <w:r>
        <w:rPr>
          <w:rFonts w:hint="eastAsia" w:ascii="仿宋_GB2312" w:hAnsi="仿宋_GB2312" w:eastAsia="仿宋_GB2312" w:cs="仿宋_GB2312"/>
          <w:bCs/>
          <w:kern w:val="0"/>
          <w:sz w:val="32"/>
          <w:szCs w:val="28"/>
          <w:lang w:val="en-US" w:eastAsia="zh-CN"/>
        </w:rPr>
        <w:t>在职</w:t>
      </w:r>
      <w:r>
        <w:rPr>
          <w:rFonts w:hint="eastAsia" w:ascii="仿宋_GB2312" w:hAnsi="仿宋_GB2312" w:eastAsia="仿宋_GB2312" w:cs="仿宋_GB2312"/>
          <w:bCs/>
          <w:kern w:val="0"/>
          <w:sz w:val="32"/>
          <w:szCs w:val="28"/>
        </w:rPr>
        <w:t>人数</w:t>
      </w:r>
      <w:r>
        <w:rPr>
          <w:rFonts w:hint="eastAsia" w:ascii="仿宋_GB2312" w:hAnsi="仿宋_GB2312" w:eastAsia="仿宋_GB2312" w:cs="仿宋_GB2312"/>
          <w:bCs/>
          <w:kern w:val="0"/>
          <w:sz w:val="32"/>
          <w:szCs w:val="28"/>
          <w:lang w:val="en-US" w:eastAsia="zh-CN"/>
        </w:rPr>
        <w:t>70</w:t>
      </w:r>
      <w:r>
        <w:rPr>
          <w:rFonts w:hint="eastAsia" w:ascii="仿宋_GB2312" w:hAnsi="仿宋_GB2312" w:eastAsia="仿宋_GB2312" w:cs="仿宋_GB2312"/>
          <w:bCs/>
          <w:kern w:val="0"/>
          <w:sz w:val="32"/>
          <w:szCs w:val="28"/>
        </w:rPr>
        <w:t>人；聘用人员</w:t>
      </w:r>
      <w:r>
        <w:rPr>
          <w:rFonts w:hint="eastAsia" w:ascii="仿宋_GB2312" w:hAnsi="仿宋_GB2312" w:eastAsia="仿宋_GB2312" w:cs="仿宋_GB2312"/>
          <w:bCs/>
          <w:kern w:val="0"/>
          <w:sz w:val="32"/>
          <w:szCs w:val="28"/>
          <w:lang w:val="en-US" w:eastAsia="zh-CN"/>
        </w:rPr>
        <w:t>1</w:t>
      </w:r>
      <w:r>
        <w:rPr>
          <w:rFonts w:hint="eastAsia" w:ascii="仿宋_GB2312" w:hAnsi="仿宋_GB2312" w:eastAsia="仿宋_GB2312" w:cs="仿宋_GB2312"/>
          <w:bCs/>
          <w:kern w:val="0"/>
          <w:sz w:val="32"/>
          <w:szCs w:val="28"/>
        </w:rPr>
        <w:t>人。离退休人员</w:t>
      </w:r>
      <w:r>
        <w:rPr>
          <w:rFonts w:hint="eastAsia" w:ascii="仿宋_GB2312" w:hAnsi="仿宋_GB2312" w:eastAsia="仿宋_GB2312" w:cs="仿宋_GB2312"/>
          <w:bCs/>
          <w:kern w:val="0"/>
          <w:sz w:val="32"/>
          <w:szCs w:val="28"/>
          <w:lang w:val="en-US" w:eastAsia="zh-CN"/>
        </w:rPr>
        <w:t>69</w:t>
      </w:r>
      <w:r>
        <w:rPr>
          <w:rFonts w:hint="eastAsia" w:ascii="仿宋_GB2312" w:hAnsi="仿宋_GB2312" w:eastAsia="仿宋_GB2312" w:cs="仿宋_GB2312"/>
          <w:bCs/>
          <w:kern w:val="0"/>
          <w:sz w:val="32"/>
          <w:szCs w:val="28"/>
        </w:rPr>
        <w:t>人，</w:t>
      </w:r>
      <w:r>
        <w:rPr>
          <w:rFonts w:hint="eastAsia" w:ascii="仿宋_GB2312" w:hAnsi="仿宋_GB2312" w:eastAsia="仿宋_GB2312" w:cs="仿宋_GB2312"/>
          <w:bCs/>
          <w:kern w:val="0"/>
          <w:sz w:val="32"/>
          <w:szCs w:val="28"/>
          <w:lang w:val="en-US" w:eastAsia="zh-CN"/>
        </w:rPr>
        <w:t>全部为</w:t>
      </w:r>
      <w:r>
        <w:rPr>
          <w:rFonts w:hint="eastAsia" w:ascii="仿宋_GB2312" w:hAnsi="仿宋_GB2312" w:eastAsia="仿宋_GB2312" w:cs="仿宋_GB2312"/>
          <w:bCs/>
          <w:kern w:val="0"/>
          <w:sz w:val="32"/>
          <w:szCs w:val="28"/>
        </w:rPr>
        <w:t>退休人</w:t>
      </w:r>
      <w:r>
        <w:rPr>
          <w:rFonts w:hint="eastAsia" w:ascii="仿宋_GB2312" w:hAnsi="仿宋_GB2312" w:eastAsia="仿宋_GB2312" w:cs="仿宋_GB2312"/>
          <w:bCs/>
          <w:kern w:val="0"/>
          <w:sz w:val="32"/>
          <w:szCs w:val="28"/>
          <w:lang w:val="en-US" w:eastAsia="zh-CN"/>
        </w:rPr>
        <w:t>员</w:t>
      </w:r>
      <w:r>
        <w:rPr>
          <w:rFonts w:hint="eastAsia" w:ascii="仿宋_GB2312" w:hAnsi="仿宋_GB2312" w:eastAsia="仿宋_GB2312" w:cs="仿宋_GB2312"/>
          <w:bCs/>
          <w:kern w:val="0"/>
          <w:sz w:val="32"/>
          <w:szCs w:val="28"/>
        </w:rPr>
        <w:t>。</w:t>
      </w:r>
      <w:r>
        <w:rPr>
          <w:rFonts w:hint="eastAsia" w:ascii="仿宋_GB2312" w:hAnsi="仿宋_GB2312" w:eastAsia="仿宋_GB2312" w:cs="仿宋_GB2312"/>
          <w:bCs/>
          <w:kern w:val="0"/>
          <w:sz w:val="32"/>
          <w:szCs w:val="28"/>
          <w:highlight w:val="none"/>
        </w:rPr>
        <w:t>本年人员变动</w:t>
      </w:r>
      <w:r>
        <w:rPr>
          <w:rFonts w:hint="eastAsia" w:ascii="仿宋_GB2312" w:hAnsi="仿宋_GB2312" w:eastAsia="仿宋_GB2312" w:cs="仿宋_GB2312"/>
          <w:bCs/>
          <w:kern w:val="0"/>
          <w:sz w:val="32"/>
          <w:szCs w:val="28"/>
          <w:highlight w:val="none"/>
          <w:lang w:val="en-US" w:eastAsia="zh-CN"/>
        </w:rPr>
        <w:t>情况</w:t>
      </w:r>
      <w:r>
        <w:rPr>
          <w:rFonts w:hint="eastAsia" w:ascii="仿宋_GB2312" w:hAnsi="仿宋_GB2312" w:eastAsia="仿宋_GB2312" w:cs="仿宋_GB2312"/>
          <w:bCs/>
          <w:kern w:val="0"/>
          <w:sz w:val="32"/>
          <w:szCs w:val="28"/>
          <w:highlight w:val="none"/>
          <w:lang w:eastAsia="zh-CN"/>
        </w:rPr>
        <w:t>包括：</w:t>
      </w:r>
      <w:r>
        <w:rPr>
          <w:rFonts w:hint="eastAsia" w:ascii="仿宋_GB2312" w:hAnsi="仿宋_GB2312" w:eastAsia="仿宋_GB2312" w:cs="仿宋_GB2312"/>
          <w:bCs/>
          <w:kern w:val="0"/>
          <w:sz w:val="32"/>
          <w:szCs w:val="28"/>
          <w:highlight w:val="none"/>
        </w:rPr>
        <w:t>退休</w:t>
      </w:r>
      <w:r>
        <w:rPr>
          <w:rFonts w:hint="eastAsia" w:ascii="仿宋_GB2312" w:hAnsi="仿宋_GB2312" w:eastAsia="仿宋_GB2312" w:cs="仿宋_GB2312"/>
          <w:bCs/>
          <w:kern w:val="0"/>
          <w:sz w:val="32"/>
          <w:szCs w:val="28"/>
          <w:highlight w:val="none"/>
          <w:lang w:val="en-US" w:eastAsia="zh-CN"/>
        </w:rPr>
        <w:t>5</w:t>
      </w:r>
      <w:r>
        <w:rPr>
          <w:rFonts w:hint="eastAsia" w:ascii="仿宋_GB2312" w:hAnsi="仿宋_GB2312" w:eastAsia="仿宋_GB2312" w:cs="仿宋_GB2312"/>
          <w:bCs/>
          <w:kern w:val="0"/>
          <w:sz w:val="32"/>
          <w:szCs w:val="28"/>
          <w:highlight w:val="none"/>
        </w:rPr>
        <w:t>人，调出</w:t>
      </w:r>
      <w:r>
        <w:rPr>
          <w:rFonts w:hint="eastAsia" w:ascii="仿宋_GB2312" w:hAnsi="仿宋_GB2312" w:eastAsia="仿宋_GB2312" w:cs="仿宋_GB2312"/>
          <w:bCs/>
          <w:kern w:val="0"/>
          <w:sz w:val="32"/>
          <w:szCs w:val="28"/>
          <w:highlight w:val="none"/>
          <w:lang w:val="en-US" w:eastAsia="zh-CN"/>
        </w:rPr>
        <w:t>4</w:t>
      </w:r>
      <w:r>
        <w:rPr>
          <w:rFonts w:hint="eastAsia" w:ascii="仿宋_GB2312" w:hAnsi="仿宋_GB2312" w:eastAsia="仿宋_GB2312" w:cs="仿宋_GB2312"/>
          <w:bCs/>
          <w:kern w:val="0"/>
          <w:sz w:val="32"/>
          <w:szCs w:val="28"/>
          <w:highlight w:val="none"/>
        </w:rPr>
        <w:t>人，调入8人，去世离休人员1人。</w:t>
      </w:r>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default"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3.部门职责</w:t>
      </w:r>
      <w:r>
        <w:rPr>
          <w:rFonts w:hint="eastAsia" w:ascii="仿宋_GB2312" w:hAnsi="仿宋_GB2312" w:eastAsia="仿宋_GB2312" w:cs="仿宋_GB2312"/>
          <w:b/>
          <w:bCs/>
          <w:color w:val="auto"/>
          <w:sz w:val="32"/>
          <w:szCs w:val="32"/>
          <w:lang w:val="en-US" w:eastAsia="zh-CN"/>
        </w:rPr>
        <w:t>和工作任务情况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lang w:val="en-US" w:eastAsia="zh-CN"/>
        </w:rPr>
      </w:pPr>
      <w:r>
        <w:rPr>
          <w:rFonts w:hint="eastAsia" w:ascii="仿宋_GB2312" w:hAnsi="仿宋_GB2312" w:eastAsia="仿宋_GB2312" w:cs="仿宋_GB2312"/>
          <w:bCs/>
          <w:kern w:val="0"/>
          <w:sz w:val="32"/>
          <w:szCs w:val="28"/>
          <w:lang w:val="en-US" w:eastAsia="zh-CN"/>
        </w:rPr>
        <w:t>（1）部门职责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rPr>
        <w:t>为市委、市政府领导农村改革与发展进行决策研究；统一规划和组织市农口有关单位开展农村战略研究和政策研究；组织农村经济改革试验区的工作；开展农村改革与发展的理论研究；开展本市农业发展史、改革史研究，及相关地方志和文献资料编纂工作</w:t>
      </w:r>
      <w:r>
        <w:rPr>
          <w:rFonts w:hint="eastAsia" w:ascii="仿宋_GB2312" w:hAnsi="仿宋_GB2312" w:eastAsia="仿宋_GB2312" w:cs="仿宋_GB2312"/>
          <w:bCs/>
          <w:kern w:val="0"/>
          <w:sz w:val="32"/>
          <w:szCs w:val="28"/>
          <w:lang w:eastAsia="zh-CN"/>
        </w:rPr>
        <w:t>；</w:t>
      </w:r>
      <w:r>
        <w:rPr>
          <w:rFonts w:hint="default" w:ascii="仿宋_GB2312" w:hAnsi="仿宋_GB2312" w:eastAsia="仿宋_GB2312" w:cs="仿宋_GB2312"/>
          <w:bCs/>
          <w:kern w:val="0"/>
          <w:sz w:val="32"/>
          <w:szCs w:val="28"/>
        </w:rPr>
        <w:t> </w:t>
      </w:r>
      <w:r>
        <w:rPr>
          <w:rFonts w:hint="eastAsia" w:ascii="仿宋_GB2312" w:hAnsi="仿宋_GB2312" w:eastAsia="仿宋_GB2312" w:cs="仿宋_GB2312"/>
          <w:bCs/>
          <w:kern w:val="0"/>
          <w:sz w:val="32"/>
          <w:szCs w:val="28"/>
        </w:rPr>
        <w:t>组织和参加市内外及国际学术交流</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承担本市“三农”工作和实施乡村振兴战略方面的政策研究，为推进农业农村现代化提供智力支撑。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lang w:val="en-US" w:eastAsia="zh-CN"/>
        </w:rPr>
        <w:t>2</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工作</w:t>
      </w:r>
      <w:r>
        <w:rPr>
          <w:rFonts w:hint="eastAsia" w:ascii="仿宋_GB2312" w:hAnsi="仿宋_GB2312" w:eastAsia="仿宋_GB2312" w:cs="仿宋_GB2312"/>
          <w:bCs/>
          <w:kern w:val="0"/>
          <w:sz w:val="32"/>
          <w:szCs w:val="28"/>
          <w:lang w:val="en-US" w:eastAsia="zh-CN"/>
        </w:rPr>
        <w:t>任务</w:t>
      </w:r>
      <w:r>
        <w:rPr>
          <w:rFonts w:hint="eastAsia" w:ascii="仿宋_GB2312" w:hAnsi="仿宋_GB2312" w:eastAsia="仿宋_GB2312" w:cs="仿宋_GB2312"/>
          <w:bCs/>
          <w:kern w:val="0"/>
          <w:sz w:val="32"/>
          <w:szCs w:val="28"/>
        </w:rPr>
        <w:t>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highlight w:val="none"/>
          <w:lang w:eastAsia="zh-CN"/>
        </w:rPr>
      </w:pPr>
      <w:bookmarkStart w:id="2" w:name="_Toc329"/>
      <w:r>
        <w:rPr>
          <w:rFonts w:hint="eastAsia" w:ascii="仿宋_GB2312" w:hAnsi="仿宋_GB2312" w:eastAsia="仿宋_GB2312" w:cs="仿宋_GB2312"/>
          <w:bCs/>
          <w:kern w:val="0"/>
          <w:sz w:val="32"/>
          <w:szCs w:val="28"/>
          <w:lang w:val="en-US" w:eastAsia="zh-CN"/>
        </w:rPr>
        <w:t>市农研中心</w:t>
      </w:r>
      <w:r>
        <w:rPr>
          <w:rFonts w:hint="eastAsia" w:ascii="仿宋_GB2312" w:hAnsi="仿宋_GB2312" w:eastAsia="仿宋_GB2312" w:cs="仿宋_GB2312"/>
          <w:bCs/>
          <w:kern w:val="0"/>
          <w:sz w:val="32"/>
          <w:szCs w:val="28"/>
        </w:rPr>
        <w:t>在市委农工委、市农业农村局的坚强领导下，</w:t>
      </w:r>
      <w:r>
        <w:rPr>
          <w:rFonts w:hint="eastAsia" w:ascii="仿宋_GB2312" w:hAnsi="仿宋_GB2312" w:eastAsia="仿宋_GB2312" w:cs="仿宋_GB2312"/>
          <w:bCs/>
          <w:kern w:val="0"/>
          <w:sz w:val="32"/>
          <w:szCs w:val="28"/>
          <w:highlight w:val="none"/>
        </w:rPr>
        <w:t>始终坚持以习近平新时代中国特色社会主义思想为指导，深入学习贯彻党的二十大</w:t>
      </w:r>
      <w:r>
        <w:rPr>
          <w:rFonts w:hint="eastAsia" w:ascii="仿宋_GB2312" w:hAnsi="仿宋_GB2312" w:eastAsia="仿宋_GB2312" w:cs="仿宋_GB2312"/>
          <w:bCs/>
          <w:kern w:val="0"/>
          <w:sz w:val="32"/>
          <w:szCs w:val="28"/>
          <w:highlight w:val="none"/>
          <w:lang w:eastAsia="zh-CN"/>
        </w:rPr>
        <w:t>、</w:t>
      </w:r>
      <w:r>
        <w:rPr>
          <w:rFonts w:hint="eastAsia" w:ascii="仿宋_GB2312" w:hAnsi="仿宋_GB2312" w:eastAsia="仿宋_GB2312" w:cs="仿宋_GB2312"/>
          <w:bCs/>
          <w:kern w:val="0"/>
          <w:sz w:val="32"/>
          <w:szCs w:val="28"/>
          <w:highlight w:val="none"/>
        </w:rPr>
        <w:t>中央农村工作会</w:t>
      </w:r>
      <w:r>
        <w:rPr>
          <w:rFonts w:hint="eastAsia" w:ascii="仿宋_GB2312" w:hAnsi="仿宋_GB2312" w:eastAsia="仿宋_GB2312" w:cs="仿宋_GB2312"/>
          <w:bCs/>
          <w:kern w:val="0"/>
          <w:sz w:val="32"/>
          <w:szCs w:val="28"/>
          <w:highlight w:val="none"/>
          <w:lang w:val="en-US" w:eastAsia="zh-CN"/>
        </w:rPr>
        <w:t>和</w:t>
      </w:r>
      <w:r>
        <w:rPr>
          <w:rFonts w:hint="eastAsia" w:ascii="仿宋_GB2312" w:hAnsi="仿宋_GB2312" w:eastAsia="仿宋_GB2312" w:cs="仿宋_GB2312"/>
          <w:bCs/>
          <w:kern w:val="0"/>
          <w:sz w:val="32"/>
          <w:szCs w:val="28"/>
          <w:highlight w:val="none"/>
        </w:rPr>
        <w:t>北京市第十三次党代会精神，以推进全面从严治党为主线，谋转型、促发展、立长远，高质量完成年度目标任务，推动决策咨询研究等各项工作迈上新台阶</w:t>
      </w:r>
      <w:r>
        <w:rPr>
          <w:rFonts w:hint="eastAsia" w:ascii="仿宋_GB2312" w:hAnsi="仿宋_GB2312" w:eastAsia="仿宋_GB2312" w:cs="仿宋_GB2312"/>
          <w:bCs/>
          <w:kern w:val="0"/>
          <w:sz w:val="32"/>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楷体" w:hAnsi="楷体" w:eastAsia="楷体" w:cs="楷体"/>
          <w:b w:val="0"/>
          <w:bCs w:val="0"/>
          <w:color w:val="auto"/>
          <w:sz w:val="32"/>
          <w:szCs w:val="32"/>
        </w:rPr>
      </w:pPr>
      <w:r>
        <w:rPr>
          <w:rFonts w:hint="eastAsia" w:ascii="楷体" w:hAnsi="楷体" w:eastAsia="楷体" w:cs="楷体"/>
          <w:b w:val="0"/>
          <w:bCs w:val="0"/>
          <w:color w:val="auto"/>
          <w:sz w:val="32"/>
          <w:szCs w:val="32"/>
          <w:lang w:eastAsia="zh-CN"/>
        </w:rPr>
        <w:t>（</w:t>
      </w:r>
      <w:r>
        <w:rPr>
          <w:rFonts w:hint="eastAsia" w:ascii="楷体" w:hAnsi="楷体" w:eastAsia="楷体" w:cs="楷体"/>
          <w:b w:val="0"/>
          <w:bCs w:val="0"/>
          <w:color w:val="auto"/>
          <w:sz w:val="32"/>
          <w:szCs w:val="32"/>
          <w:lang w:val="en-US" w:eastAsia="zh-CN"/>
        </w:rPr>
        <w:t>二</w:t>
      </w:r>
      <w:r>
        <w:rPr>
          <w:rFonts w:hint="eastAsia" w:ascii="楷体" w:hAnsi="楷体" w:eastAsia="楷体" w:cs="楷体"/>
          <w:b w:val="0"/>
          <w:bCs w:val="0"/>
          <w:color w:val="auto"/>
          <w:sz w:val="32"/>
          <w:szCs w:val="32"/>
          <w:lang w:eastAsia="zh-CN"/>
        </w:rPr>
        <w:t>）</w:t>
      </w:r>
      <w:r>
        <w:rPr>
          <w:rFonts w:hint="eastAsia" w:ascii="楷体" w:hAnsi="楷体" w:eastAsia="楷体" w:cs="楷体"/>
          <w:b w:val="0"/>
          <w:bCs w:val="0"/>
          <w:color w:val="auto"/>
          <w:sz w:val="32"/>
          <w:szCs w:val="32"/>
        </w:rPr>
        <w:t>部门整体绩效目标设立情况</w:t>
      </w:r>
      <w:bookmarkEnd w:id="2"/>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1.绩效目标设立依据</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）《北京市“十四五”时期农业科技发展规划》</w:t>
      </w:r>
      <w:r>
        <w:rPr>
          <w:rFonts w:hint="eastAsia" w:ascii="仿宋_GB2312" w:hAnsi="仿宋_GB2312" w:eastAsia="仿宋_GB2312" w:cs="仿宋_GB2312"/>
          <w:bCs/>
          <w:kern w:val="0"/>
          <w:sz w:val="32"/>
          <w:szCs w:val="28"/>
          <w:highlight w:val="none"/>
        </w:rPr>
        <w:t>《北京市乡村振兴战略规划（2018-2022年）》《北京城市总体规划（2016年-2035年）》</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）市</w:t>
      </w:r>
      <w:r>
        <w:rPr>
          <w:rFonts w:hint="eastAsia" w:ascii="仿宋_GB2312" w:hAnsi="仿宋_GB2312" w:eastAsia="仿宋_GB2312" w:cs="仿宋_GB2312"/>
          <w:bCs/>
          <w:kern w:val="0"/>
          <w:sz w:val="32"/>
          <w:szCs w:val="28"/>
        </w:rPr>
        <w:t>农研中心</w:t>
      </w:r>
      <w:r>
        <w:rPr>
          <w:rFonts w:hint="eastAsia" w:ascii="仿宋_GB2312" w:hAnsi="仿宋_GB2312" w:eastAsia="仿宋_GB2312" w:cs="仿宋_GB2312"/>
          <w:color w:val="auto"/>
          <w:sz w:val="32"/>
          <w:szCs w:val="32"/>
        </w:rPr>
        <w:t>单位职能</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）市</w:t>
      </w:r>
      <w:r>
        <w:rPr>
          <w:rFonts w:hint="eastAsia" w:ascii="仿宋_GB2312" w:hAnsi="仿宋_GB2312" w:eastAsia="仿宋_GB2312" w:cs="仿宋_GB2312"/>
          <w:bCs/>
          <w:kern w:val="0"/>
          <w:sz w:val="32"/>
          <w:szCs w:val="28"/>
        </w:rPr>
        <w:t>农研中心</w:t>
      </w:r>
      <w:r>
        <w:rPr>
          <w:rFonts w:hint="eastAsia" w:ascii="仿宋_GB2312" w:hAnsi="仿宋_GB2312" w:eastAsia="仿宋_GB2312" w:cs="仿宋_GB2312"/>
          <w:color w:val="auto"/>
          <w:sz w:val="32"/>
          <w:szCs w:val="32"/>
        </w:rPr>
        <w:t>年度工作计划</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市农研中心单位</w:t>
      </w:r>
      <w:r>
        <w:rPr>
          <w:rFonts w:hint="eastAsia" w:ascii="仿宋_GB2312" w:hAnsi="仿宋_GB2312" w:eastAsia="仿宋_GB2312" w:cs="仿宋_GB2312"/>
          <w:color w:val="auto"/>
          <w:sz w:val="32"/>
          <w:szCs w:val="32"/>
        </w:rPr>
        <w:t>内部控制制度</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）国家</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北京市相关法规、规章制度</w:t>
      </w:r>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2.目标设置情况</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000000"/>
          <w:sz w:val="32"/>
          <w:lang w:eastAsia="zh-CN"/>
        </w:rPr>
        <w:t>市农研中心</w:t>
      </w:r>
      <w:r>
        <w:rPr>
          <w:rFonts w:hint="eastAsia" w:ascii="仿宋_GB2312" w:hAnsi="仿宋_GB2312" w:eastAsia="仿宋_GB2312" w:cs="仿宋_GB2312"/>
          <w:color w:val="000000"/>
          <w:sz w:val="32"/>
        </w:rPr>
        <w:t>部门整体</w:t>
      </w:r>
      <w:r>
        <w:rPr>
          <w:rFonts w:hint="eastAsia" w:ascii="仿宋_GB2312" w:hAnsi="仿宋_GB2312" w:eastAsia="仿宋_GB2312" w:cs="仿宋_GB2312"/>
          <w:sz w:val="32"/>
          <w:szCs w:val="32"/>
        </w:rPr>
        <w:t>支出绩效目标是</w:t>
      </w:r>
      <w:r>
        <w:rPr>
          <w:rFonts w:hint="eastAsia" w:ascii="仿宋_GB2312" w:hAnsi="仿宋_GB2312" w:eastAsia="仿宋_GB2312" w:cs="仿宋_GB2312"/>
          <w:sz w:val="32"/>
          <w:szCs w:val="32"/>
          <w:lang w:val="en-US" w:eastAsia="zh-CN"/>
        </w:rPr>
        <w:t>依据部门职能</w:t>
      </w:r>
      <w:r>
        <w:rPr>
          <w:rFonts w:hint="eastAsia" w:ascii="仿宋_GB2312" w:hAnsi="仿宋_GB2312" w:eastAsia="仿宋_GB2312" w:cs="仿宋_GB2312"/>
          <w:sz w:val="32"/>
          <w:szCs w:val="32"/>
        </w:rPr>
        <w:t>职责，结合</w:t>
      </w:r>
      <w:r>
        <w:rPr>
          <w:rFonts w:hint="eastAsia" w:ascii="仿宋_GB2312" w:hAnsi="仿宋_GB2312" w:eastAsia="仿宋_GB2312" w:cs="仿宋_GB2312"/>
          <w:kern w:val="2"/>
          <w:sz w:val="32"/>
          <w:szCs w:val="32"/>
        </w:rPr>
        <w:t>中长期</w:t>
      </w:r>
      <w:r>
        <w:rPr>
          <w:rFonts w:hint="eastAsia" w:ascii="仿宋_GB2312" w:hAnsi="仿宋_GB2312" w:eastAsia="仿宋_GB2312" w:cs="仿宋_GB2312"/>
          <w:kern w:val="2"/>
          <w:sz w:val="32"/>
          <w:szCs w:val="32"/>
          <w:lang w:val="en-US" w:eastAsia="zh-CN"/>
        </w:rPr>
        <w:t>规划</w:t>
      </w:r>
      <w:r>
        <w:rPr>
          <w:rFonts w:hint="eastAsia" w:ascii="仿宋_GB2312" w:hAnsi="仿宋_GB2312" w:eastAsia="仿宋_GB2312" w:cs="仿宋_GB2312"/>
          <w:kern w:val="2"/>
          <w:sz w:val="32"/>
          <w:szCs w:val="32"/>
        </w:rPr>
        <w:t>和2022年度重点工作任务</w:t>
      </w:r>
      <w:r>
        <w:rPr>
          <w:rFonts w:hint="eastAsia" w:ascii="仿宋_GB2312" w:hAnsi="仿宋_GB2312" w:eastAsia="仿宋_GB2312" w:cs="仿宋_GB2312"/>
          <w:sz w:val="32"/>
          <w:szCs w:val="32"/>
        </w:rPr>
        <w:t>设立，</w:t>
      </w:r>
      <w:r>
        <w:rPr>
          <w:rFonts w:hint="eastAsia" w:ascii="仿宋_GB2312" w:hAnsi="仿宋_GB2312" w:eastAsia="仿宋_GB2312" w:cs="仿宋_GB2312"/>
          <w:color w:val="000000"/>
          <w:sz w:val="32"/>
        </w:rPr>
        <w:t>部门整体支出绩效目标</w:t>
      </w:r>
      <w:r>
        <w:rPr>
          <w:rFonts w:hint="eastAsia" w:ascii="仿宋_GB2312" w:hAnsi="仿宋_GB2312" w:eastAsia="仿宋_GB2312" w:cs="仿宋_GB2312"/>
          <w:sz w:val="32"/>
          <w:szCs w:val="32"/>
        </w:rPr>
        <w:t>反映</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lang w:eastAsia="zh-CN"/>
        </w:rPr>
        <w:t>市农研中心</w:t>
      </w:r>
      <w:r>
        <w:rPr>
          <w:rFonts w:hint="eastAsia" w:ascii="仿宋_GB2312" w:hAnsi="仿宋_GB2312" w:eastAsia="仿宋_GB2312" w:cs="仿宋_GB2312"/>
          <w:sz w:val="32"/>
          <w:szCs w:val="32"/>
        </w:rPr>
        <w:t>使用</w:t>
      </w:r>
      <w:r>
        <w:rPr>
          <w:rFonts w:hint="eastAsia" w:ascii="仿宋_GB2312" w:hAnsi="仿宋_GB2312" w:eastAsia="仿宋_GB2312" w:cs="仿宋_GB2312"/>
          <w:color w:val="000000"/>
          <w:sz w:val="32"/>
        </w:rPr>
        <w:t>部门预算资金在年度履职中达到的总体产出和效果。</w:t>
      </w:r>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整体</w:t>
      </w:r>
      <w:r>
        <w:rPr>
          <w:rFonts w:hint="eastAsia" w:ascii="仿宋_GB2312" w:hAnsi="仿宋_GB2312" w:eastAsia="仿宋_GB2312" w:cs="仿宋_GB2312"/>
          <w:b/>
          <w:bCs/>
          <w:color w:val="auto"/>
          <w:sz w:val="32"/>
          <w:szCs w:val="32"/>
        </w:rPr>
        <w:t>绩效目标：</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以习近平新时代中国特色社会主义思想为指导，全面贯彻党的十九大和十九届二中、三中、四中、五中、六中全会精神，围绕实施具有首都特点乡村振兴战略，为市委、市政府领导农村改革与发展进行决策研究。深入贯彻落实中央经济工作会议、中央农村工作会议精神，按照《北京市乡村振兴战略规划（2018-2022年）》和全市“三农”工作部署要求，规划组织好市级涉农单位开展农村战略研究和政策研究。落实《北京城市总体规划（2016年-2035年）》，推动本市农业农村资源调查、观光休闲行业动态监测以及农业区划规划工作。紧扣首都城市“四个中心”战略定位开展调查研究，统筹组织好农村经济改革试验工作和农业区划成果应用试验基点的工作。在市委农工委、市农业农村局领导下，有效开展本市农村改革与发展的理论研究，组织和参加市内外及国际学术交流，充分发挥农村研究智库作用，强化决策咨询服务；积极开展农村金融服务研究，创新金融支农政策研究，探索农村集体资产经营权质押贷款新方式，为农村集体经济发展和农民增收致富提供资金支撑。组织做好农业农村史志鉴刊编纂工作，宣传好党的富民惠民政策，宣传好在中国共产党的领导下农村发生的翻天覆地变化和涌现出来的农业农村改革致富带头人，总结好京郊农村改革发展的典型经验。</w:t>
      </w:r>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绩效指标</w:t>
      </w:r>
      <w:r>
        <w:rPr>
          <w:rFonts w:hint="eastAsia" w:ascii="仿宋_GB2312" w:hAnsi="仿宋_GB2312" w:eastAsia="仿宋_GB2312" w:cs="仿宋_GB2312"/>
          <w:b/>
          <w:bCs/>
          <w:color w:val="auto"/>
          <w:sz w:val="32"/>
          <w:szCs w:val="32"/>
          <w:lang w:eastAsia="zh-CN"/>
        </w:rPr>
        <w:t>：</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（1）各类研究报告≥46篇（部）。</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（2）重点研究成果著作出版≥3部。</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（3）调查研究报告内刊≥30期。</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（4）公开发表研究成果≥22篇。</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（5）参加各类学术交流及调研考察人数≥50人次。</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（6）标刊物发行＝79000册。</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（7）举办重要学术交流会议或活动≥3次。</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val="0"/>
          <w:kern w:val="2"/>
          <w:sz w:val="32"/>
          <w:szCs w:val="32"/>
          <w:lang w:val="en-US" w:eastAsia="zh-CN"/>
        </w:rPr>
      </w:pPr>
      <w:r>
        <w:rPr>
          <w:rFonts w:hint="eastAsia" w:ascii="仿宋_GB2312" w:hAnsi="仿宋_GB2312" w:eastAsia="仿宋_GB2312" w:cs="仿宋_GB2312"/>
          <w:sz w:val="32"/>
          <w:szCs w:val="32"/>
          <w:lang w:val="en-US" w:eastAsia="zh-CN"/>
        </w:rPr>
        <w:t>（8）举办农研智库大讲堂≥</w:t>
      </w:r>
      <w:r>
        <w:rPr>
          <w:rFonts w:hint="eastAsia" w:ascii="仿宋_GB2312" w:hAnsi="仿宋_GB2312" w:eastAsia="仿宋_GB2312" w:cs="仿宋_GB2312"/>
          <w:bCs w:val="0"/>
          <w:kern w:val="2"/>
          <w:sz w:val="32"/>
          <w:szCs w:val="32"/>
          <w:lang w:val="en-US" w:eastAsia="zh-CN"/>
        </w:rPr>
        <w:t>10期。</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val="0"/>
          <w:kern w:val="2"/>
          <w:sz w:val="32"/>
          <w:szCs w:val="32"/>
          <w:lang w:val="en-US" w:eastAsia="zh-CN"/>
        </w:rPr>
      </w:pPr>
      <w:r>
        <w:rPr>
          <w:rFonts w:hint="eastAsia" w:ascii="仿宋_GB2312" w:hAnsi="仿宋_GB2312" w:eastAsia="仿宋_GB2312" w:cs="仿宋_GB2312"/>
          <w:bCs w:val="0"/>
          <w:kern w:val="2"/>
          <w:sz w:val="32"/>
          <w:szCs w:val="32"/>
          <w:lang w:val="en-US" w:eastAsia="zh-CN"/>
        </w:rPr>
        <w:t>（9）100个村数据采集、录入、整理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Cs w:val="0"/>
          <w:kern w:val="2"/>
          <w:sz w:val="32"/>
          <w:szCs w:val="32"/>
          <w:lang w:val="en-US" w:eastAsia="zh-CN"/>
        </w:rPr>
        <w:t>100个。</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val="0"/>
          <w:kern w:val="2"/>
          <w:sz w:val="32"/>
          <w:szCs w:val="32"/>
          <w:lang w:val="en-US" w:eastAsia="zh-CN"/>
        </w:rPr>
        <w:t>（10）经营主体融资需求数据采集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Cs w:val="0"/>
          <w:kern w:val="2"/>
          <w:sz w:val="32"/>
          <w:szCs w:val="32"/>
          <w:lang w:val="en-US" w:eastAsia="zh-CN"/>
        </w:rPr>
        <w:t>1000个</w:t>
      </w:r>
      <w:r>
        <w:rPr>
          <w:rFonts w:hint="eastAsia" w:ascii="仿宋_GB2312" w:hAnsi="仿宋_GB2312" w:eastAsia="仿宋_GB2312" w:cs="仿宋_GB2312"/>
          <w:sz w:val="32"/>
          <w:szCs w:val="32"/>
          <w:lang w:val="en-US" w:eastAsia="zh-CN"/>
        </w:rPr>
        <w:t>。</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（11）促进京郊乡村观光休闲旅游特色化、专业化、规范化水平提升。</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（12）服务对象满意度≥80%。</w:t>
      </w:r>
    </w:p>
    <w:p>
      <w:pPr>
        <w:keepNext w:val="0"/>
        <w:keepLines w:val="0"/>
        <w:pageBreakBefore w:val="0"/>
        <w:kinsoku/>
        <w:wordWrap/>
        <w:overflowPunct/>
        <w:topLinePunct w:val="0"/>
        <w:autoSpaceDE/>
        <w:autoSpaceDN/>
        <w:bidi w:val="0"/>
        <w:adjustRightInd/>
        <w:spacing w:line="240" w:lineRule="auto"/>
        <w:ind w:right="0" w:firstLine="640" w:firstLineChars="200"/>
        <w:textAlignment w:val="auto"/>
        <w:outlineLvl w:val="0"/>
        <w:rPr>
          <w:rFonts w:hint="eastAsia" w:ascii="黑体" w:hAnsi="黑体" w:eastAsia="黑体" w:cs="黑体"/>
          <w:color w:val="auto"/>
          <w:kern w:val="0"/>
          <w:sz w:val="32"/>
          <w:szCs w:val="32"/>
        </w:rPr>
      </w:pPr>
      <w:bookmarkStart w:id="3" w:name="_Toc30535"/>
      <w:r>
        <w:rPr>
          <w:rFonts w:hint="eastAsia" w:ascii="黑体" w:hAnsi="黑体" w:eastAsia="黑体" w:cs="黑体"/>
          <w:color w:val="auto"/>
          <w:kern w:val="0"/>
          <w:sz w:val="32"/>
          <w:szCs w:val="32"/>
        </w:rPr>
        <w:t>二、当年预算执行情况</w:t>
      </w:r>
      <w:bookmarkEnd w:id="3"/>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bookmarkStart w:id="4" w:name="_Hlk103972295"/>
      <w:r>
        <w:rPr>
          <w:rFonts w:hint="eastAsia" w:ascii="仿宋_GB2312" w:hAnsi="仿宋_GB2312" w:eastAsia="仿宋_GB2312" w:cs="仿宋_GB2312"/>
          <w:sz w:val="32"/>
          <w:szCs w:val="32"/>
          <w:lang w:val="en-US" w:eastAsia="zh-CN"/>
        </w:rPr>
        <w:t>2022年全年预算数4,974.84万元，</w:t>
      </w:r>
      <w:bookmarkEnd w:id="4"/>
      <w:r>
        <w:rPr>
          <w:rFonts w:hint="eastAsia" w:ascii="仿宋_GB2312" w:hAnsi="仿宋_GB2312" w:eastAsia="仿宋_GB2312" w:cs="仿宋_GB2312"/>
          <w:sz w:val="32"/>
          <w:szCs w:val="32"/>
          <w:lang w:val="en-US" w:eastAsia="zh-CN"/>
        </w:rPr>
        <w:t>其中，基本支出预算3,351.17万元，项目支出预算1,623.68万元。</w:t>
      </w:r>
      <w:bookmarkStart w:id="5" w:name="_Hlk103972234"/>
      <w:r>
        <w:rPr>
          <w:rFonts w:hint="eastAsia" w:ascii="仿宋_GB2312" w:hAnsi="仿宋_GB2312" w:eastAsia="仿宋_GB2312" w:cs="仿宋_GB2312"/>
          <w:sz w:val="32"/>
          <w:szCs w:val="32"/>
          <w:lang w:val="en-US" w:eastAsia="zh-CN"/>
        </w:rPr>
        <w:t>资金总体支出数4,774.76万元，其中，基本支出3,277.96万元，项目支出1,496.80万元。</w:t>
      </w:r>
      <w:bookmarkEnd w:id="5"/>
      <w:r>
        <w:rPr>
          <w:rFonts w:hint="eastAsia" w:ascii="仿宋_GB2312" w:hAnsi="仿宋_GB2312" w:eastAsia="仿宋_GB2312" w:cs="仿宋_GB2312"/>
          <w:sz w:val="32"/>
          <w:szCs w:val="32"/>
          <w:lang w:val="en-US" w:eastAsia="zh-CN"/>
        </w:rPr>
        <w:t>预算执行率为95.98%。</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outlineLvl w:val="0"/>
        <w:rPr>
          <w:rFonts w:hint="eastAsia" w:ascii="黑体" w:hAnsi="黑体" w:eastAsia="黑体" w:cs="黑体"/>
          <w:color w:val="auto"/>
          <w:kern w:val="0"/>
          <w:sz w:val="32"/>
          <w:szCs w:val="32"/>
        </w:rPr>
      </w:pPr>
      <w:bookmarkStart w:id="6" w:name="_Toc914"/>
      <w:r>
        <w:rPr>
          <w:rFonts w:hint="eastAsia" w:ascii="黑体" w:hAnsi="黑体" w:eastAsia="黑体" w:cs="黑体"/>
          <w:color w:val="auto"/>
          <w:kern w:val="0"/>
          <w:sz w:val="32"/>
          <w:szCs w:val="32"/>
        </w:rPr>
        <w:t>三、整体绩效目标实现情况</w:t>
      </w:r>
      <w:bookmarkEnd w:id="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1"/>
        <w:rPr>
          <w:rFonts w:hint="eastAsia" w:ascii="楷体" w:hAnsi="楷体" w:eastAsia="楷体" w:cs="楷体"/>
          <w:sz w:val="32"/>
          <w:szCs w:val="32"/>
        </w:rPr>
      </w:pPr>
      <w:bookmarkStart w:id="7" w:name="_Toc3856"/>
      <w:r>
        <w:rPr>
          <w:rFonts w:hint="eastAsia" w:ascii="楷体" w:hAnsi="楷体" w:eastAsia="楷体" w:cs="楷体"/>
          <w:sz w:val="32"/>
          <w:szCs w:val="32"/>
        </w:rPr>
        <w:t>（一）产出完成情况分析</w:t>
      </w:r>
      <w:bookmarkEnd w:id="7"/>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1.产出数量</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（1）编制印发《2022年中心目标管理任务书》，明确了85项年度重点工作任务。全年编发《调查研究报告》34期、《农研决策参考》25期。</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全年完成85项重点任务，落实“进村入户走基层三年行动计划”，累计调研494次，领导带队调研78次，各处室组织调研416次。10月份成立北京市乡村振兴专家咨询委员会，赴密云、平谷专家京郊行2次，召开专家座谈会3次，开展专题研究3项。</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开展100个集体经济薄弱村对接帮扶和促进农民增收、推动共同富裕2项重点课题大调研。围绕城乡融合、乡村旅游等重点，开展8项专题研究；推进9项任务落实，与部农研中心、民盟市委、市台办合作6项研究；报送302个村问题清单2份，区级对接帮扶情况1份，推荐典型案例14篇。从各区报送的集体经济发展案例中筛选出22篇典型案例，形成“京郊农村集体经济强村典型案例汇编”。</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汇聚包括三名中国工程院院士在内的60名不同领域专家开展调查研究、论证评估、“专家京郊行”、定期报送决策要参等四方面工作内容。对基层乡村产业发展、集体经济实践“问诊把脉”，提出的意见建议获得了认可。</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开展“北京市农村金融服务顾问体系建设试点”工作招募专家20名，顾问人员108名。完成1113个涉农经营主体的融资需求数据采集分析，形成了1026份融资意见书，接受涉农经营主体融资咨询次数821次，农村金融服务顾问的综合满意度达到99.2%。</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（6）完成《北京农村经济》月刊1—12月号发行，收稿695篇，发表370篇，逾120万字。高质量开展《北京农村年鉴》编撰工作。</w:t>
      </w:r>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2.产出质量</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落实市领导批示要求，顺利开展“三统筹”改革试点；100个集体经济监测点、农村金融服务顾问体系试点开局良好，得到央广网、央视网等媒体同步报道；调研成果多次获领导肯定性批示，多项研究成果在内参发表，多篇报告获全国农业农村政策与改革系统优秀调研成果一、二、三等奖等国家级、省部级荣誉。</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推进《昌平区宅基地改革试点实践研究》提炼总结经验、分析难点问题，为出台《十三陵镇农村宅基地资格权认定管理办法（试行）》和盘活闲置宅基地利用提建议、出观点，《建立健全促进城乡共同富裕的利益联结机制研究》等7项课题提炼总结经验、分析难点问题，《乡村旅游赋能共同富裕创新内生机制调查研究》阶段性成果发表在《2021-2022中国旅游发展绿皮书》。</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拓展决策研究合作调研渠道，加强与在京研究机构、高校、社会智库及区县的合作研究。与民盟北京市委合作开展“聚焦共同富裕目标，多措并举促进农民增收——京郊农村共同富裕实现路径研究”课题，提出的政策建议被民盟北京市委拟定为提案备选。与市台办合作开展“台湾生态农庄建设经验在北京的应用研究”等课题，取得阶段性成果。组织开展2022京台美丽乡村论坛。与北京林业大学马克思主义学院联合推动平谷区镇罗营国家乡村振兴示范区内上营村“两见两有”农业农村现代化示范点正式挂牌。与延庆区人民政府签订乡村振兴战略合作协议，为延庆农业特色产业发展、培育农村发展新动能、农民可持续增收等积极建言献策。在申报第三批国家农业绿色发展先行区等重点工作和推进农村居民可持续增收等重点课题上“小切口”先行先试，取得积极成效。助力延庆区成功申报国家农业绿色发展先行区。</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（4）中心谋转型、促发展，更加注重决策咨询在研究中的成果体现，多项报告获得国家级、省部级领导指示批示，还有多项研究成果获得国家级、省部级及地方级荣誉。</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3.产出进度</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市农研中心工作贯穿全年，按照年初预算批复及年中追加调整，2022年完成了各项工作。产出进度总体执行较好，除部分项目受疫情影响等原因较计划进度略有偏差外，其余指标均按计划进度执行。</w:t>
      </w:r>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4.产出成本</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color w:val="auto"/>
          <w:kern w:val="0"/>
          <w:sz w:val="32"/>
          <w:szCs w:val="28"/>
          <w:highlight w:val="none"/>
        </w:rPr>
      </w:pPr>
      <w:r>
        <w:rPr>
          <w:rFonts w:hint="eastAsia" w:ascii="仿宋_GB2312" w:hAnsi="仿宋_GB2312" w:eastAsia="仿宋_GB2312" w:cs="仿宋_GB2312"/>
          <w:bCs/>
          <w:kern w:val="0"/>
          <w:sz w:val="32"/>
          <w:szCs w:val="28"/>
          <w:highlight w:val="none"/>
        </w:rPr>
        <w:t>202</w:t>
      </w:r>
      <w:r>
        <w:rPr>
          <w:rFonts w:hint="eastAsia" w:ascii="仿宋_GB2312" w:hAnsi="仿宋_GB2312" w:eastAsia="仿宋_GB2312" w:cs="仿宋_GB2312"/>
          <w:bCs/>
          <w:kern w:val="0"/>
          <w:sz w:val="32"/>
          <w:szCs w:val="28"/>
          <w:highlight w:val="none"/>
          <w:lang w:val="en-US" w:eastAsia="zh-CN"/>
        </w:rPr>
        <w:t>2</w:t>
      </w:r>
      <w:r>
        <w:rPr>
          <w:rFonts w:hint="eastAsia" w:ascii="仿宋_GB2312" w:hAnsi="仿宋_GB2312" w:eastAsia="仿宋_GB2312" w:cs="仿宋_GB2312"/>
          <w:bCs/>
          <w:kern w:val="0"/>
          <w:sz w:val="32"/>
          <w:szCs w:val="28"/>
          <w:highlight w:val="none"/>
        </w:rPr>
        <w:t>年</w:t>
      </w:r>
      <w:r>
        <w:rPr>
          <w:rFonts w:hint="eastAsia" w:ascii="仿宋_GB2312" w:hAnsi="仿宋_GB2312" w:eastAsia="仿宋_GB2312" w:cs="仿宋_GB2312"/>
          <w:bCs/>
          <w:kern w:val="0"/>
          <w:sz w:val="32"/>
          <w:szCs w:val="28"/>
          <w:highlight w:val="none"/>
          <w:lang w:val="en-US" w:eastAsia="zh-CN"/>
        </w:rPr>
        <w:t>全年</w:t>
      </w:r>
      <w:r>
        <w:rPr>
          <w:rFonts w:hint="eastAsia" w:ascii="仿宋_GB2312" w:hAnsi="仿宋_GB2312" w:eastAsia="仿宋_GB2312" w:cs="仿宋_GB2312"/>
          <w:bCs/>
          <w:kern w:val="0"/>
          <w:sz w:val="32"/>
          <w:szCs w:val="28"/>
          <w:highlight w:val="none"/>
        </w:rPr>
        <w:t>预算</w:t>
      </w:r>
      <w:r>
        <w:rPr>
          <w:rFonts w:hint="eastAsia" w:ascii="仿宋_GB2312" w:hAnsi="仿宋_GB2312" w:eastAsia="仿宋_GB2312" w:cs="仿宋_GB2312"/>
          <w:bCs/>
          <w:kern w:val="0"/>
          <w:sz w:val="32"/>
          <w:szCs w:val="28"/>
          <w:highlight w:val="none"/>
          <w:lang w:val="en-US" w:eastAsia="zh-CN"/>
        </w:rPr>
        <w:t>数</w:t>
      </w:r>
      <w:r>
        <w:rPr>
          <w:rFonts w:hint="eastAsia" w:ascii="仿宋_GB2312" w:hAnsi="仿宋_GB2312" w:eastAsia="仿宋_GB2312" w:cs="仿宋_GB2312"/>
          <w:bCs/>
          <w:kern w:val="0"/>
          <w:sz w:val="32"/>
          <w:szCs w:val="28"/>
          <w:highlight w:val="none"/>
        </w:rPr>
        <w:t>4,974.84万元，</w:t>
      </w:r>
      <w:r>
        <w:rPr>
          <w:rFonts w:hint="eastAsia" w:ascii="仿宋_GB2312" w:hAnsi="仿宋_GB2312" w:eastAsia="仿宋_GB2312" w:cs="仿宋_GB2312"/>
          <w:color w:val="000000"/>
          <w:sz w:val="32"/>
          <w:lang w:val="en-US" w:eastAsia="zh-CN"/>
        </w:rPr>
        <w:t>实际预算</w:t>
      </w:r>
      <w:r>
        <w:rPr>
          <w:rFonts w:hint="eastAsia" w:ascii="仿宋_GB2312" w:hAnsi="仿宋_GB2312" w:eastAsia="仿宋_GB2312" w:cs="仿宋_GB2312"/>
          <w:color w:val="000000"/>
          <w:sz w:val="32"/>
        </w:rPr>
        <w:t>支出</w:t>
      </w:r>
      <w:r>
        <w:rPr>
          <w:rFonts w:hint="eastAsia" w:ascii="仿宋_GB2312" w:hAnsi="仿宋_GB2312" w:eastAsia="仿宋_GB2312" w:cs="仿宋_GB2312"/>
          <w:bCs/>
          <w:color w:val="auto"/>
          <w:kern w:val="0"/>
          <w:sz w:val="32"/>
          <w:szCs w:val="28"/>
          <w:highlight w:val="none"/>
        </w:rPr>
        <w:t>4</w:t>
      </w:r>
      <w:r>
        <w:rPr>
          <w:rFonts w:hint="eastAsia" w:ascii="仿宋_GB2312" w:hAnsi="仿宋_GB2312" w:eastAsia="仿宋_GB2312" w:cs="仿宋_GB2312"/>
          <w:bCs/>
          <w:color w:val="auto"/>
          <w:kern w:val="0"/>
          <w:sz w:val="32"/>
          <w:szCs w:val="28"/>
          <w:highlight w:val="none"/>
          <w:lang w:val="en-US" w:eastAsia="zh-CN"/>
        </w:rPr>
        <w:t>,774.76</w:t>
      </w:r>
      <w:r>
        <w:rPr>
          <w:rFonts w:hint="eastAsia" w:ascii="仿宋_GB2312" w:hAnsi="仿宋_GB2312" w:eastAsia="仿宋_GB2312" w:cs="仿宋_GB2312"/>
          <w:color w:val="000000"/>
          <w:sz w:val="32"/>
        </w:rPr>
        <w:t>万元，预算执行率为</w:t>
      </w:r>
      <w:r>
        <w:rPr>
          <w:rFonts w:hint="eastAsia" w:ascii="仿宋_GB2312" w:hAnsi="仿宋_GB2312" w:eastAsia="仿宋_GB2312" w:cs="仿宋_GB2312"/>
          <w:color w:val="000000"/>
          <w:sz w:val="32"/>
          <w:lang w:val="en-US" w:eastAsia="zh-CN"/>
        </w:rPr>
        <w:t>95.98</w:t>
      </w:r>
      <w:r>
        <w:rPr>
          <w:rFonts w:hint="eastAsia" w:ascii="仿宋_GB2312" w:hAnsi="仿宋_GB2312" w:eastAsia="仿宋_GB2312" w:cs="仿宋_GB2312"/>
          <w:color w:val="000000"/>
          <w:sz w:val="32"/>
        </w:rPr>
        <w:t>%。</w:t>
      </w:r>
      <w:r>
        <w:rPr>
          <w:rFonts w:hint="eastAsia" w:ascii="仿宋_GB2312" w:hAnsi="宋体" w:eastAsia="仿宋_GB2312" w:cs="宋体"/>
          <w:color w:val="000000"/>
          <w:kern w:val="0"/>
          <w:sz w:val="32"/>
          <w:szCs w:val="32"/>
          <w:highlight w:val="none"/>
        </w:rPr>
        <w:t>部</w:t>
      </w:r>
      <w:r>
        <w:rPr>
          <w:rFonts w:hint="eastAsia" w:ascii="仿宋_GB2312" w:eastAsia="仿宋_GB2312"/>
          <w:sz w:val="32"/>
          <w:szCs w:val="32"/>
          <w:highlight w:val="none"/>
        </w:rPr>
        <w:t>门整体支出控制在预算</w:t>
      </w:r>
      <w:r>
        <w:rPr>
          <w:rFonts w:hint="eastAsia" w:ascii="仿宋_GB2312" w:eastAsia="仿宋_GB2312"/>
          <w:sz w:val="32"/>
          <w:szCs w:val="32"/>
          <w:highlight w:val="none"/>
          <w:lang w:val="en-US" w:eastAsia="zh-CN"/>
        </w:rPr>
        <w:t>范围</w:t>
      </w:r>
      <w:r>
        <w:rPr>
          <w:rFonts w:hint="eastAsia" w:ascii="仿宋_GB2312" w:eastAsia="仿宋_GB2312"/>
          <w:sz w:val="32"/>
          <w:szCs w:val="32"/>
          <w:highlight w:val="none"/>
        </w:rPr>
        <w:t>内。</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eastAsia="仿宋_GB2312"/>
          <w:sz w:val="32"/>
          <w:szCs w:val="32"/>
          <w:highlight w:val="none"/>
        </w:rPr>
      </w:pPr>
      <w:r>
        <w:rPr>
          <w:rFonts w:hint="eastAsia" w:ascii="仿宋_GB2312" w:hAnsi="仿宋_GB2312" w:eastAsia="仿宋_GB2312" w:cs="仿宋_GB2312"/>
          <w:bCs/>
          <w:kern w:val="0"/>
          <w:sz w:val="32"/>
          <w:szCs w:val="28"/>
          <w:highlight w:val="none"/>
        </w:rPr>
        <w:t>市农研中心</w:t>
      </w:r>
      <w:r>
        <w:rPr>
          <w:rFonts w:hint="eastAsia" w:ascii="仿宋_GB2312" w:eastAsia="仿宋_GB2312"/>
          <w:sz w:val="32"/>
          <w:szCs w:val="32"/>
          <w:highlight w:val="none"/>
        </w:rPr>
        <w:t>严格落实“</w:t>
      </w:r>
      <w:r>
        <w:rPr>
          <w:rFonts w:hint="eastAsia" w:ascii="仿宋_GB2312" w:eastAsia="仿宋_GB2312"/>
          <w:sz w:val="32"/>
          <w:szCs w:val="32"/>
          <w:highlight w:val="none"/>
          <w:lang w:val="en-US" w:eastAsia="zh-CN"/>
        </w:rPr>
        <w:t>过</w:t>
      </w:r>
      <w:r>
        <w:rPr>
          <w:rFonts w:hint="eastAsia" w:ascii="仿宋_GB2312" w:eastAsia="仿宋_GB2312"/>
          <w:sz w:val="32"/>
          <w:szCs w:val="32"/>
          <w:highlight w:val="none"/>
        </w:rPr>
        <w:t>紧日子”的要求，在保基本保运转的情况下，严控一般性支出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通过开展预算评审，严控项目成本</w:t>
      </w:r>
      <w:r>
        <w:rPr>
          <w:rFonts w:hint="eastAsia" w:ascii="仿宋_GB2312" w:eastAsia="仿宋_GB2312"/>
          <w:sz w:val="32"/>
          <w:szCs w:val="32"/>
          <w:highlight w:val="none"/>
          <w:lang w:eastAsia="zh-CN"/>
        </w:rPr>
        <w:t>。通过政府采购节约财政资金</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1"/>
        <w:rPr>
          <w:rFonts w:hint="eastAsia" w:ascii="楷体" w:hAnsi="楷体" w:eastAsia="楷体" w:cs="楷体"/>
          <w:sz w:val="32"/>
          <w:szCs w:val="32"/>
        </w:rPr>
      </w:pPr>
      <w:bookmarkStart w:id="8" w:name="_Toc10723"/>
      <w:r>
        <w:rPr>
          <w:rFonts w:hint="eastAsia" w:ascii="楷体" w:hAnsi="楷体" w:eastAsia="楷体" w:cs="楷体"/>
          <w:sz w:val="32"/>
          <w:szCs w:val="32"/>
        </w:rPr>
        <w:t>（二）效果实现情况分析</w:t>
      </w:r>
      <w:bookmarkEnd w:id="8"/>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1.社会效益</w:t>
      </w:r>
    </w:p>
    <w:p>
      <w:pPr>
        <w:keepNext w:val="0"/>
        <w:keepLines w:val="0"/>
        <w:pageBreakBefore w:val="0"/>
        <w:widowControl/>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bCs w:val="0"/>
          <w:kern w:val="2"/>
          <w:sz w:val="32"/>
          <w:szCs w:val="32"/>
        </w:rPr>
      </w:pPr>
      <w:r>
        <w:rPr>
          <w:rFonts w:hint="eastAsia" w:ascii="仿宋_GB2312" w:hAnsi="仿宋_GB2312" w:eastAsia="仿宋_GB2312" w:cs="仿宋_GB2312"/>
          <w:bCs/>
          <w:kern w:val="0"/>
          <w:sz w:val="32"/>
          <w:szCs w:val="28"/>
          <w:highlight w:val="none"/>
          <w:lang w:val="en-US" w:eastAsia="zh-CN"/>
        </w:rPr>
        <w:t>市农研中心</w:t>
      </w:r>
      <w:r>
        <w:rPr>
          <w:rFonts w:hint="eastAsia" w:ascii="仿宋_GB2312" w:hAnsi="仿宋_GB2312" w:eastAsia="仿宋_GB2312" w:cs="仿宋_GB2312"/>
          <w:bCs/>
          <w:kern w:val="0"/>
          <w:sz w:val="32"/>
          <w:szCs w:val="28"/>
          <w:highlight w:val="none"/>
        </w:rPr>
        <w:t>充分发挥在首都乡村振兴中的决策支撑作用，明确中长期和2022年度重点工作任务，研究制定并深入落实《关于加强决策咨询研究 促进转型发展的意见</w:t>
      </w:r>
      <w:r>
        <w:rPr>
          <w:rFonts w:hint="eastAsia" w:ascii="仿宋_GB2312" w:hAnsi="仿宋_GB2312" w:eastAsia="仿宋_GB2312" w:cs="仿宋_GB2312"/>
          <w:bCs/>
          <w:kern w:val="0"/>
          <w:sz w:val="32"/>
          <w:szCs w:val="28"/>
          <w:highlight w:val="none"/>
          <w:lang w:eastAsia="zh-CN"/>
        </w:rPr>
        <w:t>（</w:t>
      </w:r>
      <w:r>
        <w:rPr>
          <w:rFonts w:hint="eastAsia" w:ascii="仿宋_GB2312" w:hAnsi="仿宋_GB2312" w:eastAsia="仿宋_GB2312" w:cs="仿宋_GB2312"/>
          <w:bCs/>
          <w:kern w:val="0"/>
          <w:sz w:val="32"/>
          <w:szCs w:val="28"/>
          <w:highlight w:val="none"/>
        </w:rPr>
        <w:t>2022—2025年</w:t>
      </w:r>
      <w:r>
        <w:rPr>
          <w:rFonts w:hint="eastAsia" w:ascii="仿宋_GB2312" w:hAnsi="仿宋_GB2312" w:eastAsia="仿宋_GB2312" w:cs="仿宋_GB2312"/>
          <w:bCs/>
          <w:kern w:val="0"/>
          <w:sz w:val="32"/>
          <w:szCs w:val="28"/>
          <w:highlight w:val="none"/>
          <w:lang w:eastAsia="zh-CN"/>
        </w:rPr>
        <w:t>）</w:t>
      </w:r>
      <w:r>
        <w:rPr>
          <w:rFonts w:hint="eastAsia" w:ascii="仿宋_GB2312" w:hAnsi="仿宋_GB2312" w:eastAsia="仿宋_GB2312" w:cs="仿宋_GB2312"/>
          <w:bCs/>
          <w:kern w:val="0"/>
          <w:sz w:val="32"/>
          <w:szCs w:val="28"/>
          <w:highlight w:val="none"/>
        </w:rPr>
        <w:t>》《2022年加强决策咨询研究工作实施方案》，切实做到“在改革上推出新举措、在调研上实现新突破、在作风上树立新气象”。编制印发《2022年中心目标管理任务书》，明确了85</w:t>
      </w:r>
      <w:r>
        <w:rPr>
          <w:rFonts w:hint="eastAsia" w:ascii="仿宋_GB2312" w:hAnsi="仿宋_GB2312" w:eastAsia="仿宋_GB2312" w:cs="仿宋_GB2312"/>
          <w:bCs w:val="0"/>
          <w:color w:val="auto"/>
          <w:kern w:val="2"/>
          <w:sz w:val="32"/>
          <w:szCs w:val="32"/>
        </w:rPr>
        <w:t>项年度重点工作任务。持续推进“进村入户走基层”三年</w:t>
      </w:r>
      <w:r>
        <w:rPr>
          <w:rFonts w:hint="eastAsia" w:ascii="仿宋_GB2312" w:hAnsi="仿宋_GB2312" w:eastAsia="仿宋_GB2312" w:cs="仿宋_GB2312"/>
          <w:bCs w:val="0"/>
          <w:kern w:val="2"/>
          <w:sz w:val="32"/>
          <w:szCs w:val="32"/>
        </w:rPr>
        <w:t>行动计划，结合中心年度重点课题研究及试点工作，青年干部驻村工作，深入开展调研工作，为群众办实事、为基层解难题。</w:t>
      </w:r>
    </w:p>
    <w:p>
      <w:pPr>
        <w:keepNext w:val="0"/>
        <w:keepLines w:val="0"/>
        <w:pageBreakBefore w:val="0"/>
        <w:widowControl/>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b w:val="0"/>
          <w:bCs w:val="0"/>
          <w:kern w:val="2"/>
          <w:sz w:val="32"/>
          <w:szCs w:val="32"/>
        </w:rPr>
        <w:t>推动北京市乡村振兴专家咨询委员会成立</w:t>
      </w:r>
      <w:r>
        <w:rPr>
          <w:rFonts w:hint="eastAsia" w:ascii="仿宋_GB2312" w:hAnsi="仿宋_GB2312" w:eastAsia="仿宋_GB2312" w:cs="仿宋_GB2312"/>
          <w:sz w:val="32"/>
          <w:szCs w:val="32"/>
          <w:lang w:val="en-US" w:eastAsia="zh-CN"/>
        </w:rPr>
        <w:t>汇聚包括三名中国工程院院士在内的60名来自国家部委、科研院校、市属机关、媒体、涉农企业、专业机构等不同领域专家，着力打造研究北京、宣传北京、服务北京的重要载体和智库平台。市</w:t>
      </w:r>
      <w:r>
        <w:rPr>
          <w:rFonts w:hint="eastAsia" w:ascii="仿宋_GB2312" w:hAnsi="仿宋_GB2312" w:eastAsia="仿宋_GB2312" w:cs="仿宋_GB2312"/>
          <w:kern w:val="2"/>
          <w:sz w:val="32"/>
          <w:szCs w:val="32"/>
          <w:lang w:val="en-US" w:eastAsia="zh-CN"/>
        </w:rPr>
        <w:t>农研中心</w:t>
      </w:r>
      <w:r>
        <w:rPr>
          <w:rFonts w:hint="eastAsia" w:ascii="仿宋_GB2312" w:hAnsi="仿宋_GB2312" w:eastAsia="仿宋_GB2312" w:cs="仿宋_GB2312"/>
          <w:kern w:val="2"/>
          <w:sz w:val="32"/>
          <w:szCs w:val="32"/>
        </w:rPr>
        <w:t>各业务处室与专家团队的联系、合作更加紧密，推动形成更高质量课题研究成果。</w:t>
      </w:r>
    </w:p>
    <w:p>
      <w:pPr>
        <w:keepNext w:val="0"/>
        <w:keepLines w:val="0"/>
        <w:pageBreakBefore w:val="0"/>
        <w:widowControl/>
        <w:kinsoku/>
        <w:wordWrap/>
        <w:overflowPunct/>
        <w:topLinePunct w:val="0"/>
        <w:autoSpaceDE/>
        <w:autoSpaceDN/>
        <w:bidi w:val="0"/>
        <w:adjustRightInd/>
        <w:spacing w:line="240" w:lineRule="auto"/>
        <w:ind w:firstLine="640" w:firstLineChars="200"/>
        <w:textAlignment w:val="auto"/>
        <w:rPr>
          <w:rFonts w:hint="eastAsia" w:ascii="仿宋_GB2312" w:hAnsi="Times New Roman" w:eastAsia="仿宋_GB2312" w:cs="Times New Roman"/>
          <w:kern w:val="2"/>
          <w:sz w:val="32"/>
          <w:szCs w:val="32"/>
          <w:highlight w:val="none"/>
          <w:lang w:val="en-US" w:eastAsia="zh-CN"/>
        </w:rPr>
      </w:pPr>
      <w:r>
        <w:rPr>
          <w:rFonts w:hint="eastAsia" w:ascii="仿宋_GB2312" w:hAnsi="仿宋_GB2312" w:eastAsia="仿宋_GB2312" w:cs="仿宋_GB2312"/>
          <w:b w:val="0"/>
          <w:bCs w:val="0"/>
          <w:kern w:val="2"/>
          <w:sz w:val="32"/>
          <w:szCs w:val="32"/>
        </w:rPr>
        <w:t>监测与试点工作更细更深更有效</w:t>
      </w:r>
      <w:r>
        <w:rPr>
          <w:rFonts w:hint="eastAsia" w:ascii="仿宋_GB2312" w:hAnsi="仿宋_GB2312" w:eastAsia="仿宋_GB2312" w:cs="仿宋_GB2312"/>
          <w:b w:val="0"/>
          <w:bCs w:val="0"/>
          <w:kern w:val="2"/>
          <w:sz w:val="32"/>
          <w:szCs w:val="32"/>
          <w:lang w:eastAsia="zh-CN"/>
        </w:rPr>
        <w:t>，</w:t>
      </w:r>
      <w:r>
        <w:rPr>
          <w:rFonts w:hint="eastAsia" w:ascii="仿宋_GB2312" w:hAnsi="仿宋_GB2312" w:eastAsia="仿宋_GB2312" w:cs="仿宋_GB2312"/>
          <w:b w:val="0"/>
          <w:bCs w:val="0"/>
          <w:kern w:val="2"/>
          <w:sz w:val="32"/>
          <w:szCs w:val="32"/>
        </w:rPr>
        <w:t>京郊乡村休闲旅游行业运行监测点建设和“十百千万”畅</w:t>
      </w:r>
      <w:r>
        <w:rPr>
          <w:rFonts w:hint="eastAsia" w:ascii="仿宋_GB2312" w:hAnsi="Times New Roman" w:eastAsia="仿宋_GB2312" w:cs="Times New Roman"/>
          <w:b w:val="0"/>
          <w:bCs w:val="0"/>
          <w:kern w:val="2"/>
          <w:sz w:val="32"/>
          <w:szCs w:val="32"/>
          <w:highlight w:val="none"/>
        </w:rPr>
        <w:t>游行动促进工作</w:t>
      </w:r>
      <w:r>
        <w:rPr>
          <w:rFonts w:hint="eastAsia" w:ascii="仿宋_GB2312" w:hAnsi="Times New Roman" w:eastAsia="仿宋_GB2312" w:cs="Times New Roman"/>
          <w:b w:val="0"/>
          <w:bCs w:val="0"/>
          <w:kern w:val="2"/>
          <w:sz w:val="32"/>
          <w:szCs w:val="32"/>
          <w:highlight w:val="none"/>
          <w:lang w:eastAsia="zh-CN"/>
        </w:rPr>
        <w:t>，对休闲农业典型案例、精品线路、节庆活动、政策解读等进行宣传推介。完成全市乡村休闲旅游专题培训。</w:t>
      </w:r>
      <w:r>
        <w:rPr>
          <w:rFonts w:hint="eastAsia" w:ascii="仿宋_GB2312" w:hAnsi="Times New Roman" w:eastAsia="仿宋_GB2312" w:cs="Times New Roman"/>
          <w:kern w:val="2"/>
          <w:sz w:val="32"/>
          <w:szCs w:val="32"/>
          <w:highlight w:val="none"/>
        </w:rPr>
        <w:t>北京国际设计周·艺术乡村及“红色山河记忆”主题展项目赢得了广泛的社会赞誉</w:t>
      </w:r>
      <w:r>
        <w:rPr>
          <w:rFonts w:hint="eastAsia" w:ascii="仿宋_GB2312" w:hAnsi="Times New Roman" w:eastAsia="仿宋_GB2312" w:cs="Times New Roman"/>
          <w:kern w:val="2"/>
          <w:sz w:val="32"/>
          <w:szCs w:val="32"/>
          <w:highlight w:val="none"/>
          <w:lang w:eastAsia="zh-CN"/>
        </w:rPr>
        <w:t>。人民网、新华网</w:t>
      </w:r>
      <w:r>
        <w:rPr>
          <w:rFonts w:hint="eastAsia" w:ascii="仿宋_GB2312" w:eastAsia="仿宋_GB2312" w:cs="Times New Roman"/>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农民日报、北京日报等主流媒体专题报道</w:t>
      </w:r>
      <w:r>
        <w:rPr>
          <w:rFonts w:hint="eastAsia" w:ascii="仿宋_GB2312" w:eastAsia="仿宋_GB2312" w:cs="Times New Roman"/>
          <w:kern w:val="2"/>
          <w:sz w:val="32"/>
          <w:szCs w:val="32"/>
          <w:highlight w:val="none"/>
          <w:lang w:eastAsia="zh-CN"/>
        </w:rPr>
        <w:t>，</w:t>
      </w:r>
      <w:r>
        <w:rPr>
          <w:rFonts w:hint="eastAsia" w:ascii="仿宋_GB2312" w:hAnsi="Times New Roman" w:eastAsia="仿宋_GB2312" w:cs="Times New Roman"/>
          <w:kern w:val="2"/>
          <w:sz w:val="32"/>
          <w:szCs w:val="32"/>
          <w:highlight w:val="none"/>
        </w:rPr>
        <w:t>取得积极成效。</w:t>
      </w:r>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2.可持续性影响</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深入学习贯彻中央农村工作会议精神，认真贯彻北京市第十三次党代会精神，以推进全面从严治党为主线，谋转型、促发展、立长远，高质量完成年度目标任务，推动决策咨询研究等各项工作迈上新台阶。</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bCs/>
          <w:kern w:val="0"/>
          <w:sz w:val="32"/>
          <w:szCs w:val="28"/>
          <w:lang w:val="en-US" w:eastAsia="zh-CN"/>
        </w:rPr>
      </w:pPr>
      <w:r>
        <w:rPr>
          <w:rFonts w:hint="eastAsia" w:ascii="仿宋_GB2312" w:hAnsi="仿宋_GB2312" w:eastAsia="仿宋_GB2312" w:cs="仿宋_GB2312"/>
          <w:bCs/>
          <w:kern w:val="0"/>
          <w:sz w:val="32"/>
          <w:szCs w:val="28"/>
          <w:shd w:val="clear"/>
        </w:rPr>
        <w:t>在研究中树立全局思维，主动融入和服务首都发展大局，从统筹性、系统性、协调性各个角度研究谋划推动服务于“三农”决策研究工作。提高宏观经济、产业经济、社会发展的知识储备和底蕴培养。</w:t>
      </w:r>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3.服务对象满意度</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仿宋_GB2312" w:eastAsia="仿宋_GB2312" w:cs="仿宋_GB2312"/>
          <w:bCs/>
          <w:kern w:val="0"/>
          <w:sz w:val="32"/>
          <w:szCs w:val="28"/>
          <w:lang w:val="en-US" w:eastAsia="zh-CN"/>
        </w:rPr>
      </w:pPr>
      <w:r>
        <w:rPr>
          <w:rFonts w:hint="eastAsia" w:ascii="仿宋_GB2312" w:hAnsi="仿宋_GB2312" w:eastAsia="仿宋_GB2312" w:cs="仿宋_GB2312"/>
          <w:bCs/>
          <w:kern w:val="0"/>
          <w:sz w:val="32"/>
          <w:szCs w:val="28"/>
          <w:lang w:val="en-US" w:eastAsia="zh-CN"/>
        </w:rPr>
        <w:t>市农研中心相关工作成果获得上级主管部门及相关受益对象认可达到80%以上；</w:t>
      </w:r>
      <w:r>
        <w:rPr>
          <w:rFonts w:hint="eastAsia" w:ascii="仿宋_GB2312" w:hAnsi="仿宋_GB2312" w:eastAsia="仿宋_GB2312" w:cs="仿宋_GB2312"/>
          <w:bCs/>
          <w:kern w:val="0"/>
          <w:sz w:val="32"/>
          <w:szCs w:val="28"/>
        </w:rPr>
        <w:t>农村金融服务顾问的综合满意度达到99.2%</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outlineLvl w:val="0"/>
        <w:rPr>
          <w:rFonts w:hint="eastAsia" w:ascii="黑体" w:hAnsi="黑体" w:eastAsia="黑体" w:cs="黑体"/>
          <w:color w:val="auto"/>
          <w:kern w:val="0"/>
          <w:sz w:val="32"/>
          <w:szCs w:val="32"/>
        </w:rPr>
      </w:pPr>
      <w:bookmarkStart w:id="9" w:name="_Toc30259"/>
      <w:r>
        <w:rPr>
          <w:rFonts w:hint="eastAsia" w:ascii="黑体" w:hAnsi="黑体" w:eastAsia="黑体" w:cs="黑体"/>
          <w:color w:val="auto"/>
          <w:kern w:val="0"/>
          <w:sz w:val="32"/>
          <w:szCs w:val="32"/>
        </w:rPr>
        <w:t>四、预算管理情况分析</w:t>
      </w:r>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1"/>
        <w:rPr>
          <w:rFonts w:hint="eastAsia" w:ascii="楷体" w:hAnsi="楷体" w:eastAsia="楷体" w:cs="楷体"/>
          <w:sz w:val="32"/>
          <w:szCs w:val="32"/>
        </w:rPr>
      </w:pPr>
      <w:bookmarkStart w:id="10" w:name="_Toc31965"/>
      <w:r>
        <w:rPr>
          <w:rFonts w:hint="eastAsia" w:ascii="楷体" w:hAnsi="楷体" w:eastAsia="楷体" w:cs="楷体"/>
          <w:sz w:val="32"/>
          <w:szCs w:val="32"/>
        </w:rPr>
        <w:t>（一）财务管理</w:t>
      </w:r>
      <w:bookmarkEnd w:id="10"/>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1.财务管理制度健全性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rPr>
        <w:t>市农研中心落实</w:t>
      </w:r>
      <w:r>
        <w:rPr>
          <w:rFonts w:hint="eastAsia" w:ascii="仿宋_GB2312" w:hAnsi="宋体" w:eastAsia="仿宋_GB2312" w:cs="宋体"/>
          <w:color w:val="000000"/>
          <w:kern w:val="0"/>
          <w:sz w:val="32"/>
          <w:szCs w:val="32"/>
          <w:highlight w:val="none"/>
          <w:lang w:val="en-US" w:eastAsia="zh-CN"/>
        </w:rPr>
        <w:t>行政事业单位</w:t>
      </w:r>
      <w:r>
        <w:rPr>
          <w:rFonts w:hint="eastAsia" w:ascii="仿宋_GB2312" w:hAnsi="仿宋_GB2312" w:eastAsia="仿宋_GB2312" w:cs="仿宋_GB2312"/>
          <w:bCs/>
          <w:kern w:val="0"/>
          <w:sz w:val="32"/>
          <w:szCs w:val="28"/>
        </w:rPr>
        <w:t>内部控制规范要求，制定《北京市农村经济研究中心内部控制手册》，已建立《北京市农村经济研究中心财务管理办法》《北京市农村经济研究中心预算管理办法》《北京市农村经济研究中心经费资金支付管理办法》《北京市农村经济研究中心采购工作管理办法》《北京市农村经济研究中心固定资产使用管理办法》《北京市农村经济研究中心货币资金管理办法》《北京市农村经济研究中心合同管理办法》等相关管理制度，对预算业务、收支业务、政府采购业务、固定资产管理业务、合同业务等财务管理进行规范，部门财务管理制度较健全。</w:t>
      </w:r>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2.资金使用合规性和安全性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rPr>
        <w:t>市农研中心在预算编制阶段，</w:t>
      </w:r>
      <w:r>
        <w:rPr>
          <w:rFonts w:hint="eastAsia" w:ascii="仿宋_GB2312" w:hAnsi="宋体" w:eastAsia="仿宋_GB2312" w:cs="宋体"/>
          <w:color w:val="000000"/>
          <w:kern w:val="0"/>
          <w:sz w:val="32"/>
          <w:szCs w:val="32"/>
          <w:highlight w:val="none"/>
        </w:rPr>
        <w:t>以预算一体化改革为重点，</w:t>
      </w:r>
      <w:r>
        <w:rPr>
          <w:rFonts w:hint="eastAsia" w:ascii="仿宋_GB2312" w:hAnsi="仿宋_GB2312" w:eastAsia="仿宋_GB2312" w:cs="仿宋_GB2312"/>
          <w:bCs/>
          <w:kern w:val="0"/>
          <w:sz w:val="32"/>
          <w:szCs w:val="28"/>
        </w:rPr>
        <w:t>认真落实财政部门预算编制要求，加强项目预算评审，合理测算预算需求，提高了预算编制的准确性。</w:t>
      </w:r>
      <w:r>
        <w:rPr>
          <w:rFonts w:hint="eastAsia" w:ascii="仿宋_GB2312" w:hAnsi="宋体" w:eastAsia="仿宋_GB2312" w:cs="宋体"/>
          <w:color w:val="000000"/>
          <w:kern w:val="0"/>
          <w:sz w:val="32"/>
          <w:szCs w:val="32"/>
          <w:highlight w:val="none"/>
        </w:rPr>
        <w:t>以完善内控制度建设为抓手，</w:t>
      </w:r>
      <w:r>
        <w:rPr>
          <w:rFonts w:hint="eastAsia" w:ascii="仿宋_GB2312" w:hAnsi="仿宋_GB2312" w:eastAsia="仿宋_GB2312" w:cs="仿宋_GB2312"/>
          <w:bCs/>
          <w:kern w:val="0"/>
          <w:sz w:val="32"/>
          <w:szCs w:val="28"/>
        </w:rPr>
        <w:t>经费支出控制在预算批复范围内，各项支出审批严格履行内部审批程序，资金支出按照内部管理制度执行，未发现资金有超范围、超标准支出的情况，资金审批手续规范。</w:t>
      </w:r>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3.会计基础信息完善性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rPr>
        <w:t>市农研中心</w:t>
      </w:r>
      <w:r>
        <w:rPr>
          <w:rFonts w:hint="eastAsia" w:ascii="仿宋_GB2312" w:hAnsi="仿宋_GB2312" w:eastAsia="仿宋_GB2312" w:cs="仿宋_GB2312"/>
          <w:color w:val="000000"/>
          <w:kern w:val="0"/>
          <w:sz w:val="32"/>
          <w:szCs w:val="32"/>
        </w:rPr>
        <w:t>严格按照《财政部关于贯彻实施政府会计准则制度的通知》</w:t>
      </w:r>
      <w:r>
        <w:rPr>
          <w:rFonts w:hint="eastAsia" w:ascii="仿宋_GB2312" w:hAnsi="仿宋_GB2312" w:eastAsia="仿宋_GB2312" w:cs="仿宋_GB2312"/>
          <w:bCs/>
          <w:kern w:val="0"/>
          <w:sz w:val="32"/>
          <w:szCs w:val="28"/>
        </w:rPr>
        <w:t>和财政部门的相关要求开展会计工作，在财务管理、业务流程和会计核算方面</w:t>
      </w:r>
      <w:r>
        <w:rPr>
          <w:rFonts w:hint="eastAsia" w:ascii="仿宋_GB2312" w:hAnsi="仿宋_GB2312" w:eastAsia="仿宋_GB2312" w:cs="仿宋_GB2312"/>
          <w:bCs/>
          <w:kern w:val="0"/>
          <w:sz w:val="32"/>
          <w:szCs w:val="28"/>
          <w:lang w:val="en-US" w:eastAsia="zh-CN"/>
        </w:rPr>
        <w:t>贯彻</w:t>
      </w:r>
      <w:r>
        <w:rPr>
          <w:rFonts w:hint="eastAsia" w:ascii="仿宋_GB2312" w:hAnsi="仿宋_GB2312" w:eastAsia="仿宋_GB2312" w:cs="仿宋_GB2312"/>
          <w:bCs/>
          <w:kern w:val="0"/>
          <w:sz w:val="32"/>
          <w:szCs w:val="28"/>
        </w:rPr>
        <w:t>实施。通过固定资产台账、重点项目支出会计凭证及会计账簿、财务报告等</w:t>
      </w:r>
      <w:r>
        <w:rPr>
          <w:rFonts w:hint="eastAsia" w:ascii="仿宋_GB2312" w:hAnsi="仿宋_GB2312" w:eastAsia="仿宋_GB2312" w:cs="仿宋_GB2312"/>
          <w:bCs/>
          <w:kern w:val="0"/>
          <w:sz w:val="32"/>
          <w:szCs w:val="28"/>
          <w:lang w:val="en-US" w:eastAsia="zh-CN"/>
        </w:rPr>
        <w:t>归集会计</w:t>
      </w:r>
      <w:r>
        <w:rPr>
          <w:rFonts w:hint="eastAsia" w:ascii="仿宋_GB2312" w:hAnsi="仿宋_GB2312" w:eastAsia="仿宋_GB2312" w:cs="仿宋_GB2312"/>
          <w:bCs/>
          <w:kern w:val="0"/>
          <w:sz w:val="32"/>
          <w:szCs w:val="28"/>
        </w:rPr>
        <w:t>基础信息</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lang w:val="en-US" w:eastAsia="zh-CN"/>
        </w:rPr>
        <w:t>通过制定和执行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北京市农村经济研究中心会计档案管理办法（试行）》，从制度上保障</w:t>
      </w:r>
      <w:r>
        <w:rPr>
          <w:rFonts w:hint="eastAsia" w:ascii="仿宋_GB2312" w:hAnsi="仿宋_GB2312" w:eastAsia="仿宋_GB2312" w:cs="仿宋_GB2312"/>
          <w:bCs/>
          <w:kern w:val="0"/>
          <w:sz w:val="32"/>
          <w:szCs w:val="28"/>
        </w:rPr>
        <w:t>会计基础数据信息和会计信息资料完</w:t>
      </w:r>
      <w:r>
        <w:rPr>
          <w:rFonts w:hint="eastAsia" w:ascii="仿宋_GB2312" w:hAnsi="仿宋_GB2312" w:eastAsia="仿宋_GB2312" w:cs="仿宋_GB2312"/>
          <w:bCs/>
          <w:kern w:val="0"/>
          <w:sz w:val="32"/>
          <w:szCs w:val="28"/>
          <w:lang w:val="en-US" w:eastAsia="zh-CN"/>
        </w:rPr>
        <w:t>善</w:t>
      </w:r>
      <w:r>
        <w:rPr>
          <w:rFonts w:hint="eastAsia" w:ascii="仿宋_GB2312" w:hAnsi="仿宋_GB2312" w:eastAsia="仿宋_GB2312" w:cs="仿宋_GB2312"/>
          <w:bCs/>
          <w:kern w:val="0"/>
          <w:sz w:val="32"/>
          <w:szCs w:val="28"/>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1"/>
        <w:rPr>
          <w:rFonts w:hint="eastAsia" w:ascii="楷体" w:hAnsi="楷体" w:eastAsia="楷体" w:cs="楷体"/>
          <w:sz w:val="32"/>
          <w:szCs w:val="32"/>
        </w:rPr>
      </w:pPr>
      <w:bookmarkStart w:id="11" w:name="_Toc8260"/>
      <w:r>
        <w:rPr>
          <w:rFonts w:hint="eastAsia" w:ascii="楷体" w:hAnsi="楷体" w:eastAsia="楷体" w:cs="楷体"/>
          <w:sz w:val="32"/>
          <w:szCs w:val="32"/>
        </w:rPr>
        <w:t>（二）资产管理</w:t>
      </w:r>
      <w:bookmarkEnd w:id="11"/>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1.资产管理情况</w:t>
      </w:r>
    </w:p>
    <w:p>
      <w:pPr>
        <w:keepNext w:val="0"/>
        <w:keepLines w:val="0"/>
        <w:pageBreakBefore w:val="0"/>
        <w:widowControl/>
        <w:suppressLineNumbers w:val="0"/>
        <w:kinsoku/>
        <w:wordWrap/>
        <w:overflowPunct/>
        <w:topLinePunct w:val="0"/>
        <w:autoSpaceDE/>
        <w:autoSpaceDN/>
        <w:bidi w:val="0"/>
        <w:adjustRightInd/>
        <w:spacing w:line="240" w:lineRule="auto"/>
        <w:ind w:firstLine="640" w:firstLineChars="200"/>
        <w:jc w:val="left"/>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bCs/>
          <w:kern w:val="0"/>
          <w:sz w:val="32"/>
          <w:szCs w:val="28"/>
        </w:rPr>
        <w:t>市农研中心</w:t>
      </w:r>
      <w:r>
        <w:rPr>
          <w:rFonts w:hint="eastAsia" w:ascii="仿宋_GB2312" w:hAnsi="仿宋_GB2312" w:eastAsia="仿宋_GB2312" w:cs="仿宋_GB2312"/>
          <w:color w:val="auto"/>
          <w:kern w:val="0"/>
          <w:sz w:val="32"/>
          <w:szCs w:val="32"/>
        </w:rPr>
        <w:t>严格贯彻落实</w:t>
      </w:r>
      <w:r>
        <w:rPr>
          <w:rFonts w:hint="eastAsia" w:ascii="仿宋_GB2312" w:hAnsi="仿宋_GB2312" w:eastAsia="仿宋_GB2312" w:cs="仿宋_GB2312"/>
          <w:color w:val="auto"/>
          <w:sz w:val="32"/>
          <w:szCs w:val="32"/>
        </w:rPr>
        <w:t>《行政</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国有资产管理暂行办法》（财政部令第35号）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《事业</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国有资产管理暂行办法》（财政部令第36号）</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kern w:val="0"/>
          <w:sz w:val="32"/>
          <w:szCs w:val="32"/>
        </w:rPr>
        <w:t>制度</w:t>
      </w:r>
      <w:r>
        <w:rPr>
          <w:rFonts w:hint="eastAsia" w:ascii="仿宋_GB2312" w:hAnsi="仿宋_GB2312" w:eastAsia="仿宋_GB2312" w:cs="仿宋_GB2312"/>
          <w:color w:val="auto"/>
          <w:kern w:val="0"/>
          <w:sz w:val="32"/>
          <w:szCs w:val="32"/>
          <w:lang w:val="en-US" w:eastAsia="zh-CN"/>
        </w:rPr>
        <w:t>要求</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sz w:val="32"/>
          <w:szCs w:val="32"/>
        </w:rPr>
        <w:t>制定了《</w:t>
      </w:r>
      <w:r>
        <w:rPr>
          <w:rFonts w:hint="eastAsia" w:ascii="仿宋_GB2312" w:hAnsi="仿宋_GB2312" w:eastAsia="仿宋_GB2312" w:cs="仿宋_GB2312"/>
          <w:color w:val="auto"/>
          <w:sz w:val="32"/>
          <w:szCs w:val="32"/>
          <w:lang w:val="en-US" w:eastAsia="zh-CN"/>
        </w:rPr>
        <w:t>北京市农村经济研究中心固定资产管理办法</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《北京市农村经济研究中心经费资金支出管理办法（试行）》等资产管</w:t>
      </w:r>
      <w:r>
        <w:rPr>
          <w:rFonts w:hint="eastAsia" w:ascii="仿宋_GB2312" w:hAnsi="仿宋_GB2312" w:eastAsia="仿宋_GB2312" w:cs="仿宋_GB2312"/>
          <w:color w:val="auto"/>
          <w:kern w:val="0"/>
          <w:sz w:val="32"/>
          <w:szCs w:val="32"/>
          <w:lang w:val="en-US" w:eastAsia="zh-CN"/>
        </w:rPr>
        <w:t>理办法。</w:t>
      </w:r>
      <w:r>
        <w:rPr>
          <w:rFonts w:hint="eastAsia" w:ascii="仿宋_GB2312" w:hAnsi="仿宋_GB2312" w:eastAsia="仿宋_GB2312" w:cs="仿宋_GB2312"/>
          <w:color w:val="auto"/>
          <w:kern w:val="0"/>
          <w:sz w:val="32"/>
          <w:szCs w:val="32"/>
        </w:rPr>
        <w:t>细化资产管理流程，认真履行国有资产管理职责</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强化</w:t>
      </w:r>
      <w:r>
        <w:rPr>
          <w:rFonts w:hint="eastAsia" w:ascii="仿宋_GB2312" w:hAnsi="仿宋_GB2312" w:eastAsia="仿宋_GB2312" w:cs="仿宋_GB2312"/>
          <w:color w:val="auto"/>
          <w:kern w:val="0"/>
          <w:sz w:val="32"/>
          <w:szCs w:val="32"/>
        </w:rPr>
        <w:t>资产管理</w:t>
      </w:r>
      <w:r>
        <w:rPr>
          <w:rFonts w:hint="eastAsia" w:ascii="仿宋_GB2312" w:hAnsi="仿宋_GB2312" w:eastAsia="仿宋_GB2312" w:cs="仿宋_GB2312"/>
          <w:color w:val="auto"/>
          <w:kern w:val="0"/>
          <w:sz w:val="32"/>
          <w:szCs w:val="32"/>
          <w:lang w:val="en-US" w:eastAsia="zh-CN"/>
        </w:rPr>
        <w:t>水平</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sz w:val="32"/>
          <w:szCs w:val="32"/>
        </w:rPr>
        <w:t>保证国有资产的安全、完整</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2.资产总体情况</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ascii="仿宋_GB2312" w:hAnsi="宋体" w:eastAsia="仿宋_GB2312" w:cs="宋体"/>
          <w:color w:val="000000"/>
          <w:kern w:val="0"/>
          <w:sz w:val="32"/>
          <w:szCs w:val="32"/>
          <w:highlight w:val="none"/>
          <w:lang w:eastAsia="zh-CN"/>
        </w:rPr>
      </w:pPr>
      <w:r>
        <w:rPr>
          <w:rFonts w:hint="eastAsia" w:ascii="仿宋_GB2312" w:hAnsi="仿宋_GB2312" w:eastAsia="仿宋_GB2312" w:cs="仿宋_GB2312"/>
          <w:bCs/>
          <w:kern w:val="0"/>
          <w:sz w:val="32"/>
          <w:szCs w:val="28"/>
        </w:rPr>
        <w:t>截至202</w:t>
      </w:r>
      <w:r>
        <w:rPr>
          <w:rFonts w:hint="eastAsia" w:ascii="仿宋_GB2312" w:hAnsi="仿宋_GB2312" w:eastAsia="仿宋_GB2312" w:cs="仿宋_GB2312"/>
          <w:bCs/>
          <w:kern w:val="0"/>
          <w:sz w:val="32"/>
          <w:szCs w:val="28"/>
          <w:lang w:val="en-US" w:eastAsia="zh-CN"/>
        </w:rPr>
        <w:t>2</w:t>
      </w:r>
      <w:r>
        <w:rPr>
          <w:rFonts w:hint="eastAsia" w:ascii="仿宋_GB2312" w:hAnsi="仿宋_GB2312" w:eastAsia="仿宋_GB2312" w:cs="仿宋_GB2312"/>
          <w:bCs/>
          <w:kern w:val="0"/>
          <w:sz w:val="32"/>
          <w:szCs w:val="28"/>
        </w:rPr>
        <w:t>年12月31日，市农研中心资产总额1,659.76万元，其中：流动资产853.22万元</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固定资产682.8</w:t>
      </w:r>
      <w:r>
        <w:rPr>
          <w:rFonts w:hint="eastAsia" w:ascii="仿宋_GB2312" w:hAnsi="仿宋_GB2312" w:eastAsia="仿宋_GB2312" w:cs="仿宋_GB2312"/>
          <w:bCs/>
          <w:kern w:val="0"/>
          <w:sz w:val="32"/>
          <w:szCs w:val="28"/>
          <w:lang w:val="en-US" w:eastAsia="zh-CN"/>
        </w:rPr>
        <w:t>0</w:t>
      </w:r>
      <w:r>
        <w:rPr>
          <w:rFonts w:hint="eastAsia" w:ascii="仿宋_GB2312" w:hAnsi="仿宋_GB2312" w:eastAsia="仿宋_GB2312" w:cs="仿宋_GB2312"/>
          <w:bCs/>
          <w:kern w:val="0"/>
          <w:sz w:val="32"/>
          <w:szCs w:val="28"/>
        </w:rPr>
        <w:t>万元</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无形资产123.74万元。</w:t>
      </w:r>
      <w:r>
        <w:rPr>
          <w:rFonts w:hint="eastAsia" w:ascii="仿宋_GB2312" w:hAnsi="宋体" w:eastAsia="仿宋_GB2312" w:cs="宋体"/>
          <w:color w:val="000000"/>
          <w:kern w:val="0"/>
          <w:sz w:val="32"/>
          <w:szCs w:val="32"/>
          <w:highlight w:val="none"/>
        </w:rPr>
        <w:t>无在建工程、长期投资、公共基础设施、政府储备物资、文物文化资产、保障性住房等其他类资产</w:t>
      </w:r>
      <w:r>
        <w:rPr>
          <w:rFonts w:hint="eastAsia" w:ascii="仿宋_GB2312" w:hAnsi="宋体" w:eastAsia="仿宋_GB2312" w:cs="宋体"/>
          <w:color w:val="000000"/>
          <w:kern w:val="0"/>
          <w:sz w:val="32"/>
          <w:szCs w:val="32"/>
          <w:highlight w:val="none"/>
          <w:lang w:eastAsia="zh-CN"/>
        </w:rPr>
        <w:t>。</w:t>
      </w:r>
    </w:p>
    <w:p>
      <w:pPr>
        <w:ind w:firstLine="640" w:firstLineChars="200"/>
        <w:rPr>
          <w:rFonts w:hint="eastAsia"/>
          <w:lang w:eastAsia="zh-CN"/>
        </w:rPr>
      </w:pPr>
      <w:r>
        <w:rPr>
          <w:rFonts w:hint="eastAsia" w:ascii="仿宋_GB2312" w:hAnsi="仿宋_GB2312" w:eastAsia="仿宋_GB2312" w:cs="仿宋_GB2312"/>
          <w:bCs/>
          <w:kern w:val="0"/>
          <w:sz w:val="32"/>
          <w:szCs w:val="28"/>
        </w:rPr>
        <w:t>在资产构成中，固定资产所占比重</w:t>
      </w:r>
      <w:r>
        <w:rPr>
          <w:rFonts w:hint="eastAsia" w:ascii="仿宋_GB2312" w:hAnsi="仿宋_GB2312" w:eastAsia="仿宋_GB2312" w:cs="仿宋_GB2312"/>
          <w:bCs/>
          <w:kern w:val="0"/>
          <w:sz w:val="32"/>
          <w:szCs w:val="28"/>
          <w:lang w:val="en-US" w:eastAsia="zh-CN"/>
        </w:rPr>
        <w:t>最</w:t>
      </w:r>
      <w:r>
        <w:rPr>
          <w:rFonts w:hint="eastAsia" w:ascii="仿宋_GB2312" w:hAnsi="仿宋_GB2312" w:eastAsia="仿宋_GB2312" w:cs="仿宋_GB2312"/>
          <w:bCs/>
          <w:kern w:val="0"/>
          <w:sz w:val="32"/>
          <w:szCs w:val="28"/>
        </w:rPr>
        <w:t>大，按照固定资产的构成情况具体分成</w:t>
      </w:r>
      <w:r>
        <w:rPr>
          <w:rFonts w:hint="eastAsia" w:ascii="仿宋_GB2312" w:hAnsi="仿宋_GB2312" w:eastAsia="仿宋_GB2312" w:cs="仿宋_GB2312"/>
          <w:bCs/>
          <w:kern w:val="0"/>
          <w:sz w:val="32"/>
          <w:szCs w:val="28"/>
          <w:lang w:val="en-US" w:eastAsia="zh-CN"/>
        </w:rPr>
        <w:t>四</w:t>
      </w:r>
      <w:r>
        <w:rPr>
          <w:rFonts w:hint="eastAsia" w:ascii="仿宋_GB2312" w:hAnsi="仿宋_GB2312" w:eastAsia="仿宋_GB2312" w:cs="仿宋_GB2312"/>
          <w:bCs/>
          <w:kern w:val="0"/>
          <w:sz w:val="32"/>
          <w:szCs w:val="28"/>
        </w:rPr>
        <w:t>类：</w:t>
      </w:r>
      <w:r>
        <w:rPr>
          <w:rFonts w:hint="eastAsia" w:ascii="仿宋_GB2312" w:hAnsi="仿宋_GB2312" w:eastAsia="仿宋_GB2312" w:cs="仿宋_GB2312"/>
          <w:color w:val="auto"/>
          <w:sz w:val="32"/>
          <w:szCs w:val="32"/>
        </w:rPr>
        <w:t>①</w:t>
      </w:r>
      <w:r>
        <w:rPr>
          <w:rFonts w:hint="eastAsia" w:ascii="仿宋_GB2312" w:hAnsi="仿宋_GB2312" w:eastAsia="仿宋_GB2312" w:cs="仿宋_GB2312"/>
          <w:bCs/>
          <w:kern w:val="0"/>
          <w:sz w:val="32"/>
          <w:szCs w:val="28"/>
          <w:lang w:eastAsia="zh-CN"/>
        </w:rPr>
        <w:t>土地、房屋及构筑物529.06万元，占固定资产的77.48%；</w:t>
      </w:r>
      <w:r>
        <w:rPr>
          <w:rFonts w:hint="eastAsia" w:ascii="仿宋_GB2312" w:hAnsi="仿宋_GB2312" w:eastAsia="仿宋_GB2312" w:cs="仿宋_GB2312"/>
          <w:color w:val="auto"/>
          <w:sz w:val="32"/>
          <w:szCs w:val="32"/>
        </w:rPr>
        <w:t>②</w:t>
      </w:r>
      <w:r>
        <w:rPr>
          <w:rFonts w:hint="eastAsia" w:ascii="仿宋_GB2312" w:hAnsi="仿宋_GB2312" w:eastAsia="仿宋_GB2312" w:cs="仿宋_GB2312"/>
          <w:bCs/>
          <w:kern w:val="0"/>
          <w:sz w:val="32"/>
          <w:szCs w:val="28"/>
        </w:rPr>
        <w:t>通用</w:t>
      </w:r>
      <w:r>
        <w:rPr>
          <w:rFonts w:hint="eastAsia" w:ascii="仿宋_GB2312" w:hAnsi="仿宋_GB2312" w:eastAsia="仿宋_GB2312" w:cs="仿宋_GB2312"/>
          <w:bCs/>
          <w:kern w:val="0"/>
          <w:sz w:val="32"/>
          <w:szCs w:val="28"/>
          <w:lang w:eastAsia="zh-CN"/>
        </w:rPr>
        <w:t>设备83.74万元，占固定资产的12.26%；</w:t>
      </w:r>
      <w:r>
        <w:rPr>
          <w:rFonts w:hint="eastAsia" w:ascii="仿宋_GB2312" w:hAnsi="仿宋_GB2312" w:eastAsia="仿宋_GB2312" w:cs="仿宋_GB2312"/>
          <w:color w:val="auto"/>
          <w:sz w:val="32"/>
          <w:szCs w:val="32"/>
        </w:rPr>
        <w:t>③</w:t>
      </w:r>
      <w:r>
        <w:rPr>
          <w:rFonts w:hint="eastAsia" w:ascii="仿宋_GB2312" w:hAnsi="仿宋_GB2312" w:eastAsia="仿宋_GB2312" w:cs="仿宋_GB2312"/>
          <w:bCs/>
          <w:kern w:val="0"/>
          <w:sz w:val="32"/>
          <w:szCs w:val="28"/>
          <w:lang w:eastAsia="zh-CN"/>
        </w:rPr>
        <w:t>文物和陈列品35</w:t>
      </w:r>
      <w:r>
        <w:rPr>
          <w:rFonts w:hint="eastAsia" w:ascii="仿宋_GB2312" w:hAnsi="仿宋_GB2312" w:eastAsia="仿宋_GB2312" w:cs="仿宋_GB2312"/>
          <w:bCs/>
          <w:kern w:val="0"/>
          <w:sz w:val="32"/>
          <w:szCs w:val="28"/>
          <w:lang w:val="en-US" w:eastAsia="zh-CN"/>
        </w:rPr>
        <w:t>.00</w:t>
      </w:r>
      <w:r>
        <w:rPr>
          <w:rFonts w:hint="eastAsia" w:ascii="仿宋_GB2312" w:hAnsi="仿宋_GB2312" w:eastAsia="仿宋_GB2312" w:cs="仿宋_GB2312"/>
          <w:bCs/>
          <w:kern w:val="0"/>
          <w:sz w:val="32"/>
          <w:szCs w:val="28"/>
          <w:lang w:eastAsia="zh-CN"/>
        </w:rPr>
        <w:t>万元，占固定资产的5.13%；</w:t>
      </w:r>
      <w:r>
        <w:rPr>
          <w:rFonts w:hint="eastAsia" w:ascii="仿宋_GB2312" w:hAnsi="仿宋_GB2312" w:eastAsia="仿宋_GB2312" w:cs="仿宋_GB2312"/>
          <w:color w:val="auto"/>
          <w:sz w:val="32"/>
          <w:szCs w:val="32"/>
        </w:rPr>
        <w:t>④</w:t>
      </w:r>
      <w:r>
        <w:rPr>
          <w:rFonts w:hint="eastAsia" w:ascii="仿宋_GB2312" w:hAnsi="仿宋_GB2312" w:eastAsia="仿宋_GB2312" w:cs="仿宋_GB2312"/>
          <w:bCs/>
          <w:kern w:val="0"/>
          <w:sz w:val="32"/>
          <w:szCs w:val="28"/>
          <w:lang w:eastAsia="zh-CN"/>
        </w:rPr>
        <w:t>家具、用具</w:t>
      </w:r>
      <w:r>
        <w:rPr>
          <w:rFonts w:hint="eastAsia" w:ascii="仿宋_GB2312" w:hAnsi="仿宋_GB2312" w:eastAsia="仿宋_GB2312" w:cs="仿宋_GB2312"/>
          <w:bCs/>
          <w:kern w:val="0"/>
          <w:sz w:val="32"/>
          <w:szCs w:val="28"/>
        </w:rPr>
        <w:t>、装具及动植物</w:t>
      </w:r>
      <w:r>
        <w:rPr>
          <w:rFonts w:hint="eastAsia" w:ascii="仿宋_GB2312" w:hAnsi="仿宋_GB2312" w:eastAsia="仿宋_GB2312" w:cs="仿宋_GB2312"/>
          <w:bCs/>
          <w:kern w:val="0"/>
          <w:sz w:val="32"/>
          <w:szCs w:val="28"/>
          <w:lang w:eastAsia="zh-CN"/>
        </w:rPr>
        <w:t>35</w:t>
      </w:r>
      <w:r>
        <w:rPr>
          <w:rFonts w:hint="eastAsia" w:ascii="仿宋_GB2312" w:hAnsi="仿宋_GB2312" w:eastAsia="仿宋_GB2312" w:cs="仿宋_GB2312"/>
          <w:bCs/>
          <w:kern w:val="0"/>
          <w:sz w:val="32"/>
          <w:szCs w:val="28"/>
          <w:lang w:val="en-US" w:eastAsia="zh-CN"/>
        </w:rPr>
        <w:t>.00</w:t>
      </w:r>
      <w:r>
        <w:rPr>
          <w:rFonts w:hint="eastAsia" w:ascii="仿宋_GB2312" w:hAnsi="仿宋_GB2312" w:eastAsia="仿宋_GB2312" w:cs="仿宋_GB2312"/>
          <w:bCs/>
          <w:kern w:val="0"/>
          <w:sz w:val="32"/>
          <w:szCs w:val="28"/>
          <w:lang w:eastAsia="zh-CN"/>
        </w:rPr>
        <w:t>万元，占固定资产的5.13%。</w:t>
      </w:r>
      <w:r>
        <w:rPr>
          <w:rFonts w:hint="eastAsia" w:ascii="仿宋_GB2312" w:hAnsi="宋体" w:eastAsia="仿宋_GB2312" w:cs="宋体"/>
          <w:color w:val="000000"/>
          <w:kern w:val="0"/>
          <w:sz w:val="32"/>
          <w:szCs w:val="32"/>
          <w:highlight w:val="none"/>
        </w:rPr>
        <w:t>按照使用情况分，全部为自用，不涉及出租出借资产、对外投资资产、资产收益等情况</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资产无闲置、待处置情况。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1"/>
        <w:rPr>
          <w:rFonts w:hint="eastAsia" w:ascii="楷体" w:hAnsi="楷体" w:eastAsia="楷体" w:cs="楷体"/>
          <w:sz w:val="32"/>
          <w:szCs w:val="32"/>
          <w:highlight w:val="none"/>
        </w:rPr>
      </w:pPr>
      <w:bookmarkStart w:id="12" w:name="_Toc24909"/>
      <w:r>
        <w:rPr>
          <w:rFonts w:hint="eastAsia" w:ascii="楷体" w:hAnsi="楷体" w:eastAsia="楷体" w:cs="楷体"/>
          <w:sz w:val="32"/>
          <w:szCs w:val="32"/>
          <w:highlight w:val="none"/>
        </w:rPr>
        <w:t>（三）绩效管理</w:t>
      </w:r>
      <w:bookmarkEnd w:id="1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rPr>
        <w:t>市农研中心根据</w:t>
      </w:r>
      <w:r>
        <w:rPr>
          <w:rFonts w:hint="eastAsia" w:ascii="仿宋_GB2312" w:hAnsi="仿宋_GB2312" w:eastAsia="仿宋_GB2312" w:cs="仿宋_GB2312"/>
          <w:bCs/>
          <w:kern w:val="0"/>
          <w:sz w:val="32"/>
          <w:szCs w:val="28"/>
          <w:lang w:val="en-US" w:eastAsia="zh-CN"/>
        </w:rPr>
        <w:t>北京</w:t>
      </w:r>
      <w:r>
        <w:rPr>
          <w:rFonts w:hint="eastAsia" w:ascii="仿宋_GB2312" w:hAnsi="仿宋_GB2312" w:eastAsia="仿宋_GB2312" w:cs="仿宋_GB2312"/>
          <w:bCs/>
          <w:kern w:val="0"/>
          <w:sz w:val="32"/>
          <w:szCs w:val="28"/>
        </w:rPr>
        <w:t>市财政局关于“预算编制有目标、预算执行有监控、预算完成有评价、评价结果有反馈、反馈结果有应用”的预算绩效管理要求，不断推进全面预算绩效管理工作，由全过程绩效管理领导小组统筹领导预算绩效目标填报、预算绩效监控、预算绩效评价等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rPr>
        <w:t>市农研中心</w:t>
      </w:r>
      <w:r>
        <w:rPr>
          <w:rFonts w:hint="eastAsia" w:ascii="仿宋_GB2312" w:hAnsi="仿宋_GB2312" w:eastAsia="仿宋_GB2312" w:cs="仿宋_GB2312"/>
          <w:bCs/>
          <w:kern w:val="0"/>
          <w:sz w:val="32"/>
          <w:szCs w:val="28"/>
          <w:highlight w:val="none"/>
        </w:rPr>
        <w:t>按照《</w:t>
      </w:r>
      <w:r>
        <w:rPr>
          <w:rFonts w:hint="default" w:ascii="仿宋_GB2312" w:hAnsi="仿宋_GB2312" w:eastAsia="仿宋_GB2312" w:cs="仿宋_GB2312"/>
          <w:bCs/>
          <w:kern w:val="0"/>
          <w:sz w:val="32"/>
          <w:szCs w:val="28"/>
          <w:highlight w:val="none"/>
          <w:lang w:val="en"/>
        </w:rPr>
        <w:t>北京市财政局关于2023年</w:t>
      </w:r>
      <w:r>
        <w:rPr>
          <w:rFonts w:hint="eastAsia" w:ascii="仿宋_GB2312" w:hAnsi="仿宋_GB2312" w:eastAsia="仿宋_GB2312" w:cs="仿宋_GB2312"/>
          <w:bCs/>
          <w:kern w:val="0"/>
          <w:sz w:val="32"/>
          <w:szCs w:val="28"/>
          <w:highlight w:val="none"/>
          <w:lang w:val="en" w:eastAsia="zh-CN"/>
        </w:rPr>
        <w:t>推进</w:t>
      </w:r>
      <w:r>
        <w:rPr>
          <w:rFonts w:hint="default" w:ascii="仿宋_GB2312" w:hAnsi="仿宋_GB2312" w:eastAsia="仿宋_GB2312" w:cs="仿宋_GB2312"/>
          <w:bCs/>
          <w:kern w:val="0"/>
          <w:sz w:val="32"/>
          <w:szCs w:val="28"/>
          <w:highlight w:val="none"/>
          <w:lang w:val="en"/>
        </w:rPr>
        <w:t>全面</w:t>
      </w:r>
      <w:r>
        <w:rPr>
          <w:rFonts w:hint="eastAsia" w:ascii="仿宋_GB2312" w:hAnsi="仿宋_GB2312" w:eastAsia="仿宋_GB2312" w:cs="仿宋_GB2312"/>
          <w:bCs/>
          <w:kern w:val="0"/>
          <w:sz w:val="32"/>
          <w:szCs w:val="28"/>
          <w:highlight w:val="none"/>
          <w:lang w:val="en" w:eastAsia="zh-CN"/>
        </w:rPr>
        <w:t>实施</w:t>
      </w:r>
      <w:r>
        <w:rPr>
          <w:rFonts w:hint="default" w:ascii="仿宋_GB2312" w:hAnsi="仿宋_GB2312" w:eastAsia="仿宋_GB2312" w:cs="仿宋_GB2312"/>
          <w:bCs/>
          <w:kern w:val="0"/>
          <w:sz w:val="32"/>
          <w:szCs w:val="28"/>
          <w:highlight w:val="none"/>
          <w:lang w:val="en"/>
        </w:rPr>
        <w:t>预算绩效管理工作的</w:t>
      </w:r>
      <w:r>
        <w:rPr>
          <w:rFonts w:hint="eastAsia" w:ascii="仿宋_GB2312" w:hAnsi="仿宋_GB2312" w:eastAsia="仿宋_GB2312" w:cs="仿宋_GB2312"/>
          <w:bCs/>
          <w:kern w:val="0"/>
          <w:sz w:val="32"/>
          <w:szCs w:val="28"/>
          <w:highlight w:val="none"/>
          <w:lang w:val="en" w:eastAsia="zh-CN"/>
        </w:rPr>
        <w:t>预</w:t>
      </w:r>
      <w:r>
        <w:rPr>
          <w:rFonts w:hint="default" w:ascii="仿宋_GB2312" w:hAnsi="仿宋_GB2312" w:eastAsia="仿宋_GB2312" w:cs="仿宋_GB2312"/>
          <w:bCs/>
          <w:kern w:val="0"/>
          <w:sz w:val="32"/>
          <w:szCs w:val="28"/>
          <w:highlight w:val="none"/>
          <w:lang w:val="en"/>
        </w:rPr>
        <w:t>通</w:t>
      </w:r>
      <w:r>
        <w:rPr>
          <w:rFonts w:hint="default" w:ascii="仿宋_GB2312" w:hAnsi="仿宋_GB2312" w:eastAsia="仿宋_GB2312" w:cs="仿宋_GB2312"/>
          <w:bCs/>
          <w:kern w:val="0"/>
          <w:sz w:val="32"/>
          <w:szCs w:val="28"/>
          <w:lang w:val="en"/>
        </w:rPr>
        <w:t>知</w:t>
      </w:r>
      <w:r>
        <w:rPr>
          <w:rFonts w:hint="eastAsia" w:ascii="仿宋_GB2312" w:hAnsi="仿宋_GB2312" w:eastAsia="仿宋_GB2312" w:cs="仿宋_GB2312"/>
          <w:bCs/>
          <w:kern w:val="0"/>
          <w:sz w:val="32"/>
          <w:szCs w:val="28"/>
          <w:lang w:val="en" w:eastAsia="zh-CN"/>
        </w:rPr>
        <w:t>》</w:t>
      </w:r>
      <w:r>
        <w:rPr>
          <w:rFonts w:hint="eastAsia" w:ascii="仿宋_GB2312" w:hAnsi="黑体" w:eastAsia="仿宋_GB2312" w:cs="Times New Roman"/>
          <w:bCs/>
          <w:color w:val="auto"/>
          <w:kern w:val="2"/>
          <w:sz w:val="32"/>
          <w:szCs w:val="32"/>
          <w:highlight w:val="none"/>
        </w:rPr>
        <w:t>的工作</w:t>
      </w:r>
      <w:r>
        <w:rPr>
          <w:rFonts w:hint="eastAsia" w:ascii="仿宋_GB2312" w:hAnsi="黑体" w:eastAsia="仿宋_GB2312" w:cs="Times New Roman"/>
          <w:bCs/>
          <w:color w:val="auto"/>
          <w:kern w:val="2"/>
          <w:sz w:val="32"/>
          <w:szCs w:val="32"/>
        </w:rPr>
        <w:t>要求，</w:t>
      </w:r>
      <w:r>
        <w:rPr>
          <w:rFonts w:hint="eastAsia" w:ascii="仿宋_GB2312" w:hAnsi="仿宋_GB2312" w:eastAsia="仿宋_GB2312" w:cs="仿宋_GB2312"/>
          <w:bCs/>
          <w:kern w:val="0"/>
          <w:sz w:val="32"/>
          <w:szCs w:val="28"/>
        </w:rPr>
        <w:t>对</w:t>
      </w:r>
      <w:r>
        <w:rPr>
          <w:rFonts w:hint="eastAsia" w:ascii="仿宋_GB2312" w:hAnsi="仿宋_GB2312" w:eastAsia="仿宋_GB2312" w:cs="仿宋_GB2312"/>
          <w:bCs/>
          <w:kern w:val="0"/>
          <w:sz w:val="32"/>
          <w:szCs w:val="28"/>
          <w:lang w:val="en-US" w:eastAsia="zh-CN"/>
        </w:rPr>
        <w:t>8</w:t>
      </w:r>
      <w:r>
        <w:rPr>
          <w:rFonts w:hint="eastAsia" w:ascii="仿宋_GB2312" w:hAnsi="仿宋_GB2312" w:eastAsia="仿宋_GB2312" w:cs="仿宋_GB2312"/>
          <w:bCs/>
          <w:kern w:val="0"/>
          <w:sz w:val="32"/>
          <w:szCs w:val="28"/>
        </w:rPr>
        <w:t>个部门预算项目采用单位自评方式开展绩效评价，填写项目支出绩效自评表；对</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北京郊区100个村集体经济运行状况跟踪监测项目</w:t>
      </w:r>
      <w:r>
        <w:rPr>
          <w:rFonts w:hint="eastAsia" w:ascii="仿宋_GB2312" w:hAnsi="仿宋_GB2312" w:eastAsia="仿宋_GB2312" w:cs="仿宋_GB2312"/>
          <w:bCs/>
          <w:kern w:val="0"/>
          <w:sz w:val="32"/>
          <w:szCs w:val="28"/>
          <w:lang w:eastAsia="zh-CN"/>
        </w:rPr>
        <w:t>”“北京市乡村休闲旅游高质量发展”“北京市农业资源调查、监测、评价与现代农业产业园农业资源监测体系建设试点试验”</w:t>
      </w:r>
      <w:r>
        <w:rPr>
          <w:rFonts w:hint="eastAsia" w:ascii="仿宋_GB2312" w:hAnsi="仿宋_GB2312" w:eastAsia="仿宋_GB2312" w:cs="仿宋_GB2312"/>
          <w:bCs/>
          <w:kern w:val="0"/>
          <w:sz w:val="32"/>
          <w:szCs w:val="28"/>
        </w:rPr>
        <w:t>3个项目开展部门评价，出具绩效评价报告。从总体评价结果来看，各项目能够较好地按照预算编制要求完成，绩效目标设定较为合理，各项目标及指标的完成情况较好，项目执行过程比较规范，项目效果基本达到预定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1"/>
        <w:rPr>
          <w:rFonts w:hint="eastAsia" w:ascii="楷体" w:hAnsi="楷体" w:eastAsia="楷体" w:cs="楷体"/>
          <w:sz w:val="32"/>
          <w:szCs w:val="32"/>
        </w:rPr>
      </w:pPr>
      <w:bookmarkStart w:id="13" w:name="_Toc26662"/>
      <w:r>
        <w:rPr>
          <w:rFonts w:hint="eastAsia" w:ascii="楷体" w:hAnsi="楷体" w:eastAsia="楷体" w:cs="楷体"/>
          <w:sz w:val="32"/>
          <w:szCs w:val="32"/>
        </w:rPr>
        <w:t>（四）结转结余率</w:t>
      </w:r>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highlight w:val="yellow"/>
        </w:rPr>
      </w:pPr>
      <w:r>
        <w:rPr>
          <w:rFonts w:hint="eastAsia" w:ascii="仿宋_GB2312" w:hAnsi="仿宋_GB2312" w:eastAsia="仿宋_GB2312" w:cs="仿宋_GB2312"/>
          <w:bCs/>
          <w:kern w:val="0"/>
          <w:sz w:val="32"/>
          <w:szCs w:val="28"/>
        </w:rPr>
        <w:t>市农研中心202</w:t>
      </w:r>
      <w:r>
        <w:rPr>
          <w:rFonts w:hint="eastAsia" w:ascii="仿宋_GB2312" w:hAnsi="仿宋_GB2312" w:eastAsia="仿宋_GB2312" w:cs="仿宋_GB2312"/>
          <w:bCs/>
          <w:kern w:val="0"/>
          <w:sz w:val="32"/>
          <w:szCs w:val="28"/>
          <w:lang w:val="en-US" w:eastAsia="zh-CN"/>
        </w:rPr>
        <w:t>2</w:t>
      </w:r>
      <w:r>
        <w:rPr>
          <w:rFonts w:hint="eastAsia" w:ascii="仿宋_GB2312" w:hAnsi="仿宋_GB2312" w:eastAsia="仿宋_GB2312" w:cs="仿宋_GB2312"/>
          <w:bCs/>
          <w:kern w:val="0"/>
          <w:sz w:val="32"/>
          <w:szCs w:val="28"/>
        </w:rPr>
        <w:t>年预算年末结转结余</w:t>
      </w:r>
      <w:r>
        <w:rPr>
          <w:rFonts w:hint="eastAsia" w:ascii="仿宋_GB2312" w:hAnsi="仿宋" w:eastAsia="仿宋_GB2312"/>
          <w:sz w:val="32"/>
          <w:szCs w:val="32"/>
        </w:rPr>
        <w:t>200.08万元</w:t>
      </w:r>
      <w:r>
        <w:rPr>
          <w:rFonts w:hint="eastAsia" w:ascii="仿宋_GB2312" w:hAnsi="仿宋_GB2312" w:eastAsia="仿宋_GB2312" w:cs="仿宋_GB2312"/>
          <w:bCs/>
          <w:kern w:val="0"/>
          <w:sz w:val="32"/>
          <w:szCs w:val="28"/>
        </w:rPr>
        <w:t>，</w:t>
      </w:r>
      <w:r>
        <w:rPr>
          <w:rFonts w:hint="eastAsia" w:ascii="仿宋_GB2312" w:hAnsi="仿宋_GB2312" w:eastAsia="仿宋_GB2312" w:cs="仿宋_GB2312"/>
          <w:bCs/>
          <w:kern w:val="0"/>
          <w:sz w:val="32"/>
          <w:szCs w:val="28"/>
          <w:highlight w:val="none"/>
        </w:rPr>
        <w:t>全年预算支出</w:t>
      </w:r>
      <w:r>
        <w:rPr>
          <w:rFonts w:hint="eastAsia" w:ascii="仿宋_GB2312" w:hAnsi="仿宋_GB2312" w:eastAsia="仿宋_GB2312" w:cs="仿宋_GB2312"/>
          <w:bCs/>
          <w:kern w:val="0"/>
          <w:sz w:val="32"/>
          <w:szCs w:val="28"/>
          <w:highlight w:val="none"/>
          <w:lang w:val="en-US" w:eastAsia="zh-CN"/>
        </w:rPr>
        <w:t>4,774.76</w:t>
      </w:r>
      <w:r>
        <w:rPr>
          <w:rFonts w:hint="eastAsia" w:ascii="仿宋_GB2312" w:hAnsi="仿宋_GB2312" w:eastAsia="仿宋_GB2312" w:cs="仿宋_GB2312"/>
          <w:bCs/>
          <w:kern w:val="0"/>
          <w:sz w:val="32"/>
          <w:szCs w:val="28"/>
          <w:highlight w:val="none"/>
        </w:rPr>
        <w:t>万元，结转结余率为</w:t>
      </w:r>
      <w:r>
        <w:rPr>
          <w:rFonts w:hint="eastAsia" w:ascii="仿宋_GB2312" w:hAnsi="仿宋_GB2312" w:eastAsia="仿宋_GB2312" w:cs="仿宋_GB2312"/>
          <w:bCs/>
          <w:kern w:val="0"/>
          <w:sz w:val="32"/>
          <w:szCs w:val="28"/>
          <w:highlight w:val="none"/>
          <w:lang w:val="en-US" w:eastAsia="zh-CN"/>
        </w:rPr>
        <w:t>4.02</w:t>
      </w:r>
      <w:r>
        <w:rPr>
          <w:rFonts w:hint="eastAsia" w:ascii="仿宋_GB2312" w:hAnsi="仿宋_GB2312" w:eastAsia="仿宋_GB2312" w:cs="仿宋_GB2312"/>
          <w:bCs/>
          <w:kern w:val="0"/>
          <w:sz w:val="32"/>
          <w:szCs w:val="28"/>
          <w:highlight w:val="none"/>
        </w:rPr>
        <w:t>%，较上年结转结余率</w:t>
      </w:r>
      <w:r>
        <w:rPr>
          <w:rFonts w:hint="eastAsia" w:ascii="仿宋_GB2312" w:hAnsi="仿宋_GB2312" w:eastAsia="仿宋_GB2312" w:cs="仿宋_GB2312"/>
          <w:bCs/>
          <w:kern w:val="0"/>
          <w:sz w:val="32"/>
          <w:szCs w:val="28"/>
          <w:highlight w:val="none"/>
          <w:lang w:val="en-US" w:eastAsia="zh-CN"/>
        </w:rPr>
        <w:t>9.26</w:t>
      </w:r>
      <w:r>
        <w:rPr>
          <w:rFonts w:hint="eastAsia" w:ascii="仿宋_GB2312" w:hAnsi="仿宋_GB2312" w:eastAsia="仿宋_GB2312" w:cs="仿宋_GB2312"/>
          <w:bCs/>
          <w:kern w:val="0"/>
          <w:sz w:val="32"/>
          <w:szCs w:val="28"/>
          <w:highlight w:val="none"/>
        </w:rPr>
        <w:t>%</w:t>
      </w:r>
      <w:r>
        <w:rPr>
          <w:rFonts w:hint="eastAsia" w:ascii="仿宋_GB2312" w:hAnsi="仿宋_GB2312" w:eastAsia="仿宋_GB2312" w:cs="仿宋_GB2312"/>
          <w:bCs/>
          <w:kern w:val="0"/>
          <w:sz w:val="32"/>
          <w:szCs w:val="28"/>
          <w:highlight w:val="none"/>
          <w:lang w:val="en-US" w:eastAsia="zh-CN"/>
        </w:rPr>
        <w:t>低</w:t>
      </w:r>
      <w:r>
        <w:rPr>
          <w:rFonts w:hint="eastAsia" w:ascii="仿宋_GB2312" w:hAnsi="仿宋_GB2312" w:eastAsia="仿宋_GB2312" w:cs="仿宋_GB2312"/>
          <w:bCs/>
          <w:kern w:val="0"/>
          <w:sz w:val="32"/>
          <w:szCs w:val="28"/>
          <w:highlight w:val="none"/>
        </w:rPr>
        <w:t>5.</w:t>
      </w:r>
      <w:r>
        <w:rPr>
          <w:rFonts w:hint="eastAsia" w:ascii="仿宋_GB2312" w:hAnsi="仿宋_GB2312" w:eastAsia="仿宋_GB2312" w:cs="仿宋_GB2312"/>
          <w:bCs/>
          <w:kern w:val="0"/>
          <w:sz w:val="32"/>
          <w:szCs w:val="28"/>
          <w:highlight w:val="none"/>
          <w:lang w:val="en-US" w:eastAsia="zh-CN"/>
        </w:rPr>
        <w:t>24</w:t>
      </w:r>
      <w:r>
        <w:rPr>
          <w:rFonts w:hint="eastAsia" w:ascii="仿宋_GB2312" w:hAnsi="仿宋_GB2312" w:eastAsia="仿宋_GB2312" w:cs="仿宋_GB2312"/>
          <w:bCs/>
          <w:kern w:val="0"/>
          <w:sz w:val="32"/>
          <w:szCs w:val="28"/>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1"/>
        <w:rPr>
          <w:rFonts w:hint="eastAsia" w:ascii="楷体" w:hAnsi="楷体" w:eastAsia="楷体" w:cs="楷体"/>
          <w:sz w:val="32"/>
          <w:szCs w:val="32"/>
          <w:highlight w:val="none"/>
        </w:rPr>
      </w:pPr>
      <w:bookmarkStart w:id="14" w:name="_Toc21171"/>
      <w:r>
        <w:rPr>
          <w:rFonts w:hint="eastAsia" w:ascii="楷体" w:hAnsi="楷体" w:eastAsia="楷体" w:cs="楷体"/>
          <w:sz w:val="32"/>
          <w:szCs w:val="32"/>
          <w:highlight w:val="none"/>
        </w:rPr>
        <w:t>（五）部门预决算差异率</w:t>
      </w:r>
      <w:bookmarkEnd w:id="1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32"/>
          <w:highlight w:val="none"/>
          <w:lang w:val="en-US" w:eastAsia="zh-CN"/>
        </w:rPr>
      </w:pPr>
      <w:r>
        <w:rPr>
          <w:rFonts w:hint="eastAsia" w:ascii="仿宋_GB2312" w:hAnsi="仿宋_GB2312" w:eastAsia="仿宋_GB2312" w:cs="仿宋_GB2312"/>
          <w:bCs/>
          <w:kern w:val="0"/>
          <w:sz w:val="32"/>
          <w:szCs w:val="28"/>
          <w:highlight w:val="none"/>
        </w:rPr>
        <w:t>20</w:t>
      </w:r>
      <w:r>
        <w:rPr>
          <w:rFonts w:hint="eastAsia" w:ascii="仿宋_GB2312" w:hAnsi="仿宋_GB2312" w:eastAsia="仿宋_GB2312" w:cs="仿宋_GB2312"/>
          <w:bCs/>
          <w:kern w:val="0"/>
          <w:sz w:val="32"/>
          <w:szCs w:val="28"/>
          <w:highlight w:val="none"/>
          <w:lang w:val="en-US" w:eastAsia="zh-CN"/>
        </w:rPr>
        <w:t>22年度</w:t>
      </w:r>
      <w:r>
        <w:rPr>
          <w:rFonts w:hint="eastAsia" w:ascii="仿宋_GB2312" w:hAnsi="仿宋_GB2312" w:eastAsia="仿宋_GB2312" w:cs="仿宋_GB2312"/>
          <w:bCs/>
          <w:kern w:val="0"/>
          <w:sz w:val="32"/>
          <w:szCs w:val="28"/>
          <w:highlight w:val="none"/>
        </w:rPr>
        <w:t>年初部门预算4,833.59万元，年度部门决算</w:t>
      </w:r>
      <w:r>
        <w:rPr>
          <w:rFonts w:hint="eastAsia" w:ascii="仿宋_GB2312" w:hAnsi="仿宋_GB2312" w:eastAsia="仿宋_GB2312" w:cs="仿宋_GB2312"/>
          <w:bCs/>
          <w:color w:val="auto"/>
          <w:kern w:val="0"/>
          <w:sz w:val="32"/>
          <w:szCs w:val="28"/>
          <w:highlight w:val="none"/>
        </w:rPr>
        <w:t>4</w:t>
      </w:r>
      <w:r>
        <w:rPr>
          <w:rFonts w:hint="eastAsia" w:ascii="仿宋_GB2312" w:hAnsi="仿宋_GB2312" w:eastAsia="仿宋_GB2312" w:cs="仿宋_GB2312"/>
          <w:bCs/>
          <w:color w:val="auto"/>
          <w:kern w:val="0"/>
          <w:sz w:val="32"/>
          <w:szCs w:val="28"/>
          <w:highlight w:val="none"/>
          <w:lang w:val="en-US" w:eastAsia="zh-CN"/>
        </w:rPr>
        <w:t>,9</w:t>
      </w:r>
      <w:r>
        <w:rPr>
          <w:rFonts w:hint="eastAsia" w:ascii="仿宋_GB2312" w:hAnsi="仿宋_GB2312" w:eastAsia="仿宋_GB2312" w:cs="仿宋_GB2312"/>
          <w:bCs/>
          <w:color w:val="auto"/>
          <w:kern w:val="0"/>
          <w:sz w:val="32"/>
          <w:szCs w:val="28"/>
          <w:highlight w:val="none"/>
        </w:rPr>
        <w:t>74</w:t>
      </w:r>
      <w:r>
        <w:rPr>
          <w:rFonts w:hint="eastAsia" w:ascii="仿宋_GB2312" w:hAnsi="仿宋_GB2312" w:eastAsia="仿宋_GB2312" w:cs="仿宋_GB2312"/>
          <w:bCs/>
          <w:color w:val="auto"/>
          <w:kern w:val="0"/>
          <w:sz w:val="32"/>
          <w:szCs w:val="28"/>
          <w:highlight w:val="none"/>
          <w:lang w:val="en-US" w:eastAsia="zh-CN"/>
        </w:rPr>
        <w:t>.84</w:t>
      </w:r>
      <w:r>
        <w:rPr>
          <w:rFonts w:hint="eastAsia" w:ascii="仿宋_GB2312" w:hAnsi="仿宋_GB2312" w:eastAsia="仿宋_GB2312" w:cs="仿宋_GB2312"/>
          <w:bCs/>
          <w:kern w:val="0"/>
          <w:sz w:val="32"/>
          <w:szCs w:val="28"/>
          <w:highlight w:val="none"/>
        </w:rPr>
        <w:t>万元，部门预决算差异率为</w:t>
      </w:r>
      <w:r>
        <w:rPr>
          <w:rFonts w:hint="eastAsia" w:ascii="仿宋_GB2312" w:hAnsi="仿宋_GB2312" w:eastAsia="仿宋_GB2312" w:cs="仿宋_GB2312"/>
          <w:bCs/>
          <w:kern w:val="0"/>
          <w:sz w:val="32"/>
          <w:szCs w:val="28"/>
          <w:highlight w:val="none"/>
          <w:lang w:val="en-US" w:eastAsia="zh-CN"/>
        </w:rPr>
        <w:t>2</w:t>
      </w:r>
      <w:r>
        <w:rPr>
          <w:rFonts w:hint="eastAsia" w:ascii="仿宋_GB2312" w:hAnsi="仿宋_GB2312" w:eastAsia="仿宋_GB2312" w:cs="仿宋_GB2312"/>
          <w:bCs/>
          <w:kern w:val="0"/>
          <w:sz w:val="32"/>
          <w:szCs w:val="28"/>
          <w:highlight w:val="none"/>
        </w:rPr>
        <w:t>.</w:t>
      </w:r>
      <w:r>
        <w:rPr>
          <w:rFonts w:hint="eastAsia" w:ascii="仿宋_GB2312" w:hAnsi="仿宋_GB2312" w:eastAsia="仿宋_GB2312" w:cs="仿宋_GB2312"/>
          <w:bCs/>
          <w:kern w:val="0"/>
          <w:sz w:val="32"/>
          <w:szCs w:val="28"/>
          <w:highlight w:val="none"/>
          <w:lang w:val="en-US" w:eastAsia="zh-CN"/>
        </w:rPr>
        <w:t>92</w:t>
      </w:r>
      <w:r>
        <w:rPr>
          <w:rFonts w:hint="eastAsia" w:ascii="仿宋_GB2312" w:hAnsi="仿宋_GB2312" w:eastAsia="仿宋_GB2312" w:cs="仿宋_GB2312"/>
          <w:bCs/>
          <w:kern w:val="0"/>
          <w:sz w:val="32"/>
          <w:szCs w:val="28"/>
          <w:highlight w:val="none"/>
        </w:rPr>
        <w:t>%，低于市级平</w:t>
      </w:r>
      <w:r>
        <w:rPr>
          <w:rFonts w:hint="eastAsia" w:ascii="仿宋_GB2312" w:hAnsi="仿宋_GB2312" w:eastAsia="仿宋_GB2312" w:cs="仿宋_GB2312"/>
          <w:bCs/>
          <w:kern w:val="0"/>
          <w:sz w:val="32"/>
          <w:szCs w:val="32"/>
          <w:highlight w:val="none"/>
        </w:rPr>
        <w:t>均差异率28.30%</w:t>
      </w:r>
      <w:r>
        <w:rPr>
          <w:rFonts w:hint="eastAsia" w:ascii="仿宋_GB2312" w:hAnsi="仿宋_GB2312" w:eastAsia="仿宋_GB2312" w:cs="仿宋_GB2312"/>
          <w:bCs/>
          <w:kern w:val="0"/>
          <w:sz w:val="32"/>
          <w:szCs w:val="32"/>
          <w:highlight w:val="none"/>
          <w:lang w:eastAsia="zh-CN"/>
        </w:rPr>
        <w:t>，</w:t>
      </w:r>
      <w:r>
        <w:rPr>
          <w:rFonts w:hint="eastAsia" w:ascii="仿宋_GB2312" w:hAnsi="仿宋_GB2312" w:eastAsia="仿宋_GB2312" w:cs="仿宋_GB2312"/>
          <w:bCs/>
          <w:kern w:val="0"/>
          <w:sz w:val="32"/>
          <w:szCs w:val="32"/>
          <w:highlight w:val="none"/>
          <w:lang w:val="en-US" w:eastAsia="zh-CN"/>
        </w:rPr>
        <w:t>部门预算的约束力较好。</w:t>
      </w:r>
    </w:p>
    <w:p>
      <w:pPr>
        <w:numPr>
          <w:ilvl w:val="0"/>
          <w:numId w:val="1"/>
        </w:num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支出预决算差异情况表（按支出性质）</w:t>
      </w:r>
    </w:p>
    <w:p>
      <w:pPr>
        <w:pStyle w:val="2"/>
        <w:widowControl w:val="0"/>
        <w:numPr>
          <w:ilvl w:val="0"/>
          <w:numId w:val="0"/>
        </w:numPr>
        <w:spacing w:after="120"/>
        <w:ind w:right="1470" w:rightChars="700"/>
        <w:jc w:val="both"/>
        <w:rPr>
          <w:rFonts w:hint="eastAsia"/>
        </w:rPr>
      </w:pPr>
    </w:p>
    <w:p>
      <w:pPr>
        <w:pStyle w:val="2"/>
        <w:widowControl w:val="0"/>
        <w:numPr>
          <w:ilvl w:val="0"/>
          <w:numId w:val="0"/>
        </w:numPr>
        <w:spacing w:after="120"/>
        <w:ind w:right="1470" w:rightChars="700"/>
        <w:jc w:val="both"/>
        <w:rPr>
          <w:rFonts w:hint="eastAsia"/>
        </w:rPr>
      </w:pPr>
    </w:p>
    <w:tbl>
      <w:tblPr>
        <w:tblStyle w:val="10"/>
        <w:tblW w:w="8523" w:type="dxa"/>
        <w:tblInd w:w="250" w:type="dxa"/>
        <w:tblLayout w:type="fixed"/>
        <w:tblCellMar>
          <w:top w:w="0" w:type="dxa"/>
          <w:left w:w="108" w:type="dxa"/>
          <w:bottom w:w="0" w:type="dxa"/>
          <w:right w:w="108" w:type="dxa"/>
        </w:tblCellMar>
      </w:tblPr>
      <w:tblGrid>
        <w:gridCol w:w="3065"/>
        <w:gridCol w:w="1912"/>
        <w:gridCol w:w="2066"/>
        <w:gridCol w:w="1480"/>
      </w:tblGrid>
      <w:tr>
        <w:tblPrEx>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本年支出性质</w:t>
            </w:r>
          </w:p>
        </w:tc>
        <w:tc>
          <w:tcPr>
            <w:tcW w:w="1912"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年初预算数</w:t>
            </w:r>
          </w:p>
        </w:tc>
        <w:tc>
          <w:tcPr>
            <w:tcW w:w="2066"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年度决算数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差异率%</w:t>
            </w:r>
          </w:p>
        </w:tc>
      </w:tr>
      <w:tr>
        <w:tblPrEx>
          <w:tblCellMar>
            <w:top w:w="0" w:type="dxa"/>
            <w:left w:w="108" w:type="dxa"/>
            <w:bottom w:w="0" w:type="dxa"/>
            <w:right w:w="108" w:type="dxa"/>
          </w:tblCellMar>
        </w:tblPrEx>
        <w:trPr>
          <w:trHeight w:val="651"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资金总体</w:t>
            </w:r>
          </w:p>
        </w:tc>
        <w:tc>
          <w:tcPr>
            <w:tcW w:w="1912"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4,833.59</w:t>
            </w:r>
          </w:p>
        </w:tc>
        <w:tc>
          <w:tcPr>
            <w:tcW w:w="2066"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4,974.84</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2.92%</w:t>
            </w:r>
          </w:p>
        </w:tc>
      </w:tr>
      <w:tr>
        <w:tblPrEx>
          <w:tblCellMar>
            <w:top w:w="0" w:type="dxa"/>
            <w:left w:w="108" w:type="dxa"/>
            <w:bottom w:w="0" w:type="dxa"/>
            <w:right w:w="108" w:type="dxa"/>
          </w:tblCellMar>
        </w:tblPrEx>
        <w:trPr>
          <w:trHeight w:val="691"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基本支出</w:t>
            </w:r>
          </w:p>
        </w:tc>
        <w:tc>
          <w:tcPr>
            <w:tcW w:w="1912"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3,183.59</w:t>
            </w:r>
          </w:p>
        </w:tc>
        <w:tc>
          <w:tcPr>
            <w:tcW w:w="2066"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3,351.17</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5.26%</w:t>
            </w:r>
          </w:p>
        </w:tc>
      </w:tr>
      <w:tr>
        <w:tblPrEx>
          <w:tblCellMar>
            <w:top w:w="0" w:type="dxa"/>
            <w:left w:w="108" w:type="dxa"/>
            <w:bottom w:w="0" w:type="dxa"/>
            <w:right w:w="108" w:type="dxa"/>
          </w:tblCellMar>
        </w:tblPrEx>
        <w:trPr>
          <w:trHeight w:val="285"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项目支出</w:t>
            </w:r>
          </w:p>
        </w:tc>
        <w:tc>
          <w:tcPr>
            <w:tcW w:w="1912"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1,650.00</w:t>
            </w:r>
          </w:p>
        </w:tc>
        <w:tc>
          <w:tcPr>
            <w:tcW w:w="2066"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1,623.68</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-1.60%</w:t>
            </w:r>
          </w:p>
        </w:tc>
      </w:tr>
    </w:tbl>
    <w:p>
      <w:pPr>
        <w:ind w:firstLine="640" w:firstLineChars="200"/>
        <w:rPr>
          <w:rFonts w:hint="eastAsia" w:ascii="仿宋_GB2312" w:eastAsia="仿宋_GB2312"/>
          <w:sz w:val="32"/>
          <w:szCs w:val="32"/>
        </w:rPr>
      </w:pPr>
      <w:r>
        <w:rPr>
          <w:rFonts w:hint="eastAsia" w:ascii="仿宋_GB2312" w:eastAsia="仿宋_GB2312"/>
          <w:sz w:val="32"/>
          <w:szCs w:val="32"/>
        </w:rPr>
        <w:t>2.支出预决算差异情况表（按功能科目）</w:t>
      </w:r>
    </w:p>
    <w:tbl>
      <w:tblPr>
        <w:tblStyle w:val="10"/>
        <w:tblW w:w="8523" w:type="dxa"/>
        <w:tblInd w:w="250" w:type="dxa"/>
        <w:tblLayout w:type="fixed"/>
        <w:tblCellMar>
          <w:top w:w="0" w:type="dxa"/>
          <w:left w:w="108" w:type="dxa"/>
          <w:bottom w:w="0" w:type="dxa"/>
          <w:right w:w="108" w:type="dxa"/>
        </w:tblCellMar>
      </w:tblPr>
      <w:tblGrid>
        <w:gridCol w:w="3068"/>
        <w:gridCol w:w="1911"/>
        <w:gridCol w:w="2064"/>
        <w:gridCol w:w="1480"/>
      </w:tblGrid>
      <w:tr>
        <w:tblPrEx>
          <w:tblCellMar>
            <w:top w:w="0" w:type="dxa"/>
            <w:left w:w="108" w:type="dxa"/>
            <w:bottom w:w="0" w:type="dxa"/>
            <w:right w:w="108" w:type="dxa"/>
          </w:tblCellMar>
        </w:tblPrEx>
        <w:trPr>
          <w:trHeight w:val="285" w:hRule="atLeast"/>
        </w:trPr>
        <w:tc>
          <w:tcPr>
            <w:tcW w:w="3068"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功能科目</w:t>
            </w:r>
          </w:p>
        </w:tc>
        <w:tc>
          <w:tcPr>
            <w:tcW w:w="1911"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年初预算数</w:t>
            </w:r>
          </w:p>
        </w:tc>
        <w:tc>
          <w:tcPr>
            <w:tcW w:w="2064"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差异率%</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资金总体</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4833.59</w:t>
            </w:r>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4974.84</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2.92%</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教育支出</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14.90</w:t>
            </w:r>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7.45</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-50.00%</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社会保障和就业支出</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107.62</w:t>
            </w:r>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99.05</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-7.97%</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其他支出</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4,711.07</w:t>
            </w:r>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4,868.34</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3.34%</w:t>
            </w:r>
          </w:p>
        </w:tc>
      </w:tr>
    </w:tbl>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outlineLvl w:val="0"/>
        <w:rPr>
          <w:rFonts w:hint="eastAsia" w:ascii="仿宋_GB2312" w:hAnsi="仿宋_GB2312" w:eastAsia="仿宋_GB2312" w:cs="仿宋_GB2312"/>
          <w:bCs/>
          <w:kern w:val="0"/>
          <w:sz w:val="32"/>
          <w:szCs w:val="28"/>
          <w:highlight w:val="none"/>
          <w:lang w:val="en" w:eastAsia="zh-CN"/>
        </w:rPr>
      </w:pPr>
      <w:bookmarkStart w:id="15" w:name="_Toc16113"/>
      <w:r>
        <w:rPr>
          <w:rFonts w:hint="eastAsia" w:ascii="黑体" w:hAnsi="黑体" w:eastAsia="黑体" w:cs="黑体"/>
          <w:color w:val="auto"/>
          <w:kern w:val="0"/>
          <w:sz w:val="32"/>
          <w:szCs w:val="32"/>
        </w:rPr>
        <w:t>五、总体评价结论</w:t>
      </w:r>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highlight w:val="none"/>
        </w:rPr>
      </w:pPr>
      <w:r>
        <w:rPr>
          <w:rFonts w:hint="eastAsia" w:ascii="仿宋_GB2312" w:hAnsi="仿宋_GB2312" w:eastAsia="仿宋_GB2312" w:cs="仿宋_GB2312"/>
          <w:bCs/>
          <w:kern w:val="0"/>
          <w:sz w:val="32"/>
          <w:szCs w:val="28"/>
          <w:highlight w:val="none"/>
        </w:rPr>
        <w:t>经评价，市农研中心202</w:t>
      </w:r>
      <w:r>
        <w:rPr>
          <w:rFonts w:hint="eastAsia" w:ascii="仿宋_GB2312" w:hAnsi="仿宋_GB2312" w:eastAsia="仿宋_GB2312" w:cs="仿宋_GB2312"/>
          <w:bCs/>
          <w:kern w:val="0"/>
          <w:sz w:val="32"/>
          <w:szCs w:val="28"/>
          <w:highlight w:val="none"/>
          <w:lang w:val="en-US" w:eastAsia="zh-CN"/>
        </w:rPr>
        <w:t>2</w:t>
      </w:r>
      <w:r>
        <w:rPr>
          <w:rFonts w:hint="eastAsia" w:ascii="仿宋_GB2312" w:hAnsi="仿宋_GB2312" w:eastAsia="仿宋_GB2312" w:cs="仿宋_GB2312"/>
          <w:bCs/>
          <w:kern w:val="0"/>
          <w:sz w:val="32"/>
          <w:szCs w:val="28"/>
          <w:highlight w:val="none"/>
        </w:rPr>
        <w:t>年度部门整体支出绩效评价总得分9</w:t>
      </w:r>
      <w:r>
        <w:rPr>
          <w:rFonts w:hint="eastAsia" w:ascii="仿宋_GB2312" w:hAnsi="仿宋_GB2312" w:eastAsia="仿宋_GB2312" w:cs="仿宋_GB2312"/>
          <w:bCs/>
          <w:kern w:val="0"/>
          <w:sz w:val="32"/>
          <w:szCs w:val="28"/>
          <w:highlight w:val="none"/>
          <w:lang w:val="en-US" w:eastAsia="zh-CN"/>
        </w:rPr>
        <w:t>1</w:t>
      </w:r>
      <w:r>
        <w:rPr>
          <w:rFonts w:hint="eastAsia" w:ascii="仿宋_GB2312" w:hAnsi="仿宋_GB2312" w:eastAsia="仿宋_GB2312" w:cs="仿宋_GB2312"/>
          <w:bCs/>
          <w:kern w:val="0"/>
          <w:sz w:val="32"/>
          <w:szCs w:val="28"/>
          <w:highlight w:val="none"/>
        </w:rPr>
        <w:t>.</w:t>
      </w:r>
      <w:r>
        <w:rPr>
          <w:rFonts w:hint="eastAsia" w:ascii="仿宋_GB2312" w:hAnsi="仿宋_GB2312" w:eastAsia="仿宋_GB2312" w:cs="仿宋_GB2312"/>
          <w:bCs/>
          <w:kern w:val="0"/>
          <w:sz w:val="32"/>
          <w:szCs w:val="28"/>
          <w:highlight w:val="none"/>
          <w:lang w:val="en-US" w:eastAsia="zh-CN"/>
        </w:rPr>
        <w:t>20</w:t>
      </w:r>
      <w:r>
        <w:rPr>
          <w:rFonts w:hint="eastAsia" w:ascii="仿宋_GB2312" w:hAnsi="仿宋_GB2312" w:eastAsia="仿宋_GB2312" w:cs="仿宋_GB2312"/>
          <w:bCs/>
          <w:kern w:val="0"/>
          <w:sz w:val="32"/>
          <w:szCs w:val="28"/>
          <w:highlight w:val="none"/>
        </w:rPr>
        <w:t>分，评价结果为“优秀”。其中</w:t>
      </w:r>
      <w:r>
        <w:rPr>
          <w:rFonts w:hint="eastAsia" w:ascii="仿宋_GB2312" w:hAnsi="仿宋_GB2312" w:eastAsia="仿宋_GB2312" w:cs="仿宋_GB2312"/>
          <w:bCs/>
          <w:kern w:val="0"/>
          <w:sz w:val="32"/>
          <w:szCs w:val="28"/>
          <w:highlight w:val="none"/>
          <w:lang w:eastAsia="zh-CN"/>
        </w:rPr>
        <w:t>：</w:t>
      </w:r>
      <w:r>
        <w:rPr>
          <w:rFonts w:hint="eastAsia" w:ascii="仿宋_GB2312" w:hAnsi="仿宋_GB2312" w:eastAsia="仿宋_GB2312" w:cs="仿宋_GB2312"/>
          <w:bCs/>
          <w:kern w:val="0"/>
          <w:sz w:val="32"/>
          <w:szCs w:val="28"/>
          <w:highlight w:val="none"/>
        </w:rPr>
        <w:t>当年预算执行情况得分为</w:t>
      </w:r>
      <w:r>
        <w:rPr>
          <w:rFonts w:hint="eastAsia" w:ascii="仿宋_GB2312" w:hAnsi="仿宋_GB2312" w:eastAsia="仿宋_GB2312" w:cs="仿宋_GB2312"/>
          <w:bCs/>
          <w:kern w:val="0"/>
          <w:sz w:val="32"/>
          <w:szCs w:val="28"/>
          <w:highlight w:val="none"/>
          <w:lang w:val="en-US" w:eastAsia="zh-CN"/>
        </w:rPr>
        <w:t>19.20</w:t>
      </w:r>
      <w:r>
        <w:rPr>
          <w:rFonts w:hint="eastAsia" w:ascii="仿宋_GB2312" w:hAnsi="仿宋_GB2312" w:eastAsia="仿宋_GB2312" w:cs="仿宋_GB2312"/>
          <w:bCs/>
          <w:kern w:val="0"/>
          <w:sz w:val="32"/>
          <w:szCs w:val="28"/>
          <w:highlight w:val="none"/>
        </w:rPr>
        <w:t>分；整体绩效目标实现情况得分为5</w:t>
      </w:r>
      <w:r>
        <w:rPr>
          <w:rFonts w:hint="eastAsia" w:ascii="仿宋_GB2312" w:hAnsi="仿宋_GB2312" w:eastAsia="仿宋_GB2312" w:cs="仿宋_GB2312"/>
          <w:bCs/>
          <w:kern w:val="0"/>
          <w:sz w:val="32"/>
          <w:szCs w:val="28"/>
          <w:highlight w:val="none"/>
          <w:lang w:val="en-US" w:eastAsia="zh-CN"/>
        </w:rPr>
        <w:t>3</w:t>
      </w:r>
      <w:r>
        <w:rPr>
          <w:rFonts w:hint="eastAsia" w:ascii="仿宋_GB2312" w:hAnsi="仿宋_GB2312" w:eastAsia="仿宋_GB2312" w:cs="仿宋_GB2312"/>
          <w:bCs/>
          <w:kern w:val="0"/>
          <w:sz w:val="32"/>
          <w:szCs w:val="28"/>
          <w:highlight w:val="none"/>
        </w:rPr>
        <w:t>.00分；预算管理情况得分1</w:t>
      </w:r>
      <w:r>
        <w:rPr>
          <w:rFonts w:hint="eastAsia" w:ascii="仿宋_GB2312" w:hAnsi="仿宋_GB2312" w:eastAsia="仿宋_GB2312" w:cs="仿宋_GB2312"/>
          <w:bCs/>
          <w:kern w:val="0"/>
          <w:sz w:val="32"/>
          <w:szCs w:val="28"/>
          <w:highlight w:val="none"/>
          <w:lang w:val="en-US" w:eastAsia="zh-CN"/>
        </w:rPr>
        <w:t>9.00</w:t>
      </w:r>
      <w:r>
        <w:rPr>
          <w:rFonts w:hint="eastAsia" w:ascii="仿宋_GB2312" w:hAnsi="仿宋_GB2312" w:eastAsia="仿宋_GB2312" w:cs="仿宋_GB2312"/>
          <w:bCs/>
          <w:kern w:val="0"/>
          <w:sz w:val="32"/>
          <w:szCs w:val="28"/>
          <w:highlight w:val="none"/>
        </w:rPr>
        <w:t>分。</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202</w:t>
      </w:r>
      <w:r>
        <w:rPr>
          <w:rFonts w:hint="default" w:ascii="仿宋_GB2312" w:eastAsia="仿宋_GB2312"/>
          <w:sz w:val="32"/>
          <w:szCs w:val="32"/>
          <w:lang w:val="en"/>
        </w:rPr>
        <w:t>3</w:t>
      </w:r>
      <w:r>
        <w:rPr>
          <w:rFonts w:hint="eastAsia" w:ascii="仿宋_GB2312" w:eastAsia="仿宋_GB2312"/>
          <w:sz w:val="32"/>
          <w:szCs w:val="32"/>
        </w:rPr>
        <w:t>年，市农研中心对202</w:t>
      </w:r>
      <w:r>
        <w:rPr>
          <w:rFonts w:hint="default" w:ascii="仿宋_GB2312" w:eastAsia="仿宋_GB2312"/>
          <w:sz w:val="32"/>
          <w:szCs w:val="32"/>
          <w:lang w:val="en"/>
        </w:rPr>
        <w:t>2</w:t>
      </w:r>
      <w:r>
        <w:rPr>
          <w:rFonts w:hint="eastAsia" w:ascii="仿宋_GB2312" w:eastAsia="仿宋_GB2312"/>
          <w:sz w:val="32"/>
          <w:szCs w:val="32"/>
        </w:rPr>
        <w:t>年度部门项目支出实施了绩效评价，评价项目1</w:t>
      </w:r>
      <w:r>
        <w:rPr>
          <w:rFonts w:ascii="仿宋_GB2312" w:eastAsia="仿宋_GB2312"/>
          <w:sz w:val="32"/>
          <w:szCs w:val="32"/>
        </w:rPr>
        <w:t>1</w:t>
      </w:r>
      <w:r>
        <w:rPr>
          <w:rFonts w:hint="eastAsia" w:ascii="仿宋_GB2312" w:eastAsia="仿宋_GB2312"/>
          <w:sz w:val="32"/>
          <w:szCs w:val="32"/>
        </w:rPr>
        <w:t>个，占部门项目总数</w:t>
      </w:r>
      <w:r>
        <w:rPr>
          <w:rFonts w:hint="default" w:ascii="仿宋_GB2312" w:eastAsia="仿宋_GB2312"/>
          <w:sz w:val="32"/>
          <w:szCs w:val="32"/>
          <w:lang w:val="en"/>
        </w:rPr>
        <w:t>24</w:t>
      </w:r>
      <w:r>
        <w:rPr>
          <w:rFonts w:hint="eastAsia" w:ascii="仿宋_GB2312" w:eastAsia="仿宋_GB2312"/>
          <w:sz w:val="32"/>
          <w:szCs w:val="32"/>
        </w:rPr>
        <w:t>个的4</w:t>
      </w:r>
      <w:r>
        <w:rPr>
          <w:rFonts w:hint="default" w:ascii="仿宋_GB2312" w:eastAsia="仿宋_GB2312"/>
          <w:sz w:val="32"/>
          <w:szCs w:val="32"/>
          <w:lang w:val="en"/>
        </w:rPr>
        <w:t>5</w:t>
      </w:r>
      <w:r>
        <w:rPr>
          <w:rFonts w:ascii="仿宋_GB2312" w:eastAsia="仿宋_GB2312"/>
          <w:sz w:val="32"/>
          <w:szCs w:val="32"/>
        </w:rPr>
        <w:t>.</w:t>
      </w:r>
      <w:r>
        <w:rPr>
          <w:rFonts w:hint="default" w:ascii="仿宋_GB2312" w:eastAsia="仿宋_GB2312"/>
          <w:sz w:val="32"/>
          <w:szCs w:val="32"/>
          <w:lang w:val="en"/>
        </w:rPr>
        <w:t>8</w:t>
      </w:r>
      <w:r>
        <w:rPr>
          <w:rFonts w:hint="eastAsia" w:ascii="仿宋_GB2312" w:eastAsia="仿宋_GB2312"/>
          <w:sz w:val="32"/>
          <w:szCs w:val="32"/>
        </w:rPr>
        <w:t>%，涉及金额</w:t>
      </w:r>
      <w:r>
        <w:rPr>
          <w:rFonts w:hint="default" w:ascii="仿宋_GB2312" w:eastAsia="仿宋_GB2312"/>
          <w:sz w:val="32"/>
          <w:szCs w:val="32"/>
          <w:lang w:val="en"/>
        </w:rPr>
        <w:t>9</w:t>
      </w:r>
      <w:r>
        <w:rPr>
          <w:rFonts w:hint="eastAsia" w:ascii="仿宋_GB2312" w:eastAsia="仿宋_GB2312"/>
          <w:sz w:val="32"/>
          <w:szCs w:val="32"/>
          <w:lang w:val="en-US" w:eastAsia="zh-CN"/>
        </w:rPr>
        <w:t>32</w:t>
      </w:r>
      <w:r>
        <w:rPr>
          <w:rFonts w:hint="eastAsia" w:ascii="仿宋_GB2312" w:eastAsia="仿宋_GB2312"/>
          <w:sz w:val="32"/>
          <w:szCs w:val="32"/>
        </w:rPr>
        <w:t>万元，占部门项目预算</w:t>
      </w:r>
      <w:r>
        <w:rPr>
          <w:rFonts w:hint="default" w:ascii="仿宋_GB2312" w:eastAsia="仿宋_GB2312"/>
          <w:sz w:val="32"/>
          <w:szCs w:val="32"/>
          <w:lang w:val="en"/>
        </w:rPr>
        <w:t>1650</w:t>
      </w:r>
      <w:r>
        <w:rPr>
          <w:rFonts w:hint="eastAsia" w:ascii="仿宋_GB2312" w:eastAsia="仿宋_GB2312"/>
          <w:sz w:val="32"/>
          <w:szCs w:val="32"/>
        </w:rPr>
        <w:t>万元的</w:t>
      </w:r>
      <w:r>
        <w:rPr>
          <w:rFonts w:hint="default" w:ascii="仿宋_GB2312" w:eastAsia="仿宋_GB2312"/>
          <w:sz w:val="32"/>
          <w:szCs w:val="32"/>
          <w:lang w:val="en"/>
        </w:rPr>
        <w:t>56.</w:t>
      </w:r>
      <w:r>
        <w:rPr>
          <w:rFonts w:hint="eastAsia" w:ascii="仿宋_GB2312" w:eastAsia="仿宋_GB2312"/>
          <w:sz w:val="32"/>
          <w:szCs w:val="32"/>
          <w:lang w:val="en-US" w:eastAsia="zh-CN"/>
        </w:rPr>
        <w:t>5</w:t>
      </w:r>
      <w:r>
        <w:rPr>
          <w:rFonts w:hint="eastAsia" w:ascii="仿宋_GB2312" w:eastAsia="仿宋_GB2312"/>
          <w:sz w:val="32"/>
          <w:szCs w:val="32"/>
        </w:rPr>
        <w:t>%。其中</w:t>
      </w:r>
      <w:r>
        <w:rPr>
          <w:rFonts w:hint="eastAsia" w:ascii="仿宋_GB2312" w:eastAsia="仿宋_GB2312"/>
          <w:sz w:val="32"/>
          <w:szCs w:val="32"/>
          <w:lang w:eastAsia="zh-CN"/>
        </w:rPr>
        <w:t>：</w:t>
      </w:r>
      <w:bookmarkStart w:id="20" w:name="_GoBack"/>
      <w:bookmarkEnd w:id="20"/>
      <w:r>
        <w:rPr>
          <w:rFonts w:hint="eastAsia" w:ascii="仿宋_GB2312" w:eastAsia="仿宋_GB2312"/>
          <w:sz w:val="32"/>
          <w:szCs w:val="32"/>
        </w:rPr>
        <w:t>部门评价项目3个，涉及金额</w:t>
      </w:r>
      <w:r>
        <w:rPr>
          <w:rFonts w:hint="default" w:ascii="仿宋_GB2312" w:eastAsia="仿宋_GB2312"/>
          <w:sz w:val="32"/>
          <w:szCs w:val="32"/>
          <w:lang w:val="en"/>
        </w:rPr>
        <w:t>3</w:t>
      </w:r>
      <w:r>
        <w:rPr>
          <w:rFonts w:hint="eastAsia" w:ascii="仿宋_GB2312" w:eastAsia="仿宋_GB2312"/>
          <w:sz w:val="32"/>
          <w:szCs w:val="32"/>
          <w:lang w:val="en-US" w:eastAsia="zh-CN"/>
        </w:rPr>
        <w:t>60</w:t>
      </w:r>
      <w:r>
        <w:rPr>
          <w:rFonts w:hint="eastAsia" w:ascii="仿宋_GB2312" w:eastAsia="仿宋_GB2312"/>
          <w:sz w:val="32"/>
          <w:szCs w:val="32"/>
        </w:rPr>
        <w:t>万元，评价得分在80（含）-90分的3个，平均得分8</w:t>
      </w:r>
      <w:r>
        <w:rPr>
          <w:rFonts w:hint="default" w:ascii="仿宋_GB2312" w:eastAsia="仿宋_GB2312"/>
          <w:sz w:val="32"/>
          <w:szCs w:val="32"/>
          <w:lang w:val="en"/>
        </w:rPr>
        <w:t>3</w:t>
      </w:r>
      <w:r>
        <w:rPr>
          <w:rFonts w:hint="eastAsia" w:ascii="仿宋_GB2312" w:eastAsia="仿宋_GB2312"/>
          <w:sz w:val="32"/>
          <w:szCs w:val="32"/>
        </w:rPr>
        <w:t>.</w:t>
      </w:r>
      <w:r>
        <w:rPr>
          <w:rFonts w:hint="default" w:ascii="仿宋_GB2312" w:eastAsia="仿宋_GB2312"/>
          <w:sz w:val="32"/>
          <w:szCs w:val="32"/>
          <w:lang w:val="en"/>
        </w:rPr>
        <w:t>2</w:t>
      </w:r>
      <w:r>
        <w:rPr>
          <w:rFonts w:hint="eastAsia" w:ascii="仿宋_GB2312" w:eastAsia="仿宋_GB2312"/>
          <w:sz w:val="32"/>
          <w:szCs w:val="32"/>
        </w:rPr>
        <w:t>分；单位自评项目</w:t>
      </w:r>
      <w:r>
        <w:rPr>
          <w:rFonts w:ascii="仿宋_GB2312" w:eastAsia="仿宋_GB2312"/>
          <w:sz w:val="32"/>
          <w:szCs w:val="32"/>
        </w:rPr>
        <w:t>8</w:t>
      </w:r>
      <w:r>
        <w:rPr>
          <w:rFonts w:hint="eastAsia" w:ascii="仿宋_GB2312" w:eastAsia="仿宋_GB2312"/>
          <w:sz w:val="32"/>
          <w:szCs w:val="32"/>
        </w:rPr>
        <w:t>个，涉及金额</w:t>
      </w:r>
      <w:r>
        <w:rPr>
          <w:rFonts w:hint="default" w:ascii="仿宋_GB2312" w:eastAsia="仿宋_GB2312"/>
          <w:sz w:val="32"/>
          <w:szCs w:val="32"/>
          <w:lang w:val="en"/>
        </w:rPr>
        <w:t>57</w:t>
      </w:r>
      <w:r>
        <w:rPr>
          <w:rFonts w:hint="eastAsia" w:ascii="仿宋_GB2312" w:eastAsia="仿宋_GB2312"/>
          <w:sz w:val="32"/>
          <w:szCs w:val="32"/>
          <w:lang w:val="en-US" w:eastAsia="zh-CN"/>
        </w:rPr>
        <w:t>2</w:t>
      </w:r>
      <w:r>
        <w:rPr>
          <w:rFonts w:hint="eastAsia" w:ascii="仿宋_GB2312" w:eastAsia="仿宋_GB2312"/>
          <w:sz w:val="32"/>
          <w:szCs w:val="32"/>
        </w:rPr>
        <w:t>万元，评价得分在90（含）-100分的</w:t>
      </w:r>
      <w:r>
        <w:rPr>
          <w:rFonts w:hint="default" w:ascii="仿宋_GB2312" w:eastAsia="仿宋_GB2312"/>
          <w:sz w:val="32"/>
          <w:szCs w:val="32"/>
          <w:lang w:val="en"/>
        </w:rPr>
        <w:t>8</w:t>
      </w:r>
      <w:r>
        <w:rPr>
          <w:rFonts w:hint="eastAsia" w:ascii="仿宋_GB2312" w:eastAsia="仿宋_GB2312"/>
          <w:sz w:val="32"/>
          <w:szCs w:val="32"/>
        </w:rPr>
        <w:t>个,平均得分9</w:t>
      </w:r>
      <w:r>
        <w:rPr>
          <w:rFonts w:ascii="仿宋_GB2312" w:eastAsia="仿宋_GB2312"/>
          <w:sz w:val="32"/>
          <w:szCs w:val="32"/>
        </w:rPr>
        <w:t>4</w:t>
      </w:r>
      <w:r>
        <w:rPr>
          <w:rFonts w:hint="eastAsia" w:ascii="仿宋_GB2312" w:eastAsia="仿宋_GB2312"/>
          <w:sz w:val="32"/>
          <w:szCs w:val="32"/>
        </w:rPr>
        <w:t>.</w:t>
      </w:r>
      <w:r>
        <w:rPr>
          <w:rFonts w:hint="default" w:ascii="仿宋_GB2312" w:eastAsia="仿宋_GB2312"/>
          <w:sz w:val="32"/>
          <w:szCs w:val="32"/>
          <w:lang w:val="en"/>
        </w:rPr>
        <w:t>5</w:t>
      </w:r>
      <w:r>
        <w:rPr>
          <w:rFonts w:hint="eastAsia" w:ascii="仿宋_GB2312" w:eastAsia="仿宋_GB2312"/>
          <w:sz w:val="32"/>
          <w:szCs w:val="32"/>
        </w:rPr>
        <w:t>分。</w:t>
      </w: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before="160" w:beforeLines="50" w:after="160" w:afterLines="50" w:line="560" w:lineRule="exact"/>
        <w:jc w:val="center"/>
        <w:textAlignment w:val="auto"/>
        <w:rPr>
          <w:rFonts w:ascii="仿宋_GB2312" w:hAnsi="仿宋_GB2312" w:eastAsia="仿宋_GB2312" w:cs="仿宋_GB2312"/>
          <w:b/>
          <w:bCs/>
          <w:color w:val="auto"/>
          <w:sz w:val="32"/>
          <w:szCs w:val="32"/>
          <w:highlight w:val="yellow"/>
        </w:rPr>
      </w:pPr>
      <w:r>
        <w:rPr>
          <w:rFonts w:hint="eastAsia" w:ascii="仿宋_GB2312" w:hAnsi="仿宋_GB2312" w:eastAsia="仿宋_GB2312" w:cs="仿宋_GB2312"/>
          <w:b/>
          <w:bCs/>
          <w:color w:val="auto"/>
          <w:sz w:val="32"/>
          <w:szCs w:val="32"/>
          <w:highlight w:val="none"/>
        </w:rPr>
        <w:t>202</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年部门整体绩效评价指标体系评分一览表</w:t>
      </w:r>
    </w:p>
    <w:tbl>
      <w:tblPr>
        <w:tblStyle w:val="10"/>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45"/>
        <w:gridCol w:w="2318"/>
        <w:gridCol w:w="3151"/>
        <w:gridCol w:w="1288"/>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blHeader/>
          <w:jc w:val="center"/>
        </w:trPr>
        <w:tc>
          <w:tcPr>
            <w:tcW w:w="1245" w:type="dxa"/>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一级指标</w:t>
            </w: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二级指标</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三级指标</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分值</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当年预算执行情况（20）</w:t>
            </w: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资金总体</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20.00</w:t>
            </w:r>
          </w:p>
        </w:tc>
        <w:tc>
          <w:tcPr>
            <w:tcW w:w="1255" w:type="dxa"/>
            <w:vMerge w:val="restart"/>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auto"/>
                <w:kern w:val="0"/>
                <w:sz w:val="22"/>
                <w:szCs w:val="22"/>
                <w:u w:val="none"/>
                <w:lang w:val="en-US" w:eastAsia="zh-CN" w:bidi="ar"/>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基本支出</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项目支出</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其他</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整体绩效目标实现情况（60）</w:t>
            </w: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产出（30）</w:t>
            </w: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数量指标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质量指标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进度指标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成本指标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效益（30）</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社会效益</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可持续影响指标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服务对象满意度</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预算管理情况（20）</w:t>
            </w: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财务管理（4）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财务管理制度健全性</w:t>
            </w:r>
          </w:p>
        </w:tc>
        <w:tc>
          <w:tcPr>
            <w:tcW w:w="1288"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1</w:t>
            </w:r>
            <w:r>
              <w:rPr>
                <w:rFonts w:hint="eastAsia" w:asciiTheme="minorEastAsia" w:hAnsiTheme="minorEastAsia" w:eastAsiaTheme="minorEastAsia"/>
                <w:color w:val="000000"/>
                <w:sz w:val="20"/>
                <w:szCs w:val="20"/>
                <w:lang w:val="en-US" w:eastAsia="zh-CN"/>
              </w:rPr>
              <w:t>.00</w:t>
            </w:r>
          </w:p>
        </w:tc>
        <w:tc>
          <w:tcPr>
            <w:tcW w:w="1255"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1</w:t>
            </w:r>
            <w:r>
              <w:rPr>
                <w:rFonts w:hint="eastAsia" w:asciiTheme="minorEastAsia" w:hAnsiTheme="minorEastAsia" w:eastAsiaTheme="minorEastAsia"/>
                <w:color w:val="00000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资金使用合规性和安全性</w:t>
            </w:r>
          </w:p>
        </w:tc>
        <w:tc>
          <w:tcPr>
            <w:tcW w:w="1288"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2</w:t>
            </w:r>
            <w:r>
              <w:rPr>
                <w:rFonts w:hint="eastAsia" w:asciiTheme="minorEastAsia" w:hAnsiTheme="minorEastAsia" w:eastAsiaTheme="minorEastAsia"/>
                <w:color w:val="000000"/>
                <w:sz w:val="20"/>
                <w:szCs w:val="20"/>
                <w:lang w:val="en-US" w:eastAsia="zh-CN"/>
              </w:rPr>
              <w:t>.00</w:t>
            </w:r>
          </w:p>
        </w:tc>
        <w:tc>
          <w:tcPr>
            <w:tcW w:w="1255"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sz w:val="20"/>
                <w:szCs w:val="20"/>
              </w:rPr>
              <w:t>1</w:t>
            </w:r>
            <w:r>
              <w:rPr>
                <w:rFonts w:hint="eastAsia" w:cs="宋体" w:asciiTheme="minorEastAsia" w:hAnsiTheme="minorEastAsia" w:eastAsiaTheme="minorEastAsia"/>
                <w:color w:val="00000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会计基础信息完善性</w:t>
            </w:r>
          </w:p>
        </w:tc>
        <w:tc>
          <w:tcPr>
            <w:tcW w:w="1288"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1</w:t>
            </w:r>
            <w:r>
              <w:rPr>
                <w:rFonts w:hint="eastAsia" w:cs="宋体" w:asciiTheme="minorEastAsia" w:hAnsiTheme="minorEastAsia" w:eastAsiaTheme="minorEastAsia"/>
                <w:color w:val="000000"/>
                <w:kern w:val="0"/>
                <w:sz w:val="20"/>
                <w:szCs w:val="20"/>
                <w:lang w:val="en-US" w:eastAsia="zh-CN"/>
              </w:rPr>
              <w:t>.00</w:t>
            </w:r>
          </w:p>
        </w:tc>
        <w:tc>
          <w:tcPr>
            <w:tcW w:w="1255"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1</w:t>
            </w:r>
            <w:r>
              <w:rPr>
                <w:rFonts w:hint="eastAsia" w:cs="宋体" w:asciiTheme="minorEastAsia" w:hAnsiTheme="minorEastAsia" w:eastAsiaTheme="minorEastAsia"/>
                <w:color w:val="000000"/>
                <w:kern w:val="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资产管理（4）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资产管理规范性</w:t>
            </w:r>
          </w:p>
        </w:tc>
        <w:tc>
          <w:tcPr>
            <w:tcW w:w="1288"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4</w:t>
            </w:r>
            <w:r>
              <w:rPr>
                <w:rFonts w:hint="eastAsia" w:cs="宋体" w:asciiTheme="minorEastAsia" w:hAnsiTheme="minorEastAsia" w:eastAsiaTheme="minorEastAsia"/>
                <w:color w:val="000000"/>
                <w:kern w:val="0"/>
                <w:sz w:val="20"/>
                <w:szCs w:val="20"/>
                <w:lang w:val="en-US" w:eastAsia="zh-CN"/>
              </w:rPr>
              <w:t>.00</w:t>
            </w:r>
          </w:p>
        </w:tc>
        <w:tc>
          <w:tcPr>
            <w:tcW w:w="1255"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4</w:t>
            </w:r>
            <w:r>
              <w:rPr>
                <w:rFonts w:hint="eastAsia" w:cs="宋体" w:asciiTheme="minorEastAsia" w:hAnsiTheme="minorEastAsia" w:eastAsiaTheme="minorEastAsia"/>
                <w:color w:val="000000"/>
                <w:kern w:val="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1"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绩效管理（4）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绩效管理情况</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3"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结转结余率（4）</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1"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部门预决算差异率（4）</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6714" w:type="dxa"/>
            <w:gridSpan w:val="3"/>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合计</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100.00</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91.20</w:t>
            </w:r>
          </w:p>
        </w:tc>
      </w:tr>
    </w:tbl>
    <w:p>
      <w:pPr>
        <w:spacing w:line="560" w:lineRule="exact"/>
        <w:ind w:firstLine="640" w:firstLineChars="200"/>
        <w:rPr>
          <w:rFonts w:hint="eastAsia" w:ascii="方正黑体_GBK" w:hAnsi="方正黑体_GBK" w:eastAsia="方正黑体_GBK" w:cs="方正黑体_GBK"/>
          <w:sz w:val="32"/>
          <w:szCs w:val="32"/>
        </w:rPr>
      </w:pPr>
      <w:bookmarkStart w:id="16" w:name="_Toc30560"/>
      <w:r>
        <w:rPr>
          <w:rFonts w:hint="eastAsia" w:ascii="方正黑体_GBK" w:hAnsi="方正黑体_GBK" w:eastAsia="方正黑体_GBK" w:cs="方正黑体_GBK"/>
          <w:sz w:val="32"/>
          <w:szCs w:val="32"/>
          <w:lang w:eastAsia="zh-CN"/>
        </w:rPr>
        <w:t>六、</w:t>
      </w:r>
      <w:r>
        <w:rPr>
          <w:rFonts w:hint="eastAsia" w:ascii="方正黑体_GBK" w:hAnsi="方正黑体_GBK" w:eastAsia="方正黑体_GBK" w:cs="方正黑体_GBK"/>
          <w:sz w:val="32"/>
          <w:szCs w:val="32"/>
        </w:rPr>
        <w:t>预算绩效管理主体责任的落实情况及工作开展情况，绩效指标的建设及完成情况、成本控制和绩效管理取得的实际效果。</w:t>
      </w:r>
    </w:p>
    <w:p>
      <w:pPr>
        <w:spacing w:line="560" w:lineRule="exact"/>
        <w:ind w:firstLine="640" w:firstLineChars="200"/>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eastAsia="zh-CN"/>
        </w:rPr>
        <w:t>（一）</w:t>
      </w:r>
      <w:r>
        <w:rPr>
          <w:rFonts w:hint="eastAsia" w:ascii="方正楷体_GBK" w:hAnsi="方正楷体_GBK" w:eastAsia="方正楷体_GBK" w:cs="方正楷体_GBK"/>
          <w:b w:val="0"/>
          <w:bCs w:val="0"/>
          <w:sz w:val="32"/>
          <w:szCs w:val="32"/>
        </w:rPr>
        <w:t>预算绩效管理主体责任的落实情况及工作开展情况</w:t>
      </w:r>
    </w:p>
    <w:p>
      <w:pPr>
        <w:spacing w:line="560" w:lineRule="exact"/>
        <w:ind w:firstLine="640" w:firstLineChars="200"/>
        <w:rPr>
          <w:rFonts w:hint="eastAsia" w:ascii="仿宋_GB2312" w:eastAsia="仿宋_GB2312"/>
          <w:sz w:val="32"/>
          <w:szCs w:val="32"/>
          <w:highlight w:val="yellow"/>
        </w:rPr>
      </w:pPr>
      <w:r>
        <w:rPr>
          <w:rFonts w:hint="eastAsia" w:ascii="仿宋_GB2312" w:eastAsia="仿宋_GB2312"/>
          <w:sz w:val="32"/>
          <w:szCs w:val="32"/>
          <w:lang w:val="en-US" w:eastAsia="zh-CN"/>
        </w:rPr>
        <w:t>1.</w:t>
      </w:r>
      <w:r>
        <w:rPr>
          <w:rFonts w:hint="eastAsia" w:ascii="仿宋_GB2312" w:eastAsia="仿宋_GB2312"/>
          <w:sz w:val="32"/>
          <w:szCs w:val="32"/>
        </w:rPr>
        <w:t>根据市财政局202</w:t>
      </w:r>
      <w:r>
        <w:rPr>
          <w:rFonts w:hint="eastAsia" w:ascii="仿宋_GB2312" w:eastAsia="仿宋_GB2312"/>
          <w:sz w:val="32"/>
          <w:szCs w:val="32"/>
          <w:lang w:val="en-US" w:eastAsia="zh-CN"/>
        </w:rPr>
        <w:t>3</w:t>
      </w:r>
      <w:r>
        <w:rPr>
          <w:rFonts w:hint="eastAsia" w:ascii="仿宋_GB2312" w:eastAsia="仿宋_GB2312"/>
          <w:sz w:val="32"/>
          <w:szCs w:val="32"/>
        </w:rPr>
        <w:t>年绩效自评工作的通知，市农研中心积极开展绩效自评工作，202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日制定下发了《关于开展20</w:t>
      </w:r>
      <w:r>
        <w:rPr>
          <w:rFonts w:ascii="仿宋_GB2312" w:eastAsia="仿宋_GB2312"/>
          <w:sz w:val="32"/>
          <w:szCs w:val="32"/>
        </w:rPr>
        <w:t>2</w:t>
      </w:r>
      <w:r>
        <w:rPr>
          <w:rFonts w:hint="eastAsia" w:ascii="仿宋_GB2312" w:eastAsia="仿宋_GB2312"/>
          <w:sz w:val="32"/>
          <w:szCs w:val="32"/>
          <w:lang w:val="en-US" w:eastAsia="zh-CN"/>
        </w:rPr>
        <w:t>2</w:t>
      </w:r>
      <w:r>
        <w:rPr>
          <w:rFonts w:hint="eastAsia" w:ascii="仿宋_GB2312" w:eastAsia="仿宋_GB2312"/>
          <w:sz w:val="32"/>
          <w:szCs w:val="32"/>
        </w:rPr>
        <w:t>年度预算项目支出绩效评价工作的通知》，明确绩效自评的评价</w:t>
      </w:r>
      <w:r>
        <w:rPr>
          <w:rFonts w:ascii="仿宋_GB2312" w:eastAsia="仿宋_GB2312"/>
          <w:sz w:val="32"/>
          <w:szCs w:val="32"/>
        </w:rPr>
        <w:t>内容、评价方式、</w:t>
      </w:r>
      <w:r>
        <w:rPr>
          <w:rFonts w:hint="eastAsia" w:ascii="仿宋_GB2312" w:eastAsia="仿宋_GB2312"/>
          <w:sz w:val="32"/>
          <w:szCs w:val="32"/>
        </w:rPr>
        <w:t>评价范围、时间安排和工作</w:t>
      </w:r>
      <w:r>
        <w:rPr>
          <w:rFonts w:ascii="仿宋_GB2312" w:eastAsia="仿宋_GB2312"/>
          <w:sz w:val="32"/>
          <w:szCs w:val="32"/>
        </w:rPr>
        <w:t>步骤等</w:t>
      </w:r>
      <w:r>
        <w:rPr>
          <w:rFonts w:hint="eastAsia" w:ascii="仿宋_GB2312" w:eastAsia="仿宋_GB2312"/>
          <w:sz w:val="32"/>
          <w:szCs w:val="32"/>
        </w:rPr>
        <w:t>有关要求等，并布置给相关业务处室。</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相关业务处室根据项目支出绩效评价资料准备清单，结合评价对象实际情况收集项目资料，撰写自评报告。计财处在充分了解项目的基础上，对各处室上报的自评报告逐一进行审核，对自评得分情况进行调整，确保报告真实准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评价工作组对单位自评项目需要填制的《项目支出绩效自评表》进行审定；对部门评价项目制定指标体系，明确指标权重和评分标准，组织召开专家评价会，根据专家意见撰写部门评价项目的项目支出绩效评价报告。</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4.市农研中心汇总自评结果，并根据自评工作开展情况，完成对部门绩效自评工作的总结。</w:t>
      </w:r>
    </w:p>
    <w:p>
      <w:pPr>
        <w:spacing w:line="560" w:lineRule="exact"/>
        <w:ind w:firstLine="640" w:firstLineChars="200"/>
        <w:rPr>
          <w:rFonts w:hint="eastAsia" w:ascii="方正仿宋_GBK" w:hAnsi="方正仿宋_GBK" w:eastAsia="方正仿宋_GBK" w:cs="方正仿宋_GBK"/>
          <w:b/>
          <w:bCs/>
          <w:sz w:val="32"/>
          <w:szCs w:val="32"/>
        </w:rPr>
      </w:pPr>
      <w:r>
        <w:rPr>
          <w:rFonts w:hint="eastAsia" w:ascii="方正楷体_GBK" w:hAnsi="方正楷体_GBK" w:eastAsia="方正楷体_GBK" w:cs="方正楷体_GBK"/>
          <w:b w:val="0"/>
          <w:bCs w:val="0"/>
          <w:sz w:val="32"/>
          <w:szCs w:val="32"/>
          <w:lang w:val="en-US" w:eastAsia="zh-CN"/>
        </w:rPr>
        <w:t>（二）</w:t>
      </w:r>
      <w:r>
        <w:rPr>
          <w:rFonts w:hint="eastAsia" w:ascii="方正楷体_GBK" w:hAnsi="方正楷体_GBK" w:eastAsia="方正楷体_GBK" w:cs="方正楷体_GBK"/>
          <w:b w:val="0"/>
          <w:bCs w:val="0"/>
          <w:sz w:val="32"/>
          <w:szCs w:val="32"/>
        </w:rPr>
        <w:t>绩效指标的建设及完成情况、成本控制和绩效管理取得的实际效果</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市农研中心参照北京市财政局发布的《项目支出绩效评价指标体系框架（参考）》，组织各业务处室编制绩效目标申报表，尽可能做到绩效目标明确，绩效指标细化、量化、可衡量。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截至202</w:t>
      </w:r>
      <w:r>
        <w:rPr>
          <w:rFonts w:hint="eastAsia" w:ascii="仿宋_GB2312" w:eastAsia="仿宋_GB2312"/>
          <w:sz w:val="32"/>
          <w:szCs w:val="32"/>
          <w:lang w:val="en-US" w:eastAsia="zh-CN"/>
        </w:rPr>
        <w:t>2</w:t>
      </w:r>
      <w:r>
        <w:rPr>
          <w:rFonts w:hint="eastAsia" w:ascii="仿宋_GB2312" w:eastAsia="仿宋_GB2312"/>
          <w:sz w:val="32"/>
          <w:szCs w:val="32"/>
        </w:rPr>
        <w:t>年12月31日，项目绩效目标在各处室的共同努力下均已全部完成，财政资金效能得到了很好的发挥。</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市农研中心积极配合市财政局压缩项目支出、核减收回结余资金等相关要求，结合各项目实际开展情况，对202</w:t>
      </w:r>
      <w:r>
        <w:rPr>
          <w:rFonts w:hint="eastAsia" w:ascii="仿宋_GB2312" w:eastAsia="仿宋_GB2312"/>
          <w:sz w:val="32"/>
          <w:szCs w:val="32"/>
          <w:lang w:val="en-US" w:eastAsia="zh-CN"/>
        </w:rPr>
        <w:t>2</w:t>
      </w:r>
      <w:r>
        <w:rPr>
          <w:rFonts w:hint="eastAsia" w:ascii="仿宋_GB2312" w:eastAsia="仿宋_GB2312"/>
          <w:sz w:val="32"/>
          <w:szCs w:val="32"/>
        </w:rPr>
        <w:t>年部分项目预算进行调整，并严格控制各项目经费支出。从绩效自评完成情况看，202</w:t>
      </w:r>
      <w:r>
        <w:rPr>
          <w:rFonts w:hint="eastAsia" w:ascii="仿宋_GB2312" w:eastAsia="仿宋_GB2312"/>
          <w:sz w:val="32"/>
          <w:szCs w:val="32"/>
          <w:lang w:val="en-US" w:eastAsia="zh-CN"/>
        </w:rPr>
        <w:t>2</w:t>
      </w:r>
      <w:r>
        <w:rPr>
          <w:rFonts w:hint="eastAsia" w:ascii="仿宋_GB2312" w:eastAsia="仿宋_GB2312"/>
          <w:sz w:val="32"/>
          <w:szCs w:val="32"/>
        </w:rPr>
        <w:t>年绩效自评项目成本均控制在预算范围内，未发生超预算支出情况，有效完成了成本控制的目标。</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通过开展项目绩效管理工作，各业务处室不断提高绩效管理意识，财政资金绩效管理的理念更加深入人心，项目管理水平不断提高，预算资金使用效益得到有效提升，使市农研中心更好地开展农村战略研究和政策研究，农口经济信息系统的规划、开发、建设与管理，农业资源调查及农村改革与发展的相关研究等。</w:t>
      </w:r>
    </w:p>
    <w:p>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七、</w:t>
      </w:r>
      <w:r>
        <w:rPr>
          <w:rFonts w:hint="eastAsia" w:ascii="方正黑体_GBK" w:hAnsi="方正黑体_GBK" w:eastAsia="方正黑体_GBK" w:cs="方正黑体_GBK"/>
          <w:sz w:val="32"/>
          <w:szCs w:val="32"/>
        </w:rPr>
        <w:t>取得的经验及存在问题</w:t>
      </w:r>
    </w:p>
    <w:p>
      <w:pPr>
        <w:spacing w:line="560" w:lineRule="exact"/>
        <w:ind w:firstLine="640" w:firstLineChars="200"/>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eastAsia="zh-CN"/>
        </w:rPr>
        <w:t>（一）</w:t>
      </w:r>
      <w:r>
        <w:rPr>
          <w:rFonts w:hint="eastAsia" w:ascii="方正楷体_GBK" w:hAnsi="方正楷体_GBK" w:eastAsia="方正楷体_GBK" w:cs="方正楷体_GBK"/>
          <w:b w:val="0"/>
          <w:bCs w:val="0"/>
          <w:sz w:val="32"/>
          <w:szCs w:val="32"/>
        </w:rPr>
        <w:t>主要经验</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领导高度重视，各部门积极配合。市农研中心绩效管理工作的开展，中心领导的高度重视，主管领导亲自抓，分管领导具体抓，业务处室合力抓，审批绩效管理工作中重大事项，定期听取绩效管理工作情况汇报，督促绩效进展缓慢的项目，确保绩效目标顺利实现，按时完成。各相关处室在评价过程中认真整理项目资料，对项目绩效目标实际完成情况进行客观评价，实事求是撰写项目自评报告，保证部门绩效自评工作有序开展。</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借助外部专业力量，深层剖析项目问题。市农研中心202</w:t>
      </w:r>
      <w:r>
        <w:rPr>
          <w:rFonts w:hint="eastAsia" w:ascii="仿宋_GB2312" w:eastAsia="仿宋_GB2312"/>
          <w:sz w:val="32"/>
          <w:szCs w:val="32"/>
          <w:lang w:val="en-US" w:eastAsia="zh-CN"/>
        </w:rPr>
        <w:t>3</w:t>
      </w:r>
      <w:r>
        <w:rPr>
          <w:rFonts w:hint="eastAsia" w:ascii="仿宋_GB2312" w:eastAsia="仿宋_GB2312"/>
          <w:sz w:val="32"/>
          <w:szCs w:val="32"/>
        </w:rPr>
        <w:t>年绩效自评工作，以市农研中心为主、第三方机构协助、专家评价为辅的方式开展，选取了3个项目进行部门评价，并组织召开线上了专家评价会。借助专家力量，分别从财务、管理、业务方面，全面审核项目资料，对项目进行深入研究探讨，查找项目实施过程中存在的问题，剖析问题产生的根源，提出合理化建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认真做好项目绩效事前评审，科学设置项目绩效目标。202</w:t>
      </w:r>
      <w:r>
        <w:rPr>
          <w:rFonts w:hint="eastAsia" w:ascii="仿宋_GB2312" w:eastAsia="仿宋_GB2312"/>
          <w:sz w:val="32"/>
          <w:szCs w:val="32"/>
          <w:lang w:val="en-US" w:eastAsia="zh-CN"/>
        </w:rPr>
        <w:t>2</w:t>
      </w:r>
      <w:r>
        <w:rPr>
          <w:rFonts w:hint="eastAsia" w:ascii="仿宋_GB2312" w:eastAsia="仿宋_GB2312"/>
          <w:sz w:val="32"/>
          <w:szCs w:val="32"/>
        </w:rPr>
        <w:t>年项目预算编制上报前，市农研中心组织专家对项目绩效目标设定的合理性进行评审，对二级指标进行了细化，对不合理的指标进行了调整修正，使设定的指标尽可能切合实际，便于操作。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1"/>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val="en-US" w:eastAsia="zh-CN"/>
        </w:rPr>
        <w:t>（二）</w:t>
      </w:r>
      <w:r>
        <w:rPr>
          <w:rFonts w:hint="eastAsia" w:ascii="方正楷体_GBK" w:hAnsi="方正楷体_GBK" w:eastAsia="方正楷体_GBK" w:cs="方正楷体_GBK"/>
          <w:b w:val="0"/>
          <w:bCs w:val="0"/>
          <w:sz w:val="32"/>
          <w:szCs w:val="32"/>
        </w:rPr>
        <w:t>存在的问题</w:t>
      </w:r>
      <w:bookmarkEnd w:id="1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highlight w:val="none"/>
          <w:lang w:eastAsia="zh-CN"/>
        </w:rPr>
      </w:pPr>
      <w:r>
        <w:rPr>
          <w:rFonts w:hint="eastAsia" w:ascii="仿宋_GB2312" w:hAnsi="仿宋_GB2312" w:eastAsia="仿宋_GB2312" w:cs="仿宋_GB2312"/>
          <w:bCs/>
          <w:kern w:val="0"/>
          <w:sz w:val="32"/>
          <w:szCs w:val="28"/>
          <w:highlight w:val="none"/>
          <w:lang w:val="en-US" w:eastAsia="zh-CN"/>
        </w:rPr>
        <w:t>1.部分项目</w:t>
      </w:r>
      <w:r>
        <w:rPr>
          <w:rFonts w:hint="eastAsia" w:ascii="仿宋_GB2312" w:hAnsi="仿宋_GB2312" w:eastAsia="仿宋_GB2312" w:cs="仿宋_GB2312"/>
          <w:bCs/>
          <w:kern w:val="0"/>
          <w:sz w:val="32"/>
          <w:szCs w:val="28"/>
          <w:highlight w:val="none"/>
        </w:rPr>
        <w:t>绩效目标申报表</w:t>
      </w:r>
      <w:r>
        <w:rPr>
          <w:rFonts w:hint="eastAsia" w:ascii="仿宋_GB2312" w:hAnsi="仿宋_GB2312" w:eastAsia="仿宋_GB2312" w:cs="仿宋_GB2312"/>
          <w:bCs/>
          <w:kern w:val="0"/>
          <w:sz w:val="32"/>
          <w:szCs w:val="28"/>
          <w:highlight w:val="none"/>
          <w:lang w:val="en-US" w:eastAsia="zh-CN"/>
        </w:rPr>
        <w:t>填制不够规范</w:t>
      </w:r>
      <w:r>
        <w:rPr>
          <w:rFonts w:hint="eastAsia" w:ascii="仿宋_GB2312" w:hAnsi="仿宋_GB2312" w:eastAsia="仿宋_GB2312" w:cs="仿宋_GB2312"/>
          <w:bCs/>
          <w:kern w:val="0"/>
          <w:sz w:val="32"/>
          <w:szCs w:val="28"/>
          <w:highlight w:val="none"/>
        </w:rPr>
        <w:t>，</w:t>
      </w:r>
      <w:r>
        <w:rPr>
          <w:rFonts w:hint="eastAsia" w:ascii="仿宋_GB2312" w:hAnsi="仿宋_GB2312" w:eastAsia="仿宋_GB2312" w:cs="仿宋_GB2312"/>
          <w:bCs/>
          <w:kern w:val="0"/>
          <w:sz w:val="32"/>
          <w:szCs w:val="28"/>
          <w:highlight w:val="none"/>
          <w:lang w:val="en-US" w:eastAsia="zh-CN"/>
        </w:rPr>
        <w:t>绩效目标设定涵盖项目内容不足，指标值设置较为笼统，项目</w:t>
      </w:r>
      <w:r>
        <w:rPr>
          <w:rFonts w:hint="eastAsia" w:ascii="仿宋_GB2312" w:hAnsi="仿宋_GB2312" w:eastAsia="仿宋_GB2312" w:cs="仿宋_GB2312"/>
          <w:bCs/>
          <w:kern w:val="0"/>
          <w:sz w:val="32"/>
          <w:szCs w:val="28"/>
          <w:highlight w:val="none"/>
        </w:rPr>
        <w:t>定</w:t>
      </w:r>
      <w:r>
        <w:rPr>
          <w:rFonts w:hint="eastAsia" w:ascii="仿宋_GB2312" w:hAnsi="仿宋_GB2312" w:eastAsia="仿宋_GB2312" w:cs="仿宋_GB2312"/>
          <w:bCs/>
          <w:kern w:val="0"/>
          <w:sz w:val="32"/>
          <w:szCs w:val="28"/>
          <w:highlight w:val="none"/>
          <w:lang w:val="en-US" w:eastAsia="zh-CN"/>
        </w:rPr>
        <w:t>性</w:t>
      </w:r>
      <w:r>
        <w:rPr>
          <w:rFonts w:hint="eastAsia" w:ascii="仿宋_GB2312" w:hAnsi="仿宋_GB2312" w:eastAsia="仿宋_GB2312" w:cs="仿宋_GB2312"/>
          <w:bCs/>
          <w:kern w:val="0"/>
          <w:sz w:val="32"/>
          <w:szCs w:val="28"/>
          <w:highlight w:val="none"/>
        </w:rPr>
        <w:t>较多、定量不足，缺少衡量评价依据</w:t>
      </w:r>
      <w:r>
        <w:rPr>
          <w:rFonts w:hint="eastAsia" w:ascii="仿宋_GB2312" w:hAnsi="仿宋_GB2312" w:eastAsia="仿宋_GB2312" w:cs="仿宋_GB2312"/>
          <w:bCs/>
          <w:kern w:val="0"/>
          <w:sz w:val="32"/>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highlight w:val="none"/>
          <w:lang w:val="en-US" w:eastAsia="zh-CN"/>
        </w:rPr>
      </w:pPr>
      <w:r>
        <w:rPr>
          <w:rFonts w:hint="eastAsia" w:ascii="仿宋_GB2312" w:hAnsi="仿宋_GB2312" w:eastAsia="仿宋_GB2312" w:cs="仿宋_GB2312"/>
          <w:bCs/>
          <w:kern w:val="0"/>
          <w:sz w:val="32"/>
          <w:szCs w:val="28"/>
          <w:highlight w:val="none"/>
          <w:lang w:val="en-US" w:eastAsia="zh-CN"/>
        </w:rPr>
        <w:t>2.经常性项目缺乏中长期规划，调研研究类项目支出与项目实施内容的匹配不够。</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bCs/>
          <w:kern w:val="0"/>
          <w:sz w:val="32"/>
          <w:szCs w:val="28"/>
          <w:highlight w:val="none"/>
          <w:lang w:val="en-US" w:eastAsia="zh-CN"/>
        </w:rPr>
      </w:pPr>
      <w:r>
        <w:rPr>
          <w:rFonts w:hint="eastAsia" w:ascii="仿宋_GB2312" w:hAnsi="仿宋_GB2312" w:eastAsia="仿宋_GB2312" w:cs="仿宋_GB2312"/>
          <w:bCs/>
          <w:kern w:val="0"/>
          <w:sz w:val="32"/>
          <w:szCs w:val="28"/>
          <w:highlight w:val="none"/>
          <w:lang w:val="en-US" w:eastAsia="zh-CN"/>
        </w:rPr>
        <w:t>3.</w:t>
      </w:r>
      <w:r>
        <w:rPr>
          <w:rFonts w:hint="default" w:ascii="仿宋_GB2312" w:hAnsi="仿宋_GB2312" w:eastAsia="仿宋_GB2312" w:cs="仿宋_GB2312"/>
          <w:bCs/>
          <w:kern w:val="0"/>
          <w:sz w:val="32"/>
          <w:szCs w:val="28"/>
          <w:highlight w:val="none"/>
          <w:lang w:val="en-US" w:eastAsia="zh-CN"/>
        </w:rPr>
        <w:t>项目过程管理不够严谨</w:t>
      </w:r>
      <w:r>
        <w:rPr>
          <w:rFonts w:hint="eastAsia" w:ascii="仿宋_GB2312" w:hAnsi="仿宋_GB2312" w:eastAsia="仿宋_GB2312" w:cs="仿宋_GB2312"/>
          <w:bCs/>
          <w:kern w:val="0"/>
          <w:sz w:val="32"/>
          <w:szCs w:val="28"/>
          <w:highlight w:val="none"/>
          <w:lang w:val="en-US" w:eastAsia="zh-CN"/>
        </w:rPr>
        <w:t>，个别</w:t>
      </w:r>
      <w:r>
        <w:rPr>
          <w:rFonts w:hint="eastAsia" w:ascii="仿宋_GB2312" w:hAnsi="楷体" w:eastAsia="仿宋_GB2312"/>
          <w:bCs/>
          <w:kern w:val="0"/>
          <w:sz w:val="32"/>
          <w:szCs w:val="28"/>
        </w:rPr>
        <w:t>项目实施质量控制和风险防范措施缺失</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lang w:val="en-US" w:eastAsia="zh-CN"/>
        </w:rPr>
        <w:t>合同管理欠缺规范。</w:t>
      </w:r>
      <w:r>
        <w:rPr>
          <w:rFonts w:hint="eastAsia" w:ascii="仿宋_GB2312" w:hAnsi="仿宋_GB2312" w:eastAsia="仿宋_GB2312" w:cs="仿宋_GB2312"/>
          <w:bCs/>
          <w:kern w:val="0"/>
          <w:sz w:val="32"/>
          <w:szCs w:val="28"/>
          <w:highlight w:val="none"/>
          <w:lang w:val="en-US" w:eastAsia="zh-CN"/>
        </w:rPr>
        <w:t>财务制度比较健全，但项目管理办法不够完善。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highlight w:val="none"/>
        </w:rPr>
      </w:pPr>
      <w:r>
        <w:rPr>
          <w:rFonts w:hint="default" w:ascii="仿宋_GB2312" w:hAnsi="仿宋_GB2312" w:eastAsia="仿宋_GB2312" w:cs="仿宋_GB2312"/>
          <w:bCs/>
          <w:kern w:val="0"/>
          <w:sz w:val="32"/>
          <w:szCs w:val="28"/>
          <w:highlight w:val="none"/>
          <w:lang w:val="en" w:eastAsia="zh-CN"/>
        </w:rPr>
        <w:t>4</w:t>
      </w:r>
      <w:r>
        <w:rPr>
          <w:rFonts w:hint="eastAsia" w:ascii="仿宋_GB2312" w:hAnsi="仿宋_GB2312" w:eastAsia="仿宋_GB2312" w:cs="仿宋_GB2312"/>
          <w:bCs/>
          <w:kern w:val="0"/>
          <w:sz w:val="32"/>
          <w:szCs w:val="28"/>
          <w:highlight w:val="none"/>
          <w:lang w:val="en-US" w:eastAsia="zh-CN"/>
        </w:rPr>
        <w:t>.个别项目绩效管理资料收集整理不全面、</w:t>
      </w:r>
      <w:r>
        <w:rPr>
          <w:rFonts w:hint="eastAsia" w:ascii="仿宋_GB2312" w:hAnsi="仿宋_GB2312" w:eastAsia="仿宋_GB2312" w:cs="仿宋_GB2312"/>
          <w:bCs/>
          <w:kern w:val="0"/>
          <w:sz w:val="32"/>
          <w:szCs w:val="28"/>
          <w:highlight w:val="none"/>
        </w:rPr>
        <w:t>不完整、不及</w:t>
      </w:r>
      <w:r>
        <w:rPr>
          <w:rFonts w:hint="eastAsia" w:ascii="仿宋_GB2312" w:hAnsi="仿宋_GB2312" w:eastAsia="仿宋_GB2312" w:cs="仿宋_GB2312"/>
          <w:bCs/>
          <w:kern w:val="0"/>
          <w:sz w:val="32"/>
          <w:szCs w:val="28"/>
          <w:highlight w:val="none"/>
          <w:lang w:val="en-US" w:eastAsia="zh-CN"/>
        </w:rPr>
        <w:t>时，绩效信息的收集和汇总分析不充分，项目效益未能完整、充分呈现，</w:t>
      </w:r>
      <w:r>
        <w:rPr>
          <w:rFonts w:hint="eastAsia" w:ascii="仿宋_GB2312" w:hAnsi="仿宋_GB2312" w:eastAsia="仿宋_GB2312" w:cs="仿宋_GB2312"/>
          <w:bCs/>
          <w:kern w:val="0"/>
          <w:sz w:val="32"/>
          <w:szCs w:val="28"/>
          <w:highlight w:val="none"/>
        </w:rPr>
        <w:t>影响总体评价</w:t>
      </w:r>
      <w:r>
        <w:rPr>
          <w:rFonts w:hint="eastAsia" w:ascii="仿宋_GB2312" w:hAnsi="仿宋_GB2312" w:eastAsia="仿宋_GB2312" w:cs="仿宋_GB2312"/>
          <w:bCs/>
          <w:kern w:val="0"/>
          <w:sz w:val="32"/>
          <w:szCs w:val="28"/>
          <w:highlight w:val="none"/>
          <w:lang w:val="en-US" w:eastAsia="zh-CN"/>
        </w:rPr>
        <w:t>。部分</w:t>
      </w:r>
      <w:r>
        <w:rPr>
          <w:rFonts w:hint="eastAsia" w:ascii="仿宋_GB2312" w:hAnsi="仿宋_GB2312" w:eastAsia="仿宋_GB2312" w:cs="仿宋_GB2312"/>
          <w:bCs/>
          <w:kern w:val="0"/>
          <w:sz w:val="32"/>
          <w:szCs w:val="28"/>
          <w:highlight w:val="none"/>
        </w:rPr>
        <w:t>项目服务对象满意度调查开展不够全面，未充分反映项目服务对象满意度效果。</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outlineLvl w:val="0"/>
        <w:rPr>
          <w:rFonts w:hint="eastAsia" w:ascii="黑体" w:hAnsi="黑体" w:eastAsia="黑体" w:cs="黑体"/>
          <w:color w:val="auto"/>
          <w:kern w:val="0"/>
          <w:sz w:val="32"/>
          <w:szCs w:val="32"/>
        </w:rPr>
      </w:pPr>
      <w:bookmarkStart w:id="17" w:name="_Toc6309"/>
      <w:r>
        <w:rPr>
          <w:rFonts w:hint="eastAsia" w:ascii="黑体" w:hAnsi="黑体" w:eastAsia="黑体" w:cs="黑体"/>
          <w:color w:val="auto"/>
          <w:kern w:val="0"/>
          <w:sz w:val="32"/>
          <w:szCs w:val="32"/>
          <w:lang w:eastAsia="zh-CN"/>
        </w:rPr>
        <w:t>八</w:t>
      </w:r>
      <w:r>
        <w:rPr>
          <w:rFonts w:hint="eastAsia" w:ascii="黑体" w:hAnsi="黑体" w:eastAsia="黑体" w:cs="黑体"/>
          <w:color w:val="auto"/>
          <w:kern w:val="0"/>
          <w:sz w:val="32"/>
          <w:szCs w:val="32"/>
        </w:rPr>
        <w:t>、措施建议</w:t>
      </w:r>
      <w:bookmarkEnd w:id="17"/>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outlineLvl w:val="0"/>
        <w:rPr>
          <w:rFonts w:hint="eastAsia" w:ascii="仿宋_GB2312" w:hAnsi="仿宋_GB2312" w:eastAsia="仿宋_GB2312" w:cs="仿宋_GB2312"/>
          <w:bCs/>
          <w:kern w:val="0"/>
          <w:sz w:val="32"/>
          <w:szCs w:val="28"/>
        </w:rPr>
      </w:pPr>
      <w:bookmarkStart w:id="18" w:name="_Toc72401385"/>
      <w:r>
        <w:rPr>
          <w:rFonts w:hint="eastAsia" w:ascii="仿宋_GB2312" w:hAnsi="仿宋_GB2312" w:eastAsia="仿宋_GB2312" w:cs="仿宋_GB2312"/>
          <w:bCs/>
          <w:kern w:val="0"/>
          <w:sz w:val="32"/>
          <w:szCs w:val="28"/>
        </w:rPr>
        <w:t>1.</w:t>
      </w:r>
      <w:r>
        <w:rPr>
          <w:rFonts w:hint="eastAsia" w:ascii="仿宋_GB2312" w:hAnsi="仿宋_GB2312" w:eastAsia="仿宋_GB2312" w:cs="仿宋_GB2312"/>
          <w:bCs/>
          <w:kern w:val="0"/>
          <w:sz w:val="32"/>
          <w:szCs w:val="28"/>
          <w:lang w:eastAsia="zh-CN"/>
        </w:rPr>
        <w:t>增强</w:t>
      </w:r>
      <w:r>
        <w:rPr>
          <w:rFonts w:hint="eastAsia" w:ascii="仿宋_GB2312" w:hAnsi="仿宋_GB2312" w:eastAsia="仿宋_GB2312" w:cs="仿宋_GB2312"/>
          <w:bCs/>
          <w:kern w:val="0"/>
          <w:sz w:val="32"/>
          <w:szCs w:val="28"/>
        </w:rPr>
        <w:t>全面绩效管理意识，加强绩效目标设定合理性、规范性。充分结合实际业务、预算内容，科学、完整地设置绩效目标与指标，并保障绩效目标与指标的对应关系，指标设置做到细化、量化、可衡量。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rPr>
        <w:t>2.</w:t>
      </w:r>
      <w:r>
        <w:rPr>
          <w:rFonts w:hint="eastAsia" w:ascii="仿宋_GB2312" w:hAnsi="仿宋_GB2312" w:eastAsia="仿宋_GB2312" w:cs="仿宋_GB2312"/>
          <w:bCs/>
          <w:kern w:val="0"/>
          <w:sz w:val="32"/>
          <w:szCs w:val="28"/>
          <w:lang w:val="en-US" w:eastAsia="zh-CN"/>
        </w:rPr>
        <w:t>制定项目的中长期规划，明确年度工作重点任务。</w:t>
      </w:r>
      <w:r>
        <w:rPr>
          <w:rFonts w:hint="eastAsia" w:ascii="仿宋_GB2312" w:hAnsi="仿宋_GB2312" w:eastAsia="仿宋_GB2312" w:cs="仿宋_GB2312"/>
          <w:bCs/>
          <w:kern w:val="0"/>
          <w:sz w:val="32"/>
          <w:szCs w:val="28"/>
        </w:rPr>
        <w:t>加强财务和预算管理，</w:t>
      </w:r>
      <w:r>
        <w:rPr>
          <w:rFonts w:hint="eastAsia" w:ascii="仿宋_GB2312" w:hAnsi="仿宋_GB2312" w:eastAsia="仿宋_GB2312" w:cs="仿宋_GB2312"/>
          <w:bCs/>
          <w:kern w:val="0"/>
          <w:sz w:val="32"/>
          <w:szCs w:val="28"/>
          <w:lang w:val="en-US" w:eastAsia="zh-CN"/>
        </w:rPr>
        <w:t>注重</w:t>
      </w:r>
      <w:r>
        <w:rPr>
          <w:rFonts w:hint="eastAsia" w:ascii="仿宋_GB2312" w:hAnsi="仿宋_GB2312" w:eastAsia="仿宋_GB2312" w:cs="仿宋_GB2312"/>
          <w:bCs/>
          <w:kern w:val="0"/>
          <w:sz w:val="32"/>
          <w:szCs w:val="28"/>
        </w:rPr>
        <w:t>预算申报依据的充分性，严格项目资金</w:t>
      </w:r>
      <w:r>
        <w:rPr>
          <w:rFonts w:hint="eastAsia" w:ascii="仿宋_GB2312" w:hAnsi="仿宋_GB2312" w:eastAsia="仿宋_GB2312" w:cs="仿宋_GB2312"/>
          <w:bCs/>
          <w:kern w:val="0"/>
          <w:sz w:val="32"/>
          <w:szCs w:val="28"/>
          <w:lang w:val="en-US" w:eastAsia="zh-CN"/>
        </w:rPr>
        <w:t>管理</w:t>
      </w:r>
      <w:r>
        <w:rPr>
          <w:rFonts w:hint="eastAsia" w:ascii="仿宋_GB2312" w:hAnsi="仿宋_GB2312" w:eastAsia="仿宋_GB2312" w:cs="仿宋_GB2312"/>
          <w:bCs/>
          <w:kern w:val="0"/>
          <w:sz w:val="32"/>
          <w:szCs w:val="28"/>
        </w:rPr>
        <w:t>，确保项目经费使用合规合理。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lang w:eastAsia="zh-CN"/>
        </w:rPr>
      </w:pPr>
      <w:r>
        <w:rPr>
          <w:rFonts w:hint="eastAsia" w:ascii="仿宋_GB2312" w:hAnsi="仿宋_GB2312" w:eastAsia="仿宋_GB2312" w:cs="仿宋_GB2312"/>
          <w:bCs/>
          <w:kern w:val="0"/>
          <w:sz w:val="32"/>
          <w:szCs w:val="28"/>
          <w:lang w:val="en-US" w:eastAsia="zh-CN"/>
        </w:rPr>
        <w:t>3</w:t>
      </w:r>
      <w:r>
        <w:rPr>
          <w:rFonts w:hint="eastAsia" w:ascii="仿宋_GB2312" w:hAnsi="仿宋_GB2312" w:eastAsia="仿宋_GB2312" w:cs="仿宋_GB2312"/>
          <w:bCs/>
          <w:kern w:val="0"/>
          <w:sz w:val="32"/>
          <w:szCs w:val="28"/>
        </w:rPr>
        <w:t>.规范项目过程</w:t>
      </w:r>
      <w:r>
        <w:rPr>
          <w:rFonts w:hint="eastAsia" w:ascii="仿宋_GB2312" w:hAnsi="仿宋_GB2312" w:eastAsia="仿宋_GB2312" w:cs="仿宋_GB2312"/>
          <w:bCs/>
          <w:kern w:val="0"/>
          <w:sz w:val="32"/>
          <w:szCs w:val="28"/>
          <w:lang w:val="en-US" w:eastAsia="zh-CN"/>
        </w:rPr>
        <w:t>管理</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注重对项目委托单位的日常监督管理</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lang w:val="en-US" w:eastAsia="zh-CN"/>
        </w:rPr>
        <w:t>规范</w:t>
      </w:r>
      <w:r>
        <w:rPr>
          <w:rFonts w:hint="eastAsia" w:ascii="仿宋_GB2312" w:hAnsi="仿宋_GB2312" w:eastAsia="仿宋_GB2312" w:cs="仿宋_GB2312"/>
          <w:bCs/>
          <w:kern w:val="0"/>
          <w:sz w:val="32"/>
          <w:szCs w:val="28"/>
        </w:rPr>
        <w:t>合同签订</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lang w:val="en-US" w:eastAsia="zh-CN"/>
        </w:rPr>
        <w:t>不断健全完善项目管理办法，使项目执行有据可依，</w:t>
      </w:r>
      <w:r>
        <w:rPr>
          <w:rFonts w:hint="eastAsia" w:ascii="仿宋_GB2312" w:hAnsi="楷体" w:eastAsia="仿宋_GB2312"/>
          <w:bCs/>
          <w:kern w:val="0"/>
          <w:sz w:val="32"/>
          <w:szCs w:val="28"/>
        </w:rPr>
        <w:t>提高管理的精细化水平</w:t>
      </w:r>
      <w:r>
        <w:rPr>
          <w:rFonts w:hint="eastAsia" w:ascii="仿宋_GB2312" w:hAnsi="楷体" w:eastAsia="仿宋_GB2312"/>
          <w:bCs/>
          <w:kern w:val="0"/>
          <w:sz w:val="32"/>
          <w:szCs w:val="28"/>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lang w:val="en-US" w:eastAsia="zh-CN"/>
        </w:rPr>
        <w:t>4</w:t>
      </w:r>
      <w:r>
        <w:rPr>
          <w:rFonts w:hint="eastAsia" w:ascii="仿宋_GB2312" w:hAnsi="仿宋_GB2312" w:eastAsia="仿宋_GB2312" w:cs="仿宋_GB2312"/>
          <w:bCs/>
          <w:kern w:val="0"/>
          <w:sz w:val="32"/>
          <w:szCs w:val="28"/>
        </w:rPr>
        <w:t>.注重项目效益资料收集和呈现，</w:t>
      </w:r>
      <w:bookmarkEnd w:id="18"/>
      <w:r>
        <w:rPr>
          <w:rFonts w:hint="eastAsia" w:ascii="仿宋_GB2312" w:hAnsi="仿宋_GB2312" w:eastAsia="仿宋_GB2312" w:cs="仿宋_GB2312"/>
          <w:bCs/>
          <w:kern w:val="0"/>
          <w:sz w:val="32"/>
          <w:szCs w:val="28"/>
        </w:rPr>
        <w:t>特别要注重对项目质量和效益的挖掘，用效果资料和数据支撑项目效益。结合项目服务对象，选择适当的方式、方法开展服务对象满意度调查及分析，充分反映项目服务对象满意度效果。</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outlineLvl w:val="0"/>
        <w:rPr>
          <w:rFonts w:hint="eastAsia" w:ascii="黑体" w:hAnsi="黑体" w:eastAsia="黑体" w:cs="黑体"/>
          <w:color w:val="auto"/>
          <w:kern w:val="0"/>
          <w:sz w:val="32"/>
          <w:szCs w:val="32"/>
        </w:rPr>
      </w:pPr>
      <w:bookmarkStart w:id="19" w:name="_Toc14713"/>
      <w:r>
        <w:rPr>
          <w:rFonts w:hint="eastAsia" w:ascii="黑体" w:hAnsi="黑体" w:eastAsia="黑体" w:cs="黑体"/>
          <w:color w:val="auto"/>
          <w:kern w:val="0"/>
          <w:sz w:val="32"/>
          <w:szCs w:val="32"/>
          <w:lang w:eastAsia="zh-CN"/>
        </w:rPr>
        <w:t>九</w:t>
      </w:r>
      <w:r>
        <w:rPr>
          <w:rFonts w:hint="eastAsia" w:ascii="黑体" w:hAnsi="黑体" w:eastAsia="黑体" w:cs="黑体"/>
          <w:color w:val="auto"/>
          <w:kern w:val="0"/>
          <w:sz w:val="32"/>
          <w:szCs w:val="32"/>
        </w:rPr>
        <w:t>、附件</w:t>
      </w:r>
      <w:bookmarkEnd w:id="19"/>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rPr>
        <w:t>202</w:t>
      </w:r>
      <w:r>
        <w:rPr>
          <w:rFonts w:hint="eastAsia" w:ascii="仿宋_GB2312" w:hAnsi="仿宋_GB2312" w:eastAsia="仿宋_GB2312" w:cs="仿宋_GB2312"/>
          <w:bCs/>
          <w:kern w:val="0"/>
          <w:sz w:val="32"/>
          <w:szCs w:val="28"/>
          <w:lang w:val="en-US" w:eastAsia="zh-CN"/>
        </w:rPr>
        <w:t>2</w:t>
      </w:r>
      <w:r>
        <w:rPr>
          <w:rFonts w:hint="eastAsia" w:ascii="仿宋_GB2312" w:hAnsi="仿宋_GB2312" w:eastAsia="仿宋_GB2312" w:cs="仿宋_GB2312"/>
          <w:bCs/>
          <w:kern w:val="0"/>
          <w:sz w:val="32"/>
          <w:szCs w:val="28"/>
        </w:rPr>
        <w:t>年部门整体绩效评价指标体系评分表</w:t>
      </w:r>
    </w:p>
    <w:p>
      <w:pPr>
        <w:rPr>
          <w:rFonts w:hint="eastAsia" w:ascii="仿宋_GB2312" w:hAnsi="仿宋_GB2312" w:eastAsia="仿宋_GB2312" w:cs="仿宋_GB2312"/>
        </w:rPr>
        <w:sectPr>
          <w:footerReference r:id="rId3" w:type="default"/>
          <w:pgSz w:w="11906" w:h="16838"/>
          <w:pgMar w:top="1440" w:right="1800" w:bottom="1440" w:left="1800" w:header="851" w:footer="992" w:gutter="0"/>
          <w:pgNumType w:fmt="decimal" w:start="1"/>
          <w:cols w:space="425" w:num="1"/>
          <w:docGrid w:type="lines" w:linePitch="312" w:charSpace="0"/>
        </w:sectPr>
      </w:pPr>
    </w:p>
    <w:p>
      <w:pPr>
        <w:rPr>
          <w:rFonts w:ascii="黑体" w:hAnsi="黑体" w:eastAsia="黑体"/>
          <w:sz w:val="32"/>
          <w:szCs w:val="32"/>
        </w:rPr>
      </w:pPr>
      <w:r>
        <w:rPr>
          <w:rFonts w:hint="eastAsia" w:ascii="黑体" w:hAnsi="黑体" w:eastAsia="黑体"/>
          <w:sz w:val="32"/>
          <w:szCs w:val="32"/>
        </w:rPr>
        <w:t>附件</w:t>
      </w:r>
    </w:p>
    <w:p>
      <w:pPr>
        <w:spacing w:line="600" w:lineRule="exact"/>
        <w:jc w:val="center"/>
        <w:rPr>
          <w:rFonts w:ascii="仿宋_GB2312" w:hAnsi="宋体" w:eastAsia="仿宋_GB2312" w:cs="宋体"/>
          <w:color w:val="000000"/>
          <w:kern w:val="0"/>
          <w:sz w:val="32"/>
          <w:szCs w:val="32"/>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2</w:t>
      </w:r>
      <w:r>
        <w:rPr>
          <w:rFonts w:hint="eastAsia" w:ascii="方正小标宋简体" w:hAnsi="黑体" w:eastAsia="方正小标宋简体" w:cs="宋体"/>
          <w:color w:val="000000"/>
          <w:kern w:val="0"/>
          <w:sz w:val="44"/>
          <w:szCs w:val="44"/>
        </w:rPr>
        <w:t>年部门整体绩效评价指标体系评分表</w:t>
      </w:r>
    </w:p>
    <w:tbl>
      <w:tblPr>
        <w:tblStyle w:val="10"/>
        <w:tblW w:w="5000" w:type="pct"/>
        <w:tblInd w:w="0" w:type="dxa"/>
        <w:tblLayout w:type="fixed"/>
        <w:tblCellMar>
          <w:top w:w="0" w:type="dxa"/>
          <w:left w:w="108" w:type="dxa"/>
          <w:bottom w:w="0" w:type="dxa"/>
          <w:right w:w="108" w:type="dxa"/>
        </w:tblCellMar>
      </w:tblPr>
      <w:tblGrid>
        <w:gridCol w:w="991"/>
        <w:gridCol w:w="1290"/>
        <w:gridCol w:w="1536"/>
        <w:gridCol w:w="1534"/>
        <w:gridCol w:w="1270"/>
        <w:gridCol w:w="712"/>
        <w:gridCol w:w="726"/>
        <w:gridCol w:w="2540"/>
        <w:gridCol w:w="3575"/>
      </w:tblGrid>
      <w:tr>
        <w:tblPrEx>
          <w:tblCellMar>
            <w:top w:w="0" w:type="dxa"/>
            <w:left w:w="108" w:type="dxa"/>
            <w:bottom w:w="0" w:type="dxa"/>
            <w:right w:w="108" w:type="dxa"/>
          </w:tblCellMar>
        </w:tblPrEx>
        <w:trPr>
          <w:trHeight w:val="617"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978" w:hRule="atLeast"/>
        </w:trPr>
        <w:tc>
          <w:tcPr>
            <w:tcW w:w="3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5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54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44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89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26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1304" w:hRule="atLeast"/>
        </w:trPr>
        <w:tc>
          <w:tcPr>
            <w:tcW w:w="35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4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15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4974.84</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4,774.76</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highlight w:val="none"/>
                <w:lang w:val="en-US" w:eastAsia="zh-CN"/>
              </w:rPr>
              <w:t>95.98%</w:t>
            </w:r>
          </w:p>
        </w:tc>
        <w:tc>
          <w:tcPr>
            <w:tcW w:w="71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72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19.20</w:t>
            </w:r>
          </w:p>
        </w:tc>
        <w:tc>
          <w:tcPr>
            <w:tcW w:w="896"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2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1304" w:hRule="atLeast"/>
        </w:trPr>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55"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15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3,351.17</w:t>
            </w:r>
          </w:p>
        </w:tc>
        <w:tc>
          <w:tcPr>
            <w:tcW w:w="1534"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3,277.96</w:t>
            </w:r>
          </w:p>
        </w:tc>
        <w:tc>
          <w:tcPr>
            <w:tcW w:w="44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6"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8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2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304" w:hRule="atLeast"/>
        </w:trPr>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55"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15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1,623.68</w:t>
            </w:r>
          </w:p>
        </w:tc>
        <w:tc>
          <w:tcPr>
            <w:tcW w:w="1534"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1,496.80</w:t>
            </w: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6"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8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2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020" w:hRule="atLeast"/>
        </w:trPr>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153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6"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8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2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bl>
    <w:p>
      <w:pPr>
        <w:spacing w:line="600" w:lineRule="exact"/>
        <w:rPr>
          <w:rFonts w:ascii="仿宋_GB2312" w:hAnsi="宋体" w:eastAsia="仿宋_GB2312" w:cs="宋体"/>
          <w:color w:val="000000"/>
          <w:kern w:val="0"/>
          <w:sz w:val="32"/>
          <w:szCs w:val="32"/>
        </w:rPr>
      </w:pP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50"/>
        <w:gridCol w:w="992"/>
        <w:gridCol w:w="2412"/>
        <w:gridCol w:w="1701"/>
        <w:gridCol w:w="709"/>
        <w:gridCol w:w="706"/>
        <w:gridCol w:w="3827"/>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blHeader/>
        </w:trPr>
        <w:tc>
          <w:tcPr>
            <w:tcW w:w="5000" w:type="pct"/>
            <w:gridSpan w:val="9"/>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二</w:t>
            </w:r>
            <w:r>
              <w:rPr>
                <w:rFonts w:cs="宋体" w:asciiTheme="minorEastAsia" w:hAnsiTheme="minorEastAsia" w:eastAsiaTheme="minorEastAsia"/>
                <w:color w:val="000000"/>
                <w:kern w:val="0"/>
                <w:sz w:val="18"/>
                <w:szCs w:val="18"/>
              </w:rPr>
              <w:t>、</w:t>
            </w:r>
            <w:r>
              <w:rPr>
                <w:rFonts w:hint="eastAsia" w:cs="宋体" w:asciiTheme="minorEastAsia" w:hAnsiTheme="minorEastAsia" w:eastAsiaTheme="minorEastAsia"/>
                <w:color w:val="000000"/>
                <w:kern w:val="0"/>
                <w:sz w:val="18"/>
                <w:szCs w:val="18"/>
              </w:rPr>
              <w:t>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288" w:type="pc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一</w:t>
            </w:r>
            <w:r>
              <w:rPr>
                <w:rFonts w:cs="宋体" w:asciiTheme="minorEastAsia" w:hAnsiTheme="minorEastAsia" w:eastAsiaTheme="minorEastAsia"/>
                <w:color w:val="000000"/>
                <w:kern w:val="0"/>
                <w:sz w:val="18"/>
                <w:szCs w:val="18"/>
              </w:rPr>
              <w:t>级指标</w:t>
            </w:r>
          </w:p>
        </w:tc>
        <w:tc>
          <w:tcPr>
            <w:tcW w:w="299" w:type="pc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二</w:t>
            </w:r>
            <w:r>
              <w:rPr>
                <w:rFonts w:cs="宋体" w:asciiTheme="minorEastAsia" w:hAnsiTheme="minorEastAsia" w:eastAsiaTheme="minorEastAsia"/>
                <w:color w:val="000000"/>
                <w:kern w:val="0"/>
                <w:sz w:val="18"/>
                <w:szCs w:val="18"/>
              </w:rPr>
              <w:t>级</w:t>
            </w:r>
          </w:p>
          <w:p>
            <w:pPr>
              <w:widowControl/>
              <w:jc w:val="center"/>
              <w:rPr>
                <w:rFonts w:cs="宋体" w:asciiTheme="minorEastAsia" w:hAnsiTheme="minorEastAsia" w:eastAsiaTheme="minorEastAsia"/>
                <w:color w:val="000000"/>
                <w:kern w:val="0"/>
                <w:sz w:val="18"/>
                <w:szCs w:val="18"/>
              </w:rPr>
            </w:pPr>
            <w:r>
              <w:rPr>
                <w:rFonts w:cs="宋体" w:asciiTheme="minorEastAsia" w:hAnsiTheme="minorEastAsia" w:eastAsiaTheme="minorEastAsia"/>
                <w:color w:val="000000"/>
                <w:kern w:val="0"/>
                <w:sz w:val="18"/>
                <w:szCs w:val="18"/>
              </w:rPr>
              <w:t>指标</w:t>
            </w:r>
            <w:r>
              <w:rPr>
                <w:rFonts w:hint="eastAsia" w:cs="宋体" w:asciiTheme="minorEastAsia" w:hAnsiTheme="minorEastAsia" w:eastAsiaTheme="minorEastAsia"/>
                <w:color w:val="000000"/>
                <w:kern w:val="0"/>
                <w:sz w:val="18"/>
                <w:szCs w:val="18"/>
              </w:rPr>
              <w:t>　</w:t>
            </w:r>
          </w:p>
        </w:tc>
        <w:tc>
          <w:tcPr>
            <w:tcW w:w="349" w:type="pc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三</w:t>
            </w:r>
            <w:r>
              <w:rPr>
                <w:rFonts w:cs="宋体" w:asciiTheme="minorEastAsia" w:hAnsiTheme="minorEastAsia" w:eastAsiaTheme="minorEastAsia"/>
                <w:color w:val="000000"/>
                <w:kern w:val="0"/>
                <w:sz w:val="18"/>
                <w:szCs w:val="18"/>
              </w:rPr>
              <w:t>级指标</w:t>
            </w:r>
            <w:r>
              <w:rPr>
                <w:rFonts w:hint="eastAsia" w:cs="宋体" w:asciiTheme="minorEastAsia" w:hAnsiTheme="minorEastAsia" w:eastAsiaTheme="minorEastAsia"/>
                <w:color w:val="000000"/>
                <w:kern w:val="0"/>
                <w:sz w:val="18"/>
                <w:szCs w:val="18"/>
              </w:rPr>
              <w:t>　</w:t>
            </w:r>
          </w:p>
        </w:tc>
        <w:tc>
          <w:tcPr>
            <w:tcW w:w="850" w:type="pc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指标值</w:t>
            </w:r>
          </w:p>
        </w:tc>
        <w:tc>
          <w:tcPr>
            <w:tcW w:w="600" w:type="pc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完成值</w:t>
            </w:r>
          </w:p>
        </w:tc>
        <w:tc>
          <w:tcPr>
            <w:tcW w:w="250" w:type="pc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分值</w:t>
            </w:r>
          </w:p>
        </w:tc>
        <w:tc>
          <w:tcPr>
            <w:tcW w:w="249" w:type="pc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得分</w:t>
            </w:r>
          </w:p>
        </w:tc>
        <w:tc>
          <w:tcPr>
            <w:tcW w:w="1350" w:type="pct"/>
            <w:vAlign w:val="center"/>
          </w:tcPr>
          <w:p>
            <w:pPr>
              <w:widowControl/>
              <w:jc w:val="center"/>
              <w:rPr>
                <w:rFonts w:cs="宋体" w:asciiTheme="minorEastAsia" w:hAnsiTheme="minorEastAsia" w:eastAsiaTheme="minorEastAsia"/>
                <w:bCs/>
                <w:color w:val="000000"/>
                <w:kern w:val="0"/>
                <w:sz w:val="18"/>
                <w:szCs w:val="18"/>
              </w:rPr>
            </w:pPr>
            <w:r>
              <w:rPr>
                <w:rFonts w:hint="eastAsia" w:cs="宋体" w:asciiTheme="minorEastAsia" w:hAnsiTheme="minorEastAsia" w:eastAsiaTheme="minorEastAsia"/>
                <w:bCs/>
                <w:color w:val="000000"/>
                <w:kern w:val="0"/>
                <w:sz w:val="18"/>
                <w:szCs w:val="18"/>
              </w:rPr>
              <w:t>指标</w:t>
            </w:r>
            <w:r>
              <w:rPr>
                <w:rFonts w:cs="宋体" w:asciiTheme="minorEastAsia" w:hAnsiTheme="minorEastAsia" w:eastAsiaTheme="minorEastAsia"/>
                <w:bCs/>
                <w:color w:val="000000"/>
                <w:kern w:val="0"/>
                <w:sz w:val="18"/>
                <w:szCs w:val="18"/>
              </w:rPr>
              <w:t>解释</w:t>
            </w:r>
          </w:p>
        </w:tc>
        <w:tc>
          <w:tcPr>
            <w:tcW w:w="761" w:type="pc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评</w:t>
            </w:r>
            <w:r>
              <w:rPr>
                <w:rFonts w:cs="宋体" w:asciiTheme="minorEastAsia" w:hAnsiTheme="minorEastAsia" w:eastAsiaTheme="minorEastAsia"/>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restar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整体绩效目标实现情况（60）</w:t>
            </w:r>
          </w:p>
        </w:tc>
        <w:tc>
          <w:tcPr>
            <w:tcW w:w="299" w:type="pct"/>
            <w:vMerge w:val="restart"/>
            <w:vAlign w:val="center"/>
          </w:tcPr>
          <w:p>
            <w:pPr>
              <w:widowControl/>
              <w:jc w:val="center"/>
              <w:rPr>
                <w:rFonts w:cs="宋体" w:asciiTheme="minorEastAsia" w:hAnsiTheme="minorEastAsia" w:eastAsiaTheme="minorEastAsia"/>
                <w:color w:val="000000"/>
                <w:kern w:val="0"/>
                <w:sz w:val="18"/>
                <w:szCs w:val="18"/>
              </w:rPr>
            </w:pPr>
          </w:p>
          <w:p>
            <w:pPr>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产出（30）</w:t>
            </w:r>
          </w:p>
        </w:tc>
        <w:tc>
          <w:tcPr>
            <w:tcW w:w="349" w:type="pct"/>
            <w:vMerge w:val="restart"/>
            <w:shd w:val="clear" w:color="auto" w:fill="auto"/>
            <w:vAlign w:val="center"/>
          </w:tcPr>
          <w:p>
            <w:pPr>
              <w:rPr>
                <w:rFonts w:asciiTheme="minorEastAsia" w:hAnsiTheme="minorEastAsia" w:eastAsiaTheme="minorEastAsia"/>
                <w:color w:val="000000"/>
                <w:sz w:val="18"/>
                <w:szCs w:val="18"/>
              </w:rPr>
            </w:pPr>
          </w:p>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数量指标</w:t>
            </w:r>
          </w:p>
        </w:tc>
        <w:tc>
          <w:tcPr>
            <w:tcW w:w="850" w:type="pct"/>
            <w:shd w:val="clear" w:color="auto" w:fill="auto"/>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完成</w:t>
            </w:r>
            <w:r>
              <w:rPr>
                <w:rFonts w:hint="eastAsia" w:asciiTheme="minorEastAsia" w:hAnsiTheme="minorEastAsia" w:eastAsiaTheme="minorEastAsia"/>
                <w:color w:val="000000"/>
                <w:sz w:val="18"/>
                <w:szCs w:val="18"/>
                <w:lang w:val="en-US" w:eastAsia="zh-CN"/>
              </w:rPr>
              <w:t>制度建设、培训工作应</w:t>
            </w:r>
            <w:r>
              <w:rPr>
                <w:rFonts w:hint="eastAsia" w:asciiTheme="minorEastAsia" w:hAnsiTheme="minorEastAsia" w:eastAsiaTheme="minorEastAsia"/>
                <w:color w:val="000000"/>
                <w:sz w:val="18"/>
                <w:szCs w:val="18"/>
              </w:rPr>
              <w:t>达到</w:t>
            </w:r>
            <w:r>
              <w:rPr>
                <w:rFonts w:hint="eastAsia" w:asciiTheme="minorEastAsia" w:hAnsiTheme="minorEastAsia" w:eastAsiaTheme="minorEastAsia"/>
                <w:color w:val="000000"/>
                <w:sz w:val="18"/>
                <w:szCs w:val="18"/>
                <w:lang w:val="en-US" w:eastAsia="zh-CN"/>
              </w:rPr>
              <w:t>的</w:t>
            </w:r>
            <w:r>
              <w:rPr>
                <w:rFonts w:hint="eastAsia" w:asciiTheme="minorEastAsia" w:hAnsiTheme="minorEastAsia" w:eastAsiaTheme="minorEastAsia"/>
                <w:color w:val="000000"/>
                <w:sz w:val="18"/>
                <w:szCs w:val="18"/>
              </w:rPr>
              <w:t>管理规范性数量指标</w:t>
            </w:r>
          </w:p>
        </w:tc>
        <w:tc>
          <w:tcPr>
            <w:tcW w:w="600" w:type="pct"/>
            <w:shd w:val="clear" w:color="auto" w:fill="auto"/>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部门产出数量与绩效目标相符</w:t>
            </w:r>
          </w:p>
        </w:tc>
        <w:tc>
          <w:tcPr>
            <w:tcW w:w="250" w:type="pct"/>
            <w:vMerge w:val="restart"/>
            <w:vAlign w:val="center"/>
          </w:tcPr>
          <w:p>
            <w:pPr>
              <w:jc w:val="center"/>
              <w:rPr>
                <w:rFonts w:hint="default" w:cs="宋体" w:asciiTheme="minorEastAsia" w:hAnsiTheme="minorEastAsia" w:eastAsiaTheme="minorEastAsia"/>
                <w:color w:val="000000"/>
                <w:sz w:val="18"/>
                <w:szCs w:val="18"/>
                <w:lang w:val="en-US" w:eastAsia="zh-CN"/>
              </w:rPr>
            </w:pPr>
            <w:r>
              <w:rPr>
                <w:rFonts w:hint="eastAsia" w:cs="宋体" w:asciiTheme="minorEastAsia" w:hAnsiTheme="minorEastAsia" w:eastAsiaTheme="minorEastAsia"/>
                <w:color w:val="000000"/>
                <w:sz w:val="18"/>
                <w:szCs w:val="18"/>
                <w:lang w:val="en-US" w:eastAsia="zh-CN"/>
              </w:rPr>
              <w:t>10</w:t>
            </w:r>
          </w:p>
        </w:tc>
        <w:tc>
          <w:tcPr>
            <w:tcW w:w="249" w:type="pct"/>
            <w:vMerge w:val="restart"/>
            <w:vAlign w:val="center"/>
          </w:tcPr>
          <w:p>
            <w:pPr>
              <w:jc w:val="center"/>
              <w:rPr>
                <w:rFonts w:hint="eastAsia" w:cs="宋体" w:asciiTheme="minorEastAsia" w:hAnsiTheme="minorEastAsia" w:eastAsiaTheme="minorEastAsia"/>
                <w:color w:val="000000"/>
                <w:sz w:val="18"/>
                <w:szCs w:val="18"/>
                <w:lang w:eastAsia="zh-CN"/>
              </w:rPr>
            </w:pPr>
            <w:r>
              <w:rPr>
                <w:rFonts w:hint="eastAsia" w:cs="宋体" w:asciiTheme="minorEastAsia" w:hAnsiTheme="minorEastAsia" w:eastAsiaTheme="minorEastAsia"/>
                <w:color w:val="000000"/>
                <w:sz w:val="18"/>
                <w:szCs w:val="18"/>
                <w:lang w:val="en-US" w:eastAsia="zh-CN"/>
              </w:rPr>
              <w:t>8</w:t>
            </w:r>
          </w:p>
        </w:tc>
        <w:tc>
          <w:tcPr>
            <w:tcW w:w="1350" w:type="pct"/>
            <w:vMerge w:val="restar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b/>
                <w:bCs/>
                <w:color w:val="000000"/>
                <w:kern w:val="0"/>
                <w:sz w:val="18"/>
                <w:szCs w:val="18"/>
              </w:rPr>
              <w:t>产出数量</w:t>
            </w:r>
            <w:r>
              <w:rPr>
                <w:rFonts w:hint="eastAsia" w:cs="宋体" w:asciiTheme="minorEastAsia" w:hAnsiTheme="minorEastAsia" w:eastAsiaTheme="minor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cs="宋体" w:asciiTheme="minorEastAsia" w:hAnsiTheme="minorEastAsia" w:eastAsiaTheme="minorEastAsia"/>
                <w:b/>
                <w:bCs/>
                <w:color w:val="000000"/>
                <w:kern w:val="0"/>
                <w:sz w:val="18"/>
                <w:szCs w:val="18"/>
              </w:rPr>
              <w:t>产出质量</w:t>
            </w:r>
            <w:r>
              <w:rPr>
                <w:rFonts w:hint="eastAsia" w:cs="宋体" w:asciiTheme="minorEastAsia" w:hAnsiTheme="minorEastAsia" w:eastAsiaTheme="minor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cs="宋体" w:asciiTheme="minorEastAsia" w:hAnsiTheme="minorEastAsia" w:eastAsiaTheme="minorEastAsia"/>
                <w:b/>
                <w:bCs/>
                <w:color w:val="000000"/>
                <w:kern w:val="0"/>
                <w:sz w:val="18"/>
                <w:szCs w:val="18"/>
              </w:rPr>
              <w:t>产出进度：</w:t>
            </w:r>
            <w:r>
              <w:rPr>
                <w:rFonts w:hint="eastAsia" w:cs="宋体" w:asciiTheme="minorEastAsia" w:hAnsiTheme="minorEastAsia" w:eastAsiaTheme="minorEastAsia"/>
                <w:color w:val="000000"/>
                <w:kern w:val="0"/>
                <w:sz w:val="18"/>
                <w:szCs w:val="18"/>
              </w:rPr>
              <w:t>按时完成率=（按时完成工作数/实际完成工作数）×100%。按时完成工作数：部门（单位）按照整体绩效目标确定的时限实际完成的工作任务数量。</w:t>
            </w:r>
            <w:r>
              <w:rPr>
                <w:rFonts w:hint="eastAsia" w:cs="宋体" w:asciiTheme="minorEastAsia" w:hAnsiTheme="minorEastAsia" w:eastAsiaTheme="minorEastAsia"/>
                <w:b/>
                <w:bCs/>
                <w:color w:val="000000"/>
                <w:kern w:val="0"/>
                <w:sz w:val="18"/>
                <w:szCs w:val="18"/>
              </w:rPr>
              <w:t>产出成本</w:t>
            </w:r>
            <w:r>
              <w:rPr>
                <w:rFonts w:hint="eastAsia" w:cs="宋体" w:asciiTheme="minorEastAsia" w:hAnsiTheme="minorEastAsia" w:eastAsiaTheme="minorEastAsia"/>
                <w:color w:val="000000"/>
                <w:kern w:val="0"/>
                <w:sz w:val="18"/>
                <w:szCs w:val="18"/>
              </w:rPr>
              <w:t>：单位产出相对于上一年度的节约额；②单位产出相对于市场同类产出的节约额；③部门公用经费的控制情况。</w:t>
            </w:r>
          </w:p>
        </w:tc>
        <w:tc>
          <w:tcPr>
            <w:tcW w:w="761" w:type="pct"/>
            <w:vMerge w:val="restar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349" w:type="pct"/>
            <w:vMerge w:val="continue"/>
            <w:shd w:val="clear" w:color="auto" w:fill="auto"/>
            <w:vAlign w:val="center"/>
          </w:tcPr>
          <w:p>
            <w:pPr>
              <w:rPr>
                <w:rFonts w:asciiTheme="minorEastAsia" w:hAnsiTheme="minorEastAsia" w:eastAsiaTheme="minorEastAsia"/>
                <w:color w:val="000000"/>
                <w:sz w:val="18"/>
                <w:szCs w:val="18"/>
              </w:rPr>
            </w:pPr>
          </w:p>
        </w:tc>
        <w:tc>
          <w:tcPr>
            <w:tcW w:w="850" w:type="pct"/>
            <w:shd w:val="clear" w:color="auto" w:fill="auto"/>
            <w:vAlign w:val="center"/>
          </w:tcPr>
          <w:p>
            <w:pP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完成</w:t>
            </w:r>
            <w:r>
              <w:rPr>
                <w:rFonts w:hint="eastAsia" w:asciiTheme="minorEastAsia" w:hAnsiTheme="minorEastAsia" w:eastAsiaTheme="minorEastAsia"/>
                <w:color w:val="000000"/>
                <w:sz w:val="18"/>
                <w:szCs w:val="18"/>
                <w:lang w:val="en-US" w:eastAsia="zh-CN"/>
              </w:rPr>
              <w:t>调研报告、重点研究成果著作出版等</w:t>
            </w:r>
            <w:r>
              <w:rPr>
                <w:rFonts w:hint="eastAsia" w:asciiTheme="minorEastAsia" w:hAnsiTheme="minorEastAsia" w:eastAsiaTheme="minorEastAsia"/>
                <w:color w:val="000000"/>
                <w:sz w:val="18"/>
                <w:szCs w:val="18"/>
              </w:rPr>
              <w:t>成果产出数量指标</w:t>
            </w:r>
          </w:p>
        </w:tc>
        <w:tc>
          <w:tcPr>
            <w:tcW w:w="600" w:type="pct"/>
            <w:shd w:val="clear" w:color="auto" w:fill="auto"/>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部门产出数量与绩效目标相符</w:t>
            </w:r>
          </w:p>
        </w:tc>
        <w:tc>
          <w:tcPr>
            <w:tcW w:w="250" w:type="pct"/>
            <w:vMerge w:val="continue"/>
            <w:vAlign w:val="center"/>
          </w:tcPr>
          <w:p>
            <w:pPr>
              <w:jc w:val="center"/>
              <w:rPr>
                <w:rFonts w:cs="宋体" w:asciiTheme="minorEastAsia" w:hAnsiTheme="minorEastAsia" w:eastAsiaTheme="minorEastAsia"/>
                <w:color w:val="000000"/>
                <w:sz w:val="18"/>
                <w:szCs w:val="18"/>
              </w:rPr>
            </w:pPr>
          </w:p>
        </w:tc>
        <w:tc>
          <w:tcPr>
            <w:tcW w:w="249" w:type="pct"/>
            <w:vMerge w:val="continue"/>
            <w:noWrap/>
            <w:vAlign w:val="center"/>
          </w:tcPr>
          <w:p>
            <w:pPr>
              <w:jc w:val="center"/>
              <w:rPr>
                <w:rFonts w:cs="宋体" w:asciiTheme="minorEastAsia" w:hAnsiTheme="minorEastAsia" w:eastAsiaTheme="minorEastAsia"/>
                <w:color w:val="000000"/>
                <w:sz w:val="18"/>
                <w:szCs w:val="18"/>
              </w:rPr>
            </w:pPr>
          </w:p>
        </w:tc>
        <w:tc>
          <w:tcPr>
            <w:tcW w:w="1350"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761" w:type="pct"/>
            <w:vMerge w:val="continue"/>
            <w:vAlign w:val="center"/>
          </w:tcPr>
          <w:p>
            <w:pPr>
              <w:widowControl/>
              <w:jc w:val="left"/>
              <w:rPr>
                <w:rFonts w:cs="宋体" w:asciiTheme="minorEastAsia" w:hAnsiTheme="minorEastAsia" w:eastAsia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349" w:type="pct"/>
            <w:vMerge w:val="continue"/>
            <w:shd w:val="clear" w:color="auto" w:fill="auto"/>
            <w:vAlign w:val="center"/>
          </w:tcPr>
          <w:p>
            <w:pPr>
              <w:rPr>
                <w:rFonts w:asciiTheme="minorEastAsia" w:hAnsiTheme="minorEastAsia" w:eastAsiaTheme="minorEastAsia"/>
                <w:color w:val="000000"/>
                <w:sz w:val="18"/>
                <w:szCs w:val="18"/>
              </w:rPr>
            </w:pPr>
          </w:p>
        </w:tc>
        <w:tc>
          <w:tcPr>
            <w:tcW w:w="850" w:type="pct"/>
            <w:shd w:val="clear" w:color="auto" w:fill="auto"/>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完成</w:t>
            </w:r>
            <w:r>
              <w:rPr>
                <w:rFonts w:hint="eastAsia" w:asciiTheme="minorEastAsia" w:hAnsiTheme="minorEastAsia" w:eastAsiaTheme="minorEastAsia"/>
                <w:color w:val="000000"/>
                <w:sz w:val="18"/>
                <w:szCs w:val="18"/>
                <w:lang w:val="en-US" w:eastAsia="zh-CN"/>
              </w:rPr>
              <w:t>举办重要学术交流会议、农研智库大讲堂活动等</w:t>
            </w:r>
            <w:r>
              <w:rPr>
                <w:rFonts w:hint="eastAsia" w:asciiTheme="minorEastAsia" w:hAnsiTheme="minorEastAsia" w:eastAsiaTheme="minorEastAsia"/>
                <w:color w:val="000000"/>
                <w:sz w:val="18"/>
                <w:szCs w:val="18"/>
              </w:rPr>
              <w:t>数量指标</w:t>
            </w:r>
          </w:p>
        </w:tc>
        <w:tc>
          <w:tcPr>
            <w:tcW w:w="600" w:type="pct"/>
            <w:shd w:val="clear" w:color="auto" w:fill="auto"/>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部门产出数量与绩效目标相符</w:t>
            </w:r>
          </w:p>
        </w:tc>
        <w:tc>
          <w:tcPr>
            <w:tcW w:w="250" w:type="pct"/>
            <w:vMerge w:val="continue"/>
            <w:vAlign w:val="center"/>
          </w:tcPr>
          <w:p>
            <w:pPr>
              <w:jc w:val="center"/>
              <w:rPr>
                <w:rFonts w:cs="宋体" w:asciiTheme="minorEastAsia" w:hAnsiTheme="minorEastAsia" w:eastAsiaTheme="minorEastAsia"/>
                <w:color w:val="000000"/>
                <w:sz w:val="18"/>
                <w:szCs w:val="18"/>
              </w:rPr>
            </w:pPr>
          </w:p>
        </w:tc>
        <w:tc>
          <w:tcPr>
            <w:tcW w:w="249" w:type="pct"/>
            <w:vMerge w:val="continue"/>
            <w:noWrap/>
            <w:vAlign w:val="center"/>
          </w:tcPr>
          <w:p>
            <w:pPr>
              <w:jc w:val="center"/>
              <w:rPr>
                <w:rFonts w:cs="宋体" w:asciiTheme="minorEastAsia" w:hAnsiTheme="minorEastAsia" w:eastAsiaTheme="minorEastAsia"/>
                <w:color w:val="000000"/>
                <w:sz w:val="18"/>
                <w:szCs w:val="18"/>
              </w:rPr>
            </w:pPr>
          </w:p>
        </w:tc>
        <w:tc>
          <w:tcPr>
            <w:tcW w:w="1350"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761" w:type="pct"/>
            <w:vMerge w:val="continue"/>
            <w:vAlign w:val="center"/>
          </w:tcPr>
          <w:p>
            <w:pPr>
              <w:widowControl/>
              <w:jc w:val="left"/>
              <w:rPr>
                <w:rFonts w:cs="宋体" w:asciiTheme="minorEastAsia" w:hAnsiTheme="minorEastAsia" w:eastAsia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349" w:type="pct"/>
            <w:vMerge w:val="continue"/>
            <w:shd w:val="clear" w:color="auto" w:fill="auto"/>
            <w:vAlign w:val="center"/>
          </w:tcPr>
          <w:p>
            <w:pPr>
              <w:rPr>
                <w:rFonts w:asciiTheme="minorEastAsia" w:hAnsiTheme="minorEastAsia" w:eastAsiaTheme="minorEastAsia"/>
                <w:color w:val="000000"/>
                <w:sz w:val="18"/>
                <w:szCs w:val="18"/>
              </w:rPr>
            </w:pPr>
          </w:p>
        </w:tc>
        <w:tc>
          <w:tcPr>
            <w:tcW w:w="850" w:type="pct"/>
            <w:shd w:val="clear" w:color="auto" w:fill="auto"/>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完成</w:t>
            </w:r>
            <w:r>
              <w:rPr>
                <w:rFonts w:hint="eastAsia" w:asciiTheme="minorEastAsia" w:hAnsiTheme="minorEastAsia" w:eastAsiaTheme="minorEastAsia"/>
                <w:color w:val="000000"/>
                <w:sz w:val="18"/>
                <w:szCs w:val="18"/>
                <w:lang w:eastAsia="zh-CN"/>
              </w:rPr>
              <w:t>公开</w:t>
            </w:r>
            <w:r>
              <w:rPr>
                <w:rFonts w:hint="eastAsia" w:asciiTheme="minorEastAsia" w:hAnsiTheme="minorEastAsia" w:eastAsiaTheme="minorEastAsia"/>
                <w:color w:val="000000"/>
                <w:sz w:val="18"/>
                <w:szCs w:val="18"/>
                <w:lang w:val="en-US" w:eastAsia="zh-CN"/>
              </w:rPr>
              <w:t>发表研究成果、日报、杂志、调查研究报告内刊等</w:t>
            </w:r>
            <w:r>
              <w:rPr>
                <w:rFonts w:asciiTheme="minorEastAsia" w:hAnsiTheme="minorEastAsia" w:eastAsiaTheme="minorEastAsia"/>
                <w:color w:val="000000"/>
                <w:sz w:val="18"/>
                <w:szCs w:val="18"/>
              </w:rPr>
              <w:t>成果推广与智力服务</w:t>
            </w:r>
            <w:r>
              <w:rPr>
                <w:rFonts w:hint="eastAsia" w:asciiTheme="minorEastAsia" w:hAnsiTheme="minorEastAsia" w:eastAsiaTheme="minorEastAsia"/>
                <w:color w:val="000000"/>
                <w:sz w:val="18"/>
                <w:szCs w:val="18"/>
              </w:rPr>
              <w:t>数量指标</w:t>
            </w:r>
          </w:p>
        </w:tc>
        <w:tc>
          <w:tcPr>
            <w:tcW w:w="600" w:type="pct"/>
            <w:shd w:val="clear" w:color="auto" w:fill="auto"/>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部门产出数量与绩效目标相符</w:t>
            </w:r>
          </w:p>
        </w:tc>
        <w:tc>
          <w:tcPr>
            <w:tcW w:w="250" w:type="pct"/>
            <w:vMerge w:val="continue"/>
            <w:vAlign w:val="center"/>
          </w:tcPr>
          <w:p>
            <w:pPr>
              <w:jc w:val="center"/>
              <w:rPr>
                <w:rFonts w:cs="宋体" w:asciiTheme="minorEastAsia" w:hAnsiTheme="minorEastAsia" w:eastAsiaTheme="minorEastAsia"/>
                <w:color w:val="000000"/>
                <w:sz w:val="18"/>
                <w:szCs w:val="18"/>
              </w:rPr>
            </w:pPr>
          </w:p>
        </w:tc>
        <w:tc>
          <w:tcPr>
            <w:tcW w:w="249" w:type="pct"/>
            <w:vMerge w:val="continue"/>
            <w:noWrap/>
            <w:vAlign w:val="center"/>
          </w:tcPr>
          <w:p>
            <w:pPr>
              <w:jc w:val="center"/>
              <w:rPr>
                <w:rFonts w:cs="宋体" w:asciiTheme="minorEastAsia" w:hAnsiTheme="minorEastAsia" w:eastAsiaTheme="minorEastAsia"/>
                <w:color w:val="000000"/>
                <w:sz w:val="18"/>
                <w:szCs w:val="18"/>
              </w:rPr>
            </w:pPr>
          </w:p>
        </w:tc>
        <w:tc>
          <w:tcPr>
            <w:tcW w:w="1350"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761" w:type="pct"/>
            <w:vMerge w:val="continue"/>
            <w:vAlign w:val="center"/>
          </w:tcPr>
          <w:p>
            <w:pPr>
              <w:widowControl/>
              <w:jc w:val="left"/>
              <w:rPr>
                <w:rFonts w:cs="宋体" w:asciiTheme="minorEastAsia" w:hAnsiTheme="minorEastAsia" w:eastAsia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349" w:type="pct"/>
            <w:vMerge w:val="restart"/>
            <w:shd w:val="clear" w:color="auto" w:fill="auto"/>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质量指标</w:t>
            </w:r>
          </w:p>
        </w:tc>
        <w:tc>
          <w:tcPr>
            <w:tcW w:w="850" w:type="pct"/>
            <w:tcBorders>
              <w:bottom w:val="single" w:color="auto" w:sz="4" w:space="0"/>
            </w:tcBorders>
            <w:shd w:val="clear" w:color="auto" w:fill="auto"/>
            <w:vAlign w:val="center"/>
          </w:tcPr>
          <w:p>
            <w:pPr>
              <w:rPr>
                <w:rFonts w:hint="default" w:asciiTheme="minorEastAsia" w:hAnsiTheme="minorEastAsia" w:eastAsiaTheme="minorEastAsia"/>
                <w:color w:val="000000"/>
                <w:sz w:val="18"/>
                <w:szCs w:val="18"/>
                <w:lang w:val="en-US" w:eastAsia="zh-CN"/>
              </w:rPr>
            </w:pPr>
            <w:r>
              <w:rPr>
                <w:rFonts w:hint="eastAsia" w:asciiTheme="minorEastAsia" w:hAnsiTheme="minorEastAsia" w:eastAsiaTheme="minorEastAsia"/>
                <w:color w:val="000000"/>
                <w:sz w:val="18"/>
                <w:szCs w:val="18"/>
              </w:rPr>
              <w:t>课题研究成果质量</w:t>
            </w:r>
            <w:r>
              <w:rPr>
                <w:rFonts w:hint="eastAsia" w:asciiTheme="minorEastAsia" w:hAnsiTheme="minorEastAsia" w:eastAsiaTheme="minorEastAsia"/>
                <w:color w:val="000000"/>
                <w:sz w:val="18"/>
                <w:szCs w:val="18"/>
                <w:lang w:val="en-US" w:eastAsia="zh-CN"/>
              </w:rPr>
              <w:t>符合要求</w:t>
            </w:r>
          </w:p>
        </w:tc>
        <w:tc>
          <w:tcPr>
            <w:tcW w:w="600" w:type="pct"/>
            <w:vMerge w:val="restart"/>
            <w:shd w:val="clear" w:color="auto" w:fill="auto"/>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部门产出质量提升及达到标准，支撑材料待进一步收集整理</w:t>
            </w:r>
          </w:p>
        </w:tc>
        <w:tc>
          <w:tcPr>
            <w:tcW w:w="250" w:type="pct"/>
            <w:vMerge w:val="restart"/>
            <w:vAlign w:val="center"/>
          </w:tcPr>
          <w:p>
            <w:pPr>
              <w:jc w:val="center"/>
              <w:rPr>
                <w:rFonts w:hint="default" w:cs="宋体" w:asciiTheme="minorEastAsia" w:hAnsiTheme="minorEastAsia" w:eastAsiaTheme="minorEastAsia"/>
                <w:color w:val="000000"/>
                <w:sz w:val="18"/>
                <w:szCs w:val="18"/>
                <w:lang w:val="en-US" w:eastAsia="zh-CN"/>
              </w:rPr>
            </w:pPr>
            <w:r>
              <w:rPr>
                <w:rFonts w:hint="eastAsia" w:cs="宋体" w:asciiTheme="minorEastAsia" w:hAnsiTheme="minorEastAsia" w:eastAsiaTheme="minorEastAsia"/>
                <w:color w:val="000000"/>
                <w:sz w:val="18"/>
                <w:szCs w:val="18"/>
                <w:lang w:val="en-US" w:eastAsia="zh-CN"/>
              </w:rPr>
              <w:t>10</w:t>
            </w:r>
          </w:p>
        </w:tc>
        <w:tc>
          <w:tcPr>
            <w:tcW w:w="249" w:type="pct"/>
            <w:vMerge w:val="restart"/>
            <w:noWrap/>
            <w:vAlign w:val="center"/>
          </w:tcPr>
          <w:p>
            <w:pPr>
              <w:jc w:val="center"/>
              <w:rPr>
                <w:rFonts w:hint="eastAsia" w:cs="宋体" w:asciiTheme="minorEastAsia" w:hAnsiTheme="minorEastAsia" w:eastAsiaTheme="minorEastAsia"/>
                <w:color w:val="000000"/>
                <w:sz w:val="18"/>
                <w:szCs w:val="18"/>
                <w:lang w:eastAsia="zh-CN"/>
              </w:rPr>
            </w:pPr>
            <w:r>
              <w:rPr>
                <w:rFonts w:hint="eastAsia" w:cs="宋体" w:asciiTheme="minorEastAsia" w:hAnsiTheme="minorEastAsia" w:eastAsiaTheme="minorEastAsia"/>
                <w:color w:val="000000"/>
                <w:sz w:val="18"/>
                <w:szCs w:val="18"/>
                <w:lang w:val="en-US" w:eastAsia="zh-CN"/>
              </w:rPr>
              <w:t>8</w:t>
            </w:r>
          </w:p>
        </w:tc>
        <w:tc>
          <w:tcPr>
            <w:tcW w:w="1350"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761" w:type="pct"/>
            <w:vMerge w:val="continue"/>
            <w:vAlign w:val="center"/>
          </w:tcPr>
          <w:p>
            <w:pPr>
              <w:widowControl/>
              <w:jc w:val="left"/>
              <w:rPr>
                <w:rFonts w:cs="宋体" w:asciiTheme="minorEastAsia" w:hAnsiTheme="minorEastAsia" w:eastAsia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jc w:val="left"/>
            </w:pPr>
          </w:p>
        </w:tc>
        <w:tc>
          <w:tcPr>
            <w:tcW w:w="299" w:type="pct"/>
            <w:vMerge w:val="continue"/>
            <w:vAlign w:val="center"/>
          </w:tcPr>
          <w:p>
            <w:pPr>
              <w:jc w:val="left"/>
            </w:pPr>
          </w:p>
        </w:tc>
        <w:tc>
          <w:tcPr>
            <w:tcW w:w="349" w:type="pct"/>
            <w:vMerge w:val="continue"/>
            <w:shd w:val="clear" w:color="auto" w:fill="auto"/>
            <w:vAlign w:val="center"/>
          </w:tcPr>
          <w:p>
            <w:pPr>
              <w:jc w:val="left"/>
            </w:pPr>
          </w:p>
        </w:tc>
        <w:tc>
          <w:tcPr>
            <w:tcW w:w="850" w:type="pct"/>
            <w:tcBorders>
              <w:bottom w:val="single" w:color="auto" w:sz="4" w:space="0"/>
            </w:tcBorders>
            <w:shd w:val="clear" w:color="auto" w:fill="auto"/>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总体项目质量</w:t>
            </w:r>
          </w:p>
        </w:tc>
        <w:tc>
          <w:tcPr>
            <w:tcW w:w="600" w:type="pct"/>
            <w:vMerge w:val="continue"/>
            <w:shd w:val="clear" w:color="auto" w:fill="auto"/>
            <w:vAlign w:val="center"/>
          </w:tcPr>
          <w:p>
            <w:pPr>
              <w:rPr>
                <w:rFonts w:asciiTheme="minorEastAsia" w:hAnsiTheme="minorEastAsia" w:eastAsiaTheme="minorEastAsia"/>
                <w:color w:val="000000"/>
                <w:sz w:val="18"/>
                <w:szCs w:val="18"/>
              </w:rPr>
            </w:pPr>
          </w:p>
        </w:tc>
        <w:tc>
          <w:tcPr>
            <w:tcW w:w="250" w:type="pct"/>
            <w:vMerge w:val="continue"/>
            <w:vAlign w:val="center"/>
          </w:tcPr>
          <w:p>
            <w:pPr>
              <w:jc w:val="left"/>
              <w:rPr>
                <w:rFonts w:asciiTheme="minorEastAsia" w:hAnsiTheme="minorEastAsia" w:eastAsiaTheme="minorEastAsia"/>
                <w:color w:val="000000"/>
                <w:sz w:val="18"/>
                <w:szCs w:val="18"/>
              </w:rPr>
            </w:pPr>
          </w:p>
        </w:tc>
        <w:tc>
          <w:tcPr>
            <w:tcW w:w="249" w:type="pct"/>
            <w:vMerge w:val="continue"/>
            <w:noWrap/>
            <w:vAlign w:val="center"/>
          </w:tcPr>
          <w:p>
            <w:pPr>
              <w:jc w:val="left"/>
              <w:rPr>
                <w:rFonts w:asciiTheme="minorEastAsia" w:hAnsiTheme="minorEastAsia" w:eastAsiaTheme="minorEastAsia"/>
                <w:color w:val="000000"/>
                <w:sz w:val="18"/>
                <w:szCs w:val="18"/>
              </w:rPr>
            </w:pPr>
          </w:p>
        </w:tc>
        <w:tc>
          <w:tcPr>
            <w:tcW w:w="1350" w:type="pct"/>
            <w:vMerge w:val="continue"/>
            <w:vAlign w:val="center"/>
          </w:tcPr>
          <w:p>
            <w:pPr>
              <w:jc w:val="left"/>
              <w:rPr>
                <w:rFonts w:asciiTheme="minorEastAsia" w:hAnsiTheme="minorEastAsia" w:eastAsiaTheme="minorEastAsia"/>
                <w:color w:val="000000"/>
                <w:sz w:val="18"/>
                <w:szCs w:val="18"/>
              </w:rPr>
            </w:pPr>
          </w:p>
        </w:tc>
        <w:tc>
          <w:tcPr>
            <w:tcW w:w="761" w:type="pct"/>
            <w:vMerge w:val="continue"/>
            <w:vAlign w:val="center"/>
          </w:tcPr>
          <w:p>
            <w:pPr>
              <w:jc w:val="left"/>
              <w:rPr>
                <w:rFonts w:asciiTheme="minorEastAsia" w:hAnsiTheme="minorEastAsia" w:eastAsiaTheme="min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349" w:type="pct"/>
            <w:tcBorders>
              <w:bottom w:val="single" w:color="auto" w:sz="4" w:space="0"/>
            </w:tcBorders>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进度指标</w:t>
            </w:r>
          </w:p>
        </w:tc>
        <w:tc>
          <w:tcPr>
            <w:tcW w:w="850" w:type="pct"/>
            <w:tcBorders>
              <w:top w:val="single" w:color="auto" w:sz="4" w:space="0"/>
              <w:bottom w:val="single" w:color="auto" w:sz="4" w:space="0"/>
              <w:right w:val="single" w:color="auto" w:sz="4" w:space="0"/>
            </w:tcBorders>
            <w:vAlign w:val="center"/>
          </w:tcPr>
          <w:p>
            <w:pPr>
              <w:jc w:val="left"/>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按时完成全年项目</w:t>
            </w:r>
          </w:p>
        </w:tc>
        <w:tc>
          <w:tcPr>
            <w:tcW w:w="600" w:type="pct"/>
            <w:tcBorders>
              <w:top w:val="single" w:color="auto" w:sz="4" w:space="0"/>
              <w:left w:val="single" w:color="auto" w:sz="4" w:space="0"/>
              <w:bottom w:val="single" w:color="auto" w:sz="4" w:space="0"/>
            </w:tcBorders>
            <w:vAlign w:val="center"/>
          </w:tcPr>
          <w:p>
            <w:pP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202</w:t>
            </w:r>
            <w:r>
              <w:rPr>
                <w:rFonts w:hint="eastAsia" w:asciiTheme="minorEastAsia" w:hAnsiTheme="minorEastAsia" w:eastAsiaTheme="minorEastAsia"/>
                <w:color w:val="000000"/>
                <w:sz w:val="18"/>
                <w:szCs w:val="18"/>
                <w:lang w:val="en-US" w:eastAsia="zh-CN"/>
              </w:rPr>
              <w:t>2</w:t>
            </w:r>
            <w:r>
              <w:rPr>
                <w:rFonts w:hint="eastAsia" w:asciiTheme="minorEastAsia" w:hAnsiTheme="minorEastAsia" w:eastAsiaTheme="minorEastAsia"/>
                <w:color w:val="000000"/>
                <w:sz w:val="18"/>
                <w:szCs w:val="18"/>
              </w:rPr>
              <w:t>年全年执行，个别项目结转　</w:t>
            </w:r>
          </w:p>
        </w:tc>
        <w:tc>
          <w:tcPr>
            <w:tcW w:w="250" w:type="pct"/>
            <w:vAlign w:val="center"/>
          </w:tcPr>
          <w:p>
            <w:pPr>
              <w:jc w:val="center"/>
              <w:rPr>
                <w:rFonts w:hint="eastAsia" w:cs="宋体" w:asciiTheme="minorEastAsia" w:hAnsiTheme="minorEastAsia" w:eastAsiaTheme="minorEastAsia"/>
                <w:color w:val="000000"/>
                <w:sz w:val="18"/>
                <w:szCs w:val="18"/>
                <w:lang w:val="en-US" w:eastAsia="zh-CN"/>
              </w:rPr>
            </w:pPr>
            <w:r>
              <w:rPr>
                <w:rFonts w:hint="eastAsia" w:cs="宋体" w:asciiTheme="minorEastAsia" w:hAnsiTheme="minorEastAsia" w:eastAsiaTheme="minorEastAsia"/>
                <w:color w:val="000000"/>
                <w:sz w:val="18"/>
                <w:szCs w:val="18"/>
                <w:lang w:val="en-US" w:eastAsia="zh-CN"/>
              </w:rPr>
              <w:t>5</w:t>
            </w:r>
          </w:p>
        </w:tc>
        <w:tc>
          <w:tcPr>
            <w:tcW w:w="249" w:type="pct"/>
            <w:tcBorders>
              <w:top w:val="single" w:color="auto" w:sz="4" w:space="0"/>
              <w:bottom w:val="single" w:color="auto" w:sz="4" w:space="0"/>
            </w:tcBorders>
            <w:noWrap/>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5</w:t>
            </w:r>
          </w:p>
        </w:tc>
        <w:tc>
          <w:tcPr>
            <w:tcW w:w="1350"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761" w:type="pct"/>
            <w:vMerge w:val="continue"/>
            <w:vAlign w:val="center"/>
          </w:tcPr>
          <w:p>
            <w:pPr>
              <w:widowControl/>
              <w:jc w:val="left"/>
              <w:rPr>
                <w:rFonts w:cs="宋体" w:asciiTheme="minorEastAsia" w:hAnsiTheme="minorEastAsia" w:eastAsia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349" w:type="pct"/>
            <w:tcBorders>
              <w:bottom w:val="single" w:color="auto" w:sz="4" w:space="0"/>
            </w:tcBorders>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成本指标</w:t>
            </w:r>
          </w:p>
        </w:tc>
        <w:tc>
          <w:tcPr>
            <w:tcW w:w="850" w:type="pct"/>
            <w:tcBorders>
              <w:top w:val="single" w:color="auto" w:sz="4" w:space="0"/>
              <w:bottom w:val="single" w:color="auto" w:sz="4" w:space="0"/>
              <w:right w:val="single" w:color="auto" w:sz="4" w:space="0"/>
            </w:tcBorders>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部门整体预算控制在4,974.84万元以内</w:t>
            </w:r>
          </w:p>
        </w:tc>
        <w:tc>
          <w:tcPr>
            <w:tcW w:w="600" w:type="pct"/>
            <w:tcBorders>
              <w:top w:val="single" w:color="auto" w:sz="4" w:space="0"/>
              <w:left w:val="single" w:color="auto" w:sz="4" w:space="0"/>
              <w:bottom w:val="single" w:color="auto" w:sz="4" w:space="0"/>
            </w:tcBorders>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年度预算执行4,774.76万元</w:t>
            </w:r>
          </w:p>
        </w:tc>
        <w:tc>
          <w:tcPr>
            <w:tcW w:w="250" w:type="pct"/>
            <w:tcBorders>
              <w:bottom w:val="single" w:color="auto" w:sz="4" w:space="0"/>
            </w:tcBorders>
            <w:vAlign w:val="center"/>
          </w:tcPr>
          <w:p>
            <w:pPr>
              <w:jc w:val="center"/>
              <w:rPr>
                <w:rFonts w:hint="eastAsia" w:cs="宋体" w:asciiTheme="minorEastAsia" w:hAnsiTheme="minorEastAsia" w:eastAsiaTheme="minorEastAsia"/>
                <w:color w:val="000000"/>
                <w:sz w:val="18"/>
                <w:szCs w:val="18"/>
                <w:lang w:val="en-US" w:eastAsia="zh-CN"/>
              </w:rPr>
            </w:pPr>
            <w:r>
              <w:rPr>
                <w:rFonts w:hint="eastAsia" w:cs="宋体" w:asciiTheme="minorEastAsia" w:hAnsiTheme="minorEastAsia" w:eastAsiaTheme="minorEastAsia"/>
                <w:color w:val="000000"/>
                <w:sz w:val="18"/>
                <w:szCs w:val="18"/>
                <w:lang w:val="en-US" w:eastAsia="zh-CN"/>
              </w:rPr>
              <w:t>5</w:t>
            </w:r>
          </w:p>
        </w:tc>
        <w:tc>
          <w:tcPr>
            <w:tcW w:w="249" w:type="pct"/>
            <w:tcBorders>
              <w:top w:val="single" w:color="auto" w:sz="4" w:space="0"/>
              <w:bottom w:val="single" w:color="auto" w:sz="4" w:space="0"/>
            </w:tcBorders>
            <w:noWrap/>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5</w:t>
            </w:r>
          </w:p>
        </w:tc>
        <w:tc>
          <w:tcPr>
            <w:tcW w:w="1350" w:type="pct"/>
            <w:vMerge w:val="continue"/>
            <w:tcBorders>
              <w:bottom w:val="single" w:color="auto" w:sz="4" w:space="0"/>
            </w:tcBorders>
            <w:vAlign w:val="center"/>
          </w:tcPr>
          <w:p>
            <w:pPr>
              <w:widowControl/>
              <w:jc w:val="left"/>
              <w:rPr>
                <w:rFonts w:cs="宋体" w:asciiTheme="minorEastAsia" w:hAnsiTheme="minorEastAsia" w:eastAsiaTheme="minorEastAsia"/>
                <w:color w:val="000000"/>
                <w:kern w:val="0"/>
                <w:sz w:val="18"/>
                <w:szCs w:val="18"/>
              </w:rPr>
            </w:pPr>
          </w:p>
        </w:tc>
        <w:tc>
          <w:tcPr>
            <w:tcW w:w="761" w:type="pct"/>
            <w:vMerge w:val="continue"/>
            <w:tcBorders>
              <w:bottom w:val="single" w:color="auto" w:sz="4" w:space="0"/>
            </w:tcBorders>
            <w:vAlign w:val="center"/>
          </w:tcPr>
          <w:p>
            <w:pPr>
              <w:widowControl/>
              <w:jc w:val="left"/>
              <w:rPr>
                <w:rFonts w:cs="宋体" w:asciiTheme="minorEastAsia" w:hAnsiTheme="minorEastAsia" w:eastAsia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restart"/>
            <w:tcBorders>
              <w:right w:val="single" w:color="auto" w:sz="4" w:space="0"/>
            </w:tcBorders>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效果（30）</w:t>
            </w:r>
          </w:p>
        </w:tc>
        <w:tc>
          <w:tcPr>
            <w:tcW w:w="349" w:type="pct"/>
            <w:vMerge w:val="restart"/>
            <w:tcBorders>
              <w:top w:val="single" w:color="auto" w:sz="4" w:space="0"/>
              <w:left w:val="single" w:color="auto" w:sz="4" w:space="0"/>
              <w:right w:val="single" w:color="auto" w:sz="4" w:space="0"/>
            </w:tcBorders>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社会效益</w:t>
            </w:r>
          </w:p>
        </w:tc>
        <w:tc>
          <w:tcPr>
            <w:tcW w:w="850" w:type="pct"/>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充分发挥中心在首都乡村振兴中的决策支撑作用</w:t>
            </w:r>
          </w:p>
        </w:tc>
        <w:tc>
          <w:tcPr>
            <w:tcW w:w="600" w:type="pct"/>
            <w:vMerge w:val="restart"/>
            <w:tcBorders>
              <w:top w:val="single" w:color="auto" w:sz="4" w:space="0"/>
              <w:left w:val="single" w:color="auto" w:sz="4" w:space="0"/>
              <w:right w:val="single" w:color="auto" w:sz="4" w:space="0"/>
            </w:tcBorders>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基本达到预期目标，资料待进一步完善</w:t>
            </w:r>
          </w:p>
        </w:tc>
        <w:tc>
          <w:tcPr>
            <w:tcW w:w="250" w:type="pct"/>
            <w:vMerge w:val="restart"/>
            <w:tcBorders>
              <w:top w:val="single" w:color="auto" w:sz="4" w:space="0"/>
              <w:left w:val="single" w:color="auto" w:sz="4" w:space="0"/>
              <w:right w:val="single" w:color="auto" w:sz="4" w:space="0"/>
            </w:tcBorders>
            <w:noWrap/>
            <w:vAlign w:val="center"/>
          </w:tcPr>
          <w:p>
            <w:pPr>
              <w:jc w:val="center"/>
              <w:rPr>
                <w:rFonts w:hint="default" w:cs="宋体" w:asciiTheme="minorEastAsia" w:hAnsiTheme="minorEastAsia" w:eastAsiaTheme="minorEastAsia"/>
                <w:color w:val="000000"/>
                <w:sz w:val="18"/>
                <w:szCs w:val="18"/>
                <w:lang w:val="en-US" w:eastAsia="zh-CN"/>
              </w:rPr>
            </w:pPr>
            <w:r>
              <w:rPr>
                <w:rFonts w:hint="eastAsia" w:cs="宋体" w:asciiTheme="minorEastAsia" w:hAnsiTheme="minorEastAsia" w:eastAsiaTheme="minorEastAsia"/>
                <w:color w:val="000000"/>
                <w:sz w:val="18"/>
                <w:szCs w:val="18"/>
                <w:lang w:val="en-US" w:eastAsia="zh-CN"/>
              </w:rPr>
              <w:t>10</w:t>
            </w:r>
          </w:p>
        </w:tc>
        <w:tc>
          <w:tcPr>
            <w:tcW w:w="249" w:type="pct"/>
            <w:vMerge w:val="restart"/>
            <w:tcBorders>
              <w:top w:val="single" w:color="auto" w:sz="4" w:space="0"/>
              <w:left w:val="single" w:color="auto" w:sz="4" w:space="0"/>
              <w:right w:val="single" w:color="auto" w:sz="4" w:space="0"/>
            </w:tcBorders>
            <w:noWrap/>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9</w:t>
            </w:r>
          </w:p>
        </w:tc>
        <w:tc>
          <w:tcPr>
            <w:tcW w:w="1350"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b/>
                <w:bCs/>
                <w:color w:val="000000"/>
                <w:kern w:val="0"/>
                <w:sz w:val="18"/>
                <w:szCs w:val="18"/>
              </w:rPr>
              <w:t>经济效益</w:t>
            </w:r>
            <w:r>
              <w:rPr>
                <w:rFonts w:hint="eastAsia" w:cs="宋体" w:asciiTheme="minorEastAsia" w:hAnsiTheme="minorEastAsia" w:eastAsiaTheme="minorEastAsia"/>
                <w:color w:val="000000"/>
                <w:kern w:val="0"/>
                <w:sz w:val="18"/>
                <w:szCs w:val="18"/>
              </w:rPr>
              <w:t>：部门（单位）履行职责对经济发展所带来的直接或间接影响。</w:t>
            </w:r>
            <w:r>
              <w:rPr>
                <w:rFonts w:hint="eastAsia" w:cs="宋体" w:asciiTheme="minorEastAsia" w:hAnsiTheme="minorEastAsia" w:eastAsiaTheme="minorEastAsia"/>
                <w:b/>
                <w:bCs/>
                <w:color w:val="000000"/>
                <w:kern w:val="0"/>
                <w:sz w:val="18"/>
                <w:szCs w:val="18"/>
              </w:rPr>
              <w:t>社会效益</w:t>
            </w:r>
            <w:r>
              <w:rPr>
                <w:rFonts w:hint="eastAsia" w:cs="宋体" w:asciiTheme="minorEastAsia" w:hAnsiTheme="minorEastAsia" w:eastAsiaTheme="minorEastAsia"/>
                <w:color w:val="000000"/>
                <w:kern w:val="0"/>
                <w:sz w:val="18"/>
                <w:szCs w:val="18"/>
              </w:rPr>
              <w:t>：部门（单位）履行职责对社会发展所带来的直接或间接影响。</w:t>
            </w:r>
            <w:r>
              <w:rPr>
                <w:rFonts w:hint="eastAsia" w:cs="宋体" w:asciiTheme="minorEastAsia" w:hAnsiTheme="minorEastAsia" w:eastAsiaTheme="minorEastAsia"/>
                <w:b/>
                <w:bCs/>
                <w:color w:val="000000"/>
                <w:kern w:val="0"/>
                <w:sz w:val="18"/>
                <w:szCs w:val="18"/>
              </w:rPr>
              <w:t>环境效益</w:t>
            </w:r>
            <w:r>
              <w:rPr>
                <w:rFonts w:hint="eastAsia" w:cs="宋体" w:asciiTheme="minorEastAsia" w:hAnsiTheme="minorEastAsia" w:eastAsiaTheme="minorEastAsia"/>
                <w:color w:val="000000"/>
                <w:kern w:val="0"/>
                <w:sz w:val="18"/>
                <w:szCs w:val="18"/>
              </w:rPr>
              <w:t>：部门（单位）履行职责对环境所带来的直接或间接影响。</w:t>
            </w:r>
            <w:r>
              <w:rPr>
                <w:rFonts w:hint="eastAsia" w:cs="宋体" w:asciiTheme="minorEastAsia" w:hAnsiTheme="minorEastAsia" w:eastAsiaTheme="minorEastAsia"/>
                <w:b/>
                <w:bCs/>
                <w:color w:val="000000"/>
                <w:kern w:val="0"/>
                <w:sz w:val="18"/>
                <w:szCs w:val="18"/>
              </w:rPr>
              <w:t>可持续性影响：</w:t>
            </w:r>
            <w:r>
              <w:rPr>
                <w:rFonts w:hint="eastAsia" w:cs="宋体" w:asciiTheme="minorEastAsia" w:hAnsiTheme="minorEastAsia" w:eastAsiaTheme="minorEastAsia"/>
                <w:color w:val="000000"/>
                <w:kern w:val="0"/>
                <w:sz w:val="18"/>
                <w:szCs w:val="18"/>
              </w:rPr>
              <w:t>部门绩效目标实现的长效机制建设情况，部门工作效率提升措施的创新。</w:t>
            </w:r>
            <w:r>
              <w:rPr>
                <w:rFonts w:hint="eastAsia" w:cs="宋体" w:asciiTheme="minorEastAsia" w:hAnsiTheme="minorEastAsia" w:eastAsiaTheme="minorEastAsia"/>
                <w:b/>
                <w:bCs/>
                <w:color w:val="000000"/>
                <w:kern w:val="0"/>
                <w:sz w:val="18"/>
                <w:szCs w:val="18"/>
              </w:rPr>
              <w:t>服务对象满意度</w:t>
            </w:r>
            <w:r>
              <w:rPr>
                <w:rFonts w:hint="eastAsia" w:cs="宋体" w:asciiTheme="minorEastAsia" w:hAnsiTheme="minorEastAsia" w:eastAsiaTheme="minorEastAsia"/>
                <w:color w:val="000000"/>
                <w:kern w:val="0"/>
                <w:sz w:val="18"/>
                <w:szCs w:val="18"/>
              </w:rPr>
              <w:t>：部门（单位）的服务对象对部门履职效果的满意程度。</w:t>
            </w:r>
          </w:p>
        </w:tc>
        <w:tc>
          <w:tcPr>
            <w:tcW w:w="7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349" w:type="pct"/>
            <w:vMerge w:val="continue"/>
            <w:tcBorders>
              <w:left w:val="single" w:color="auto" w:sz="4" w:space="0"/>
              <w:right w:val="single" w:color="auto" w:sz="4" w:space="0"/>
            </w:tcBorders>
            <w:vAlign w:val="center"/>
          </w:tcPr>
          <w:p>
            <w:pPr>
              <w:jc w:val="center"/>
              <w:rPr>
                <w:rFonts w:cs="宋体" w:asciiTheme="minorEastAsia" w:hAnsiTheme="minorEastAsia" w:eastAsiaTheme="minorEastAsia"/>
                <w:color w:val="000000"/>
                <w:sz w:val="18"/>
                <w:szCs w:val="18"/>
              </w:rPr>
            </w:pPr>
          </w:p>
        </w:tc>
        <w:tc>
          <w:tcPr>
            <w:tcW w:w="850" w:type="pct"/>
            <w:tcBorders>
              <w:top w:val="single" w:color="auto" w:sz="4" w:space="0"/>
            </w:tcBorders>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促进京郊乡村观光休闲旅游特色化、专业化、规范化水平提升</w:t>
            </w:r>
          </w:p>
        </w:tc>
        <w:tc>
          <w:tcPr>
            <w:tcW w:w="600" w:type="pct"/>
            <w:vMerge w:val="continue"/>
            <w:tcBorders>
              <w:left w:val="single" w:color="auto" w:sz="4" w:space="0"/>
              <w:right w:val="single" w:color="auto" w:sz="4" w:space="0"/>
            </w:tcBorders>
            <w:vAlign w:val="center"/>
          </w:tcPr>
          <w:p>
            <w:pPr>
              <w:rPr>
                <w:rFonts w:asciiTheme="minorEastAsia" w:hAnsiTheme="minorEastAsia" w:eastAsiaTheme="minorEastAsia"/>
                <w:color w:val="000000"/>
                <w:sz w:val="18"/>
                <w:szCs w:val="18"/>
              </w:rPr>
            </w:pPr>
          </w:p>
        </w:tc>
        <w:tc>
          <w:tcPr>
            <w:tcW w:w="250" w:type="pct"/>
            <w:vMerge w:val="continue"/>
            <w:tcBorders>
              <w:left w:val="single" w:color="auto" w:sz="4" w:space="0"/>
              <w:right w:val="single" w:color="auto" w:sz="4" w:space="0"/>
            </w:tcBorders>
            <w:vAlign w:val="center"/>
          </w:tcPr>
          <w:p>
            <w:pPr>
              <w:jc w:val="center"/>
              <w:rPr>
                <w:rFonts w:cs="宋体" w:asciiTheme="minorEastAsia" w:hAnsiTheme="minorEastAsia" w:eastAsiaTheme="minorEastAsia"/>
                <w:color w:val="000000"/>
                <w:sz w:val="18"/>
                <w:szCs w:val="18"/>
              </w:rPr>
            </w:pPr>
          </w:p>
        </w:tc>
        <w:tc>
          <w:tcPr>
            <w:tcW w:w="249" w:type="pct"/>
            <w:vMerge w:val="continue"/>
            <w:tcBorders>
              <w:left w:val="single" w:color="auto" w:sz="4" w:space="0"/>
              <w:right w:val="single" w:color="auto" w:sz="4" w:space="0"/>
            </w:tcBorders>
            <w:noWrap/>
            <w:vAlign w:val="center"/>
          </w:tcPr>
          <w:p>
            <w:pPr>
              <w:jc w:val="center"/>
              <w:rPr>
                <w:rFonts w:asciiTheme="minorEastAsia" w:hAnsiTheme="minorEastAsia" w:eastAsiaTheme="minorEastAsia"/>
                <w:color w:val="000000"/>
                <w:sz w:val="18"/>
                <w:szCs w:val="18"/>
              </w:rPr>
            </w:pPr>
          </w:p>
        </w:tc>
        <w:tc>
          <w:tcPr>
            <w:tcW w:w="1350" w:type="pct"/>
            <w:vMerge w:val="continue"/>
            <w:tcBorders>
              <w:top w:val="single" w:color="auto" w:sz="4" w:space="0"/>
            </w:tcBorders>
            <w:vAlign w:val="center"/>
          </w:tcPr>
          <w:p>
            <w:pPr>
              <w:widowControl/>
              <w:jc w:val="left"/>
              <w:rPr>
                <w:rFonts w:cs="宋体" w:asciiTheme="minorEastAsia" w:hAnsiTheme="minorEastAsia" w:eastAsiaTheme="minorEastAsia"/>
                <w:color w:val="000000"/>
                <w:kern w:val="0"/>
                <w:sz w:val="18"/>
                <w:szCs w:val="18"/>
              </w:rPr>
            </w:pPr>
          </w:p>
        </w:tc>
        <w:tc>
          <w:tcPr>
            <w:tcW w:w="761" w:type="pct"/>
            <w:vMerge w:val="continue"/>
            <w:tcBorders>
              <w:top w:val="single" w:color="auto" w:sz="4" w:space="0"/>
            </w:tcBorders>
            <w:vAlign w:val="center"/>
          </w:tcPr>
          <w:p>
            <w:pPr>
              <w:widowControl/>
              <w:jc w:val="left"/>
              <w:rPr>
                <w:rFonts w:cs="宋体" w:asciiTheme="minorEastAsia" w:hAnsiTheme="minorEastAsia" w:eastAsia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349" w:type="pct"/>
            <w:vMerge w:val="restart"/>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可持续影响指标</w:t>
            </w:r>
          </w:p>
        </w:tc>
        <w:tc>
          <w:tcPr>
            <w:tcW w:w="8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为政府相关决策提供动态农业资源数据支撑得到明显提升。</w:t>
            </w:r>
          </w:p>
        </w:tc>
        <w:tc>
          <w:tcPr>
            <w:tcW w:w="600" w:type="pct"/>
            <w:vMerge w:val="restart"/>
            <w:tcBorders>
              <w:right w:val="single" w:color="auto" w:sz="4" w:space="0"/>
            </w:tcBorders>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基本达到预期目标</w:t>
            </w:r>
          </w:p>
        </w:tc>
        <w:tc>
          <w:tcPr>
            <w:tcW w:w="250" w:type="pct"/>
            <w:vMerge w:val="restart"/>
            <w:tcBorders>
              <w:left w:val="single" w:color="auto" w:sz="4" w:space="0"/>
              <w:right w:val="single" w:color="auto" w:sz="4" w:space="0"/>
            </w:tcBorders>
            <w:vAlign w:val="center"/>
          </w:tcPr>
          <w:p>
            <w:pPr>
              <w:jc w:val="center"/>
              <w:rPr>
                <w:rFonts w:hint="default" w:cs="宋体" w:asciiTheme="minorEastAsia" w:hAnsiTheme="minorEastAsia" w:eastAsiaTheme="minorEastAsia"/>
                <w:color w:val="000000"/>
                <w:sz w:val="18"/>
                <w:szCs w:val="18"/>
                <w:lang w:val="en-US" w:eastAsia="zh-CN"/>
              </w:rPr>
            </w:pPr>
            <w:r>
              <w:rPr>
                <w:rFonts w:hint="eastAsia" w:cs="宋体" w:asciiTheme="minorEastAsia" w:hAnsiTheme="minorEastAsia" w:eastAsiaTheme="minorEastAsia"/>
                <w:color w:val="000000"/>
                <w:sz w:val="18"/>
                <w:szCs w:val="18"/>
                <w:lang w:val="en-US" w:eastAsia="zh-CN"/>
              </w:rPr>
              <w:t>10</w:t>
            </w:r>
          </w:p>
        </w:tc>
        <w:tc>
          <w:tcPr>
            <w:tcW w:w="249" w:type="pct"/>
            <w:vMerge w:val="restart"/>
            <w:tcBorders>
              <w:left w:val="single" w:color="auto" w:sz="4" w:space="0"/>
            </w:tcBorders>
            <w:noWrap/>
            <w:vAlign w:val="center"/>
          </w:tcPr>
          <w:p>
            <w:pPr>
              <w:jc w:val="center"/>
              <w:rPr>
                <w:rFonts w:hint="eastAsia" w:cs="宋体" w:asciiTheme="minorEastAsia" w:hAnsiTheme="minorEastAsia" w:eastAsiaTheme="minorEastAsia"/>
                <w:color w:val="000000"/>
                <w:sz w:val="18"/>
                <w:szCs w:val="18"/>
                <w:lang w:eastAsia="zh-CN"/>
              </w:rPr>
            </w:pPr>
            <w:r>
              <w:rPr>
                <w:rFonts w:hint="eastAsia" w:asciiTheme="minorEastAsia" w:hAnsiTheme="minorEastAsia" w:eastAsiaTheme="minorEastAsia"/>
                <w:color w:val="000000"/>
                <w:sz w:val="18"/>
                <w:szCs w:val="18"/>
                <w:lang w:val="en-US" w:eastAsia="zh-CN"/>
              </w:rPr>
              <w:t>9</w:t>
            </w:r>
          </w:p>
        </w:tc>
        <w:tc>
          <w:tcPr>
            <w:tcW w:w="1350"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761" w:type="pct"/>
            <w:vMerge w:val="continue"/>
            <w:vAlign w:val="center"/>
          </w:tcPr>
          <w:p>
            <w:pPr>
              <w:widowControl/>
              <w:jc w:val="left"/>
              <w:rPr>
                <w:rFonts w:cs="宋体" w:asciiTheme="minorEastAsia" w:hAnsiTheme="minorEastAsia" w:eastAsia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trPr>
        <w:tc>
          <w:tcPr>
            <w:tcW w:w="288" w:type="pct"/>
            <w:vMerge w:val="continue"/>
            <w:vAlign w:val="center"/>
          </w:tcPr>
          <w:p>
            <w:pPr>
              <w:jc w:val="center"/>
            </w:pPr>
          </w:p>
        </w:tc>
        <w:tc>
          <w:tcPr>
            <w:tcW w:w="299" w:type="pct"/>
            <w:vMerge w:val="continue"/>
            <w:vAlign w:val="center"/>
          </w:tcPr>
          <w:p>
            <w:pPr>
              <w:jc w:val="center"/>
            </w:pPr>
          </w:p>
        </w:tc>
        <w:tc>
          <w:tcPr>
            <w:tcW w:w="349" w:type="pct"/>
            <w:vMerge w:val="continue"/>
            <w:vAlign w:val="center"/>
          </w:tcPr>
          <w:p>
            <w:pPr>
              <w:jc w:val="center"/>
            </w:pPr>
          </w:p>
        </w:tc>
        <w:tc>
          <w:tcPr>
            <w:tcW w:w="8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评价指标体系的构建、测算相关指数、分析绿色发展进展和短板，推动生态涵养区高质量发展</w:t>
            </w:r>
          </w:p>
        </w:tc>
        <w:tc>
          <w:tcPr>
            <w:tcW w:w="600" w:type="pct"/>
            <w:vMerge w:val="continue"/>
            <w:tcBorders>
              <w:right w:val="single" w:color="auto" w:sz="4" w:space="0"/>
            </w:tcBorders>
            <w:vAlign w:val="center"/>
          </w:tcPr>
          <w:p>
            <w:pPr>
              <w:rPr>
                <w:rFonts w:asciiTheme="minorEastAsia" w:hAnsiTheme="minorEastAsia" w:eastAsiaTheme="minorEastAsia"/>
                <w:color w:val="000000"/>
                <w:sz w:val="18"/>
                <w:szCs w:val="18"/>
              </w:rPr>
            </w:pPr>
          </w:p>
        </w:tc>
        <w:tc>
          <w:tcPr>
            <w:tcW w:w="250" w:type="pct"/>
            <w:vMerge w:val="continue"/>
            <w:tcBorders>
              <w:left w:val="single" w:color="auto" w:sz="4" w:space="0"/>
              <w:right w:val="single" w:color="auto" w:sz="4" w:space="0"/>
            </w:tcBorders>
            <w:vAlign w:val="center"/>
          </w:tcPr>
          <w:p>
            <w:pPr>
              <w:jc w:val="center"/>
              <w:rPr>
                <w:rFonts w:asciiTheme="minorEastAsia" w:hAnsiTheme="minorEastAsia" w:eastAsiaTheme="minorEastAsia"/>
                <w:color w:val="000000"/>
                <w:sz w:val="18"/>
                <w:szCs w:val="18"/>
              </w:rPr>
            </w:pPr>
          </w:p>
        </w:tc>
        <w:tc>
          <w:tcPr>
            <w:tcW w:w="249" w:type="pct"/>
            <w:vMerge w:val="continue"/>
            <w:tcBorders>
              <w:left w:val="single" w:color="auto" w:sz="4" w:space="0"/>
            </w:tcBorders>
            <w:noWrap/>
            <w:vAlign w:val="center"/>
          </w:tcPr>
          <w:p>
            <w:pPr>
              <w:jc w:val="center"/>
              <w:rPr>
                <w:rFonts w:asciiTheme="minorEastAsia" w:hAnsiTheme="minorEastAsia" w:eastAsiaTheme="minorEastAsia"/>
                <w:color w:val="000000"/>
                <w:sz w:val="18"/>
                <w:szCs w:val="18"/>
              </w:rPr>
            </w:pPr>
          </w:p>
        </w:tc>
        <w:tc>
          <w:tcPr>
            <w:tcW w:w="1350" w:type="pct"/>
            <w:vMerge w:val="continue"/>
            <w:vAlign w:val="center"/>
          </w:tcPr>
          <w:p>
            <w:pPr>
              <w:jc w:val="center"/>
              <w:rPr>
                <w:rFonts w:asciiTheme="minorEastAsia" w:hAnsiTheme="minorEastAsia" w:eastAsiaTheme="minorEastAsia"/>
                <w:color w:val="000000"/>
                <w:sz w:val="18"/>
                <w:szCs w:val="18"/>
              </w:rPr>
            </w:pPr>
          </w:p>
        </w:tc>
        <w:tc>
          <w:tcPr>
            <w:tcW w:w="761" w:type="pct"/>
            <w:vMerge w:val="continue"/>
            <w:vAlign w:val="center"/>
          </w:tcPr>
          <w:p>
            <w:pPr>
              <w:jc w:val="center"/>
              <w:rPr>
                <w:rFonts w:asciiTheme="minorEastAsia" w:hAnsiTheme="minorEastAsia" w:eastAsiaTheme="min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288"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299"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349" w:type="pct"/>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服务对象满意度</w:t>
            </w:r>
          </w:p>
        </w:tc>
        <w:tc>
          <w:tcPr>
            <w:tcW w:w="8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服务对象满意度80%以上</w:t>
            </w:r>
          </w:p>
        </w:tc>
        <w:tc>
          <w:tcPr>
            <w:tcW w:w="600" w:type="pct"/>
            <w:tcBorders>
              <w:right w:val="single" w:color="auto" w:sz="4" w:space="0"/>
            </w:tcBorders>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满意度达到目标，满意度调查不够全面，资料待进一步完善</w:t>
            </w:r>
          </w:p>
        </w:tc>
        <w:tc>
          <w:tcPr>
            <w:tcW w:w="250" w:type="pct"/>
            <w:tcBorders>
              <w:left w:val="single" w:color="auto" w:sz="4" w:space="0"/>
              <w:right w:val="single" w:color="auto" w:sz="4" w:space="0"/>
            </w:tcBorders>
            <w:vAlign w:val="center"/>
          </w:tcPr>
          <w:p>
            <w:pPr>
              <w:jc w:val="center"/>
              <w:rPr>
                <w:rFonts w:hint="default" w:cs="宋体" w:asciiTheme="minorEastAsia" w:hAnsiTheme="minorEastAsia" w:eastAsiaTheme="minorEastAsia"/>
                <w:color w:val="000000"/>
                <w:sz w:val="18"/>
                <w:szCs w:val="18"/>
                <w:lang w:val="en-US" w:eastAsia="zh-CN"/>
              </w:rPr>
            </w:pPr>
            <w:r>
              <w:rPr>
                <w:rFonts w:hint="eastAsia" w:cs="宋体" w:asciiTheme="minorEastAsia" w:hAnsiTheme="minorEastAsia" w:eastAsiaTheme="minorEastAsia"/>
                <w:color w:val="000000"/>
                <w:sz w:val="18"/>
                <w:szCs w:val="18"/>
                <w:lang w:val="en-US" w:eastAsia="zh-CN"/>
              </w:rPr>
              <w:t>10</w:t>
            </w:r>
          </w:p>
        </w:tc>
        <w:tc>
          <w:tcPr>
            <w:tcW w:w="249" w:type="pct"/>
            <w:tcBorders>
              <w:left w:val="single" w:color="auto" w:sz="4" w:space="0"/>
            </w:tcBorders>
            <w:noWrap/>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9</w:t>
            </w:r>
          </w:p>
        </w:tc>
        <w:tc>
          <w:tcPr>
            <w:tcW w:w="1350" w:type="pct"/>
            <w:vMerge w:val="continue"/>
            <w:vAlign w:val="center"/>
          </w:tcPr>
          <w:p>
            <w:pPr>
              <w:widowControl/>
              <w:jc w:val="left"/>
              <w:rPr>
                <w:rFonts w:cs="宋体" w:asciiTheme="minorEastAsia" w:hAnsiTheme="minorEastAsia" w:eastAsiaTheme="minorEastAsia"/>
                <w:color w:val="000000"/>
                <w:kern w:val="0"/>
                <w:sz w:val="18"/>
                <w:szCs w:val="18"/>
              </w:rPr>
            </w:pPr>
          </w:p>
        </w:tc>
        <w:tc>
          <w:tcPr>
            <w:tcW w:w="761" w:type="pct"/>
            <w:vMerge w:val="continue"/>
            <w:vAlign w:val="center"/>
          </w:tcPr>
          <w:p>
            <w:pPr>
              <w:widowControl/>
              <w:jc w:val="left"/>
              <w:rPr>
                <w:rFonts w:cs="宋体" w:asciiTheme="minorEastAsia" w:hAnsiTheme="minorEastAsia" w:eastAsiaTheme="minorEastAsia"/>
                <w:color w:val="000000"/>
                <w:kern w:val="0"/>
                <w:sz w:val="18"/>
                <w:szCs w:val="18"/>
              </w:rPr>
            </w:pPr>
          </w:p>
        </w:tc>
      </w:tr>
    </w:tbl>
    <w:p>
      <w:pPr>
        <w:pStyle w:val="2"/>
        <w:ind w:left="0" w:leftChars="0" w:right="1470" w:firstLine="0" w:firstLineChars="0"/>
      </w:pP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51"/>
        <w:gridCol w:w="993"/>
        <w:gridCol w:w="1559"/>
        <w:gridCol w:w="1559"/>
        <w:gridCol w:w="850"/>
        <w:gridCol w:w="850"/>
        <w:gridCol w:w="2412"/>
        <w:gridCol w:w="4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blHeader/>
        </w:trPr>
        <w:tc>
          <w:tcPr>
            <w:tcW w:w="5000" w:type="pct"/>
            <w:gridSpan w:val="9"/>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三</w:t>
            </w:r>
            <w:r>
              <w:rPr>
                <w:rFonts w:cs="宋体" w:asciiTheme="minorEastAsia" w:hAnsiTheme="minorEastAsia" w:eastAsiaTheme="minorEastAsia"/>
                <w:color w:val="000000"/>
                <w:kern w:val="0"/>
                <w:sz w:val="18"/>
                <w:szCs w:val="18"/>
              </w:rPr>
              <w:t>、</w:t>
            </w:r>
            <w:r>
              <w:rPr>
                <w:rFonts w:hint="eastAsia" w:cs="宋体" w:asciiTheme="minorEastAsia" w:hAnsiTheme="minorEastAsia" w:eastAsiaTheme="minorEastAsia"/>
                <w:color w:val="000000"/>
                <w:kern w:val="0"/>
                <w:sz w:val="20"/>
                <w:szCs w:val="20"/>
              </w:rPr>
              <w:t>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blHeader/>
        </w:trPr>
        <w:tc>
          <w:tcPr>
            <w:tcW w:w="288"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一</w:t>
            </w:r>
            <w:r>
              <w:rPr>
                <w:rFonts w:cs="宋体" w:asciiTheme="minorEastAsia" w:hAnsiTheme="minorEastAsia" w:eastAsiaTheme="minorEastAsia"/>
                <w:color w:val="000000"/>
                <w:kern w:val="0"/>
                <w:sz w:val="20"/>
                <w:szCs w:val="20"/>
              </w:rPr>
              <w:t>级</w:t>
            </w:r>
          </w:p>
          <w:p>
            <w:pPr>
              <w:widowControl/>
              <w:jc w:val="center"/>
              <w:rPr>
                <w:rFonts w:cs="宋体" w:asciiTheme="minorEastAsia" w:hAnsiTheme="minorEastAsia" w:eastAsiaTheme="minorEastAsia"/>
                <w:color w:val="000000"/>
                <w:kern w:val="0"/>
                <w:sz w:val="20"/>
                <w:szCs w:val="20"/>
              </w:rPr>
            </w:pPr>
            <w:r>
              <w:rPr>
                <w:rFonts w:cs="宋体" w:asciiTheme="minorEastAsia" w:hAnsiTheme="minorEastAsia" w:eastAsiaTheme="minorEastAsia"/>
                <w:color w:val="000000"/>
                <w:kern w:val="0"/>
                <w:sz w:val="20"/>
                <w:szCs w:val="20"/>
              </w:rPr>
              <w:t>指标</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二</w:t>
            </w:r>
            <w:r>
              <w:rPr>
                <w:rFonts w:cs="宋体" w:asciiTheme="minorEastAsia" w:hAnsiTheme="minorEastAsia" w:eastAsiaTheme="minorEastAsia"/>
                <w:color w:val="000000"/>
                <w:kern w:val="0"/>
                <w:sz w:val="20"/>
                <w:szCs w:val="20"/>
              </w:rPr>
              <w:t>级</w:t>
            </w:r>
          </w:p>
          <w:p>
            <w:pPr>
              <w:widowControl/>
              <w:jc w:val="center"/>
              <w:rPr>
                <w:rFonts w:cs="宋体" w:asciiTheme="minorEastAsia" w:hAnsiTheme="minorEastAsia" w:eastAsiaTheme="minorEastAsia"/>
                <w:color w:val="000000"/>
                <w:kern w:val="0"/>
                <w:sz w:val="20"/>
                <w:szCs w:val="20"/>
              </w:rPr>
            </w:pPr>
            <w:r>
              <w:rPr>
                <w:rFonts w:cs="宋体" w:asciiTheme="minorEastAsia" w:hAnsiTheme="minorEastAsia" w:eastAsiaTheme="minorEastAsia"/>
                <w:color w:val="000000"/>
                <w:kern w:val="0"/>
                <w:sz w:val="20"/>
                <w:szCs w:val="20"/>
              </w:rPr>
              <w:t>指标</w:t>
            </w:r>
          </w:p>
        </w:tc>
        <w:tc>
          <w:tcPr>
            <w:tcW w:w="3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三</w:t>
            </w:r>
            <w:r>
              <w:rPr>
                <w:rFonts w:cs="宋体" w:asciiTheme="minorEastAsia" w:hAnsiTheme="minorEastAsia" w:eastAsiaTheme="minorEastAsia"/>
                <w:color w:val="000000"/>
                <w:kern w:val="0"/>
                <w:sz w:val="20"/>
                <w:szCs w:val="20"/>
              </w:rPr>
              <w:t>级指标</w:t>
            </w:r>
          </w:p>
        </w:tc>
        <w:tc>
          <w:tcPr>
            <w:tcW w:w="5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指标</w:t>
            </w:r>
            <w:r>
              <w:rPr>
                <w:rFonts w:cs="宋体" w:asciiTheme="minorEastAsia" w:hAnsiTheme="minorEastAsia" w:eastAsiaTheme="minorEastAsia"/>
                <w:color w:val="000000"/>
                <w:kern w:val="0"/>
                <w:sz w:val="20"/>
                <w:szCs w:val="20"/>
              </w:rPr>
              <w:t>值</w:t>
            </w:r>
          </w:p>
        </w:tc>
        <w:tc>
          <w:tcPr>
            <w:tcW w:w="5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完成</w:t>
            </w:r>
            <w:r>
              <w:rPr>
                <w:rFonts w:cs="宋体" w:asciiTheme="minorEastAsia" w:hAnsiTheme="minorEastAsia" w:eastAsiaTheme="minorEastAsia"/>
                <w:color w:val="000000"/>
                <w:kern w:val="0"/>
                <w:sz w:val="20"/>
                <w:szCs w:val="20"/>
              </w:rPr>
              <w:t>值</w:t>
            </w:r>
          </w:p>
        </w:tc>
        <w:tc>
          <w:tcPr>
            <w:tcW w:w="300" w:type="pct"/>
            <w:noWrap/>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分</w:t>
            </w:r>
            <w:r>
              <w:rPr>
                <w:rFonts w:cs="宋体" w:asciiTheme="minorEastAsia" w:hAnsiTheme="minorEastAsia" w:eastAsiaTheme="minorEastAsia"/>
                <w:color w:val="000000"/>
                <w:kern w:val="0"/>
                <w:sz w:val="20"/>
                <w:szCs w:val="20"/>
              </w:rPr>
              <w:t>值</w:t>
            </w:r>
          </w:p>
        </w:tc>
        <w:tc>
          <w:tcPr>
            <w:tcW w:w="300" w:type="pct"/>
            <w:noWrap/>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得</w:t>
            </w:r>
            <w:r>
              <w:rPr>
                <w:rFonts w:cs="宋体" w:asciiTheme="minorEastAsia" w:hAnsiTheme="minorEastAsia" w:eastAsiaTheme="minorEastAsia"/>
                <w:color w:val="000000"/>
                <w:kern w:val="0"/>
                <w:sz w:val="20"/>
                <w:szCs w:val="20"/>
              </w:rPr>
              <w:t>分</w:t>
            </w:r>
          </w:p>
        </w:tc>
        <w:tc>
          <w:tcPr>
            <w:tcW w:w="851" w:type="pct"/>
            <w:vAlign w:val="center"/>
          </w:tcPr>
          <w:p>
            <w:pPr>
              <w:widowControl/>
              <w:jc w:val="center"/>
              <w:rPr>
                <w:rFonts w:cs="宋体" w:asciiTheme="minorEastAsia" w:hAnsiTheme="minorEastAsia" w:eastAsiaTheme="minorEastAsia"/>
                <w:b/>
                <w:bCs/>
                <w:color w:val="000000"/>
                <w:kern w:val="0"/>
                <w:sz w:val="18"/>
                <w:szCs w:val="18"/>
              </w:rPr>
            </w:pPr>
            <w:r>
              <w:rPr>
                <w:rFonts w:hint="eastAsia" w:cs="宋体" w:asciiTheme="minorEastAsia" w:hAnsiTheme="minorEastAsia" w:eastAsiaTheme="minorEastAsia"/>
                <w:bCs/>
                <w:color w:val="000000"/>
                <w:kern w:val="0"/>
                <w:sz w:val="18"/>
                <w:szCs w:val="18"/>
              </w:rPr>
              <w:t>指标</w:t>
            </w:r>
            <w:r>
              <w:rPr>
                <w:rFonts w:cs="宋体" w:asciiTheme="minorEastAsia" w:hAnsiTheme="minorEastAsia" w:eastAsiaTheme="minorEastAsia"/>
                <w:bCs/>
                <w:color w:val="000000"/>
                <w:kern w:val="0"/>
                <w:sz w:val="18"/>
                <w:szCs w:val="18"/>
              </w:rPr>
              <w:t>解释</w:t>
            </w:r>
          </w:p>
        </w:tc>
        <w:tc>
          <w:tcPr>
            <w:tcW w:w="1511" w:type="pct"/>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评</w:t>
            </w:r>
            <w:r>
              <w:rPr>
                <w:rFonts w:cs="宋体" w:asciiTheme="minorEastAsia" w:hAnsiTheme="minorEastAsia" w:eastAsiaTheme="minorEastAsia"/>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restar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预算管理情况（20）</w:t>
            </w:r>
          </w:p>
        </w:tc>
        <w:tc>
          <w:tcPr>
            <w:tcW w:w="300" w:type="pct"/>
            <w:vMerge w:val="restar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财务管理</w:t>
            </w:r>
          </w:p>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3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财务管理制度健全性</w:t>
            </w:r>
          </w:p>
        </w:tc>
        <w:tc>
          <w:tcPr>
            <w:tcW w:w="5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建立相关财务管理制度，且完整、合规</w:t>
            </w:r>
          </w:p>
        </w:tc>
        <w:tc>
          <w:tcPr>
            <w:tcW w:w="5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20"/>
                <w:szCs w:val="20"/>
              </w:rPr>
              <w:t>相关财务管理制度完整、规范</w:t>
            </w:r>
          </w:p>
        </w:tc>
        <w:tc>
          <w:tcPr>
            <w:tcW w:w="300" w:type="pct"/>
            <w:noWrap/>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1</w:t>
            </w:r>
          </w:p>
        </w:tc>
        <w:tc>
          <w:tcPr>
            <w:tcW w:w="300" w:type="pct"/>
            <w:noWrap/>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1</w:t>
            </w:r>
          </w:p>
        </w:tc>
        <w:tc>
          <w:tcPr>
            <w:tcW w:w="85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b/>
                <w:bCs/>
                <w:color w:val="000000"/>
                <w:kern w:val="0"/>
                <w:sz w:val="18"/>
                <w:szCs w:val="18"/>
              </w:rPr>
              <w:t>财务管理制度健全性:</w:t>
            </w:r>
            <w:r>
              <w:rPr>
                <w:rFonts w:hint="eastAsia" w:cs="宋体" w:asciiTheme="minorEastAsia" w:hAnsiTheme="minorEastAsia" w:eastAsiaTheme="minorEastAsia"/>
                <w:color w:val="000000"/>
                <w:kern w:val="0"/>
                <w:sz w:val="18"/>
                <w:szCs w:val="18"/>
              </w:rPr>
              <w:t>部门（单位）为加强财务管理、规范财务行为而制定的管理制度。</w:t>
            </w:r>
          </w:p>
        </w:tc>
        <w:tc>
          <w:tcPr>
            <w:tcW w:w="151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cs="宋体" w:asciiTheme="minorEastAsia" w:hAnsiTheme="minorEastAsia" w:eastAsiaTheme="minorEastAsia"/>
                <w:color w:val="000000"/>
                <w:kern w:val="0"/>
                <w:sz w:val="20"/>
                <w:szCs w:val="20"/>
              </w:rPr>
            </w:pPr>
          </w:p>
        </w:tc>
        <w:tc>
          <w:tcPr>
            <w:tcW w:w="300" w:type="pct"/>
            <w:vMerge w:val="continue"/>
            <w:vAlign w:val="center"/>
          </w:tcPr>
          <w:p>
            <w:pPr>
              <w:widowControl/>
              <w:jc w:val="left"/>
              <w:rPr>
                <w:rFonts w:cs="宋体" w:asciiTheme="minorEastAsia" w:hAnsiTheme="minorEastAsia" w:eastAsiaTheme="minorEastAsia"/>
                <w:color w:val="000000"/>
                <w:kern w:val="0"/>
                <w:sz w:val="20"/>
                <w:szCs w:val="20"/>
              </w:rPr>
            </w:pPr>
          </w:p>
        </w:tc>
        <w:tc>
          <w:tcPr>
            <w:tcW w:w="3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资金使用合规性和安全性</w:t>
            </w:r>
          </w:p>
        </w:tc>
        <w:tc>
          <w:tcPr>
            <w:tcW w:w="5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资金使用符合相关管理要求，使用合规、安全</w:t>
            </w:r>
          </w:p>
        </w:tc>
        <w:tc>
          <w:tcPr>
            <w:tcW w:w="5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资金使用符合要求、规范执行</w:t>
            </w:r>
          </w:p>
        </w:tc>
        <w:tc>
          <w:tcPr>
            <w:tcW w:w="300" w:type="pct"/>
            <w:noWrap/>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2</w:t>
            </w:r>
          </w:p>
        </w:tc>
        <w:tc>
          <w:tcPr>
            <w:tcW w:w="300" w:type="pct"/>
            <w:noWrap/>
            <w:vAlign w:val="center"/>
          </w:tcPr>
          <w:p>
            <w:pPr>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1</w:t>
            </w:r>
          </w:p>
        </w:tc>
        <w:tc>
          <w:tcPr>
            <w:tcW w:w="85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b/>
                <w:bCs/>
                <w:color w:val="000000"/>
                <w:kern w:val="0"/>
                <w:sz w:val="18"/>
                <w:szCs w:val="18"/>
              </w:rPr>
              <w:t>资金使用合规性和安全性:</w:t>
            </w:r>
            <w:r>
              <w:rPr>
                <w:rFonts w:hint="eastAsia" w:cs="宋体" w:asciiTheme="minorEastAsia" w:hAnsiTheme="minorEastAsia" w:eastAsiaTheme="minor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288" w:type="pct"/>
            <w:vMerge w:val="continue"/>
            <w:vAlign w:val="center"/>
          </w:tcPr>
          <w:p>
            <w:pPr>
              <w:widowControl/>
              <w:jc w:val="left"/>
              <w:rPr>
                <w:rFonts w:cs="宋体" w:asciiTheme="minorEastAsia" w:hAnsiTheme="minorEastAsia" w:eastAsiaTheme="minorEastAsia"/>
                <w:color w:val="000000"/>
                <w:kern w:val="0"/>
                <w:sz w:val="20"/>
                <w:szCs w:val="20"/>
              </w:rPr>
            </w:pPr>
          </w:p>
        </w:tc>
        <w:tc>
          <w:tcPr>
            <w:tcW w:w="300" w:type="pct"/>
            <w:vMerge w:val="continue"/>
            <w:vAlign w:val="center"/>
          </w:tcPr>
          <w:p>
            <w:pPr>
              <w:widowControl/>
              <w:jc w:val="left"/>
              <w:rPr>
                <w:rFonts w:cs="宋体" w:asciiTheme="minorEastAsia" w:hAnsiTheme="minorEastAsia" w:eastAsiaTheme="minorEastAsia"/>
                <w:color w:val="000000"/>
                <w:kern w:val="0"/>
                <w:sz w:val="20"/>
                <w:szCs w:val="20"/>
              </w:rPr>
            </w:pPr>
          </w:p>
        </w:tc>
        <w:tc>
          <w:tcPr>
            <w:tcW w:w="3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会计基础信息完善性</w:t>
            </w:r>
          </w:p>
        </w:tc>
        <w:tc>
          <w:tcPr>
            <w:tcW w:w="550" w:type="pct"/>
            <w:tcBorders>
              <w:bottom w:val="single" w:color="auto" w:sz="4" w:space="0"/>
            </w:tcBorders>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基础数据信息和会计信息资料、完整、准确</w:t>
            </w:r>
          </w:p>
        </w:tc>
        <w:tc>
          <w:tcPr>
            <w:tcW w:w="5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单位基础数据信息和会计信息资料、完整、准确　</w:t>
            </w:r>
          </w:p>
        </w:tc>
        <w:tc>
          <w:tcPr>
            <w:tcW w:w="300" w:type="pct"/>
            <w:noWrap/>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1</w:t>
            </w:r>
          </w:p>
        </w:tc>
        <w:tc>
          <w:tcPr>
            <w:tcW w:w="300" w:type="pct"/>
            <w:noWrap/>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1</w:t>
            </w:r>
          </w:p>
        </w:tc>
        <w:tc>
          <w:tcPr>
            <w:tcW w:w="85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b/>
                <w:bCs/>
                <w:color w:val="000000"/>
                <w:kern w:val="0"/>
                <w:sz w:val="18"/>
                <w:szCs w:val="18"/>
              </w:rPr>
              <w:t>会计基础信息完善性:</w:t>
            </w:r>
            <w:r>
              <w:rPr>
                <w:rFonts w:hint="eastAsia" w:cs="宋体" w:asciiTheme="minorEastAsia" w:hAnsiTheme="minorEastAsia" w:eastAsiaTheme="minorEastAsia"/>
                <w:color w:val="000000"/>
                <w:kern w:val="0"/>
                <w:sz w:val="18"/>
                <w:szCs w:val="18"/>
              </w:rPr>
              <w:t>部门（单位）会计基础信息情况。</w:t>
            </w:r>
          </w:p>
        </w:tc>
        <w:tc>
          <w:tcPr>
            <w:tcW w:w="151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88" w:type="pct"/>
            <w:vMerge w:val="continue"/>
            <w:vAlign w:val="center"/>
          </w:tcPr>
          <w:p>
            <w:pPr>
              <w:widowControl/>
              <w:jc w:val="left"/>
              <w:rPr>
                <w:rFonts w:cs="宋体" w:asciiTheme="minorEastAsia" w:hAnsiTheme="minorEastAsia" w:eastAsiaTheme="minorEastAsia"/>
                <w:color w:val="000000"/>
                <w:kern w:val="0"/>
                <w:sz w:val="20"/>
                <w:szCs w:val="20"/>
              </w:rPr>
            </w:pP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资产管理</w:t>
            </w:r>
          </w:p>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3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资产管理规范性</w:t>
            </w:r>
          </w:p>
        </w:tc>
        <w:tc>
          <w:tcPr>
            <w:tcW w:w="5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资产管理制度健全，执行规范</w:t>
            </w:r>
          </w:p>
        </w:tc>
        <w:tc>
          <w:tcPr>
            <w:tcW w:w="5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资产管理制度健全，且规范执行</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85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b/>
                <w:bCs/>
                <w:color w:val="000000"/>
                <w:kern w:val="0"/>
                <w:sz w:val="18"/>
                <w:szCs w:val="18"/>
              </w:rPr>
              <w:t>资产管理规范性:</w:t>
            </w:r>
            <w:r>
              <w:rPr>
                <w:rFonts w:hint="eastAsia" w:cs="宋体" w:asciiTheme="minorEastAsia" w:hAnsiTheme="minorEastAsia" w:eastAsiaTheme="minorEastAsia"/>
                <w:color w:val="000000"/>
                <w:kern w:val="0"/>
                <w:sz w:val="18"/>
                <w:szCs w:val="18"/>
              </w:rPr>
              <w:t>部门（单位）的资产是否保持安全完整，资产配置是否合理，资产使用和资产处理是否规范，用以反映和考核部门（单位）资产管理的整体水平。</w:t>
            </w:r>
          </w:p>
        </w:tc>
        <w:tc>
          <w:tcPr>
            <w:tcW w:w="151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cs="宋体" w:asciiTheme="minorEastAsia" w:hAnsiTheme="minorEastAsia" w:eastAsiaTheme="minorEastAsia"/>
                <w:color w:val="000000"/>
                <w:kern w:val="0"/>
                <w:sz w:val="20"/>
                <w:szCs w:val="20"/>
              </w:rPr>
            </w:pP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绩效管理</w:t>
            </w:r>
          </w:p>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3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绩效管理情况</w:t>
            </w:r>
          </w:p>
        </w:tc>
        <w:tc>
          <w:tcPr>
            <w:tcW w:w="5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对绩效信息进行汇总分析整理；对绩效目标偏离情况及时进行矫正。</w:t>
            </w:r>
          </w:p>
        </w:tc>
        <w:tc>
          <w:tcPr>
            <w:tcW w:w="550" w:type="pct"/>
            <w:vAlign w:val="center"/>
          </w:tcPr>
          <w:p>
            <w:pP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及时对绩效信息进行汇总分析整理；对绩效目标偏离情况及时进行矫正。</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85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b/>
                <w:bCs/>
                <w:color w:val="000000"/>
                <w:kern w:val="0"/>
                <w:sz w:val="18"/>
                <w:szCs w:val="18"/>
              </w:rPr>
              <w:t>绩效管理情况:</w:t>
            </w:r>
            <w:r>
              <w:rPr>
                <w:rFonts w:hint="eastAsia" w:cs="宋体" w:asciiTheme="minorEastAsia" w:hAnsiTheme="minorEastAsia" w:eastAsiaTheme="minorEastAsia"/>
                <w:color w:val="000000"/>
                <w:kern w:val="0"/>
                <w:sz w:val="18"/>
                <w:szCs w:val="18"/>
              </w:rPr>
              <w:t>考核部门（单位）在绩效管理信息的汇总和应用情况。</w:t>
            </w:r>
          </w:p>
        </w:tc>
        <w:tc>
          <w:tcPr>
            <w:tcW w:w="151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①部门（单位）是否及时对绩效信息进行汇总分析整理；②部门（单位）是否对绩效目标偏离情况及时进行矫正。每有一项不合格扣2分。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8" w:type="pct"/>
            <w:vMerge w:val="continue"/>
            <w:vAlign w:val="center"/>
          </w:tcPr>
          <w:p>
            <w:pPr>
              <w:widowControl/>
              <w:jc w:val="left"/>
              <w:rPr>
                <w:rFonts w:cs="宋体" w:asciiTheme="minorEastAsia" w:hAnsiTheme="minorEastAsia" w:eastAsiaTheme="minorEastAsia"/>
                <w:color w:val="000000"/>
                <w:kern w:val="0"/>
                <w:sz w:val="20"/>
                <w:szCs w:val="20"/>
              </w:rPr>
            </w:pP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指标　</w:t>
            </w:r>
          </w:p>
        </w:tc>
        <w:tc>
          <w:tcPr>
            <w:tcW w:w="900" w:type="pct"/>
            <w:gridSpan w:val="2"/>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202</w:t>
            </w:r>
            <w:r>
              <w:rPr>
                <w:rFonts w:hint="eastAsia" w:cs="宋体" w:asciiTheme="minorEastAsia" w:hAnsiTheme="minorEastAsia" w:eastAsiaTheme="minorEastAsia"/>
                <w:color w:val="000000"/>
                <w:kern w:val="0"/>
                <w:sz w:val="20"/>
                <w:szCs w:val="20"/>
                <w:lang w:val="en-US" w:eastAsia="zh-CN"/>
              </w:rPr>
              <w:t>1</w:t>
            </w:r>
            <w:r>
              <w:rPr>
                <w:rFonts w:hint="eastAsia" w:cs="宋体" w:asciiTheme="minorEastAsia" w:hAnsiTheme="minorEastAsia" w:eastAsiaTheme="minorEastAsia"/>
                <w:color w:val="000000"/>
                <w:kern w:val="0"/>
                <w:sz w:val="20"/>
                <w:szCs w:val="20"/>
              </w:rPr>
              <w:t>年</w:t>
            </w:r>
          </w:p>
        </w:tc>
        <w:tc>
          <w:tcPr>
            <w:tcW w:w="5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202</w:t>
            </w:r>
            <w:r>
              <w:rPr>
                <w:rFonts w:hint="eastAsia" w:cs="宋体" w:asciiTheme="minorEastAsia" w:hAnsiTheme="minorEastAsia" w:eastAsiaTheme="minorEastAsia"/>
                <w:color w:val="000000"/>
                <w:kern w:val="0"/>
                <w:sz w:val="20"/>
                <w:szCs w:val="20"/>
                <w:lang w:val="en-US" w:eastAsia="zh-CN"/>
              </w:rPr>
              <w:t>2</w:t>
            </w:r>
            <w:r>
              <w:rPr>
                <w:rFonts w:hint="eastAsia" w:cs="宋体" w:asciiTheme="minorEastAsia" w:hAnsiTheme="minorEastAsia" w:eastAsiaTheme="minorEastAsia"/>
                <w:color w:val="000000"/>
                <w:kern w:val="0"/>
                <w:sz w:val="20"/>
                <w:szCs w:val="20"/>
              </w:rPr>
              <w:t>年</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分值</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得分</w:t>
            </w:r>
          </w:p>
        </w:tc>
        <w:tc>
          <w:tcPr>
            <w:tcW w:w="851"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bCs/>
                <w:color w:val="000000"/>
                <w:kern w:val="0"/>
                <w:sz w:val="18"/>
                <w:szCs w:val="18"/>
              </w:rPr>
              <w:t>指标</w:t>
            </w:r>
            <w:r>
              <w:rPr>
                <w:rFonts w:cs="宋体" w:asciiTheme="minorEastAsia" w:hAnsiTheme="minorEastAsia" w:eastAsiaTheme="minorEastAsia"/>
                <w:bCs/>
                <w:color w:val="000000"/>
                <w:kern w:val="0"/>
                <w:sz w:val="18"/>
                <w:szCs w:val="18"/>
              </w:rPr>
              <w:t>解释</w:t>
            </w:r>
          </w:p>
        </w:tc>
        <w:tc>
          <w:tcPr>
            <w:tcW w:w="1511" w:type="pct"/>
            <w:vAlign w:val="center"/>
          </w:tcPr>
          <w:p>
            <w:pPr>
              <w:widowControl/>
              <w:jc w:val="center"/>
              <w:rPr>
                <w:rFonts w:asciiTheme="minorEastAsia" w:hAnsiTheme="minorEastAsia" w:eastAsiaTheme="minorEastAsia"/>
                <w:kern w:val="0"/>
                <w:sz w:val="20"/>
                <w:szCs w:val="20"/>
              </w:rPr>
            </w:pPr>
            <w:r>
              <w:rPr>
                <w:rFonts w:hint="eastAsia" w:cs="宋体" w:asciiTheme="minorEastAsia" w:hAnsiTheme="minorEastAsia" w:eastAsiaTheme="minorEastAsia"/>
                <w:color w:val="000000"/>
                <w:kern w:val="0"/>
                <w:sz w:val="18"/>
                <w:szCs w:val="18"/>
              </w:rPr>
              <w:t>评</w:t>
            </w:r>
            <w:r>
              <w:rPr>
                <w:rFonts w:cs="宋体" w:asciiTheme="minorEastAsia" w:hAnsiTheme="minorEastAsia" w:eastAsiaTheme="minorEastAsia"/>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cs="宋体" w:asciiTheme="minorEastAsia" w:hAnsiTheme="minorEastAsia" w:eastAsiaTheme="minorEastAsia"/>
                <w:color w:val="000000"/>
                <w:kern w:val="0"/>
                <w:sz w:val="20"/>
                <w:szCs w:val="20"/>
              </w:rPr>
            </w:pP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结转结余率</w:t>
            </w:r>
          </w:p>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900" w:type="pct"/>
            <w:gridSpan w:val="2"/>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lang w:val="en-US" w:eastAsia="zh-CN"/>
              </w:rPr>
              <w:t>9.26</w:t>
            </w:r>
            <w:r>
              <w:rPr>
                <w:rFonts w:hint="eastAsia" w:cs="宋体" w:asciiTheme="minorEastAsia" w:hAnsiTheme="minorEastAsia" w:eastAsiaTheme="minorEastAsia"/>
                <w:color w:val="000000"/>
                <w:kern w:val="0"/>
                <w:sz w:val="20"/>
                <w:szCs w:val="20"/>
              </w:rPr>
              <w:t>%</w:t>
            </w:r>
          </w:p>
        </w:tc>
        <w:tc>
          <w:tcPr>
            <w:tcW w:w="5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lang w:val="en-US" w:eastAsia="zh-CN"/>
              </w:rPr>
              <w:t>5.24</w:t>
            </w:r>
            <w:r>
              <w:rPr>
                <w:rFonts w:hint="eastAsia" w:cs="宋体" w:asciiTheme="minorEastAsia" w:hAnsiTheme="minorEastAsia" w:eastAsiaTheme="minorEastAsia"/>
                <w:color w:val="000000"/>
                <w:kern w:val="0"/>
                <w:sz w:val="20"/>
                <w:szCs w:val="20"/>
              </w:rPr>
              <w:t>%</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300" w:type="pct"/>
            <w:vAlign w:val="center"/>
          </w:tcPr>
          <w:p>
            <w:pPr>
              <w:widowControl/>
              <w:jc w:val="center"/>
              <w:rPr>
                <w:rFonts w:hint="eastAsia" w:cs="宋体" w:asciiTheme="minorEastAsia" w:hAnsiTheme="minorEastAsia" w:eastAsiaTheme="minorEastAsia"/>
                <w:color w:val="000000"/>
                <w:kern w:val="0"/>
                <w:sz w:val="20"/>
                <w:szCs w:val="20"/>
                <w:lang w:eastAsia="zh-CN"/>
              </w:rPr>
            </w:pPr>
            <w:r>
              <w:rPr>
                <w:rFonts w:hint="eastAsia" w:cs="宋体" w:asciiTheme="minorEastAsia" w:hAnsiTheme="minorEastAsia" w:eastAsiaTheme="minorEastAsia"/>
                <w:color w:val="000000"/>
                <w:kern w:val="0"/>
                <w:sz w:val="20"/>
                <w:szCs w:val="20"/>
                <w:lang w:val="en-US" w:eastAsia="zh-CN"/>
              </w:rPr>
              <w:t>4</w:t>
            </w:r>
          </w:p>
        </w:tc>
        <w:tc>
          <w:tcPr>
            <w:tcW w:w="85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结转结余率=结转结余总额/支出预算数×100%。</w:t>
            </w:r>
            <w:r>
              <w:rPr>
                <w:rFonts w:hint="eastAsia" w:cs="宋体" w:asciiTheme="minorEastAsia" w:hAnsiTheme="minorEastAsia" w:eastAsiaTheme="minorEastAsia"/>
                <w:color w:val="000000"/>
                <w:kern w:val="0"/>
                <w:sz w:val="18"/>
                <w:szCs w:val="18"/>
              </w:rPr>
              <w:br w:type="textWrapping"/>
            </w:r>
            <w:r>
              <w:rPr>
                <w:rFonts w:hint="eastAsia" w:cs="宋体" w:asciiTheme="minorEastAsia" w:hAnsiTheme="minorEastAsia" w:eastAsiaTheme="minorEastAsia"/>
                <w:color w:val="000000"/>
                <w:kern w:val="0"/>
                <w:sz w:val="18"/>
                <w:szCs w:val="18"/>
              </w:rPr>
              <w:t>结转结余总额：部门（单位）本年度的结转资金与结余资金之和。</w:t>
            </w:r>
          </w:p>
        </w:tc>
        <w:tc>
          <w:tcPr>
            <w:tcW w:w="151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cs="宋体" w:asciiTheme="minorEastAsia" w:hAnsiTheme="minorEastAsia" w:eastAsiaTheme="minorEastAsia"/>
                <w:color w:val="000000"/>
                <w:kern w:val="0"/>
                <w:sz w:val="20"/>
                <w:szCs w:val="20"/>
              </w:rPr>
            </w:pP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部门预决算差异率</w:t>
            </w:r>
          </w:p>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900" w:type="pct"/>
            <w:gridSpan w:val="2"/>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w:t>
            </w:r>
          </w:p>
        </w:tc>
        <w:tc>
          <w:tcPr>
            <w:tcW w:w="55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lang w:val="en-US" w:eastAsia="zh-CN"/>
              </w:rPr>
              <w:t>2</w:t>
            </w:r>
            <w:r>
              <w:rPr>
                <w:rFonts w:hint="eastAsia" w:cs="宋体" w:asciiTheme="minorEastAsia" w:hAnsiTheme="minorEastAsia" w:eastAsiaTheme="minorEastAsia"/>
                <w:color w:val="000000"/>
                <w:kern w:val="0"/>
                <w:sz w:val="20"/>
                <w:szCs w:val="20"/>
              </w:rPr>
              <w:t>.</w:t>
            </w:r>
            <w:r>
              <w:rPr>
                <w:rFonts w:hint="eastAsia" w:cs="宋体" w:asciiTheme="minorEastAsia" w:hAnsiTheme="minorEastAsia" w:eastAsiaTheme="minorEastAsia"/>
                <w:color w:val="000000"/>
                <w:kern w:val="0"/>
                <w:sz w:val="20"/>
                <w:szCs w:val="20"/>
                <w:lang w:val="en-US" w:eastAsia="zh-CN"/>
              </w:rPr>
              <w:t>92</w:t>
            </w:r>
            <w:r>
              <w:rPr>
                <w:rFonts w:hint="eastAsia" w:cs="宋体" w:asciiTheme="minorEastAsia" w:hAnsiTheme="minorEastAsia" w:eastAsiaTheme="minorEastAsia"/>
                <w:color w:val="000000"/>
                <w:kern w:val="0"/>
                <w:sz w:val="20"/>
                <w:szCs w:val="20"/>
              </w:rPr>
              <w:t>%</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300" w:type="pct"/>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85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通过年度部门决算与年初部门预算对比，对部门的年度支出情况进行考核，衡量部门预算的约束力。</w:t>
            </w:r>
          </w:p>
        </w:tc>
        <w:tc>
          <w:tcPr>
            <w:tcW w:w="1511" w:type="pct"/>
            <w:vAlign w:val="center"/>
          </w:tcPr>
          <w:p>
            <w:pPr>
              <w:widowControl/>
              <w:jc w:val="left"/>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部门预决算差异率高于市级平均差异率（28.3%）的，每高出10%（含），扣0.4分，扣完为止。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038" w:type="pct"/>
            <w:gridSpan w:val="5"/>
            <w:vAlign w:val="center"/>
          </w:tcPr>
          <w:p>
            <w:pPr>
              <w:widowControl/>
              <w:jc w:val="center"/>
              <w:rPr>
                <w:rFonts w:cs="宋体" w:asciiTheme="minorEastAsia" w:hAnsiTheme="minorEastAsia" w:eastAsiaTheme="minorEastAsia"/>
                <w:b/>
                <w:color w:val="000000"/>
                <w:kern w:val="0"/>
                <w:sz w:val="20"/>
                <w:szCs w:val="20"/>
              </w:rPr>
            </w:pPr>
            <w:r>
              <w:rPr>
                <w:rFonts w:hint="eastAsia" w:cs="宋体" w:asciiTheme="minorEastAsia" w:hAnsiTheme="minorEastAsia" w:eastAsiaTheme="minorEastAsia"/>
                <w:b/>
                <w:color w:val="000000"/>
                <w:kern w:val="0"/>
                <w:sz w:val="20"/>
                <w:szCs w:val="20"/>
              </w:rPr>
              <w:t>合计</w:t>
            </w:r>
          </w:p>
        </w:tc>
        <w:tc>
          <w:tcPr>
            <w:tcW w:w="300" w:type="pct"/>
            <w:vAlign w:val="center"/>
          </w:tcPr>
          <w:p>
            <w:pPr>
              <w:widowControl/>
              <w:jc w:val="center"/>
              <w:rPr>
                <w:rFonts w:cs="宋体" w:asciiTheme="minorEastAsia" w:hAnsiTheme="minorEastAsia" w:eastAsiaTheme="minorEastAsia"/>
                <w:b/>
                <w:color w:val="000000"/>
                <w:kern w:val="0"/>
                <w:sz w:val="20"/>
                <w:szCs w:val="20"/>
              </w:rPr>
            </w:pPr>
            <w:r>
              <w:rPr>
                <w:rFonts w:hint="eastAsia" w:cs="宋体" w:asciiTheme="minorEastAsia" w:hAnsiTheme="minorEastAsia" w:eastAsiaTheme="minorEastAsia"/>
                <w:b/>
                <w:color w:val="000000"/>
                <w:kern w:val="0"/>
                <w:sz w:val="20"/>
                <w:szCs w:val="20"/>
              </w:rPr>
              <w:t>100.00</w:t>
            </w:r>
          </w:p>
        </w:tc>
        <w:tc>
          <w:tcPr>
            <w:tcW w:w="300" w:type="pct"/>
            <w:vAlign w:val="center"/>
          </w:tcPr>
          <w:p>
            <w:pPr>
              <w:widowControl/>
              <w:jc w:val="center"/>
              <w:rPr>
                <w:rFonts w:hint="default" w:cs="宋体" w:asciiTheme="minorEastAsia" w:hAnsiTheme="minorEastAsia" w:eastAsiaTheme="minorEastAsia"/>
                <w:b/>
                <w:color w:val="000000"/>
                <w:kern w:val="0"/>
                <w:sz w:val="20"/>
                <w:szCs w:val="20"/>
                <w:lang w:val="en-US" w:eastAsia="zh-CN"/>
              </w:rPr>
            </w:pPr>
            <w:r>
              <w:rPr>
                <w:rFonts w:hint="eastAsia" w:cs="宋体" w:asciiTheme="minorEastAsia" w:hAnsiTheme="minorEastAsia" w:eastAsiaTheme="minorEastAsia"/>
                <w:b/>
                <w:color w:val="000000"/>
                <w:kern w:val="0"/>
                <w:sz w:val="20"/>
                <w:szCs w:val="20"/>
                <w:lang w:val="en-US" w:eastAsia="zh-CN"/>
              </w:rPr>
              <w:t>91.20</w:t>
            </w:r>
          </w:p>
        </w:tc>
        <w:tc>
          <w:tcPr>
            <w:tcW w:w="2362" w:type="pct"/>
            <w:gridSpan w:val="2"/>
            <w:vAlign w:val="center"/>
          </w:tcPr>
          <w:p>
            <w:pPr>
              <w:widowControl/>
              <w:jc w:val="center"/>
              <w:rPr>
                <w:rFonts w:cs="宋体" w:asciiTheme="minorEastAsia" w:hAnsiTheme="minorEastAsia" w:eastAsiaTheme="minorEastAsia"/>
                <w:b/>
                <w:color w:val="000000"/>
                <w:kern w:val="0"/>
                <w:sz w:val="18"/>
                <w:szCs w:val="18"/>
              </w:rPr>
            </w:pPr>
            <w:r>
              <w:rPr>
                <w:rFonts w:hint="eastAsia" w:cs="宋体" w:asciiTheme="minorEastAsia" w:hAnsiTheme="minorEastAsia" w:eastAsiaTheme="minorEastAsia"/>
                <w:b/>
                <w:color w:val="000000"/>
                <w:kern w:val="0"/>
                <w:sz w:val="18"/>
                <w:szCs w:val="18"/>
              </w:rPr>
              <w:t>　</w:t>
            </w:r>
          </w:p>
        </w:tc>
      </w:tr>
    </w:tbl>
    <w:p>
      <w:pPr>
        <w:pStyle w:val="3"/>
        <w:rPr>
          <w:rFonts w:hint="eastAsia"/>
        </w:rPr>
      </w:pP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9" w:lineRule="auto"/>
      <w:ind w:left="4552"/>
      <w:rPr>
        <w:rFonts w:ascii="Arial" w:hAnsi="Arial" w:eastAsia="Arial" w:cs="Arial"/>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C62221"/>
    <w:multiLevelType w:val="singleLevel"/>
    <w:tmpl w:val="8EC6222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004F1175"/>
    <w:rsid w:val="00E35FB1"/>
    <w:rsid w:val="0159103A"/>
    <w:rsid w:val="01FA2005"/>
    <w:rsid w:val="02016291"/>
    <w:rsid w:val="020B6A0C"/>
    <w:rsid w:val="06AB60C8"/>
    <w:rsid w:val="074B699F"/>
    <w:rsid w:val="07C94B1B"/>
    <w:rsid w:val="099164E3"/>
    <w:rsid w:val="099E4548"/>
    <w:rsid w:val="0C0033B9"/>
    <w:rsid w:val="0D303DF2"/>
    <w:rsid w:val="0EC71CE7"/>
    <w:rsid w:val="11505741"/>
    <w:rsid w:val="12D269DB"/>
    <w:rsid w:val="1322573D"/>
    <w:rsid w:val="14E32ED1"/>
    <w:rsid w:val="169A3A63"/>
    <w:rsid w:val="16F77107"/>
    <w:rsid w:val="1AE16104"/>
    <w:rsid w:val="1B303794"/>
    <w:rsid w:val="20864076"/>
    <w:rsid w:val="20FF12EB"/>
    <w:rsid w:val="2674607E"/>
    <w:rsid w:val="27443E62"/>
    <w:rsid w:val="278A18D2"/>
    <w:rsid w:val="2D1C121E"/>
    <w:rsid w:val="2DE97352"/>
    <w:rsid w:val="2F464330"/>
    <w:rsid w:val="31231F76"/>
    <w:rsid w:val="331B006F"/>
    <w:rsid w:val="334F1083"/>
    <w:rsid w:val="3426013B"/>
    <w:rsid w:val="37CB76EE"/>
    <w:rsid w:val="38A422AB"/>
    <w:rsid w:val="3A415AE4"/>
    <w:rsid w:val="3B054865"/>
    <w:rsid w:val="3C312EC2"/>
    <w:rsid w:val="3C5438C1"/>
    <w:rsid w:val="3C9B2394"/>
    <w:rsid w:val="3E185526"/>
    <w:rsid w:val="433469DC"/>
    <w:rsid w:val="43BC4ACD"/>
    <w:rsid w:val="45103AFF"/>
    <w:rsid w:val="48384362"/>
    <w:rsid w:val="48416D65"/>
    <w:rsid w:val="49247038"/>
    <w:rsid w:val="4A547E78"/>
    <w:rsid w:val="4C22704C"/>
    <w:rsid w:val="4D64034B"/>
    <w:rsid w:val="4E870795"/>
    <w:rsid w:val="52417FCB"/>
    <w:rsid w:val="53E21FCA"/>
    <w:rsid w:val="53F30108"/>
    <w:rsid w:val="557D644E"/>
    <w:rsid w:val="56CB744A"/>
    <w:rsid w:val="57790DF1"/>
    <w:rsid w:val="584B1CC8"/>
    <w:rsid w:val="586E207E"/>
    <w:rsid w:val="59FD0F5C"/>
    <w:rsid w:val="5A220C98"/>
    <w:rsid w:val="5AFA670B"/>
    <w:rsid w:val="5BC34847"/>
    <w:rsid w:val="5DF43025"/>
    <w:rsid w:val="5EB31E9F"/>
    <w:rsid w:val="60924A0D"/>
    <w:rsid w:val="63970591"/>
    <w:rsid w:val="63D207CF"/>
    <w:rsid w:val="63DD455C"/>
    <w:rsid w:val="65694EF8"/>
    <w:rsid w:val="65F71905"/>
    <w:rsid w:val="67FBBEFE"/>
    <w:rsid w:val="67FC655C"/>
    <w:rsid w:val="6A3273AF"/>
    <w:rsid w:val="6AAAA805"/>
    <w:rsid w:val="6C9003BD"/>
    <w:rsid w:val="6DC4736B"/>
    <w:rsid w:val="6F8C57B4"/>
    <w:rsid w:val="6FAF2C87"/>
    <w:rsid w:val="705861FF"/>
    <w:rsid w:val="710A268A"/>
    <w:rsid w:val="712D43E0"/>
    <w:rsid w:val="716F2C97"/>
    <w:rsid w:val="71DE0782"/>
    <w:rsid w:val="72914E8F"/>
    <w:rsid w:val="73832A2A"/>
    <w:rsid w:val="74312AA3"/>
    <w:rsid w:val="75396923"/>
    <w:rsid w:val="757F4BF0"/>
    <w:rsid w:val="75FEC5C9"/>
    <w:rsid w:val="784732DF"/>
    <w:rsid w:val="78F61EF0"/>
    <w:rsid w:val="795FFE47"/>
    <w:rsid w:val="7B2E5AE9"/>
    <w:rsid w:val="7B811F45"/>
    <w:rsid w:val="7D9C1485"/>
    <w:rsid w:val="7E982ACD"/>
    <w:rsid w:val="7EAF5289"/>
    <w:rsid w:val="7EBD7AF1"/>
    <w:rsid w:val="85E9D35C"/>
    <w:rsid w:val="BDD7BF52"/>
    <w:rsid w:val="C6FF4F11"/>
    <w:rsid w:val="D779DD93"/>
    <w:rsid w:val="DD27C819"/>
    <w:rsid w:val="EFFED914"/>
    <w:rsid w:val="F6BD098F"/>
    <w:rsid w:val="F77B4E31"/>
    <w:rsid w:val="FBEA08A0"/>
    <w:rsid w:val="FDB84C12"/>
    <w:rsid w:val="FF87A9E4"/>
    <w:rsid w:val="FFB2A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style>
  <w:style w:type="paragraph" w:styleId="3">
    <w:name w:val="Normal Indent"/>
    <w:basedOn w:val="1"/>
    <w:next w:val="1"/>
    <w:qFormat/>
    <w:uiPriority w:val="0"/>
    <w:pPr>
      <w:ind w:firstLine="200" w:firstLineChars="200"/>
    </w:pPr>
  </w:style>
  <w:style w:type="paragraph" w:styleId="4">
    <w:name w:val="annotation text"/>
    <w:basedOn w:val="1"/>
    <w:qFormat/>
    <w:uiPriority w:val="0"/>
    <w:pPr>
      <w:jc w:val="left"/>
    </w:p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font31"/>
    <w:basedOn w:val="12"/>
    <w:qFormat/>
    <w:uiPriority w:val="0"/>
    <w:rPr>
      <w:rFonts w:hint="eastAsia" w:ascii="仿宋_GB2312" w:eastAsia="仿宋_GB2312" w:cs="仿宋_GB2312"/>
      <w:color w:val="0070C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10044</Words>
  <Characters>10779</Characters>
  <Lines>0</Lines>
  <Paragraphs>0</Paragraphs>
  <TotalTime>20</TotalTime>
  <ScaleCrop>false</ScaleCrop>
  <LinksUpToDate>false</LinksUpToDate>
  <CharactersWithSpaces>10794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2023-05-20T09:13:00Z</dcterms:created>
  <dc:creator>90994</dc:creator>
  <cp:lastModifiedBy>nyncj</cp:lastModifiedBy>
  <dcterms:modified xsi:type="dcterms:W3CDTF">2023-06-05T08:49:05Z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2FF184A129AD429A9829A8E5E5516616_12</vt:lpwstr>
  </property>
</Properties>
</file>