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pPr>
      <w:r>
        <w:rPr>
          <w:rFonts w:hint="eastAsia" w:ascii="方正小标宋简体" w:eastAsia="方正小标宋简体"/>
          <w:sz w:val="36"/>
          <w:szCs w:val="36"/>
        </w:rPr>
        <w:t>部门整体绩效评价报告</w:t>
      </w:r>
      <w:bookmarkStart w:id="0" w:name="_Toc12897"/>
    </w:p>
    <w:p>
      <w:pPr>
        <w:pStyle w:val="2"/>
        <w:keepNext/>
        <w:keepLines/>
        <w:pageBreakBefore w:val="0"/>
        <w:widowControl w:val="0"/>
        <w:numPr>
          <w:ilvl w:val="0"/>
          <w:numId w:val="1"/>
        </w:numPr>
        <w:kinsoku/>
        <w:wordWrap/>
        <w:overflowPunct/>
        <w:topLinePunct w:val="0"/>
        <w:autoSpaceDE/>
        <w:autoSpaceDN/>
        <w:bidi w:val="0"/>
        <w:adjustRightInd/>
        <w:snapToGrid/>
        <w:spacing w:after="0" w:afterLines="0" w:afterAutospacing="0" w:line="360" w:lineRule="auto"/>
        <w:ind w:firstLine="640" w:firstLineChars="200"/>
        <w:textAlignment w:val="auto"/>
        <w:rPr>
          <w:rFonts w:hint="eastAsia" w:ascii="黑体" w:hAnsi="黑体" w:eastAsia="黑体" w:cs="黑体"/>
          <w:b w:val="0"/>
          <w:bCs/>
          <w:sz w:val="32"/>
          <w:szCs w:val="20"/>
          <w:highlight w:val="none"/>
        </w:rPr>
      </w:pPr>
      <w:r>
        <w:rPr>
          <w:rFonts w:hint="eastAsia" w:ascii="黑体" w:hAnsi="黑体" w:eastAsia="黑体" w:cs="黑体"/>
          <w:b w:val="0"/>
          <w:bCs/>
          <w:sz w:val="32"/>
          <w:szCs w:val="20"/>
          <w:highlight w:val="none"/>
        </w:rPr>
        <w:t>部门概况</w:t>
      </w:r>
      <w:bookmarkEnd w:id="0"/>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楷体_GB2312" w:hAnsi="楷体_GB2312" w:eastAsia="楷体_GB2312" w:cs="楷体_GB2312"/>
          <w:b w:val="0"/>
          <w:bCs/>
          <w:highlight w:val="none"/>
        </w:rPr>
      </w:pPr>
      <w:bookmarkStart w:id="1" w:name="_Toc17703"/>
      <w:r>
        <w:rPr>
          <w:rFonts w:hint="eastAsia" w:ascii="楷体_GB2312" w:hAnsi="楷体_GB2312" w:eastAsia="楷体_GB2312" w:cs="楷体_GB2312"/>
          <w:b w:val="0"/>
          <w:bCs/>
          <w:highlight w:val="none"/>
        </w:rPr>
        <w:t>（一）机构设置及职责工作任务情况</w:t>
      </w:r>
      <w:bookmarkEnd w:id="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1、机构设置：本单位为正局级行政单位，下设议政调研处、组织处、宣传处、社会服务处和办公室。</w:t>
      </w:r>
    </w:p>
    <w:p>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职责工作任务情况：本单位是以从事教育文化出版工作的高中级知识分子为主的、具有政治联盟性质的、致力于建设中国特色社会主义事业的政党，是同中国共产党通力合作的亲密友党。主要职能是从事在教育文化出版领域的参政议政和民主监督等工作。</w:t>
      </w:r>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楷体_GB2312" w:hAnsi="楷体_GB2312" w:eastAsia="楷体_GB2312" w:cs="楷体_GB2312"/>
          <w:b w:val="0"/>
          <w:bCs/>
          <w:highlight w:val="none"/>
        </w:rPr>
      </w:pPr>
      <w:bookmarkStart w:id="2" w:name="_Toc2449"/>
      <w:r>
        <w:rPr>
          <w:rFonts w:hint="eastAsia" w:ascii="楷体_GB2312" w:hAnsi="楷体_GB2312" w:eastAsia="楷体_GB2312" w:cs="楷体_GB2312"/>
          <w:b w:val="0"/>
          <w:bCs/>
          <w:highlight w:val="none"/>
          <w:lang w:val="en-US" w:eastAsia="zh-CN"/>
        </w:rPr>
        <w:t>（二）</w:t>
      </w:r>
      <w:r>
        <w:rPr>
          <w:rFonts w:hint="eastAsia" w:ascii="楷体_GB2312" w:hAnsi="楷体_GB2312" w:eastAsia="楷体_GB2312" w:cs="楷体_GB2312"/>
          <w:b w:val="0"/>
          <w:bCs/>
          <w:highlight w:val="none"/>
        </w:rPr>
        <w:t>部门整体绩效目标设立情况</w:t>
      </w:r>
      <w:bookmarkEnd w:id="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部门整体绩效目标紧密结合中共二十大、民进十三大、北京市第十三次党代会和民进北京市十三大等会议精神，全会一心，扎实谋划五年规划。牢记参政党的政治使命，坚持将思想政治建设放在首要位置，把凝聚政治共识作为根本政治任务，充分发挥思想政治建设的核心引领作用。带领各级组织和广大会员加深对二十大精神的理解把握，深刻领悟“两个确立”的决定性意义，做到“两个维护”，以二十大精神为指引思考谋划民进发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深化“一刊一网一微一简报”宣传阵地建设与作用，推进宣传传播载体创新，构建协同联动大宣传格局，着力扩大覆盖面，提升影响力和作用力，为民进建设发展赋能增效。树牢讲政治的宣传理念，在重要历史节点、重要会议之际，传达党的声音、阐释政策，凝聚爱党爱国热情。正确研判和把握新形势下新需求，设立基础教育与高等教育两个教育委员会，同时增设了农业农村委员会和参政党建设理论研究中心，有力加强教育、科技、医卫、农业农村领域和参政党建设研究机构建设。坚持建言资政和凝聚共识双向发力，大力加强履职能力与机制平台建设，不断提升资源力量的统筹组织能力。</w:t>
      </w:r>
    </w:p>
    <w:p>
      <w:pPr>
        <w:pStyle w:val="2"/>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pPr>
      <w:bookmarkStart w:id="3" w:name="_Toc29905"/>
      <w:r>
        <w:rPr>
          <w:rFonts w:hint="eastAsia"/>
        </w:rPr>
        <w:t>二</w:t>
      </w:r>
      <w:r>
        <w:t>、</w:t>
      </w:r>
      <w:r>
        <w:rPr>
          <w:rFonts w:hint="eastAsia"/>
        </w:rPr>
        <w:t>当年</w:t>
      </w:r>
      <w:r>
        <w:t>预算执行情况</w:t>
      </w:r>
      <w:bookmarkEnd w:id="3"/>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全年预算数1585.07万元，其中，基本支出预算数1360.02万元，项目支出预算数225.05万元，无其他支出预算。资金总体支出1582.54万元，其中，基本支出1358.51万元，项目支出224.03万元，无其他支出。预算执行率为99.84%。</w:t>
      </w:r>
    </w:p>
    <w:p>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sz w:val="32"/>
          <w:szCs w:val="20"/>
          <w:highlight w:val="none"/>
        </w:rPr>
      </w:pPr>
      <w:bookmarkStart w:id="4" w:name="_Toc15754"/>
      <w:r>
        <w:rPr>
          <w:rFonts w:hint="eastAsia"/>
          <w:sz w:val="32"/>
          <w:szCs w:val="20"/>
          <w:highlight w:val="none"/>
        </w:rPr>
        <w:t>三、整体绩效目标实现情况</w:t>
      </w:r>
      <w:bookmarkEnd w:id="4"/>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highlight w:val="none"/>
        </w:rPr>
      </w:pPr>
      <w:bookmarkStart w:id="5" w:name="_Toc26655"/>
      <w:r>
        <w:rPr>
          <w:rFonts w:hint="eastAsia"/>
          <w:highlight w:val="none"/>
        </w:rPr>
        <w:t>（一）产出完成情况分析</w:t>
      </w:r>
      <w:bookmarkEnd w:id="5"/>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lang w:val="en-US" w:eastAsia="zh-CN"/>
        </w:rPr>
      </w:pPr>
      <w:bookmarkStart w:id="6" w:name="_Toc11670"/>
      <w:r>
        <w:rPr>
          <w:rFonts w:hint="eastAsia" w:ascii="仿宋_GB2312" w:hAnsi="仿宋_GB2312" w:eastAsia="仿宋_GB2312" w:cs="仿宋_GB2312"/>
          <w:b w:val="0"/>
          <w:bCs/>
          <w:highlight w:val="none"/>
        </w:rPr>
        <w:t>1.数量</w:t>
      </w:r>
      <w:r>
        <w:rPr>
          <w:rFonts w:hint="eastAsia" w:ascii="仿宋_GB2312" w:hAnsi="仿宋_GB2312" w:eastAsia="仿宋_GB2312" w:cs="仿宋_GB2312"/>
          <w:b w:val="0"/>
          <w:bCs/>
          <w:highlight w:val="none"/>
          <w:lang w:val="en-US" w:eastAsia="zh-CN"/>
        </w:rPr>
        <w:t>指标完成情况</w:t>
      </w:r>
      <w:bookmarkEnd w:id="6"/>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深化开展“矢志不渝跟党走、携手奋进新时代”政治交接主题教育，引领广大会员坚定跟党走、正道行、共奋进。坚持将政治理论学习作为主委会、常委会、全体会等“第一议程”，深入学习贯彻习总书记对北京重要讲话精神、中共十九大及历次全会精神、习总书记关于做好新时代统一战线工作的重要思想、多党合作的重要论述，民进十三大精神、北京市十三次党代会和市委十三届二次全会精神等。全市各级组织开展学习活动315次，覆盖近2万人次。</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充分发挥智力优势建言献策，累计报送相关建言400余篇，被上级部门采用40余篇，其中《坚持精准防控策略 及时优化进返京政策的建议》等4篇得到了市委主要领导等批示，为党和政府决策提供了重要参考。</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北京民进》会刊刊发6期93篇，“北京民进”微信推送306期372篇，网站更新900条次。加强与民进中央、市委统战部、主流媒体等合作，发出北京民进好声音，在中央媒体发稿350篇，中央新闻网站310篇，地方媒体280篇，发布专题片12部。</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通过各级各类换届、市级代表人士推荐等向有关部门、中央等推荐1000余人次。分层次、多渠道联动开展教育培训，推荐1500余人次参加各级统战部、社会主义学院的学习培训。</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坚持建言资政和凝聚共识双向发力，大力加强履职能力与机制平台建设，不断提升资源力量的统筹组织能力，参政履职成效显著。全年报送建议630余篇，被采用331篇，其中为国家层面采用172篇，北京市采用159篇，获市委主要领导等批示的就有9篇。各类平台开展多轮次社情民意信息培训覆盖2000余人次，促进履职能力提升。充分调动各级组织报送70余项课题，立项21项重点课题，调研报告成果转化率100%。</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加强对各级组织履职培训；各类平台开展多轮次社情民意信息培训覆盖2000余人次，促进履职能力提升。充分调动各级组织报送70余项课题，立项21项重点课题，调研报告成果转化率100%。强化内外协作，与市政协科技委、农业农村委、人资环建委等联合调研30余次，形成了多项联合调研成果；深化与会外高校智库、科研机构、市区政府等的合作与成果共享，30余份合作建议得到有关部门采纳。</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先后承办“同心·彩虹”行动及各类线上线下培训140余次，累计培训教师6万余人次。联动民进中央社会服务部、开明慈善基金，民进东城、西城、朝阳、海淀区委和首师大基层委员会等，在贵州兴义、安龙、金沙、赫章等地开展多批次教师培训，受益教师3500余人次。依托各级组织、专委会和骨干专家会员，分科分段精准开展教研活动，辐射200余所学校，培训教师5万余人次。组织当地教师参加全国性教育高质量发展论坛、示范课、讲座、座谈研讨、线上论坛等活动，覆盖1万余人次。在项目数量指标方面基本达到了预期目标，达到良好指标。</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kern w:val="2"/>
          <w:sz w:val="32"/>
          <w:szCs w:val="24"/>
          <w:highlight w:val="none"/>
          <w:lang w:val="en-US" w:eastAsia="zh-CN" w:bidi="ar-SA"/>
        </w:rPr>
      </w:pPr>
      <w:bookmarkStart w:id="7" w:name="_Toc21310"/>
      <w:r>
        <w:rPr>
          <w:rFonts w:hint="eastAsia" w:ascii="仿宋_GB2312" w:hAnsi="仿宋_GB2312" w:eastAsia="仿宋_GB2312" w:cs="仿宋_GB2312"/>
          <w:b w:val="0"/>
          <w:bCs/>
          <w:kern w:val="2"/>
          <w:sz w:val="32"/>
          <w:szCs w:val="24"/>
          <w:highlight w:val="none"/>
          <w:lang w:val="en-US" w:eastAsia="zh-CN" w:bidi="ar-SA"/>
        </w:rPr>
        <w:t>2.产出质量</w:t>
      </w:r>
      <w:bookmarkEnd w:id="7"/>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推动城乡义务教育优质均衡发展的建议》《健全乡村教师队伍建设保障机制的建议》《完善公费师范生定向培养政策与经费保障机制的建议》《关于加强农村教师培训的建议》4份建议被政府工作报告和《2021年中央和地方预算执行情况与2022年中央和地方预算草案的报告》采纳；对《职业教育法（修正案）》《学前教育法（草案）》等的建议被全国人大常委会、教育部采纳；《“双减”背景下义务教育教师队伍面临的问题与政策建议》《以中央财政直达机制 培养补充乡村小学全科教师的建议》《京津冀整合资源建设高水平大学》等得到教育部、财政部等高度重视，为国家决策、政策法律制定提供了有力支持。 建言文化强国建设。《持续推进黄河国家文化公园建设的建议》被民进中央作为全国政协大会界别提案，得到办复部门的充分肯定。《调整文化艺术基金结构 加大“高峰”演艺作品培育力度》《出版&lt;中华优秀传统文化&gt;系列连环画的》等获全国政协采用。建言经济高质量发展和国家安全。《关于应对明年经济下行压力的建议》《关于我国粮食安全的供需形势分析与应对建议》《建议缩小城乡居民财产收入差距 推进共同富裕》《积极应对国际能源冲突 保障我国能源安全的建议》等被中央有关部门、全国政协采用，助力国家安全发展。建言污染防治和美丽中国建设。《加快形成绿色低碳生产生活方式的建议》经民进中央报送中共中央、国务院，得到有关部门的高度重视。《完善和推广绿色电力证书交易 促进新能源发电市场化消纳》《新形势下“一带一路”能源合作的建议》等被全国政协采用，助推生态文明建设。</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聚焦“双减”政策实施成效与建议，作高质量政党协商发言，得到市委主要领导的充分肯定；《倾听学生声音 深化“双减”成果》《“双减”政策背景下促进教育培训机构从业人员再就业》等建议得到市领导批示，或被列入市政协主席年度办理重点议题，召开专题办理协商会，推动有关建议落地。《促进集团化办学规模与效益稳步提升的提案》获评市政协“优秀提案”。助力全国文化中心建设。就《北京市公共文化服务保障条例》积极开展调研，多项建议为北京市人大常委会采纳入法。赴东城区就全国文化中心建设开展专题调研、座谈；《尽早规划在南中轴线及延长线建设多类型博物馆的建议》得到市领导批示，直接推动相关工作开展。在“推进建设博物馆之城 助力全国文化中心建设”议政会上的重点发言，被多家媒体报道。建言提升首都城市治理水平。围绕韧性城市建设，先后赴市气象局、市城管委等走访调研，《促进地下排水管网智慧化升级转型的建议》得到市领导的高度重视，市水务局专门对接推进；《对建筑保温板进行全过程监管和评价的建议》获市领导批示，助力防范安全隐患。推动首都科技与经济高质量发展。《坚持国际化视野 提升国际科技创新话语权》得到市委主要领导批示；《促进首都数字创意产业融合发展 强化头部效应》获评市政协“优秀提案”，并列为市领导重点督办提案。赴顺义区专题就推动“两区”建设调研，并就服务贸易、文化贸易、产业平台建设等提出多项有见地的建议，得到党政领导的充分肯定。深入平谷、通州、门头沟等13个区，开展“聚焦共同富裕 促进农民增收”调研，并在市政协议政性常委会议上作发言，助推乡村振兴。《全球数字经济标杆城市发展指标体系研究报告》获评北京市参政议政优秀调研成果奖。</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扎实推进对口房山区民主监督工作，聚焦永定河文化带建设、农村集体经济发展、国际消费中心城市建设等重点，开展6项专项民主监督课题研究。专业化监督与常态化监督相结合，综合采用集中调研、线上调研、明察暗访、街边随机访谈等多种形式，实地调研20余个村镇、企业、园区、校园等，召开座谈、研讨10余次。显著提升监督质效，20余条建议被房山区委区政府采纳；《聚焦消费增长 增强经济发展内生动力》《适时调整税收制度 积极应对新经济新业态快速发展》等得到相关部门重视，并被中央有关部门采用，形成具有全国参考意义的政策建议。</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坚持建言资政和凝聚共识双向发力，大力加强履职能力与机制平台建设，不断提升资源力量的统筹组织能力，参政履职成效显著。各类平台开展多轮次社情民意信息培训覆盖2000余人次，促进履职能力提升。充分调动各级组织报送70余项课题，立项21项重点课题，调研报告成果转化率100%。</w:t>
      </w:r>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rPr>
      </w:pPr>
      <w:bookmarkStart w:id="8" w:name="_Toc28427"/>
      <w:r>
        <w:rPr>
          <w:rFonts w:hint="eastAsia" w:ascii="仿宋_GB2312" w:hAnsi="仿宋_GB2312" w:eastAsia="仿宋_GB2312" w:cs="仿宋_GB2312"/>
          <w:b w:val="0"/>
          <w:bCs/>
          <w:highlight w:val="none"/>
        </w:rPr>
        <w:t>3.产出进度</w:t>
      </w:r>
      <w:bookmarkEnd w:id="8"/>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预计完成日期2022年12月；实际完成日期 2022年12月。</w:t>
      </w:r>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rPr>
      </w:pPr>
      <w:bookmarkStart w:id="9" w:name="_Toc26763"/>
      <w:r>
        <w:rPr>
          <w:rFonts w:hint="eastAsia" w:ascii="仿宋_GB2312" w:hAnsi="仿宋_GB2312" w:eastAsia="仿宋_GB2312" w:cs="仿宋_GB2312"/>
          <w:b w:val="0"/>
          <w:bCs/>
          <w:highlight w:val="none"/>
        </w:rPr>
        <w:t>4.产出成本</w:t>
      </w:r>
      <w:bookmarkEnd w:id="9"/>
      <w:r>
        <w:rPr>
          <w:rFonts w:hint="eastAsia" w:ascii="仿宋_GB2312" w:hAnsi="仿宋_GB2312" w:eastAsia="仿宋_GB2312" w:cs="仿宋_GB2312"/>
          <w:b w:val="0"/>
          <w:bCs/>
          <w:highlight w:val="none"/>
        </w:rPr>
        <w:t xml:space="preserve">  </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highlight w:val="none"/>
          <w:lang w:val="en-US" w:eastAsia="zh-CN"/>
        </w:rPr>
        <w:t xml:space="preserve">财政拨款实际收入1585.07万元，支出1582.54万元，结余2.53万元,财政拨款结余按照规定全部由财政收回统筹。预算完成率99.84%。      </w:t>
      </w:r>
      <w:r>
        <w:rPr>
          <w:rFonts w:hint="eastAsia" w:ascii="仿宋_GB2312" w:hAnsi="宋体" w:eastAsia="仿宋_GB2312" w:cs="宋体"/>
          <w:color w:val="000000"/>
          <w:kern w:val="0"/>
          <w:sz w:val="32"/>
          <w:szCs w:val="32"/>
        </w:rPr>
        <w:t xml:space="preserve">                         </w:t>
      </w:r>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rPr>
      </w:pPr>
      <w:bookmarkStart w:id="10" w:name="_Toc31686"/>
      <w:r>
        <w:rPr>
          <w:rFonts w:hint="eastAsia"/>
        </w:rPr>
        <w:t>（二）效果实现情况分析</w:t>
      </w:r>
      <w:bookmarkEnd w:id="10"/>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rPr>
      </w:pPr>
      <w:bookmarkStart w:id="11" w:name="_Toc20370"/>
      <w:r>
        <w:rPr>
          <w:rFonts w:hint="eastAsia" w:ascii="仿宋_GB2312" w:hAnsi="仿宋_GB2312" w:eastAsia="仿宋_GB2312" w:cs="仿宋_GB2312"/>
          <w:b w:val="0"/>
          <w:bCs/>
          <w:highlight w:val="none"/>
          <w:lang w:val="en-US" w:eastAsia="zh-CN"/>
        </w:rPr>
        <w:t>1</w:t>
      </w:r>
      <w:r>
        <w:rPr>
          <w:rFonts w:hint="eastAsia" w:ascii="仿宋_GB2312" w:hAnsi="仿宋_GB2312" w:eastAsia="仿宋_GB2312" w:cs="仿宋_GB2312"/>
          <w:b w:val="0"/>
          <w:bCs/>
          <w:highlight w:val="none"/>
        </w:rPr>
        <w:t>.社会效益</w:t>
      </w:r>
      <w:bookmarkEnd w:id="11"/>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创新深化参政议政重点主题、成果征集机制，以“自下而上”与“自上而下”相结合征集、形成参政议政重点主题。面向各级组织、各专委会、五类“关键少数”（各级组织领导班子成员、市委委员、专委会委员、各级“两会”代表委员、民进中央委员）、广大会员等征集建言成果，专题与广泛征集相结合，充分发挥全会组织资源优势。</w:t>
      </w:r>
      <w:r>
        <w:rPr>
          <w:rFonts w:hint="eastAsia" w:ascii="仿宋_GB2312" w:hAnsi="宋体" w:eastAsia="仿宋_GB2312" w:cs="宋体"/>
          <w:color w:val="000000"/>
          <w:kern w:val="0"/>
          <w:sz w:val="32"/>
          <w:szCs w:val="32"/>
          <w:highlight w:val="none"/>
          <w:lang w:val="zh-TW" w:eastAsia="zh-CN"/>
        </w:rPr>
        <w:tab/>
      </w:r>
      <w:r>
        <w:rPr>
          <w:rFonts w:hint="eastAsia" w:ascii="仿宋_GB2312" w:hAnsi="宋体" w:eastAsia="仿宋_GB2312" w:cs="宋体"/>
          <w:color w:val="000000"/>
          <w:kern w:val="0"/>
          <w:sz w:val="32"/>
          <w:szCs w:val="32"/>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推进建设西南民族地区教师教育研究中心、金沙教育研究院，并深化发挥其“工作母机”作用，坚持立足贵州、辐射川黔渝滇，以支持教师专业发展和队伍建设为重点，助力贵州及西南区域基础教育高质量发展。强化专业研究力量，以深入研究新时代参政党建设的理论、规律特点及履职实践中亟待解决的重要问题，为加强全会建设、凝聚共识、履职尽责提供理论支持。</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 w:hAnsi="仿宋" w:eastAsia="仿宋" w:cs="仿宋"/>
          <w:color w:val="auto"/>
          <w:spacing w:val="8"/>
          <w:sz w:val="29"/>
          <w:szCs w:val="29"/>
          <w:lang w:val="en-US" w:eastAsia="zh-CN"/>
        </w:rPr>
      </w:pPr>
      <w:r>
        <w:rPr>
          <w:rFonts w:hint="eastAsia" w:ascii="仿宋_GB2312" w:hAnsi="宋体" w:eastAsia="仿宋_GB2312" w:cs="宋体"/>
          <w:color w:val="000000"/>
          <w:kern w:val="0"/>
          <w:sz w:val="32"/>
          <w:szCs w:val="32"/>
          <w:highlight w:val="none"/>
          <w:lang w:val="en-US" w:eastAsia="zh-CN"/>
        </w:rPr>
        <w:t>广泛发动各级组织参加“安龙农产品走进民进——我为扶贫下一单”活动。在安龙县开展“妈妈的针线活”项目，帮助当地家庭增收。联动通州区工委向河南省蒿坪村捐赠净水器，改善农村饮水质量。</w:t>
      </w:r>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lang w:val="en-US" w:eastAsia="zh-CN"/>
        </w:rPr>
      </w:pPr>
      <w:bookmarkStart w:id="12" w:name="_Toc17830"/>
      <w:r>
        <w:rPr>
          <w:rFonts w:hint="eastAsia" w:ascii="仿宋_GB2312" w:hAnsi="仿宋_GB2312" w:eastAsia="仿宋_GB2312" w:cs="仿宋_GB2312"/>
          <w:b w:val="0"/>
          <w:bCs/>
          <w:highlight w:val="none"/>
          <w:lang w:val="en-US" w:eastAsia="zh-CN"/>
        </w:rPr>
        <w:t>2.可持续性影响</w:t>
      </w:r>
      <w:bookmarkEnd w:id="12"/>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bookmarkStart w:id="13" w:name="_Toc308"/>
      <w:r>
        <w:rPr>
          <w:rFonts w:hint="eastAsia" w:ascii="仿宋_GB2312" w:hAnsi="宋体" w:eastAsia="仿宋_GB2312" w:cs="宋体"/>
          <w:color w:val="000000"/>
          <w:kern w:val="0"/>
          <w:sz w:val="32"/>
          <w:szCs w:val="32"/>
          <w:highlight w:val="none"/>
          <w:lang w:val="en-US" w:eastAsia="zh-CN"/>
        </w:rPr>
        <w:t>协助民进中央，推进建设西南民族地区教师教育研究中心、金沙教育研究院，并深化发挥其“工作母机”作用，坚持立足贵州、辐射川黔渝滇，以支持教师专业发展和队伍建设为重点，助力贵州及西南区域基础教育高质量发展。</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加强与北京师范大学教育学部等合作，打造京西教育研究院，实施“京西名师”培养项目，培训多学科教师，并</w:t>
      </w:r>
      <w:r>
        <w:rPr>
          <w:rFonts w:hint="eastAsia" w:ascii="仿宋_GB2312" w:hAnsi="宋体" w:eastAsia="仿宋_GB2312" w:cs="宋体"/>
          <w:color w:val="000000"/>
          <w:kern w:val="0"/>
          <w:sz w:val="32"/>
          <w:szCs w:val="32"/>
          <w:highlight w:val="none"/>
          <w:lang w:val="zh-CN" w:eastAsia="zh-CN"/>
        </w:rPr>
        <w:t>指导</w:t>
      </w:r>
      <w:r>
        <w:rPr>
          <w:rFonts w:hint="eastAsia" w:ascii="仿宋_GB2312" w:hAnsi="宋体" w:eastAsia="仿宋_GB2312" w:cs="宋体"/>
          <w:color w:val="000000"/>
          <w:kern w:val="0"/>
          <w:sz w:val="32"/>
          <w:szCs w:val="32"/>
          <w:highlight w:val="none"/>
          <w:lang w:val="en-US" w:eastAsia="zh-CN"/>
        </w:rPr>
        <w:t>门头沟区教师</w:t>
      </w:r>
      <w:r>
        <w:rPr>
          <w:rFonts w:hint="eastAsia" w:ascii="仿宋_GB2312" w:hAnsi="宋体" w:eastAsia="仿宋_GB2312" w:cs="宋体"/>
          <w:color w:val="000000"/>
          <w:kern w:val="0"/>
          <w:sz w:val="32"/>
          <w:szCs w:val="32"/>
          <w:highlight w:val="none"/>
          <w:lang w:val="zh-CN" w:eastAsia="zh-CN"/>
        </w:rPr>
        <w:t>开展教育教学研究</w:t>
      </w:r>
      <w:r>
        <w:rPr>
          <w:rFonts w:hint="eastAsia" w:ascii="仿宋_GB2312" w:hAnsi="宋体" w:eastAsia="仿宋_GB2312" w:cs="宋体"/>
          <w:color w:val="000000"/>
          <w:kern w:val="0"/>
          <w:sz w:val="32"/>
          <w:szCs w:val="32"/>
          <w:highlight w:val="none"/>
          <w:lang w:val="en-US" w:eastAsia="zh-CN"/>
        </w:rPr>
        <w:t>。持续支持景山学校京西实验学校建设，有力助推疫情之下如期开学。协调区委区政府、区级组织、相关专委会、高校等专业力量，牵头组建“北京民进名师专家团”，以充分发挥在教育领域的优势作用，贡献推动首都基础教育发展，融合助推各区级组织发展。联动清华基层委员会推出“高考专家大讲堂”在线讲座项目，助力门头沟区共享名师资源。</w:t>
      </w:r>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lang w:val="en-US" w:eastAsia="zh-CN"/>
        </w:rPr>
      </w:pPr>
      <w:r>
        <w:rPr>
          <w:rFonts w:hint="eastAsia" w:ascii="仿宋_GB2312" w:hAnsi="仿宋_GB2312" w:eastAsia="仿宋_GB2312" w:cs="仿宋_GB2312"/>
          <w:b w:val="0"/>
          <w:bCs/>
          <w:highlight w:val="none"/>
          <w:lang w:val="en-US" w:eastAsia="zh-CN"/>
        </w:rPr>
        <w:t>3.服务对象满意度</w:t>
      </w:r>
      <w:bookmarkEnd w:id="13"/>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通过抽样调查，各基层组织及会员满意度95%，达到良好标准。</w:t>
      </w:r>
    </w:p>
    <w:p>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sz w:val="32"/>
          <w:szCs w:val="20"/>
        </w:rPr>
      </w:pPr>
      <w:bookmarkStart w:id="14" w:name="_Toc24214"/>
      <w:r>
        <w:rPr>
          <w:rFonts w:hint="eastAsia"/>
          <w:sz w:val="32"/>
          <w:szCs w:val="20"/>
        </w:rPr>
        <w:t>四、预算管理情况分析</w:t>
      </w:r>
      <w:bookmarkEnd w:id="14"/>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rPr>
      </w:pPr>
      <w:bookmarkStart w:id="15" w:name="_Toc6649"/>
      <w:r>
        <w:rPr>
          <w:rFonts w:hint="eastAsia"/>
        </w:rPr>
        <w:t>（一）财务管理</w:t>
      </w:r>
      <w:bookmarkEnd w:id="15"/>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lang w:val="en-US" w:eastAsia="zh-CN"/>
        </w:rPr>
      </w:pPr>
      <w:bookmarkStart w:id="16" w:name="_Toc8744"/>
      <w:r>
        <w:rPr>
          <w:rFonts w:hint="eastAsia" w:ascii="仿宋_GB2312" w:hAnsi="仿宋_GB2312" w:eastAsia="仿宋_GB2312" w:cs="仿宋_GB2312"/>
          <w:b w:val="0"/>
          <w:bCs/>
          <w:highlight w:val="none"/>
          <w:lang w:val="en-US" w:eastAsia="zh-CN"/>
        </w:rPr>
        <w:t>1.财务管理制度健全性</w:t>
      </w:r>
      <w:bookmarkEnd w:id="16"/>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本单位的财务人员严格按照政府会计制度履行财务管理职责，做好财务预算编制、执行、控制、分析及决算工作；内部财务管理制度健全；预算资金管理办法、绩效跟踪管理办法、资产管理办法等各项制度健全；部门内部财务管理制度完整、合规；会计核算制度完整、合规。</w:t>
      </w:r>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lang w:val="en-US" w:eastAsia="zh-CN"/>
        </w:rPr>
      </w:pPr>
      <w:bookmarkStart w:id="17" w:name="_Toc31688"/>
      <w:r>
        <w:rPr>
          <w:rFonts w:hint="eastAsia" w:ascii="仿宋_GB2312" w:hAnsi="仿宋_GB2312" w:eastAsia="仿宋_GB2312" w:cs="仿宋_GB2312"/>
          <w:b w:val="0"/>
          <w:bCs/>
          <w:highlight w:val="none"/>
          <w:lang w:val="en-US" w:eastAsia="zh-CN"/>
        </w:rPr>
        <w:t>2.资金使用合规性和安全性</w:t>
      </w:r>
      <w:bookmarkEnd w:id="17"/>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本年度支出的所有资金符合国家财经法规和财务管理制度规定以及有关专项资金管理办法的规定；资金拨付有完整的审批程序和手续；项目支出按规定经过评估论证；支出符合部门预算批复的用途；资金使用无截留、挤占、挪用、虚列支出等情况</w:t>
      </w:r>
    </w:p>
    <w:p>
      <w:pPr>
        <w:pStyle w:val="4"/>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仿宋_GB2312" w:eastAsia="仿宋_GB2312" w:cs="仿宋_GB2312"/>
          <w:b w:val="0"/>
          <w:bCs/>
          <w:highlight w:val="none"/>
          <w:lang w:val="en-US" w:eastAsia="zh-CN"/>
        </w:rPr>
      </w:pPr>
      <w:bookmarkStart w:id="18" w:name="_Toc8870"/>
      <w:r>
        <w:rPr>
          <w:rFonts w:hint="eastAsia" w:ascii="仿宋_GB2312" w:hAnsi="仿宋_GB2312" w:eastAsia="仿宋_GB2312" w:cs="仿宋_GB2312"/>
          <w:b w:val="0"/>
          <w:bCs/>
          <w:highlight w:val="none"/>
          <w:lang w:val="en-US" w:eastAsia="zh-CN"/>
        </w:rPr>
        <w:t>3.会计基础信息完善性</w:t>
      </w:r>
      <w:bookmarkEnd w:id="18"/>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本单位依法建账，严格按照政府会计制度设置会计科目，开展会计工作。原始凭证的格式正确、内容完整、要素齐全，填制方法、审核程序等符合制度要求;记账凭证内容、填制方法、所附原始凭证、符合制度要求，字迹清楚，装订整齐。</w:t>
      </w:r>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本单位按规定设置总账、明细账、日记账和备查账，账薄启用规范，账薄登记字迹清楚、要素齐全、摘要明确，结账、错误更正方法都符合会计制度的规定。能做到账证、账账、账实相符，银行存款与银行对账单及时核对。对会计凭证、会计账簿、会计报表和其他会计资料都能按照国家规定定期整理归档，妥善保管。保证会计基础信息资料真实、完整、准确。</w:t>
      </w:r>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rPr>
      </w:pPr>
      <w:bookmarkStart w:id="19" w:name="_Toc3656"/>
      <w:r>
        <w:rPr>
          <w:rFonts w:hint="eastAsia"/>
        </w:rPr>
        <w:t>（二）资产管理</w:t>
      </w:r>
      <w:bookmarkEnd w:id="19"/>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本单位对单位公共财产物资实行统一管理、统一调配，</w:t>
      </w:r>
      <w:bookmarkStart w:id="27" w:name="_GoBack"/>
      <w:bookmarkEnd w:id="27"/>
      <w:r>
        <w:rPr>
          <w:rFonts w:hint="eastAsia" w:ascii="仿宋_GB2312" w:hAnsi="宋体" w:eastAsia="仿宋_GB2312" w:cs="宋体"/>
          <w:color w:val="000000"/>
          <w:kern w:val="0"/>
          <w:sz w:val="32"/>
          <w:szCs w:val="32"/>
          <w:highlight w:val="none"/>
          <w:lang w:val="en-US" w:eastAsia="zh-CN"/>
        </w:rPr>
        <w:t>对固定资产统一采购、多人经办，每月月初根据各部门的需求制订采购计划，实行多人经办、“货比三家”，并按政府采购程序和有关规定加强采购手续。年底对财产物资进行清查、盘点、核对、处理。对取得的资产实物及时进行会计核算。</w:t>
      </w:r>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Arial" w:hAnsi="Arial"/>
          <w:b w:val="0"/>
          <w:sz w:val="32"/>
          <w:szCs w:val="32"/>
        </w:rPr>
      </w:pPr>
      <w:bookmarkStart w:id="20" w:name="_Toc27691"/>
      <w:r>
        <w:rPr>
          <w:rFonts w:hint="eastAsia" w:ascii="Arial" w:hAnsi="Arial"/>
          <w:b w:val="0"/>
          <w:sz w:val="32"/>
          <w:szCs w:val="32"/>
        </w:rPr>
        <w:t>（三）绩效管理</w:t>
      </w:r>
      <w:bookmarkEnd w:id="20"/>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我单位在整体目标执行中及时了解执行的基本情况，收集整理相关资料，确定了绩效目标，资金使用情况，完成情况及项目效益的实现情况等。对绩效信息及时进行汇总分析整理，对绩效目标偏离的情况及时进行矫正。</w:t>
      </w:r>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Arial" w:hAnsi="Arial"/>
          <w:b w:val="0"/>
          <w:sz w:val="32"/>
          <w:szCs w:val="32"/>
        </w:rPr>
      </w:pPr>
      <w:bookmarkStart w:id="21" w:name="_Toc12183"/>
      <w:r>
        <w:rPr>
          <w:rFonts w:hint="eastAsia" w:ascii="Arial" w:hAnsi="Arial"/>
          <w:b w:val="0"/>
          <w:sz w:val="32"/>
          <w:szCs w:val="32"/>
        </w:rPr>
        <w:t>（四）结转结余率</w:t>
      </w:r>
      <w:bookmarkEnd w:id="21"/>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2021年无结转结余资金。2022年结转结余资金2.53万元，预算支出数1582.54万元，结转结余率0.16%。</w:t>
      </w:r>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Arial" w:hAnsi="Arial"/>
          <w:b w:val="0"/>
          <w:sz w:val="32"/>
          <w:szCs w:val="32"/>
        </w:rPr>
      </w:pPr>
      <w:bookmarkStart w:id="22" w:name="_Toc20422"/>
      <w:r>
        <w:rPr>
          <w:rFonts w:hint="eastAsia" w:ascii="Arial" w:hAnsi="Arial"/>
          <w:b w:val="0"/>
          <w:sz w:val="32"/>
          <w:szCs w:val="32"/>
          <w:lang w:eastAsia="zh-CN"/>
        </w:rPr>
        <w:t>（</w:t>
      </w:r>
      <w:r>
        <w:rPr>
          <w:rFonts w:hint="eastAsia" w:ascii="Arial" w:hAnsi="Arial"/>
          <w:b w:val="0"/>
          <w:sz w:val="32"/>
          <w:szCs w:val="32"/>
          <w:lang w:val="en-US" w:eastAsia="zh-CN"/>
        </w:rPr>
        <w:t>五）</w:t>
      </w:r>
      <w:r>
        <w:rPr>
          <w:rFonts w:hint="eastAsia" w:ascii="Arial" w:hAnsi="Arial"/>
          <w:b w:val="0"/>
          <w:sz w:val="32"/>
          <w:szCs w:val="32"/>
        </w:rPr>
        <w:t>部门预决算差异率</w:t>
      </w:r>
      <w:bookmarkEnd w:id="22"/>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2022年度预算。年初预算支出为1470.98万元，决算支出为1582.54万元，决算比年初预算增加111.56万元，增加7.58%。</w:t>
      </w:r>
    </w:p>
    <w:p>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黑体" w:hAnsi="黑体" w:eastAsia="黑体" w:cs="黑体"/>
          <w:b w:val="0"/>
          <w:bCs/>
          <w:sz w:val="32"/>
          <w:szCs w:val="32"/>
        </w:rPr>
      </w:pPr>
      <w:bookmarkStart w:id="23" w:name="_Toc27347"/>
      <w:r>
        <w:rPr>
          <w:rFonts w:hint="eastAsia" w:ascii="黑体" w:hAnsi="黑体" w:eastAsia="黑体" w:cs="黑体"/>
          <w:b w:val="0"/>
          <w:bCs/>
          <w:sz w:val="32"/>
          <w:szCs w:val="32"/>
        </w:rPr>
        <w:t>五、总体评价结论</w:t>
      </w:r>
      <w:bookmarkEnd w:id="23"/>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Arial" w:hAnsi="Arial"/>
          <w:b w:val="0"/>
          <w:sz w:val="32"/>
          <w:szCs w:val="32"/>
          <w:lang w:eastAsia="zh-CN"/>
        </w:rPr>
      </w:pPr>
      <w:bookmarkStart w:id="24" w:name="_Toc13839"/>
      <w:r>
        <w:rPr>
          <w:rFonts w:hint="eastAsia" w:ascii="Arial" w:hAnsi="Arial"/>
          <w:b w:val="0"/>
          <w:sz w:val="32"/>
          <w:szCs w:val="32"/>
          <w:lang w:eastAsia="zh-CN"/>
        </w:rPr>
        <w:t>（一）评价得分情况</w:t>
      </w:r>
      <w:bookmarkEnd w:id="24"/>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经综合考虑各种因素，整体绩效评价得分96.97分，其中，当年预算执行情况19.97分，整体绩效目标实现情况57分，预算管理情况20分。</w:t>
      </w:r>
    </w:p>
    <w:p>
      <w:pPr>
        <w:pStyle w:val="3"/>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Arial" w:hAnsi="Arial"/>
          <w:b w:val="0"/>
          <w:sz w:val="32"/>
          <w:szCs w:val="32"/>
          <w:lang w:eastAsia="zh-CN"/>
        </w:rPr>
      </w:pPr>
      <w:bookmarkStart w:id="25" w:name="_Toc4517"/>
      <w:r>
        <w:rPr>
          <w:rFonts w:hint="eastAsia" w:ascii="Arial" w:hAnsi="Arial"/>
          <w:b w:val="0"/>
          <w:sz w:val="32"/>
          <w:szCs w:val="32"/>
          <w:lang w:eastAsia="zh-CN"/>
        </w:rPr>
        <w:t>（</w:t>
      </w:r>
      <w:r>
        <w:rPr>
          <w:rFonts w:hint="eastAsia" w:ascii="Arial" w:hAnsi="Arial"/>
          <w:b w:val="0"/>
          <w:sz w:val="32"/>
          <w:szCs w:val="32"/>
          <w:lang w:val="en-US" w:eastAsia="zh-CN"/>
        </w:rPr>
        <w:t>二）</w:t>
      </w:r>
      <w:r>
        <w:rPr>
          <w:rFonts w:hint="eastAsia" w:ascii="Arial" w:hAnsi="Arial"/>
          <w:b w:val="0"/>
          <w:sz w:val="32"/>
          <w:szCs w:val="32"/>
          <w:lang w:eastAsia="zh-CN"/>
        </w:rPr>
        <w:t>存在的问题及原因分析</w:t>
      </w:r>
      <w:bookmarkEnd w:id="25"/>
    </w:p>
    <w:p>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仿宋_GB2312" w:hAnsi="宋体" w:eastAsia="仿宋_GB2312" w:cs="宋体"/>
          <w:b w:val="0"/>
          <w:color w:val="000000"/>
          <w:kern w:val="0"/>
          <w:sz w:val="32"/>
          <w:szCs w:val="32"/>
          <w:highlight w:val="none"/>
          <w:lang w:val="en-US" w:eastAsia="zh-CN" w:bidi="ar-SA"/>
        </w:rPr>
      </w:pPr>
      <w:bookmarkStart w:id="26" w:name="_Toc20403"/>
      <w:r>
        <w:rPr>
          <w:rFonts w:hint="eastAsia" w:ascii="仿宋_GB2312" w:hAnsi="宋体" w:eastAsia="仿宋_GB2312" w:cs="宋体"/>
          <w:b w:val="0"/>
          <w:color w:val="000000"/>
          <w:kern w:val="0"/>
          <w:sz w:val="32"/>
          <w:szCs w:val="32"/>
          <w:highlight w:val="none"/>
          <w:lang w:val="en-US" w:eastAsia="zh-CN" w:bidi="ar-SA"/>
        </w:rPr>
        <w:t>绩效目标编制有待进一步完善。项目单位编制的绩效目标缺乏数量指标和时效指标，完善绩效目标的编制，在编制绩效目标时对绩效指标进行量化，设立清晰、具体可以衡量的绩效指标，以便于进行绩效考核。</w:t>
      </w:r>
    </w:p>
    <w:p>
      <w:pPr>
        <w:pStyle w:val="2"/>
        <w:keepNext/>
        <w:keepLines/>
        <w:pageBreakBefore w:val="0"/>
        <w:widowControl w:val="0"/>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六、措施建议</w:t>
      </w:r>
      <w:bookmarkEnd w:id="26"/>
    </w:p>
    <w:p>
      <w:pPr>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做好项目实施的跟踪检查工作。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r>
      <w:r>
        <w:rPr>
          <w:rFonts w:hint="default" w:ascii="仿宋_GB2312" w:hAnsi="宋体" w:eastAsia="仿宋_GB2312" w:cs="宋体"/>
          <w:color w:val="000000"/>
          <w:kern w:val="0"/>
          <w:sz w:val="32"/>
          <w:szCs w:val="32"/>
          <w:highlight w:val="none"/>
          <w:lang w:val="en-US" w:eastAsia="zh-CN"/>
        </w:rPr>
        <w:t>一是进一步健全和完善财务管理制度及内部控制制度，创新管理手段，用新思路、新方法，改进完善财务管理方法。二是按照财政支出绩效管理的要求，建立科学的财政资金效益考评制度体系，不断提高财政资金使用管理的水平和效率。三是加强部门预算整体绩效管理的指导和培训，增强提高绩效管理业务人员绩效管理能力、专业素质和思想水平。</w:t>
      </w:r>
    </w:p>
    <w:p>
      <w:pPr>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宋体" w:eastAsia="仿宋_GB2312" w:cs="宋体"/>
          <w:color w:val="000000"/>
          <w:kern w:val="0"/>
          <w:sz w:val="32"/>
          <w:szCs w:val="32"/>
          <w:highlight w:val="none"/>
          <w:lang w:val="en-US" w:eastAsia="zh-CN"/>
        </w:rPr>
      </w:pPr>
    </w:p>
    <w:sectPr>
      <w:footerReference r:id="rId3"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Calibri"/>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BB3E24"/>
    <w:multiLevelType w:val="singleLevel"/>
    <w:tmpl w:val="60BB3E2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zZGJkMDEwM2YwMWQyNTE2ZjY1Y2I1ODlkMjE5NjkifQ=="/>
  </w:docVars>
  <w:rsids>
    <w:rsidRoot w:val="0C5651DA"/>
    <w:rsid w:val="0C5651DA"/>
    <w:rsid w:val="0DA269AA"/>
    <w:rsid w:val="104869D5"/>
    <w:rsid w:val="10F468BD"/>
    <w:rsid w:val="14FC72A9"/>
    <w:rsid w:val="1EF026E0"/>
    <w:rsid w:val="1F7A775D"/>
    <w:rsid w:val="2E9F4DB6"/>
    <w:rsid w:val="31C600AB"/>
    <w:rsid w:val="331A61FF"/>
    <w:rsid w:val="360C5A2A"/>
    <w:rsid w:val="39B70903"/>
    <w:rsid w:val="41060A96"/>
    <w:rsid w:val="44EA6A34"/>
    <w:rsid w:val="45D950A1"/>
    <w:rsid w:val="47976E34"/>
    <w:rsid w:val="47B92145"/>
    <w:rsid w:val="484928EF"/>
    <w:rsid w:val="51BF6AF2"/>
    <w:rsid w:val="592355C0"/>
    <w:rsid w:val="63A414AB"/>
    <w:rsid w:val="69E31640"/>
    <w:rsid w:val="6B265040"/>
    <w:rsid w:val="72105F56"/>
    <w:rsid w:val="79263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eastAsia="黑体"/>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楷体_GB231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character" w:styleId="12">
    <w:name w:val="Strong"/>
    <w:qFormat/>
    <w:uiPriority w:val="22"/>
    <w:rPr>
      <w:b/>
      <w:bCs/>
    </w:rPr>
  </w:style>
  <w:style w:type="paragraph" w:customStyle="1" w:styleId="13">
    <w:name w:val="WPSOffice手动目录 1"/>
    <w:qFormat/>
    <w:uiPriority w:val="0"/>
    <w:pPr>
      <w:ind w:leftChars="0"/>
    </w:pPr>
    <w:rPr>
      <w:rFonts w:asciiTheme="minorHAnsi" w:hAnsiTheme="minorHAnsi" w:eastAsiaTheme="minorEastAsia" w:cstheme="minorBidi"/>
      <w:sz w:val="20"/>
      <w:szCs w:val="20"/>
    </w:rPr>
  </w:style>
  <w:style w:type="paragraph" w:customStyle="1" w:styleId="14">
    <w:name w:val="WPSOffice手动目录 2"/>
    <w:qFormat/>
    <w:uiPriority w:val="0"/>
    <w:pPr>
      <w:ind w:leftChars="200"/>
    </w:pPr>
    <w:rPr>
      <w:rFonts w:asciiTheme="minorHAnsi" w:hAnsiTheme="minorHAnsi" w:eastAsiaTheme="minorEastAsia" w:cstheme="minorBidi"/>
      <w:sz w:val="20"/>
      <w:szCs w:val="20"/>
    </w:rPr>
  </w:style>
  <w:style w:type="paragraph" w:customStyle="1" w:styleId="15">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5796</Words>
  <Characters>6010</Characters>
  <Lines>0</Lines>
  <Paragraphs>0</Paragraphs>
  <TotalTime>19</TotalTime>
  <ScaleCrop>false</ScaleCrop>
  <LinksUpToDate>false</LinksUpToDate>
  <CharactersWithSpaces>6179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2022-05-09T03:04:00Z</dcterms:created>
  <dc:creator>郭淋娜呀</dc:creator>
  <cp:lastModifiedBy>杨晨凝</cp:lastModifiedBy>
  <dcterms:modified xsi:type="dcterms:W3CDTF">2023-06-06T08:38:07Z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7A9CCEE62F8045249EA8066B663C93FE_13</vt:lpwstr>
  </property>
</Properties>
</file>