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Layout w:type="fixed"/>
        <w:tblCellMar>
          <w:top w:w="0" w:type="dxa"/>
          <w:left w:w="108" w:type="dxa"/>
          <w:bottom w:w="0" w:type="dxa"/>
          <w:right w:w="108" w:type="dxa"/>
        </w:tblCellMar>
      </w:tblPr>
      <w:tblGrid>
        <w:gridCol w:w="1096"/>
        <w:gridCol w:w="1016"/>
        <w:gridCol w:w="1600"/>
        <w:gridCol w:w="1684"/>
        <w:gridCol w:w="1683"/>
        <w:gridCol w:w="833"/>
        <w:gridCol w:w="800"/>
        <w:gridCol w:w="2834"/>
        <w:gridCol w:w="2628"/>
      </w:tblGrid>
      <w:tr>
        <w:tblPrEx>
          <w:tblCellMar>
            <w:top w:w="0" w:type="dxa"/>
            <w:left w:w="108" w:type="dxa"/>
            <w:bottom w:w="0" w:type="dxa"/>
            <w:right w:w="108" w:type="dxa"/>
          </w:tblCellMar>
        </w:tblPrEx>
        <w:trPr>
          <w:trHeight w:val="499" w:hRule="atLeast"/>
        </w:trPr>
        <w:tc>
          <w:tcPr>
            <w:tcW w:w="5000" w:type="pct"/>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lang w:eastAsia="zh-CN"/>
              </w:rPr>
            </w:pPr>
            <w:r>
              <w:rPr>
                <w:rFonts w:hint="eastAsia" w:ascii="方正小标宋简体" w:hAnsi="黑体" w:eastAsia="方正小标宋简体" w:cs="宋体"/>
                <w:color w:val="000000"/>
                <w:kern w:val="0"/>
                <w:sz w:val="44"/>
                <w:szCs w:val="44"/>
              </w:rPr>
              <w:t>202</w:t>
            </w:r>
            <w:r>
              <w:rPr>
                <w:rFonts w:hint="eastAsia" w:ascii="方正小标宋简体" w:hAnsi="黑体" w:eastAsia="方正小标宋简体" w:cs="宋体"/>
                <w:color w:val="000000"/>
                <w:kern w:val="0"/>
                <w:sz w:val="44"/>
                <w:szCs w:val="44"/>
                <w:lang w:val="en-US" w:eastAsia="zh-CN"/>
              </w:rPr>
              <w:t>2</w:t>
            </w:r>
            <w:r>
              <w:rPr>
                <w:rFonts w:hint="eastAsia" w:ascii="方正小标宋简体" w:hAnsi="黑体" w:eastAsia="方正小标宋简体" w:cs="宋体"/>
                <w:color w:val="000000"/>
                <w:kern w:val="0"/>
                <w:sz w:val="44"/>
                <w:szCs w:val="44"/>
              </w:rPr>
              <w:t>年部门整体绩效评价指标体系评分表</w:t>
            </w:r>
          </w:p>
        </w:tc>
      </w:tr>
      <w:tr>
        <w:tblPrEx>
          <w:tblCellMar>
            <w:top w:w="0" w:type="dxa"/>
            <w:left w:w="108" w:type="dxa"/>
            <w:bottom w:w="0" w:type="dxa"/>
            <w:right w:w="108" w:type="dxa"/>
          </w:tblCellMar>
        </w:tblPrEx>
        <w:trPr>
          <w:trHeight w:val="470" w:hRule="atLeast"/>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38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6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预算数（万元）</w:t>
            </w:r>
          </w:p>
        </w:tc>
        <w:tc>
          <w:tcPr>
            <w:tcW w:w="5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执行数（万元）</w:t>
            </w:r>
          </w:p>
        </w:tc>
        <w:tc>
          <w:tcPr>
            <w:tcW w:w="5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预算执行率</w:t>
            </w:r>
          </w:p>
        </w:tc>
        <w:tc>
          <w:tcPr>
            <w:tcW w:w="2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指标解释</w:t>
            </w:r>
          </w:p>
        </w:tc>
        <w:tc>
          <w:tcPr>
            <w:tcW w:w="92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trHeight w:val="630" w:hRule="atLeast"/>
        </w:trPr>
        <w:tc>
          <w:tcPr>
            <w:tcW w:w="386"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资金总体</w:t>
            </w:r>
          </w:p>
        </w:tc>
        <w:tc>
          <w:tcPr>
            <w:tcW w:w="56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1585.07　</w:t>
            </w:r>
          </w:p>
        </w:tc>
        <w:tc>
          <w:tcPr>
            <w:tcW w:w="5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1582.54</w:t>
            </w:r>
          </w:p>
        </w:tc>
        <w:tc>
          <w:tcPr>
            <w:tcW w:w="5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99.84%</w:t>
            </w:r>
            <w:r>
              <w:rPr>
                <w:rFonts w:hint="eastAsia" w:ascii="宋体" w:hAnsi="宋体" w:cs="宋体"/>
                <w:color w:val="000000"/>
                <w:kern w:val="0"/>
                <w:sz w:val="20"/>
                <w:szCs w:val="20"/>
              </w:rPr>
              <w:t>　</w:t>
            </w:r>
          </w:p>
        </w:tc>
        <w:tc>
          <w:tcPr>
            <w:tcW w:w="293"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28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19.97</w:t>
            </w:r>
          </w:p>
        </w:tc>
        <w:tc>
          <w:tcPr>
            <w:tcW w:w="99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eastAsia="宋体" w:cs="宋体"/>
                <w:color w:val="000000"/>
                <w:kern w:val="0"/>
                <w:sz w:val="18"/>
                <w:szCs w:val="18"/>
              </w:rPr>
              <w:t>部门全年执行数与全年预算数的比率。资金总体=基本支出+项目支出+其他</w:t>
            </w:r>
          </w:p>
        </w:tc>
        <w:tc>
          <w:tcPr>
            <w:tcW w:w="927"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eastAsia="宋体" w:cs="宋体"/>
                <w:color w:val="000000"/>
                <w:kern w:val="0"/>
                <w:sz w:val="18"/>
                <w:szCs w:val="18"/>
              </w:rPr>
              <w:t>①得分一档最高不能超过该指标分值上限（20分）。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600"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基本支出</w:t>
            </w:r>
          </w:p>
        </w:tc>
        <w:tc>
          <w:tcPr>
            <w:tcW w:w="56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1360.02</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1358.51</w:t>
            </w:r>
          </w:p>
        </w:tc>
        <w:tc>
          <w:tcPr>
            <w:tcW w:w="59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99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15"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项目支出</w:t>
            </w:r>
          </w:p>
        </w:tc>
        <w:tc>
          <w:tcPr>
            <w:tcW w:w="56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225.05</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224.03</w:t>
            </w:r>
          </w:p>
        </w:tc>
        <w:tc>
          <w:tcPr>
            <w:tcW w:w="5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99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2136" w:hRule="atLeast"/>
        </w:trPr>
        <w:tc>
          <w:tcPr>
            <w:tcW w:w="386"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　</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　</w:t>
            </w:r>
          </w:p>
        </w:tc>
        <w:tc>
          <w:tcPr>
            <w:tcW w:w="5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99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569"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rPr>
        <w:tc>
          <w:tcPr>
            <w:tcW w:w="38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指标值</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完成值</w:t>
            </w:r>
          </w:p>
        </w:tc>
        <w:tc>
          <w:tcPr>
            <w:tcW w:w="2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82"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9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196" w:hRule="atLeast"/>
        </w:trPr>
        <w:tc>
          <w:tcPr>
            <w:tcW w:w="38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358" w:type="pct"/>
            <w:vMerge w:val="restart"/>
            <w:tcBorders>
              <w:top w:val="single" w:color="auto" w:sz="4" w:space="0"/>
              <w:left w:val="nil"/>
              <w:right w:val="single" w:color="auto" w:sz="4" w:space="0"/>
            </w:tcBorders>
            <w:noWrap w:val="0"/>
            <w:vAlign w:val="center"/>
          </w:tcPr>
          <w:p>
            <w:pPr>
              <w:widowControl/>
              <w:jc w:val="center"/>
              <w:rPr>
                <w:rFonts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产出（30）</w:t>
            </w:r>
          </w:p>
        </w:tc>
        <w:tc>
          <w:tcPr>
            <w:tcW w:w="564" w:type="pct"/>
            <w:tcBorders>
              <w:top w:val="single" w:color="auto" w:sz="4" w:space="0"/>
              <w:left w:val="nil"/>
              <w:bottom w:val="single" w:color="auto" w:sz="4" w:space="0"/>
              <w:right w:val="single" w:color="auto" w:sz="4" w:space="0"/>
            </w:tcBorders>
            <w:noWrap w:val="0"/>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报送相关建言献策</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≥400篇</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400篇</w:t>
            </w:r>
          </w:p>
        </w:tc>
        <w:tc>
          <w:tcPr>
            <w:tcW w:w="293" w:type="pct"/>
            <w:vMerge w:val="restart"/>
            <w:tcBorders>
              <w:top w:val="single" w:color="auto" w:sz="4" w:space="0"/>
              <w:left w:val="nil"/>
              <w:right w:val="single" w:color="auto" w:sz="4" w:space="0"/>
            </w:tcBorders>
            <w:noWrap w:val="0"/>
            <w:vAlign w:val="center"/>
          </w:tcPr>
          <w:p>
            <w:pPr>
              <w:widowControl/>
              <w:jc w:val="center"/>
              <w:rPr>
                <w:rFonts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82" w:type="pct"/>
            <w:tcBorders>
              <w:top w:val="single" w:color="auto" w:sz="4" w:space="0"/>
              <w:left w:val="nil"/>
              <w:bottom w:val="single" w:color="auto" w:sz="4" w:space="0"/>
              <w:right w:val="nil"/>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p>
            <w:pPr>
              <w:jc w:val="center"/>
              <w:rPr>
                <w:rFonts w:hint="eastAsia" w:ascii="宋体" w:hAnsi="宋体" w:cs="宋体"/>
                <w:color w:val="000000"/>
                <w:kern w:val="0"/>
                <w:sz w:val="20"/>
                <w:szCs w:val="20"/>
              </w:rPr>
            </w:pPr>
          </w:p>
        </w:tc>
        <w:tc>
          <w:tcPr>
            <w:tcW w:w="999" w:type="pct"/>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927" w:type="pct"/>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107"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rPr>
              <w:t>“同心·彩虹”</w:t>
            </w:r>
            <w:r>
              <w:rPr>
                <w:rFonts w:hint="eastAsia" w:ascii="宋体" w:hAnsi="宋体" w:cs="宋体"/>
                <w:color w:val="000000"/>
                <w:kern w:val="0"/>
                <w:sz w:val="20"/>
                <w:szCs w:val="20"/>
                <w:lang w:val="en-US" w:eastAsia="zh-CN"/>
              </w:rPr>
              <w:t>培训</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rPr>
              <w:t>受益教师≥2000</w:t>
            </w:r>
            <w:r>
              <w:rPr>
                <w:rFonts w:hint="eastAsia" w:ascii="宋体" w:hAnsi="宋体" w:cs="宋体"/>
                <w:color w:val="000000"/>
                <w:kern w:val="0"/>
                <w:sz w:val="20"/>
                <w:szCs w:val="20"/>
                <w:lang w:val="en-US" w:eastAsia="zh-CN"/>
              </w:rPr>
              <w:t>人</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35</w:t>
            </w:r>
            <w:r>
              <w:rPr>
                <w:rFonts w:hint="eastAsia" w:ascii="宋体" w:hAnsi="宋体" w:cs="宋体"/>
                <w:color w:val="000000"/>
                <w:kern w:val="0"/>
                <w:sz w:val="20"/>
                <w:szCs w:val="20"/>
              </w:rPr>
              <w:t>00</w:t>
            </w:r>
            <w:r>
              <w:rPr>
                <w:rFonts w:hint="eastAsia" w:ascii="宋体" w:hAnsi="宋体" w:cs="宋体"/>
                <w:color w:val="000000"/>
                <w:kern w:val="0"/>
                <w:sz w:val="20"/>
                <w:szCs w:val="20"/>
                <w:lang w:val="en-US" w:eastAsia="zh-CN"/>
              </w:rPr>
              <w:t>人</w:t>
            </w:r>
            <w:r>
              <w:rPr>
                <w:rFonts w:hint="eastAsia" w:ascii="宋体" w:hAnsi="宋体" w:cs="宋体"/>
                <w:color w:val="000000"/>
                <w:kern w:val="0"/>
                <w:sz w:val="20"/>
                <w:szCs w:val="20"/>
              </w:rPr>
              <w:t>　</w:t>
            </w:r>
          </w:p>
        </w:tc>
        <w:tc>
          <w:tcPr>
            <w:tcW w:w="293"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999"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652"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主流媒体</w:t>
            </w:r>
            <w:r>
              <w:rPr>
                <w:rFonts w:hint="eastAsia" w:ascii="宋体" w:hAnsi="宋体" w:cs="宋体"/>
                <w:color w:val="000000"/>
                <w:kern w:val="0"/>
                <w:sz w:val="20"/>
                <w:szCs w:val="20"/>
                <w:lang w:eastAsia="zh-CN"/>
              </w:rPr>
              <w:t>发稿</w:t>
            </w:r>
          </w:p>
          <w:p>
            <w:pPr>
              <w:widowControl/>
              <w:jc w:val="center"/>
              <w:rPr>
                <w:rFonts w:hint="eastAsia" w:ascii="宋体" w:hAnsi="宋体" w:cs="宋体"/>
                <w:color w:val="000000"/>
                <w:kern w:val="0"/>
                <w:sz w:val="20"/>
                <w:szCs w:val="20"/>
              </w:rPr>
            </w:pPr>
          </w:p>
        </w:tc>
        <w:tc>
          <w:tcPr>
            <w:tcW w:w="59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中央媒体发稿</w:t>
            </w:r>
            <w:r>
              <w:rPr>
                <w:rFonts w:hint="eastAsia" w:ascii="宋体" w:hAnsi="宋体" w:cs="宋体"/>
                <w:color w:val="000000"/>
                <w:kern w:val="0"/>
                <w:sz w:val="20"/>
                <w:szCs w:val="20"/>
                <w:lang w:val="en-US" w:eastAsia="zh-CN"/>
              </w:rPr>
              <w:t>300</w:t>
            </w:r>
            <w:r>
              <w:rPr>
                <w:rFonts w:hint="eastAsia" w:ascii="宋体" w:hAnsi="宋体" w:cs="宋体"/>
                <w:color w:val="000000"/>
                <w:kern w:val="0"/>
                <w:sz w:val="20"/>
                <w:szCs w:val="20"/>
                <w:lang w:eastAsia="zh-CN"/>
              </w:rPr>
              <w:t>篇，中央新闻网站</w:t>
            </w:r>
            <w:r>
              <w:rPr>
                <w:rFonts w:hint="eastAsia" w:ascii="宋体" w:hAnsi="宋体" w:cs="宋体"/>
                <w:color w:val="000000"/>
                <w:kern w:val="0"/>
                <w:sz w:val="20"/>
                <w:szCs w:val="20"/>
                <w:lang w:val="en-US" w:eastAsia="zh-CN"/>
              </w:rPr>
              <w:t>300</w:t>
            </w:r>
            <w:r>
              <w:rPr>
                <w:rFonts w:hint="eastAsia" w:ascii="宋体" w:hAnsi="宋体" w:cs="宋体"/>
                <w:color w:val="000000"/>
                <w:kern w:val="0"/>
                <w:sz w:val="20"/>
                <w:szCs w:val="20"/>
                <w:lang w:eastAsia="zh-CN"/>
              </w:rPr>
              <w:t>篇，地方媒体</w:t>
            </w:r>
            <w:r>
              <w:rPr>
                <w:rFonts w:hint="eastAsia" w:ascii="宋体" w:hAnsi="宋体" w:cs="宋体"/>
                <w:color w:val="000000"/>
                <w:kern w:val="0"/>
                <w:sz w:val="20"/>
                <w:szCs w:val="20"/>
                <w:lang w:val="en-US" w:eastAsia="zh-CN"/>
              </w:rPr>
              <w:t>280</w:t>
            </w:r>
            <w:r>
              <w:rPr>
                <w:rFonts w:hint="eastAsia" w:ascii="宋体" w:hAnsi="宋体" w:cs="宋体"/>
                <w:color w:val="000000"/>
                <w:kern w:val="0"/>
                <w:sz w:val="20"/>
                <w:szCs w:val="20"/>
                <w:lang w:eastAsia="zh-CN"/>
              </w:rPr>
              <w:t>篇，发布</w:t>
            </w:r>
            <w:r>
              <w:rPr>
                <w:rFonts w:hint="eastAsia" w:ascii="宋体" w:hAnsi="宋体" w:cs="宋体"/>
                <w:color w:val="000000"/>
                <w:kern w:val="0"/>
                <w:sz w:val="20"/>
                <w:szCs w:val="20"/>
                <w:lang w:val="en-US" w:eastAsia="zh-CN"/>
              </w:rPr>
              <w:t>专题片12部</w:t>
            </w:r>
          </w:p>
        </w:tc>
        <w:tc>
          <w:tcPr>
            <w:tcW w:w="593" w:type="pct"/>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eastAsia="zh-CN"/>
              </w:rPr>
              <w:t>中央媒体发稿</w:t>
            </w:r>
            <w:r>
              <w:rPr>
                <w:rFonts w:hint="eastAsia" w:ascii="宋体" w:hAnsi="宋体" w:cs="宋体"/>
                <w:color w:val="000000"/>
                <w:kern w:val="0"/>
                <w:sz w:val="20"/>
                <w:szCs w:val="20"/>
                <w:lang w:val="en-US" w:eastAsia="zh-CN"/>
              </w:rPr>
              <w:t>350</w:t>
            </w:r>
            <w:r>
              <w:rPr>
                <w:rFonts w:hint="eastAsia" w:ascii="宋体" w:hAnsi="宋体" w:cs="宋体"/>
                <w:color w:val="000000"/>
                <w:kern w:val="0"/>
                <w:sz w:val="20"/>
                <w:szCs w:val="20"/>
                <w:lang w:eastAsia="zh-CN"/>
              </w:rPr>
              <w:t>篇，中央新闻网站</w:t>
            </w:r>
            <w:r>
              <w:rPr>
                <w:rFonts w:hint="eastAsia" w:ascii="宋体" w:hAnsi="宋体" w:cs="宋体"/>
                <w:color w:val="000000"/>
                <w:kern w:val="0"/>
                <w:sz w:val="20"/>
                <w:szCs w:val="20"/>
                <w:lang w:val="en-US" w:eastAsia="zh-CN"/>
              </w:rPr>
              <w:t>310</w:t>
            </w:r>
            <w:r>
              <w:rPr>
                <w:rFonts w:hint="eastAsia" w:ascii="宋体" w:hAnsi="宋体" w:cs="宋体"/>
                <w:color w:val="000000"/>
                <w:kern w:val="0"/>
                <w:sz w:val="20"/>
                <w:szCs w:val="20"/>
                <w:lang w:eastAsia="zh-CN"/>
              </w:rPr>
              <w:t>篇，地方媒体</w:t>
            </w:r>
            <w:r>
              <w:rPr>
                <w:rFonts w:hint="eastAsia" w:ascii="宋体" w:hAnsi="宋体" w:cs="宋体"/>
                <w:color w:val="000000"/>
                <w:kern w:val="0"/>
                <w:sz w:val="20"/>
                <w:szCs w:val="20"/>
                <w:lang w:val="en-US" w:eastAsia="zh-CN"/>
              </w:rPr>
              <w:t>280</w:t>
            </w:r>
            <w:r>
              <w:rPr>
                <w:rFonts w:hint="eastAsia" w:ascii="宋体" w:hAnsi="宋体" w:cs="宋体"/>
                <w:color w:val="000000"/>
                <w:kern w:val="0"/>
                <w:sz w:val="20"/>
                <w:szCs w:val="20"/>
                <w:lang w:eastAsia="zh-CN"/>
              </w:rPr>
              <w:t>篇，发布</w:t>
            </w:r>
            <w:r>
              <w:rPr>
                <w:rFonts w:hint="eastAsia" w:ascii="宋体" w:hAnsi="宋体" w:cs="宋体"/>
                <w:color w:val="000000"/>
                <w:kern w:val="0"/>
                <w:sz w:val="20"/>
                <w:szCs w:val="20"/>
                <w:lang w:val="en-US" w:eastAsia="zh-CN"/>
              </w:rPr>
              <w:t>专题片12部</w:t>
            </w:r>
          </w:p>
        </w:tc>
        <w:tc>
          <w:tcPr>
            <w:tcW w:w="293"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999"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745"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《北京民进》会刊</w:t>
            </w:r>
          </w:p>
        </w:tc>
        <w:tc>
          <w:tcPr>
            <w:tcW w:w="59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lang w:eastAsia="zh-CN"/>
              </w:rPr>
            </w:pP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期</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期</w:t>
            </w:r>
          </w:p>
        </w:tc>
        <w:tc>
          <w:tcPr>
            <w:tcW w:w="293"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p>
        </w:tc>
        <w:tc>
          <w:tcPr>
            <w:tcW w:w="999"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726"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“北京民进”微信推送</w:t>
            </w:r>
          </w:p>
        </w:tc>
        <w:tc>
          <w:tcPr>
            <w:tcW w:w="594" w:type="pct"/>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300</w:t>
            </w:r>
            <w:r>
              <w:rPr>
                <w:rFonts w:hint="eastAsia" w:ascii="宋体" w:hAnsi="宋体" w:cs="宋体"/>
                <w:color w:val="000000"/>
                <w:kern w:val="0"/>
                <w:sz w:val="20"/>
                <w:szCs w:val="20"/>
              </w:rPr>
              <w:t>篇</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372</w:t>
            </w:r>
            <w:r>
              <w:rPr>
                <w:rFonts w:hint="eastAsia" w:ascii="宋体" w:hAnsi="宋体" w:cs="宋体"/>
                <w:color w:val="000000"/>
                <w:kern w:val="0"/>
                <w:sz w:val="20"/>
                <w:szCs w:val="20"/>
              </w:rPr>
              <w:t>篇</w:t>
            </w:r>
          </w:p>
        </w:tc>
        <w:tc>
          <w:tcPr>
            <w:tcW w:w="293" w:type="pct"/>
            <w:vMerge w:val="continue"/>
            <w:tcBorders>
              <w:left w:val="nil"/>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999"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386"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参政议政成果</w:t>
            </w:r>
            <w:r>
              <w:rPr>
                <w:rFonts w:hint="eastAsia" w:ascii="宋体" w:hAnsi="宋体" w:cs="宋体"/>
                <w:color w:val="000000"/>
                <w:kern w:val="0"/>
                <w:sz w:val="20"/>
                <w:szCs w:val="20"/>
              </w:rPr>
              <w:t>评选</w:t>
            </w:r>
            <w:r>
              <w:rPr>
                <w:rFonts w:hint="eastAsia" w:ascii="宋体" w:hAnsi="宋体" w:cs="宋体"/>
                <w:color w:val="000000"/>
                <w:kern w:val="0"/>
                <w:sz w:val="20"/>
                <w:szCs w:val="20"/>
                <w:lang w:val="en-US" w:eastAsia="zh-CN"/>
              </w:rPr>
              <w:t>获奖</w:t>
            </w:r>
          </w:p>
        </w:tc>
        <w:tc>
          <w:tcPr>
            <w:tcW w:w="59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一等奖5项，二等奖30项，三等奖20项</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一等奖7项，二等奖33项，三等奖20项</w:t>
            </w:r>
          </w:p>
        </w:tc>
        <w:tc>
          <w:tcPr>
            <w:tcW w:w="293" w:type="pct"/>
            <w:vMerge w:val="continue"/>
            <w:tcBorders>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w:t>
            </w:r>
          </w:p>
        </w:tc>
        <w:tc>
          <w:tcPr>
            <w:tcW w:w="999" w:type="pct"/>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927" w:type="pct"/>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38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效果（30）</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服务对象满意度</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满意度</w:t>
            </w:r>
            <w:r>
              <w:rPr>
                <w:rFonts w:hint="eastAsia" w:ascii="仿宋_GB2312" w:hAnsi="宋体" w:eastAsia="仿宋_GB2312" w:cs="宋体"/>
                <w:color w:val="000000"/>
                <w:kern w:val="0"/>
                <w:szCs w:val="21"/>
                <w:lang w:val="en-US" w:eastAsia="zh-CN"/>
              </w:rPr>
              <w:t>≥95%</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r>
              <w:rPr>
                <w:rFonts w:hint="eastAsia" w:ascii="仿宋_GB2312" w:hAnsi="宋体" w:eastAsia="仿宋_GB2312" w:cs="宋体"/>
                <w:color w:val="000000"/>
                <w:kern w:val="0"/>
                <w:szCs w:val="21"/>
                <w:lang w:val="en-US" w:eastAsia="zh-CN"/>
              </w:rPr>
              <w:t>≥95%</w:t>
            </w:r>
          </w:p>
        </w:tc>
        <w:tc>
          <w:tcPr>
            <w:tcW w:w="293"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8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　</w:t>
            </w:r>
          </w:p>
        </w:tc>
        <w:tc>
          <w:tcPr>
            <w:tcW w:w="999"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92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619" w:hRule="atLeast"/>
        </w:trPr>
        <w:tc>
          <w:tcPr>
            <w:tcW w:w="386" w:type="pct"/>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组织活动水平</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较好</w:t>
            </w:r>
            <w:r>
              <w:rPr>
                <w:rFonts w:hint="eastAsia" w:ascii="宋体" w:hAnsi="宋体" w:cs="宋体"/>
                <w:color w:val="000000"/>
                <w:kern w:val="0"/>
                <w:sz w:val="20"/>
                <w:szCs w:val="20"/>
              </w:rPr>
              <w:t>　</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较好</w:t>
            </w:r>
            <w:r>
              <w:rPr>
                <w:rFonts w:hint="eastAsia" w:ascii="宋体" w:hAnsi="宋体" w:cs="宋体"/>
                <w:color w:val="000000"/>
                <w:kern w:val="0"/>
                <w:sz w:val="20"/>
                <w:szCs w:val="20"/>
              </w:rPr>
              <w:t>　</w:t>
            </w:r>
          </w:p>
        </w:tc>
        <w:tc>
          <w:tcPr>
            <w:tcW w:w="29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w:t>
            </w:r>
          </w:p>
        </w:tc>
        <w:tc>
          <w:tcPr>
            <w:tcW w:w="999"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0"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调研成果转化率</w:t>
            </w:r>
          </w:p>
        </w:tc>
        <w:tc>
          <w:tcPr>
            <w:tcW w:w="594" w:type="pct"/>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95%</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100%</w:t>
            </w:r>
            <w:r>
              <w:rPr>
                <w:rFonts w:hint="eastAsia" w:ascii="宋体" w:hAnsi="宋体" w:cs="宋体"/>
                <w:color w:val="000000"/>
                <w:kern w:val="0"/>
                <w:sz w:val="20"/>
                <w:szCs w:val="20"/>
              </w:rPr>
              <w:t>　</w:t>
            </w:r>
          </w:p>
        </w:tc>
        <w:tc>
          <w:tcPr>
            <w:tcW w:w="293"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cs="宋体"/>
                <w:color w:val="000000"/>
                <w:kern w:val="0"/>
                <w:sz w:val="20"/>
                <w:szCs w:val="20"/>
              </w:rPr>
              <w:t>　</w:t>
            </w:r>
          </w:p>
        </w:tc>
        <w:tc>
          <w:tcPr>
            <w:tcW w:w="99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386"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 xml:space="preserve">  可持续影响性</w:t>
            </w:r>
          </w:p>
        </w:tc>
        <w:tc>
          <w:tcPr>
            <w:tcW w:w="594" w:type="pct"/>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坚持建言资政和凝聚共识双向发力，大力加强履职能力与机制平台建设，不断提升资源力量的统筹组织能力</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显著</w:t>
            </w:r>
            <w:r>
              <w:rPr>
                <w:rFonts w:hint="eastAsia" w:ascii="宋体" w:hAnsi="宋体" w:cs="宋体"/>
                <w:color w:val="000000"/>
                <w:kern w:val="0"/>
                <w:sz w:val="20"/>
                <w:szCs w:val="20"/>
              </w:rPr>
              <w:t>　</w:t>
            </w:r>
          </w:p>
        </w:tc>
        <w:tc>
          <w:tcPr>
            <w:tcW w:w="293"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282"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　</w:t>
            </w:r>
          </w:p>
        </w:tc>
        <w:tc>
          <w:tcPr>
            <w:tcW w:w="99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927"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9"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702" w:hRule="atLeast"/>
        </w:trPr>
        <w:tc>
          <w:tcPr>
            <w:tcW w:w="38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9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28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92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38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预算管理情况（20）</w:t>
            </w:r>
          </w:p>
        </w:tc>
        <w:tc>
          <w:tcPr>
            <w:tcW w:w="358"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财务管理（4）</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5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18"/>
                <w:szCs w:val="18"/>
              </w:rPr>
              <w:t>预算资金管理办法、绩效跟踪管理办法、资产管理办法等各项制度健全；部门内部财务管理制度完整、合规；会计核算制度完整、合规。</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健全、完整</w:t>
            </w:r>
          </w:p>
        </w:tc>
        <w:tc>
          <w:tcPr>
            <w:tcW w:w="29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28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　</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92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w:t>
            </w:r>
            <w:bookmarkStart w:id="0" w:name="_GoBack"/>
            <w:bookmarkEnd w:id="0"/>
            <w:r>
              <w:rPr>
                <w:rFonts w:hint="eastAsia" w:ascii="宋体" w:hAnsi="宋体" w:cs="宋体"/>
                <w:color w:val="000000"/>
                <w:kern w:val="0"/>
                <w:sz w:val="18"/>
                <w:szCs w:val="18"/>
              </w:rPr>
              <w:t>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386" w:type="pct"/>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594"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资金使用合规性和安全性</w:t>
            </w:r>
            <w:r>
              <w:rPr>
                <w:rFonts w:hint="eastAsia" w:ascii="宋体" w:hAnsi="宋体" w:cs="宋体"/>
                <w:color w:val="000000"/>
                <w:kern w:val="0"/>
                <w:sz w:val="20"/>
                <w:szCs w:val="20"/>
                <w:lang w:val="en-US" w:eastAsia="zh-CN"/>
              </w:rPr>
              <w:t>符合国家财经法和财务管理制度，资金使用有完整的审批流程，符合部门预算批复的用途，不存在挪用等情况，资产使用符合政府采购程序和流程</w:t>
            </w:r>
          </w:p>
        </w:tc>
        <w:tc>
          <w:tcPr>
            <w:tcW w:w="593"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资金使用合规性和安全性</w:t>
            </w:r>
            <w:r>
              <w:rPr>
                <w:rFonts w:hint="eastAsia" w:ascii="宋体" w:hAnsi="宋体" w:cs="宋体"/>
                <w:color w:val="000000"/>
                <w:kern w:val="0"/>
                <w:sz w:val="20"/>
                <w:szCs w:val="20"/>
                <w:lang w:val="en-US" w:eastAsia="zh-CN"/>
              </w:rPr>
              <w:t>符合国家财经法和财务管理制度，资金使用有完整的审批流程，符合部门预算批复的用途，不存在挪用等情况，资产使用符合政府采购程序和流程</w:t>
            </w:r>
            <w:r>
              <w:rPr>
                <w:rFonts w:hint="eastAsia" w:ascii="宋体" w:hAnsi="宋体" w:cs="宋体"/>
                <w:color w:val="000000"/>
                <w:kern w:val="0"/>
                <w:sz w:val="20"/>
                <w:szCs w:val="20"/>
              </w:rPr>
              <w:t>　　</w:t>
            </w:r>
          </w:p>
        </w:tc>
        <w:tc>
          <w:tcPr>
            <w:tcW w:w="293"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282"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92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35"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56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594"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会计基础信息</w:t>
            </w:r>
            <w:r>
              <w:rPr>
                <w:rFonts w:hint="eastAsia" w:ascii="宋体" w:hAnsi="宋体" w:cs="宋体"/>
                <w:color w:val="000000"/>
                <w:kern w:val="0"/>
                <w:sz w:val="20"/>
                <w:szCs w:val="20"/>
                <w:lang w:val="en-US" w:eastAsia="zh-CN"/>
              </w:rPr>
              <w:t>完整、真实、准确</w:t>
            </w:r>
          </w:p>
        </w:tc>
        <w:tc>
          <w:tcPr>
            <w:tcW w:w="593"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会计基础信息</w:t>
            </w:r>
            <w:r>
              <w:rPr>
                <w:rFonts w:hint="eastAsia" w:ascii="宋体" w:hAnsi="宋体" w:cs="宋体"/>
                <w:color w:val="000000"/>
                <w:kern w:val="0"/>
                <w:sz w:val="20"/>
                <w:szCs w:val="20"/>
                <w:lang w:val="en-US" w:eastAsia="zh-CN"/>
              </w:rPr>
              <w:t>完整、真实、准确</w:t>
            </w:r>
            <w:r>
              <w:rPr>
                <w:rFonts w:hint="eastAsia" w:ascii="宋体" w:hAnsi="宋体" w:cs="宋体"/>
                <w:color w:val="000000"/>
                <w:kern w:val="0"/>
                <w:sz w:val="20"/>
                <w:szCs w:val="20"/>
              </w:rPr>
              <w:t>　</w:t>
            </w:r>
          </w:p>
        </w:tc>
        <w:tc>
          <w:tcPr>
            <w:tcW w:w="293" w:type="pct"/>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282" w:type="pct"/>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1</w:t>
            </w:r>
          </w:p>
        </w:tc>
        <w:tc>
          <w:tcPr>
            <w:tcW w:w="999"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927"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1570"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资产管理（4）</w:t>
            </w:r>
          </w:p>
        </w:tc>
        <w:tc>
          <w:tcPr>
            <w:tcW w:w="56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资产管理规范性</w:t>
            </w:r>
          </w:p>
        </w:tc>
        <w:tc>
          <w:tcPr>
            <w:tcW w:w="59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资产保持安全完整，资产配置合理，资产使用和资产处理规范</w:t>
            </w:r>
          </w:p>
        </w:tc>
        <w:tc>
          <w:tcPr>
            <w:tcW w:w="59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资产保持安全完整，资产配置合理，资产使用和资产处理规范</w:t>
            </w:r>
          </w:p>
        </w:tc>
        <w:tc>
          <w:tcPr>
            <w:tcW w:w="2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8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4</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92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650"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绩效管理（4）</w:t>
            </w:r>
          </w:p>
        </w:tc>
        <w:tc>
          <w:tcPr>
            <w:tcW w:w="56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绩效管理情况</w:t>
            </w:r>
          </w:p>
        </w:tc>
        <w:tc>
          <w:tcPr>
            <w:tcW w:w="594"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及时对绩效信息进行汇总分析整理；对绩效目标偏离情况及时进行矫正</w:t>
            </w:r>
            <w:r>
              <w:rPr>
                <w:rFonts w:hint="eastAsia" w:ascii="宋体" w:hAnsi="宋体" w:cs="宋体"/>
                <w:color w:val="000000"/>
                <w:kern w:val="0"/>
                <w:sz w:val="20"/>
                <w:szCs w:val="20"/>
                <w:lang w:eastAsia="zh-CN"/>
              </w:rPr>
              <w:t>。</w:t>
            </w:r>
          </w:p>
        </w:tc>
        <w:tc>
          <w:tcPr>
            <w:tcW w:w="593" w:type="pct"/>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绩效信息汇总分析及时，对目标偏离情况及时矫正。</w:t>
            </w:r>
          </w:p>
        </w:tc>
        <w:tc>
          <w:tcPr>
            <w:tcW w:w="2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82" w:type="pct"/>
            <w:tcBorders>
              <w:top w:val="single" w:color="auto" w:sz="4" w:space="0"/>
              <w:left w:val="nil"/>
              <w:bottom w:val="single" w:color="auto" w:sz="4" w:space="0"/>
              <w:right w:val="nil"/>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4</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92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394"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　</w:t>
            </w:r>
          </w:p>
        </w:tc>
        <w:tc>
          <w:tcPr>
            <w:tcW w:w="1158"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highlight w:val="none"/>
              </w:rPr>
              <w:t>20</w:t>
            </w:r>
            <w:r>
              <w:rPr>
                <w:rFonts w:hint="eastAsia" w:ascii="宋体" w:hAnsi="宋体" w:cs="宋体"/>
                <w:color w:val="000000"/>
                <w:kern w:val="0"/>
                <w:sz w:val="20"/>
                <w:szCs w:val="20"/>
                <w:highlight w:val="none"/>
                <w:lang w:val="en-US" w:eastAsia="zh-CN"/>
              </w:rPr>
              <w:t>21</w:t>
            </w:r>
            <w:r>
              <w:rPr>
                <w:rFonts w:hint="eastAsia" w:ascii="宋体" w:hAnsi="宋体" w:cs="宋体"/>
                <w:color w:val="000000"/>
                <w:kern w:val="0"/>
                <w:sz w:val="20"/>
                <w:szCs w:val="20"/>
                <w:highlight w:val="none"/>
              </w:rPr>
              <w:t>年</w:t>
            </w:r>
          </w:p>
        </w:tc>
        <w:tc>
          <w:tcPr>
            <w:tcW w:w="5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年</w:t>
            </w:r>
          </w:p>
        </w:tc>
        <w:tc>
          <w:tcPr>
            <w:tcW w:w="29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282"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927" w:type="pct"/>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365"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1158"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1.95%</w:t>
            </w:r>
          </w:p>
        </w:tc>
        <w:tc>
          <w:tcPr>
            <w:tcW w:w="5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0.16%</w:t>
            </w:r>
            <w:r>
              <w:rPr>
                <w:rFonts w:hint="eastAsia" w:ascii="宋体" w:hAnsi="宋体" w:cs="宋体"/>
                <w:color w:val="000000"/>
                <w:kern w:val="0"/>
                <w:sz w:val="20"/>
                <w:szCs w:val="20"/>
              </w:rPr>
              <w:t>　</w:t>
            </w:r>
          </w:p>
        </w:tc>
        <w:tc>
          <w:tcPr>
            <w:tcW w:w="2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8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p>
        </w:tc>
        <w:tc>
          <w:tcPr>
            <w:tcW w:w="999"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927"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90" w:hRule="atLeast"/>
        </w:trPr>
        <w:tc>
          <w:tcPr>
            <w:tcW w:w="386"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358" w:type="pct"/>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1158" w:type="pct"/>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5.97%</w:t>
            </w:r>
          </w:p>
        </w:tc>
        <w:tc>
          <w:tcPr>
            <w:tcW w:w="593" w:type="pct"/>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7.58%</w:t>
            </w:r>
          </w:p>
        </w:tc>
        <w:tc>
          <w:tcPr>
            <w:tcW w:w="2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8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999"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927"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2497" w:type="pct"/>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合计</w:t>
            </w:r>
          </w:p>
        </w:tc>
        <w:tc>
          <w:tcPr>
            <w:tcW w:w="293"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96.97</w:t>
            </w:r>
            <w:r>
              <w:rPr>
                <w:rFonts w:hint="eastAsia" w:ascii="宋体" w:hAnsi="宋体" w:cs="宋体"/>
                <w:color w:val="000000"/>
                <w:kern w:val="0"/>
                <w:sz w:val="20"/>
                <w:szCs w:val="20"/>
              </w:rPr>
              <w:t>　</w:t>
            </w:r>
          </w:p>
        </w:tc>
        <w:tc>
          <w:tcPr>
            <w:tcW w:w="1926" w:type="pct"/>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zZGJkMDEwM2YwMWQyNTE2ZjY1Y2I1ODlkMjE5NjkifQ=="/>
  </w:docVars>
  <w:rsids>
    <w:rsidRoot w:val="7F111A58"/>
    <w:rsid w:val="007C0047"/>
    <w:rsid w:val="02992604"/>
    <w:rsid w:val="06ED2014"/>
    <w:rsid w:val="12F227BB"/>
    <w:rsid w:val="254211C5"/>
    <w:rsid w:val="28CC16DF"/>
    <w:rsid w:val="35A12B65"/>
    <w:rsid w:val="39ED47B3"/>
    <w:rsid w:val="3A0A31C6"/>
    <w:rsid w:val="426B5D34"/>
    <w:rsid w:val="46A27E61"/>
    <w:rsid w:val="54FA3DC5"/>
    <w:rsid w:val="61060EB2"/>
    <w:rsid w:val="6E493253"/>
    <w:rsid w:val="78377D3E"/>
    <w:rsid w:val="789444B7"/>
    <w:rsid w:val="7D145DEE"/>
    <w:rsid w:val="7F111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2917</Words>
  <Characters>3112</Characters>
  <Lines>0</Lines>
  <Paragraphs>0</Paragraphs>
  <TotalTime>7</TotalTime>
  <ScaleCrop>false</ScaleCrop>
  <LinksUpToDate>false</LinksUpToDate>
  <CharactersWithSpaces>3150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2022-04-27T01:44:00Z</dcterms:created>
  <dc:creator>郭淋娜呀</dc:creator>
  <cp:lastModifiedBy>杨晨凝</cp:lastModifiedBy>
  <dcterms:modified xsi:type="dcterms:W3CDTF">2023-06-06T08:43:51Z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6EA597B937BF4567A5A93C70FAEA001C</vt:lpwstr>
  </property>
</Properties>
</file>