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line="360" w:lineRule="auto"/>
        <w:jc w:val="center"/>
        <w:rPr>
          <w:rFonts w:ascii="宋体" w:hAnsi="宋体" w:cs="宋体"/>
          <w:b/>
          <w:bCs/>
          <w:sz w:val="52"/>
          <w:szCs w:val="44"/>
        </w:rPr>
      </w:pPr>
    </w:p>
    <w:p>
      <w:pPr>
        <w:spacing w:before="624" w:beforeLines="200" w:line="360" w:lineRule="auto"/>
        <w:jc w:val="center"/>
        <w:rPr>
          <w:rFonts w:ascii="宋体" w:hAnsi="宋体" w:cs="宋体"/>
          <w:b/>
          <w:bCs/>
          <w:sz w:val="52"/>
          <w:szCs w:val="44"/>
        </w:rPr>
      </w:pPr>
      <w:r>
        <w:rPr>
          <w:rFonts w:hint="eastAsia" w:ascii="宋体" w:hAnsi="宋体" w:cs="宋体"/>
          <w:b/>
          <w:bCs/>
          <w:sz w:val="52"/>
          <w:szCs w:val="44"/>
        </w:rPr>
        <w:t>北京市市级财政支出项目</w:t>
      </w:r>
    </w:p>
    <w:p>
      <w:pPr>
        <w:spacing w:line="360" w:lineRule="auto"/>
        <w:jc w:val="center"/>
        <w:rPr>
          <w:rFonts w:ascii="宋体" w:hAnsi="宋体" w:cs="宋体"/>
          <w:b/>
          <w:bCs/>
          <w:sz w:val="52"/>
          <w:szCs w:val="44"/>
        </w:rPr>
      </w:pPr>
      <w:r>
        <w:rPr>
          <w:rFonts w:hint="eastAsia" w:ascii="宋体" w:hAnsi="宋体" w:cs="宋体"/>
          <w:b/>
          <w:bCs/>
          <w:sz w:val="52"/>
          <w:szCs w:val="44"/>
        </w:rPr>
        <w:t>绩效评价报告</w:t>
      </w:r>
    </w:p>
    <w:p>
      <w:pPr>
        <w:spacing w:line="360" w:lineRule="auto"/>
        <w:jc w:val="center"/>
        <w:rPr>
          <w:rFonts w:ascii="宋体" w:hAnsi="宋体" w:cs="宋体"/>
          <w:b/>
          <w:bCs/>
          <w:sz w:val="52"/>
          <w:szCs w:val="44"/>
        </w:rPr>
      </w:pPr>
    </w:p>
    <w:p>
      <w:pPr>
        <w:spacing w:line="360" w:lineRule="auto"/>
        <w:jc w:val="center"/>
        <w:rPr>
          <w:rFonts w:ascii="宋体" w:hAnsi="宋体" w:cs="宋体"/>
          <w:b/>
          <w:bCs/>
          <w:sz w:val="52"/>
          <w:szCs w:val="44"/>
        </w:rPr>
      </w:pPr>
    </w:p>
    <w:tbl>
      <w:tblPr>
        <w:tblStyle w:val="14"/>
        <w:tblpPr w:leftFromText="180" w:rightFromText="180" w:vertAnchor="text" w:horzAnchor="page" w:tblpX="2032" w:tblpY="919"/>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00"/>
        <w:gridCol w:w="64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0" w:type="dxa"/>
          </w:tcPr>
          <w:p>
            <w:pPr>
              <w:spacing w:line="360" w:lineRule="auto"/>
              <w:jc w:val="center"/>
              <w:rPr>
                <w:rFonts w:ascii="宋体" w:hAnsi="宋体" w:cs="宋体"/>
                <w:sz w:val="32"/>
                <w:szCs w:val="32"/>
              </w:rPr>
            </w:pPr>
            <w:r>
              <w:rPr>
                <w:rFonts w:hint="eastAsia" w:ascii="宋体" w:hAnsi="宋体" w:cs="宋体"/>
                <w:sz w:val="32"/>
                <w:szCs w:val="32"/>
              </w:rPr>
              <w:t>主管部门</w:t>
            </w:r>
          </w:p>
        </w:tc>
        <w:tc>
          <w:tcPr>
            <w:tcW w:w="6487" w:type="dxa"/>
          </w:tcPr>
          <w:p>
            <w:pPr>
              <w:spacing w:line="360" w:lineRule="auto"/>
              <w:rPr>
                <w:rFonts w:ascii="宋体" w:hAnsi="宋体" w:cs="宋体"/>
                <w:sz w:val="32"/>
                <w:szCs w:val="32"/>
                <w:u w:val="single"/>
              </w:rPr>
            </w:pPr>
            <w:r>
              <w:rPr>
                <w:rFonts w:hint="eastAsia" w:ascii="宋体" w:hAnsi="宋体" w:cs="宋体"/>
                <w:sz w:val="32"/>
                <w:szCs w:val="32"/>
                <w:u w:val="single"/>
              </w:rPr>
              <w:t xml:space="preserve">北京市社会科学界联合会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0" w:type="dxa"/>
          </w:tcPr>
          <w:p>
            <w:pPr>
              <w:spacing w:line="360" w:lineRule="auto"/>
              <w:jc w:val="center"/>
              <w:rPr>
                <w:rFonts w:ascii="宋体" w:hAnsi="宋体" w:cs="宋体"/>
                <w:sz w:val="32"/>
                <w:szCs w:val="32"/>
              </w:rPr>
            </w:pPr>
            <w:r>
              <w:rPr>
                <w:rFonts w:hint="eastAsia" w:ascii="宋体" w:hAnsi="宋体" w:cs="宋体"/>
                <w:sz w:val="32"/>
                <w:szCs w:val="32"/>
              </w:rPr>
              <w:t>项目单位</w:t>
            </w:r>
          </w:p>
        </w:tc>
        <w:tc>
          <w:tcPr>
            <w:tcW w:w="6487" w:type="dxa"/>
          </w:tcPr>
          <w:p>
            <w:pPr>
              <w:spacing w:line="360" w:lineRule="auto"/>
              <w:rPr>
                <w:rFonts w:ascii="宋体" w:hAnsi="宋体" w:cs="宋体"/>
                <w:sz w:val="32"/>
                <w:szCs w:val="32"/>
                <w:u w:val="single"/>
              </w:rPr>
            </w:pPr>
            <w:r>
              <w:rPr>
                <w:rFonts w:hint="eastAsia" w:ascii="宋体" w:hAnsi="宋体" w:cs="宋体"/>
                <w:sz w:val="32"/>
                <w:szCs w:val="32"/>
                <w:u w:val="single"/>
              </w:rPr>
              <w:t xml:space="preserve">北京市社会科学界联合会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0" w:type="dxa"/>
          </w:tcPr>
          <w:p>
            <w:pPr>
              <w:spacing w:line="360" w:lineRule="auto"/>
              <w:jc w:val="center"/>
              <w:rPr>
                <w:rFonts w:ascii="宋体" w:hAnsi="宋体" w:cs="宋体"/>
                <w:sz w:val="32"/>
                <w:szCs w:val="32"/>
              </w:rPr>
            </w:pPr>
            <w:r>
              <w:rPr>
                <w:rFonts w:hint="eastAsia" w:ascii="宋体" w:hAnsi="宋体" w:cs="宋体"/>
                <w:sz w:val="32"/>
                <w:szCs w:val="32"/>
              </w:rPr>
              <w:t>项目名称</w:t>
            </w:r>
          </w:p>
        </w:tc>
        <w:tc>
          <w:tcPr>
            <w:tcW w:w="6487" w:type="dxa"/>
          </w:tcPr>
          <w:p>
            <w:pPr>
              <w:spacing w:line="360" w:lineRule="auto"/>
              <w:rPr>
                <w:rFonts w:ascii="宋体" w:hAnsi="宋体" w:cs="宋体"/>
                <w:sz w:val="32"/>
                <w:szCs w:val="32"/>
                <w:u w:val="single"/>
              </w:rPr>
            </w:pPr>
            <w:r>
              <w:rPr>
                <w:rFonts w:hint="eastAsia" w:ascii="宋体" w:hAnsi="宋体" w:cs="宋体"/>
                <w:sz w:val="32"/>
                <w:szCs w:val="32"/>
                <w:u w:val="single"/>
              </w:rPr>
              <w:t xml:space="preserve">学会、民办社科研究机构和社科类基金会管理业务经费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0" w:type="dxa"/>
          </w:tcPr>
          <w:p>
            <w:pPr>
              <w:spacing w:line="360" w:lineRule="auto"/>
              <w:jc w:val="center"/>
              <w:rPr>
                <w:rFonts w:ascii="宋体" w:hAnsi="宋体" w:cs="宋体"/>
                <w:sz w:val="32"/>
                <w:szCs w:val="32"/>
              </w:rPr>
            </w:pPr>
            <w:r>
              <w:rPr>
                <w:rFonts w:hint="eastAsia" w:ascii="宋体" w:hAnsi="宋体" w:cs="宋体"/>
                <w:sz w:val="32"/>
                <w:szCs w:val="32"/>
              </w:rPr>
              <w:t>评价机构</w:t>
            </w:r>
          </w:p>
        </w:tc>
        <w:tc>
          <w:tcPr>
            <w:tcW w:w="6487" w:type="dxa"/>
          </w:tcPr>
          <w:p>
            <w:pPr>
              <w:spacing w:line="360" w:lineRule="auto"/>
              <w:rPr>
                <w:rFonts w:ascii="宋体" w:hAnsi="宋体" w:cs="宋体"/>
                <w:sz w:val="32"/>
                <w:szCs w:val="32"/>
                <w:u w:val="single"/>
              </w:rPr>
            </w:pPr>
            <w:r>
              <w:rPr>
                <w:rFonts w:hint="eastAsia" w:ascii="宋体" w:hAnsi="宋体" w:cs="宋体"/>
                <w:sz w:val="32"/>
                <w:szCs w:val="32"/>
                <w:u w:val="single"/>
              </w:rPr>
              <w:t xml:space="preserve">北京市社会科学界联合会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0" w:type="dxa"/>
          </w:tcPr>
          <w:p>
            <w:pPr>
              <w:spacing w:line="360" w:lineRule="auto"/>
              <w:jc w:val="center"/>
              <w:rPr>
                <w:rFonts w:ascii="宋体" w:hAnsi="宋体" w:cs="宋体"/>
                <w:sz w:val="32"/>
                <w:szCs w:val="32"/>
              </w:rPr>
            </w:pPr>
            <w:r>
              <w:rPr>
                <w:rFonts w:hint="eastAsia" w:ascii="宋体" w:hAnsi="宋体" w:cs="宋体"/>
                <w:sz w:val="32"/>
                <w:szCs w:val="32"/>
              </w:rPr>
              <w:t>参与评价中介机构</w:t>
            </w:r>
          </w:p>
        </w:tc>
        <w:tc>
          <w:tcPr>
            <w:tcW w:w="6487" w:type="dxa"/>
            <w:vAlign w:val="center"/>
          </w:tcPr>
          <w:p>
            <w:pPr>
              <w:spacing w:line="360" w:lineRule="auto"/>
              <w:rPr>
                <w:rFonts w:ascii="宋体" w:hAnsi="宋体" w:cs="宋体"/>
                <w:sz w:val="32"/>
                <w:szCs w:val="32"/>
                <w:u w:val="single"/>
              </w:rPr>
            </w:pPr>
            <w:r>
              <w:rPr>
                <w:rFonts w:hint="eastAsia" w:ascii="宋体" w:hAnsi="宋体" w:cs="宋体"/>
                <w:sz w:val="32"/>
                <w:szCs w:val="32"/>
                <w:u w:val="single"/>
              </w:rPr>
              <w:t xml:space="preserve">北京中玉天晟会计师事务所有限责任公司        </w:t>
            </w:r>
          </w:p>
        </w:tc>
      </w:tr>
    </w:tbl>
    <w:p>
      <w:pPr>
        <w:spacing w:line="360" w:lineRule="auto"/>
        <w:rPr>
          <w:rFonts w:ascii="宋体" w:hAnsi="宋体" w:cs="宋体"/>
          <w:b/>
          <w:bCs/>
          <w:sz w:val="52"/>
          <w:szCs w:val="44"/>
        </w:rPr>
      </w:pPr>
    </w:p>
    <w:p>
      <w:pPr>
        <w:spacing w:before="312" w:beforeLines="100" w:line="360" w:lineRule="auto"/>
        <w:jc w:val="center"/>
        <w:rPr>
          <w:rFonts w:ascii="Calibri" w:hAnsi="Calibri" w:eastAsia="黑体"/>
          <w:sz w:val="28"/>
          <w:szCs w:val="30"/>
        </w:rPr>
      </w:pPr>
      <w:r>
        <w:rPr>
          <w:rFonts w:hint="eastAsia" w:ascii="黑体" w:hAnsi="宋体" w:eastAsia="黑体" w:cs="黑体"/>
          <w:bCs/>
          <w:sz w:val="36"/>
          <w:szCs w:val="36"/>
        </w:rPr>
        <w:t>北京市财政局</w:t>
      </w:r>
    </w:p>
    <w:p>
      <w:pPr>
        <w:spacing w:line="360" w:lineRule="auto"/>
        <w:jc w:val="center"/>
        <w:rPr>
          <w:rFonts w:ascii="宋体" w:hAnsi="Calibri"/>
          <w:bCs/>
          <w:sz w:val="44"/>
          <w:szCs w:val="44"/>
        </w:rPr>
      </w:pPr>
      <w:r>
        <w:rPr>
          <w:rFonts w:hint="eastAsia" w:ascii="黑体" w:hAnsi="宋体" w:eastAsia="黑体" w:cs="黑体"/>
          <w:bCs/>
          <w:sz w:val="36"/>
          <w:szCs w:val="36"/>
        </w:rPr>
        <w:t>二○二三年五月</w:t>
      </w:r>
    </w:p>
    <w:p>
      <w:pPr>
        <w:spacing w:line="360" w:lineRule="auto"/>
        <w:jc w:val="center"/>
        <w:rPr>
          <w:rFonts w:ascii="宋体" w:hAnsi="宋体" w:cs="宋体"/>
          <w:sz w:val="22"/>
          <w:szCs w:val="28"/>
        </w:rPr>
        <w:sectPr>
          <w:footerReference r:id="rId3" w:type="default"/>
          <w:pgSz w:w="11906" w:h="16838"/>
          <w:pgMar w:top="1440" w:right="1800" w:bottom="1440" w:left="1800" w:header="851" w:footer="992" w:gutter="0"/>
          <w:pgNumType w:fmt="numberInDash"/>
          <w:cols w:space="425" w:num="1"/>
          <w:docGrid w:type="lines" w:linePitch="312" w:charSpace="0"/>
        </w:sectPr>
      </w:pPr>
    </w:p>
    <w:sdt>
      <w:sdtPr>
        <w:rPr>
          <w:rFonts w:ascii="宋体" w:hAnsi="宋体"/>
          <w:sz w:val="44"/>
          <w:szCs w:val="44"/>
        </w:rPr>
        <w:id w:val="147482165"/>
        <w15:color w:val="DBDBDB"/>
        <w:docPartObj>
          <w:docPartGallery w:val="Table of Contents"/>
          <w:docPartUnique/>
        </w:docPartObj>
      </w:sdtPr>
      <w:sdtEndPr>
        <w:rPr>
          <w:rFonts w:hint="eastAsia" w:ascii="方正小标宋简体" w:hAnsi="Times New Roman" w:eastAsia="方正小标宋简体"/>
          <w:b/>
          <w:sz w:val="21"/>
          <w:szCs w:val="36"/>
        </w:rPr>
      </w:sdtEndPr>
      <w:sdtContent>
        <w:p>
          <w:pPr>
            <w:spacing w:line="560" w:lineRule="exact"/>
            <w:jc w:val="center"/>
            <w:rPr>
              <w:rFonts w:ascii="宋体" w:hAnsi="宋体"/>
              <w:sz w:val="44"/>
              <w:szCs w:val="44"/>
            </w:rPr>
          </w:pPr>
          <w:r>
            <w:rPr>
              <w:rFonts w:hint="eastAsia" w:ascii="宋体" w:hAnsi="宋体"/>
              <w:sz w:val="44"/>
              <w:szCs w:val="44"/>
            </w:rPr>
            <w:t>目  录</w:t>
          </w:r>
        </w:p>
        <w:p>
          <w:pPr>
            <w:pStyle w:val="10"/>
            <w:tabs>
              <w:tab w:val="right" w:leader="dot" w:pos="8306"/>
            </w:tabs>
            <w:spacing w:before="312" w:beforeLines="100" w:line="760" w:lineRule="exact"/>
            <w:rPr>
              <w:rFonts w:ascii="宋体" w:hAnsi="宋体" w:cs="宋体"/>
              <w:sz w:val="28"/>
              <w:szCs w:val="28"/>
            </w:rPr>
          </w:pPr>
          <w:r>
            <w:rPr>
              <w:rFonts w:hint="eastAsia" w:ascii="宋体" w:hAnsi="宋体" w:cs="宋体"/>
              <w:sz w:val="32"/>
              <w:szCs w:val="32"/>
            </w:rPr>
            <w:fldChar w:fldCharType="begin"/>
          </w:r>
          <w:r>
            <w:rPr>
              <w:rFonts w:hint="eastAsia" w:ascii="宋体" w:hAnsi="宋体" w:cs="宋体"/>
              <w:sz w:val="32"/>
              <w:szCs w:val="32"/>
            </w:rPr>
            <w:instrText xml:space="preserve">TOC \o "1-2" \h \u </w:instrText>
          </w:r>
          <w:r>
            <w:rPr>
              <w:rFonts w:hint="eastAsia" w:ascii="宋体" w:hAnsi="宋体" w:cs="宋体"/>
              <w:sz w:val="32"/>
              <w:szCs w:val="32"/>
            </w:rPr>
            <w:fldChar w:fldCharType="separate"/>
          </w:r>
          <w:r>
            <w:fldChar w:fldCharType="begin"/>
          </w:r>
          <w:r>
            <w:instrText xml:space="preserve"> HYPERLINK \l "_Toc5452" </w:instrText>
          </w:r>
          <w:r>
            <w:fldChar w:fldCharType="separate"/>
          </w:r>
          <w:r>
            <w:rPr>
              <w:rFonts w:hint="eastAsia" w:ascii="宋体" w:hAnsi="宋体" w:cs="宋体"/>
              <w:sz w:val="28"/>
              <w:szCs w:val="28"/>
            </w:rPr>
            <w:t>一、基本情况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_Toc5452 \h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"_Toc21837" </w:instrText>
          </w:r>
          <w:r>
            <w:fldChar w:fldCharType="separate"/>
          </w:r>
          <w:r>
            <w:rPr>
              <w:rFonts w:hint="eastAsia" w:ascii="宋体" w:hAnsi="宋体" w:cs="宋体"/>
              <w:bCs/>
              <w:sz w:val="28"/>
              <w:szCs w:val="28"/>
            </w:rPr>
            <w:t>（一）项目概况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_Toc21837 \h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"_Toc30736" </w:instrText>
          </w:r>
          <w:r>
            <w:fldChar w:fldCharType="separate"/>
          </w:r>
          <w:r>
            <w:rPr>
              <w:rFonts w:hint="eastAsia" w:ascii="宋体" w:hAnsi="宋体" w:cs="宋体"/>
              <w:bCs/>
              <w:sz w:val="28"/>
              <w:szCs w:val="28"/>
            </w:rPr>
            <w:t>（二）项目绩效目标</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_Toc30736 \h </w:instrText>
          </w:r>
          <w:r>
            <w:rPr>
              <w:rFonts w:hint="eastAsia" w:ascii="宋体" w:hAnsi="宋体" w:cs="宋体"/>
              <w:sz w:val="28"/>
              <w:szCs w:val="28"/>
            </w:rPr>
            <w:fldChar w:fldCharType="separate"/>
          </w:r>
          <w:r>
            <w:rPr>
              <w:rFonts w:hint="eastAsia" w:ascii="宋体" w:hAnsi="宋体" w:cs="宋体"/>
              <w:sz w:val="28"/>
              <w:szCs w:val="28"/>
            </w:rPr>
            <w:t>5</w:t>
          </w:r>
          <w:r>
            <w:rPr>
              <w:rFonts w:hint="eastAsia" w:ascii="宋体" w:hAnsi="宋体" w:cs="宋体"/>
              <w:sz w:val="28"/>
              <w:szCs w:val="28"/>
            </w:rPr>
            <w:fldChar w:fldCharType="end"/>
          </w:r>
          <w:r>
            <w:rPr>
              <w:rFonts w:hint="eastAsia" w:ascii="宋体" w:hAnsi="宋体" w:cs="宋体"/>
              <w:sz w:val="28"/>
              <w:szCs w:val="28"/>
            </w:rPr>
            <w:fldChar w:fldCharType="end"/>
          </w:r>
        </w:p>
        <w:p>
          <w:pPr>
            <w:pStyle w:val="10"/>
            <w:tabs>
              <w:tab w:val="right" w:leader="dot" w:pos="8306"/>
            </w:tabs>
            <w:spacing w:line="760" w:lineRule="exact"/>
            <w:rPr>
              <w:rFonts w:ascii="宋体" w:hAnsi="宋体" w:cs="宋体"/>
              <w:sz w:val="28"/>
              <w:szCs w:val="28"/>
            </w:rPr>
          </w:pPr>
          <w:r>
            <w:fldChar w:fldCharType="begin"/>
          </w:r>
          <w:r>
            <w:instrText xml:space="preserve"> HYPERLINK \l "_Toc28586" </w:instrText>
          </w:r>
          <w:r>
            <w:fldChar w:fldCharType="separate"/>
          </w:r>
          <w:r>
            <w:rPr>
              <w:rFonts w:hint="eastAsia" w:ascii="宋体" w:hAnsi="宋体" w:cs="宋体"/>
              <w:sz w:val="28"/>
              <w:szCs w:val="28"/>
            </w:rPr>
            <w:t>二、绩效评价工作开展情况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_Toc28586 \h </w:instrText>
          </w:r>
          <w:r>
            <w:rPr>
              <w:rFonts w:hint="eastAsia" w:ascii="宋体" w:hAnsi="宋体" w:cs="宋体"/>
              <w:sz w:val="28"/>
              <w:szCs w:val="28"/>
            </w:rPr>
            <w:fldChar w:fldCharType="separate"/>
          </w:r>
          <w:r>
            <w:rPr>
              <w:rFonts w:hint="eastAsia" w:ascii="宋体" w:hAnsi="宋体" w:cs="宋体"/>
              <w:sz w:val="28"/>
              <w:szCs w:val="28"/>
            </w:rPr>
            <w:t>6</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"_Toc4258" </w:instrText>
          </w:r>
          <w:r>
            <w:fldChar w:fldCharType="separate"/>
          </w:r>
          <w:r>
            <w:rPr>
              <w:rFonts w:hint="eastAsia" w:ascii="宋体" w:hAnsi="宋体" w:cs="宋体"/>
              <w:bCs/>
              <w:sz w:val="28"/>
              <w:szCs w:val="28"/>
            </w:rPr>
            <w:t>（一）绩效工作情况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_Toc4258 \h </w:instrText>
          </w:r>
          <w:r>
            <w:rPr>
              <w:rFonts w:hint="eastAsia" w:ascii="宋体" w:hAnsi="宋体" w:cs="宋体"/>
              <w:sz w:val="28"/>
              <w:szCs w:val="28"/>
            </w:rPr>
            <w:fldChar w:fldCharType="separate"/>
          </w:r>
          <w:r>
            <w:rPr>
              <w:rFonts w:hint="eastAsia" w:ascii="宋体" w:hAnsi="宋体" w:cs="宋体"/>
              <w:sz w:val="28"/>
              <w:szCs w:val="28"/>
            </w:rPr>
            <w:t>6</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"_Toc24596" </w:instrText>
          </w:r>
          <w:r>
            <w:fldChar w:fldCharType="separate"/>
          </w:r>
          <w:r>
            <w:rPr>
              <w:rFonts w:hint="eastAsia" w:ascii="宋体" w:hAnsi="宋体" w:cs="宋体"/>
              <w:bCs/>
              <w:sz w:val="28"/>
              <w:szCs w:val="28"/>
            </w:rPr>
            <w:t>（二）绩效评价工作过程</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_Toc24596 \h </w:instrText>
          </w:r>
          <w:r>
            <w:rPr>
              <w:rFonts w:hint="eastAsia" w:ascii="宋体" w:hAnsi="宋体" w:cs="宋体"/>
              <w:sz w:val="28"/>
              <w:szCs w:val="28"/>
            </w:rPr>
            <w:fldChar w:fldCharType="separate"/>
          </w:r>
          <w:r>
            <w:rPr>
              <w:rFonts w:hint="eastAsia" w:ascii="宋体" w:hAnsi="宋体" w:cs="宋体"/>
              <w:sz w:val="28"/>
              <w:szCs w:val="28"/>
            </w:rPr>
            <w:t>11</w:t>
          </w:r>
          <w:r>
            <w:rPr>
              <w:rFonts w:hint="eastAsia" w:ascii="宋体" w:hAnsi="宋体" w:cs="宋体"/>
              <w:sz w:val="28"/>
              <w:szCs w:val="28"/>
            </w:rPr>
            <w:fldChar w:fldCharType="end"/>
          </w:r>
          <w:r>
            <w:rPr>
              <w:rFonts w:hint="eastAsia" w:ascii="宋体" w:hAnsi="宋体" w:cs="宋体"/>
              <w:sz w:val="28"/>
              <w:szCs w:val="28"/>
            </w:rPr>
            <w:fldChar w:fldCharType="end"/>
          </w:r>
        </w:p>
        <w:p>
          <w:pPr>
            <w:pStyle w:val="10"/>
            <w:tabs>
              <w:tab w:val="right" w:leader="dot" w:pos="8306"/>
            </w:tabs>
            <w:spacing w:line="760" w:lineRule="exact"/>
            <w:rPr>
              <w:rFonts w:ascii="宋体" w:hAnsi="宋体" w:cs="宋体"/>
              <w:sz w:val="28"/>
              <w:szCs w:val="28"/>
            </w:rPr>
          </w:pPr>
          <w:r>
            <w:fldChar w:fldCharType="begin"/>
          </w:r>
          <w:r>
            <w:instrText xml:space="preserve"> HYPERLINK \l "_Toc15770" </w:instrText>
          </w:r>
          <w:r>
            <w:fldChar w:fldCharType="separate"/>
          </w:r>
          <w:r>
            <w:rPr>
              <w:rFonts w:hint="eastAsia" w:ascii="宋体" w:hAnsi="宋体" w:cs="宋体"/>
              <w:bCs/>
              <w:sz w:val="28"/>
              <w:szCs w:val="28"/>
            </w:rPr>
            <w:t>三、 综合评价情况及评价结论</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_Toc15770 \h </w:instrText>
          </w:r>
          <w:r>
            <w:rPr>
              <w:rFonts w:hint="eastAsia" w:ascii="宋体" w:hAnsi="宋体" w:cs="宋体"/>
              <w:sz w:val="28"/>
              <w:szCs w:val="28"/>
            </w:rPr>
            <w:fldChar w:fldCharType="separate"/>
          </w:r>
          <w:r>
            <w:rPr>
              <w:rFonts w:hint="eastAsia" w:ascii="宋体" w:hAnsi="宋体" w:cs="宋体"/>
              <w:sz w:val="28"/>
              <w:szCs w:val="28"/>
            </w:rPr>
            <w:t>13</w:t>
          </w:r>
          <w:r>
            <w:rPr>
              <w:rFonts w:hint="eastAsia" w:ascii="宋体" w:hAnsi="宋体" w:cs="宋体"/>
              <w:sz w:val="28"/>
              <w:szCs w:val="28"/>
            </w:rPr>
            <w:fldChar w:fldCharType="end"/>
          </w:r>
          <w:r>
            <w:rPr>
              <w:rFonts w:hint="eastAsia" w:ascii="宋体" w:hAnsi="宋体" w:cs="宋体"/>
              <w:sz w:val="28"/>
              <w:szCs w:val="28"/>
            </w:rPr>
            <w:fldChar w:fldCharType="end"/>
          </w:r>
        </w:p>
        <w:p>
          <w:pPr>
            <w:pStyle w:val="10"/>
            <w:tabs>
              <w:tab w:val="right" w:leader="dot" w:pos="8306"/>
            </w:tabs>
            <w:spacing w:line="760" w:lineRule="exact"/>
            <w:rPr>
              <w:rFonts w:ascii="宋体" w:hAnsi="宋体" w:cs="宋体"/>
              <w:sz w:val="28"/>
              <w:szCs w:val="28"/>
            </w:rPr>
          </w:pPr>
          <w:r>
            <w:fldChar w:fldCharType="begin"/>
          </w:r>
          <w:r>
            <w:instrText xml:space="preserve"> HYPERLINK \l "_Toc22694" </w:instrText>
          </w:r>
          <w:r>
            <w:fldChar w:fldCharType="separate"/>
          </w:r>
          <w:r>
            <w:rPr>
              <w:rFonts w:hint="eastAsia" w:ascii="宋体" w:hAnsi="宋体" w:cs="宋体"/>
              <w:sz w:val="28"/>
              <w:szCs w:val="28"/>
            </w:rPr>
            <w:t>四、绩效评价指标分析</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_Toc22694 \h </w:instrText>
          </w:r>
          <w:r>
            <w:rPr>
              <w:rFonts w:hint="eastAsia" w:ascii="宋体" w:hAnsi="宋体" w:cs="宋体"/>
              <w:sz w:val="28"/>
              <w:szCs w:val="28"/>
            </w:rPr>
            <w:fldChar w:fldCharType="separate"/>
          </w:r>
          <w:r>
            <w:rPr>
              <w:rFonts w:hint="eastAsia" w:ascii="宋体" w:hAnsi="宋体" w:cs="宋体"/>
              <w:sz w:val="28"/>
              <w:szCs w:val="28"/>
            </w:rPr>
            <w:t>14</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"_Toc26397" </w:instrText>
          </w:r>
          <w:r>
            <w:fldChar w:fldCharType="separate"/>
          </w:r>
          <w:r>
            <w:rPr>
              <w:rFonts w:hint="eastAsia" w:ascii="宋体" w:hAnsi="宋体" w:cs="宋体"/>
              <w:sz w:val="28"/>
              <w:szCs w:val="28"/>
            </w:rPr>
            <w:t>（一）项目决策情况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_Toc26397 \h </w:instrText>
          </w:r>
          <w:r>
            <w:rPr>
              <w:rFonts w:hint="eastAsia" w:ascii="宋体" w:hAnsi="宋体" w:cs="宋体"/>
              <w:sz w:val="28"/>
              <w:szCs w:val="28"/>
            </w:rPr>
            <w:fldChar w:fldCharType="separate"/>
          </w:r>
          <w:r>
            <w:rPr>
              <w:rFonts w:hint="eastAsia" w:ascii="宋体" w:hAnsi="宋体" w:cs="宋体"/>
              <w:sz w:val="28"/>
              <w:szCs w:val="28"/>
            </w:rPr>
            <w:t>14</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"_Toc28051" </w:instrText>
          </w:r>
          <w:r>
            <w:fldChar w:fldCharType="separate"/>
          </w:r>
          <w:r>
            <w:rPr>
              <w:rFonts w:hint="eastAsia" w:ascii="宋体" w:hAnsi="宋体" w:cs="宋体"/>
              <w:bCs/>
              <w:sz w:val="28"/>
              <w:szCs w:val="28"/>
            </w:rPr>
            <w:t>（二）项目过程情况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_Toc28051 \h </w:instrText>
          </w:r>
          <w:r>
            <w:rPr>
              <w:rFonts w:hint="eastAsia" w:ascii="宋体" w:hAnsi="宋体" w:cs="宋体"/>
              <w:sz w:val="28"/>
              <w:szCs w:val="28"/>
            </w:rPr>
            <w:fldChar w:fldCharType="separate"/>
          </w:r>
          <w:r>
            <w:rPr>
              <w:rFonts w:hint="eastAsia" w:ascii="宋体" w:hAnsi="宋体" w:cs="宋体"/>
              <w:sz w:val="28"/>
              <w:szCs w:val="28"/>
            </w:rPr>
            <w:t>16</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"_Toc4753" </w:instrText>
          </w:r>
          <w:r>
            <w:fldChar w:fldCharType="separate"/>
          </w:r>
          <w:r>
            <w:rPr>
              <w:rFonts w:hint="eastAsia" w:ascii="宋体" w:hAnsi="宋体" w:cs="宋体"/>
              <w:sz w:val="28"/>
              <w:szCs w:val="28"/>
            </w:rPr>
            <w:t>（三）项目产出情况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_Toc4753 \h </w:instrText>
          </w:r>
          <w:r>
            <w:rPr>
              <w:rFonts w:hint="eastAsia" w:ascii="宋体" w:hAnsi="宋体" w:cs="宋体"/>
              <w:sz w:val="28"/>
              <w:szCs w:val="28"/>
            </w:rPr>
            <w:fldChar w:fldCharType="separate"/>
          </w:r>
          <w:r>
            <w:rPr>
              <w:rFonts w:hint="eastAsia" w:ascii="宋体" w:hAnsi="宋体" w:cs="宋体"/>
              <w:sz w:val="28"/>
              <w:szCs w:val="28"/>
            </w:rPr>
            <w:t>24</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"_Toc20649" </w:instrText>
          </w:r>
          <w:r>
            <w:fldChar w:fldCharType="separate"/>
          </w:r>
          <w:r>
            <w:rPr>
              <w:rFonts w:hint="eastAsia" w:ascii="宋体" w:hAnsi="宋体" w:cs="宋体"/>
              <w:sz w:val="28"/>
              <w:szCs w:val="28"/>
            </w:rPr>
            <w:t>（四）项目效益情况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_Toc20649 \h </w:instrText>
          </w:r>
          <w:r>
            <w:rPr>
              <w:rFonts w:hint="eastAsia" w:ascii="宋体" w:hAnsi="宋体" w:cs="宋体"/>
              <w:sz w:val="28"/>
              <w:szCs w:val="28"/>
            </w:rPr>
            <w:fldChar w:fldCharType="separate"/>
          </w:r>
          <w:r>
            <w:rPr>
              <w:rFonts w:hint="eastAsia" w:ascii="宋体" w:hAnsi="宋体" w:cs="宋体"/>
              <w:sz w:val="28"/>
              <w:szCs w:val="28"/>
            </w:rPr>
            <w:t>27</w:t>
          </w:r>
          <w:r>
            <w:rPr>
              <w:rFonts w:hint="eastAsia" w:ascii="宋体" w:hAnsi="宋体" w:cs="宋体"/>
              <w:sz w:val="28"/>
              <w:szCs w:val="28"/>
            </w:rPr>
            <w:fldChar w:fldCharType="end"/>
          </w:r>
          <w:r>
            <w:rPr>
              <w:rFonts w:hint="eastAsia" w:ascii="宋体" w:hAnsi="宋体" w:cs="宋体"/>
              <w:sz w:val="28"/>
              <w:szCs w:val="28"/>
            </w:rPr>
            <w:fldChar w:fldCharType="end"/>
          </w:r>
        </w:p>
        <w:p>
          <w:pPr>
            <w:pStyle w:val="10"/>
            <w:tabs>
              <w:tab w:val="right" w:leader="dot" w:pos="8306"/>
            </w:tabs>
            <w:spacing w:line="760" w:lineRule="exact"/>
            <w:rPr>
              <w:rFonts w:ascii="宋体" w:hAnsi="宋体" w:cs="宋体"/>
              <w:sz w:val="28"/>
              <w:szCs w:val="28"/>
            </w:rPr>
          </w:pPr>
          <w:r>
            <w:fldChar w:fldCharType="begin"/>
          </w:r>
          <w:r>
            <w:instrText xml:space="preserve"> HYPERLINK \l "_Toc19614" </w:instrText>
          </w:r>
          <w:r>
            <w:fldChar w:fldCharType="separate"/>
          </w:r>
          <w:r>
            <w:rPr>
              <w:rFonts w:hint="eastAsia" w:ascii="宋体" w:hAnsi="宋体" w:cs="宋体"/>
              <w:bCs/>
              <w:sz w:val="28"/>
              <w:szCs w:val="28"/>
            </w:rPr>
            <w:t>五、主要经验及做法、存在的问题及原因分析</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_Toc19614 \h </w:instrText>
          </w:r>
          <w:r>
            <w:rPr>
              <w:rFonts w:hint="eastAsia" w:ascii="宋体" w:hAnsi="宋体" w:cs="宋体"/>
              <w:sz w:val="28"/>
              <w:szCs w:val="28"/>
            </w:rPr>
            <w:fldChar w:fldCharType="separate"/>
          </w:r>
          <w:r>
            <w:rPr>
              <w:rFonts w:hint="eastAsia" w:ascii="宋体" w:hAnsi="宋体" w:cs="宋体"/>
              <w:sz w:val="28"/>
              <w:szCs w:val="28"/>
            </w:rPr>
            <w:t>28</w:t>
          </w:r>
          <w:r>
            <w:rPr>
              <w:rFonts w:hint="eastAsia" w:ascii="宋体" w:hAnsi="宋体" w:cs="宋体"/>
              <w:sz w:val="28"/>
              <w:szCs w:val="28"/>
            </w:rPr>
            <w:fldChar w:fldCharType="end"/>
          </w:r>
          <w:r>
            <w:rPr>
              <w:rFonts w:hint="eastAsia" w:ascii="宋体" w:hAnsi="宋体" w:cs="宋体"/>
              <w:sz w:val="28"/>
              <w:szCs w:val="28"/>
            </w:rPr>
            <w:fldChar w:fldCharType="end"/>
          </w:r>
        </w:p>
        <w:p>
          <w:pPr>
            <w:pStyle w:val="10"/>
            <w:tabs>
              <w:tab w:val="right" w:leader="dot" w:pos="8306"/>
            </w:tabs>
            <w:spacing w:line="760" w:lineRule="exact"/>
            <w:rPr>
              <w:rFonts w:ascii="宋体" w:hAnsi="宋体" w:cs="宋体"/>
              <w:sz w:val="28"/>
              <w:szCs w:val="28"/>
            </w:rPr>
          </w:pPr>
          <w:r>
            <w:fldChar w:fldCharType="begin"/>
          </w:r>
          <w:r>
            <w:instrText xml:space="preserve"> HYPERLINK \l "_Toc15795" </w:instrText>
          </w:r>
          <w:r>
            <w:fldChar w:fldCharType="separate"/>
          </w:r>
          <w:r>
            <w:rPr>
              <w:rFonts w:hint="eastAsia" w:ascii="宋体" w:hAnsi="宋体" w:cs="宋体"/>
              <w:bCs/>
              <w:sz w:val="28"/>
              <w:szCs w:val="28"/>
            </w:rPr>
            <w:t>六、 有关建议</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_Toc15795 \h </w:instrText>
          </w:r>
          <w:r>
            <w:rPr>
              <w:rFonts w:hint="eastAsia" w:ascii="宋体" w:hAnsi="宋体" w:cs="宋体"/>
              <w:sz w:val="28"/>
              <w:szCs w:val="28"/>
            </w:rPr>
            <w:fldChar w:fldCharType="separate"/>
          </w:r>
          <w:r>
            <w:rPr>
              <w:rFonts w:hint="eastAsia" w:ascii="宋体" w:hAnsi="宋体" w:cs="宋体"/>
              <w:sz w:val="28"/>
              <w:szCs w:val="28"/>
            </w:rPr>
            <w:t>31</w:t>
          </w:r>
          <w:r>
            <w:rPr>
              <w:rFonts w:hint="eastAsia" w:ascii="宋体" w:hAnsi="宋体" w:cs="宋体"/>
              <w:sz w:val="28"/>
              <w:szCs w:val="28"/>
            </w:rPr>
            <w:fldChar w:fldCharType="end"/>
          </w:r>
          <w:r>
            <w:rPr>
              <w:rFonts w:hint="eastAsia" w:ascii="宋体" w:hAnsi="宋体" w:cs="宋体"/>
              <w:sz w:val="28"/>
              <w:szCs w:val="28"/>
            </w:rPr>
            <w:fldChar w:fldCharType="end"/>
          </w:r>
        </w:p>
        <w:p>
          <w:pPr>
            <w:pStyle w:val="10"/>
            <w:tabs>
              <w:tab w:val="right" w:leader="dot" w:pos="8306"/>
            </w:tabs>
            <w:spacing w:line="760" w:lineRule="exact"/>
            <w:rPr>
              <w:rFonts w:ascii="宋体" w:hAnsi="宋体" w:cs="宋体"/>
              <w:sz w:val="28"/>
              <w:szCs w:val="28"/>
            </w:rPr>
          </w:pPr>
          <w:r>
            <w:fldChar w:fldCharType="begin"/>
          </w:r>
          <w:r>
            <w:instrText xml:space="preserve"> HYPERLINK \l "_Toc25731" </w:instrText>
          </w:r>
          <w:r>
            <w:fldChar w:fldCharType="separate"/>
          </w:r>
          <w:r>
            <w:rPr>
              <w:rFonts w:hint="eastAsia" w:ascii="宋体" w:hAnsi="宋体" w:cs="宋体"/>
              <w:bCs/>
              <w:sz w:val="28"/>
              <w:szCs w:val="28"/>
            </w:rPr>
            <w:t>七、 其他需要说明的问题</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_Toc25731 \h </w:instrText>
          </w:r>
          <w:r>
            <w:rPr>
              <w:rFonts w:hint="eastAsia" w:ascii="宋体" w:hAnsi="宋体" w:cs="宋体"/>
              <w:sz w:val="28"/>
              <w:szCs w:val="28"/>
            </w:rPr>
            <w:fldChar w:fldCharType="separate"/>
          </w:r>
          <w:r>
            <w:rPr>
              <w:rFonts w:hint="eastAsia" w:ascii="宋体" w:hAnsi="宋体" w:cs="宋体"/>
              <w:sz w:val="28"/>
              <w:szCs w:val="28"/>
            </w:rPr>
            <w:t>32</w:t>
          </w:r>
          <w:r>
            <w:rPr>
              <w:rFonts w:hint="eastAsia" w:ascii="宋体" w:hAnsi="宋体" w:cs="宋体"/>
              <w:sz w:val="28"/>
              <w:szCs w:val="28"/>
            </w:rPr>
            <w:fldChar w:fldCharType="end"/>
          </w:r>
          <w:r>
            <w:rPr>
              <w:rFonts w:hint="eastAsia" w:ascii="宋体" w:hAnsi="宋体" w:cs="宋体"/>
              <w:sz w:val="28"/>
              <w:szCs w:val="28"/>
            </w:rPr>
            <w:fldChar w:fldCharType="end"/>
          </w:r>
        </w:p>
        <w:p>
          <w:pPr>
            <w:pStyle w:val="10"/>
            <w:tabs>
              <w:tab w:val="right" w:leader="dot" w:pos="8306"/>
            </w:tabs>
            <w:spacing w:line="760" w:lineRule="exact"/>
          </w:pPr>
          <w:r>
            <w:fldChar w:fldCharType="begin"/>
          </w:r>
          <w:r>
            <w:instrText xml:space="preserve"> HYPERLINK \l "_Toc18197" </w:instrText>
          </w:r>
          <w:r>
            <w:fldChar w:fldCharType="separate"/>
          </w:r>
          <w:r>
            <w:rPr>
              <w:rFonts w:hint="eastAsia" w:ascii="宋体" w:hAnsi="宋体" w:cs="宋体"/>
              <w:bCs/>
              <w:sz w:val="28"/>
              <w:szCs w:val="28"/>
            </w:rPr>
            <w:t>八、附件</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_Toc18197 \h </w:instrText>
          </w:r>
          <w:r>
            <w:rPr>
              <w:rFonts w:hint="eastAsia" w:ascii="宋体" w:hAnsi="宋体" w:cs="宋体"/>
              <w:sz w:val="28"/>
              <w:szCs w:val="28"/>
            </w:rPr>
            <w:fldChar w:fldCharType="separate"/>
          </w:r>
          <w:r>
            <w:rPr>
              <w:rFonts w:hint="eastAsia" w:ascii="宋体" w:hAnsi="宋体" w:cs="宋体"/>
              <w:sz w:val="28"/>
              <w:szCs w:val="28"/>
            </w:rPr>
            <w:t>32</w:t>
          </w:r>
          <w:r>
            <w:rPr>
              <w:rFonts w:hint="eastAsia" w:ascii="宋体" w:hAnsi="宋体" w:cs="宋体"/>
              <w:sz w:val="28"/>
              <w:szCs w:val="28"/>
            </w:rPr>
            <w:fldChar w:fldCharType="end"/>
          </w:r>
          <w:r>
            <w:rPr>
              <w:rFonts w:hint="eastAsia" w:ascii="宋体" w:hAnsi="宋体" w:cs="宋体"/>
              <w:sz w:val="28"/>
              <w:szCs w:val="28"/>
            </w:rPr>
            <w:fldChar w:fldCharType="end"/>
          </w:r>
        </w:p>
        <w:p>
          <w:pPr>
            <w:spacing w:line="760" w:lineRule="exact"/>
            <w:jc w:val="center"/>
            <w:rPr>
              <w:rFonts w:ascii="方正小标宋简体" w:eastAsia="方正小标宋简体"/>
              <w:sz w:val="36"/>
              <w:szCs w:val="36"/>
            </w:rPr>
            <w:sectPr>
              <w:footerReference r:id="rId4" w:type="default"/>
              <w:pgSz w:w="11906" w:h="16838"/>
              <w:pgMar w:top="1440" w:right="1800" w:bottom="1440" w:left="1800" w:header="851" w:footer="992" w:gutter="0"/>
              <w:pgNumType w:fmt="numberInDash"/>
              <w:cols w:space="425" w:num="1"/>
              <w:docGrid w:type="lines" w:linePitch="312" w:charSpace="0"/>
            </w:sectPr>
          </w:pPr>
          <w:r>
            <w:rPr>
              <w:rFonts w:hint="eastAsia" w:ascii="宋体" w:hAnsi="宋体" w:cs="宋体"/>
              <w:szCs w:val="32"/>
            </w:rPr>
            <w:fldChar w:fldCharType="end"/>
          </w:r>
        </w:p>
      </w:sdtContent>
    </w:sdt>
    <w:p>
      <w:pPr>
        <w:spacing w:line="360" w:lineRule="auto"/>
        <w:jc w:val="center"/>
        <w:rPr>
          <w:rFonts w:ascii="方正小标宋简体" w:eastAsia="方正小标宋简体"/>
          <w:sz w:val="36"/>
          <w:szCs w:val="36"/>
        </w:rPr>
      </w:pPr>
      <w:r>
        <w:rPr>
          <w:rFonts w:hint="eastAsia" w:ascii="方正小标宋简体" w:eastAsia="方正小标宋简体"/>
          <w:sz w:val="36"/>
          <w:szCs w:val="36"/>
        </w:rPr>
        <w:t>学会、民办社科研究机构和社科类基金会管理业务</w:t>
      </w:r>
    </w:p>
    <w:p>
      <w:pPr>
        <w:spacing w:line="360" w:lineRule="auto"/>
        <w:jc w:val="center"/>
        <w:rPr>
          <w:rFonts w:ascii="仿宋_GB2312" w:eastAsia="仿宋_GB2312"/>
          <w:sz w:val="32"/>
          <w:szCs w:val="32"/>
        </w:rPr>
      </w:pPr>
      <w:r>
        <w:rPr>
          <w:rFonts w:hint="eastAsia" w:ascii="方正小标宋简体" w:eastAsia="方正小标宋简体"/>
          <w:sz w:val="36"/>
          <w:szCs w:val="36"/>
        </w:rPr>
        <w:t>经费项目支出绩效评价报告</w:t>
      </w:r>
    </w:p>
    <w:p>
      <w:pPr>
        <w:spacing w:before="312" w:beforeLines="100" w:line="360" w:lineRule="auto"/>
        <w:ind w:firstLine="640" w:firstLineChars="200"/>
        <w:outlineLvl w:val="0"/>
        <w:rPr>
          <w:rFonts w:ascii="黑体" w:hAnsi="黑体" w:eastAsia="黑体" w:cs="黑体"/>
          <w:sz w:val="32"/>
          <w:szCs w:val="32"/>
        </w:rPr>
      </w:pPr>
      <w:bookmarkStart w:id="0" w:name="_Toc5452"/>
      <w:r>
        <w:rPr>
          <w:rFonts w:hint="eastAsia" w:ascii="黑体" w:hAnsi="黑体" w:eastAsia="黑体" w:cs="黑体"/>
          <w:sz w:val="32"/>
          <w:szCs w:val="32"/>
        </w:rPr>
        <w:t>一、基本情况</w:t>
      </w:r>
      <w:bookmarkEnd w:id="0"/>
    </w:p>
    <w:p>
      <w:pPr>
        <w:spacing w:line="360" w:lineRule="auto"/>
        <w:ind w:firstLine="643" w:firstLineChars="200"/>
        <w:outlineLvl w:val="1"/>
        <w:rPr>
          <w:rFonts w:ascii="仿宋" w:hAnsi="仿宋" w:eastAsia="仿宋" w:cs="仿宋"/>
          <w:b/>
          <w:bCs/>
          <w:sz w:val="32"/>
          <w:szCs w:val="32"/>
        </w:rPr>
      </w:pPr>
      <w:bookmarkStart w:id="1" w:name="_Toc21837"/>
      <w:r>
        <w:rPr>
          <w:rFonts w:hint="eastAsia" w:ascii="仿宋" w:hAnsi="仿宋" w:eastAsia="仿宋" w:cs="仿宋"/>
          <w:b/>
          <w:bCs/>
          <w:sz w:val="32"/>
          <w:szCs w:val="32"/>
        </w:rPr>
        <w:t>（一）项目概况</w:t>
      </w:r>
      <w:bookmarkEnd w:id="1"/>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1.项目背景</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党的十八大以来，以习近平总书记为核心的党中央高度重视哲学社会科学的发展，并明确指出“哲学社会科学工作者具有不可替代的重要作用”。社科类学会、民办社科研究机构和社科类基金会（以下统称“社会组织”）是党的哲学社会科学事业的重要组成部分，是创新社科理论、服务中心工作、完善学科体系、整合科研力量、普及社科知识、反映公众诉求、提高公民素质、推动社会建设的重要力量，是社科类社会组织党的工作和群众工作的重要阵地，是党的社会科学基层组织建设的重要领域。因此，服务好、引导好社科类社会组织具有重要的现实意义。</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习近平总书记还特别强调“社会组织面大量广，加强社会组织党的建设十分重要。越是情况复杂、基础薄弱的地方，越要健全党的组织、做好党的工作，确保全覆盖，固本强基，防止‘木桶效应’”。社科类</w:t>
      </w:r>
      <w:bookmarkStart w:id="28" w:name="_GoBack"/>
      <w:r>
        <w:rPr>
          <w:rFonts w:hint="eastAsia" w:ascii="仿宋" w:hAnsi="仿宋" w:eastAsia="仿宋" w:cs="仿宋"/>
          <w:sz w:val="32"/>
          <w:szCs w:val="32"/>
          <w:highlight w:val="none"/>
        </w:rPr>
        <w:t>社会组织党组织是</w:t>
      </w:r>
      <w:bookmarkEnd w:id="28"/>
      <w:r>
        <w:rPr>
          <w:rFonts w:hint="eastAsia" w:ascii="仿宋" w:hAnsi="仿宋" w:eastAsia="仿宋" w:cs="仿宋"/>
          <w:sz w:val="32"/>
          <w:szCs w:val="32"/>
        </w:rPr>
        <w:t>党在社科类社会组织中的战斗堡垒，发挥政治核心作用，对于加强党对社科类社会组织的领导，促进社科类社会组织健康有序发展，助力首都经济社会发展具有重要的政治保障作用。在2016年市委办公厅印发的《关于加强和改进社会组织党的建设工作的实施意见》中指出“要建立多渠道筹措、多元化投入的党建工作经费保障机制。严格落实党员年人均不低于200元的基层党组织工作和活动经费，有条件的区可适当提高标准。社会组织党员上交的党费全额下拨，用于开展党建工作。组织部门、社会工委可用留存党费、社会建设资金给予支持。新组建的</w:t>
      </w:r>
      <w:r>
        <w:rPr>
          <w:rFonts w:hint="eastAsia" w:ascii="仿宋" w:hAnsi="仿宋" w:eastAsia="仿宋" w:cs="仿宋"/>
          <w:sz w:val="32"/>
          <w:szCs w:val="32"/>
          <w:highlight w:val="none"/>
        </w:rPr>
        <w:t>社会组织党组织，</w:t>
      </w:r>
      <w:r>
        <w:rPr>
          <w:rFonts w:hint="eastAsia" w:ascii="仿宋" w:hAnsi="仿宋" w:eastAsia="仿宋" w:cs="仿宋"/>
          <w:sz w:val="32"/>
          <w:szCs w:val="32"/>
        </w:rPr>
        <w:t>上级党组织应给予一定的经费支持”。</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北京市社会科学界联合会（以下简称“市社科联”）在北京市委的领导下，充分发挥联、研、普、智的功能，团结、凝聚、整合首都哲学社会科学力量，为繁荣发展首都哲学社会科学作出了重要贡献，工作成绩得到了北京市委的充分肯定。其中，开展社会组织管理业务相关工作是市社科联为推进首都哲学社会科学事业发展的一项重要工作。为此，市社科联申请开展学会、民办社科研究机构和社科类基金会管理业务经费项目（以下简称“该项目”）。</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2.主要内容及实施情况</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（1）该项目主要内容</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该</w:t>
      </w:r>
      <w:r>
        <w:rPr>
          <w:rFonts w:hint="eastAsia" w:ascii="仿宋" w:hAnsi="仿宋" w:eastAsia="仿宋" w:cs="仿宋"/>
          <w:sz w:val="32"/>
          <w:szCs w:val="32"/>
        </w:rPr>
        <w:t>项目主要内容包括：社科类社会组织重点学术活动项目（论文集）资助；扶持有经济困难的学会正常开展年检、审计、会计、税务管理及换届等工作；编印年度《社会组织活动概览》；组织社会组织工作培训会议；为所属社会组织党组织开展党的活动、购买学习资料等提供经费支持；参加全国社科联学会工作会议，交流学习工作经验；社会组织抽查审计、职称初评等。</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（2）实施情况</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截至2022年12月31日，该项目具体实施情况如下：</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position w:val="-6"/>
          <w:sz w:val="48"/>
          <w:szCs w:val="32"/>
        </w:rPr>
        <w:instrText xml:space="preserve">○</w:instrText>
      </w:r>
      <w:r>
        <w:rPr>
          <w:rFonts w:hint="eastAsia" w:ascii="仿宋" w:hAnsi="仿宋" w:eastAsia="仿宋" w:cs="仿宋"/>
          <w:sz w:val="32"/>
          <w:szCs w:val="32"/>
        </w:rPr>
        <w:instrText xml:space="preserve">,1)</w:instrText>
      </w:r>
      <w:r>
        <w:rPr>
          <w:rFonts w:hint="eastAsia" w:ascii="仿宋" w:hAnsi="仿宋" w:eastAsia="仿宋" w:cs="仿宋"/>
          <w:sz w:val="32"/>
          <w:szCs w:val="32"/>
        </w:rPr>
        <w:fldChar w:fldCharType="end"/>
      </w:r>
      <w:r>
        <w:rPr>
          <w:rFonts w:hint="eastAsia" w:ascii="仿宋" w:hAnsi="仿宋" w:eastAsia="仿宋" w:cs="仿宋"/>
          <w:sz w:val="32"/>
          <w:szCs w:val="32"/>
        </w:rPr>
        <w:t>学术论文集资助。预计资助8本论文集，因北京市婚姻家庭研究会申报立项的《新时代婚姻家庭与妇女发展》论文集，由于学术价值偏低等原因不予以资助出版，最终资助7部论文集。</w:t>
      </w:r>
    </w:p>
    <w:p>
      <w:pPr>
        <w:ind w:firstLine="640" w:firstLineChars="200"/>
        <w:rPr>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EQ \o\ac(</w:instrText>
      </w:r>
      <w:r>
        <w:rPr>
          <w:rFonts w:hint="eastAsia" w:ascii="仿宋" w:hAnsi="仿宋" w:eastAsia="仿宋" w:cs="仿宋"/>
          <w:position w:val="-6"/>
          <w:sz w:val="48"/>
          <w:szCs w:val="32"/>
        </w:rPr>
        <w:instrText xml:space="preserve">○</w:instrText>
      </w:r>
      <w:r>
        <w:rPr>
          <w:rFonts w:ascii="仿宋" w:hAnsi="仿宋" w:eastAsia="仿宋" w:cs="仿宋"/>
          <w:sz w:val="32"/>
          <w:szCs w:val="32"/>
        </w:rPr>
        <w:instrText xml:space="preserve">,2)</w:instrText>
      </w:r>
      <w:r>
        <w:rPr>
          <w:rFonts w:ascii="仿宋" w:hAnsi="仿宋" w:eastAsia="仿宋" w:cs="仿宋"/>
          <w:sz w:val="32"/>
          <w:szCs w:val="32"/>
        </w:rPr>
        <w:fldChar w:fldCharType="end"/>
      </w:r>
      <w:r>
        <w:rPr>
          <w:rFonts w:hint="eastAsia" w:ascii="仿宋" w:hAnsi="仿宋" w:eastAsia="仿宋" w:cs="仿宋"/>
          <w:sz w:val="32"/>
          <w:szCs w:val="32"/>
        </w:rPr>
        <w:t>社会组织党建活动资助。预计资助100个社会组织、党组织，但为了提高资金使用效率，减少资金沉淀，对35家余额不小于4200元的党组织，未予以拨付。社会组织党建活动资助实际拨付65个党组织。</w:t>
      </w:r>
    </w:p>
    <w:p>
      <w:pPr>
        <w:ind w:firstLine="640" w:firstLineChars="200"/>
        <w:rPr>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EQ \o\ac(</w:instrText>
      </w:r>
      <w:r>
        <w:rPr>
          <w:rFonts w:hint="eastAsia" w:ascii="仿宋" w:hAnsi="仿宋" w:eastAsia="仿宋" w:cs="仿宋"/>
          <w:position w:val="-6"/>
          <w:sz w:val="48"/>
          <w:szCs w:val="32"/>
        </w:rPr>
        <w:instrText xml:space="preserve">○</w:instrText>
      </w:r>
      <w:r>
        <w:rPr>
          <w:rFonts w:ascii="仿宋" w:hAnsi="仿宋" w:eastAsia="仿宋" w:cs="仿宋"/>
          <w:sz w:val="32"/>
          <w:szCs w:val="32"/>
        </w:rPr>
        <w:instrText xml:space="preserve">,3)</w:instrText>
      </w:r>
      <w:r>
        <w:rPr>
          <w:rFonts w:ascii="仿宋" w:hAnsi="仿宋" w:eastAsia="仿宋" w:cs="仿宋"/>
          <w:sz w:val="32"/>
          <w:szCs w:val="32"/>
        </w:rPr>
        <w:fldChar w:fldCharType="end"/>
      </w:r>
      <w:r>
        <w:rPr>
          <w:rFonts w:hint="eastAsia" w:ascii="仿宋" w:hAnsi="仿宋" w:eastAsia="仿宋" w:cs="仿宋"/>
          <w:sz w:val="32"/>
          <w:szCs w:val="32"/>
        </w:rPr>
        <w:t>学会建设活动资助。预计资助20家社会组织，但因北京新闻摄影学会受疫情封控影响无法获得单位盖章，以及北京市新四军暨华中抗日根据地研究会因社会团体法人登记证书变更后，未能及时办理相关手续，其银行账号被冻结，导致财务无法向其拨付。学会建设活动资助实际完成18家社会组织。</w:t>
      </w:r>
    </w:p>
    <w:p>
      <w:pPr>
        <w:ind w:firstLine="640" w:firstLineChars="200"/>
        <w:rPr>
          <w:rFonts w:ascii="仿宋" w:hAnsi="仿宋" w:eastAsia="仿宋" w:cs="仿宋"/>
          <w:sz w:val="32"/>
          <w:szCs w:val="32"/>
        </w:rPr>
      </w:pPr>
      <w:r>
        <w:rPr>
          <w:rFonts w:ascii="仿宋" w:hAnsi="仿宋" w:eastAsia="仿宋" w:cs="仿宋"/>
          <w:sz w:val="32"/>
          <w:szCs w:val="32"/>
        </w:rPr>
        <w:fldChar w:fldCharType="begin"/>
      </w:r>
      <w:r>
        <w:rPr>
          <w:rFonts w:ascii="仿宋" w:hAnsi="仿宋" w:eastAsia="仿宋" w:cs="仿宋"/>
          <w:sz w:val="32"/>
          <w:szCs w:val="32"/>
        </w:rPr>
        <w:instrText xml:space="preserve"> EQ \o\ac(</w:instrText>
      </w:r>
      <w:r>
        <w:rPr>
          <w:rFonts w:hint="eastAsia" w:ascii="仿宋" w:hAnsi="仿宋" w:eastAsia="仿宋" w:cs="仿宋"/>
          <w:position w:val="-6"/>
          <w:sz w:val="48"/>
          <w:szCs w:val="32"/>
        </w:rPr>
        <w:instrText xml:space="preserve">○</w:instrText>
      </w:r>
      <w:r>
        <w:rPr>
          <w:rFonts w:ascii="仿宋" w:hAnsi="仿宋" w:eastAsia="仿宋" w:cs="仿宋"/>
          <w:sz w:val="32"/>
          <w:szCs w:val="32"/>
        </w:rPr>
        <w:instrText xml:space="preserve">,4)</w:instrText>
      </w:r>
      <w:r>
        <w:rPr>
          <w:rFonts w:ascii="仿宋" w:hAnsi="仿宋" w:eastAsia="仿宋" w:cs="仿宋"/>
          <w:sz w:val="32"/>
          <w:szCs w:val="32"/>
        </w:rPr>
        <w:fldChar w:fldCharType="end"/>
      </w:r>
      <w:r>
        <w:rPr>
          <w:rFonts w:hint="eastAsia" w:ascii="仿宋" w:hAnsi="仿宋" w:eastAsia="仿宋" w:cs="仿宋"/>
          <w:sz w:val="32"/>
          <w:szCs w:val="32"/>
        </w:rPr>
        <w:t>编制《社会组织活动概览》。按计划完成3000册印制工作。</w:t>
      </w:r>
    </w:p>
    <w:p>
      <w:pPr>
        <w:pStyle w:val="2"/>
        <w:ind w:firstLine="640" w:firstLineChars="200"/>
        <w:rPr>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position w:val="-6"/>
          <w:sz w:val="48"/>
          <w:szCs w:val="32"/>
        </w:rPr>
        <w:instrText xml:space="preserve">○</w:instrText>
      </w:r>
      <w:r>
        <w:rPr>
          <w:rFonts w:hint="eastAsia" w:ascii="仿宋" w:hAnsi="仿宋" w:eastAsia="仿宋" w:cs="仿宋"/>
          <w:sz w:val="32"/>
          <w:szCs w:val="32"/>
        </w:rPr>
        <w:instrText xml:space="preserve">,5)</w:instrText>
      </w:r>
      <w:r>
        <w:rPr>
          <w:rFonts w:hint="eastAsia" w:ascii="仿宋" w:hAnsi="仿宋" w:eastAsia="仿宋" w:cs="仿宋"/>
          <w:sz w:val="32"/>
          <w:szCs w:val="32"/>
        </w:rPr>
        <w:fldChar w:fldCharType="end"/>
      </w:r>
      <w:r>
        <w:rPr>
          <w:rFonts w:hint="eastAsia" w:ascii="仿宋" w:hAnsi="仿宋" w:eastAsia="仿宋" w:cs="仿宋"/>
          <w:sz w:val="32"/>
          <w:szCs w:val="32"/>
        </w:rPr>
        <w:t>社会组织快递。根据工作需要，为所属社会组织邮寄信函、工作文件、资料等。</w:t>
      </w:r>
    </w:p>
    <w:p>
      <w:pPr>
        <w:spacing w:line="360" w:lineRule="auto"/>
        <w:ind w:firstLine="640" w:firstLineChars="200"/>
        <w:rPr>
          <w:rFonts w:ascii="仿宋" w:hAnsi="仿宋" w:eastAsia="仿宋" w:cs="仿宋_GB2312"/>
          <w:sz w:val="32"/>
          <w:szCs w:val="32"/>
        </w:rPr>
      </w:pPr>
      <w:r>
        <w:rPr>
          <w:rFonts w:hint="eastAsia" w:ascii="仿宋" w:hAnsi="仿宋" w:eastAsia="仿宋" w:cs="仿宋"/>
          <w:sz w:val="32"/>
          <w:szCs w:val="32"/>
        </w:rPr>
        <w:t>3.资金投入和使用情况。</w:t>
      </w:r>
    </w:p>
    <w:p>
      <w:pPr>
        <w:spacing w:line="360" w:lineRule="auto"/>
        <w:ind w:left="420" w:leftChars="200"/>
        <w:rPr>
          <w:rFonts w:ascii="仿宋" w:hAnsi="仿宋" w:eastAsia="仿宋" w:cs="仿宋_GB2312"/>
          <w:sz w:val="32"/>
          <w:szCs w:val="32"/>
        </w:rPr>
      </w:pPr>
      <w:r>
        <w:rPr>
          <w:rFonts w:hint="eastAsia" w:ascii="仿宋" w:hAnsi="仿宋" w:eastAsia="仿宋" w:cs="仿宋"/>
          <w:sz w:val="32"/>
          <w:szCs w:val="32"/>
        </w:rPr>
        <w:t>（1）资金投入情况</w:t>
      </w:r>
    </w:p>
    <w:p>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2021年11月，按照部门预算编制要求，结合以往工作情况，该项目申报预算112.948000万元。根据2022年1月28日《北京市财政局关于批复北京市社会科学界联合会2022年预算的函》（京财科文指〔2022〕183号），批复该项目预算112.948000万元。</w:t>
      </w:r>
    </w:p>
    <w:tbl>
      <w:tblPr>
        <w:tblStyle w:val="13"/>
        <w:tblW w:w="5032" w:type="pct"/>
        <w:tblInd w:w="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4923"/>
        <w:gridCol w:w="2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blHeader/>
        </w:trPr>
        <w:tc>
          <w:tcPr>
            <w:tcW w:w="692" w:type="pct"/>
            <w:vAlign w:val="center"/>
          </w:tcPr>
          <w:p>
            <w:pPr>
              <w:adjustRightInd w:val="0"/>
              <w:snapToGrid w:val="0"/>
              <w:jc w:val="center"/>
              <w:rPr>
                <w:rFonts w:ascii="仿宋" w:hAnsi="仿宋" w:eastAsia="仿宋"/>
                <w:b/>
                <w:bCs/>
                <w:sz w:val="24"/>
              </w:rPr>
            </w:pPr>
            <w:r>
              <w:rPr>
                <w:rFonts w:hint="eastAsia" w:ascii="仿宋" w:hAnsi="仿宋" w:eastAsia="仿宋"/>
                <w:b/>
                <w:bCs/>
                <w:sz w:val="24"/>
              </w:rPr>
              <w:t>序号</w:t>
            </w:r>
          </w:p>
        </w:tc>
        <w:tc>
          <w:tcPr>
            <w:tcW w:w="2868" w:type="pct"/>
            <w:vAlign w:val="center"/>
          </w:tcPr>
          <w:p>
            <w:pPr>
              <w:adjustRightInd w:val="0"/>
              <w:snapToGrid w:val="0"/>
              <w:jc w:val="center"/>
              <w:rPr>
                <w:rFonts w:ascii="仿宋" w:hAnsi="仿宋" w:eastAsia="仿宋"/>
                <w:b/>
                <w:bCs/>
                <w:sz w:val="24"/>
              </w:rPr>
            </w:pPr>
            <w:r>
              <w:rPr>
                <w:rFonts w:hint="eastAsia" w:ascii="仿宋" w:hAnsi="仿宋" w:eastAsia="仿宋"/>
                <w:b/>
                <w:bCs/>
                <w:sz w:val="24"/>
              </w:rPr>
              <w:t>明细</w:t>
            </w:r>
          </w:p>
        </w:tc>
        <w:tc>
          <w:tcPr>
            <w:tcW w:w="1438" w:type="pct"/>
            <w:vAlign w:val="center"/>
          </w:tcPr>
          <w:p>
            <w:pPr>
              <w:adjustRightInd w:val="0"/>
              <w:snapToGrid w:val="0"/>
              <w:jc w:val="center"/>
              <w:rPr>
                <w:rFonts w:ascii="仿宋" w:hAnsi="仿宋" w:eastAsia="仿宋"/>
                <w:b/>
                <w:bCs/>
                <w:sz w:val="24"/>
              </w:rPr>
            </w:pPr>
            <w:r>
              <w:rPr>
                <w:rFonts w:hint="eastAsia" w:ascii="仿宋" w:hAnsi="仿宋" w:eastAsia="仿宋"/>
                <w:b/>
                <w:bCs/>
                <w:sz w:val="24"/>
              </w:rPr>
              <w:t>预算金额（万元）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92" w:type="pct"/>
            <w:vAlign w:val="center"/>
          </w:tcPr>
          <w:p>
            <w:pPr>
              <w:adjustRightInd w:val="0"/>
              <w:snapToGrid w:val="0"/>
              <w:jc w:val="center"/>
              <w:rPr>
                <w:rFonts w:ascii="仿宋" w:hAnsi="仿宋" w:eastAsia="仿宋"/>
                <w:sz w:val="24"/>
              </w:rPr>
            </w:pPr>
            <w:r>
              <w:rPr>
                <w:rFonts w:hint="eastAsia" w:ascii="仿宋" w:hAnsi="仿宋" w:eastAsia="仿宋"/>
                <w:sz w:val="24"/>
              </w:rPr>
              <w:t>1</w:t>
            </w:r>
          </w:p>
        </w:tc>
        <w:tc>
          <w:tcPr>
            <w:tcW w:w="2868" w:type="pct"/>
            <w:vAlign w:val="center"/>
          </w:tcPr>
          <w:p>
            <w:pPr>
              <w:adjustRightInd w:val="0"/>
              <w:snapToGrid w:val="0"/>
              <w:jc w:val="center"/>
              <w:rPr>
                <w:rFonts w:ascii="仿宋" w:hAnsi="仿宋" w:eastAsia="仿宋"/>
                <w:sz w:val="24"/>
              </w:rPr>
            </w:pPr>
            <w:r>
              <w:rPr>
                <w:rFonts w:hint="eastAsia" w:ascii="仿宋" w:hAnsi="仿宋" w:eastAsia="仿宋"/>
                <w:sz w:val="24"/>
              </w:rPr>
              <w:t>社会组织快递费</w:t>
            </w:r>
          </w:p>
        </w:tc>
        <w:tc>
          <w:tcPr>
            <w:tcW w:w="1438" w:type="pct"/>
            <w:vAlign w:val="center"/>
          </w:tcPr>
          <w:p>
            <w:pPr>
              <w:adjustRightInd w:val="0"/>
              <w:snapToGrid w:val="0"/>
              <w:jc w:val="right"/>
              <w:rPr>
                <w:rFonts w:ascii="仿宋" w:hAnsi="仿宋" w:eastAsia="仿宋"/>
                <w:sz w:val="24"/>
              </w:rPr>
            </w:pPr>
            <w:r>
              <w:rPr>
                <w:rFonts w:hint="eastAsia" w:ascii="仿宋" w:hAnsi="仿宋" w:eastAsia="仿宋"/>
                <w:sz w:val="24"/>
              </w:rPr>
              <w:t xml:space="preserve">0.360000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92" w:type="pct"/>
            <w:vAlign w:val="center"/>
          </w:tcPr>
          <w:p>
            <w:pPr>
              <w:adjustRightInd w:val="0"/>
              <w:snapToGrid w:val="0"/>
              <w:jc w:val="center"/>
              <w:rPr>
                <w:rFonts w:ascii="仿宋" w:hAnsi="仿宋" w:eastAsia="仿宋"/>
                <w:sz w:val="24"/>
              </w:rPr>
            </w:pPr>
            <w:r>
              <w:rPr>
                <w:rFonts w:hint="eastAsia" w:ascii="仿宋" w:hAnsi="仿宋" w:eastAsia="仿宋"/>
                <w:sz w:val="24"/>
              </w:rPr>
              <w:t>2</w:t>
            </w:r>
          </w:p>
        </w:tc>
        <w:tc>
          <w:tcPr>
            <w:tcW w:w="2868" w:type="pct"/>
            <w:vAlign w:val="center"/>
          </w:tcPr>
          <w:p>
            <w:pPr>
              <w:adjustRightInd w:val="0"/>
              <w:snapToGrid w:val="0"/>
              <w:jc w:val="center"/>
              <w:rPr>
                <w:rFonts w:ascii="仿宋" w:hAnsi="仿宋" w:eastAsia="仿宋"/>
                <w:sz w:val="24"/>
              </w:rPr>
            </w:pPr>
            <w:r>
              <w:rPr>
                <w:rFonts w:hint="eastAsia" w:ascii="仿宋" w:hAnsi="仿宋" w:eastAsia="仿宋"/>
                <w:sz w:val="24"/>
              </w:rPr>
              <w:t>重点学术活动项目资助</w:t>
            </w:r>
          </w:p>
        </w:tc>
        <w:tc>
          <w:tcPr>
            <w:tcW w:w="1438" w:type="pct"/>
            <w:vAlign w:val="center"/>
          </w:tcPr>
          <w:p>
            <w:pPr>
              <w:adjustRightInd w:val="0"/>
              <w:snapToGrid w:val="0"/>
              <w:jc w:val="right"/>
              <w:rPr>
                <w:rFonts w:ascii="仿宋" w:hAnsi="仿宋" w:eastAsia="仿宋"/>
                <w:sz w:val="24"/>
              </w:rPr>
            </w:pPr>
            <w:r>
              <w:rPr>
                <w:rFonts w:hint="eastAsia" w:ascii="仿宋" w:hAnsi="仿宋" w:eastAsia="仿宋"/>
                <w:sz w:val="24"/>
              </w:rPr>
              <w:t xml:space="preserve">38.200000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92" w:type="pct"/>
            <w:vAlign w:val="center"/>
          </w:tcPr>
          <w:p>
            <w:pPr>
              <w:adjustRightInd w:val="0"/>
              <w:snapToGrid w:val="0"/>
              <w:jc w:val="center"/>
              <w:rPr>
                <w:rFonts w:ascii="仿宋" w:hAnsi="仿宋" w:eastAsia="仿宋"/>
                <w:sz w:val="24"/>
              </w:rPr>
            </w:pPr>
            <w:r>
              <w:rPr>
                <w:rFonts w:hint="eastAsia" w:ascii="仿宋" w:hAnsi="仿宋" w:eastAsia="仿宋"/>
                <w:sz w:val="24"/>
              </w:rPr>
              <w:t>3</w:t>
            </w:r>
          </w:p>
        </w:tc>
        <w:tc>
          <w:tcPr>
            <w:tcW w:w="2868" w:type="pct"/>
            <w:vAlign w:val="center"/>
          </w:tcPr>
          <w:p>
            <w:pPr>
              <w:adjustRightInd w:val="0"/>
              <w:snapToGrid w:val="0"/>
              <w:jc w:val="center"/>
              <w:rPr>
                <w:rFonts w:ascii="仿宋" w:hAnsi="仿宋" w:eastAsia="仿宋"/>
                <w:sz w:val="24"/>
              </w:rPr>
            </w:pPr>
            <w:r>
              <w:rPr>
                <w:rFonts w:hint="eastAsia" w:ascii="仿宋" w:hAnsi="仿宋" w:eastAsia="仿宋"/>
                <w:sz w:val="24"/>
              </w:rPr>
              <w:t>学会活动建设费</w:t>
            </w:r>
          </w:p>
        </w:tc>
        <w:tc>
          <w:tcPr>
            <w:tcW w:w="1438" w:type="pct"/>
            <w:vAlign w:val="center"/>
          </w:tcPr>
          <w:p>
            <w:pPr>
              <w:adjustRightInd w:val="0"/>
              <w:snapToGrid w:val="0"/>
              <w:jc w:val="right"/>
              <w:rPr>
                <w:rFonts w:ascii="仿宋" w:hAnsi="仿宋" w:eastAsia="仿宋"/>
                <w:sz w:val="24"/>
              </w:rPr>
            </w:pPr>
            <w:r>
              <w:rPr>
                <w:rFonts w:hint="eastAsia" w:ascii="仿宋" w:hAnsi="仿宋" w:eastAsia="仿宋"/>
                <w:sz w:val="24"/>
              </w:rPr>
              <w:t xml:space="preserve">16.000000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92" w:type="pct"/>
            <w:vAlign w:val="center"/>
          </w:tcPr>
          <w:p>
            <w:pPr>
              <w:adjustRightInd w:val="0"/>
              <w:snapToGrid w:val="0"/>
              <w:jc w:val="center"/>
              <w:rPr>
                <w:rFonts w:ascii="仿宋" w:hAnsi="仿宋" w:eastAsia="仿宋"/>
                <w:sz w:val="24"/>
              </w:rPr>
            </w:pPr>
            <w:r>
              <w:rPr>
                <w:rFonts w:hint="eastAsia" w:ascii="仿宋" w:hAnsi="仿宋" w:eastAsia="仿宋"/>
                <w:sz w:val="24"/>
              </w:rPr>
              <w:t>4</w:t>
            </w:r>
          </w:p>
        </w:tc>
        <w:tc>
          <w:tcPr>
            <w:tcW w:w="2868" w:type="pct"/>
            <w:vAlign w:val="center"/>
          </w:tcPr>
          <w:p>
            <w:pPr>
              <w:adjustRightInd w:val="0"/>
              <w:snapToGrid w:val="0"/>
              <w:jc w:val="center"/>
              <w:rPr>
                <w:rFonts w:ascii="仿宋" w:hAnsi="仿宋" w:eastAsia="仿宋"/>
                <w:sz w:val="24"/>
              </w:rPr>
            </w:pPr>
            <w:r>
              <w:rPr>
                <w:rFonts w:hint="eastAsia" w:ascii="仿宋" w:hAnsi="仿宋" w:eastAsia="仿宋"/>
                <w:sz w:val="24"/>
              </w:rPr>
              <w:t>《社会组织活动概览》制作费</w:t>
            </w:r>
          </w:p>
        </w:tc>
        <w:tc>
          <w:tcPr>
            <w:tcW w:w="1438" w:type="pct"/>
            <w:vAlign w:val="center"/>
          </w:tcPr>
          <w:p>
            <w:pPr>
              <w:adjustRightInd w:val="0"/>
              <w:snapToGrid w:val="0"/>
              <w:jc w:val="right"/>
              <w:rPr>
                <w:rFonts w:ascii="仿宋" w:hAnsi="仿宋" w:eastAsia="仿宋"/>
                <w:sz w:val="24"/>
              </w:rPr>
            </w:pPr>
            <w:r>
              <w:rPr>
                <w:rFonts w:hint="eastAsia" w:ascii="仿宋" w:hAnsi="仿宋" w:eastAsia="仿宋"/>
                <w:sz w:val="24"/>
              </w:rPr>
              <w:t xml:space="preserve">6.600000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92" w:type="pct"/>
            <w:vAlign w:val="center"/>
          </w:tcPr>
          <w:p>
            <w:pPr>
              <w:adjustRightInd w:val="0"/>
              <w:snapToGrid w:val="0"/>
              <w:jc w:val="center"/>
              <w:rPr>
                <w:rFonts w:ascii="仿宋" w:hAnsi="仿宋" w:eastAsia="仿宋"/>
                <w:sz w:val="24"/>
              </w:rPr>
            </w:pPr>
            <w:r>
              <w:rPr>
                <w:rFonts w:hint="eastAsia" w:ascii="仿宋" w:hAnsi="仿宋" w:eastAsia="仿宋"/>
                <w:sz w:val="24"/>
              </w:rPr>
              <w:t>5</w:t>
            </w:r>
          </w:p>
        </w:tc>
        <w:tc>
          <w:tcPr>
            <w:tcW w:w="2868" w:type="pct"/>
            <w:vAlign w:val="center"/>
          </w:tcPr>
          <w:p>
            <w:pPr>
              <w:adjustRightInd w:val="0"/>
              <w:snapToGrid w:val="0"/>
              <w:jc w:val="center"/>
              <w:rPr>
                <w:rFonts w:ascii="仿宋" w:hAnsi="仿宋" w:eastAsia="仿宋"/>
                <w:sz w:val="24"/>
              </w:rPr>
            </w:pPr>
            <w:r>
              <w:rPr>
                <w:rFonts w:hint="eastAsia" w:ascii="仿宋" w:hAnsi="仿宋" w:eastAsia="仿宋"/>
                <w:sz w:val="24"/>
              </w:rPr>
              <w:t>社会组织职称评审初审</w:t>
            </w:r>
          </w:p>
        </w:tc>
        <w:tc>
          <w:tcPr>
            <w:tcW w:w="1438" w:type="pct"/>
            <w:vAlign w:val="center"/>
          </w:tcPr>
          <w:p>
            <w:pPr>
              <w:adjustRightInd w:val="0"/>
              <w:snapToGrid w:val="0"/>
              <w:jc w:val="right"/>
              <w:rPr>
                <w:rFonts w:ascii="仿宋" w:hAnsi="仿宋" w:eastAsia="仿宋"/>
                <w:sz w:val="24"/>
              </w:rPr>
            </w:pPr>
            <w:r>
              <w:rPr>
                <w:rFonts w:hint="eastAsia" w:ascii="仿宋" w:hAnsi="仿宋" w:eastAsia="仿宋"/>
                <w:sz w:val="24"/>
              </w:rPr>
              <w:t xml:space="preserve">1.200000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92" w:type="pct"/>
            <w:vAlign w:val="center"/>
          </w:tcPr>
          <w:p>
            <w:pPr>
              <w:adjustRightInd w:val="0"/>
              <w:snapToGrid w:val="0"/>
              <w:jc w:val="center"/>
              <w:rPr>
                <w:rFonts w:ascii="仿宋" w:hAnsi="仿宋" w:eastAsia="仿宋"/>
                <w:sz w:val="24"/>
              </w:rPr>
            </w:pPr>
            <w:r>
              <w:rPr>
                <w:rFonts w:hint="eastAsia" w:ascii="仿宋" w:hAnsi="仿宋" w:eastAsia="仿宋"/>
                <w:sz w:val="24"/>
              </w:rPr>
              <w:t>6</w:t>
            </w:r>
          </w:p>
        </w:tc>
        <w:tc>
          <w:tcPr>
            <w:tcW w:w="2868" w:type="pct"/>
            <w:vAlign w:val="center"/>
          </w:tcPr>
          <w:p>
            <w:pPr>
              <w:adjustRightInd w:val="0"/>
              <w:snapToGrid w:val="0"/>
              <w:jc w:val="center"/>
              <w:rPr>
                <w:rFonts w:ascii="仿宋" w:hAnsi="仿宋" w:eastAsia="仿宋"/>
                <w:sz w:val="24"/>
              </w:rPr>
            </w:pPr>
            <w:r>
              <w:rPr>
                <w:rFonts w:hint="eastAsia" w:ascii="仿宋" w:hAnsi="仿宋" w:eastAsia="仿宋"/>
                <w:sz w:val="24"/>
              </w:rPr>
              <w:t>社会组织党建活动经费</w:t>
            </w:r>
          </w:p>
        </w:tc>
        <w:tc>
          <w:tcPr>
            <w:tcW w:w="1438" w:type="pct"/>
            <w:vAlign w:val="center"/>
          </w:tcPr>
          <w:p>
            <w:pPr>
              <w:adjustRightInd w:val="0"/>
              <w:snapToGrid w:val="0"/>
              <w:jc w:val="right"/>
              <w:rPr>
                <w:rFonts w:ascii="仿宋" w:hAnsi="仿宋" w:eastAsia="仿宋"/>
                <w:sz w:val="24"/>
              </w:rPr>
            </w:pPr>
            <w:r>
              <w:rPr>
                <w:rFonts w:hint="eastAsia" w:ascii="仿宋" w:hAnsi="仿宋" w:eastAsia="仿宋"/>
                <w:sz w:val="24"/>
              </w:rPr>
              <w:t xml:space="preserve">42.000000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92" w:type="pct"/>
            <w:vAlign w:val="center"/>
          </w:tcPr>
          <w:p>
            <w:pPr>
              <w:adjustRightInd w:val="0"/>
              <w:snapToGrid w:val="0"/>
              <w:jc w:val="center"/>
              <w:rPr>
                <w:rFonts w:ascii="仿宋" w:hAnsi="仿宋" w:eastAsia="仿宋"/>
                <w:sz w:val="24"/>
              </w:rPr>
            </w:pPr>
            <w:r>
              <w:rPr>
                <w:rFonts w:hint="eastAsia" w:ascii="仿宋" w:hAnsi="仿宋" w:eastAsia="仿宋"/>
                <w:sz w:val="24"/>
              </w:rPr>
              <w:t>7</w:t>
            </w:r>
          </w:p>
        </w:tc>
        <w:tc>
          <w:tcPr>
            <w:tcW w:w="2868" w:type="pct"/>
            <w:vAlign w:val="center"/>
          </w:tcPr>
          <w:p>
            <w:pPr>
              <w:adjustRightInd w:val="0"/>
              <w:snapToGrid w:val="0"/>
              <w:jc w:val="center"/>
              <w:rPr>
                <w:rFonts w:ascii="仿宋" w:hAnsi="仿宋" w:eastAsia="仿宋"/>
                <w:sz w:val="24"/>
              </w:rPr>
            </w:pPr>
            <w:r>
              <w:rPr>
                <w:rFonts w:hint="eastAsia" w:ascii="仿宋" w:hAnsi="仿宋" w:eastAsia="仿宋"/>
                <w:sz w:val="24"/>
              </w:rPr>
              <w:t>社会组织工作交流项目</w:t>
            </w:r>
          </w:p>
        </w:tc>
        <w:tc>
          <w:tcPr>
            <w:tcW w:w="1438" w:type="pct"/>
            <w:vAlign w:val="center"/>
          </w:tcPr>
          <w:p>
            <w:pPr>
              <w:adjustRightInd w:val="0"/>
              <w:snapToGrid w:val="0"/>
              <w:jc w:val="right"/>
              <w:rPr>
                <w:rFonts w:ascii="仿宋" w:hAnsi="仿宋" w:eastAsia="仿宋"/>
                <w:sz w:val="24"/>
              </w:rPr>
            </w:pPr>
            <w:r>
              <w:rPr>
                <w:rFonts w:hint="eastAsia" w:ascii="仿宋" w:hAnsi="仿宋" w:eastAsia="仿宋"/>
                <w:sz w:val="24"/>
              </w:rPr>
              <w:t xml:space="preserve">1.898000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92" w:type="pct"/>
            <w:vAlign w:val="center"/>
          </w:tcPr>
          <w:p>
            <w:pPr>
              <w:adjustRightInd w:val="0"/>
              <w:snapToGrid w:val="0"/>
              <w:jc w:val="center"/>
              <w:rPr>
                <w:rFonts w:ascii="仿宋" w:hAnsi="仿宋" w:eastAsia="仿宋"/>
                <w:sz w:val="24"/>
              </w:rPr>
            </w:pPr>
            <w:r>
              <w:rPr>
                <w:rFonts w:hint="eastAsia" w:ascii="仿宋" w:hAnsi="仿宋" w:eastAsia="仿宋"/>
                <w:sz w:val="24"/>
              </w:rPr>
              <w:t>8</w:t>
            </w:r>
          </w:p>
        </w:tc>
        <w:tc>
          <w:tcPr>
            <w:tcW w:w="2868" w:type="pct"/>
            <w:vAlign w:val="center"/>
          </w:tcPr>
          <w:p>
            <w:pPr>
              <w:adjustRightInd w:val="0"/>
              <w:snapToGrid w:val="0"/>
              <w:jc w:val="center"/>
              <w:rPr>
                <w:rFonts w:ascii="仿宋" w:hAnsi="仿宋" w:eastAsia="仿宋"/>
                <w:sz w:val="24"/>
              </w:rPr>
            </w:pPr>
            <w:r>
              <w:rPr>
                <w:rFonts w:hint="eastAsia" w:ascii="仿宋" w:hAnsi="仿宋" w:eastAsia="仿宋"/>
                <w:sz w:val="24"/>
              </w:rPr>
              <w:t>社会组织抽查审计</w:t>
            </w:r>
          </w:p>
        </w:tc>
        <w:tc>
          <w:tcPr>
            <w:tcW w:w="1438" w:type="pct"/>
            <w:vAlign w:val="center"/>
          </w:tcPr>
          <w:p>
            <w:pPr>
              <w:adjustRightInd w:val="0"/>
              <w:snapToGrid w:val="0"/>
              <w:jc w:val="right"/>
              <w:rPr>
                <w:rFonts w:ascii="仿宋" w:hAnsi="仿宋" w:eastAsia="仿宋"/>
                <w:sz w:val="24"/>
              </w:rPr>
            </w:pPr>
            <w:r>
              <w:rPr>
                <w:rFonts w:hint="eastAsia" w:ascii="仿宋" w:hAnsi="仿宋" w:eastAsia="仿宋"/>
                <w:sz w:val="24"/>
              </w:rPr>
              <w:t xml:space="preserve">6.000000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92" w:type="pct"/>
            <w:vAlign w:val="center"/>
          </w:tcPr>
          <w:p>
            <w:pPr>
              <w:adjustRightInd w:val="0"/>
              <w:snapToGrid w:val="0"/>
              <w:jc w:val="center"/>
              <w:rPr>
                <w:rFonts w:ascii="仿宋" w:hAnsi="仿宋" w:eastAsia="仿宋"/>
                <w:sz w:val="24"/>
              </w:rPr>
            </w:pPr>
            <w:r>
              <w:rPr>
                <w:rFonts w:hint="eastAsia" w:ascii="仿宋" w:hAnsi="仿宋" w:eastAsia="仿宋"/>
                <w:sz w:val="24"/>
              </w:rPr>
              <w:t>9</w:t>
            </w:r>
          </w:p>
        </w:tc>
        <w:tc>
          <w:tcPr>
            <w:tcW w:w="2868" w:type="pct"/>
            <w:vAlign w:val="center"/>
          </w:tcPr>
          <w:p>
            <w:pPr>
              <w:adjustRightInd w:val="0"/>
              <w:snapToGrid w:val="0"/>
              <w:jc w:val="center"/>
              <w:rPr>
                <w:rFonts w:ascii="仿宋" w:hAnsi="仿宋" w:eastAsia="仿宋"/>
                <w:sz w:val="24"/>
              </w:rPr>
            </w:pPr>
            <w:r>
              <w:rPr>
                <w:rFonts w:hint="eastAsia" w:ascii="仿宋" w:hAnsi="仿宋" w:eastAsia="仿宋"/>
                <w:sz w:val="24"/>
              </w:rPr>
              <w:t>社会组织工作培训会</w:t>
            </w:r>
          </w:p>
        </w:tc>
        <w:tc>
          <w:tcPr>
            <w:tcW w:w="1438" w:type="pct"/>
            <w:vAlign w:val="center"/>
          </w:tcPr>
          <w:p>
            <w:pPr>
              <w:adjustRightInd w:val="0"/>
              <w:snapToGrid w:val="0"/>
              <w:jc w:val="right"/>
              <w:rPr>
                <w:rFonts w:ascii="仿宋" w:hAnsi="仿宋" w:eastAsia="仿宋"/>
                <w:sz w:val="24"/>
              </w:rPr>
            </w:pPr>
            <w:r>
              <w:rPr>
                <w:rFonts w:hint="eastAsia" w:ascii="仿宋" w:hAnsi="仿宋" w:eastAsia="仿宋"/>
                <w:sz w:val="24"/>
              </w:rPr>
              <w:t xml:space="preserve">0.690000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3561" w:type="pct"/>
            <w:gridSpan w:val="2"/>
            <w:vAlign w:val="center"/>
          </w:tcPr>
          <w:p>
            <w:pPr>
              <w:adjustRightInd w:val="0"/>
              <w:snapToGrid w:val="0"/>
              <w:jc w:val="center"/>
              <w:rPr>
                <w:rFonts w:ascii="仿宋" w:hAnsi="仿宋" w:eastAsia="仿宋"/>
                <w:b/>
                <w:bCs/>
                <w:sz w:val="24"/>
              </w:rPr>
            </w:pPr>
            <w:r>
              <w:rPr>
                <w:rFonts w:hint="eastAsia" w:ascii="仿宋" w:hAnsi="仿宋" w:eastAsia="仿宋"/>
                <w:b/>
                <w:bCs/>
                <w:sz w:val="24"/>
              </w:rPr>
              <w:t>总计</w:t>
            </w:r>
          </w:p>
        </w:tc>
        <w:tc>
          <w:tcPr>
            <w:tcW w:w="1438" w:type="pct"/>
            <w:vAlign w:val="center"/>
          </w:tcPr>
          <w:p>
            <w:pPr>
              <w:adjustRightInd w:val="0"/>
              <w:snapToGrid w:val="0"/>
              <w:jc w:val="right"/>
              <w:rPr>
                <w:rFonts w:ascii="仿宋" w:hAnsi="仿宋" w:eastAsia="仿宋"/>
                <w:b/>
                <w:bCs/>
                <w:sz w:val="24"/>
              </w:rPr>
            </w:pPr>
            <w:r>
              <w:rPr>
                <w:rFonts w:hint="eastAsia" w:ascii="仿宋" w:hAnsi="仿宋" w:eastAsia="仿宋"/>
                <w:b/>
                <w:bCs/>
                <w:sz w:val="24"/>
              </w:rPr>
              <w:t>112.948000</w:t>
            </w:r>
          </w:p>
        </w:tc>
      </w:tr>
    </w:tbl>
    <w:p>
      <w:pPr>
        <w:numPr>
          <w:ilvl w:val="0"/>
          <w:numId w:val="1"/>
        </w:numPr>
        <w:spacing w:before="312" w:beforeLines="100" w:line="360" w:lineRule="auto"/>
        <w:ind w:left="420" w:leftChars="200"/>
        <w:rPr>
          <w:rFonts w:ascii="仿宋" w:hAnsi="仿宋" w:eastAsia="仿宋" w:cs="仿宋"/>
          <w:sz w:val="32"/>
          <w:szCs w:val="32"/>
        </w:rPr>
      </w:pPr>
      <w:r>
        <w:rPr>
          <w:rFonts w:hint="eastAsia" w:ascii="仿宋" w:hAnsi="仿宋" w:eastAsia="仿宋" w:cs="仿宋"/>
          <w:sz w:val="32"/>
          <w:szCs w:val="32"/>
        </w:rPr>
        <w:t>资金使用情况</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截至202</w:t>
      </w:r>
      <w:r>
        <w:rPr>
          <w:rFonts w:hint="eastAsia" w:ascii="仿宋" w:hAnsi="仿宋" w:eastAsia="仿宋" w:cs="仿宋"/>
          <w:sz w:val="32"/>
          <w:szCs w:val="32"/>
        </w:rPr>
        <w:t>2</w:t>
      </w:r>
      <w:r>
        <w:rPr>
          <w:rFonts w:ascii="仿宋" w:hAnsi="仿宋" w:eastAsia="仿宋" w:cs="仿宋"/>
          <w:sz w:val="32"/>
          <w:szCs w:val="32"/>
        </w:rPr>
        <w:t>年12月31日，该项目202</w:t>
      </w:r>
      <w:r>
        <w:rPr>
          <w:rFonts w:hint="eastAsia" w:ascii="仿宋" w:hAnsi="仿宋" w:eastAsia="仿宋" w:cs="仿宋"/>
          <w:sz w:val="32"/>
          <w:szCs w:val="32"/>
        </w:rPr>
        <w:t>2</w:t>
      </w:r>
      <w:r>
        <w:rPr>
          <w:rFonts w:ascii="仿宋" w:hAnsi="仿宋" w:eastAsia="仿宋" w:cs="仿宋"/>
          <w:sz w:val="32"/>
          <w:szCs w:val="32"/>
        </w:rPr>
        <w:t>年实际</w:t>
      </w:r>
      <w:r>
        <w:rPr>
          <w:rFonts w:hint="eastAsia" w:ascii="仿宋" w:hAnsi="仿宋" w:eastAsia="仿宋" w:cs="仿宋"/>
          <w:sz w:val="32"/>
          <w:szCs w:val="32"/>
        </w:rPr>
        <w:t>支出82.285260</w:t>
      </w:r>
      <w:r>
        <w:rPr>
          <w:rFonts w:ascii="仿宋" w:hAnsi="仿宋" w:eastAsia="仿宋" w:cs="仿宋"/>
          <w:sz w:val="32"/>
          <w:szCs w:val="32"/>
        </w:rPr>
        <w:t>万元，</w:t>
      </w:r>
      <w:r>
        <w:rPr>
          <w:rFonts w:hint="eastAsia" w:ascii="仿宋" w:hAnsi="仿宋" w:eastAsia="仿宋" w:cs="仿宋"/>
          <w:sz w:val="32"/>
          <w:szCs w:val="32"/>
        </w:rPr>
        <w:t>结余30.662740万元，</w:t>
      </w:r>
      <w:r>
        <w:rPr>
          <w:rFonts w:ascii="仿宋" w:hAnsi="仿宋" w:eastAsia="仿宋" w:cs="仿宋"/>
          <w:sz w:val="32"/>
          <w:szCs w:val="32"/>
        </w:rPr>
        <w:t>资金支出率</w:t>
      </w:r>
      <w:r>
        <w:rPr>
          <w:rFonts w:hint="eastAsia" w:ascii="仿宋" w:hAnsi="仿宋" w:eastAsia="仿宋" w:cs="仿宋"/>
          <w:sz w:val="32"/>
          <w:szCs w:val="32"/>
        </w:rPr>
        <w:t>72.85</w:t>
      </w:r>
      <w:r>
        <w:rPr>
          <w:rFonts w:ascii="仿宋" w:hAnsi="仿宋" w:eastAsia="仿宋" w:cs="仿宋"/>
          <w:sz w:val="32"/>
          <w:szCs w:val="32"/>
        </w:rPr>
        <w:t>%。</w:t>
      </w:r>
    </w:p>
    <w:tbl>
      <w:tblPr>
        <w:tblStyle w:val="13"/>
        <w:tblW w:w="8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2749"/>
        <w:gridCol w:w="1426"/>
        <w:gridCol w:w="1305"/>
        <w:gridCol w:w="1305"/>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blHeader/>
          <w:jc w:val="center"/>
        </w:trPr>
        <w:tc>
          <w:tcPr>
            <w:tcW w:w="825" w:type="dxa"/>
            <w:vAlign w:val="center"/>
          </w:tcPr>
          <w:p>
            <w:pPr>
              <w:adjustRightInd w:val="0"/>
              <w:snapToGrid w:val="0"/>
              <w:jc w:val="center"/>
              <w:rPr>
                <w:rFonts w:ascii="仿宋" w:hAnsi="仿宋" w:eastAsia="仿宋"/>
                <w:b/>
                <w:bCs/>
                <w:sz w:val="24"/>
              </w:rPr>
            </w:pPr>
            <w:r>
              <w:rPr>
                <w:rFonts w:hint="eastAsia" w:ascii="仿宋" w:hAnsi="仿宋" w:eastAsia="仿宋"/>
                <w:b/>
                <w:bCs/>
                <w:sz w:val="24"/>
              </w:rPr>
              <w:t>序号</w:t>
            </w:r>
          </w:p>
        </w:tc>
        <w:tc>
          <w:tcPr>
            <w:tcW w:w="2749" w:type="dxa"/>
            <w:vAlign w:val="center"/>
          </w:tcPr>
          <w:p>
            <w:pPr>
              <w:adjustRightInd w:val="0"/>
              <w:snapToGrid w:val="0"/>
              <w:jc w:val="center"/>
              <w:rPr>
                <w:rFonts w:ascii="仿宋" w:hAnsi="仿宋" w:eastAsia="仿宋"/>
                <w:b/>
                <w:bCs/>
                <w:sz w:val="24"/>
              </w:rPr>
            </w:pPr>
            <w:r>
              <w:rPr>
                <w:rFonts w:hint="eastAsia" w:ascii="仿宋" w:hAnsi="仿宋" w:eastAsia="仿宋"/>
                <w:b/>
                <w:bCs/>
                <w:sz w:val="24"/>
              </w:rPr>
              <w:t>明细</w:t>
            </w:r>
          </w:p>
        </w:tc>
        <w:tc>
          <w:tcPr>
            <w:tcW w:w="1426" w:type="dxa"/>
            <w:vAlign w:val="center"/>
          </w:tcPr>
          <w:p>
            <w:pPr>
              <w:adjustRightInd w:val="0"/>
              <w:snapToGrid w:val="0"/>
              <w:jc w:val="center"/>
              <w:rPr>
                <w:rFonts w:ascii="仿宋" w:hAnsi="仿宋" w:eastAsia="仿宋"/>
                <w:b/>
                <w:bCs/>
                <w:sz w:val="24"/>
              </w:rPr>
            </w:pPr>
            <w:r>
              <w:rPr>
                <w:rFonts w:hint="eastAsia" w:ascii="仿宋" w:hAnsi="仿宋" w:eastAsia="仿宋"/>
                <w:b/>
                <w:bCs/>
                <w:sz w:val="24"/>
              </w:rPr>
              <w:t>预算金额</w:t>
            </w:r>
          </w:p>
          <w:p>
            <w:pPr>
              <w:adjustRightInd w:val="0"/>
              <w:snapToGrid w:val="0"/>
              <w:jc w:val="center"/>
              <w:rPr>
                <w:rFonts w:ascii="仿宋" w:hAnsi="仿宋" w:eastAsia="仿宋"/>
                <w:b/>
                <w:bCs/>
                <w:sz w:val="24"/>
              </w:rPr>
            </w:pPr>
            <w:r>
              <w:rPr>
                <w:rFonts w:hint="eastAsia" w:ascii="仿宋" w:hAnsi="仿宋" w:eastAsia="仿宋"/>
                <w:b/>
                <w:bCs/>
                <w:sz w:val="24"/>
              </w:rPr>
              <w:t>（万元）</w:t>
            </w:r>
          </w:p>
        </w:tc>
        <w:tc>
          <w:tcPr>
            <w:tcW w:w="1305" w:type="dxa"/>
            <w:vAlign w:val="center"/>
          </w:tcPr>
          <w:p>
            <w:pPr>
              <w:adjustRightInd w:val="0"/>
              <w:snapToGrid w:val="0"/>
              <w:jc w:val="center"/>
              <w:rPr>
                <w:rFonts w:ascii="仿宋" w:hAnsi="仿宋" w:eastAsia="仿宋"/>
                <w:b/>
                <w:bCs/>
                <w:sz w:val="24"/>
              </w:rPr>
            </w:pPr>
            <w:r>
              <w:rPr>
                <w:rFonts w:hint="eastAsia" w:ascii="仿宋" w:hAnsi="仿宋" w:eastAsia="仿宋"/>
                <w:b/>
                <w:bCs/>
                <w:sz w:val="24"/>
              </w:rPr>
              <w:t>实际支出金额</w:t>
            </w:r>
          </w:p>
          <w:p>
            <w:pPr>
              <w:adjustRightInd w:val="0"/>
              <w:snapToGrid w:val="0"/>
              <w:jc w:val="center"/>
              <w:rPr>
                <w:rFonts w:ascii="仿宋" w:hAnsi="仿宋" w:eastAsia="仿宋"/>
                <w:b/>
                <w:bCs/>
                <w:sz w:val="24"/>
              </w:rPr>
            </w:pPr>
            <w:r>
              <w:rPr>
                <w:rFonts w:hint="eastAsia" w:ascii="仿宋" w:hAnsi="仿宋" w:eastAsia="仿宋"/>
                <w:b/>
                <w:bCs/>
                <w:sz w:val="24"/>
              </w:rPr>
              <w:t>（万元）</w:t>
            </w:r>
          </w:p>
        </w:tc>
        <w:tc>
          <w:tcPr>
            <w:tcW w:w="1305" w:type="dxa"/>
            <w:vAlign w:val="center"/>
          </w:tcPr>
          <w:p>
            <w:pPr>
              <w:adjustRightInd w:val="0"/>
              <w:snapToGrid w:val="0"/>
              <w:jc w:val="center"/>
              <w:rPr>
                <w:rFonts w:ascii="仿宋" w:hAnsi="仿宋" w:eastAsia="仿宋"/>
                <w:b/>
                <w:bCs/>
                <w:sz w:val="24"/>
              </w:rPr>
            </w:pPr>
            <w:r>
              <w:rPr>
                <w:rFonts w:hint="eastAsia" w:ascii="仿宋" w:hAnsi="仿宋" w:eastAsia="仿宋"/>
                <w:b/>
                <w:bCs/>
                <w:sz w:val="24"/>
              </w:rPr>
              <w:t>差额</w:t>
            </w:r>
          </w:p>
          <w:p>
            <w:pPr>
              <w:adjustRightInd w:val="0"/>
              <w:snapToGrid w:val="0"/>
              <w:jc w:val="center"/>
              <w:rPr>
                <w:rFonts w:ascii="仿宋" w:hAnsi="仿宋" w:eastAsia="仿宋"/>
                <w:b/>
                <w:bCs/>
                <w:sz w:val="24"/>
              </w:rPr>
            </w:pPr>
            <w:r>
              <w:rPr>
                <w:rFonts w:hint="eastAsia" w:ascii="仿宋" w:hAnsi="仿宋" w:eastAsia="仿宋"/>
                <w:b/>
                <w:bCs/>
                <w:sz w:val="24"/>
              </w:rPr>
              <w:t>（万元）</w:t>
            </w:r>
          </w:p>
        </w:tc>
        <w:tc>
          <w:tcPr>
            <w:tcW w:w="954" w:type="dxa"/>
            <w:vAlign w:val="center"/>
          </w:tcPr>
          <w:p>
            <w:pPr>
              <w:adjustRightInd w:val="0"/>
              <w:snapToGrid w:val="0"/>
              <w:jc w:val="center"/>
              <w:rPr>
                <w:rFonts w:ascii="仿宋" w:hAnsi="仿宋" w:eastAsia="仿宋"/>
                <w:b/>
                <w:bCs/>
                <w:sz w:val="24"/>
              </w:rPr>
            </w:pPr>
            <w:r>
              <w:rPr>
                <w:rFonts w:hint="eastAsia" w:ascii="仿宋" w:hAnsi="仿宋" w:eastAsia="仿宋"/>
                <w:b/>
                <w:bCs/>
                <w:sz w:val="24"/>
              </w:rPr>
              <w:t>支出率（%）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25" w:type="dxa"/>
            <w:vAlign w:val="center"/>
          </w:tcPr>
          <w:p>
            <w:pPr>
              <w:adjustRightInd w:val="0"/>
              <w:snapToGrid w:val="0"/>
              <w:jc w:val="center"/>
              <w:rPr>
                <w:rFonts w:ascii="仿宋" w:hAnsi="仿宋" w:eastAsia="仿宋"/>
                <w:sz w:val="24"/>
              </w:rPr>
            </w:pPr>
            <w:r>
              <w:rPr>
                <w:rFonts w:hint="eastAsia" w:ascii="仿宋" w:hAnsi="仿宋" w:eastAsia="仿宋"/>
                <w:sz w:val="24"/>
              </w:rPr>
              <w:t>1</w:t>
            </w:r>
          </w:p>
        </w:tc>
        <w:tc>
          <w:tcPr>
            <w:tcW w:w="2749" w:type="dxa"/>
            <w:vAlign w:val="center"/>
          </w:tcPr>
          <w:p>
            <w:pPr>
              <w:adjustRightInd w:val="0"/>
              <w:snapToGrid w:val="0"/>
              <w:jc w:val="center"/>
              <w:rPr>
                <w:rFonts w:ascii="仿宋" w:hAnsi="仿宋" w:eastAsia="仿宋"/>
                <w:sz w:val="24"/>
              </w:rPr>
            </w:pPr>
            <w:r>
              <w:rPr>
                <w:rFonts w:hint="eastAsia" w:ascii="仿宋" w:hAnsi="仿宋" w:eastAsia="仿宋"/>
                <w:sz w:val="24"/>
              </w:rPr>
              <w:t>社会组织快递费</w:t>
            </w:r>
          </w:p>
        </w:tc>
        <w:tc>
          <w:tcPr>
            <w:tcW w:w="1426"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38.200000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33.780000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4.420000</w:t>
            </w:r>
          </w:p>
        </w:tc>
        <w:tc>
          <w:tcPr>
            <w:tcW w:w="954" w:type="dxa"/>
            <w:vAlign w:val="center"/>
          </w:tcPr>
          <w:p>
            <w:pPr>
              <w:widowControl/>
              <w:jc w:val="right"/>
              <w:textAlignment w:val="center"/>
              <w:rPr>
                <w:rFonts w:ascii="仿宋" w:hAnsi="仿宋" w:eastAsia="仿宋"/>
                <w:sz w:val="24"/>
              </w:rPr>
            </w:pPr>
            <w:r>
              <w:rPr>
                <w:rFonts w:hint="eastAsia" w:ascii="仿宋" w:hAnsi="仿宋" w:eastAsia="仿宋" w:cs="仿宋"/>
                <w:color w:val="000000"/>
                <w:kern w:val="0"/>
                <w:sz w:val="24"/>
                <w:lang w:bidi="ar"/>
              </w:rPr>
              <w:t>88.43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25" w:type="dxa"/>
            <w:vAlign w:val="center"/>
          </w:tcPr>
          <w:p>
            <w:pPr>
              <w:adjustRightInd w:val="0"/>
              <w:snapToGrid w:val="0"/>
              <w:jc w:val="center"/>
              <w:rPr>
                <w:rFonts w:ascii="仿宋" w:hAnsi="仿宋" w:eastAsia="仿宋"/>
                <w:sz w:val="24"/>
              </w:rPr>
            </w:pPr>
            <w:r>
              <w:rPr>
                <w:rFonts w:hint="eastAsia" w:ascii="仿宋" w:hAnsi="仿宋" w:eastAsia="仿宋"/>
                <w:sz w:val="24"/>
              </w:rPr>
              <w:t>2</w:t>
            </w:r>
          </w:p>
        </w:tc>
        <w:tc>
          <w:tcPr>
            <w:tcW w:w="2749" w:type="dxa"/>
            <w:vAlign w:val="center"/>
          </w:tcPr>
          <w:p>
            <w:pPr>
              <w:adjustRightInd w:val="0"/>
              <w:snapToGrid w:val="0"/>
              <w:jc w:val="center"/>
              <w:rPr>
                <w:rFonts w:ascii="仿宋" w:hAnsi="仿宋" w:eastAsia="仿宋"/>
                <w:sz w:val="24"/>
              </w:rPr>
            </w:pPr>
            <w:r>
              <w:rPr>
                <w:rFonts w:hint="eastAsia" w:ascii="仿宋" w:hAnsi="仿宋" w:eastAsia="仿宋"/>
                <w:sz w:val="24"/>
              </w:rPr>
              <w:t>重点学术活动项目资助</w:t>
            </w:r>
          </w:p>
        </w:tc>
        <w:tc>
          <w:tcPr>
            <w:tcW w:w="1426"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42.000000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27.300000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14.700000</w:t>
            </w:r>
          </w:p>
        </w:tc>
        <w:tc>
          <w:tcPr>
            <w:tcW w:w="954" w:type="dxa"/>
            <w:vAlign w:val="center"/>
          </w:tcPr>
          <w:p>
            <w:pPr>
              <w:widowControl/>
              <w:jc w:val="right"/>
              <w:textAlignment w:val="center"/>
              <w:rPr>
                <w:rFonts w:ascii="仿宋" w:hAnsi="仿宋" w:eastAsia="仿宋"/>
                <w:sz w:val="24"/>
              </w:rPr>
            </w:pPr>
            <w:r>
              <w:rPr>
                <w:rFonts w:hint="eastAsia" w:ascii="仿宋" w:hAnsi="仿宋" w:eastAsia="仿宋" w:cs="仿宋"/>
                <w:color w:val="000000"/>
                <w:kern w:val="0"/>
                <w:sz w:val="24"/>
                <w:lang w:bidi="ar"/>
              </w:rPr>
              <w:t>65.00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25" w:type="dxa"/>
            <w:vAlign w:val="center"/>
          </w:tcPr>
          <w:p>
            <w:pPr>
              <w:adjustRightInd w:val="0"/>
              <w:snapToGrid w:val="0"/>
              <w:jc w:val="center"/>
              <w:rPr>
                <w:rFonts w:ascii="仿宋" w:hAnsi="仿宋" w:eastAsia="仿宋"/>
                <w:sz w:val="24"/>
              </w:rPr>
            </w:pPr>
            <w:r>
              <w:rPr>
                <w:rFonts w:hint="eastAsia" w:ascii="仿宋" w:hAnsi="仿宋" w:eastAsia="仿宋"/>
                <w:sz w:val="24"/>
              </w:rPr>
              <w:t>3</w:t>
            </w:r>
          </w:p>
        </w:tc>
        <w:tc>
          <w:tcPr>
            <w:tcW w:w="2749" w:type="dxa"/>
            <w:vAlign w:val="center"/>
          </w:tcPr>
          <w:p>
            <w:pPr>
              <w:adjustRightInd w:val="0"/>
              <w:snapToGrid w:val="0"/>
              <w:jc w:val="center"/>
              <w:rPr>
                <w:rFonts w:ascii="仿宋" w:hAnsi="仿宋" w:eastAsia="仿宋"/>
                <w:sz w:val="24"/>
              </w:rPr>
            </w:pPr>
            <w:r>
              <w:rPr>
                <w:rFonts w:hint="eastAsia" w:ascii="仿宋" w:hAnsi="仿宋" w:eastAsia="仿宋"/>
                <w:sz w:val="24"/>
              </w:rPr>
              <w:t>学会活动建设费</w:t>
            </w:r>
          </w:p>
        </w:tc>
        <w:tc>
          <w:tcPr>
            <w:tcW w:w="1426"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6.600000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6.600000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0.000000</w:t>
            </w:r>
          </w:p>
        </w:tc>
        <w:tc>
          <w:tcPr>
            <w:tcW w:w="954" w:type="dxa"/>
            <w:vAlign w:val="center"/>
          </w:tcPr>
          <w:p>
            <w:pPr>
              <w:widowControl/>
              <w:jc w:val="right"/>
              <w:textAlignment w:val="center"/>
              <w:rPr>
                <w:rFonts w:ascii="仿宋" w:hAnsi="仿宋" w:eastAsia="仿宋"/>
                <w:sz w:val="24"/>
              </w:rPr>
            </w:pPr>
            <w:r>
              <w:rPr>
                <w:rFonts w:hint="eastAsia" w:ascii="仿宋" w:hAnsi="仿宋" w:eastAsia="仿宋" w:cs="仿宋"/>
                <w:color w:val="000000"/>
                <w:kern w:val="0"/>
                <w:sz w:val="24"/>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25" w:type="dxa"/>
            <w:vAlign w:val="center"/>
          </w:tcPr>
          <w:p>
            <w:pPr>
              <w:adjustRightInd w:val="0"/>
              <w:snapToGrid w:val="0"/>
              <w:jc w:val="center"/>
              <w:rPr>
                <w:rFonts w:ascii="仿宋" w:hAnsi="仿宋" w:eastAsia="仿宋"/>
                <w:sz w:val="24"/>
              </w:rPr>
            </w:pPr>
            <w:r>
              <w:rPr>
                <w:rFonts w:hint="eastAsia" w:ascii="仿宋" w:hAnsi="仿宋" w:eastAsia="仿宋"/>
                <w:sz w:val="24"/>
              </w:rPr>
              <w:t>4</w:t>
            </w:r>
          </w:p>
        </w:tc>
        <w:tc>
          <w:tcPr>
            <w:tcW w:w="2749" w:type="dxa"/>
            <w:vAlign w:val="center"/>
          </w:tcPr>
          <w:p>
            <w:pPr>
              <w:adjustRightInd w:val="0"/>
              <w:snapToGrid w:val="0"/>
              <w:jc w:val="center"/>
              <w:rPr>
                <w:rFonts w:ascii="仿宋" w:hAnsi="仿宋" w:eastAsia="仿宋"/>
                <w:sz w:val="24"/>
              </w:rPr>
            </w:pPr>
            <w:r>
              <w:rPr>
                <w:rFonts w:hint="eastAsia" w:ascii="仿宋" w:hAnsi="仿宋" w:eastAsia="仿宋"/>
                <w:sz w:val="24"/>
              </w:rPr>
              <w:t>《社会组织活动概览》制作费</w:t>
            </w:r>
          </w:p>
        </w:tc>
        <w:tc>
          <w:tcPr>
            <w:tcW w:w="1426"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16.000000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14.400000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1.600000</w:t>
            </w:r>
          </w:p>
        </w:tc>
        <w:tc>
          <w:tcPr>
            <w:tcW w:w="954" w:type="dxa"/>
            <w:vAlign w:val="center"/>
          </w:tcPr>
          <w:p>
            <w:pPr>
              <w:widowControl/>
              <w:jc w:val="right"/>
              <w:textAlignment w:val="center"/>
              <w:rPr>
                <w:rFonts w:ascii="仿宋" w:hAnsi="仿宋" w:eastAsia="仿宋"/>
                <w:sz w:val="24"/>
              </w:rPr>
            </w:pPr>
            <w:r>
              <w:rPr>
                <w:rFonts w:hint="eastAsia" w:ascii="仿宋" w:hAnsi="仿宋" w:eastAsia="仿宋" w:cs="仿宋"/>
                <w:color w:val="000000"/>
                <w:kern w:val="0"/>
                <w:sz w:val="24"/>
                <w:lang w:bidi="ar"/>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25" w:type="dxa"/>
            <w:vAlign w:val="center"/>
          </w:tcPr>
          <w:p>
            <w:pPr>
              <w:adjustRightInd w:val="0"/>
              <w:snapToGrid w:val="0"/>
              <w:jc w:val="center"/>
              <w:rPr>
                <w:rFonts w:ascii="仿宋" w:hAnsi="仿宋" w:eastAsia="仿宋"/>
                <w:sz w:val="24"/>
              </w:rPr>
            </w:pPr>
            <w:r>
              <w:rPr>
                <w:rFonts w:hint="eastAsia" w:ascii="仿宋" w:hAnsi="仿宋" w:eastAsia="仿宋"/>
                <w:sz w:val="24"/>
              </w:rPr>
              <w:t>5</w:t>
            </w:r>
          </w:p>
        </w:tc>
        <w:tc>
          <w:tcPr>
            <w:tcW w:w="2749" w:type="dxa"/>
            <w:vAlign w:val="center"/>
          </w:tcPr>
          <w:p>
            <w:pPr>
              <w:adjustRightInd w:val="0"/>
              <w:snapToGrid w:val="0"/>
              <w:jc w:val="center"/>
              <w:rPr>
                <w:rFonts w:ascii="仿宋" w:hAnsi="仿宋" w:eastAsia="仿宋"/>
                <w:sz w:val="24"/>
              </w:rPr>
            </w:pPr>
            <w:r>
              <w:rPr>
                <w:rFonts w:hint="eastAsia" w:ascii="仿宋" w:hAnsi="仿宋" w:eastAsia="仿宋"/>
                <w:sz w:val="24"/>
              </w:rPr>
              <w:t>社会组织职称评审初审</w:t>
            </w:r>
          </w:p>
        </w:tc>
        <w:tc>
          <w:tcPr>
            <w:tcW w:w="1426"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0.360000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0.205260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0.154740</w:t>
            </w:r>
          </w:p>
        </w:tc>
        <w:tc>
          <w:tcPr>
            <w:tcW w:w="954" w:type="dxa"/>
            <w:vAlign w:val="center"/>
          </w:tcPr>
          <w:p>
            <w:pPr>
              <w:widowControl/>
              <w:jc w:val="right"/>
              <w:textAlignment w:val="center"/>
              <w:rPr>
                <w:rFonts w:ascii="仿宋" w:hAnsi="仿宋" w:eastAsia="仿宋"/>
                <w:sz w:val="24"/>
              </w:rPr>
            </w:pPr>
            <w:r>
              <w:rPr>
                <w:rFonts w:hint="eastAsia" w:ascii="仿宋" w:hAnsi="仿宋" w:eastAsia="仿宋" w:cs="仿宋"/>
                <w:color w:val="000000"/>
                <w:kern w:val="0"/>
                <w:sz w:val="24"/>
                <w:lang w:bidi="ar"/>
              </w:rPr>
              <w:t>57.02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25" w:type="dxa"/>
            <w:vAlign w:val="center"/>
          </w:tcPr>
          <w:p>
            <w:pPr>
              <w:adjustRightInd w:val="0"/>
              <w:snapToGrid w:val="0"/>
              <w:jc w:val="center"/>
              <w:rPr>
                <w:rFonts w:ascii="仿宋" w:hAnsi="仿宋" w:eastAsia="仿宋"/>
                <w:sz w:val="24"/>
              </w:rPr>
            </w:pPr>
            <w:r>
              <w:rPr>
                <w:rFonts w:hint="eastAsia" w:ascii="仿宋" w:hAnsi="仿宋" w:eastAsia="仿宋"/>
                <w:sz w:val="24"/>
              </w:rPr>
              <w:t>6</w:t>
            </w:r>
          </w:p>
        </w:tc>
        <w:tc>
          <w:tcPr>
            <w:tcW w:w="2749" w:type="dxa"/>
            <w:vAlign w:val="center"/>
          </w:tcPr>
          <w:p>
            <w:pPr>
              <w:adjustRightInd w:val="0"/>
              <w:snapToGrid w:val="0"/>
              <w:jc w:val="center"/>
              <w:rPr>
                <w:rFonts w:ascii="仿宋" w:hAnsi="仿宋" w:eastAsia="仿宋"/>
                <w:sz w:val="24"/>
              </w:rPr>
            </w:pPr>
            <w:r>
              <w:rPr>
                <w:rFonts w:hint="eastAsia" w:ascii="仿宋" w:hAnsi="仿宋" w:eastAsia="仿宋"/>
                <w:sz w:val="24"/>
              </w:rPr>
              <w:t>社会组织党建活动经费</w:t>
            </w:r>
          </w:p>
        </w:tc>
        <w:tc>
          <w:tcPr>
            <w:tcW w:w="1426"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1.898000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0.000000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1.898000</w:t>
            </w:r>
          </w:p>
        </w:tc>
        <w:tc>
          <w:tcPr>
            <w:tcW w:w="954" w:type="dxa"/>
            <w:vAlign w:val="center"/>
          </w:tcPr>
          <w:p>
            <w:pPr>
              <w:widowControl/>
              <w:jc w:val="right"/>
              <w:textAlignment w:val="center"/>
              <w:rPr>
                <w:rFonts w:ascii="仿宋" w:hAnsi="仿宋" w:eastAsia="仿宋"/>
                <w:sz w:val="24"/>
              </w:rPr>
            </w:pPr>
            <w:r>
              <w:rPr>
                <w:rFonts w:hint="eastAsia" w:ascii="仿宋" w:hAnsi="仿宋" w:eastAsia="仿宋" w:cs="仿宋"/>
                <w:color w:val="000000"/>
                <w:kern w:val="0"/>
                <w:sz w:val="24"/>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825" w:type="dxa"/>
            <w:vAlign w:val="center"/>
          </w:tcPr>
          <w:p>
            <w:pPr>
              <w:adjustRightInd w:val="0"/>
              <w:snapToGrid w:val="0"/>
              <w:jc w:val="center"/>
              <w:rPr>
                <w:rFonts w:ascii="仿宋" w:hAnsi="仿宋" w:eastAsia="仿宋"/>
                <w:sz w:val="24"/>
              </w:rPr>
            </w:pPr>
            <w:r>
              <w:rPr>
                <w:rFonts w:hint="eastAsia" w:ascii="仿宋" w:hAnsi="仿宋" w:eastAsia="仿宋"/>
                <w:sz w:val="24"/>
              </w:rPr>
              <w:t>7</w:t>
            </w:r>
          </w:p>
        </w:tc>
        <w:tc>
          <w:tcPr>
            <w:tcW w:w="2749" w:type="dxa"/>
            <w:vAlign w:val="center"/>
          </w:tcPr>
          <w:p>
            <w:pPr>
              <w:adjustRightInd w:val="0"/>
              <w:snapToGrid w:val="0"/>
              <w:jc w:val="center"/>
              <w:rPr>
                <w:rFonts w:ascii="仿宋" w:hAnsi="仿宋" w:eastAsia="仿宋"/>
                <w:sz w:val="24"/>
              </w:rPr>
            </w:pPr>
            <w:r>
              <w:rPr>
                <w:rFonts w:hint="eastAsia" w:ascii="仿宋" w:hAnsi="仿宋" w:eastAsia="仿宋"/>
                <w:sz w:val="24"/>
              </w:rPr>
              <w:t>社会组织工作交流项目</w:t>
            </w:r>
          </w:p>
        </w:tc>
        <w:tc>
          <w:tcPr>
            <w:tcW w:w="1426"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0.690000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0.000000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0.690000</w:t>
            </w:r>
          </w:p>
        </w:tc>
        <w:tc>
          <w:tcPr>
            <w:tcW w:w="954" w:type="dxa"/>
            <w:vAlign w:val="center"/>
          </w:tcPr>
          <w:p>
            <w:pPr>
              <w:widowControl/>
              <w:jc w:val="right"/>
              <w:textAlignment w:val="center"/>
              <w:rPr>
                <w:rFonts w:ascii="仿宋" w:hAnsi="仿宋" w:eastAsia="仿宋"/>
                <w:sz w:val="24"/>
              </w:rPr>
            </w:pPr>
            <w:r>
              <w:rPr>
                <w:rFonts w:hint="eastAsia" w:ascii="仿宋" w:hAnsi="仿宋" w:eastAsia="仿宋" w:cs="仿宋"/>
                <w:color w:val="000000"/>
                <w:kern w:val="0"/>
                <w:sz w:val="24"/>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25" w:type="dxa"/>
            <w:vAlign w:val="center"/>
          </w:tcPr>
          <w:p>
            <w:pPr>
              <w:adjustRightInd w:val="0"/>
              <w:snapToGrid w:val="0"/>
              <w:jc w:val="center"/>
              <w:rPr>
                <w:rFonts w:ascii="仿宋" w:hAnsi="仿宋" w:eastAsia="仿宋"/>
                <w:sz w:val="24"/>
              </w:rPr>
            </w:pPr>
            <w:r>
              <w:rPr>
                <w:rFonts w:hint="eastAsia" w:ascii="仿宋" w:hAnsi="仿宋" w:eastAsia="仿宋"/>
                <w:sz w:val="24"/>
              </w:rPr>
              <w:t>8</w:t>
            </w:r>
          </w:p>
        </w:tc>
        <w:tc>
          <w:tcPr>
            <w:tcW w:w="2749" w:type="dxa"/>
            <w:vAlign w:val="center"/>
          </w:tcPr>
          <w:p>
            <w:pPr>
              <w:adjustRightInd w:val="0"/>
              <w:snapToGrid w:val="0"/>
              <w:jc w:val="center"/>
              <w:rPr>
                <w:rFonts w:ascii="仿宋" w:hAnsi="仿宋" w:eastAsia="仿宋"/>
                <w:sz w:val="24"/>
              </w:rPr>
            </w:pPr>
            <w:r>
              <w:rPr>
                <w:rFonts w:hint="eastAsia" w:ascii="仿宋" w:hAnsi="仿宋" w:eastAsia="仿宋"/>
                <w:sz w:val="24"/>
              </w:rPr>
              <w:t>社会组织抽查审计</w:t>
            </w:r>
          </w:p>
        </w:tc>
        <w:tc>
          <w:tcPr>
            <w:tcW w:w="1426"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1.200000</w:t>
            </w:r>
          </w:p>
        </w:tc>
        <w:tc>
          <w:tcPr>
            <w:tcW w:w="1305" w:type="dxa"/>
            <w:vAlign w:val="center"/>
          </w:tcPr>
          <w:p>
            <w:pPr>
              <w:widowControl/>
              <w:jc w:val="right"/>
              <w:textAlignment w:val="top"/>
              <w:rPr>
                <w:rFonts w:ascii="仿宋" w:hAnsi="仿宋" w:eastAsia="仿宋" w:cs="仿宋"/>
                <w:kern w:val="0"/>
                <w:sz w:val="24"/>
                <w:lang w:bidi="ar"/>
              </w:rPr>
            </w:pPr>
            <w:r>
              <w:rPr>
                <w:rFonts w:hint="eastAsia" w:ascii="仿宋" w:hAnsi="仿宋" w:eastAsia="仿宋" w:cs="仿宋"/>
                <w:color w:val="000000"/>
                <w:kern w:val="0"/>
                <w:sz w:val="24"/>
                <w:lang w:bidi="ar"/>
              </w:rPr>
              <w:t>0.000000</w:t>
            </w:r>
          </w:p>
        </w:tc>
        <w:tc>
          <w:tcPr>
            <w:tcW w:w="1305" w:type="dxa"/>
            <w:vAlign w:val="center"/>
          </w:tcPr>
          <w:p>
            <w:pPr>
              <w:widowControl/>
              <w:jc w:val="right"/>
              <w:textAlignment w:val="top"/>
              <w:rPr>
                <w:rFonts w:ascii="仿宋" w:hAnsi="仿宋" w:eastAsia="仿宋" w:cs="仿宋"/>
                <w:kern w:val="0"/>
                <w:sz w:val="24"/>
                <w:lang w:bidi="ar"/>
              </w:rPr>
            </w:pPr>
            <w:r>
              <w:rPr>
                <w:rFonts w:hint="eastAsia" w:ascii="仿宋" w:hAnsi="仿宋" w:eastAsia="仿宋" w:cs="仿宋"/>
                <w:color w:val="000000"/>
                <w:kern w:val="0"/>
                <w:sz w:val="24"/>
                <w:lang w:bidi="ar"/>
              </w:rPr>
              <w:t>1.200000</w:t>
            </w:r>
          </w:p>
        </w:tc>
        <w:tc>
          <w:tcPr>
            <w:tcW w:w="954" w:type="dxa"/>
            <w:vAlign w:val="center"/>
          </w:tcPr>
          <w:p>
            <w:pPr>
              <w:widowControl/>
              <w:jc w:val="right"/>
              <w:textAlignment w:val="center"/>
              <w:rPr>
                <w:rFonts w:ascii="仿宋" w:hAnsi="仿宋" w:eastAsia="仿宋" w:cs="仿宋"/>
                <w:kern w:val="0"/>
                <w:sz w:val="24"/>
                <w:lang w:bidi="ar"/>
              </w:rPr>
            </w:pPr>
            <w:r>
              <w:rPr>
                <w:rFonts w:hint="eastAsia" w:ascii="仿宋" w:hAnsi="仿宋" w:eastAsia="仿宋" w:cs="仿宋"/>
                <w:color w:val="000000"/>
                <w:kern w:val="0"/>
                <w:sz w:val="24"/>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25" w:type="dxa"/>
            <w:vAlign w:val="center"/>
          </w:tcPr>
          <w:p>
            <w:pPr>
              <w:adjustRightInd w:val="0"/>
              <w:snapToGrid w:val="0"/>
              <w:jc w:val="center"/>
              <w:rPr>
                <w:rFonts w:ascii="仿宋" w:hAnsi="仿宋" w:eastAsia="仿宋"/>
                <w:sz w:val="24"/>
              </w:rPr>
            </w:pPr>
            <w:r>
              <w:rPr>
                <w:rFonts w:hint="eastAsia" w:ascii="仿宋" w:hAnsi="仿宋" w:eastAsia="仿宋"/>
                <w:sz w:val="24"/>
              </w:rPr>
              <w:t>9</w:t>
            </w:r>
          </w:p>
        </w:tc>
        <w:tc>
          <w:tcPr>
            <w:tcW w:w="2749" w:type="dxa"/>
            <w:vAlign w:val="center"/>
          </w:tcPr>
          <w:p>
            <w:pPr>
              <w:adjustRightInd w:val="0"/>
              <w:snapToGrid w:val="0"/>
              <w:jc w:val="center"/>
              <w:rPr>
                <w:rFonts w:ascii="仿宋" w:hAnsi="仿宋" w:eastAsia="仿宋"/>
                <w:sz w:val="24"/>
              </w:rPr>
            </w:pPr>
            <w:r>
              <w:rPr>
                <w:rFonts w:hint="eastAsia" w:ascii="仿宋" w:hAnsi="仿宋" w:eastAsia="仿宋"/>
                <w:sz w:val="24"/>
              </w:rPr>
              <w:t>社会组织工作培训会</w:t>
            </w:r>
          </w:p>
        </w:tc>
        <w:tc>
          <w:tcPr>
            <w:tcW w:w="1426"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6.000000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0.000000</w:t>
            </w:r>
          </w:p>
        </w:tc>
        <w:tc>
          <w:tcPr>
            <w:tcW w:w="1305" w:type="dxa"/>
            <w:vAlign w:val="center"/>
          </w:tcPr>
          <w:p>
            <w:pPr>
              <w:widowControl/>
              <w:jc w:val="right"/>
              <w:textAlignment w:val="top"/>
              <w:rPr>
                <w:rFonts w:ascii="仿宋" w:hAnsi="仿宋" w:eastAsia="仿宋"/>
                <w:sz w:val="24"/>
              </w:rPr>
            </w:pPr>
            <w:r>
              <w:rPr>
                <w:rFonts w:hint="eastAsia" w:ascii="仿宋" w:hAnsi="仿宋" w:eastAsia="仿宋" w:cs="仿宋"/>
                <w:color w:val="000000"/>
                <w:kern w:val="0"/>
                <w:sz w:val="24"/>
                <w:lang w:bidi="ar"/>
              </w:rPr>
              <w:t>6.000000</w:t>
            </w:r>
          </w:p>
        </w:tc>
        <w:tc>
          <w:tcPr>
            <w:tcW w:w="954" w:type="dxa"/>
            <w:vAlign w:val="center"/>
          </w:tcPr>
          <w:p>
            <w:pPr>
              <w:widowControl/>
              <w:jc w:val="right"/>
              <w:textAlignment w:val="center"/>
              <w:rPr>
                <w:rFonts w:ascii="仿宋" w:hAnsi="仿宋" w:eastAsia="仿宋"/>
                <w:sz w:val="24"/>
              </w:rPr>
            </w:pPr>
            <w:r>
              <w:rPr>
                <w:rFonts w:hint="eastAsia" w:ascii="仿宋" w:hAnsi="仿宋" w:eastAsia="仿宋" w:cs="仿宋"/>
                <w:color w:val="000000"/>
                <w:kern w:val="0"/>
                <w:sz w:val="24"/>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574" w:type="dxa"/>
            <w:gridSpan w:val="2"/>
            <w:vAlign w:val="center"/>
          </w:tcPr>
          <w:p>
            <w:pPr>
              <w:adjustRightInd w:val="0"/>
              <w:snapToGrid w:val="0"/>
              <w:jc w:val="center"/>
              <w:rPr>
                <w:rFonts w:ascii="仿宋" w:hAnsi="仿宋" w:eastAsia="仿宋"/>
                <w:b/>
                <w:bCs/>
                <w:sz w:val="24"/>
              </w:rPr>
            </w:pPr>
            <w:r>
              <w:rPr>
                <w:rFonts w:hint="eastAsia" w:ascii="仿宋" w:hAnsi="仿宋" w:eastAsia="仿宋"/>
                <w:b/>
                <w:bCs/>
                <w:sz w:val="24"/>
              </w:rPr>
              <w:t>总计</w:t>
            </w:r>
          </w:p>
        </w:tc>
        <w:tc>
          <w:tcPr>
            <w:tcW w:w="1426" w:type="dxa"/>
            <w:vAlign w:val="center"/>
          </w:tcPr>
          <w:p>
            <w:pPr>
              <w:widowControl/>
              <w:jc w:val="right"/>
              <w:textAlignment w:val="center"/>
              <w:rPr>
                <w:rFonts w:ascii="仿宋" w:hAnsi="仿宋" w:eastAsia="仿宋"/>
                <w:b/>
                <w:bCs/>
                <w:sz w:val="24"/>
              </w:rPr>
            </w:pPr>
            <w:r>
              <w:rPr>
                <w:rFonts w:hint="eastAsia" w:ascii="仿宋" w:hAnsi="仿宋" w:eastAsia="仿宋" w:cs="仿宋"/>
                <w:b/>
                <w:bCs/>
                <w:kern w:val="0"/>
                <w:sz w:val="24"/>
                <w:lang w:bidi="ar"/>
              </w:rPr>
              <w:t>112.948000</w:t>
            </w:r>
          </w:p>
        </w:tc>
        <w:tc>
          <w:tcPr>
            <w:tcW w:w="1305" w:type="dxa"/>
            <w:vAlign w:val="center"/>
          </w:tcPr>
          <w:p>
            <w:pPr>
              <w:widowControl/>
              <w:jc w:val="right"/>
              <w:textAlignment w:val="center"/>
              <w:rPr>
                <w:rFonts w:ascii="仿宋" w:hAnsi="仿宋" w:eastAsia="仿宋"/>
                <w:b/>
                <w:bCs/>
                <w:sz w:val="24"/>
              </w:rPr>
            </w:pPr>
            <w:r>
              <w:rPr>
                <w:rFonts w:hint="eastAsia" w:ascii="仿宋" w:hAnsi="仿宋" w:eastAsia="仿宋" w:cs="仿宋"/>
                <w:b/>
                <w:bCs/>
                <w:kern w:val="0"/>
                <w:sz w:val="24"/>
                <w:lang w:bidi="ar"/>
              </w:rPr>
              <w:t>82.285260</w:t>
            </w:r>
          </w:p>
        </w:tc>
        <w:tc>
          <w:tcPr>
            <w:tcW w:w="1305" w:type="dxa"/>
            <w:vAlign w:val="center"/>
          </w:tcPr>
          <w:p>
            <w:pPr>
              <w:widowControl/>
              <w:jc w:val="right"/>
              <w:textAlignment w:val="center"/>
              <w:rPr>
                <w:rFonts w:ascii="仿宋" w:hAnsi="仿宋" w:eastAsia="仿宋"/>
                <w:b/>
                <w:bCs/>
                <w:sz w:val="24"/>
              </w:rPr>
            </w:pPr>
            <w:r>
              <w:rPr>
                <w:rFonts w:hint="eastAsia" w:ascii="仿宋" w:hAnsi="仿宋" w:eastAsia="仿宋" w:cs="仿宋"/>
                <w:b/>
                <w:bCs/>
                <w:kern w:val="0"/>
                <w:sz w:val="24"/>
                <w:lang w:bidi="ar"/>
              </w:rPr>
              <w:t>30.662740</w:t>
            </w:r>
          </w:p>
        </w:tc>
        <w:tc>
          <w:tcPr>
            <w:tcW w:w="954" w:type="dxa"/>
            <w:vAlign w:val="center"/>
          </w:tcPr>
          <w:p>
            <w:pPr>
              <w:widowControl/>
              <w:jc w:val="right"/>
              <w:textAlignment w:val="center"/>
              <w:rPr>
                <w:rFonts w:ascii="仿宋" w:hAnsi="仿宋" w:eastAsia="仿宋"/>
                <w:b/>
                <w:bCs/>
                <w:sz w:val="24"/>
              </w:rPr>
            </w:pPr>
            <w:r>
              <w:rPr>
                <w:rFonts w:hint="eastAsia" w:ascii="仿宋" w:hAnsi="仿宋" w:eastAsia="仿宋" w:cs="仿宋"/>
                <w:b/>
                <w:bCs/>
                <w:kern w:val="0"/>
                <w:sz w:val="24"/>
                <w:lang w:bidi="ar"/>
              </w:rPr>
              <w:t>72.85</w:t>
            </w:r>
          </w:p>
        </w:tc>
      </w:tr>
    </w:tbl>
    <w:p>
      <w:pPr>
        <w:adjustRightInd w:val="0"/>
        <w:snapToGrid w:val="0"/>
        <w:spacing w:before="312" w:beforeLines="100" w:line="360" w:lineRule="auto"/>
        <w:ind w:firstLine="643" w:firstLineChars="200"/>
        <w:outlineLvl w:val="1"/>
        <w:rPr>
          <w:rFonts w:ascii="仿宋" w:hAnsi="仿宋" w:eastAsia="仿宋" w:cs="仿宋"/>
          <w:sz w:val="32"/>
          <w:szCs w:val="32"/>
        </w:rPr>
      </w:pPr>
      <w:bookmarkStart w:id="2" w:name="_Toc30736"/>
      <w:r>
        <w:rPr>
          <w:rFonts w:hint="eastAsia" w:ascii="仿宋" w:hAnsi="仿宋" w:eastAsia="仿宋" w:cs="仿宋"/>
          <w:b/>
          <w:bCs/>
          <w:sz w:val="32"/>
          <w:szCs w:val="32"/>
        </w:rPr>
        <w:t>（二）项目绩效目标</w:t>
      </w:r>
      <w:bookmarkEnd w:id="2"/>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该项目整体目标：通过资助社会组织出版论文集、开展换届、审计等工作，扶持社会组织维持日常工作运转，更好服务社会；通过工作开展交流培训等，提高社会组织服务管理水平。</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该项目2022年度目标：资助社会组织论文集出版；扶持社会组织进行学会建设；支持社会组织开展党建工作，确保社会组织发展保持正确的政治方向；开展工作培训交流，提高工作水平。</w:t>
      </w:r>
    </w:p>
    <w:p>
      <w:pPr>
        <w:adjustRightInd w:val="0"/>
        <w:snapToGrid w:val="0"/>
        <w:spacing w:line="360" w:lineRule="auto"/>
        <w:ind w:firstLine="640" w:firstLineChars="200"/>
        <w:outlineLvl w:val="0"/>
        <w:rPr>
          <w:rFonts w:ascii="黑体" w:hAnsi="黑体" w:eastAsia="黑体" w:cs="黑体"/>
          <w:sz w:val="32"/>
          <w:szCs w:val="32"/>
        </w:rPr>
      </w:pPr>
      <w:bookmarkStart w:id="3" w:name="_Toc28586"/>
      <w:bookmarkStart w:id="4" w:name="_Toc21791"/>
      <w:bookmarkStart w:id="5" w:name="_Hlk66890838"/>
      <w:r>
        <w:rPr>
          <w:rFonts w:hint="eastAsia" w:ascii="黑体" w:hAnsi="黑体" w:eastAsia="黑体" w:cs="黑体"/>
          <w:sz w:val="32"/>
          <w:szCs w:val="32"/>
        </w:rPr>
        <w:t>二、绩效评价工作开展情况</w:t>
      </w:r>
      <w:bookmarkEnd w:id="3"/>
      <w:bookmarkEnd w:id="4"/>
    </w:p>
    <w:p>
      <w:pPr>
        <w:adjustRightInd w:val="0"/>
        <w:snapToGrid w:val="0"/>
        <w:spacing w:line="360" w:lineRule="auto"/>
        <w:ind w:firstLine="643" w:firstLineChars="200"/>
        <w:outlineLvl w:val="1"/>
        <w:rPr>
          <w:rFonts w:ascii="仿宋" w:hAnsi="仿宋" w:eastAsia="仿宋" w:cs="仿宋"/>
          <w:sz w:val="32"/>
          <w:szCs w:val="32"/>
        </w:rPr>
      </w:pPr>
      <w:bookmarkStart w:id="6" w:name="_Toc4258"/>
      <w:bookmarkStart w:id="7" w:name="_Toc9195"/>
      <w:r>
        <w:rPr>
          <w:rFonts w:hint="eastAsia" w:ascii="仿宋" w:hAnsi="仿宋" w:eastAsia="仿宋" w:cs="仿宋"/>
          <w:b/>
          <w:bCs/>
          <w:sz w:val="32"/>
          <w:szCs w:val="32"/>
        </w:rPr>
        <w:t>（一）绩效</w:t>
      </w:r>
      <w:bookmarkStart w:id="8" w:name="一"/>
      <w:bookmarkEnd w:id="8"/>
      <w:r>
        <w:rPr>
          <w:rFonts w:hint="eastAsia" w:ascii="仿宋" w:hAnsi="仿宋" w:eastAsia="仿宋" w:cs="仿宋"/>
          <w:b/>
          <w:bCs/>
          <w:sz w:val="32"/>
          <w:szCs w:val="32"/>
        </w:rPr>
        <w:t>工作情况</w:t>
      </w:r>
      <w:bookmarkEnd w:id="6"/>
      <w:bookmarkEnd w:id="7"/>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1.评价目的</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（1）加强预算绩效管理，强化支出责任，提高财政资金使用效益。</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（2）通过检验财政资金使用管理是否规范、是否达到预期目标，考核财政支出效率和综合效果。</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（3）通过绩效评价，促进市社科联总结经验、发现问题、改进工作，进一步加强项目管理，提高财政资金使用效益。</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2.对象和范围</w:t>
      </w:r>
    </w:p>
    <w:p>
      <w:pPr>
        <w:pStyle w:val="2"/>
        <w:adjustRightInd w:val="0"/>
        <w:snapToGrid w:val="0"/>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（1）评价对象</w:t>
      </w:r>
    </w:p>
    <w:p>
      <w:pPr>
        <w:pStyle w:val="2"/>
        <w:adjustRightInd w:val="0"/>
        <w:snapToGrid w:val="0"/>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学会、民办社科研究机构和社科类基金会管理业务经费项目，项目资金112.948000万元，全部为财政拨款。</w:t>
      </w:r>
    </w:p>
    <w:p>
      <w:pPr>
        <w:pStyle w:val="2"/>
        <w:adjustRightInd w:val="0"/>
        <w:snapToGrid w:val="0"/>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（2）评价范围</w:t>
      </w:r>
    </w:p>
    <w:p>
      <w:pPr>
        <w:pStyle w:val="2"/>
        <w:adjustRightInd w:val="0"/>
        <w:snapToGrid w:val="0"/>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该项目绩效评价的范围包括：2022年度项目支出绩效目标的设定情况；资金投入和预算执行管理情况；为实现项目支出绩效目标所制定的制度和采取的工作措施；绩效目标实现情况及效果等。</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3.绩效评价原则</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（1）科学公正。本次绩效评价工作运用科学合理的方法，按照规范的程序，对项目绩效进行客观、公正地反映。</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（2）统筹兼顾。本次绩效评价工作中单位自评和部门评价职责明确，各有侧重，相互衔接。单位自评由项目单位自主实施，即“谁支出，谁自评”。部门评价在单位自评的基础上开展。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（3）激励约束。本次绩效评价结果应用与预算安排、政策调整、改进管理实质性挂钩，突出奖优罚劣和激励相容导向，体现“花钱必问效、无效必问责”。</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（4）公开透明。本次绩效评价结果依法依规公开，并自觉接受社会监督。</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4.评价指标体系</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绩效评价工作小组、专家组结合该项目的特点和预期绩效目标，以资金使用结果为导向，细化了该项目的绩效评价指标体系，明确评价标准。按照“相关性、重要性、可比性、系统性”原则，确定了该项目绩效评价指标体系。该项目绩效评价指标体系分为决策、过程、产出和效益4个一级指标，其中：</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（1）决策指标下设项目立项、绩效目标和资金投入3个二级指标；</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（2）过程指标下设资金管理和组织实施2个二级指标；</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（3）产出指标下设产出数量、产出质量、产出时效和产出成本4个二级指标；</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（4）效益指标下设项目效益指标。</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同时，根据项目特点，分别设定了三级指标和四级指标，具体如下：</w:t>
      </w:r>
    </w:p>
    <w:p>
      <w:pPr>
        <w:adjustRightInd w:val="0"/>
        <w:snapToGrid w:val="0"/>
        <w:spacing w:line="360" w:lineRule="auto"/>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学会、民办社科研究机构和社科类基金会管理业务经费</w:t>
      </w:r>
    </w:p>
    <w:p>
      <w:pPr>
        <w:adjustRightInd w:val="0"/>
        <w:snapToGrid w:val="0"/>
        <w:spacing w:line="360" w:lineRule="auto"/>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项目绩效评价指标体系</w:t>
      </w:r>
    </w:p>
    <w:tbl>
      <w:tblPr>
        <w:tblStyle w:val="13"/>
        <w:tblW w:w="8832" w:type="dxa"/>
        <w:jc w:val="center"/>
        <w:tblLayout w:type="autofit"/>
        <w:tblCellMar>
          <w:top w:w="0" w:type="dxa"/>
          <w:left w:w="108" w:type="dxa"/>
          <w:bottom w:w="0" w:type="dxa"/>
          <w:right w:w="108" w:type="dxa"/>
        </w:tblCellMar>
      </w:tblPr>
      <w:tblGrid>
        <w:gridCol w:w="1185"/>
        <w:gridCol w:w="1335"/>
        <w:gridCol w:w="1212"/>
        <w:gridCol w:w="4155"/>
        <w:gridCol w:w="945"/>
      </w:tblGrid>
      <w:tr>
        <w:tblPrEx>
          <w:tblCellMar>
            <w:top w:w="0" w:type="dxa"/>
            <w:left w:w="108" w:type="dxa"/>
            <w:bottom w:w="0" w:type="dxa"/>
            <w:right w:w="108" w:type="dxa"/>
          </w:tblCellMar>
        </w:tblPrEx>
        <w:trPr>
          <w:trHeight w:val="598" w:hRule="atLeast"/>
          <w:tblHeader/>
          <w:jc w:val="center"/>
        </w:trPr>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一级指标</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二级指标</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三级指标</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四级指标</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分值</w:t>
            </w:r>
          </w:p>
        </w:tc>
      </w:tr>
      <w:tr>
        <w:tblPrEx>
          <w:tblCellMar>
            <w:top w:w="0" w:type="dxa"/>
            <w:left w:w="108" w:type="dxa"/>
            <w:bottom w:w="0" w:type="dxa"/>
            <w:right w:w="108" w:type="dxa"/>
          </w:tblCellMar>
        </w:tblPrEx>
        <w:trPr>
          <w:trHeight w:val="734" w:hRule="atLeast"/>
          <w:jc w:val="center"/>
        </w:trPr>
        <w:tc>
          <w:tcPr>
            <w:tcW w:w="11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决策</w:t>
            </w:r>
            <w:r>
              <w:rPr>
                <w:rFonts w:hint="eastAsia" w:ascii="仿宋" w:hAnsi="仿宋" w:eastAsia="仿宋" w:cs="仿宋"/>
                <w:b/>
                <w:bCs/>
                <w:kern w:val="0"/>
                <w:sz w:val="24"/>
              </w:rPr>
              <w:br w:type="textWrapping"/>
            </w:r>
            <w:r>
              <w:rPr>
                <w:rFonts w:hint="eastAsia" w:ascii="仿宋" w:hAnsi="仿宋" w:eastAsia="仿宋" w:cs="仿宋"/>
                <w:b/>
                <w:bCs/>
                <w:kern w:val="0"/>
                <w:sz w:val="24"/>
              </w:rPr>
              <w:t>（15分）　</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项目立项</w:t>
            </w:r>
            <w:r>
              <w:rPr>
                <w:rFonts w:hint="eastAsia" w:ascii="仿宋" w:hAnsi="仿宋" w:eastAsia="仿宋" w:cs="仿宋"/>
                <w:kern w:val="0"/>
                <w:sz w:val="24"/>
              </w:rPr>
              <w:br w:type="textWrapping"/>
            </w:r>
            <w:r>
              <w:rPr>
                <w:rFonts w:hint="eastAsia" w:ascii="仿宋" w:hAnsi="仿宋" w:eastAsia="仿宋" w:cs="仿宋"/>
                <w:kern w:val="0"/>
                <w:sz w:val="24"/>
              </w:rPr>
              <w:t>（5分）　</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立项依据充分性</w:t>
            </w:r>
            <w:r>
              <w:rPr>
                <w:rFonts w:hint="eastAsia" w:ascii="仿宋" w:hAnsi="仿宋" w:eastAsia="仿宋" w:cs="仿宋"/>
                <w:kern w:val="0"/>
                <w:sz w:val="24"/>
              </w:rPr>
              <w:br w:type="textWrapping"/>
            </w:r>
            <w:r>
              <w:rPr>
                <w:rFonts w:hint="eastAsia" w:ascii="仿宋" w:hAnsi="仿宋" w:eastAsia="仿宋" w:cs="仿宋"/>
                <w:kern w:val="0"/>
                <w:sz w:val="24"/>
              </w:rPr>
              <w:t>（3分）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项目立项符合国家法律法规、国民经济发展规划和相关政策</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0.6</w:t>
            </w:r>
          </w:p>
        </w:tc>
      </w:tr>
      <w:tr>
        <w:tblPrEx>
          <w:tblCellMar>
            <w:top w:w="0" w:type="dxa"/>
            <w:left w:w="108" w:type="dxa"/>
            <w:bottom w:w="0" w:type="dxa"/>
            <w:right w:w="108" w:type="dxa"/>
          </w:tblCellMar>
        </w:tblPrEx>
        <w:trPr>
          <w:trHeight w:val="6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项目立项符合行业发展规划和政策要求</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0.6</w:t>
            </w:r>
          </w:p>
        </w:tc>
      </w:tr>
      <w:tr>
        <w:tblPrEx>
          <w:tblCellMar>
            <w:top w:w="0" w:type="dxa"/>
            <w:left w:w="108" w:type="dxa"/>
            <w:bottom w:w="0" w:type="dxa"/>
            <w:right w:w="108" w:type="dxa"/>
          </w:tblCellMar>
        </w:tblPrEx>
        <w:trPr>
          <w:trHeight w:val="773"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项目立项与部门职责范围相符，属于部门履职所需</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0.6</w:t>
            </w:r>
          </w:p>
        </w:tc>
      </w:tr>
      <w:tr>
        <w:tblPrEx>
          <w:tblCellMar>
            <w:top w:w="0" w:type="dxa"/>
            <w:left w:w="108" w:type="dxa"/>
            <w:bottom w:w="0" w:type="dxa"/>
            <w:right w:w="108" w:type="dxa"/>
          </w:tblCellMar>
        </w:tblPrEx>
        <w:trPr>
          <w:trHeight w:val="6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项目属于公共财政支持范围，符合中央、地方事权支出责任划分原则</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0.6</w:t>
            </w:r>
          </w:p>
        </w:tc>
      </w:tr>
      <w:tr>
        <w:tblPrEx>
          <w:tblCellMar>
            <w:top w:w="0" w:type="dxa"/>
            <w:left w:w="108" w:type="dxa"/>
            <w:bottom w:w="0" w:type="dxa"/>
            <w:right w:w="108" w:type="dxa"/>
          </w:tblCellMar>
        </w:tblPrEx>
        <w:trPr>
          <w:trHeight w:val="6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项目不与相关部门同类项目或部门内部相关项目重复</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0.6</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立项程序规范性</w:t>
            </w:r>
            <w:r>
              <w:rPr>
                <w:rFonts w:hint="eastAsia" w:ascii="仿宋" w:hAnsi="仿宋" w:eastAsia="仿宋" w:cs="仿宋"/>
                <w:kern w:val="0"/>
                <w:sz w:val="24"/>
              </w:rPr>
              <w:br w:type="textWrapping"/>
            </w:r>
            <w:r>
              <w:rPr>
                <w:rFonts w:hint="eastAsia" w:ascii="仿宋" w:hAnsi="仿宋" w:eastAsia="仿宋" w:cs="仿宋"/>
                <w:kern w:val="0"/>
                <w:sz w:val="24"/>
              </w:rPr>
              <w:t>（2分）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项目按照规定的程序申请设立</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审批文件、材料符合相关要求</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6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事前已经过必要的可行性研究、专家论证、风险评估、绩效评估、集体决策</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绩效目标</w:t>
            </w:r>
            <w:r>
              <w:rPr>
                <w:rFonts w:hint="eastAsia" w:ascii="仿宋" w:hAnsi="仿宋" w:eastAsia="仿宋" w:cs="仿宋"/>
                <w:kern w:val="0"/>
                <w:sz w:val="24"/>
              </w:rPr>
              <w:br w:type="textWrapping"/>
            </w:r>
            <w:r>
              <w:rPr>
                <w:rFonts w:hint="eastAsia" w:ascii="仿宋" w:hAnsi="仿宋" w:eastAsia="仿宋" w:cs="仿宋"/>
                <w:kern w:val="0"/>
                <w:sz w:val="24"/>
              </w:rPr>
              <w:t>（6分）　</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绩效目标合理性</w:t>
            </w:r>
            <w:r>
              <w:rPr>
                <w:rFonts w:hint="eastAsia" w:ascii="仿宋" w:hAnsi="仿宋" w:eastAsia="仿宋" w:cs="仿宋"/>
                <w:kern w:val="0"/>
                <w:sz w:val="24"/>
              </w:rPr>
              <w:br w:type="textWrapping"/>
            </w:r>
            <w:r>
              <w:rPr>
                <w:rFonts w:hint="eastAsia" w:ascii="仿宋" w:hAnsi="仿宋" w:eastAsia="仿宋" w:cs="仿宋"/>
                <w:kern w:val="0"/>
                <w:sz w:val="24"/>
              </w:rPr>
              <w:t>（3分）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项目有绩效目标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6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项目绩效目标与实际工作内容具有相关性</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6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项目预期产出效益和效果符合正常的业绩水平</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6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与预算确定的项目投资额或资金量相匹配</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6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绩效指标明确性</w:t>
            </w:r>
            <w:r>
              <w:rPr>
                <w:rFonts w:hint="eastAsia" w:ascii="仿宋" w:hAnsi="仿宋" w:eastAsia="仿宋" w:cs="仿宋"/>
                <w:kern w:val="0"/>
                <w:sz w:val="24"/>
              </w:rPr>
              <w:br w:type="textWrapping"/>
            </w:r>
            <w:r>
              <w:rPr>
                <w:rFonts w:hint="eastAsia" w:ascii="仿宋" w:hAnsi="仿宋" w:eastAsia="仿宋" w:cs="仿宋"/>
                <w:kern w:val="0"/>
                <w:sz w:val="24"/>
              </w:rPr>
              <w:t>（3分）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将项目绩效目标细化分解为具体的绩效指标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通过清晰、可衡量的指标值予以体现</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与项目目标任务数或计划数相对应</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资金投入</w:t>
            </w:r>
            <w:r>
              <w:rPr>
                <w:rFonts w:hint="eastAsia" w:ascii="仿宋" w:hAnsi="仿宋" w:eastAsia="仿宋" w:cs="仿宋"/>
                <w:kern w:val="0"/>
                <w:sz w:val="24"/>
              </w:rPr>
              <w:br w:type="textWrapping"/>
            </w:r>
            <w:r>
              <w:rPr>
                <w:rFonts w:hint="eastAsia" w:ascii="仿宋" w:hAnsi="仿宋" w:eastAsia="仿宋" w:cs="仿宋"/>
                <w:kern w:val="0"/>
                <w:sz w:val="24"/>
              </w:rPr>
              <w:t>（4分）</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预算编制科学性</w:t>
            </w:r>
            <w:r>
              <w:rPr>
                <w:rFonts w:hint="eastAsia" w:ascii="仿宋" w:hAnsi="仿宋" w:eastAsia="仿宋" w:cs="仿宋"/>
                <w:kern w:val="0"/>
                <w:sz w:val="24"/>
              </w:rPr>
              <w:br w:type="textWrapping"/>
            </w:r>
            <w:r>
              <w:rPr>
                <w:rFonts w:hint="eastAsia" w:ascii="仿宋" w:hAnsi="仿宋" w:eastAsia="仿宋" w:cs="仿宋"/>
                <w:kern w:val="0"/>
                <w:sz w:val="24"/>
              </w:rPr>
              <w:t>（2分）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预算编制经过科学论证</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预算内容与项目内容匹配</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6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预算额度测算依据充分，按照标准编制</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6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预算确定的项目投资额或资金量与工作任务相匹配</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478"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资金分配合理性</w:t>
            </w:r>
            <w:r>
              <w:rPr>
                <w:rFonts w:hint="eastAsia" w:ascii="仿宋" w:hAnsi="仿宋" w:eastAsia="仿宋" w:cs="仿宋"/>
                <w:kern w:val="0"/>
                <w:sz w:val="24"/>
              </w:rPr>
              <w:br w:type="textWrapping"/>
            </w:r>
            <w:r>
              <w:rPr>
                <w:rFonts w:hint="eastAsia" w:ascii="仿宋" w:hAnsi="仿宋" w:eastAsia="仿宋" w:cs="仿宋"/>
                <w:kern w:val="0"/>
                <w:sz w:val="24"/>
              </w:rPr>
              <w:t>（2分）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预算资金分配依据充分</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686"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资金分配额度合理，与项目单位或地方实际相适应</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700" w:hRule="atLeast"/>
          <w:jc w:val="center"/>
        </w:trPr>
        <w:tc>
          <w:tcPr>
            <w:tcW w:w="11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过程</w:t>
            </w:r>
            <w:r>
              <w:rPr>
                <w:rFonts w:hint="eastAsia" w:ascii="仿宋" w:hAnsi="仿宋" w:eastAsia="仿宋" w:cs="仿宋"/>
                <w:b/>
                <w:bCs/>
                <w:kern w:val="0"/>
                <w:sz w:val="24"/>
              </w:rPr>
              <w:br w:type="textWrapping"/>
            </w:r>
            <w:r>
              <w:rPr>
                <w:rFonts w:hint="eastAsia" w:ascii="仿宋" w:hAnsi="仿宋" w:eastAsia="仿宋" w:cs="仿宋"/>
                <w:b/>
                <w:bCs/>
                <w:kern w:val="0"/>
                <w:sz w:val="24"/>
              </w:rPr>
              <w:t>（30分）</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资金管理</w:t>
            </w:r>
            <w:r>
              <w:rPr>
                <w:rFonts w:hint="eastAsia" w:ascii="仿宋" w:hAnsi="仿宋" w:eastAsia="仿宋" w:cs="仿宋"/>
                <w:kern w:val="0"/>
                <w:sz w:val="24"/>
              </w:rPr>
              <w:br w:type="textWrapping"/>
            </w:r>
            <w:r>
              <w:rPr>
                <w:rFonts w:hint="eastAsia" w:ascii="仿宋" w:hAnsi="仿宋" w:eastAsia="仿宋" w:cs="仿宋"/>
                <w:kern w:val="0"/>
                <w:sz w:val="24"/>
              </w:rPr>
              <w:t>（15分）</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资金</w:t>
            </w:r>
          </w:p>
          <w:p>
            <w:pPr>
              <w:widowControl/>
              <w:jc w:val="center"/>
              <w:rPr>
                <w:rFonts w:ascii="仿宋" w:hAnsi="仿宋" w:eastAsia="仿宋" w:cs="仿宋"/>
                <w:kern w:val="0"/>
                <w:sz w:val="24"/>
              </w:rPr>
            </w:pPr>
            <w:r>
              <w:rPr>
                <w:rFonts w:hint="eastAsia" w:ascii="仿宋" w:hAnsi="仿宋" w:eastAsia="仿宋" w:cs="仿宋"/>
                <w:kern w:val="0"/>
                <w:sz w:val="24"/>
              </w:rPr>
              <w:t>到位率</w:t>
            </w:r>
            <w:r>
              <w:rPr>
                <w:rFonts w:hint="eastAsia" w:ascii="仿宋" w:hAnsi="仿宋" w:eastAsia="仿宋" w:cs="仿宋"/>
                <w:kern w:val="0"/>
                <w:sz w:val="24"/>
              </w:rPr>
              <w:br w:type="textWrapping"/>
            </w:r>
            <w:r>
              <w:rPr>
                <w:rFonts w:hint="eastAsia" w:ascii="仿宋" w:hAnsi="仿宋" w:eastAsia="仿宋" w:cs="仿宋"/>
                <w:kern w:val="0"/>
                <w:sz w:val="24"/>
              </w:rPr>
              <w:t>（5分）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资金到位率=（实际到位资金/预算资金）×100%。财政资金到位的足额性</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5</w:t>
            </w:r>
          </w:p>
        </w:tc>
      </w:tr>
      <w:tr>
        <w:tblPrEx>
          <w:tblCellMar>
            <w:top w:w="0" w:type="dxa"/>
            <w:left w:w="108" w:type="dxa"/>
            <w:bottom w:w="0" w:type="dxa"/>
            <w:right w:w="108" w:type="dxa"/>
          </w:tblCellMar>
        </w:tblPrEx>
        <w:trPr>
          <w:trHeight w:val="1098"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预算执行率</w:t>
            </w:r>
            <w:r>
              <w:rPr>
                <w:rFonts w:hint="eastAsia" w:ascii="仿宋" w:hAnsi="仿宋" w:eastAsia="仿宋" w:cs="仿宋"/>
                <w:kern w:val="0"/>
                <w:sz w:val="24"/>
              </w:rPr>
              <w:br w:type="textWrapping"/>
            </w:r>
            <w:r>
              <w:rPr>
                <w:rFonts w:hint="eastAsia" w:ascii="仿宋" w:hAnsi="仿宋" w:eastAsia="仿宋" w:cs="仿宋"/>
                <w:kern w:val="0"/>
                <w:sz w:val="24"/>
              </w:rPr>
              <w:t>（5分）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预算执行率=（实际支出资金/实际到位资金）×100%。项目预算资金按照计划执行</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5</w:t>
            </w:r>
          </w:p>
        </w:tc>
      </w:tr>
      <w:tr>
        <w:tblPrEx>
          <w:tblCellMar>
            <w:top w:w="0" w:type="dxa"/>
            <w:left w:w="108" w:type="dxa"/>
            <w:bottom w:w="0" w:type="dxa"/>
            <w:right w:w="108" w:type="dxa"/>
          </w:tblCellMar>
        </w:tblPrEx>
        <w:trPr>
          <w:trHeight w:val="751"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资金使用合规性</w:t>
            </w:r>
            <w:r>
              <w:rPr>
                <w:rFonts w:hint="eastAsia" w:ascii="仿宋" w:hAnsi="仿宋" w:eastAsia="仿宋" w:cs="仿宋"/>
                <w:kern w:val="0"/>
                <w:sz w:val="24"/>
              </w:rPr>
              <w:br w:type="textWrapping"/>
            </w:r>
            <w:r>
              <w:rPr>
                <w:rFonts w:hint="eastAsia" w:ascii="仿宋" w:hAnsi="仿宋" w:eastAsia="仿宋" w:cs="仿宋"/>
                <w:kern w:val="0"/>
                <w:sz w:val="24"/>
              </w:rPr>
              <w:t>（5分）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符合国家财经法规和财务管理制度以及有关专项资金管理办法的规定</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w:t>
            </w:r>
          </w:p>
        </w:tc>
      </w:tr>
      <w:tr>
        <w:tblPrEx>
          <w:tblCellMar>
            <w:top w:w="0" w:type="dxa"/>
            <w:left w:w="108" w:type="dxa"/>
            <w:bottom w:w="0" w:type="dxa"/>
            <w:right w:w="108" w:type="dxa"/>
          </w:tblCellMar>
        </w:tblPrEx>
        <w:trPr>
          <w:trHeight w:val="463"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资金的拨付有完整的审批程序和手续</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412"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符合项目预算批复或合同规定的用途</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6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不存在截留、挤占、挪用、虚列支出等情况</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6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组织实施</w:t>
            </w:r>
            <w:r>
              <w:rPr>
                <w:rFonts w:hint="eastAsia" w:ascii="仿宋" w:hAnsi="仿宋" w:eastAsia="仿宋" w:cs="仿宋"/>
                <w:kern w:val="0"/>
                <w:sz w:val="24"/>
              </w:rPr>
              <w:br w:type="textWrapping"/>
            </w:r>
            <w:r>
              <w:rPr>
                <w:rFonts w:hint="eastAsia" w:ascii="仿宋" w:hAnsi="仿宋" w:eastAsia="仿宋" w:cs="仿宋"/>
                <w:kern w:val="0"/>
                <w:sz w:val="24"/>
              </w:rPr>
              <w:t>（15分）</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管理制度健全性</w:t>
            </w:r>
            <w:r>
              <w:rPr>
                <w:rFonts w:hint="eastAsia" w:ascii="仿宋" w:hAnsi="仿宋" w:eastAsia="仿宋" w:cs="仿宋"/>
                <w:kern w:val="0"/>
                <w:sz w:val="24"/>
              </w:rPr>
              <w:br w:type="textWrapping"/>
            </w:r>
            <w:r>
              <w:rPr>
                <w:rFonts w:hint="eastAsia" w:ascii="仿宋" w:hAnsi="仿宋" w:eastAsia="仿宋" w:cs="仿宋"/>
                <w:kern w:val="0"/>
                <w:sz w:val="24"/>
              </w:rPr>
              <w:t>（7分）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已制定或具有相应的财务和业务管理制度</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3.5</w:t>
            </w:r>
          </w:p>
        </w:tc>
      </w:tr>
      <w:tr>
        <w:tblPrEx>
          <w:tblCellMar>
            <w:top w:w="0" w:type="dxa"/>
            <w:left w:w="108" w:type="dxa"/>
            <w:bottom w:w="0" w:type="dxa"/>
            <w:right w:w="108" w:type="dxa"/>
          </w:tblCellMar>
        </w:tblPrEx>
        <w:trPr>
          <w:trHeight w:val="6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财务和业务管理制度合法、合规、完整</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3.5</w:t>
            </w:r>
          </w:p>
        </w:tc>
      </w:tr>
      <w:tr>
        <w:tblPrEx>
          <w:tblCellMar>
            <w:top w:w="0" w:type="dxa"/>
            <w:left w:w="108" w:type="dxa"/>
            <w:bottom w:w="0" w:type="dxa"/>
            <w:right w:w="108" w:type="dxa"/>
          </w:tblCellMar>
        </w:tblPrEx>
        <w:trPr>
          <w:trHeight w:val="509"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制度执行有效性</w:t>
            </w:r>
            <w:r>
              <w:rPr>
                <w:rFonts w:hint="eastAsia" w:ascii="仿宋" w:hAnsi="仿宋" w:eastAsia="仿宋" w:cs="仿宋"/>
                <w:kern w:val="0"/>
                <w:sz w:val="24"/>
              </w:rPr>
              <w:br w:type="textWrapping"/>
            </w:r>
            <w:r>
              <w:rPr>
                <w:rFonts w:hint="eastAsia" w:ascii="仿宋" w:hAnsi="仿宋" w:eastAsia="仿宋" w:cs="仿宋"/>
                <w:kern w:val="0"/>
                <w:sz w:val="24"/>
              </w:rPr>
              <w:t>（8分）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遵守相关法律法规和相关管理规定</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w:t>
            </w:r>
          </w:p>
        </w:tc>
      </w:tr>
      <w:tr>
        <w:tblPrEx>
          <w:tblCellMar>
            <w:top w:w="0" w:type="dxa"/>
            <w:left w:w="108" w:type="dxa"/>
            <w:bottom w:w="0" w:type="dxa"/>
            <w:right w:w="108" w:type="dxa"/>
          </w:tblCellMar>
        </w:tblPrEx>
        <w:trPr>
          <w:trHeight w:val="489"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项目调整及支出调整手续完备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w:t>
            </w:r>
          </w:p>
        </w:tc>
      </w:tr>
      <w:tr>
        <w:tblPrEx>
          <w:tblCellMar>
            <w:top w:w="0" w:type="dxa"/>
            <w:left w:w="108" w:type="dxa"/>
            <w:bottom w:w="0" w:type="dxa"/>
            <w:right w:w="108" w:type="dxa"/>
          </w:tblCellMar>
        </w:tblPrEx>
        <w:trPr>
          <w:trHeight w:val="624"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项目合同书、验收报告、技术鉴定等资料齐全并及时归档</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w:t>
            </w:r>
          </w:p>
        </w:tc>
      </w:tr>
      <w:tr>
        <w:tblPrEx>
          <w:tblCellMar>
            <w:top w:w="0" w:type="dxa"/>
            <w:left w:w="108" w:type="dxa"/>
            <w:bottom w:w="0" w:type="dxa"/>
            <w:right w:w="108" w:type="dxa"/>
          </w:tblCellMar>
        </w:tblPrEx>
        <w:trPr>
          <w:trHeight w:val="671"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项目实施的人员条件、场地设备、信息支撑等落实到位</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w:t>
            </w:r>
          </w:p>
        </w:tc>
      </w:tr>
      <w:tr>
        <w:tblPrEx>
          <w:tblCellMar>
            <w:top w:w="0" w:type="dxa"/>
            <w:left w:w="108" w:type="dxa"/>
            <w:bottom w:w="0" w:type="dxa"/>
            <w:right w:w="108" w:type="dxa"/>
          </w:tblCellMar>
        </w:tblPrEx>
        <w:trPr>
          <w:trHeight w:val="660" w:hRule="atLeast"/>
          <w:jc w:val="center"/>
        </w:trPr>
        <w:tc>
          <w:tcPr>
            <w:tcW w:w="11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产出</w:t>
            </w:r>
            <w:r>
              <w:rPr>
                <w:rFonts w:hint="eastAsia" w:ascii="仿宋" w:hAnsi="仿宋" w:eastAsia="仿宋" w:cs="仿宋"/>
                <w:b/>
                <w:bCs/>
                <w:kern w:val="0"/>
                <w:sz w:val="24"/>
              </w:rPr>
              <w:br w:type="textWrapping"/>
            </w:r>
            <w:r>
              <w:rPr>
                <w:rFonts w:hint="eastAsia" w:ascii="仿宋" w:hAnsi="仿宋" w:eastAsia="仿宋" w:cs="仿宋"/>
                <w:b/>
                <w:bCs/>
                <w:kern w:val="0"/>
                <w:sz w:val="24"/>
              </w:rPr>
              <w:t>（30分）</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产出数量</w:t>
            </w:r>
            <w:r>
              <w:rPr>
                <w:rFonts w:hint="eastAsia" w:ascii="仿宋" w:hAnsi="仿宋" w:eastAsia="仿宋" w:cs="仿宋"/>
                <w:kern w:val="0"/>
                <w:sz w:val="24"/>
              </w:rPr>
              <w:br w:type="textWrapping"/>
            </w:r>
            <w:r>
              <w:rPr>
                <w:rFonts w:hint="eastAsia" w:ascii="仿宋" w:hAnsi="仿宋" w:eastAsia="仿宋" w:cs="仿宋"/>
                <w:kern w:val="0"/>
                <w:sz w:val="24"/>
              </w:rPr>
              <w:t>（9分）</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实际</w:t>
            </w:r>
          </w:p>
          <w:p>
            <w:pPr>
              <w:widowControl/>
              <w:jc w:val="center"/>
              <w:rPr>
                <w:rFonts w:ascii="仿宋" w:hAnsi="仿宋" w:eastAsia="仿宋" w:cs="仿宋"/>
                <w:kern w:val="0"/>
                <w:sz w:val="24"/>
              </w:rPr>
            </w:pPr>
            <w:r>
              <w:rPr>
                <w:rFonts w:hint="eastAsia" w:ascii="仿宋" w:hAnsi="仿宋" w:eastAsia="仿宋" w:cs="仿宋"/>
                <w:kern w:val="0"/>
                <w:sz w:val="24"/>
              </w:rPr>
              <w:t>完成率</w:t>
            </w:r>
            <w:r>
              <w:rPr>
                <w:rFonts w:hint="eastAsia" w:ascii="仿宋" w:hAnsi="仿宋" w:eastAsia="仿宋" w:cs="仿宋"/>
                <w:kern w:val="0"/>
                <w:sz w:val="24"/>
              </w:rPr>
              <w:br w:type="textWrapping"/>
            </w:r>
            <w:r>
              <w:rPr>
                <w:rFonts w:hint="eastAsia" w:ascii="仿宋" w:hAnsi="仿宋" w:eastAsia="仿宋" w:cs="仿宋"/>
                <w:kern w:val="0"/>
                <w:sz w:val="24"/>
              </w:rPr>
              <w:t>（9分）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实际完成率=（实际产出数/计划产出数）×100%</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9</w:t>
            </w:r>
          </w:p>
        </w:tc>
      </w:tr>
      <w:tr>
        <w:tblPrEx>
          <w:tblCellMar>
            <w:top w:w="0" w:type="dxa"/>
            <w:left w:w="108" w:type="dxa"/>
            <w:bottom w:w="0" w:type="dxa"/>
            <w:right w:w="108" w:type="dxa"/>
          </w:tblCellMar>
        </w:tblPrEx>
        <w:trPr>
          <w:trHeight w:val="74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产出质量</w:t>
            </w:r>
            <w:r>
              <w:rPr>
                <w:rFonts w:hint="eastAsia" w:ascii="仿宋" w:hAnsi="仿宋" w:eastAsia="仿宋" w:cs="仿宋"/>
                <w:kern w:val="0"/>
                <w:sz w:val="24"/>
              </w:rPr>
              <w:br w:type="textWrapping"/>
            </w:r>
            <w:r>
              <w:rPr>
                <w:rFonts w:hint="eastAsia" w:ascii="仿宋" w:hAnsi="仿宋" w:eastAsia="仿宋" w:cs="仿宋"/>
                <w:kern w:val="0"/>
                <w:sz w:val="24"/>
              </w:rPr>
              <w:t>（7分）</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质量</w:t>
            </w:r>
          </w:p>
          <w:p>
            <w:pPr>
              <w:widowControl/>
              <w:jc w:val="center"/>
              <w:rPr>
                <w:rFonts w:ascii="仿宋" w:hAnsi="仿宋" w:eastAsia="仿宋" w:cs="仿宋"/>
                <w:kern w:val="0"/>
                <w:sz w:val="24"/>
              </w:rPr>
            </w:pPr>
            <w:r>
              <w:rPr>
                <w:rFonts w:hint="eastAsia" w:ascii="仿宋" w:hAnsi="仿宋" w:eastAsia="仿宋" w:cs="仿宋"/>
                <w:kern w:val="0"/>
                <w:sz w:val="24"/>
              </w:rPr>
              <w:t>达标率</w:t>
            </w:r>
            <w:r>
              <w:rPr>
                <w:rFonts w:hint="eastAsia" w:ascii="仿宋" w:hAnsi="仿宋" w:eastAsia="仿宋" w:cs="仿宋"/>
                <w:kern w:val="0"/>
                <w:sz w:val="24"/>
              </w:rPr>
              <w:br w:type="textWrapping"/>
            </w:r>
            <w:r>
              <w:rPr>
                <w:rFonts w:hint="eastAsia" w:ascii="仿宋" w:hAnsi="仿宋" w:eastAsia="仿宋" w:cs="仿宋"/>
                <w:kern w:val="0"/>
                <w:sz w:val="24"/>
              </w:rPr>
              <w:t>（7分）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质量达标率=（质量达标产出数/实际产出数）×100%</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7</w:t>
            </w:r>
          </w:p>
        </w:tc>
      </w:tr>
      <w:tr>
        <w:tblPrEx>
          <w:tblCellMar>
            <w:top w:w="0" w:type="dxa"/>
            <w:left w:w="108" w:type="dxa"/>
            <w:bottom w:w="0" w:type="dxa"/>
            <w:right w:w="108" w:type="dxa"/>
          </w:tblCellMar>
        </w:tblPrEx>
        <w:trPr>
          <w:trHeight w:val="7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产出时效</w:t>
            </w:r>
            <w:r>
              <w:rPr>
                <w:rFonts w:hint="eastAsia" w:ascii="仿宋" w:hAnsi="仿宋" w:eastAsia="仿宋" w:cs="仿宋"/>
                <w:kern w:val="0"/>
                <w:sz w:val="24"/>
              </w:rPr>
              <w:br w:type="textWrapping"/>
            </w:r>
            <w:r>
              <w:rPr>
                <w:rFonts w:hint="eastAsia" w:ascii="仿宋" w:hAnsi="仿宋" w:eastAsia="仿宋" w:cs="仿宋"/>
                <w:kern w:val="0"/>
                <w:sz w:val="24"/>
              </w:rPr>
              <w:t>（7分）</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完成</w:t>
            </w:r>
          </w:p>
          <w:p>
            <w:pPr>
              <w:widowControl/>
              <w:jc w:val="center"/>
              <w:rPr>
                <w:rFonts w:ascii="仿宋" w:hAnsi="仿宋" w:eastAsia="仿宋" w:cs="仿宋"/>
                <w:kern w:val="0"/>
                <w:sz w:val="24"/>
              </w:rPr>
            </w:pPr>
            <w:r>
              <w:rPr>
                <w:rFonts w:hint="eastAsia" w:ascii="仿宋" w:hAnsi="仿宋" w:eastAsia="仿宋" w:cs="仿宋"/>
                <w:kern w:val="0"/>
                <w:sz w:val="24"/>
              </w:rPr>
              <w:t>及时性</w:t>
            </w:r>
            <w:r>
              <w:rPr>
                <w:rFonts w:hint="eastAsia" w:ascii="仿宋" w:hAnsi="仿宋" w:eastAsia="仿宋" w:cs="仿宋"/>
                <w:kern w:val="0"/>
                <w:sz w:val="24"/>
              </w:rPr>
              <w:br w:type="textWrapping"/>
            </w:r>
            <w:r>
              <w:rPr>
                <w:rFonts w:hint="eastAsia" w:ascii="仿宋" w:hAnsi="仿宋" w:eastAsia="仿宋" w:cs="仿宋"/>
                <w:kern w:val="0"/>
                <w:sz w:val="24"/>
              </w:rPr>
              <w:t>（7分）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项目产出按照实施方案及时完成</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7</w:t>
            </w:r>
          </w:p>
        </w:tc>
      </w:tr>
      <w:tr>
        <w:tblPrEx>
          <w:tblCellMar>
            <w:top w:w="0" w:type="dxa"/>
            <w:left w:w="108" w:type="dxa"/>
            <w:bottom w:w="0" w:type="dxa"/>
            <w:right w:w="108" w:type="dxa"/>
          </w:tblCellMar>
        </w:tblPrEx>
        <w:trPr>
          <w:trHeight w:val="70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产出成本</w:t>
            </w:r>
            <w:r>
              <w:rPr>
                <w:rFonts w:hint="eastAsia" w:ascii="仿宋" w:hAnsi="仿宋" w:eastAsia="仿宋" w:cs="仿宋"/>
                <w:kern w:val="0"/>
                <w:sz w:val="24"/>
              </w:rPr>
              <w:br w:type="textWrapping"/>
            </w:r>
            <w:r>
              <w:rPr>
                <w:rFonts w:hint="eastAsia" w:ascii="仿宋" w:hAnsi="仿宋" w:eastAsia="仿宋" w:cs="仿宋"/>
                <w:kern w:val="0"/>
                <w:sz w:val="24"/>
              </w:rPr>
              <w:t>（7分）</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成本</w:t>
            </w:r>
          </w:p>
          <w:p>
            <w:pPr>
              <w:widowControl/>
              <w:jc w:val="center"/>
              <w:rPr>
                <w:rFonts w:ascii="仿宋" w:hAnsi="仿宋" w:eastAsia="仿宋" w:cs="仿宋"/>
                <w:kern w:val="0"/>
                <w:sz w:val="24"/>
              </w:rPr>
            </w:pPr>
            <w:r>
              <w:rPr>
                <w:rFonts w:hint="eastAsia" w:ascii="仿宋" w:hAnsi="仿宋" w:eastAsia="仿宋" w:cs="仿宋"/>
                <w:kern w:val="0"/>
                <w:sz w:val="24"/>
              </w:rPr>
              <w:t>节约率</w:t>
            </w:r>
            <w:r>
              <w:rPr>
                <w:rFonts w:hint="eastAsia" w:ascii="仿宋" w:hAnsi="仿宋" w:eastAsia="仿宋" w:cs="仿宋"/>
                <w:kern w:val="0"/>
                <w:sz w:val="24"/>
              </w:rPr>
              <w:br w:type="textWrapping"/>
            </w:r>
            <w:r>
              <w:rPr>
                <w:rFonts w:hint="eastAsia" w:ascii="仿宋" w:hAnsi="仿宋" w:eastAsia="仿宋" w:cs="仿宋"/>
                <w:kern w:val="0"/>
                <w:sz w:val="24"/>
              </w:rPr>
              <w:t>（7分）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成本节约率=[（计划成本-实际成本）/计划成本]×100%</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7</w:t>
            </w:r>
          </w:p>
        </w:tc>
      </w:tr>
      <w:tr>
        <w:tblPrEx>
          <w:tblCellMar>
            <w:top w:w="0" w:type="dxa"/>
            <w:left w:w="108" w:type="dxa"/>
            <w:bottom w:w="0" w:type="dxa"/>
            <w:right w:w="108" w:type="dxa"/>
          </w:tblCellMar>
        </w:tblPrEx>
        <w:trPr>
          <w:trHeight w:val="1377" w:hRule="atLeast"/>
          <w:jc w:val="center"/>
        </w:trPr>
        <w:tc>
          <w:tcPr>
            <w:tcW w:w="11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效益</w:t>
            </w:r>
            <w:r>
              <w:rPr>
                <w:rFonts w:hint="eastAsia" w:ascii="仿宋" w:hAnsi="仿宋" w:eastAsia="仿宋" w:cs="仿宋"/>
                <w:b/>
                <w:bCs/>
                <w:kern w:val="0"/>
                <w:sz w:val="24"/>
              </w:rPr>
              <w:br w:type="textWrapping"/>
            </w:r>
            <w:r>
              <w:rPr>
                <w:rFonts w:hint="eastAsia" w:ascii="仿宋" w:hAnsi="仿宋" w:eastAsia="仿宋" w:cs="仿宋"/>
                <w:b/>
                <w:bCs/>
                <w:kern w:val="0"/>
                <w:sz w:val="24"/>
              </w:rPr>
              <w:t>（25分）　</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项目效益</w:t>
            </w:r>
            <w:r>
              <w:rPr>
                <w:rFonts w:hint="eastAsia" w:ascii="仿宋" w:hAnsi="仿宋" w:eastAsia="仿宋" w:cs="仿宋"/>
                <w:kern w:val="0"/>
                <w:sz w:val="24"/>
              </w:rPr>
              <w:br w:type="textWrapping"/>
            </w:r>
            <w:r>
              <w:rPr>
                <w:rFonts w:hint="eastAsia" w:ascii="仿宋" w:hAnsi="仿宋" w:eastAsia="仿宋" w:cs="仿宋"/>
                <w:kern w:val="0"/>
                <w:sz w:val="24"/>
              </w:rPr>
              <w:t>（25分）　</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w:t>
            </w:r>
            <w:r>
              <w:rPr>
                <w:rFonts w:hint="eastAsia" w:ascii="仿宋" w:hAnsi="仿宋" w:eastAsia="仿宋" w:cs="仿宋"/>
                <w:kern w:val="0"/>
                <w:sz w:val="24"/>
              </w:rPr>
              <w:br w:type="textWrapping"/>
            </w:r>
            <w:r>
              <w:rPr>
                <w:rFonts w:hint="eastAsia" w:ascii="仿宋" w:hAnsi="仿宋" w:eastAsia="仿宋" w:cs="仿宋"/>
                <w:kern w:val="0"/>
                <w:sz w:val="24"/>
              </w:rPr>
              <w:t>（10分）</w:t>
            </w:r>
          </w:p>
        </w:tc>
        <w:tc>
          <w:tcPr>
            <w:tcW w:w="415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扶持社会组织维持日常工作运转，更好服务社会；通过工作开展交流培训等，提高社会组织服务管理水平</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10</w:t>
            </w:r>
          </w:p>
        </w:tc>
      </w:tr>
      <w:tr>
        <w:tblPrEx>
          <w:tblCellMar>
            <w:top w:w="0" w:type="dxa"/>
            <w:left w:w="108" w:type="dxa"/>
            <w:bottom w:w="0" w:type="dxa"/>
            <w:right w:w="108" w:type="dxa"/>
          </w:tblCellMar>
        </w:tblPrEx>
        <w:trPr>
          <w:trHeight w:val="74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可持续影响（10分）</w:t>
            </w:r>
          </w:p>
        </w:tc>
        <w:tc>
          <w:tcPr>
            <w:tcW w:w="415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可持续影响及其程度</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10</w:t>
            </w:r>
          </w:p>
        </w:tc>
      </w:tr>
      <w:tr>
        <w:tblPrEx>
          <w:tblCellMar>
            <w:top w:w="0" w:type="dxa"/>
            <w:left w:w="108" w:type="dxa"/>
            <w:bottom w:w="0" w:type="dxa"/>
            <w:right w:w="108" w:type="dxa"/>
          </w:tblCellMar>
        </w:tblPrEx>
        <w:trPr>
          <w:trHeight w:val="74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w:t>
            </w:r>
            <w:r>
              <w:rPr>
                <w:rFonts w:hint="eastAsia" w:ascii="仿宋" w:hAnsi="仿宋" w:eastAsia="仿宋" w:cs="仿宋"/>
                <w:kern w:val="0"/>
                <w:sz w:val="24"/>
              </w:rPr>
              <w:br w:type="textWrapping"/>
            </w:r>
            <w:r>
              <w:rPr>
                <w:rFonts w:hint="eastAsia" w:ascii="仿宋" w:hAnsi="仿宋" w:eastAsia="仿宋" w:cs="仿宋"/>
                <w:kern w:val="0"/>
                <w:sz w:val="24"/>
              </w:rPr>
              <w:t>（5分）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预期服务对象对项目实施的满意度</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5</w:t>
            </w:r>
          </w:p>
        </w:tc>
      </w:tr>
      <w:tr>
        <w:tblPrEx>
          <w:tblCellMar>
            <w:top w:w="0" w:type="dxa"/>
            <w:left w:w="108" w:type="dxa"/>
            <w:bottom w:w="0" w:type="dxa"/>
            <w:right w:w="108" w:type="dxa"/>
          </w:tblCellMar>
        </w:tblPrEx>
        <w:trPr>
          <w:trHeight w:val="696" w:hRule="atLeast"/>
          <w:jc w:val="center"/>
        </w:trPr>
        <w:tc>
          <w:tcPr>
            <w:tcW w:w="788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合计</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100</w:t>
            </w:r>
          </w:p>
        </w:tc>
      </w:tr>
    </w:tbl>
    <w:p>
      <w:pPr>
        <w:adjustRightInd w:val="0"/>
        <w:snapToGrid w:val="0"/>
        <w:spacing w:before="312" w:beforeLines="100" w:line="360" w:lineRule="auto"/>
        <w:ind w:firstLine="640" w:firstLineChars="200"/>
        <w:rPr>
          <w:rFonts w:ascii="仿宋" w:hAnsi="仿宋" w:eastAsia="仿宋" w:cs="仿宋"/>
          <w:sz w:val="32"/>
          <w:szCs w:val="32"/>
        </w:rPr>
      </w:pPr>
      <w:r>
        <w:rPr>
          <w:rFonts w:hint="eastAsia" w:ascii="仿宋" w:hAnsi="仿宋" w:eastAsia="仿宋" w:cs="仿宋"/>
          <w:sz w:val="32"/>
          <w:szCs w:val="32"/>
        </w:rPr>
        <w:t>5.评价方法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本次绩效评价主要采用综合评价与现场勘查相结合的评价方式，采取成本效益分析法、比较法、因素分析法、最低成本法、公众评判法、标杆管理法等绩效评价方法。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（1）成本效益分析法。是指将投入与产出、效益进行关联性分析的方法。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（2）比较法。是指将实施情况与绩效目标、历史情况、不同部门和地区同类支出情况进行比较的方法。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（3）因素分析法。是指综合分析影响绩效目标实现、实施效果的内外部因素的方法。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（4）最低成本法。是指在绩效目标确定的前提下，成本最小者为优的方法。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（5）公众评判法。是指通过专家评估、公众问卷及抽样调查的方式进行评判的方法。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（6）标杆管理法。是指以国内外同行业中较高的绩效水平为标杆进行评判的方法。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6.评价标准</w:t>
      </w:r>
    </w:p>
    <w:p>
      <w:pPr>
        <w:pStyle w:val="2"/>
        <w:adjustRightInd w:val="0"/>
        <w:snapToGrid w:val="0"/>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绩效评价标准采取评分和评级相结合的方式，总分设置为100分，等级划分为4个等级：</w:t>
      </w:r>
    </w:p>
    <w:p>
      <w:pPr>
        <w:pStyle w:val="2"/>
        <w:adjustRightInd w:val="0"/>
        <w:snapToGrid w:val="0"/>
        <w:spacing w:after="0"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90（含）-100分为优；</w:t>
      </w:r>
    </w:p>
    <w:p>
      <w:pPr>
        <w:pStyle w:val="2"/>
        <w:adjustRightInd w:val="0"/>
        <w:snapToGrid w:val="0"/>
        <w:spacing w:after="0"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80（含）-90分为良；</w:t>
      </w:r>
    </w:p>
    <w:p>
      <w:pPr>
        <w:pStyle w:val="2"/>
        <w:adjustRightInd w:val="0"/>
        <w:snapToGrid w:val="0"/>
        <w:spacing w:after="0"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60（含）-80分为中；</w:t>
      </w:r>
    </w:p>
    <w:p>
      <w:pPr>
        <w:pStyle w:val="2"/>
        <w:adjustRightInd w:val="0"/>
        <w:snapToGrid w:val="0"/>
        <w:spacing w:after="0"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60分以下为差。</w:t>
      </w:r>
    </w:p>
    <w:p>
      <w:pPr>
        <w:adjustRightInd w:val="0"/>
        <w:snapToGrid w:val="0"/>
        <w:spacing w:line="360" w:lineRule="auto"/>
        <w:ind w:firstLine="643" w:firstLineChars="200"/>
        <w:outlineLvl w:val="1"/>
        <w:rPr>
          <w:rFonts w:ascii="仿宋" w:hAnsi="仿宋" w:eastAsia="仿宋" w:cs="仿宋"/>
          <w:b/>
          <w:bCs/>
          <w:sz w:val="32"/>
          <w:szCs w:val="32"/>
        </w:rPr>
      </w:pPr>
      <w:bookmarkStart w:id="9" w:name="_Toc24596"/>
      <w:bookmarkStart w:id="10" w:name="_Toc21549"/>
      <w:r>
        <w:rPr>
          <w:rFonts w:hint="eastAsia" w:ascii="仿宋" w:hAnsi="仿宋" w:eastAsia="仿宋" w:cs="仿宋"/>
          <w:b/>
          <w:bCs/>
          <w:sz w:val="32"/>
          <w:szCs w:val="32"/>
        </w:rPr>
        <w:t>（二）绩效</w:t>
      </w:r>
      <w:bookmarkStart w:id="11" w:name="二"/>
      <w:bookmarkEnd w:id="11"/>
      <w:r>
        <w:rPr>
          <w:rFonts w:hint="eastAsia" w:ascii="仿宋" w:hAnsi="仿宋" w:eastAsia="仿宋" w:cs="仿宋"/>
          <w:b/>
          <w:bCs/>
          <w:sz w:val="32"/>
          <w:szCs w:val="32"/>
        </w:rPr>
        <w:t>评价工作过程</w:t>
      </w:r>
      <w:bookmarkEnd w:id="9"/>
      <w:bookmarkEnd w:id="10"/>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绩效评价工作程序主要分为前期准备阶段、评价实施阶段、总结阶段三个阶段。</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1.前期准备阶段</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2023年4月，市社科联与北京中玉天晟会计师事务所有限责任公司共同组建绩效评价工作小组。绩效评价工作小组明确每名成员的职责及分工，并对绩效评价工作小组进行了业务培训。</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2.评价实施阶段</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（1）开展基本情况调研。绩效评价工作小组通过往来函询等方式对该项目的预算、批复、支出、项目管理等进行调研，初步收集项目相关信息资料，辅导市社科联完善有关绩效评价资料等。 </w:t>
      </w:r>
    </w:p>
    <w:p>
      <w:pPr>
        <w:adjustRightInd w:val="0"/>
        <w:snapToGrid w:val="0"/>
        <w:spacing w:line="360" w:lineRule="auto"/>
        <w:ind w:firstLine="640" w:firstLineChars="200"/>
        <w:rPr>
          <w:rFonts w:ascii="仿宋" w:hAnsi="仿宋" w:eastAsia="仿宋" w:cs="仿宋"/>
          <w:kern w:val="0"/>
          <w:sz w:val="32"/>
          <w:szCs w:val="32"/>
          <w:lang w:bidi="ar"/>
        </w:rPr>
      </w:pPr>
      <w:r>
        <w:rPr>
          <w:rFonts w:hint="eastAsia" w:ascii="仿宋" w:hAnsi="仿宋" w:eastAsia="仿宋" w:cs="仿宋"/>
          <w:sz w:val="32"/>
          <w:szCs w:val="32"/>
        </w:rPr>
        <w:t>（2）收集并复核项目资料。绩效评价工作小组结合项目绩效评价资料准备</w:t>
      </w:r>
      <w:r>
        <w:rPr>
          <w:rFonts w:hint="eastAsia" w:ascii="仿宋" w:hAnsi="仿宋" w:eastAsia="仿宋" w:cs="仿宋"/>
          <w:kern w:val="0"/>
          <w:sz w:val="32"/>
          <w:szCs w:val="32"/>
          <w:lang w:bidi="ar"/>
        </w:rPr>
        <w:t xml:space="preserve">清单，收集了与该项目相关的决策、过程、产出和效益等方面的资料，再按照项目支出绩效目标实现情况，对资料的完整性、准确性等进行逐一复核。 </w:t>
      </w:r>
    </w:p>
    <w:p>
      <w:pPr>
        <w:widowControl/>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kern w:val="0"/>
          <w:sz w:val="32"/>
          <w:szCs w:val="32"/>
          <w:lang w:bidi="ar"/>
        </w:rPr>
        <w:t>（3）遴选专家，组建专家组。绩效评价工作小组依据客观、公正的原则，结合项目特点，遴选 2 名管理专家、1 名财务专家和2名业务专家，组建专家组。</w:t>
      </w:r>
    </w:p>
    <w:p>
      <w:pPr>
        <w:widowControl/>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kern w:val="0"/>
          <w:sz w:val="32"/>
          <w:szCs w:val="32"/>
          <w:lang w:bidi="ar"/>
        </w:rPr>
        <w:t xml:space="preserve">（4）绩效评价工作小组和专家组共同制定评价重点、评价指标体系框架和评分方法、评价进度等事项。 </w:t>
      </w:r>
    </w:p>
    <w:p>
      <w:pPr>
        <w:widowControl/>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kern w:val="0"/>
          <w:sz w:val="32"/>
          <w:szCs w:val="32"/>
          <w:lang w:bidi="ar"/>
        </w:rPr>
        <w:t xml:space="preserve">（5）编制专家手册。围绕评价指标体系和评价重点，绩效评价工作小组对资料进行分析、归集、整理，装订成册，形成专家资料手册，提供给专家组审阅评议。 </w:t>
      </w:r>
    </w:p>
    <w:p>
      <w:pPr>
        <w:widowControl/>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kern w:val="0"/>
          <w:sz w:val="32"/>
          <w:szCs w:val="32"/>
          <w:lang w:bidi="ar"/>
        </w:rPr>
        <w:t>（6）</w:t>
      </w:r>
      <w:r>
        <w:rPr>
          <w:rFonts w:hint="eastAsia" w:ascii="仿宋" w:hAnsi="仿宋" w:eastAsia="仿宋" w:cs="仿宋_GB2312"/>
          <w:sz w:val="32"/>
          <w:szCs w:val="32"/>
          <w:lang w:val="en-US" w:eastAsia="zh-CN"/>
        </w:rPr>
        <w:t>召开绩效评价专家会</w:t>
      </w:r>
      <w:r>
        <w:rPr>
          <w:rFonts w:hint="eastAsia" w:ascii="仿宋" w:hAnsi="仿宋" w:eastAsia="仿宋" w:cs="仿宋_GB2312"/>
          <w:sz w:val="32"/>
          <w:szCs w:val="32"/>
          <w:highlight w:val="none"/>
        </w:rPr>
        <w:t>。绩效评价工作小组组织专家召开</w:t>
      </w:r>
      <w:r>
        <w:rPr>
          <w:rFonts w:hint="eastAsia" w:ascii="仿宋" w:hAnsi="仿宋" w:eastAsia="仿宋" w:cs="仿宋_GB2312"/>
          <w:sz w:val="32"/>
          <w:szCs w:val="32"/>
          <w:highlight w:val="none"/>
          <w:lang w:val="en-US" w:eastAsia="zh-CN"/>
        </w:rPr>
        <w:t>绩效评价专家</w:t>
      </w:r>
      <w:r>
        <w:rPr>
          <w:rFonts w:hint="eastAsia" w:ascii="仿宋" w:hAnsi="仿宋" w:eastAsia="仿宋" w:cs="仿宋_GB2312"/>
          <w:sz w:val="32"/>
          <w:szCs w:val="32"/>
          <w:highlight w:val="none"/>
        </w:rPr>
        <w:t>会。会议主要内容包括：</w:t>
      </w:r>
      <w:r>
        <w:rPr>
          <w:rFonts w:hint="eastAsia" w:ascii="仿宋" w:hAnsi="仿宋" w:eastAsia="仿宋" w:cs="仿宋_GB2312"/>
          <w:sz w:val="32"/>
          <w:szCs w:val="32"/>
          <w:highlight w:val="none"/>
          <w:lang w:val="en-US" w:eastAsia="zh-CN"/>
        </w:rPr>
        <w:t>市社科联</w:t>
      </w:r>
      <w:r>
        <w:rPr>
          <w:rFonts w:hint="eastAsia" w:ascii="仿宋" w:hAnsi="仿宋" w:eastAsia="仿宋" w:cs="仿宋_GB2312"/>
          <w:sz w:val="32"/>
          <w:szCs w:val="32"/>
          <w:highlight w:val="none"/>
        </w:rPr>
        <w:t>对</w:t>
      </w:r>
      <w:r>
        <w:rPr>
          <w:rFonts w:hint="eastAsia" w:ascii="仿宋" w:hAnsi="仿宋" w:eastAsia="仿宋" w:cs="仿宋_GB2312"/>
          <w:sz w:val="32"/>
          <w:szCs w:val="32"/>
          <w:highlight w:val="none"/>
          <w:lang w:val="en-US" w:eastAsia="zh-CN"/>
        </w:rPr>
        <w:t>该项目</w:t>
      </w:r>
      <w:r>
        <w:rPr>
          <w:rFonts w:hint="eastAsia" w:ascii="仿宋" w:hAnsi="仿宋" w:eastAsia="仿宋" w:cs="仿宋_GB2312"/>
          <w:sz w:val="32"/>
          <w:szCs w:val="32"/>
          <w:highlight w:val="none"/>
        </w:rPr>
        <w:t>202</w:t>
      </w:r>
      <w:r>
        <w:rPr>
          <w:rFonts w:hint="eastAsia" w:ascii="仿宋" w:hAnsi="仿宋" w:eastAsia="仿宋" w:cs="仿宋_GB2312"/>
          <w:sz w:val="32"/>
          <w:szCs w:val="32"/>
          <w:highlight w:val="none"/>
          <w:lang w:val="en-US" w:eastAsia="zh-CN"/>
        </w:rPr>
        <w:t>2</w:t>
      </w:r>
      <w:r>
        <w:rPr>
          <w:rFonts w:hint="eastAsia" w:ascii="仿宋" w:hAnsi="仿宋" w:eastAsia="仿宋" w:cs="仿宋_GB2312"/>
          <w:sz w:val="32"/>
          <w:szCs w:val="32"/>
          <w:highlight w:val="none"/>
        </w:rPr>
        <w:t>年支出绩效情况进行汇报；专家组就汇报中的问题进行提问；专家组查阅补充资料文件；专家组组长组织专家进行充分讨论，形成最终的专家评价书和专家意见汇总书</w:t>
      </w:r>
      <w:r>
        <w:rPr>
          <w:rFonts w:hint="eastAsia" w:ascii="仿宋" w:hAnsi="仿宋" w:eastAsia="仿宋" w:cs="仿宋"/>
          <w:kern w:val="0"/>
          <w:sz w:val="32"/>
          <w:szCs w:val="32"/>
          <w:lang w:bidi="ar"/>
        </w:rPr>
        <w:t xml:space="preserve">。 </w:t>
      </w:r>
    </w:p>
    <w:p>
      <w:pPr>
        <w:widowControl/>
        <w:adjustRightInd w:val="0"/>
        <w:snapToGrid w:val="0"/>
        <w:spacing w:line="360" w:lineRule="auto"/>
        <w:ind w:firstLine="640" w:firstLineChars="200"/>
        <w:jc w:val="left"/>
        <w:rPr>
          <w:rFonts w:ascii="仿宋" w:hAnsi="仿宋" w:eastAsia="仿宋" w:cs="仿宋"/>
          <w:sz w:val="32"/>
          <w:szCs w:val="32"/>
        </w:rPr>
      </w:pPr>
      <w:r>
        <w:rPr>
          <w:rFonts w:hint="eastAsia" w:ascii="仿宋" w:hAnsi="仿宋" w:eastAsia="仿宋" w:cs="仿宋"/>
          <w:kern w:val="0"/>
          <w:sz w:val="32"/>
          <w:szCs w:val="32"/>
          <w:lang w:bidi="ar"/>
        </w:rPr>
        <w:t xml:space="preserve">3.评价总结阶段 </w:t>
      </w:r>
    </w:p>
    <w:p>
      <w:pPr>
        <w:widowControl/>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kern w:val="0"/>
          <w:sz w:val="32"/>
          <w:szCs w:val="32"/>
          <w:lang w:bidi="ar"/>
        </w:rPr>
        <w:t xml:space="preserve">（1）撰写绩效评价报告。绩效评价工作小组在专家组提出评价意见和建议后，汇总专家评分，确定绩效级别。同时结合专家组的评价意见，撰写该项目的绩效评价报告。 </w:t>
      </w:r>
    </w:p>
    <w:p>
      <w:pPr>
        <w:widowControl/>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kern w:val="0"/>
          <w:sz w:val="32"/>
          <w:szCs w:val="32"/>
          <w:lang w:bidi="ar"/>
        </w:rPr>
        <w:t xml:space="preserve">（2）修改和完善绩效评价报告。绩效评价工作小组将绩效评价报告与市社科联沟通，形成初步评价意见。 </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（3）形成正式绩效评价报告。绩效评价工作小组在市社科联反馈意见的基础上，对绩效评价报告进行修改和完善，形成正式绩效评价报告。</w:t>
      </w:r>
    </w:p>
    <w:bookmarkEnd w:id="5"/>
    <w:p>
      <w:pPr>
        <w:numPr>
          <w:ilvl w:val="0"/>
          <w:numId w:val="2"/>
        </w:numPr>
        <w:adjustRightInd w:val="0"/>
        <w:snapToGrid w:val="0"/>
        <w:spacing w:line="360" w:lineRule="auto"/>
        <w:ind w:firstLine="643" w:firstLineChars="200"/>
        <w:outlineLvl w:val="0"/>
        <w:rPr>
          <w:rFonts w:ascii="黑体" w:hAnsi="黑体" w:eastAsia="黑体" w:cs="黑体"/>
          <w:b/>
          <w:bCs/>
          <w:sz w:val="32"/>
          <w:szCs w:val="32"/>
        </w:rPr>
      </w:pPr>
      <w:bookmarkStart w:id="12" w:name="_Toc15770"/>
      <w:r>
        <w:rPr>
          <w:rFonts w:hint="eastAsia" w:ascii="黑体" w:hAnsi="黑体" w:eastAsia="黑体" w:cs="黑体"/>
          <w:b/>
          <w:bCs/>
          <w:sz w:val="32"/>
          <w:szCs w:val="32"/>
        </w:rPr>
        <w:t>综合评价情况及评价结论</w:t>
      </w:r>
      <w:bookmarkEnd w:id="12"/>
    </w:p>
    <w:p>
      <w:pPr>
        <w:adjustRightInd w:val="0"/>
        <w:snapToGrid w:val="0"/>
        <w:spacing w:line="360" w:lineRule="auto"/>
        <w:ind w:firstLine="640" w:firstLineChars="200"/>
        <w:rPr>
          <w:rFonts w:ascii="仿宋" w:hAnsi="仿宋" w:eastAsia="仿宋" w:cs="仿宋"/>
          <w:color w:val="0000FF"/>
          <w:sz w:val="32"/>
          <w:szCs w:val="32"/>
        </w:rPr>
      </w:pPr>
      <w:r>
        <w:rPr>
          <w:rFonts w:hint="eastAsia" w:ascii="仿宋" w:hAnsi="仿宋" w:eastAsia="仿宋" w:cs="仿宋"/>
          <w:sz w:val="32"/>
          <w:szCs w:val="32"/>
        </w:rPr>
        <w:t>该项目立项依据较为充分，符合国家和北京市相关政策，符合部门职能定位</w:t>
      </w:r>
      <w:r>
        <w:rPr>
          <w:rFonts w:hint="eastAsia" w:ascii="仿宋" w:hAnsi="仿宋" w:eastAsia="仿宋" w:cs="仿宋"/>
          <w:sz w:val="32"/>
          <w:szCs w:val="32"/>
          <w:lang w:eastAsia="zh-CN"/>
        </w:rPr>
        <w:t>，</w:t>
      </w:r>
      <w:r>
        <w:rPr>
          <w:rFonts w:hint="eastAsia" w:ascii="仿宋" w:hAnsi="仿宋" w:eastAsia="仿宋" w:cs="仿宋"/>
          <w:sz w:val="32"/>
          <w:szCs w:val="32"/>
        </w:rPr>
        <w:t>财务支出</w:t>
      </w:r>
      <w:r>
        <w:rPr>
          <w:rFonts w:hint="eastAsia" w:ascii="仿宋" w:hAnsi="仿宋" w:eastAsia="仿宋" w:cs="仿宋"/>
          <w:sz w:val="32"/>
          <w:szCs w:val="32"/>
          <w:lang w:val="en-US" w:eastAsia="zh-CN"/>
        </w:rPr>
        <w:t>和项目管理</w:t>
      </w:r>
      <w:r>
        <w:rPr>
          <w:rFonts w:hint="eastAsia" w:ascii="仿宋" w:hAnsi="仿宋" w:eastAsia="仿宋" w:cs="仿宋"/>
          <w:sz w:val="32"/>
          <w:szCs w:val="32"/>
        </w:rPr>
        <w:t>较为规范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效益情况较好</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但是，该项目</w:t>
      </w:r>
      <w:r>
        <w:rPr>
          <w:rFonts w:hint="eastAsia" w:ascii="仿宋" w:hAnsi="仿宋" w:eastAsia="仿宋" w:cs="仿宋"/>
          <w:sz w:val="32"/>
          <w:szCs w:val="32"/>
        </w:rPr>
        <w:t>在整体规划设计、项目</w:t>
      </w:r>
      <w:r>
        <w:rPr>
          <w:rFonts w:hint="eastAsia" w:ascii="仿宋" w:hAnsi="仿宋" w:eastAsia="仿宋" w:cs="仿宋"/>
          <w:sz w:val="32"/>
          <w:szCs w:val="32"/>
          <w:lang w:val="en-US" w:eastAsia="zh-CN"/>
        </w:rPr>
        <w:t>实施方案制定</w:t>
      </w:r>
      <w:r>
        <w:rPr>
          <w:rFonts w:hint="eastAsia" w:ascii="仿宋" w:hAnsi="仿宋" w:eastAsia="仿宋" w:cs="仿宋"/>
          <w:sz w:val="32"/>
          <w:szCs w:val="32"/>
        </w:rPr>
        <w:t>、绩效成果资料归集等方面还有可提升的空间。</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该项目支出绩效评价得分85.64分，其中项目决策13.12分，项目过程26.82分，项目产出25.00分，项目效益20.70分，绩效评定结论为“良”，具体情况见下表：</w:t>
      </w:r>
    </w:p>
    <w:p>
      <w:pPr>
        <w:adjustRightInd w:val="0"/>
        <w:snapToGrid w:val="0"/>
        <w:spacing w:before="156" w:beforeLines="50"/>
        <w:ind w:firstLine="562" w:firstLineChars="200"/>
        <w:jc w:val="center"/>
        <w:rPr>
          <w:rFonts w:ascii="仿宋" w:hAnsi="仿宋" w:eastAsia="仿宋"/>
          <w:b/>
          <w:kern w:val="0"/>
          <w:sz w:val="28"/>
          <w:szCs w:val="28"/>
        </w:rPr>
      </w:pPr>
      <w:r>
        <w:rPr>
          <w:rFonts w:hint="eastAsia" w:ascii="仿宋" w:hAnsi="仿宋" w:eastAsia="仿宋"/>
          <w:b/>
          <w:kern w:val="0"/>
          <w:sz w:val="28"/>
          <w:szCs w:val="28"/>
        </w:rPr>
        <w:t>学会、民办社科研究机构和社科类基金会管理业务经费</w:t>
      </w:r>
    </w:p>
    <w:p>
      <w:pPr>
        <w:adjustRightInd w:val="0"/>
        <w:snapToGrid w:val="0"/>
        <w:spacing w:before="156" w:beforeLines="50"/>
        <w:ind w:firstLine="562" w:firstLineChars="200"/>
        <w:jc w:val="center"/>
        <w:rPr>
          <w:rFonts w:ascii="仿宋" w:hAnsi="仿宋" w:eastAsia="仿宋" w:cs="仿宋"/>
          <w:sz w:val="32"/>
          <w:szCs w:val="32"/>
        </w:rPr>
      </w:pPr>
      <w:r>
        <w:rPr>
          <w:rFonts w:hint="eastAsia" w:ascii="仿宋" w:hAnsi="仿宋" w:eastAsia="仿宋"/>
          <w:b/>
          <w:kern w:val="0"/>
          <w:sz w:val="28"/>
          <w:szCs w:val="28"/>
        </w:rPr>
        <w:t>项目支出绩效评价结论表</w:t>
      </w:r>
    </w:p>
    <w:tbl>
      <w:tblPr>
        <w:tblStyle w:val="13"/>
        <w:tblW w:w="89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1"/>
        <w:gridCol w:w="2664"/>
        <w:gridCol w:w="3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blHeader/>
        </w:trPr>
        <w:tc>
          <w:tcPr>
            <w:tcW w:w="2861" w:type="dxa"/>
            <w:vAlign w:val="center"/>
          </w:tcPr>
          <w:p>
            <w:pPr>
              <w:spacing w:line="360" w:lineRule="auto"/>
              <w:jc w:val="center"/>
              <w:rPr>
                <w:rFonts w:ascii="仿宋" w:hAnsi="仿宋" w:eastAsia="仿宋" w:cs="仿宋"/>
                <w:b/>
                <w:bCs/>
                <w:sz w:val="24"/>
              </w:rPr>
            </w:pPr>
            <w:r>
              <w:rPr>
                <w:rFonts w:hint="eastAsia" w:ascii="仿宋" w:hAnsi="仿宋" w:eastAsia="仿宋" w:cs="仿宋"/>
                <w:b/>
                <w:bCs/>
                <w:sz w:val="24"/>
              </w:rPr>
              <w:t>评价内容</w:t>
            </w:r>
          </w:p>
        </w:tc>
        <w:tc>
          <w:tcPr>
            <w:tcW w:w="2664" w:type="dxa"/>
            <w:vAlign w:val="center"/>
          </w:tcPr>
          <w:p>
            <w:pPr>
              <w:spacing w:line="360" w:lineRule="auto"/>
              <w:jc w:val="center"/>
              <w:rPr>
                <w:rFonts w:ascii="仿宋" w:hAnsi="仿宋" w:eastAsia="仿宋" w:cs="仿宋"/>
                <w:b/>
                <w:bCs/>
                <w:sz w:val="24"/>
              </w:rPr>
            </w:pPr>
            <w:r>
              <w:rPr>
                <w:rFonts w:hint="eastAsia" w:ascii="仿宋" w:hAnsi="仿宋" w:eastAsia="仿宋" w:cs="仿宋"/>
                <w:b/>
                <w:bCs/>
                <w:sz w:val="24"/>
              </w:rPr>
              <w:t>分值</w:t>
            </w:r>
          </w:p>
        </w:tc>
        <w:tc>
          <w:tcPr>
            <w:tcW w:w="3413" w:type="dxa"/>
            <w:vAlign w:val="center"/>
          </w:tcPr>
          <w:p>
            <w:pPr>
              <w:spacing w:line="360" w:lineRule="auto"/>
              <w:jc w:val="center"/>
              <w:rPr>
                <w:rFonts w:ascii="仿宋" w:hAnsi="仿宋" w:eastAsia="仿宋" w:cs="仿宋"/>
                <w:b/>
                <w:bCs/>
                <w:sz w:val="24"/>
              </w:rPr>
            </w:pPr>
            <w:r>
              <w:rPr>
                <w:rFonts w:hint="eastAsia" w:ascii="仿宋" w:hAnsi="仿宋" w:eastAsia="仿宋" w:cs="仿宋"/>
                <w:b/>
                <w:bCs/>
                <w:sz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861" w:type="dxa"/>
            <w:vAlign w:val="center"/>
          </w:tcPr>
          <w:p>
            <w:pPr>
              <w:spacing w:line="360" w:lineRule="auto"/>
              <w:jc w:val="center"/>
              <w:rPr>
                <w:rFonts w:ascii="仿宋" w:hAnsi="仿宋" w:eastAsia="仿宋" w:cs="仿宋"/>
                <w:sz w:val="24"/>
              </w:rPr>
            </w:pPr>
            <w:r>
              <w:rPr>
                <w:rFonts w:hint="eastAsia" w:ascii="仿宋" w:hAnsi="仿宋" w:eastAsia="仿宋" w:cs="仿宋"/>
                <w:sz w:val="24"/>
              </w:rPr>
              <w:t>项目决策</w:t>
            </w:r>
          </w:p>
        </w:tc>
        <w:tc>
          <w:tcPr>
            <w:tcW w:w="2664" w:type="dxa"/>
            <w:vAlign w:val="center"/>
          </w:tcPr>
          <w:p>
            <w:pPr>
              <w:spacing w:line="360" w:lineRule="auto"/>
              <w:jc w:val="center"/>
              <w:rPr>
                <w:rFonts w:ascii="仿宋" w:hAnsi="仿宋" w:eastAsia="仿宋" w:cs="仿宋"/>
                <w:sz w:val="24"/>
              </w:rPr>
            </w:pPr>
            <w:r>
              <w:rPr>
                <w:rFonts w:hint="eastAsia" w:ascii="仿宋" w:hAnsi="仿宋" w:eastAsia="仿宋" w:cs="仿宋"/>
                <w:sz w:val="24"/>
              </w:rPr>
              <w:t>15</w:t>
            </w:r>
          </w:p>
        </w:tc>
        <w:tc>
          <w:tcPr>
            <w:tcW w:w="3413" w:type="dxa"/>
            <w:vAlign w:val="center"/>
          </w:tcPr>
          <w:p>
            <w:pPr>
              <w:spacing w:line="360" w:lineRule="auto"/>
              <w:jc w:val="center"/>
              <w:rPr>
                <w:rFonts w:ascii="仿宋" w:hAnsi="仿宋" w:eastAsia="仿宋" w:cs="仿宋"/>
                <w:sz w:val="24"/>
              </w:rPr>
            </w:pPr>
            <w:r>
              <w:rPr>
                <w:rFonts w:hint="eastAsia" w:ascii="仿宋" w:hAnsi="仿宋" w:eastAsia="仿宋" w:cs="仿宋"/>
                <w:sz w:val="24"/>
              </w:rPr>
              <w:t>13.12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861" w:type="dxa"/>
            <w:vAlign w:val="center"/>
          </w:tcPr>
          <w:p>
            <w:pPr>
              <w:spacing w:line="360" w:lineRule="auto"/>
              <w:jc w:val="center"/>
              <w:rPr>
                <w:rFonts w:ascii="仿宋" w:hAnsi="仿宋" w:eastAsia="仿宋" w:cs="仿宋"/>
                <w:sz w:val="24"/>
              </w:rPr>
            </w:pPr>
            <w:r>
              <w:rPr>
                <w:rFonts w:hint="eastAsia" w:ascii="仿宋" w:hAnsi="仿宋" w:eastAsia="仿宋" w:cs="仿宋"/>
                <w:sz w:val="24"/>
              </w:rPr>
              <w:t>项目过程</w:t>
            </w:r>
          </w:p>
        </w:tc>
        <w:tc>
          <w:tcPr>
            <w:tcW w:w="2664" w:type="dxa"/>
            <w:vAlign w:val="center"/>
          </w:tcPr>
          <w:p>
            <w:pPr>
              <w:spacing w:line="360" w:lineRule="auto"/>
              <w:jc w:val="center"/>
              <w:rPr>
                <w:rFonts w:ascii="仿宋" w:hAnsi="仿宋" w:eastAsia="仿宋" w:cs="仿宋"/>
                <w:sz w:val="24"/>
              </w:rPr>
            </w:pPr>
            <w:r>
              <w:rPr>
                <w:rFonts w:hint="eastAsia" w:ascii="仿宋" w:hAnsi="仿宋" w:eastAsia="仿宋" w:cs="仿宋"/>
                <w:sz w:val="24"/>
              </w:rPr>
              <w:t>30</w:t>
            </w:r>
          </w:p>
        </w:tc>
        <w:tc>
          <w:tcPr>
            <w:tcW w:w="3413" w:type="dxa"/>
            <w:vAlign w:val="center"/>
          </w:tcPr>
          <w:p>
            <w:pPr>
              <w:spacing w:line="360" w:lineRule="auto"/>
              <w:jc w:val="center"/>
              <w:rPr>
                <w:rFonts w:ascii="仿宋" w:hAnsi="仿宋" w:eastAsia="仿宋" w:cs="仿宋"/>
                <w:sz w:val="24"/>
              </w:rPr>
            </w:pPr>
            <w:r>
              <w:rPr>
                <w:rFonts w:hint="eastAsia" w:ascii="仿宋" w:hAnsi="仿宋" w:eastAsia="仿宋" w:cs="仿宋"/>
                <w:sz w:val="24"/>
              </w:rPr>
              <w:t>26.82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861" w:type="dxa"/>
            <w:vAlign w:val="center"/>
          </w:tcPr>
          <w:p>
            <w:pPr>
              <w:spacing w:line="360" w:lineRule="auto"/>
              <w:jc w:val="center"/>
              <w:rPr>
                <w:rFonts w:ascii="仿宋" w:hAnsi="仿宋" w:eastAsia="仿宋" w:cs="仿宋"/>
                <w:sz w:val="24"/>
              </w:rPr>
            </w:pPr>
            <w:r>
              <w:rPr>
                <w:rFonts w:hint="eastAsia" w:ascii="仿宋" w:hAnsi="仿宋" w:eastAsia="仿宋" w:cs="仿宋"/>
                <w:sz w:val="24"/>
              </w:rPr>
              <w:t>项目产出</w:t>
            </w:r>
          </w:p>
        </w:tc>
        <w:tc>
          <w:tcPr>
            <w:tcW w:w="2664" w:type="dxa"/>
            <w:vAlign w:val="center"/>
          </w:tcPr>
          <w:p>
            <w:pPr>
              <w:spacing w:line="360" w:lineRule="auto"/>
              <w:jc w:val="center"/>
              <w:rPr>
                <w:rFonts w:ascii="仿宋" w:hAnsi="仿宋" w:eastAsia="仿宋" w:cs="仿宋"/>
                <w:sz w:val="24"/>
              </w:rPr>
            </w:pPr>
            <w:r>
              <w:rPr>
                <w:rFonts w:hint="eastAsia" w:ascii="仿宋" w:hAnsi="仿宋" w:eastAsia="仿宋" w:cs="仿宋"/>
                <w:sz w:val="24"/>
              </w:rPr>
              <w:t>30</w:t>
            </w:r>
          </w:p>
        </w:tc>
        <w:tc>
          <w:tcPr>
            <w:tcW w:w="3413" w:type="dxa"/>
            <w:vAlign w:val="center"/>
          </w:tcPr>
          <w:p>
            <w:pPr>
              <w:spacing w:line="360" w:lineRule="auto"/>
              <w:jc w:val="center"/>
              <w:rPr>
                <w:rFonts w:ascii="仿宋" w:hAnsi="仿宋" w:eastAsia="仿宋" w:cs="仿宋"/>
                <w:sz w:val="24"/>
              </w:rPr>
            </w:pPr>
            <w:r>
              <w:rPr>
                <w:rFonts w:hint="eastAsia" w:ascii="仿宋" w:hAnsi="仿宋" w:eastAsia="仿宋" w:cs="仿宋"/>
                <w:sz w:val="24"/>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861" w:type="dxa"/>
            <w:vAlign w:val="center"/>
          </w:tcPr>
          <w:p>
            <w:pPr>
              <w:spacing w:line="360" w:lineRule="auto"/>
              <w:jc w:val="center"/>
              <w:rPr>
                <w:rFonts w:ascii="仿宋" w:hAnsi="仿宋" w:eastAsia="仿宋" w:cs="仿宋"/>
                <w:sz w:val="24"/>
              </w:rPr>
            </w:pPr>
            <w:r>
              <w:rPr>
                <w:rFonts w:hint="eastAsia" w:ascii="仿宋" w:hAnsi="仿宋" w:eastAsia="仿宋" w:cs="仿宋"/>
                <w:sz w:val="24"/>
              </w:rPr>
              <w:t>项目效益</w:t>
            </w:r>
          </w:p>
        </w:tc>
        <w:tc>
          <w:tcPr>
            <w:tcW w:w="2664" w:type="dxa"/>
            <w:vAlign w:val="center"/>
          </w:tcPr>
          <w:p>
            <w:pPr>
              <w:spacing w:line="360" w:lineRule="auto"/>
              <w:jc w:val="center"/>
              <w:rPr>
                <w:rFonts w:ascii="仿宋" w:hAnsi="仿宋" w:eastAsia="仿宋" w:cs="仿宋"/>
                <w:sz w:val="24"/>
              </w:rPr>
            </w:pPr>
            <w:r>
              <w:rPr>
                <w:rFonts w:hint="eastAsia" w:ascii="仿宋" w:hAnsi="仿宋" w:eastAsia="仿宋" w:cs="仿宋"/>
                <w:sz w:val="24"/>
              </w:rPr>
              <w:t>25</w:t>
            </w:r>
          </w:p>
        </w:tc>
        <w:tc>
          <w:tcPr>
            <w:tcW w:w="3413" w:type="dxa"/>
            <w:vAlign w:val="center"/>
          </w:tcPr>
          <w:p>
            <w:pPr>
              <w:spacing w:line="360" w:lineRule="auto"/>
              <w:jc w:val="center"/>
              <w:rPr>
                <w:rFonts w:ascii="仿宋" w:hAnsi="仿宋" w:eastAsia="仿宋" w:cs="仿宋"/>
                <w:sz w:val="24"/>
              </w:rPr>
            </w:pPr>
            <w:r>
              <w:rPr>
                <w:rFonts w:hint="eastAsia" w:ascii="仿宋" w:hAnsi="仿宋" w:eastAsia="仿宋" w:cs="仿宋"/>
                <w:sz w:val="24"/>
              </w:rPr>
              <w:t>20.70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861" w:type="dxa"/>
            <w:vAlign w:val="center"/>
          </w:tcPr>
          <w:p>
            <w:pPr>
              <w:spacing w:line="360" w:lineRule="auto"/>
              <w:jc w:val="center"/>
              <w:rPr>
                <w:rFonts w:ascii="仿宋" w:hAnsi="仿宋" w:eastAsia="仿宋" w:cs="仿宋"/>
                <w:b/>
                <w:bCs/>
                <w:sz w:val="24"/>
              </w:rPr>
            </w:pPr>
            <w:r>
              <w:rPr>
                <w:rFonts w:hint="eastAsia" w:ascii="仿宋" w:hAnsi="仿宋" w:eastAsia="仿宋" w:cs="仿宋"/>
                <w:b/>
                <w:bCs/>
                <w:sz w:val="24"/>
              </w:rPr>
              <w:t>综合得分</w:t>
            </w:r>
          </w:p>
        </w:tc>
        <w:tc>
          <w:tcPr>
            <w:tcW w:w="2664" w:type="dxa"/>
            <w:vAlign w:val="center"/>
          </w:tcPr>
          <w:p>
            <w:pPr>
              <w:spacing w:line="360" w:lineRule="auto"/>
              <w:jc w:val="center"/>
              <w:rPr>
                <w:rFonts w:ascii="仿宋" w:hAnsi="仿宋" w:eastAsia="仿宋" w:cs="仿宋"/>
                <w:b/>
                <w:bCs/>
                <w:sz w:val="24"/>
              </w:rPr>
            </w:pPr>
            <w:r>
              <w:rPr>
                <w:rFonts w:hint="eastAsia" w:ascii="仿宋" w:hAnsi="仿宋" w:eastAsia="仿宋" w:cs="仿宋"/>
                <w:b/>
                <w:bCs/>
                <w:sz w:val="24"/>
              </w:rPr>
              <w:t>100</w:t>
            </w:r>
          </w:p>
        </w:tc>
        <w:tc>
          <w:tcPr>
            <w:tcW w:w="3413" w:type="dxa"/>
            <w:vAlign w:val="center"/>
          </w:tcPr>
          <w:p>
            <w:pPr>
              <w:spacing w:line="360" w:lineRule="auto"/>
              <w:jc w:val="center"/>
              <w:rPr>
                <w:rFonts w:ascii="仿宋" w:hAnsi="仿宋" w:eastAsia="仿宋" w:cs="仿宋"/>
                <w:b/>
                <w:bCs/>
                <w:sz w:val="24"/>
              </w:rPr>
            </w:pPr>
            <w:r>
              <w:rPr>
                <w:rFonts w:hint="eastAsia" w:ascii="仿宋" w:hAnsi="仿宋" w:eastAsia="仿宋" w:cs="仿宋"/>
                <w:b/>
                <w:bCs/>
                <w:sz w:val="24"/>
              </w:rPr>
              <w:t>85.64</w:t>
            </w:r>
          </w:p>
        </w:tc>
      </w:tr>
    </w:tbl>
    <w:p>
      <w:pPr>
        <w:adjustRightInd w:val="0"/>
        <w:snapToGrid w:val="0"/>
        <w:spacing w:before="312" w:beforeLines="100" w:line="360" w:lineRule="auto"/>
        <w:ind w:firstLine="640" w:firstLineChars="200"/>
        <w:outlineLvl w:val="0"/>
        <w:rPr>
          <w:rFonts w:ascii="黑体" w:hAnsi="黑体" w:eastAsia="黑体" w:cs="黑体"/>
          <w:sz w:val="32"/>
          <w:szCs w:val="32"/>
        </w:rPr>
      </w:pPr>
      <w:bookmarkStart w:id="13" w:name="_Toc22694"/>
      <w:r>
        <w:rPr>
          <w:rFonts w:hint="eastAsia" w:ascii="黑体" w:hAnsi="黑体" w:eastAsia="黑体" w:cs="黑体"/>
          <w:sz w:val="32"/>
          <w:szCs w:val="32"/>
        </w:rPr>
        <w:t>四、绩效评价指标分析</w:t>
      </w:r>
      <w:bookmarkEnd w:id="13"/>
    </w:p>
    <w:p>
      <w:pPr>
        <w:adjustRightInd w:val="0"/>
        <w:snapToGrid w:val="0"/>
        <w:spacing w:line="360" w:lineRule="auto"/>
        <w:ind w:firstLine="643" w:firstLineChars="200"/>
        <w:outlineLvl w:val="1"/>
        <w:rPr>
          <w:rFonts w:ascii="仿宋" w:hAnsi="仿宋" w:eastAsia="仿宋" w:cs="仿宋"/>
          <w:b/>
          <w:sz w:val="32"/>
          <w:szCs w:val="32"/>
        </w:rPr>
      </w:pPr>
      <w:bookmarkStart w:id="14" w:name="_Toc26397"/>
      <w:r>
        <w:rPr>
          <w:rFonts w:hint="eastAsia" w:ascii="仿宋" w:hAnsi="仿宋" w:eastAsia="仿宋" w:cs="仿宋"/>
          <w:b/>
          <w:sz w:val="32"/>
          <w:szCs w:val="32"/>
        </w:rPr>
        <w:t>（一）项目决策情况</w:t>
      </w:r>
      <w:bookmarkEnd w:id="14"/>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1.项目立项情况</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社科类社会组织是构成市社科联之基础。市社科联作为北京市第一批“枢纽型”社会组织，负有繁荣学术、服务首都、稳定队伍等重要使命。市社科联要引导所属社会组织贯彻落实习近平新时代中国特色社会主义思想，坚持正确的政治方向和学术导向。组织引导所属社会组织积极开展中国特色社会主义理论研究，资助重点学术活动，扶持有困难的社会组织正常开展工作，为首都社会建设服务。</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市社科联按照部门预算管理程序，将该项目纳入2022年部门预算。2022年1月28日市财政局下发《北京市财政局关于批复北京市社会科学界联合会2022年预算的函》（京财科文指〔2022〕183号），批复了该项目预算。</w:t>
      </w:r>
    </w:p>
    <w:p>
      <w:pPr>
        <w:adjustRightInd w:val="0"/>
        <w:snapToGrid w:val="0"/>
        <w:spacing w:line="360" w:lineRule="auto"/>
        <w:ind w:firstLine="640" w:firstLineChars="200"/>
        <w:rPr>
          <w:rFonts w:ascii="仿宋" w:hAnsi="仿宋" w:eastAsia="仿宋" w:cs="仿宋"/>
          <w:color w:val="0000FF"/>
          <w:sz w:val="32"/>
          <w:szCs w:val="32"/>
        </w:rPr>
      </w:pPr>
      <w:r>
        <w:rPr>
          <w:rFonts w:hint="eastAsia" w:ascii="仿宋" w:hAnsi="仿宋" w:eastAsia="仿宋" w:cs="仿宋"/>
          <w:sz w:val="32"/>
          <w:szCs w:val="32"/>
        </w:rPr>
        <w:t>评价分析认为，该项目立项符合国家经济发展规划、行业发展规划和政策要求，符合部门职责范围。按照市财政局项目管理办法、部门预算编制通知等相关要求，组织开展并申报部门预算，基本符合全面预算绩效管理要求。建议继续加强该项目中长期规划和年度计划统筹力度。同时，对于现有选题方向、重点以及筛选过程等需要进一步体现。</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2.绩效目标情况</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（1）目标合理性分析</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该项目年度总目标为：</w:t>
      </w:r>
      <w:bookmarkStart w:id="15" w:name="_Hlk36027915"/>
      <w:r>
        <w:rPr>
          <w:rFonts w:hint="eastAsia" w:ascii="仿宋" w:hAnsi="仿宋" w:eastAsia="仿宋" w:cs="仿宋"/>
          <w:sz w:val="32"/>
          <w:szCs w:val="32"/>
        </w:rPr>
        <w:t>资助社会组织论文集出版；扶持社会组织进行学会建设；支持社会组织开展党建工作，确保社会组织发展保持正确的政治方向；开展工作培训交流，提高工作水平。</w:t>
      </w:r>
    </w:p>
    <w:p>
      <w:pPr>
        <w:adjustRightInd w:val="0"/>
        <w:snapToGrid w:val="0"/>
        <w:spacing w:line="360" w:lineRule="auto"/>
        <w:ind w:firstLine="640" w:firstLineChars="200"/>
        <w:rPr>
          <w:rFonts w:ascii="仿宋" w:hAnsi="仿宋" w:eastAsia="仿宋" w:cs="仿宋"/>
          <w:sz w:val="32"/>
          <w:szCs w:val="32"/>
          <w:highlight w:val="yellow"/>
        </w:rPr>
      </w:pPr>
      <w:r>
        <w:rPr>
          <w:rFonts w:hint="eastAsia" w:ascii="仿宋" w:hAnsi="仿宋" w:eastAsia="仿宋" w:cs="仿宋"/>
          <w:sz w:val="32"/>
          <w:szCs w:val="32"/>
        </w:rPr>
        <w:t>评价分析认为，该项目设定了年度总目标且设定的绩效目标较为合理，绩效目标涵盖了项目中的主要内容，具有可实现性和可操作性，体现了项目预期将要产出的效益和效果</w:t>
      </w:r>
      <w:bookmarkEnd w:id="15"/>
      <w:r>
        <w:rPr>
          <w:rFonts w:hint="eastAsia" w:ascii="仿宋" w:hAnsi="仿宋" w:eastAsia="仿宋" w:cs="仿宋"/>
          <w:sz w:val="32"/>
          <w:szCs w:val="32"/>
        </w:rPr>
        <w:t>。</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（2）指标明确性分析</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通过资助社会组织出版学术论文集、加强学会建设、开展社会组织党建活动及编制《社会组织活动概览》等，不断提升对所属162家社科类社会组织服务管理水平，进一步加强党对社科类社会组织的领导，促进社科类社会组织健康有序发展，助力首都经济社会发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如数量指标中设置了“学术论文集资助≥8部”“资助社会组织开展党建工作≥100个”“举办社会组织培训会议≥3次”；成本指标中设置了“编制《社会组织活动概览》≤6.6万元”“社会组织快递费≤0.36万元”等，以通过清晰、可衡量的指标值予以体现，并将项目目标任务数与年度计划数相对应。</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评价分析认为，该项目设定的绩效目标较为明确，能够体现通过该项目的实施所要达到的目标，但绩效指标应进一步细化，适当增加可量化的考核指标。同时，要注意绩效指标与绩效目标的对应性。</w:t>
      </w:r>
    </w:p>
    <w:p>
      <w:pPr>
        <w:adjustRightInd w:val="0"/>
        <w:snapToGrid w:val="0"/>
        <w:spacing w:line="360" w:lineRule="auto"/>
        <w:ind w:firstLine="643" w:firstLineChars="200"/>
        <w:outlineLvl w:val="1"/>
        <w:rPr>
          <w:rFonts w:ascii="仿宋" w:hAnsi="仿宋" w:eastAsia="仿宋" w:cs="仿宋"/>
          <w:b/>
          <w:bCs/>
          <w:sz w:val="32"/>
          <w:szCs w:val="32"/>
        </w:rPr>
      </w:pPr>
      <w:bookmarkStart w:id="16" w:name="_Toc28051"/>
      <w:r>
        <w:rPr>
          <w:rFonts w:hint="eastAsia" w:ascii="仿宋" w:hAnsi="仿宋" w:eastAsia="仿宋" w:cs="仿宋"/>
          <w:b/>
          <w:bCs/>
          <w:sz w:val="32"/>
          <w:szCs w:val="32"/>
        </w:rPr>
        <w:t>（二）项目过程情况</w:t>
      </w:r>
      <w:bookmarkEnd w:id="16"/>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1.项目资金管理情况分析</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为进一步规范项目经费的管理，保障资金安全、高效运行，提高资金使用效益，该项目资金按照《北京市社科联、北京市社科规划办预算管理办法》（京社科联、社科规划办内发〔2019〕6号）的要求，合理编制财务预算，依据《北京市社科联、北京市社科规划办经费支出管理办法》（京社科联、社科规划办内发〔2019〕5号）的要求进行项目经费支出管理，遵照资金支出审批程序和审批责任，提高资金使用效率，控制资金风险。</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该项目能够做到项目资金专款专用，并规定了审批程序，主要内容包括：部室负责人和主管领导应对资金支付申请进行全面审核，并对相关业务的真实性、合理性、合规性和支付申请的规范性负审核责任；涉及有关协议、合同、招标文件等重大项目招标事宜，应会签相关部门出具书面法务意见。签订的合同、协议要素须填写完整；财务部对资金支付申请资料进行复核，重点复核原始票据是否真实、是否符合预算开支范围、是否符合开支标准、审批手续是否齐全。</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除人员经费及单笔支出在1000元（含）以内的公用经费和项目经费外，已纳入年度预算并经市财政局正式批复的公用经费和项目经费，及收到的其他资金，由执行处室向主管领导提出执行申请，严格履行事前审批程序：一是经费金额在5万元（含）以下的事项，经主管领导审批同意后，方可执行；二是经费金额在5万元以上20万元（含）以下的事项，经主管领导、财务主管领导审批同意后，方可执行；三是经费金额在20万元以上50万元以下的事项，经主管领导、财务主管领导、主要领导审批同意后，方可执行；四是经费金额在50万元（含）以上，经党组会研究同意后，方可执行。</w:t>
      </w:r>
    </w:p>
    <w:p>
      <w:pPr>
        <w:adjustRightInd w:val="0"/>
        <w:snapToGrid w:val="0"/>
        <w:spacing w:line="360" w:lineRule="auto"/>
        <w:ind w:firstLine="640" w:firstLineChars="200"/>
        <w:rPr>
          <w:rFonts w:ascii="仿宋" w:hAnsi="仿宋" w:eastAsia="仿宋" w:cs="仿宋"/>
          <w:color w:val="0000FF"/>
          <w:sz w:val="32"/>
          <w:szCs w:val="32"/>
        </w:rPr>
      </w:pPr>
      <w:r>
        <w:rPr>
          <w:rFonts w:hint="eastAsia" w:ascii="仿宋" w:hAnsi="仿宋" w:eastAsia="仿宋" w:cs="仿宋"/>
          <w:sz w:val="32"/>
          <w:szCs w:val="32"/>
        </w:rPr>
        <w:t>评价分析认为，该项目预算资金管理符合相关规定，专项经费经过预算评审，出具评审报告。同时，市社科联资金支出能够按照规定程序执行，资金使用合理，支出凭单、发票等附件较为齐全，未发现资金挪用、截留等严重违规情况。但资金的拨付应强化及时性，该项目存在四季度支付且支付金额较大的情况，如党建活动经费为每年6月和12月两次拨付，建议可调整为预算下达后一次性拨付。</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2.项目组织实施情况分析</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（1）组织机构设置</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由市社科联学会管理部负责组织实施，主要工作内容为：依法、依规对市社科联所属162家社会组织实施服务管理。对其中114家社会组织实施业务管理，包括：社会组织成立、变更、注销登记前的审查、监督指导其依法依规依章程开展活动、年检年报初审、党组织建设及协助登记管理机关和其他有关部门查处社会组织违法行为，监督、引导社会组织在开展各项活动中始终确保正确的政治方向、价值取向、学术导向。对其中48家团体会员单位进行业务指导，搭建学术活动平台，资助和组织开展各类学术活动，服务学科发展和首都经济社会建设。</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（2）项目组织实施程序</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该项目确定后，市社科联学会管理部开展了组织实施工作，并按照年度工作计划执行。具体情况如下：</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position w:val="-6"/>
          <w:sz w:val="48"/>
          <w:szCs w:val="32"/>
        </w:rPr>
        <w:instrText xml:space="preserve">○</w:instrText>
      </w:r>
      <w:r>
        <w:rPr>
          <w:rFonts w:hint="eastAsia" w:ascii="仿宋" w:hAnsi="仿宋" w:eastAsia="仿宋" w:cs="仿宋"/>
          <w:sz w:val="32"/>
          <w:szCs w:val="32"/>
        </w:rPr>
        <w:instrText xml:space="preserve">,1)</w:instrText>
      </w:r>
      <w:r>
        <w:rPr>
          <w:rFonts w:hint="eastAsia" w:ascii="仿宋" w:hAnsi="仿宋" w:eastAsia="仿宋" w:cs="仿宋"/>
          <w:sz w:val="32"/>
          <w:szCs w:val="32"/>
        </w:rPr>
        <w:fldChar w:fldCharType="end"/>
      </w:r>
      <w:r>
        <w:rPr>
          <w:rFonts w:hint="eastAsia" w:ascii="仿宋" w:hAnsi="仿宋" w:eastAsia="仿宋" w:cs="仿宋"/>
          <w:sz w:val="32"/>
          <w:szCs w:val="32"/>
        </w:rPr>
        <w:t>学术论文集资助</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2022年3月下旬统筹学术活动部、科普工作部及学会管理部三个部室，根据年度最新形势，确定资助项目类别，修改完善实施办法及申报指南；4月初在“北京社科网”网站通知公告板块，发布市社科联社会组织资助项目申报通知、实施办法、申报指南、各资助类别的项目申请书以及相关工作表格，明确申报要求，同期通过学会管理部微信群发布通知，请有申报意愿的社会组织于4月中旬提交申报材料；学会管理部对社会组织提交的学术论文集项目申请书、预算表的电子版及纸质版初审，反馈修改意见，申报社会组织及时修改完善学术论文集项目申请书及预算表；6月中旬召开市社科联常委会社会组织工作委员会会议，请多位专家成员、社会组织负责人现场评审学术论文集项目申请书及预算表，提出是否同意立项的评审意见及修改建议，确定资助金额；将市社科联常委会社会组织工作委员会专家提出的评审意见反馈申报的社会组织，请其及时修改完善；7月下旬在“北京社科网”网站公示社会组织学术论文集出版资助评审立项结果，公示期为一周；公示期结束后，与获批立项的社会组织签订社会组织学术论文集出版资助项目协议书一式三份，明确于年末提交样书，经市社科联对论文集内容进行意识形态专项审查及学术价值评估后，拨付资助经费；负责该项工作人员对社会组织陆续提交的样书进行初审，报部室审核。根据回避原则，聘请相关专业专家对样书进行审核，并出具审核意见书。将部室与专家提出的审核意见一并反馈社会组织，修改样书内容；经严格筛选，对修改后仍存在创新性不足、学术价值偏低的学术论文集明确不再予以资助出版。待下一年度财政项目经费下达后，对符合出版条件的社会组织拨付资助经费；社会组织将正式出版的学术论文集提交市社科联归档。</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position w:val="-6"/>
          <w:sz w:val="48"/>
          <w:szCs w:val="32"/>
        </w:rPr>
        <w:instrText xml:space="preserve">○</w:instrText>
      </w:r>
      <w:r>
        <w:rPr>
          <w:rFonts w:hint="eastAsia" w:ascii="仿宋" w:hAnsi="仿宋" w:eastAsia="仿宋" w:cs="仿宋"/>
          <w:sz w:val="32"/>
          <w:szCs w:val="32"/>
        </w:rPr>
        <w:instrText xml:space="preserve">,2)</w:instrText>
      </w:r>
      <w:r>
        <w:rPr>
          <w:rFonts w:hint="eastAsia" w:ascii="仿宋" w:hAnsi="仿宋" w:eastAsia="仿宋" w:cs="仿宋"/>
          <w:sz w:val="32"/>
          <w:szCs w:val="32"/>
        </w:rPr>
        <w:fldChar w:fldCharType="end"/>
      </w:r>
      <w:r>
        <w:rPr>
          <w:rFonts w:hint="eastAsia" w:ascii="仿宋" w:hAnsi="仿宋" w:eastAsia="仿宋" w:cs="仿宋"/>
          <w:sz w:val="32"/>
          <w:szCs w:val="32"/>
        </w:rPr>
        <w:t>社会组织党建活动资助</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2022年6月中旬，向所属社会组织党组织下发通知，年度党建活动经费将分为近期和年底两次拨付，拨付条件是当前余额小于4200元，并提交加盖社会组织专用章的余额说明。余额大于等于4200元的尽快按规定使用经费，等年底余额符合要求时再拨付；6月底，103个社会组织党组织全部回复完毕。填报文件批示单逐级走财务审批手续：为党建经费结余小于4200元的51家社会组织拨付2022年度党建经费，共计214200元；年底再拨付一次。附党组织名单、社会组织财务账号、拨款通知书等材料；财务转账，有3家社会组织账号有误，及时沟通修改，再次拨付；通知社会组织党组织经费已经拨付，同时下发拨款通知书、《市社科联社会组织党建活动经费使用规定》，要求严格按照规定使用经费；12月初，为余额符合条件的14个党组织第二次拨付党建经费，共58800元。</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position w:val="-6"/>
          <w:sz w:val="48"/>
          <w:szCs w:val="32"/>
        </w:rPr>
        <w:instrText xml:space="preserve">○</w:instrText>
      </w:r>
      <w:r>
        <w:rPr>
          <w:rFonts w:hint="eastAsia" w:ascii="仿宋" w:hAnsi="仿宋" w:eastAsia="仿宋" w:cs="仿宋"/>
          <w:sz w:val="32"/>
          <w:szCs w:val="32"/>
        </w:rPr>
        <w:instrText xml:space="preserve">,3)</w:instrText>
      </w:r>
      <w:r>
        <w:rPr>
          <w:rFonts w:hint="eastAsia" w:ascii="仿宋" w:hAnsi="仿宋" w:eastAsia="仿宋" w:cs="仿宋"/>
          <w:sz w:val="32"/>
          <w:szCs w:val="32"/>
        </w:rPr>
        <w:fldChar w:fldCharType="end"/>
      </w:r>
      <w:r>
        <w:rPr>
          <w:rFonts w:hint="eastAsia" w:ascii="仿宋" w:hAnsi="仿宋" w:eastAsia="仿宋" w:cs="仿宋"/>
          <w:sz w:val="32"/>
          <w:szCs w:val="32"/>
        </w:rPr>
        <w:t>学会建设活动资助</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2022年11月，拟定当年换届和基础学科类社会组织名单，计划为19家社会组织拨付学会建设活动费；发放通知，要求提供发票、开户银行信息、2022年度学术建设活动费使用说明及相关发票复印件等资料；填报文件批示单逐级进行财务审批手续，拨付经费；新四研究会因账号问题未能拨付，最终为18家社会组织拨付了经费；为18家社会组织发放学会建设活动费拨付使用情况调查问卷，回收率为100%。</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position w:val="-6"/>
          <w:sz w:val="48"/>
          <w:szCs w:val="32"/>
        </w:rPr>
        <w:instrText xml:space="preserve">○</w:instrText>
      </w:r>
      <w:r>
        <w:rPr>
          <w:rFonts w:hint="eastAsia" w:ascii="仿宋" w:hAnsi="仿宋" w:eastAsia="仿宋" w:cs="仿宋"/>
          <w:sz w:val="32"/>
          <w:szCs w:val="32"/>
        </w:rPr>
        <w:instrText xml:space="preserve">,4)</w:instrText>
      </w:r>
      <w:r>
        <w:rPr>
          <w:rFonts w:hint="eastAsia" w:ascii="仿宋" w:hAnsi="仿宋" w:eastAsia="仿宋" w:cs="仿宋"/>
          <w:sz w:val="32"/>
          <w:szCs w:val="32"/>
        </w:rPr>
        <w:fldChar w:fldCharType="end"/>
      </w:r>
      <w:r>
        <w:rPr>
          <w:rFonts w:hint="eastAsia" w:ascii="仿宋" w:hAnsi="仿宋" w:eastAsia="仿宋" w:cs="仿宋"/>
          <w:sz w:val="32"/>
          <w:szCs w:val="32"/>
        </w:rPr>
        <w:t>编制《社会组织活动概览》</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2021年12月，向所属社会组织发出通知，提交2021年度工作总结和学术活动统计表；2022年3月资料收集完毕，交付印刷厂设计、制作，打印样稿交付部室相关人员校对。印刷《社会组织活动概览》300册；5月填报文件批示单逐级进行财务审批手续，拨付经费；8月，于年度社会组织工作会议上发放。</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position w:val="-6"/>
          <w:sz w:val="48"/>
          <w:szCs w:val="32"/>
        </w:rPr>
        <w:instrText xml:space="preserve">○</w:instrText>
      </w:r>
      <w:r>
        <w:rPr>
          <w:rFonts w:hint="eastAsia" w:ascii="仿宋" w:hAnsi="仿宋" w:eastAsia="仿宋" w:cs="仿宋"/>
          <w:sz w:val="32"/>
          <w:szCs w:val="32"/>
        </w:rPr>
        <w:instrText xml:space="preserve">,5)</w:instrText>
      </w:r>
      <w:r>
        <w:rPr>
          <w:rFonts w:hint="eastAsia" w:ascii="仿宋" w:hAnsi="仿宋" w:eastAsia="仿宋" w:cs="仿宋"/>
          <w:sz w:val="32"/>
          <w:szCs w:val="32"/>
        </w:rPr>
        <w:fldChar w:fldCharType="end"/>
      </w:r>
      <w:r>
        <w:rPr>
          <w:rFonts w:hint="eastAsia" w:ascii="仿宋" w:hAnsi="仿宋" w:eastAsia="仿宋" w:cs="仿宋"/>
          <w:sz w:val="32"/>
          <w:szCs w:val="32"/>
        </w:rPr>
        <w:t>社会组织快递</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根据工作需要，为所属社会组织邮寄信函、工作文件、资料等。</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评价分析认为，该项目组织实施较为有力，成立专门团队负责项目组织实施。但是，该项目未制定全面的项目实施方案，对项目实施的质量保障需要加强。</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3.项目管理情况分析</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（1）项目管理制度建设情况</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依据市财政局和市社科联的相关管理制度开展，包括：《市社科联、市社科规划办重点业务统筹贯通工作总体方案》（京社科联、社科规划办内发〔2019〕2号）、《北京市社科联、北京市社科规划办内部控制体系优化实施方案》（京社科联、社科规划办内发〔2019〕4号）、《北京市社科联、北京市社科规划办经费支出管理办法》（京社科联、社科规划办内发〔2019〕5号）、《市社科联、市社科规划办政府采购管理办法》（京社科联、社科规划办内发〔2020〕4号）等。</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同时，市社科联依据该项目特点修订了《北京市社会科学界联合会北京市哲学社会科学规划办公室社会组织资助项目实施办法》，进一步规范了包括学术论文集资助在内的重点学术活动组织实施和管理。2022年学术论文集资助依照该办法组织实施和管理；2020年3月修订了《市社科联社会组织党建活动经费使用规定》，发放社会组织党建经费的同时，再次发布该规定，并在“拨款通知书”上注明要严格依照该规定使用经费，做到专款专用。</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另外，根据《北京市社科联、北京市社科规划办</w:t>
      </w:r>
      <w:bookmarkStart w:id="17" w:name="_Hlk71207746"/>
      <w:r>
        <w:rPr>
          <w:rFonts w:hint="eastAsia" w:ascii="仿宋" w:hAnsi="仿宋" w:eastAsia="仿宋" w:cs="仿宋"/>
          <w:sz w:val="32"/>
          <w:szCs w:val="32"/>
        </w:rPr>
        <w:t>内部控制体系</w:t>
      </w:r>
      <w:bookmarkEnd w:id="17"/>
      <w:r>
        <w:rPr>
          <w:rFonts w:hint="eastAsia" w:ascii="仿宋" w:hAnsi="仿宋" w:eastAsia="仿宋" w:cs="仿宋"/>
          <w:sz w:val="32"/>
          <w:szCs w:val="32"/>
        </w:rPr>
        <w:t>优化实施方案》（京社科联、社科规划办内发〔2019〕4号）要求，市社科联按照《北京市财政局关于发布北京市行政事业单位内部控制评价指标体系的通知》（京财会〔2017〕946号）等要求，明确各个部门、岗位和相关工作人员的分工和责任，形成“权责一致、制衡有效、运行顺畅、执行有力、管理科学”的内部控制制度管理体系和流程执行体系，夯实管理基础，形成“用规章制度规范行为、按规章制度办事、靠规章制度管人”的工作机制，更好发挥内部控制在提升内部治理水平、规范内部权力、制约运行、推进廉政建设中的重要作用。同时，通过完善优化信息系统将内部管控要求进行整合和固化，编织“内部权力”的“刚性制度笼子”，最大限度地减少管控要求在执行过程中的人为干扰因素，提升办公效率，更好地推动内控措施的有效执行。</w:t>
      </w:r>
    </w:p>
    <w:p>
      <w:pPr>
        <w:adjustRightInd w:val="0"/>
        <w:snapToGrid w:val="0"/>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（2）项目管理制度执行情况</w:t>
      </w:r>
    </w:p>
    <w:p>
      <w:pPr>
        <w:adjustRightInd w:val="0"/>
        <w:snapToGrid w:val="0"/>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该项目实施过程中，市社科联对讲座项目各环节进行质量管理和控制，按照工作计划落实各项工作，确保项目实现既定的绩效目标。具体内容包括：</w:t>
      </w:r>
    </w:p>
    <w:p>
      <w:pPr>
        <w:adjustRightInd w:val="0"/>
        <w:snapToGrid w:val="0"/>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一是以推动所属社会组织依法依章管理为中心，抓好各项组织管理工作。认真组织所属社会组织依法依规开展工作。组织所属114家业务主管的社会组织有序开展年检年报初审工作。对社会组织举办论坛、讲坛、讲座、年会、报告会、研讨会等活动进行严格管理，落实意识形态责任；严把社会组织换届、变更等事项，妥善处理有关问题；积极开展社会组织调研走访工作，了解社会组织近期工作情况，掌握需求动态，排查安全隐患，确保社会组织安全和谐稳定。</w:t>
      </w:r>
    </w:p>
    <w:p>
      <w:pPr>
        <w:adjustRightInd w:val="0"/>
        <w:snapToGrid w:val="0"/>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二是以服务所属社会组织为抓手，强化其能力建设。给予经费补贴，支持社会组织开展活动；密切与社会组织联系，提供各类服务。为所属社会组织提供换届指导等面对面咨询服务。编发社会团体换届工作规范文本、社会组织所属阵地管理制度示范文本；举办所属社会组织培训班，邀请社会组织财务专家，就相关财税政策进行了线上培训。</w:t>
      </w:r>
    </w:p>
    <w:p>
      <w:pPr>
        <w:adjustRightInd w:val="0"/>
        <w:snapToGrid w:val="0"/>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三是以推进所属社会组织党建工作为保障，促进其健康发展。定期召开党建委工作会议，研究通报社会组织党组织年度工作计划、新成立党组织、经费使用等重要党建工作事项；持续推进社会组织党组织规范化建设。结合年检年报初审，同步检查《市社科联社会组织党组织工作手册》，了解党组织活动开展和工作记录情况并给予意见反馈；开展党建引领社科类社会组织治理专项工作。在市委组织部统一领导下，制定方案，建立台账，召开会议，部署工作。推动社科类社会组织提升党组织覆盖质量，推动社会组织内部治理，守好意识形态阵地，助力新时代首都发展。</w:t>
      </w:r>
    </w:p>
    <w:p>
      <w:pPr>
        <w:adjustRightInd w:val="0"/>
        <w:snapToGrid w:val="0"/>
        <w:spacing w:line="360" w:lineRule="auto"/>
        <w:ind w:firstLine="640" w:firstLineChars="200"/>
        <w:rPr>
          <w:rFonts w:ascii="仿宋" w:hAnsi="仿宋" w:eastAsia="仿宋" w:cs="仿宋"/>
          <w:color w:val="0000FF"/>
          <w:sz w:val="32"/>
          <w:szCs w:val="32"/>
        </w:rPr>
      </w:pPr>
      <w:r>
        <w:rPr>
          <w:rFonts w:hint="eastAsia" w:ascii="仿宋" w:hAnsi="仿宋" w:eastAsia="仿宋" w:cs="仿宋"/>
          <w:sz w:val="32"/>
          <w:szCs w:val="32"/>
        </w:rPr>
        <w:t>评价分析认为，市社科联制定了相关的财务和业务管理制度，并按照相关制度规定进行项目管理。建议市社科联作为项目管理主责部门，应进一步加大对各子项目的管理力度，并注意管理留痕。</w:t>
      </w:r>
    </w:p>
    <w:p>
      <w:pPr>
        <w:adjustRightInd w:val="0"/>
        <w:snapToGrid w:val="0"/>
        <w:spacing w:line="360" w:lineRule="auto"/>
        <w:ind w:firstLine="643" w:firstLineChars="200"/>
        <w:outlineLvl w:val="1"/>
        <w:rPr>
          <w:rFonts w:ascii="仿宋" w:hAnsi="仿宋" w:eastAsia="仿宋" w:cs="仿宋"/>
          <w:b/>
          <w:bCs/>
          <w:sz w:val="32"/>
          <w:szCs w:val="32"/>
        </w:rPr>
      </w:pPr>
      <w:bookmarkStart w:id="18" w:name="_Toc4753"/>
      <w:r>
        <w:rPr>
          <w:rFonts w:hint="eastAsia" w:ascii="仿宋" w:hAnsi="仿宋" w:eastAsia="仿宋" w:cs="仿宋"/>
          <w:b/>
          <w:bCs/>
          <w:sz w:val="32"/>
          <w:szCs w:val="32"/>
        </w:rPr>
        <w:t>（三）项目产出情况</w:t>
      </w:r>
      <w:bookmarkEnd w:id="18"/>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1.项目预期目标完成情况</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2022年，该项目按照年度工作要求，完成了部分预期目标，具体内容包括：</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（1）学术论文集资助。因北京市婚姻家庭研究会申报立项的《新时代婚姻家庭与妇女发展》论文集学术价值偏低等原因不予以资助出版，最终资助7部论文集。</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（2）社会组织党建活动资助。为提高资金使用效率，减少资金沉淀，对35家余额不小于4200元的党组织，未予以拨付，实际拨付资助65个党组织。</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学会建设活动资助。因北京新闻摄影学会受疫情封控影响无法盖章，以及北京市新四军暨华中抗日根据地研究会因社会团体法人登记证书变更后，未能及时办理相关手续，其银行账号被冻结，财务无法向其拨付。实际资助完成18家社会组织。</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（4）编制《社会组织活动概览》。编制完成《社会组织活动概览》，并印制300册。</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（5）社会组织快递。为所属社会组织邮寄信函、工作文件、资料等。</w:t>
      </w:r>
    </w:p>
    <w:p>
      <w:pPr>
        <w:adjustRightInd w:val="0"/>
        <w:snapToGrid w:val="0"/>
        <w:spacing w:line="360" w:lineRule="auto"/>
        <w:ind w:firstLine="640" w:firstLineChars="200"/>
        <w:rPr>
          <w:rFonts w:ascii="仿宋" w:hAnsi="仿宋" w:eastAsia="仿宋" w:cs="仿宋"/>
          <w:sz w:val="32"/>
          <w:szCs w:val="32"/>
        </w:rPr>
      </w:pPr>
      <w:bookmarkStart w:id="19" w:name="_Hlk102660567"/>
      <w:r>
        <w:rPr>
          <w:rFonts w:hint="eastAsia" w:ascii="仿宋" w:hAnsi="仿宋" w:eastAsia="仿宋" w:cs="仿宋"/>
          <w:sz w:val="32"/>
          <w:szCs w:val="32"/>
        </w:rPr>
        <w:t>评价分析认为，市社科联因受疫情影响，社会组织工作交流项目、举办社会组织培训会议、社会组织抽查审计未开展。另外，由于北京市人力资源和社会保障局不再对市社科联专门开通评审通道，社科类职称评审统一由市社科院评审，因此社会组织职称评审初评工作未开展。</w:t>
      </w:r>
    </w:p>
    <w:bookmarkEnd w:id="19"/>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2.项目质量完成情况</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各项工作能够按照市财政局和市社科联工作计划和安排执行。同时，能够按照质量标准，对出版的7部学术论文集和《社会组织活动概览》进行严格审核，保证政治方向、学术导向、价值取向正确，无意识形态问题。</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评价分析认为，该项目完成质量较好，能够确保社会组织发展保持正确的政治方向，但应加强质量把控，完善验收资料。</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3.项目实施进度情况</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根据年度工作安排，该项目中学术论文集资助、社会组织党建活动资助、学会建设活动资助、编制《社会组织活动概览》、社会组织快递能够按照进度计划实施，但受疫情影响，社会组织工作交流项目、举办社会组织培训会议、社会组织抽查审计未开展。另外，与北京市人力资源和社会保障局沟通，其不再对市社科联专门开通评审通道，社科类职称评审统一由市社科院评审，因此社会组织职称评审初评工作未开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评价分析认为，该项目基本能够按照计划时间开展各项工作，并在2022年底完成了主要工作任务，但部分工作因受疫情影响未能正常开展。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4.项目经济性情况</w:t>
      </w:r>
    </w:p>
    <w:p>
      <w:pPr>
        <w:adjustRightInd w:val="0"/>
        <w:snapToGrid w:val="0"/>
        <w:spacing w:line="360" w:lineRule="auto"/>
        <w:ind w:firstLine="640" w:firstLineChars="200"/>
        <w:rPr>
          <w:rFonts w:ascii="仿宋" w:hAnsi="仿宋" w:eastAsia="仿宋" w:cs="仿宋"/>
          <w:color w:val="0000FF"/>
          <w:sz w:val="32"/>
          <w:szCs w:val="32"/>
        </w:rPr>
      </w:pPr>
      <w:r>
        <w:rPr>
          <w:rFonts w:hint="eastAsia" w:ascii="仿宋" w:hAnsi="仿宋" w:eastAsia="仿宋" w:cs="仿宋"/>
          <w:sz w:val="32"/>
          <w:szCs w:val="32"/>
        </w:rPr>
        <w:t>该项目经过预算评审，资金支出标准按照市财政局有关文件规定执行。同时，该项目采取了一定的成本控制手段，资金到位及时，能够按照财务相关制度使用资金。</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评价分析认为，该项目资金能够按照预算执行，采取了经济控制措施。同时，通过投入和产出的对比，经济性较为合理。但是，由于该项目资金支出率为72.85%，应分析形成结余的原因，提出改进措施。</w:t>
      </w:r>
    </w:p>
    <w:p>
      <w:pPr>
        <w:adjustRightInd w:val="0"/>
        <w:snapToGrid w:val="0"/>
        <w:spacing w:line="360" w:lineRule="auto"/>
        <w:ind w:firstLine="643" w:firstLineChars="200"/>
        <w:outlineLvl w:val="1"/>
        <w:rPr>
          <w:rFonts w:ascii="仿宋" w:hAnsi="仿宋" w:eastAsia="仿宋" w:cs="仿宋"/>
          <w:b/>
          <w:bCs/>
          <w:sz w:val="32"/>
          <w:szCs w:val="32"/>
        </w:rPr>
      </w:pPr>
      <w:bookmarkStart w:id="20" w:name="_Toc20649"/>
      <w:r>
        <w:rPr>
          <w:rFonts w:hint="eastAsia" w:ascii="仿宋" w:hAnsi="仿宋" w:eastAsia="仿宋" w:cs="仿宋"/>
          <w:b/>
          <w:bCs/>
          <w:sz w:val="32"/>
          <w:szCs w:val="32"/>
        </w:rPr>
        <w:t>（四）项目效益情况</w:t>
      </w:r>
      <w:bookmarkEnd w:id="20"/>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1.项目社会效益</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该项目资助出版的7部论文集《中国共产党百年经济思想》《后疫情时期国家治理与经济发展》《建党百年金融发展研究》《信用学论文集（2021）》《财政改革理论与实践探索-2020年度北京财政学会优秀科研成果选》《有爱无癌》《2018-2020年家庭教育青年优秀论文汇编》，均能够坚持正确的政治方向、价值取向和学术导向，以创新为基本出发点，关注首都发展面临的重大理论与现实问题，关注学科发展的前沿动态与最新动向，发挥繁荣学术、服务首都功能，助力新时代首都发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（2）该项目通过资助社会组织开展活动，对于发挥党组织的政治核心作用，坚持党对社会组织的全面领导，落实意识形态工作责任，凝聚思想，引领群众，引导社会组织健康有序发展具有重要意义。</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（3）该项目通过收集编印《社会组织活动概览》，能够展示社会组织工作成绩，促进工作交流。</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（4）该项目通过资助学会建设活动，有利于资金紧张的社会组织，尤其是基础学科类社会组织维持基本工作运转，专心从事哲学社会科学理论的研究、宣传、普及工作，推动首都经济社会发展。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评价分析认为，该项目实施具有较好的社会效益，对于发挥繁荣学术、坚持党对社会组织的全面领导、推动首都经济社会发展具有积极意义，但部分子项目相关社会效益呈现不够充分。</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2.项目可持续影响</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中的学术论文集资助、编印《社会组织活动概览》和学会建设活动资助等工作均已实施达十余年，期间针对社会环境和资源的变化，资助金额和书籍内容指引已进行过几次微调，更加适用于时代的发展变化。</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同时，从事该项目的工作人员已熟悉工作内容，能够着力做好社会组织专家学者和工作人员的服务对接，着力适应新形势做好方式方法的创新，具有较强的业务工作能力。另外，市社科联也依托首都市委市政府，百余家社会组织、高校，有着稳定、高水平的专家资源，以保证该项目的可持续发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评价分析认为，通过该项目的实施，能够持续促进和助力社科工作的发展，具有较好的可持续发展意义。</w:t>
      </w:r>
    </w:p>
    <w:p>
      <w:pPr>
        <w:adjustRightInd w:val="0"/>
        <w:snapToGrid w:val="0"/>
        <w:spacing w:line="360" w:lineRule="auto"/>
        <w:ind w:firstLine="643" w:firstLineChars="200"/>
        <w:outlineLvl w:val="0"/>
        <w:rPr>
          <w:rFonts w:ascii="黑体" w:hAnsi="黑体" w:eastAsia="黑体" w:cs="黑体"/>
          <w:b/>
          <w:bCs/>
          <w:sz w:val="32"/>
          <w:szCs w:val="32"/>
        </w:rPr>
      </w:pPr>
      <w:bookmarkStart w:id="21" w:name="_Toc19614"/>
      <w:r>
        <w:rPr>
          <w:rFonts w:hint="eastAsia" w:ascii="黑体" w:hAnsi="黑体" w:eastAsia="黑体" w:cs="黑体"/>
          <w:b/>
          <w:bCs/>
          <w:sz w:val="32"/>
          <w:szCs w:val="32"/>
        </w:rPr>
        <w:t>五、主要经验及做法、存在的问题及原因分析</w:t>
      </w:r>
      <w:bookmarkEnd w:id="21"/>
    </w:p>
    <w:p>
      <w:pPr>
        <w:adjustRightInd w:val="0"/>
        <w:snapToGrid w:val="0"/>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（一）项目主要经验及做法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强化意识形态安全。通过召开社会组织党建工作和秘书长工作会议，重点时间节点一对一走访、电话叮嘱等方式，强化社会组织意识形态安全意识，提高意识形态辨识能力，严格落实意识形态安全责任制；根据有关规定，对社会组织举办论坛、讲坛、讲座、年会、报告会、研讨会等活动进行严格管理，落实意识形态责任，认真组织申报审批，对发现的问题及时指出、监督整改，确保不出现意识形态问题；开展所属社会组织阵地排查，消除意识形态安全隐患。</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2.注重依法依规管理。结合部门工作例会，多次组织学习交流社会组织管理方面的法律法规和章程变化内容，努力做到了解掌握法规，熟练运用法规处理各类问题，逐渐养成按法规办事的思维和行为习惯。结合工作需要，及时出台、修订各类规定、规则、制度等，如《市社科联所属社会组织阵地管理制度（示范文本）》《市社科联社会组织党建活动经费使用规定》《中共北京市社会科学界联合会社会组织党建工作委员会议事规则》等，使部门日常管理工作有章可循、有规可依。    </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依托专家团队。学会管理部是社会组织管理部门，由于对各类学术文章质量的把握，问题的研判不是内行。因此，学会管理部依托由15名社科专家组织的社会委员会对申报的学术论文集进行评审；依托首都社会科学专家资源对论文集成稿样书进行审读；依托社会组织党组织中的骨干力量组成党建工作委员会，对社会组织党建工作进行研究指导，确保各项经费资助工作专业、高效、合规。</w:t>
      </w:r>
    </w:p>
    <w:p>
      <w:pPr>
        <w:adjustRightInd w:val="0"/>
        <w:snapToGrid w:val="0"/>
        <w:spacing w:line="360" w:lineRule="auto"/>
        <w:ind w:firstLine="643" w:firstLineChars="200"/>
        <w:rPr>
          <w:rFonts w:ascii="仿宋" w:hAnsi="仿宋" w:eastAsia="仿宋" w:cs="仿宋"/>
          <w:sz w:val="32"/>
          <w:szCs w:val="32"/>
        </w:rPr>
      </w:pPr>
      <w:r>
        <w:rPr>
          <w:rFonts w:hint="eastAsia" w:ascii="仿宋" w:hAnsi="仿宋" w:eastAsia="仿宋" w:cs="仿宋"/>
          <w:b/>
          <w:bCs/>
          <w:sz w:val="32"/>
          <w:szCs w:val="32"/>
        </w:rPr>
        <w:t>（二）存在的问题及原因分析</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1.项目决策依据有待充实，绩效指标可进一步完善</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（1）该项目中长期规划和年度计划统筹力度需要加强。同时，现有选题方向、重点以及筛选过程体现不足。</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（2）该项目绩效目标的设定基本符合项目实际，但应适当增加可量化的考核指标。同时，要注意绩效指标与绩效目标的对应性。</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（3）部分子项目资金申报测算精准化程度需要进一步提高。</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2.项目未制定全面的实施方案，管理力度需要加强</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（1）该项目应制定完整、全面的项目实施方案，细化年度工作，进行任务分解，明确责任分工、时间计划、资金使用计划、风险防控、绩效要求等内容。</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（2）作为项目管理主责部门，对各子项目的管理力度需要进一步加强。</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（3）强化预算管理，加大对年度预算执行的控制力，要按照项目实施进度把控好支出进度，特别是资金的拨付应强化及时性，如党建活动经费为每年6月和12月两次拨付，建议可调整为预算下达后一次性拨付。</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3.项目产出情况呈现不足，效益资料不够完善</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（1）该项目预期目标基本完成，且完成质量较好，但应注意收集项目实施过程中的绩效资料，进一步归集完成情况的支撑资料。</w:t>
      </w:r>
    </w:p>
    <w:p>
      <w:pPr>
        <w:adjustRightInd w:val="0"/>
        <w:snapToGrid w:val="0"/>
        <w:spacing w:line="360" w:lineRule="auto"/>
        <w:ind w:firstLine="640" w:firstLineChars="200"/>
      </w:pPr>
      <w:r>
        <w:rPr>
          <w:rFonts w:hint="eastAsia" w:ascii="仿宋" w:hAnsi="仿宋" w:eastAsia="仿宋" w:cs="仿宋"/>
          <w:sz w:val="32"/>
          <w:szCs w:val="32"/>
        </w:rPr>
        <w:t>（2）该项目实施具有较好的社会效益，但部分子项目产生的社会效益呈现不够充分。同时，该项目满意度调查不够全面，仅开展了学会活动建设经费的调查，且未进行满意度情况分析。</w:t>
      </w:r>
    </w:p>
    <w:p>
      <w:pPr>
        <w:numPr>
          <w:ilvl w:val="0"/>
          <w:numId w:val="3"/>
        </w:numPr>
        <w:adjustRightInd w:val="0"/>
        <w:snapToGrid w:val="0"/>
        <w:spacing w:line="360" w:lineRule="auto"/>
        <w:ind w:firstLine="643" w:firstLineChars="200"/>
        <w:outlineLvl w:val="0"/>
        <w:rPr>
          <w:rFonts w:ascii="黑体" w:hAnsi="黑体" w:eastAsia="黑体" w:cs="黑体"/>
          <w:b/>
          <w:bCs/>
          <w:sz w:val="32"/>
          <w:szCs w:val="32"/>
        </w:rPr>
      </w:pPr>
      <w:bookmarkStart w:id="22" w:name="_Toc15795"/>
      <w:r>
        <w:rPr>
          <w:rFonts w:hint="eastAsia" w:ascii="黑体" w:hAnsi="黑体" w:eastAsia="黑体" w:cs="黑体"/>
          <w:b/>
          <w:bCs/>
          <w:sz w:val="32"/>
          <w:szCs w:val="32"/>
        </w:rPr>
        <w:t>有关建议</w:t>
      </w:r>
      <w:bookmarkEnd w:id="22"/>
    </w:p>
    <w:p>
      <w:pPr>
        <w:adjustRightInd w:val="0"/>
        <w:snapToGrid w:val="0"/>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（一）加强决策管理，完善项目规划</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1.加强项目决策管理，明确目标任务，结合项目实际情况，进一步合理设定项目的绩效目标，切实按照“指向明确、量化细化、合理可行、相应匹配”设置。</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2.进一步完善项目整体设计和规划，加强需求调研，明确各年度资助重点。</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3.做好项目内容必要性分析和未来执行风险分析，为项目后期执行奠定坚实的基础，如在社会组织党建活动经费方面，建议在预算编制时规避不完全执行的可能性。</w:t>
      </w:r>
    </w:p>
    <w:p>
      <w:pPr>
        <w:pStyle w:val="2"/>
        <w:adjustRightInd w:val="0"/>
        <w:snapToGrid w:val="0"/>
        <w:spacing w:after="0" w:line="360" w:lineRule="auto"/>
        <w:ind w:firstLine="643" w:firstLineChars="200"/>
        <w:rPr>
          <w:rFonts w:eastAsia="仿宋"/>
          <w:sz w:val="32"/>
          <w:szCs w:val="32"/>
        </w:rPr>
      </w:pPr>
      <w:r>
        <w:rPr>
          <w:rFonts w:hint="eastAsia" w:ascii="仿宋" w:hAnsi="仿宋" w:eastAsia="仿宋" w:cs="仿宋"/>
          <w:b/>
          <w:bCs/>
          <w:sz w:val="32"/>
          <w:szCs w:val="32"/>
        </w:rPr>
        <w:t>（二）制定项目实施方案，加强项目管理</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1.建议项目开展前制定详细、可操作的实施方案，保障项目质量的顺利实施，明确职责分工、进度计划、验收要求、成本管控、风险防范等。</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2.加强项目执行过程的指导和管理，保证项目绩效目标如期实现。要加强对于社会组织的指导，加强社会组织自身的规范化和制度化建设，提高工作质量和资金使用效率。</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3.建议进一步完善项目管理制度，明确立项、验收、批复、论证环节的具体要求。同时，对于资助和补贴的标准，应尽快进行科学论证，以满足实际工作的需要，且发挥应有的效益。</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4.加强对资金拨付后，资金使用过程的使用绩效管理。建立财政资金的追踪问效机制，加强对结余资金的管理。同时，建议进一步加强对各子项目的验收。</w:t>
      </w:r>
    </w:p>
    <w:p>
      <w:pPr>
        <w:adjustRightInd w:val="0"/>
        <w:snapToGrid w:val="0"/>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（三）注重项目产出分析，提高成果效益呈现水平</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1.牢固树立“提升财政资金使用效益”的观念，关注产出结果，并重视对产出结果的分析和利用。</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2.加强对于项目产出的宣传和推介，更好地呈现社会效益，发挥项目产出成果服务和助推经济社会发展，以及文化建设的重要作用。</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3.要进一步加强对学术社团的支持、扶持和帮助，推动学术社团规范、可持续、高质量发展。建议进一步加强指导，提高学术社团申报的积极性，通过项目设计，为学术社团发展赋能增效。</w:t>
      </w:r>
    </w:p>
    <w:p>
      <w:pPr>
        <w:numPr>
          <w:ilvl w:val="0"/>
          <w:numId w:val="3"/>
        </w:numPr>
        <w:adjustRightInd w:val="0"/>
        <w:snapToGrid w:val="0"/>
        <w:spacing w:line="360" w:lineRule="auto"/>
        <w:ind w:firstLine="643" w:firstLineChars="200"/>
        <w:outlineLvl w:val="0"/>
        <w:rPr>
          <w:rFonts w:ascii="黑体" w:hAnsi="黑体" w:eastAsia="黑体" w:cs="黑体"/>
          <w:b/>
          <w:bCs/>
          <w:sz w:val="32"/>
          <w:szCs w:val="32"/>
        </w:rPr>
      </w:pPr>
      <w:bookmarkStart w:id="23" w:name="_Toc25731"/>
      <w:r>
        <w:rPr>
          <w:rFonts w:hint="eastAsia" w:ascii="黑体" w:hAnsi="黑体" w:eastAsia="黑体" w:cs="黑体"/>
          <w:b/>
          <w:bCs/>
          <w:sz w:val="32"/>
          <w:szCs w:val="32"/>
        </w:rPr>
        <w:t>其他需要说明的问题</w:t>
      </w:r>
      <w:bookmarkEnd w:id="23"/>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无。</w:t>
      </w:r>
    </w:p>
    <w:p>
      <w:pPr>
        <w:adjustRightInd w:val="0"/>
        <w:snapToGrid w:val="0"/>
        <w:spacing w:line="360" w:lineRule="auto"/>
        <w:ind w:firstLine="643" w:firstLineChars="200"/>
        <w:outlineLvl w:val="0"/>
        <w:rPr>
          <w:rFonts w:ascii="黑体" w:hAnsi="黑体" w:eastAsia="黑体" w:cs="黑体"/>
          <w:b/>
          <w:bCs/>
          <w:sz w:val="32"/>
          <w:szCs w:val="32"/>
        </w:rPr>
      </w:pPr>
      <w:bookmarkStart w:id="24" w:name="_Toc18197"/>
      <w:bookmarkStart w:id="25" w:name="_Toc59614016"/>
      <w:r>
        <w:rPr>
          <w:rFonts w:hint="eastAsia" w:ascii="黑体" w:hAnsi="黑体" w:eastAsia="黑体" w:cs="黑体"/>
          <w:b/>
          <w:bCs/>
          <w:sz w:val="32"/>
          <w:szCs w:val="32"/>
        </w:rPr>
        <w:t>八、附件</w:t>
      </w:r>
      <w:bookmarkEnd w:id="24"/>
      <w:bookmarkEnd w:id="25"/>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1.项目预算执行情况表</w:t>
      </w:r>
    </w:p>
    <w:p>
      <w:pPr>
        <w:adjustRightInd w:val="0"/>
        <w:snapToGrid w:val="0"/>
        <w:spacing w:line="360" w:lineRule="auto"/>
        <w:ind w:firstLine="640" w:firstLineChars="200"/>
        <w:rPr>
          <w:rFonts w:ascii="仿宋" w:hAnsi="仿宋" w:eastAsia="仿宋" w:cs="仿宋"/>
          <w:sz w:val="32"/>
          <w:szCs w:val="32"/>
        </w:rPr>
      </w:pPr>
      <w:bookmarkStart w:id="26" w:name="_Toc175710855"/>
      <w:bookmarkStart w:id="27" w:name="_Toc171772137"/>
      <w:r>
        <w:rPr>
          <w:rFonts w:hint="eastAsia" w:ascii="仿宋" w:hAnsi="仿宋" w:eastAsia="仿宋" w:cs="仿宋"/>
          <w:sz w:val="32"/>
          <w:szCs w:val="32"/>
        </w:rPr>
        <w:t>2.项目绩效目标完成情况及收支明细表</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3.专家组及工作组情况表</w:t>
      </w:r>
    </w:p>
    <w:bookmarkEnd w:id="26"/>
    <w:bookmarkEnd w:id="27"/>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4.专家意见汇总书</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5.指标体系及打分情况表</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6.项目支出绩效目标申报表</w:t>
      </w:r>
    </w:p>
    <w:p>
      <w:pPr>
        <w:spacing w:line="360" w:lineRule="auto"/>
        <w:ind w:firstLine="640" w:firstLineChars="200"/>
        <w:rPr>
          <w:rFonts w:ascii="仿宋" w:hAnsi="仿宋" w:eastAsia="仿宋" w:cs="仿宋"/>
          <w:sz w:val="32"/>
          <w:szCs w:val="32"/>
        </w:rPr>
      </w:pPr>
    </w:p>
    <w:p>
      <w:pPr>
        <w:spacing w:line="360" w:lineRule="auto"/>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E70A7B-FDFF-4B18-B77B-CCF85EE4F7A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71298D6-68C7-46C1-9A32-D8FC948C27EF}"/>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3" w:fontKey="{371F7ED1-63B8-419A-8AE9-1A5DB42ABF06}"/>
  </w:font>
  <w:font w:name="仿宋_GB2312">
    <w:panose1 w:val="02010609030101010101"/>
    <w:charset w:val="86"/>
    <w:family w:val="modern"/>
    <w:pitch w:val="default"/>
    <w:sig w:usb0="00000001" w:usb1="080E0000" w:usb2="00000000" w:usb3="00000000" w:csb0="00040000" w:csb1="00000000"/>
    <w:embedRegular r:id="rId4" w:fontKey="{F97B03E6-6A92-4AAA-80B9-864040E9C76E}"/>
  </w:font>
  <w:font w:name="仿宋">
    <w:panose1 w:val="02010609060101010101"/>
    <w:charset w:val="86"/>
    <w:family w:val="modern"/>
    <w:pitch w:val="default"/>
    <w:sig w:usb0="800002BF" w:usb1="38CF7CFA" w:usb2="00000016" w:usb3="00000000" w:csb0="00040001" w:csb1="00000000"/>
    <w:embedRegular r:id="rId5" w:fontKey="{47F03FBE-2E96-4CCA-A3B4-C71A7423EA3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sz w:val="28"/>
        <w:szCs w:val="28"/>
      </w:rPr>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sz w:val="28"/>
        <w:szCs w:val="28"/>
      </w:rPr>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posOffset>2590800</wp:posOffset>
              </wp:positionH>
              <wp:positionV relativeFrom="paragraph">
                <wp:posOffset>-635</wp:posOffset>
              </wp:positionV>
              <wp:extent cx="260985" cy="184785"/>
              <wp:effectExtent l="0" t="0" r="5715" b="5715"/>
              <wp:wrapNone/>
              <wp:docPr id="5" name="文本框 5"/>
              <wp:cNvGraphicFramePr/>
              <a:graphic xmlns:a="http://schemas.openxmlformats.org/drawingml/2006/main">
                <a:graphicData uri="http://schemas.microsoft.com/office/word/2010/wordprocessingShape">
                  <wps:wsp>
                    <wps:cNvSpPr txBox="1"/>
                    <wps:spPr>
                      <a:xfrm>
                        <a:off x="0" y="0"/>
                        <a:ext cx="261257" cy="185058"/>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19</w:t>
                          </w:r>
                          <w:r>
                            <w:rPr>
                              <w:rFonts w:ascii="宋体" w:hAnsi="宋体"/>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4pt;margin-top:-0.05pt;height:14.55pt;width:20.55pt;mso-position-horizontal-relative:margin;z-index:251659264;mso-width-relative:page;mso-height-relative:page;" filled="f" stroked="f" coordsize="21600,21600" o:gfxdata="UEsDBAoAAAAAAIdO4kAAAAAAAAAAAAAAAAAEAAAAZHJzL1BLAwQUAAAACACHTuJAxc3fXNcAAAAI&#10;AQAADwAAAGRycy9kb3ducmV2LnhtbE2PS0/DMBCE70j8B2uRuLV2qgi1IZseeNx4FiqVmxMvSURs&#10;R7aTln/PcoLbrGY18025PdlBzBRi7x1CtlQgyDXe9K5FeH+7X6xBxKSd0YN3hPBNEbbV+VmpC+OP&#10;7pXmXWoFh7hYaIQupbGQMjYdWR2XfiTH3qcPVic+QytN0EcOt4NcKXUlre4dN3R6pJuOmq/dZBGG&#10;QwwPtUof8237mF6e5bS/y54QLy8ydQ0i0Sn9PcMvPqNDxUy1n5yJYkDI1Zq3JIRFBoL9PN+wqBFW&#10;GwWyKuX/AdUPUEsDBBQAAAAIAIdO4kCaLDPpMQIAAFUEAAAOAAAAZHJzL2Uyb0RvYy54bWytVMGO&#10;0zAQvSPxD5bvNGlRSlU1XZWtipAqdqWCOLuO00SyPcZ2m5QPgD/gxGXvfFe/g7GTdNHCYQ9c3MnM&#10;+I3fm5kublolyUlYV4PO6XiUUiI0h6LWh5x++rh5NaPEeaYLJkGLnJ6FozfLly8WjZmLCVQgC2EJ&#10;gmg3b0xOK+/NPEkcr4RibgRGaAyWYBXz+GkPSWFZg+hKJpM0nSYN2MJY4MI59K67IO0R7XMAoSxr&#10;LtbAj0po36FaIZlHSq6qjaPL+NqyFNzflaUTnsicIlMfTyyC9j6cyXLB5gfLTFXz/gnsOU94wkmx&#10;WmPRK9SaeUaOtv4LStXcgoPSjziopCMSFUEW4/SJNruKGRG5oNTOXEV3/w+WfzjdW1IXOc0o0Uxh&#10;wy8/vl9+/ro8fCNZkKcxbo5ZO4N5vn0LLQ7N4HfoDKzb0qrwi3wIxlHc81Vc0XrC0TmZjifZG0o4&#10;hsazLM1mASV5vGys8+8EKBKMnFrsXZSUnbbOd6lDSqilYVNLGfsnNWlyOn2dpfHCNYLgUmONQKF7&#10;arB8u297XnsozkjLQjcXzvBNjcW3zPl7ZnEQkAmuir/Do5SARaC3KKnAfv2XP+RjfzBKSYODlVP3&#10;5cisoES+19i5MIWDYQdjPxj6qG4BZ3WMS2h4NPGC9XIwSwvqM27QKlTBENMca+XUD+at78YbN5CL&#10;1Som4awZ5rd6Z3iA7uRbHT2UdVQ2yNJp0auF0xZ7029GGOc/v2PW47/B8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Fzd9c1wAAAAgBAAAPAAAAAAAAAAEAIAAAACIAAABkcnMvZG93bnJldi54bWxQ&#10;SwECFAAUAAAACACHTuJAmiwz6TECAABVBAAADgAAAAAAAAABACAAAAAmAQAAZHJzL2Uyb0RvYy54&#10;bWxQSwUGAAAAAAYABgBZAQAAyQUAAAAA&#10;">
              <v:fill on="f" focussize="0,0"/>
              <v:stroke on="f" weight="0.5pt"/>
              <v:imagedata o:title=""/>
              <o:lock v:ext="edit" aspectratio="f"/>
              <v:textbox inset="0mm,0mm,0mm,0mm">
                <w:txbxContent>
                  <w:p>
                    <w:pPr>
                      <w:pStyle w:val="8"/>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19</w:t>
                    </w:r>
                    <w:r>
                      <w:rPr>
                        <w:rFonts w:ascii="宋体" w:hAnsi="宋体"/>
                        <w:sz w:val="28"/>
                        <w:szCs w:val="28"/>
                      </w:rPr>
                      <w:fldChar w:fldCharType="end"/>
                    </w:r>
                  </w:p>
                </w:txbxContent>
              </v:textbox>
            </v:shape>
          </w:pict>
        </mc:Fallback>
      </mc:AlternateContent>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0CE4A"/>
    <w:multiLevelType w:val="singleLevel"/>
    <w:tmpl w:val="9800CE4A"/>
    <w:lvl w:ilvl="0" w:tentative="0">
      <w:start w:val="3"/>
      <w:numFmt w:val="chineseCounting"/>
      <w:suff w:val="nothing"/>
      <w:lvlText w:val="%1、"/>
      <w:lvlJc w:val="left"/>
      <w:rPr>
        <w:rFonts w:hint="eastAsia"/>
      </w:rPr>
    </w:lvl>
  </w:abstractNum>
  <w:abstractNum w:abstractNumId="1">
    <w:nsid w:val="F30F89F7"/>
    <w:multiLevelType w:val="singleLevel"/>
    <w:tmpl w:val="F30F89F7"/>
    <w:lvl w:ilvl="0" w:tentative="0">
      <w:start w:val="2"/>
      <w:numFmt w:val="decimal"/>
      <w:suff w:val="nothing"/>
      <w:lvlText w:val="（%1）"/>
      <w:lvlJc w:val="left"/>
    </w:lvl>
  </w:abstractNum>
  <w:abstractNum w:abstractNumId="2">
    <w:nsid w:val="416E16EE"/>
    <w:multiLevelType w:val="singleLevel"/>
    <w:tmpl w:val="416E16EE"/>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mJmMTlkMDM4MmE4ZjRmYTk0MjQ3ZGI4MzAwZTMifQ=="/>
  </w:docVars>
  <w:rsids>
    <w:rsidRoot w:val="F77F09F4"/>
    <w:rsid w:val="00025223"/>
    <w:rsid w:val="0007043F"/>
    <w:rsid w:val="0008693E"/>
    <w:rsid w:val="000A6D1D"/>
    <w:rsid w:val="000C6ED5"/>
    <w:rsid w:val="000E2081"/>
    <w:rsid w:val="000E4815"/>
    <w:rsid w:val="00155697"/>
    <w:rsid w:val="00171EC8"/>
    <w:rsid w:val="00176B00"/>
    <w:rsid w:val="001B1E4C"/>
    <w:rsid w:val="001C63E1"/>
    <w:rsid w:val="001F1425"/>
    <w:rsid w:val="001F183E"/>
    <w:rsid w:val="00217537"/>
    <w:rsid w:val="00224EED"/>
    <w:rsid w:val="0023251C"/>
    <w:rsid w:val="002B5766"/>
    <w:rsid w:val="002C308C"/>
    <w:rsid w:val="002C4839"/>
    <w:rsid w:val="002C5224"/>
    <w:rsid w:val="002D163C"/>
    <w:rsid w:val="002D3487"/>
    <w:rsid w:val="002E67F6"/>
    <w:rsid w:val="00312976"/>
    <w:rsid w:val="003146F2"/>
    <w:rsid w:val="0031743B"/>
    <w:rsid w:val="0032297C"/>
    <w:rsid w:val="00332888"/>
    <w:rsid w:val="00350DFC"/>
    <w:rsid w:val="00355E04"/>
    <w:rsid w:val="00363422"/>
    <w:rsid w:val="00397588"/>
    <w:rsid w:val="003A0835"/>
    <w:rsid w:val="003B3688"/>
    <w:rsid w:val="003B7799"/>
    <w:rsid w:val="00423702"/>
    <w:rsid w:val="00466299"/>
    <w:rsid w:val="004A7C16"/>
    <w:rsid w:val="004C4FD5"/>
    <w:rsid w:val="00501C50"/>
    <w:rsid w:val="00507497"/>
    <w:rsid w:val="00523E41"/>
    <w:rsid w:val="005341AC"/>
    <w:rsid w:val="00542E33"/>
    <w:rsid w:val="00544918"/>
    <w:rsid w:val="00550045"/>
    <w:rsid w:val="005626AC"/>
    <w:rsid w:val="00575489"/>
    <w:rsid w:val="00591762"/>
    <w:rsid w:val="005B130F"/>
    <w:rsid w:val="005C3497"/>
    <w:rsid w:val="005D556E"/>
    <w:rsid w:val="005E5625"/>
    <w:rsid w:val="005E78FF"/>
    <w:rsid w:val="00603FA2"/>
    <w:rsid w:val="00614110"/>
    <w:rsid w:val="00651082"/>
    <w:rsid w:val="0067077E"/>
    <w:rsid w:val="00687467"/>
    <w:rsid w:val="006903C8"/>
    <w:rsid w:val="006C1EF1"/>
    <w:rsid w:val="006F4130"/>
    <w:rsid w:val="006F6F5D"/>
    <w:rsid w:val="00712CB8"/>
    <w:rsid w:val="007213D2"/>
    <w:rsid w:val="007659DD"/>
    <w:rsid w:val="00767E12"/>
    <w:rsid w:val="00791852"/>
    <w:rsid w:val="007C3174"/>
    <w:rsid w:val="007C5F79"/>
    <w:rsid w:val="00814CCA"/>
    <w:rsid w:val="00835447"/>
    <w:rsid w:val="008362C8"/>
    <w:rsid w:val="00866D9D"/>
    <w:rsid w:val="008803EB"/>
    <w:rsid w:val="008A1803"/>
    <w:rsid w:val="008C4D9E"/>
    <w:rsid w:val="008D56F0"/>
    <w:rsid w:val="008D7E24"/>
    <w:rsid w:val="008E6125"/>
    <w:rsid w:val="00924539"/>
    <w:rsid w:val="009372DE"/>
    <w:rsid w:val="00966C0C"/>
    <w:rsid w:val="00971290"/>
    <w:rsid w:val="00976EF4"/>
    <w:rsid w:val="00982507"/>
    <w:rsid w:val="009A798D"/>
    <w:rsid w:val="009C3FB8"/>
    <w:rsid w:val="00A20FC7"/>
    <w:rsid w:val="00A22933"/>
    <w:rsid w:val="00A277E3"/>
    <w:rsid w:val="00A34C37"/>
    <w:rsid w:val="00A61489"/>
    <w:rsid w:val="00A776F6"/>
    <w:rsid w:val="00A97220"/>
    <w:rsid w:val="00A97F5A"/>
    <w:rsid w:val="00AA063D"/>
    <w:rsid w:val="00AA516B"/>
    <w:rsid w:val="00AA7F78"/>
    <w:rsid w:val="00AB4744"/>
    <w:rsid w:val="00AB5F8F"/>
    <w:rsid w:val="00AE154F"/>
    <w:rsid w:val="00B0558A"/>
    <w:rsid w:val="00B156A2"/>
    <w:rsid w:val="00B5129E"/>
    <w:rsid w:val="00B6476F"/>
    <w:rsid w:val="00B83A04"/>
    <w:rsid w:val="00B93AA6"/>
    <w:rsid w:val="00BA14C0"/>
    <w:rsid w:val="00C117D3"/>
    <w:rsid w:val="00C142DE"/>
    <w:rsid w:val="00C32FB3"/>
    <w:rsid w:val="00C35F85"/>
    <w:rsid w:val="00C71E6C"/>
    <w:rsid w:val="00C77845"/>
    <w:rsid w:val="00C83174"/>
    <w:rsid w:val="00CA68F6"/>
    <w:rsid w:val="00CC20A5"/>
    <w:rsid w:val="00D132AF"/>
    <w:rsid w:val="00DB628F"/>
    <w:rsid w:val="00DD6491"/>
    <w:rsid w:val="00DD6940"/>
    <w:rsid w:val="00DE3DDB"/>
    <w:rsid w:val="00E0509B"/>
    <w:rsid w:val="00E23A57"/>
    <w:rsid w:val="00E26D8E"/>
    <w:rsid w:val="00E3147F"/>
    <w:rsid w:val="00E43B05"/>
    <w:rsid w:val="00E60D8B"/>
    <w:rsid w:val="00E74E16"/>
    <w:rsid w:val="00E80B80"/>
    <w:rsid w:val="00EF1360"/>
    <w:rsid w:val="00F124C8"/>
    <w:rsid w:val="00F27377"/>
    <w:rsid w:val="00F95987"/>
    <w:rsid w:val="00FB2730"/>
    <w:rsid w:val="00FB6712"/>
    <w:rsid w:val="00FD445D"/>
    <w:rsid w:val="00FD5837"/>
    <w:rsid w:val="00FD63FD"/>
    <w:rsid w:val="00FD668B"/>
    <w:rsid w:val="00FE3F10"/>
    <w:rsid w:val="00FE4DAD"/>
    <w:rsid w:val="01AC3315"/>
    <w:rsid w:val="0215062B"/>
    <w:rsid w:val="023D46EC"/>
    <w:rsid w:val="02956CA3"/>
    <w:rsid w:val="02C45648"/>
    <w:rsid w:val="02DF44EC"/>
    <w:rsid w:val="02F35968"/>
    <w:rsid w:val="03012C48"/>
    <w:rsid w:val="03390BB9"/>
    <w:rsid w:val="0379741F"/>
    <w:rsid w:val="03A265C6"/>
    <w:rsid w:val="03CB3C9F"/>
    <w:rsid w:val="03E448A0"/>
    <w:rsid w:val="040E2409"/>
    <w:rsid w:val="041268DF"/>
    <w:rsid w:val="04295EE4"/>
    <w:rsid w:val="042F6FE8"/>
    <w:rsid w:val="049D617C"/>
    <w:rsid w:val="04AB3B45"/>
    <w:rsid w:val="05045994"/>
    <w:rsid w:val="05376B98"/>
    <w:rsid w:val="05AB19D6"/>
    <w:rsid w:val="0600060C"/>
    <w:rsid w:val="065D35AE"/>
    <w:rsid w:val="069966BA"/>
    <w:rsid w:val="06D55E6E"/>
    <w:rsid w:val="06F229BF"/>
    <w:rsid w:val="07C7001A"/>
    <w:rsid w:val="07D17DB0"/>
    <w:rsid w:val="08253F19"/>
    <w:rsid w:val="083077B6"/>
    <w:rsid w:val="08CE0793"/>
    <w:rsid w:val="08EF305B"/>
    <w:rsid w:val="091A0596"/>
    <w:rsid w:val="091A2489"/>
    <w:rsid w:val="091D16C3"/>
    <w:rsid w:val="09254BA5"/>
    <w:rsid w:val="09895238"/>
    <w:rsid w:val="09C15C02"/>
    <w:rsid w:val="09D50C8A"/>
    <w:rsid w:val="0A5368B6"/>
    <w:rsid w:val="0A9739FA"/>
    <w:rsid w:val="0AD61B81"/>
    <w:rsid w:val="0AD85AD3"/>
    <w:rsid w:val="0B09344B"/>
    <w:rsid w:val="0B1504A9"/>
    <w:rsid w:val="0BCF38A1"/>
    <w:rsid w:val="0C134711"/>
    <w:rsid w:val="0C207950"/>
    <w:rsid w:val="0C2777C0"/>
    <w:rsid w:val="0C2A7EDE"/>
    <w:rsid w:val="0C56100B"/>
    <w:rsid w:val="0CCC0250"/>
    <w:rsid w:val="0CD4659C"/>
    <w:rsid w:val="0D5E59AF"/>
    <w:rsid w:val="0D6D09AF"/>
    <w:rsid w:val="0D965E2C"/>
    <w:rsid w:val="0E0D0205"/>
    <w:rsid w:val="0E2B0851"/>
    <w:rsid w:val="0E762D7D"/>
    <w:rsid w:val="0EDB3B83"/>
    <w:rsid w:val="10032404"/>
    <w:rsid w:val="1026054A"/>
    <w:rsid w:val="10722CE5"/>
    <w:rsid w:val="107B2FAF"/>
    <w:rsid w:val="10925D43"/>
    <w:rsid w:val="115E50F6"/>
    <w:rsid w:val="116E48C1"/>
    <w:rsid w:val="119104CD"/>
    <w:rsid w:val="1229071B"/>
    <w:rsid w:val="126A214F"/>
    <w:rsid w:val="129A70E4"/>
    <w:rsid w:val="12A70EFF"/>
    <w:rsid w:val="131B144A"/>
    <w:rsid w:val="13753589"/>
    <w:rsid w:val="13C54F03"/>
    <w:rsid w:val="14617B76"/>
    <w:rsid w:val="148A6F5D"/>
    <w:rsid w:val="156C763E"/>
    <w:rsid w:val="15961DF1"/>
    <w:rsid w:val="15A36452"/>
    <w:rsid w:val="16210154"/>
    <w:rsid w:val="168801D3"/>
    <w:rsid w:val="16B7018A"/>
    <w:rsid w:val="170117AC"/>
    <w:rsid w:val="17522C76"/>
    <w:rsid w:val="177C08E9"/>
    <w:rsid w:val="17911B8C"/>
    <w:rsid w:val="17B52074"/>
    <w:rsid w:val="17C66C13"/>
    <w:rsid w:val="17DA09CF"/>
    <w:rsid w:val="17EE7E0D"/>
    <w:rsid w:val="183A54FD"/>
    <w:rsid w:val="185C1C5E"/>
    <w:rsid w:val="187E2251"/>
    <w:rsid w:val="18851DD9"/>
    <w:rsid w:val="188C32E3"/>
    <w:rsid w:val="18941C6B"/>
    <w:rsid w:val="18C73370"/>
    <w:rsid w:val="18C937C6"/>
    <w:rsid w:val="1A2804B3"/>
    <w:rsid w:val="1A2B6247"/>
    <w:rsid w:val="1A5003B0"/>
    <w:rsid w:val="1A7B54B0"/>
    <w:rsid w:val="1A876C85"/>
    <w:rsid w:val="1BB11F7A"/>
    <w:rsid w:val="1BC268E4"/>
    <w:rsid w:val="1C0465C1"/>
    <w:rsid w:val="1C5B74E3"/>
    <w:rsid w:val="1C7C4584"/>
    <w:rsid w:val="1CBE6A93"/>
    <w:rsid w:val="1CD20B0C"/>
    <w:rsid w:val="1D7373F8"/>
    <w:rsid w:val="1E2E5180"/>
    <w:rsid w:val="1E444E91"/>
    <w:rsid w:val="1EA72DD4"/>
    <w:rsid w:val="1F5C03C0"/>
    <w:rsid w:val="1FCE481E"/>
    <w:rsid w:val="1FD46037"/>
    <w:rsid w:val="1FE65F6B"/>
    <w:rsid w:val="20203BA9"/>
    <w:rsid w:val="20277BF5"/>
    <w:rsid w:val="20687482"/>
    <w:rsid w:val="20781C29"/>
    <w:rsid w:val="20836312"/>
    <w:rsid w:val="21BE37E6"/>
    <w:rsid w:val="21D30750"/>
    <w:rsid w:val="21E5472C"/>
    <w:rsid w:val="22486D96"/>
    <w:rsid w:val="22E50733"/>
    <w:rsid w:val="22E91FFA"/>
    <w:rsid w:val="23796C31"/>
    <w:rsid w:val="238D5B79"/>
    <w:rsid w:val="239B4E25"/>
    <w:rsid w:val="23EF5C64"/>
    <w:rsid w:val="2430677C"/>
    <w:rsid w:val="245539FC"/>
    <w:rsid w:val="24672DB7"/>
    <w:rsid w:val="24A33A88"/>
    <w:rsid w:val="24AE34FB"/>
    <w:rsid w:val="24B93C4E"/>
    <w:rsid w:val="253010BA"/>
    <w:rsid w:val="25AA585C"/>
    <w:rsid w:val="25F27417"/>
    <w:rsid w:val="262D26F0"/>
    <w:rsid w:val="27730811"/>
    <w:rsid w:val="27A14D63"/>
    <w:rsid w:val="28DF0232"/>
    <w:rsid w:val="292204EF"/>
    <w:rsid w:val="29360BC0"/>
    <w:rsid w:val="29934597"/>
    <w:rsid w:val="29CF765E"/>
    <w:rsid w:val="2A444FBE"/>
    <w:rsid w:val="2AB23619"/>
    <w:rsid w:val="2B103A6F"/>
    <w:rsid w:val="2B207E60"/>
    <w:rsid w:val="2B5C6340"/>
    <w:rsid w:val="2B6C5F9F"/>
    <w:rsid w:val="2B9A7A73"/>
    <w:rsid w:val="2BB7066F"/>
    <w:rsid w:val="2BC959C0"/>
    <w:rsid w:val="2BD8105E"/>
    <w:rsid w:val="2C354464"/>
    <w:rsid w:val="2C3E03C9"/>
    <w:rsid w:val="2D264039"/>
    <w:rsid w:val="2E92330D"/>
    <w:rsid w:val="2EC600FF"/>
    <w:rsid w:val="2F560FEF"/>
    <w:rsid w:val="2FA167AB"/>
    <w:rsid w:val="2FA819BF"/>
    <w:rsid w:val="2FB56275"/>
    <w:rsid w:val="2FB80074"/>
    <w:rsid w:val="30041EB6"/>
    <w:rsid w:val="308B6977"/>
    <w:rsid w:val="3129158A"/>
    <w:rsid w:val="31554B39"/>
    <w:rsid w:val="31AF2261"/>
    <w:rsid w:val="32484E40"/>
    <w:rsid w:val="328D087A"/>
    <w:rsid w:val="329057C7"/>
    <w:rsid w:val="332130EA"/>
    <w:rsid w:val="336E7708"/>
    <w:rsid w:val="3429020B"/>
    <w:rsid w:val="348E47AF"/>
    <w:rsid w:val="349F334D"/>
    <w:rsid w:val="34B71196"/>
    <w:rsid w:val="3514456B"/>
    <w:rsid w:val="35455E32"/>
    <w:rsid w:val="354A014A"/>
    <w:rsid w:val="35601249"/>
    <w:rsid w:val="35884329"/>
    <w:rsid w:val="35F57907"/>
    <w:rsid w:val="3608233F"/>
    <w:rsid w:val="363A284E"/>
    <w:rsid w:val="364E1CA3"/>
    <w:rsid w:val="365E5DA9"/>
    <w:rsid w:val="368A183B"/>
    <w:rsid w:val="36922E0B"/>
    <w:rsid w:val="369D7C73"/>
    <w:rsid w:val="36FC6F8E"/>
    <w:rsid w:val="37173543"/>
    <w:rsid w:val="372A66C4"/>
    <w:rsid w:val="37362EDC"/>
    <w:rsid w:val="37D022AC"/>
    <w:rsid w:val="38016CD4"/>
    <w:rsid w:val="381F7931"/>
    <w:rsid w:val="38B46719"/>
    <w:rsid w:val="38DA2FAE"/>
    <w:rsid w:val="394144E6"/>
    <w:rsid w:val="394D772C"/>
    <w:rsid w:val="39784C65"/>
    <w:rsid w:val="39822409"/>
    <w:rsid w:val="3A212C7F"/>
    <w:rsid w:val="3AA1724F"/>
    <w:rsid w:val="3AE30103"/>
    <w:rsid w:val="3B876E80"/>
    <w:rsid w:val="3BF744AF"/>
    <w:rsid w:val="3C29300F"/>
    <w:rsid w:val="3C6329C5"/>
    <w:rsid w:val="3C6F43F5"/>
    <w:rsid w:val="3C7D54A2"/>
    <w:rsid w:val="3CA77D58"/>
    <w:rsid w:val="3D623D4E"/>
    <w:rsid w:val="3D954B0C"/>
    <w:rsid w:val="3E223D60"/>
    <w:rsid w:val="3EA24236"/>
    <w:rsid w:val="3ECB5E50"/>
    <w:rsid w:val="3F1935C2"/>
    <w:rsid w:val="3F217868"/>
    <w:rsid w:val="3F7C2777"/>
    <w:rsid w:val="3F920AC2"/>
    <w:rsid w:val="3FF76880"/>
    <w:rsid w:val="403C6078"/>
    <w:rsid w:val="409F1509"/>
    <w:rsid w:val="41083B3B"/>
    <w:rsid w:val="41170425"/>
    <w:rsid w:val="423F533B"/>
    <w:rsid w:val="42416C5C"/>
    <w:rsid w:val="426E3E72"/>
    <w:rsid w:val="42727E31"/>
    <w:rsid w:val="42CD344B"/>
    <w:rsid w:val="42D55C9F"/>
    <w:rsid w:val="434C11A9"/>
    <w:rsid w:val="436A4639"/>
    <w:rsid w:val="43A907B7"/>
    <w:rsid w:val="43CE725C"/>
    <w:rsid w:val="446F7A4C"/>
    <w:rsid w:val="44C22C52"/>
    <w:rsid w:val="45C05006"/>
    <w:rsid w:val="46024FFD"/>
    <w:rsid w:val="460A3EB2"/>
    <w:rsid w:val="4613776D"/>
    <w:rsid w:val="46477102"/>
    <w:rsid w:val="4675712E"/>
    <w:rsid w:val="46C969CD"/>
    <w:rsid w:val="46DA616D"/>
    <w:rsid w:val="46EC4B66"/>
    <w:rsid w:val="46EE06DB"/>
    <w:rsid w:val="46FF778E"/>
    <w:rsid w:val="47865B1E"/>
    <w:rsid w:val="47EA15A8"/>
    <w:rsid w:val="482C3501"/>
    <w:rsid w:val="488416EA"/>
    <w:rsid w:val="48F20F88"/>
    <w:rsid w:val="48F64A48"/>
    <w:rsid w:val="49050320"/>
    <w:rsid w:val="49184B37"/>
    <w:rsid w:val="49384D99"/>
    <w:rsid w:val="494B380A"/>
    <w:rsid w:val="49563D39"/>
    <w:rsid w:val="49566508"/>
    <w:rsid w:val="49C33021"/>
    <w:rsid w:val="4A003601"/>
    <w:rsid w:val="4A58546C"/>
    <w:rsid w:val="4A6643F5"/>
    <w:rsid w:val="4A6D3122"/>
    <w:rsid w:val="4B055D02"/>
    <w:rsid w:val="4B18689A"/>
    <w:rsid w:val="4CD241FD"/>
    <w:rsid w:val="4D2607AE"/>
    <w:rsid w:val="4D322BAA"/>
    <w:rsid w:val="4D327804"/>
    <w:rsid w:val="4D6B1FF6"/>
    <w:rsid w:val="4DD0248F"/>
    <w:rsid w:val="4E0308FE"/>
    <w:rsid w:val="4E3367FF"/>
    <w:rsid w:val="4E796F06"/>
    <w:rsid w:val="4E9B700B"/>
    <w:rsid w:val="4EF833C6"/>
    <w:rsid w:val="4F061144"/>
    <w:rsid w:val="4F6D13C2"/>
    <w:rsid w:val="4F805834"/>
    <w:rsid w:val="4FA42C81"/>
    <w:rsid w:val="4FF14106"/>
    <w:rsid w:val="502E69EF"/>
    <w:rsid w:val="5151351A"/>
    <w:rsid w:val="51A46F68"/>
    <w:rsid w:val="521B350A"/>
    <w:rsid w:val="527C7D68"/>
    <w:rsid w:val="52836082"/>
    <w:rsid w:val="537B28CF"/>
    <w:rsid w:val="53DE0AC3"/>
    <w:rsid w:val="546637B1"/>
    <w:rsid w:val="54906EC3"/>
    <w:rsid w:val="549274FC"/>
    <w:rsid w:val="54F46459"/>
    <w:rsid w:val="551F46E2"/>
    <w:rsid w:val="55563C95"/>
    <w:rsid w:val="55D3606E"/>
    <w:rsid w:val="56EA62BF"/>
    <w:rsid w:val="57312B2E"/>
    <w:rsid w:val="573B0800"/>
    <w:rsid w:val="57413847"/>
    <w:rsid w:val="57997473"/>
    <w:rsid w:val="57B8376D"/>
    <w:rsid w:val="57E539E8"/>
    <w:rsid w:val="58694BAA"/>
    <w:rsid w:val="586C269D"/>
    <w:rsid w:val="59224C88"/>
    <w:rsid w:val="59442A10"/>
    <w:rsid w:val="596E6567"/>
    <w:rsid w:val="5993089A"/>
    <w:rsid w:val="599C7C5B"/>
    <w:rsid w:val="59AC7302"/>
    <w:rsid w:val="59BC7E98"/>
    <w:rsid w:val="59F37FFC"/>
    <w:rsid w:val="5A0B2B29"/>
    <w:rsid w:val="5A1217E0"/>
    <w:rsid w:val="5AB05DBB"/>
    <w:rsid w:val="5B051866"/>
    <w:rsid w:val="5BE632DF"/>
    <w:rsid w:val="5BFC0FF0"/>
    <w:rsid w:val="5C180181"/>
    <w:rsid w:val="5C9A2DE9"/>
    <w:rsid w:val="5C9C17E0"/>
    <w:rsid w:val="5D1A3D05"/>
    <w:rsid w:val="5D2C323C"/>
    <w:rsid w:val="5DA05AE1"/>
    <w:rsid w:val="5DAE1464"/>
    <w:rsid w:val="5DB603C1"/>
    <w:rsid w:val="5DBB4CBE"/>
    <w:rsid w:val="5DD37888"/>
    <w:rsid w:val="5DF572A1"/>
    <w:rsid w:val="5DF72526"/>
    <w:rsid w:val="5E042EB3"/>
    <w:rsid w:val="5E5F664B"/>
    <w:rsid w:val="5E991D6C"/>
    <w:rsid w:val="5EC32B0D"/>
    <w:rsid w:val="5F291C93"/>
    <w:rsid w:val="5F5B4760"/>
    <w:rsid w:val="5F5D3118"/>
    <w:rsid w:val="5FC84D86"/>
    <w:rsid w:val="5FCB5008"/>
    <w:rsid w:val="607743FF"/>
    <w:rsid w:val="612C0FEE"/>
    <w:rsid w:val="612E55A2"/>
    <w:rsid w:val="619C1A0A"/>
    <w:rsid w:val="61F65C1C"/>
    <w:rsid w:val="626B7E31"/>
    <w:rsid w:val="63554566"/>
    <w:rsid w:val="63A1699D"/>
    <w:rsid w:val="63B374DF"/>
    <w:rsid w:val="63D73766"/>
    <w:rsid w:val="63F07225"/>
    <w:rsid w:val="64061D04"/>
    <w:rsid w:val="648B5040"/>
    <w:rsid w:val="64E00C0F"/>
    <w:rsid w:val="655556B4"/>
    <w:rsid w:val="658228A5"/>
    <w:rsid w:val="65A94A3A"/>
    <w:rsid w:val="668A09CB"/>
    <w:rsid w:val="66B95626"/>
    <w:rsid w:val="66C23730"/>
    <w:rsid w:val="67131D79"/>
    <w:rsid w:val="6775562B"/>
    <w:rsid w:val="67A64365"/>
    <w:rsid w:val="67A96C2F"/>
    <w:rsid w:val="67BA7D62"/>
    <w:rsid w:val="67C611EF"/>
    <w:rsid w:val="67F0485E"/>
    <w:rsid w:val="685F1E48"/>
    <w:rsid w:val="687D017D"/>
    <w:rsid w:val="692A36E1"/>
    <w:rsid w:val="69E0752D"/>
    <w:rsid w:val="6A3C1E47"/>
    <w:rsid w:val="6A6D03E7"/>
    <w:rsid w:val="6ADE12E5"/>
    <w:rsid w:val="6B881251"/>
    <w:rsid w:val="6B9219DB"/>
    <w:rsid w:val="6BCE135A"/>
    <w:rsid w:val="6C1E6AEC"/>
    <w:rsid w:val="6C851BD7"/>
    <w:rsid w:val="6CCA508A"/>
    <w:rsid w:val="6D2B6338"/>
    <w:rsid w:val="6D9F7155"/>
    <w:rsid w:val="6DAB3302"/>
    <w:rsid w:val="6DD67DB9"/>
    <w:rsid w:val="6DEC1F6B"/>
    <w:rsid w:val="6E935DC7"/>
    <w:rsid w:val="6ECA667C"/>
    <w:rsid w:val="6EEB5D7F"/>
    <w:rsid w:val="6F843BE1"/>
    <w:rsid w:val="6FCC3E6E"/>
    <w:rsid w:val="6FCD2B56"/>
    <w:rsid w:val="6FCD667E"/>
    <w:rsid w:val="70270FE6"/>
    <w:rsid w:val="702E68B6"/>
    <w:rsid w:val="7059626F"/>
    <w:rsid w:val="707C04AA"/>
    <w:rsid w:val="70827B1F"/>
    <w:rsid w:val="70E60B1F"/>
    <w:rsid w:val="71303705"/>
    <w:rsid w:val="71313017"/>
    <w:rsid w:val="71744DC4"/>
    <w:rsid w:val="7191390D"/>
    <w:rsid w:val="71AC2126"/>
    <w:rsid w:val="720C66CB"/>
    <w:rsid w:val="72FA163D"/>
    <w:rsid w:val="73C51E3B"/>
    <w:rsid w:val="73DB1AFA"/>
    <w:rsid w:val="73F0064F"/>
    <w:rsid w:val="749871D9"/>
    <w:rsid w:val="74E76FE8"/>
    <w:rsid w:val="75314FC6"/>
    <w:rsid w:val="764567DD"/>
    <w:rsid w:val="767A1054"/>
    <w:rsid w:val="77174DFB"/>
    <w:rsid w:val="77613313"/>
    <w:rsid w:val="77F41BD4"/>
    <w:rsid w:val="782E2D8C"/>
    <w:rsid w:val="783A3BAA"/>
    <w:rsid w:val="78973F5E"/>
    <w:rsid w:val="79061A0E"/>
    <w:rsid w:val="79F15060"/>
    <w:rsid w:val="79F524B4"/>
    <w:rsid w:val="79F74481"/>
    <w:rsid w:val="7A08012D"/>
    <w:rsid w:val="7A0C3372"/>
    <w:rsid w:val="7AB7FF50"/>
    <w:rsid w:val="7ACA60B5"/>
    <w:rsid w:val="7BE97AEA"/>
    <w:rsid w:val="7BF15676"/>
    <w:rsid w:val="7BF32548"/>
    <w:rsid w:val="7BFEB0DB"/>
    <w:rsid w:val="7C2F0F2A"/>
    <w:rsid w:val="7C5A7418"/>
    <w:rsid w:val="7C8F3025"/>
    <w:rsid w:val="7CA05A8B"/>
    <w:rsid w:val="7CD633F5"/>
    <w:rsid w:val="7DAD23D6"/>
    <w:rsid w:val="7E1A6AD0"/>
    <w:rsid w:val="7E75603A"/>
    <w:rsid w:val="7E7A49CB"/>
    <w:rsid w:val="7E9F601E"/>
    <w:rsid w:val="7FA55604"/>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annotation text"/>
    <w:basedOn w:val="1"/>
    <w:link w:val="23"/>
    <w:qFormat/>
    <w:uiPriority w:val="0"/>
    <w:pPr>
      <w:jc w:val="left"/>
    </w:pPr>
  </w:style>
  <w:style w:type="paragraph" w:styleId="6">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7">
    <w:name w:val="Balloon Text"/>
    <w:basedOn w:val="1"/>
    <w:link w:val="25"/>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annotation subject"/>
    <w:basedOn w:val="5"/>
    <w:next w:val="5"/>
    <w:link w:val="24"/>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99"/>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styleId="18">
    <w:name w:val="annotation reference"/>
    <w:basedOn w:val="15"/>
    <w:qFormat/>
    <w:uiPriority w:val="0"/>
    <w:rPr>
      <w:sz w:val="21"/>
      <w:szCs w:val="21"/>
    </w:rPr>
  </w:style>
  <w:style w:type="paragraph" w:customStyle="1" w:styleId="19">
    <w:name w:val="列出段落1"/>
    <w:basedOn w:val="1"/>
    <w:qFormat/>
    <w:uiPriority w:val="34"/>
    <w:pPr>
      <w:ind w:firstLine="420" w:firstLineChars="200"/>
    </w:pPr>
    <w:rPr>
      <w:rFonts w:ascii="Calibri" w:hAnsi="Calibri" w:cs="黑体"/>
      <w:szCs w:val="22"/>
    </w:rPr>
  </w:style>
  <w:style w:type="paragraph" w:customStyle="1" w:styleId="20">
    <w:name w:val="WPSOffice手动目录 1"/>
    <w:qFormat/>
    <w:uiPriority w:val="0"/>
    <w:rPr>
      <w:rFonts w:asciiTheme="minorHAnsi" w:hAnsiTheme="minorHAnsi" w:eastAsiaTheme="minorEastAsia" w:cstheme="minorBidi"/>
      <w:lang w:val="en-US" w:eastAsia="zh-CN" w:bidi="ar-SA"/>
    </w:rPr>
  </w:style>
  <w:style w:type="paragraph" w:customStyle="1" w:styleId="21">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2">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3">
    <w:name w:val="批注文字 字符"/>
    <w:basedOn w:val="15"/>
    <w:link w:val="5"/>
    <w:qFormat/>
    <w:uiPriority w:val="0"/>
    <w:rPr>
      <w:kern w:val="2"/>
      <w:sz w:val="21"/>
      <w:szCs w:val="24"/>
    </w:rPr>
  </w:style>
  <w:style w:type="character" w:customStyle="1" w:styleId="24">
    <w:name w:val="批注主题 字符"/>
    <w:basedOn w:val="23"/>
    <w:link w:val="12"/>
    <w:qFormat/>
    <w:uiPriority w:val="0"/>
    <w:rPr>
      <w:b/>
      <w:bCs/>
      <w:kern w:val="2"/>
      <w:sz w:val="21"/>
      <w:szCs w:val="24"/>
    </w:rPr>
  </w:style>
  <w:style w:type="character" w:customStyle="1" w:styleId="25">
    <w:name w:val="批注框文本 字符"/>
    <w:basedOn w:val="15"/>
    <w:link w:val="7"/>
    <w:qFormat/>
    <w:uiPriority w:val="0"/>
    <w:rPr>
      <w:kern w:val="2"/>
      <w:sz w:val="18"/>
      <w:szCs w:val="18"/>
    </w:rPr>
  </w:style>
  <w:style w:type="paragraph" w:customStyle="1" w:styleId="26">
    <w:name w:val="修订2"/>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37E3A2-590C-4AF7-9B01-8639D660A729}">
  <ds:schemaRefs/>
</ds:datastoreItem>
</file>

<file path=docProps/app.xml><?xml version="1.0" encoding="utf-8"?>
<Properties xmlns="http://schemas.openxmlformats.org/officeDocument/2006/extended-properties" xmlns:vt="http://schemas.openxmlformats.org/officeDocument/2006/docPropsVTypes">
  <Template>Normal</Template>
  <Pages>35</Pages>
  <Words>14792</Words>
  <Characters>15569</Characters>
  <Lines>125</Lines>
  <Paragraphs>35</Paragraphs>
  <TotalTime>2</TotalTime>
  <ScaleCrop>false</ScaleCrop>
  <LinksUpToDate>false</LinksUpToDate>
  <CharactersWithSpaces>15841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Q</cp:lastModifiedBy>
  <cp:lastPrinted>2022-03-24T10:01:00Z</cp:lastPrinted>
  <dcterms:modified xsi:type="dcterms:W3CDTF">2023-05-15T00:43:36Z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commondata">
    <vt:lpwstr>eyJoZGlkIjoiODhmNGU3YTgyZDFiNWYzNGY0Mzc2ODdhYWM2OGQ3MGYifQ==</vt:lpwstr>
  </property>
  <property fmtid="{D5CDD505-2E9C-101B-9397-08002B2CF9AE}" pid="4" name="ICV">
    <vt:lpwstr>389BAFE8EA404DC5BD6A8B910A460F62</vt:lpwstr>
  </property>
</Properties>
</file>