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342" w:type="dxa"/>
        <w:jc w:val="center"/>
        <w:tblLayout w:type="fixed"/>
        <w:tblCellMar>
          <w:top w:w="0" w:type="dxa"/>
          <w:left w:w="108" w:type="dxa"/>
          <w:bottom w:w="0" w:type="dxa"/>
          <w:right w:w="108" w:type="dxa"/>
        </w:tblCellMar>
      </w:tblPr>
      <w:tblGrid>
        <w:gridCol w:w="691"/>
        <w:gridCol w:w="733"/>
        <w:gridCol w:w="1322"/>
        <w:gridCol w:w="194"/>
        <w:gridCol w:w="1222"/>
        <w:gridCol w:w="197"/>
        <w:gridCol w:w="1276"/>
        <w:gridCol w:w="1156"/>
        <w:gridCol w:w="535"/>
        <w:gridCol w:w="185"/>
        <w:gridCol w:w="731"/>
        <w:gridCol w:w="197"/>
        <w:gridCol w:w="883"/>
        <w:gridCol w:w="1020"/>
      </w:tblGrid>
      <w:tr>
        <w:tblPrEx>
          <w:tblCellMar>
            <w:top w:w="0" w:type="dxa"/>
            <w:left w:w="108" w:type="dxa"/>
            <w:bottom w:w="0" w:type="dxa"/>
            <w:right w:w="108" w:type="dxa"/>
          </w:tblCellMar>
        </w:tblPrEx>
        <w:trPr>
          <w:trHeight w:val="440" w:hRule="exact"/>
          <w:jc w:val="center"/>
        </w:trPr>
        <w:tc>
          <w:tcPr>
            <w:tcW w:w="10342"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10342" w:type="dxa"/>
            <w:gridSpan w:val="14"/>
            <w:tcBorders>
              <w:top w:val="nil"/>
              <w:left w:val="nil"/>
              <w:bottom w:val="nil"/>
              <w:right w:val="nil"/>
            </w:tcBorders>
          </w:tcPr>
          <w:p>
            <w:pPr>
              <w:widowControl/>
              <w:jc w:val="center"/>
              <w:rPr>
                <w:rFonts w:ascii="宋体" w:hAnsi="宋体" w:cs="宋体"/>
                <w:kern w:val="0"/>
                <w:sz w:val="24"/>
              </w:rPr>
            </w:pPr>
            <w:r>
              <w:rPr>
                <w:rFonts w:hint="eastAsia" w:ascii="宋体" w:hAnsi="宋体" w:cs="宋体"/>
                <w:kern w:val="0"/>
                <w:sz w:val="24"/>
              </w:rPr>
              <w:t>（ 2022 年度）</w:t>
            </w:r>
          </w:p>
        </w:tc>
      </w:tr>
      <w:tr>
        <w:tblPrEx>
          <w:tblCellMar>
            <w:top w:w="0" w:type="dxa"/>
            <w:left w:w="108" w:type="dxa"/>
            <w:bottom w:w="0" w:type="dxa"/>
            <w:right w:w="108" w:type="dxa"/>
          </w:tblCellMar>
        </w:tblPrEx>
        <w:trPr>
          <w:trHeight w:val="737" w:hRule="atLeast"/>
          <w:jc w:val="center"/>
        </w:trPr>
        <w:tc>
          <w:tcPr>
            <w:tcW w:w="142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项目名称</w:t>
            </w:r>
          </w:p>
        </w:tc>
        <w:tc>
          <w:tcPr>
            <w:tcW w:w="8918" w:type="dxa"/>
            <w:gridSpan w:val="1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政务互联网云服务</w:t>
            </w:r>
          </w:p>
        </w:tc>
      </w:tr>
      <w:tr>
        <w:tblPrEx>
          <w:tblCellMar>
            <w:top w:w="0" w:type="dxa"/>
            <w:left w:w="108" w:type="dxa"/>
            <w:bottom w:w="0" w:type="dxa"/>
            <w:right w:w="108" w:type="dxa"/>
          </w:tblCellMar>
        </w:tblPrEx>
        <w:trPr>
          <w:trHeight w:val="737" w:hRule="atLeast"/>
          <w:jc w:val="center"/>
        </w:trPr>
        <w:tc>
          <w:tcPr>
            <w:tcW w:w="142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主管部门</w:t>
            </w:r>
          </w:p>
        </w:tc>
        <w:tc>
          <w:tcPr>
            <w:tcW w:w="4211"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北京市社会科学界联合会</w:t>
            </w:r>
          </w:p>
        </w:tc>
        <w:tc>
          <w:tcPr>
            <w:tcW w:w="169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实施单位</w:t>
            </w:r>
          </w:p>
        </w:tc>
        <w:tc>
          <w:tcPr>
            <w:tcW w:w="3016"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北京市社会科学界联合会</w:t>
            </w:r>
          </w:p>
        </w:tc>
      </w:tr>
      <w:tr>
        <w:tblPrEx>
          <w:tblCellMar>
            <w:top w:w="0" w:type="dxa"/>
            <w:left w:w="108" w:type="dxa"/>
            <w:bottom w:w="0" w:type="dxa"/>
            <w:right w:w="108" w:type="dxa"/>
          </w:tblCellMar>
        </w:tblPrEx>
        <w:trPr>
          <w:trHeight w:val="737" w:hRule="atLeast"/>
          <w:jc w:val="center"/>
        </w:trPr>
        <w:tc>
          <w:tcPr>
            <w:tcW w:w="142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项目负责人</w:t>
            </w:r>
          </w:p>
        </w:tc>
        <w:tc>
          <w:tcPr>
            <w:tcW w:w="4211"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肖士兵</w:t>
            </w:r>
          </w:p>
        </w:tc>
        <w:tc>
          <w:tcPr>
            <w:tcW w:w="169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联系电话</w:t>
            </w:r>
          </w:p>
        </w:tc>
        <w:tc>
          <w:tcPr>
            <w:tcW w:w="3016"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64527800</w:t>
            </w:r>
          </w:p>
        </w:tc>
      </w:tr>
      <w:tr>
        <w:tblPrEx>
          <w:tblCellMar>
            <w:top w:w="0" w:type="dxa"/>
            <w:left w:w="108" w:type="dxa"/>
            <w:bottom w:w="0" w:type="dxa"/>
            <w:right w:w="108" w:type="dxa"/>
          </w:tblCellMar>
        </w:tblPrEx>
        <w:trPr>
          <w:trHeight w:val="737" w:hRule="atLeast"/>
          <w:jc w:val="center"/>
        </w:trPr>
        <w:tc>
          <w:tcPr>
            <w:tcW w:w="1424"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项目资金</w:t>
            </w:r>
            <w:r>
              <w:rPr>
                <w:rFonts w:hint="eastAsia" w:ascii="宋体" w:hAnsi="宋体" w:cs="宋体"/>
                <w:kern w:val="0"/>
                <w:sz w:val="24"/>
              </w:rPr>
              <w:br w:type="textWrapping"/>
            </w:r>
            <w:r>
              <w:rPr>
                <w:rFonts w:hint="eastAsia" w:ascii="宋体" w:hAnsi="宋体" w:cs="宋体"/>
                <w:kern w:val="0"/>
                <w:sz w:val="24"/>
              </w:rPr>
              <w:t>（万元）</w:t>
            </w:r>
          </w:p>
        </w:tc>
        <w:tc>
          <w:tcPr>
            <w:tcW w:w="1516"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p>
        </w:tc>
        <w:tc>
          <w:tcPr>
            <w:tcW w:w="1419"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年初预算数</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全年预算数</w:t>
            </w:r>
          </w:p>
        </w:tc>
        <w:tc>
          <w:tcPr>
            <w:tcW w:w="169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全年执行数</w:t>
            </w:r>
          </w:p>
        </w:tc>
        <w:tc>
          <w:tcPr>
            <w:tcW w:w="916"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分值</w:t>
            </w:r>
          </w:p>
        </w:tc>
        <w:tc>
          <w:tcPr>
            <w:tcW w:w="10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执行率</w:t>
            </w:r>
          </w:p>
        </w:tc>
        <w:tc>
          <w:tcPr>
            <w:tcW w:w="1020"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得分</w:t>
            </w:r>
          </w:p>
        </w:tc>
      </w:tr>
      <w:tr>
        <w:tblPrEx>
          <w:tblCellMar>
            <w:top w:w="0" w:type="dxa"/>
            <w:left w:w="108" w:type="dxa"/>
            <w:bottom w:w="0" w:type="dxa"/>
            <w:right w:w="108" w:type="dxa"/>
          </w:tblCellMar>
        </w:tblPrEx>
        <w:trPr>
          <w:trHeight w:val="737" w:hRule="atLeast"/>
          <w:jc w:val="center"/>
        </w:trPr>
        <w:tc>
          <w:tcPr>
            <w:tcW w:w="142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516" w:type="dxa"/>
            <w:gridSpan w:val="2"/>
            <w:tcBorders>
              <w:top w:val="single" w:color="auto" w:sz="4" w:space="0"/>
              <w:left w:val="nil"/>
              <w:bottom w:val="single" w:color="auto" w:sz="4" w:space="0"/>
              <w:right w:val="single" w:color="auto" w:sz="4" w:space="0"/>
            </w:tcBorders>
            <w:vAlign w:val="center"/>
          </w:tcPr>
          <w:p>
            <w:pPr>
              <w:widowControl/>
              <w:rPr>
                <w:rFonts w:ascii="宋体" w:hAnsi="宋体" w:cs="宋体"/>
                <w:kern w:val="0"/>
                <w:sz w:val="24"/>
              </w:rPr>
            </w:pPr>
            <w:r>
              <w:rPr>
                <w:rFonts w:hint="eastAsia" w:ascii="宋体" w:hAnsi="宋体" w:cs="宋体"/>
                <w:kern w:val="0"/>
                <w:sz w:val="24"/>
              </w:rPr>
              <w:t>年度资金总额</w:t>
            </w:r>
          </w:p>
        </w:tc>
        <w:tc>
          <w:tcPr>
            <w:tcW w:w="1419"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94</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94</w:t>
            </w:r>
          </w:p>
        </w:tc>
        <w:tc>
          <w:tcPr>
            <w:tcW w:w="169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94</w:t>
            </w:r>
          </w:p>
        </w:tc>
        <w:tc>
          <w:tcPr>
            <w:tcW w:w="916"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10</w:t>
            </w:r>
          </w:p>
        </w:tc>
        <w:tc>
          <w:tcPr>
            <w:tcW w:w="10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100%</w:t>
            </w:r>
          </w:p>
        </w:tc>
        <w:tc>
          <w:tcPr>
            <w:tcW w:w="1020"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10</w:t>
            </w:r>
          </w:p>
        </w:tc>
      </w:tr>
      <w:tr>
        <w:tblPrEx>
          <w:tblCellMar>
            <w:top w:w="0" w:type="dxa"/>
            <w:left w:w="108" w:type="dxa"/>
            <w:bottom w:w="0" w:type="dxa"/>
            <w:right w:w="108" w:type="dxa"/>
          </w:tblCellMar>
        </w:tblPrEx>
        <w:trPr>
          <w:trHeight w:val="737" w:hRule="atLeast"/>
          <w:jc w:val="center"/>
        </w:trPr>
        <w:tc>
          <w:tcPr>
            <w:tcW w:w="142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516"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其中：当年财政拨款</w:t>
            </w:r>
          </w:p>
        </w:tc>
        <w:tc>
          <w:tcPr>
            <w:tcW w:w="1419"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94</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94</w:t>
            </w:r>
          </w:p>
        </w:tc>
        <w:tc>
          <w:tcPr>
            <w:tcW w:w="169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94</w:t>
            </w:r>
          </w:p>
        </w:tc>
        <w:tc>
          <w:tcPr>
            <w:tcW w:w="916"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w:t>
            </w:r>
          </w:p>
        </w:tc>
        <w:tc>
          <w:tcPr>
            <w:tcW w:w="10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100%</w:t>
            </w:r>
          </w:p>
        </w:tc>
        <w:tc>
          <w:tcPr>
            <w:tcW w:w="1020"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w:t>
            </w:r>
          </w:p>
        </w:tc>
      </w:tr>
      <w:tr>
        <w:tblPrEx>
          <w:tblCellMar>
            <w:top w:w="0" w:type="dxa"/>
            <w:left w:w="108" w:type="dxa"/>
            <w:bottom w:w="0" w:type="dxa"/>
            <w:right w:w="108" w:type="dxa"/>
          </w:tblCellMar>
        </w:tblPrEx>
        <w:trPr>
          <w:trHeight w:val="737" w:hRule="atLeast"/>
          <w:jc w:val="center"/>
        </w:trPr>
        <w:tc>
          <w:tcPr>
            <w:tcW w:w="142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516" w:type="dxa"/>
            <w:gridSpan w:val="2"/>
            <w:tcBorders>
              <w:top w:val="single" w:color="auto" w:sz="4" w:space="0"/>
              <w:left w:val="nil"/>
              <w:bottom w:val="single" w:color="auto" w:sz="4" w:space="0"/>
              <w:right w:val="single" w:color="auto" w:sz="4" w:space="0"/>
            </w:tcBorders>
            <w:vAlign w:val="center"/>
          </w:tcPr>
          <w:p>
            <w:pPr>
              <w:widowControl/>
              <w:rPr>
                <w:rFonts w:ascii="宋体" w:hAnsi="宋体" w:cs="宋体"/>
                <w:kern w:val="0"/>
                <w:sz w:val="24"/>
              </w:rPr>
            </w:pPr>
            <w:r>
              <w:rPr>
                <w:rFonts w:hint="eastAsia" w:ascii="宋体" w:hAnsi="宋体" w:cs="宋体"/>
                <w:kern w:val="0"/>
                <w:sz w:val="24"/>
              </w:rPr>
              <w:t>上年结转资金</w:t>
            </w:r>
          </w:p>
        </w:tc>
        <w:tc>
          <w:tcPr>
            <w:tcW w:w="1419"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p>
        </w:tc>
        <w:tc>
          <w:tcPr>
            <w:tcW w:w="169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p>
        </w:tc>
        <w:tc>
          <w:tcPr>
            <w:tcW w:w="916"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w:t>
            </w:r>
          </w:p>
        </w:tc>
        <w:tc>
          <w:tcPr>
            <w:tcW w:w="10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p>
        </w:tc>
        <w:tc>
          <w:tcPr>
            <w:tcW w:w="1020"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w:t>
            </w:r>
          </w:p>
        </w:tc>
      </w:tr>
      <w:tr>
        <w:tblPrEx>
          <w:tblCellMar>
            <w:top w:w="0" w:type="dxa"/>
            <w:left w:w="108" w:type="dxa"/>
            <w:bottom w:w="0" w:type="dxa"/>
            <w:right w:w="108" w:type="dxa"/>
          </w:tblCellMar>
        </w:tblPrEx>
        <w:trPr>
          <w:trHeight w:val="737" w:hRule="atLeast"/>
          <w:jc w:val="center"/>
        </w:trPr>
        <w:tc>
          <w:tcPr>
            <w:tcW w:w="142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516" w:type="dxa"/>
            <w:gridSpan w:val="2"/>
            <w:tcBorders>
              <w:top w:val="single" w:color="auto" w:sz="4" w:space="0"/>
              <w:left w:val="nil"/>
              <w:bottom w:val="single" w:color="auto" w:sz="4" w:space="0"/>
              <w:right w:val="single" w:color="auto" w:sz="4" w:space="0"/>
            </w:tcBorders>
            <w:vAlign w:val="center"/>
          </w:tcPr>
          <w:p>
            <w:pPr>
              <w:widowControl/>
              <w:rPr>
                <w:rFonts w:ascii="宋体" w:hAnsi="宋体" w:cs="宋体"/>
                <w:kern w:val="0"/>
                <w:sz w:val="24"/>
              </w:rPr>
            </w:pPr>
            <w:r>
              <w:rPr>
                <w:rFonts w:hint="eastAsia" w:ascii="宋体" w:hAnsi="宋体" w:cs="宋体"/>
                <w:kern w:val="0"/>
                <w:sz w:val="24"/>
              </w:rPr>
              <w:t>其他资金</w:t>
            </w:r>
          </w:p>
        </w:tc>
        <w:tc>
          <w:tcPr>
            <w:tcW w:w="1419"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p>
        </w:tc>
        <w:tc>
          <w:tcPr>
            <w:tcW w:w="169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p>
        </w:tc>
        <w:tc>
          <w:tcPr>
            <w:tcW w:w="916"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w:t>
            </w:r>
          </w:p>
        </w:tc>
        <w:tc>
          <w:tcPr>
            <w:tcW w:w="10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p>
        </w:tc>
        <w:tc>
          <w:tcPr>
            <w:tcW w:w="1020"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w:t>
            </w:r>
          </w:p>
        </w:tc>
      </w:tr>
      <w:tr>
        <w:tblPrEx>
          <w:tblCellMar>
            <w:top w:w="0" w:type="dxa"/>
            <w:left w:w="108" w:type="dxa"/>
            <w:bottom w:w="0" w:type="dxa"/>
            <w:right w:w="108" w:type="dxa"/>
          </w:tblCellMar>
        </w:tblPrEx>
        <w:trPr>
          <w:trHeight w:val="737" w:hRule="atLeast"/>
          <w:jc w:val="center"/>
        </w:trPr>
        <w:tc>
          <w:tcPr>
            <w:tcW w:w="691"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年度总体目标</w:t>
            </w:r>
          </w:p>
        </w:tc>
        <w:tc>
          <w:tcPr>
            <w:tcW w:w="4944"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预期目标</w:t>
            </w:r>
          </w:p>
        </w:tc>
        <w:tc>
          <w:tcPr>
            <w:tcW w:w="4707" w:type="dxa"/>
            <w:gridSpan w:val="7"/>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实际完成情况</w:t>
            </w:r>
          </w:p>
        </w:tc>
      </w:tr>
      <w:tr>
        <w:tblPrEx>
          <w:tblCellMar>
            <w:top w:w="0" w:type="dxa"/>
            <w:left w:w="108" w:type="dxa"/>
            <w:bottom w:w="0" w:type="dxa"/>
            <w:right w:w="108" w:type="dxa"/>
          </w:tblCellMar>
        </w:tblPrEx>
        <w:trPr>
          <w:trHeight w:val="2485" w:hRule="exact"/>
          <w:jc w:val="center"/>
        </w:trPr>
        <w:tc>
          <w:tcPr>
            <w:tcW w:w="691"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4944" w:type="dxa"/>
            <w:gridSpan w:val="6"/>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4"/>
              </w:rPr>
            </w:pPr>
            <w:r>
              <w:rPr>
                <w:rFonts w:hint="eastAsia" w:ascii="宋体" w:hAnsi="宋体" w:cs="宋体"/>
                <w:sz w:val="24"/>
              </w:rPr>
              <w:t>根据北京市信息化相关要求，对已迁移到云平台的门户网站、人文之光网、中国特色社会主义研究杂志网以及北京社科学术数据服务平台等信息系统，通过购买政务互联网云服务支持保障市社科联、市社科规划办网站和信息系统稳定正常和安全运行，推动实现信息化</w:t>
            </w:r>
            <w:bookmarkStart w:id="0" w:name="_GoBack"/>
            <w:bookmarkEnd w:id="0"/>
            <w:r>
              <w:rPr>
                <w:rFonts w:hint="eastAsia" w:ascii="宋体" w:hAnsi="宋体" w:cs="宋体"/>
                <w:sz w:val="24"/>
              </w:rPr>
              <w:t>共建共享。</w:t>
            </w:r>
          </w:p>
        </w:tc>
        <w:tc>
          <w:tcPr>
            <w:tcW w:w="4707" w:type="dxa"/>
            <w:gridSpan w:val="7"/>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4"/>
              </w:rPr>
            </w:pPr>
            <w:r>
              <w:rPr>
                <w:rFonts w:hint="eastAsia" w:ascii="宋体" w:hAnsi="宋体" w:cs="宋体"/>
                <w:sz w:val="24"/>
              </w:rPr>
              <w:t>2022年度部署在政务云平台上的门户网站、人文之光网、中国特色社会主义研究杂志网以及北京社科学术数据服务平台等信息系统稳定正常安全运行，实现了信息化共建共享。</w:t>
            </w:r>
          </w:p>
        </w:tc>
      </w:tr>
      <w:tr>
        <w:tblPrEx>
          <w:tblCellMar>
            <w:top w:w="0" w:type="dxa"/>
            <w:left w:w="108" w:type="dxa"/>
            <w:bottom w:w="0" w:type="dxa"/>
            <w:right w:w="108" w:type="dxa"/>
          </w:tblCellMar>
        </w:tblPrEx>
        <w:trPr>
          <w:trHeight w:val="954" w:hRule="exact"/>
          <w:jc w:val="center"/>
        </w:trPr>
        <w:tc>
          <w:tcPr>
            <w:tcW w:w="691"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绩</w:t>
            </w:r>
            <w:r>
              <w:rPr>
                <w:rFonts w:hint="eastAsia" w:ascii="宋体" w:hAnsi="宋体" w:cs="宋体"/>
                <w:kern w:val="0"/>
                <w:sz w:val="24"/>
              </w:rPr>
              <w:br w:type="textWrapping"/>
            </w:r>
            <w:r>
              <w:rPr>
                <w:rFonts w:hint="eastAsia" w:ascii="宋体" w:hAnsi="宋体" w:cs="宋体"/>
                <w:kern w:val="0"/>
                <w:sz w:val="24"/>
              </w:rPr>
              <w:t>效</w:t>
            </w:r>
            <w:r>
              <w:rPr>
                <w:rFonts w:hint="eastAsia" w:ascii="宋体" w:hAnsi="宋体" w:cs="宋体"/>
                <w:kern w:val="0"/>
                <w:sz w:val="24"/>
              </w:rPr>
              <w:br w:type="textWrapping"/>
            </w:r>
            <w:r>
              <w:rPr>
                <w:rFonts w:hint="eastAsia" w:ascii="宋体" w:hAnsi="宋体" w:cs="宋体"/>
                <w:kern w:val="0"/>
                <w:sz w:val="24"/>
              </w:rPr>
              <w:t>指</w:t>
            </w:r>
            <w:r>
              <w:rPr>
                <w:rFonts w:hint="eastAsia" w:ascii="宋体" w:hAnsi="宋体" w:cs="宋体"/>
                <w:kern w:val="0"/>
                <w:sz w:val="24"/>
              </w:rPr>
              <w:br w:type="textWrapping"/>
            </w:r>
            <w:r>
              <w:rPr>
                <w:rFonts w:hint="eastAsia" w:ascii="宋体" w:hAnsi="宋体" w:cs="宋体"/>
                <w:kern w:val="0"/>
                <w:sz w:val="24"/>
              </w:rPr>
              <w:t>标</w:t>
            </w:r>
          </w:p>
        </w:tc>
        <w:tc>
          <w:tcPr>
            <w:tcW w:w="733"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一级指标</w:t>
            </w:r>
          </w:p>
        </w:tc>
        <w:tc>
          <w:tcPr>
            <w:tcW w:w="1322"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二级指标</w:t>
            </w:r>
          </w:p>
        </w:tc>
        <w:tc>
          <w:tcPr>
            <w:tcW w:w="1416"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三级指标</w:t>
            </w:r>
          </w:p>
        </w:tc>
        <w:tc>
          <w:tcPr>
            <w:tcW w:w="1473"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年度</w:t>
            </w:r>
          </w:p>
          <w:p>
            <w:pPr>
              <w:widowControl/>
              <w:jc w:val="center"/>
              <w:rPr>
                <w:rFonts w:ascii="宋体" w:hAnsi="宋体" w:cs="宋体"/>
                <w:kern w:val="0"/>
                <w:sz w:val="24"/>
              </w:rPr>
            </w:pPr>
            <w:r>
              <w:rPr>
                <w:rFonts w:hint="eastAsia" w:ascii="宋体" w:hAnsi="宋体" w:cs="宋体"/>
                <w:kern w:val="0"/>
                <w:sz w:val="24"/>
              </w:rPr>
              <w:t>指标值</w:t>
            </w:r>
          </w:p>
        </w:tc>
        <w:tc>
          <w:tcPr>
            <w:tcW w:w="1156"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实际</w:t>
            </w:r>
          </w:p>
          <w:p>
            <w:pPr>
              <w:widowControl/>
              <w:jc w:val="center"/>
              <w:rPr>
                <w:rFonts w:ascii="宋体" w:hAnsi="宋体" w:cs="宋体"/>
                <w:kern w:val="0"/>
                <w:sz w:val="24"/>
                <w:highlight w:val="red"/>
              </w:rPr>
            </w:pPr>
            <w:r>
              <w:rPr>
                <w:rFonts w:hint="eastAsia" w:ascii="宋体" w:hAnsi="宋体" w:cs="宋体"/>
                <w:kern w:val="0"/>
                <w:sz w:val="24"/>
              </w:rPr>
              <w:t>完成值</w:t>
            </w:r>
          </w:p>
        </w:tc>
        <w:tc>
          <w:tcPr>
            <w:tcW w:w="72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分值</w:t>
            </w:r>
          </w:p>
        </w:tc>
        <w:tc>
          <w:tcPr>
            <w:tcW w:w="928"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得分</w:t>
            </w:r>
          </w:p>
        </w:tc>
        <w:tc>
          <w:tcPr>
            <w:tcW w:w="1903"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偏差原因分析及改进措施</w:t>
            </w:r>
          </w:p>
        </w:tc>
      </w:tr>
      <w:tr>
        <w:tblPrEx>
          <w:tblCellMar>
            <w:top w:w="0" w:type="dxa"/>
            <w:left w:w="108" w:type="dxa"/>
            <w:bottom w:w="0" w:type="dxa"/>
            <w:right w:w="108" w:type="dxa"/>
          </w:tblCellMar>
        </w:tblPrEx>
        <w:trPr>
          <w:trHeight w:val="1034" w:hRule="exact"/>
          <w:jc w:val="center"/>
        </w:trPr>
        <w:tc>
          <w:tcPr>
            <w:tcW w:w="69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733"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产出指标</w:t>
            </w:r>
          </w:p>
        </w:tc>
        <w:tc>
          <w:tcPr>
            <w:tcW w:w="132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数量指标</w:t>
            </w:r>
          </w:p>
        </w:tc>
        <w:tc>
          <w:tcPr>
            <w:tcW w:w="1416"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计算存储</w:t>
            </w:r>
          </w:p>
        </w:tc>
        <w:tc>
          <w:tcPr>
            <w:tcW w:w="1473"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≥100%</w:t>
            </w:r>
          </w:p>
        </w:tc>
        <w:tc>
          <w:tcPr>
            <w:tcW w:w="115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100%</w:t>
            </w:r>
          </w:p>
        </w:tc>
        <w:tc>
          <w:tcPr>
            <w:tcW w:w="72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15</w:t>
            </w:r>
          </w:p>
        </w:tc>
        <w:tc>
          <w:tcPr>
            <w:tcW w:w="928"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12</w:t>
            </w:r>
          </w:p>
        </w:tc>
        <w:tc>
          <w:tcPr>
            <w:tcW w:w="1903"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冗余有待进一步充分利用</w:t>
            </w:r>
          </w:p>
        </w:tc>
      </w:tr>
      <w:tr>
        <w:tblPrEx>
          <w:tblCellMar>
            <w:top w:w="0" w:type="dxa"/>
            <w:left w:w="108" w:type="dxa"/>
            <w:bottom w:w="0" w:type="dxa"/>
            <w:right w:w="108" w:type="dxa"/>
          </w:tblCellMar>
        </w:tblPrEx>
        <w:trPr>
          <w:trHeight w:val="1158" w:hRule="exact"/>
          <w:jc w:val="center"/>
        </w:trPr>
        <w:tc>
          <w:tcPr>
            <w:tcW w:w="69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73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2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质量指标</w:t>
            </w:r>
          </w:p>
        </w:tc>
        <w:tc>
          <w:tcPr>
            <w:tcW w:w="1416"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云服务可用性</w:t>
            </w:r>
          </w:p>
        </w:tc>
        <w:tc>
          <w:tcPr>
            <w:tcW w:w="1473"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≥99.99%</w:t>
            </w:r>
          </w:p>
        </w:tc>
        <w:tc>
          <w:tcPr>
            <w:tcW w:w="115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100%</w:t>
            </w:r>
          </w:p>
        </w:tc>
        <w:tc>
          <w:tcPr>
            <w:tcW w:w="72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15</w:t>
            </w:r>
          </w:p>
        </w:tc>
        <w:tc>
          <w:tcPr>
            <w:tcW w:w="928"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12</w:t>
            </w:r>
          </w:p>
        </w:tc>
        <w:tc>
          <w:tcPr>
            <w:tcW w:w="1903"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云服务可用性适配业务需进一步提升</w:t>
            </w:r>
          </w:p>
        </w:tc>
      </w:tr>
      <w:tr>
        <w:tblPrEx>
          <w:tblCellMar>
            <w:top w:w="0" w:type="dxa"/>
            <w:left w:w="108" w:type="dxa"/>
            <w:bottom w:w="0" w:type="dxa"/>
            <w:right w:w="108" w:type="dxa"/>
          </w:tblCellMar>
        </w:tblPrEx>
        <w:trPr>
          <w:trHeight w:val="1234" w:hRule="exact"/>
          <w:jc w:val="center"/>
        </w:trPr>
        <w:tc>
          <w:tcPr>
            <w:tcW w:w="69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73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2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时效指标</w:t>
            </w:r>
          </w:p>
        </w:tc>
        <w:tc>
          <w:tcPr>
            <w:tcW w:w="1416"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故障响应时间</w:t>
            </w:r>
          </w:p>
        </w:tc>
        <w:tc>
          <w:tcPr>
            <w:tcW w:w="1473"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≤0.5小时</w:t>
            </w:r>
          </w:p>
        </w:tc>
        <w:tc>
          <w:tcPr>
            <w:tcW w:w="115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kern w:val="0"/>
                <w:sz w:val="24"/>
              </w:rPr>
              <w:t>≤0.5小时</w:t>
            </w:r>
          </w:p>
        </w:tc>
        <w:tc>
          <w:tcPr>
            <w:tcW w:w="72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15</w:t>
            </w:r>
          </w:p>
        </w:tc>
        <w:tc>
          <w:tcPr>
            <w:tcW w:w="928"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12</w:t>
            </w:r>
          </w:p>
        </w:tc>
        <w:tc>
          <w:tcPr>
            <w:tcW w:w="1903"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故障处置响应流程效率有待进一步提升</w:t>
            </w:r>
          </w:p>
        </w:tc>
      </w:tr>
      <w:tr>
        <w:tblPrEx>
          <w:tblCellMar>
            <w:top w:w="0" w:type="dxa"/>
            <w:left w:w="108" w:type="dxa"/>
            <w:bottom w:w="0" w:type="dxa"/>
            <w:right w:w="108" w:type="dxa"/>
          </w:tblCellMar>
        </w:tblPrEx>
        <w:trPr>
          <w:trHeight w:val="782" w:hRule="exact"/>
          <w:jc w:val="center"/>
        </w:trPr>
        <w:tc>
          <w:tcPr>
            <w:tcW w:w="69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733"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32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成本指标</w:t>
            </w:r>
          </w:p>
        </w:tc>
        <w:tc>
          <w:tcPr>
            <w:tcW w:w="1416"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合同总额</w:t>
            </w:r>
          </w:p>
        </w:tc>
        <w:tc>
          <w:tcPr>
            <w:tcW w:w="1473"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≤94万元</w:t>
            </w:r>
          </w:p>
        </w:tc>
        <w:tc>
          <w:tcPr>
            <w:tcW w:w="1156" w:type="dxa"/>
            <w:tcBorders>
              <w:top w:val="nil"/>
              <w:left w:val="nil"/>
              <w:bottom w:val="single" w:color="auto" w:sz="4" w:space="0"/>
              <w:right w:val="single" w:color="auto" w:sz="4" w:space="0"/>
            </w:tcBorders>
            <w:vAlign w:val="center"/>
          </w:tcPr>
          <w:p>
            <w:pPr>
              <w:widowControl/>
              <w:jc w:val="center"/>
              <w:rPr>
                <w:rFonts w:ascii="宋体" w:hAnsi="宋体" w:cs="宋体"/>
                <w:kern w:val="0"/>
                <w:sz w:val="24"/>
                <w:highlight w:val="red"/>
              </w:rPr>
            </w:pPr>
            <w:r>
              <w:rPr>
                <w:rFonts w:hint="eastAsia" w:ascii="宋体" w:hAnsi="宋体" w:cs="宋体"/>
                <w:color w:val="000000"/>
                <w:kern w:val="0"/>
                <w:sz w:val="24"/>
              </w:rPr>
              <w:t>94万元</w:t>
            </w:r>
          </w:p>
        </w:tc>
        <w:tc>
          <w:tcPr>
            <w:tcW w:w="72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10</w:t>
            </w:r>
          </w:p>
        </w:tc>
        <w:tc>
          <w:tcPr>
            <w:tcW w:w="928"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10</w:t>
            </w:r>
          </w:p>
        </w:tc>
        <w:tc>
          <w:tcPr>
            <w:tcW w:w="1903"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3193" w:hRule="exact"/>
          <w:jc w:val="center"/>
        </w:trPr>
        <w:tc>
          <w:tcPr>
            <w:tcW w:w="69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733"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效益指标</w:t>
            </w:r>
          </w:p>
        </w:tc>
        <w:tc>
          <w:tcPr>
            <w:tcW w:w="132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社会效益</w:t>
            </w:r>
          </w:p>
          <w:p>
            <w:pPr>
              <w:widowControl/>
              <w:jc w:val="center"/>
              <w:rPr>
                <w:rFonts w:ascii="宋体" w:hAnsi="宋体" w:cs="宋体"/>
                <w:kern w:val="0"/>
                <w:sz w:val="24"/>
              </w:rPr>
            </w:pPr>
            <w:r>
              <w:rPr>
                <w:rFonts w:hint="eastAsia" w:ascii="宋体" w:hAnsi="宋体" w:cs="宋体"/>
                <w:kern w:val="0"/>
                <w:sz w:val="24"/>
              </w:rPr>
              <w:t>指标</w:t>
            </w:r>
          </w:p>
        </w:tc>
        <w:tc>
          <w:tcPr>
            <w:tcW w:w="1416"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保障市社科联、市社科规划办网站和信息系统稳定正常和安全运行，推动实现信息化共建共享</w:t>
            </w:r>
          </w:p>
        </w:tc>
        <w:tc>
          <w:tcPr>
            <w:tcW w:w="1473"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效益情况较好</w:t>
            </w:r>
          </w:p>
        </w:tc>
        <w:tc>
          <w:tcPr>
            <w:tcW w:w="1156"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效益情况较好</w:t>
            </w:r>
          </w:p>
        </w:tc>
        <w:tc>
          <w:tcPr>
            <w:tcW w:w="72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15</w:t>
            </w:r>
          </w:p>
        </w:tc>
        <w:tc>
          <w:tcPr>
            <w:tcW w:w="928"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12</w:t>
            </w:r>
          </w:p>
        </w:tc>
        <w:tc>
          <w:tcPr>
            <w:tcW w:w="1903"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效益分析有待进一步提高</w:t>
            </w:r>
          </w:p>
        </w:tc>
      </w:tr>
      <w:tr>
        <w:trPr>
          <w:trHeight w:val="2156" w:hRule="exact"/>
          <w:jc w:val="center"/>
        </w:trPr>
        <w:tc>
          <w:tcPr>
            <w:tcW w:w="69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733"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32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可持续影响指标</w:t>
            </w:r>
          </w:p>
        </w:tc>
        <w:tc>
          <w:tcPr>
            <w:tcW w:w="1416"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kern w:val="0"/>
                <w:sz w:val="24"/>
              </w:rPr>
              <w:t>保证市社科联、市社科规划办正常业务管理工作的持续开展</w:t>
            </w:r>
          </w:p>
        </w:tc>
        <w:tc>
          <w:tcPr>
            <w:tcW w:w="1473"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良好</w:t>
            </w:r>
          </w:p>
        </w:tc>
        <w:tc>
          <w:tcPr>
            <w:tcW w:w="1156"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良好</w:t>
            </w:r>
          </w:p>
        </w:tc>
        <w:tc>
          <w:tcPr>
            <w:tcW w:w="72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10</w:t>
            </w:r>
          </w:p>
        </w:tc>
        <w:tc>
          <w:tcPr>
            <w:tcW w:w="928"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8</w:t>
            </w:r>
          </w:p>
        </w:tc>
        <w:tc>
          <w:tcPr>
            <w:tcW w:w="1903"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资料归集不足</w:t>
            </w:r>
          </w:p>
        </w:tc>
      </w:tr>
      <w:tr>
        <w:tblPrEx>
          <w:tblCellMar>
            <w:top w:w="0" w:type="dxa"/>
            <w:left w:w="108" w:type="dxa"/>
            <w:bottom w:w="0" w:type="dxa"/>
            <w:right w:w="108" w:type="dxa"/>
          </w:tblCellMar>
        </w:tblPrEx>
        <w:trPr>
          <w:trHeight w:val="1576" w:hRule="exact"/>
          <w:jc w:val="center"/>
        </w:trPr>
        <w:tc>
          <w:tcPr>
            <w:tcW w:w="69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733" w:type="dxa"/>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满意度</w:t>
            </w:r>
          </w:p>
          <w:p>
            <w:pPr>
              <w:widowControl/>
              <w:jc w:val="center"/>
              <w:rPr>
                <w:rFonts w:ascii="宋体" w:hAnsi="宋体" w:cs="宋体"/>
                <w:kern w:val="0"/>
                <w:sz w:val="24"/>
              </w:rPr>
            </w:pPr>
            <w:r>
              <w:rPr>
                <w:rFonts w:hint="eastAsia" w:ascii="宋体" w:hAnsi="宋体" w:cs="宋体"/>
                <w:kern w:val="0"/>
                <w:sz w:val="24"/>
              </w:rPr>
              <w:t>指标</w:t>
            </w:r>
          </w:p>
        </w:tc>
        <w:tc>
          <w:tcPr>
            <w:tcW w:w="13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服务对象满意度指标</w:t>
            </w:r>
          </w:p>
        </w:tc>
        <w:tc>
          <w:tcPr>
            <w:tcW w:w="1416"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用户使用满意度</w:t>
            </w:r>
          </w:p>
        </w:tc>
        <w:tc>
          <w:tcPr>
            <w:tcW w:w="1473"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≥85%</w:t>
            </w:r>
          </w:p>
        </w:tc>
        <w:tc>
          <w:tcPr>
            <w:tcW w:w="115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color w:val="000000"/>
                <w:kern w:val="0"/>
                <w:sz w:val="24"/>
              </w:rPr>
              <w:t>85%</w:t>
            </w:r>
          </w:p>
        </w:tc>
        <w:tc>
          <w:tcPr>
            <w:tcW w:w="72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10</w:t>
            </w:r>
          </w:p>
        </w:tc>
        <w:tc>
          <w:tcPr>
            <w:tcW w:w="92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8</w:t>
            </w:r>
          </w:p>
        </w:tc>
        <w:tc>
          <w:tcPr>
            <w:tcW w:w="1903" w:type="dxa"/>
            <w:gridSpan w:val="2"/>
            <w:tcBorders>
              <w:top w:val="single" w:color="auto" w:sz="4" w:space="0"/>
              <w:left w:val="nil"/>
              <w:bottom w:val="single" w:color="auto" w:sz="4" w:space="0"/>
              <w:right w:val="single" w:color="auto" w:sz="4" w:space="0"/>
            </w:tcBorders>
            <w:vAlign w:val="center"/>
          </w:tcPr>
          <w:p>
            <w:pPr>
              <w:widowControl/>
              <w:rPr>
                <w:rFonts w:ascii="宋体" w:hAnsi="宋体" w:cs="宋体"/>
                <w:kern w:val="0"/>
                <w:sz w:val="24"/>
              </w:rPr>
            </w:pPr>
            <w:r>
              <w:rPr>
                <w:rFonts w:hint="eastAsia" w:ascii="宋体" w:hAnsi="宋体" w:cs="宋体"/>
                <w:kern w:val="0"/>
                <w:sz w:val="24"/>
              </w:rPr>
              <w:t>云服务满足个性化上有待改进提升</w:t>
            </w:r>
          </w:p>
        </w:tc>
      </w:tr>
      <w:tr>
        <w:tblPrEx>
          <w:tblCellMar>
            <w:top w:w="0" w:type="dxa"/>
            <w:left w:w="108" w:type="dxa"/>
            <w:bottom w:w="0" w:type="dxa"/>
            <w:right w:w="108" w:type="dxa"/>
          </w:tblCellMar>
        </w:tblPrEx>
        <w:trPr>
          <w:trHeight w:val="569" w:hRule="exact"/>
          <w:jc w:val="center"/>
        </w:trPr>
        <w:tc>
          <w:tcPr>
            <w:tcW w:w="6791" w:type="dxa"/>
            <w:gridSpan w:val="8"/>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总分</w:t>
            </w:r>
          </w:p>
        </w:tc>
        <w:tc>
          <w:tcPr>
            <w:tcW w:w="720"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100</w:t>
            </w:r>
          </w:p>
        </w:tc>
        <w:tc>
          <w:tcPr>
            <w:tcW w:w="928"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84</w:t>
            </w:r>
          </w:p>
        </w:tc>
        <w:tc>
          <w:tcPr>
            <w:tcW w:w="1903"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p>
        </w:tc>
      </w:tr>
    </w:tbl>
    <w:p>
      <w:pPr>
        <w:rPr>
          <w:rFonts w:ascii="宋体" w:hAnsi="宋体" w:cs="宋体"/>
          <w:sz w:val="24"/>
        </w:rPr>
      </w:pPr>
    </w:p>
    <w:sectPr>
      <w:pgSz w:w="11906" w:h="16838"/>
      <w:pgMar w:top="794" w:right="794" w:bottom="794" w:left="79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mZmJmMTlkMDM4MmE4ZjRmYTk0MjQ3ZGI4MzAwZTMifQ=="/>
  </w:docVars>
  <w:rsids>
    <w:rsidRoot w:val="B4F626E5"/>
    <w:rsid w:val="00006EDD"/>
    <w:rsid w:val="00132624"/>
    <w:rsid w:val="061D28B2"/>
    <w:rsid w:val="0B6BE148"/>
    <w:rsid w:val="2500112E"/>
    <w:rsid w:val="39AF5A1C"/>
    <w:rsid w:val="3BEDF720"/>
    <w:rsid w:val="3FFB9F12"/>
    <w:rsid w:val="67FBB5FD"/>
    <w:rsid w:val="77A84C54"/>
    <w:rsid w:val="7AF901B6"/>
    <w:rsid w:val="B4F626E5"/>
    <w:rsid w:val="CBF4A603"/>
    <w:rsid w:val="FF3F4F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674</Words>
  <Characters>740</Characters>
  <Lines>6</Lines>
  <Paragraphs>1</Paragraphs>
  <TotalTime>21</TotalTime>
  <ScaleCrop>false</ScaleCrop>
  <LinksUpToDate>false</LinksUpToDate>
  <CharactersWithSpaces>742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2023-04-25T15:48:00Z</dcterms:created>
  <dc:creator>skl</dc:creator>
  <cp:lastModifiedBy>Q</cp:lastModifiedBy>
  <dcterms:modified xsi:type="dcterms:W3CDTF">2023-05-11T06:00:59Z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FBB2961FA17E4F5A8CFE7FD7DEBB4552_12</vt:lpwstr>
  </property>
</Properties>
</file>