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158" w:type="dxa"/>
        <w:jc w:val="center"/>
        <w:tblLayout w:type="fixed"/>
        <w:tblCellMar>
          <w:top w:w="0" w:type="dxa"/>
          <w:left w:w="108" w:type="dxa"/>
          <w:bottom w:w="0" w:type="dxa"/>
          <w:right w:w="108" w:type="dxa"/>
        </w:tblCellMar>
      </w:tblPr>
      <w:tblGrid>
        <w:gridCol w:w="691"/>
        <w:gridCol w:w="963"/>
        <w:gridCol w:w="1074"/>
        <w:gridCol w:w="736"/>
        <w:gridCol w:w="1114"/>
        <w:gridCol w:w="14"/>
        <w:gridCol w:w="1294"/>
        <w:gridCol w:w="973"/>
        <w:gridCol w:w="227"/>
        <w:gridCol w:w="560"/>
        <w:gridCol w:w="280"/>
        <w:gridCol w:w="506"/>
        <w:gridCol w:w="694"/>
        <w:gridCol w:w="1032"/>
      </w:tblGrid>
      <w:tr>
        <w:tblPrEx>
          <w:tblCellMar>
            <w:top w:w="0" w:type="dxa"/>
            <w:left w:w="108" w:type="dxa"/>
            <w:bottom w:w="0" w:type="dxa"/>
            <w:right w:w="108" w:type="dxa"/>
          </w:tblCellMar>
        </w:tblPrEx>
        <w:trPr>
          <w:trHeight w:val="549" w:hRule="exact"/>
          <w:jc w:val="center"/>
        </w:trPr>
        <w:tc>
          <w:tcPr>
            <w:tcW w:w="1015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158" w:type="dxa"/>
            <w:gridSpan w:val="14"/>
            <w:tcBorders>
              <w:top w:val="nil"/>
              <w:left w:val="nil"/>
              <w:bottom w:val="nil"/>
              <w:right w:val="nil"/>
            </w:tcBorders>
          </w:tcPr>
          <w:p>
            <w:pPr>
              <w:widowControl/>
              <w:jc w:val="center"/>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
              </w:rPr>
              <w:t>2022</w:t>
            </w:r>
            <w:r>
              <w:rPr>
                <w:rFonts w:hint="eastAsia" w:ascii="宋体" w:hAnsi="宋体" w:cs="宋体"/>
                <w:kern w:val="0"/>
                <w:sz w:val="24"/>
              </w:rPr>
              <w:t>年度）</w:t>
            </w:r>
          </w:p>
        </w:tc>
      </w:tr>
      <w:tr>
        <w:tblPrEx>
          <w:tblCellMar>
            <w:top w:w="0" w:type="dxa"/>
            <w:left w:w="108" w:type="dxa"/>
            <w:bottom w:w="0" w:type="dxa"/>
            <w:right w:w="108" w:type="dxa"/>
          </w:tblCellMar>
        </w:tblPrEx>
        <w:trPr>
          <w:trHeight w:val="578"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项目名称</w:t>
            </w:r>
          </w:p>
        </w:tc>
        <w:tc>
          <w:tcPr>
            <w:tcW w:w="8504" w:type="dxa"/>
            <w:gridSpan w:val="1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固定资产、社会化用工、档案及法律经费</w:t>
            </w:r>
          </w:p>
        </w:tc>
      </w:tr>
      <w:tr>
        <w:tblPrEx>
          <w:tblCellMar>
            <w:top w:w="0" w:type="dxa"/>
            <w:left w:w="108" w:type="dxa"/>
            <w:bottom w:w="0" w:type="dxa"/>
            <w:right w:w="108" w:type="dxa"/>
          </w:tblCellMar>
        </w:tblPrEx>
        <w:trPr>
          <w:trHeight w:val="56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主管部门</w:t>
            </w:r>
          </w:p>
        </w:tc>
        <w:tc>
          <w:tcPr>
            <w:tcW w:w="4232"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lang w:val="en"/>
              </w:rPr>
            </w:pPr>
            <w:r>
              <w:rPr>
                <w:rFonts w:hint="eastAsia" w:ascii="宋体" w:hAnsi="宋体" w:cs="宋体"/>
                <w:kern w:val="0"/>
                <w:sz w:val="24"/>
                <w:lang w:val="en"/>
              </w:rPr>
              <w:t>北京市社会科学界联合会</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实施单位</w:t>
            </w:r>
          </w:p>
        </w:tc>
        <w:tc>
          <w:tcPr>
            <w:tcW w:w="3072"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北京市社会科学界联合会</w:t>
            </w:r>
          </w:p>
        </w:tc>
      </w:tr>
      <w:tr>
        <w:tblPrEx>
          <w:tblCellMar>
            <w:top w:w="0" w:type="dxa"/>
            <w:left w:w="108" w:type="dxa"/>
            <w:bottom w:w="0" w:type="dxa"/>
            <w:right w:w="108" w:type="dxa"/>
          </w:tblCellMar>
        </w:tblPrEx>
        <w:trPr>
          <w:trHeight w:val="654"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项目负责人</w:t>
            </w:r>
          </w:p>
        </w:tc>
        <w:tc>
          <w:tcPr>
            <w:tcW w:w="4232"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肖士兵</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联系电话</w:t>
            </w:r>
          </w:p>
        </w:tc>
        <w:tc>
          <w:tcPr>
            <w:tcW w:w="3072"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64527035</w:t>
            </w:r>
          </w:p>
        </w:tc>
      </w:tr>
      <w:tr>
        <w:tblPrEx>
          <w:tblCellMar>
            <w:top w:w="0" w:type="dxa"/>
            <w:left w:w="108" w:type="dxa"/>
            <w:bottom w:w="0" w:type="dxa"/>
            <w:right w:w="108" w:type="dxa"/>
          </w:tblCellMar>
        </w:tblPrEx>
        <w:trPr>
          <w:trHeight w:val="77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项目资金</w:t>
            </w:r>
            <w:r>
              <w:rPr>
                <w:rFonts w:hint="eastAsia" w:ascii="宋体" w:hAnsi="宋体" w:cs="宋体"/>
                <w:kern w:val="0"/>
                <w:sz w:val="24"/>
              </w:rPr>
              <w:br w:type="textWrapping"/>
            </w:r>
            <w:r>
              <w:rPr>
                <w:rFonts w:hint="eastAsia" w:ascii="宋体" w:hAnsi="宋体" w:cs="宋体"/>
                <w:kern w:val="0"/>
                <w:sz w:val="24"/>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11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年初预算数</w:t>
            </w:r>
          </w:p>
        </w:tc>
        <w:tc>
          <w:tcPr>
            <w:tcW w:w="1308"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全年预算数</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全年执行数</w:t>
            </w:r>
          </w:p>
        </w:tc>
        <w:tc>
          <w:tcPr>
            <w:tcW w:w="84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分值</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执行率</w:t>
            </w: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得分</w:t>
            </w:r>
          </w:p>
        </w:tc>
      </w:tr>
      <w:tr>
        <w:tblPrEx>
          <w:tblCellMar>
            <w:top w:w="0" w:type="dxa"/>
            <w:left w:w="108" w:type="dxa"/>
            <w:bottom w:w="0" w:type="dxa"/>
            <w:right w:w="108" w:type="dxa"/>
          </w:tblCellMar>
        </w:tblPrEx>
        <w:trPr>
          <w:trHeight w:val="575"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rPr>
            </w:pPr>
            <w:r>
              <w:rPr>
                <w:rFonts w:hint="eastAsia" w:ascii="宋体" w:hAnsi="宋体" w:cs="宋体"/>
                <w:kern w:val="0"/>
                <w:sz w:val="24"/>
              </w:rPr>
              <w:t>年度资金总额</w:t>
            </w:r>
          </w:p>
        </w:tc>
        <w:tc>
          <w:tcPr>
            <w:tcW w:w="111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lang w:val="en"/>
              </w:rPr>
            </w:pPr>
            <w:r>
              <w:rPr>
                <w:rFonts w:hint="eastAsia" w:ascii="宋体" w:hAnsi="宋体" w:cs="宋体"/>
                <w:kern w:val="0"/>
                <w:sz w:val="24"/>
                <w:lang w:val="en"/>
              </w:rPr>
              <w:t>49.127</w:t>
            </w:r>
          </w:p>
        </w:tc>
        <w:tc>
          <w:tcPr>
            <w:tcW w:w="1308"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lang w:val="en"/>
              </w:rPr>
              <w:t>49.127</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43.1328</w:t>
            </w:r>
          </w:p>
        </w:tc>
        <w:tc>
          <w:tcPr>
            <w:tcW w:w="84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87.80%</w:t>
            </w: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8.8</w:t>
            </w:r>
          </w:p>
        </w:tc>
      </w:tr>
      <w:tr>
        <w:tblPrEx>
          <w:tblCellMar>
            <w:top w:w="0" w:type="dxa"/>
            <w:left w:w="108" w:type="dxa"/>
            <w:bottom w:w="0" w:type="dxa"/>
            <w:right w:w="108" w:type="dxa"/>
          </w:tblCellMar>
        </w:tblPrEx>
        <w:trPr>
          <w:trHeight w:val="614"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lang w:val="en"/>
              </w:rPr>
            </w:pPr>
            <w:r>
              <w:rPr>
                <w:rFonts w:hint="eastAsia" w:ascii="宋体" w:hAnsi="宋体" w:cs="宋体"/>
                <w:kern w:val="0"/>
                <w:sz w:val="24"/>
                <w:lang w:val="en"/>
              </w:rPr>
              <w:t>49.127</w:t>
            </w:r>
          </w:p>
        </w:tc>
        <w:tc>
          <w:tcPr>
            <w:tcW w:w="1308"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lang w:val="en"/>
              </w:rPr>
              <w:t>49.127</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43.1328</w:t>
            </w:r>
          </w:p>
        </w:tc>
        <w:tc>
          <w:tcPr>
            <w:tcW w:w="84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87.80%</w:t>
            </w: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428"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rPr>
            </w:pPr>
            <w:r>
              <w:rPr>
                <w:rFonts w:hint="eastAsia" w:ascii="宋体" w:hAnsi="宋体" w:cs="宋体"/>
                <w:kern w:val="0"/>
                <w:sz w:val="24"/>
              </w:rPr>
              <w:t>上年结转资金</w:t>
            </w:r>
          </w:p>
        </w:tc>
        <w:tc>
          <w:tcPr>
            <w:tcW w:w="111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308"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84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508"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rPr>
            </w:pPr>
            <w:r>
              <w:rPr>
                <w:rFonts w:hint="eastAsia" w:ascii="宋体" w:hAnsi="宋体" w:cs="宋体"/>
                <w:kern w:val="0"/>
                <w:sz w:val="24"/>
              </w:rPr>
              <w:t>其他资金</w:t>
            </w:r>
          </w:p>
        </w:tc>
        <w:tc>
          <w:tcPr>
            <w:tcW w:w="111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308"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84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667"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年度总体目标</w:t>
            </w:r>
          </w:p>
        </w:tc>
        <w:tc>
          <w:tcPr>
            <w:tcW w:w="5195" w:type="dxa"/>
            <w:gridSpan w:val="6"/>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预期目标</w:t>
            </w:r>
          </w:p>
        </w:tc>
        <w:tc>
          <w:tcPr>
            <w:tcW w:w="4272" w:type="dxa"/>
            <w:gridSpan w:val="7"/>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实际完成情况</w:t>
            </w:r>
          </w:p>
        </w:tc>
      </w:tr>
      <w:tr>
        <w:tblPrEx>
          <w:tblCellMar>
            <w:top w:w="0" w:type="dxa"/>
            <w:left w:w="108" w:type="dxa"/>
            <w:bottom w:w="0" w:type="dxa"/>
            <w:right w:w="108" w:type="dxa"/>
          </w:tblCellMar>
        </w:tblPrEx>
        <w:trPr>
          <w:trHeight w:val="4132"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5195" w:type="dxa"/>
            <w:gridSpan w:val="6"/>
            <w:tcBorders>
              <w:top w:val="single" w:color="auto" w:sz="4" w:space="0"/>
              <w:left w:val="nil"/>
              <w:bottom w:val="single" w:color="auto" w:sz="4" w:space="0"/>
              <w:right w:val="single" w:color="auto" w:sz="4" w:space="0"/>
            </w:tcBorders>
            <w:vAlign w:val="center"/>
          </w:tcPr>
          <w:p>
            <w:pPr>
              <w:widowControl/>
              <w:spacing w:line="240" w:lineRule="auto"/>
              <w:jc w:val="left"/>
              <w:rPr>
                <w:rFonts w:ascii="宋体" w:hAnsi="宋体" w:cs="宋体"/>
                <w:kern w:val="0"/>
                <w:sz w:val="24"/>
              </w:rPr>
            </w:pPr>
            <w:r>
              <w:rPr>
                <w:rFonts w:hint="eastAsia" w:ascii="宋体" w:hAnsi="宋体" w:cs="宋体"/>
                <w:kern w:val="0"/>
                <w:sz w:val="24"/>
              </w:rPr>
              <w:t>1.保质保量完成市财政局2022年度产权登记的要求；2.完成社科联本级及三个二级单位的固定资产全面清查工作，做到账务相符，账实相符。3.对市社科联、市社科规划办2022年度对外合作项目、对外签署合同协议等提供法律保障服务，对可能发生的法律纠纷提供法律支持和解决方案；4.对市社科联、市社科规划办2021年度产生的档案进行整理并完成永久保存文书档案数字化扫描；5.满足市社科联、市社科规划办正常公车、应急用车及机要</w:t>
            </w:r>
            <w:bookmarkStart w:id="0" w:name="_GoBack"/>
            <w:bookmarkEnd w:id="0"/>
            <w:r>
              <w:rPr>
                <w:rFonts w:hint="eastAsia" w:ascii="宋体" w:hAnsi="宋体" w:cs="宋体"/>
                <w:kern w:val="0"/>
                <w:sz w:val="24"/>
              </w:rPr>
              <w:t>用车的使用需求；6.保障市社科联、社科规划办法律等基本办公业务的需要。</w:t>
            </w:r>
          </w:p>
        </w:tc>
        <w:tc>
          <w:tcPr>
            <w:tcW w:w="4272" w:type="dxa"/>
            <w:gridSpan w:val="7"/>
            <w:tcBorders>
              <w:top w:val="single" w:color="auto" w:sz="4" w:space="0"/>
              <w:left w:val="nil"/>
              <w:bottom w:val="single" w:color="auto" w:sz="4" w:space="0"/>
              <w:right w:val="single" w:color="auto" w:sz="4" w:space="0"/>
            </w:tcBorders>
            <w:vAlign w:val="center"/>
          </w:tcPr>
          <w:p>
            <w:pPr>
              <w:widowControl/>
              <w:spacing w:line="240" w:lineRule="auto"/>
              <w:jc w:val="left"/>
              <w:rPr>
                <w:rFonts w:ascii="宋体" w:hAnsi="宋体" w:cs="宋体"/>
                <w:kern w:val="0"/>
                <w:sz w:val="24"/>
              </w:rPr>
            </w:pPr>
            <w:r>
              <w:rPr>
                <w:rFonts w:hint="eastAsia" w:ascii="宋体" w:hAnsi="宋体" w:cs="宋体"/>
                <w:kern w:val="0"/>
                <w:sz w:val="24"/>
              </w:rPr>
              <w:t>达到预期目标。1.完成市财政局2022年度产权登记的要求和社科联本级及三个二级单位的固定资产全面清查工作；2.对市社科联、市社科规划办2022年度对外合作项目、对外签署合同协议等83项提供法律保障服务；3.完成市社科联、市社科规划办2021年度文书档案整理归档及数字化扫描；4.保障正常公车、应急用车及机要用车需求。</w:t>
            </w:r>
          </w:p>
        </w:tc>
      </w:tr>
      <w:tr>
        <w:tblPrEx>
          <w:tblCellMar>
            <w:top w:w="0" w:type="dxa"/>
            <w:left w:w="108" w:type="dxa"/>
            <w:bottom w:w="0" w:type="dxa"/>
            <w:right w:w="108" w:type="dxa"/>
          </w:tblCellMar>
        </w:tblPrEx>
        <w:trPr>
          <w:trHeight w:val="944" w:hRule="exact"/>
          <w:jc w:val="center"/>
        </w:trPr>
        <w:tc>
          <w:tcPr>
            <w:tcW w:w="691"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绩</w:t>
            </w:r>
            <w:r>
              <w:rPr>
                <w:rFonts w:hint="eastAsia" w:ascii="宋体" w:hAnsi="宋体" w:cs="宋体"/>
                <w:kern w:val="0"/>
                <w:sz w:val="24"/>
              </w:rPr>
              <w:br w:type="textWrapping"/>
            </w: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p>
        </w:tc>
        <w:tc>
          <w:tcPr>
            <w:tcW w:w="96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一级指标</w:t>
            </w:r>
          </w:p>
        </w:tc>
        <w:tc>
          <w:tcPr>
            <w:tcW w:w="107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二级指标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三级指标</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年度</w:t>
            </w:r>
          </w:p>
          <w:p>
            <w:pPr>
              <w:widowControl/>
              <w:spacing w:line="240" w:lineRule="auto"/>
              <w:jc w:val="center"/>
              <w:rPr>
                <w:rFonts w:ascii="宋体" w:hAnsi="宋体" w:cs="宋体"/>
                <w:kern w:val="0"/>
                <w:sz w:val="24"/>
              </w:rPr>
            </w:pPr>
            <w:r>
              <w:rPr>
                <w:rFonts w:hint="eastAsia" w:ascii="宋体" w:hAnsi="宋体" w:cs="宋体"/>
                <w:kern w:val="0"/>
                <w:sz w:val="24"/>
              </w:rPr>
              <w:t>指标值</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实际</w:t>
            </w:r>
          </w:p>
          <w:p>
            <w:pPr>
              <w:widowControl/>
              <w:spacing w:line="240" w:lineRule="auto"/>
              <w:jc w:val="center"/>
              <w:rPr>
                <w:rFonts w:ascii="宋体" w:hAnsi="宋体" w:cs="宋体"/>
                <w:kern w:val="0"/>
                <w:sz w:val="24"/>
              </w:rPr>
            </w:pPr>
            <w:r>
              <w:rPr>
                <w:rFonts w:hint="eastAsia" w:ascii="宋体" w:hAnsi="宋体" w:cs="宋体"/>
                <w:kern w:val="0"/>
                <w:sz w:val="24"/>
              </w:rPr>
              <w:t>完成值</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分值</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得分</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偏差原因分析及改进措施</w:t>
            </w:r>
          </w:p>
        </w:tc>
      </w:tr>
      <w:tr>
        <w:tblPrEx>
          <w:tblCellMar>
            <w:top w:w="0" w:type="dxa"/>
            <w:left w:w="108" w:type="dxa"/>
            <w:bottom w:w="0" w:type="dxa"/>
            <w:right w:w="108" w:type="dxa"/>
          </w:tblCellMar>
        </w:tblPrEx>
        <w:trPr>
          <w:trHeight w:val="1831"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产出指标</w:t>
            </w:r>
          </w:p>
        </w:tc>
        <w:tc>
          <w:tcPr>
            <w:tcW w:w="1074"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数量指标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固定资产系统的数据录入、数据更新维护，完成固定资产盘点</w:t>
            </w:r>
          </w:p>
        </w:tc>
        <w:tc>
          <w:tcPr>
            <w:tcW w:w="1294" w:type="dxa"/>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rPr>
            </w:pPr>
            <w:r>
              <w:rPr>
                <w:rFonts w:hint="eastAsia" w:ascii="宋体" w:hAnsi="宋体" w:cs="宋体"/>
                <w:color w:val="000000"/>
                <w:kern w:val="0"/>
                <w:sz w:val="24"/>
                <w:lang w:bidi="ar"/>
              </w:rPr>
              <w:t>≥40次</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40次</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r>
      <w:tr>
        <w:tblPrEx>
          <w:tblCellMar>
            <w:top w:w="0" w:type="dxa"/>
            <w:left w:w="108" w:type="dxa"/>
            <w:bottom w:w="0" w:type="dxa"/>
            <w:right w:w="108" w:type="dxa"/>
          </w:tblCellMar>
        </w:tblPrEx>
        <w:trPr>
          <w:trHeight w:val="504"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社会化用工</w:t>
            </w:r>
          </w:p>
        </w:tc>
        <w:tc>
          <w:tcPr>
            <w:tcW w:w="1294" w:type="dxa"/>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rPr>
            </w:pPr>
            <w:r>
              <w:rPr>
                <w:rFonts w:hint="eastAsia" w:ascii="宋体" w:hAnsi="宋体" w:cs="宋体"/>
                <w:color w:val="000000"/>
                <w:kern w:val="0"/>
                <w:sz w:val="24"/>
                <w:lang w:bidi="ar"/>
              </w:rPr>
              <w:t>≥2人</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2人</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r>
      <w:tr>
        <w:tblPrEx>
          <w:tblCellMar>
            <w:top w:w="0" w:type="dxa"/>
            <w:left w:w="108" w:type="dxa"/>
            <w:bottom w:w="0" w:type="dxa"/>
            <w:right w:w="108" w:type="dxa"/>
          </w:tblCellMar>
        </w:tblPrEx>
        <w:trPr>
          <w:trHeight w:val="517"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法律服务</w:t>
            </w:r>
          </w:p>
        </w:tc>
        <w:tc>
          <w:tcPr>
            <w:tcW w:w="1294" w:type="dxa"/>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rPr>
            </w:pPr>
            <w:r>
              <w:rPr>
                <w:rFonts w:hint="eastAsia" w:ascii="宋体" w:hAnsi="宋体" w:cs="宋体"/>
                <w:color w:val="000000"/>
                <w:kern w:val="0"/>
                <w:sz w:val="24"/>
                <w:lang w:bidi="ar"/>
              </w:rPr>
              <w:t>≥50次</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83次</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r>
      <w:tr>
        <w:tblPrEx>
          <w:tblCellMar>
            <w:top w:w="0" w:type="dxa"/>
            <w:left w:w="108" w:type="dxa"/>
            <w:bottom w:w="0" w:type="dxa"/>
            <w:right w:w="108" w:type="dxa"/>
          </w:tblCellMar>
        </w:tblPrEx>
        <w:trPr>
          <w:trHeight w:val="1047"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档案整理归档率</w:t>
            </w:r>
          </w:p>
        </w:tc>
        <w:tc>
          <w:tcPr>
            <w:tcW w:w="1294" w:type="dxa"/>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rPr>
            </w:pPr>
            <w:r>
              <w:rPr>
                <w:rFonts w:hint="eastAsia" w:ascii="宋体" w:hAnsi="宋体" w:cs="宋体"/>
                <w:color w:val="000000"/>
                <w:kern w:val="0"/>
                <w:sz w:val="24"/>
                <w:lang w:bidi="ar"/>
              </w:rPr>
              <w:t>≥85%</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90%</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5</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4</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文书档案的收集整理还需要更加规范</w:t>
            </w:r>
          </w:p>
        </w:tc>
      </w:tr>
      <w:tr>
        <w:tblPrEx>
          <w:tblCellMar>
            <w:top w:w="0" w:type="dxa"/>
            <w:left w:w="108" w:type="dxa"/>
            <w:bottom w:w="0" w:type="dxa"/>
            <w:right w:w="108" w:type="dxa"/>
          </w:tblCellMar>
        </w:tblPrEx>
        <w:trPr>
          <w:trHeight w:val="1927"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质量指标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固定资产系统数据录入、数据更新维护、固定资产盘点、档案整理等准确率</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≥90%</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≥90%</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8</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档案著录表述的规范性需进一步提高</w:t>
            </w:r>
          </w:p>
        </w:tc>
      </w:tr>
      <w:tr>
        <w:tblPrEx>
          <w:tblCellMar>
            <w:top w:w="0" w:type="dxa"/>
            <w:left w:w="108" w:type="dxa"/>
            <w:bottom w:w="0" w:type="dxa"/>
            <w:right w:w="108" w:type="dxa"/>
          </w:tblCellMar>
        </w:tblPrEx>
        <w:trPr>
          <w:trHeight w:val="114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时效指标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准时出车率、法律事务及时应答率</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≥90%</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≥90%</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10</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p>
        </w:tc>
      </w:tr>
      <w:tr>
        <w:tblPrEx>
          <w:tblCellMar>
            <w:top w:w="0" w:type="dxa"/>
            <w:left w:w="108" w:type="dxa"/>
            <w:bottom w:w="0" w:type="dxa"/>
            <w:right w:w="108" w:type="dxa"/>
          </w:tblCellMar>
        </w:tblPrEx>
        <w:trPr>
          <w:trHeight w:val="2003"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成本指标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服务费用</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≤34.8万元</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28.8万元</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9</w:t>
            </w:r>
          </w:p>
        </w:tc>
        <w:tc>
          <w:tcPr>
            <w:tcW w:w="1726" w:type="dxa"/>
            <w:gridSpan w:val="2"/>
            <w:vMerge w:val="restart"/>
            <w:tcBorders>
              <w:top w:val="single" w:color="auto" w:sz="4" w:space="0"/>
              <w:left w:val="nil"/>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其中一名司机（李立岗）属于军队退休干部，他的身份首汽无法再给其上社保，所以每月的社保费首汽未支出，本单位也没有给首汽支付这部分费用</w:t>
            </w:r>
          </w:p>
        </w:tc>
      </w:tr>
      <w:tr>
        <w:tblPrEx>
          <w:tblCellMar>
            <w:top w:w="0" w:type="dxa"/>
            <w:left w:w="108" w:type="dxa"/>
            <w:bottom w:w="0" w:type="dxa"/>
            <w:right w:w="108" w:type="dxa"/>
          </w:tblCellMar>
        </w:tblPrEx>
        <w:trPr>
          <w:trHeight w:val="1773"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总成本控制数</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≤49.127万元</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43.1328万元</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9</w:t>
            </w:r>
          </w:p>
        </w:tc>
        <w:tc>
          <w:tcPr>
            <w:tcW w:w="1726" w:type="dxa"/>
            <w:gridSpan w:val="2"/>
            <w:vMerge w:val="continue"/>
            <w:tcBorders>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p>
        </w:tc>
      </w:tr>
      <w:tr>
        <w:tblPrEx>
          <w:tblCellMar>
            <w:top w:w="0" w:type="dxa"/>
            <w:left w:w="108" w:type="dxa"/>
            <w:bottom w:w="0" w:type="dxa"/>
            <w:right w:w="108" w:type="dxa"/>
          </w:tblCellMar>
        </w:tblPrEx>
        <w:trPr>
          <w:trHeight w:val="2425"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效益指标</w:t>
            </w:r>
          </w:p>
        </w:tc>
        <w:tc>
          <w:tcPr>
            <w:tcW w:w="1074"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社会效益</w:t>
            </w:r>
          </w:p>
          <w:p>
            <w:pPr>
              <w:widowControl/>
              <w:spacing w:line="240" w:lineRule="auto"/>
              <w:jc w:val="center"/>
              <w:rPr>
                <w:rFonts w:ascii="宋体" w:hAnsi="宋体" w:cs="宋体"/>
                <w:kern w:val="0"/>
                <w:sz w:val="24"/>
              </w:rPr>
            </w:pPr>
            <w:r>
              <w:rPr>
                <w:rFonts w:hint="eastAsia" w:ascii="宋体" w:hAnsi="宋体" w:cs="宋体"/>
                <w:kern w:val="0"/>
                <w:sz w:val="24"/>
              </w:rPr>
              <w:t>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color w:val="000000"/>
                <w:kern w:val="0"/>
                <w:sz w:val="24"/>
              </w:rPr>
            </w:pPr>
            <w:r>
              <w:rPr>
                <w:rFonts w:hint="eastAsia" w:ascii="宋体" w:hAnsi="宋体" w:cs="宋体"/>
                <w:color w:val="000000"/>
                <w:kern w:val="0"/>
                <w:sz w:val="24"/>
              </w:rPr>
              <w:t>保证市社科联、市社科规划办相关工作的正常开展；节约成本，提高办公和管理水平和效率</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效益情况良好</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效益情况良好</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资料有待进一步归集</w:t>
            </w:r>
          </w:p>
        </w:tc>
      </w:tr>
      <w:tr>
        <w:tblPrEx>
          <w:tblCellMar>
            <w:top w:w="0" w:type="dxa"/>
            <w:left w:w="108" w:type="dxa"/>
            <w:bottom w:w="0" w:type="dxa"/>
            <w:right w:w="108" w:type="dxa"/>
          </w:tblCellMar>
        </w:tblPrEx>
        <w:trPr>
          <w:trHeight w:val="1498"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1074"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可持续影响指标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color w:val="000000"/>
                <w:kern w:val="0"/>
                <w:sz w:val="24"/>
              </w:rPr>
            </w:pPr>
            <w:r>
              <w:rPr>
                <w:rFonts w:hint="eastAsia" w:ascii="宋体" w:hAnsi="宋体" w:cs="宋体"/>
                <w:color w:val="000000"/>
                <w:kern w:val="0"/>
                <w:sz w:val="24"/>
              </w:rPr>
              <w:t>持续推进市社科联、市社科规划办相关工作的正常开展</w:t>
            </w:r>
          </w:p>
        </w:tc>
        <w:tc>
          <w:tcPr>
            <w:tcW w:w="1294"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良好</w:t>
            </w:r>
          </w:p>
        </w:tc>
        <w:tc>
          <w:tcPr>
            <w:tcW w:w="973"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良好</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资料有待进一步归集</w:t>
            </w:r>
          </w:p>
        </w:tc>
      </w:tr>
      <w:tr>
        <w:tblPrEx>
          <w:tblCellMar>
            <w:top w:w="0" w:type="dxa"/>
            <w:left w:w="108" w:type="dxa"/>
            <w:bottom w:w="0" w:type="dxa"/>
            <w:right w:w="108" w:type="dxa"/>
          </w:tblCellMar>
        </w:tblPrEx>
        <w:trPr>
          <w:trHeight w:val="173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rPr>
            </w:pPr>
          </w:p>
        </w:tc>
        <w:tc>
          <w:tcPr>
            <w:tcW w:w="963" w:type="dxa"/>
            <w:tcBorders>
              <w:top w:val="single" w:color="auto" w:sz="4" w:space="0"/>
              <w:left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满意度</w:t>
            </w:r>
          </w:p>
          <w:p>
            <w:pPr>
              <w:widowControl/>
              <w:spacing w:line="240" w:lineRule="auto"/>
              <w:jc w:val="center"/>
              <w:rPr>
                <w:rFonts w:ascii="宋体" w:hAnsi="宋体" w:cs="宋体"/>
                <w:kern w:val="0"/>
                <w:sz w:val="24"/>
              </w:rPr>
            </w:pPr>
            <w:r>
              <w:rPr>
                <w:rFonts w:hint="eastAsia" w:ascii="宋体" w:hAnsi="宋体" w:cs="宋体"/>
                <w:kern w:val="0"/>
                <w:sz w:val="24"/>
              </w:rPr>
              <w:t>指标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服务对象满意度指标</w:t>
            </w:r>
          </w:p>
        </w:tc>
        <w:tc>
          <w:tcPr>
            <w:tcW w:w="1864" w:type="dxa"/>
            <w:gridSpan w:val="3"/>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color w:val="000000"/>
                <w:kern w:val="0"/>
                <w:sz w:val="24"/>
              </w:rPr>
            </w:pPr>
            <w:r>
              <w:rPr>
                <w:rFonts w:hint="eastAsia" w:ascii="宋体" w:hAnsi="宋体" w:cs="宋体"/>
                <w:color w:val="000000"/>
                <w:kern w:val="0"/>
                <w:sz w:val="24"/>
              </w:rPr>
              <w:t>使用用户满意度</w:t>
            </w:r>
          </w:p>
        </w:tc>
        <w:tc>
          <w:tcPr>
            <w:tcW w:w="1294"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≥90%</w:t>
            </w:r>
          </w:p>
        </w:tc>
        <w:tc>
          <w:tcPr>
            <w:tcW w:w="973"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color w:val="000000"/>
                <w:kern w:val="0"/>
                <w:sz w:val="24"/>
                <w:lang w:bidi="ar"/>
              </w:rPr>
              <w:t>≥90%</w:t>
            </w:r>
          </w:p>
        </w:tc>
        <w:tc>
          <w:tcPr>
            <w:tcW w:w="78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10</w:t>
            </w:r>
          </w:p>
        </w:tc>
        <w:tc>
          <w:tcPr>
            <w:tcW w:w="78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8</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资料归集不足</w:t>
            </w:r>
          </w:p>
        </w:tc>
      </w:tr>
      <w:tr>
        <w:tblPrEx>
          <w:tblCellMar>
            <w:top w:w="0" w:type="dxa"/>
            <w:left w:w="108" w:type="dxa"/>
            <w:bottom w:w="0" w:type="dxa"/>
            <w:right w:w="108" w:type="dxa"/>
          </w:tblCellMar>
        </w:tblPrEx>
        <w:trPr>
          <w:trHeight w:val="691" w:hRule="exact"/>
          <w:jc w:val="center"/>
        </w:trPr>
        <w:tc>
          <w:tcPr>
            <w:tcW w:w="685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总分</w:t>
            </w:r>
          </w:p>
        </w:tc>
        <w:tc>
          <w:tcPr>
            <w:tcW w:w="787"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100</w:t>
            </w:r>
          </w:p>
        </w:tc>
        <w:tc>
          <w:tcPr>
            <w:tcW w:w="78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rPr>
            </w:pPr>
            <w:r>
              <w:rPr>
                <w:rFonts w:hint="eastAsia" w:ascii="宋体" w:hAnsi="宋体" w:cs="宋体"/>
                <w:color w:val="000000"/>
                <w:kern w:val="0"/>
                <w:sz w:val="24"/>
              </w:rPr>
              <w:t>87.8</w:t>
            </w:r>
          </w:p>
        </w:tc>
        <w:tc>
          <w:tcPr>
            <w:tcW w:w="172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rPr>
            </w:pPr>
          </w:p>
        </w:tc>
      </w:tr>
    </w:tbl>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126E46"/>
    <w:rsid w:val="0016717F"/>
    <w:rsid w:val="001B6459"/>
    <w:rsid w:val="002F533B"/>
    <w:rsid w:val="1A725591"/>
    <w:rsid w:val="346235A6"/>
    <w:rsid w:val="3A4B53C5"/>
    <w:rsid w:val="3C3F552F"/>
    <w:rsid w:val="3DFF29A1"/>
    <w:rsid w:val="5B76D86E"/>
    <w:rsid w:val="6F325FA7"/>
    <w:rsid w:val="7AF901B6"/>
    <w:rsid w:val="7E5F921E"/>
    <w:rsid w:val="B4F626E5"/>
    <w:rsid w:val="BFE76D15"/>
    <w:rsid w:val="CBF4A603"/>
    <w:rsid w:val="DBFA948D"/>
    <w:rsid w:val="F9818E0E"/>
    <w:rsid w:val="FBB66CFD"/>
    <w:rsid w:val="FF7FE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character" w:styleId="5">
    <w:name w:val="Emphasis"/>
    <w:basedOn w:val="4"/>
    <w:qFormat/>
    <w:uiPriority w:val="0"/>
    <w:rPr>
      <w:i/>
    </w:rPr>
  </w:style>
  <w:style w:type="paragraph" w:customStyle="1" w:styleId="6">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1008</Words>
  <Characters>1142</Characters>
  <Lines>9</Lines>
  <Paragraphs>2</Paragraphs>
  <TotalTime>3</TotalTime>
  <ScaleCrop>false</ScaleCrop>
  <LinksUpToDate>false</LinksUpToDate>
  <CharactersWithSpaces>1142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2023-04-25T23:48:00Z</dcterms:created>
  <dc:creator>skl</dc:creator>
  <cp:lastModifiedBy>Q</cp:lastModifiedBy>
  <dcterms:modified xsi:type="dcterms:W3CDTF">2023-05-11T06:24:37Z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58A944897EF248A5AF31EA3AB619FC8E_12</vt:lpwstr>
  </property>
</Properties>
</file>