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baseline"/>
        <w:rPr>
          <w:rFonts w:hint="eastAsia" w:ascii="方正小标宋简体" w:hAnsi="黑体" w:eastAsia="方正小标宋简体" w:cs="Times New Roman"/>
          <w:snapToGrid/>
          <w:color w:val="auto"/>
          <w:kern w:val="2"/>
          <w:sz w:val="44"/>
          <w:szCs w:val="44"/>
        </w:rPr>
      </w:pPr>
    </w:p>
    <w:p>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baseline"/>
        <w:rPr>
          <w:sz w:val="44"/>
          <w:szCs w:val="44"/>
        </w:rPr>
      </w:pPr>
      <w:r>
        <w:rPr>
          <w:rFonts w:hint="eastAsia" w:ascii="方正小标宋简体" w:hAnsi="黑体" w:eastAsia="方正小标宋简体" w:cs="Times New Roman"/>
          <w:snapToGrid/>
          <w:color w:val="auto"/>
          <w:kern w:val="2"/>
          <w:sz w:val="44"/>
          <w:szCs w:val="44"/>
        </w:rPr>
        <w:t>2022年度中央</w:t>
      </w:r>
      <w:r>
        <w:rPr>
          <w:rFonts w:hint="eastAsia" w:ascii="方正小标宋简体" w:hAnsi="黑体" w:eastAsia="方正小标宋简体" w:cs="Times New Roman"/>
          <w:snapToGrid/>
          <w:color w:val="auto"/>
          <w:kern w:val="2"/>
          <w:sz w:val="44"/>
          <w:szCs w:val="44"/>
          <w:lang w:eastAsia="zh-CN"/>
        </w:rPr>
        <w:t>对北京</w:t>
      </w:r>
      <w:r>
        <w:rPr>
          <w:rFonts w:hint="eastAsia" w:ascii="方正小标宋简体" w:hAnsi="黑体" w:eastAsia="方正小标宋简体" w:cs="Times New Roman"/>
          <w:snapToGrid/>
          <w:color w:val="auto"/>
          <w:kern w:val="2"/>
          <w:sz w:val="44"/>
          <w:szCs w:val="44"/>
        </w:rPr>
        <w:t>重大传染病防控经费转移支付</w:t>
      </w:r>
      <w:r>
        <w:rPr>
          <w:rFonts w:hint="eastAsia" w:ascii="方正小标宋简体" w:hAnsi="黑体" w:eastAsia="方正小标宋简体" w:cs="Times New Roman"/>
          <w:snapToGrid/>
          <w:color w:val="auto"/>
          <w:kern w:val="2"/>
          <w:sz w:val="44"/>
          <w:szCs w:val="44"/>
          <w:lang w:eastAsia="zh-CN"/>
        </w:rPr>
        <w:t>预算执行情况</w:t>
      </w:r>
      <w:r>
        <w:rPr>
          <w:rFonts w:hint="eastAsia" w:ascii="方正小标宋简体" w:hAnsi="黑体" w:eastAsia="方正小标宋简体" w:cs="Times New Roman"/>
          <w:snapToGrid/>
          <w:color w:val="auto"/>
          <w:kern w:val="2"/>
          <w:sz w:val="44"/>
          <w:szCs w:val="44"/>
        </w:rPr>
        <w:t>绩效自评报告</w:t>
      </w:r>
    </w:p>
    <w:p>
      <w:pPr>
        <w:pStyle w:val="4"/>
        <w:keepNext w:val="0"/>
        <w:keepLines w:val="0"/>
        <w:pageBreakBefore w:val="0"/>
        <w:widowControl/>
        <w:kinsoku w:val="0"/>
        <w:wordWrap/>
        <w:overflowPunct/>
        <w:topLinePunct w:val="0"/>
        <w:autoSpaceDE w:val="0"/>
        <w:autoSpaceDN w:val="0"/>
        <w:bidi w:val="0"/>
        <w:adjustRightInd w:val="0"/>
        <w:snapToGrid w:val="0"/>
        <w:spacing w:line="560" w:lineRule="exact"/>
        <w:textAlignment w:val="baseline"/>
        <w:rPr>
          <w:sz w:val="32"/>
          <w:szCs w:val="32"/>
        </w:rPr>
      </w:pPr>
    </w:p>
    <w:p>
      <w:pPr>
        <w:pStyle w:val="4"/>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both"/>
        <w:textAlignment w:val="baseline"/>
        <w:rPr>
          <w:rFonts w:ascii="仿宋_GB2312" w:hAnsi="仿宋_GB2312" w:eastAsia="仿宋_GB2312" w:cs="仿宋_GB2312"/>
          <w:sz w:val="32"/>
          <w:szCs w:val="32"/>
        </w:rPr>
      </w:pPr>
      <w:r>
        <w:rPr>
          <w:rFonts w:hint="eastAsia" w:ascii="仿宋_GB2312" w:hAnsi="仿宋_GB2312" w:eastAsia="仿宋_GB2312" w:cs="仿宋_GB2312"/>
          <w:sz w:val="32"/>
          <w:szCs w:val="32"/>
        </w:rPr>
        <w:t>为了贯彻落实《中共中央 国务院关于全面实施预算绩效管理的意见》《中共北京市委 北京市人民政府关于全面实施预算绩效管理的实施意见》有关精神，加快建成全方位、全过程、全覆盖的预算绩效管理体系，切实增强资金使用单位支出绩效意识，提高中央对地方转移支付资金使用效益，根据财政部《关于开展2022年度中央对地方转移支付预算执行情况绩效自评工作的通知》（财监</w:t>
      </w:r>
      <w:r>
        <w:rPr>
          <w:rFonts w:hint="eastAsia" w:ascii="仿宋_GB2312" w:hAnsi="仿宋_GB2312" w:eastAsia="仿宋_GB2312" w:cs="仿宋_GB2312"/>
          <w:bCs/>
          <w:color w:val="auto"/>
          <w:sz w:val="32"/>
          <w:szCs w:val="32"/>
          <w:lang w:eastAsia="zh-Hans"/>
        </w:rPr>
        <w:t>〔202</w:t>
      </w:r>
      <w:r>
        <w:rPr>
          <w:rFonts w:hint="eastAsia" w:ascii="仿宋_GB2312" w:hAnsi="仿宋_GB2312" w:eastAsia="仿宋_GB2312" w:cs="仿宋_GB2312"/>
          <w:bCs/>
          <w:color w:val="auto"/>
          <w:sz w:val="32"/>
          <w:szCs w:val="32"/>
        </w:rPr>
        <w:t>3</w:t>
      </w:r>
      <w:r>
        <w:rPr>
          <w:rFonts w:hint="eastAsia" w:ascii="仿宋_GB2312" w:hAnsi="仿宋_GB2312" w:eastAsia="仿宋_GB2312" w:cs="仿宋_GB2312"/>
          <w:bCs/>
          <w:color w:val="auto"/>
          <w:sz w:val="32"/>
          <w:szCs w:val="32"/>
          <w:lang w:eastAsia="zh-Hans"/>
        </w:rPr>
        <w:t>〕</w:t>
      </w:r>
      <w:r>
        <w:rPr>
          <w:rFonts w:hint="eastAsia" w:ascii="仿宋_GB2312" w:hAnsi="仿宋_GB2312" w:eastAsia="仿宋_GB2312" w:cs="仿宋_GB2312"/>
          <w:sz w:val="32"/>
          <w:szCs w:val="32"/>
        </w:rPr>
        <w:t>1号）文件要求，北京市卫生健康委员会组织各区卫生健康委员会和相关资金使用单位开展了北京市中央转移支付重大传染病防控经费的绩效自评工作，形成绩效自评报告。</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outlineLvl w:val="0"/>
        <w:rPr>
          <w:rFonts w:hint="eastAsia" w:ascii="黑体" w:hAnsi="宋体" w:eastAsia="黑体" w:cs="黑体"/>
          <w:bCs/>
          <w:sz w:val="32"/>
          <w:szCs w:val="32"/>
          <w:lang w:eastAsia="zh-CN" w:bidi="ar"/>
        </w:rPr>
      </w:pPr>
      <w:bookmarkStart w:id="0" w:name="_Toc1146578714_WPSOffice_Level1"/>
      <w:r>
        <w:rPr>
          <w:rFonts w:hint="eastAsia" w:ascii="黑体" w:hAnsi="宋体" w:eastAsia="黑体" w:cs="黑体"/>
          <w:bCs/>
          <w:sz w:val="32"/>
          <w:szCs w:val="32"/>
          <w:lang w:bidi="ar"/>
        </w:rPr>
        <w:t>一、</w:t>
      </w:r>
      <w:bookmarkEnd w:id="0"/>
      <w:r>
        <w:rPr>
          <w:rFonts w:hint="eastAsia" w:ascii="黑体" w:hAnsi="宋体" w:eastAsia="黑体" w:cs="黑体"/>
          <w:bCs/>
          <w:sz w:val="32"/>
          <w:szCs w:val="32"/>
          <w:lang w:eastAsia="zh-CN" w:bidi="ar"/>
        </w:rPr>
        <w:t>转移支付基本情况</w:t>
      </w:r>
    </w:p>
    <w:p>
      <w:pPr>
        <w:pStyle w:val="4"/>
        <w:keepNext w:val="0"/>
        <w:keepLines w:val="0"/>
        <w:pageBreakBefore w:val="0"/>
        <w:kinsoku w:val="0"/>
        <w:wordWrap/>
        <w:overflowPunct/>
        <w:topLinePunct w:val="0"/>
        <w:autoSpaceDE w:val="0"/>
        <w:autoSpaceDN w:val="0"/>
        <w:bidi w:val="0"/>
        <w:adjustRightInd w:val="0"/>
        <w:snapToGrid w:val="0"/>
        <w:spacing w:line="560" w:lineRule="exact"/>
        <w:ind w:firstLine="640" w:firstLineChars="200"/>
        <w:jc w:val="both"/>
        <w:textAlignment w:val="baseline"/>
        <w:rPr>
          <w:rFonts w:hint="eastAsia" w:ascii="楷体_GB2312" w:hAnsi="楷体_GB2312" w:eastAsia="楷体_GB2312" w:cs="楷体_GB2312"/>
          <w:b w:val="0"/>
          <w:bCs/>
          <w:kern w:val="2"/>
          <w:sz w:val="32"/>
          <w:szCs w:val="32"/>
          <w:lang w:eastAsia="zh-CN" w:bidi="ar"/>
        </w:rPr>
      </w:pPr>
      <w:bookmarkStart w:id="1" w:name="_Toc1177681667_WPSOffice_Level2"/>
      <w:r>
        <w:rPr>
          <w:rFonts w:hint="eastAsia" w:ascii="楷体_GB2312" w:hAnsi="楷体_GB2312" w:eastAsia="楷体_GB2312" w:cs="楷体_GB2312"/>
          <w:b w:val="0"/>
          <w:bCs/>
          <w:kern w:val="2"/>
          <w:sz w:val="32"/>
          <w:szCs w:val="32"/>
          <w:lang w:bidi="ar"/>
        </w:rPr>
        <w:t>（一）</w:t>
      </w:r>
      <w:bookmarkEnd w:id="1"/>
      <w:r>
        <w:rPr>
          <w:rFonts w:hint="eastAsia" w:ascii="楷体_GB2312" w:hAnsi="楷体_GB2312" w:eastAsia="楷体_GB2312" w:cs="楷体_GB2312"/>
          <w:b w:val="0"/>
          <w:bCs/>
          <w:kern w:val="2"/>
          <w:sz w:val="32"/>
          <w:szCs w:val="32"/>
          <w:lang w:bidi="ar"/>
        </w:rPr>
        <w:t>重大传染病防控</w:t>
      </w:r>
      <w:r>
        <w:rPr>
          <w:rFonts w:hint="eastAsia" w:ascii="楷体_GB2312" w:hAnsi="楷体_GB2312" w:eastAsia="楷体_GB2312" w:cs="楷体_GB2312"/>
          <w:b w:val="0"/>
          <w:bCs/>
          <w:kern w:val="2"/>
          <w:sz w:val="32"/>
          <w:szCs w:val="32"/>
          <w:lang w:eastAsia="zh-CN" w:bidi="ar"/>
        </w:rPr>
        <w:t>转移支付概况</w:t>
      </w:r>
    </w:p>
    <w:p>
      <w:pPr>
        <w:pStyle w:val="4"/>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both"/>
        <w:textAlignment w:val="baseline"/>
        <w:rPr>
          <w:rFonts w:hint="eastAsia" w:ascii="仿宋_GB2312" w:hAnsi="仿宋" w:eastAsia="仿宋_GB2312"/>
          <w:sz w:val="32"/>
          <w:szCs w:val="32"/>
          <w:lang w:eastAsia="zh-CN" w:bidi="ar"/>
        </w:rPr>
      </w:pPr>
      <w:r>
        <w:rPr>
          <w:rFonts w:hint="eastAsia" w:ascii="仿宋_GB2312" w:hAnsi="仿宋" w:eastAsia="仿宋_GB2312"/>
          <w:sz w:val="32"/>
          <w:szCs w:val="32"/>
          <w:lang w:bidi="ar"/>
        </w:rPr>
        <w:t>北京市中央转移支付重大传染病防控经费控项目涉及包括东城</w:t>
      </w:r>
      <w:r>
        <w:rPr>
          <w:rFonts w:hint="eastAsia" w:ascii="仿宋_GB2312" w:hAnsi="仿宋" w:eastAsia="仿宋_GB2312"/>
          <w:sz w:val="32"/>
          <w:szCs w:val="32"/>
          <w:lang w:eastAsia="zh-CN" w:bidi="ar"/>
        </w:rPr>
        <w:t>区卫生健康委员会</w:t>
      </w:r>
      <w:r>
        <w:rPr>
          <w:rFonts w:hint="eastAsia" w:ascii="仿宋_GB2312" w:hAnsi="仿宋" w:eastAsia="仿宋_GB2312"/>
          <w:sz w:val="32"/>
          <w:szCs w:val="32"/>
          <w:lang w:bidi="ar"/>
        </w:rPr>
        <w:t>、西城</w:t>
      </w:r>
      <w:r>
        <w:rPr>
          <w:rFonts w:hint="eastAsia" w:ascii="仿宋_GB2312" w:hAnsi="仿宋" w:eastAsia="仿宋_GB2312"/>
          <w:sz w:val="32"/>
          <w:szCs w:val="32"/>
          <w:lang w:eastAsia="zh-CN" w:bidi="ar"/>
        </w:rPr>
        <w:t>区卫生健康委员会</w:t>
      </w:r>
      <w:r>
        <w:rPr>
          <w:rFonts w:hint="eastAsia" w:ascii="仿宋_GB2312" w:hAnsi="仿宋" w:eastAsia="仿宋_GB2312"/>
          <w:sz w:val="32"/>
          <w:szCs w:val="32"/>
          <w:lang w:bidi="ar"/>
        </w:rPr>
        <w:t>、朝阳</w:t>
      </w:r>
      <w:r>
        <w:rPr>
          <w:rFonts w:hint="eastAsia" w:ascii="仿宋_GB2312" w:hAnsi="仿宋" w:eastAsia="仿宋_GB2312"/>
          <w:sz w:val="32"/>
          <w:szCs w:val="32"/>
          <w:lang w:eastAsia="zh-CN" w:bidi="ar"/>
        </w:rPr>
        <w:t>区卫生健康委员会</w:t>
      </w:r>
      <w:r>
        <w:rPr>
          <w:rFonts w:hint="eastAsia" w:ascii="仿宋_GB2312" w:hAnsi="仿宋" w:eastAsia="仿宋_GB2312"/>
          <w:sz w:val="32"/>
          <w:szCs w:val="32"/>
          <w:lang w:bidi="ar"/>
        </w:rPr>
        <w:t>、海淀</w:t>
      </w:r>
      <w:r>
        <w:rPr>
          <w:rFonts w:hint="eastAsia" w:ascii="仿宋_GB2312" w:hAnsi="仿宋" w:eastAsia="仿宋_GB2312"/>
          <w:sz w:val="32"/>
          <w:szCs w:val="32"/>
          <w:lang w:eastAsia="zh-CN" w:bidi="ar"/>
        </w:rPr>
        <w:t>区卫生健康委员会</w:t>
      </w:r>
      <w:r>
        <w:rPr>
          <w:rFonts w:hint="eastAsia" w:ascii="仿宋_GB2312" w:hAnsi="仿宋" w:eastAsia="仿宋_GB2312"/>
          <w:sz w:val="32"/>
          <w:szCs w:val="32"/>
          <w:lang w:bidi="ar"/>
        </w:rPr>
        <w:t>、丰台</w:t>
      </w:r>
      <w:r>
        <w:rPr>
          <w:rFonts w:hint="eastAsia" w:ascii="仿宋_GB2312" w:hAnsi="仿宋" w:eastAsia="仿宋_GB2312"/>
          <w:sz w:val="32"/>
          <w:szCs w:val="32"/>
          <w:lang w:eastAsia="zh-CN" w:bidi="ar"/>
        </w:rPr>
        <w:t>区卫生健康委员会</w:t>
      </w:r>
      <w:r>
        <w:rPr>
          <w:rFonts w:hint="eastAsia" w:ascii="仿宋_GB2312" w:hAnsi="仿宋" w:eastAsia="仿宋_GB2312"/>
          <w:sz w:val="32"/>
          <w:szCs w:val="32"/>
          <w:lang w:bidi="ar"/>
        </w:rPr>
        <w:t>、石景山</w:t>
      </w:r>
      <w:r>
        <w:rPr>
          <w:rFonts w:hint="eastAsia" w:ascii="仿宋_GB2312" w:hAnsi="仿宋" w:eastAsia="仿宋_GB2312"/>
          <w:sz w:val="32"/>
          <w:szCs w:val="32"/>
          <w:lang w:eastAsia="zh-CN" w:bidi="ar"/>
        </w:rPr>
        <w:t>区卫生健康委员会</w:t>
      </w:r>
      <w:r>
        <w:rPr>
          <w:rFonts w:hint="eastAsia" w:ascii="仿宋_GB2312" w:hAnsi="仿宋" w:eastAsia="仿宋_GB2312"/>
          <w:sz w:val="32"/>
          <w:szCs w:val="32"/>
          <w:lang w:bidi="ar"/>
        </w:rPr>
        <w:t>、门头沟</w:t>
      </w:r>
      <w:r>
        <w:rPr>
          <w:rFonts w:hint="eastAsia" w:ascii="仿宋_GB2312" w:hAnsi="仿宋" w:eastAsia="仿宋_GB2312"/>
          <w:sz w:val="32"/>
          <w:szCs w:val="32"/>
          <w:lang w:eastAsia="zh-CN" w:bidi="ar"/>
        </w:rPr>
        <w:t>区卫生健康委员会</w:t>
      </w:r>
      <w:r>
        <w:rPr>
          <w:rFonts w:hint="eastAsia" w:ascii="仿宋_GB2312" w:hAnsi="仿宋" w:eastAsia="仿宋_GB2312"/>
          <w:sz w:val="32"/>
          <w:szCs w:val="32"/>
          <w:lang w:bidi="ar"/>
        </w:rPr>
        <w:t>、房山</w:t>
      </w:r>
      <w:r>
        <w:rPr>
          <w:rFonts w:hint="eastAsia" w:ascii="仿宋_GB2312" w:hAnsi="仿宋" w:eastAsia="仿宋_GB2312"/>
          <w:sz w:val="32"/>
          <w:szCs w:val="32"/>
          <w:lang w:eastAsia="zh-CN" w:bidi="ar"/>
        </w:rPr>
        <w:t>区卫生健康委员会</w:t>
      </w:r>
      <w:r>
        <w:rPr>
          <w:rFonts w:hint="eastAsia" w:ascii="仿宋_GB2312" w:hAnsi="仿宋" w:eastAsia="仿宋_GB2312"/>
          <w:sz w:val="32"/>
          <w:szCs w:val="32"/>
          <w:lang w:bidi="ar"/>
        </w:rPr>
        <w:t>、通州</w:t>
      </w:r>
      <w:r>
        <w:rPr>
          <w:rFonts w:hint="eastAsia" w:ascii="仿宋_GB2312" w:hAnsi="仿宋" w:eastAsia="仿宋_GB2312"/>
          <w:sz w:val="32"/>
          <w:szCs w:val="32"/>
          <w:lang w:eastAsia="zh-CN" w:bidi="ar"/>
        </w:rPr>
        <w:t>区卫生健康委员会</w:t>
      </w:r>
      <w:r>
        <w:rPr>
          <w:rFonts w:hint="eastAsia" w:ascii="仿宋_GB2312" w:hAnsi="仿宋" w:eastAsia="仿宋_GB2312"/>
          <w:sz w:val="32"/>
          <w:szCs w:val="32"/>
          <w:lang w:bidi="ar"/>
        </w:rPr>
        <w:t>、顺义</w:t>
      </w:r>
      <w:r>
        <w:rPr>
          <w:rFonts w:hint="eastAsia" w:ascii="仿宋_GB2312" w:hAnsi="仿宋" w:eastAsia="仿宋_GB2312"/>
          <w:sz w:val="32"/>
          <w:szCs w:val="32"/>
          <w:lang w:eastAsia="zh-CN" w:bidi="ar"/>
        </w:rPr>
        <w:t>区卫生健康委员会</w:t>
      </w:r>
      <w:r>
        <w:rPr>
          <w:rFonts w:hint="eastAsia" w:ascii="仿宋_GB2312" w:hAnsi="仿宋" w:eastAsia="仿宋_GB2312"/>
          <w:sz w:val="32"/>
          <w:szCs w:val="32"/>
          <w:lang w:bidi="ar"/>
        </w:rPr>
        <w:t>、大兴</w:t>
      </w:r>
      <w:r>
        <w:rPr>
          <w:rFonts w:hint="eastAsia" w:ascii="仿宋_GB2312" w:hAnsi="仿宋" w:eastAsia="仿宋_GB2312"/>
          <w:sz w:val="32"/>
          <w:szCs w:val="32"/>
          <w:lang w:eastAsia="zh-CN" w:bidi="ar"/>
        </w:rPr>
        <w:t>区卫生健康委员会</w:t>
      </w:r>
      <w:r>
        <w:rPr>
          <w:rFonts w:hint="eastAsia" w:ascii="仿宋_GB2312" w:hAnsi="仿宋" w:eastAsia="仿宋_GB2312"/>
          <w:sz w:val="32"/>
          <w:szCs w:val="32"/>
          <w:lang w:bidi="ar"/>
        </w:rPr>
        <w:t>、昌平</w:t>
      </w:r>
      <w:r>
        <w:rPr>
          <w:rFonts w:hint="eastAsia" w:ascii="仿宋_GB2312" w:hAnsi="仿宋" w:eastAsia="仿宋_GB2312"/>
          <w:sz w:val="32"/>
          <w:szCs w:val="32"/>
          <w:lang w:eastAsia="zh-CN" w:bidi="ar"/>
        </w:rPr>
        <w:t>区卫生健康委员会</w:t>
      </w:r>
      <w:r>
        <w:rPr>
          <w:rFonts w:hint="eastAsia" w:ascii="仿宋_GB2312" w:hAnsi="仿宋" w:eastAsia="仿宋_GB2312"/>
          <w:sz w:val="32"/>
          <w:szCs w:val="32"/>
          <w:lang w:bidi="ar"/>
        </w:rPr>
        <w:t>、平谷</w:t>
      </w:r>
      <w:r>
        <w:rPr>
          <w:rFonts w:hint="eastAsia" w:ascii="仿宋_GB2312" w:hAnsi="仿宋" w:eastAsia="仿宋_GB2312"/>
          <w:sz w:val="32"/>
          <w:szCs w:val="32"/>
          <w:lang w:eastAsia="zh-CN" w:bidi="ar"/>
        </w:rPr>
        <w:t>区卫生健康委员会</w:t>
      </w:r>
      <w:r>
        <w:rPr>
          <w:rFonts w:hint="eastAsia" w:ascii="仿宋_GB2312" w:hAnsi="仿宋" w:eastAsia="仿宋_GB2312"/>
          <w:sz w:val="32"/>
          <w:szCs w:val="32"/>
          <w:lang w:bidi="ar"/>
        </w:rPr>
        <w:t>、怀柔</w:t>
      </w:r>
      <w:r>
        <w:rPr>
          <w:rFonts w:hint="eastAsia" w:ascii="仿宋_GB2312" w:hAnsi="仿宋" w:eastAsia="仿宋_GB2312"/>
          <w:sz w:val="32"/>
          <w:szCs w:val="32"/>
          <w:lang w:eastAsia="zh-CN" w:bidi="ar"/>
        </w:rPr>
        <w:t>区卫生健康委员会</w:t>
      </w:r>
      <w:r>
        <w:rPr>
          <w:rFonts w:hint="eastAsia" w:ascii="仿宋_GB2312" w:hAnsi="仿宋" w:eastAsia="仿宋_GB2312"/>
          <w:sz w:val="32"/>
          <w:szCs w:val="32"/>
          <w:lang w:bidi="ar"/>
        </w:rPr>
        <w:t>、密云</w:t>
      </w:r>
      <w:r>
        <w:rPr>
          <w:rFonts w:hint="eastAsia" w:ascii="仿宋_GB2312" w:hAnsi="仿宋" w:eastAsia="仿宋_GB2312"/>
          <w:sz w:val="32"/>
          <w:szCs w:val="32"/>
          <w:lang w:eastAsia="zh-CN" w:bidi="ar"/>
        </w:rPr>
        <w:t>区卫生健康委员会</w:t>
      </w:r>
      <w:r>
        <w:rPr>
          <w:rFonts w:hint="eastAsia" w:ascii="仿宋_GB2312" w:hAnsi="仿宋" w:eastAsia="仿宋_GB2312"/>
          <w:sz w:val="32"/>
          <w:szCs w:val="32"/>
          <w:lang w:bidi="ar"/>
        </w:rPr>
        <w:t>、延庆</w:t>
      </w:r>
      <w:r>
        <w:rPr>
          <w:rFonts w:hint="eastAsia" w:ascii="仿宋_GB2312" w:hAnsi="仿宋" w:eastAsia="仿宋_GB2312"/>
          <w:sz w:val="32"/>
          <w:szCs w:val="32"/>
          <w:lang w:eastAsia="zh-CN" w:bidi="ar"/>
        </w:rPr>
        <w:t>区卫生健康委员会</w:t>
      </w:r>
      <w:r>
        <w:rPr>
          <w:rFonts w:hint="eastAsia" w:ascii="仿宋_GB2312" w:hAnsi="仿宋" w:eastAsia="仿宋_GB2312"/>
          <w:sz w:val="32"/>
          <w:szCs w:val="32"/>
          <w:lang w:bidi="ar"/>
        </w:rPr>
        <w:t>和经开区在内的各</w:t>
      </w:r>
      <w:r>
        <w:rPr>
          <w:rFonts w:hint="eastAsia" w:ascii="仿宋_GB2312" w:hAnsi="仿宋" w:eastAsia="仿宋_GB2312"/>
          <w:sz w:val="32"/>
          <w:szCs w:val="32"/>
          <w:lang w:eastAsia="zh-CN" w:bidi="ar"/>
        </w:rPr>
        <w:t>区卫生健康委员会</w:t>
      </w:r>
      <w:r>
        <w:rPr>
          <w:rFonts w:hint="eastAsia" w:ascii="仿宋_GB2312" w:hAnsi="仿宋" w:eastAsia="仿宋_GB2312"/>
          <w:sz w:val="32"/>
          <w:szCs w:val="32"/>
          <w:lang w:bidi="ar"/>
        </w:rPr>
        <w:t>，北京市卫生健康委员会机关、北京妇幼保健院、北京市疾病预防控制中心、北京市红十字血液中心和北京市精神卫生保健所，首都医科大学宣武医院、首都医科大学附属北京天坛医院、首都医科大学附属北京安贞医院、首都医科大学附属北京儿童医院、首都医科大学附属北京安定医院、北京回龙观医院、首都医科大学附属北京地坛医院、首都医科大学附属北京佑安医院、首都医科大学附属北京胸科医院、北京肿瘤医院在内的10家市属医院和北京市中医药管理局</w:t>
      </w:r>
      <w:r>
        <w:rPr>
          <w:rFonts w:hint="eastAsia" w:ascii="仿宋_GB2312" w:hAnsi="仿宋" w:eastAsia="仿宋_GB2312"/>
          <w:sz w:val="32"/>
          <w:szCs w:val="32"/>
          <w:lang w:eastAsia="zh-CN" w:bidi="ar"/>
        </w:rPr>
        <w:t>。</w:t>
      </w:r>
    </w:p>
    <w:p>
      <w:pPr>
        <w:pStyle w:val="4"/>
        <w:keepNext w:val="0"/>
        <w:keepLines w:val="0"/>
        <w:pageBreakBefore w:val="0"/>
        <w:kinsoku w:val="0"/>
        <w:wordWrap/>
        <w:overflowPunct/>
        <w:topLinePunct w:val="0"/>
        <w:autoSpaceDE w:val="0"/>
        <w:autoSpaceDN w:val="0"/>
        <w:bidi w:val="0"/>
        <w:adjustRightInd w:val="0"/>
        <w:snapToGrid w:val="0"/>
        <w:spacing w:line="560" w:lineRule="exact"/>
        <w:ind w:firstLine="640" w:firstLineChars="200"/>
        <w:textAlignment w:val="baseline"/>
        <w:rPr>
          <w:rFonts w:ascii="楷体" w:hAnsi="楷体" w:eastAsia="楷体" w:cs="楷体"/>
          <w:b w:val="0"/>
          <w:bCs/>
          <w:kern w:val="2"/>
          <w:sz w:val="32"/>
          <w:szCs w:val="32"/>
          <w:lang w:bidi="ar"/>
        </w:rPr>
      </w:pPr>
      <w:r>
        <w:rPr>
          <w:rFonts w:hint="eastAsia" w:ascii="楷体" w:hAnsi="楷体" w:eastAsia="楷体" w:cs="楷体"/>
          <w:b w:val="0"/>
          <w:bCs/>
          <w:kern w:val="2"/>
          <w:sz w:val="32"/>
          <w:szCs w:val="32"/>
          <w:lang w:bidi="ar"/>
        </w:rPr>
        <w:t>(</w:t>
      </w:r>
      <w:r>
        <w:rPr>
          <w:rFonts w:hint="eastAsia" w:ascii="楷体" w:hAnsi="楷体" w:eastAsia="楷体" w:cs="楷体"/>
          <w:b w:val="0"/>
          <w:bCs/>
          <w:kern w:val="2"/>
          <w:sz w:val="32"/>
          <w:szCs w:val="32"/>
          <w:lang w:eastAsia="zh-CN" w:bidi="ar"/>
        </w:rPr>
        <w:t>二</w:t>
      </w:r>
      <w:r>
        <w:rPr>
          <w:rFonts w:hint="eastAsia" w:ascii="楷体" w:hAnsi="楷体" w:eastAsia="楷体" w:cs="楷体"/>
          <w:b w:val="0"/>
          <w:bCs/>
          <w:kern w:val="2"/>
          <w:sz w:val="32"/>
          <w:szCs w:val="32"/>
          <w:lang w:bidi="ar"/>
        </w:rPr>
        <w:t>)资金投入情况分析</w:t>
      </w:r>
    </w:p>
    <w:p>
      <w:pPr>
        <w:pStyle w:val="4"/>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both"/>
        <w:textAlignment w:val="baseline"/>
        <w:rPr>
          <w:rFonts w:ascii="仿宋_GB2312" w:hAnsi="仿宋" w:eastAsia="仿宋_GB2312"/>
          <w:sz w:val="32"/>
          <w:szCs w:val="32"/>
          <w:lang w:eastAsia="zh-Hans" w:bidi="ar"/>
        </w:rPr>
      </w:pPr>
      <w:r>
        <w:rPr>
          <w:rFonts w:hint="eastAsia" w:ascii="仿宋_GB2312" w:hAnsi="仿宋" w:eastAsia="仿宋_GB2312" w:cs="仿宋_GB2312"/>
          <w:sz w:val="32"/>
          <w:szCs w:val="32"/>
          <w:lang w:bidi="ar"/>
        </w:rPr>
        <w:t>北京市中央转移支付重大传染病防控经费</w:t>
      </w:r>
      <w:r>
        <w:rPr>
          <w:rFonts w:hint="eastAsia" w:ascii="仿宋_GB2312" w:hAnsi="仿宋" w:eastAsia="仿宋_GB2312" w:cs="仿宋_GB2312"/>
          <w:sz w:val="32"/>
          <w:szCs w:val="32"/>
          <w:lang w:eastAsia="zh-Hans" w:bidi="ar"/>
        </w:rPr>
        <w:t>项目资金</w:t>
      </w:r>
      <w:r>
        <w:rPr>
          <w:rFonts w:hint="eastAsia" w:ascii="仿宋_GB2312" w:hAnsi="仿宋" w:eastAsia="仿宋_GB2312"/>
          <w:sz w:val="32"/>
          <w:szCs w:val="32"/>
          <w:lang w:eastAsia="zh-Hans" w:bidi="ar"/>
        </w:rPr>
        <w:t>预算共计</w:t>
      </w:r>
      <w:r>
        <w:rPr>
          <w:rFonts w:hint="eastAsia" w:ascii="仿宋_GB2312" w:hAnsi="仿宋" w:eastAsia="仿宋_GB2312"/>
          <w:sz w:val="32"/>
          <w:szCs w:val="32"/>
          <w:lang w:eastAsia="zh-CN" w:bidi="ar"/>
        </w:rPr>
        <w:t>40,433.79万元</w:t>
      </w:r>
      <w:r>
        <w:rPr>
          <w:rFonts w:hint="eastAsia" w:ascii="仿宋_GB2312" w:hAnsi="仿宋" w:eastAsia="仿宋_GB2312"/>
          <w:sz w:val="32"/>
          <w:szCs w:val="32"/>
          <w:lang w:bidi="ar"/>
        </w:rPr>
        <w:t>，截至202</w:t>
      </w:r>
      <w:r>
        <w:rPr>
          <w:rFonts w:ascii="仿宋_GB2312" w:hAnsi="仿宋" w:eastAsia="仿宋_GB2312"/>
          <w:sz w:val="32"/>
          <w:szCs w:val="32"/>
          <w:lang w:bidi="ar"/>
        </w:rPr>
        <w:t>2</w:t>
      </w:r>
      <w:r>
        <w:rPr>
          <w:rFonts w:hint="eastAsia" w:ascii="仿宋_GB2312" w:hAnsi="仿宋" w:eastAsia="仿宋_GB2312"/>
          <w:sz w:val="32"/>
          <w:szCs w:val="32"/>
          <w:lang w:bidi="ar"/>
        </w:rPr>
        <w:t>年</w:t>
      </w:r>
      <w:r>
        <w:rPr>
          <w:rFonts w:ascii="仿宋_GB2312" w:hAnsi="仿宋" w:eastAsia="仿宋_GB2312"/>
          <w:sz w:val="32"/>
          <w:szCs w:val="32"/>
          <w:lang w:bidi="ar"/>
        </w:rPr>
        <w:t>12</w:t>
      </w:r>
      <w:r>
        <w:rPr>
          <w:rFonts w:hint="eastAsia" w:ascii="仿宋_GB2312" w:hAnsi="仿宋" w:eastAsia="仿宋_GB2312"/>
          <w:sz w:val="32"/>
          <w:szCs w:val="32"/>
          <w:lang w:bidi="ar"/>
        </w:rPr>
        <w:t>月31日，账面实际支出</w:t>
      </w:r>
      <w:r>
        <w:rPr>
          <w:rFonts w:hint="eastAsia" w:ascii="仿宋_GB2312" w:hAnsi="仿宋" w:eastAsia="仿宋_GB2312"/>
          <w:sz w:val="32"/>
          <w:szCs w:val="32"/>
          <w:lang w:eastAsia="zh-CN" w:bidi="ar"/>
        </w:rPr>
        <w:t>20,671.29万元</w:t>
      </w:r>
      <w:r>
        <w:rPr>
          <w:rFonts w:hint="eastAsia" w:ascii="仿宋_GB2312" w:hAnsi="仿宋" w:eastAsia="仿宋_GB2312"/>
          <w:sz w:val="32"/>
          <w:szCs w:val="32"/>
          <w:lang w:bidi="ar"/>
        </w:rPr>
        <w:t>，资金执行率为51.12%。</w:t>
      </w:r>
      <w:r>
        <w:rPr>
          <w:rFonts w:hint="eastAsia" w:ascii="仿宋_GB2312" w:hAnsi="仿宋" w:eastAsia="仿宋_GB2312"/>
          <w:sz w:val="32"/>
          <w:szCs w:val="32"/>
          <w:lang w:eastAsia="zh-Hans" w:bidi="ar"/>
        </w:rPr>
        <w:t>其中</w:t>
      </w:r>
      <w:r>
        <w:rPr>
          <w:rFonts w:ascii="仿宋_GB2312" w:hAnsi="仿宋" w:eastAsia="仿宋_GB2312"/>
          <w:sz w:val="32"/>
          <w:szCs w:val="32"/>
          <w:lang w:eastAsia="zh-Hans" w:bidi="ar"/>
        </w:rPr>
        <w:t>：</w:t>
      </w:r>
      <w:r>
        <w:rPr>
          <w:rFonts w:hint="eastAsia" w:ascii="仿宋_GB2312" w:hAnsi="仿宋" w:eastAsia="仿宋_GB2312"/>
          <w:sz w:val="32"/>
          <w:szCs w:val="32"/>
          <w:lang w:eastAsia="zh-Hans" w:bidi="ar"/>
        </w:rPr>
        <w:t>中央财政资金预算</w:t>
      </w:r>
      <w:r>
        <w:rPr>
          <w:rFonts w:hint="eastAsia" w:ascii="仿宋_GB2312" w:hAnsi="仿宋" w:eastAsia="仿宋_GB2312"/>
          <w:sz w:val="32"/>
          <w:szCs w:val="32"/>
          <w:lang w:eastAsia="zh-CN" w:bidi="ar"/>
        </w:rPr>
        <w:t>38,012万元</w:t>
      </w:r>
      <w:r>
        <w:rPr>
          <w:rFonts w:ascii="仿宋_GB2312" w:hAnsi="仿宋" w:eastAsia="仿宋_GB2312"/>
          <w:sz w:val="32"/>
          <w:szCs w:val="32"/>
          <w:lang w:eastAsia="zh-Hans" w:bidi="ar"/>
        </w:rPr>
        <w:t>，</w:t>
      </w:r>
      <w:r>
        <w:rPr>
          <w:rFonts w:hint="eastAsia" w:ascii="仿宋_GB2312" w:hAnsi="仿宋" w:eastAsia="仿宋_GB2312"/>
          <w:sz w:val="32"/>
          <w:szCs w:val="32"/>
          <w:lang w:eastAsia="zh-Hans" w:bidi="ar"/>
        </w:rPr>
        <w:t>实际支出</w:t>
      </w:r>
      <w:r>
        <w:rPr>
          <w:rFonts w:ascii="仿宋_GB2312" w:hAnsi="仿宋" w:eastAsia="仿宋_GB2312"/>
          <w:sz w:val="32"/>
          <w:szCs w:val="32"/>
          <w:lang w:eastAsia="zh-Hans" w:bidi="ar"/>
        </w:rPr>
        <w:t>18,297.57</w:t>
      </w:r>
      <w:r>
        <w:rPr>
          <w:rFonts w:hint="eastAsia" w:ascii="仿宋_GB2312" w:hAnsi="仿宋" w:eastAsia="仿宋_GB2312"/>
          <w:sz w:val="32"/>
          <w:szCs w:val="32"/>
          <w:lang w:eastAsia="zh-Hans" w:bidi="ar"/>
        </w:rPr>
        <w:t>万元</w:t>
      </w:r>
      <w:r>
        <w:rPr>
          <w:rFonts w:ascii="仿宋_GB2312" w:hAnsi="仿宋" w:eastAsia="仿宋_GB2312"/>
          <w:sz w:val="32"/>
          <w:szCs w:val="32"/>
          <w:lang w:eastAsia="zh-Hans" w:bidi="ar"/>
        </w:rPr>
        <w:t>，</w:t>
      </w:r>
      <w:r>
        <w:rPr>
          <w:rFonts w:hint="eastAsia" w:ascii="仿宋_GB2312" w:hAnsi="仿宋" w:eastAsia="仿宋_GB2312"/>
          <w:sz w:val="32"/>
          <w:szCs w:val="32"/>
          <w:lang w:eastAsia="zh-Hans" w:bidi="ar"/>
        </w:rPr>
        <w:t>资金执行率为48.14%</w:t>
      </w:r>
      <w:r>
        <w:rPr>
          <w:rFonts w:ascii="仿宋_GB2312" w:hAnsi="仿宋" w:eastAsia="仿宋_GB2312"/>
          <w:sz w:val="32"/>
          <w:szCs w:val="32"/>
          <w:lang w:eastAsia="zh-Hans" w:bidi="ar"/>
        </w:rPr>
        <w:t>；</w:t>
      </w:r>
      <w:r>
        <w:rPr>
          <w:rFonts w:hint="eastAsia" w:ascii="仿宋_GB2312" w:hAnsi="仿宋" w:eastAsia="仿宋_GB2312"/>
          <w:sz w:val="32"/>
          <w:szCs w:val="32"/>
          <w:lang w:eastAsia="zh-Hans" w:bidi="ar"/>
        </w:rPr>
        <w:t>地方资金预算</w:t>
      </w:r>
      <w:r>
        <w:rPr>
          <w:rFonts w:hint="eastAsia" w:ascii="仿宋_GB2312" w:hAnsi="仿宋" w:eastAsia="仿宋_GB2312"/>
          <w:sz w:val="32"/>
          <w:szCs w:val="32"/>
          <w:lang w:eastAsia="zh-CN" w:bidi="ar"/>
        </w:rPr>
        <w:t>2,211.22万元</w:t>
      </w:r>
      <w:r>
        <w:rPr>
          <w:rFonts w:ascii="仿宋_GB2312" w:hAnsi="仿宋" w:eastAsia="仿宋_GB2312"/>
          <w:sz w:val="32"/>
          <w:szCs w:val="32"/>
          <w:lang w:eastAsia="zh-Hans" w:bidi="ar"/>
        </w:rPr>
        <w:t>，</w:t>
      </w:r>
      <w:r>
        <w:rPr>
          <w:rFonts w:hint="eastAsia" w:ascii="仿宋_GB2312" w:hAnsi="仿宋" w:eastAsia="仿宋_GB2312"/>
          <w:sz w:val="32"/>
          <w:szCs w:val="32"/>
          <w:lang w:eastAsia="zh-Hans" w:bidi="ar"/>
        </w:rPr>
        <w:t>实际支出</w:t>
      </w:r>
      <w:r>
        <w:rPr>
          <w:rFonts w:ascii="仿宋_GB2312" w:hAnsi="仿宋" w:eastAsia="仿宋_GB2312"/>
          <w:sz w:val="32"/>
          <w:szCs w:val="32"/>
          <w:lang w:bidi="ar"/>
        </w:rPr>
        <w:t>2,207.52</w:t>
      </w:r>
      <w:r>
        <w:rPr>
          <w:rFonts w:hint="eastAsia" w:ascii="仿宋_GB2312" w:hAnsi="仿宋" w:eastAsia="仿宋_GB2312"/>
          <w:sz w:val="32"/>
          <w:szCs w:val="32"/>
          <w:lang w:eastAsia="zh-Hans" w:bidi="ar"/>
        </w:rPr>
        <w:t>万元</w:t>
      </w:r>
      <w:r>
        <w:rPr>
          <w:rFonts w:ascii="仿宋_GB2312" w:hAnsi="仿宋" w:eastAsia="仿宋_GB2312"/>
          <w:sz w:val="32"/>
          <w:szCs w:val="32"/>
          <w:lang w:eastAsia="zh-Hans" w:bidi="ar"/>
        </w:rPr>
        <w:t>，</w:t>
      </w:r>
      <w:r>
        <w:rPr>
          <w:rFonts w:hint="eastAsia" w:ascii="仿宋_GB2312" w:hAnsi="仿宋" w:eastAsia="仿宋_GB2312"/>
          <w:sz w:val="32"/>
          <w:szCs w:val="32"/>
          <w:lang w:eastAsia="zh-Hans" w:bidi="ar"/>
        </w:rPr>
        <w:t>资金执行率为99.83</w:t>
      </w:r>
      <w:r>
        <w:rPr>
          <w:rFonts w:ascii="仿宋_GB2312" w:hAnsi="仿宋" w:eastAsia="仿宋_GB2312"/>
          <w:sz w:val="32"/>
          <w:szCs w:val="32"/>
          <w:lang w:eastAsia="zh-Hans" w:bidi="ar"/>
        </w:rPr>
        <w:t>%；</w:t>
      </w:r>
      <w:r>
        <w:rPr>
          <w:rFonts w:hint="eastAsia" w:ascii="仿宋_GB2312" w:hAnsi="仿宋" w:eastAsia="仿宋_GB2312"/>
          <w:sz w:val="32"/>
          <w:szCs w:val="32"/>
          <w:lang w:eastAsia="zh-Hans" w:bidi="ar"/>
        </w:rPr>
        <w:t>其他资金预算</w:t>
      </w:r>
      <w:r>
        <w:rPr>
          <w:rFonts w:hint="eastAsia" w:ascii="仿宋_GB2312" w:hAnsi="仿宋" w:eastAsia="仿宋_GB2312"/>
          <w:sz w:val="32"/>
          <w:szCs w:val="32"/>
          <w:lang w:eastAsia="zh-CN" w:bidi="ar"/>
        </w:rPr>
        <w:t>210.57万元</w:t>
      </w:r>
      <w:r>
        <w:rPr>
          <w:rFonts w:ascii="仿宋_GB2312" w:hAnsi="仿宋" w:eastAsia="仿宋_GB2312"/>
          <w:sz w:val="32"/>
          <w:szCs w:val="32"/>
          <w:lang w:eastAsia="zh-Hans" w:bidi="ar"/>
        </w:rPr>
        <w:t>，</w:t>
      </w:r>
      <w:r>
        <w:rPr>
          <w:rFonts w:hint="eastAsia" w:ascii="仿宋_GB2312" w:hAnsi="仿宋" w:eastAsia="仿宋_GB2312"/>
          <w:sz w:val="32"/>
          <w:szCs w:val="32"/>
          <w:lang w:eastAsia="zh-Hans" w:bidi="ar"/>
        </w:rPr>
        <w:t>实际支出166.1</w:t>
      </w:r>
      <w:r>
        <w:rPr>
          <w:rFonts w:hint="eastAsia" w:ascii="仿宋_GB2312" w:hAnsi="仿宋" w:eastAsia="仿宋_GB2312"/>
          <w:sz w:val="32"/>
          <w:szCs w:val="32"/>
          <w:lang w:val="en-US" w:eastAsia="zh-CN" w:bidi="ar"/>
        </w:rPr>
        <w:t>9</w:t>
      </w:r>
      <w:r>
        <w:rPr>
          <w:rFonts w:hint="eastAsia" w:ascii="仿宋_GB2312" w:hAnsi="仿宋" w:eastAsia="仿宋_GB2312"/>
          <w:sz w:val="32"/>
          <w:szCs w:val="32"/>
          <w:lang w:eastAsia="zh-Hans" w:bidi="ar"/>
        </w:rPr>
        <w:t>万元</w:t>
      </w:r>
      <w:r>
        <w:rPr>
          <w:rFonts w:ascii="仿宋_GB2312" w:hAnsi="仿宋" w:eastAsia="仿宋_GB2312"/>
          <w:sz w:val="32"/>
          <w:szCs w:val="32"/>
          <w:lang w:eastAsia="zh-Hans" w:bidi="ar"/>
        </w:rPr>
        <w:t>，</w:t>
      </w:r>
      <w:r>
        <w:rPr>
          <w:rFonts w:hint="eastAsia" w:ascii="仿宋_GB2312" w:hAnsi="仿宋" w:eastAsia="仿宋_GB2312"/>
          <w:sz w:val="32"/>
          <w:szCs w:val="32"/>
          <w:lang w:eastAsia="zh-Hans" w:bidi="ar"/>
        </w:rPr>
        <w:t>资金执行率为78.92</w:t>
      </w:r>
      <w:r>
        <w:rPr>
          <w:rFonts w:ascii="仿宋_GB2312" w:hAnsi="仿宋" w:eastAsia="仿宋_GB2312"/>
          <w:sz w:val="32"/>
          <w:szCs w:val="32"/>
          <w:lang w:eastAsia="zh-Hans" w:bidi="ar"/>
        </w:rPr>
        <w:t>%。</w:t>
      </w:r>
    </w:p>
    <w:p>
      <w:pPr>
        <w:pStyle w:val="4"/>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ascii="仿宋_GB2312" w:hAnsi="仿宋_GB2312" w:eastAsia="仿宋_GB2312" w:cs="仿宋_GB2312"/>
          <w:b w:val="0"/>
          <w:bCs/>
          <w:spacing w:val="3"/>
          <w:position w:val="20"/>
          <w:sz w:val="32"/>
          <w:szCs w:val="32"/>
        </w:rPr>
      </w:pPr>
      <w:r>
        <w:rPr>
          <w:rFonts w:hint="eastAsia" w:ascii="楷体" w:hAnsi="楷体" w:eastAsia="楷体" w:cs="楷体"/>
          <w:b w:val="0"/>
          <w:bCs/>
          <w:kern w:val="2"/>
          <w:sz w:val="32"/>
          <w:szCs w:val="32"/>
          <w:lang w:bidi="ar"/>
        </w:rPr>
        <w:t>（</w:t>
      </w:r>
      <w:r>
        <w:rPr>
          <w:rFonts w:hint="eastAsia" w:ascii="楷体" w:hAnsi="楷体" w:eastAsia="楷体" w:cs="楷体"/>
          <w:b w:val="0"/>
          <w:bCs/>
          <w:kern w:val="2"/>
          <w:sz w:val="32"/>
          <w:szCs w:val="32"/>
          <w:lang w:eastAsia="zh-CN" w:bidi="ar"/>
        </w:rPr>
        <w:t>三</w:t>
      </w:r>
      <w:r>
        <w:rPr>
          <w:rFonts w:hint="eastAsia" w:ascii="楷体" w:hAnsi="楷体" w:eastAsia="楷体" w:cs="楷体"/>
          <w:b w:val="0"/>
          <w:bCs/>
          <w:kern w:val="2"/>
          <w:sz w:val="32"/>
          <w:szCs w:val="32"/>
          <w:lang w:bidi="ar"/>
        </w:rPr>
        <w:t>）资金管理情况分析</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both"/>
        <w:textAlignment w:val="baseline"/>
        <w:outlineLvl w:val="2"/>
        <w:rPr>
          <w:rFonts w:ascii="仿宋_GB2312" w:hAnsi="楷体" w:eastAsia="仿宋_GB2312" w:cs="仿宋_GB2312"/>
          <w:bCs/>
          <w:sz w:val="32"/>
          <w:szCs w:val="32"/>
          <w:lang w:bidi="ar"/>
        </w:rPr>
      </w:pPr>
      <w:r>
        <w:rPr>
          <w:rFonts w:hint="eastAsia" w:ascii="仿宋_GB2312" w:hAnsi="楷体" w:eastAsia="仿宋_GB2312" w:cs="仿宋_GB2312"/>
          <w:bCs/>
          <w:sz w:val="32"/>
          <w:szCs w:val="32"/>
          <w:lang w:bidi="ar"/>
        </w:rPr>
        <w:t>1.资金分配科学性</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both"/>
        <w:textAlignment w:val="baseline"/>
        <w:outlineLvl w:val="2"/>
        <w:rPr>
          <w:rFonts w:ascii="仿宋_GB2312" w:hAnsi="楷体" w:eastAsia="仿宋_GB2312" w:cs="仿宋_GB2312"/>
          <w:bCs/>
          <w:sz w:val="32"/>
          <w:szCs w:val="32"/>
          <w:lang w:bidi="ar"/>
        </w:rPr>
      </w:pPr>
      <w:r>
        <w:rPr>
          <w:rFonts w:hint="eastAsia" w:ascii="仿宋_GB2312" w:hAnsi="楷体" w:eastAsia="仿宋_GB2312" w:cs="仿宋_GB2312"/>
          <w:bCs/>
          <w:sz w:val="32"/>
          <w:szCs w:val="32"/>
          <w:lang w:bidi="ar"/>
        </w:rPr>
        <w:t>北京市卫生健康委员会根据《财政部 国家卫生健康委 国家疾病预防控制局关于提前下达2022年重大传染病防控经费预算的通知》（财社〔2021〕166号）文件要求，结合北京市实际情况，制定了《北京市卫生健康委员会关于印发2022年重点地方病防治等项目实施方案的通知》（京卫疾控〔2022〕43号）、《北京市卫生健康委员会 北京市教育委员会关于印发2022年北京市学生常见病和健康影响因素监测与干预工作方案的通知》（京卫疾控〔2022〕49号）、《北京市卫生健康委员会关于印发2022年自然疫源性疾病及手足口病防制等中央转移支付项目工作方案的通知》（京卫疾控〔2022〕56号）、《北京市卫生健康委员会关于印发2022年北京市结核病防治项目和艾滋病防治项目实施方案的通知》（京卫疾控〔2022〕58号）、《北京市卫生健康委员会关于印发2022年中央财政转移支付地方精神卫生项目北京市实施方案的通知》（京卫疾控〔2022〕59号）、《北京市卫生健康委员会关于印发2022年国家公共卫生专项慢性病防治项目工作方案的通知》（京卫疾控〔2022〕60号）和《北京市卫生健康委员会关于印发2022年度北京市农村癫痫防治管理项目实施方案的通知》（京卫疾控〔2022〕65号）等文件，明确了各项目工作的目标、任务、落实要求及项目资金情况。</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both"/>
        <w:textAlignment w:val="baseline"/>
        <w:outlineLvl w:val="2"/>
        <w:rPr>
          <w:rFonts w:ascii="仿宋_GB2312" w:hAnsi="楷体" w:eastAsia="仿宋_GB2312" w:cs="仿宋_GB2312"/>
          <w:bCs/>
          <w:sz w:val="32"/>
          <w:szCs w:val="32"/>
          <w:lang w:bidi="ar"/>
        </w:rPr>
      </w:pPr>
      <w:r>
        <w:rPr>
          <w:rFonts w:hint="eastAsia" w:ascii="仿宋_GB2312" w:hAnsi="楷体" w:eastAsia="仿宋_GB2312" w:cs="仿宋_GB2312"/>
          <w:bCs/>
          <w:sz w:val="32"/>
          <w:szCs w:val="32"/>
          <w:lang w:bidi="ar"/>
        </w:rPr>
        <w:t>由于《财政部 国家卫生健康委 国家疾控局关于下达2022年重大传染病防控经费预算的通知》（财社〔2022〕183号）下达时间较晚，截至2022年12月31日，存在部分资金尚未分配的情况。</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both"/>
        <w:textAlignment w:val="baseline"/>
        <w:outlineLvl w:val="2"/>
        <w:rPr>
          <w:rFonts w:ascii="仿宋_GB2312" w:hAnsi="楷体" w:eastAsia="仿宋_GB2312" w:cs="仿宋_GB2312"/>
          <w:bCs/>
          <w:sz w:val="32"/>
          <w:szCs w:val="32"/>
          <w:lang w:bidi="ar"/>
        </w:rPr>
      </w:pPr>
      <w:r>
        <w:rPr>
          <w:rFonts w:hint="eastAsia" w:ascii="仿宋_GB2312" w:hAnsi="楷体" w:eastAsia="仿宋_GB2312" w:cs="仿宋_GB2312"/>
          <w:bCs/>
          <w:sz w:val="32"/>
          <w:szCs w:val="32"/>
          <w:lang w:bidi="ar"/>
        </w:rPr>
        <w:t>2.资金下达及时性</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both"/>
        <w:textAlignment w:val="baseline"/>
        <w:outlineLvl w:val="2"/>
        <w:rPr>
          <w:rFonts w:ascii="仿宋_GB2312" w:hAnsi="楷体" w:eastAsia="仿宋_GB2312" w:cs="仿宋_GB2312"/>
          <w:bCs/>
          <w:sz w:val="32"/>
          <w:szCs w:val="32"/>
          <w:lang w:bidi="ar"/>
        </w:rPr>
      </w:pPr>
      <w:r>
        <w:rPr>
          <w:rFonts w:hint="eastAsia" w:ascii="仿宋_GB2312" w:hAnsi="楷体" w:eastAsia="仿宋_GB2312" w:cs="仿宋_GB2312"/>
          <w:bCs/>
          <w:sz w:val="32"/>
          <w:szCs w:val="32"/>
          <w:lang w:bidi="ar"/>
        </w:rPr>
        <w:t>北京市卫生健康委员会制定项目实施方案后，严格按照预算法及其实施条例，向北京市财政局提出申请，由北京市财政局及时将项目资金下达给各区财政局、5家直属单位、10家市属医院和北京市中医药管理局。各区卫生健康委员会在收到资金下达的通知后，根据各区的实际情况结合北京市卫生健康委员会制定的实施方案情况，制定本区的资金分配方案，由区财政局将项目资金及时下达给各个项目资金使用单位，项目整体资金下达较为及时。</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both"/>
        <w:textAlignment w:val="baseline"/>
        <w:outlineLvl w:val="2"/>
        <w:rPr>
          <w:rFonts w:ascii="仿宋_GB2312" w:hAnsi="楷体" w:eastAsia="仿宋_GB2312" w:cs="仿宋_GB2312"/>
          <w:bCs/>
          <w:sz w:val="32"/>
          <w:szCs w:val="32"/>
          <w:lang w:bidi="ar"/>
        </w:rPr>
      </w:pPr>
      <w:r>
        <w:rPr>
          <w:rFonts w:hint="eastAsia" w:ascii="仿宋_GB2312" w:hAnsi="楷体" w:eastAsia="仿宋_GB2312" w:cs="仿宋_GB2312"/>
          <w:bCs/>
          <w:sz w:val="32"/>
          <w:szCs w:val="32"/>
          <w:lang w:bidi="ar"/>
        </w:rPr>
        <w:t>3.资金拨付合规性</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both"/>
        <w:textAlignment w:val="baseline"/>
        <w:outlineLvl w:val="2"/>
        <w:rPr>
          <w:rFonts w:ascii="仿宋_GB2312" w:hAnsi="楷体" w:eastAsia="仿宋_GB2312" w:cs="仿宋_GB2312"/>
          <w:bCs/>
          <w:sz w:val="32"/>
          <w:szCs w:val="32"/>
          <w:lang w:bidi="ar"/>
        </w:rPr>
      </w:pPr>
      <w:r>
        <w:rPr>
          <w:rFonts w:hint="eastAsia" w:ascii="仿宋_GB2312" w:hAnsi="楷体" w:eastAsia="仿宋_GB2312" w:cs="仿宋_GB2312"/>
          <w:bCs/>
          <w:sz w:val="32"/>
          <w:szCs w:val="32"/>
          <w:lang w:bidi="ar"/>
        </w:rPr>
        <w:t>2022年北京市中央转移支付重大传染病防控经费严格按照北京市国库集中支付制度有关规定支付资金，未出现违规将资金从国库转入财政专户或支付到预算单位实有资金账户等问题。</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both"/>
        <w:textAlignment w:val="baseline"/>
        <w:outlineLvl w:val="2"/>
        <w:rPr>
          <w:rFonts w:ascii="仿宋_GB2312" w:hAnsi="楷体" w:eastAsia="仿宋_GB2312" w:cs="仿宋_GB2312"/>
          <w:bCs/>
          <w:sz w:val="32"/>
          <w:szCs w:val="32"/>
          <w:lang w:bidi="ar"/>
        </w:rPr>
      </w:pPr>
      <w:r>
        <w:rPr>
          <w:rFonts w:hint="eastAsia" w:ascii="仿宋_GB2312" w:hAnsi="楷体" w:eastAsia="仿宋_GB2312" w:cs="仿宋_GB2312"/>
          <w:bCs/>
          <w:sz w:val="32"/>
          <w:szCs w:val="32"/>
          <w:lang w:bidi="ar"/>
        </w:rPr>
        <w:t>4.资金使用规范性</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both"/>
        <w:textAlignment w:val="baseline"/>
        <w:outlineLvl w:val="2"/>
        <w:rPr>
          <w:rFonts w:ascii="仿宋_GB2312" w:hAnsi="楷体" w:eastAsia="仿宋_GB2312" w:cs="仿宋_GB2312"/>
          <w:bCs/>
          <w:sz w:val="32"/>
          <w:szCs w:val="32"/>
          <w:lang w:bidi="ar"/>
        </w:rPr>
      </w:pPr>
      <w:r>
        <w:rPr>
          <w:rFonts w:hint="eastAsia" w:ascii="仿宋_GB2312" w:hAnsi="楷体" w:eastAsia="仿宋_GB2312" w:cs="仿宋_GB2312"/>
          <w:bCs/>
          <w:sz w:val="32"/>
          <w:szCs w:val="32"/>
          <w:lang w:bidi="ar"/>
        </w:rPr>
        <w:t>2022年北京市中央转移支付重大传染病防控经费根据《财政部 国家卫生健康委 国家疾病预防控制局关于提前下达2022年重大传染病防控经费预算的通知》（财社〔2021〕166号）、《财政部 国家卫生健康委 国家疾控局关于下达2022年重大传染病防控经费预算的通知》（财社〔2022〕183号）的通知要求，按照各资金使用单位的项目资金管理制度、转移支付资金管理制度对项目实行专项核算，能够做到专款专用，严格按照下达预算的科目和项目执行，未出现截留、挤占、挪用或擅自调整等问题。并按照财务管理要求进行财务核算，会计核算基本真实、完整、及时，未出现截留挤占挪用等问题，用款程序标准符合国家财务管理制度，资金管理使用较为规范。</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both"/>
        <w:textAlignment w:val="baseline"/>
        <w:outlineLvl w:val="2"/>
        <w:rPr>
          <w:rFonts w:ascii="仿宋_GB2312" w:hAnsi="楷体" w:eastAsia="仿宋_GB2312" w:cs="仿宋_GB2312"/>
          <w:bCs/>
          <w:sz w:val="32"/>
          <w:szCs w:val="32"/>
          <w:lang w:bidi="ar"/>
        </w:rPr>
      </w:pPr>
      <w:r>
        <w:rPr>
          <w:rFonts w:hint="eastAsia" w:ascii="仿宋_GB2312" w:hAnsi="楷体" w:eastAsia="仿宋_GB2312" w:cs="仿宋_GB2312"/>
          <w:bCs/>
          <w:sz w:val="32"/>
          <w:szCs w:val="32"/>
          <w:lang w:bidi="ar"/>
        </w:rPr>
        <w:t>5.资金执行准确性</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both"/>
        <w:textAlignment w:val="baseline"/>
        <w:outlineLvl w:val="2"/>
        <w:rPr>
          <w:rFonts w:ascii="仿宋_GB2312" w:hAnsi="楷体" w:eastAsia="仿宋_GB2312" w:cs="仿宋_GB2312"/>
          <w:bCs/>
          <w:sz w:val="32"/>
          <w:szCs w:val="32"/>
          <w:lang w:bidi="ar"/>
        </w:rPr>
      </w:pPr>
      <w:r>
        <w:rPr>
          <w:rFonts w:hint="eastAsia" w:ascii="仿宋_GB2312" w:hAnsi="楷体" w:eastAsia="仿宋_GB2312" w:cs="仿宋_GB2312"/>
          <w:bCs/>
          <w:sz w:val="32"/>
          <w:szCs w:val="32"/>
          <w:lang w:bidi="ar"/>
        </w:rPr>
        <w:t>按照上级下达和本级预算安排的金额执行，不存在执行数偏离预算数较多的问题。2022年北京市中央转移支付重大传染病防控经费总投入为</w:t>
      </w:r>
      <w:r>
        <w:rPr>
          <w:rFonts w:hint="eastAsia" w:ascii="仿宋_GB2312" w:hAnsi="楷体" w:eastAsia="仿宋_GB2312" w:cs="仿宋_GB2312"/>
          <w:bCs/>
          <w:sz w:val="32"/>
          <w:szCs w:val="32"/>
          <w:lang w:eastAsia="zh-CN" w:bidi="ar"/>
        </w:rPr>
        <w:t>40,433.79万元</w:t>
      </w:r>
      <w:r>
        <w:rPr>
          <w:rFonts w:hint="eastAsia" w:ascii="仿宋_GB2312" w:hAnsi="楷体" w:eastAsia="仿宋_GB2312" w:cs="仿宋_GB2312"/>
          <w:bCs/>
          <w:sz w:val="32"/>
          <w:szCs w:val="32"/>
          <w:lang w:bidi="ar"/>
        </w:rPr>
        <w:t>，实际到位资金为</w:t>
      </w:r>
      <w:r>
        <w:rPr>
          <w:rFonts w:hint="eastAsia" w:ascii="仿宋_GB2312" w:hAnsi="楷体" w:eastAsia="仿宋_GB2312" w:cs="仿宋_GB2312"/>
          <w:bCs/>
          <w:sz w:val="32"/>
          <w:szCs w:val="32"/>
          <w:lang w:eastAsia="zh-CN" w:bidi="ar"/>
        </w:rPr>
        <w:t>40,433.79万元</w:t>
      </w:r>
      <w:r>
        <w:rPr>
          <w:rFonts w:hint="eastAsia" w:ascii="仿宋_GB2312" w:hAnsi="楷体" w:eastAsia="仿宋_GB2312" w:cs="仿宋_GB2312"/>
          <w:bCs/>
          <w:sz w:val="32"/>
          <w:szCs w:val="32"/>
          <w:lang w:bidi="ar"/>
        </w:rPr>
        <w:t>，资金到位率为100%。截止到2022年12月31日，实际支出金额为</w:t>
      </w:r>
      <w:r>
        <w:rPr>
          <w:rFonts w:hint="eastAsia" w:ascii="仿宋_GB2312" w:hAnsi="仿宋" w:eastAsia="仿宋_GB2312"/>
          <w:sz w:val="32"/>
          <w:szCs w:val="32"/>
          <w:lang w:eastAsia="zh-CN" w:bidi="ar"/>
        </w:rPr>
        <w:t>20,671.29万元</w:t>
      </w:r>
      <w:r>
        <w:rPr>
          <w:rFonts w:hint="eastAsia" w:ascii="仿宋_GB2312" w:hAnsi="仿宋" w:eastAsia="仿宋_GB2312"/>
          <w:sz w:val="32"/>
          <w:szCs w:val="32"/>
          <w:lang w:bidi="ar"/>
        </w:rPr>
        <w:t>，预算执行率为51.12%。</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both"/>
        <w:textAlignment w:val="baseline"/>
        <w:outlineLvl w:val="2"/>
        <w:rPr>
          <w:rFonts w:ascii="仿宋_GB2312" w:hAnsi="楷体" w:eastAsia="仿宋_GB2312" w:cs="仿宋_GB2312"/>
          <w:bCs/>
          <w:sz w:val="32"/>
          <w:szCs w:val="32"/>
          <w:lang w:bidi="ar"/>
        </w:rPr>
      </w:pPr>
      <w:r>
        <w:rPr>
          <w:rFonts w:hint="eastAsia" w:ascii="仿宋_GB2312" w:hAnsi="楷体" w:eastAsia="仿宋_GB2312" w:cs="仿宋_GB2312"/>
          <w:bCs/>
          <w:sz w:val="32"/>
          <w:szCs w:val="32"/>
          <w:lang w:bidi="ar"/>
        </w:rPr>
        <w:t>6.预算绩效管理情况</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both"/>
        <w:textAlignment w:val="baseline"/>
        <w:outlineLvl w:val="2"/>
        <w:rPr>
          <w:rFonts w:ascii="仿宋_GB2312" w:hAnsi="仿宋_GB2312" w:eastAsia="仿宋_GB2312" w:cs="仿宋_GB2312"/>
          <w:bCs/>
          <w:sz w:val="32"/>
          <w:szCs w:val="32"/>
        </w:rPr>
      </w:pPr>
      <w:r>
        <w:rPr>
          <w:rFonts w:hint="eastAsia" w:ascii="仿宋_GB2312" w:hAnsi="楷体" w:eastAsia="仿宋_GB2312" w:cs="仿宋_GB2312"/>
          <w:bCs/>
          <w:sz w:val="32"/>
          <w:szCs w:val="32"/>
          <w:lang w:bidi="ar"/>
        </w:rPr>
        <w:t>2022年</w:t>
      </w:r>
      <w:r>
        <w:rPr>
          <w:rFonts w:hint="eastAsia" w:ascii="仿宋_GB2312" w:hAnsi="仿宋_GB2312" w:eastAsia="仿宋_GB2312" w:cs="仿宋_GB2312"/>
          <w:bCs/>
          <w:color w:val="auto"/>
          <w:sz w:val="32"/>
          <w:szCs w:val="32"/>
        </w:rPr>
        <w:t>北京市中央转移支付重大传染病防控经费</w:t>
      </w:r>
      <w:r>
        <w:rPr>
          <w:rFonts w:hint="eastAsia" w:ascii="仿宋_GB2312" w:hAnsi="楷体" w:eastAsia="仿宋_GB2312" w:cs="仿宋_GB2312"/>
          <w:bCs/>
          <w:sz w:val="32"/>
          <w:szCs w:val="32"/>
          <w:lang w:bidi="ar"/>
        </w:rPr>
        <w:t>在细化下达预算时同步下达绩效目标，按《项目支出绩效评价管理办法》（京财预〔2020〕2146号）、</w:t>
      </w:r>
      <w:r>
        <w:rPr>
          <w:rFonts w:hint="eastAsia" w:ascii="仿宋_GB2312" w:hAnsi="仿宋_GB2312" w:eastAsia="仿宋_GB2312" w:cs="仿宋_GB2312"/>
          <w:sz w:val="32"/>
          <w:szCs w:val="32"/>
        </w:rPr>
        <w:t>《关于开展2022年度中央对地方转移支付预算执行情况绩效自评工作的通知》（财监</w:t>
      </w:r>
      <w:r>
        <w:rPr>
          <w:rFonts w:hint="eastAsia" w:ascii="仿宋_GB2312" w:hAnsi="仿宋_GB2312" w:eastAsia="仿宋_GB2312" w:cs="仿宋_GB2312"/>
          <w:bCs/>
          <w:color w:val="auto"/>
          <w:sz w:val="32"/>
          <w:szCs w:val="32"/>
          <w:lang w:eastAsia="zh-Hans"/>
        </w:rPr>
        <w:t>〔202</w:t>
      </w:r>
      <w:r>
        <w:rPr>
          <w:rFonts w:hint="eastAsia" w:ascii="仿宋_GB2312" w:hAnsi="仿宋_GB2312" w:eastAsia="仿宋_GB2312" w:cs="仿宋_GB2312"/>
          <w:bCs/>
          <w:color w:val="auto"/>
          <w:sz w:val="32"/>
          <w:szCs w:val="32"/>
        </w:rPr>
        <w:t>3</w:t>
      </w:r>
      <w:r>
        <w:rPr>
          <w:rFonts w:hint="eastAsia" w:ascii="仿宋_GB2312" w:hAnsi="仿宋_GB2312" w:eastAsia="仿宋_GB2312" w:cs="仿宋_GB2312"/>
          <w:bCs/>
          <w:color w:val="auto"/>
          <w:sz w:val="32"/>
          <w:szCs w:val="32"/>
          <w:lang w:eastAsia="zh-Hans"/>
        </w:rPr>
        <w:t>〕</w:t>
      </w:r>
      <w:r>
        <w:rPr>
          <w:rFonts w:hint="eastAsia" w:ascii="仿宋_GB2312" w:hAnsi="仿宋_GB2312" w:eastAsia="仿宋_GB2312" w:cs="仿宋_GB2312"/>
          <w:sz w:val="32"/>
          <w:szCs w:val="32"/>
        </w:rPr>
        <w:t>1号）</w:t>
      </w:r>
      <w:r>
        <w:rPr>
          <w:rFonts w:hint="eastAsia" w:ascii="仿宋_GB2312" w:hAnsi="楷体" w:eastAsia="仿宋_GB2312" w:cs="仿宋_GB2312"/>
          <w:bCs/>
          <w:sz w:val="32"/>
          <w:szCs w:val="32"/>
          <w:lang w:bidi="ar"/>
        </w:rPr>
        <w:t>要求，结合项目绩效目标完成情况开展绩效自评工作。</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both"/>
        <w:textAlignment w:val="baseline"/>
        <w:outlineLvl w:val="2"/>
        <w:rPr>
          <w:rFonts w:ascii="仿宋_GB2312" w:hAnsi="楷体" w:eastAsia="仿宋_GB2312" w:cs="仿宋_GB2312"/>
          <w:bCs/>
          <w:sz w:val="32"/>
          <w:szCs w:val="32"/>
          <w:lang w:bidi="ar"/>
        </w:rPr>
      </w:pPr>
      <w:r>
        <w:rPr>
          <w:rFonts w:hint="eastAsia" w:ascii="仿宋_GB2312" w:hAnsi="楷体" w:eastAsia="仿宋_GB2312" w:cs="仿宋_GB2312"/>
          <w:bCs/>
          <w:sz w:val="32"/>
          <w:szCs w:val="32"/>
          <w:lang w:bidi="ar"/>
        </w:rPr>
        <w:t>7.支出责任履行情况</w:t>
      </w:r>
    </w:p>
    <w:p>
      <w:pPr>
        <w:pStyle w:val="4"/>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both"/>
        <w:textAlignment w:val="baseline"/>
        <w:rPr>
          <w:rFonts w:hint="eastAsia" w:ascii="仿宋_GB2312" w:hAnsi="仿宋" w:eastAsia="仿宋_GB2312"/>
          <w:sz w:val="32"/>
          <w:szCs w:val="32"/>
          <w:lang w:eastAsia="zh-CN" w:bidi="ar"/>
        </w:rPr>
      </w:pPr>
      <w:r>
        <w:rPr>
          <w:rFonts w:hint="eastAsia" w:ascii="仿宋_GB2312" w:hAnsi="楷体" w:eastAsia="仿宋_GB2312" w:cs="仿宋_GB2312"/>
          <w:bCs/>
          <w:sz w:val="32"/>
          <w:szCs w:val="32"/>
          <w:lang w:bidi="ar"/>
        </w:rPr>
        <w:t>北京市卫生健康委员会和北京市财政局针对</w:t>
      </w:r>
      <w:r>
        <w:rPr>
          <w:rFonts w:hint="eastAsia" w:ascii="仿宋_GB2312" w:hAnsi="仿宋" w:eastAsia="仿宋_GB2312"/>
          <w:sz w:val="32"/>
          <w:szCs w:val="32"/>
          <w:lang w:bidi="ar"/>
        </w:rPr>
        <w:t>中央转移支付重大传染病防控经费）</w:t>
      </w:r>
      <w:r>
        <w:rPr>
          <w:rFonts w:hint="eastAsia" w:ascii="仿宋_GB2312" w:hAnsi="楷体" w:eastAsia="仿宋_GB2312" w:cs="仿宋_GB2312"/>
          <w:bCs/>
          <w:sz w:val="32"/>
          <w:szCs w:val="32"/>
          <w:lang w:bidi="ar"/>
        </w:rPr>
        <w:t>能够做到严格按照财政事权和支出责任划分有关规定，足额安排资金履行本级支出责任。各区财政局、卫生健康委员会及各个资金使用单位能够严格按照财政事权和支出责任划分有关规定，足额安排资金履行本级支出责任。</w:t>
      </w:r>
    </w:p>
    <w:p>
      <w:pPr>
        <w:pStyle w:val="4"/>
        <w:keepNext w:val="0"/>
        <w:keepLines w:val="0"/>
        <w:pageBreakBefore w:val="0"/>
        <w:widowControl w:val="0"/>
        <w:numPr>
          <w:ilvl w:val="0"/>
          <w:numId w:val="1"/>
        </w:numPr>
        <w:kinsoku w:val="0"/>
        <w:wordWrap/>
        <w:overflowPunct/>
        <w:topLinePunct w:val="0"/>
        <w:autoSpaceDE w:val="0"/>
        <w:autoSpaceDN w:val="0"/>
        <w:bidi w:val="0"/>
        <w:adjustRightInd w:val="0"/>
        <w:snapToGrid w:val="0"/>
        <w:spacing w:line="560" w:lineRule="exact"/>
        <w:ind w:firstLine="640" w:firstLineChars="200"/>
        <w:jc w:val="both"/>
        <w:textAlignment w:val="baseline"/>
        <w:rPr>
          <w:rFonts w:hint="eastAsia" w:ascii="方正黑体_GBK" w:hAnsi="方正黑体_GBK" w:eastAsia="方正黑体_GBK" w:cs="方正黑体_GBK"/>
          <w:b w:val="0"/>
          <w:bCs/>
          <w:kern w:val="2"/>
          <w:sz w:val="32"/>
          <w:szCs w:val="32"/>
          <w:lang w:eastAsia="zh-CN" w:bidi="ar"/>
        </w:rPr>
      </w:pPr>
      <w:r>
        <w:rPr>
          <w:rFonts w:hint="eastAsia" w:ascii="方正黑体_GBK" w:hAnsi="方正黑体_GBK" w:eastAsia="方正黑体_GBK" w:cs="方正黑体_GBK"/>
          <w:b w:val="0"/>
          <w:bCs/>
          <w:kern w:val="2"/>
          <w:sz w:val="32"/>
          <w:szCs w:val="32"/>
          <w:lang w:eastAsia="zh-CN" w:bidi="ar"/>
        </w:rPr>
        <w:t>绩效目标实现情况</w:t>
      </w:r>
    </w:p>
    <w:p>
      <w:pPr>
        <w:pStyle w:val="4"/>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560" w:lineRule="exact"/>
        <w:ind w:firstLine="640" w:firstLineChars="200"/>
        <w:jc w:val="both"/>
        <w:textAlignment w:val="baseline"/>
        <w:rPr>
          <w:rFonts w:ascii="仿宋_GB2312" w:hAnsi="仿宋" w:eastAsia="仿宋_GB2312"/>
          <w:sz w:val="32"/>
          <w:szCs w:val="32"/>
          <w:lang w:bidi="ar"/>
        </w:rPr>
      </w:pPr>
      <w:r>
        <w:rPr>
          <w:rFonts w:hint="eastAsia" w:ascii="仿宋" w:hAnsi="仿宋" w:eastAsia="仿宋" w:cs="仿宋"/>
          <w:sz w:val="32"/>
          <w:szCs w:val="32"/>
          <w:lang w:eastAsia="zh-Hans"/>
        </w:rPr>
        <w:t>根据</w:t>
      </w:r>
      <w:r>
        <w:rPr>
          <w:rFonts w:hint="eastAsia" w:ascii="仿宋_GB2312" w:hAnsi="仿宋" w:eastAsia="仿宋_GB2312"/>
          <w:sz w:val="32"/>
          <w:szCs w:val="32"/>
          <w:lang w:bidi="ar"/>
        </w:rPr>
        <w:t>《财政部 国家卫生健康委 国家疾病预防控制局关于提前下达2022年重大传染病防控经费预算的通知》（财社〔2021〕166号）、《财政部 国家卫生健康委 国家疾控局关于下达2022年重大传染病防控经费预算的通知》（财社〔2022〕183号）</w:t>
      </w:r>
      <w:r>
        <w:rPr>
          <w:rFonts w:hint="eastAsia" w:ascii="仿宋_GB2312" w:hAnsi="仿宋" w:eastAsia="仿宋_GB2312"/>
          <w:sz w:val="32"/>
          <w:szCs w:val="32"/>
          <w:lang w:eastAsia="zh-Hans" w:bidi="ar"/>
        </w:rPr>
        <w:t>文件</w:t>
      </w:r>
      <w:r>
        <w:rPr>
          <w:rFonts w:ascii="仿宋_GB2312" w:hAnsi="仿宋" w:eastAsia="仿宋_GB2312"/>
          <w:sz w:val="32"/>
          <w:szCs w:val="32"/>
          <w:lang w:eastAsia="zh-Hans" w:bidi="ar"/>
        </w:rPr>
        <w:t>，</w:t>
      </w:r>
      <w:r>
        <w:rPr>
          <w:rFonts w:hint="eastAsia" w:ascii="仿宋_GB2312" w:hAnsi="仿宋" w:eastAsia="仿宋_GB2312"/>
          <w:sz w:val="32"/>
          <w:szCs w:val="32"/>
          <w:lang w:eastAsia="zh-Hans" w:bidi="ar"/>
        </w:rPr>
        <w:t>财政部和国家卫生健康委</w:t>
      </w:r>
      <w:r>
        <w:rPr>
          <w:rFonts w:hint="eastAsia" w:ascii="仿宋_GB2312" w:hAnsi="仿宋" w:eastAsia="仿宋_GB2312"/>
          <w:sz w:val="32"/>
          <w:szCs w:val="32"/>
          <w:lang w:bidi="ar"/>
        </w:rPr>
        <w:t>共同下达北京市中央转移支付重大传染病防控经费</w:t>
      </w:r>
      <w:r>
        <w:rPr>
          <w:rFonts w:hint="eastAsia" w:ascii="仿宋_GB2312" w:hAnsi="仿宋" w:eastAsia="仿宋_GB2312"/>
          <w:sz w:val="32"/>
          <w:szCs w:val="32"/>
          <w:lang w:eastAsia="zh-Hans" w:bidi="ar"/>
        </w:rPr>
        <w:t>项目资金区域</w:t>
      </w:r>
      <w:r>
        <w:rPr>
          <w:rFonts w:hint="eastAsia" w:ascii="仿宋_GB2312" w:hAnsi="等线" w:eastAsia="仿宋_GB2312"/>
          <w:sz w:val="32"/>
          <w:szCs w:val="32"/>
          <w:lang w:bidi="ar"/>
        </w:rPr>
        <w:t>绩效目标，</w:t>
      </w:r>
      <w:r>
        <w:rPr>
          <w:rFonts w:hint="eastAsia" w:ascii="仿宋_GB2312" w:hAnsi="仿宋_GB2312" w:eastAsia="仿宋_GB2312" w:cs="仿宋_GB2312"/>
          <w:sz w:val="32"/>
          <w:szCs w:val="32"/>
          <w:lang w:bidi="ar"/>
        </w:rPr>
        <w:t>市卫生健康委</w:t>
      </w:r>
      <w:r>
        <w:rPr>
          <w:rFonts w:hint="eastAsia" w:ascii="仿宋_GB2312" w:hAnsi="等线" w:eastAsia="仿宋_GB2312"/>
          <w:sz w:val="32"/>
          <w:szCs w:val="32"/>
          <w:lang w:bidi="ar"/>
        </w:rPr>
        <w:t>根据</w:t>
      </w:r>
      <w:r>
        <w:rPr>
          <w:rFonts w:hint="eastAsia" w:ascii="仿宋_GB2312" w:hAnsi="等线" w:eastAsia="仿宋_GB2312"/>
          <w:sz w:val="32"/>
          <w:szCs w:val="32"/>
          <w:lang w:eastAsia="zh-Hans" w:bidi="ar"/>
        </w:rPr>
        <w:t>实际情况将年度绩效目标分解下达至各区</w:t>
      </w:r>
      <w:r>
        <w:rPr>
          <w:rFonts w:ascii="仿宋_GB2312" w:hAnsi="等线" w:eastAsia="仿宋_GB2312"/>
          <w:sz w:val="32"/>
          <w:szCs w:val="32"/>
          <w:lang w:eastAsia="zh-Hans" w:bidi="ar"/>
        </w:rPr>
        <w:t>、</w:t>
      </w:r>
      <w:r>
        <w:rPr>
          <w:rFonts w:hint="eastAsia" w:ascii="仿宋_GB2312" w:hAnsi="等线" w:eastAsia="仿宋_GB2312"/>
          <w:sz w:val="32"/>
          <w:szCs w:val="32"/>
          <w:lang w:eastAsia="zh-Hans" w:bidi="ar"/>
        </w:rPr>
        <w:t>各</w:t>
      </w:r>
      <w:r>
        <w:rPr>
          <w:rFonts w:hint="eastAsia" w:ascii="仿宋_GB2312" w:hAnsi="等线" w:eastAsia="仿宋_GB2312"/>
          <w:sz w:val="32"/>
          <w:szCs w:val="32"/>
          <w:lang w:bidi="ar"/>
        </w:rPr>
        <w:t>资金使用</w:t>
      </w:r>
      <w:r>
        <w:rPr>
          <w:rFonts w:hint="eastAsia" w:ascii="仿宋_GB2312" w:hAnsi="等线" w:eastAsia="仿宋_GB2312"/>
          <w:sz w:val="32"/>
          <w:szCs w:val="32"/>
          <w:lang w:eastAsia="zh-Hans" w:bidi="ar"/>
        </w:rPr>
        <w:t>单位</w:t>
      </w:r>
      <w:r>
        <w:rPr>
          <w:rFonts w:ascii="仿宋_GB2312" w:hAnsi="等线" w:eastAsia="仿宋_GB2312"/>
          <w:sz w:val="32"/>
          <w:szCs w:val="32"/>
          <w:lang w:bidi="ar"/>
        </w:rPr>
        <w:t>。</w:t>
      </w:r>
      <w:r>
        <w:rPr>
          <w:rFonts w:hint="eastAsia" w:ascii="仿宋_GB2312" w:hAnsi="仿宋" w:eastAsia="仿宋_GB2312"/>
          <w:sz w:val="32"/>
          <w:szCs w:val="32"/>
          <w:lang w:bidi="ar"/>
        </w:rPr>
        <w:t>北京市中央转移支付重大传染病防控经费绩效目标为：</w:t>
      </w:r>
    </w:p>
    <w:p>
      <w:pPr>
        <w:keepNext w:val="0"/>
        <w:keepLines w:val="0"/>
        <w:pageBreakBefore w:val="0"/>
        <w:kinsoku w:val="0"/>
        <w:wordWrap/>
        <w:overflowPunct/>
        <w:topLinePunct w:val="0"/>
        <w:autoSpaceDE w:val="0"/>
        <w:autoSpaceDN w:val="0"/>
        <w:bidi w:val="0"/>
        <w:adjustRightInd w:val="0"/>
        <w:snapToGrid w:val="0"/>
        <w:spacing w:line="560" w:lineRule="exact"/>
        <w:ind w:firstLine="640" w:firstLineChars="200"/>
        <w:textAlignment w:val="baseline"/>
        <w:outlineLvl w:val="1"/>
        <w:rPr>
          <w:rFonts w:ascii="仿宋_GB2312" w:hAnsi="仿宋" w:eastAsia="仿宋_GB2312"/>
          <w:sz w:val="32"/>
          <w:szCs w:val="32"/>
          <w:lang w:bidi="ar"/>
        </w:rPr>
      </w:pPr>
      <w:r>
        <w:rPr>
          <w:rFonts w:ascii="仿宋_GB2312" w:hAnsi="仿宋" w:eastAsia="仿宋_GB2312"/>
          <w:sz w:val="32"/>
          <w:szCs w:val="32"/>
          <w:lang w:bidi="ar"/>
        </w:rPr>
        <w:t>目标1:以乡镇(街道)为单位适龄儿童国家免疫规划疫苗接种率大于等于90%。</w:t>
      </w:r>
    </w:p>
    <w:p>
      <w:pPr>
        <w:keepNext w:val="0"/>
        <w:keepLines w:val="0"/>
        <w:pageBreakBefore w:val="0"/>
        <w:kinsoku w:val="0"/>
        <w:wordWrap/>
        <w:overflowPunct/>
        <w:topLinePunct w:val="0"/>
        <w:autoSpaceDE w:val="0"/>
        <w:autoSpaceDN w:val="0"/>
        <w:bidi w:val="0"/>
        <w:adjustRightInd w:val="0"/>
        <w:snapToGrid w:val="0"/>
        <w:spacing w:line="560" w:lineRule="exact"/>
        <w:ind w:firstLine="640" w:firstLineChars="200"/>
        <w:textAlignment w:val="baseline"/>
        <w:outlineLvl w:val="1"/>
        <w:rPr>
          <w:rFonts w:ascii="仿宋_GB2312" w:hAnsi="仿宋" w:eastAsia="仿宋_GB2312"/>
          <w:sz w:val="32"/>
          <w:szCs w:val="32"/>
          <w:lang w:bidi="ar"/>
        </w:rPr>
      </w:pPr>
      <w:r>
        <w:rPr>
          <w:rFonts w:ascii="仿宋_GB2312" w:hAnsi="仿宋" w:eastAsia="仿宋_GB2312"/>
          <w:sz w:val="32"/>
          <w:szCs w:val="32"/>
          <w:lang w:bidi="ar"/>
        </w:rPr>
        <w:t>目标2:有效控制艾滋病疫情，全国艾滋病疫情继续控制在低流行水平，进一步减少结核感染、患病和死亡，切实降低结核病疾病负担，提高 人民群众健康水平，促进国民经济发展和社会和谐稳定。</w:t>
      </w:r>
    </w:p>
    <w:p>
      <w:pPr>
        <w:keepNext w:val="0"/>
        <w:keepLines w:val="0"/>
        <w:pageBreakBefore w:val="0"/>
        <w:kinsoku w:val="0"/>
        <w:wordWrap/>
        <w:overflowPunct/>
        <w:topLinePunct w:val="0"/>
        <w:autoSpaceDE w:val="0"/>
        <w:autoSpaceDN w:val="0"/>
        <w:bidi w:val="0"/>
        <w:adjustRightInd w:val="0"/>
        <w:snapToGrid w:val="0"/>
        <w:spacing w:line="560" w:lineRule="exact"/>
        <w:ind w:firstLine="640" w:firstLineChars="200"/>
        <w:textAlignment w:val="baseline"/>
        <w:outlineLvl w:val="1"/>
        <w:rPr>
          <w:rFonts w:ascii="仿宋_GB2312" w:hAnsi="仿宋" w:eastAsia="仿宋_GB2312"/>
          <w:sz w:val="32"/>
          <w:szCs w:val="32"/>
          <w:lang w:bidi="ar"/>
        </w:rPr>
      </w:pPr>
      <w:r>
        <w:rPr>
          <w:rFonts w:ascii="仿宋_GB2312" w:hAnsi="仿宋" w:eastAsia="仿宋_GB2312"/>
          <w:sz w:val="32"/>
          <w:szCs w:val="32"/>
          <w:lang w:bidi="ar"/>
        </w:rPr>
        <w:t>目标3:开展重大慢性病早期筛查干预项目，落实慢性病及其相关危险因素监测。加强严重精神障碍患者筛查、登记报告和随访服务，开展社会心理服务体系建设试点，开展农村地区生活困难癫痫患者筛查登记和随访管理。</w:t>
      </w:r>
    </w:p>
    <w:p>
      <w:pPr>
        <w:keepNext w:val="0"/>
        <w:keepLines w:val="0"/>
        <w:pageBreakBefore w:val="0"/>
        <w:kinsoku w:val="0"/>
        <w:wordWrap/>
        <w:overflowPunct/>
        <w:topLinePunct w:val="0"/>
        <w:autoSpaceDE w:val="0"/>
        <w:autoSpaceDN w:val="0"/>
        <w:bidi w:val="0"/>
        <w:adjustRightInd w:val="0"/>
        <w:snapToGrid w:val="0"/>
        <w:spacing w:line="560" w:lineRule="exact"/>
        <w:ind w:firstLine="640" w:firstLineChars="200"/>
        <w:textAlignment w:val="baseline"/>
        <w:outlineLvl w:val="1"/>
        <w:rPr>
          <w:rFonts w:ascii="仿宋_GB2312" w:hAnsi="仿宋" w:eastAsia="仿宋_GB2312"/>
          <w:sz w:val="32"/>
          <w:szCs w:val="32"/>
          <w:lang w:bidi="ar"/>
        </w:rPr>
      </w:pPr>
      <w:r>
        <w:rPr>
          <w:rFonts w:ascii="仿宋_GB2312" w:hAnsi="仿宋" w:eastAsia="仿宋_GB2312"/>
          <w:sz w:val="32"/>
          <w:szCs w:val="32"/>
          <w:lang w:bidi="ar"/>
        </w:rPr>
        <w:t>目标4:分别完成以新冠肺炎为主的病毒性传染病监测、基于国家致病菌识别网的细菌性传染病监测、重点区域病媒生物监测。</w:t>
      </w:r>
    </w:p>
    <w:p>
      <w:pPr>
        <w:pStyle w:val="4"/>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ascii="楷体" w:hAnsi="楷体" w:eastAsia="楷体" w:cs="楷体"/>
          <w:b w:val="0"/>
          <w:bCs/>
          <w:kern w:val="2"/>
          <w:sz w:val="32"/>
          <w:szCs w:val="32"/>
          <w:lang w:bidi="ar"/>
        </w:rPr>
      </w:pPr>
      <w:r>
        <w:rPr>
          <w:rFonts w:hint="eastAsia" w:ascii="楷体" w:hAnsi="楷体" w:eastAsia="楷体" w:cs="楷体"/>
          <w:b w:val="0"/>
          <w:bCs/>
          <w:kern w:val="2"/>
          <w:sz w:val="32"/>
          <w:szCs w:val="32"/>
          <w:lang w:bidi="ar"/>
        </w:rPr>
        <w:t>(</w:t>
      </w:r>
      <w:r>
        <w:rPr>
          <w:rFonts w:hint="eastAsia" w:ascii="楷体" w:hAnsi="楷体" w:eastAsia="楷体" w:cs="楷体"/>
          <w:b w:val="0"/>
          <w:bCs/>
          <w:kern w:val="2"/>
          <w:sz w:val="32"/>
          <w:szCs w:val="32"/>
          <w:lang w:eastAsia="zh-CN" w:bidi="ar"/>
        </w:rPr>
        <w:t>一</w:t>
      </w:r>
      <w:r>
        <w:rPr>
          <w:rFonts w:hint="eastAsia" w:ascii="楷体" w:hAnsi="楷体" w:eastAsia="楷体" w:cs="楷体"/>
          <w:b w:val="0"/>
          <w:bCs/>
          <w:kern w:val="2"/>
          <w:sz w:val="32"/>
          <w:szCs w:val="32"/>
          <w:lang w:bidi="ar"/>
        </w:rPr>
        <w:t>)总体绩效目标完成情况分析</w:t>
      </w:r>
    </w:p>
    <w:p>
      <w:pPr>
        <w:pStyle w:val="4"/>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both"/>
        <w:textAlignment w:val="baseline"/>
        <w:rPr>
          <w:rFonts w:ascii="仿宋_GB2312" w:hAnsi="仿宋" w:eastAsia="仿宋_GB2312"/>
          <w:sz w:val="32"/>
          <w:szCs w:val="32"/>
          <w:lang w:eastAsia="zh-Hans" w:bidi="ar"/>
        </w:rPr>
      </w:pPr>
      <w:r>
        <w:rPr>
          <w:rFonts w:hint="eastAsia" w:ascii="仿宋_GB2312" w:hAnsi="仿宋" w:eastAsia="仿宋_GB2312"/>
          <w:sz w:val="32"/>
          <w:szCs w:val="32"/>
          <w:lang w:eastAsia="zh-Hans" w:bidi="ar"/>
        </w:rPr>
        <w:t>随着中央转移支付</w:t>
      </w:r>
      <w:r>
        <w:rPr>
          <w:rFonts w:hint="eastAsia" w:ascii="仿宋_GB2312" w:hAnsi="仿宋" w:eastAsia="仿宋_GB2312"/>
          <w:sz w:val="32"/>
          <w:szCs w:val="32"/>
          <w:lang w:bidi="ar"/>
        </w:rPr>
        <w:t>重大传染病防控经费</w:t>
      </w:r>
      <w:r>
        <w:rPr>
          <w:rFonts w:hint="eastAsia" w:ascii="仿宋_GB2312" w:hAnsi="仿宋" w:eastAsia="仿宋_GB2312"/>
          <w:sz w:val="32"/>
          <w:szCs w:val="32"/>
          <w:lang w:eastAsia="zh-Hans" w:bidi="ar"/>
        </w:rPr>
        <w:t>支持力度不断加大，2022年整体绩效目标完成情况如下：</w:t>
      </w:r>
    </w:p>
    <w:p>
      <w:pPr>
        <w:pStyle w:val="4"/>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both"/>
        <w:textAlignment w:val="baseline"/>
        <w:rPr>
          <w:rFonts w:ascii="仿宋_GB2312" w:hAnsi="仿宋" w:eastAsia="仿宋_GB2312"/>
          <w:sz w:val="32"/>
          <w:szCs w:val="32"/>
          <w:lang w:eastAsia="zh-Hans" w:bidi="ar"/>
        </w:rPr>
      </w:pPr>
      <w:r>
        <w:rPr>
          <w:rFonts w:hint="eastAsia" w:ascii="仿宋_GB2312" w:hAnsi="仿宋" w:eastAsia="仿宋_GB2312"/>
          <w:sz w:val="32"/>
          <w:szCs w:val="32"/>
          <w:lang w:eastAsia="zh-Hans" w:bidi="ar"/>
        </w:rPr>
        <w:t>（1）扩大国家免疫规划项目。开展接种率调查结果显示：以区为单位，预防接种建卡率、建证率、卡证符合率均100%；儿童卡介苗、脊灰基础免疫全程、百白破基础免疫全程、含麻疹成分疫苗基础免疫、乙肝基础免疫全程、风疹、流腮、A群流脑、乙脑和甲肝疫苗基础免疫的合格接种率分别为99.91%、99.68%、99.80%、99.88%、99.68%、99.11%、99.03%、98.25%、99.85%、98.66%。五苗（卡介苗、脊灰、百白破、麻疹、乙肝）基础免疫全程合格接种率99.15%。百白破、含麻疹成分疫苗加强免疫合格接种率分别为99.98%、99.98%，</w:t>
      </w:r>
      <w:r>
        <w:rPr>
          <w:rFonts w:hint="eastAsia" w:ascii="仿宋_GB2312" w:hAnsi="仿宋" w:eastAsia="仿宋_GB2312"/>
          <w:sz w:val="32"/>
          <w:szCs w:val="32"/>
          <w:lang w:bidi="ar"/>
        </w:rPr>
        <w:t>北京</w:t>
      </w:r>
      <w:r>
        <w:rPr>
          <w:rFonts w:hint="eastAsia" w:ascii="仿宋_GB2312" w:hAnsi="仿宋" w:eastAsia="仿宋_GB2312"/>
          <w:sz w:val="32"/>
          <w:szCs w:val="32"/>
          <w:lang w:eastAsia="zh-Hans" w:bidi="ar"/>
        </w:rPr>
        <w:t>市常住儿童接种率继续维持在较高水平。</w:t>
      </w:r>
    </w:p>
    <w:p>
      <w:pPr>
        <w:pStyle w:val="4"/>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both"/>
        <w:textAlignment w:val="baseline"/>
        <w:rPr>
          <w:rFonts w:ascii="仿宋_GB2312" w:hAnsi="仿宋" w:eastAsia="仿宋_GB2312"/>
          <w:sz w:val="32"/>
          <w:szCs w:val="32"/>
          <w:lang w:eastAsia="zh-Hans" w:bidi="ar"/>
        </w:rPr>
      </w:pPr>
      <w:r>
        <w:rPr>
          <w:rFonts w:hint="eastAsia" w:ascii="仿宋_GB2312" w:hAnsi="仿宋" w:eastAsia="仿宋_GB2312"/>
          <w:sz w:val="32"/>
          <w:szCs w:val="32"/>
          <w:lang w:eastAsia="zh-Hans" w:bidi="ar"/>
        </w:rPr>
        <w:t>（2）艾滋病防治项目。2022年完成艾滋病高危人群检测73519人，完成率达141.3%（73519/52015）。北京4家艾滋病抗病毒定点治疗医院累计免费治疗艾滋病病人（成人和儿童）26759人；在治病人共24305人，完成率达101.2%（24305/24015)。全市完成HIV/AIDS随访检测24988人，随访检测率为127.7%（24988/19565）。</w:t>
      </w:r>
    </w:p>
    <w:p>
      <w:pPr>
        <w:pStyle w:val="4"/>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both"/>
        <w:textAlignment w:val="baseline"/>
        <w:rPr>
          <w:rFonts w:ascii="仿宋_GB2312" w:hAnsi="仿宋" w:eastAsia="仿宋_GB2312"/>
          <w:sz w:val="32"/>
          <w:szCs w:val="32"/>
          <w:lang w:eastAsia="zh-Hans" w:bidi="ar"/>
        </w:rPr>
      </w:pPr>
      <w:r>
        <w:rPr>
          <w:rFonts w:hint="eastAsia" w:ascii="仿宋_GB2312" w:hAnsi="仿宋" w:eastAsia="仿宋_GB2312"/>
          <w:sz w:val="32"/>
          <w:szCs w:val="32"/>
          <w:lang w:eastAsia="zh-Hans" w:bidi="ar"/>
        </w:rPr>
        <w:t>（3）结核病防治项目。2022年发现并规范治疗肺结核患者4668例，登记4261例肺结核密切接触者，密切接触者均进行了筛查，筛查率为100.0</w:t>
      </w:r>
      <w:r>
        <w:rPr>
          <w:rFonts w:hint="eastAsia" w:ascii="仿宋_GB2312" w:hAnsi="仿宋" w:eastAsia="仿宋_GB2312"/>
          <w:sz w:val="32"/>
          <w:szCs w:val="32"/>
          <w:lang w:bidi="ar"/>
        </w:rPr>
        <w:t>0</w:t>
      </w:r>
      <w:r>
        <w:rPr>
          <w:rFonts w:hint="eastAsia" w:ascii="仿宋_GB2312" w:hAnsi="仿宋" w:eastAsia="仿宋_GB2312"/>
          <w:sz w:val="32"/>
          <w:szCs w:val="32"/>
          <w:lang w:eastAsia="zh-Hans" w:bidi="ar"/>
        </w:rPr>
        <w:t>%，其中对4138例开展了结核病相关检查，检查率为97.1%；全市共登记病原学阳性应进行耐药筛查的肺结核患者2772</w:t>
      </w:r>
      <w:r>
        <w:rPr>
          <w:rFonts w:hint="eastAsia" w:ascii="仿宋_GB2312" w:hAnsi="仿宋" w:eastAsia="仿宋_GB2312"/>
          <w:sz w:val="32"/>
          <w:szCs w:val="32"/>
          <w:lang w:bidi="ar"/>
        </w:rPr>
        <w:t>例</w:t>
      </w:r>
      <w:r>
        <w:rPr>
          <w:rFonts w:hint="eastAsia" w:ascii="仿宋_GB2312" w:hAnsi="仿宋" w:eastAsia="仿宋_GB2312"/>
          <w:sz w:val="32"/>
          <w:szCs w:val="32"/>
          <w:lang w:eastAsia="zh-Hans" w:bidi="ar"/>
        </w:rPr>
        <w:t>，其中2668例进行了耐药检查，病原学阳性肺结核患者耐药筛查率为96.2%。</w:t>
      </w:r>
    </w:p>
    <w:p>
      <w:pPr>
        <w:pStyle w:val="4"/>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both"/>
        <w:textAlignment w:val="baseline"/>
        <w:rPr>
          <w:rFonts w:ascii="仿宋_GB2312" w:hAnsi="仿宋" w:eastAsia="仿宋_GB2312"/>
          <w:sz w:val="32"/>
          <w:szCs w:val="32"/>
          <w:lang w:eastAsia="zh-Hans" w:bidi="ar"/>
        </w:rPr>
      </w:pPr>
      <w:r>
        <w:rPr>
          <w:rFonts w:hint="eastAsia" w:ascii="仿宋_GB2312" w:hAnsi="仿宋" w:eastAsia="仿宋_GB2312"/>
          <w:sz w:val="32"/>
          <w:szCs w:val="32"/>
          <w:lang w:eastAsia="zh-Hans" w:bidi="ar"/>
        </w:rPr>
        <w:t>（4）慢性非传染性疾病防治项目。推动全民健康生活方式行动，新创建健康示范机构66家，其中健康餐厅11家、健康食堂17家、健康超市12家、健康社区16家、健康单位10家。在全市范围内开展全人群死因监测及肿瘤随访登记，年度死因编码评价及数据上报及时性、审核及时性均达到国家标准，累计收集恶性肿瘤就诊病例76.3万人次，主动随访社区肿瘤患者5.9万例，失访率为3.88%。开展慢性病与营养监测工作，建立食物中嘌呤检测、胆固醇及10种衍生物的测定方法。推进口腔卫生保健服务，在全市范围内共为22.4万名儿童提供免费口腔检查及窝沟封闭防龋服务，封闭牙齿14.4万颗，窝沟封闭完好率98%；提供免费氟化泡沫预防龋齿服务42.1万人次。组织开展癌症、心脑血管疾病高危人群筛查干预线上培训及现场督导，完成癌症、心、脑血管、慢阻肺高危人群筛查及干预随访8万余人。</w:t>
      </w:r>
    </w:p>
    <w:p>
      <w:pPr>
        <w:pStyle w:val="4"/>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both"/>
        <w:textAlignment w:val="baseline"/>
        <w:rPr>
          <w:rFonts w:ascii="仿宋_GB2312" w:hAnsi="仿宋" w:eastAsia="仿宋_GB2312"/>
          <w:sz w:val="32"/>
          <w:szCs w:val="32"/>
          <w:lang w:eastAsia="zh-Hans" w:bidi="ar"/>
        </w:rPr>
      </w:pPr>
      <w:r>
        <w:rPr>
          <w:rFonts w:hint="eastAsia" w:ascii="仿宋_GB2312" w:hAnsi="仿宋" w:eastAsia="仿宋_GB2312"/>
          <w:sz w:val="32"/>
          <w:szCs w:val="32"/>
          <w:lang w:eastAsia="zh-Hans" w:bidi="ar"/>
        </w:rPr>
        <w:t>（5）精神卫生管理项目。2022年全市严重精神障碍患者筛查任务完成率127.51%，在册严重精神障碍患者治疗率87.93%；完成高风险患者随访技术指导975例、4195人次，开展应急医疗处置1194人、1263人次，对家属开展护理教育29508例，项目质控51213例。继续在西城区、朝阳区、海淀区、房山区以及怀柔区等5个区开展社会心理服务体系建设试点工作，铺设一张覆盖城乡社区居民、在校学生、单位职工、严重精神障碍患者等不同人群的社会心理服务网络，建立健全心理援助服务平台和心理健康科普宣传网络，完善严重精神障碍患者服务机制，增强重点人群服务能力，实现服务网络广泛覆盖，有效提升区域心理服务便利性、可及性。完成北京市心理健康素养调查工作，调查结果显示，北京市成年居民心理健康素养水平为21.1%，超过健康中国行动和健康北京行动中的任务目标水平（20%）。加强相关人员培训，2022年开展专业知识培训共431场，培训总人数363409人；开展常见精神障碍照护与家属辅导技能培训1064场，培训34576人次。2022年完成123614例孕产妇抑郁症筛查，确诊抑郁症患者2286例。做好新冠肺炎疫后重点人群心理干预工作，开展疫后重点人群心理干预，完成心理评估19539人、心理测评6991人、心理干预1315人。同时加强全市18条心理援助热线的运营维护，2022年累计接听心理援助热线36166例，为全市居民提供免费的心理援助服务。2022年共筛查农村地区生活困难癫痫患者700余人，项目区常住人口中管理治疗癫痫患者313人，占项目区常住农村人口比例为0.3‰，做好年度癫痫数据处理与质控，定期开展项目督导检查。</w:t>
      </w:r>
    </w:p>
    <w:p>
      <w:pPr>
        <w:pStyle w:val="4"/>
        <w:keepNext w:val="0"/>
        <w:keepLines w:val="0"/>
        <w:pageBreakBefore w:val="0"/>
        <w:widowControl/>
        <w:numPr>
          <w:ilvl w:val="0"/>
          <w:numId w:val="2"/>
        </w:numPr>
        <w:kinsoku w:val="0"/>
        <w:wordWrap/>
        <w:overflowPunct/>
        <w:topLinePunct w:val="0"/>
        <w:autoSpaceDE w:val="0"/>
        <w:autoSpaceDN w:val="0"/>
        <w:bidi w:val="0"/>
        <w:adjustRightInd w:val="0"/>
        <w:snapToGrid w:val="0"/>
        <w:spacing w:line="560" w:lineRule="exact"/>
        <w:ind w:firstLine="640" w:firstLineChars="200"/>
        <w:jc w:val="both"/>
        <w:textAlignment w:val="baseline"/>
        <w:rPr>
          <w:rFonts w:ascii="仿宋_GB2312" w:hAnsi="仿宋" w:eastAsia="仿宋_GB2312"/>
          <w:sz w:val="32"/>
          <w:szCs w:val="32"/>
          <w:lang w:eastAsia="zh-Hans" w:bidi="ar"/>
        </w:rPr>
      </w:pPr>
      <w:r>
        <w:rPr>
          <w:rFonts w:hint="eastAsia" w:ascii="仿宋_GB2312" w:hAnsi="仿宋" w:eastAsia="仿宋_GB2312"/>
          <w:sz w:val="32"/>
          <w:szCs w:val="32"/>
          <w:lang w:eastAsia="zh-Hans" w:bidi="ar"/>
        </w:rPr>
        <w:t>新冠肺炎等重点传染病监测项目。开展新冠肺炎病原学监测工作，2022年市级完成新冠病毒核酸检测样本134751份、抗体检测血清样本544份，对3845例本土和输入性病例开展基因测序。2022年采集肠道传染病样本3570份，分离阳性菌株694株。对所有分离和收集的菌株进行菌种鉴定或复核鉴定、分子血清型、毒力基因筛查鉴定。网络实验室共完成588株致病菌的分子分型，对610株致病菌的耐药性检测。2022年</w:t>
      </w:r>
      <w:r>
        <w:rPr>
          <w:rFonts w:hint="eastAsia" w:ascii="仿宋_GB2312" w:hAnsi="仿宋" w:eastAsia="仿宋_GB2312"/>
          <w:sz w:val="32"/>
          <w:szCs w:val="32"/>
          <w:lang w:bidi="ar"/>
        </w:rPr>
        <w:t>北京</w:t>
      </w:r>
      <w:r>
        <w:rPr>
          <w:rFonts w:hint="eastAsia" w:ascii="仿宋_GB2312" w:hAnsi="仿宋" w:eastAsia="仿宋_GB2312"/>
          <w:sz w:val="32"/>
          <w:szCs w:val="32"/>
          <w:lang w:eastAsia="zh-Hans" w:bidi="ar"/>
        </w:rPr>
        <w:t>市共发现并报告急性胃肠炎疫情492起，涉及病例4308例，采集肠道门诊腹泻患者粪便标本1542件。开展重点区域病媒生物监测工作，按计划完成蚊、蝇、蟑螂、恙螨生态学和蜱生态学监测任务。在蚊传病原监测工作中6种病毒检测结果均为阴性；鼠传病原监测工作中采集解剖完成318只鼠，2种细菌和2种病毒的检测工作正在开展。各监测点已提交完成病媒生物监测结果分析报告，完成率达到97%。</w:t>
      </w:r>
    </w:p>
    <w:p>
      <w:pPr>
        <w:pStyle w:val="4"/>
        <w:keepNext w:val="0"/>
        <w:keepLines w:val="0"/>
        <w:pageBreakBefore w:val="0"/>
        <w:widowControl/>
        <w:numPr>
          <w:ilvl w:val="0"/>
          <w:numId w:val="2"/>
        </w:numPr>
        <w:kinsoku w:val="0"/>
        <w:wordWrap/>
        <w:overflowPunct/>
        <w:topLinePunct w:val="0"/>
        <w:autoSpaceDE w:val="0"/>
        <w:autoSpaceDN w:val="0"/>
        <w:bidi w:val="0"/>
        <w:adjustRightInd w:val="0"/>
        <w:snapToGrid w:val="0"/>
        <w:spacing w:line="560" w:lineRule="exact"/>
        <w:ind w:firstLine="640" w:firstLineChars="200"/>
        <w:jc w:val="both"/>
        <w:textAlignment w:val="baseline"/>
        <w:rPr>
          <w:rFonts w:ascii="仿宋_GB2312" w:hAnsi="仿宋" w:eastAsia="仿宋_GB2312"/>
          <w:sz w:val="32"/>
          <w:szCs w:val="32"/>
          <w:lang w:eastAsia="zh-Hans" w:bidi="ar"/>
        </w:rPr>
      </w:pPr>
      <w:r>
        <w:rPr>
          <w:rFonts w:hint="eastAsia" w:ascii="仿宋_GB2312" w:hAnsi="仿宋" w:eastAsia="仿宋_GB2312"/>
          <w:sz w:val="32"/>
          <w:szCs w:val="32"/>
          <w:lang w:eastAsia="zh-Hans" w:bidi="ar"/>
        </w:rPr>
        <w:t>根据国家技术方案、病例追访、信息收集上报等方面新要求，结合北京项目执行中重点难点问题，北京市落实《预防艾滋病、梅毒和乙肝母婴传播工作规范（2020版）》，为实现消除母婴传播保驾护航，促进工作持续改进。北京市高度重视消除母婴传播工作，多次印发文件，不断完善工作机制，明确工作职责。在服务流程上，将预防母婴传播服务、妇幼保健常规工作和孕产期全程服务有机整合。在服务过程中，强调预防母婴传播服务全过程管理，服务内容覆盖免费婚前医学检查和孕前优生健康检查、孕早期尽早检测、尽早诊断、及时转诊、及时规范全程治疗、安全助产、儿童定期随访等服务。每年组织对相关机构开展培训，并将市级培训参与率计入各区妇幼健康绩效考核。各区每年举办区级培训，医疗机构覆盖率达到100%。各相关医疗机构定期开展院级培训。指导各医疗机构梳理孕产期保健服务流程，将预防母婴传播工作与日常管理流程相结合。</w:t>
      </w:r>
    </w:p>
    <w:p>
      <w:pPr>
        <w:pStyle w:val="4"/>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ascii="楷体" w:hAnsi="楷体" w:eastAsia="楷体" w:cs="楷体"/>
          <w:b w:val="0"/>
          <w:bCs/>
          <w:kern w:val="2"/>
          <w:sz w:val="32"/>
          <w:szCs w:val="32"/>
          <w:lang w:bidi="ar"/>
        </w:rPr>
      </w:pPr>
      <w:r>
        <w:rPr>
          <w:rFonts w:hint="eastAsia" w:ascii="楷体" w:hAnsi="楷体" w:eastAsia="楷体" w:cs="楷体"/>
          <w:b w:val="0"/>
          <w:bCs/>
          <w:kern w:val="2"/>
          <w:sz w:val="32"/>
          <w:szCs w:val="32"/>
          <w:lang w:bidi="ar"/>
        </w:rPr>
        <w:t>（</w:t>
      </w:r>
      <w:r>
        <w:rPr>
          <w:rFonts w:hint="eastAsia" w:ascii="楷体" w:hAnsi="楷体" w:eastAsia="楷体" w:cs="楷体"/>
          <w:b w:val="0"/>
          <w:bCs/>
          <w:kern w:val="2"/>
          <w:sz w:val="32"/>
          <w:szCs w:val="32"/>
          <w:lang w:eastAsia="zh-CN" w:bidi="ar"/>
        </w:rPr>
        <w:t>二</w:t>
      </w:r>
      <w:r>
        <w:rPr>
          <w:rFonts w:hint="eastAsia" w:ascii="楷体" w:hAnsi="楷体" w:eastAsia="楷体" w:cs="楷体"/>
          <w:b w:val="0"/>
          <w:bCs/>
          <w:kern w:val="2"/>
          <w:sz w:val="32"/>
          <w:szCs w:val="32"/>
          <w:lang w:bidi="ar"/>
        </w:rPr>
        <w:t>）绩效指标完成情况分析</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both"/>
        <w:textAlignment w:val="baseline"/>
        <w:rPr>
          <w:rFonts w:ascii="仿宋_GB2312" w:hAnsi="仿宋_GB2312" w:eastAsia="仿宋_GB2312" w:cs="仿宋_GB2312"/>
          <w:bCs/>
          <w:sz w:val="32"/>
          <w:szCs w:val="32"/>
          <w:lang w:eastAsia="zh-Hans"/>
        </w:rPr>
      </w:pPr>
      <w:r>
        <w:rPr>
          <w:rFonts w:hint="eastAsia" w:ascii="仿宋_GB2312" w:hAnsi="仿宋_GB2312" w:eastAsia="仿宋_GB2312" w:cs="仿宋_GB2312"/>
          <w:bCs/>
          <w:sz w:val="32"/>
          <w:szCs w:val="32"/>
          <w:lang w:eastAsia="zh-Hans"/>
        </w:rPr>
        <w:t>1.产出指标完成情况分析</w:t>
      </w:r>
    </w:p>
    <w:p>
      <w:pPr>
        <w:pStyle w:val="2"/>
        <w:keepNext w:val="0"/>
        <w:keepLines w:val="0"/>
        <w:pageBreakBefore w:val="0"/>
        <w:widowControl/>
        <w:kinsoku w:val="0"/>
        <w:wordWrap/>
        <w:overflowPunct/>
        <w:topLinePunct w:val="0"/>
        <w:autoSpaceDE w:val="0"/>
        <w:autoSpaceDN w:val="0"/>
        <w:bidi w:val="0"/>
        <w:adjustRightInd w:val="0"/>
        <w:snapToGrid w:val="0"/>
        <w:spacing w:after="0" w:line="560" w:lineRule="exact"/>
        <w:ind w:firstLine="640" w:firstLineChars="200"/>
        <w:textAlignment w:val="baseline"/>
        <w:rPr>
          <w:rFonts w:ascii="仿宋_GB2312" w:hAnsi="仿宋_GB2312" w:eastAsia="仿宋_GB2312" w:cs="仿宋_GB2312"/>
          <w:color w:val="FF0000"/>
          <w:sz w:val="32"/>
          <w:szCs w:val="32"/>
          <w:lang w:eastAsia="zh-Hans" w:bidi="ar"/>
        </w:rPr>
      </w:pPr>
      <w:r>
        <w:rPr>
          <w:rFonts w:hint="eastAsia" w:ascii="仿宋_GB2312" w:hAnsi="仿宋_GB2312" w:eastAsia="仿宋_GB2312" w:cs="仿宋_GB2312"/>
          <w:sz w:val="32"/>
          <w:szCs w:val="32"/>
          <w:lang w:eastAsia="zh-Hans" w:bidi="ar"/>
        </w:rPr>
        <w:t>（1）数量指标</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both"/>
        <w:textAlignment w:val="baseline"/>
        <w:rPr>
          <w:rFonts w:ascii="仿宋_GB2312" w:hAnsi="仿宋" w:eastAsia="仿宋_GB2312"/>
          <w:sz w:val="32"/>
          <w:szCs w:val="32"/>
          <w:lang w:eastAsia="zh-Hans" w:bidi="ar"/>
        </w:rPr>
      </w:pPr>
      <w:r>
        <w:rPr>
          <w:rFonts w:hint="eastAsia" w:ascii="仿宋_GB2312" w:hAnsi="楷体" w:eastAsia="仿宋_GB2312" w:cs="仿宋_GB2312"/>
          <w:bCs/>
          <w:sz w:val="32"/>
          <w:szCs w:val="32"/>
          <w:lang w:bidi="ar"/>
        </w:rPr>
        <w:t>2022年</w:t>
      </w:r>
      <w:r>
        <w:rPr>
          <w:rFonts w:hint="eastAsia" w:ascii="仿宋_GB2312" w:hAnsi="仿宋_GB2312" w:eastAsia="仿宋_GB2312" w:cs="仿宋_GB2312"/>
          <w:bCs/>
          <w:color w:val="auto"/>
          <w:sz w:val="32"/>
          <w:szCs w:val="32"/>
        </w:rPr>
        <w:t>北京市中央转移支付重大传染病防控经费</w:t>
      </w:r>
      <w:r>
        <w:rPr>
          <w:rFonts w:hint="eastAsia" w:ascii="仿宋_GB2312" w:hAnsi="仿宋" w:eastAsia="仿宋_GB2312"/>
          <w:sz w:val="32"/>
          <w:szCs w:val="32"/>
          <w:lang w:bidi="ar"/>
        </w:rPr>
        <w:t>项目设定的产出数量指标共</w:t>
      </w:r>
      <w:r>
        <w:rPr>
          <w:rFonts w:hint="eastAsia" w:ascii="仿宋_GB2312" w:hAnsi="仿宋" w:eastAsia="仿宋_GB2312"/>
          <w:sz w:val="32"/>
          <w:szCs w:val="32"/>
          <w:lang w:val="en-US" w:eastAsia="zh-CN" w:bidi="ar"/>
        </w:rPr>
        <w:t>3</w:t>
      </w:r>
      <w:r>
        <w:rPr>
          <w:rFonts w:hint="eastAsia" w:ascii="仿宋_GB2312" w:hAnsi="仿宋" w:eastAsia="仿宋_GB2312"/>
          <w:sz w:val="32"/>
          <w:szCs w:val="32"/>
          <w:lang w:bidi="ar"/>
        </w:rPr>
        <w:t>项。其中，已完成预期目标</w:t>
      </w:r>
      <w:r>
        <w:rPr>
          <w:rFonts w:hint="eastAsia" w:ascii="仿宋_GB2312" w:hAnsi="仿宋" w:eastAsia="仿宋_GB2312"/>
          <w:sz w:val="32"/>
          <w:szCs w:val="32"/>
          <w:lang w:val="en-US" w:eastAsia="zh-CN" w:bidi="ar"/>
        </w:rPr>
        <w:t>2</w:t>
      </w:r>
      <w:r>
        <w:rPr>
          <w:rFonts w:hint="eastAsia" w:ascii="仿宋_GB2312" w:hAnsi="仿宋" w:eastAsia="仿宋_GB2312"/>
          <w:sz w:val="32"/>
          <w:szCs w:val="32"/>
          <w:lang w:bidi="ar"/>
        </w:rPr>
        <w:t>项，未完成预期目标1项。</w:t>
      </w:r>
      <w:r>
        <w:rPr>
          <w:rFonts w:hint="eastAsia" w:ascii="仿宋_GB2312" w:hAnsi="仿宋" w:eastAsia="仿宋_GB2312"/>
          <w:sz w:val="32"/>
          <w:szCs w:val="32"/>
          <w:lang w:eastAsia="zh-Hans" w:bidi="ar"/>
        </w:rPr>
        <w:t>具体情况</w:t>
      </w:r>
      <w:r>
        <w:rPr>
          <w:rFonts w:hint="eastAsia" w:ascii="仿宋_GB2312" w:hAnsi="仿宋" w:eastAsia="仿宋_GB2312"/>
          <w:sz w:val="32"/>
          <w:szCs w:val="32"/>
          <w:lang w:bidi="ar"/>
        </w:rPr>
        <w:t>见</w:t>
      </w:r>
      <w:r>
        <w:rPr>
          <w:rFonts w:hint="eastAsia" w:ascii="仿宋_GB2312" w:hAnsi="仿宋" w:eastAsia="仿宋_GB2312"/>
          <w:sz w:val="32"/>
          <w:szCs w:val="32"/>
          <w:lang w:eastAsia="zh-Hans" w:bidi="ar"/>
        </w:rPr>
        <w:t>下表</w:t>
      </w:r>
      <w:r>
        <w:rPr>
          <w:rFonts w:hint="eastAsia" w:ascii="仿宋_GB2312" w:hAnsi="仿宋" w:eastAsia="仿宋_GB2312"/>
          <w:sz w:val="32"/>
          <w:szCs w:val="32"/>
          <w:lang w:val="en-US" w:eastAsia="zh-CN" w:bidi="ar"/>
        </w:rPr>
        <w:t>1</w:t>
      </w:r>
      <w:r>
        <w:rPr>
          <w:rFonts w:ascii="仿宋_GB2312" w:hAnsi="仿宋" w:eastAsia="仿宋_GB2312"/>
          <w:sz w:val="32"/>
          <w:szCs w:val="32"/>
          <w:lang w:eastAsia="zh-Hans" w:bidi="ar"/>
        </w:rPr>
        <w:t>：</w:t>
      </w:r>
    </w:p>
    <w:p>
      <w:pPr>
        <w:pStyle w:val="2"/>
        <w:widowControl w:val="0"/>
        <w:kinsoku/>
        <w:autoSpaceDE/>
        <w:autoSpaceDN/>
        <w:adjustRightInd/>
        <w:snapToGrid/>
        <w:spacing w:after="0" w:line="240" w:lineRule="auto"/>
        <w:jc w:val="center"/>
        <w:textAlignment w:val="auto"/>
        <w:rPr>
          <w:lang w:eastAsia="zh-Hans"/>
        </w:rPr>
      </w:pPr>
      <w:r>
        <w:rPr>
          <w:rFonts w:hint="eastAsia" w:ascii="仿宋_GB2312" w:hAnsi="仿宋_GB2312" w:eastAsia="仿宋_GB2312" w:cs="仿宋_GB2312"/>
          <w:snapToGrid/>
          <w:kern w:val="2"/>
          <w:sz w:val="28"/>
          <w:szCs w:val="28"/>
        </w:rPr>
        <w:t>表</w:t>
      </w:r>
      <w:r>
        <w:rPr>
          <w:rFonts w:hint="eastAsia" w:ascii="仿宋_GB2312" w:hAnsi="仿宋_GB2312" w:eastAsia="仿宋_GB2312" w:cs="仿宋_GB2312"/>
          <w:snapToGrid/>
          <w:kern w:val="2"/>
          <w:sz w:val="28"/>
          <w:szCs w:val="28"/>
          <w:lang w:val="en-US" w:eastAsia="zh-CN"/>
        </w:rPr>
        <w:t>1</w:t>
      </w:r>
      <w:r>
        <w:rPr>
          <w:rFonts w:hint="eastAsia" w:ascii="仿宋_GB2312" w:hAnsi="仿宋_GB2312" w:eastAsia="仿宋_GB2312" w:cs="仿宋_GB2312"/>
          <w:snapToGrid/>
          <w:kern w:val="2"/>
          <w:sz w:val="28"/>
          <w:szCs w:val="28"/>
        </w:rPr>
        <w:t>：产出数量指标完成情况表</w:t>
      </w:r>
    </w:p>
    <w:tbl>
      <w:tblPr>
        <w:tblStyle w:val="10"/>
        <w:tblW w:w="86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4"/>
        <w:gridCol w:w="1315"/>
        <w:gridCol w:w="2794"/>
        <w:gridCol w:w="1843"/>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734" w:type="dxa"/>
            <w:tcBorders>
              <w:top w:val="single" w:color="auto" w:sz="4" w:space="0"/>
              <w:left w:val="single" w:color="auto" w:sz="4" w:space="0"/>
              <w:bottom w:val="single" w:color="auto" w:sz="4" w:space="0"/>
              <w:right w:val="single" w:color="auto" w:sz="4" w:space="0"/>
            </w:tcBorders>
            <w:shd w:val="clear" w:color="auto" w:fill="A6A6A6"/>
            <w:vAlign w:val="center"/>
          </w:tcPr>
          <w:p>
            <w:pPr>
              <w:spacing w:line="240" w:lineRule="atLeast"/>
              <w:jc w:val="center"/>
              <w:rPr>
                <w:rFonts w:ascii="宋体" w:hAnsi="宋体" w:eastAsia="宋体" w:cs="宋体"/>
                <w:b/>
                <w:sz w:val="20"/>
                <w:szCs w:val="20"/>
              </w:rPr>
            </w:pPr>
            <w:r>
              <w:rPr>
                <w:rFonts w:hint="eastAsia" w:ascii="宋体" w:hAnsi="宋体" w:eastAsia="宋体" w:cs="宋体"/>
                <w:b/>
                <w:sz w:val="20"/>
                <w:szCs w:val="20"/>
                <w:lang w:bidi="ar"/>
              </w:rPr>
              <w:t>序号</w:t>
            </w:r>
          </w:p>
        </w:tc>
        <w:tc>
          <w:tcPr>
            <w:tcW w:w="1315" w:type="dxa"/>
            <w:tcBorders>
              <w:top w:val="single" w:color="auto" w:sz="4" w:space="0"/>
              <w:left w:val="single" w:color="auto" w:sz="4" w:space="0"/>
              <w:bottom w:val="single" w:color="auto" w:sz="4" w:space="0"/>
              <w:right w:val="single" w:color="auto" w:sz="4" w:space="0"/>
            </w:tcBorders>
            <w:shd w:val="clear" w:color="auto" w:fill="A6A6A6"/>
            <w:vAlign w:val="center"/>
          </w:tcPr>
          <w:p>
            <w:pPr>
              <w:spacing w:line="240" w:lineRule="atLeast"/>
              <w:jc w:val="center"/>
              <w:rPr>
                <w:rFonts w:ascii="宋体" w:hAnsi="宋体" w:eastAsia="宋体" w:cs="宋体"/>
                <w:b/>
                <w:sz w:val="20"/>
                <w:szCs w:val="20"/>
              </w:rPr>
            </w:pPr>
            <w:r>
              <w:rPr>
                <w:rFonts w:hint="eastAsia" w:ascii="宋体" w:hAnsi="宋体" w:eastAsia="宋体" w:cs="宋体"/>
                <w:b/>
                <w:sz w:val="20"/>
                <w:szCs w:val="20"/>
                <w:lang w:bidi="ar"/>
              </w:rPr>
              <w:t>指标类型</w:t>
            </w:r>
          </w:p>
        </w:tc>
        <w:tc>
          <w:tcPr>
            <w:tcW w:w="2794" w:type="dxa"/>
            <w:tcBorders>
              <w:top w:val="single" w:color="auto" w:sz="4" w:space="0"/>
              <w:left w:val="single" w:color="auto" w:sz="4" w:space="0"/>
              <w:bottom w:val="single" w:color="auto" w:sz="4" w:space="0"/>
              <w:right w:val="single" w:color="auto" w:sz="4" w:space="0"/>
            </w:tcBorders>
            <w:shd w:val="clear" w:color="auto" w:fill="A6A6A6"/>
            <w:vAlign w:val="center"/>
          </w:tcPr>
          <w:p>
            <w:pPr>
              <w:spacing w:line="240" w:lineRule="atLeast"/>
              <w:jc w:val="center"/>
              <w:rPr>
                <w:rFonts w:ascii="宋体" w:hAnsi="宋体" w:eastAsia="宋体" w:cs="宋体"/>
                <w:b/>
                <w:sz w:val="20"/>
                <w:szCs w:val="20"/>
              </w:rPr>
            </w:pPr>
            <w:r>
              <w:rPr>
                <w:rFonts w:hint="eastAsia" w:ascii="宋体" w:hAnsi="宋体" w:eastAsia="宋体" w:cs="宋体"/>
                <w:b/>
                <w:sz w:val="20"/>
                <w:szCs w:val="20"/>
                <w:lang w:bidi="ar"/>
              </w:rPr>
              <w:t>三级指标</w:t>
            </w:r>
          </w:p>
        </w:tc>
        <w:tc>
          <w:tcPr>
            <w:tcW w:w="1843" w:type="dxa"/>
            <w:tcBorders>
              <w:top w:val="single" w:color="auto" w:sz="4" w:space="0"/>
              <w:left w:val="single" w:color="auto" w:sz="4" w:space="0"/>
              <w:bottom w:val="single" w:color="auto" w:sz="4" w:space="0"/>
              <w:right w:val="single" w:color="auto" w:sz="4" w:space="0"/>
            </w:tcBorders>
            <w:shd w:val="clear" w:color="auto" w:fill="A6A6A6"/>
            <w:vAlign w:val="center"/>
          </w:tcPr>
          <w:p>
            <w:pPr>
              <w:spacing w:line="240" w:lineRule="atLeast"/>
              <w:jc w:val="center"/>
              <w:rPr>
                <w:rFonts w:ascii="宋体" w:hAnsi="宋体" w:eastAsia="宋体" w:cs="宋体"/>
                <w:b/>
                <w:sz w:val="20"/>
                <w:szCs w:val="20"/>
              </w:rPr>
            </w:pPr>
            <w:r>
              <w:rPr>
                <w:rFonts w:hint="eastAsia" w:ascii="宋体" w:hAnsi="宋体" w:eastAsia="宋体" w:cs="宋体"/>
                <w:b/>
                <w:sz w:val="20"/>
                <w:szCs w:val="20"/>
                <w:lang w:bidi="ar"/>
              </w:rPr>
              <w:t>指标值</w:t>
            </w:r>
          </w:p>
        </w:tc>
        <w:tc>
          <w:tcPr>
            <w:tcW w:w="1984" w:type="dxa"/>
            <w:tcBorders>
              <w:top w:val="single" w:color="auto" w:sz="4" w:space="0"/>
              <w:left w:val="single" w:color="auto" w:sz="4" w:space="0"/>
              <w:bottom w:val="single" w:color="auto" w:sz="4" w:space="0"/>
              <w:right w:val="single" w:color="auto" w:sz="4" w:space="0"/>
            </w:tcBorders>
            <w:shd w:val="clear" w:color="auto" w:fill="A6A6A6"/>
            <w:vAlign w:val="center"/>
          </w:tcPr>
          <w:p>
            <w:pPr>
              <w:spacing w:line="240" w:lineRule="atLeast"/>
              <w:jc w:val="center"/>
              <w:rPr>
                <w:rFonts w:ascii="宋体" w:hAnsi="宋体" w:eastAsia="宋体" w:cs="宋体"/>
                <w:b/>
                <w:sz w:val="20"/>
                <w:szCs w:val="20"/>
              </w:rPr>
            </w:pPr>
            <w:r>
              <w:rPr>
                <w:rFonts w:hint="eastAsia" w:ascii="宋体" w:hAnsi="宋体" w:eastAsia="宋体" w:cs="宋体"/>
                <w:b/>
                <w:sz w:val="20"/>
                <w:szCs w:val="20"/>
                <w:lang w:bidi="ar"/>
              </w:rPr>
              <w:t>实际完成值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734"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eastAsia="宋体" w:cs="宋体"/>
                <w:sz w:val="20"/>
                <w:szCs w:val="20"/>
                <w:lang w:eastAsia="zh-Hans"/>
              </w:rPr>
            </w:pPr>
            <w:r>
              <w:rPr>
                <w:rFonts w:hint="eastAsia" w:ascii="宋体" w:hAnsi="宋体" w:eastAsia="宋体" w:cs="宋体"/>
                <w:sz w:val="20"/>
                <w:szCs w:val="20"/>
                <w:lang w:bidi="ar"/>
              </w:rPr>
              <w:t>1</w:t>
            </w:r>
          </w:p>
        </w:tc>
        <w:tc>
          <w:tcPr>
            <w:tcW w:w="1315"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eastAsia="宋体" w:cs="宋体"/>
                <w:sz w:val="20"/>
                <w:szCs w:val="20"/>
              </w:rPr>
            </w:pPr>
            <w:r>
              <w:rPr>
                <w:rFonts w:hint="eastAsia" w:ascii="宋体" w:hAnsi="宋体" w:eastAsia="宋体" w:cs="宋体"/>
                <w:sz w:val="20"/>
                <w:szCs w:val="20"/>
                <w:lang w:eastAsia="zh-Hans" w:bidi="ar"/>
              </w:rPr>
              <w:t>数量</w:t>
            </w:r>
            <w:r>
              <w:rPr>
                <w:rFonts w:hint="eastAsia" w:ascii="宋体" w:hAnsi="宋体" w:eastAsia="宋体" w:cs="宋体"/>
                <w:sz w:val="20"/>
                <w:szCs w:val="20"/>
                <w:lang w:bidi="ar"/>
              </w:rPr>
              <w:t>指标</w:t>
            </w:r>
          </w:p>
        </w:tc>
        <w:tc>
          <w:tcPr>
            <w:tcW w:w="279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sz w:val="20"/>
                <w:szCs w:val="20"/>
              </w:rPr>
            </w:pPr>
            <w:r>
              <w:rPr>
                <w:rFonts w:hint="eastAsia" w:ascii="宋体" w:hAnsi="宋体" w:eastAsia="宋体" w:cs="宋体"/>
                <w:i w:val="0"/>
                <w:iCs w:val="0"/>
                <w:snapToGrid w:val="0"/>
                <w:color w:val="000000"/>
                <w:kern w:val="0"/>
                <w:sz w:val="20"/>
                <w:szCs w:val="20"/>
                <w:u w:val="none"/>
                <w:lang w:val="en-US" w:eastAsia="zh-CN" w:bidi="ar"/>
              </w:rPr>
              <w:t>农村癌症早诊早治项目大肠癌筛查例数</w:t>
            </w:r>
          </w:p>
        </w:tc>
        <w:tc>
          <w:tcPr>
            <w:tcW w:w="184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sz w:val="20"/>
                <w:szCs w:val="20"/>
              </w:rPr>
            </w:pPr>
            <w:r>
              <w:rPr>
                <w:rFonts w:hint="eastAsia" w:ascii="宋体" w:hAnsi="宋体" w:eastAsia="宋体" w:cs="宋体"/>
                <w:i w:val="0"/>
                <w:iCs w:val="0"/>
                <w:snapToGrid w:val="0"/>
                <w:color w:val="000000"/>
                <w:kern w:val="0"/>
                <w:sz w:val="20"/>
                <w:szCs w:val="20"/>
                <w:u w:val="none"/>
                <w:lang w:val="en-US" w:eastAsia="zh-CN" w:bidi="ar"/>
              </w:rPr>
              <w:t>≥5000例</w:t>
            </w:r>
          </w:p>
        </w:tc>
        <w:tc>
          <w:tcPr>
            <w:tcW w:w="198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sz w:val="20"/>
                <w:szCs w:val="20"/>
              </w:rPr>
            </w:pPr>
            <w:r>
              <w:rPr>
                <w:rFonts w:hint="eastAsia" w:ascii="宋体" w:hAnsi="宋体" w:eastAsia="宋体" w:cs="宋体"/>
                <w:i w:val="0"/>
                <w:iCs w:val="0"/>
                <w:snapToGrid w:val="0"/>
                <w:color w:val="000000"/>
                <w:kern w:val="0"/>
                <w:sz w:val="20"/>
                <w:szCs w:val="20"/>
                <w:u w:val="none"/>
                <w:lang w:val="en-US" w:eastAsia="zh-CN" w:bidi="ar"/>
              </w:rPr>
              <w:t>4243例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734"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eastAsia="宋体" w:cs="宋体"/>
                <w:sz w:val="20"/>
                <w:szCs w:val="20"/>
                <w:lang w:eastAsia="zh-Hans" w:bidi="ar"/>
              </w:rPr>
            </w:pPr>
            <w:r>
              <w:rPr>
                <w:rFonts w:hint="eastAsia" w:ascii="宋体" w:hAnsi="宋体" w:eastAsia="宋体" w:cs="宋体"/>
                <w:sz w:val="20"/>
                <w:szCs w:val="20"/>
                <w:lang w:bidi="ar"/>
              </w:rPr>
              <w:t>2</w:t>
            </w:r>
          </w:p>
        </w:tc>
        <w:tc>
          <w:tcPr>
            <w:tcW w:w="1315"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eastAsia="宋体" w:cs="宋体"/>
                <w:sz w:val="20"/>
                <w:szCs w:val="20"/>
                <w:lang w:eastAsia="zh-Hans" w:bidi="ar"/>
              </w:rPr>
            </w:pPr>
            <w:r>
              <w:rPr>
                <w:rFonts w:hint="eastAsia" w:ascii="宋体" w:hAnsi="宋体" w:eastAsia="宋体" w:cs="宋体"/>
                <w:sz w:val="20"/>
                <w:szCs w:val="20"/>
                <w:lang w:eastAsia="zh-Hans" w:bidi="ar"/>
              </w:rPr>
              <w:t>数量</w:t>
            </w:r>
            <w:r>
              <w:rPr>
                <w:rFonts w:hint="eastAsia" w:ascii="宋体" w:hAnsi="宋体" w:eastAsia="宋体" w:cs="宋体"/>
                <w:sz w:val="20"/>
                <w:szCs w:val="20"/>
                <w:lang w:bidi="ar"/>
              </w:rPr>
              <w:t>指标</w:t>
            </w:r>
          </w:p>
        </w:tc>
        <w:tc>
          <w:tcPr>
            <w:tcW w:w="279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sz w:val="20"/>
                <w:szCs w:val="20"/>
                <w:lang w:bidi="ar"/>
              </w:rPr>
            </w:pPr>
            <w:r>
              <w:rPr>
                <w:rFonts w:hint="eastAsia" w:ascii="宋体" w:hAnsi="宋体" w:eastAsia="宋体" w:cs="宋体"/>
                <w:i w:val="0"/>
                <w:iCs w:val="0"/>
                <w:snapToGrid w:val="0"/>
                <w:color w:val="000000"/>
                <w:kern w:val="0"/>
                <w:sz w:val="20"/>
                <w:szCs w:val="20"/>
                <w:u w:val="none"/>
                <w:lang w:val="en-US" w:eastAsia="zh-CN" w:bidi="ar"/>
              </w:rPr>
              <w:t>黑热病等其他寄生虫病监测点数量</w:t>
            </w:r>
          </w:p>
        </w:tc>
        <w:tc>
          <w:tcPr>
            <w:tcW w:w="184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sz w:val="20"/>
                <w:szCs w:val="20"/>
                <w:lang w:bidi="ar"/>
              </w:rPr>
            </w:pPr>
            <w:r>
              <w:rPr>
                <w:rFonts w:hint="eastAsia" w:ascii="宋体" w:hAnsi="宋体" w:eastAsia="宋体" w:cs="宋体"/>
                <w:i w:val="0"/>
                <w:iCs w:val="0"/>
                <w:snapToGrid w:val="0"/>
                <w:color w:val="000000"/>
                <w:kern w:val="0"/>
                <w:sz w:val="20"/>
                <w:szCs w:val="20"/>
                <w:u w:val="none"/>
                <w:lang w:val="en-US" w:eastAsia="zh-CN" w:bidi="ar"/>
              </w:rPr>
              <w:t>3个</w:t>
            </w:r>
          </w:p>
        </w:tc>
        <w:tc>
          <w:tcPr>
            <w:tcW w:w="198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sz w:val="20"/>
                <w:szCs w:val="20"/>
                <w:lang w:bidi="ar"/>
              </w:rPr>
            </w:pPr>
            <w:r>
              <w:rPr>
                <w:rFonts w:hint="eastAsia" w:ascii="宋体" w:hAnsi="宋体" w:eastAsia="宋体" w:cs="宋体"/>
                <w:i w:val="0"/>
                <w:iCs w:val="0"/>
                <w:snapToGrid w:val="0"/>
                <w:color w:val="000000"/>
                <w:kern w:val="0"/>
                <w:sz w:val="20"/>
                <w:szCs w:val="20"/>
                <w:u w:val="none"/>
                <w:lang w:val="en-US" w:eastAsia="zh-CN" w:bidi="ar"/>
              </w:rPr>
              <w:t>3个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734"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eastAsia="宋体" w:cs="宋体"/>
                <w:sz w:val="20"/>
                <w:szCs w:val="20"/>
                <w:lang w:eastAsia="zh-Hans" w:bidi="ar"/>
              </w:rPr>
            </w:pPr>
            <w:r>
              <w:rPr>
                <w:rFonts w:hint="eastAsia" w:ascii="宋体" w:hAnsi="宋体" w:eastAsia="宋体" w:cs="宋体"/>
                <w:sz w:val="20"/>
                <w:szCs w:val="20"/>
                <w:lang w:bidi="ar"/>
              </w:rPr>
              <w:t>3</w:t>
            </w:r>
          </w:p>
        </w:tc>
        <w:tc>
          <w:tcPr>
            <w:tcW w:w="1315"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eastAsia="宋体" w:cs="宋体"/>
                <w:sz w:val="20"/>
                <w:szCs w:val="20"/>
                <w:lang w:eastAsia="zh-Hans" w:bidi="ar"/>
              </w:rPr>
            </w:pPr>
            <w:r>
              <w:rPr>
                <w:rFonts w:hint="eastAsia" w:ascii="宋体" w:hAnsi="宋体" w:eastAsia="宋体" w:cs="宋体"/>
                <w:sz w:val="20"/>
                <w:szCs w:val="20"/>
                <w:lang w:eastAsia="zh-Hans" w:bidi="ar"/>
              </w:rPr>
              <w:t>数量</w:t>
            </w:r>
            <w:r>
              <w:rPr>
                <w:rFonts w:hint="eastAsia" w:ascii="宋体" w:hAnsi="宋体" w:eastAsia="宋体" w:cs="宋体"/>
                <w:sz w:val="20"/>
                <w:szCs w:val="20"/>
                <w:lang w:bidi="ar"/>
              </w:rPr>
              <w:t>指标</w:t>
            </w:r>
          </w:p>
        </w:tc>
        <w:tc>
          <w:tcPr>
            <w:tcW w:w="279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sz w:val="20"/>
                <w:szCs w:val="20"/>
                <w:lang w:bidi="ar"/>
              </w:rPr>
            </w:pPr>
            <w:r>
              <w:rPr>
                <w:rFonts w:hint="eastAsia" w:ascii="宋体" w:hAnsi="宋体" w:eastAsia="宋体" w:cs="宋体"/>
                <w:i w:val="0"/>
                <w:iCs w:val="0"/>
                <w:snapToGrid w:val="0"/>
                <w:color w:val="000000"/>
                <w:kern w:val="0"/>
                <w:sz w:val="20"/>
                <w:szCs w:val="20"/>
                <w:u w:val="none"/>
                <w:lang w:val="en-US" w:eastAsia="zh-CN" w:bidi="ar"/>
              </w:rPr>
              <w:t>新冠肺炎网络实验室数量</w:t>
            </w:r>
          </w:p>
        </w:tc>
        <w:tc>
          <w:tcPr>
            <w:tcW w:w="184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sz w:val="20"/>
                <w:szCs w:val="20"/>
                <w:lang w:bidi="ar"/>
              </w:rPr>
            </w:pPr>
            <w:r>
              <w:rPr>
                <w:rFonts w:hint="eastAsia" w:ascii="宋体" w:hAnsi="宋体" w:eastAsia="宋体" w:cs="宋体"/>
                <w:i w:val="0"/>
                <w:iCs w:val="0"/>
                <w:snapToGrid w:val="0"/>
                <w:color w:val="000000"/>
                <w:kern w:val="0"/>
                <w:sz w:val="20"/>
                <w:szCs w:val="20"/>
                <w:u w:val="none"/>
                <w:lang w:val="en-US" w:eastAsia="zh-CN" w:bidi="ar"/>
              </w:rPr>
              <w:t>18个</w:t>
            </w:r>
          </w:p>
        </w:tc>
        <w:tc>
          <w:tcPr>
            <w:tcW w:w="198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sz w:val="20"/>
                <w:szCs w:val="20"/>
                <w:lang w:bidi="ar"/>
              </w:rPr>
            </w:pPr>
            <w:r>
              <w:rPr>
                <w:rFonts w:hint="eastAsia" w:ascii="宋体" w:hAnsi="宋体" w:eastAsia="宋体" w:cs="宋体"/>
                <w:i w:val="0"/>
                <w:iCs w:val="0"/>
                <w:snapToGrid w:val="0"/>
                <w:color w:val="000000"/>
                <w:kern w:val="0"/>
                <w:sz w:val="20"/>
                <w:szCs w:val="20"/>
                <w:u w:val="none"/>
                <w:lang w:val="en-US" w:eastAsia="zh-CN" w:bidi="ar"/>
              </w:rPr>
              <w:t>18个</w:t>
            </w:r>
          </w:p>
        </w:tc>
      </w:tr>
    </w:tbl>
    <w:p>
      <w:pPr>
        <w:pStyle w:val="2"/>
        <w:keepNext w:val="0"/>
        <w:keepLines w:val="0"/>
        <w:pageBreakBefore w:val="0"/>
        <w:widowControl/>
        <w:kinsoku w:val="0"/>
        <w:wordWrap/>
        <w:overflowPunct/>
        <w:topLinePunct w:val="0"/>
        <w:autoSpaceDE w:val="0"/>
        <w:autoSpaceDN w:val="0"/>
        <w:bidi w:val="0"/>
        <w:adjustRightInd w:val="0"/>
        <w:snapToGrid w:val="0"/>
        <w:spacing w:after="0" w:line="560" w:lineRule="exact"/>
        <w:ind w:firstLine="640" w:firstLineChars="200"/>
        <w:textAlignment w:val="baseline"/>
        <w:rPr>
          <w:rFonts w:ascii="仿宋_GB2312" w:hAnsi="仿宋" w:eastAsia="仿宋_GB2312"/>
          <w:sz w:val="32"/>
          <w:szCs w:val="32"/>
          <w:lang w:eastAsia="zh-Hans" w:bidi="ar"/>
        </w:rPr>
      </w:pPr>
      <w:r>
        <w:rPr>
          <w:rFonts w:ascii="仿宋_GB2312" w:hAnsi="仿宋" w:eastAsia="仿宋_GB2312"/>
          <w:sz w:val="32"/>
          <w:szCs w:val="32"/>
          <w:lang w:eastAsia="zh-Hans" w:bidi="ar"/>
        </w:rPr>
        <w:t>（2）</w:t>
      </w:r>
      <w:r>
        <w:rPr>
          <w:rFonts w:hint="eastAsia" w:ascii="仿宋_GB2312" w:hAnsi="仿宋" w:eastAsia="仿宋_GB2312"/>
          <w:sz w:val="32"/>
          <w:szCs w:val="32"/>
          <w:lang w:eastAsia="zh-Hans" w:bidi="ar"/>
        </w:rPr>
        <w:t>质量指标</w:t>
      </w:r>
    </w:p>
    <w:p>
      <w:pPr>
        <w:pStyle w:val="2"/>
        <w:keepNext w:val="0"/>
        <w:keepLines w:val="0"/>
        <w:pageBreakBefore w:val="0"/>
        <w:widowControl/>
        <w:kinsoku w:val="0"/>
        <w:wordWrap/>
        <w:overflowPunct/>
        <w:topLinePunct w:val="0"/>
        <w:autoSpaceDE w:val="0"/>
        <w:autoSpaceDN w:val="0"/>
        <w:bidi w:val="0"/>
        <w:adjustRightInd w:val="0"/>
        <w:snapToGrid w:val="0"/>
        <w:spacing w:after="0" w:line="560" w:lineRule="exact"/>
        <w:ind w:firstLine="640" w:firstLineChars="200"/>
        <w:textAlignment w:val="baseline"/>
        <w:rPr>
          <w:rFonts w:ascii="仿宋_GB2312" w:hAnsi="仿宋" w:eastAsia="仿宋_GB2312"/>
          <w:sz w:val="32"/>
          <w:szCs w:val="32"/>
          <w:lang w:eastAsia="zh-Hans" w:bidi="ar"/>
        </w:rPr>
      </w:pPr>
      <w:r>
        <w:rPr>
          <w:rFonts w:hint="eastAsia" w:ascii="仿宋_GB2312" w:hAnsi="仿宋" w:eastAsia="仿宋_GB2312"/>
          <w:sz w:val="32"/>
          <w:szCs w:val="32"/>
          <w:lang w:bidi="ar"/>
        </w:rPr>
        <w:t>2022年北京市中央转移支付重大传染病防控经费项目设定的产出</w:t>
      </w:r>
      <w:r>
        <w:rPr>
          <w:rFonts w:hint="eastAsia" w:ascii="仿宋_GB2312" w:hAnsi="仿宋" w:eastAsia="仿宋_GB2312"/>
          <w:sz w:val="32"/>
          <w:szCs w:val="32"/>
          <w:lang w:eastAsia="zh-Hans" w:bidi="ar"/>
        </w:rPr>
        <w:t>质量</w:t>
      </w:r>
      <w:r>
        <w:rPr>
          <w:rFonts w:hint="eastAsia" w:ascii="仿宋_GB2312" w:hAnsi="仿宋" w:eastAsia="仿宋_GB2312"/>
          <w:sz w:val="32"/>
          <w:szCs w:val="32"/>
          <w:lang w:bidi="ar"/>
        </w:rPr>
        <w:t>指标共</w:t>
      </w:r>
      <w:r>
        <w:rPr>
          <w:rFonts w:hint="eastAsia" w:ascii="仿宋_GB2312" w:hAnsi="仿宋" w:eastAsia="仿宋_GB2312"/>
          <w:sz w:val="32"/>
          <w:szCs w:val="32"/>
          <w:lang w:val="en-US" w:eastAsia="zh-CN" w:bidi="ar"/>
        </w:rPr>
        <w:t>18</w:t>
      </w:r>
      <w:r>
        <w:rPr>
          <w:rFonts w:hint="eastAsia" w:ascii="仿宋_GB2312" w:hAnsi="仿宋" w:eastAsia="仿宋_GB2312"/>
          <w:sz w:val="32"/>
          <w:szCs w:val="32"/>
          <w:lang w:bidi="ar"/>
        </w:rPr>
        <w:t>项。其中，已完成预期目标</w:t>
      </w:r>
      <w:r>
        <w:rPr>
          <w:rFonts w:hint="eastAsia" w:ascii="仿宋_GB2312" w:hAnsi="仿宋" w:eastAsia="仿宋_GB2312"/>
          <w:sz w:val="32"/>
          <w:szCs w:val="32"/>
          <w:lang w:val="en-US" w:eastAsia="zh-CN" w:bidi="ar"/>
        </w:rPr>
        <w:t>15</w:t>
      </w:r>
      <w:r>
        <w:rPr>
          <w:rFonts w:hint="eastAsia" w:ascii="仿宋_GB2312" w:hAnsi="仿宋" w:eastAsia="仿宋_GB2312"/>
          <w:sz w:val="32"/>
          <w:szCs w:val="32"/>
          <w:lang w:bidi="ar"/>
        </w:rPr>
        <w:t>项，未完成预期目标3项。</w:t>
      </w:r>
      <w:r>
        <w:rPr>
          <w:rFonts w:hint="eastAsia" w:ascii="仿宋_GB2312" w:hAnsi="仿宋" w:eastAsia="仿宋_GB2312"/>
          <w:sz w:val="32"/>
          <w:szCs w:val="32"/>
          <w:lang w:eastAsia="zh-Hans" w:bidi="ar"/>
        </w:rPr>
        <w:t>具体情况</w:t>
      </w:r>
      <w:r>
        <w:rPr>
          <w:rFonts w:hint="eastAsia" w:ascii="仿宋_GB2312" w:hAnsi="仿宋" w:eastAsia="仿宋_GB2312"/>
          <w:sz w:val="32"/>
          <w:szCs w:val="32"/>
          <w:lang w:bidi="ar"/>
        </w:rPr>
        <w:t>见</w:t>
      </w:r>
      <w:r>
        <w:rPr>
          <w:rFonts w:hint="eastAsia" w:ascii="仿宋_GB2312" w:hAnsi="仿宋" w:eastAsia="仿宋_GB2312"/>
          <w:sz w:val="32"/>
          <w:szCs w:val="32"/>
          <w:lang w:eastAsia="zh-Hans" w:bidi="ar"/>
        </w:rPr>
        <w:t>下表</w:t>
      </w:r>
      <w:r>
        <w:rPr>
          <w:rFonts w:hint="eastAsia" w:ascii="仿宋_GB2312" w:hAnsi="仿宋" w:eastAsia="仿宋_GB2312"/>
          <w:sz w:val="32"/>
          <w:szCs w:val="32"/>
          <w:lang w:val="en-US" w:eastAsia="zh-CN" w:bidi="ar"/>
        </w:rPr>
        <w:t>2</w:t>
      </w:r>
      <w:r>
        <w:rPr>
          <w:rFonts w:ascii="仿宋_GB2312" w:hAnsi="仿宋" w:eastAsia="仿宋_GB2312"/>
          <w:sz w:val="32"/>
          <w:szCs w:val="32"/>
          <w:lang w:eastAsia="zh-Hans" w:bidi="ar"/>
        </w:rPr>
        <w:t>：</w:t>
      </w:r>
    </w:p>
    <w:p>
      <w:pPr>
        <w:pStyle w:val="2"/>
        <w:widowControl w:val="0"/>
        <w:kinsoku/>
        <w:autoSpaceDE/>
        <w:autoSpaceDN/>
        <w:adjustRightInd/>
        <w:snapToGrid/>
        <w:spacing w:after="0" w:line="240" w:lineRule="auto"/>
        <w:jc w:val="center"/>
        <w:textAlignment w:val="auto"/>
        <w:rPr>
          <w:rFonts w:ascii="仿宋_GB2312" w:hAnsi="仿宋" w:eastAsia="仿宋_GB2312"/>
          <w:sz w:val="32"/>
          <w:szCs w:val="32"/>
          <w:lang w:eastAsia="zh-Hans" w:bidi="ar"/>
        </w:rPr>
      </w:pPr>
      <w:r>
        <w:rPr>
          <w:rFonts w:hint="eastAsia" w:ascii="仿宋_GB2312" w:hAnsi="仿宋_GB2312" w:eastAsia="仿宋_GB2312" w:cs="仿宋_GB2312"/>
          <w:snapToGrid/>
          <w:kern w:val="2"/>
          <w:sz w:val="28"/>
          <w:szCs w:val="28"/>
        </w:rPr>
        <w:t>表</w:t>
      </w:r>
      <w:r>
        <w:rPr>
          <w:rFonts w:hint="eastAsia" w:ascii="仿宋_GB2312" w:hAnsi="仿宋_GB2312" w:eastAsia="仿宋_GB2312" w:cs="仿宋_GB2312"/>
          <w:snapToGrid/>
          <w:kern w:val="2"/>
          <w:sz w:val="28"/>
          <w:szCs w:val="28"/>
          <w:lang w:val="en-US" w:eastAsia="zh-CN"/>
        </w:rPr>
        <w:t>2</w:t>
      </w:r>
      <w:r>
        <w:rPr>
          <w:rFonts w:hint="eastAsia" w:ascii="仿宋_GB2312" w:hAnsi="仿宋_GB2312" w:eastAsia="仿宋_GB2312" w:cs="仿宋_GB2312"/>
          <w:snapToGrid/>
          <w:kern w:val="2"/>
          <w:sz w:val="28"/>
          <w:szCs w:val="28"/>
        </w:rPr>
        <w:t>：产出质量指标完成情况表</w:t>
      </w:r>
    </w:p>
    <w:tbl>
      <w:tblPr>
        <w:tblStyle w:val="9"/>
        <w:tblW w:w="5055" w:type="pct"/>
        <w:tblInd w:w="0" w:type="dxa"/>
        <w:tblLayout w:type="autofit"/>
        <w:tblCellMar>
          <w:top w:w="0" w:type="dxa"/>
          <w:left w:w="108" w:type="dxa"/>
          <w:bottom w:w="0" w:type="dxa"/>
          <w:right w:w="108" w:type="dxa"/>
        </w:tblCellMar>
      </w:tblPr>
      <w:tblGrid>
        <w:gridCol w:w="638"/>
        <w:gridCol w:w="1314"/>
        <w:gridCol w:w="2812"/>
        <w:gridCol w:w="1864"/>
        <w:gridCol w:w="1988"/>
      </w:tblGrid>
      <w:tr>
        <w:tblPrEx>
          <w:tblCellMar>
            <w:top w:w="0" w:type="dxa"/>
            <w:left w:w="108" w:type="dxa"/>
            <w:bottom w:w="0" w:type="dxa"/>
            <w:right w:w="108" w:type="dxa"/>
          </w:tblCellMar>
        </w:tblPrEx>
        <w:trPr>
          <w:trHeight w:val="555" w:hRule="atLeast"/>
          <w:tblHeader/>
        </w:trPr>
        <w:tc>
          <w:tcPr>
            <w:tcW w:w="370" w:type="pct"/>
            <w:tcBorders>
              <w:top w:val="single" w:color="000000" w:sz="4" w:space="0"/>
              <w:left w:val="single" w:color="000000" w:sz="4" w:space="0"/>
              <w:bottom w:val="single" w:color="000000" w:sz="4" w:space="0"/>
              <w:right w:val="single" w:color="000000" w:sz="4" w:space="0"/>
            </w:tcBorders>
            <w:shd w:val="clear" w:color="auto" w:fill="A6A6A6"/>
            <w:vAlign w:val="center"/>
          </w:tcPr>
          <w:p>
            <w:pPr>
              <w:spacing w:line="240" w:lineRule="atLeast"/>
              <w:jc w:val="center"/>
              <w:rPr>
                <w:rFonts w:ascii="宋体" w:hAnsi="宋体" w:eastAsia="宋体" w:cs="宋体"/>
                <w:b/>
                <w:sz w:val="20"/>
                <w:szCs w:val="20"/>
                <w:lang w:bidi="ar"/>
              </w:rPr>
            </w:pPr>
            <w:r>
              <w:rPr>
                <w:rFonts w:hint="eastAsia" w:ascii="宋体" w:hAnsi="宋体" w:eastAsia="宋体" w:cs="宋体"/>
                <w:b/>
                <w:sz w:val="20"/>
                <w:szCs w:val="20"/>
                <w:lang w:bidi="ar"/>
              </w:rPr>
              <w:t>序号</w:t>
            </w:r>
          </w:p>
        </w:tc>
        <w:tc>
          <w:tcPr>
            <w:tcW w:w="762" w:type="pct"/>
            <w:tcBorders>
              <w:top w:val="single" w:color="000000" w:sz="4" w:space="0"/>
              <w:left w:val="single" w:color="000000" w:sz="4" w:space="0"/>
              <w:bottom w:val="single" w:color="000000" w:sz="4" w:space="0"/>
              <w:right w:val="single" w:color="000000" w:sz="4" w:space="0"/>
            </w:tcBorders>
            <w:shd w:val="clear" w:color="auto" w:fill="A6A6A6"/>
            <w:vAlign w:val="center"/>
          </w:tcPr>
          <w:p>
            <w:pPr>
              <w:spacing w:line="240" w:lineRule="atLeast"/>
              <w:jc w:val="center"/>
              <w:rPr>
                <w:rFonts w:ascii="宋体" w:hAnsi="宋体" w:eastAsia="宋体" w:cs="宋体"/>
                <w:b/>
                <w:sz w:val="20"/>
                <w:szCs w:val="20"/>
                <w:lang w:bidi="ar"/>
              </w:rPr>
            </w:pPr>
            <w:r>
              <w:rPr>
                <w:rFonts w:hint="eastAsia" w:ascii="宋体" w:hAnsi="宋体" w:eastAsia="宋体" w:cs="宋体"/>
                <w:b/>
                <w:sz w:val="20"/>
                <w:szCs w:val="20"/>
                <w:lang w:bidi="ar"/>
              </w:rPr>
              <w:t>指标类型</w:t>
            </w:r>
          </w:p>
        </w:tc>
        <w:tc>
          <w:tcPr>
            <w:tcW w:w="1631" w:type="pct"/>
            <w:tcBorders>
              <w:top w:val="single" w:color="000000" w:sz="4" w:space="0"/>
              <w:left w:val="single" w:color="000000" w:sz="4" w:space="0"/>
              <w:bottom w:val="single" w:color="000000" w:sz="4" w:space="0"/>
              <w:right w:val="single" w:color="000000" w:sz="4" w:space="0"/>
            </w:tcBorders>
            <w:shd w:val="clear" w:color="auto" w:fill="A6A6A6"/>
            <w:vAlign w:val="center"/>
          </w:tcPr>
          <w:p>
            <w:pPr>
              <w:spacing w:line="240" w:lineRule="atLeast"/>
              <w:jc w:val="center"/>
              <w:rPr>
                <w:rFonts w:ascii="宋体" w:hAnsi="宋体" w:eastAsia="宋体" w:cs="宋体"/>
                <w:b/>
                <w:sz w:val="20"/>
                <w:szCs w:val="20"/>
                <w:lang w:bidi="ar"/>
              </w:rPr>
            </w:pPr>
            <w:r>
              <w:rPr>
                <w:rFonts w:hint="eastAsia" w:ascii="宋体" w:hAnsi="宋体" w:eastAsia="宋体" w:cs="宋体"/>
                <w:b/>
                <w:sz w:val="20"/>
                <w:szCs w:val="20"/>
                <w:lang w:bidi="ar"/>
              </w:rPr>
              <w:t>三级指标</w:t>
            </w:r>
          </w:p>
        </w:tc>
        <w:tc>
          <w:tcPr>
            <w:tcW w:w="1081" w:type="pct"/>
            <w:tcBorders>
              <w:top w:val="single" w:color="000000" w:sz="4" w:space="0"/>
              <w:left w:val="single" w:color="000000" w:sz="4" w:space="0"/>
              <w:bottom w:val="single" w:color="000000" w:sz="4" w:space="0"/>
              <w:right w:val="single" w:color="000000" w:sz="4" w:space="0"/>
            </w:tcBorders>
            <w:shd w:val="clear" w:color="auto" w:fill="A6A6A6"/>
            <w:vAlign w:val="center"/>
          </w:tcPr>
          <w:p>
            <w:pPr>
              <w:spacing w:line="240" w:lineRule="atLeast"/>
              <w:jc w:val="center"/>
              <w:rPr>
                <w:rFonts w:ascii="宋体" w:hAnsi="宋体" w:eastAsia="宋体" w:cs="宋体"/>
                <w:b/>
                <w:sz w:val="20"/>
                <w:szCs w:val="20"/>
                <w:lang w:bidi="ar"/>
              </w:rPr>
            </w:pPr>
            <w:r>
              <w:rPr>
                <w:rFonts w:hint="eastAsia" w:ascii="宋体" w:hAnsi="宋体" w:eastAsia="宋体" w:cs="宋体"/>
                <w:b/>
                <w:sz w:val="20"/>
                <w:szCs w:val="20"/>
                <w:lang w:bidi="ar"/>
              </w:rPr>
              <w:t>指标值</w:t>
            </w:r>
          </w:p>
        </w:tc>
        <w:tc>
          <w:tcPr>
            <w:tcW w:w="1153" w:type="pct"/>
            <w:tcBorders>
              <w:top w:val="single" w:color="000000" w:sz="4" w:space="0"/>
              <w:left w:val="single" w:color="000000" w:sz="4" w:space="0"/>
              <w:bottom w:val="single" w:color="000000" w:sz="4" w:space="0"/>
              <w:right w:val="single" w:color="000000" w:sz="4" w:space="0"/>
            </w:tcBorders>
            <w:shd w:val="clear" w:color="auto" w:fill="A6A6A6"/>
            <w:vAlign w:val="center"/>
          </w:tcPr>
          <w:p>
            <w:pPr>
              <w:spacing w:line="240" w:lineRule="atLeast"/>
              <w:jc w:val="center"/>
              <w:rPr>
                <w:rFonts w:ascii="宋体" w:hAnsi="宋体" w:eastAsia="宋体" w:cs="宋体"/>
                <w:b/>
                <w:sz w:val="20"/>
                <w:szCs w:val="20"/>
                <w:lang w:bidi="ar"/>
              </w:rPr>
            </w:pPr>
            <w:r>
              <w:rPr>
                <w:rFonts w:hint="eastAsia" w:ascii="宋体" w:hAnsi="宋体" w:eastAsia="宋体" w:cs="宋体"/>
                <w:b/>
                <w:sz w:val="20"/>
                <w:szCs w:val="20"/>
                <w:lang w:bidi="ar"/>
              </w:rPr>
              <w:t>实际完成值</w:t>
            </w:r>
          </w:p>
        </w:tc>
      </w:tr>
      <w:tr>
        <w:tblPrEx>
          <w:tblCellMar>
            <w:top w:w="0" w:type="dxa"/>
            <w:left w:w="108" w:type="dxa"/>
            <w:bottom w:w="0" w:type="dxa"/>
            <w:right w:w="108" w:type="dxa"/>
          </w:tblCellMar>
        </w:tblPrEx>
        <w:trPr>
          <w:trHeight w:val="556"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tLeast"/>
              <w:jc w:val="center"/>
              <w:rPr>
                <w:rFonts w:ascii="宋体" w:hAnsi="宋体" w:eastAsia="宋体" w:cs="宋体"/>
                <w:sz w:val="20"/>
                <w:szCs w:val="20"/>
                <w:lang w:bidi="ar"/>
              </w:rPr>
            </w:pPr>
            <w:r>
              <w:rPr>
                <w:rFonts w:hint="eastAsia" w:ascii="宋体" w:hAnsi="宋体" w:eastAsia="宋体" w:cs="宋体"/>
                <w:sz w:val="20"/>
                <w:szCs w:val="20"/>
                <w:lang w:bidi="ar"/>
              </w:rPr>
              <w:t>1</w:t>
            </w:r>
          </w:p>
        </w:tc>
        <w:tc>
          <w:tcPr>
            <w:tcW w:w="762"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tLeast"/>
              <w:jc w:val="center"/>
              <w:rPr>
                <w:rFonts w:ascii="宋体" w:hAnsi="宋体" w:eastAsia="宋体" w:cs="宋体"/>
                <w:sz w:val="20"/>
                <w:szCs w:val="20"/>
                <w:lang w:eastAsia="zh-Hans" w:bidi="ar"/>
              </w:rPr>
            </w:pPr>
            <w:r>
              <w:rPr>
                <w:rFonts w:hint="eastAsia" w:ascii="宋体" w:hAnsi="宋体" w:eastAsia="宋体" w:cs="宋体"/>
                <w:sz w:val="20"/>
                <w:szCs w:val="20"/>
                <w:lang w:bidi="ar"/>
              </w:rPr>
              <w:t>质量指标</w:t>
            </w:r>
          </w:p>
        </w:tc>
        <w:tc>
          <w:tcPr>
            <w:tcW w:w="16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sz w:val="20"/>
                <w:szCs w:val="20"/>
                <w:lang w:eastAsia="zh-Hans" w:bidi="ar"/>
              </w:rPr>
            </w:pPr>
            <w:r>
              <w:rPr>
                <w:rFonts w:hint="eastAsia" w:ascii="宋体" w:hAnsi="宋体" w:eastAsia="宋体" w:cs="宋体"/>
                <w:i w:val="0"/>
                <w:iCs w:val="0"/>
                <w:snapToGrid w:val="0"/>
                <w:color w:val="000000"/>
                <w:kern w:val="0"/>
                <w:sz w:val="20"/>
                <w:szCs w:val="20"/>
                <w:u w:val="none"/>
                <w:lang w:val="en-US" w:eastAsia="zh-CN" w:bidi="ar"/>
              </w:rPr>
              <w:t>窝沟封闭完好率</w:t>
            </w:r>
          </w:p>
        </w:tc>
        <w:tc>
          <w:tcPr>
            <w:tcW w:w="10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sz w:val="20"/>
                <w:szCs w:val="20"/>
                <w:lang w:eastAsia="zh-Hans" w:bidi="ar"/>
              </w:rPr>
            </w:pPr>
            <w:r>
              <w:rPr>
                <w:rFonts w:hint="eastAsia" w:ascii="宋体" w:hAnsi="宋体" w:eastAsia="宋体" w:cs="宋体"/>
                <w:i w:val="0"/>
                <w:iCs w:val="0"/>
                <w:snapToGrid w:val="0"/>
                <w:color w:val="000000"/>
                <w:kern w:val="0"/>
                <w:sz w:val="20"/>
                <w:szCs w:val="20"/>
                <w:u w:val="none"/>
                <w:lang w:val="en-US" w:eastAsia="zh-CN" w:bidi="ar"/>
              </w:rPr>
              <w:t>＞85%</w:t>
            </w:r>
          </w:p>
        </w:tc>
        <w:tc>
          <w:tcPr>
            <w:tcW w:w="11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sz w:val="20"/>
                <w:szCs w:val="20"/>
                <w:lang w:eastAsia="zh-Hans" w:bidi="ar"/>
              </w:rPr>
            </w:pPr>
            <w:r>
              <w:rPr>
                <w:rFonts w:hint="eastAsia" w:ascii="宋体" w:hAnsi="宋体" w:eastAsia="宋体" w:cs="宋体"/>
                <w:i w:val="0"/>
                <w:iCs w:val="0"/>
                <w:snapToGrid w:val="0"/>
                <w:color w:val="000000"/>
                <w:kern w:val="0"/>
                <w:sz w:val="20"/>
                <w:szCs w:val="20"/>
                <w:u w:val="none"/>
                <w:lang w:val="en-US" w:eastAsia="zh-CN" w:bidi="ar"/>
              </w:rPr>
              <w:t>98%</w:t>
            </w:r>
          </w:p>
        </w:tc>
      </w:tr>
      <w:tr>
        <w:tblPrEx>
          <w:tblCellMar>
            <w:top w:w="0" w:type="dxa"/>
            <w:left w:w="108" w:type="dxa"/>
            <w:bottom w:w="0" w:type="dxa"/>
            <w:right w:w="108" w:type="dxa"/>
          </w:tblCellMar>
        </w:tblPrEx>
        <w:trPr>
          <w:trHeight w:val="78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tLeast"/>
              <w:jc w:val="center"/>
              <w:rPr>
                <w:rFonts w:ascii="宋体" w:hAnsi="宋体" w:eastAsia="宋体" w:cs="宋体"/>
                <w:sz w:val="20"/>
                <w:szCs w:val="20"/>
                <w:lang w:bidi="ar"/>
              </w:rPr>
            </w:pPr>
            <w:r>
              <w:rPr>
                <w:rFonts w:hint="eastAsia" w:ascii="宋体" w:hAnsi="宋体" w:eastAsia="宋体" w:cs="宋体"/>
                <w:sz w:val="20"/>
                <w:szCs w:val="20"/>
                <w:lang w:bidi="ar"/>
              </w:rPr>
              <w:t>2</w:t>
            </w:r>
          </w:p>
        </w:tc>
        <w:tc>
          <w:tcPr>
            <w:tcW w:w="762"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tLeast"/>
              <w:jc w:val="center"/>
              <w:rPr>
                <w:rFonts w:ascii="宋体" w:hAnsi="宋体" w:eastAsia="宋体" w:cs="宋体"/>
                <w:sz w:val="20"/>
                <w:szCs w:val="20"/>
                <w:lang w:eastAsia="zh-Hans" w:bidi="ar"/>
              </w:rPr>
            </w:pPr>
            <w:r>
              <w:rPr>
                <w:rFonts w:hint="eastAsia" w:ascii="宋体" w:hAnsi="宋体" w:eastAsia="宋体" w:cs="宋体"/>
                <w:sz w:val="20"/>
                <w:szCs w:val="20"/>
                <w:lang w:bidi="ar"/>
              </w:rPr>
              <w:t>质量指标</w:t>
            </w:r>
          </w:p>
        </w:tc>
        <w:tc>
          <w:tcPr>
            <w:tcW w:w="16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sz w:val="20"/>
                <w:szCs w:val="20"/>
                <w:lang w:eastAsia="zh-Hans" w:bidi="ar"/>
              </w:rPr>
            </w:pPr>
            <w:r>
              <w:rPr>
                <w:rFonts w:hint="eastAsia" w:ascii="宋体" w:hAnsi="宋体" w:eastAsia="宋体" w:cs="宋体"/>
                <w:i w:val="0"/>
                <w:iCs w:val="0"/>
                <w:snapToGrid w:val="0"/>
                <w:color w:val="000000"/>
                <w:kern w:val="0"/>
                <w:sz w:val="20"/>
                <w:szCs w:val="20"/>
                <w:u w:val="none"/>
                <w:lang w:val="en-US" w:eastAsia="zh-CN" w:bidi="ar"/>
              </w:rPr>
              <w:t>适龄儿童国家免疫规划疫苗接种率</w:t>
            </w:r>
          </w:p>
        </w:tc>
        <w:tc>
          <w:tcPr>
            <w:tcW w:w="10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sz w:val="20"/>
                <w:szCs w:val="20"/>
                <w:lang w:eastAsia="zh-Hans" w:bidi="ar"/>
              </w:rPr>
            </w:pPr>
            <w:r>
              <w:rPr>
                <w:rFonts w:hint="eastAsia" w:ascii="宋体" w:hAnsi="宋体" w:eastAsia="宋体" w:cs="宋体"/>
                <w:i w:val="0"/>
                <w:iCs w:val="0"/>
                <w:snapToGrid w:val="0"/>
                <w:color w:val="000000"/>
                <w:kern w:val="0"/>
                <w:sz w:val="20"/>
                <w:szCs w:val="20"/>
                <w:u w:val="none"/>
                <w:lang w:val="en-US" w:eastAsia="zh-CN" w:bidi="ar"/>
              </w:rPr>
              <w:t>≥90%</w:t>
            </w:r>
          </w:p>
        </w:tc>
        <w:tc>
          <w:tcPr>
            <w:tcW w:w="11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sz w:val="20"/>
                <w:szCs w:val="20"/>
                <w:lang w:eastAsia="zh-Hans" w:bidi="ar"/>
              </w:rPr>
            </w:pPr>
            <w:r>
              <w:rPr>
                <w:rFonts w:hint="eastAsia" w:ascii="宋体" w:hAnsi="宋体" w:eastAsia="宋体" w:cs="宋体"/>
                <w:i w:val="0"/>
                <w:iCs w:val="0"/>
                <w:snapToGrid w:val="0"/>
                <w:color w:val="000000"/>
                <w:kern w:val="0"/>
                <w:sz w:val="20"/>
                <w:szCs w:val="20"/>
                <w:u w:val="none"/>
                <w:lang w:val="en-US" w:eastAsia="zh-CN" w:bidi="ar"/>
              </w:rPr>
              <w:t>100%</w:t>
            </w:r>
          </w:p>
        </w:tc>
      </w:tr>
      <w:tr>
        <w:tblPrEx>
          <w:tblCellMar>
            <w:top w:w="0" w:type="dxa"/>
            <w:left w:w="108" w:type="dxa"/>
            <w:bottom w:w="0" w:type="dxa"/>
            <w:right w:w="108" w:type="dxa"/>
          </w:tblCellMar>
        </w:tblPrEx>
        <w:trPr>
          <w:trHeight w:val="797"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tLeast"/>
              <w:jc w:val="center"/>
              <w:rPr>
                <w:rFonts w:ascii="宋体" w:hAnsi="宋体" w:eastAsia="宋体" w:cs="宋体"/>
                <w:sz w:val="20"/>
                <w:szCs w:val="20"/>
                <w:lang w:bidi="ar"/>
              </w:rPr>
            </w:pPr>
            <w:r>
              <w:rPr>
                <w:rFonts w:hint="eastAsia" w:ascii="宋体" w:hAnsi="宋体" w:eastAsia="宋体" w:cs="宋体"/>
                <w:sz w:val="20"/>
                <w:szCs w:val="20"/>
                <w:lang w:bidi="ar"/>
              </w:rPr>
              <w:t>3</w:t>
            </w:r>
          </w:p>
        </w:tc>
        <w:tc>
          <w:tcPr>
            <w:tcW w:w="762"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tLeast"/>
              <w:jc w:val="center"/>
              <w:rPr>
                <w:rFonts w:ascii="宋体" w:hAnsi="宋体" w:eastAsia="宋体" w:cs="宋体"/>
                <w:sz w:val="20"/>
                <w:szCs w:val="20"/>
                <w:lang w:eastAsia="zh-Hans" w:bidi="ar"/>
              </w:rPr>
            </w:pPr>
            <w:r>
              <w:rPr>
                <w:rFonts w:hint="eastAsia" w:ascii="宋体" w:hAnsi="宋体" w:eastAsia="宋体" w:cs="宋体"/>
                <w:sz w:val="20"/>
                <w:szCs w:val="20"/>
                <w:lang w:bidi="ar"/>
              </w:rPr>
              <w:t>质量指标</w:t>
            </w:r>
          </w:p>
        </w:tc>
        <w:tc>
          <w:tcPr>
            <w:tcW w:w="16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sz w:val="20"/>
                <w:szCs w:val="20"/>
                <w:lang w:eastAsia="zh-Hans" w:bidi="ar"/>
              </w:rPr>
            </w:pPr>
            <w:r>
              <w:rPr>
                <w:rFonts w:hint="eastAsia" w:ascii="宋体" w:hAnsi="宋体" w:eastAsia="宋体" w:cs="宋体"/>
                <w:i w:val="0"/>
                <w:iCs w:val="0"/>
                <w:snapToGrid w:val="0"/>
                <w:color w:val="000000"/>
                <w:kern w:val="0"/>
                <w:sz w:val="20"/>
                <w:szCs w:val="20"/>
                <w:u w:val="none"/>
                <w:lang w:val="en-US" w:eastAsia="zh-CN" w:bidi="ar"/>
              </w:rPr>
              <w:t>艾滋病免费抗病毒治疗任务</w:t>
            </w:r>
          </w:p>
        </w:tc>
        <w:tc>
          <w:tcPr>
            <w:tcW w:w="10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sz w:val="20"/>
                <w:szCs w:val="20"/>
                <w:lang w:eastAsia="zh-Hans" w:bidi="ar"/>
              </w:rPr>
            </w:pPr>
            <w:r>
              <w:rPr>
                <w:rFonts w:hint="eastAsia" w:ascii="宋体" w:hAnsi="宋体" w:eastAsia="宋体" w:cs="宋体"/>
                <w:i w:val="0"/>
                <w:iCs w:val="0"/>
                <w:snapToGrid w:val="0"/>
                <w:color w:val="000000"/>
                <w:kern w:val="0"/>
                <w:sz w:val="20"/>
                <w:szCs w:val="20"/>
                <w:u w:val="none"/>
                <w:lang w:val="en-US" w:eastAsia="zh-CN" w:bidi="ar"/>
              </w:rPr>
              <w:t>100%</w:t>
            </w:r>
          </w:p>
        </w:tc>
        <w:tc>
          <w:tcPr>
            <w:tcW w:w="11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sz w:val="20"/>
                <w:szCs w:val="20"/>
                <w:lang w:eastAsia="zh-Hans" w:bidi="ar"/>
              </w:rPr>
            </w:pPr>
            <w:r>
              <w:rPr>
                <w:rFonts w:hint="eastAsia" w:ascii="宋体" w:hAnsi="宋体" w:eastAsia="宋体" w:cs="宋体"/>
                <w:i w:val="0"/>
                <w:iCs w:val="0"/>
                <w:snapToGrid w:val="0"/>
                <w:color w:val="000000"/>
                <w:kern w:val="0"/>
                <w:sz w:val="20"/>
                <w:szCs w:val="20"/>
                <w:u w:val="none"/>
                <w:lang w:val="en-US" w:eastAsia="zh-CN" w:bidi="ar"/>
              </w:rPr>
              <w:t>100%</w:t>
            </w:r>
          </w:p>
        </w:tc>
      </w:tr>
      <w:tr>
        <w:tblPrEx>
          <w:tblCellMar>
            <w:top w:w="0" w:type="dxa"/>
            <w:left w:w="108" w:type="dxa"/>
            <w:bottom w:w="0" w:type="dxa"/>
            <w:right w:w="108" w:type="dxa"/>
          </w:tblCellMar>
        </w:tblPrEx>
        <w:trPr>
          <w:trHeight w:val="729"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tLeast"/>
              <w:jc w:val="center"/>
              <w:rPr>
                <w:rFonts w:ascii="宋体" w:hAnsi="宋体" w:eastAsia="宋体" w:cs="宋体"/>
                <w:sz w:val="20"/>
                <w:szCs w:val="20"/>
                <w:lang w:bidi="ar"/>
              </w:rPr>
            </w:pPr>
            <w:r>
              <w:rPr>
                <w:rFonts w:hint="eastAsia" w:ascii="宋体" w:hAnsi="宋体" w:eastAsia="宋体" w:cs="宋体"/>
                <w:sz w:val="20"/>
                <w:szCs w:val="20"/>
                <w:lang w:bidi="ar"/>
              </w:rPr>
              <w:t>4</w:t>
            </w:r>
          </w:p>
        </w:tc>
        <w:tc>
          <w:tcPr>
            <w:tcW w:w="762"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tLeast"/>
              <w:jc w:val="center"/>
              <w:rPr>
                <w:rFonts w:ascii="宋体" w:hAnsi="宋体" w:eastAsia="宋体" w:cs="宋体"/>
                <w:sz w:val="20"/>
                <w:szCs w:val="20"/>
                <w:lang w:eastAsia="zh-Hans" w:bidi="ar"/>
              </w:rPr>
            </w:pPr>
            <w:r>
              <w:rPr>
                <w:rFonts w:hint="eastAsia" w:ascii="宋体" w:hAnsi="宋体" w:eastAsia="宋体" w:cs="宋体"/>
                <w:sz w:val="20"/>
                <w:szCs w:val="20"/>
                <w:lang w:bidi="ar"/>
              </w:rPr>
              <w:t>质量指标</w:t>
            </w:r>
          </w:p>
        </w:tc>
        <w:tc>
          <w:tcPr>
            <w:tcW w:w="16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sz w:val="20"/>
                <w:szCs w:val="20"/>
                <w:lang w:eastAsia="zh-Hans" w:bidi="ar"/>
              </w:rPr>
            </w:pPr>
            <w:r>
              <w:rPr>
                <w:rFonts w:hint="eastAsia" w:ascii="宋体" w:hAnsi="宋体" w:eastAsia="宋体" w:cs="宋体"/>
                <w:i w:val="0"/>
                <w:iCs w:val="0"/>
                <w:snapToGrid w:val="0"/>
                <w:color w:val="000000"/>
                <w:kern w:val="0"/>
                <w:sz w:val="20"/>
                <w:szCs w:val="20"/>
                <w:u w:val="none"/>
                <w:lang w:val="en-US" w:eastAsia="zh-CN" w:bidi="ar"/>
              </w:rPr>
              <w:t>临床用血核酸检测</w:t>
            </w:r>
          </w:p>
        </w:tc>
        <w:tc>
          <w:tcPr>
            <w:tcW w:w="10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sz w:val="20"/>
                <w:szCs w:val="20"/>
                <w:lang w:eastAsia="zh-Hans" w:bidi="ar"/>
              </w:rPr>
            </w:pPr>
            <w:r>
              <w:rPr>
                <w:rFonts w:hint="eastAsia" w:ascii="宋体" w:hAnsi="宋体" w:eastAsia="宋体" w:cs="宋体"/>
                <w:i w:val="0"/>
                <w:iCs w:val="0"/>
                <w:snapToGrid w:val="0"/>
                <w:color w:val="000000"/>
                <w:kern w:val="0"/>
                <w:sz w:val="20"/>
                <w:szCs w:val="20"/>
                <w:u w:val="none"/>
                <w:lang w:val="en-US" w:eastAsia="zh-CN" w:bidi="ar"/>
              </w:rPr>
              <w:t>100%</w:t>
            </w:r>
          </w:p>
        </w:tc>
        <w:tc>
          <w:tcPr>
            <w:tcW w:w="11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sz w:val="20"/>
                <w:szCs w:val="20"/>
                <w:lang w:eastAsia="zh-Hans" w:bidi="ar"/>
              </w:rPr>
            </w:pPr>
            <w:r>
              <w:rPr>
                <w:rFonts w:hint="eastAsia" w:ascii="宋体" w:hAnsi="宋体" w:eastAsia="宋体" w:cs="宋体"/>
                <w:i w:val="0"/>
                <w:iCs w:val="0"/>
                <w:snapToGrid w:val="0"/>
                <w:color w:val="000000"/>
                <w:kern w:val="0"/>
                <w:sz w:val="20"/>
                <w:szCs w:val="20"/>
                <w:u w:val="none"/>
                <w:lang w:val="en-US" w:eastAsia="zh-CN" w:bidi="ar"/>
              </w:rPr>
              <w:t>100%</w:t>
            </w:r>
          </w:p>
        </w:tc>
      </w:tr>
      <w:tr>
        <w:tblPrEx>
          <w:tblCellMar>
            <w:top w:w="0" w:type="dxa"/>
            <w:left w:w="108" w:type="dxa"/>
            <w:bottom w:w="0" w:type="dxa"/>
            <w:right w:w="108" w:type="dxa"/>
          </w:tblCellMar>
        </w:tblPrEx>
        <w:trPr>
          <w:trHeight w:val="729"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tLeast"/>
              <w:jc w:val="center"/>
              <w:rPr>
                <w:rFonts w:ascii="宋体" w:hAnsi="宋体" w:eastAsia="宋体" w:cs="宋体"/>
                <w:sz w:val="20"/>
                <w:szCs w:val="20"/>
                <w:lang w:bidi="ar"/>
              </w:rPr>
            </w:pPr>
            <w:r>
              <w:rPr>
                <w:rFonts w:hint="eastAsia" w:ascii="宋体" w:hAnsi="宋体" w:eastAsia="宋体" w:cs="宋体"/>
                <w:sz w:val="20"/>
                <w:szCs w:val="20"/>
                <w:lang w:bidi="ar"/>
              </w:rPr>
              <w:t>5</w:t>
            </w:r>
          </w:p>
        </w:tc>
        <w:tc>
          <w:tcPr>
            <w:tcW w:w="762"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tLeast"/>
              <w:jc w:val="center"/>
              <w:rPr>
                <w:rFonts w:ascii="宋体" w:hAnsi="宋体" w:eastAsia="宋体" w:cs="宋体"/>
                <w:sz w:val="20"/>
                <w:szCs w:val="20"/>
                <w:lang w:eastAsia="zh-Hans" w:bidi="ar"/>
              </w:rPr>
            </w:pPr>
            <w:r>
              <w:rPr>
                <w:rFonts w:hint="eastAsia" w:ascii="宋体" w:hAnsi="宋体" w:eastAsia="宋体" w:cs="宋体"/>
                <w:sz w:val="20"/>
                <w:szCs w:val="20"/>
                <w:lang w:bidi="ar"/>
              </w:rPr>
              <w:t>质量指标</w:t>
            </w:r>
          </w:p>
        </w:tc>
        <w:tc>
          <w:tcPr>
            <w:tcW w:w="16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sz w:val="20"/>
                <w:szCs w:val="20"/>
                <w:lang w:eastAsia="zh-Hans" w:bidi="ar"/>
              </w:rPr>
            </w:pPr>
            <w:r>
              <w:rPr>
                <w:rFonts w:hint="eastAsia" w:ascii="宋体" w:hAnsi="宋体" w:eastAsia="宋体" w:cs="宋体"/>
                <w:i w:val="0"/>
                <w:iCs w:val="0"/>
                <w:snapToGrid w:val="0"/>
                <w:color w:val="000000"/>
                <w:kern w:val="0"/>
                <w:sz w:val="20"/>
                <w:szCs w:val="20"/>
                <w:u w:val="none"/>
                <w:lang w:val="en-US" w:eastAsia="zh-CN" w:bidi="ar"/>
              </w:rPr>
              <w:t>艾滋病规范化随访干预比例</w:t>
            </w:r>
          </w:p>
        </w:tc>
        <w:tc>
          <w:tcPr>
            <w:tcW w:w="10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sz w:val="20"/>
                <w:szCs w:val="20"/>
                <w:lang w:eastAsia="zh-Hans" w:bidi="ar"/>
              </w:rPr>
            </w:pPr>
            <w:r>
              <w:rPr>
                <w:rFonts w:hint="eastAsia" w:ascii="宋体" w:hAnsi="宋体" w:eastAsia="宋体" w:cs="宋体"/>
                <w:i w:val="0"/>
                <w:iCs w:val="0"/>
                <w:snapToGrid w:val="0"/>
                <w:color w:val="000000"/>
                <w:kern w:val="0"/>
                <w:sz w:val="20"/>
                <w:szCs w:val="20"/>
                <w:u w:val="none"/>
                <w:lang w:val="en-US" w:eastAsia="zh-CN" w:bidi="ar"/>
              </w:rPr>
              <w:t>100%</w:t>
            </w:r>
          </w:p>
        </w:tc>
        <w:tc>
          <w:tcPr>
            <w:tcW w:w="11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sz w:val="20"/>
                <w:szCs w:val="20"/>
                <w:lang w:eastAsia="zh-Hans" w:bidi="ar"/>
              </w:rPr>
            </w:pPr>
            <w:r>
              <w:rPr>
                <w:rFonts w:hint="eastAsia" w:ascii="宋体" w:hAnsi="宋体" w:eastAsia="宋体" w:cs="宋体"/>
                <w:i w:val="0"/>
                <w:iCs w:val="0"/>
                <w:snapToGrid w:val="0"/>
                <w:color w:val="000000"/>
                <w:kern w:val="0"/>
                <w:sz w:val="20"/>
                <w:szCs w:val="20"/>
                <w:u w:val="none"/>
                <w:lang w:val="en-US" w:eastAsia="zh-CN" w:bidi="ar"/>
              </w:rPr>
              <w:t>128%</w:t>
            </w:r>
          </w:p>
        </w:tc>
      </w:tr>
      <w:tr>
        <w:tblPrEx>
          <w:tblCellMar>
            <w:top w:w="0" w:type="dxa"/>
            <w:left w:w="108" w:type="dxa"/>
            <w:bottom w:w="0" w:type="dxa"/>
            <w:right w:w="108" w:type="dxa"/>
          </w:tblCellMar>
        </w:tblPrEx>
        <w:trPr>
          <w:trHeight w:val="104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tLeast"/>
              <w:jc w:val="center"/>
              <w:rPr>
                <w:rFonts w:ascii="宋体" w:hAnsi="宋体" w:eastAsia="宋体" w:cs="宋体"/>
                <w:sz w:val="20"/>
                <w:szCs w:val="20"/>
                <w:lang w:bidi="ar"/>
              </w:rPr>
            </w:pPr>
            <w:r>
              <w:rPr>
                <w:rFonts w:hint="eastAsia" w:ascii="宋体" w:hAnsi="宋体" w:eastAsia="宋体" w:cs="宋体"/>
                <w:sz w:val="20"/>
                <w:szCs w:val="20"/>
                <w:lang w:bidi="ar"/>
              </w:rPr>
              <w:t>6</w:t>
            </w:r>
          </w:p>
        </w:tc>
        <w:tc>
          <w:tcPr>
            <w:tcW w:w="762"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tLeast"/>
              <w:jc w:val="center"/>
              <w:rPr>
                <w:rFonts w:ascii="宋体" w:hAnsi="宋体" w:eastAsia="宋体" w:cs="宋体"/>
                <w:sz w:val="20"/>
                <w:szCs w:val="20"/>
                <w:lang w:eastAsia="zh-Hans" w:bidi="ar"/>
              </w:rPr>
            </w:pPr>
            <w:r>
              <w:rPr>
                <w:rFonts w:hint="eastAsia" w:ascii="宋体" w:hAnsi="宋体" w:eastAsia="宋体" w:cs="宋体"/>
                <w:sz w:val="20"/>
                <w:szCs w:val="20"/>
                <w:lang w:bidi="ar"/>
              </w:rPr>
              <w:t>质量指标</w:t>
            </w:r>
          </w:p>
        </w:tc>
        <w:tc>
          <w:tcPr>
            <w:tcW w:w="16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sz w:val="20"/>
                <w:szCs w:val="20"/>
                <w:lang w:eastAsia="zh-Hans" w:bidi="ar"/>
              </w:rPr>
            </w:pPr>
            <w:r>
              <w:rPr>
                <w:rFonts w:hint="eastAsia" w:ascii="宋体" w:hAnsi="宋体" w:eastAsia="宋体" w:cs="宋体"/>
                <w:i w:val="0"/>
                <w:iCs w:val="0"/>
                <w:snapToGrid w:val="0"/>
                <w:color w:val="000000"/>
                <w:kern w:val="0"/>
                <w:sz w:val="20"/>
                <w:szCs w:val="20"/>
                <w:u w:val="none"/>
                <w:lang w:val="en-US" w:eastAsia="zh-CN" w:bidi="ar"/>
              </w:rPr>
              <w:t>艾滋病高危人群(暗娼、男性同性性行人群)检测比例</w:t>
            </w:r>
          </w:p>
        </w:tc>
        <w:tc>
          <w:tcPr>
            <w:tcW w:w="10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sz w:val="20"/>
                <w:szCs w:val="20"/>
                <w:lang w:eastAsia="zh-Hans" w:bidi="ar"/>
              </w:rPr>
            </w:pPr>
            <w:r>
              <w:rPr>
                <w:rFonts w:hint="eastAsia" w:ascii="宋体" w:hAnsi="宋体" w:eastAsia="宋体" w:cs="宋体"/>
                <w:i w:val="0"/>
                <w:iCs w:val="0"/>
                <w:snapToGrid w:val="0"/>
                <w:color w:val="000000"/>
                <w:kern w:val="0"/>
                <w:sz w:val="20"/>
                <w:szCs w:val="20"/>
                <w:u w:val="none"/>
                <w:lang w:val="en-US" w:eastAsia="zh-CN" w:bidi="ar"/>
              </w:rPr>
              <w:t>100%</w:t>
            </w:r>
          </w:p>
        </w:tc>
        <w:tc>
          <w:tcPr>
            <w:tcW w:w="11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sz w:val="20"/>
                <w:szCs w:val="20"/>
                <w:lang w:eastAsia="zh-Hans" w:bidi="ar"/>
              </w:rPr>
            </w:pPr>
            <w:r>
              <w:rPr>
                <w:rFonts w:hint="eastAsia" w:ascii="宋体" w:hAnsi="宋体" w:eastAsia="宋体" w:cs="宋体"/>
                <w:i w:val="0"/>
                <w:iCs w:val="0"/>
                <w:snapToGrid w:val="0"/>
                <w:color w:val="000000"/>
                <w:kern w:val="0"/>
                <w:sz w:val="20"/>
                <w:szCs w:val="20"/>
                <w:u w:val="none"/>
                <w:lang w:val="en-US" w:eastAsia="zh-CN" w:bidi="ar"/>
              </w:rPr>
              <w:t>141%</w:t>
            </w:r>
          </w:p>
        </w:tc>
      </w:tr>
      <w:tr>
        <w:tblPrEx>
          <w:tblCellMar>
            <w:top w:w="0" w:type="dxa"/>
            <w:left w:w="108" w:type="dxa"/>
            <w:bottom w:w="0" w:type="dxa"/>
            <w:right w:w="108" w:type="dxa"/>
          </w:tblCellMar>
        </w:tblPrEx>
        <w:trPr>
          <w:trHeight w:val="78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tLeast"/>
              <w:jc w:val="center"/>
              <w:rPr>
                <w:rFonts w:ascii="宋体" w:hAnsi="宋体" w:eastAsia="宋体" w:cs="宋体"/>
                <w:sz w:val="20"/>
                <w:szCs w:val="20"/>
                <w:lang w:bidi="ar"/>
              </w:rPr>
            </w:pPr>
            <w:r>
              <w:rPr>
                <w:rFonts w:hint="eastAsia" w:ascii="宋体" w:hAnsi="宋体" w:eastAsia="宋体" w:cs="宋体"/>
                <w:sz w:val="20"/>
                <w:szCs w:val="20"/>
                <w:lang w:bidi="ar"/>
              </w:rPr>
              <w:t>7</w:t>
            </w:r>
          </w:p>
        </w:tc>
        <w:tc>
          <w:tcPr>
            <w:tcW w:w="762"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tLeast"/>
              <w:jc w:val="center"/>
              <w:rPr>
                <w:rFonts w:ascii="宋体" w:hAnsi="宋体" w:eastAsia="宋体" w:cs="宋体"/>
                <w:sz w:val="20"/>
                <w:szCs w:val="20"/>
                <w:lang w:eastAsia="zh-Hans" w:bidi="ar"/>
              </w:rPr>
            </w:pPr>
            <w:r>
              <w:rPr>
                <w:rFonts w:hint="eastAsia" w:ascii="宋体" w:hAnsi="宋体" w:eastAsia="宋体" w:cs="宋体"/>
                <w:sz w:val="20"/>
                <w:szCs w:val="20"/>
                <w:lang w:bidi="ar"/>
              </w:rPr>
              <w:t>质量指标</w:t>
            </w:r>
          </w:p>
        </w:tc>
        <w:tc>
          <w:tcPr>
            <w:tcW w:w="16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sz w:val="20"/>
                <w:szCs w:val="20"/>
                <w:lang w:eastAsia="zh-Hans" w:bidi="ar"/>
              </w:rPr>
            </w:pPr>
            <w:r>
              <w:rPr>
                <w:rFonts w:hint="eastAsia" w:ascii="宋体" w:hAnsi="宋体" w:eastAsia="宋体" w:cs="宋体"/>
                <w:i w:val="0"/>
                <w:iCs w:val="0"/>
                <w:snapToGrid w:val="0"/>
                <w:color w:val="000000"/>
                <w:kern w:val="0"/>
                <w:sz w:val="20"/>
                <w:szCs w:val="20"/>
                <w:u w:val="none"/>
                <w:lang w:val="en-US" w:eastAsia="zh-CN" w:bidi="ar"/>
              </w:rPr>
              <w:t>项目区常住人口中管理治疗癫痫患者比例</w:t>
            </w:r>
          </w:p>
        </w:tc>
        <w:tc>
          <w:tcPr>
            <w:tcW w:w="10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sz w:val="20"/>
                <w:szCs w:val="20"/>
                <w:lang w:eastAsia="zh-Hans" w:bidi="ar"/>
              </w:rPr>
            </w:pPr>
            <w:r>
              <w:rPr>
                <w:rFonts w:hint="eastAsia" w:ascii="宋体" w:hAnsi="宋体" w:eastAsia="宋体" w:cs="宋体"/>
                <w:i w:val="0"/>
                <w:iCs w:val="0"/>
                <w:snapToGrid w:val="0"/>
                <w:color w:val="000000"/>
                <w:kern w:val="0"/>
                <w:sz w:val="20"/>
                <w:szCs w:val="20"/>
                <w:u w:val="none"/>
                <w:lang w:val="en-US" w:eastAsia="zh-CN" w:bidi="ar"/>
              </w:rPr>
              <w:t>≥1‰</w:t>
            </w:r>
          </w:p>
        </w:tc>
        <w:tc>
          <w:tcPr>
            <w:tcW w:w="11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sz w:val="20"/>
                <w:szCs w:val="20"/>
                <w:lang w:eastAsia="zh-Hans" w:bidi="ar"/>
              </w:rPr>
            </w:pPr>
            <w:r>
              <w:rPr>
                <w:rFonts w:hint="eastAsia" w:ascii="宋体" w:hAnsi="宋体" w:eastAsia="宋体" w:cs="宋体"/>
                <w:i w:val="0"/>
                <w:iCs w:val="0"/>
                <w:snapToGrid w:val="0"/>
                <w:color w:val="000000"/>
                <w:kern w:val="0"/>
                <w:sz w:val="20"/>
                <w:szCs w:val="20"/>
                <w:u w:val="none"/>
                <w:lang w:val="en-US" w:eastAsia="zh-CN" w:bidi="ar"/>
              </w:rPr>
              <w:t>0.3‰</w:t>
            </w:r>
          </w:p>
        </w:tc>
      </w:tr>
      <w:tr>
        <w:tblPrEx>
          <w:tblCellMar>
            <w:top w:w="0" w:type="dxa"/>
            <w:left w:w="108" w:type="dxa"/>
            <w:bottom w:w="0" w:type="dxa"/>
            <w:right w:w="108" w:type="dxa"/>
          </w:tblCellMar>
        </w:tblPrEx>
        <w:trPr>
          <w:trHeight w:val="52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tLeast"/>
              <w:jc w:val="center"/>
              <w:rPr>
                <w:rFonts w:ascii="宋体" w:hAnsi="宋体" w:eastAsia="宋体" w:cs="宋体"/>
                <w:sz w:val="20"/>
                <w:szCs w:val="20"/>
                <w:lang w:bidi="ar"/>
              </w:rPr>
            </w:pPr>
            <w:r>
              <w:rPr>
                <w:rFonts w:hint="eastAsia" w:ascii="宋体" w:hAnsi="宋体" w:eastAsia="宋体" w:cs="宋体"/>
                <w:sz w:val="20"/>
                <w:szCs w:val="20"/>
                <w:lang w:bidi="ar"/>
              </w:rPr>
              <w:t>8</w:t>
            </w:r>
          </w:p>
        </w:tc>
        <w:tc>
          <w:tcPr>
            <w:tcW w:w="762"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tLeast"/>
              <w:jc w:val="center"/>
              <w:rPr>
                <w:rFonts w:ascii="宋体" w:hAnsi="宋体" w:eastAsia="宋体" w:cs="宋体"/>
                <w:sz w:val="20"/>
                <w:szCs w:val="20"/>
                <w:lang w:eastAsia="zh-Hans" w:bidi="ar"/>
              </w:rPr>
            </w:pPr>
            <w:r>
              <w:rPr>
                <w:rFonts w:hint="eastAsia" w:ascii="宋体" w:hAnsi="宋体" w:eastAsia="宋体" w:cs="宋体"/>
                <w:sz w:val="20"/>
                <w:szCs w:val="20"/>
                <w:lang w:bidi="ar"/>
              </w:rPr>
              <w:t>质量指标</w:t>
            </w:r>
          </w:p>
        </w:tc>
        <w:tc>
          <w:tcPr>
            <w:tcW w:w="16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sz w:val="20"/>
                <w:szCs w:val="20"/>
                <w:lang w:eastAsia="zh-Hans" w:bidi="ar"/>
              </w:rPr>
            </w:pPr>
            <w:r>
              <w:rPr>
                <w:rFonts w:hint="eastAsia" w:ascii="宋体" w:hAnsi="宋体" w:eastAsia="宋体" w:cs="宋体"/>
                <w:i w:val="0"/>
                <w:iCs w:val="0"/>
                <w:snapToGrid w:val="0"/>
                <w:color w:val="000000"/>
                <w:kern w:val="0"/>
                <w:sz w:val="20"/>
                <w:szCs w:val="20"/>
                <w:u w:val="none"/>
                <w:lang w:val="en-US" w:eastAsia="zh-CN" w:bidi="ar"/>
              </w:rPr>
              <w:t>肺结核患者规范治疗任务完成率</w:t>
            </w:r>
          </w:p>
        </w:tc>
        <w:tc>
          <w:tcPr>
            <w:tcW w:w="10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sz w:val="20"/>
                <w:szCs w:val="20"/>
                <w:lang w:eastAsia="zh-Hans" w:bidi="ar"/>
              </w:rPr>
            </w:pPr>
            <w:r>
              <w:rPr>
                <w:rFonts w:hint="eastAsia" w:ascii="宋体" w:hAnsi="宋体" w:eastAsia="宋体" w:cs="宋体"/>
                <w:i w:val="0"/>
                <w:iCs w:val="0"/>
                <w:snapToGrid w:val="0"/>
                <w:color w:val="000000"/>
                <w:kern w:val="0"/>
                <w:sz w:val="20"/>
                <w:szCs w:val="20"/>
                <w:u w:val="none"/>
                <w:lang w:val="en-US" w:eastAsia="zh-CN" w:bidi="ar"/>
              </w:rPr>
              <w:t>≥85%</w:t>
            </w:r>
          </w:p>
        </w:tc>
        <w:tc>
          <w:tcPr>
            <w:tcW w:w="11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sz w:val="20"/>
                <w:szCs w:val="20"/>
                <w:lang w:eastAsia="zh-Hans" w:bidi="ar"/>
              </w:rPr>
            </w:pPr>
            <w:r>
              <w:rPr>
                <w:rFonts w:hint="eastAsia" w:ascii="宋体" w:hAnsi="宋体" w:eastAsia="宋体" w:cs="宋体"/>
                <w:i w:val="0"/>
                <w:iCs w:val="0"/>
                <w:snapToGrid w:val="0"/>
                <w:color w:val="000000"/>
                <w:kern w:val="0"/>
                <w:sz w:val="20"/>
                <w:szCs w:val="20"/>
                <w:u w:val="none"/>
                <w:lang w:val="en-US" w:eastAsia="zh-CN" w:bidi="ar"/>
              </w:rPr>
              <w:t>97%</w:t>
            </w:r>
          </w:p>
        </w:tc>
      </w:tr>
      <w:tr>
        <w:tblPrEx>
          <w:tblCellMar>
            <w:top w:w="0" w:type="dxa"/>
            <w:left w:w="108" w:type="dxa"/>
            <w:bottom w:w="0" w:type="dxa"/>
            <w:right w:w="108" w:type="dxa"/>
          </w:tblCellMar>
        </w:tblPrEx>
        <w:trPr>
          <w:trHeight w:val="838"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tLeast"/>
              <w:jc w:val="center"/>
              <w:rPr>
                <w:rFonts w:ascii="宋体" w:hAnsi="宋体" w:eastAsia="宋体" w:cs="宋体"/>
                <w:sz w:val="20"/>
                <w:szCs w:val="20"/>
                <w:lang w:bidi="ar"/>
              </w:rPr>
            </w:pPr>
            <w:r>
              <w:rPr>
                <w:rFonts w:hint="eastAsia" w:ascii="宋体" w:hAnsi="宋体" w:eastAsia="宋体" w:cs="宋体"/>
                <w:sz w:val="20"/>
                <w:szCs w:val="20"/>
                <w:lang w:bidi="ar"/>
              </w:rPr>
              <w:t>9</w:t>
            </w:r>
          </w:p>
        </w:tc>
        <w:tc>
          <w:tcPr>
            <w:tcW w:w="762"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tLeast"/>
              <w:jc w:val="center"/>
              <w:rPr>
                <w:rFonts w:ascii="宋体" w:hAnsi="宋体" w:eastAsia="宋体" w:cs="宋体"/>
                <w:sz w:val="20"/>
                <w:szCs w:val="20"/>
                <w:lang w:eastAsia="zh-Hans" w:bidi="ar"/>
              </w:rPr>
            </w:pPr>
            <w:r>
              <w:rPr>
                <w:rFonts w:hint="eastAsia" w:ascii="宋体" w:hAnsi="宋体" w:eastAsia="宋体" w:cs="宋体"/>
                <w:sz w:val="20"/>
                <w:szCs w:val="20"/>
                <w:lang w:bidi="ar"/>
              </w:rPr>
              <w:t>质量指标</w:t>
            </w:r>
          </w:p>
        </w:tc>
        <w:tc>
          <w:tcPr>
            <w:tcW w:w="16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sz w:val="20"/>
                <w:szCs w:val="20"/>
                <w:lang w:eastAsia="zh-Hans" w:bidi="ar"/>
              </w:rPr>
            </w:pPr>
            <w:r>
              <w:rPr>
                <w:rFonts w:hint="eastAsia" w:ascii="宋体" w:hAnsi="宋体" w:eastAsia="宋体" w:cs="宋体"/>
                <w:i w:val="0"/>
                <w:iCs w:val="0"/>
                <w:snapToGrid w:val="0"/>
                <w:color w:val="000000"/>
                <w:kern w:val="0"/>
                <w:sz w:val="20"/>
                <w:szCs w:val="20"/>
                <w:u w:val="none"/>
                <w:lang w:val="en-US" w:eastAsia="zh-CN" w:bidi="ar"/>
              </w:rPr>
              <w:t>病原学阳性肺结核患者密切接触者检查率</w:t>
            </w:r>
          </w:p>
        </w:tc>
        <w:tc>
          <w:tcPr>
            <w:tcW w:w="10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sz w:val="20"/>
                <w:szCs w:val="20"/>
                <w:lang w:eastAsia="zh-Hans" w:bidi="ar"/>
              </w:rPr>
            </w:pPr>
            <w:r>
              <w:rPr>
                <w:rFonts w:hint="eastAsia" w:ascii="宋体" w:hAnsi="宋体" w:eastAsia="宋体" w:cs="宋体"/>
                <w:i w:val="0"/>
                <w:iCs w:val="0"/>
                <w:snapToGrid w:val="0"/>
                <w:color w:val="000000"/>
                <w:kern w:val="0"/>
                <w:sz w:val="20"/>
                <w:szCs w:val="20"/>
                <w:u w:val="none"/>
                <w:lang w:val="en-US" w:eastAsia="zh-CN" w:bidi="ar"/>
              </w:rPr>
              <w:t>≥60%</w:t>
            </w:r>
          </w:p>
        </w:tc>
        <w:tc>
          <w:tcPr>
            <w:tcW w:w="11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sz w:val="20"/>
                <w:szCs w:val="20"/>
                <w:lang w:eastAsia="zh-Hans" w:bidi="ar"/>
              </w:rPr>
            </w:pPr>
            <w:r>
              <w:rPr>
                <w:rFonts w:hint="eastAsia" w:ascii="宋体" w:hAnsi="宋体" w:eastAsia="宋体" w:cs="宋体"/>
                <w:i w:val="0"/>
                <w:iCs w:val="0"/>
                <w:snapToGrid w:val="0"/>
                <w:color w:val="000000"/>
                <w:kern w:val="0"/>
                <w:sz w:val="20"/>
                <w:szCs w:val="20"/>
                <w:u w:val="none"/>
                <w:lang w:val="en-US" w:eastAsia="zh-CN" w:bidi="ar"/>
              </w:rPr>
              <w:t>97%</w:t>
            </w:r>
          </w:p>
        </w:tc>
      </w:tr>
      <w:tr>
        <w:tblPrEx>
          <w:tblCellMar>
            <w:top w:w="0" w:type="dxa"/>
            <w:left w:w="108" w:type="dxa"/>
            <w:bottom w:w="0" w:type="dxa"/>
            <w:right w:w="108" w:type="dxa"/>
          </w:tblCellMar>
        </w:tblPrEx>
        <w:trPr>
          <w:trHeight w:val="976"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tLeast"/>
              <w:jc w:val="center"/>
              <w:rPr>
                <w:rFonts w:ascii="宋体" w:hAnsi="宋体" w:eastAsia="宋体" w:cs="宋体"/>
                <w:sz w:val="20"/>
                <w:szCs w:val="20"/>
                <w:lang w:bidi="ar"/>
              </w:rPr>
            </w:pPr>
            <w:r>
              <w:rPr>
                <w:rFonts w:hint="eastAsia" w:ascii="宋体" w:hAnsi="宋体" w:eastAsia="宋体" w:cs="宋体"/>
                <w:sz w:val="20"/>
                <w:szCs w:val="20"/>
                <w:lang w:bidi="ar"/>
              </w:rPr>
              <w:t>10</w:t>
            </w:r>
          </w:p>
        </w:tc>
        <w:tc>
          <w:tcPr>
            <w:tcW w:w="762"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tLeast"/>
              <w:jc w:val="center"/>
              <w:rPr>
                <w:rFonts w:ascii="宋体" w:hAnsi="宋体" w:eastAsia="宋体" w:cs="宋体"/>
                <w:sz w:val="20"/>
                <w:szCs w:val="20"/>
                <w:lang w:eastAsia="zh-Hans" w:bidi="ar"/>
              </w:rPr>
            </w:pPr>
            <w:r>
              <w:rPr>
                <w:rFonts w:hint="eastAsia" w:ascii="宋体" w:hAnsi="宋体" w:eastAsia="宋体" w:cs="宋体"/>
                <w:sz w:val="20"/>
                <w:szCs w:val="20"/>
                <w:lang w:bidi="ar"/>
              </w:rPr>
              <w:t>质量指标</w:t>
            </w:r>
          </w:p>
        </w:tc>
        <w:tc>
          <w:tcPr>
            <w:tcW w:w="16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sz w:val="20"/>
                <w:szCs w:val="20"/>
                <w:lang w:eastAsia="zh-Hans" w:bidi="ar"/>
              </w:rPr>
            </w:pPr>
            <w:r>
              <w:rPr>
                <w:rFonts w:hint="eastAsia" w:ascii="宋体" w:hAnsi="宋体" w:eastAsia="宋体" w:cs="宋体"/>
                <w:i w:val="0"/>
                <w:iCs w:val="0"/>
                <w:snapToGrid w:val="0"/>
                <w:color w:val="000000"/>
                <w:kern w:val="0"/>
                <w:sz w:val="20"/>
                <w:szCs w:val="20"/>
                <w:u w:val="none"/>
                <w:lang w:val="en-US" w:eastAsia="zh-CN" w:bidi="ar"/>
              </w:rPr>
              <w:t>病原学阳性肺结核患者耐药筛查率</w:t>
            </w:r>
          </w:p>
        </w:tc>
        <w:tc>
          <w:tcPr>
            <w:tcW w:w="10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sz w:val="20"/>
                <w:szCs w:val="20"/>
                <w:lang w:eastAsia="zh-Hans" w:bidi="ar"/>
              </w:rPr>
            </w:pPr>
            <w:r>
              <w:rPr>
                <w:rFonts w:hint="eastAsia" w:ascii="宋体" w:hAnsi="宋体" w:eastAsia="宋体" w:cs="宋体"/>
                <w:i w:val="0"/>
                <w:iCs w:val="0"/>
                <w:snapToGrid w:val="0"/>
                <w:color w:val="000000"/>
                <w:kern w:val="0"/>
                <w:sz w:val="20"/>
                <w:szCs w:val="20"/>
                <w:u w:val="none"/>
                <w:lang w:val="en-US" w:eastAsia="zh-CN" w:bidi="ar"/>
              </w:rPr>
              <w:t>≥90%</w:t>
            </w:r>
          </w:p>
        </w:tc>
        <w:tc>
          <w:tcPr>
            <w:tcW w:w="11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sz w:val="20"/>
                <w:szCs w:val="20"/>
                <w:lang w:eastAsia="zh-Hans" w:bidi="ar"/>
              </w:rPr>
            </w:pPr>
            <w:r>
              <w:rPr>
                <w:rFonts w:hint="eastAsia" w:ascii="宋体" w:hAnsi="宋体" w:eastAsia="宋体" w:cs="宋体"/>
                <w:i w:val="0"/>
                <w:iCs w:val="0"/>
                <w:snapToGrid w:val="0"/>
                <w:color w:val="000000"/>
                <w:kern w:val="0"/>
                <w:sz w:val="20"/>
                <w:szCs w:val="20"/>
                <w:u w:val="none"/>
                <w:lang w:val="en-US" w:eastAsia="zh-CN" w:bidi="ar"/>
              </w:rPr>
              <w:t>96%</w:t>
            </w:r>
          </w:p>
        </w:tc>
      </w:tr>
      <w:tr>
        <w:tblPrEx>
          <w:tblCellMar>
            <w:top w:w="0" w:type="dxa"/>
            <w:left w:w="108" w:type="dxa"/>
            <w:bottom w:w="0" w:type="dxa"/>
            <w:right w:w="108" w:type="dxa"/>
          </w:tblCellMar>
        </w:tblPrEx>
        <w:trPr>
          <w:trHeight w:val="52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tLeast"/>
              <w:jc w:val="center"/>
              <w:rPr>
                <w:rFonts w:ascii="宋体" w:hAnsi="宋体" w:eastAsia="宋体" w:cs="宋体"/>
                <w:sz w:val="20"/>
                <w:szCs w:val="20"/>
                <w:lang w:bidi="ar"/>
              </w:rPr>
            </w:pPr>
            <w:r>
              <w:rPr>
                <w:rFonts w:hint="eastAsia" w:ascii="宋体" w:hAnsi="宋体" w:eastAsia="宋体" w:cs="宋体"/>
                <w:sz w:val="20"/>
                <w:szCs w:val="20"/>
                <w:lang w:bidi="ar"/>
              </w:rPr>
              <w:t>11</w:t>
            </w:r>
          </w:p>
        </w:tc>
        <w:tc>
          <w:tcPr>
            <w:tcW w:w="762"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tLeast"/>
              <w:jc w:val="center"/>
              <w:rPr>
                <w:rFonts w:ascii="宋体" w:hAnsi="宋体" w:eastAsia="宋体" w:cs="宋体"/>
                <w:sz w:val="20"/>
                <w:szCs w:val="20"/>
                <w:lang w:eastAsia="zh-Hans" w:bidi="ar"/>
              </w:rPr>
            </w:pPr>
            <w:r>
              <w:rPr>
                <w:rFonts w:hint="eastAsia" w:ascii="宋体" w:hAnsi="宋体" w:eastAsia="宋体" w:cs="宋体"/>
                <w:sz w:val="20"/>
                <w:szCs w:val="20"/>
                <w:lang w:bidi="ar"/>
              </w:rPr>
              <w:t>质量指标</w:t>
            </w:r>
          </w:p>
        </w:tc>
        <w:tc>
          <w:tcPr>
            <w:tcW w:w="16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sz w:val="20"/>
                <w:szCs w:val="20"/>
                <w:lang w:eastAsia="zh-Hans" w:bidi="ar"/>
              </w:rPr>
            </w:pPr>
            <w:r>
              <w:rPr>
                <w:rFonts w:hint="eastAsia" w:ascii="宋体" w:hAnsi="宋体" w:eastAsia="宋体" w:cs="宋体"/>
                <w:i w:val="0"/>
                <w:iCs w:val="0"/>
                <w:snapToGrid w:val="0"/>
                <w:color w:val="000000"/>
                <w:kern w:val="0"/>
                <w:sz w:val="20"/>
                <w:szCs w:val="20"/>
                <w:u w:val="none"/>
                <w:lang w:val="en-US" w:eastAsia="zh-CN" w:bidi="ar"/>
              </w:rPr>
              <w:t>死因监测规范报告率</w:t>
            </w:r>
          </w:p>
        </w:tc>
        <w:tc>
          <w:tcPr>
            <w:tcW w:w="10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sz w:val="20"/>
                <w:szCs w:val="20"/>
                <w:lang w:eastAsia="zh-Hans" w:bidi="ar"/>
              </w:rPr>
            </w:pPr>
            <w:r>
              <w:rPr>
                <w:rFonts w:hint="eastAsia" w:ascii="宋体" w:hAnsi="宋体" w:eastAsia="宋体" w:cs="宋体"/>
                <w:i w:val="0"/>
                <w:iCs w:val="0"/>
                <w:snapToGrid w:val="0"/>
                <w:color w:val="000000"/>
                <w:kern w:val="0"/>
                <w:sz w:val="20"/>
                <w:szCs w:val="20"/>
                <w:u w:val="none"/>
                <w:lang w:val="en-US" w:eastAsia="zh-CN" w:bidi="ar"/>
              </w:rPr>
              <w:t>＞80%</w:t>
            </w:r>
          </w:p>
        </w:tc>
        <w:tc>
          <w:tcPr>
            <w:tcW w:w="11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sz w:val="20"/>
                <w:szCs w:val="20"/>
                <w:lang w:eastAsia="zh-Hans" w:bidi="ar"/>
              </w:rPr>
            </w:pPr>
            <w:r>
              <w:rPr>
                <w:rFonts w:hint="eastAsia" w:ascii="宋体" w:hAnsi="宋体" w:eastAsia="宋体" w:cs="宋体"/>
                <w:i w:val="0"/>
                <w:iCs w:val="0"/>
                <w:snapToGrid w:val="0"/>
                <w:color w:val="000000"/>
                <w:kern w:val="0"/>
                <w:sz w:val="20"/>
                <w:szCs w:val="20"/>
                <w:u w:val="none"/>
                <w:lang w:val="en-US" w:eastAsia="zh-CN" w:bidi="ar"/>
              </w:rPr>
              <w:t>94%</w:t>
            </w:r>
          </w:p>
        </w:tc>
      </w:tr>
      <w:tr>
        <w:tblPrEx>
          <w:tblCellMar>
            <w:top w:w="0" w:type="dxa"/>
            <w:left w:w="108" w:type="dxa"/>
            <w:bottom w:w="0" w:type="dxa"/>
            <w:right w:w="108" w:type="dxa"/>
          </w:tblCellMar>
        </w:tblPrEx>
        <w:trPr>
          <w:trHeight w:val="78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tLeast"/>
              <w:jc w:val="center"/>
              <w:rPr>
                <w:rFonts w:ascii="宋体" w:hAnsi="宋体" w:eastAsia="宋体" w:cs="宋体"/>
                <w:sz w:val="20"/>
                <w:szCs w:val="20"/>
                <w:lang w:bidi="ar"/>
              </w:rPr>
            </w:pPr>
            <w:r>
              <w:rPr>
                <w:rFonts w:hint="eastAsia" w:ascii="宋体" w:hAnsi="宋体" w:eastAsia="宋体" w:cs="宋体"/>
                <w:sz w:val="20"/>
                <w:szCs w:val="20"/>
                <w:lang w:bidi="ar"/>
              </w:rPr>
              <w:t>12</w:t>
            </w:r>
          </w:p>
        </w:tc>
        <w:tc>
          <w:tcPr>
            <w:tcW w:w="762"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tLeast"/>
              <w:jc w:val="center"/>
              <w:rPr>
                <w:rFonts w:ascii="宋体" w:hAnsi="宋体" w:eastAsia="宋体" w:cs="宋体"/>
                <w:sz w:val="20"/>
                <w:szCs w:val="20"/>
                <w:lang w:eastAsia="zh-Hans" w:bidi="ar"/>
              </w:rPr>
            </w:pPr>
            <w:r>
              <w:rPr>
                <w:rFonts w:hint="eastAsia" w:ascii="宋体" w:hAnsi="宋体" w:eastAsia="宋体" w:cs="宋体"/>
                <w:sz w:val="20"/>
                <w:szCs w:val="20"/>
                <w:lang w:bidi="ar"/>
              </w:rPr>
              <w:t>质量指标</w:t>
            </w:r>
          </w:p>
        </w:tc>
        <w:tc>
          <w:tcPr>
            <w:tcW w:w="16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sz w:val="20"/>
                <w:szCs w:val="20"/>
                <w:lang w:eastAsia="zh-Hans" w:bidi="ar"/>
              </w:rPr>
            </w:pPr>
            <w:r>
              <w:rPr>
                <w:rFonts w:hint="eastAsia" w:ascii="宋体" w:hAnsi="宋体" w:eastAsia="宋体" w:cs="宋体"/>
                <w:i w:val="0"/>
                <w:iCs w:val="0"/>
                <w:snapToGrid w:val="0"/>
                <w:color w:val="000000"/>
                <w:kern w:val="0"/>
                <w:sz w:val="20"/>
                <w:szCs w:val="20"/>
                <w:u w:val="none"/>
                <w:lang w:val="en-US" w:eastAsia="zh-CN" w:bidi="ar"/>
              </w:rPr>
              <w:t>脑卒中高危人群筛查干预任务完成率</w:t>
            </w:r>
          </w:p>
        </w:tc>
        <w:tc>
          <w:tcPr>
            <w:tcW w:w="10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sz w:val="20"/>
                <w:szCs w:val="20"/>
                <w:lang w:eastAsia="zh-Hans" w:bidi="ar"/>
              </w:rPr>
            </w:pPr>
            <w:r>
              <w:rPr>
                <w:rFonts w:hint="eastAsia" w:ascii="宋体" w:hAnsi="宋体" w:eastAsia="宋体" w:cs="宋体"/>
                <w:i w:val="0"/>
                <w:iCs w:val="0"/>
                <w:snapToGrid w:val="0"/>
                <w:color w:val="000000"/>
                <w:kern w:val="0"/>
                <w:sz w:val="20"/>
                <w:szCs w:val="20"/>
                <w:u w:val="none"/>
                <w:lang w:val="en-US" w:eastAsia="zh-CN" w:bidi="ar"/>
              </w:rPr>
              <w:t>100%</w:t>
            </w:r>
          </w:p>
        </w:tc>
        <w:tc>
          <w:tcPr>
            <w:tcW w:w="11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sz w:val="20"/>
                <w:szCs w:val="20"/>
                <w:lang w:eastAsia="zh-Hans" w:bidi="ar"/>
              </w:rPr>
            </w:pPr>
            <w:r>
              <w:rPr>
                <w:rFonts w:hint="eastAsia" w:ascii="宋体" w:hAnsi="宋体" w:eastAsia="宋体" w:cs="宋体"/>
                <w:i w:val="0"/>
                <w:iCs w:val="0"/>
                <w:snapToGrid w:val="0"/>
                <w:color w:val="000000"/>
                <w:kern w:val="0"/>
                <w:sz w:val="20"/>
                <w:szCs w:val="20"/>
                <w:u w:val="none"/>
                <w:lang w:val="en-US" w:eastAsia="zh-CN" w:bidi="ar"/>
              </w:rPr>
              <w:t>91%</w:t>
            </w:r>
          </w:p>
        </w:tc>
      </w:tr>
      <w:tr>
        <w:tblPrEx>
          <w:tblCellMar>
            <w:top w:w="0" w:type="dxa"/>
            <w:left w:w="108" w:type="dxa"/>
            <w:bottom w:w="0" w:type="dxa"/>
            <w:right w:w="108" w:type="dxa"/>
          </w:tblCellMar>
        </w:tblPrEx>
        <w:trPr>
          <w:trHeight w:val="78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tLeast"/>
              <w:jc w:val="center"/>
              <w:rPr>
                <w:rFonts w:ascii="宋体" w:hAnsi="宋体" w:eastAsia="宋体" w:cs="宋体"/>
                <w:sz w:val="20"/>
                <w:szCs w:val="20"/>
                <w:lang w:bidi="ar"/>
              </w:rPr>
            </w:pPr>
            <w:r>
              <w:rPr>
                <w:rFonts w:hint="eastAsia" w:ascii="宋体" w:hAnsi="宋体" w:eastAsia="宋体" w:cs="宋体"/>
                <w:sz w:val="20"/>
                <w:szCs w:val="20"/>
                <w:lang w:bidi="ar"/>
              </w:rPr>
              <w:t>13</w:t>
            </w:r>
          </w:p>
        </w:tc>
        <w:tc>
          <w:tcPr>
            <w:tcW w:w="762"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tLeast"/>
              <w:jc w:val="center"/>
              <w:rPr>
                <w:rFonts w:ascii="宋体" w:hAnsi="宋体" w:eastAsia="宋体" w:cs="宋体"/>
                <w:sz w:val="20"/>
                <w:szCs w:val="20"/>
                <w:lang w:eastAsia="zh-Hans" w:bidi="ar"/>
              </w:rPr>
            </w:pPr>
            <w:r>
              <w:rPr>
                <w:rFonts w:hint="eastAsia" w:ascii="宋体" w:hAnsi="宋体" w:eastAsia="宋体" w:cs="宋体"/>
                <w:sz w:val="20"/>
                <w:szCs w:val="20"/>
                <w:lang w:bidi="ar"/>
              </w:rPr>
              <w:t>质量指标</w:t>
            </w:r>
          </w:p>
        </w:tc>
        <w:tc>
          <w:tcPr>
            <w:tcW w:w="16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sz w:val="20"/>
                <w:szCs w:val="20"/>
                <w:lang w:eastAsia="zh-Hans" w:bidi="ar"/>
              </w:rPr>
            </w:pPr>
            <w:r>
              <w:rPr>
                <w:rFonts w:hint="eastAsia" w:ascii="宋体" w:hAnsi="宋体" w:eastAsia="宋体" w:cs="宋体"/>
                <w:i w:val="0"/>
                <w:iCs w:val="0"/>
                <w:snapToGrid w:val="0"/>
                <w:color w:val="000000"/>
                <w:kern w:val="0"/>
                <w:sz w:val="20"/>
                <w:szCs w:val="20"/>
                <w:u w:val="none"/>
                <w:lang w:val="en-US" w:eastAsia="zh-CN" w:bidi="ar"/>
              </w:rPr>
              <w:t>严重精神障碍患者筛查任务完成率</w:t>
            </w:r>
          </w:p>
        </w:tc>
        <w:tc>
          <w:tcPr>
            <w:tcW w:w="10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sz w:val="20"/>
                <w:szCs w:val="20"/>
                <w:lang w:eastAsia="zh-Hans" w:bidi="ar"/>
              </w:rPr>
            </w:pPr>
            <w:r>
              <w:rPr>
                <w:rFonts w:hint="eastAsia" w:ascii="宋体" w:hAnsi="宋体" w:eastAsia="宋体" w:cs="宋体"/>
                <w:i w:val="0"/>
                <w:iCs w:val="0"/>
                <w:snapToGrid w:val="0"/>
                <w:color w:val="000000"/>
                <w:kern w:val="0"/>
                <w:sz w:val="20"/>
                <w:szCs w:val="20"/>
                <w:u w:val="none"/>
                <w:lang w:val="en-US" w:eastAsia="zh-CN" w:bidi="ar"/>
              </w:rPr>
              <w:t>100%</w:t>
            </w:r>
          </w:p>
        </w:tc>
        <w:tc>
          <w:tcPr>
            <w:tcW w:w="11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sz w:val="20"/>
                <w:szCs w:val="20"/>
                <w:lang w:eastAsia="zh-Hans" w:bidi="ar"/>
              </w:rPr>
            </w:pPr>
            <w:r>
              <w:rPr>
                <w:rFonts w:hint="eastAsia" w:ascii="宋体" w:hAnsi="宋体" w:eastAsia="宋体" w:cs="宋体"/>
                <w:i w:val="0"/>
                <w:iCs w:val="0"/>
                <w:snapToGrid w:val="0"/>
                <w:color w:val="000000"/>
                <w:kern w:val="0"/>
                <w:sz w:val="20"/>
                <w:szCs w:val="20"/>
                <w:u w:val="none"/>
                <w:lang w:val="en-US" w:eastAsia="zh-CN" w:bidi="ar"/>
              </w:rPr>
              <w:t>100%</w:t>
            </w:r>
          </w:p>
        </w:tc>
      </w:tr>
      <w:tr>
        <w:tblPrEx>
          <w:tblCellMar>
            <w:top w:w="0" w:type="dxa"/>
            <w:left w:w="108" w:type="dxa"/>
            <w:bottom w:w="0" w:type="dxa"/>
            <w:right w:w="108" w:type="dxa"/>
          </w:tblCellMar>
        </w:tblPrEx>
        <w:trPr>
          <w:trHeight w:val="78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tLeast"/>
              <w:jc w:val="center"/>
              <w:rPr>
                <w:rFonts w:ascii="宋体" w:hAnsi="宋体" w:eastAsia="宋体" w:cs="宋体"/>
                <w:sz w:val="20"/>
                <w:szCs w:val="20"/>
                <w:lang w:bidi="ar"/>
              </w:rPr>
            </w:pPr>
            <w:r>
              <w:rPr>
                <w:rFonts w:hint="eastAsia" w:ascii="宋体" w:hAnsi="宋体" w:eastAsia="宋体" w:cs="宋体"/>
                <w:sz w:val="20"/>
                <w:szCs w:val="20"/>
                <w:lang w:bidi="ar"/>
              </w:rPr>
              <w:t>14</w:t>
            </w:r>
          </w:p>
        </w:tc>
        <w:tc>
          <w:tcPr>
            <w:tcW w:w="762"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tLeast"/>
              <w:jc w:val="center"/>
              <w:rPr>
                <w:rFonts w:ascii="宋体" w:hAnsi="宋体" w:eastAsia="宋体" w:cs="宋体"/>
                <w:sz w:val="20"/>
                <w:szCs w:val="20"/>
                <w:lang w:eastAsia="zh-Hans" w:bidi="ar"/>
              </w:rPr>
            </w:pPr>
            <w:r>
              <w:rPr>
                <w:rFonts w:hint="eastAsia" w:ascii="宋体" w:hAnsi="宋体" w:eastAsia="宋体" w:cs="宋体"/>
                <w:sz w:val="20"/>
                <w:szCs w:val="20"/>
                <w:lang w:bidi="ar"/>
              </w:rPr>
              <w:t>质量指标</w:t>
            </w:r>
          </w:p>
        </w:tc>
        <w:tc>
          <w:tcPr>
            <w:tcW w:w="16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sz w:val="20"/>
                <w:szCs w:val="20"/>
                <w:lang w:eastAsia="zh-Hans" w:bidi="ar"/>
              </w:rPr>
            </w:pPr>
            <w:r>
              <w:rPr>
                <w:rFonts w:hint="eastAsia" w:ascii="宋体" w:hAnsi="宋体" w:eastAsia="宋体" w:cs="宋体"/>
                <w:i w:val="0"/>
                <w:iCs w:val="0"/>
                <w:snapToGrid w:val="0"/>
                <w:color w:val="000000"/>
                <w:kern w:val="0"/>
                <w:sz w:val="20"/>
                <w:szCs w:val="20"/>
                <w:u w:val="none"/>
                <w:lang w:val="en-US" w:eastAsia="zh-CN" w:bidi="ar"/>
              </w:rPr>
              <w:t>农村地区生活困难癫痫患者筛查任务完成率</w:t>
            </w:r>
          </w:p>
        </w:tc>
        <w:tc>
          <w:tcPr>
            <w:tcW w:w="10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sz w:val="20"/>
                <w:szCs w:val="20"/>
                <w:lang w:eastAsia="zh-Hans" w:bidi="ar"/>
              </w:rPr>
            </w:pPr>
            <w:r>
              <w:rPr>
                <w:rFonts w:hint="eastAsia" w:ascii="宋体" w:hAnsi="宋体" w:eastAsia="宋体" w:cs="宋体"/>
                <w:i w:val="0"/>
                <w:iCs w:val="0"/>
                <w:snapToGrid w:val="0"/>
                <w:color w:val="000000"/>
                <w:kern w:val="0"/>
                <w:sz w:val="20"/>
                <w:szCs w:val="20"/>
                <w:u w:val="none"/>
                <w:lang w:val="en-US" w:eastAsia="zh-CN" w:bidi="ar"/>
              </w:rPr>
              <w:t>100%</w:t>
            </w:r>
          </w:p>
        </w:tc>
        <w:tc>
          <w:tcPr>
            <w:tcW w:w="11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sz w:val="20"/>
                <w:szCs w:val="20"/>
                <w:lang w:eastAsia="zh-Hans" w:bidi="ar"/>
              </w:rPr>
            </w:pPr>
            <w:r>
              <w:rPr>
                <w:rFonts w:hint="eastAsia" w:ascii="宋体" w:hAnsi="宋体" w:eastAsia="宋体" w:cs="宋体"/>
                <w:i w:val="0"/>
                <w:iCs w:val="0"/>
                <w:snapToGrid w:val="0"/>
                <w:color w:val="000000"/>
                <w:kern w:val="0"/>
                <w:sz w:val="20"/>
                <w:szCs w:val="20"/>
                <w:u w:val="none"/>
                <w:lang w:val="en-US" w:eastAsia="zh-CN" w:bidi="ar"/>
              </w:rPr>
              <w:t>44%</w:t>
            </w:r>
          </w:p>
        </w:tc>
      </w:tr>
      <w:tr>
        <w:tblPrEx>
          <w:tblCellMar>
            <w:top w:w="0" w:type="dxa"/>
            <w:left w:w="108" w:type="dxa"/>
            <w:bottom w:w="0" w:type="dxa"/>
            <w:right w:w="108" w:type="dxa"/>
          </w:tblCellMar>
        </w:tblPrEx>
        <w:trPr>
          <w:trHeight w:val="702"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tLeast"/>
              <w:jc w:val="center"/>
              <w:rPr>
                <w:rFonts w:ascii="宋体" w:hAnsi="宋体" w:eastAsia="宋体" w:cs="宋体"/>
                <w:sz w:val="20"/>
                <w:szCs w:val="20"/>
                <w:lang w:bidi="ar"/>
              </w:rPr>
            </w:pPr>
            <w:r>
              <w:rPr>
                <w:rFonts w:hint="eastAsia" w:ascii="宋体" w:hAnsi="宋体" w:eastAsia="宋体" w:cs="宋体"/>
                <w:sz w:val="20"/>
                <w:szCs w:val="20"/>
                <w:lang w:bidi="ar"/>
              </w:rPr>
              <w:t>15</w:t>
            </w:r>
          </w:p>
        </w:tc>
        <w:tc>
          <w:tcPr>
            <w:tcW w:w="762"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tLeast"/>
              <w:jc w:val="center"/>
              <w:rPr>
                <w:rFonts w:ascii="宋体" w:hAnsi="宋体" w:eastAsia="宋体" w:cs="宋体"/>
                <w:sz w:val="20"/>
                <w:szCs w:val="20"/>
                <w:lang w:eastAsia="zh-Hans" w:bidi="ar"/>
              </w:rPr>
            </w:pPr>
            <w:r>
              <w:rPr>
                <w:rFonts w:hint="eastAsia" w:ascii="宋体" w:hAnsi="宋体" w:eastAsia="宋体" w:cs="宋体"/>
                <w:sz w:val="20"/>
                <w:szCs w:val="20"/>
                <w:lang w:bidi="ar"/>
              </w:rPr>
              <w:t>质量指标</w:t>
            </w:r>
          </w:p>
        </w:tc>
        <w:tc>
          <w:tcPr>
            <w:tcW w:w="16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sz w:val="20"/>
                <w:szCs w:val="20"/>
                <w:lang w:eastAsia="zh-Hans" w:bidi="ar"/>
              </w:rPr>
            </w:pPr>
            <w:r>
              <w:rPr>
                <w:rFonts w:hint="eastAsia" w:ascii="宋体" w:hAnsi="宋体" w:eastAsia="宋体" w:cs="宋体"/>
                <w:i w:val="0"/>
                <w:iCs w:val="0"/>
                <w:snapToGrid w:val="0"/>
                <w:color w:val="000000"/>
                <w:kern w:val="0"/>
                <w:sz w:val="20"/>
                <w:szCs w:val="20"/>
                <w:u w:val="none"/>
                <w:lang w:val="en-US" w:eastAsia="zh-CN" w:bidi="ar"/>
              </w:rPr>
              <w:t>在册严重精神障碍患者治疗率</w:t>
            </w:r>
          </w:p>
        </w:tc>
        <w:tc>
          <w:tcPr>
            <w:tcW w:w="10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sz w:val="20"/>
                <w:szCs w:val="20"/>
                <w:lang w:eastAsia="zh-Hans" w:bidi="ar"/>
              </w:rPr>
            </w:pPr>
            <w:r>
              <w:rPr>
                <w:rFonts w:hint="eastAsia" w:ascii="宋体" w:hAnsi="宋体" w:eastAsia="宋体" w:cs="宋体"/>
                <w:i w:val="0"/>
                <w:iCs w:val="0"/>
                <w:snapToGrid w:val="0"/>
                <w:color w:val="000000"/>
                <w:kern w:val="0"/>
                <w:sz w:val="20"/>
                <w:szCs w:val="20"/>
                <w:u w:val="none"/>
                <w:lang w:val="en-US" w:eastAsia="zh-CN" w:bidi="ar"/>
              </w:rPr>
              <w:t>≥70%</w:t>
            </w:r>
          </w:p>
        </w:tc>
        <w:tc>
          <w:tcPr>
            <w:tcW w:w="11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sz w:val="20"/>
                <w:szCs w:val="20"/>
                <w:lang w:eastAsia="zh-Hans" w:bidi="ar"/>
              </w:rPr>
            </w:pPr>
            <w:r>
              <w:rPr>
                <w:rFonts w:hint="eastAsia" w:ascii="宋体" w:hAnsi="宋体" w:eastAsia="宋体" w:cs="宋体"/>
                <w:i w:val="0"/>
                <w:iCs w:val="0"/>
                <w:snapToGrid w:val="0"/>
                <w:color w:val="000000"/>
                <w:kern w:val="0"/>
                <w:sz w:val="20"/>
                <w:szCs w:val="20"/>
                <w:u w:val="none"/>
                <w:lang w:val="en-US" w:eastAsia="zh-CN" w:bidi="ar"/>
              </w:rPr>
              <w:t>88%</w:t>
            </w:r>
          </w:p>
        </w:tc>
      </w:tr>
      <w:tr>
        <w:tblPrEx>
          <w:tblCellMar>
            <w:top w:w="0" w:type="dxa"/>
            <w:left w:w="108" w:type="dxa"/>
            <w:bottom w:w="0" w:type="dxa"/>
            <w:right w:w="108" w:type="dxa"/>
          </w:tblCellMar>
        </w:tblPrEx>
        <w:trPr>
          <w:trHeight w:val="78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tLeast"/>
              <w:jc w:val="center"/>
              <w:rPr>
                <w:rFonts w:ascii="宋体" w:hAnsi="宋体" w:eastAsia="宋体" w:cs="宋体"/>
                <w:sz w:val="20"/>
                <w:szCs w:val="20"/>
                <w:lang w:bidi="ar"/>
              </w:rPr>
            </w:pPr>
            <w:r>
              <w:rPr>
                <w:rFonts w:hint="eastAsia" w:ascii="宋体" w:hAnsi="宋体" w:eastAsia="宋体" w:cs="宋体"/>
                <w:sz w:val="20"/>
                <w:szCs w:val="20"/>
                <w:lang w:bidi="ar"/>
              </w:rPr>
              <w:t>16</w:t>
            </w:r>
          </w:p>
        </w:tc>
        <w:tc>
          <w:tcPr>
            <w:tcW w:w="762"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tLeast"/>
              <w:jc w:val="center"/>
              <w:rPr>
                <w:rFonts w:ascii="宋体" w:hAnsi="宋体" w:eastAsia="宋体" w:cs="宋体"/>
                <w:sz w:val="20"/>
                <w:szCs w:val="20"/>
                <w:lang w:eastAsia="zh-Hans" w:bidi="ar"/>
              </w:rPr>
            </w:pPr>
            <w:r>
              <w:rPr>
                <w:rFonts w:hint="eastAsia" w:ascii="宋体" w:hAnsi="宋体" w:eastAsia="宋体" w:cs="宋体"/>
                <w:sz w:val="20"/>
                <w:szCs w:val="20"/>
                <w:lang w:bidi="ar"/>
              </w:rPr>
              <w:t>质量指标</w:t>
            </w:r>
          </w:p>
        </w:tc>
        <w:tc>
          <w:tcPr>
            <w:tcW w:w="16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sz w:val="20"/>
                <w:szCs w:val="20"/>
                <w:lang w:eastAsia="zh-Hans" w:bidi="ar"/>
              </w:rPr>
            </w:pPr>
            <w:r>
              <w:rPr>
                <w:rFonts w:hint="eastAsia" w:ascii="宋体" w:hAnsi="宋体" w:eastAsia="宋体" w:cs="宋体"/>
                <w:i w:val="0"/>
                <w:iCs w:val="0"/>
                <w:snapToGrid w:val="0"/>
                <w:color w:val="000000"/>
                <w:kern w:val="0"/>
                <w:sz w:val="20"/>
                <w:szCs w:val="20"/>
                <w:u w:val="none"/>
                <w:lang w:val="en-US" w:eastAsia="zh-CN" w:bidi="ar"/>
              </w:rPr>
              <w:t>细菌性传染病网络实验室考核合格率</w:t>
            </w:r>
          </w:p>
        </w:tc>
        <w:tc>
          <w:tcPr>
            <w:tcW w:w="10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sz w:val="20"/>
                <w:szCs w:val="20"/>
                <w:lang w:eastAsia="zh-Hans" w:bidi="ar"/>
              </w:rPr>
            </w:pPr>
            <w:r>
              <w:rPr>
                <w:rFonts w:hint="eastAsia" w:ascii="宋体" w:hAnsi="宋体" w:eastAsia="宋体" w:cs="宋体"/>
                <w:i w:val="0"/>
                <w:iCs w:val="0"/>
                <w:snapToGrid w:val="0"/>
                <w:color w:val="000000"/>
                <w:kern w:val="0"/>
                <w:sz w:val="20"/>
                <w:szCs w:val="20"/>
                <w:u w:val="none"/>
                <w:lang w:val="en-US" w:eastAsia="zh-CN" w:bidi="ar"/>
              </w:rPr>
              <w:t>≥80%</w:t>
            </w:r>
          </w:p>
        </w:tc>
        <w:tc>
          <w:tcPr>
            <w:tcW w:w="11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sz w:val="20"/>
                <w:szCs w:val="20"/>
                <w:lang w:eastAsia="zh-Hans" w:bidi="ar"/>
              </w:rPr>
            </w:pPr>
            <w:r>
              <w:rPr>
                <w:rFonts w:hint="eastAsia" w:ascii="宋体" w:hAnsi="宋体" w:eastAsia="宋体" w:cs="宋体"/>
                <w:i w:val="0"/>
                <w:iCs w:val="0"/>
                <w:snapToGrid w:val="0"/>
                <w:color w:val="000000"/>
                <w:kern w:val="0"/>
                <w:sz w:val="20"/>
                <w:szCs w:val="20"/>
                <w:u w:val="none"/>
                <w:lang w:val="en-US" w:eastAsia="zh-CN" w:bidi="ar"/>
              </w:rPr>
              <w:t>100%</w:t>
            </w:r>
          </w:p>
        </w:tc>
      </w:tr>
      <w:tr>
        <w:tblPrEx>
          <w:tblCellMar>
            <w:top w:w="0" w:type="dxa"/>
            <w:left w:w="108" w:type="dxa"/>
            <w:bottom w:w="0" w:type="dxa"/>
            <w:right w:w="108" w:type="dxa"/>
          </w:tblCellMar>
        </w:tblPrEx>
        <w:trPr>
          <w:trHeight w:val="1147"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tLeast"/>
              <w:jc w:val="center"/>
              <w:rPr>
                <w:rFonts w:ascii="宋体" w:hAnsi="宋体" w:eastAsia="宋体" w:cs="宋体"/>
                <w:sz w:val="20"/>
                <w:szCs w:val="20"/>
                <w:lang w:bidi="ar"/>
              </w:rPr>
            </w:pPr>
            <w:r>
              <w:rPr>
                <w:rFonts w:hint="eastAsia" w:ascii="宋体" w:hAnsi="宋体" w:eastAsia="宋体" w:cs="宋体"/>
                <w:sz w:val="20"/>
                <w:szCs w:val="20"/>
                <w:lang w:bidi="ar"/>
              </w:rPr>
              <w:t>17</w:t>
            </w:r>
          </w:p>
        </w:tc>
        <w:tc>
          <w:tcPr>
            <w:tcW w:w="762"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tLeast"/>
              <w:jc w:val="center"/>
              <w:rPr>
                <w:rFonts w:ascii="宋体" w:hAnsi="宋体" w:eastAsia="宋体" w:cs="宋体"/>
                <w:sz w:val="20"/>
                <w:szCs w:val="20"/>
                <w:lang w:eastAsia="zh-Hans" w:bidi="ar"/>
              </w:rPr>
            </w:pPr>
            <w:r>
              <w:rPr>
                <w:rFonts w:hint="eastAsia" w:ascii="宋体" w:hAnsi="宋体" w:eastAsia="宋体" w:cs="宋体"/>
                <w:sz w:val="20"/>
                <w:szCs w:val="20"/>
                <w:lang w:bidi="ar"/>
              </w:rPr>
              <w:t>质量指标</w:t>
            </w:r>
          </w:p>
        </w:tc>
        <w:tc>
          <w:tcPr>
            <w:tcW w:w="16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sz w:val="20"/>
                <w:szCs w:val="20"/>
                <w:lang w:eastAsia="zh-Hans" w:bidi="ar"/>
              </w:rPr>
            </w:pPr>
            <w:r>
              <w:rPr>
                <w:rFonts w:hint="eastAsia" w:ascii="宋体" w:hAnsi="宋体" w:eastAsia="宋体" w:cs="宋体"/>
                <w:i w:val="0"/>
                <w:iCs w:val="0"/>
                <w:snapToGrid w:val="0"/>
                <w:color w:val="000000"/>
                <w:kern w:val="0"/>
                <w:sz w:val="20"/>
                <w:szCs w:val="20"/>
                <w:u w:val="none"/>
                <w:lang w:val="en-US" w:eastAsia="zh-CN" w:bidi="ar"/>
              </w:rPr>
              <w:t>艾滋病感染孕产妇所生儿童抗病毒用药比例</w:t>
            </w:r>
          </w:p>
        </w:tc>
        <w:tc>
          <w:tcPr>
            <w:tcW w:w="10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sz w:val="20"/>
                <w:szCs w:val="20"/>
                <w:lang w:eastAsia="zh-Hans" w:bidi="ar"/>
              </w:rPr>
            </w:pPr>
            <w:r>
              <w:rPr>
                <w:rFonts w:hint="eastAsia" w:ascii="宋体" w:hAnsi="宋体" w:eastAsia="宋体" w:cs="宋体"/>
                <w:i w:val="0"/>
                <w:iCs w:val="0"/>
                <w:snapToGrid w:val="0"/>
                <w:color w:val="000000"/>
                <w:kern w:val="0"/>
                <w:sz w:val="20"/>
                <w:szCs w:val="20"/>
                <w:u w:val="none"/>
                <w:lang w:val="en-US" w:eastAsia="zh-CN" w:bidi="ar"/>
              </w:rPr>
              <w:t>≥95%</w:t>
            </w:r>
          </w:p>
        </w:tc>
        <w:tc>
          <w:tcPr>
            <w:tcW w:w="11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sz w:val="20"/>
                <w:szCs w:val="20"/>
                <w:lang w:eastAsia="zh-Hans" w:bidi="ar"/>
              </w:rPr>
            </w:pPr>
            <w:r>
              <w:rPr>
                <w:rFonts w:hint="eastAsia" w:ascii="宋体" w:hAnsi="宋体" w:eastAsia="宋体" w:cs="宋体"/>
                <w:i w:val="0"/>
                <w:iCs w:val="0"/>
                <w:snapToGrid w:val="0"/>
                <w:color w:val="000000"/>
                <w:kern w:val="0"/>
                <w:sz w:val="20"/>
                <w:szCs w:val="20"/>
                <w:u w:val="none"/>
                <w:lang w:val="en-US" w:eastAsia="zh-CN" w:bidi="ar"/>
              </w:rPr>
              <w:t>100%</w:t>
            </w:r>
          </w:p>
        </w:tc>
      </w:tr>
      <w:tr>
        <w:tblPrEx>
          <w:tblCellMar>
            <w:top w:w="0" w:type="dxa"/>
            <w:left w:w="108" w:type="dxa"/>
            <w:bottom w:w="0" w:type="dxa"/>
            <w:right w:w="108" w:type="dxa"/>
          </w:tblCellMar>
        </w:tblPrEx>
        <w:trPr>
          <w:trHeight w:val="1386"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tLeast"/>
              <w:jc w:val="center"/>
              <w:rPr>
                <w:rFonts w:ascii="宋体" w:hAnsi="宋体" w:eastAsia="宋体" w:cs="宋体"/>
                <w:sz w:val="20"/>
                <w:szCs w:val="20"/>
                <w:lang w:bidi="ar"/>
              </w:rPr>
            </w:pPr>
            <w:r>
              <w:rPr>
                <w:rFonts w:hint="eastAsia" w:ascii="宋体" w:hAnsi="宋体" w:eastAsia="宋体" w:cs="宋体"/>
                <w:sz w:val="20"/>
                <w:szCs w:val="20"/>
                <w:lang w:bidi="ar"/>
              </w:rPr>
              <w:t>18</w:t>
            </w:r>
          </w:p>
        </w:tc>
        <w:tc>
          <w:tcPr>
            <w:tcW w:w="762"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tLeast"/>
              <w:jc w:val="center"/>
              <w:rPr>
                <w:rFonts w:ascii="宋体" w:hAnsi="宋体" w:eastAsia="宋体" w:cs="宋体"/>
                <w:sz w:val="20"/>
                <w:szCs w:val="20"/>
                <w:lang w:eastAsia="zh-Hans" w:bidi="ar"/>
              </w:rPr>
            </w:pPr>
            <w:r>
              <w:rPr>
                <w:rFonts w:hint="eastAsia" w:ascii="宋体" w:hAnsi="宋体" w:eastAsia="宋体" w:cs="宋体"/>
                <w:sz w:val="20"/>
                <w:szCs w:val="20"/>
                <w:lang w:bidi="ar"/>
              </w:rPr>
              <w:t>质量指标</w:t>
            </w:r>
          </w:p>
        </w:tc>
        <w:tc>
          <w:tcPr>
            <w:tcW w:w="16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sz w:val="20"/>
                <w:szCs w:val="20"/>
                <w:lang w:eastAsia="zh-Hans" w:bidi="ar"/>
              </w:rPr>
            </w:pPr>
            <w:r>
              <w:rPr>
                <w:rFonts w:hint="eastAsia" w:ascii="宋体" w:hAnsi="宋体" w:eastAsia="宋体" w:cs="宋体"/>
                <w:i w:val="0"/>
                <w:iCs w:val="0"/>
                <w:snapToGrid w:val="0"/>
                <w:color w:val="000000"/>
                <w:kern w:val="0"/>
                <w:sz w:val="20"/>
                <w:szCs w:val="20"/>
                <w:u w:val="none"/>
                <w:lang w:val="en-US" w:eastAsia="zh-CN" w:bidi="ar"/>
              </w:rPr>
              <w:t>病媒生物监测结果分析报告率</w:t>
            </w:r>
          </w:p>
        </w:tc>
        <w:tc>
          <w:tcPr>
            <w:tcW w:w="10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sz w:val="20"/>
                <w:szCs w:val="20"/>
                <w:lang w:eastAsia="zh-Hans" w:bidi="ar"/>
              </w:rPr>
            </w:pPr>
            <w:r>
              <w:rPr>
                <w:rFonts w:hint="eastAsia" w:ascii="宋体" w:hAnsi="宋体" w:eastAsia="宋体" w:cs="宋体"/>
                <w:i w:val="0"/>
                <w:iCs w:val="0"/>
                <w:snapToGrid w:val="0"/>
                <w:color w:val="000000"/>
                <w:kern w:val="0"/>
                <w:sz w:val="20"/>
                <w:szCs w:val="20"/>
                <w:u w:val="none"/>
                <w:lang w:val="en-US" w:eastAsia="zh-CN" w:bidi="ar"/>
              </w:rPr>
              <w:t>≥80%</w:t>
            </w:r>
          </w:p>
        </w:tc>
        <w:tc>
          <w:tcPr>
            <w:tcW w:w="11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sz w:val="20"/>
                <w:szCs w:val="20"/>
                <w:lang w:eastAsia="zh-Hans" w:bidi="ar"/>
              </w:rPr>
            </w:pPr>
            <w:r>
              <w:rPr>
                <w:rFonts w:hint="eastAsia" w:ascii="宋体" w:hAnsi="宋体" w:eastAsia="宋体" w:cs="宋体"/>
                <w:i w:val="0"/>
                <w:iCs w:val="0"/>
                <w:snapToGrid w:val="0"/>
                <w:color w:val="000000"/>
                <w:kern w:val="0"/>
                <w:sz w:val="20"/>
                <w:szCs w:val="20"/>
                <w:u w:val="none"/>
                <w:lang w:val="en-US" w:eastAsia="zh-CN" w:bidi="ar"/>
              </w:rPr>
              <w:t>97%</w:t>
            </w:r>
          </w:p>
        </w:tc>
      </w:tr>
    </w:tbl>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both"/>
        <w:textAlignment w:val="baseline"/>
        <w:rPr>
          <w:rFonts w:ascii="仿宋_GB2312" w:hAnsi="仿宋_GB2312" w:eastAsia="仿宋_GB2312" w:cs="仿宋_GB2312"/>
          <w:bCs/>
          <w:sz w:val="32"/>
          <w:szCs w:val="32"/>
          <w:lang w:eastAsia="zh-Hans"/>
        </w:rPr>
      </w:pPr>
      <w:r>
        <w:rPr>
          <w:rFonts w:hint="eastAsia" w:ascii="仿宋_GB2312" w:hAnsi="仿宋_GB2312" w:eastAsia="仿宋_GB2312" w:cs="仿宋_GB2312"/>
          <w:bCs/>
          <w:sz w:val="32"/>
          <w:szCs w:val="32"/>
          <w:lang w:eastAsia="zh-Hans"/>
        </w:rPr>
        <w:t>2.效益指标完成情况分析</w:t>
      </w:r>
    </w:p>
    <w:p>
      <w:pPr>
        <w:pStyle w:val="2"/>
        <w:keepNext w:val="0"/>
        <w:keepLines w:val="0"/>
        <w:pageBreakBefore w:val="0"/>
        <w:widowControl/>
        <w:kinsoku w:val="0"/>
        <w:wordWrap/>
        <w:overflowPunct/>
        <w:topLinePunct w:val="0"/>
        <w:autoSpaceDE w:val="0"/>
        <w:autoSpaceDN w:val="0"/>
        <w:bidi w:val="0"/>
        <w:adjustRightInd w:val="0"/>
        <w:snapToGrid w:val="0"/>
        <w:spacing w:after="0" w:line="560" w:lineRule="exact"/>
        <w:ind w:firstLine="640" w:firstLineChars="200"/>
        <w:textAlignment w:val="baseline"/>
        <w:rPr>
          <w:rFonts w:ascii="仿宋_GB2312" w:hAnsi="仿宋" w:eastAsia="仿宋_GB2312"/>
          <w:sz w:val="32"/>
          <w:szCs w:val="32"/>
          <w:lang w:bidi="ar"/>
        </w:rPr>
      </w:pPr>
      <w:r>
        <w:rPr>
          <w:rFonts w:hint="eastAsia" w:ascii="仿宋_GB2312" w:hAnsi="仿宋" w:eastAsia="仿宋_GB2312"/>
          <w:sz w:val="32"/>
          <w:szCs w:val="32"/>
          <w:lang w:bidi="ar"/>
        </w:rPr>
        <w:t>（1）可持续影响效益指标</w:t>
      </w:r>
    </w:p>
    <w:p>
      <w:pPr>
        <w:pStyle w:val="2"/>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ascii="仿宋_GB2312" w:hAnsi="仿宋" w:eastAsia="仿宋_GB2312"/>
          <w:sz w:val="32"/>
          <w:szCs w:val="32"/>
          <w:lang w:eastAsia="zh-Hans" w:bidi="ar"/>
        </w:rPr>
      </w:pPr>
      <w:r>
        <w:rPr>
          <w:rFonts w:hint="eastAsia" w:ascii="仿宋_GB2312" w:hAnsi="仿宋" w:eastAsia="仿宋_GB2312"/>
          <w:sz w:val="32"/>
          <w:szCs w:val="32"/>
          <w:lang w:bidi="ar"/>
        </w:rPr>
        <w:t>2022年北京市中央转移支付重大传染病防控经费项目设定的可持续影响</w:t>
      </w:r>
      <w:r>
        <w:rPr>
          <w:rFonts w:hint="eastAsia" w:ascii="仿宋_GB2312" w:hAnsi="仿宋" w:eastAsia="仿宋_GB2312"/>
          <w:sz w:val="32"/>
          <w:szCs w:val="32"/>
          <w:lang w:eastAsia="zh-Hans" w:bidi="ar"/>
        </w:rPr>
        <w:t>效益</w:t>
      </w:r>
      <w:r>
        <w:rPr>
          <w:rFonts w:hint="eastAsia" w:ascii="仿宋_GB2312" w:hAnsi="仿宋" w:eastAsia="仿宋_GB2312"/>
          <w:sz w:val="32"/>
          <w:szCs w:val="32"/>
          <w:lang w:bidi="ar"/>
        </w:rPr>
        <w:t>指标共2项，预期目标已全部完成。</w:t>
      </w:r>
      <w:r>
        <w:rPr>
          <w:rFonts w:hint="eastAsia" w:ascii="仿宋_GB2312" w:hAnsi="仿宋" w:eastAsia="仿宋_GB2312"/>
          <w:sz w:val="32"/>
          <w:szCs w:val="32"/>
          <w:lang w:eastAsia="zh-Hans" w:bidi="ar"/>
        </w:rPr>
        <w:t>具体情况</w:t>
      </w:r>
      <w:r>
        <w:rPr>
          <w:rFonts w:hint="eastAsia" w:ascii="仿宋_GB2312" w:hAnsi="仿宋" w:eastAsia="仿宋_GB2312"/>
          <w:sz w:val="32"/>
          <w:szCs w:val="32"/>
          <w:lang w:bidi="ar"/>
        </w:rPr>
        <w:t>见</w:t>
      </w:r>
      <w:r>
        <w:rPr>
          <w:rFonts w:hint="eastAsia" w:ascii="仿宋_GB2312" w:hAnsi="仿宋" w:eastAsia="仿宋_GB2312"/>
          <w:sz w:val="32"/>
          <w:szCs w:val="32"/>
          <w:lang w:eastAsia="zh-Hans" w:bidi="ar"/>
        </w:rPr>
        <w:t>下表</w:t>
      </w:r>
      <w:r>
        <w:rPr>
          <w:rFonts w:hint="eastAsia" w:ascii="仿宋_GB2312" w:hAnsi="仿宋" w:eastAsia="仿宋_GB2312"/>
          <w:sz w:val="32"/>
          <w:szCs w:val="32"/>
          <w:lang w:val="en-US" w:eastAsia="zh-CN" w:bidi="ar"/>
        </w:rPr>
        <w:t>3</w:t>
      </w:r>
      <w:r>
        <w:rPr>
          <w:rFonts w:ascii="仿宋_GB2312" w:hAnsi="仿宋" w:eastAsia="仿宋_GB2312"/>
          <w:sz w:val="32"/>
          <w:szCs w:val="32"/>
          <w:lang w:eastAsia="zh-Hans" w:bidi="ar"/>
        </w:rPr>
        <w:t>：</w:t>
      </w:r>
    </w:p>
    <w:p>
      <w:pPr>
        <w:pStyle w:val="2"/>
        <w:widowControl w:val="0"/>
        <w:kinsoku/>
        <w:autoSpaceDE/>
        <w:autoSpaceDN/>
        <w:adjustRightInd/>
        <w:snapToGrid/>
        <w:spacing w:after="0" w:line="240" w:lineRule="auto"/>
        <w:jc w:val="center"/>
        <w:textAlignment w:val="auto"/>
        <w:rPr>
          <w:rFonts w:ascii="仿宋_GB2312" w:hAnsi="仿宋" w:eastAsia="仿宋_GB2312"/>
          <w:sz w:val="32"/>
          <w:szCs w:val="32"/>
          <w:lang w:eastAsia="zh-Hans" w:bidi="ar"/>
        </w:rPr>
      </w:pPr>
      <w:r>
        <w:rPr>
          <w:rFonts w:hint="eastAsia" w:ascii="仿宋_GB2312" w:hAnsi="仿宋_GB2312" w:eastAsia="仿宋_GB2312" w:cs="仿宋_GB2312"/>
          <w:snapToGrid/>
          <w:kern w:val="2"/>
          <w:sz w:val="28"/>
          <w:szCs w:val="28"/>
        </w:rPr>
        <w:t>表</w:t>
      </w:r>
      <w:r>
        <w:rPr>
          <w:rFonts w:hint="eastAsia" w:ascii="仿宋_GB2312" w:hAnsi="仿宋_GB2312" w:eastAsia="仿宋_GB2312" w:cs="仿宋_GB2312"/>
          <w:snapToGrid/>
          <w:kern w:val="2"/>
          <w:sz w:val="28"/>
          <w:szCs w:val="28"/>
          <w:lang w:val="en-US" w:eastAsia="zh-CN"/>
        </w:rPr>
        <w:t>3</w:t>
      </w:r>
      <w:r>
        <w:rPr>
          <w:rFonts w:hint="eastAsia" w:ascii="仿宋_GB2312" w:hAnsi="仿宋_GB2312" w:eastAsia="仿宋_GB2312" w:cs="仿宋_GB2312"/>
          <w:snapToGrid/>
          <w:kern w:val="2"/>
          <w:sz w:val="28"/>
          <w:szCs w:val="28"/>
        </w:rPr>
        <w:t>：可持续影响效益指标完成情况表</w:t>
      </w:r>
    </w:p>
    <w:tbl>
      <w:tblPr>
        <w:tblStyle w:val="10"/>
        <w:tblW w:w="84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4"/>
        <w:gridCol w:w="1606"/>
        <w:gridCol w:w="2513"/>
        <w:gridCol w:w="1984"/>
        <w:gridCol w:w="16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4" w:hRule="atLeast"/>
          <w:tblHeader/>
          <w:jc w:val="center"/>
        </w:trPr>
        <w:tc>
          <w:tcPr>
            <w:tcW w:w="724" w:type="dxa"/>
            <w:tcBorders>
              <w:top w:val="single" w:color="auto" w:sz="4" w:space="0"/>
              <w:left w:val="single" w:color="auto" w:sz="4" w:space="0"/>
              <w:bottom w:val="single" w:color="auto" w:sz="4" w:space="0"/>
              <w:right w:val="single" w:color="auto" w:sz="4" w:space="0"/>
            </w:tcBorders>
            <w:shd w:val="clear" w:color="auto" w:fill="A6A6A6"/>
            <w:vAlign w:val="center"/>
          </w:tcPr>
          <w:p>
            <w:pPr>
              <w:spacing w:line="240" w:lineRule="atLeast"/>
              <w:jc w:val="center"/>
              <w:rPr>
                <w:rFonts w:ascii="宋体" w:hAnsi="宋体" w:eastAsia="宋体" w:cs="宋体"/>
                <w:b/>
                <w:sz w:val="20"/>
                <w:szCs w:val="20"/>
                <w:lang w:bidi="ar"/>
              </w:rPr>
            </w:pPr>
            <w:r>
              <w:rPr>
                <w:rFonts w:hint="eastAsia" w:ascii="宋体" w:hAnsi="宋体" w:eastAsia="宋体" w:cs="宋体"/>
                <w:b/>
                <w:sz w:val="20"/>
                <w:szCs w:val="20"/>
                <w:lang w:bidi="ar"/>
              </w:rPr>
              <w:t>序号</w:t>
            </w:r>
          </w:p>
        </w:tc>
        <w:tc>
          <w:tcPr>
            <w:tcW w:w="1606" w:type="dxa"/>
            <w:tcBorders>
              <w:top w:val="single" w:color="auto" w:sz="4" w:space="0"/>
              <w:left w:val="single" w:color="auto" w:sz="4" w:space="0"/>
              <w:bottom w:val="single" w:color="auto" w:sz="4" w:space="0"/>
              <w:right w:val="single" w:color="auto" w:sz="4" w:space="0"/>
            </w:tcBorders>
            <w:shd w:val="clear" w:color="auto" w:fill="A6A6A6"/>
            <w:vAlign w:val="center"/>
          </w:tcPr>
          <w:p>
            <w:pPr>
              <w:spacing w:line="240" w:lineRule="atLeast"/>
              <w:jc w:val="center"/>
              <w:rPr>
                <w:rFonts w:ascii="宋体" w:hAnsi="宋体" w:eastAsia="宋体" w:cs="宋体"/>
                <w:b/>
                <w:sz w:val="20"/>
                <w:szCs w:val="20"/>
                <w:lang w:bidi="ar"/>
              </w:rPr>
            </w:pPr>
            <w:r>
              <w:rPr>
                <w:rFonts w:hint="eastAsia" w:ascii="宋体" w:hAnsi="宋体" w:eastAsia="宋体" w:cs="宋体"/>
                <w:b/>
                <w:sz w:val="20"/>
                <w:szCs w:val="20"/>
                <w:lang w:bidi="ar"/>
              </w:rPr>
              <w:t>指标类型</w:t>
            </w:r>
          </w:p>
        </w:tc>
        <w:tc>
          <w:tcPr>
            <w:tcW w:w="2513" w:type="dxa"/>
            <w:tcBorders>
              <w:top w:val="single" w:color="auto" w:sz="4" w:space="0"/>
              <w:left w:val="single" w:color="auto" w:sz="4" w:space="0"/>
              <w:bottom w:val="single" w:color="auto" w:sz="4" w:space="0"/>
              <w:right w:val="single" w:color="auto" w:sz="4" w:space="0"/>
            </w:tcBorders>
            <w:shd w:val="clear" w:color="auto" w:fill="A6A6A6"/>
            <w:vAlign w:val="center"/>
          </w:tcPr>
          <w:p>
            <w:pPr>
              <w:spacing w:line="240" w:lineRule="atLeast"/>
              <w:jc w:val="center"/>
              <w:rPr>
                <w:rFonts w:ascii="宋体" w:hAnsi="宋体" w:eastAsia="宋体" w:cs="宋体"/>
                <w:b/>
                <w:sz w:val="20"/>
                <w:szCs w:val="20"/>
                <w:lang w:bidi="ar"/>
              </w:rPr>
            </w:pPr>
            <w:r>
              <w:rPr>
                <w:rFonts w:hint="eastAsia" w:ascii="宋体" w:hAnsi="宋体" w:eastAsia="宋体" w:cs="宋体"/>
                <w:b/>
                <w:sz w:val="20"/>
                <w:szCs w:val="20"/>
                <w:lang w:bidi="ar"/>
              </w:rPr>
              <w:t>三级指标</w:t>
            </w:r>
          </w:p>
        </w:tc>
        <w:tc>
          <w:tcPr>
            <w:tcW w:w="1984" w:type="dxa"/>
            <w:tcBorders>
              <w:top w:val="single" w:color="auto" w:sz="4" w:space="0"/>
              <w:left w:val="single" w:color="auto" w:sz="4" w:space="0"/>
              <w:bottom w:val="single" w:color="auto" w:sz="4" w:space="0"/>
              <w:right w:val="single" w:color="auto" w:sz="4" w:space="0"/>
            </w:tcBorders>
            <w:shd w:val="clear" w:color="auto" w:fill="A6A6A6"/>
            <w:vAlign w:val="center"/>
          </w:tcPr>
          <w:p>
            <w:pPr>
              <w:spacing w:line="240" w:lineRule="atLeast"/>
              <w:jc w:val="center"/>
              <w:rPr>
                <w:rFonts w:ascii="宋体" w:hAnsi="宋体" w:eastAsia="宋体" w:cs="宋体"/>
                <w:b/>
                <w:sz w:val="20"/>
                <w:szCs w:val="20"/>
                <w:lang w:bidi="ar"/>
              </w:rPr>
            </w:pPr>
            <w:r>
              <w:rPr>
                <w:rFonts w:hint="eastAsia" w:ascii="宋体" w:hAnsi="宋体" w:eastAsia="宋体" w:cs="宋体"/>
                <w:b/>
                <w:sz w:val="20"/>
                <w:szCs w:val="20"/>
                <w:lang w:bidi="ar"/>
              </w:rPr>
              <w:t>指标值</w:t>
            </w:r>
          </w:p>
        </w:tc>
        <w:tc>
          <w:tcPr>
            <w:tcW w:w="1633" w:type="dxa"/>
            <w:tcBorders>
              <w:top w:val="single" w:color="auto" w:sz="4" w:space="0"/>
              <w:left w:val="single" w:color="auto" w:sz="4" w:space="0"/>
              <w:bottom w:val="single" w:color="auto" w:sz="4" w:space="0"/>
              <w:right w:val="single" w:color="auto" w:sz="4" w:space="0"/>
            </w:tcBorders>
            <w:shd w:val="clear" w:color="auto" w:fill="A6A6A6"/>
            <w:vAlign w:val="center"/>
          </w:tcPr>
          <w:p>
            <w:pPr>
              <w:spacing w:line="240" w:lineRule="atLeast"/>
              <w:jc w:val="center"/>
              <w:rPr>
                <w:rFonts w:ascii="宋体" w:hAnsi="宋体" w:eastAsia="宋体" w:cs="宋体"/>
                <w:b/>
                <w:sz w:val="20"/>
                <w:szCs w:val="20"/>
                <w:lang w:bidi="ar"/>
              </w:rPr>
            </w:pPr>
            <w:r>
              <w:rPr>
                <w:rFonts w:hint="eastAsia" w:ascii="宋体" w:hAnsi="宋体" w:eastAsia="宋体" w:cs="宋体"/>
                <w:b/>
                <w:sz w:val="20"/>
                <w:szCs w:val="20"/>
                <w:lang w:bidi="ar"/>
              </w:rPr>
              <w:t>实际完成值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3" w:hRule="atLeast"/>
          <w:jc w:val="center"/>
        </w:trPr>
        <w:tc>
          <w:tcPr>
            <w:tcW w:w="724"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eastAsia="宋体" w:cs="宋体"/>
                <w:sz w:val="20"/>
                <w:szCs w:val="20"/>
                <w:lang w:eastAsia="zh-Hans" w:bidi="ar"/>
              </w:rPr>
            </w:pPr>
            <w:r>
              <w:rPr>
                <w:rFonts w:hint="eastAsia" w:ascii="宋体" w:hAnsi="宋体" w:eastAsia="宋体" w:cs="宋体"/>
                <w:sz w:val="20"/>
                <w:szCs w:val="20"/>
                <w:lang w:bidi="ar"/>
              </w:rPr>
              <w:t>1</w:t>
            </w:r>
          </w:p>
        </w:tc>
        <w:tc>
          <w:tcPr>
            <w:tcW w:w="1606"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eastAsia="宋体" w:cs="宋体"/>
                <w:sz w:val="20"/>
                <w:szCs w:val="20"/>
                <w:lang w:bidi="ar"/>
              </w:rPr>
            </w:pPr>
            <w:r>
              <w:rPr>
                <w:rFonts w:hint="eastAsia" w:ascii="宋体" w:hAnsi="宋体" w:eastAsia="宋体" w:cs="宋体"/>
                <w:sz w:val="20"/>
                <w:szCs w:val="20"/>
                <w:lang w:eastAsia="zh-Hans" w:bidi="ar"/>
              </w:rPr>
              <w:t>可持续影响指标</w:t>
            </w:r>
          </w:p>
        </w:tc>
        <w:tc>
          <w:tcPr>
            <w:tcW w:w="2513"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eastAsia="宋体" w:cs="宋体"/>
                <w:sz w:val="20"/>
                <w:szCs w:val="20"/>
                <w:lang w:bidi="ar"/>
              </w:rPr>
            </w:pPr>
            <w:r>
              <w:rPr>
                <w:rFonts w:hint="eastAsia" w:ascii="宋体" w:hAnsi="宋体" w:eastAsia="宋体" w:cs="宋体"/>
                <w:sz w:val="20"/>
                <w:szCs w:val="20"/>
                <w:lang w:bidi="ar"/>
              </w:rPr>
              <w:t>居民健康水平提高</w:t>
            </w:r>
          </w:p>
        </w:tc>
        <w:tc>
          <w:tcPr>
            <w:tcW w:w="1984"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eastAsia="宋体" w:cs="宋体"/>
                <w:sz w:val="20"/>
                <w:szCs w:val="20"/>
                <w:lang w:eastAsia="zh-Hans" w:bidi="ar"/>
              </w:rPr>
            </w:pPr>
            <w:r>
              <w:rPr>
                <w:rFonts w:hint="eastAsia" w:ascii="宋体" w:hAnsi="宋体" w:eastAsia="宋体" w:cs="宋体"/>
                <w:sz w:val="20"/>
                <w:szCs w:val="20"/>
                <w:lang w:bidi="ar"/>
              </w:rPr>
              <w:t>中长期</w:t>
            </w:r>
          </w:p>
        </w:tc>
        <w:tc>
          <w:tcPr>
            <w:tcW w:w="1633"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eastAsia="宋体" w:cs="宋体"/>
                <w:sz w:val="20"/>
                <w:szCs w:val="20"/>
                <w:lang w:eastAsia="zh-Hans" w:bidi="ar"/>
              </w:rPr>
            </w:pPr>
            <w:r>
              <w:rPr>
                <w:rFonts w:hint="eastAsia" w:ascii="宋体" w:hAnsi="宋体" w:eastAsia="宋体" w:cs="宋体"/>
                <w:sz w:val="20"/>
                <w:szCs w:val="20"/>
                <w:lang w:bidi="ar"/>
              </w:rPr>
              <w:t>逐步提高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3" w:hRule="atLeast"/>
          <w:jc w:val="center"/>
        </w:trPr>
        <w:tc>
          <w:tcPr>
            <w:tcW w:w="724"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eastAsia="宋体" w:cs="宋体"/>
                <w:sz w:val="20"/>
                <w:szCs w:val="20"/>
                <w:lang w:eastAsia="zh-Hans" w:bidi="ar"/>
              </w:rPr>
            </w:pPr>
            <w:r>
              <w:rPr>
                <w:rFonts w:hint="eastAsia" w:ascii="宋体" w:hAnsi="宋体" w:eastAsia="宋体" w:cs="宋体"/>
                <w:sz w:val="20"/>
                <w:szCs w:val="20"/>
                <w:lang w:bidi="ar"/>
              </w:rPr>
              <w:t>2</w:t>
            </w:r>
          </w:p>
        </w:tc>
        <w:tc>
          <w:tcPr>
            <w:tcW w:w="1606"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eastAsia="宋体" w:cs="宋体"/>
                <w:sz w:val="20"/>
                <w:szCs w:val="20"/>
                <w:lang w:eastAsia="zh-Hans" w:bidi="ar"/>
              </w:rPr>
            </w:pPr>
            <w:r>
              <w:rPr>
                <w:rFonts w:hint="eastAsia" w:ascii="宋体" w:hAnsi="宋体" w:eastAsia="宋体" w:cs="宋体"/>
                <w:sz w:val="20"/>
                <w:szCs w:val="20"/>
                <w:lang w:eastAsia="zh-Hans" w:bidi="ar"/>
              </w:rPr>
              <w:t>可持续影响指标</w:t>
            </w:r>
          </w:p>
        </w:tc>
        <w:tc>
          <w:tcPr>
            <w:tcW w:w="2513"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eastAsia="宋体" w:cs="宋体"/>
                <w:sz w:val="20"/>
                <w:szCs w:val="20"/>
                <w:lang w:bidi="ar"/>
              </w:rPr>
            </w:pPr>
            <w:r>
              <w:rPr>
                <w:rFonts w:hint="eastAsia" w:ascii="宋体" w:hAnsi="宋体" w:eastAsia="宋体" w:cs="宋体"/>
                <w:sz w:val="20"/>
                <w:szCs w:val="20"/>
                <w:lang w:bidi="ar"/>
              </w:rPr>
              <w:t>公共卫生均等化水平提高</w:t>
            </w:r>
          </w:p>
        </w:tc>
        <w:tc>
          <w:tcPr>
            <w:tcW w:w="1984"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eastAsia="宋体" w:cs="宋体"/>
                <w:sz w:val="20"/>
                <w:szCs w:val="20"/>
                <w:lang w:eastAsia="zh-Hans" w:bidi="ar"/>
              </w:rPr>
            </w:pPr>
            <w:r>
              <w:rPr>
                <w:rFonts w:hint="eastAsia" w:ascii="宋体" w:hAnsi="宋体" w:eastAsia="宋体" w:cs="宋体"/>
                <w:sz w:val="20"/>
                <w:szCs w:val="20"/>
                <w:lang w:bidi="ar"/>
              </w:rPr>
              <w:t>中长期</w:t>
            </w:r>
          </w:p>
        </w:tc>
        <w:tc>
          <w:tcPr>
            <w:tcW w:w="1633"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eastAsia="宋体" w:cs="宋体"/>
                <w:sz w:val="20"/>
                <w:szCs w:val="20"/>
                <w:lang w:eastAsia="zh-Hans" w:bidi="ar"/>
              </w:rPr>
            </w:pPr>
            <w:r>
              <w:rPr>
                <w:rFonts w:hint="eastAsia" w:ascii="宋体" w:hAnsi="宋体" w:eastAsia="宋体" w:cs="宋体"/>
                <w:sz w:val="20"/>
                <w:szCs w:val="20"/>
                <w:lang w:bidi="ar"/>
              </w:rPr>
              <w:t>逐步提高</w:t>
            </w:r>
          </w:p>
        </w:tc>
      </w:tr>
    </w:tbl>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both"/>
        <w:textAlignment w:val="baseline"/>
        <w:rPr>
          <w:rFonts w:hint="eastAsia" w:ascii="仿宋_GB2312" w:hAnsi="仿宋_GB2312" w:eastAsia="仿宋_GB2312" w:cs="仿宋_GB2312"/>
          <w:bCs/>
          <w:sz w:val="32"/>
          <w:szCs w:val="32"/>
          <w:lang w:eastAsia="zh-Hans"/>
        </w:rPr>
      </w:pPr>
      <w:r>
        <w:rPr>
          <w:rFonts w:hint="eastAsia" w:ascii="仿宋_GB2312" w:hAnsi="仿宋_GB2312" w:eastAsia="仿宋_GB2312" w:cs="仿宋_GB2312"/>
          <w:bCs/>
          <w:sz w:val="32"/>
          <w:szCs w:val="32"/>
          <w:lang w:eastAsia="zh-Hans"/>
        </w:rPr>
        <w:t>3.服务对象满意度指标完成情况分析</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both"/>
        <w:textAlignment w:val="baseline"/>
        <w:rPr>
          <w:rFonts w:hint="eastAsia" w:ascii="仿宋_GB2312" w:hAnsi="仿宋_GB2312" w:eastAsia="仿宋_GB2312" w:cs="仿宋_GB2312"/>
          <w:bCs/>
          <w:sz w:val="32"/>
          <w:szCs w:val="32"/>
          <w:lang w:eastAsia="zh-Hans"/>
        </w:rPr>
      </w:pPr>
      <w:r>
        <w:rPr>
          <w:rFonts w:hint="eastAsia" w:ascii="仿宋_GB2312" w:hAnsi="仿宋_GB2312" w:eastAsia="仿宋_GB2312" w:cs="仿宋_GB2312"/>
          <w:bCs/>
          <w:sz w:val="32"/>
          <w:szCs w:val="32"/>
          <w:lang w:eastAsia="zh-Hans"/>
        </w:rPr>
        <w:t>2022年北京市中央转移支付重大传染病防控经费设定的服务对象满意度指标共</w:t>
      </w:r>
      <w:r>
        <w:rPr>
          <w:rFonts w:hint="eastAsia" w:ascii="仿宋_GB2312" w:hAnsi="仿宋_GB2312" w:eastAsia="仿宋_GB2312" w:cs="仿宋_GB2312"/>
          <w:bCs/>
          <w:sz w:val="32"/>
          <w:szCs w:val="32"/>
          <w:lang w:val="en-US" w:eastAsia="zh-CN"/>
        </w:rPr>
        <w:t>1</w:t>
      </w:r>
      <w:r>
        <w:rPr>
          <w:rFonts w:hint="eastAsia" w:ascii="仿宋_GB2312" w:hAnsi="仿宋_GB2312" w:eastAsia="仿宋_GB2312" w:cs="仿宋_GB2312"/>
          <w:bCs/>
          <w:sz w:val="32"/>
          <w:szCs w:val="32"/>
          <w:lang w:eastAsia="zh-Hans"/>
        </w:rPr>
        <w:t>项，预期目标已全部完成。具体情况见下表</w:t>
      </w:r>
      <w:r>
        <w:rPr>
          <w:rFonts w:hint="eastAsia" w:ascii="仿宋_GB2312" w:hAnsi="仿宋_GB2312" w:eastAsia="仿宋_GB2312" w:cs="仿宋_GB2312"/>
          <w:bCs/>
          <w:sz w:val="32"/>
          <w:szCs w:val="32"/>
          <w:lang w:val="en-US" w:eastAsia="zh-CN"/>
        </w:rPr>
        <w:t>4</w:t>
      </w:r>
      <w:r>
        <w:rPr>
          <w:rFonts w:hint="eastAsia" w:ascii="仿宋_GB2312" w:hAnsi="仿宋_GB2312" w:eastAsia="仿宋_GB2312" w:cs="仿宋_GB2312"/>
          <w:bCs/>
          <w:sz w:val="32"/>
          <w:szCs w:val="32"/>
          <w:lang w:eastAsia="zh-Hans"/>
        </w:rPr>
        <w:t>：</w:t>
      </w:r>
    </w:p>
    <w:p>
      <w:pPr>
        <w:pStyle w:val="2"/>
        <w:widowControl w:val="0"/>
        <w:kinsoku/>
        <w:autoSpaceDE/>
        <w:autoSpaceDN/>
        <w:adjustRightInd/>
        <w:snapToGrid/>
        <w:spacing w:after="0" w:line="240" w:lineRule="auto"/>
        <w:jc w:val="center"/>
        <w:textAlignment w:val="auto"/>
        <w:rPr>
          <w:rFonts w:ascii="仿宋_GB2312" w:hAnsi="仿宋" w:eastAsia="仿宋_GB2312"/>
          <w:sz w:val="32"/>
          <w:szCs w:val="32"/>
          <w:lang w:eastAsia="zh-Hans" w:bidi="ar"/>
        </w:rPr>
      </w:pPr>
      <w:r>
        <w:rPr>
          <w:rFonts w:hint="eastAsia" w:ascii="仿宋_GB2312" w:hAnsi="仿宋_GB2312" w:eastAsia="仿宋_GB2312" w:cs="仿宋_GB2312"/>
          <w:snapToGrid/>
          <w:kern w:val="2"/>
          <w:sz w:val="28"/>
          <w:szCs w:val="28"/>
        </w:rPr>
        <w:t>表</w:t>
      </w:r>
      <w:r>
        <w:rPr>
          <w:rFonts w:hint="eastAsia" w:ascii="仿宋_GB2312" w:hAnsi="仿宋_GB2312" w:eastAsia="仿宋_GB2312" w:cs="仿宋_GB2312"/>
          <w:snapToGrid/>
          <w:kern w:val="2"/>
          <w:sz w:val="28"/>
          <w:szCs w:val="28"/>
          <w:lang w:val="en-US" w:eastAsia="zh-CN"/>
        </w:rPr>
        <w:t>4</w:t>
      </w:r>
      <w:r>
        <w:rPr>
          <w:rFonts w:hint="eastAsia" w:ascii="仿宋_GB2312" w:hAnsi="仿宋_GB2312" w:eastAsia="仿宋_GB2312" w:cs="仿宋_GB2312"/>
          <w:snapToGrid/>
          <w:kern w:val="2"/>
          <w:sz w:val="28"/>
          <w:szCs w:val="28"/>
        </w:rPr>
        <w:t>：服务对象满意度指标完成情况表</w:t>
      </w:r>
    </w:p>
    <w:tbl>
      <w:tblPr>
        <w:tblStyle w:val="10"/>
        <w:tblW w:w="84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8"/>
        <w:gridCol w:w="1592"/>
        <w:gridCol w:w="2513"/>
        <w:gridCol w:w="1984"/>
        <w:gridCol w:w="16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738" w:type="dxa"/>
            <w:tcBorders>
              <w:top w:val="single" w:color="auto" w:sz="4" w:space="0"/>
              <w:left w:val="single" w:color="auto" w:sz="4" w:space="0"/>
              <w:bottom w:val="single" w:color="auto" w:sz="4" w:space="0"/>
              <w:right w:val="single" w:color="auto" w:sz="4" w:space="0"/>
            </w:tcBorders>
            <w:shd w:val="clear" w:color="auto" w:fill="A6A6A6"/>
            <w:vAlign w:val="center"/>
          </w:tcPr>
          <w:p>
            <w:pPr>
              <w:spacing w:line="240" w:lineRule="atLeast"/>
              <w:jc w:val="center"/>
              <w:rPr>
                <w:rFonts w:ascii="宋体" w:hAnsi="宋体" w:eastAsia="宋体" w:cs="宋体"/>
                <w:b/>
                <w:sz w:val="20"/>
                <w:szCs w:val="20"/>
                <w:lang w:bidi="ar"/>
              </w:rPr>
            </w:pPr>
            <w:r>
              <w:rPr>
                <w:rFonts w:hint="eastAsia" w:ascii="宋体" w:hAnsi="宋体" w:eastAsia="宋体" w:cs="宋体"/>
                <w:b/>
                <w:sz w:val="20"/>
                <w:szCs w:val="20"/>
                <w:lang w:bidi="ar"/>
              </w:rPr>
              <w:t>序号</w:t>
            </w:r>
          </w:p>
        </w:tc>
        <w:tc>
          <w:tcPr>
            <w:tcW w:w="1592" w:type="dxa"/>
            <w:tcBorders>
              <w:top w:val="single" w:color="auto" w:sz="4" w:space="0"/>
              <w:left w:val="single" w:color="auto" w:sz="4" w:space="0"/>
              <w:bottom w:val="single" w:color="auto" w:sz="4" w:space="0"/>
              <w:right w:val="single" w:color="auto" w:sz="4" w:space="0"/>
            </w:tcBorders>
            <w:shd w:val="clear" w:color="auto" w:fill="A6A6A6"/>
            <w:vAlign w:val="center"/>
          </w:tcPr>
          <w:p>
            <w:pPr>
              <w:spacing w:line="240" w:lineRule="atLeast"/>
              <w:jc w:val="center"/>
              <w:rPr>
                <w:rFonts w:ascii="宋体" w:hAnsi="宋体" w:eastAsia="宋体" w:cs="宋体"/>
                <w:b/>
                <w:sz w:val="20"/>
                <w:szCs w:val="20"/>
                <w:lang w:bidi="ar"/>
              </w:rPr>
            </w:pPr>
            <w:r>
              <w:rPr>
                <w:rFonts w:hint="eastAsia" w:ascii="宋体" w:hAnsi="宋体" w:eastAsia="宋体" w:cs="宋体"/>
                <w:b/>
                <w:sz w:val="20"/>
                <w:szCs w:val="20"/>
                <w:lang w:bidi="ar"/>
              </w:rPr>
              <w:t>指标类型</w:t>
            </w:r>
          </w:p>
        </w:tc>
        <w:tc>
          <w:tcPr>
            <w:tcW w:w="2513" w:type="dxa"/>
            <w:tcBorders>
              <w:top w:val="single" w:color="auto" w:sz="4" w:space="0"/>
              <w:left w:val="single" w:color="auto" w:sz="4" w:space="0"/>
              <w:bottom w:val="single" w:color="auto" w:sz="4" w:space="0"/>
              <w:right w:val="single" w:color="auto" w:sz="4" w:space="0"/>
            </w:tcBorders>
            <w:shd w:val="clear" w:color="auto" w:fill="A6A6A6"/>
            <w:vAlign w:val="center"/>
          </w:tcPr>
          <w:p>
            <w:pPr>
              <w:spacing w:line="240" w:lineRule="atLeast"/>
              <w:jc w:val="center"/>
              <w:rPr>
                <w:rFonts w:ascii="宋体" w:hAnsi="宋体" w:eastAsia="宋体" w:cs="宋体"/>
                <w:b/>
                <w:sz w:val="20"/>
                <w:szCs w:val="20"/>
                <w:lang w:bidi="ar"/>
              </w:rPr>
            </w:pPr>
            <w:r>
              <w:rPr>
                <w:rFonts w:hint="eastAsia" w:ascii="宋体" w:hAnsi="宋体" w:eastAsia="宋体" w:cs="宋体"/>
                <w:b/>
                <w:sz w:val="20"/>
                <w:szCs w:val="20"/>
                <w:lang w:bidi="ar"/>
              </w:rPr>
              <w:t>三级指标</w:t>
            </w:r>
          </w:p>
        </w:tc>
        <w:tc>
          <w:tcPr>
            <w:tcW w:w="1984" w:type="dxa"/>
            <w:tcBorders>
              <w:top w:val="single" w:color="auto" w:sz="4" w:space="0"/>
              <w:left w:val="single" w:color="auto" w:sz="4" w:space="0"/>
              <w:bottom w:val="single" w:color="auto" w:sz="4" w:space="0"/>
              <w:right w:val="single" w:color="auto" w:sz="4" w:space="0"/>
            </w:tcBorders>
            <w:shd w:val="clear" w:color="auto" w:fill="A6A6A6"/>
            <w:vAlign w:val="center"/>
          </w:tcPr>
          <w:p>
            <w:pPr>
              <w:spacing w:line="240" w:lineRule="atLeast"/>
              <w:jc w:val="center"/>
              <w:rPr>
                <w:rFonts w:ascii="宋体" w:hAnsi="宋体" w:eastAsia="宋体" w:cs="宋体"/>
                <w:b/>
                <w:sz w:val="20"/>
                <w:szCs w:val="20"/>
                <w:lang w:bidi="ar"/>
              </w:rPr>
            </w:pPr>
            <w:r>
              <w:rPr>
                <w:rFonts w:hint="eastAsia" w:ascii="宋体" w:hAnsi="宋体" w:eastAsia="宋体" w:cs="宋体"/>
                <w:b/>
                <w:sz w:val="20"/>
                <w:szCs w:val="20"/>
                <w:lang w:bidi="ar"/>
              </w:rPr>
              <w:t>指标值</w:t>
            </w:r>
          </w:p>
        </w:tc>
        <w:tc>
          <w:tcPr>
            <w:tcW w:w="1633" w:type="dxa"/>
            <w:tcBorders>
              <w:top w:val="single" w:color="auto" w:sz="4" w:space="0"/>
              <w:left w:val="single" w:color="auto" w:sz="4" w:space="0"/>
              <w:bottom w:val="single" w:color="auto" w:sz="4" w:space="0"/>
              <w:right w:val="single" w:color="auto" w:sz="4" w:space="0"/>
            </w:tcBorders>
            <w:shd w:val="clear" w:color="auto" w:fill="A6A6A6"/>
            <w:vAlign w:val="center"/>
          </w:tcPr>
          <w:p>
            <w:pPr>
              <w:spacing w:line="240" w:lineRule="atLeast"/>
              <w:jc w:val="center"/>
              <w:rPr>
                <w:rFonts w:ascii="宋体" w:hAnsi="宋体" w:eastAsia="宋体" w:cs="宋体"/>
                <w:b/>
                <w:sz w:val="20"/>
                <w:szCs w:val="20"/>
                <w:lang w:bidi="ar"/>
              </w:rPr>
            </w:pPr>
            <w:r>
              <w:rPr>
                <w:rFonts w:hint="eastAsia" w:ascii="宋体" w:hAnsi="宋体" w:eastAsia="宋体" w:cs="宋体"/>
                <w:b/>
                <w:sz w:val="20"/>
                <w:szCs w:val="20"/>
                <w:lang w:bidi="ar"/>
              </w:rPr>
              <w:t>实际完成值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eastAsia="宋体" w:cs="宋体"/>
                <w:sz w:val="20"/>
                <w:szCs w:val="20"/>
                <w:lang w:eastAsia="zh-Hans" w:bidi="ar"/>
              </w:rPr>
            </w:pPr>
            <w:r>
              <w:rPr>
                <w:rFonts w:hint="eastAsia" w:ascii="宋体" w:hAnsi="宋体" w:eastAsia="宋体" w:cs="宋体"/>
                <w:sz w:val="20"/>
                <w:szCs w:val="20"/>
                <w:lang w:eastAsia="zh-Hans" w:bidi="ar"/>
              </w:rPr>
              <w:t>1</w:t>
            </w:r>
          </w:p>
        </w:tc>
        <w:tc>
          <w:tcPr>
            <w:tcW w:w="159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eastAsia="宋体" w:cs="宋体"/>
                <w:sz w:val="20"/>
                <w:szCs w:val="20"/>
                <w:lang w:eastAsia="zh-Hans" w:bidi="ar"/>
              </w:rPr>
            </w:pPr>
            <w:r>
              <w:rPr>
                <w:rFonts w:hint="eastAsia" w:ascii="宋体" w:hAnsi="宋体" w:eastAsia="宋体" w:cs="宋体"/>
                <w:sz w:val="20"/>
                <w:szCs w:val="20"/>
                <w:lang w:eastAsia="zh-Hans" w:bidi="ar"/>
              </w:rPr>
              <w:t>服务对象满意度指标</w:t>
            </w:r>
          </w:p>
        </w:tc>
        <w:tc>
          <w:tcPr>
            <w:tcW w:w="2513"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eastAsia" w:ascii="宋体" w:hAnsi="宋体" w:eastAsia="宋体" w:cs="宋体"/>
                <w:sz w:val="20"/>
                <w:szCs w:val="20"/>
                <w:lang w:eastAsia="zh-Hans" w:bidi="ar"/>
              </w:rPr>
            </w:pPr>
            <w:r>
              <w:rPr>
                <w:rFonts w:hint="eastAsia" w:ascii="宋体" w:hAnsi="宋体" w:eastAsia="宋体" w:cs="宋体"/>
                <w:sz w:val="20"/>
                <w:szCs w:val="20"/>
                <w:lang w:bidi="ar"/>
              </w:rPr>
              <w:t>新冠网络实验室培训满意度</w:t>
            </w:r>
          </w:p>
        </w:tc>
        <w:tc>
          <w:tcPr>
            <w:tcW w:w="1984"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eastAsia" w:ascii="宋体" w:hAnsi="宋体" w:eastAsia="宋体" w:cs="宋体"/>
                <w:sz w:val="20"/>
                <w:szCs w:val="20"/>
                <w:lang w:eastAsia="zh-Hans" w:bidi="ar"/>
              </w:rPr>
            </w:pPr>
            <w:r>
              <w:rPr>
                <w:rFonts w:hint="eastAsia" w:ascii="宋体" w:hAnsi="宋体" w:eastAsia="宋体" w:cs="宋体"/>
                <w:sz w:val="20"/>
                <w:szCs w:val="20"/>
                <w:lang w:bidi="ar"/>
              </w:rPr>
              <w:t>≥90%</w:t>
            </w:r>
          </w:p>
        </w:tc>
        <w:tc>
          <w:tcPr>
            <w:tcW w:w="1633"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eastAsia="宋体" w:cs="宋体"/>
                <w:sz w:val="20"/>
                <w:szCs w:val="20"/>
                <w:lang w:eastAsia="zh-Hans" w:bidi="ar"/>
              </w:rPr>
            </w:pPr>
            <w:r>
              <w:rPr>
                <w:rFonts w:hint="eastAsia" w:ascii="宋体" w:hAnsi="宋体" w:eastAsia="宋体" w:cs="宋体"/>
                <w:sz w:val="20"/>
                <w:szCs w:val="20"/>
                <w:lang w:bidi="ar"/>
              </w:rPr>
              <w:t>100%</w:t>
            </w:r>
          </w:p>
        </w:tc>
      </w:tr>
    </w:tbl>
    <w:p>
      <w:pPr>
        <w:keepNext w:val="0"/>
        <w:keepLines w:val="0"/>
        <w:pageBreakBefore w:val="0"/>
        <w:wordWrap/>
        <w:overflowPunct/>
        <w:topLinePunct w:val="0"/>
        <w:bidi w:val="0"/>
        <w:spacing w:line="560" w:lineRule="exact"/>
        <w:ind w:firstLine="628" w:firstLineChars="200"/>
        <w:outlineLvl w:val="1"/>
        <w:rPr>
          <w:rFonts w:hint="eastAsia" w:ascii="黑体" w:hAnsi="黑体" w:eastAsia="黑体" w:cs="黑体"/>
          <w:sz w:val="32"/>
          <w:szCs w:val="32"/>
          <w:lang w:eastAsia="zh-CN"/>
        </w:rPr>
      </w:pPr>
      <w:r>
        <w:rPr>
          <w:rFonts w:ascii="黑体" w:hAnsi="黑体" w:eastAsia="黑体" w:cs="黑体"/>
          <w:bCs/>
          <w:spacing w:val="-3"/>
          <w:sz w:val="32"/>
          <w:szCs w:val="32"/>
        </w:rPr>
        <w:t>三、</w:t>
      </w:r>
      <w:r>
        <w:rPr>
          <w:rFonts w:ascii="黑体" w:hAnsi="黑体" w:eastAsia="黑体" w:cs="黑体"/>
          <w:spacing w:val="-55"/>
          <w:sz w:val="32"/>
          <w:szCs w:val="32"/>
        </w:rPr>
        <w:t xml:space="preserve"> </w:t>
      </w:r>
      <w:r>
        <w:rPr>
          <w:rFonts w:hint="eastAsia" w:ascii="黑体" w:hAnsi="黑体" w:eastAsia="黑体" w:cs="黑体"/>
          <w:bCs/>
          <w:spacing w:val="-3"/>
          <w:sz w:val="32"/>
          <w:szCs w:val="32"/>
          <w:lang w:eastAsia="zh-CN"/>
        </w:rPr>
        <w:t>绩效自评结论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napToGrid/>
          <w:kern w:val="2"/>
          <w:sz w:val="32"/>
          <w:szCs w:val="32"/>
          <w:lang w:bidi="ar"/>
        </w:rPr>
      </w:pPr>
      <w:r>
        <w:rPr>
          <w:rFonts w:hint="eastAsia" w:ascii="仿宋_GB2312" w:hAnsi="仿宋_GB2312" w:eastAsia="仿宋_GB2312" w:cs="仿宋_GB2312"/>
          <w:bCs/>
          <w:snapToGrid/>
          <w:kern w:val="2"/>
          <w:sz w:val="32"/>
          <w:szCs w:val="32"/>
          <w:lang w:val="en-US" w:eastAsia="zh-CN" w:bidi="ar"/>
        </w:rPr>
        <w:t>根据本次绩效自评工作结果，本项目</w:t>
      </w:r>
      <w:r>
        <w:rPr>
          <w:rFonts w:hint="eastAsia" w:ascii="仿宋_GB2312" w:hAnsi="仿宋_GB2312" w:eastAsia="仿宋_GB2312" w:cs="仿宋_GB2312"/>
          <w:bCs/>
          <w:snapToGrid/>
          <w:kern w:val="2"/>
          <w:sz w:val="32"/>
          <w:szCs w:val="32"/>
          <w:lang w:eastAsia="zh-CN" w:bidi="ar"/>
        </w:rPr>
        <w:t>共设置</w:t>
      </w:r>
      <w:r>
        <w:rPr>
          <w:rFonts w:hint="eastAsia" w:ascii="仿宋_GB2312" w:hAnsi="仿宋_GB2312" w:eastAsia="仿宋_GB2312" w:cs="仿宋_GB2312"/>
          <w:bCs/>
          <w:snapToGrid/>
          <w:kern w:val="2"/>
          <w:sz w:val="32"/>
          <w:szCs w:val="32"/>
          <w:lang w:val="en-US" w:eastAsia="zh-CN" w:bidi="ar"/>
        </w:rPr>
        <w:t>24项年度绩效</w:t>
      </w:r>
      <w:r>
        <w:rPr>
          <w:rFonts w:hint="eastAsia" w:ascii="仿宋_GB2312" w:hAnsi="仿宋_GB2312" w:eastAsia="仿宋_GB2312" w:cs="仿宋_GB2312"/>
          <w:bCs/>
          <w:snapToGrid/>
          <w:kern w:val="2"/>
          <w:sz w:val="32"/>
          <w:szCs w:val="32"/>
          <w:lang w:eastAsia="zh-CN" w:bidi="ar"/>
        </w:rPr>
        <w:t>指标</w:t>
      </w:r>
      <w:r>
        <w:rPr>
          <w:rFonts w:hint="eastAsia" w:ascii="仿宋_GB2312" w:hAnsi="仿宋_GB2312" w:eastAsia="仿宋_GB2312" w:cs="仿宋_GB2312"/>
          <w:bCs/>
          <w:snapToGrid/>
          <w:kern w:val="2"/>
          <w:sz w:val="32"/>
          <w:szCs w:val="32"/>
          <w:lang w:val="en-US" w:eastAsia="zh-CN" w:bidi="ar"/>
        </w:rPr>
        <w:t>，4项年度绩效指标未达标，20项年度绩效指标均已实现年初目标值。已实施项目部分取得了较好社会经济效益</w:t>
      </w:r>
      <w:r>
        <w:rPr>
          <w:rFonts w:hint="eastAsia" w:ascii="仿宋_GB2312" w:hAnsi="仿宋_GB2312" w:eastAsia="仿宋_GB2312" w:cs="仿宋_GB2312"/>
          <w:bCs/>
          <w:snapToGrid/>
          <w:kern w:val="2"/>
          <w:sz w:val="32"/>
          <w:szCs w:val="32"/>
          <w:lang w:bidi="ar"/>
        </w:rPr>
        <w:t xml:space="preserve">。 </w:t>
      </w:r>
    </w:p>
    <w:p>
      <w:pPr>
        <w:pStyle w:val="2"/>
        <w:keepNext w:val="0"/>
        <w:keepLines w:val="0"/>
        <w:pageBreakBefore w:val="0"/>
        <w:wordWrap/>
        <w:overflowPunct/>
        <w:topLinePunct w:val="0"/>
        <w:bidi w:val="0"/>
        <w:spacing w:line="560" w:lineRule="exact"/>
        <w:rPr>
          <w:sz w:val="32"/>
          <w:szCs w:val="32"/>
        </w:rPr>
      </w:pPr>
    </w:p>
    <w:p>
      <w:pPr>
        <w:pStyle w:val="2"/>
        <w:keepNext w:val="0"/>
        <w:keepLines w:val="0"/>
        <w:pageBreakBefore w:val="0"/>
        <w:wordWrap/>
        <w:overflowPunct/>
        <w:topLinePunct w:val="0"/>
        <w:bidi w:val="0"/>
        <w:spacing w:line="560" w:lineRule="exact"/>
        <w:rPr>
          <w:sz w:val="32"/>
          <w:szCs w:val="32"/>
        </w:rPr>
      </w:pPr>
      <w:bookmarkStart w:id="2" w:name="_GoBack"/>
      <w:bookmarkEnd w:id="2"/>
    </w:p>
    <w:p>
      <w:pPr>
        <w:pStyle w:val="4"/>
        <w:keepNext w:val="0"/>
        <w:keepLines w:val="0"/>
        <w:pageBreakBefore w:val="0"/>
        <w:widowControl/>
        <w:kinsoku w:val="0"/>
        <w:wordWrap/>
        <w:overflowPunct/>
        <w:topLinePunct w:val="0"/>
        <w:autoSpaceDE w:val="0"/>
        <w:autoSpaceDN w:val="0"/>
        <w:bidi w:val="0"/>
        <w:adjustRightInd w:val="0"/>
        <w:snapToGrid w:val="0"/>
        <w:spacing w:line="560" w:lineRule="exact"/>
        <w:ind w:firstLine="3888" w:firstLineChars="1200"/>
        <w:textAlignment w:val="baseline"/>
        <w:rPr>
          <w:rFonts w:hint="eastAsia" w:ascii="仿宋_GB2312" w:hAnsi="仿宋_GB2312" w:eastAsia="仿宋_GB2312" w:cs="仿宋_GB2312"/>
          <w:spacing w:val="2"/>
          <w:sz w:val="32"/>
          <w:szCs w:val="32"/>
          <w:lang w:eastAsia="zh-CN"/>
        </w:rPr>
      </w:pPr>
      <w:r>
        <w:rPr>
          <w:rFonts w:hint="eastAsia" w:ascii="仿宋_GB2312" w:hAnsi="仿宋_GB2312" w:eastAsia="仿宋_GB2312" w:cs="仿宋_GB2312"/>
          <w:spacing w:val="2"/>
          <w:sz w:val="32"/>
          <w:szCs w:val="32"/>
          <w:lang w:eastAsia="zh-CN"/>
        </w:rPr>
        <w:t>北京市卫生健康委员会</w:t>
      </w:r>
    </w:p>
    <w:p>
      <w:pPr>
        <w:pStyle w:val="2"/>
        <w:keepNext w:val="0"/>
        <w:keepLines w:val="0"/>
        <w:pageBreakBefore w:val="0"/>
        <w:wordWrap/>
        <w:overflowPunct/>
        <w:topLinePunct w:val="0"/>
        <w:bidi w:val="0"/>
        <w:spacing w:line="560" w:lineRule="exact"/>
        <w:ind w:firstLine="4536" w:firstLineChars="1400"/>
        <w:rPr>
          <w:sz w:val="32"/>
          <w:szCs w:val="32"/>
        </w:rPr>
      </w:pPr>
      <w:r>
        <w:rPr>
          <w:rFonts w:hint="eastAsia" w:ascii="仿宋_GB2312" w:hAnsi="仿宋_GB2312" w:eastAsia="仿宋_GB2312" w:cs="仿宋_GB2312"/>
          <w:spacing w:val="2"/>
          <w:sz w:val="32"/>
          <w:szCs w:val="32"/>
          <w:lang w:val="en-US" w:eastAsia="zh-CN"/>
        </w:rPr>
        <w:t>2023年6月8日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楷体">
    <w:altName w:val="方正楷体_GBK"/>
    <w:panose1 w:val="02010609060101010101"/>
    <w:charset w:val="86"/>
    <w:family w:val="modern"/>
    <w:pitch w:val="default"/>
    <w:sig w:usb0="00000000" w:usb1="00000000" w:usb2="00000016" w:usb3="00000000" w:csb0="00040001" w:csb1="00000000"/>
  </w:font>
  <w:font w:name="方正黑体_GBK">
    <w:panose1 w:val="02000000000000000000"/>
    <w:charset w:val="86"/>
    <w:family w:val="auto"/>
    <w:pitch w:val="default"/>
    <w:sig w:usb0="00000001" w:usb1="08000000" w:usb2="00000000" w:usb3="00000000" w:csb0="00040000" w:csb1="00000000"/>
  </w:font>
  <w:font w:name="等线">
    <w:altName w:val="汉仪中宋简"/>
    <w:panose1 w:val="02010600030101010101"/>
    <w:charset w:val="86"/>
    <w:family w:val="auto"/>
    <w:pitch w:val="default"/>
    <w:sig w:usb0="00000000" w:usb1="00000000" w:usb2="00000016" w:usb3="00000000" w:csb0="0004000F"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anumGothic">
    <w:panose1 w:val="020D0604000000000000"/>
    <w:charset w:val="81"/>
    <w:family w:val="auto"/>
    <w:pitch w:val="default"/>
    <w:sig w:usb0="900002A7" w:usb1="29D7FCFB" w:usb2="00000010" w:usb3="00000000" w:csb0="00080001" w:csb1="00000000"/>
  </w:font>
  <w:font w:name="方正楷体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1551797"/>
      <w:docPartObj>
        <w:docPartGallery w:val="autotext"/>
      </w:docPartObj>
    </w:sdtPr>
    <w:sdtEndPr>
      <w:rPr>
        <w:rFonts w:asciiTheme="minorEastAsia" w:hAnsiTheme="minorEastAsia" w:eastAsiaTheme="minorEastAsia"/>
        <w:sz w:val="28"/>
        <w:szCs w:val="28"/>
      </w:rPr>
    </w:sdtEndPr>
    <w:sdtContent>
      <w:p>
        <w:pPr>
          <w:pStyle w:val="5"/>
          <w:jc w:val="center"/>
          <w:rPr>
            <w:rFonts w:asciiTheme="minorEastAsia" w:hAnsiTheme="minorEastAsia" w:eastAsiaTheme="minorEastAsia"/>
            <w:sz w:val="28"/>
            <w:szCs w:val="28"/>
          </w:rPr>
        </w:pPr>
        <w:r>
          <w:rPr>
            <w:rFonts w:asciiTheme="minorEastAsia" w:hAnsiTheme="minorEastAsia" w:eastAsiaTheme="minorEastAsia"/>
            <w:sz w:val="28"/>
            <w:szCs w:val="28"/>
          </w:rPr>
          <w:fldChar w:fldCharType="begin"/>
        </w:r>
        <w:r>
          <w:rPr>
            <w:rFonts w:asciiTheme="minorEastAsia" w:hAnsiTheme="minorEastAsia" w:eastAsiaTheme="minorEastAsia"/>
            <w:sz w:val="28"/>
            <w:szCs w:val="28"/>
          </w:rPr>
          <w:instrText xml:space="preserve">PAGE   \* MERGEFORMAT</w:instrText>
        </w:r>
        <w:r>
          <w:rPr>
            <w:rFonts w:asciiTheme="minorEastAsia" w:hAnsiTheme="minorEastAsia" w:eastAsiaTheme="minorEastAsia"/>
            <w:sz w:val="28"/>
            <w:szCs w:val="28"/>
          </w:rPr>
          <w:fldChar w:fldCharType="separate"/>
        </w:r>
        <w:r>
          <w:rPr>
            <w:rFonts w:asciiTheme="minorEastAsia" w:hAnsiTheme="minorEastAsia" w:eastAsiaTheme="minorEastAsia"/>
            <w:sz w:val="28"/>
            <w:szCs w:val="28"/>
            <w:lang w:val="zh-CN"/>
          </w:rPr>
          <w:t>25</w:t>
        </w:r>
        <w:r>
          <w:rPr>
            <w:rFonts w:asciiTheme="minorEastAsia" w:hAnsiTheme="minorEastAsia" w:eastAsiaTheme="minorEastAsia"/>
            <w:sz w:val="28"/>
            <w:szCs w:val="28"/>
          </w:rPr>
          <w:fldChar w:fldCharType="end"/>
        </w:r>
      </w:p>
    </w:sdtContent>
  </w:sdt>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0EEEDF"/>
    <w:multiLevelType w:val="singleLevel"/>
    <w:tmpl w:val="BD0EEEDF"/>
    <w:lvl w:ilvl="0" w:tentative="0">
      <w:start w:val="6"/>
      <w:numFmt w:val="decimal"/>
      <w:suff w:val="nothing"/>
      <w:lvlText w:val="（%1）"/>
      <w:lvlJc w:val="left"/>
    </w:lvl>
  </w:abstractNum>
  <w:abstractNum w:abstractNumId="1">
    <w:nsid w:val="DAFEEDAC"/>
    <w:multiLevelType w:val="singleLevel"/>
    <w:tmpl w:val="DAFEEDAC"/>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RmNDFiYWFiMjk4YzY3MGE0Nzc2NTBjYzg3ODRkY2YifQ=="/>
  </w:docVars>
  <w:rsids>
    <w:rsidRoot w:val="013B1BF0"/>
    <w:rsid w:val="00060DF5"/>
    <w:rsid w:val="001919BF"/>
    <w:rsid w:val="001D0817"/>
    <w:rsid w:val="00212005"/>
    <w:rsid w:val="00304CF0"/>
    <w:rsid w:val="00304CFE"/>
    <w:rsid w:val="00310470"/>
    <w:rsid w:val="003770E3"/>
    <w:rsid w:val="00390658"/>
    <w:rsid w:val="00433387"/>
    <w:rsid w:val="00511B02"/>
    <w:rsid w:val="00521C18"/>
    <w:rsid w:val="0052526B"/>
    <w:rsid w:val="005736F7"/>
    <w:rsid w:val="005B10CB"/>
    <w:rsid w:val="005D22CB"/>
    <w:rsid w:val="005D5E42"/>
    <w:rsid w:val="00647F99"/>
    <w:rsid w:val="00653082"/>
    <w:rsid w:val="00685173"/>
    <w:rsid w:val="006958E2"/>
    <w:rsid w:val="006B478C"/>
    <w:rsid w:val="006C7A3A"/>
    <w:rsid w:val="006F4636"/>
    <w:rsid w:val="007633FA"/>
    <w:rsid w:val="008071ED"/>
    <w:rsid w:val="00850FD6"/>
    <w:rsid w:val="008D71ED"/>
    <w:rsid w:val="008E3453"/>
    <w:rsid w:val="009131EA"/>
    <w:rsid w:val="009313BE"/>
    <w:rsid w:val="00995CEC"/>
    <w:rsid w:val="00A25BF9"/>
    <w:rsid w:val="00A43FF9"/>
    <w:rsid w:val="00A60ACD"/>
    <w:rsid w:val="00A870B4"/>
    <w:rsid w:val="00A96463"/>
    <w:rsid w:val="00AB1FB6"/>
    <w:rsid w:val="00B7049C"/>
    <w:rsid w:val="00B87C25"/>
    <w:rsid w:val="00C1490C"/>
    <w:rsid w:val="00C3741F"/>
    <w:rsid w:val="00C42D39"/>
    <w:rsid w:val="00C92B6A"/>
    <w:rsid w:val="00CD22D2"/>
    <w:rsid w:val="00CF68D1"/>
    <w:rsid w:val="00CF6C84"/>
    <w:rsid w:val="00D03026"/>
    <w:rsid w:val="00EE1DB3"/>
    <w:rsid w:val="00F056F3"/>
    <w:rsid w:val="00FD6F8C"/>
    <w:rsid w:val="00FF2552"/>
    <w:rsid w:val="013B1BF0"/>
    <w:rsid w:val="046947F9"/>
    <w:rsid w:val="05E96D0F"/>
    <w:rsid w:val="064F6DAC"/>
    <w:rsid w:val="09990A79"/>
    <w:rsid w:val="122B27B2"/>
    <w:rsid w:val="179343B9"/>
    <w:rsid w:val="1D882867"/>
    <w:rsid w:val="23340C55"/>
    <w:rsid w:val="259E127D"/>
    <w:rsid w:val="285D293C"/>
    <w:rsid w:val="2BC54DAC"/>
    <w:rsid w:val="380B36B9"/>
    <w:rsid w:val="38BB7B3D"/>
    <w:rsid w:val="3FFECC17"/>
    <w:rsid w:val="5419687B"/>
    <w:rsid w:val="5FCFE842"/>
    <w:rsid w:val="5FEC61C1"/>
    <w:rsid w:val="61AE77B2"/>
    <w:rsid w:val="626502D9"/>
    <w:rsid w:val="653701C0"/>
    <w:rsid w:val="75FFF516"/>
    <w:rsid w:val="79FF6983"/>
    <w:rsid w:val="7FFF99AF"/>
    <w:rsid w:val="9BF23C1D"/>
    <w:rsid w:val="DBC7C4FB"/>
    <w:rsid w:val="DFEE2C37"/>
    <w:rsid w:val="EB8D8DBC"/>
    <w:rsid w:val="EE0F2159"/>
    <w:rsid w:val="EFEFB19B"/>
    <w:rsid w:val="FCFFB313"/>
    <w:rsid w:val="FFFEF4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qFormat="1" w:uiPriority="99"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after="120" w:line="360" w:lineRule="auto"/>
    </w:pPr>
  </w:style>
  <w:style w:type="paragraph" w:styleId="3">
    <w:name w:val="Body Text Indent"/>
    <w:basedOn w:val="1"/>
    <w:unhideWhenUsed/>
    <w:qFormat/>
    <w:uiPriority w:val="99"/>
    <w:pPr>
      <w:spacing w:before="100" w:beforeAutospacing="1" w:after="100" w:afterAutospacing="1"/>
    </w:pPr>
    <w:rPr>
      <w:rFonts w:hint="eastAsia" w:ascii="宋体" w:hAnsi="宋体"/>
      <w:sz w:val="24"/>
      <w:szCs w:val="24"/>
    </w:rPr>
  </w:style>
  <w:style w:type="paragraph" w:styleId="4">
    <w:name w:val="Plain Text"/>
    <w:basedOn w:val="1"/>
    <w:unhideWhenUsed/>
    <w:qFormat/>
    <w:uiPriority w:val="99"/>
    <w:rPr>
      <w:rFonts w:ascii="宋体" w:hAnsi="Courier New"/>
    </w:rPr>
  </w:style>
  <w:style w:type="paragraph" w:styleId="5">
    <w:name w:val="footer"/>
    <w:basedOn w:val="1"/>
    <w:link w:val="17"/>
    <w:qFormat/>
    <w:uiPriority w:val="99"/>
    <w:pPr>
      <w:tabs>
        <w:tab w:val="center" w:pos="4153"/>
        <w:tab w:val="right" w:pos="8306"/>
      </w:tabs>
    </w:pPr>
    <w:rPr>
      <w:sz w:val="18"/>
      <w:szCs w:val="18"/>
    </w:rPr>
  </w:style>
  <w:style w:type="paragraph" w:styleId="6">
    <w:name w:val="header"/>
    <w:basedOn w:val="1"/>
    <w:link w:val="16"/>
    <w:qFormat/>
    <w:uiPriority w:val="0"/>
    <w:pPr>
      <w:pBdr>
        <w:bottom w:val="single" w:color="auto" w:sz="6" w:space="1"/>
      </w:pBdr>
      <w:tabs>
        <w:tab w:val="center" w:pos="4153"/>
        <w:tab w:val="right" w:pos="8306"/>
      </w:tabs>
      <w:jc w:val="center"/>
    </w:pPr>
    <w:rPr>
      <w:sz w:val="18"/>
      <w:szCs w:val="18"/>
    </w:rPr>
  </w:style>
  <w:style w:type="paragraph" w:styleId="7">
    <w:name w:val="index 9"/>
    <w:basedOn w:val="1"/>
    <w:next w:val="1"/>
    <w:unhideWhenUsed/>
    <w:qFormat/>
    <w:uiPriority w:val="99"/>
    <w:pPr>
      <w:ind w:firstLine="420"/>
    </w:pPr>
    <w:rPr>
      <w:rFonts w:eastAsia="仿宋_GB2312"/>
      <w:bCs/>
      <w:sz w:val="28"/>
      <w:szCs w:val="28"/>
    </w:rPr>
  </w:style>
  <w:style w:type="paragraph" w:styleId="8">
    <w:name w:val="Normal (Web)"/>
    <w:basedOn w:val="1"/>
    <w:qFormat/>
    <w:uiPriority w:val="0"/>
    <w:pPr>
      <w:spacing w:beforeAutospacing="1" w:afterAutospacing="1"/>
    </w:pPr>
    <w:rPr>
      <w:rFonts w:cs="Times New Roman"/>
      <w:sz w:val="24"/>
    </w:rPr>
  </w:style>
  <w:style w:type="table" w:styleId="10">
    <w:name w:val="Table Grid"/>
    <w:basedOn w:val="9"/>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Body text|2"/>
    <w:basedOn w:val="1"/>
    <w:qFormat/>
    <w:uiPriority w:val="0"/>
    <w:pPr>
      <w:spacing w:line="590" w:lineRule="exact"/>
      <w:ind w:firstLine="580"/>
    </w:pPr>
    <w:rPr>
      <w:rFonts w:hint="eastAsia" w:ascii="宋体" w:hAnsi="宋体"/>
      <w:szCs w:val="24"/>
    </w:rPr>
  </w:style>
  <w:style w:type="table" w:customStyle="1" w:styleId="13">
    <w:name w:val="Table Normal"/>
    <w:semiHidden/>
    <w:unhideWhenUsed/>
    <w:qFormat/>
    <w:uiPriority w:val="0"/>
    <w:tblPr>
      <w:tblCellMar>
        <w:top w:w="0" w:type="dxa"/>
        <w:left w:w="0" w:type="dxa"/>
        <w:bottom w:w="0" w:type="dxa"/>
        <w:right w:w="0" w:type="dxa"/>
      </w:tblCellMar>
    </w:tblPr>
  </w:style>
  <w:style w:type="character" w:customStyle="1" w:styleId="14">
    <w:name w:val="font21"/>
    <w:basedOn w:val="11"/>
    <w:qFormat/>
    <w:uiPriority w:val="0"/>
    <w:rPr>
      <w:rFonts w:hint="eastAsia" w:ascii="宋体" w:hAnsi="宋体" w:eastAsia="宋体" w:cs="宋体"/>
      <w:color w:val="000000"/>
      <w:sz w:val="20"/>
      <w:szCs w:val="20"/>
      <w:u w:val="none"/>
    </w:rPr>
  </w:style>
  <w:style w:type="character" w:customStyle="1" w:styleId="15">
    <w:name w:val="font01"/>
    <w:basedOn w:val="11"/>
    <w:qFormat/>
    <w:uiPriority w:val="0"/>
    <w:rPr>
      <w:rFonts w:hint="eastAsia" w:ascii="宋体" w:hAnsi="宋体" w:eastAsia="宋体" w:cs="宋体"/>
      <w:color w:val="000000"/>
      <w:sz w:val="20"/>
      <w:szCs w:val="20"/>
      <w:u w:val="none"/>
    </w:rPr>
  </w:style>
  <w:style w:type="character" w:customStyle="1" w:styleId="16">
    <w:name w:val="页眉 字符"/>
    <w:basedOn w:val="11"/>
    <w:link w:val="6"/>
    <w:qFormat/>
    <w:uiPriority w:val="0"/>
    <w:rPr>
      <w:rFonts w:ascii="Arial" w:hAnsi="Arial" w:eastAsia="Arial" w:cs="Arial"/>
      <w:snapToGrid w:val="0"/>
      <w:color w:val="000000"/>
      <w:sz w:val="18"/>
      <w:szCs w:val="18"/>
    </w:rPr>
  </w:style>
  <w:style w:type="character" w:customStyle="1" w:styleId="17">
    <w:name w:val="页脚 字符"/>
    <w:basedOn w:val="11"/>
    <w:link w:val="5"/>
    <w:qFormat/>
    <w:uiPriority w:val="99"/>
    <w:rPr>
      <w:rFonts w:ascii="Arial" w:hAnsi="Arial" w:eastAsia="Arial" w:cs="Arial"/>
      <w:snapToGrid w:val="0"/>
      <w:color w:val="000000"/>
      <w:sz w:val="18"/>
      <w:szCs w:val="18"/>
    </w:rPr>
  </w:style>
  <w:style w:type="character" w:customStyle="1" w:styleId="18">
    <w:name w:val="font11"/>
    <w:basedOn w:val="11"/>
    <w:qFormat/>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25</Pages>
  <Words>9070</Words>
  <Characters>11000</Characters>
  <Lines>102</Lines>
  <Paragraphs>28</Paragraphs>
  <TotalTime>50</TotalTime>
  <ScaleCrop>false</ScaleCrop>
  <LinksUpToDate>false</LinksUpToDate>
  <CharactersWithSpaces>11031</CharactersWithSpaces>
  <Application>WPS Office_11.8.2.10587_F1E327BC-269C-435d-A152-05C5408002CA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2023-03-27T15:27:00Z</dcterms:created>
  <dc:creator>WPS_1599385647</dc:creator>
  <cp:lastModifiedBy>admin</cp:lastModifiedBy>
  <cp:lastPrinted>2023-06-09T01:06:00Z</cp:lastPrinted>
  <dcterms:modified xsi:type="dcterms:W3CDTF">2023-06-09T17:16:32Z</dcterms:modified>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2052-11.8.2.10587</vt:lpwstr>
  </property>
  <property fmtid="{D5CDD505-2E9C-101B-9397-08002B2CF9AE}" pid="3" name="ICV">
    <vt:lpwstr>B3527A10C09E49DE87BAD695422A8CFA_13</vt:lpwstr>
  </property>
</Properties>
</file>