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方正小标宋简体" w:hAnsi="黑体" w:eastAsia="方正小标宋简体" w:cs="Times New Roman"/>
          <w:snapToGrid/>
          <w:color w:val="auto"/>
          <w:kern w:val="2"/>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ascii="方正小标宋简体" w:hAnsi="黑体" w:eastAsia="方正小标宋简体" w:cs="Times New Roman"/>
          <w:snapToGrid/>
          <w:color w:val="auto"/>
          <w:kern w:val="2"/>
          <w:sz w:val="40"/>
          <w:szCs w:val="40"/>
        </w:rPr>
      </w:pPr>
      <w:r>
        <w:rPr>
          <w:rFonts w:hint="eastAsia" w:ascii="方正小标宋简体" w:hAnsi="黑体" w:eastAsia="方正小标宋简体" w:cs="Times New Roman"/>
          <w:snapToGrid/>
          <w:color w:val="auto"/>
          <w:kern w:val="2"/>
          <w:sz w:val="40"/>
          <w:szCs w:val="40"/>
        </w:rPr>
        <w:t>2022年度中央</w:t>
      </w:r>
      <w:r>
        <w:rPr>
          <w:rFonts w:hint="eastAsia" w:ascii="方正小标宋简体" w:hAnsi="黑体" w:eastAsia="方正小标宋简体" w:cs="Times New Roman"/>
          <w:snapToGrid/>
          <w:color w:val="auto"/>
          <w:kern w:val="2"/>
          <w:sz w:val="40"/>
          <w:szCs w:val="40"/>
          <w:lang w:eastAsia="zh-CN"/>
        </w:rPr>
        <w:t>对北京</w:t>
      </w:r>
      <w:r>
        <w:rPr>
          <w:rFonts w:hint="eastAsia" w:ascii="方正小标宋简体" w:hAnsi="黑体" w:eastAsia="方正小标宋简体" w:cs="Times New Roman"/>
          <w:snapToGrid/>
          <w:color w:val="auto"/>
          <w:kern w:val="2"/>
          <w:sz w:val="40"/>
          <w:szCs w:val="40"/>
        </w:rPr>
        <w:t>医疗服务与保障能力提升补助资金（医疗卫生机构能力建设）</w:t>
      </w:r>
    </w:p>
    <w:p>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ascii="方正小标宋简体" w:hAnsi="黑体" w:eastAsia="方正小标宋简体" w:cs="Times New Roman"/>
          <w:snapToGrid/>
          <w:color w:val="auto"/>
          <w:kern w:val="2"/>
          <w:sz w:val="40"/>
          <w:szCs w:val="40"/>
        </w:rPr>
      </w:pPr>
      <w:r>
        <w:rPr>
          <w:rFonts w:hint="eastAsia" w:ascii="方正小标宋简体" w:hAnsi="黑体" w:eastAsia="方正小标宋简体" w:cs="Times New Roman"/>
          <w:snapToGrid/>
          <w:color w:val="auto"/>
          <w:kern w:val="2"/>
          <w:sz w:val="40"/>
          <w:szCs w:val="40"/>
        </w:rPr>
        <w:t>转移支付</w:t>
      </w:r>
      <w:r>
        <w:rPr>
          <w:rFonts w:hint="eastAsia" w:ascii="方正小标宋简体" w:hAnsi="黑体" w:eastAsia="方正小标宋简体" w:cs="Times New Roman"/>
          <w:snapToGrid/>
          <w:color w:val="auto"/>
          <w:kern w:val="2"/>
          <w:sz w:val="40"/>
          <w:szCs w:val="40"/>
          <w:lang w:eastAsia="zh-CN"/>
        </w:rPr>
        <w:t>预算执行情况</w:t>
      </w:r>
      <w:r>
        <w:rPr>
          <w:rFonts w:hint="eastAsia" w:ascii="方正小标宋简体" w:hAnsi="黑体" w:eastAsia="方正小标宋简体" w:cs="Times New Roman"/>
          <w:snapToGrid/>
          <w:color w:val="auto"/>
          <w:kern w:val="2"/>
          <w:sz w:val="40"/>
          <w:szCs w:val="40"/>
        </w:rPr>
        <w:t>绩效自评报告</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sz w:val="32"/>
          <w:szCs w:val="32"/>
        </w:rPr>
      </w:pP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_GB2312" w:eastAsia="仿宋_GB2312" w:cs="仿宋_GB2312"/>
          <w:sz w:val="32"/>
          <w:szCs w:val="32"/>
        </w:rPr>
      </w:pPr>
      <w:r>
        <w:rPr>
          <w:rFonts w:hint="eastAsia" w:ascii="仿宋_GB2312" w:hAnsi="仿宋_GB2312" w:eastAsia="仿宋_GB2312" w:cs="仿宋_GB2312"/>
          <w:sz w:val="32"/>
          <w:szCs w:val="32"/>
        </w:rPr>
        <w:t>为了贯彻落实《中共中央 国务院关于全面实施预算绩效管理的意见》《中共北京市委 北京市人民政府关于全面实施预算绩效管理的实施意见》有关精神，加快建成全方位、全过程、全覆盖的预算绩效管理体系，切实增强资金使用单位支出绩效意识，提高中央对地方转移支付资金使用效益，根据财政部《关于开展2022年度中央对地方转移支付预算执行情况绩效自评工作的通知》（财监〔2023〕1号）文件要求，北京市卫生健康委员会组织</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eastAsia="zh-CN"/>
        </w:rPr>
        <w:t>区卫生健康委员会</w:t>
      </w:r>
      <w:r>
        <w:rPr>
          <w:rFonts w:hint="eastAsia" w:ascii="仿宋_GB2312" w:hAnsi="仿宋_GB2312" w:eastAsia="仿宋_GB2312" w:cs="仿宋_GB2312"/>
          <w:sz w:val="32"/>
          <w:szCs w:val="32"/>
        </w:rPr>
        <w:t>员会、北京市卫生健康委员会机关、北京妇幼保健院和北京市疾病预防控制中心开展了2022年北京市中央转移支付医疗服务与保障能力提升补助资金（医疗卫生机构能力建设）的绩效自评工作，形成绩效自评报告。</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outlineLvl w:val="0"/>
        <w:rPr>
          <w:rFonts w:hint="eastAsia" w:ascii="黑体" w:hAnsi="宋体" w:eastAsia="黑体" w:cs="黑体"/>
          <w:bCs/>
          <w:sz w:val="32"/>
          <w:szCs w:val="32"/>
          <w:lang w:eastAsia="zh-CN" w:bidi="ar"/>
        </w:rPr>
      </w:pPr>
      <w:bookmarkStart w:id="0" w:name="_Toc1146578714_WPSOffice_Level1"/>
      <w:r>
        <w:rPr>
          <w:rFonts w:hint="eastAsia" w:ascii="黑体" w:hAnsi="宋体" w:eastAsia="黑体" w:cs="黑体"/>
          <w:bCs/>
          <w:sz w:val="32"/>
          <w:szCs w:val="32"/>
          <w:lang w:bidi="ar"/>
        </w:rPr>
        <w:t>一、</w:t>
      </w:r>
      <w:bookmarkEnd w:id="0"/>
      <w:r>
        <w:rPr>
          <w:rFonts w:hint="eastAsia" w:ascii="黑体" w:hAnsi="宋体" w:eastAsia="黑体" w:cs="黑体"/>
          <w:bCs/>
          <w:sz w:val="32"/>
          <w:szCs w:val="32"/>
          <w:lang w:eastAsia="zh-CN" w:bidi="ar"/>
        </w:rPr>
        <w:t>转移支付基本情况</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楷体_GB2312" w:hAnsi="楷体_GB2312" w:eastAsia="楷体_GB2312" w:cs="楷体_GB2312"/>
          <w:b w:val="0"/>
          <w:bCs/>
          <w:kern w:val="2"/>
          <w:sz w:val="32"/>
          <w:szCs w:val="32"/>
          <w:lang w:eastAsia="zh-CN" w:bidi="ar"/>
        </w:rPr>
      </w:pPr>
      <w:bookmarkStart w:id="1" w:name="_Toc1177681667_WPSOffice_Level2"/>
      <w:r>
        <w:rPr>
          <w:rFonts w:hint="eastAsia" w:ascii="楷体_GB2312" w:hAnsi="楷体_GB2312" w:eastAsia="楷体_GB2312" w:cs="楷体_GB2312"/>
          <w:b w:val="0"/>
          <w:bCs/>
          <w:kern w:val="2"/>
          <w:sz w:val="32"/>
          <w:szCs w:val="32"/>
          <w:lang w:bidi="ar"/>
        </w:rPr>
        <w:t>（一）</w:t>
      </w:r>
      <w:bookmarkEnd w:id="1"/>
      <w:r>
        <w:rPr>
          <w:rFonts w:hint="eastAsia" w:ascii="楷体_GB2312" w:hAnsi="楷体_GB2312" w:eastAsia="楷体_GB2312" w:cs="楷体_GB2312"/>
          <w:sz w:val="32"/>
          <w:szCs w:val="32"/>
        </w:rPr>
        <w:t>医疗卫生机构能力建设</w:t>
      </w:r>
      <w:r>
        <w:rPr>
          <w:rFonts w:hint="eastAsia" w:ascii="楷体_GB2312" w:hAnsi="楷体_GB2312" w:eastAsia="楷体_GB2312" w:cs="楷体_GB2312"/>
          <w:b w:val="0"/>
          <w:bCs/>
          <w:kern w:val="2"/>
          <w:sz w:val="32"/>
          <w:szCs w:val="32"/>
          <w:lang w:eastAsia="zh-CN" w:bidi="ar"/>
        </w:rPr>
        <w:t>转移支付概况。</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rPr>
        <w:t>2022年北京市中央转移支付医疗服务与保障能力提升补助资金（医疗卫生机构能力建设）项目涉及北京市卫生健康委员会、丰台区卫健委、门头沟区卫健委、房山区卫健委、昌平区卫健委、怀柔区卫健委、密云区卫健委等6个</w:t>
      </w:r>
      <w:r>
        <w:rPr>
          <w:rFonts w:hint="eastAsia" w:ascii="仿宋_GB2312" w:hAnsi="仿宋_GB2312" w:eastAsia="仿宋_GB2312" w:cs="仿宋_GB2312"/>
          <w:bCs/>
          <w:color w:val="auto"/>
          <w:sz w:val="32"/>
          <w:szCs w:val="32"/>
          <w:lang w:eastAsia="zh-CN"/>
        </w:rPr>
        <w:t>区卫生健康委员会</w:t>
      </w:r>
      <w:r>
        <w:rPr>
          <w:rFonts w:hint="eastAsia" w:ascii="仿宋_GB2312" w:hAnsi="仿宋_GB2312" w:eastAsia="仿宋_GB2312" w:cs="仿宋_GB2312"/>
          <w:bCs/>
          <w:color w:val="auto"/>
          <w:sz w:val="32"/>
          <w:szCs w:val="32"/>
        </w:rPr>
        <w:t>、北京市妇幼保健院、北京市疾病预防控制中心、国家卫生健康委职业安全卫生研究中心石龙医院和应急总医院</w:t>
      </w:r>
      <w:r>
        <w:rPr>
          <w:rFonts w:hint="eastAsia" w:ascii="仿宋_GB2312" w:hAnsi="仿宋_GB2312" w:eastAsia="仿宋_GB2312" w:cs="仿宋_GB2312"/>
          <w:bCs/>
          <w:color w:val="auto"/>
          <w:sz w:val="32"/>
          <w:szCs w:val="32"/>
          <w:lang w:eastAsia="zh-CN"/>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楷体" w:hAnsi="楷体" w:eastAsia="楷体" w:cs="楷体"/>
          <w:b w:val="0"/>
          <w:bCs/>
          <w:kern w:val="2"/>
          <w:sz w:val="32"/>
          <w:szCs w:val="32"/>
          <w:lang w:eastAsia="zh-CN" w:bidi="ar"/>
        </w:rPr>
      </w:pPr>
      <w:r>
        <w:rPr>
          <w:rFonts w:hint="eastAsia" w:ascii="楷体" w:hAnsi="楷体" w:eastAsia="楷体" w:cs="楷体"/>
          <w:b w:val="0"/>
          <w:bCs/>
          <w:kern w:val="2"/>
          <w:sz w:val="32"/>
          <w:szCs w:val="32"/>
          <w:lang w:bidi="ar"/>
        </w:rPr>
        <w:t>（</w:t>
      </w:r>
      <w:r>
        <w:rPr>
          <w:rFonts w:hint="eastAsia" w:ascii="楷体" w:hAnsi="楷体" w:eastAsia="楷体" w:cs="楷体"/>
          <w:b w:val="0"/>
          <w:bCs/>
          <w:kern w:val="2"/>
          <w:sz w:val="32"/>
          <w:szCs w:val="32"/>
          <w:lang w:eastAsia="zh-CN" w:bidi="ar"/>
        </w:rPr>
        <w:t>二</w:t>
      </w:r>
      <w:r>
        <w:rPr>
          <w:rFonts w:hint="eastAsia" w:ascii="楷体" w:hAnsi="楷体" w:eastAsia="楷体" w:cs="楷体"/>
          <w:b w:val="0"/>
          <w:bCs/>
          <w:kern w:val="2"/>
          <w:sz w:val="32"/>
          <w:szCs w:val="32"/>
          <w:lang w:bidi="ar"/>
        </w:rPr>
        <w:t>）资金投入情况分析</w:t>
      </w:r>
      <w:r>
        <w:rPr>
          <w:rFonts w:hint="eastAsia" w:ascii="楷体" w:hAnsi="楷体" w:eastAsia="楷体" w:cs="楷体"/>
          <w:b w:val="0"/>
          <w:bCs/>
          <w:kern w:val="2"/>
          <w:sz w:val="32"/>
          <w:szCs w:val="32"/>
          <w:lang w:eastAsia="zh-CN" w:bidi="ar"/>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等线" w:eastAsia="仿宋_GB2312"/>
          <w:sz w:val="32"/>
          <w:szCs w:val="32"/>
          <w:lang w:bidi="ar"/>
        </w:rPr>
      </w:pPr>
      <w:r>
        <w:rPr>
          <w:rFonts w:hint="eastAsia" w:ascii="仿宋_GB2312" w:hAnsi="等线" w:eastAsia="仿宋_GB2312"/>
          <w:sz w:val="32"/>
          <w:szCs w:val="32"/>
          <w:lang w:bidi="ar"/>
        </w:rPr>
        <w:t>2022年北京市中央转移支付医疗服务与保障能力提升补助资金（医疗卫生机构能力建设）</w:t>
      </w:r>
      <w:r>
        <w:rPr>
          <w:rFonts w:hint="eastAsia" w:ascii="仿宋_GB2312" w:hAnsi="等线" w:eastAsia="仿宋_GB2312"/>
          <w:sz w:val="32"/>
          <w:szCs w:val="32"/>
          <w:lang w:eastAsia="zh-Hans" w:bidi="ar"/>
        </w:rPr>
        <w:t>预算共计10,815万元，截至202</w:t>
      </w:r>
      <w:r>
        <w:rPr>
          <w:rFonts w:ascii="仿宋_GB2312" w:hAnsi="等线" w:eastAsia="仿宋_GB2312"/>
          <w:sz w:val="32"/>
          <w:szCs w:val="32"/>
          <w:lang w:eastAsia="zh-Hans" w:bidi="ar"/>
        </w:rPr>
        <w:t>2</w:t>
      </w:r>
      <w:r>
        <w:rPr>
          <w:rFonts w:hint="eastAsia" w:ascii="仿宋_GB2312" w:hAnsi="等线" w:eastAsia="仿宋_GB2312"/>
          <w:sz w:val="32"/>
          <w:szCs w:val="32"/>
          <w:lang w:eastAsia="zh-Hans" w:bidi="ar"/>
        </w:rPr>
        <w:t>年12月31日，账面实际支出3,251.2</w:t>
      </w:r>
      <w:r>
        <w:rPr>
          <w:rFonts w:hint="eastAsia" w:ascii="仿宋_GB2312" w:hAnsi="等线" w:eastAsia="仿宋_GB2312"/>
          <w:sz w:val="32"/>
          <w:szCs w:val="32"/>
          <w:lang w:val="en-US" w:eastAsia="zh-CN" w:bidi="ar"/>
        </w:rPr>
        <w:t>1</w:t>
      </w:r>
      <w:r>
        <w:rPr>
          <w:rFonts w:hint="eastAsia" w:ascii="仿宋_GB2312" w:hAnsi="等线" w:eastAsia="仿宋_GB2312"/>
          <w:sz w:val="32"/>
          <w:szCs w:val="32"/>
          <w:lang w:eastAsia="zh-Hans" w:bidi="ar"/>
        </w:rPr>
        <w:t>万元，资金执行率为30.06%</w:t>
      </w:r>
      <w:r>
        <w:rPr>
          <w:rFonts w:hint="eastAsia" w:ascii="仿宋_GB2312" w:hAnsi="等线" w:eastAsia="仿宋_GB2312"/>
          <w:sz w:val="32"/>
          <w:szCs w:val="32"/>
          <w:lang w:bidi="ar"/>
        </w:rPr>
        <w:t>，均为中央转移支付资金。其中妇幼保健机构能力建设项目预算金额为909万元，执行金额为794.34万元，执行率为87.39%；疾病预防控制机构能力建设预算金额为1,500万元，执行金额为1,252.8</w:t>
      </w:r>
      <w:r>
        <w:rPr>
          <w:rFonts w:hint="eastAsia" w:ascii="仿宋_GB2312" w:hAnsi="等线" w:eastAsia="仿宋_GB2312"/>
          <w:sz w:val="32"/>
          <w:szCs w:val="32"/>
          <w:lang w:val="en-US" w:eastAsia="zh-CN" w:bidi="ar"/>
        </w:rPr>
        <w:t>7</w:t>
      </w:r>
      <w:r>
        <w:rPr>
          <w:rFonts w:hint="eastAsia" w:ascii="仿宋_GB2312" w:hAnsi="等线" w:eastAsia="仿宋_GB2312"/>
          <w:sz w:val="32"/>
          <w:szCs w:val="32"/>
          <w:lang w:bidi="ar"/>
        </w:rPr>
        <w:t>万元，执行率为83.52%；职业病防治能力提升预算金额为1,206万元，执行金额为1,204</w:t>
      </w:r>
      <w:r>
        <w:rPr>
          <w:rFonts w:hint="eastAsia" w:ascii="仿宋_GB2312" w:hAnsi="等线" w:eastAsia="仿宋_GB2312"/>
          <w:sz w:val="32"/>
          <w:szCs w:val="32"/>
          <w:lang w:val="en-US" w:eastAsia="zh-CN" w:bidi="ar"/>
        </w:rPr>
        <w:t>.00</w:t>
      </w:r>
      <w:r>
        <w:rPr>
          <w:rFonts w:hint="eastAsia" w:ascii="仿宋_GB2312" w:hAnsi="等线" w:eastAsia="仿宋_GB2312"/>
          <w:sz w:val="32"/>
          <w:szCs w:val="32"/>
          <w:lang w:bidi="ar"/>
        </w:rPr>
        <w:t>万元，执行率为99.83%；国家临床重点专科能力建设预算金额为4,000</w:t>
      </w:r>
      <w:r>
        <w:rPr>
          <w:rFonts w:hint="eastAsia" w:ascii="仿宋_GB2312" w:hAnsi="等线" w:eastAsia="仿宋_GB2312"/>
          <w:sz w:val="32"/>
          <w:szCs w:val="32"/>
          <w:lang w:val="en-US" w:eastAsia="zh-CN" w:bidi="ar"/>
        </w:rPr>
        <w:t>.00</w:t>
      </w:r>
      <w:r>
        <w:rPr>
          <w:rFonts w:hint="eastAsia" w:ascii="仿宋_GB2312" w:hAnsi="等线" w:eastAsia="仿宋_GB2312"/>
          <w:sz w:val="32"/>
          <w:szCs w:val="32"/>
          <w:lang w:bidi="ar"/>
        </w:rPr>
        <w:t>万元，执行金额为0万元，执行率为0.00%；承担疫情重点救治任务医院能力建设预算金额为3,200万元，执行金额为0万元，执行率为0.00%。</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楷体" w:hAnsi="楷体" w:eastAsia="楷体" w:cs="楷体"/>
          <w:b w:val="0"/>
          <w:bCs/>
          <w:kern w:val="2"/>
          <w:sz w:val="32"/>
          <w:szCs w:val="32"/>
          <w:lang w:eastAsia="zh-CN" w:bidi="ar"/>
        </w:rPr>
      </w:pPr>
      <w:r>
        <w:rPr>
          <w:rFonts w:hint="eastAsia" w:ascii="楷体" w:hAnsi="楷体" w:eastAsia="楷体" w:cs="楷体"/>
          <w:b w:val="0"/>
          <w:bCs/>
          <w:kern w:val="2"/>
          <w:sz w:val="32"/>
          <w:szCs w:val="32"/>
          <w:lang w:bidi="ar"/>
        </w:rPr>
        <w:t>（</w:t>
      </w:r>
      <w:r>
        <w:rPr>
          <w:rFonts w:hint="eastAsia" w:ascii="楷体" w:hAnsi="楷体" w:eastAsia="楷体" w:cs="楷体"/>
          <w:b w:val="0"/>
          <w:bCs/>
          <w:kern w:val="2"/>
          <w:sz w:val="32"/>
          <w:szCs w:val="32"/>
          <w:lang w:eastAsia="zh-CN" w:bidi="ar"/>
        </w:rPr>
        <w:t>三</w:t>
      </w:r>
      <w:r>
        <w:rPr>
          <w:rFonts w:hint="eastAsia" w:ascii="楷体" w:hAnsi="楷体" w:eastAsia="楷体" w:cs="楷体"/>
          <w:b w:val="0"/>
          <w:bCs/>
          <w:kern w:val="2"/>
          <w:sz w:val="32"/>
          <w:szCs w:val="32"/>
          <w:lang w:bidi="ar"/>
        </w:rPr>
        <w:t>）资金管理情况分析</w:t>
      </w:r>
      <w:r>
        <w:rPr>
          <w:rFonts w:hint="eastAsia" w:ascii="楷体" w:hAnsi="楷体" w:eastAsia="楷体" w:cs="楷体"/>
          <w:b w:val="0"/>
          <w:bCs/>
          <w:kern w:val="2"/>
          <w:sz w:val="32"/>
          <w:szCs w:val="32"/>
          <w:lang w:eastAsia="zh-CN" w:bidi="ar"/>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1.资金分配科学性</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北京市卫生健康委员会根据《财政部 国家卫生健康委关于提前下达2022年医疗服务与保障能力提升（医疗卫生机构能力建设）补助资金预算的通知》（财社〔2021〕172号）、《财政部 国家卫生健康委 国家疾控局关于下达2022年医疗服务与保障能力提升（医疗卫生机构能力建设）补助资金预算的通知》（财社〔2022〕55号）下达北京市中央转移支付医疗服务与保障能力提升补助资金（医疗卫生机构能力建设）文件要求，结合北京市实际情况，计划开展妇幼保健机构能力建设、疾病预防控制机构能力建设、职业病防治能力提升项目，制定了</w:t>
      </w:r>
      <w:r>
        <w:rPr>
          <w:rFonts w:hint="eastAsia" w:ascii="仿宋_GB2312" w:eastAsia="仿宋_GB2312"/>
          <w:color w:val="auto"/>
          <w:sz w:val="32"/>
          <w:szCs w:val="32"/>
        </w:rPr>
        <w:t>《北京市2022年妇幼保健机构能力建设项目实施方案》《北京市职业病诊断等机构能力建设实施方案》和《北京市第三批尘肺病康复站点能力提升实施方案》</w:t>
      </w:r>
      <w:r>
        <w:rPr>
          <w:rFonts w:hint="eastAsia" w:ascii="仿宋_GB2312" w:eastAsia="仿宋_GB2312"/>
          <w:sz w:val="32"/>
          <w:szCs w:val="32"/>
        </w:rPr>
        <w:t>，分配项目资金</w:t>
      </w:r>
      <w:r>
        <w:rPr>
          <w:rFonts w:hint="eastAsia" w:ascii="仿宋_GB2312" w:hAnsi="楷体" w:eastAsia="仿宋_GB2312" w:cs="仿宋_GB2312"/>
          <w:bCs/>
          <w:sz w:val="32"/>
          <w:szCs w:val="32"/>
          <w:lang w:bidi="ar"/>
        </w:rPr>
        <w:t>。由于《财政部 国家卫生健康委关于下达2022年医疗服务与保障能力提升（医疗卫生机构能力建设、卫生健康人才培养）补助资金（第二批）预算的通知》（财社〔2022〕176号）通知下达时间较晚，2022年尚未完成资金的分配。</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2.资金下达及时性</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北京市卫生健康委员会制定项目实施方案后，严格按照预算法及其实施条例，向北京市财政局提出申请，由北京市财政局及时将项目资金下达至北京市卫生健康委员会、北京市妇幼保健院和北京市疾控中心及丰台区、门头沟区、房山区、昌平区、怀柔区和密云区等区财政局，区财政局在收到各</w:t>
      </w:r>
      <w:r>
        <w:rPr>
          <w:rFonts w:hint="eastAsia" w:ascii="仿宋_GB2312" w:hAnsi="楷体" w:eastAsia="仿宋_GB2312" w:cs="仿宋_GB2312"/>
          <w:bCs/>
          <w:sz w:val="32"/>
          <w:szCs w:val="32"/>
          <w:lang w:eastAsia="zh-CN" w:bidi="ar"/>
        </w:rPr>
        <w:t>区卫生健康委员会</w:t>
      </w:r>
      <w:r>
        <w:rPr>
          <w:rFonts w:hint="eastAsia" w:ascii="仿宋_GB2312" w:hAnsi="楷体" w:eastAsia="仿宋_GB2312" w:cs="仿宋_GB2312"/>
          <w:bCs/>
          <w:sz w:val="32"/>
          <w:szCs w:val="32"/>
          <w:lang w:bidi="ar"/>
        </w:rPr>
        <w:t>员会关于资金分配的方案后，按照要求及时将项目资金下达给各区的资金使用单位，项目整体资金下达较为及时。</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3.资金拨付合规性</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outlineLvl w:val="2"/>
        <w:rPr>
          <w:rFonts w:ascii="仿宋_GB2312" w:hAnsi="楷体" w:eastAsia="仿宋_GB2312" w:cs="仿宋_GB2312"/>
          <w:bCs/>
          <w:sz w:val="32"/>
          <w:szCs w:val="32"/>
          <w:lang w:bidi="ar"/>
        </w:rPr>
      </w:pPr>
      <w:r>
        <w:rPr>
          <w:rFonts w:hint="eastAsia" w:ascii="仿宋_GB2312" w:hAnsi="仿宋_GB2312" w:eastAsia="仿宋_GB2312" w:cs="仿宋_GB2312"/>
          <w:bCs/>
          <w:color w:val="auto"/>
          <w:sz w:val="32"/>
          <w:szCs w:val="32"/>
        </w:rPr>
        <w:t>2022年北京市中央转移支付医疗服务与保障能力提升补助资金（医疗卫生机构能力建设）</w:t>
      </w:r>
      <w:r>
        <w:rPr>
          <w:rFonts w:hint="eastAsia" w:ascii="仿宋_GB2312" w:hAnsi="楷体" w:eastAsia="仿宋_GB2312" w:cs="仿宋_GB2312"/>
          <w:bCs/>
          <w:sz w:val="32"/>
          <w:szCs w:val="32"/>
          <w:lang w:bidi="ar"/>
        </w:rPr>
        <w:t>严格按照北京市国库集中支付制度有关规定支付资金，未出现违规将资金从国库转入财政专户或支付到预算单位实有资金账户等问题。</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4.资金使用规范性</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outlineLvl w:val="2"/>
        <w:rPr>
          <w:rFonts w:ascii="仿宋_GB2312" w:hAnsi="楷体" w:eastAsia="仿宋_GB2312" w:cs="仿宋_GB2312"/>
          <w:bCs/>
          <w:sz w:val="32"/>
          <w:szCs w:val="32"/>
          <w:lang w:bidi="ar"/>
        </w:rPr>
      </w:pPr>
      <w:r>
        <w:rPr>
          <w:rFonts w:hint="eastAsia" w:ascii="仿宋_GB2312" w:hAnsi="仿宋_GB2312" w:eastAsia="仿宋_GB2312" w:cs="仿宋_GB2312"/>
          <w:bCs/>
          <w:color w:val="auto"/>
          <w:sz w:val="32"/>
          <w:szCs w:val="32"/>
        </w:rPr>
        <w:t>2022年北京市中央转移支付医疗服务与保障能力提升补助资金（医疗卫生机构能力建设）</w:t>
      </w:r>
      <w:r>
        <w:rPr>
          <w:rFonts w:hint="eastAsia" w:ascii="仿宋_GB2312" w:hAnsi="楷体" w:eastAsia="仿宋_GB2312" w:cs="仿宋_GB2312"/>
          <w:bCs/>
          <w:sz w:val="32"/>
          <w:szCs w:val="32"/>
          <w:lang w:bidi="ar"/>
        </w:rPr>
        <w:t>根据《财政部 国家卫生健康委关于提前下达2022年医疗服务与保障能力提升（医疗卫生机构能力建设）补助资金预算的通知》（财社〔2021〕172号）、《财政部 国家卫生健康委 国家疾控局关于下达2022年医疗服务与保障能力提升（医疗卫生机构能力建设）补助资金预算的通知》（财社〔2022〕55号）的通知要求，按照《北京市2022年妇幼保健机构能力建设项目实施方案</w:t>
      </w:r>
      <w:r>
        <w:rPr>
          <w:rFonts w:hint="eastAsia" w:ascii="仿宋_GB2312" w:eastAsia="仿宋_GB2312"/>
          <w:color w:val="auto"/>
          <w:sz w:val="32"/>
          <w:szCs w:val="32"/>
        </w:rPr>
        <w:t>》《</w:t>
      </w:r>
      <w:r>
        <w:rPr>
          <w:rFonts w:ascii="仿宋_GB2312" w:hAnsi="仿宋_GB2312" w:eastAsia="仿宋_GB2312" w:cs="仿宋_GB2312"/>
          <w:color w:val="auto"/>
          <w:sz w:val="32"/>
          <w:szCs w:val="32"/>
        </w:rPr>
        <w:t>北京市职业病诊断等机构能力建设实施方案</w:t>
      </w:r>
      <w:r>
        <w:rPr>
          <w:rFonts w:hint="eastAsia" w:ascii="仿宋_GB2312" w:hAnsi="仿宋_GB2312" w:eastAsia="仿宋_GB2312" w:cs="仿宋_GB2312"/>
          <w:sz w:val="32"/>
          <w:szCs w:val="32"/>
        </w:rPr>
        <w:t>》和</w:t>
      </w:r>
      <w:r>
        <w:rPr>
          <w:rFonts w:hint="eastAsia" w:ascii="仿宋_GB2312" w:eastAsia="仿宋_GB2312"/>
          <w:sz w:val="32"/>
          <w:szCs w:val="32"/>
        </w:rPr>
        <w:t>《北京市第三批尘肺病康复站点能力提升实施方案》要求，结合各个资金使用单位的项目资金管理制度、转移支付资金管理制度对</w:t>
      </w:r>
      <w:r>
        <w:rPr>
          <w:rFonts w:hint="eastAsia" w:ascii="仿宋_GB2312" w:hAnsi="楷体" w:eastAsia="仿宋_GB2312" w:cs="仿宋_GB2312"/>
          <w:bCs/>
          <w:sz w:val="32"/>
          <w:szCs w:val="32"/>
          <w:lang w:bidi="ar"/>
        </w:rPr>
        <w:t>项目实行专项核算，能够做到专款专用，严格按照下达预算的科目和项目执行，未出现截留、挤占、挪用或擅自调整等问题。并按照财务管理要求进行财务核算，会计核算基本真实、完整、及时，未出现截留挤占挪用等问题，用款程序标准符合国家财务管理制度，资金管理使用较为规范。</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5.资金执行准确性</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按照上级下达和本级预算安排的金额执行，不存在执行数偏离预算数较多的问题。北京市中央转移支付医疗服务与保障能力提升补助资金（医疗卫生机构能力建设）总投入为</w:t>
      </w:r>
      <w:r>
        <w:rPr>
          <w:rFonts w:hint="eastAsia" w:ascii="仿宋_GB2312" w:hAnsi="楷体" w:eastAsia="仿宋_GB2312" w:cs="仿宋_GB2312"/>
          <w:bCs/>
          <w:sz w:val="32"/>
          <w:szCs w:val="32"/>
          <w:lang w:eastAsia="zh-CN" w:bidi="ar"/>
        </w:rPr>
        <w:t>10,815万元</w:t>
      </w:r>
      <w:r>
        <w:rPr>
          <w:rFonts w:hint="eastAsia" w:ascii="仿宋_GB2312" w:hAnsi="楷体" w:eastAsia="仿宋_GB2312" w:cs="仿宋_GB2312"/>
          <w:bCs/>
          <w:sz w:val="32"/>
          <w:szCs w:val="32"/>
          <w:lang w:bidi="ar"/>
        </w:rPr>
        <w:t>，实际到位资金为</w:t>
      </w:r>
      <w:r>
        <w:rPr>
          <w:rFonts w:hint="eastAsia" w:ascii="仿宋_GB2312" w:hAnsi="楷体" w:eastAsia="仿宋_GB2312" w:cs="仿宋_GB2312"/>
          <w:bCs/>
          <w:sz w:val="32"/>
          <w:szCs w:val="32"/>
          <w:lang w:eastAsia="zh-CN" w:bidi="ar"/>
        </w:rPr>
        <w:t>10,815万元</w:t>
      </w:r>
      <w:r>
        <w:rPr>
          <w:rFonts w:hint="eastAsia" w:ascii="仿宋_GB2312" w:hAnsi="楷体" w:eastAsia="仿宋_GB2312" w:cs="仿宋_GB2312"/>
          <w:bCs/>
          <w:sz w:val="32"/>
          <w:szCs w:val="32"/>
          <w:lang w:bidi="ar"/>
        </w:rPr>
        <w:t>，资金到位率为100%，但是由于《财政部 国家卫生健康委关于下达2022年医疗服务与保障能力提升（医疗卫生机构能力建设、卫生健康人才培养）补助资金（第二批）预算的通知》（财社〔2022〕176号）通知下达时间较晚，项目预计2023年开展实施，剔除该部分资金后，北京市中央转移支付医疗服务与保障能力提升补助资金（医疗卫生机构能力建设）预算为</w:t>
      </w:r>
      <w:r>
        <w:rPr>
          <w:rFonts w:hint="eastAsia" w:ascii="仿宋_GB2312" w:hAnsi="楷体" w:eastAsia="仿宋_GB2312" w:cs="仿宋_GB2312"/>
          <w:bCs/>
          <w:sz w:val="32"/>
          <w:szCs w:val="32"/>
          <w:lang w:eastAsia="zh-CN" w:bidi="ar"/>
        </w:rPr>
        <w:t>3,615万元</w:t>
      </w:r>
      <w:r>
        <w:rPr>
          <w:rFonts w:hint="eastAsia" w:ascii="仿宋_GB2312" w:hAnsi="楷体" w:eastAsia="仿宋_GB2312" w:cs="仿宋_GB2312"/>
          <w:bCs/>
          <w:sz w:val="32"/>
          <w:szCs w:val="32"/>
          <w:lang w:bidi="ar"/>
        </w:rPr>
        <w:t>，截止到2022年12月31日，实际支出金额为</w:t>
      </w:r>
      <w:r>
        <w:rPr>
          <w:rFonts w:hint="eastAsia" w:ascii="仿宋_GB2312" w:hAnsi="仿宋" w:eastAsia="仿宋_GB2312"/>
          <w:sz w:val="32"/>
          <w:szCs w:val="32"/>
          <w:lang w:eastAsia="zh-CN" w:bidi="ar"/>
        </w:rPr>
        <w:t>3,251.21万元</w:t>
      </w:r>
      <w:r>
        <w:rPr>
          <w:rFonts w:hint="eastAsia" w:ascii="仿宋_GB2312" w:hAnsi="仿宋" w:eastAsia="仿宋_GB2312"/>
          <w:sz w:val="32"/>
          <w:szCs w:val="32"/>
          <w:lang w:bidi="ar"/>
        </w:rPr>
        <w:t>，预算执行率为89.94%。</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6.预算绩效管理情况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outlineLvl w:val="2"/>
        <w:rPr>
          <w:rFonts w:ascii="仿宋_GB2312" w:hAnsi="仿宋_GB2312" w:eastAsia="仿宋_GB2312" w:cs="仿宋_GB2312"/>
          <w:bCs/>
          <w:sz w:val="32"/>
          <w:szCs w:val="32"/>
        </w:rPr>
      </w:pPr>
      <w:r>
        <w:rPr>
          <w:rFonts w:hint="eastAsia" w:ascii="仿宋_GB2312" w:hAnsi="楷体" w:eastAsia="仿宋_GB2312" w:cs="仿宋_GB2312"/>
          <w:bCs/>
          <w:sz w:val="32"/>
          <w:szCs w:val="32"/>
          <w:lang w:bidi="ar"/>
        </w:rPr>
        <w:t>2022年</w:t>
      </w:r>
      <w:r>
        <w:rPr>
          <w:rFonts w:hint="eastAsia" w:ascii="仿宋_GB2312" w:hAnsi="仿宋_GB2312" w:eastAsia="仿宋_GB2312" w:cs="仿宋_GB2312"/>
          <w:bCs/>
          <w:color w:val="auto"/>
          <w:sz w:val="32"/>
          <w:szCs w:val="32"/>
          <w:lang w:eastAsia="zh-Hans"/>
        </w:rPr>
        <w:t>北京市</w:t>
      </w:r>
      <w:r>
        <w:rPr>
          <w:rFonts w:hint="eastAsia" w:ascii="仿宋_GB2312" w:hAnsi="仿宋_GB2312" w:eastAsia="仿宋_GB2312" w:cs="仿宋_GB2312"/>
          <w:bCs/>
          <w:color w:val="auto"/>
          <w:sz w:val="32"/>
          <w:szCs w:val="32"/>
        </w:rPr>
        <w:t>中央转移支付医疗服务与保障能力提升补助资金（医疗卫生机构能力建设）</w:t>
      </w:r>
      <w:r>
        <w:rPr>
          <w:rFonts w:hint="eastAsia" w:ascii="仿宋_GB2312" w:hAnsi="楷体" w:eastAsia="仿宋_GB2312" w:cs="仿宋_GB2312"/>
          <w:bCs/>
          <w:sz w:val="32"/>
          <w:szCs w:val="32"/>
          <w:lang w:bidi="ar"/>
        </w:rPr>
        <w:t>在下达预算时同步下达绩效目标，按《项目支出绩效评价管理办法》（京财预〔2020〕2146号）、</w:t>
      </w:r>
      <w:r>
        <w:rPr>
          <w:rFonts w:hint="eastAsia" w:ascii="仿宋_GB2312" w:hAnsi="仿宋_GB2312" w:eastAsia="仿宋_GB2312" w:cs="仿宋_GB2312"/>
          <w:sz w:val="32"/>
          <w:szCs w:val="32"/>
        </w:rPr>
        <w:t>《关于开展2022年度中央对地方转移支付预算执行情况绩效自评工作的通知》（财监</w:t>
      </w:r>
      <w:r>
        <w:rPr>
          <w:rFonts w:hint="eastAsia" w:ascii="仿宋_GB2312" w:hAnsi="仿宋_GB2312" w:eastAsia="仿宋_GB2312" w:cs="仿宋_GB2312"/>
          <w:bCs/>
          <w:color w:val="auto"/>
          <w:sz w:val="32"/>
          <w:szCs w:val="32"/>
          <w:lang w:eastAsia="zh-Hans"/>
        </w:rPr>
        <w:t>〔202</w:t>
      </w:r>
      <w:r>
        <w:rPr>
          <w:rFonts w:hint="eastAsia" w:ascii="仿宋_GB2312" w:hAnsi="仿宋_GB2312" w:eastAsia="仿宋_GB2312" w:cs="仿宋_GB2312"/>
          <w:bCs/>
          <w:color w:val="auto"/>
          <w:sz w:val="32"/>
          <w:szCs w:val="32"/>
        </w:rPr>
        <w:t>3</w:t>
      </w:r>
      <w:r>
        <w:rPr>
          <w:rFonts w:hint="eastAsia" w:ascii="仿宋_GB2312" w:hAnsi="仿宋_GB2312" w:eastAsia="仿宋_GB2312" w:cs="仿宋_GB2312"/>
          <w:bCs/>
          <w:color w:val="auto"/>
          <w:sz w:val="32"/>
          <w:szCs w:val="32"/>
          <w:lang w:eastAsia="zh-Hans"/>
        </w:rPr>
        <w:t>〕</w:t>
      </w:r>
      <w:r>
        <w:rPr>
          <w:rFonts w:hint="eastAsia" w:ascii="仿宋_GB2312" w:hAnsi="仿宋_GB2312" w:eastAsia="仿宋_GB2312" w:cs="仿宋_GB2312"/>
          <w:sz w:val="32"/>
          <w:szCs w:val="32"/>
        </w:rPr>
        <w:t>1号）</w:t>
      </w:r>
      <w:r>
        <w:rPr>
          <w:rFonts w:hint="eastAsia" w:ascii="仿宋_GB2312" w:hAnsi="楷体" w:eastAsia="仿宋_GB2312" w:cs="仿宋_GB2312"/>
          <w:bCs/>
          <w:sz w:val="32"/>
          <w:szCs w:val="32"/>
          <w:lang w:bidi="ar"/>
        </w:rPr>
        <w:t>要求，结合项目绩效目标完成情况开展绩效自评工作。</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7.支出责任履行情况</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等线" w:eastAsia="仿宋_GB2312"/>
          <w:sz w:val="32"/>
          <w:szCs w:val="32"/>
          <w:lang w:eastAsia="zh-CN" w:bidi="ar"/>
        </w:rPr>
      </w:pPr>
      <w:r>
        <w:rPr>
          <w:rFonts w:hint="eastAsia" w:ascii="仿宋_GB2312" w:hAnsi="楷体" w:eastAsia="仿宋_GB2312" w:cs="仿宋_GB2312"/>
          <w:bCs/>
          <w:sz w:val="32"/>
          <w:szCs w:val="32"/>
          <w:lang w:bidi="ar"/>
        </w:rPr>
        <w:t>北京市卫生健康委员会和北京市财政局针对</w:t>
      </w:r>
      <w:r>
        <w:rPr>
          <w:rFonts w:hint="eastAsia" w:ascii="仿宋_GB2312" w:hAnsi="仿宋" w:eastAsia="仿宋_GB2312"/>
          <w:sz w:val="32"/>
          <w:szCs w:val="32"/>
          <w:lang w:bidi="ar"/>
        </w:rPr>
        <w:t>中央转移支付医疗服务与保障能力提升补助资金（医疗卫生机构能力建设）</w:t>
      </w:r>
      <w:r>
        <w:rPr>
          <w:rFonts w:hint="eastAsia" w:ascii="仿宋_GB2312" w:hAnsi="楷体" w:eastAsia="仿宋_GB2312" w:cs="仿宋_GB2312"/>
          <w:bCs/>
          <w:sz w:val="32"/>
          <w:szCs w:val="32"/>
          <w:lang w:bidi="ar"/>
        </w:rPr>
        <w:t>能够做到严格按照财政事权和支出责任划分有关规定，足额安排资金履行本级支出责任。各区财政局、卫生健康委员会及各个资金使用单位能够严格按照财政事权和支出责任划分有关规定，足额安排资金履行本级支出责任。</w:t>
      </w:r>
    </w:p>
    <w:p>
      <w:pPr>
        <w:pStyle w:val="2"/>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方正黑体_GBK" w:hAnsi="方正黑体_GBK" w:eastAsia="方正黑体_GBK" w:cs="方正黑体_GBK"/>
          <w:b w:val="0"/>
          <w:bCs/>
          <w:kern w:val="2"/>
          <w:sz w:val="32"/>
          <w:szCs w:val="32"/>
          <w:lang w:eastAsia="zh-CN" w:bidi="ar"/>
        </w:rPr>
      </w:pPr>
      <w:r>
        <w:rPr>
          <w:rFonts w:hint="eastAsia" w:ascii="方正黑体_GBK" w:hAnsi="方正黑体_GBK" w:eastAsia="方正黑体_GBK" w:cs="方正黑体_GBK"/>
          <w:b w:val="0"/>
          <w:bCs/>
          <w:kern w:val="2"/>
          <w:sz w:val="32"/>
          <w:szCs w:val="32"/>
          <w:lang w:eastAsia="zh-CN" w:bidi="ar"/>
        </w:rPr>
        <w:t>绩效目标实现情况</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等线" w:eastAsia="仿宋_GB2312"/>
          <w:sz w:val="32"/>
          <w:szCs w:val="32"/>
          <w:highlight w:val="yellow"/>
          <w:lang w:bidi="ar"/>
        </w:rPr>
      </w:pPr>
      <w:r>
        <w:rPr>
          <w:rFonts w:hint="eastAsia" w:ascii="仿宋" w:hAnsi="仿宋" w:eastAsia="仿宋" w:cs="仿宋"/>
          <w:sz w:val="32"/>
          <w:szCs w:val="32"/>
          <w:lang w:eastAsia="zh-Hans"/>
        </w:rPr>
        <w:t>根据</w:t>
      </w:r>
      <w:r>
        <w:rPr>
          <w:rFonts w:hint="eastAsia" w:ascii="仿宋_GB2312" w:hAnsi="仿宋" w:eastAsia="仿宋_GB2312"/>
          <w:sz w:val="32"/>
          <w:szCs w:val="32"/>
          <w:lang w:bidi="ar"/>
        </w:rPr>
        <w:t>《财政部 国家卫生健康委关于提前下达2022年医疗服务与保障能力提升（医疗卫生机构能力建设）补助资金预算的通知》（财社〔2021〕172号）、《财政部 国家卫生健康委 国家疾控局关于下达2022年医疗服务与保障能力提升（医疗卫生机构能力建设）补助资金预算的通知》（财社〔2022〕55号）、《财政部 国家卫生健康委关于下达2022年医疗服务与保障能力提升（医疗卫生机构能力建设、卫生健康人才培养）补助资金（第二批）预算的通知》（财社〔2022〕176号）</w:t>
      </w:r>
      <w:r>
        <w:rPr>
          <w:rFonts w:hint="eastAsia" w:ascii="仿宋_GB2312" w:hAnsi="仿宋" w:eastAsia="仿宋_GB2312"/>
          <w:sz w:val="32"/>
          <w:szCs w:val="32"/>
          <w:lang w:eastAsia="zh-Hans" w:bidi="ar"/>
        </w:rPr>
        <w:t>文件</w:t>
      </w:r>
      <w:r>
        <w:rPr>
          <w:rFonts w:ascii="仿宋_GB2312" w:hAnsi="仿宋" w:eastAsia="仿宋_GB2312"/>
          <w:sz w:val="32"/>
          <w:szCs w:val="32"/>
          <w:lang w:eastAsia="zh-Hans" w:bidi="ar"/>
        </w:rPr>
        <w:t>，</w:t>
      </w:r>
      <w:r>
        <w:rPr>
          <w:rFonts w:hint="eastAsia" w:ascii="仿宋_GB2312" w:hAnsi="仿宋" w:eastAsia="仿宋_GB2312"/>
          <w:sz w:val="32"/>
          <w:szCs w:val="32"/>
          <w:lang w:bidi="ar"/>
        </w:rPr>
        <w:t>下达2022年北京市中央转移支付医疗服务与保障能力提升补助资金（医疗卫生机构能力建设）</w:t>
      </w:r>
      <w:r>
        <w:rPr>
          <w:rFonts w:hint="eastAsia" w:ascii="仿宋_GB2312" w:hAnsi="仿宋" w:eastAsia="仿宋_GB2312"/>
          <w:sz w:val="32"/>
          <w:szCs w:val="32"/>
          <w:lang w:eastAsia="zh-Hans" w:bidi="ar"/>
        </w:rPr>
        <w:t>项目资金区域</w:t>
      </w:r>
      <w:r>
        <w:rPr>
          <w:rFonts w:hint="eastAsia" w:ascii="仿宋_GB2312" w:hAnsi="等线" w:eastAsia="仿宋_GB2312"/>
          <w:sz w:val="32"/>
          <w:szCs w:val="32"/>
          <w:lang w:bidi="ar"/>
        </w:rPr>
        <w:t>绩效目标，北京市卫生健康委员会根据实际情况将年度绩效目标分解下达至各区、各项目单位。2022年北京市中央转移支付医疗服务与保障能力提升补助资金（公立医院综合改革）绩效目标为：</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等线" w:eastAsia="仿宋_GB2312"/>
          <w:sz w:val="32"/>
          <w:szCs w:val="32"/>
          <w:lang w:bidi="ar"/>
        </w:rPr>
      </w:pPr>
      <w:r>
        <w:rPr>
          <w:rFonts w:hint="eastAsia" w:ascii="仿宋_GB2312" w:hAnsi="等线" w:eastAsia="仿宋_GB2312"/>
          <w:sz w:val="32"/>
          <w:szCs w:val="32"/>
          <w:lang w:bidi="ar"/>
        </w:rPr>
        <w:t>1</w:t>
      </w:r>
      <w:r>
        <w:rPr>
          <w:rFonts w:ascii="仿宋_GB2312" w:hAnsi="等线" w:eastAsia="仿宋_GB2312"/>
          <w:sz w:val="32"/>
          <w:szCs w:val="32"/>
          <w:lang w:bidi="ar"/>
        </w:rPr>
        <w:t>.</w:t>
      </w:r>
      <w:r>
        <w:rPr>
          <w:rFonts w:hint="eastAsia" w:ascii="仿宋_GB2312" w:hAnsi="等线" w:eastAsia="仿宋_GB2312"/>
          <w:sz w:val="32"/>
          <w:szCs w:val="32"/>
          <w:lang w:bidi="ar"/>
        </w:rPr>
        <w:t>2022年，支持县区级妇幼保健机构能力建设，支持省级妇幼保健机构实施省域妇幼健康“大手拉小手”行动 。</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等线" w:eastAsia="仿宋_GB2312"/>
          <w:sz w:val="32"/>
          <w:szCs w:val="32"/>
          <w:lang w:bidi="ar"/>
        </w:rPr>
      </w:pPr>
      <w:r>
        <w:rPr>
          <w:rFonts w:hint="eastAsia" w:ascii="仿宋_GB2312" w:hAnsi="等线" w:eastAsia="仿宋_GB2312"/>
          <w:sz w:val="32"/>
          <w:szCs w:val="32"/>
          <w:lang w:bidi="ar"/>
        </w:rPr>
        <w:t>2</w:t>
      </w:r>
      <w:r>
        <w:rPr>
          <w:rFonts w:ascii="仿宋_GB2312" w:hAnsi="等线" w:eastAsia="仿宋_GB2312"/>
          <w:sz w:val="32"/>
          <w:szCs w:val="32"/>
          <w:lang w:bidi="ar"/>
        </w:rPr>
        <w:t>.</w:t>
      </w:r>
      <w:r>
        <w:rPr>
          <w:rFonts w:hint="eastAsia" w:ascii="仿宋_GB2312" w:hAnsi="等线" w:eastAsia="仿宋_GB2312"/>
          <w:sz w:val="32"/>
          <w:szCs w:val="32"/>
          <w:lang w:bidi="ar"/>
        </w:rPr>
        <w:t>2022年完成对北京市3家职业病诊断机构的能力提升，3家职业病诊断机构设备条件符合职业性尘肺病和职业性噪声聋诊断有关标准要求，进一步健全职业病诊断服务网络，提高职业病诊断能力和水平；完成对北京市1个承担职业病危害因素监测任务的市级疾病预防控制中心或市级职业病防治院（所）（一个地市只有一个）必需的监测仪器设备的配置，进一步提升职业病危害因素监测能力与职业病防治技术支撑能力；完成3个尘肺病康复站（点）建设，尘肺病患者康复服务能力得到提高。</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等线" w:eastAsia="仿宋_GB2312"/>
          <w:sz w:val="32"/>
          <w:szCs w:val="32"/>
          <w:lang w:bidi="ar"/>
        </w:rPr>
      </w:pPr>
      <w:r>
        <w:rPr>
          <w:rFonts w:hint="eastAsia" w:ascii="仿宋_GB2312" w:hAnsi="等线" w:eastAsia="仿宋_GB2312"/>
          <w:sz w:val="32"/>
          <w:szCs w:val="32"/>
          <w:lang w:bidi="ar"/>
        </w:rPr>
        <w:t>3</w:t>
      </w:r>
      <w:r>
        <w:rPr>
          <w:rFonts w:ascii="仿宋_GB2312" w:hAnsi="等线" w:eastAsia="仿宋_GB2312"/>
          <w:sz w:val="32"/>
          <w:szCs w:val="32"/>
          <w:lang w:bidi="ar"/>
        </w:rPr>
        <w:t>.</w:t>
      </w:r>
      <w:r>
        <w:rPr>
          <w:rFonts w:hint="eastAsia" w:ascii="仿宋_GB2312" w:hAnsi="等线" w:eastAsia="仿宋_GB2312"/>
          <w:sz w:val="32"/>
          <w:szCs w:val="32"/>
          <w:lang w:bidi="ar"/>
        </w:rPr>
        <w:t>2022年，支持省级和5家县区级疾控中心加强能力建设。</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等线" w:eastAsia="仿宋_GB2312"/>
          <w:sz w:val="32"/>
          <w:szCs w:val="32"/>
          <w:lang w:bidi="ar"/>
        </w:rPr>
      </w:pPr>
      <w:r>
        <w:rPr>
          <w:rFonts w:hint="eastAsia" w:ascii="仿宋_GB2312" w:hAnsi="等线" w:eastAsia="仿宋_GB2312"/>
          <w:sz w:val="32"/>
          <w:szCs w:val="32"/>
          <w:lang w:bidi="ar"/>
        </w:rPr>
        <w:t>4</w:t>
      </w:r>
      <w:r>
        <w:rPr>
          <w:rFonts w:ascii="仿宋_GB2312" w:hAnsi="等线" w:eastAsia="仿宋_GB2312"/>
          <w:sz w:val="32"/>
          <w:szCs w:val="32"/>
          <w:lang w:bidi="ar"/>
        </w:rPr>
        <w:t>.</w:t>
      </w:r>
      <w:r>
        <w:rPr>
          <w:rFonts w:hint="eastAsia" w:ascii="仿宋_GB2312" w:hAnsi="等线" w:eastAsia="仿宋_GB2312"/>
          <w:sz w:val="32"/>
          <w:szCs w:val="32"/>
          <w:lang w:bidi="ar"/>
        </w:rPr>
        <w:t>2022年，中央财政投入4000万元，支持北京市8个国家临床重点专科建设项目。</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_GB2312" w:eastAsia="仿宋_GB2312" w:cs="仿宋_GB2312"/>
          <w:bCs/>
          <w:sz w:val="32"/>
          <w:szCs w:val="32"/>
          <w:lang w:eastAsia="zh-Hans"/>
        </w:rPr>
      </w:pPr>
      <w:r>
        <w:rPr>
          <w:rFonts w:hint="eastAsia" w:ascii="仿宋_GB2312" w:hAnsi="等线" w:eastAsia="仿宋_GB2312"/>
          <w:sz w:val="32"/>
          <w:szCs w:val="32"/>
          <w:lang w:bidi="ar"/>
        </w:rPr>
        <w:t>5</w:t>
      </w:r>
      <w:r>
        <w:rPr>
          <w:rFonts w:ascii="仿宋_GB2312" w:hAnsi="等线" w:eastAsia="仿宋_GB2312"/>
          <w:sz w:val="32"/>
          <w:szCs w:val="32"/>
          <w:lang w:bidi="ar"/>
        </w:rPr>
        <w:t>.</w:t>
      </w:r>
      <w:r>
        <w:rPr>
          <w:rFonts w:hint="eastAsia" w:ascii="仿宋_GB2312" w:hAnsi="等线" w:eastAsia="仿宋_GB2312"/>
          <w:sz w:val="32"/>
          <w:szCs w:val="32"/>
          <w:lang w:bidi="ar"/>
        </w:rPr>
        <w:t>2022年，中央财政投入3200万元，支持北京市4家承担疫情重点救治任务的综合医院（定点医院优先）加强医防融合，提升疫情防治能力</w:t>
      </w:r>
      <w:r>
        <w:rPr>
          <w:rFonts w:ascii="仿宋_GB2312" w:hAnsi="等线" w:eastAsia="仿宋_GB2312"/>
          <w:sz w:val="32"/>
          <w:szCs w:val="32"/>
          <w:lang w:bidi="ar"/>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楷体" w:hAnsi="楷体" w:eastAsia="楷体" w:cs="楷体"/>
          <w:b w:val="0"/>
          <w:bCs/>
          <w:kern w:val="2"/>
          <w:sz w:val="32"/>
          <w:szCs w:val="32"/>
          <w:lang w:eastAsia="zh-CN" w:bidi="ar"/>
        </w:rPr>
      </w:pPr>
      <w:r>
        <w:rPr>
          <w:rFonts w:hint="eastAsia" w:ascii="楷体" w:hAnsi="楷体" w:eastAsia="楷体" w:cs="楷体"/>
          <w:b w:val="0"/>
          <w:bCs/>
          <w:kern w:val="2"/>
          <w:sz w:val="32"/>
          <w:szCs w:val="32"/>
          <w:lang w:bidi="ar"/>
        </w:rPr>
        <w:t>（</w:t>
      </w:r>
      <w:r>
        <w:rPr>
          <w:rFonts w:hint="eastAsia" w:ascii="楷体" w:hAnsi="楷体" w:eastAsia="楷体" w:cs="楷体"/>
          <w:b w:val="0"/>
          <w:bCs/>
          <w:kern w:val="2"/>
          <w:sz w:val="32"/>
          <w:szCs w:val="32"/>
          <w:lang w:eastAsia="zh-CN" w:bidi="ar"/>
        </w:rPr>
        <w:t>一</w:t>
      </w:r>
      <w:r>
        <w:rPr>
          <w:rFonts w:hint="eastAsia" w:ascii="楷体" w:hAnsi="楷体" w:eastAsia="楷体" w:cs="楷体"/>
          <w:b w:val="0"/>
          <w:bCs/>
          <w:kern w:val="2"/>
          <w:sz w:val="32"/>
          <w:szCs w:val="32"/>
          <w:lang w:bidi="ar"/>
        </w:rPr>
        <w:t>）总体绩效目标完成情况分析</w:t>
      </w:r>
      <w:r>
        <w:rPr>
          <w:rFonts w:hint="eastAsia" w:ascii="楷体" w:hAnsi="楷体" w:eastAsia="楷体" w:cs="楷体"/>
          <w:b w:val="0"/>
          <w:bCs/>
          <w:kern w:val="2"/>
          <w:sz w:val="32"/>
          <w:szCs w:val="32"/>
          <w:lang w:eastAsia="zh-CN" w:bidi="ar"/>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_GB2312" w:eastAsia="仿宋_GB2312" w:cs="仿宋_GB2312"/>
          <w:color w:val="auto"/>
          <w:sz w:val="32"/>
          <w:szCs w:val="32"/>
        </w:rPr>
      </w:pPr>
      <w:r>
        <w:rPr>
          <w:rFonts w:hint="eastAsia" w:ascii="仿宋_GB2312" w:hAnsi="仿宋" w:eastAsia="仿宋_GB2312"/>
          <w:sz w:val="32"/>
          <w:szCs w:val="32"/>
          <w:lang w:bidi="ar"/>
        </w:rPr>
        <w:t>随着中央转移支付医疗服务与保障能力提升补助资金（医疗卫生机构能力建设）支持力度不断加大，各级医疗机构的服务保障能力得到明显改善，2022年</w:t>
      </w:r>
      <w:r>
        <w:rPr>
          <w:rFonts w:hint="eastAsia" w:ascii="仿宋_GB2312" w:hAnsi="仿宋_GB2312" w:eastAsia="仿宋_GB2312" w:cs="仿宋_GB2312"/>
          <w:color w:val="auto"/>
          <w:sz w:val="32"/>
          <w:szCs w:val="32"/>
        </w:rPr>
        <w:t>整体绩效目标完成情况如下：</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_GB2312" w:eastAsia="仿宋_GB2312"/>
          <w:sz w:val="32"/>
          <w:szCs w:val="32"/>
          <w:lang w:bidi="ar"/>
        </w:rPr>
      </w:pPr>
      <w:r>
        <w:rPr>
          <w:rFonts w:hint="eastAsia" w:ascii="仿宋_GB2312" w:hAnsi="仿宋_GB2312" w:eastAsia="仿宋_GB2312"/>
          <w:sz w:val="32"/>
          <w:szCs w:val="32"/>
          <w:lang w:bidi="ar"/>
        </w:rPr>
        <w:t>通过开展“云上妇幼”平台的建设，支持北京妇幼保健院实施全市范围的妇幼健康“大手拉小手”行动，加强远程医疗信息系统建设，建立覆盖各级危重孕产妇和新生儿救治中心，依托“云上妇幼”平台建立覆盖全部妇幼保健机构的培训制度，促进妇幼健康优质医疗资源下沉。支持门头沟区妇幼保健院、房山区妇幼保健院能力建设，带动辖区妇幼健康服务能力提升。</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_GB2312" w:eastAsia="仿宋_GB2312"/>
          <w:sz w:val="32"/>
          <w:szCs w:val="32"/>
          <w:lang w:bidi="ar"/>
        </w:rPr>
      </w:pPr>
      <w:r>
        <w:rPr>
          <w:rFonts w:hint="eastAsia" w:ascii="仿宋_GB2312" w:hAnsi="仿宋_GB2312" w:eastAsia="仿宋_GB2312"/>
          <w:sz w:val="32"/>
          <w:szCs w:val="32"/>
          <w:lang w:bidi="ar"/>
        </w:rPr>
        <w:t>2022年完成了北京市3家职业病诊断机构的能力提升，3家职业病诊断机构设备条件符合职业性尘肺病和职业性噪声聋诊断有关标准要求，建设了网络系统，进一步健全职业病诊断服务网络，提高职业病诊断能力和水平；完成了对北京市1个承担职业病危害因素监测任务的市级疾病预防控制中心必需的监测仪器设备的配置，进一步提升了职业病危害因素监测能力与职业病防治技术支撑能力；完成了3个尘肺病康复站（点）建设，尘肺病患者康复服务能力得到提高。</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 w:eastAsia="仿宋_GB2312"/>
          <w:sz w:val="32"/>
          <w:szCs w:val="32"/>
          <w:lang w:eastAsia="zh-Hans" w:bidi="ar"/>
        </w:rPr>
      </w:pPr>
      <w:r>
        <w:rPr>
          <w:rFonts w:hint="eastAsia" w:ascii="仿宋_GB2312" w:hAnsi="仿宋_GB2312" w:eastAsia="仿宋_GB2312"/>
          <w:sz w:val="32"/>
          <w:szCs w:val="32"/>
          <w:lang w:bidi="ar"/>
        </w:rPr>
        <w:t>支持省级和5家县区级疾控中心加强能力建设。北京</w:t>
      </w:r>
      <w:r>
        <w:rPr>
          <w:rFonts w:hint="eastAsia" w:ascii="仿宋_GB2312" w:hAnsi="仿宋_GB2312" w:eastAsia="仿宋_GB2312" w:cs="仿宋_GB2312"/>
          <w:kern w:val="2"/>
          <w:sz w:val="32"/>
          <w:szCs w:val="32"/>
          <w:lang w:val="zh-TW" w:eastAsia="zh-TW" w:bidi="zh-TW"/>
        </w:rPr>
        <w:t>市</w:t>
      </w:r>
      <w:r>
        <w:rPr>
          <w:rFonts w:hint="eastAsia" w:ascii="仿宋_GB2312" w:hAnsi="仿宋_GB2312" w:eastAsia="仿宋_GB2312" w:cs="仿宋_GB2312"/>
          <w:kern w:val="2"/>
          <w:sz w:val="32"/>
          <w:szCs w:val="32"/>
          <w:lang w:bidi="zh-TW"/>
        </w:rPr>
        <w:t>疾病预防控制中心</w:t>
      </w:r>
      <w:r>
        <w:rPr>
          <w:rFonts w:hint="eastAsia" w:ascii="仿宋_GB2312" w:hAnsi="仿宋_GB2312" w:eastAsia="仿宋_GB2312" w:cs="仿宋_GB2312"/>
          <w:kern w:val="2"/>
          <w:sz w:val="32"/>
          <w:szCs w:val="32"/>
          <w:lang w:val="zh-TW" w:eastAsia="zh-TW" w:bidi="zh-TW"/>
        </w:rPr>
        <w:t>强化信息化建设</w:t>
      </w:r>
      <w:r>
        <w:rPr>
          <w:rFonts w:hint="eastAsia" w:ascii="仿宋_GB2312" w:hAnsi="仿宋_GB2312" w:eastAsia="仿宋_GB2312" w:cs="仿宋_GB2312"/>
          <w:kern w:val="2"/>
          <w:sz w:val="32"/>
          <w:szCs w:val="32"/>
          <w:lang w:val="zh-TW" w:bidi="zh-TW"/>
        </w:rPr>
        <w:t>和人才培养</w:t>
      </w:r>
      <w:r>
        <w:rPr>
          <w:rFonts w:hint="eastAsia" w:ascii="仿宋_GB2312" w:hAnsi="仿宋_GB2312" w:eastAsia="仿宋_GB2312" w:cs="仿宋_GB2312"/>
          <w:kern w:val="2"/>
          <w:sz w:val="32"/>
          <w:szCs w:val="32"/>
          <w:lang w:val="zh-TW" w:eastAsia="zh-TW" w:bidi="zh-TW"/>
        </w:rPr>
        <w:t>，</w:t>
      </w:r>
      <w:r>
        <w:rPr>
          <w:rFonts w:hint="eastAsia" w:ascii="仿宋_GB2312" w:hAnsi="仿宋_GB2312" w:eastAsia="仿宋_GB2312" w:cs="仿宋_GB2312"/>
          <w:kern w:val="2"/>
          <w:sz w:val="32"/>
          <w:szCs w:val="32"/>
          <w:lang w:val="zh-TW" w:bidi="zh-TW"/>
        </w:rPr>
        <w:t>完成</w:t>
      </w:r>
      <w:r>
        <w:rPr>
          <w:rFonts w:hint="eastAsia" w:ascii="仿宋_GB2312" w:hAnsi="仿宋_GB2312" w:eastAsia="仿宋_GB2312" w:cs="仿宋_GB2312"/>
          <w:kern w:val="2"/>
          <w:sz w:val="32"/>
          <w:szCs w:val="32"/>
          <w:lang w:bidi="zh-TW"/>
        </w:rPr>
        <w:t>北京市疾控中心人脸识别智能系统、远程视频会议系统运维保障、网络安全、服务器硬件、无线园区网部署以及结核病预防控制系统升级。丰台区疾病预防控制中心购置29台/件设备，同时进一步强化机构信息化系统建设；房山区疾病预防控制中心采购24台设备，包括全自动碘分析仪、全自动酶免工作站等，用于提升检验检测能力；昌平区疾病预防控制中心购置的仪器设备在疫情防控攻坚时刻发挥了重要作用，累计检测样本17万余件，阳性检出2000余件，准确率达100%；怀柔区疾病预防控制中心购置干热灭菌器、尿素测定仪、微波漏能测试仪等10种15台（件）仪器设备，机构仪器设备种类和数量综合配备比率达到95.2%；密云区疾病预防控制中心开展实验室屋顶风机机房及附属设备改造项目，进行实验室净化设备及配套设施维护保养，有效提升实验室基础建设</w:t>
      </w:r>
      <w:r>
        <w:rPr>
          <w:rFonts w:hint="eastAsia" w:ascii="仿宋_GB2312" w:hAnsi="仿宋_GB2312" w:eastAsia="仿宋_GB2312"/>
          <w:sz w:val="32"/>
          <w:szCs w:val="32"/>
          <w:lang w:bidi="ar"/>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楷体" w:hAnsi="楷体" w:eastAsia="楷体" w:cs="楷体"/>
          <w:b w:val="0"/>
          <w:bCs/>
          <w:kern w:val="2"/>
          <w:sz w:val="32"/>
          <w:szCs w:val="32"/>
          <w:lang w:eastAsia="zh-CN" w:bidi="ar"/>
        </w:rPr>
      </w:pPr>
      <w:r>
        <w:rPr>
          <w:rFonts w:hint="eastAsia" w:ascii="楷体" w:hAnsi="楷体" w:eastAsia="楷体" w:cs="楷体"/>
          <w:b w:val="0"/>
          <w:bCs/>
          <w:kern w:val="2"/>
          <w:sz w:val="32"/>
          <w:szCs w:val="32"/>
          <w:lang w:bidi="ar"/>
        </w:rPr>
        <w:t>（</w:t>
      </w:r>
      <w:r>
        <w:rPr>
          <w:rFonts w:hint="eastAsia" w:ascii="楷体" w:hAnsi="楷体" w:eastAsia="楷体" w:cs="楷体"/>
          <w:b w:val="0"/>
          <w:bCs/>
          <w:kern w:val="2"/>
          <w:sz w:val="32"/>
          <w:szCs w:val="32"/>
          <w:lang w:eastAsia="zh-CN" w:bidi="ar"/>
        </w:rPr>
        <w:t>二</w:t>
      </w:r>
      <w:r>
        <w:rPr>
          <w:rFonts w:hint="eastAsia" w:ascii="楷体" w:hAnsi="楷体" w:eastAsia="楷体" w:cs="楷体"/>
          <w:b w:val="0"/>
          <w:bCs/>
          <w:kern w:val="2"/>
          <w:sz w:val="32"/>
          <w:szCs w:val="32"/>
          <w:lang w:bidi="ar"/>
        </w:rPr>
        <w:t>）绩效指标完成情况分析</w:t>
      </w:r>
      <w:r>
        <w:rPr>
          <w:rFonts w:hint="eastAsia" w:ascii="楷体" w:hAnsi="楷体" w:eastAsia="楷体" w:cs="楷体"/>
          <w:b w:val="0"/>
          <w:bCs/>
          <w:kern w:val="2"/>
          <w:sz w:val="32"/>
          <w:szCs w:val="32"/>
          <w:lang w:eastAsia="zh-CN" w:bidi="ar"/>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_GB2312" w:eastAsia="仿宋_GB2312" w:cs="仿宋_GB2312"/>
          <w:bCs/>
          <w:sz w:val="32"/>
          <w:szCs w:val="32"/>
          <w:lang w:eastAsia="zh-Hans"/>
        </w:rPr>
      </w:pPr>
      <w:r>
        <w:rPr>
          <w:rFonts w:hint="eastAsia" w:ascii="仿宋_GB2312" w:hAnsi="仿宋_GB2312" w:eastAsia="仿宋_GB2312" w:cs="仿宋_GB2312"/>
          <w:bCs/>
          <w:sz w:val="32"/>
          <w:szCs w:val="32"/>
          <w:lang w:eastAsia="zh-Hans"/>
        </w:rPr>
        <w:t>1.产出指标完成情况分析</w:t>
      </w:r>
    </w:p>
    <w:p>
      <w:pPr>
        <w:pStyle w:val="3"/>
        <w:keepNext w:val="0"/>
        <w:keepLines w:val="0"/>
        <w:pageBreakBefore w:val="0"/>
        <w:widowControl/>
        <w:kinsoku w:val="0"/>
        <w:wordWrap/>
        <w:overflowPunct/>
        <w:topLinePunct w:val="0"/>
        <w:autoSpaceDE w:val="0"/>
        <w:autoSpaceDN w:val="0"/>
        <w:bidi w:val="0"/>
        <w:adjustRightInd w:val="0"/>
        <w:snapToGrid w:val="0"/>
        <w:spacing w:after="0" w:line="560" w:lineRule="exact"/>
        <w:ind w:firstLine="640" w:firstLineChars="200"/>
        <w:textAlignment w:val="baseline"/>
        <w:rPr>
          <w:rFonts w:ascii="仿宋_GB2312" w:hAnsi="仿宋_GB2312" w:eastAsia="仿宋_GB2312" w:cs="仿宋_GB2312"/>
          <w:color w:val="FF0000"/>
          <w:sz w:val="32"/>
          <w:szCs w:val="32"/>
          <w:lang w:eastAsia="zh-Hans" w:bidi="ar"/>
        </w:rPr>
      </w:pPr>
      <w:r>
        <w:rPr>
          <w:rFonts w:hint="eastAsia" w:ascii="仿宋_GB2312" w:hAnsi="仿宋_GB2312" w:eastAsia="仿宋_GB2312" w:cs="仿宋_GB2312"/>
          <w:sz w:val="32"/>
          <w:szCs w:val="32"/>
          <w:lang w:eastAsia="zh-Hans" w:bidi="ar"/>
        </w:rPr>
        <w:t>（1）数量指标</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 w:eastAsia="仿宋_GB2312"/>
          <w:sz w:val="32"/>
          <w:szCs w:val="32"/>
          <w:lang w:eastAsia="zh-Hans" w:bidi="ar"/>
        </w:rPr>
      </w:pPr>
      <w:r>
        <w:rPr>
          <w:rFonts w:hint="eastAsia" w:ascii="仿宋_GB2312" w:hAnsi="仿宋" w:eastAsia="仿宋_GB2312"/>
          <w:sz w:val="32"/>
          <w:szCs w:val="32"/>
          <w:lang w:bidi="ar"/>
        </w:rPr>
        <w:t>2022年北京市中央转移支付医疗服务与保障能力提升补助资金（医疗卫生机构能力建设）</w:t>
      </w:r>
      <w:r>
        <w:rPr>
          <w:rFonts w:hint="eastAsia" w:ascii="仿宋_GB2312" w:hAnsi="仿宋" w:eastAsia="仿宋_GB2312" w:cs="仿宋_GB2312"/>
          <w:sz w:val="32"/>
          <w:szCs w:val="32"/>
          <w:lang w:eastAsia="zh-Hans" w:bidi="ar"/>
        </w:rPr>
        <w:t>项目</w:t>
      </w:r>
      <w:r>
        <w:rPr>
          <w:rFonts w:hint="eastAsia" w:ascii="仿宋_GB2312" w:hAnsi="仿宋" w:eastAsia="仿宋_GB2312"/>
          <w:sz w:val="32"/>
          <w:szCs w:val="32"/>
          <w:lang w:bidi="ar"/>
        </w:rPr>
        <w:t>设定的产出数量指标共</w:t>
      </w:r>
      <w:r>
        <w:rPr>
          <w:rFonts w:hint="eastAsia" w:ascii="仿宋_GB2312" w:hAnsi="仿宋" w:eastAsia="仿宋_GB2312"/>
          <w:sz w:val="32"/>
          <w:szCs w:val="32"/>
          <w:lang w:val="en-US" w:eastAsia="zh-CN" w:bidi="ar"/>
        </w:rPr>
        <w:t>8</w:t>
      </w:r>
      <w:r>
        <w:rPr>
          <w:rFonts w:hint="eastAsia" w:ascii="仿宋_GB2312" w:hAnsi="仿宋" w:eastAsia="仿宋_GB2312"/>
          <w:sz w:val="32"/>
          <w:szCs w:val="32"/>
          <w:lang w:bidi="ar"/>
        </w:rPr>
        <w:t>项，</w:t>
      </w:r>
      <w:r>
        <w:rPr>
          <w:rFonts w:hint="eastAsia" w:ascii="仿宋_GB2312" w:hAnsi="仿宋" w:eastAsia="仿宋_GB2312"/>
          <w:sz w:val="32"/>
          <w:szCs w:val="32"/>
          <w:lang w:eastAsia="zh-Hans" w:bidi="ar"/>
        </w:rPr>
        <w:t>其中</w:t>
      </w:r>
      <w:r>
        <w:rPr>
          <w:rFonts w:hint="eastAsia" w:ascii="仿宋_GB2312" w:hAnsi="仿宋" w:eastAsia="仿宋_GB2312"/>
          <w:sz w:val="32"/>
          <w:szCs w:val="32"/>
          <w:lang w:val="en-US" w:eastAsia="zh-CN" w:bidi="ar"/>
        </w:rPr>
        <w:t>6</w:t>
      </w:r>
      <w:r>
        <w:rPr>
          <w:rFonts w:hint="eastAsia" w:ascii="仿宋_GB2312" w:hAnsi="仿宋" w:eastAsia="仿宋_GB2312"/>
          <w:sz w:val="32"/>
          <w:szCs w:val="32"/>
          <w:lang w:eastAsia="zh-Hans" w:bidi="ar"/>
        </w:rPr>
        <w:t>项指标已完成</w:t>
      </w:r>
      <w:r>
        <w:rPr>
          <w:rFonts w:ascii="仿宋_GB2312" w:hAnsi="仿宋" w:eastAsia="仿宋_GB2312"/>
          <w:sz w:val="32"/>
          <w:szCs w:val="32"/>
          <w:lang w:eastAsia="zh-Hans" w:bidi="ar"/>
        </w:rPr>
        <w:t>，</w:t>
      </w:r>
      <w:r>
        <w:rPr>
          <w:rFonts w:hint="eastAsia" w:ascii="仿宋_GB2312" w:hAnsi="仿宋" w:eastAsia="仿宋_GB2312"/>
          <w:sz w:val="32"/>
          <w:szCs w:val="32"/>
          <w:lang w:bidi="ar"/>
        </w:rPr>
        <w:t>2</w:t>
      </w:r>
      <w:r>
        <w:rPr>
          <w:rFonts w:hint="eastAsia" w:ascii="仿宋_GB2312" w:hAnsi="仿宋" w:eastAsia="仿宋_GB2312"/>
          <w:sz w:val="32"/>
          <w:szCs w:val="32"/>
          <w:lang w:eastAsia="zh-Hans" w:bidi="ar"/>
        </w:rPr>
        <w:t>项指标未完成</w:t>
      </w:r>
      <w:r>
        <w:rPr>
          <w:rFonts w:ascii="仿宋_GB2312" w:hAnsi="仿宋" w:eastAsia="仿宋_GB2312"/>
          <w:sz w:val="32"/>
          <w:szCs w:val="32"/>
          <w:lang w:eastAsia="zh-Hans" w:bidi="ar"/>
        </w:rPr>
        <w:t>，</w:t>
      </w:r>
      <w:r>
        <w:rPr>
          <w:rFonts w:hint="eastAsia" w:ascii="仿宋_GB2312" w:hAnsi="仿宋" w:eastAsia="仿宋_GB2312"/>
          <w:sz w:val="32"/>
          <w:szCs w:val="32"/>
          <w:lang w:eastAsia="zh-Hans" w:bidi="ar"/>
        </w:rPr>
        <w:t>具体情况如下表</w:t>
      </w:r>
      <w:r>
        <w:rPr>
          <w:rFonts w:hint="eastAsia" w:ascii="仿宋_GB2312" w:hAnsi="仿宋" w:eastAsia="仿宋_GB2312"/>
          <w:sz w:val="32"/>
          <w:szCs w:val="32"/>
          <w:lang w:val="en-US" w:eastAsia="zh-CN" w:bidi="ar"/>
        </w:rPr>
        <w:t>1</w:t>
      </w:r>
      <w:r>
        <w:rPr>
          <w:rFonts w:ascii="仿宋_GB2312" w:hAnsi="仿宋" w:eastAsia="仿宋_GB2312"/>
          <w:sz w:val="32"/>
          <w:szCs w:val="32"/>
          <w:lang w:eastAsia="zh-Hans" w:bidi="ar"/>
        </w:rPr>
        <w:t>：</w:t>
      </w:r>
    </w:p>
    <w:p>
      <w:pPr>
        <w:pStyle w:val="3"/>
        <w:widowControl w:val="0"/>
        <w:kinsoku/>
        <w:autoSpaceDE/>
        <w:autoSpaceDN/>
        <w:adjustRightInd/>
        <w:snapToGrid/>
        <w:spacing w:after="0" w:line="240" w:lineRule="auto"/>
        <w:jc w:val="center"/>
        <w:textAlignment w:val="auto"/>
        <w:rPr>
          <w:lang w:eastAsia="zh-Hans"/>
        </w:rPr>
      </w:pPr>
      <w:r>
        <w:rPr>
          <w:rFonts w:hint="eastAsia" w:ascii="仿宋_GB2312" w:hAnsi="仿宋_GB2312" w:eastAsia="仿宋_GB2312" w:cs="仿宋_GB2312"/>
          <w:snapToGrid/>
          <w:kern w:val="2"/>
          <w:sz w:val="28"/>
          <w:szCs w:val="28"/>
        </w:rPr>
        <w:t>表</w:t>
      </w:r>
      <w:r>
        <w:rPr>
          <w:rFonts w:hint="eastAsia" w:ascii="仿宋_GB2312" w:hAnsi="仿宋_GB2312" w:eastAsia="仿宋_GB2312" w:cs="仿宋_GB2312"/>
          <w:snapToGrid/>
          <w:kern w:val="2"/>
          <w:sz w:val="28"/>
          <w:szCs w:val="28"/>
          <w:lang w:val="en-US" w:eastAsia="zh-CN"/>
        </w:rPr>
        <w:t>1</w:t>
      </w:r>
      <w:r>
        <w:rPr>
          <w:rFonts w:hint="eastAsia" w:ascii="仿宋_GB2312" w:hAnsi="仿宋_GB2312" w:eastAsia="仿宋_GB2312" w:cs="仿宋_GB2312"/>
          <w:snapToGrid/>
          <w:kern w:val="2"/>
          <w:sz w:val="28"/>
          <w:szCs w:val="28"/>
        </w:rPr>
        <w:t>：产出数量指标完成情况表</w:t>
      </w:r>
    </w:p>
    <w:tbl>
      <w:tblPr>
        <w:tblStyle w:val="10"/>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
        <w:gridCol w:w="1224"/>
        <w:gridCol w:w="3236"/>
        <w:gridCol w:w="1660"/>
        <w:gridCol w:w="1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831"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宋体" w:hAnsi="宋体" w:eastAsia="宋体" w:cs="宋体"/>
                <w:b/>
                <w:sz w:val="20"/>
                <w:szCs w:val="20"/>
              </w:rPr>
            </w:pPr>
            <w:r>
              <w:rPr>
                <w:rFonts w:hint="eastAsia" w:ascii="宋体" w:hAnsi="宋体" w:eastAsia="宋体" w:cs="宋体"/>
                <w:b/>
                <w:sz w:val="20"/>
                <w:szCs w:val="20"/>
                <w:lang w:bidi="ar"/>
              </w:rPr>
              <w:t>序号</w:t>
            </w:r>
          </w:p>
        </w:tc>
        <w:tc>
          <w:tcPr>
            <w:tcW w:w="1224"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宋体" w:hAnsi="宋体" w:eastAsia="宋体" w:cs="宋体"/>
                <w:b/>
                <w:sz w:val="20"/>
                <w:szCs w:val="20"/>
              </w:rPr>
            </w:pPr>
            <w:r>
              <w:rPr>
                <w:rFonts w:hint="eastAsia" w:ascii="宋体" w:hAnsi="宋体" w:eastAsia="宋体" w:cs="宋体"/>
                <w:b/>
                <w:sz w:val="20"/>
                <w:szCs w:val="20"/>
                <w:lang w:bidi="ar"/>
              </w:rPr>
              <w:t>指标类型</w:t>
            </w:r>
          </w:p>
        </w:tc>
        <w:tc>
          <w:tcPr>
            <w:tcW w:w="3236"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宋体" w:hAnsi="宋体" w:eastAsia="宋体" w:cs="宋体"/>
                <w:b/>
                <w:sz w:val="20"/>
                <w:szCs w:val="20"/>
              </w:rPr>
            </w:pPr>
            <w:r>
              <w:rPr>
                <w:rFonts w:hint="eastAsia" w:ascii="宋体" w:hAnsi="宋体" w:eastAsia="宋体" w:cs="宋体"/>
                <w:b/>
                <w:sz w:val="20"/>
                <w:szCs w:val="20"/>
                <w:lang w:bidi="ar"/>
              </w:rPr>
              <w:t>三级指标</w:t>
            </w:r>
          </w:p>
        </w:tc>
        <w:tc>
          <w:tcPr>
            <w:tcW w:w="1660"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宋体" w:hAnsi="宋体" w:eastAsia="宋体" w:cs="宋体"/>
                <w:b/>
                <w:sz w:val="20"/>
                <w:szCs w:val="20"/>
              </w:rPr>
            </w:pPr>
            <w:r>
              <w:rPr>
                <w:rFonts w:hint="eastAsia" w:ascii="宋体" w:hAnsi="宋体" w:eastAsia="宋体" w:cs="宋体"/>
                <w:b/>
                <w:sz w:val="20"/>
                <w:szCs w:val="20"/>
                <w:lang w:bidi="ar"/>
              </w:rPr>
              <w:t>指标值</w:t>
            </w:r>
          </w:p>
        </w:tc>
        <w:tc>
          <w:tcPr>
            <w:tcW w:w="1616"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宋体" w:hAnsi="宋体" w:eastAsia="宋体" w:cs="宋体"/>
                <w:b/>
                <w:sz w:val="20"/>
                <w:szCs w:val="20"/>
              </w:rPr>
            </w:pPr>
            <w:r>
              <w:rPr>
                <w:rFonts w:hint="eastAsia" w:ascii="宋体" w:hAnsi="宋体" w:eastAsia="宋体" w:cs="宋体"/>
                <w:b/>
                <w:sz w:val="20"/>
                <w:szCs w:val="20"/>
                <w:lang w:bidi="ar"/>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eastAsia="zh-Hans"/>
              </w:rPr>
            </w:pPr>
            <w:r>
              <w:rPr>
                <w:rFonts w:hint="eastAsia" w:ascii="宋体" w:hAnsi="宋体" w:eastAsia="宋体" w:cs="宋体"/>
                <w:sz w:val="20"/>
                <w:szCs w:val="20"/>
                <w:lang w:bidi="ar"/>
              </w:rPr>
              <w:t>1</w:t>
            </w:r>
          </w:p>
        </w:tc>
        <w:tc>
          <w:tcPr>
            <w:tcW w:w="1224" w:type="dxa"/>
            <w:tcBorders>
              <w:top w:val="single" w:color="auto" w:sz="4" w:space="0"/>
              <w:left w:val="single" w:color="auto" w:sz="4" w:space="0"/>
              <w:bottom w:val="single" w:color="auto" w:sz="4" w:space="0"/>
              <w:right w:val="single" w:color="auto" w:sz="4" w:space="0"/>
            </w:tcBorders>
            <w:vAlign w:val="center"/>
          </w:tcPr>
          <w:p>
            <w:pPr>
              <w:spacing w:after="156" w:afterLines="50"/>
              <w:jc w:val="center"/>
              <w:rPr>
                <w:rFonts w:ascii="宋体" w:hAnsi="宋体" w:eastAsia="宋体" w:cs="宋体"/>
                <w:sz w:val="20"/>
                <w:szCs w:val="20"/>
              </w:rPr>
            </w:pPr>
            <w:r>
              <w:rPr>
                <w:rFonts w:hint="eastAsia" w:ascii="宋体" w:hAnsi="宋体" w:eastAsia="宋体" w:cs="宋体"/>
                <w:sz w:val="20"/>
                <w:szCs w:val="20"/>
                <w:lang w:eastAsia="zh-Hans" w:bidi="ar"/>
              </w:rPr>
              <w:t>数量</w:t>
            </w:r>
            <w:r>
              <w:rPr>
                <w:rFonts w:hint="eastAsia" w:ascii="宋体" w:hAnsi="宋体" w:eastAsia="宋体" w:cs="宋体"/>
                <w:sz w:val="20"/>
                <w:szCs w:val="20"/>
                <w:lang w:bidi="ar"/>
              </w:rPr>
              <w:t>指标</w:t>
            </w:r>
          </w:p>
        </w:tc>
        <w:tc>
          <w:tcPr>
            <w:tcW w:w="323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lang w:bidi="ar"/>
              </w:rPr>
              <w:t>县区级妇幼保健机构能力建设项目覆盖机构数量</w:t>
            </w:r>
          </w:p>
        </w:tc>
        <w:tc>
          <w:tcPr>
            <w:tcW w:w="1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lang w:bidi="ar"/>
              </w:rPr>
              <w:t>2个</w:t>
            </w:r>
          </w:p>
        </w:tc>
        <w:tc>
          <w:tcPr>
            <w:tcW w:w="161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lang w:bidi="ar"/>
              </w:rPr>
              <w:t>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eastAsia="zh-Hans" w:bidi="ar"/>
              </w:rPr>
            </w:pPr>
            <w:r>
              <w:rPr>
                <w:rFonts w:hint="eastAsia" w:ascii="宋体" w:hAnsi="宋体" w:eastAsia="宋体" w:cs="宋体"/>
                <w:sz w:val="20"/>
                <w:szCs w:val="20"/>
                <w:lang w:bidi="ar"/>
              </w:rPr>
              <w:t>2</w:t>
            </w:r>
          </w:p>
        </w:tc>
        <w:tc>
          <w:tcPr>
            <w:tcW w:w="1224" w:type="dxa"/>
            <w:tcBorders>
              <w:top w:val="single" w:color="auto" w:sz="4" w:space="0"/>
              <w:left w:val="single" w:color="auto" w:sz="4" w:space="0"/>
              <w:bottom w:val="single" w:color="auto" w:sz="4" w:space="0"/>
              <w:right w:val="single" w:color="auto" w:sz="4" w:space="0"/>
            </w:tcBorders>
            <w:vAlign w:val="center"/>
          </w:tcPr>
          <w:p>
            <w:pPr>
              <w:spacing w:after="156" w:afterLines="50"/>
              <w:jc w:val="center"/>
              <w:rPr>
                <w:rFonts w:ascii="宋体" w:hAnsi="宋体" w:eastAsia="宋体" w:cs="宋体"/>
                <w:sz w:val="20"/>
                <w:szCs w:val="20"/>
                <w:lang w:eastAsia="zh-Hans" w:bidi="ar"/>
              </w:rPr>
            </w:pPr>
            <w:r>
              <w:rPr>
                <w:rFonts w:hint="eastAsia" w:ascii="宋体" w:hAnsi="宋体" w:eastAsia="宋体" w:cs="宋体"/>
                <w:sz w:val="20"/>
                <w:szCs w:val="20"/>
                <w:lang w:eastAsia="zh-Hans" w:bidi="ar"/>
              </w:rPr>
              <w:t>数量</w:t>
            </w:r>
            <w:r>
              <w:rPr>
                <w:rFonts w:hint="eastAsia" w:ascii="宋体" w:hAnsi="宋体" w:eastAsia="宋体" w:cs="宋体"/>
                <w:sz w:val="20"/>
                <w:szCs w:val="20"/>
                <w:lang w:bidi="ar"/>
              </w:rPr>
              <w:t>指标</w:t>
            </w:r>
          </w:p>
        </w:tc>
        <w:tc>
          <w:tcPr>
            <w:tcW w:w="323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实施省域妇幼健康“大手拉小手”行动的省级妇幼保健机构数量</w:t>
            </w:r>
          </w:p>
        </w:tc>
        <w:tc>
          <w:tcPr>
            <w:tcW w:w="1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1个</w:t>
            </w:r>
          </w:p>
        </w:tc>
        <w:tc>
          <w:tcPr>
            <w:tcW w:w="161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eastAsia="zh-Hans" w:bidi="ar"/>
              </w:rPr>
            </w:pPr>
            <w:r>
              <w:rPr>
                <w:rFonts w:hint="eastAsia" w:ascii="宋体" w:hAnsi="宋体" w:eastAsia="宋体" w:cs="宋体"/>
                <w:sz w:val="20"/>
                <w:szCs w:val="20"/>
                <w:lang w:bidi="ar"/>
              </w:rPr>
              <w:t>3</w:t>
            </w: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eastAsia="zh-Hans" w:bidi="ar"/>
              </w:rPr>
            </w:pPr>
            <w:r>
              <w:rPr>
                <w:rFonts w:hint="eastAsia" w:ascii="宋体" w:hAnsi="宋体" w:eastAsia="宋体" w:cs="宋体"/>
                <w:sz w:val="20"/>
                <w:szCs w:val="20"/>
                <w:lang w:eastAsia="zh-Hans" w:bidi="ar"/>
              </w:rPr>
              <w:t>数量</w:t>
            </w:r>
            <w:r>
              <w:rPr>
                <w:rFonts w:hint="eastAsia" w:ascii="宋体" w:hAnsi="宋体" w:eastAsia="宋体" w:cs="宋体"/>
                <w:sz w:val="20"/>
                <w:szCs w:val="20"/>
                <w:lang w:bidi="ar"/>
              </w:rPr>
              <w:t>指标</w:t>
            </w:r>
          </w:p>
        </w:tc>
        <w:tc>
          <w:tcPr>
            <w:tcW w:w="323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职业病诊断机构能力提升数量</w:t>
            </w:r>
          </w:p>
        </w:tc>
        <w:tc>
          <w:tcPr>
            <w:tcW w:w="1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3个</w:t>
            </w:r>
          </w:p>
        </w:tc>
        <w:tc>
          <w:tcPr>
            <w:tcW w:w="161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eastAsia="zh-Hans" w:bidi="ar"/>
              </w:rPr>
            </w:pPr>
            <w:r>
              <w:rPr>
                <w:rFonts w:hint="eastAsia" w:ascii="宋体" w:hAnsi="宋体" w:eastAsia="宋体" w:cs="宋体"/>
                <w:sz w:val="20"/>
                <w:szCs w:val="20"/>
                <w:lang w:bidi="ar"/>
              </w:rPr>
              <w:t>4</w:t>
            </w: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eastAsia="zh-Hans" w:bidi="ar"/>
              </w:rPr>
            </w:pPr>
            <w:r>
              <w:rPr>
                <w:rFonts w:hint="eastAsia" w:ascii="宋体" w:hAnsi="宋体" w:eastAsia="宋体" w:cs="宋体"/>
                <w:sz w:val="20"/>
                <w:szCs w:val="20"/>
                <w:lang w:eastAsia="zh-Hans" w:bidi="ar"/>
              </w:rPr>
              <w:t>数量</w:t>
            </w:r>
            <w:r>
              <w:rPr>
                <w:rFonts w:hint="eastAsia" w:ascii="宋体" w:hAnsi="宋体" w:eastAsia="宋体" w:cs="宋体"/>
                <w:sz w:val="20"/>
                <w:szCs w:val="20"/>
                <w:lang w:bidi="ar"/>
              </w:rPr>
              <w:t>指标</w:t>
            </w:r>
          </w:p>
        </w:tc>
        <w:tc>
          <w:tcPr>
            <w:tcW w:w="323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承担职业病危害因素监测任务的市级疾病预防控制中心或市级职业病防治院（所）职业病危害因素监测能力提升数量</w:t>
            </w:r>
          </w:p>
        </w:tc>
        <w:tc>
          <w:tcPr>
            <w:tcW w:w="1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1个</w:t>
            </w:r>
          </w:p>
        </w:tc>
        <w:tc>
          <w:tcPr>
            <w:tcW w:w="161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eastAsia="zh-Hans" w:bidi="ar"/>
              </w:rPr>
            </w:pPr>
            <w:r>
              <w:rPr>
                <w:rFonts w:hint="eastAsia" w:ascii="宋体" w:hAnsi="宋体" w:eastAsia="宋体" w:cs="宋体"/>
                <w:sz w:val="20"/>
                <w:szCs w:val="20"/>
                <w:lang w:bidi="ar"/>
              </w:rPr>
              <w:t>5</w:t>
            </w: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eastAsia="zh-Hans" w:bidi="ar"/>
              </w:rPr>
            </w:pPr>
            <w:r>
              <w:rPr>
                <w:rFonts w:hint="eastAsia" w:ascii="宋体" w:hAnsi="宋体" w:eastAsia="宋体" w:cs="宋体"/>
                <w:sz w:val="20"/>
                <w:szCs w:val="20"/>
                <w:lang w:eastAsia="zh-Hans" w:bidi="ar"/>
              </w:rPr>
              <w:t>数量</w:t>
            </w:r>
            <w:r>
              <w:rPr>
                <w:rFonts w:hint="eastAsia" w:ascii="宋体" w:hAnsi="宋体" w:eastAsia="宋体" w:cs="宋体"/>
                <w:sz w:val="20"/>
                <w:szCs w:val="20"/>
                <w:lang w:bidi="ar"/>
              </w:rPr>
              <w:t>指标</w:t>
            </w:r>
          </w:p>
        </w:tc>
        <w:tc>
          <w:tcPr>
            <w:tcW w:w="323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尘肺病康复站（点）数量</w:t>
            </w:r>
          </w:p>
        </w:tc>
        <w:tc>
          <w:tcPr>
            <w:tcW w:w="1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3个</w:t>
            </w:r>
          </w:p>
        </w:tc>
        <w:tc>
          <w:tcPr>
            <w:tcW w:w="161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eastAsia="zh-Hans" w:bidi="ar"/>
              </w:rPr>
            </w:pPr>
            <w:r>
              <w:rPr>
                <w:rFonts w:hint="eastAsia" w:ascii="宋体" w:hAnsi="宋体" w:eastAsia="宋体" w:cs="宋体"/>
                <w:sz w:val="20"/>
                <w:szCs w:val="20"/>
                <w:lang w:bidi="ar"/>
              </w:rPr>
              <w:t>6</w:t>
            </w: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eastAsia="zh-Hans" w:bidi="ar"/>
              </w:rPr>
            </w:pPr>
            <w:r>
              <w:rPr>
                <w:rFonts w:hint="eastAsia" w:ascii="宋体" w:hAnsi="宋体" w:eastAsia="宋体" w:cs="宋体"/>
                <w:sz w:val="20"/>
                <w:szCs w:val="20"/>
                <w:lang w:eastAsia="zh-Hans" w:bidi="ar"/>
              </w:rPr>
              <w:t>数量</w:t>
            </w:r>
            <w:r>
              <w:rPr>
                <w:rFonts w:hint="eastAsia" w:ascii="宋体" w:hAnsi="宋体" w:eastAsia="宋体" w:cs="宋体"/>
                <w:sz w:val="20"/>
                <w:szCs w:val="20"/>
                <w:lang w:bidi="ar"/>
              </w:rPr>
              <w:t>指标</w:t>
            </w:r>
          </w:p>
        </w:tc>
        <w:tc>
          <w:tcPr>
            <w:tcW w:w="323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项目覆盖县区级疾控机构数</w:t>
            </w:r>
          </w:p>
        </w:tc>
        <w:tc>
          <w:tcPr>
            <w:tcW w:w="1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5家</w:t>
            </w:r>
          </w:p>
        </w:tc>
        <w:tc>
          <w:tcPr>
            <w:tcW w:w="161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6家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eastAsia="zh-Hans" w:bidi="ar"/>
              </w:rPr>
            </w:pPr>
            <w:r>
              <w:rPr>
                <w:rFonts w:hint="eastAsia" w:ascii="宋体" w:hAnsi="宋体" w:eastAsia="宋体" w:cs="宋体"/>
                <w:sz w:val="20"/>
                <w:szCs w:val="20"/>
                <w:lang w:bidi="ar"/>
              </w:rPr>
              <w:t>7</w:t>
            </w: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eastAsia="zh-Hans" w:bidi="ar"/>
              </w:rPr>
            </w:pPr>
            <w:r>
              <w:rPr>
                <w:rFonts w:hint="eastAsia" w:ascii="宋体" w:hAnsi="宋体" w:eastAsia="宋体" w:cs="宋体"/>
                <w:sz w:val="20"/>
                <w:szCs w:val="20"/>
                <w:lang w:eastAsia="zh-Hans" w:bidi="ar"/>
              </w:rPr>
              <w:t>数量</w:t>
            </w:r>
            <w:r>
              <w:rPr>
                <w:rFonts w:hint="eastAsia" w:ascii="宋体" w:hAnsi="宋体" w:eastAsia="宋体" w:cs="宋体"/>
                <w:sz w:val="20"/>
                <w:szCs w:val="20"/>
                <w:lang w:bidi="ar"/>
              </w:rPr>
              <w:t>指标</w:t>
            </w:r>
          </w:p>
        </w:tc>
        <w:tc>
          <w:tcPr>
            <w:tcW w:w="323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国家临床重点专科建设项目数量</w:t>
            </w:r>
          </w:p>
        </w:tc>
        <w:tc>
          <w:tcPr>
            <w:tcW w:w="1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8个</w:t>
            </w:r>
          </w:p>
        </w:tc>
        <w:tc>
          <w:tcPr>
            <w:tcW w:w="161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eastAsia="zh-Hans" w:bidi="ar"/>
              </w:rPr>
            </w:pPr>
            <w:r>
              <w:rPr>
                <w:rFonts w:hint="eastAsia" w:ascii="宋体" w:hAnsi="宋体" w:eastAsia="宋体" w:cs="宋体"/>
                <w:sz w:val="20"/>
                <w:szCs w:val="20"/>
                <w:lang w:bidi="ar"/>
              </w:rPr>
              <w:t>8</w:t>
            </w: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eastAsia="zh-Hans" w:bidi="ar"/>
              </w:rPr>
            </w:pPr>
            <w:r>
              <w:rPr>
                <w:rFonts w:hint="eastAsia" w:ascii="宋体" w:hAnsi="宋体" w:eastAsia="宋体" w:cs="宋体"/>
                <w:sz w:val="20"/>
                <w:szCs w:val="20"/>
                <w:lang w:eastAsia="zh-Hans" w:bidi="ar"/>
              </w:rPr>
              <w:t>数量</w:t>
            </w:r>
            <w:r>
              <w:rPr>
                <w:rFonts w:hint="eastAsia" w:ascii="宋体" w:hAnsi="宋体" w:eastAsia="宋体" w:cs="宋体"/>
                <w:sz w:val="20"/>
                <w:szCs w:val="20"/>
                <w:lang w:bidi="ar"/>
              </w:rPr>
              <w:t>指标</w:t>
            </w:r>
          </w:p>
        </w:tc>
        <w:tc>
          <w:tcPr>
            <w:tcW w:w="323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支持承担疫情重点救治任务的综合医院数量</w:t>
            </w:r>
          </w:p>
        </w:tc>
        <w:tc>
          <w:tcPr>
            <w:tcW w:w="1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4家</w:t>
            </w:r>
          </w:p>
        </w:tc>
        <w:tc>
          <w:tcPr>
            <w:tcW w:w="161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sz w:val="20"/>
                <w:szCs w:val="20"/>
                <w:lang w:bidi="ar"/>
              </w:rPr>
            </w:pPr>
            <w:r>
              <w:rPr>
                <w:rFonts w:hint="eastAsia" w:ascii="宋体" w:hAnsi="宋体" w:eastAsia="宋体" w:cs="宋体"/>
                <w:sz w:val="20"/>
                <w:szCs w:val="20"/>
                <w:lang w:bidi="ar"/>
              </w:rPr>
              <w:t>0家</w:t>
            </w:r>
          </w:p>
        </w:tc>
      </w:tr>
    </w:tbl>
    <w:p>
      <w:pPr>
        <w:pStyle w:val="3"/>
        <w:keepNext w:val="0"/>
        <w:keepLines w:val="0"/>
        <w:pageBreakBefore w:val="0"/>
        <w:widowControl/>
        <w:kinsoku w:val="0"/>
        <w:wordWrap/>
        <w:overflowPunct/>
        <w:topLinePunct w:val="0"/>
        <w:autoSpaceDE w:val="0"/>
        <w:autoSpaceDN w:val="0"/>
        <w:bidi w:val="0"/>
        <w:adjustRightInd w:val="0"/>
        <w:snapToGrid w:val="0"/>
        <w:spacing w:after="0" w:line="560" w:lineRule="exact"/>
        <w:ind w:firstLine="640" w:firstLineChars="200"/>
        <w:textAlignment w:val="baseline"/>
        <w:rPr>
          <w:rFonts w:ascii="仿宋_GB2312" w:hAnsi="仿宋" w:eastAsia="仿宋_GB2312"/>
          <w:sz w:val="32"/>
          <w:szCs w:val="32"/>
          <w:lang w:eastAsia="zh-Hans" w:bidi="ar"/>
        </w:rPr>
      </w:pPr>
      <w:r>
        <w:rPr>
          <w:rFonts w:ascii="仿宋_GB2312" w:hAnsi="仿宋" w:eastAsia="仿宋_GB2312"/>
          <w:sz w:val="32"/>
          <w:szCs w:val="32"/>
          <w:lang w:eastAsia="zh-Hans" w:bidi="ar"/>
        </w:rPr>
        <w:t>（2）</w:t>
      </w:r>
      <w:r>
        <w:rPr>
          <w:rFonts w:hint="eastAsia" w:ascii="仿宋_GB2312" w:hAnsi="仿宋" w:eastAsia="仿宋_GB2312"/>
          <w:sz w:val="32"/>
          <w:szCs w:val="32"/>
          <w:lang w:eastAsia="zh-Hans" w:bidi="ar"/>
        </w:rPr>
        <w:t>质量指标</w:t>
      </w:r>
    </w:p>
    <w:p>
      <w:pPr>
        <w:pStyle w:val="3"/>
        <w:keepNext w:val="0"/>
        <w:keepLines w:val="0"/>
        <w:pageBreakBefore w:val="0"/>
        <w:widowControl/>
        <w:kinsoku w:val="0"/>
        <w:wordWrap/>
        <w:overflowPunct/>
        <w:topLinePunct w:val="0"/>
        <w:autoSpaceDE w:val="0"/>
        <w:autoSpaceDN w:val="0"/>
        <w:bidi w:val="0"/>
        <w:adjustRightInd w:val="0"/>
        <w:snapToGrid w:val="0"/>
        <w:spacing w:after="0" w:line="560" w:lineRule="exact"/>
        <w:ind w:firstLine="640" w:firstLineChars="200"/>
        <w:textAlignment w:val="baseline"/>
        <w:rPr>
          <w:rFonts w:ascii="仿宋_GB2312" w:hAnsi="仿宋" w:eastAsia="仿宋_GB2312"/>
          <w:sz w:val="32"/>
          <w:szCs w:val="32"/>
          <w:lang w:eastAsia="zh-Hans" w:bidi="ar"/>
        </w:rPr>
      </w:pPr>
      <w:r>
        <w:rPr>
          <w:rFonts w:hint="eastAsia" w:ascii="仿宋_GB2312" w:hAnsi="仿宋" w:eastAsia="仿宋_GB2312"/>
          <w:sz w:val="32"/>
          <w:szCs w:val="32"/>
          <w:lang w:bidi="ar"/>
        </w:rPr>
        <w:t>2022年北京市中央转移支付医疗服务与保障能力提升补助资金（医疗卫生机构能力建设）项目设定的</w:t>
      </w:r>
      <w:r>
        <w:rPr>
          <w:rFonts w:hint="eastAsia" w:ascii="仿宋_GB2312" w:hAnsi="仿宋" w:eastAsia="仿宋_GB2312"/>
          <w:sz w:val="32"/>
          <w:szCs w:val="32"/>
          <w:lang w:eastAsia="zh-Hans" w:bidi="ar"/>
        </w:rPr>
        <w:t>质量</w:t>
      </w:r>
      <w:r>
        <w:rPr>
          <w:rFonts w:hint="eastAsia" w:ascii="仿宋_GB2312" w:hAnsi="仿宋" w:eastAsia="仿宋_GB2312"/>
          <w:sz w:val="32"/>
          <w:szCs w:val="32"/>
          <w:lang w:bidi="ar"/>
        </w:rPr>
        <w:t>指标共</w:t>
      </w:r>
      <w:r>
        <w:rPr>
          <w:rFonts w:hint="eastAsia" w:ascii="仿宋_GB2312" w:hAnsi="仿宋" w:eastAsia="仿宋_GB2312"/>
          <w:sz w:val="32"/>
          <w:szCs w:val="32"/>
          <w:lang w:val="en-US" w:eastAsia="zh-CN" w:bidi="ar"/>
        </w:rPr>
        <w:t>9</w:t>
      </w:r>
      <w:r>
        <w:rPr>
          <w:rFonts w:hint="eastAsia" w:ascii="仿宋_GB2312" w:hAnsi="仿宋" w:eastAsia="仿宋_GB2312"/>
          <w:sz w:val="32"/>
          <w:szCs w:val="32"/>
          <w:lang w:bidi="ar"/>
        </w:rPr>
        <w:t>项，</w:t>
      </w:r>
      <w:r>
        <w:rPr>
          <w:rFonts w:hint="eastAsia" w:ascii="仿宋_GB2312" w:hAnsi="仿宋" w:eastAsia="仿宋_GB2312"/>
          <w:sz w:val="32"/>
          <w:szCs w:val="32"/>
          <w:lang w:eastAsia="zh-Hans" w:bidi="ar"/>
        </w:rPr>
        <w:t>其中</w:t>
      </w:r>
      <w:r>
        <w:rPr>
          <w:rFonts w:hint="eastAsia" w:ascii="仿宋_GB2312" w:hAnsi="仿宋" w:eastAsia="仿宋_GB2312"/>
          <w:sz w:val="32"/>
          <w:szCs w:val="32"/>
          <w:lang w:val="en-US" w:eastAsia="zh-CN" w:bidi="ar"/>
        </w:rPr>
        <w:t>6</w:t>
      </w:r>
      <w:r>
        <w:rPr>
          <w:rFonts w:hint="eastAsia" w:ascii="仿宋_GB2312" w:hAnsi="仿宋" w:eastAsia="仿宋_GB2312"/>
          <w:sz w:val="32"/>
          <w:szCs w:val="32"/>
          <w:lang w:eastAsia="zh-Hans" w:bidi="ar"/>
        </w:rPr>
        <w:t>项指标已完成</w:t>
      </w:r>
      <w:r>
        <w:rPr>
          <w:rFonts w:ascii="仿宋_GB2312" w:hAnsi="仿宋" w:eastAsia="仿宋_GB2312"/>
          <w:sz w:val="32"/>
          <w:szCs w:val="32"/>
          <w:lang w:eastAsia="zh-Hans" w:bidi="ar"/>
        </w:rPr>
        <w:t>，</w:t>
      </w:r>
      <w:r>
        <w:rPr>
          <w:rFonts w:hint="eastAsia" w:ascii="仿宋_GB2312" w:hAnsi="仿宋" w:eastAsia="仿宋_GB2312"/>
          <w:sz w:val="32"/>
          <w:szCs w:val="32"/>
          <w:lang w:bidi="ar"/>
        </w:rPr>
        <w:t>3</w:t>
      </w:r>
      <w:r>
        <w:rPr>
          <w:rFonts w:hint="eastAsia" w:ascii="仿宋_GB2312" w:hAnsi="仿宋" w:eastAsia="仿宋_GB2312"/>
          <w:sz w:val="32"/>
          <w:szCs w:val="32"/>
          <w:lang w:eastAsia="zh-Hans" w:bidi="ar"/>
        </w:rPr>
        <w:t>项指标未完成</w:t>
      </w:r>
      <w:r>
        <w:rPr>
          <w:rFonts w:ascii="仿宋_GB2312" w:hAnsi="仿宋" w:eastAsia="仿宋_GB2312"/>
          <w:sz w:val="32"/>
          <w:szCs w:val="32"/>
          <w:lang w:eastAsia="zh-Hans" w:bidi="ar"/>
        </w:rPr>
        <w:t>，</w:t>
      </w:r>
      <w:r>
        <w:rPr>
          <w:rFonts w:hint="eastAsia" w:ascii="仿宋_GB2312" w:hAnsi="仿宋" w:eastAsia="仿宋_GB2312"/>
          <w:sz w:val="32"/>
          <w:szCs w:val="32"/>
          <w:lang w:eastAsia="zh-Hans" w:bidi="ar"/>
        </w:rPr>
        <w:t>具体情况如下表</w:t>
      </w:r>
      <w:r>
        <w:rPr>
          <w:rFonts w:hint="eastAsia" w:ascii="仿宋_GB2312" w:hAnsi="仿宋" w:eastAsia="仿宋_GB2312"/>
          <w:sz w:val="32"/>
          <w:szCs w:val="32"/>
          <w:lang w:val="en-US" w:eastAsia="zh-CN" w:bidi="ar"/>
        </w:rPr>
        <w:t>2</w:t>
      </w:r>
      <w:r>
        <w:rPr>
          <w:rFonts w:ascii="仿宋_GB2312" w:hAnsi="仿宋" w:eastAsia="仿宋_GB2312"/>
          <w:sz w:val="32"/>
          <w:szCs w:val="32"/>
          <w:lang w:eastAsia="zh-Hans" w:bidi="ar"/>
        </w:rPr>
        <w:t>：</w:t>
      </w:r>
    </w:p>
    <w:p>
      <w:pPr>
        <w:pStyle w:val="3"/>
        <w:keepNext w:val="0"/>
        <w:keepLines w:val="0"/>
        <w:pageBreakBefore w:val="0"/>
        <w:widowControl/>
        <w:kinsoku w:val="0"/>
        <w:wordWrap/>
        <w:overflowPunct/>
        <w:topLinePunct w:val="0"/>
        <w:autoSpaceDE w:val="0"/>
        <w:autoSpaceDN w:val="0"/>
        <w:bidi w:val="0"/>
        <w:adjustRightInd w:val="0"/>
        <w:snapToGrid w:val="0"/>
        <w:spacing w:after="0" w:line="640" w:lineRule="exact"/>
        <w:ind w:firstLine="720" w:firstLineChars="200"/>
        <w:textAlignment w:val="baseline"/>
        <w:rPr>
          <w:rFonts w:ascii="仿宋_GB2312" w:hAnsi="仿宋" w:eastAsia="仿宋_GB2312"/>
          <w:sz w:val="36"/>
          <w:szCs w:val="36"/>
          <w:lang w:eastAsia="zh-Hans" w:bidi="ar"/>
        </w:rPr>
      </w:pPr>
    </w:p>
    <w:p>
      <w:pPr>
        <w:pStyle w:val="3"/>
        <w:widowControl w:val="0"/>
        <w:kinsoku/>
        <w:autoSpaceDE/>
        <w:autoSpaceDN/>
        <w:adjustRightInd/>
        <w:snapToGrid/>
        <w:spacing w:after="0" w:line="240" w:lineRule="auto"/>
        <w:jc w:val="center"/>
        <w:textAlignment w:val="auto"/>
        <w:rPr>
          <w:rFonts w:ascii="仿宋_GB2312" w:hAnsi="仿宋" w:eastAsia="仿宋_GB2312"/>
          <w:sz w:val="32"/>
          <w:szCs w:val="32"/>
          <w:lang w:eastAsia="zh-Hans" w:bidi="ar"/>
        </w:rPr>
      </w:pPr>
      <w:r>
        <w:rPr>
          <w:rFonts w:hint="eastAsia" w:ascii="仿宋_GB2312" w:hAnsi="仿宋_GB2312" w:eastAsia="仿宋_GB2312" w:cs="仿宋_GB2312"/>
          <w:snapToGrid/>
          <w:kern w:val="2"/>
          <w:sz w:val="28"/>
          <w:szCs w:val="28"/>
        </w:rPr>
        <w:t>表</w:t>
      </w:r>
      <w:r>
        <w:rPr>
          <w:rFonts w:hint="eastAsia" w:ascii="仿宋_GB2312" w:hAnsi="仿宋_GB2312" w:eastAsia="仿宋_GB2312" w:cs="仿宋_GB2312"/>
          <w:snapToGrid/>
          <w:kern w:val="2"/>
          <w:sz w:val="28"/>
          <w:szCs w:val="28"/>
          <w:lang w:val="en-US" w:eastAsia="zh-CN"/>
        </w:rPr>
        <w:t>2</w:t>
      </w:r>
      <w:r>
        <w:rPr>
          <w:rFonts w:hint="eastAsia" w:ascii="仿宋_GB2312" w:hAnsi="仿宋_GB2312" w:eastAsia="仿宋_GB2312" w:cs="仿宋_GB2312"/>
          <w:snapToGrid/>
          <w:kern w:val="2"/>
          <w:sz w:val="28"/>
          <w:szCs w:val="28"/>
        </w:rPr>
        <w:t>：产出质量指标完成情况表</w:t>
      </w:r>
    </w:p>
    <w:tbl>
      <w:tblPr>
        <w:tblStyle w:val="10"/>
        <w:tblW w:w="83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4"/>
        <w:gridCol w:w="1233"/>
        <w:gridCol w:w="3000"/>
        <w:gridCol w:w="1630"/>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854"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lang w:bidi="ar"/>
              </w:rPr>
              <w:t>序号</w:t>
            </w:r>
          </w:p>
        </w:tc>
        <w:tc>
          <w:tcPr>
            <w:tcW w:w="1233"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lang w:bidi="ar"/>
              </w:rPr>
              <w:t>指标类型</w:t>
            </w:r>
          </w:p>
        </w:tc>
        <w:tc>
          <w:tcPr>
            <w:tcW w:w="3000"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lang w:bidi="ar"/>
              </w:rPr>
              <w:t>三级指标</w:t>
            </w:r>
          </w:p>
        </w:tc>
        <w:tc>
          <w:tcPr>
            <w:tcW w:w="1630"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lang w:bidi="ar"/>
              </w:rPr>
              <w:t>指标值</w:t>
            </w:r>
          </w:p>
        </w:tc>
        <w:tc>
          <w:tcPr>
            <w:tcW w:w="1651"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lang w:bidi="ar"/>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 w:val="20"/>
                <w:szCs w:val="20"/>
                <w:lang w:eastAsia="zh-Hans"/>
              </w:rPr>
            </w:pPr>
            <w:r>
              <w:rPr>
                <w:rFonts w:hint="eastAsia" w:asciiTheme="minorEastAsia" w:hAnsiTheme="minorEastAsia" w:eastAsiaTheme="minorEastAsia" w:cstheme="minorEastAsia"/>
                <w:sz w:val="20"/>
                <w:szCs w:val="20"/>
                <w:lang w:bidi="ar"/>
              </w:rPr>
              <w:t>1</w:t>
            </w:r>
          </w:p>
        </w:tc>
        <w:tc>
          <w:tcPr>
            <w:tcW w:w="1233" w:type="dxa"/>
            <w:tcBorders>
              <w:top w:val="single" w:color="auto" w:sz="4" w:space="0"/>
              <w:left w:val="single" w:color="auto" w:sz="4" w:space="0"/>
              <w:bottom w:val="single" w:color="auto" w:sz="4" w:space="0"/>
              <w:right w:val="single" w:color="auto" w:sz="4" w:space="0"/>
            </w:tcBorders>
            <w:vAlign w:val="center"/>
          </w:tcPr>
          <w:p>
            <w:pPr>
              <w:spacing w:after="156" w:afterLines="50"/>
              <w:jc w:val="center"/>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Hans" w:bidi="ar"/>
              </w:rPr>
              <w:t>质量</w:t>
            </w:r>
            <w:r>
              <w:rPr>
                <w:rFonts w:hint="eastAsia" w:asciiTheme="minorEastAsia" w:hAnsiTheme="minorEastAsia" w:eastAsiaTheme="minorEastAsia" w:cstheme="minorEastAsia"/>
                <w:sz w:val="20"/>
                <w:szCs w:val="20"/>
                <w:lang w:bidi="ar"/>
              </w:rPr>
              <w:t>指标</w:t>
            </w:r>
          </w:p>
        </w:tc>
        <w:tc>
          <w:tcPr>
            <w:tcW w:w="300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bidi="ar"/>
              </w:rPr>
              <w:t>辖区孕产妇系统管理率</w:t>
            </w:r>
          </w:p>
        </w:tc>
        <w:tc>
          <w:tcPr>
            <w:tcW w:w="163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bidi="ar"/>
              </w:rPr>
              <w:t>≥85%</w:t>
            </w:r>
          </w:p>
        </w:tc>
        <w:tc>
          <w:tcPr>
            <w:tcW w:w="165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bidi="ar"/>
              </w:rPr>
              <w:t>97.90%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 w:val="20"/>
                <w:szCs w:val="20"/>
                <w:lang w:eastAsia="zh-Hans" w:bidi="ar"/>
              </w:rPr>
            </w:pPr>
            <w:r>
              <w:rPr>
                <w:rFonts w:hint="eastAsia" w:asciiTheme="minorEastAsia" w:hAnsiTheme="minorEastAsia" w:eastAsiaTheme="minorEastAsia" w:cstheme="minorEastAsia"/>
                <w:sz w:val="20"/>
                <w:szCs w:val="20"/>
                <w:lang w:bidi="ar"/>
              </w:rPr>
              <w:t>2</w:t>
            </w:r>
          </w:p>
        </w:tc>
        <w:tc>
          <w:tcPr>
            <w:tcW w:w="1233" w:type="dxa"/>
            <w:tcBorders>
              <w:top w:val="single" w:color="auto" w:sz="4" w:space="0"/>
              <w:left w:val="single" w:color="auto" w:sz="4" w:space="0"/>
              <w:bottom w:val="single" w:color="auto" w:sz="4" w:space="0"/>
              <w:right w:val="single" w:color="auto" w:sz="4" w:space="0"/>
            </w:tcBorders>
            <w:vAlign w:val="center"/>
          </w:tcPr>
          <w:p>
            <w:pPr>
              <w:spacing w:after="156" w:afterLines="50"/>
              <w:jc w:val="center"/>
              <w:rPr>
                <w:rFonts w:asciiTheme="minorEastAsia" w:hAnsiTheme="minorEastAsia" w:eastAsiaTheme="minorEastAsia" w:cstheme="minorEastAsia"/>
                <w:sz w:val="20"/>
                <w:szCs w:val="20"/>
                <w:lang w:eastAsia="zh-Hans" w:bidi="ar"/>
              </w:rPr>
            </w:pPr>
            <w:r>
              <w:rPr>
                <w:rFonts w:hint="eastAsia" w:asciiTheme="minorEastAsia" w:hAnsiTheme="minorEastAsia" w:eastAsiaTheme="minorEastAsia" w:cstheme="minorEastAsia"/>
                <w:sz w:val="20"/>
                <w:szCs w:val="20"/>
                <w:lang w:eastAsia="zh-Hans" w:bidi="ar"/>
              </w:rPr>
              <w:t>质量</w:t>
            </w:r>
            <w:r>
              <w:rPr>
                <w:rFonts w:hint="eastAsia" w:asciiTheme="minorEastAsia" w:hAnsiTheme="minorEastAsia" w:eastAsiaTheme="minorEastAsia" w:cstheme="minorEastAsia"/>
                <w:sz w:val="20"/>
                <w:szCs w:val="20"/>
                <w:lang w:bidi="ar"/>
              </w:rPr>
              <w:t>指标</w:t>
            </w:r>
          </w:p>
        </w:tc>
        <w:tc>
          <w:tcPr>
            <w:tcW w:w="300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lang w:bidi="ar"/>
              </w:rPr>
            </w:pPr>
            <w:r>
              <w:rPr>
                <w:rFonts w:hint="eastAsia" w:asciiTheme="minorEastAsia" w:hAnsiTheme="minorEastAsia" w:eastAsiaTheme="minorEastAsia" w:cstheme="minorEastAsia"/>
                <w:sz w:val="20"/>
                <w:szCs w:val="20"/>
                <w:lang w:bidi="ar"/>
              </w:rPr>
              <w:t>市级职业病防治技术支撑能力</w:t>
            </w:r>
          </w:p>
        </w:tc>
        <w:tc>
          <w:tcPr>
            <w:tcW w:w="163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lang w:bidi="ar"/>
              </w:rPr>
            </w:pPr>
            <w:r>
              <w:rPr>
                <w:rFonts w:hint="eastAsia" w:asciiTheme="minorEastAsia" w:hAnsiTheme="minorEastAsia" w:eastAsiaTheme="minorEastAsia" w:cstheme="minorEastAsia"/>
                <w:sz w:val="20"/>
                <w:szCs w:val="20"/>
                <w:lang w:bidi="ar"/>
              </w:rPr>
              <w:t>有所提升</w:t>
            </w:r>
          </w:p>
        </w:tc>
        <w:tc>
          <w:tcPr>
            <w:tcW w:w="165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lang w:bidi="ar"/>
              </w:rPr>
            </w:pPr>
            <w:r>
              <w:rPr>
                <w:rFonts w:hint="eastAsia" w:asciiTheme="minorEastAsia" w:hAnsiTheme="minorEastAsia" w:eastAsiaTheme="minorEastAsia" w:cstheme="minorEastAsia"/>
                <w:sz w:val="20"/>
                <w:szCs w:val="20"/>
                <w:lang w:bidi="ar"/>
              </w:rPr>
              <w:t>有所提升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 w:val="20"/>
                <w:szCs w:val="20"/>
                <w:lang w:eastAsia="zh-Hans" w:bidi="ar"/>
              </w:rPr>
            </w:pPr>
            <w:r>
              <w:rPr>
                <w:rFonts w:hint="eastAsia" w:asciiTheme="minorEastAsia" w:hAnsiTheme="minorEastAsia" w:eastAsiaTheme="minorEastAsia" w:cstheme="minorEastAsia"/>
                <w:sz w:val="20"/>
                <w:szCs w:val="20"/>
                <w:lang w:bidi="ar"/>
              </w:rPr>
              <w:t>3</w:t>
            </w:r>
          </w:p>
        </w:tc>
        <w:tc>
          <w:tcPr>
            <w:tcW w:w="1233"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 w:val="20"/>
                <w:szCs w:val="20"/>
                <w:lang w:eastAsia="zh-Hans" w:bidi="ar"/>
              </w:rPr>
            </w:pPr>
            <w:r>
              <w:rPr>
                <w:rFonts w:hint="eastAsia" w:asciiTheme="minorEastAsia" w:hAnsiTheme="minorEastAsia" w:eastAsiaTheme="minorEastAsia" w:cstheme="minorEastAsia"/>
                <w:sz w:val="20"/>
                <w:szCs w:val="20"/>
                <w:lang w:eastAsia="zh-Hans" w:bidi="ar"/>
              </w:rPr>
              <w:t>质量</w:t>
            </w:r>
            <w:r>
              <w:rPr>
                <w:rFonts w:hint="eastAsia" w:asciiTheme="minorEastAsia" w:hAnsiTheme="minorEastAsia" w:eastAsiaTheme="minorEastAsia" w:cstheme="minorEastAsia"/>
                <w:sz w:val="20"/>
                <w:szCs w:val="20"/>
                <w:lang w:bidi="ar"/>
              </w:rPr>
              <w:t>指标</w:t>
            </w:r>
          </w:p>
        </w:tc>
        <w:tc>
          <w:tcPr>
            <w:tcW w:w="300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lang w:bidi="ar"/>
              </w:rPr>
            </w:pPr>
            <w:r>
              <w:rPr>
                <w:rFonts w:hint="eastAsia" w:asciiTheme="minorEastAsia" w:hAnsiTheme="minorEastAsia" w:eastAsiaTheme="minorEastAsia" w:cstheme="minorEastAsia"/>
                <w:sz w:val="20"/>
                <w:szCs w:val="20"/>
                <w:lang w:bidi="ar"/>
              </w:rPr>
              <w:t>项目覆盖疾控机构基本检验能力较上年提升比例</w:t>
            </w:r>
          </w:p>
        </w:tc>
        <w:tc>
          <w:tcPr>
            <w:tcW w:w="163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lang w:bidi="ar"/>
              </w:rPr>
            </w:pPr>
            <w:r>
              <w:rPr>
                <w:rFonts w:hint="eastAsia" w:asciiTheme="minorEastAsia" w:hAnsiTheme="minorEastAsia" w:eastAsiaTheme="minorEastAsia" w:cstheme="minorEastAsia"/>
                <w:sz w:val="20"/>
                <w:szCs w:val="20"/>
                <w:lang w:bidi="ar"/>
              </w:rPr>
              <w:t>≥10%</w:t>
            </w:r>
          </w:p>
        </w:tc>
        <w:tc>
          <w:tcPr>
            <w:tcW w:w="165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lang w:bidi="ar"/>
              </w:rPr>
            </w:pPr>
            <w:r>
              <w:rPr>
                <w:rFonts w:hint="eastAsia" w:asciiTheme="minorEastAsia" w:hAnsiTheme="minorEastAsia" w:eastAsiaTheme="minorEastAsia" w:cstheme="minorEastAsia"/>
                <w:sz w:val="20"/>
                <w:szCs w:val="20"/>
                <w:lang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 w:val="20"/>
                <w:szCs w:val="20"/>
                <w:lang w:eastAsia="zh-Hans" w:bidi="ar"/>
              </w:rPr>
            </w:pPr>
            <w:r>
              <w:rPr>
                <w:rFonts w:hint="eastAsia" w:asciiTheme="minorEastAsia" w:hAnsiTheme="minorEastAsia" w:eastAsiaTheme="minorEastAsia" w:cstheme="minorEastAsia"/>
                <w:sz w:val="20"/>
                <w:szCs w:val="20"/>
                <w:lang w:bidi="ar"/>
              </w:rPr>
              <w:t>4</w:t>
            </w:r>
          </w:p>
        </w:tc>
        <w:tc>
          <w:tcPr>
            <w:tcW w:w="1233"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 w:val="20"/>
                <w:szCs w:val="20"/>
                <w:lang w:eastAsia="zh-Hans" w:bidi="ar"/>
              </w:rPr>
            </w:pPr>
            <w:r>
              <w:rPr>
                <w:rFonts w:hint="eastAsia" w:asciiTheme="minorEastAsia" w:hAnsiTheme="minorEastAsia" w:eastAsiaTheme="minorEastAsia" w:cstheme="minorEastAsia"/>
                <w:sz w:val="20"/>
                <w:szCs w:val="20"/>
                <w:lang w:eastAsia="zh-Hans" w:bidi="ar"/>
              </w:rPr>
              <w:t>质量</w:t>
            </w:r>
            <w:r>
              <w:rPr>
                <w:rFonts w:hint="eastAsia" w:asciiTheme="minorEastAsia" w:hAnsiTheme="minorEastAsia" w:eastAsiaTheme="minorEastAsia" w:cstheme="minorEastAsia"/>
                <w:sz w:val="20"/>
                <w:szCs w:val="20"/>
                <w:lang w:bidi="ar"/>
              </w:rPr>
              <w:t>指标</w:t>
            </w:r>
          </w:p>
        </w:tc>
        <w:tc>
          <w:tcPr>
            <w:tcW w:w="3000" w:type="dxa"/>
            <w:tcBorders>
              <w:top w:val="single" w:color="auto" w:sz="4" w:space="0"/>
              <w:left w:val="single" w:color="auto" w:sz="4" w:space="0"/>
              <w:bottom w:val="single" w:color="auto" w:sz="4" w:space="0"/>
              <w:right w:val="single" w:color="auto" w:sz="4" w:space="0"/>
            </w:tcBorders>
            <w:vAlign w:val="top"/>
          </w:tcPr>
          <w:p>
            <w:pPr>
              <w:spacing w:before="145" w:line="219" w:lineRule="auto"/>
              <w:ind w:left="43" w:leftChars="0"/>
              <w:rPr>
                <w:rFonts w:ascii="宋体" w:hAnsi="宋体" w:eastAsia="宋体" w:cs="宋体"/>
                <w:snapToGrid w:val="0"/>
                <w:color w:val="000000"/>
                <w:sz w:val="19"/>
                <w:szCs w:val="19"/>
                <w:lang w:val="en-US" w:eastAsia="zh-CN" w:bidi="ar-SA"/>
              </w:rPr>
            </w:pPr>
            <w:r>
              <w:rPr>
                <w:rFonts w:ascii="宋体" w:hAnsi="宋体" w:eastAsia="宋体" w:cs="宋体"/>
                <w:spacing w:val="3"/>
                <w:sz w:val="19"/>
                <w:szCs w:val="19"/>
              </w:rPr>
              <w:t>省域妇幼健康“大手拉小手”行动完成率</w:t>
            </w:r>
          </w:p>
        </w:tc>
        <w:tc>
          <w:tcPr>
            <w:tcW w:w="1630" w:type="dxa"/>
            <w:tcBorders>
              <w:top w:val="single" w:color="auto" w:sz="4" w:space="0"/>
              <w:left w:val="single" w:color="auto" w:sz="4" w:space="0"/>
              <w:bottom w:val="single" w:color="auto" w:sz="4" w:space="0"/>
              <w:right w:val="single" w:color="auto" w:sz="4" w:space="0"/>
            </w:tcBorders>
            <w:vAlign w:val="top"/>
          </w:tcPr>
          <w:p>
            <w:pPr>
              <w:spacing w:before="164" w:line="237" w:lineRule="auto"/>
              <w:ind w:left="498" w:leftChars="0"/>
              <w:rPr>
                <w:rFonts w:ascii="宋体" w:hAnsi="宋体" w:eastAsia="宋体" w:cs="宋体"/>
                <w:snapToGrid w:val="0"/>
                <w:color w:val="000000"/>
                <w:sz w:val="19"/>
                <w:szCs w:val="19"/>
                <w:lang w:val="en-US" w:eastAsia="zh-CN" w:bidi="ar-SA"/>
              </w:rPr>
            </w:pPr>
            <w:r>
              <w:rPr>
                <w:rFonts w:ascii="宋体" w:hAnsi="宋体" w:eastAsia="宋体" w:cs="宋体"/>
                <w:spacing w:val="-6"/>
                <w:sz w:val="19"/>
                <w:szCs w:val="19"/>
              </w:rPr>
              <w:t>≥80%</w:t>
            </w:r>
          </w:p>
        </w:tc>
        <w:tc>
          <w:tcPr>
            <w:tcW w:w="165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default" w:asciiTheme="minorEastAsia" w:hAnsiTheme="minorEastAsia" w:eastAsiaTheme="minorEastAsia" w:cstheme="minorEastAsia"/>
                <w:sz w:val="20"/>
                <w:szCs w:val="20"/>
                <w:lang w:val="en-US" w:eastAsia="zh-CN" w:bidi="ar"/>
              </w:rPr>
            </w:pPr>
            <w:r>
              <w:rPr>
                <w:rFonts w:hint="eastAsia" w:asciiTheme="minorEastAsia" w:hAnsiTheme="minorEastAsia" w:eastAsiaTheme="minorEastAsia" w:cstheme="minorEastAsia"/>
                <w:sz w:val="20"/>
                <w:szCs w:val="20"/>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 w:val="20"/>
                <w:szCs w:val="20"/>
                <w:lang w:eastAsia="zh-Hans" w:bidi="ar"/>
              </w:rPr>
            </w:pPr>
            <w:r>
              <w:rPr>
                <w:rFonts w:hint="eastAsia" w:asciiTheme="minorEastAsia" w:hAnsiTheme="minorEastAsia" w:eastAsiaTheme="minorEastAsia" w:cstheme="minorEastAsia"/>
                <w:sz w:val="20"/>
                <w:szCs w:val="20"/>
                <w:lang w:bidi="ar"/>
              </w:rPr>
              <w:t>5</w:t>
            </w:r>
          </w:p>
        </w:tc>
        <w:tc>
          <w:tcPr>
            <w:tcW w:w="1233"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 w:val="20"/>
                <w:szCs w:val="20"/>
                <w:lang w:eastAsia="zh-Hans" w:bidi="ar"/>
              </w:rPr>
            </w:pPr>
            <w:r>
              <w:rPr>
                <w:rFonts w:hint="eastAsia" w:asciiTheme="minorEastAsia" w:hAnsiTheme="minorEastAsia" w:eastAsiaTheme="minorEastAsia" w:cstheme="minorEastAsia"/>
                <w:sz w:val="20"/>
                <w:szCs w:val="20"/>
                <w:lang w:eastAsia="zh-Hans" w:bidi="ar"/>
              </w:rPr>
              <w:t>质量</w:t>
            </w:r>
            <w:r>
              <w:rPr>
                <w:rFonts w:hint="eastAsia" w:asciiTheme="minorEastAsia" w:hAnsiTheme="minorEastAsia" w:eastAsiaTheme="minorEastAsia" w:cstheme="minorEastAsia"/>
                <w:sz w:val="20"/>
                <w:szCs w:val="20"/>
                <w:lang w:bidi="ar"/>
              </w:rPr>
              <w:t>指标</w:t>
            </w:r>
          </w:p>
        </w:tc>
        <w:tc>
          <w:tcPr>
            <w:tcW w:w="300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lang w:bidi="ar"/>
              </w:rPr>
            </w:pPr>
            <w:r>
              <w:rPr>
                <w:rFonts w:hint="eastAsia" w:asciiTheme="minorEastAsia" w:hAnsiTheme="minorEastAsia" w:eastAsiaTheme="minorEastAsia" w:cstheme="minorEastAsia"/>
                <w:sz w:val="20"/>
                <w:szCs w:val="20"/>
                <w:lang w:bidi="ar"/>
              </w:rPr>
              <w:t>承担疫情重点救治任务每项目医院重症监护病区（ICU）设备配备</w:t>
            </w:r>
          </w:p>
        </w:tc>
        <w:tc>
          <w:tcPr>
            <w:tcW w:w="163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lang w:bidi="ar"/>
              </w:rPr>
            </w:pPr>
            <w:r>
              <w:rPr>
                <w:rFonts w:hint="eastAsia" w:asciiTheme="minorEastAsia" w:hAnsiTheme="minorEastAsia" w:eastAsiaTheme="minorEastAsia" w:cstheme="minorEastAsia"/>
                <w:sz w:val="20"/>
                <w:szCs w:val="20"/>
                <w:lang w:bidi="ar"/>
              </w:rPr>
              <w:t>≥1台</w:t>
            </w:r>
          </w:p>
        </w:tc>
        <w:tc>
          <w:tcPr>
            <w:tcW w:w="165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lang w:bidi="ar"/>
              </w:rPr>
            </w:pPr>
            <w:r>
              <w:rPr>
                <w:rFonts w:hint="eastAsia" w:asciiTheme="minorEastAsia" w:hAnsiTheme="minorEastAsia" w:eastAsiaTheme="minorEastAsia" w:cstheme="minorEastAsia"/>
                <w:sz w:val="20"/>
                <w:szCs w:val="20"/>
                <w:lang w:bidi="ar"/>
              </w:rPr>
              <w:t>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 w:val="20"/>
                <w:szCs w:val="20"/>
                <w:lang w:eastAsia="zh-Hans" w:bidi="ar"/>
              </w:rPr>
            </w:pPr>
            <w:r>
              <w:rPr>
                <w:rFonts w:hint="eastAsia" w:asciiTheme="minorEastAsia" w:hAnsiTheme="minorEastAsia" w:eastAsiaTheme="minorEastAsia" w:cstheme="minorEastAsia"/>
                <w:sz w:val="20"/>
                <w:szCs w:val="20"/>
                <w:lang w:bidi="ar"/>
              </w:rPr>
              <w:t>6</w:t>
            </w:r>
          </w:p>
        </w:tc>
        <w:tc>
          <w:tcPr>
            <w:tcW w:w="1233"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 w:val="20"/>
                <w:szCs w:val="20"/>
                <w:lang w:eastAsia="zh-Hans" w:bidi="ar"/>
              </w:rPr>
            </w:pPr>
            <w:r>
              <w:rPr>
                <w:rFonts w:hint="eastAsia" w:asciiTheme="minorEastAsia" w:hAnsiTheme="minorEastAsia" w:eastAsiaTheme="minorEastAsia" w:cstheme="minorEastAsia"/>
                <w:sz w:val="20"/>
                <w:szCs w:val="20"/>
                <w:lang w:eastAsia="zh-Hans" w:bidi="ar"/>
              </w:rPr>
              <w:t>质量</w:t>
            </w:r>
            <w:r>
              <w:rPr>
                <w:rFonts w:hint="eastAsia" w:asciiTheme="minorEastAsia" w:hAnsiTheme="minorEastAsia" w:eastAsiaTheme="minorEastAsia" w:cstheme="minorEastAsia"/>
                <w:sz w:val="20"/>
                <w:szCs w:val="20"/>
                <w:lang w:bidi="ar"/>
              </w:rPr>
              <w:t>指标</w:t>
            </w:r>
          </w:p>
        </w:tc>
        <w:tc>
          <w:tcPr>
            <w:tcW w:w="300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lang w:bidi="ar"/>
              </w:rPr>
            </w:pPr>
            <w:r>
              <w:rPr>
                <w:rFonts w:hint="eastAsia" w:asciiTheme="minorEastAsia" w:hAnsiTheme="minorEastAsia" w:eastAsiaTheme="minorEastAsia" w:cstheme="minorEastAsia"/>
                <w:sz w:val="20"/>
                <w:szCs w:val="20"/>
                <w:lang w:bidi="ar"/>
              </w:rPr>
              <w:t>承担疫情重点救治任务每项目医院发热门诊设备配备</w:t>
            </w:r>
          </w:p>
        </w:tc>
        <w:tc>
          <w:tcPr>
            <w:tcW w:w="163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lang w:bidi="ar"/>
              </w:rPr>
            </w:pPr>
            <w:r>
              <w:rPr>
                <w:rFonts w:hint="eastAsia" w:asciiTheme="minorEastAsia" w:hAnsiTheme="minorEastAsia" w:eastAsiaTheme="minorEastAsia" w:cstheme="minorEastAsia"/>
                <w:sz w:val="20"/>
                <w:szCs w:val="20"/>
                <w:lang w:bidi="ar"/>
              </w:rPr>
              <w:t>≥1台</w:t>
            </w:r>
          </w:p>
        </w:tc>
        <w:tc>
          <w:tcPr>
            <w:tcW w:w="165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lang w:bidi="ar"/>
              </w:rPr>
            </w:pPr>
            <w:r>
              <w:rPr>
                <w:rFonts w:hint="eastAsia" w:asciiTheme="minorEastAsia" w:hAnsiTheme="minorEastAsia" w:eastAsiaTheme="minorEastAsia" w:cstheme="minorEastAsia"/>
                <w:sz w:val="20"/>
                <w:szCs w:val="20"/>
                <w:lang w:bidi="ar"/>
              </w:rPr>
              <w:t>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 w:val="20"/>
                <w:szCs w:val="20"/>
                <w:lang w:eastAsia="zh-Hans" w:bidi="ar"/>
              </w:rPr>
            </w:pPr>
            <w:r>
              <w:rPr>
                <w:rFonts w:hint="eastAsia" w:asciiTheme="minorEastAsia" w:hAnsiTheme="minorEastAsia" w:eastAsiaTheme="minorEastAsia" w:cstheme="minorEastAsia"/>
                <w:sz w:val="20"/>
                <w:szCs w:val="20"/>
                <w:lang w:bidi="ar"/>
              </w:rPr>
              <w:t>7</w:t>
            </w:r>
          </w:p>
        </w:tc>
        <w:tc>
          <w:tcPr>
            <w:tcW w:w="1233"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 w:val="20"/>
                <w:szCs w:val="20"/>
                <w:lang w:eastAsia="zh-Hans" w:bidi="ar"/>
              </w:rPr>
            </w:pPr>
            <w:r>
              <w:rPr>
                <w:rFonts w:hint="eastAsia" w:asciiTheme="minorEastAsia" w:hAnsiTheme="minorEastAsia" w:eastAsiaTheme="minorEastAsia" w:cstheme="minorEastAsia"/>
                <w:sz w:val="20"/>
                <w:szCs w:val="20"/>
                <w:lang w:eastAsia="zh-Hans" w:bidi="ar"/>
              </w:rPr>
              <w:t>质量</w:t>
            </w:r>
            <w:r>
              <w:rPr>
                <w:rFonts w:hint="eastAsia" w:asciiTheme="minorEastAsia" w:hAnsiTheme="minorEastAsia" w:eastAsiaTheme="minorEastAsia" w:cstheme="minorEastAsia"/>
                <w:sz w:val="20"/>
                <w:szCs w:val="20"/>
                <w:lang w:bidi="ar"/>
              </w:rPr>
              <w:t>指标</w:t>
            </w:r>
          </w:p>
        </w:tc>
        <w:tc>
          <w:tcPr>
            <w:tcW w:w="300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lang w:bidi="ar"/>
              </w:rPr>
            </w:pPr>
            <w:r>
              <w:rPr>
                <w:rFonts w:hint="eastAsia" w:asciiTheme="minorEastAsia" w:hAnsiTheme="minorEastAsia" w:eastAsiaTheme="minorEastAsia" w:cstheme="minorEastAsia"/>
                <w:sz w:val="20"/>
                <w:szCs w:val="20"/>
                <w:lang w:bidi="ar"/>
              </w:rPr>
              <w:t>承担疫情重点救治任务每项目医院信息化设备配备</w:t>
            </w:r>
          </w:p>
        </w:tc>
        <w:tc>
          <w:tcPr>
            <w:tcW w:w="163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lang w:bidi="ar"/>
              </w:rPr>
            </w:pPr>
            <w:r>
              <w:rPr>
                <w:rFonts w:hint="eastAsia" w:asciiTheme="minorEastAsia" w:hAnsiTheme="minorEastAsia" w:eastAsiaTheme="minorEastAsia" w:cstheme="minorEastAsia"/>
                <w:sz w:val="20"/>
                <w:szCs w:val="20"/>
                <w:lang w:bidi="ar"/>
              </w:rPr>
              <w:t>≥1台</w:t>
            </w:r>
          </w:p>
        </w:tc>
        <w:tc>
          <w:tcPr>
            <w:tcW w:w="165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lang w:bidi="ar"/>
              </w:rPr>
            </w:pPr>
            <w:r>
              <w:rPr>
                <w:rFonts w:hint="eastAsia" w:asciiTheme="minorEastAsia" w:hAnsiTheme="minorEastAsia" w:eastAsiaTheme="minorEastAsia" w:cstheme="minorEastAsia"/>
                <w:sz w:val="20"/>
                <w:szCs w:val="20"/>
                <w:lang w:bidi="ar"/>
              </w:rPr>
              <w:t>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 w:val="20"/>
                <w:szCs w:val="20"/>
                <w:lang w:eastAsia="zh-Hans" w:bidi="ar"/>
              </w:rPr>
            </w:pPr>
            <w:r>
              <w:rPr>
                <w:rFonts w:hint="eastAsia" w:asciiTheme="minorEastAsia" w:hAnsiTheme="minorEastAsia" w:eastAsiaTheme="minorEastAsia" w:cstheme="minorEastAsia"/>
                <w:sz w:val="20"/>
                <w:szCs w:val="20"/>
                <w:lang w:bidi="ar"/>
              </w:rPr>
              <w:t>8</w:t>
            </w:r>
          </w:p>
        </w:tc>
        <w:tc>
          <w:tcPr>
            <w:tcW w:w="1233"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 w:val="20"/>
                <w:szCs w:val="20"/>
                <w:lang w:eastAsia="zh-Hans" w:bidi="ar"/>
              </w:rPr>
            </w:pPr>
            <w:r>
              <w:rPr>
                <w:rFonts w:hint="eastAsia" w:asciiTheme="minorEastAsia" w:hAnsiTheme="minorEastAsia" w:eastAsiaTheme="minorEastAsia" w:cstheme="minorEastAsia"/>
                <w:sz w:val="20"/>
                <w:szCs w:val="20"/>
                <w:lang w:eastAsia="zh-Hans" w:bidi="ar"/>
              </w:rPr>
              <w:t>质量</w:t>
            </w:r>
            <w:r>
              <w:rPr>
                <w:rFonts w:hint="eastAsia" w:asciiTheme="minorEastAsia" w:hAnsiTheme="minorEastAsia" w:eastAsiaTheme="minorEastAsia" w:cstheme="minorEastAsia"/>
                <w:sz w:val="20"/>
                <w:szCs w:val="20"/>
                <w:lang w:bidi="ar"/>
              </w:rPr>
              <w:t>指标</w:t>
            </w:r>
          </w:p>
        </w:tc>
        <w:tc>
          <w:tcPr>
            <w:tcW w:w="300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lang w:bidi="ar"/>
              </w:rPr>
            </w:pPr>
            <w:r>
              <w:rPr>
                <w:rFonts w:hint="eastAsia" w:asciiTheme="minorEastAsia" w:hAnsiTheme="minorEastAsia" w:eastAsiaTheme="minorEastAsia" w:cstheme="minorEastAsia"/>
                <w:sz w:val="20"/>
                <w:szCs w:val="20"/>
                <w:lang w:bidi="ar"/>
              </w:rPr>
              <w:t>承担疫情重点救治任务每项目医院院感防控防护设备配备和物资储备</w:t>
            </w:r>
          </w:p>
        </w:tc>
        <w:tc>
          <w:tcPr>
            <w:tcW w:w="163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lang w:bidi="ar"/>
              </w:rPr>
            </w:pPr>
            <w:r>
              <w:rPr>
                <w:rFonts w:hint="eastAsia" w:asciiTheme="minorEastAsia" w:hAnsiTheme="minorEastAsia" w:eastAsiaTheme="minorEastAsia" w:cstheme="minorEastAsia"/>
                <w:sz w:val="20"/>
                <w:szCs w:val="20"/>
                <w:lang w:bidi="ar"/>
              </w:rPr>
              <w:t>较去年提升</w:t>
            </w:r>
          </w:p>
        </w:tc>
        <w:tc>
          <w:tcPr>
            <w:tcW w:w="165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lang w:bidi="ar"/>
              </w:rPr>
            </w:pPr>
            <w:r>
              <w:rPr>
                <w:rFonts w:hint="eastAsia" w:asciiTheme="minorEastAsia" w:hAnsiTheme="minorEastAsia" w:eastAsiaTheme="minorEastAsia" w:cstheme="minorEastAsia"/>
                <w:sz w:val="20"/>
                <w:szCs w:val="20"/>
                <w:lang w:bidi="ar"/>
              </w:rPr>
              <w:t>较去年提升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 w:val="20"/>
                <w:szCs w:val="20"/>
                <w:lang w:eastAsia="zh-Hans" w:bidi="ar"/>
              </w:rPr>
            </w:pPr>
            <w:r>
              <w:rPr>
                <w:rFonts w:hint="eastAsia" w:asciiTheme="minorEastAsia" w:hAnsiTheme="minorEastAsia" w:eastAsiaTheme="minorEastAsia" w:cstheme="minorEastAsia"/>
                <w:sz w:val="20"/>
                <w:szCs w:val="20"/>
                <w:lang w:bidi="ar"/>
              </w:rPr>
              <w:t>9</w:t>
            </w:r>
          </w:p>
        </w:tc>
        <w:tc>
          <w:tcPr>
            <w:tcW w:w="1233"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 w:val="20"/>
                <w:szCs w:val="20"/>
                <w:lang w:eastAsia="zh-Hans" w:bidi="ar"/>
              </w:rPr>
            </w:pPr>
            <w:r>
              <w:rPr>
                <w:rFonts w:hint="eastAsia" w:asciiTheme="minorEastAsia" w:hAnsiTheme="minorEastAsia" w:eastAsiaTheme="minorEastAsia" w:cstheme="minorEastAsia"/>
                <w:sz w:val="20"/>
                <w:szCs w:val="20"/>
                <w:lang w:eastAsia="zh-Hans" w:bidi="ar"/>
              </w:rPr>
              <w:t>质量</w:t>
            </w:r>
            <w:r>
              <w:rPr>
                <w:rFonts w:hint="eastAsia" w:asciiTheme="minorEastAsia" w:hAnsiTheme="minorEastAsia" w:eastAsiaTheme="minorEastAsia" w:cstheme="minorEastAsia"/>
                <w:sz w:val="20"/>
                <w:szCs w:val="20"/>
                <w:lang w:bidi="ar"/>
              </w:rPr>
              <w:t>指标</w:t>
            </w:r>
          </w:p>
        </w:tc>
        <w:tc>
          <w:tcPr>
            <w:tcW w:w="300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lang w:bidi="ar"/>
              </w:rPr>
            </w:pPr>
            <w:r>
              <w:rPr>
                <w:rFonts w:hint="eastAsia" w:asciiTheme="minorEastAsia" w:hAnsiTheme="minorEastAsia" w:eastAsiaTheme="minorEastAsia" w:cstheme="minorEastAsia"/>
                <w:sz w:val="20"/>
                <w:szCs w:val="20"/>
                <w:lang w:bidi="ar"/>
              </w:rPr>
              <w:t>承担疫情重点救治任务每项目医院相关人员及知识培训率</w:t>
            </w:r>
          </w:p>
        </w:tc>
        <w:tc>
          <w:tcPr>
            <w:tcW w:w="163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lang w:bidi="ar"/>
              </w:rPr>
            </w:pPr>
            <w:r>
              <w:rPr>
                <w:rFonts w:hint="eastAsia" w:asciiTheme="minorEastAsia" w:hAnsiTheme="minorEastAsia" w:eastAsiaTheme="minorEastAsia" w:cstheme="minorEastAsia"/>
                <w:sz w:val="20"/>
                <w:szCs w:val="20"/>
                <w:lang w:bidi="ar"/>
              </w:rPr>
              <w:t>较去年提升</w:t>
            </w:r>
          </w:p>
        </w:tc>
        <w:tc>
          <w:tcPr>
            <w:tcW w:w="165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lang w:bidi="ar"/>
              </w:rPr>
            </w:pPr>
            <w:r>
              <w:rPr>
                <w:rFonts w:hint="eastAsia" w:asciiTheme="minorEastAsia" w:hAnsiTheme="minorEastAsia" w:eastAsiaTheme="minorEastAsia" w:cstheme="minorEastAsia"/>
                <w:sz w:val="20"/>
                <w:szCs w:val="20"/>
                <w:lang w:bidi="ar"/>
              </w:rPr>
              <w:t>较去年提升</w:t>
            </w:r>
          </w:p>
        </w:tc>
      </w:tr>
    </w:tbl>
    <w:p>
      <w:pPr>
        <w:pStyle w:val="3"/>
        <w:keepNext w:val="0"/>
        <w:keepLines w:val="0"/>
        <w:pageBreakBefore w:val="0"/>
        <w:widowControl/>
        <w:kinsoku w:val="0"/>
        <w:wordWrap/>
        <w:overflowPunct/>
        <w:topLinePunct w:val="0"/>
        <w:autoSpaceDE w:val="0"/>
        <w:autoSpaceDN w:val="0"/>
        <w:bidi w:val="0"/>
        <w:adjustRightInd w:val="0"/>
        <w:snapToGrid w:val="0"/>
        <w:spacing w:after="0" w:line="560" w:lineRule="exact"/>
        <w:ind w:firstLine="640" w:firstLineChars="200"/>
        <w:textAlignment w:val="baseline"/>
        <w:rPr>
          <w:rFonts w:ascii="仿宋_GB2312" w:hAnsi="仿宋" w:eastAsia="仿宋_GB2312"/>
          <w:sz w:val="32"/>
          <w:szCs w:val="32"/>
          <w:lang w:eastAsia="zh-Hans" w:bidi="ar"/>
        </w:rPr>
      </w:pPr>
      <w:r>
        <w:rPr>
          <w:rFonts w:hint="eastAsia" w:ascii="仿宋_GB2312" w:hAnsi="仿宋" w:eastAsia="仿宋_GB2312"/>
          <w:sz w:val="32"/>
          <w:szCs w:val="32"/>
          <w:lang w:eastAsia="zh-Hans" w:bidi="ar"/>
        </w:rPr>
        <w:t>2.效益指标完成情况分析</w:t>
      </w:r>
    </w:p>
    <w:p>
      <w:pPr>
        <w:pStyle w:val="3"/>
        <w:keepNext w:val="0"/>
        <w:keepLines w:val="0"/>
        <w:pageBreakBefore w:val="0"/>
        <w:widowControl/>
        <w:kinsoku w:val="0"/>
        <w:wordWrap/>
        <w:overflowPunct/>
        <w:topLinePunct w:val="0"/>
        <w:autoSpaceDE w:val="0"/>
        <w:autoSpaceDN w:val="0"/>
        <w:bidi w:val="0"/>
        <w:adjustRightInd w:val="0"/>
        <w:snapToGrid w:val="0"/>
        <w:spacing w:after="0" w:line="560" w:lineRule="exact"/>
        <w:ind w:firstLine="640" w:firstLineChars="200"/>
        <w:textAlignment w:val="baseline"/>
        <w:rPr>
          <w:rFonts w:ascii="仿宋_GB2312" w:hAnsi="仿宋" w:eastAsia="仿宋_GB2312"/>
          <w:sz w:val="32"/>
          <w:szCs w:val="32"/>
          <w:lang w:eastAsia="zh-Hans" w:bidi="ar"/>
        </w:rPr>
      </w:pPr>
      <w:r>
        <w:rPr>
          <w:rFonts w:hint="eastAsia" w:ascii="仿宋_GB2312" w:hAnsi="仿宋" w:eastAsia="仿宋_GB2312"/>
          <w:sz w:val="32"/>
          <w:szCs w:val="32"/>
          <w:lang w:eastAsia="zh-Hans" w:bidi="ar"/>
        </w:rPr>
        <w:t>（1）社会效益指标</w:t>
      </w:r>
    </w:p>
    <w:p>
      <w:pPr>
        <w:pStyle w:val="3"/>
        <w:keepNext w:val="0"/>
        <w:keepLines w:val="0"/>
        <w:pageBreakBefore w:val="0"/>
        <w:widowControl/>
        <w:kinsoku w:val="0"/>
        <w:wordWrap/>
        <w:overflowPunct/>
        <w:topLinePunct w:val="0"/>
        <w:autoSpaceDE w:val="0"/>
        <w:autoSpaceDN w:val="0"/>
        <w:bidi w:val="0"/>
        <w:adjustRightInd w:val="0"/>
        <w:snapToGrid w:val="0"/>
        <w:spacing w:after="0" w:line="560" w:lineRule="exact"/>
        <w:ind w:firstLine="640" w:firstLineChars="200"/>
        <w:textAlignment w:val="baseline"/>
        <w:rPr>
          <w:rFonts w:ascii="仿宋_GB2312" w:hAnsi="仿宋" w:eastAsia="仿宋_GB2312"/>
          <w:sz w:val="32"/>
          <w:szCs w:val="32"/>
          <w:lang w:eastAsia="zh-Hans" w:bidi="ar"/>
        </w:rPr>
      </w:pPr>
      <w:r>
        <w:rPr>
          <w:rFonts w:hint="eastAsia" w:ascii="仿宋_GB2312" w:hAnsi="仿宋" w:eastAsia="仿宋_GB2312"/>
          <w:sz w:val="32"/>
          <w:szCs w:val="32"/>
          <w:lang w:eastAsia="zh-Hans" w:bidi="ar"/>
        </w:rPr>
        <w:t>2022年北京市中央转移支付医疗服务与保障能力提升补助资金（医疗卫生机构能力建设）项目设定的社会效益指标共</w:t>
      </w:r>
      <w:r>
        <w:rPr>
          <w:rFonts w:hint="eastAsia" w:ascii="仿宋_GB2312" w:hAnsi="仿宋" w:eastAsia="仿宋_GB2312"/>
          <w:sz w:val="32"/>
          <w:szCs w:val="32"/>
          <w:lang w:val="en-US" w:eastAsia="zh-CN" w:bidi="ar"/>
        </w:rPr>
        <w:t>2</w:t>
      </w:r>
      <w:r>
        <w:rPr>
          <w:rFonts w:hint="eastAsia" w:ascii="仿宋_GB2312" w:hAnsi="仿宋" w:eastAsia="仿宋_GB2312"/>
          <w:sz w:val="32"/>
          <w:szCs w:val="32"/>
          <w:lang w:eastAsia="zh-Hans" w:bidi="ar"/>
        </w:rPr>
        <w:t>项，其中</w:t>
      </w:r>
      <w:r>
        <w:rPr>
          <w:rFonts w:hint="eastAsia" w:ascii="仿宋_GB2312" w:hAnsi="仿宋" w:eastAsia="仿宋_GB2312"/>
          <w:sz w:val="32"/>
          <w:szCs w:val="32"/>
          <w:lang w:val="en-US" w:eastAsia="zh-CN" w:bidi="ar"/>
        </w:rPr>
        <w:t>1</w:t>
      </w:r>
      <w:r>
        <w:rPr>
          <w:rFonts w:hint="eastAsia" w:ascii="仿宋_GB2312" w:hAnsi="仿宋" w:eastAsia="仿宋_GB2312"/>
          <w:sz w:val="32"/>
          <w:szCs w:val="32"/>
          <w:lang w:eastAsia="zh-Hans" w:bidi="ar"/>
        </w:rPr>
        <w:t>项指标已完成</w:t>
      </w:r>
      <w:r>
        <w:rPr>
          <w:rFonts w:ascii="仿宋_GB2312" w:hAnsi="仿宋" w:eastAsia="仿宋_GB2312"/>
          <w:sz w:val="32"/>
          <w:szCs w:val="32"/>
          <w:lang w:eastAsia="zh-Hans" w:bidi="ar"/>
        </w:rPr>
        <w:t>，</w:t>
      </w:r>
      <w:r>
        <w:rPr>
          <w:rFonts w:hint="eastAsia" w:ascii="仿宋_GB2312" w:hAnsi="仿宋" w:eastAsia="仿宋_GB2312"/>
          <w:sz w:val="32"/>
          <w:szCs w:val="32"/>
          <w:lang w:eastAsia="zh-Hans" w:bidi="ar"/>
        </w:rPr>
        <w:t>1项指标未完成</w:t>
      </w:r>
      <w:r>
        <w:rPr>
          <w:rFonts w:ascii="仿宋_GB2312" w:hAnsi="仿宋" w:eastAsia="仿宋_GB2312"/>
          <w:sz w:val="32"/>
          <w:szCs w:val="32"/>
          <w:lang w:eastAsia="zh-Hans" w:bidi="ar"/>
        </w:rPr>
        <w:t>，</w:t>
      </w:r>
      <w:r>
        <w:rPr>
          <w:rFonts w:hint="eastAsia" w:ascii="仿宋_GB2312" w:hAnsi="仿宋" w:eastAsia="仿宋_GB2312"/>
          <w:sz w:val="32"/>
          <w:szCs w:val="32"/>
          <w:lang w:eastAsia="zh-Hans" w:bidi="ar"/>
        </w:rPr>
        <w:t>具体情况如下表</w:t>
      </w:r>
      <w:r>
        <w:rPr>
          <w:rFonts w:hint="eastAsia" w:ascii="仿宋_GB2312" w:hAnsi="仿宋" w:eastAsia="仿宋_GB2312"/>
          <w:sz w:val="32"/>
          <w:szCs w:val="32"/>
          <w:lang w:val="en-US" w:eastAsia="zh-CN" w:bidi="ar"/>
        </w:rPr>
        <w:t>3</w:t>
      </w:r>
      <w:r>
        <w:rPr>
          <w:rFonts w:ascii="仿宋_GB2312" w:hAnsi="仿宋" w:eastAsia="仿宋_GB2312"/>
          <w:sz w:val="32"/>
          <w:szCs w:val="32"/>
          <w:lang w:eastAsia="zh-Hans" w:bidi="ar"/>
        </w:rPr>
        <w:t>：</w:t>
      </w:r>
    </w:p>
    <w:p>
      <w:pPr>
        <w:pStyle w:val="3"/>
        <w:widowControl w:val="0"/>
        <w:kinsoku/>
        <w:autoSpaceDE/>
        <w:autoSpaceDN/>
        <w:adjustRightInd/>
        <w:snapToGrid/>
        <w:spacing w:after="0" w:line="240" w:lineRule="auto"/>
        <w:jc w:val="center"/>
        <w:textAlignment w:val="auto"/>
        <w:rPr>
          <w:rFonts w:ascii="仿宋_GB2312" w:hAnsi="仿宋" w:eastAsia="仿宋_GB2312"/>
          <w:sz w:val="32"/>
          <w:szCs w:val="32"/>
          <w:lang w:eastAsia="zh-Hans" w:bidi="ar"/>
        </w:rPr>
      </w:pPr>
      <w:r>
        <w:rPr>
          <w:rFonts w:hint="eastAsia" w:ascii="仿宋_GB2312" w:hAnsi="仿宋_GB2312" w:eastAsia="仿宋_GB2312" w:cs="仿宋_GB2312"/>
          <w:snapToGrid/>
          <w:kern w:val="2"/>
          <w:sz w:val="28"/>
          <w:szCs w:val="28"/>
        </w:rPr>
        <w:t>表</w:t>
      </w:r>
      <w:r>
        <w:rPr>
          <w:rFonts w:hint="eastAsia" w:ascii="仿宋_GB2312" w:hAnsi="仿宋_GB2312" w:eastAsia="仿宋_GB2312" w:cs="仿宋_GB2312"/>
          <w:snapToGrid/>
          <w:kern w:val="2"/>
          <w:sz w:val="28"/>
          <w:szCs w:val="28"/>
          <w:lang w:val="en-US" w:eastAsia="zh-CN"/>
        </w:rPr>
        <w:t>3</w:t>
      </w:r>
      <w:r>
        <w:rPr>
          <w:rFonts w:hint="eastAsia" w:ascii="仿宋_GB2312" w:hAnsi="仿宋_GB2312" w:eastAsia="仿宋_GB2312" w:cs="仿宋_GB2312"/>
          <w:snapToGrid/>
          <w:kern w:val="2"/>
          <w:sz w:val="28"/>
          <w:szCs w:val="28"/>
        </w:rPr>
        <w:t>：社会效益指标完成情况表</w:t>
      </w:r>
    </w:p>
    <w:tbl>
      <w:tblPr>
        <w:tblStyle w:val="10"/>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
        <w:gridCol w:w="1233"/>
        <w:gridCol w:w="2891"/>
        <w:gridCol w:w="1630"/>
        <w:gridCol w:w="1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968"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宋体" w:hAnsi="宋体" w:eastAsia="宋体" w:cs="宋体"/>
                <w:b/>
                <w:sz w:val="20"/>
                <w:szCs w:val="20"/>
                <w:lang w:bidi="ar"/>
              </w:rPr>
            </w:pPr>
            <w:r>
              <w:rPr>
                <w:rFonts w:hint="eastAsia" w:ascii="宋体" w:hAnsi="宋体" w:eastAsia="宋体" w:cs="宋体"/>
                <w:b/>
                <w:sz w:val="20"/>
                <w:szCs w:val="20"/>
                <w:lang w:bidi="ar"/>
              </w:rPr>
              <w:t>序号</w:t>
            </w:r>
          </w:p>
        </w:tc>
        <w:tc>
          <w:tcPr>
            <w:tcW w:w="1233"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宋体" w:hAnsi="宋体" w:eastAsia="宋体" w:cs="宋体"/>
                <w:b/>
                <w:sz w:val="20"/>
                <w:szCs w:val="20"/>
                <w:lang w:bidi="ar"/>
              </w:rPr>
            </w:pPr>
            <w:r>
              <w:rPr>
                <w:rFonts w:hint="eastAsia" w:ascii="宋体" w:hAnsi="宋体" w:eastAsia="宋体" w:cs="宋体"/>
                <w:b/>
                <w:sz w:val="20"/>
                <w:szCs w:val="20"/>
                <w:lang w:bidi="ar"/>
              </w:rPr>
              <w:t>指标类型</w:t>
            </w:r>
          </w:p>
        </w:tc>
        <w:tc>
          <w:tcPr>
            <w:tcW w:w="2891"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宋体" w:hAnsi="宋体" w:eastAsia="宋体" w:cs="宋体"/>
                <w:b/>
                <w:sz w:val="20"/>
                <w:szCs w:val="20"/>
                <w:lang w:bidi="ar"/>
              </w:rPr>
            </w:pPr>
            <w:r>
              <w:rPr>
                <w:rFonts w:hint="eastAsia" w:ascii="宋体" w:hAnsi="宋体" w:eastAsia="宋体" w:cs="宋体"/>
                <w:b/>
                <w:sz w:val="20"/>
                <w:szCs w:val="20"/>
                <w:lang w:bidi="ar"/>
              </w:rPr>
              <w:t>三级指标</w:t>
            </w:r>
          </w:p>
        </w:tc>
        <w:tc>
          <w:tcPr>
            <w:tcW w:w="1630"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宋体" w:hAnsi="宋体" w:eastAsia="宋体" w:cs="宋体"/>
                <w:b/>
                <w:sz w:val="20"/>
                <w:szCs w:val="20"/>
                <w:lang w:bidi="ar"/>
              </w:rPr>
            </w:pPr>
            <w:r>
              <w:rPr>
                <w:rFonts w:hint="eastAsia" w:ascii="宋体" w:hAnsi="宋体" w:eastAsia="宋体" w:cs="宋体"/>
                <w:b/>
                <w:sz w:val="20"/>
                <w:szCs w:val="20"/>
                <w:lang w:bidi="ar"/>
              </w:rPr>
              <w:t>指标值</w:t>
            </w:r>
          </w:p>
        </w:tc>
        <w:tc>
          <w:tcPr>
            <w:tcW w:w="1738"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宋体" w:hAnsi="宋体" w:eastAsia="宋体" w:cs="宋体"/>
                <w:b/>
                <w:sz w:val="20"/>
                <w:szCs w:val="20"/>
                <w:lang w:bidi="ar"/>
              </w:rPr>
            </w:pPr>
            <w:r>
              <w:rPr>
                <w:rFonts w:hint="eastAsia" w:ascii="宋体" w:hAnsi="宋体" w:eastAsia="宋体" w:cs="宋体"/>
                <w:b/>
                <w:sz w:val="20"/>
                <w:szCs w:val="20"/>
                <w:lang w:bidi="ar"/>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Cs/>
                <w:sz w:val="20"/>
                <w:szCs w:val="20"/>
                <w:lang w:bidi="ar"/>
              </w:rPr>
            </w:pPr>
            <w:r>
              <w:rPr>
                <w:rFonts w:hint="eastAsia" w:ascii="宋体" w:hAnsi="宋体" w:eastAsia="宋体" w:cs="宋体"/>
                <w:bCs/>
                <w:sz w:val="20"/>
                <w:szCs w:val="20"/>
                <w:lang w:bidi="ar"/>
              </w:rPr>
              <w:t>1</w:t>
            </w:r>
          </w:p>
        </w:tc>
        <w:tc>
          <w:tcPr>
            <w:tcW w:w="12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Cs/>
                <w:sz w:val="20"/>
                <w:szCs w:val="20"/>
                <w:lang w:bidi="ar"/>
              </w:rPr>
            </w:pPr>
            <w:r>
              <w:rPr>
                <w:rFonts w:hint="eastAsia" w:ascii="宋体" w:hAnsi="宋体" w:eastAsia="宋体" w:cs="宋体"/>
                <w:bCs/>
                <w:sz w:val="20"/>
                <w:szCs w:val="20"/>
                <w:lang w:bidi="ar"/>
              </w:rPr>
              <w:t>社会效益</w:t>
            </w:r>
            <w:r>
              <w:rPr>
                <w:rFonts w:hint="eastAsia" w:ascii="宋体" w:hAnsi="宋体" w:eastAsia="宋体" w:cs="宋体"/>
                <w:bCs/>
                <w:sz w:val="20"/>
                <w:szCs w:val="20"/>
                <w:lang w:eastAsia="zh-Hans" w:bidi="ar"/>
              </w:rPr>
              <w:t>指标</w:t>
            </w:r>
          </w:p>
        </w:tc>
        <w:tc>
          <w:tcPr>
            <w:tcW w:w="289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Cs/>
                <w:sz w:val="20"/>
                <w:szCs w:val="20"/>
                <w:lang w:bidi="ar"/>
              </w:rPr>
            </w:pPr>
            <w:r>
              <w:rPr>
                <w:rFonts w:hint="eastAsia" w:ascii="宋体" w:hAnsi="宋体" w:eastAsia="宋体" w:cs="宋体"/>
                <w:bCs/>
                <w:sz w:val="20"/>
                <w:szCs w:val="20"/>
                <w:lang w:bidi="ar"/>
              </w:rPr>
              <w:t>辖区住院分娩率</w:t>
            </w:r>
          </w:p>
        </w:tc>
        <w:tc>
          <w:tcPr>
            <w:tcW w:w="163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Cs/>
                <w:sz w:val="20"/>
                <w:szCs w:val="20"/>
                <w:lang w:eastAsia="zh-Hans" w:bidi="ar"/>
              </w:rPr>
            </w:pPr>
            <w:r>
              <w:rPr>
                <w:rFonts w:hint="eastAsia" w:ascii="宋体" w:hAnsi="宋体" w:eastAsia="宋体" w:cs="宋体"/>
                <w:bCs/>
                <w:sz w:val="20"/>
                <w:szCs w:val="20"/>
                <w:lang w:bidi="ar"/>
              </w:rPr>
              <w:t>≥99%</w:t>
            </w:r>
          </w:p>
        </w:tc>
        <w:tc>
          <w:tcPr>
            <w:tcW w:w="17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Cs/>
                <w:sz w:val="20"/>
                <w:szCs w:val="20"/>
                <w:lang w:eastAsia="zh-Hans" w:bidi="ar"/>
              </w:rPr>
            </w:pPr>
            <w:r>
              <w:rPr>
                <w:rFonts w:hint="eastAsia" w:ascii="宋体" w:hAnsi="宋体" w:eastAsia="宋体" w:cs="宋体"/>
                <w:bCs/>
                <w:sz w:val="20"/>
                <w:szCs w:val="20"/>
                <w:lang w:bidi="ar"/>
              </w:rPr>
              <w:t>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9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Cs/>
                <w:sz w:val="20"/>
                <w:szCs w:val="20"/>
                <w:lang w:bidi="ar"/>
              </w:rPr>
            </w:pPr>
            <w:r>
              <w:rPr>
                <w:rFonts w:hint="eastAsia" w:ascii="宋体" w:hAnsi="宋体" w:eastAsia="宋体" w:cs="宋体"/>
                <w:bCs/>
                <w:sz w:val="20"/>
                <w:szCs w:val="20"/>
                <w:lang w:bidi="ar"/>
              </w:rPr>
              <w:t>2</w:t>
            </w:r>
          </w:p>
        </w:tc>
        <w:tc>
          <w:tcPr>
            <w:tcW w:w="12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Cs/>
                <w:sz w:val="20"/>
                <w:szCs w:val="20"/>
                <w:lang w:eastAsia="zh-Hans" w:bidi="ar"/>
              </w:rPr>
            </w:pPr>
            <w:r>
              <w:rPr>
                <w:rFonts w:hint="eastAsia" w:ascii="宋体" w:hAnsi="宋体" w:eastAsia="宋体" w:cs="宋体"/>
                <w:bCs/>
                <w:sz w:val="20"/>
                <w:szCs w:val="20"/>
                <w:lang w:bidi="ar"/>
              </w:rPr>
              <w:t>社会效益</w:t>
            </w:r>
            <w:r>
              <w:rPr>
                <w:rFonts w:hint="eastAsia" w:ascii="宋体" w:hAnsi="宋体" w:eastAsia="宋体" w:cs="宋体"/>
                <w:bCs/>
                <w:sz w:val="20"/>
                <w:szCs w:val="20"/>
                <w:lang w:eastAsia="zh-Hans" w:bidi="ar"/>
              </w:rPr>
              <w:t>指标</w:t>
            </w:r>
          </w:p>
        </w:tc>
        <w:tc>
          <w:tcPr>
            <w:tcW w:w="289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Cs/>
                <w:sz w:val="20"/>
                <w:szCs w:val="20"/>
                <w:lang w:bidi="ar"/>
              </w:rPr>
            </w:pPr>
            <w:r>
              <w:rPr>
                <w:rFonts w:hint="eastAsia" w:ascii="宋体" w:hAnsi="宋体" w:eastAsia="宋体" w:cs="宋体"/>
                <w:bCs/>
                <w:sz w:val="20"/>
                <w:szCs w:val="20"/>
                <w:lang w:bidi="ar"/>
              </w:rPr>
              <w:t>国家临床重点专科每项目开展新技术新项目数量</w:t>
            </w:r>
          </w:p>
        </w:tc>
        <w:tc>
          <w:tcPr>
            <w:tcW w:w="163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Cs/>
                <w:sz w:val="20"/>
                <w:szCs w:val="20"/>
                <w:lang w:eastAsia="zh-Hans" w:bidi="ar"/>
              </w:rPr>
            </w:pPr>
            <w:r>
              <w:rPr>
                <w:rFonts w:hint="eastAsia" w:ascii="宋体" w:hAnsi="宋体" w:eastAsia="宋体" w:cs="宋体"/>
                <w:bCs/>
                <w:sz w:val="20"/>
                <w:szCs w:val="20"/>
                <w:lang w:bidi="ar"/>
              </w:rPr>
              <w:t xml:space="preserve"> ≥1项</w:t>
            </w:r>
          </w:p>
        </w:tc>
        <w:tc>
          <w:tcPr>
            <w:tcW w:w="17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Cs/>
                <w:sz w:val="20"/>
                <w:szCs w:val="20"/>
                <w:lang w:eastAsia="zh-Hans" w:bidi="ar"/>
              </w:rPr>
            </w:pPr>
            <w:r>
              <w:rPr>
                <w:rFonts w:hint="eastAsia" w:ascii="宋体" w:hAnsi="宋体" w:eastAsia="宋体" w:cs="宋体"/>
                <w:bCs/>
                <w:sz w:val="20"/>
                <w:szCs w:val="20"/>
                <w:lang w:bidi="ar"/>
              </w:rPr>
              <w:t>尚未开展</w:t>
            </w:r>
          </w:p>
        </w:tc>
      </w:tr>
    </w:tbl>
    <w:p>
      <w:pPr>
        <w:pStyle w:val="3"/>
        <w:keepNext w:val="0"/>
        <w:keepLines w:val="0"/>
        <w:pageBreakBefore w:val="0"/>
        <w:widowControl/>
        <w:kinsoku w:val="0"/>
        <w:wordWrap/>
        <w:overflowPunct/>
        <w:topLinePunct w:val="0"/>
        <w:autoSpaceDE w:val="0"/>
        <w:autoSpaceDN w:val="0"/>
        <w:bidi w:val="0"/>
        <w:adjustRightInd w:val="0"/>
        <w:snapToGrid w:val="0"/>
        <w:spacing w:after="0" w:line="560" w:lineRule="exact"/>
        <w:ind w:firstLine="640" w:firstLineChars="200"/>
        <w:textAlignment w:val="baseline"/>
        <w:rPr>
          <w:rFonts w:ascii="仿宋_GB2312" w:hAnsi="仿宋" w:eastAsia="仿宋_GB2312"/>
          <w:sz w:val="32"/>
          <w:szCs w:val="32"/>
          <w:lang w:bidi="ar"/>
        </w:rPr>
      </w:pPr>
      <w:r>
        <w:rPr>
          <w:rFonts w:hint="eastAsia" w:ascii="仿宋_GB2312" w:hAnsi="仿宋" w:eastAsia="仿宋_GB2312"/>
          <w:sz w:val="32"/>
          <w:szCs w:val="32"/>
          <w:lang w:bidi="ar"/>
        </w:rPr>
        <w:t>（2）可持续影响效益指标</w:t>
      </w:r>
    </w:p>
    <w:p>
      <w:pPr>
        <w:pStyle w:val="3"/>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仿宋_GB2312" w:hAnsi="仿宋" w:eastAsia="仿宋_GB2312"/>
          <w:sz w:val="32"/>
          <w:szCs w:val="32"/>
          <w:lang w:eastAsia="zh-Hans" w:bidi="ar"/>
        </w:rPr>
      </w:pPr>
      <w:r>
        <w:rPr>
          <w:rFonts w:hint="eastAsia" w:ascii="仿宋_GB2312" w:hAnsi="仿宋" w:eastAsia="仿宋_GB2312"/>
          <w:sz w:val="32"/>
          <w:szCs w:val="32"/>
          <w:lang w:bidi="ar"/>
        </w:rPr>
        <w:t>2022年北京市中央转移支付医疗服务与保障能力提升补助资金（医疗卫生机构能力建设）设定的可持续影响</w:t>
      </w:r>
      <w:r>
        <w:rPr>
          <w:rFonts w:hint="eastAsia" w:ascii="仿宋_GB2312" w:hAnsi="仿宋" w:eastAsia="仿宋_GB2312"/>
          <w:sz w:val="32"/>
          <w:szCs w:val="32"/>
          <w:lang w:eastAsia="zh-Hans" w:bidi="ar"/>
        </w:rPr>
        <w:t>效益</w:t>
      </w:r>
      <w:r>
        <w:rPr>
          <w:rFonts w:hint="eastAsia" w:ascii="仿宋_GB2312" w:hAnsi="仿宋" w:eastAsia="仿宋_GB2312"/>
          <w:sz w:val="32"/>
          <w:szCs w:val="32"/>
          <w:lang w:bidi="ar"/>
        </w:rPr>
        <w:t>指标共</w:t>
      </w:r>
      <w:r>
        <w:rPr>
          <w:rFonts w:hint="eastAsia" w:ascii="仿宋_GB2312" w:hAnsi="仿宋" w:eastAsia="仿宋_GB2312"/>
          <w:sz w:val="32"/>
          <w:szCs w:val="32"/>
          <w:lang w:val="en-US" w:eastAsia="zh-CN" w:bidi="ar"/>
        </w:rPr>
        <w:t>3</w:t>
      </w:r>
      <w:r>
        <w:rPr>
          <w:rFonts w:hint="eastAsia" w:ascii="仿宋_GB2312" w:hAnsi="仿宋" w:eastAsia="仿宋_GB2312"/>
          <w:sz w:val="32"/>
          <w:szCs w:val="32"/>
          <w:lang w:bidi="ar"/>
        </w:rPr>
        <w:t>项，已全部完成</w:t>
      </w:r>
      <w:r>
        <w:rPr>
          <w:rFonts w:ascii="仿宋_GB2312" w:hAnsi="仿宋" w:eastAsia="仿宋_GB2312"/>
          <w:sz w:val="32"/>
          <w:szCs w:val="32"/>
          <w:lang w:eastAsia="zh-Hans" w:bidi="ar"/>
        </w:rPr>
        <w:t>，</w:t>
      </w:r>
      <w:r>
        <w:rPr>
          <w:rFonts w:hint="eastAsia" w:ascii="仿宋_GB2312" w:hAnsi="仿宋" w:eastAsia="仿宋_GB2312"/>
          <w:sz w:val="32"/>
          <w:szCs w:val="32"/>
          <w:lang w:eastAsia="zh-Hans" w:bidi="ar"/>
        </w:rPr>
        <w:t>具体情况如下表</w:t>
      </w:r>
      <w:r>
        <w:rPr>
          <w:rFonts w:hint="eastAsia" w:ascii="仿宋_GB2312" w:hAnsi="仿宋" w:eastAsia="仿宋_GB2312"/>
          <w:sz w:val="32"/>
          <w:szCs w:val="32"/>
          <w:lang w:val="en-US" w:eastAsia="zh-CN" w:bidi="ar"/>
        </w:rPr>
        <w:t>4</w:t>
      </w:r>
      <w:r>
        <w:rPr>
          <w:rFonts w:ascii="仿宋_GB2312" w:hAnsi="仿宋" w:eastAsia="仿宋_GB2312"/>
          <w:sz w:val="32"/>
          <w:szCs w:val="32"/>
          <w:lang w:eastAsia="zh-Hans" w:bidi="ar"/>
        </w:rPr>
        <w:t>：</w:t>
      </w:r>
    </w:p>
    <w:p>
      <w:pPr>
        <w:pStyle w:val="3"/>
        <w:widowControl w:val="0"/>
        <w:kinsoku/>
        <w:autoSpaceDE/>
        <w:autoSpaceDN/>
        <w:adjustRightInd/>
        <w:snapToGrid/>
        <w:spacing w:after="0" w:line="240" w:lineRule="auto"/>
        <w:jc w:val="center"/>
        <w:textAlignment w:val="auto"/>
        <w:rPr>
          <w:rFonts w:ascii="仿宋_GB2312" w:hAnsi="仿宋" w:eastAsia="仿宋_GB2312"/>
          <w:sz w:val="32"/>
          <w:szCs w:val="32"/>
          <w:lang w:eastAsia="zh-Hans" w:bidi="ar"/>
        </w:rPr>
      </w:pPr>
      <w:r>
        <w:rPr>
          <w:rFonts w:hint="eastAsia" w:ascii="仿宋_GB2312" w:hAnsi="仿宋_GB2312" w:eastAsia="仿宋_GB2312" w:cs="仿宋_GB2312"/>
          <w:snapToGrid/>
          <w:kern w:val="2"/>
          <w:sz w:val="28"/>
          <w:szCs w:val="28"/>
        </w:rPr>
        <w:t>表</w:t>
      </w:r>
      <w:r>
        <w:rPr>
          <w:rFonts w:hint="eastAsia" w:ascii="仿宋_GB2312" w:hAnsi="仿宋_GB2312" w:eastAsia="仿宋_GB2312" w:cs="仿宋_GB2312"/>
          <w:snapToGrid/>
          <w:kern w:val="2"/>
          <w:sz w:val="28"/>
          <w:szCs w:val="28"/>
          <w:lang w:val="en-US" w:eastAsia="zh-CN"/>
        </w:rPr>
        <w:t>4</w:t>
      </w:r>
      <w:r>
        <w:rPr>
          <w:rFonts w:hint="eastAsia" w:ascii="仿宋_GB2312" w:hAnsi="仿宋_GB2312" w:eastAsia="仿宋_GB2312" w:cs="仿宋_GB2312"/>
          <w:snapToGrid/>
          <w:kern w:val="2"/>
          <w:sz w:val="28"/>
          <w:szCs w:val="28"/>
        </w:rPr>
        <w:t>：可持续影响效益指标完成情况表</w:t>
      </w:r>
    </w:p>
    <w:tbl>
      <w:tblPr>
        <w:tblStyle w:val="10"/>
        <w:tblW w:w="83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
        <w:gridCol w:w="1205"/>
        <w:gridCol w:w="2858"/>
        <w:gridCol w:w="1779"/>
        <w:gridCol w:w="1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985"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textAlignment w:val="center"/>
              <w:rPr>
                <w:rFonts w:ascii="宋体" w:hAnsi="宋体" w:eastAsia="宋体" w:cs="宋体"/>
                <w:b/>
                <w:bCs/>
                <w:sz w:val="20"/>
                <w:szCs w:val="20"/>
                <w:lang w:bidi="ar"/>
              </w:rPr>
            </w:pPr>
            <w:r>
              <w:rPr>
                <w:rFonts w:hint="eastAsia" w:ascii="宋体" w:hAnsi="宋体" w:eastAsia="宋体" w:cs="宋体"/>
                <w:b/>
                <w:bCs/>
                <w:sz w:val="20"/>
                <w:szCs w:val="20"/>
                <w:lang w:bidi="ar"/>
              </w:rPr>
              <w:t>序号</w:t>
            </w:r>
          </w:p>
        </w:tc>
        <w:tc>
          <w:tcPr>
            <w:tcW w:w="1205"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textAlignment w:val="center"/>
              <w:rPr>
                <w:rFonts w:ascii="宋体" w:hAnsi="宋体" w:eastAsia="宋体" w:cs="宋体"/>
                <w:b/>
                <w:bCs/>
                <w:sz w:val="20"/>
                <w:szCs w:val="20"/>
                <w:lang w:bidi="ar"/>
              </w:rPr>
            </w:pPr>
            <w:r>
              <w:rPr>
                <w:rFonts w:hint="eastAsia" w:ascii="宋体" w:hAnsi="宋体" w:eastAsia="宋体" w:cs="宋体"/>
                <w:b/>
                <w:bCs/>
                <w:sz w:val="20"/>
                <w:szCs w:val="20"/>
                <w:lang w:bidi="ar"/>
              </w:rPr>
              <w:t>指标类型</w:t>
            </w:r>
          </w:p>
        </w:tc>
        <w:tc>
          <w:tcPr>
            <w:tcW w:w="2858"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textAlignment w:val="center"/>
              <w:rPr>
                <w:rFonts w:ascii="宋体" w:hAnsi="宋体" w:eastAsia="宋体" w:cs="宋体"/>
                <w:b/>
                <w:bCs/>
                <w:sz w:val="20"/>
                <w:szCs w:val="20"/>
                <w:lang w:bidi="ar"/>
              </w:rPr>
            </w:pPr>
            <w:r>
              <w:rPr>
                <w:rFonts w:hint="eastAsia" w:ascii="宋体" w:hAnsi="宋体" w:eastAsia="宋体" w:cs="宋体"/>
                <w:b/>
                <w:bCs/>
                <w:sz w:val="20"/>
                <w:szCs w:val="20"/>
                <w:lang w:bidi="ar"/>
              </w:rPr>
              <w:t>三级指标</w:t>
            </w:r>
          </w:p>
        </w:tc>
        <w:tc>
          <w:tcPr>
            <w:tcW w:w="1779"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textAlignment w:val="center"/>
              <w:rPr>
                <w:rFonts w:ascii="宋体" w:hAnsi="宋体" w:eastAsia="宋体" w:cs="宋体"/>
                <w:b/>
                <w:bCs/>
                <w:sz w:val="20"/>
                <w:szCs w:val="20"/>
                <w:lang w:bidi="ar"/>
              </w:rPr>
            </w:pPr>
            <w:r>
              <w:rPr>
                <w:rFonts w:hint="eastAsia" w:ascii="宋体" w:hAnsi="宋体" w:eastAsia="宋体" w:cs="宋体"/>
                <w:b/>
                <w:bCs/>
                <w:sz w:val="20"/>
                <w:szCs w:val="20"/>
                <w:lang w:bidi="ar"/>
              </w:rPr>
              <w:t>指标值</w:t>
            </w:r>
          </w:p>
        </w:tc>
        <w:tc>
          <w:tcPr>
            <w:tcW w:w="1541"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textAlignment w:val="center"/>
              <w:rPr>
                <w:rFonts w:ascii="宋体" w:hAnsi="宋体" w:eastAsia="宋体" w:cs="宋体"/>
                <w:b/>
                <w:bCs/>
                <w:sz w:val="20"/>
                <w:szCs w:val="20"/>
                <w:lang w:bidi="ar"/>
              </w:rPr>
            </w:pPr>
            <w:r>
              <w:rPr>
                <w:rFonts w:hint="eastAsia" w:ascii="宋体" w:hAnsi="宋体" w:eastAsia="宋体" w:cs="宋体"/>
                <w:b/>
                <w:bCs/>
                <w:sz w:val="20"/>
                <w:szCs w:val="20"/>
                <w:lang w:bidi="ar"/>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9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Cs/>
                <w:sz w:val="20"/>
                <w:szCs w:val="20"/>
                <w:lang w:eastAsia="zh-Hans" w:bidi="ar"/>
              </w:rPr>
            </w:pPr>
            <w:r>
              <w:rPr>
                <w:rFonts w:hint="eastAsia" w:ascii="宋体" w:hAnsi="宋体" w:eastAsia="宋体" w:cs="宋体"/>
                <w:bCs/>
                <w:sz w:val="20"/>
                <w:szCs w:val="20"/>
                <w:lang w:bidi="ar"/>
              </w:rPr>
              <w:t>1</w:t>
            </w:r>
          </w:p>
        </w:tc>
        <w:tc>
          <w:tcPr>
            <w:tcW w:w="120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Cs/>
                <w:sz w:val="20"/>
                <w:szCs w:val="20"/>
                <w:lang w:bidi="ar"/>
              </w:rPr>
            </w:pPr>
            <w:r>
              <w:rPr>
                <w:rFonts w:hint="eastAsia" w:ascii="宋体" w:hAnsi="宋体" w:eastAsia="宋体" w:cs="宋体"/>
                <w:bCs/>
                <w:sz w:val="20"/>
                <w:szCs w:val="20"/>
                <w:lang w:eastAsia="zh-Hans" w:bidi="ar"/>
              </w:rPr>
              <w:t>可持续影响指标</w:t>
            </w:r>
          </w:p>
        </w:tc>
        <w:tc>
          <w:tcPr>
            <w:tcW w:w="285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Cs/>
                <w:sz w:val="20"/>
                <w:szCs w:val="20"/>
                <w:lang w:bidi="ar"/>
              </w:rPr>
            </w:pPr>
            <w:r>
              <w:rPr>
                <w:rFonts w:hint="eastAsia" w:ascii="宋体" w:hAnsi="宋体" w:eastAsia="宋体" w:cs="宋体"/>
                <w:bCs/>
                <w:sz w:val="20"/>
                <w:szCs w:val="20"/>
                <w:lang w:bidi="ar"/>
              </w:rPr>
              <w:t>项目区妇幼保健机构孕产妇系统管理能力</w:t>
            </w:r>
          </w:p>
        </w:tc>
        <w:tc>
          <w:tcPr>
            <w:tcW w:w="177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Cs/>
                <w:sz w:val="20"/>
                <w:szCs w:val="20"/>
                <w:lang w:eastAsia="zh-Hans" w:bidi="ar"/>
              </w:rPr>
            </w:pPr>
            <w:r>
              <w:rPr>
                <w:rFonts w:hint="eastAsia" w:ascii="宋体" w:hAnsi="宋体" w:eastAsia="宋体" w:cs="宋体"/>
                <w:bCs/>
                <w:sz w:val="20"/>
                <w:szCs w:val="20"/>
                <w:lang w:bidi="ar"/>
              </w:rPr>
              <w:t>不断提升</w:t>
            </w:r>
          </w:p>
        </w:tc>
        <w:tc>
          <w:tcPr>
            <w:tcW w:w="154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Cs/>
                <w:sz w:val="20"/>
                <w:szCs w:val="20"/>
                <w:lang w:eastAsia="zh-Hans" w:bidi="ar"/>
              </w:rPr>
            </w:pPr>
            <w:r>
              <w:rPr>
                <w:rFonts w:hint="eastAsia" w:ascii="宋体" w:hAnsi="宋体" w:eastAsia="宋体" w:cs="宋体"/>
                <w:bCs/>
                <w:sz w:val="20"/>
                <w:szCs w:val="20"/>
                <w:lang w:bidi="ar"/>
              </w:rPr>
              <w:t>不断提升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9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Cs/>
                <w:sz w:val="20"/>
                <w:szCs w:val="20"/>
                <w:lang w:eastAsia="zh-Hans" w:bidi="ar"/>
              </w:rPr>
            </w:pPr>
            <w:r>
              <w:rPr>
                <w:rFonts w:hint="eastAsia" w:ascii="宋体" w:hAnsi="宋体" w:eastAsia="宋体" w:cs="宋体"/>
                <w:bCs/>
                <w:sz w:val="20"/>
                <w:szCs w:val="20"/>
                <w:lang w:bidi="ar"/>
              </w:rPr>
              <w:t>2</w:t>
            </w:r>
          </w:p>
        </w:tc>
        <w:tc>
          <w:tcPr>
            <w:tcW w:w="120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Cs/>
                <w:sz w:val="20"/>
                <w:szCs w:val="20"/>
                <w:lang w:eastAsia="zh-Hans" w:bidi="ar"/>
              </w:rPr>
            </w:pPr>
            <w:r>
              <w:rPr>
                <w:rFonts w:hint="eastAsia" w:ascii="宋体" w:hAnsi="宋体" w:eastAsia="宋体" w:cs="宋体"/>
                <w:bCs/>
                <w:sz w:val="20"/>
                <w:szCs w:val="20"/>
                <w:lang w:eastAsia="zh-Hans" w:bidi="ar"/>
              </w:rPr>
              <w:t>可持续影响指标</w:t>
            </w:r>
          </w:p>
        </w:tc>
        <w:tc>
          <w:tcPr>
            <w:tcW w:w="285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Cs/>
                <w:sz w:val="20"/>
                <w:szCs w:val="20"/>
                <w:lang w:bidi="ar"/>
              </w:rPr>
            </w:pPr>
            <w:r>
              <w:rPr>
                <w:rFonts w:hint="eastAsia" w:ascii="宋体" w:hAnsi="宋体" w:eastAsia="宋体" w:cs="宋体"/>
                <w:bCs/>
                <w:sz w:val="20"/>
                <w:szCs w:val="20"/>
                <w:lang w:bidi="ar"/>
              </w:rPr>
              <w:t>项目覆盖职业病诊断机构服务能力</w:t>
            </w:r>
          </w:p>
        </w:tc>
        <w:tc>
          <w:tcPr>
            <w:tcW w:w="177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Cs/>
                <w:sz w:val="20"/>
                <w:szCs w:val="20"/>
                <w:lang w:eastAsia="zh-Hans" w:bidi="ar"/>
              </w:rPr>
            </w:pPr>
            <w:r>
              <w:rPr>
                <w:rFonts w:hint="eastAsia" w:ascii="宋体" w:hAnsi="宋体" w:eastAsia="宋体" w:cs="宋体"/>
                <w:bCs/>
                <w:sz w:val="20"/>
                <w:szCs w:val="20"/>
                <w:lang w:bidi="ar"/>
              </w:rPr>
              <w:t>较上年提升</w:t>
            </w:r>
          </w:p>
        </w:tc>
        <w:tc>
          <w:tcPr>
            <w:tcW w:w="154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Cs/>
                <w:sz w:val="20"/>
                <w:szCs w:val="20"/>
                <w:lang w:eastAsia="zh-Hans" w:bidi="ar"/>
              </w:rPr>
            </w:pPr>
            <w:r>
              <w:rPr>
                <w:rFonts w:hint="eastAsia" w:ascii="宋体" w:hAnsi="宋体" w:eastAsia="宋体" w:cs="宋体"/>
                <w:bCs/>
                <w:sz w:val="20"/>
                <w:szCs w:val="20"/>
                <w:lang w:bidi="ar"/>
              </w:rPr>
              <w:t>较上年提升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9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Cs/>
                <w:sz w:val="20"/>
                <w:szCs w:val="20"/>
                <w:lang w:eastAsia="zh-Hans" w:bidi="ar"/>
              </w:rPr>
            </w:pPr>
            <w:r>
              <w:rPr>
                <w:rFonts w:hint="eastAsia" w:ascii="宋体" w:hAnsi="宋体" w:eastAsia="宋体" w:cs="宋体"/>
                <w:bCs/>
                <w:sz w:val="20"/>
                <w:szCs w:val="20"/>
                <w:lang w:bidi="ar"/>
              </w:rPr>
              <w:t>3</w:t>
            </w:r>
          </w:p>
        </w:tc>
        <w:tc>
          <w:tcPr>
            <w:tcW w:w="120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Cs/>
                <w:sz w:val="20"/>
                <w:szCs w:val="20"/>
                <w:lang w:eastAsia="zh-Hans" w:bidi="ar"/>
              </w:rPr>
            </w:pPr>
            <w:r>
              <w:rPr>
                <w:rFonts w:hint="eastAsia" w:ascii="宋体" w:hAnsi="宋体" w:eastAsia="宋体" w:cs="宋体"/>
                <w:bCs/>
                <w:sz w:val="20"/>
                <w:szCs w:val="20"/>
                <w:lang w:eastAsia="zh-Hans" w:bidi="ar"/>
              </w:rPr>
              <w:t>可持续影响指标</w:t>
            </w:r>
          </w:p>
        </w:tc>
        <w:tc>
          <w:tcPr>
            <w:tcW w:w="285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Cs/>
                <w:sz w:val="20"/>
                <w:szCs w:val="20"/>
                <w:lang w:bidi="ar"/>
              </w:rPr>
            </w:pPr>
            <w:r>
              <w:rPr>
                <w:rFonts w:hint="eastAsia" w:ascii="宋体" w:hAnsi="宋体" w:eastAsia="宋体" w:cs="宋体"/>
                <w:bCs/>
                <w:sz w:val="20"/>
                <w:szCs w:val="20"/>
                <w:lang w:bidi="ar"/>
              </w:rPr>
              <w:t>项目覆盖疾控机构服务能力提升</w:t>
            </w:r>
          </w:p>
        </w:tc>
        <w:tc>
          <w:tcPr>
            <w:tcW w:w="177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Cs/>
                <w:sz w:val="20"/>
                <w:szCs w:val="20"/>
                <w:lang w:bidi="ar"/>
              </w:rPr>
            </w:pPr>
            <w:r>
              <w:rPr>
                <w:rFonts w:hint="eastAsia" w:ascii="宋体" w:hAnsi="宋体" w:eastAsia="宋体" w:cs="宋体"/>
                <w:bCs/>
                <w:sz w:val="20"/>
                <w:szCs w:val="20"/>
                <w:lang w:bidi="ar"/>
              </w:rPr>
              <w:t>较上年提升</w:t>
            </w:r>
          </w:p>
        </w:tc>
        <w:tc>
          <w:tcPr>
            <w:tcW w:w="154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Cs/>
                <w:sz w:val="20"/>
                <w:szCs w:val="20"/>
                <w:lang w:bidi="ar"/>
              </w:rPr>
            </w:pPr>
            <w:r>
              <w:rPr>
                <w:rFonts w:hint="eastAsia" w:ascii="宋体" w:hAnsi="宋体" w:eastAsia="宋体" w:cs="宋体"/>
                <w:bCs/>
                <w:sz w:val="20"/>
                <w:szCs w:val="20"/>
                <w:lang w:bidi="ar"/>
              </w:rPr>
              <w:t>较上年提升</w:t>
            </w:r>
          </w:p>
        </w:tc>
      </w:tr>
    </w:tbl>
    <w:p>
      <w:pPr>
        <w:keepNext w:val="0"/>
        <w:keepLines w:val="0"/>
        <w:pageBreakBefore w:val="0"/>
        <w:wordWrap/>
        <w:overflowPunct/>
        <w:topLinePunct w:val="0"/>
        <w:bidi w:val="0"/>
        <w:spacing w:line="560" w:lineRule="exact"/>
        <w:ind w:firstLine="628" w:firstLineChars="200"/>
        <w:jc w:val="both"/>
        <w:outlineLvl w:val="1"/>
        <w:rPr>
          <w:rFonts w:hint="eastAsia" w:ascii="黑体" w:hAnsi="黑体" w:eastAsia="黑体" w:cs="黑体"/>
          <w:sz w:val="32"/>
          <w:szCs w:val="32"/>
          <w:lang w:eastAsia="zh-CN"/>
        </w:rPr>
      </w:pPr>
      <w:r>
        <w:rPr>
          <w:rFonts w:ascii="黑体" w:hAnsi="黑体" w:eastAsia="黑体" w:cs="黑体"/>
          <w:bCs/>
          <w:spacing w:val="-3"/>
          <w:sz w:val="32"/>
          <w:szCs w:val="32"/>
        </w:rPr>
        <w:t>三、</w:t>
      </w:r>
      <w:r>
        <w:rPr>
          <w:rFonts w:ascii="黑体" w:hAnsi="黑体" w:eastAsia="黑体" w:cs="黑体"/>
          <w:spacing w:val="-55"/>
          <w:sz w:val="32"/>
          <w:szCs w:val="32"/>
        </w:rPr>
        <w:t xml:space="preserve"> </w:t>
      </w:r>
      <w:r>
        <w:rPr>
          <w:rFonts w:hint="eastAsia" w:ascii="黑体" w:hAnsi="黑体" w:eastAsia="黑体" w:cs="黑体"/>
          <w:bCs/>
          <w:spacing w:val="-3"/>
          <w:sz w:val="32"/>
          <w:szCs w:val="32"/>
          <w:lang w:eastAsia="zh-CN"/>
        </w:rPr>
        <w:t>绩效自评结论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sz w:val="32"/>
          <w:szCs w:val="32"/>
          <w:lang w:val="en-US" w:eastAsia="zh-CN"/>
        </w:rPr>
      </w:pPr>
      <w:r>
        <w:rPr>
          <w:rFonts w:hint="eastAsia" w:ascii="仿宋_GB2312" w:hAnsi="仿宋_GB2312" w:eastAsia="仿宋_GB2312" w:cs="仿宋_GB2312"/>
          <w:bCs/>
          <w:snapToGrid/>
          <w:kern w:val="2"/>
          <w:sz w:val="32"/>
          <w:szCs w:val="32"/>
          <w:lang w:val="en-US" w:eastAsia="zh-CN" w:bidi="ar"/>
        </w:rPr>
        <w:t>根据本次绩效自评工作结果，本项目</w:t>
      </w:r>
      <w:r>
        <w:rPr>
          <w:rFonts w:hint="eastAsia" w:ascii="仿宋_GB2312" w:hAnsi="仿宋_GB2312" w:eastAsia="仿宋_GB2312" w:cs="仿宋_GB2312"/>
          <w:bCs/>
          <w:snapToGrid/>
          <w:kern w:val="2"/>
          <w:sz w:val="32"/>
          <w:szCs w:val="32"/>
          <w:lang w:eastAsia="zh-CN" w:bidi="ar"/>
        </w:rPr>
        <w:t>共设置</w:t>
      </w:r>
      <w:r>
        <w:rPr>
          <w:rFonts w:hint="eastAsia" w:ascii="仿宋_GB2312" w:hAnsi="仿宋_GB2312" w:eastAsia="仿宋_GB2312" w:cs="仿宋_GB2312"/>
          <w:bCs/>
          <w:snapToGrid/>
          <w:kern w:val="2"/>
          <w:sz w:val="32"/>
          <w:szCs w:val="32"/>
          <w:lang w:val="en-US" w:eastAsia="zh-CN" w:bidi="ar"/>
        </w:rPr>
        <w:t>27项年度绩效</w:t>
      </w:r>
      <w:r>
        <w:rPr>
          <w:rFonts w:hint="eastAsia" w:ascii="仿宋_GB2312" w:hAnsi="仿宋_GB2312" w:eastAsia="仿宋_GB2312" w:cs="仿宋_GB2312"/>
          <w:bCs/>
          <w:snapToGrid/>
          <w:kern w:val="2"/>
          <w:sz w:val="32"/>
          <w:szCs w:val="32"/>
          <w:lang w:eastAsia="zh-CN" w:bidi="ar"/>
        </w:rPr>
        <w:t>指标</w:t>
      </w:r>
      <w:r>
        <w:rPr>
          <w:rFonts w:hint="eastAsia" w:ascii="仿宋_GB2312" w:hAnsi="仿宋_GB2312" w:eastAsia="仿宋_GB2312" w:cs="仿宋_GB2312"/>
          <w:bCs/>
          <w:snapToGrid/>
          <w:kern w:val="2"/>
          <w:sz w:val="32"/>
          <w:szCs w:val="32"/>
          <w:lang w:val="en-US" w:eastAsia="zh-CN" w:bidi="ar"/>
        </w:rPr>
        <w:t>，6项年度绩效指标未达标，19项年度绩效指标均已实现年初目标值。已实施项目部分取得了较好社会经济效益</w:t>
      </w:r>
      <w:r>
        <w:rPr>
          <w:rFonts w:hint="eastAsia" w:ascii="仿宋_GB2312" w:hAnsi="仿宋_GB2312" w:eastAsia="仿宋_GB2312" w:cs="仿宋_GB2312"/>
          <w:bCs/>
          <w:snapToGrid/>
          <w:kern w:val="2"/>
          <w:sz w:val="32"/>
          <w:szCs w:val="32"/>
          <w:lang w:bidi="ar"/>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4212" w:firstLineChars="1300"/>
        <w:textAlignment w:val="baseline"/>
        <w:rPr>
          <w:rFonts w:hint="eastAsia" w:ascii="仿宋_GB2312" w:hAnsi="仿宋_GB2312" w:eastAsia="仿宋_GB2312" w:cs="仿宋_GB2312"/>
          <w:spacing w:val="2"/>
          <w:sz w:val="32"/>
          <w:szCs w:val="32"/>
          <w:lang w:eastAsia="zh-CN"/>
        </w:rPr>
      </w:pP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4212" w:firstLineChars="1300"/>
        <w:textAlignment w:val="baseline"/>
        <w:rPr>
          <w:rFonts w:hint="eastAsia" w:ascii="仿宋_GB2312" w:hAnsi="仿宋_GB2312" w:eastAsia="仿宋_GB2312" w:cs="仿宋_GB2312"/>
          <w:spacing w:val="2"/>
          <w:sz w:val="32"/>
          <w:szCs w:val="32"/>
          <w:lang w:eastAsia="zh-CN"/>
        </w:rPr>
      </w:pPr>
      <w:bookmarkStart w:id="2" w:name="_GoBack"/>
      <w:bookmarkEnd w:id="2"/>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3564" w:firstLineChars="1100"/>
        <w:textAlignment w:val="baseline"/>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北京市卫生健康委员会</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4212" w:firstLineChars="1300"/>
        <w:textAlignment w:val="baseline"/>
        <w:rPr>
          <w:rFonts w:hint="default" w:ascii="仿宋_GB2312" w:hAnsi="仿宋_GB2312" w:eastAsia="仿宋_GB2312" w:cs="仿宋_GB2312"/>
          <w:spacing w:val="2"/>
          <w:sz w:val="32"/>
          <w:szCs w:val="32"/>
          <w:lang w:val="en-US" w:eastAsia="zh-CN"/>
        </w:rPr>
      </w:pPr>
      <w:r>
        <w:rPr>
          <w:rFonts w:hint="eastAsia" w:ascii="仿宋_GB2312" w:hAnsi="仿宋_GB2312" w:eastAsia="仿宋_GB2312" w:cs="仿宋_GB2312"/>
          <w:spacing w:val="2"/>
          <w:sz w:val="32"/>
          <w:szCs w:val="32"/>
          <w:lang w:val="en-US" w:eastAsia="zh-CN"/>
        </w:rPr>
        <w:t>2023年6月8日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等线">
    <w:altName w:val="汉仪中宋简"/>
    <w:panose1 w:val="02010600030101010101"/>
    <w:charset w:val="86"/>
    <w:family w:val="auto"/>
    <w:pitch w:val="default"/>
    <w:sig w:usb0="00000000" w:usb1="00000000" w:usb2="00000016" w:usb3="00000000" w:csb0="0004000F" w:csb1="00000000"/>
  </w:font>
  <w:font w:name="仿宋">
    <w:altName w:val="方正仿宋_GBK"/>
    <w:panose1 w:val="02010609060101010101"/>
    <w:charset w:val="86"/>
    <w:family w:val="modern"/>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anumGothic">
    <w:panose1 w:val="020D0604000000000000"/>
    <w:charset w:val="81"/>
    <w:family w:val="auto"/>
    <w:pitch w:val="default"/>
    <w:sig w:usb0="900002A7" w:usb1="29D7FCFB" w:usb2="00000010" w:usb3="00000000" w:csb0="00080001" w:csb1="00000000"/>
  </w:font>
  <w:font w:name="方正楷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49224676"/>
      <w:docPartObj>
        <w:docPartGallery w:val="autotext"/>
      </w:docPartObj>
    </w:sdtPr>
    <w:sdtEndPr>
      <w:rPr>
        <w:rFonts w:asciiTheme="minorEastAsia" w:hAnsiTheme="minorEastAsia" w:eastAsiaTheme="minorEastAsia"/>
        <w:sz w:val="28"/>
        <w:szCs w:val="28"/>
      </w:rPr>
    </w:sdtEndPr>
    <w:sdtContent>
      <w:p>
        <w:pPr>
          <w:pStyle w:val="5"/>
          <w:jc w:val="center"/>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7</w:t>
        </w:r>
        <w:r>
          <w:rPr>
            <w:rFonts w:asciiTheme="minorEastAsia" w:hAnsiTheme="minorEastAsia" w:eastAsiaTheme="minorEastAsia"/>
            <w:sz w:val="28"/>
            <w:szCs w:val="28"/>
          </w:rP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EC722F"/>
    <w:multiLevelType w:val="singleLevel"/>
    <w:tmpl w:val="DFEC722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RmNDFiYWFiMjk4YzY3MGE0Nzc2NTBjYzg3ODRkY2YifQ=="/>
  </w:docVars>
  <w:rsids>
    <w:rsidRoot w:val="013B1BF0"/>
    <w:rsid w:val="00003ECE"/>
    <w:rsid w:val="000A18AA"/>
    <w:rsid w:val="000A589D"/>
    <w:rsid w:val="000D3160"/>
    <w:rsid w:val="001056F9"/>
    <w:rsid w:val="001753F3"/>
    <w:rsid w:val="00193C4B"/>
    <w:rsid w:val="00281879"/>
    <w:rsid w:val="00296818"/>
    <w:rsid w:val="002A3128"/>
    <w:rsid w:val="002C5D6E"/>
    <w:rsid w:val="002F638D"/>
    <w:rsid w:val="003675FE"/>
    <w:rsid w:val="003F687A"/>
    <w:rsid w:val="00433175"/>
    <w:rsid w:val="00446151"/>
    <w:rsid w:val="004A1829"/>
    <w:rsid w:val="00531622"/>
    <w:rsid w:val="00541BDC"/>
    <w:rsid w:val="00543B41"/>
    <w:rsid w:val="00592CB2"/>
    <w:rsid w:val="005B6B50"/>
    <w:rsid w:val="005E0524"/>
    <w:rsid w:val="00620663"/>
    <w:rsid w:val="00643198"/>
    <w:rsid w:val="00676936"/>
    <w:rsid w:val="006A00CD"/>
    <w:rsid w:val="006C5421"/>
    <w:rsid w:val="006C6117"/>
    <w:rsid w:val="006C6737"/>
    <w:rsid w:val="006F6F63"/>
    <w:rsid w:val="0071738E"/>
    <w:rsid w:val="0074162E"/>
    <w:rsid w:val="00772983"/>
    <w:rsid w:val="00775D77"/>
    <w:rsid w:val="007B5F6D"/>
    <w:rsid w:val="007C286E"/>
    <w:rsid w:val="007D6175"/>
    <w:rsid w:val="008B1F15"/>
    <w:rsid w:val="009D5C3F"/>
    <w:rsid w:val="00A067B5"/>
    <w:rsid w:val="00A56D88"/>
    <w:rsid w:val="00B46AD9"/>
    <w:rsid w:val="00BE1AEA"/>
    <w:rsid w:val="00C23240"/>
    <w:rsid w:val="00C5716B"/>
    <w:rsid w:val="00C645BC"/>
    <w:rsid w:val="00CC7843"/>
    <w:rsid w:val="00CE0B5B"/>
    <w:rsid w:val="00D63DEB"/>
    <w:rsid w:val="00DB2DEF"/>
    <w:rsid w:val="00E75467"/>
    <w:rsid w:val="00E770DC"/>
    <w:rsid w:val="00EA1835"/>
    <w:rsid w:val="00EE0ADB"/>
    <w:rsid w:val="00F51143"/>
    <w:rsid w:val="00F57C83"/>
    <w:rsid w:val="00FE2735"/>
    <w:rsid w:val="013B1BF0"/>
    <w:rsid w:val="122B27B2"/>
    <w:rsid w:val="1DFA058E"/>
    <w:rsid w:val="1F71500E"/>
    <w:rsid w:val="26E306E5"/>
    <w:rsid w:val="318B6C4D"/>
    <w:rsid w:val="352A465B"/>
    <w:rsid w:val="35F52B54"/>
    <w:rsid w:val="367A60F6"/>
    <w:rsid w:val="3AED0244"/>
    <w:rsid w:val="3ED95906"/>
    <w:rsid w:val="3FFF8311"/>
    <w:rsid w:val="4DAFC34A"/>
    <w:rsid w:val="52B92EE7"/>
    <w:rsid w:val="54ED0C26"/>
    <w:rsid w:val="56CE7470"/>
    <w:rsid w:val="5D123920"/>
    <w:rsid w:val="5E237067"/>
    <w:rsid w:val="61AE77B2"/>
    <w:rsid w:val="63890E5C"/>
    <w:rsid w:val="68400526"/>
    <w:rsid w:val="6AA61F8F"/>
    <w:rsid w:val="6DC61E74"/>
    <w:rsid w:val="7AB702DB"/>
    <w:rsid w:val="7CDB759B"/>
    <w:rsid w:val="7D671D41"/>
    <w:rsid w:val="7F7F971C"/>
    <w:rsid w:val="BEEF2854"/>
    <w:rsid w:val="EFF6C515"/>
    <w:rsid w:val="F37F5540"/>
    <w:rsid w:val="F4DE00E1"/>
    <w:rsid w:val="F77E6DC2"/>
    <w:rsid w:val="FBF7E95F"/>
    <w:rsid w:val="FDFEA613"/>
    <w:rsid w:val="FEF1A4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iPriority="99"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rPr>
  </w:style>
  <w:style w:type="paragraph" w:styleId="3">
    <w:name w:val="Body Text"/>
    <w:basedOn w:val="1"/>
    <w:qFormat/>
    <w:uiPriority w:val="0"/>
    <w:pPr>
      <w:spacing w:after="120" w:line="360" w:lineRule="auto"/>
    </w:pPr>
  </w:style>
  <w:style w:type="paragraph" w:styleId="4">
    <w:name w:val="Body Text Indent"/>
    <w:basedOn w:val="1"/>
    <w:unhideWhenUsed/>
    <w:qFormat/>
    <w:uiPriority w:val="99"/>
    <w:pPr>
      <w:spacing w:before="100" w:beforeAutospacing="1" w:after="100" w:afterAutospacing="1"/>
    </w:pPr>
    <w:rPr>
      <w:rFonts w:hint="eastAsia" w:ascii="宋体" w:hAnsi="宋体"/>
      <w:sz w:val="24"/>
      <w:szCs w:val="24"/>
    </w:rPr>
  </w:style>
  <w:style w:type="paragraph" w:styleId="5">
    <w:name w:val="footer"/>
    <w:basedOn w:val="1"/>
    <w:link w:val="16"/>
    <w:qFormat/>
    <w:uiPriority w:val="99"/>
    <w:pPr>
      <w:tabs>
        <w:tab w:val="center" w:pos="4153"/>
        <w:tab w:val="right" w:pos="8306"/>
      </w:tabs>
    </w:pPr>
    <w:rPr>
      <w:sz w:val="18"/>
      <w:szCs w:val="18"/>
    </w:rPr>
  </w:style>
  <w:style w:type="paragraph" w:styleId="6">
    <w:name w:val="header"/>
    <w:basedOn w:val="1"/>
    <w:link w:val="15"/>
    <w:qFormat/>
    <w:uiPriority w:val="0"/>
    <w:pPr>
      <w:pBdr>
        <w:bottom w:val="single" w:color="auto" w:sz="6" w:space="1"/>
      </w:pBdr>
      <w:tabs>
        <w:tab w:val="center" w:pos="4153"/>
        <w:tab w:val="right" w:pos="8306"/>
      </w:tabs>
      <w:jc w:val="center"/>
    </w:pPr>
    <w:rPr>
      <w:sz w:val="18"/>
      <w:szCs w:val="18"/>
    </w:rPr>
  </w:style>
  <w:style w:type="paragraph" w:styleId="7">
    <w:name w:val="index 9"/>
    <w:basedOn w:val="1"/>
    <w:next w:val="1"/>
    <w:unhideWhenUsed/>
    <w:qFormat/>
    <w:uiPriority w:val="99"/>
    <w:pPr>
      <w:ind w:firstLine="420"/>
    </w:pPr>
    <w:rPr>
      <w:rFonts w:eastAsia="仿宋_GB2312"/>
      <w:bCs/>
      <w:sz w:val="28"/>
      <w:szCs w:val="28"/>
    </w:rPr>
  </w:style>
  <w:style w:type="paragraph" w:styleId="8">
    <w:name w:val="Normal (Web)"/>
    <w:basedOn w:val="1"/>
    <w:qFormat/>
    <w:uiPriority w:val="0"/>
    <w:pPr>
      <w:spacing w:beforeAutospacing="1" w:afterAutospacing="1"/>
    </w:pPr>
    <w:rPr>
      <w:rFonts w:cs="Times New Roman"/>
      <w:sz w:val="24"/>
    </w:rPr>
  </w:style>
  <w:style w:type="table" w:styleId="10">
    <w:name w:val="Table Grid"/>
    <w:basedOn w:val="9"/>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Body text|2"/>
    <w:basedOn w:val="1"/>
    <w:qFormat/>
    <w:uiPriority w:val="0"/>
    <w:pPr>
      <w:spacing w:line="590" w:lineRule="exact"/>
      <w:ind w:firstLine="580"/>
    </w:pPr>
    <w:rPr>
      <w:rFonts w:hint="eastAsia" w:ascii="宋体" w:hAnsi="宋体"/>
      <w:szCs w:val="24"/>
    </w:rPr>
  </w:style>
  <w:style w:type="table" w:customStyle="1" w:styleId="13">
    <w:name w:val="Table Normal"/>
    <w:semiHidden/>
    <w:unhideWhenUsed/>
    <w:qFormat/>
    <w:uiPriority w:val="0"/>
    <w:tblPr>
      <w:tblCellMar>
        <w:top w:w="0" w:type="dxa"/>
        <w:left w:w="0" w:type="dxa"/>
        <w:bottom w:w="0" w:type="dxa"/>
        <w:right w:w="0" w:type="dxa"/>
      </w:tblCellMar>
    </w:tblPr>
  </w:style>
  <w:style w:type="character" w:customStyle="1" w:styleId="14">
    <w:name w:val="font21"/>
    <w:basedOn w:val="11"/>
    <w:qFormat/>
    <w:uiPriority w:val="0"/>
    <w:rPr>
      <w:rFonts w:hint="eastAsia" w:ascii="宋体" w:hAnsi="宋体" w:eastAsia="宋体" w:cs="宋体"/>
      <w:color w:val="000000"/>
      <w:sz w:val="20"/>
      <w:szCs w:val="20"/>
      <w:u w:val="none"/>
    </w:rPr>
  </w:style>
  <w:style w:type="character" w:customStyle="1" w:styleId="15">
    <w:name w:val="页眉 字符"/>
    <w:basedOn w:val="11"/>
    <w:link w:val="6"/>
    <w:qFormat/>
    <w:uiPriority w:val="0"/>
    <w:rPr>
      <w:rFonts w:ascii="Arial" w:hAnsi="Arial" w:eastAsia="Arial" w:cs="Arial"/>
      <w:snapToGrid w:val="0"/>
      <w:color w:val="000000"/>
      <w:sz w:val="18"/>
      <w:szCs w:val="18"/>
    </w:rPr>
  </w:style>
  <w:style w:type="character" w:customStyle="1" w:styleId="16">
    <w:name w:val="页脚 字符"/>
    <w:basedOn w:val="11"/>
    <w:link w:val="5"/>
    <w:qFormat/>
    <w:uiPriority w:val="99"/>
    <w:rPr>
      <w:rFonts w:ascii="Arial" w:hAnsi="Arial" w:eastAsia="Arial" w:cs="Arial"/>
      <w:snapToGrid w:val="0"/>
      <w:color w:val="00000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7939</Words>
  <Characters>9058</Characters>
  <Lines>79</Lines>
  <Paragraphs>22</Paragraphs>
  <TotalTime>3</TotalTime>
  <ScaleCrop>false</ScaleCrop>
  <LinksUpToDate>false</LinksUpToDate>
  <CharactersWithSpaces>9203</CharactersWithSpaces>
  <Application>WPS Office_11.8.2.10587_F1E327BC-269C-435d-A152-05C5408002CA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2023-03-27T07:27:00Z</dcterms:created>
  <dc:creator>WPS_1599385647</dc:creator>
  <cp:lastModifiedBy>admin</cp:lastModifiedBy>
  <cp:lastPrinted>2023-05-17T19:21:00Z</cp:lastPrinted>
  <dcterms:modified xsi:type="dcterms:W3CDTF">2023-06-09T17:15:39Z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2052-11.8.2.10587</vt:lpwstr>
  </property>
  <property fmtid="{D5CDD505-2E9C-101B-9397-08002B2CF9AE}" pid="3" name="ICV">
    <vt:lpwstr>34AADCDA62B344D093137DE06E618701_13</vt:lpwstr>
  </property>
</Properties>
</file>