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jc w:val="center"/>
        <w:rPr>
          <w:rFonts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</w:pP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jc w:val="center"/>
        <w:rPr>
          <w:rFonts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  <w:t>2022年度中央</w:t>
      </w:r>
      <w:r>
        <w:rPr>
          <w:rFonts w:hint="eastAsia"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  <w:lang w:eastAsia="zh-CN"/>
        </w:rPr>
        <w:t>对北京</w:t>
      </w:r>
      <w:r>
        <w:rPr>
          <w:rFonts w:hint="eastAsia"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  <w:t>医疗服务与保障能力提升补助资金（公立医院综合改革）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jc w:val="center"/>
        <w:rPr>
          <w:rFonts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  <w:t>转移支付</w:t>
      </w:r>
      <w:r>
        <w:rPr>
          <w:rFonts w:hint="eastAsia"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  <w:lang w:eastAsia="zh-CN"/>
        </w:rPr>
        <w:t>预算执行情况</w:t>
      </w:r>
      <w:r>
        <w:rPr>
          <w:rFonts w:hint="eastAsia"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  <w:t>绩效自评报告</w:t>
      </w:r>
    </w:p>
    <w:p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rPr>
          <w:rFonts w:ascii="方正小标宋简体" w:hAnsi="黑体" w:eastAsia="方正小标宋简体" w:cs="Times New Roman"/>
          <w:b w:val="0"/>
          <w:bCs w:val="0"/>
          <w:snapToGrid/>
          <w:color w:val="auto"/>
          <w:kern w:val="2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eastAsia="宋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为了贯彻落实《中共中央 国务院关于全面实施预算绩效管理的意见》《中共北京市委 北京市人民政府关于全面实施预算绩效管理的实施意见》有关精神，加快建成全方位、全过程、全覆盖的预算绩效管理体系，切实增强资金使用单位支出绩效意识，提高中央对地方转移支付资金使用效益，根据财政部《关于开展2022年度中央对地方转移支付预算执行情况绩效自评工作的通知》（财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Hans"/>
        </w:rPr>
        <w:t>〔202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Hans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1号）文件要求，北京市卫生健康委员会组织16个区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卫生健康委员会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开展了2022年北京市中央转移支付医疗服务与保障能力提升（公立医院综合改革）补助资金的绩效自评工作，形成绩效自评报告。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outlineLvl w:val="0"/>
        <w:rPr>
          <w:rFonts w:hint="eastAsia" w:ascii="黑体" w:hAnsi="宋体" w:eastAsia="黑体" w:cs="黑体"/>
          <w:b w:val="0"/>
          <w:bCs w:val="0"/>
          <w:sz w:val="32"/>
          <w:szCs w:val="32"/>
          <w:lang w:eastAsia="zh-CN" w:bidi="ar"/>
        </w:rPr>
      </w:pPr>
      <w:bookmarkStart w:id="0" w:name="_Toc1146578714_WPSOffice_Level1"/>
      <w:r>
        <w:rPr>
          <w:rFonts w:hint="eastAsia" w:ascii="黑体" w:hAnsi="宋体" w:eastAsia="黑体" w:cs="黑体"/>
          <w:b w:val="0"/>
          <w:bCs w:val="0"/>
          <w:sz w:val="32"/>
          <w:szCs w:val="32"/>
          <w:lang w:bidi="ar"/>
        </w:rPr>
        <w:t>一、</w:t>
      </w:r>
      <w:bookmarkEnd w:id="0"/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 w:bidi="ar"/>
        </w:rPr>
        <w:t>转移支付基本情况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</w:pPr>
      <w:bookmarkStart w:id="1" w:name="_Toc1177681667_WPSOffice_Level2"/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（一）</w:t>
      </w:r>
      <w:bookmarkEnd w:id="1"/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公立医院综合改革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转移支付概况。</w:t>
      </w:r>
    </w:p>
    <w:p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2022年北京市中央转移支付医疗服务与保障能力提升（公立医院综合改革）补助资金项目涉及东城区卫生健康委、西城区卫生健康委、朝阳区卫生健康委、海淀区卫生健康委、丰台区卫生健康委、石景山区卫生健康委、门头沟区卫生健康委、房山区卫生健康委、通州区卫生健康委、顺义区卫生健康委、大兴区卫生健康委、昌平区卫生健康委、平谷区卫生健康委、怀柔区卫生健康委、密云区卫生健康委、延庆区卫生健康委16个区卫生健康委员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</w:pPr>
      <w:bookmarkStart w:id="2" w:name="_Toc2086486517_WPSOffice_Level2"/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（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二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）资金投入情况分析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2022年北京市中央转移支付医疗服务与保障能力提升（公立医院综合改革）补助资金</w:t>
      </w:r>
      <w:r>
        <w:rPr>
          <w:rFonts w:hint="eastAsia" w:ascii="仿宋_GB2312" w:hAnsi="仿宋" w:eastAsia="仿宋_GB2312" w:cs="仿宋_GB2312"/>
          <w:b w:val="0"/>
          <w:bCs w:val="0"/>
          <w:sz w:val="32"/>
          <w:szCs w:val="32"/>
          <w:lang w:bidi="ar"/>
        </w:rPr>
        <w:t>预算金额共计7,218.97万元，截至202</w:t>
      </w:r>
      <w:r>
        <w:rPr>
          <w:rFonts w:ascii="仿宋_GB2312" w:hAnsi="仿宋" w:eastAsia="仿宋_GB2312" w:cs="仿宋_GB2312"/>
          <w:b w:val="0"/>
          <w:bCs w:val="0"/>
          <w:sz w:val="32"/>
          <w:szCs w:val="32"/>
          <w:lang w:bidi="ar"/>
        </w:rPr>
        <w:t>2</w:t>
      </w:r>
      <w:r>
        <w:rPr>
          <w:rFonts w:hint="eastAsia" w:ascii="仿宋_GB2312" w:hAnsi="仿宋" w:eastAsia="仿宋_GB2312" w:cs="仿宋_GB2312"/>
          <w:b w:val="0"/>
          <w:bCs w:val="0"/>
          <w:sz w:val="32"/>
          <w:szCs w:val="32"/>
          <w:lang w:bidi="ar"/>
        </w:rPr>
        <w:t>年12月31日，实际支出金额7,127.35万元，资金执行率为98.73%。其中：中央财政资金预算4,509万元，实际支出4,417.39万元，资金执行率为97.97%；地方资金预算2,129.09万元，实际支出2,129.09万元，资金执行率为100%；其他资金预算580.88万元，实际支出580.88万元，资金执行率为100%。</w:t>
      </w:r>
    </w:p>
    <w:bookmarkEnd w:id="2"/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方正黑体_GBK" w:hAnsi="方正黑体_GBK" w:eastAsia="方正黑体_GBK" w:cs="方正黑体_GBK"/>
          <w:b w:val="0"/>
          <w:bCs w:val="0"/>
          <w:snapToGrid/>
          <w:kern w:val="2"/>
          <w:sz w:val="32"/>
          <w:szCs w:val="32"/>
          <w:lang w:eastAsia="zh-CN"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kern w:val="2"/>
          <w:sz w:val="32"/>
          <w:szCs w:val="32"/>
          <w:lang w:eastAsia="zh-CN" w:bidi="ar"/>
        </w:rPr>
        <w:t>绩效目标实现情况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Hans"/>
        </w:rPr>
        <w:t>根据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《财政部 国家卫生健康委 国家中医药局关于提前下达2022年医疗服务与保障能力提升（公立医院综合改革）补助资金预算的通知》（财社〔2021〕173号）、《财政部 国家卫生健康委 国家中医药局关于下达2022年医疗服务与保障能力提升（公立医院综合改革）补助资金预算的通知》（财社〔2022〕53号）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eastAsia="zh-Hans" w:bidi="ar"/>
        </w:rPr>
        <w:t>文件</w:t>
      </w:r>
      <w:r>
        <w:rPr>
          <w:rFonts w:ascii="仿宋_GB2312" w:hAnsi="仿宋" w:eastAsia="仿宋_GB2312"/>
          <w:b w:val="0"/>
          <w:bCs w:val="0"/>
          <w:sz w:val="32"/>
          <w:szCs w:val="32"/>
          <w:lang w:eastAsia="zh-Hans" w:bidi="ar"/>
        </w:rPr>
        <w:t>，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eastAsia="zh-Hans" w:bidi="ar"/>
        </w:rPr>
        <w:t>财政部和国家卫生健康委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共同下达2022北京市年中央转移支付医疗服务与保障能力提升补助资金（公立医院综合改革）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eastAsia="zh-Hans" w:bidi="ar"/>
        </w:rPr>
        <w:t>资金区域</w:t>
      </w:r>
      <w:r>
        <w:rPr>
          <w:rFonts w:hint="eastAsia" w:ascii="仿宋_GB2312" w:hAnsi="等线" w:eastAsia="仿宋_GB2312"/>
          <w:b w:val="0"/>
          <w:bCs w:val="0"/>
          <w:sz w:val="32"/>
          <w:szCs w:val="32"/>
          <w:lang w:bidi="ar"/>
        </w:rPr>
        <w:t>绩效目标，北京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bidi="ar"/>
        </w:rPr>
        <w:t>市卫生健康委员会</w:t>
      </w:r>
      <w:r>
        <w:rPr>
          <w:rFonts w:hint="eastAsia" w:ascii="仿宋_GB2312" w:hAnsi="等线" w:eastAsia="仿宋_GB2312"/>
          <w:b w:val="0"/>
          <w:bCs w:val="0"/>
          <w:sz w:val="32"/>
          <w:szCs w:val="32"/>
          <w:lang w:bidi="ar"/>
        </w:rPr>
        <w:t>根据</w:t>
      </w:r>
      <w:r>
        <w:rPr>
          <w:rFonts w:hint="eastAsia" w:ascii="仿宋_GB2312" w:hAnsi="等线" w:eastAsia="仿宋_GB2312"/>
          <w:b w:val="0"/>
          <w:bCs w:val="0"/>
          <w:sz w:val="32"/>
          <w:szCs w:val="32"/>
          <w:lang w:eastAsia="zh-Hans" w:bidi="ar"/>
        </w:rPr>
        <w:t>实际情况将年度绩效目标分解下达至各区</w:t>
      </w:r>
      <w:r>
        <w:rPr>
          <w:rFonts w:ascii="仿宋_GB2312" w:hAnsi="等线" w:eastAsia="仿宋_GB2312"/>
          <w:b w:val="0"/>
          <w:bCs w:val="0"/>
          <w:sz w:val="32"/>
          <w:szCs w:val="32"/>
          <w:lang w:eastAsia="zh-Hans" w:bidi="ar"/>
        </w:rPr>
        <w:t>、</w:t>
      </w:r>
      <w:r>
        <w:rPr>
          <w:rFonts w:hint="eastAsia" w:ascii="仿宋_GB2312" w:hAnsi="等线" w:eastAsia="仿宋_GB2312"/>
          <w:b w:val="0"/>
          <w:bCs w:val="0"/>
          <w:sz w:val="32"/>
          <w:szCs w:val="32"/>
          <w:lang w:eastAsia="zh-Hans" w:bidi="ar"/>
        </w:rPr>
        <w:t>各项目单位</w:t>
      </w:r>
      <w:r>
        <w:rPr>
          <w:rFonts w:ascii="仿宋_GB2312" w:hAnsi="等线" w:eastAsia="仿宋_GB2312"/>
          <w:b w:val="0"/>
          <w:bCs w:val="0"/>
          <w:sz w:val="32"/>
          <w:szCs w:val="32"/>
          <w:lang w:bidi="ar"/>
        </w:rPr>
        <w:t>。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2022年北京市中央转移支付医疗服务与保障能力提升（公立医院综合改革）补助资金绩效目标为：深入推广三明医改经验，持续深化公立医院综合改革，推动公立医院高质量发展，加快健全现代医院管理制度。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</w:pP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（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一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）总体绩效目标完成情况分析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随着</w:t>
      </w:r>
      <w:r>
        <w:rPr>
          <w:rFonts w:hint="eastAsia" w:ascii="仿宋_GB2312" w:hAnsi="楷体" w:eastAsia="仿宋_GB2312" w:cs="仿宋_GB2312"/>
          <w:b w:val="0"/>
          <w:bCs w:val="0"/>
          <w:sz w:val="32"/>
          <w:szCs w:val="32"/>
          <w:lang w:bidi="ar"/>
        </w:rPr>
        <w:t>北京市中央转移支付医疗服务与保障能力提升（公立医院综合改革）补助资金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支持力度不断加大，各级医疗机构的服务保障能力得到明显改善。2022年，北京市高度重视公立医院综合改革工作，市深化医改领导小组认真落实习近平总书记重要指示精神和党中央、国务院决策部署，紧紧围绕国家医改重点工作任务，因地制宜推广三明医改经验，推动公立医院高质量发展，促进优质医疗资源扩容和均衡布局，深化医疗、医保、医药联动改革，持续推动从以治病为中心转变为以人民健康为中心，积极稳妥推进各项改革工作，绩效指标整体良好，任务目标基本落实到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</w:pP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（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二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bidi="ar"/>
        </w:rPr>
        <w:t>）绩效指标完成情况分析</w:t>
      </w: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/>
        </w:rPr>
        <w:t>1.产出指标完成情况分析</w:t>
      </w:r>
    </w:p>
    <w:p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after="0"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color w:val="FF0000"/>
          <w:sz w:val="32"/>
          <w:szCs w:val="32"/>
          <w:lang w:eastAsia="zh-Hans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Hans" w:bidi="ar"/>
        </w:rPr>
        <w:t>（1）数量指标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jc w:val="both"/>
        <w:rPr>
          <w:rFonts w:ascii="仿宋_GB2312" w:hAnsi="仿宋" w:eastAsia="仿宋_GB2312"/>
          <w:b w:val="0"/>
          <w:bCs w:val="0"/>
          <w:sz w:val="32"/>
          <w:szCs w:val="32"/>
          <w:lang w:eastAsia="zh-Hans" w:bidi="ar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2022年北京市中央转移支付医疗服务与保障能力提升（公立医院综合改革）补助资金</w:t>
      </w:r>
      <w:r>
        <w:rPr>
          <w:rFonts w:hint="eastAsia" w:ascii="仿宋_GB2312" w:hAnsi="仿宋" w:eastAsia="仿宋_GB2312" w:cs="仿宋_GB2312"/>
          <w:b w:val="0"/>
          <w:bCs w:val="0"/>
          <w:sz w:val="32"/>
          <w:szCs w:val="32"/>
          <w:lang w:eastAsia="zh-Hans" w:bidi="ar"/>
        </w:rPr>
        <w:t>项目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bidi="ar"/>
        </w:rPr>
        <w:t>设定的产出数量指标共4项，均已完成</w:t>
      </w:r>
      <w:r>
        <w:rPr>
          <w:rFonts w:ascii="仿宋_GB2312" w:hAnsi="仿宋" w:eastAsia="仿宋_GB2312"/>
          <w:b w:val="0"/>
          <w:bCs w:val="0"/>
          <w:sz w:val="32"/>
          <w:szCs w:val="32"/>
          <w:lang w:eastAsia="zh-Hans" w:bidi="ar"/>
        </w:rPr>
        <w:t>，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eastAsia="zh-Hans" w:bidi="ar"/>
        </w:rPr>
        <w:t>具体情况如下表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 w:bidi="ar"/>
        </w:rPr>
        <w:t>1</w:t>
      </w:r>
      <w:r>
        <w:rPr>
          <w:rFonts w:ascii="仿宋_GB2312" w:hAnsi="仿宋" w:eastAsia="仿宋_GB2312"/>
          <w:b w:val="0"/>
          <w:bCs w:val="0"/>
          <w:sz w:val="32"/>
          <w:szCs w:val="32"/>
          <w:lang w:eastAsia="zh-Hans" w:bidi="ar"/>
        </w:rPr>
        <w:t>：</w:t>
      </w:r>
    </w:p>
    <w:p>
      <w:pPr>
        <w:pStyle w:val="8"/>
        <w:rPr>
          <w:lang w:eastAsia="zh-Hans"/>
        </w:rPr>
      </w:pPr>
    </w:p>
    <w:p>
      <w:pPr>
        <w:pStyle w:val="4"/>
        <w:widowControl w:val="0"/>
        <w:kinsoku/>
        <w:autoSpaceDE/>
        <w:autoSpaceDN/>
        <w:adjustRightInd/>
        <w:snapToGrid/>
        <w:spacing w:after="0" w:line="240" w:lineRule="auto"/>
        <w:jc w:val="center"/>
        <w:textAlignment w:val="auto"/>
        <w:rPr>
          <w:lang w:eastAsia="zh-Hans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表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：产出数量指标完成情况表</w:t>
      </w:r>
    </w:p>
    <w:tbl>
      <w:tblPr>
        <w:tblStyle w:val="11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224"/>
        <w:gridCol w:w="2971"/>
        <w:gridCol w:w="166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tblHeader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0"/>
                <w:szCs w:val="20"/>
                <w:lang w:bidi="ar"/>
              </w:rPr>
              <w:t>指标类型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0"/>
                <w:szCs w:val="20"/>
                <w:lang w:bidi="ar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1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  <w:t>数量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指标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公立医院医疗服务收入（不含药品、耗材、检查化验收入）占医疗收入的比例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较上年提高或高于全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国平均值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较上年提高1.45%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  <w:t>数量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指标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按病种付费的住院参保人员占总住院参保人员的比例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较上年提高或高于全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国平均值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较上年提高45%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3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  <w:t>数量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指标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三级公立医院安检覆盖率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≥75%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100.00%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4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Hans" w:bidi="ar"/>
              </w:rPr>
              <w:t>数量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指标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三级公立医院安防系统建设达标率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≥85%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bidi="ar"/>
              </w:rPr>
              <w:t>100.00%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Hans"/>
        </w:rPr>
        <w:t>（2）质量指标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" w:eastAsia="仿宋_GB2312"/>
          <w:sz w:val="32"/>
          <w:szCs w:val="32"/>
          <w:lang w:eastAsia="zh-Hans" w:bidi="ar"/>
        </w:rPr>
      </w:pPr>
      <w:r>
        <w:rPr>
          <w:rFonts w:hint="eastAsia" w:ascii="仿宋_GB2312" w:hAnsi="仿宋" w:eastAsia="仿宋_GB2312"/>
          <w:sz w:val="32"/>
          <w:szCs w:val="32"/>
          <w:lang w:bidi="ar"/>
        </w:rPr>
        <w:t>2022年北京市中央转移支付医疗服务与保障能力提升（公立医院综合改革）补助资金设定的产出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质量</w:t>
      </w:r>
      <w:r>
        <w:rPr>
          <w:rFonts w:hint="eastAsia" w:ascii="仿宋_GB2312" w:hAnsi="仿宋" w:eastAsia="仿宋_GB2312"/>
          <w:sz w:val="32"/>
          <w:szCs w:val="32"/>
          <w:lang w:bidi="ar"/>
        </w:rPr>
        <w:t>指标共1项，均已完成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，具体情况如下表</w:t>
      </w:r>
      <w:r>
        <w:rPr>
          <w:rFonts w:hint="eastAsia" w:ascii="仿宋_GB2312" w:hAnsi="仿宋" w:eastAsia="仿宋_GB2312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：</w:t>
      </w:r>
    </w:p>
    <w:p>
      <w:pPr>
        <w:rPr>
          <w:lang w:eastAsia="zh-Hans"/>
        </w:rPr>
      </w:pPr>
    </w:p>
    <w:p>
      <w:pPr>
        <w:pStyle w:val="4"/>
        <w:widowControl w:val="0"/>
        <w:kinsoku/>
        <w:autoSpaceDE/>
        <w:autoSpaceDN/>
        <w:adjustRightInd/>
        <w:snapToGrid/>
        <w:spacing w:after="0" w:line="240" w:lineRule="auto"/>
        <w:jc w:val="center"/>
        <w:textAlignment w:val="auto"/>
        <w:rPr>
          <w:lang w:eastAsia="zh-Hans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表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：产出质量指标完成情况表</w:t>
      </w:r>
    </w:p>
    <w:tbl>
      <w:tblPr>
        <w:tblStyle w:val="11"/>
        <w:tblW w:w="84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179"/>
        <w:gridCol w:w="2534"/>
        <w:gridCol w:w="2071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序号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指标类型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1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Hans" w:bidi="ar"/>
              </w:rPr>
              <w:t>质量</w:t>
            </w: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指标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三级公立医院平均住院日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较上年降低或低于全</w:t>
            </w: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国平均值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较上年减少0.3天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b w:val="0"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Hans"/>
        </w:rPr>
        <w:t>2.效益指标完成情况分析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 w:firstLineChars="200"/>
        <w:textAlignment w:val="baseline"/>
        <w:rPr>
          <w:rFonts w:ascii="仿宋_GB2312" w:hAnsi="仿宋" w:eastAsia="仿宋_GB2312"/>
          <w:sz w:val="32"/>
          <w:szCs w:val="32"/>
          <w:lang w:bidi="ar"/>
        </w:rPr>
      </w:pPr>
      <w:r>
        <w:rPr>
          <w:rFonts w:hint="eastAsia" w:ascii="仿宋_GB2312" w:hAnsi="仿宋" w:eastAsia="仿宋_GB2312"/>
          <w:sz w:val="32"/>
          <w:szCs w:val="32"/>
          <w:lang w:bidi="ar"/>
        </w:rPr>
        <w:t>（1）社会效益指标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1"/>
        <w:textAlignment w:val="baseline"/>
        <w:rPr>
          <w:rFonts w:ascii="仿宋_GB2312" w:hAnsi="仿宋" w:eastAsia="仿宋_GB2312"/>
          <w:sz w:val="28"/>
          <w:szCs w:val="28"/>
          <w:lang w:eastAsia="zh-Hans" w:bidi="ar"/>
        </w:rPr>
      </w:pPr>
      <w:r>
        <w:rPr>
          <w:rFonts w:hint="eastAsia" w:ascii="仿宋_GB2312" w:hAnsi="仿宋" w:eastAsia="仿宋_GB2312"/>
          <w:sz w:val="32"/>
          <w:szCs w:val="32"/>
          <w:lang w:bidi="ar"/>
        </w:rPr>
        <w:t>2022年北京市中央转移支付医疗服务与保障能力提升（公立医院综合改革）补助资金设定的社会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效益</w:t>
      </w:r>
      <w:r>
        <w:rPr>
          <w:rFonts w:hint="eastAsia" w:ascii="仿宋_GB2312" w:hAnsi="仿宋" w:eastAsia="仿宋_GB2312"/>
          <w:sz w:val="32"/>
          <w:szCs w:val="32"/>
          <w:lang w:bidi="ar"/>
        </w:rPr>
        <w:t>指标共2项，指标均已完成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，具体情况如下表</w:t>
      </w:r>
      <w:r>
        <w:rPr>
          <w:rFonts w:hint="eastAsia" w:ascii="仿宋_GB2312" w:hAnsi="仿宋" w:eastAsia="仿宋_GB2312"/>
          <w:sz w:val="32"/>
          <w:szCs w:val="32"/>
          <w:lang w:bidi="ar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：</w:t>
      </w:r>
    </w:p>
    <w:p>
      <w:pPr>
        <w:pStyle w:val="4"/>
        <w:widowControl w:val="0"/>
        <w:kinsoku/>
        <w:autoSpaceDE/>
        <w:autoSpaceDN/>
        <w:adjustRightInd/>
        <w:snapToGrid/>
        <w:spacing w:after="0" w:line="240" w:lineRule="auto"/>
        <w:jc w:val="center"/>
        <w:textAlignment w:val="auto"/>
        <w:rPr>
          <w:rFonts w:ascii="仿宋_GB2312" w:hAnsi="仿宋" w:eastAsia="仿宋_GB2312"/>
          <w:sz w:val="32"/>
          <w:szCs w:val="32"/>
          <w:lang w:eastAsia="zh-Hans" w:bidi="ar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表5：社会效益指标完成情况表</w:t>
      </w:r>
    </w:p>
    <w:tbl>
      <w:tblPr>
        <w:tblStyle w:val="11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444"/>
        <w:gridCol w:w="2513"/>
        <w:gridCol w:w="1984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指标类型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1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社会效益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  <w:t>指标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基层医疗卫生机构诊疗量占总诊疗量的比例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较上年提高或高于全国平均值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较上年提高0.3%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社会效益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  <w:t>指标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三级公立医院门诊人次数与出院人次数比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较上年降低或低于全国平均值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较上年降低50%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 w:firstLineChars="200"/>
        <w:textAlignment w:val="baseline"/>
        <w:rPr>
          <w:rFonts w:ascii="仿宋_GB2312" w:hAnsi="仿宋" w:eastAsia="仿宋_GB2312"/>
          <w:sz w:val="32"/>
          <w:szCs w:val="32"/>
          <w:lang w:bidi="ar"/>
        </w:rPr>
      </w:pPr>
      <w:r>
        <w:rPr>
          <w:rFonts w:hint="eastAsia" w:ascii="仿宋_GB2312" w:hAnsi="仿宋" w:eastAsia="仿宋_GB2312"/>
          <w:sz w:val="32"/>
          <w:szCs w:val="32"/>
          <w:lang w:bidi="ar"/>
        </w:rPr>
        <w:t>（2）可持续影响效益指标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" w:eastAsia="仿宋_GB2312"/>
          <w:sz w:val="32"/>
          <w:szCs w:val="32"/>
          <w:lang w:eastAsia="zh-Hans" w:bidi="ar"/>
        </w:rPr>
      </w:pPr>
      <w:r>
        <w:rPr>
          <w:rFonts w:hint="eastAsia" w:ascii="仿宋_GB2312" w:hAnsi="仿宋" w:eastAsia="仿宋_GB2312"/>
          <w:sz w:val="32"/>
          <w:szCs w:val="32"/>
          <w:lang w:bidi="ar"/>
        </w:rPr>
        <w:t>2022年北京市中央转移支付医疗服务与保障能力提升（公立医院综合改革）补助资金设定的可持续影响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效益</w:t>
      </w:r>
      <w:r>
        <w:rPr>
          <w:rFonts w:hint="eastAsia" w:ascii="仿宋_GB2312" w:hAnsi="仿宋" w:eastAsia="仿宋_GB2312"/>
          <w:sz w:val="32"/>
          <w:szCs w:val="32"/>
          <w:lang w:bidi="ar"/>
        </w:rPr>
        <w:t>指标共2项，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其中</w:t>
      </w:r>
      <w:r>
        <w:rPr>
          <w:rFonts w:hint="eastAsia" w:ascii="仿宋_GB2312" w:hAnsi="仿宋" w:eastAsia="仿宋_GB2312"/>
          <w:sz w:val="32"/>
          <w:szCs w:val="32"/>
          <w:lang w:bidi="ar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项指标已完成</w:t>
      </w:r>
      <w:r>
        <w:rPr>
          <w:rFonts w:ascii="仿宋_GB2312" w:hAnsi="仿宋" w:eastAsia="仿宋_GB2312"/>
          <w:sz w:val="32"/>
          <w:szCs w:val="32"/>
          <w:lang w:eastAsia="zh-Hans" w:bidi="ar"/>
        </w:rPr>
        <w:t>，</w:t>
      </w:r>
      <w:r>
        <w:rPr>
          <w:rFonts w:hint="eastAsia" w:ascii="仿宋_GB2312" w:hAnsi="仿宋" w:eastAsia="仿宋_GB2312"/>
          <w:sz w:val="32"/>
          <w:szCs w:val="32"/>
          <w:lang w:bidi="ar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项指标未完成，具体情况如下表</w:t>
      </w:r>
      <w:r>
        <w:rPr>
          <w:rFonts w:hint="eastAsia" w:ascii="仿宋_GB2312" w:hAnsi="仿宋" w:eastAsia="仿宋_GB2312"/>
          <w:sz w:val="32"/>
          <w:szCs w:val="32"/>
          <w:lang w:bidi="ar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Hans" w:bidi="ar"/>
        </w:rPr>
        <w:t>：</w:t>
      </w:r>
    </w:p>
    <w:p>
      <w:pPr>
        <w:pStyle w:val="4"/>
        <w:widowControl w:val="0"/>
        <w:kinsoku/>
        <w:autoSpaceDE/>
        <w:autoSpaceDN/>
        <w:adjustRightInd/>
        <w:snapToGrid/>
        <w:spacing w:after="0" w:line="240" w:lineRule="auto"/>
        <w:jc w:val="center"/>
        <w:textAlignment w:val="auto"/>
        <w:rPr>
          <w:rFonts w:ascii="仿宋_GB2312" w:hAnsi="仿宋" w:eastAsia="仿宋_GB2312"/>
          <w:sz w:val="32"/>
          <w:szCs w:val="32"/>
          <w:lang w:eastAsia="zh-Hans" w:bidi="ar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表6：可持续影响效益指标完成情况表</w:t>
      </w:r>
    </w:p>
    <w:tbl>
      <w:tblPr>
        <w:tblStyle w:val="11"/>
        <w:tblW w:w="8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301"/>
        <w:gridCol w:w="2768"/>
        <w:gridCol w:w="1794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序号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指标类型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  <w:lang w:bidi="ar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1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  <w:t>可持续影响指标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公立医院资产负债率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较上年降低或低于全国平均值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较上年降低0.95%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2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  <w:t>可持续影响指标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实现收支平衡的公立医院数占公立医院总数的比例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较上年提高或高于全国平均值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>较上年降低5.61%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b w:val="0"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Hans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Hans"/>
        </w:rPr>
        <w:t>指标完成情况分析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b w:val="0"/>
          <w:bCs/>
          <w:snapToGrid/>
          <w:kern w:val="2"/>
          <w:sz w:val="32"/>
          <w:szCs w:val="32"/>
        </w:rPr>
      </w:pPr>
      <w:r>
        <w:rPr>
          <w:rFonts w:hint="eastAsia" w:ascii="仿宋_GB2312" w:hAnsi="仿宋" w:eastAsia="仿宋_GB2312"/>
          <w:b w:val="0"/>
          <w:bCs/>
          <w:sz w:val="32"/>
          <w:szCs w:val="32"/>
          <w:lang w:bidi="ar"/>
        </w:rPr>
        <w:t>2022年北京市中央转移支付医疗服务与保障能力提升（公立医院综合改革）补助资金设定的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服务对象满意度指标</w:t>
      </w:r>
      <w:r>
        <w:rPr>
          <w:rFonts w:hint="eastAsia" w:ascii="仿宋_GB2312" w:hAnsi="仿宋" w:eastAsia="仿宋_GB2312"/>
          <w:b w:val="0"/>
          <w:bCs/>
          <w:sz w:val="32"/>
          <w:szCs w:val="32"/>
          <w:lang w:bidi="ar"/>
        </w:rPr>
        <w:t>共2项，指标均已完成</w:t>
      </w:r>
      <w:r>
        <w:rPr>
          <w:rFonts w:ascii="仿宋_GB2312" w:hAnsi="仿宋" w:eastAsia="仿宋_GB2312"/>
          <w:b w:val="0"/>
          <w:bCs/>
          <w:sz w:val="32"/>
          <w:szCs w:val="32"/>
          <w:lang w:eastAsia="zh-Hans" w:bidi="ar"/>
        </w:rPr>
        <w:t>，</w:t>
      </w:r>
      <w:r>
        <w:rPr>
          <w:rFonts w:hint="eastAsia" w:ascii="仿宋_GB2312" w:hAnsi="仿宋" w:eastAsia="仿宋_GB2312"/>
          <w:b w:val="0"/>
          <w:bCs/>
          <w:sz w:val="32"/>
          <w:szCs w:val="32"/>
          <w:lang w:eastAsia="zh-Hans" w:bidi="ar"/>
        </w:rPr>
        <w:t>具体情况如下表</w:t>
      </w:r>
      <w:r>
        <w:rPr>
          <w:rFonts w:hint="eastAsia" w:ascii="仿宋_GB2312" w:hAnsi="仿宋" w:eastAsia="仿宋_GB2312"/>
          <w:b w:val="0"/>
          <w:bCs/>
          <w:sz w:val="32"/>
          <w:szCs w:val="32"/>
          <w:lang w:bidi="ar"/>
        </w:rPr>
        <w:t>7</w:t>
      </w:r>
      <w:r>
        <w:rPr>
          <w:rFonts w:ascii="仿宋_GB2312" w:hAnsi="仿宋" w:eastAsia="仿宋_GB2312"/>
          <w:b w:val="0"/>
          <w:bCs/>
          <w:sz w:val="32"/>
          <w:szCs w:val="32"/>
          <w:lang w:eastAsia="zh-Hans" w:bidi="ar"/>
        </w:rPr>
        <w:t>：</w:t>
      </w:r>
    </w:p>
    <w:p>
      <w:pPr>
        <w:pStyle w:val="4"/>
        <w:widowControl w:val="0"/>
        <w:kinsoku/>
        <w:autoSpaceDE/>
        <w:autoSpaceDN/>
        <w:adjustRightInd/>
        <w:snapToGrid/>
        <w:spacing w:after="0" w:line="240" w:lineRule="auto"/>
        <w:jc w:val="center"/>
        <w:textAlignment w:val="auto"/>
        <w:rPr>
          <w:rFonts w:ascii="仿宋_GB2312" w:hAnsi="仿宋" w:eastAsia="仿宋_GB2312"/>
          <w:sz w:val="32"/>
          <w:szCs w:val="32"/>
          <w:lang w:eastAsia="zh-Hans" w:bidi="ar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</w:rPr>
        <w:t>表7：服务对象满意度指标完成情况表</w:t>
      </w:r>
    </w:p>
    <w:tbl>
      <w:tblPr>
        <w:tblStyle w:val="11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329"/>
        <w:gridCol w:w="2734"/>
        <w:gridCol w:w="1841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</w:rPr>
              <w:t>指标类型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</w:rPr>
              <w:t>三级指标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</w:rPr>
              <w:t>指标值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0"/>
                <w:szCs w:val="20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/>
              </w:rPr>
              <w:t>1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/>
              </w:rPr>
              <w:t>服务对象满意度指标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公立医院次均门诊费用增幅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较上年降低或低于全国平均值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较上年提高3.29%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/>
              </w:rPr>
              <w:t>2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Hans"/>
              </w:rPr>
              <w:t>服务对象满意度指标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公立医院人均住院费用增幅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较上年降低或低于全国平均值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较上年降低3.86%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560" w:lineRule="exact"/>
        <w:ind w:left="0" w:leftChars="0" w:firstLine="640" w:firstLineChars="200"/>
        <w:jc w:val="both"/>
        <w:outlineLvl w:val="1"/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 w:bidi="ar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 w:bidi="ar"/>
        </w:rPr>
        <w:t>绩效自评结论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napToGrid/>
          <w:kern w:val="2"/>
          <w:sz w:val="32"/>
          <w:szCs w:val="32"/>
          <w:lang w:val="en-US" w:eastAsia="zh-CN" w:bidi="ar"/>
        </w:rPr>
        <w:t>根据本次绩效自评工作结果</w:t>
      </w:r>
      <w:r>
        <w:rPr>
          <w:rFonts w:hint="eastAsia" w:ascii="仿宋_GB2312" w:hAnsi="仿宋_GB2312" w:eastAsia="仿宋_GB2312" w:cs="仿宋_GB2312"/>
          <w:bCs/>
          <w:snapToGrid/>
          <w:kern w:val="2"/>
          <w:sz w:val="32"/>
          <w:szCs w:val="32"/>
          <w:lang w:bidi="ar"/>
        </w:rPr>
        <w:t>，</w:t>
      </w:r>
      <w:r>
        <w:rPr>
          <w:rFonts w:hint="eastAsia" w:ascii="仿宋_GB2312" w:hAnsi="仿宋_GB2312" w:eastAsia="仿宋_GB2312" w:cs="仿宋_GB2312"/>
          <w:bCs/>
          <w:snapToGrid/>
          <w:kern w:val="2"/>
          <w:sz w:val="32"/>
          <w:szCs w:val="32"/>
          <w:lang w:eastAsia="zh-CN" w:bidi="ar"/>
        </w:rPr>
        <w:t>本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bidi="ar"/>
        </w:rPr>
        <w:t>项目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 w:bidi="ar"/>
        </w:rPr>
        <w:t>共设置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 w:bidi="ar"/>
        </w:rPr>
        <w:t>11项年度绩效指标,1项年度绩效指标未达标，10项年度绩效指标均实现年初目标值，已实施项目部分取得了较好社会经济效益。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outlineLvl w:val="1"/>
        <w:rPr>
          <w:sz w:val="32"/>
          <w:szCs w:val="32"/>
        </w:rPr>
      </w:pPr>
      <w:bookmarkStart w:id="3" w:name="_GoBack"/>
      <w:bookmarkEnd w:id="3"/>
    </w:p>
    <w:p>
      <w:pPr>
        <w:pStyle w:val="8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sz w:val="32"/>
          <w:szCs w:val="32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3888" w:firstLineChars="1200"/>
        <w:rPr>
          <w:rFonts w:ascii="仿宋" w:hAnsi="仿宋" w:eastAsia="仿宋" w:cs="仿宋"/>
          <w:spacing w:val="2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北京市卫生健康委员会</w:t>
      </w: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4536" w:firstLineChars="1400"/>
        <w:rPr>
          <w:rFonts w:ascii="仿宋" w:hAnsi="仿宋" w:eastAsia="仿宋" w:cs="仿宋"/>
          <w:spacing w:val="2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2023年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E680E8"/>
    <w:multiLevelType w:val="singleLevel"/>
    <w:tmpl w:val="F7E680E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13B1BF0"/>
    <w:rsid w:val="00033B95"/>
    <w:rsid w:val="00086716"/>
    <w:rsid w:val="000A4328"/>
    <w:rsid w:val="000B3984"/>
    <w:rsid w:val="0015430A"/>
    <w:rsid w:val="00181EAC"/>
    <w:rsid w:val="00270F7E"/>
    <w:rsid w:val="00275A28"/>
    <w:rsid w:val="002C6307"/>
    <w:rsid w:val="002F1C1E"/>
    <w:rsid w:val="00300F9F"/>
    <w:rsid w:val="00316F7D"/>
    <w:rsid w:val="00340EDA"/>
    <w:rsid w:val="003B2702"/>
    <w:rsid w:val="003D7391"/>
    <w:rsid w:val="003E31C5"/>
    <w:rsid w:val="00422162"/>
    <w:rsid w:val="00456DB2"/>
    <w:rsid w:val="00467AED"/>
    <w:rsid w:val="004C78A4"/>
    <w:rsid w:val="004D39E1"/>
    <w:rsid w:val="004E0E30"/>
    <w:rsid w:val="00500972"/>
    <w:rsid w:val="00530D4F"/>
    <w:rsid w:val="00542542"/>
    <w:rsid w:val="00711880"/>
    <w:rsid w:val="0072519A"/>
    <w:rsid w:val="0075031C"/>
    <w:rsid w:val="00831807"/>
    <w:rsid w:val="0086093A"/>
    <w:rsid w:val="008C5367"/>
    <w:rsid w:val="008F3585"/>
    <w:rsid w:val="00967A5C"/>
    <w:rsid w:val="009C1E70"/>
    <w:rsid w:val="00A35D77"/>
    <w:rsid w:val="00A6660E"/>
    <w:rsid w:val="00A76998"/>
    <w:rsid w:val="00AB6D7C"/>
    <w:rsid w:val="00B01126"/>
    <w:rsid w:val="00B70910"/>
    <w:rsid w:val="00BA3663"/>
    <w:rsid w:val="00BA6871"/>
    <w:rsid w:val="00BD6387"/>
    <w:rsid w:val="00C06E2B"/>
    <w:rsid w:val="00C61F29"/>
    <w:rsid w:val="00CC671B"/>
    <w:rsid w:val="00CF2373"/>
    <w:rsid w:val="00D524D6"/>
    <w:rsid w:val="00DA1A43"/>
    <w:rsid w:val="00DC0681"/>
    <w:rsid w:val="00DC7078"/>
    <w:rsid w:val="00EF0A1F"/>
    <w:rsid w:val="00F93DDB"/>
    <w:rsid w:val="00FA3C43"/>
    <w:rsid w:val="00FB72AE"/>
    <w:rsid w:val="013B1BF0"/>
    <w:rsid w:val="01FF3BC3"/>
    <w:rsid w:val="0A314B36"/>
    <w:rsid w:val="0A51082F"/>
    <w:rsid w:val="0E80608C"/>
    <w:rsid w:val="122B27B2"/>
    <w:rsid w:val="13BDCE29"/>
    <w:rsid w:val="14447B5C"/>
    <w:rsid w:val="1E2FD042"/>
    <w:rsid w:val="208A586E"/>
    <w:rsid w:val="22D14CB0"/>
    <w:rsid w:val="25584B9A"/>
    <w:rsid w:val="2A222295"/>
    <w:rsid w:val="367A60F6"/>
    <w:rsid w:val="3AED0244"/>
    <w:rsid w:val="3CFDDA32"/>
    <w:rsid w:val="3ED95906"/>
    <w:rsid w:val="3F646F5D"/>
    <w:rsid w:val="43A643FA"/>
    <w:rsid w:val="4DB51D17"/>
    <w:rsid w:val="513A2680"/>
    <w:rsid w:val="5ADFA319"/>
    <w:rsid w:val="5D123920"/>
    <w:rsid w:val="61AE77B2"/>
    <w:rsid w:val="62127324"/>
    <w:rsid w:val="64992B79"/>
    <w:rsid w:val="66E0683D"/>
    <w:rsid w:val="70C63DFD"/>
    <w:rsid w:val="7EFFA89A"/>
    <w:rsid w:val="7FF7E603"/>
    <w:rsid w:val="ADE5D13B"/>
    <w:rsid w:val="BFDE8963"/>
    <w:rsid w:val="DFD35E11"/>
    <w:rsid w:val="DFFF21D9"/>
    <w:rsid w:val="F7EF012F"/>
    <w:rsid w:val="FD7D616C"/>
    <w:rsid w:val="FF3DDD0A"/>
    <w:rsid w:val="FFFC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4">
    <w:name w:val="Body Text"/>
    <w:basedOn w:val="1"/>
    <w:qFormat/>
    <w:uiPriority w:val="0"/>
    <w:pPr>
      <w:spacing w:after="120" w:line="360" w:lineRule="auto"/>
    </w:pPr>
  </w:style>
  <w:style w:type="paragraph" w:styleId="5">
    <w:name w:val="Body Text Indent"/>
    <w:basedOn w:val="1"/>
    <w:unhideWhenUsed/>
    <w:qFormat/>
    <w:uiPriority w:val="99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index 9"/>
    <w:basedOn w:val="1"/>
    <w:next w:val="1"/>
    <w:unhideWhenUsed/>
    <w:qFormat/>
    <w:uiPriority w:val="99"/>
    <w:pPr>
      <w:ind w:firstLine="420"/>
    </w:pPr>
    <w:rPr>
      <w:rFonts w:eastAsia="仿宋_GB2312"/>
      <w:bCs/>
      <w:sz w:val="28"/>
      <w:szCs w:val="2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table" w:styleId="11">
    <w:name w:val="Table Grid"/>
    <w:basedOn w:val="10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Body text|2"/>
    <w:basedOn w:val="1"/>
    <w:qFormat/>
    <w:uiPriority w:val="0"/>
    <w:pPr>
      <w:spacing w:line="590" w:lineRule="exact"/>
      <w:ind w:firstLine="580"/>
    </w:pPr>
    <w:rPr>
      <w:rFonts w:hint="eastAsia" w:ascii="宋体" w:hAnsi="宋体"/>
      <w:szCs w:val="24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font2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页眉 字符"/>
    <w:basedOn w:val="12"/>
    <w:link w:val="7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17">
    <w:name w:val="页脚 字符"/>
    <w:basedOn w:val="12"/>
    <w:link w:val="6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18">
    <w:name w:val="font1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3788</Words>
  <Characters>4773</Characters>
  <Lines>477</Lines>
  <Paragraphs>570</Paragraphs>
  <TotalTime>5</TotalTime>
  <ScaleCrop>false</ScaleCrop>
  <LinksUpToDate>false</LinksUpToDate>
  <CharactersWithSpaces>7991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2023-03-27T15:27:00Z</dcterms:created>
  <dc:creator>WPS_1599385647</dc:creator>
  <cp:lastModifiedBy>admin</cp:lastModifiedBy>
  <cp:lastPrinted>2023-06-09T09:05:00Z</cp:lastPrinted>
  <dcterms:modified xsi:type="dcterms:W3CDTF">2023-06-09T17:15:16Z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ICV">
    <vt:lpwstr>195FD7248D31440E90D062EFA4B77F3C</vt:lpwstr>
  </property>
  <property fmtid="{D5CDD505-2E9C-101B-9397-08002B2CF9AE}" pid="4" name="GrammarlyDocumentId">
    <vt:lpwstr>46a15ad01b23395be33826c22a6a27bbf34c1a173d2c31a63cdebb4054e85fe3</vt:lpwstr>
  </property>
</Properties>
</file>