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黑体" w:eastAsia="方正小标宋简体" w:cs="Times New Roman"/>
          <w:snapToGrid/>
          <w:color w:val="auto"/>
          <w:kern w:val="2"/>
          <w:sz w:val="44"/>
          <w:szCs w:val="44"/>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rPr>
        <w:t>2022年度中央</w:t>
      </w:r>
      <w:r>
        <w:rPr>
          <w:rFonts w:hint="eastAsia" w:ascii="方正小标宋简体" w:hAnsi="黑体" w:eastAsia="方正小标宋简体" w:cs="Times New Roman"/>
          <w:snapToGrid/>
          <w:color w:val="auto"/>
          <w:kern w:val="2"/>
          <w:sz w:val="44"/>
          <w:szCs w:val="44"/>
          <w:lang w:eastAsia="zh-CN"/>
        </w:rPr>
        <w:t>对北京</w:t>
      </w:r>
      <w:r>
        <w:rPr>
          <w:rFonts w:hint="eastAsia" w:ascii="方正小标宋简体" w:hAnsi="黑体" w:eastAsia="方正小标宋简体" w:cs="Times New Roman"/>
          <w:snapToGrid/>
          <w:color w:val="auto"/>
          <w:kern w:val="2"/>
          <w:sz w:val="44"/>
          <w:szCs w:val="44"/>
        </w:rPr>
        <w:t>医疗服务与保障能力提升补助资金（卫生健康人才培养）</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rPr>
        <w:t>转移支付</w:t>
      </w:r>
      <w:r>
        <w:rPr>
          <w:rFonts w:hint="eastAsia" w:ascii="方正小标宋简体" w:hAnsi="黑体" w:eastAsia="方正小标宋简体" w:cs="Times New Roman"/>
          <w:snapToGrid/>
          <w:color w:val="auto"/>
          <w:kern w:val="2"/>
          <w:sz w:val="44"/>
          <w:szCs w:val="44"/>
          <w:lang w:eastAsia="zh-CN"/>
        </w:rPr>
        <w:t>预算执行情况</w:t>
      </w:r>
      <w:r>
        <w:rPr>
          <w:rFonts w:hint="eastAsia" w:ascii="方正小标宋简体" w:hAnsi="黑体" w:eastAsia="方正小标宋简体" w:cs="Times New Roman"/>
          <w:snapToGrid/>
          <w:color w:val="auto"/>
          <w:kern w:val="2"/>
          <w:sz w:val="44"/>
          <w:szCs w:val="44"/>
        </w:rPr>
        <w:t>绩效自评报告</w:t>
      </w:r>
    </w:p>
    <w:p>
      <w:pPr>
        <w:pStyle w:val="2"/>
        <w:keepNext w:val="0"/>
        <w:keepLines w:val="0"/>
        <w:pageBreakBefore w:val="0"/>
        <w:widowControl/>
        <w:wordWrap/>
        <w:overflowPunct/>
        <w:topLinePunct w:val="0"/>
        <w:bidi w:val="0"/>
        <w:spacing w:line="560" w:lineRule="exact"/>
        <w:rPr>
          <w:sz w:val="32"/>
          <w:szCs w:val="32"/>
        </w:rPr>
      </w:pPr>
    </w:p>
    <w:p>
      <w:pPr>
        <w:pStyle w:val="2"/>
        <w:keepNext w:val="0"/>
        <w:keepLines w:val="0"/>
        <w:pageBreakBefore w:val="0"/>
        <w:widowControl/>
        <w:wordWrap/>
        <w:overflowPunct/>
        <w:topLinePunct w:val="0"/>
        <w:bidi w:val="0"/>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为了贯彻落实《中共中央 国务院关于全面实施预算绩效管理的意见》《中共北京市委 北京市人民政府关于全面实施预算绩效管理的实施意见》有关精神，加快建成全方位、全过程、全覆盖的预算绩效管理体系，切实增强资金使用单位支出绩效意识，提高中央对地方转移支付资金使用效益，根据财政部《关于开展2022年度中央对地方转移支付预算执行情况绩效自评工作的通知》（财监〔2023〕1号）文件要求，北京市卫生健康委员会组织北京市卫生健康委员会机关、北京市化工职业病防治院、北京肿瘤医院、北京急救中心和北京市疾病预防控制中心开展了2022年北京市中央转移支付医疗服务与保障能力提升补助资金（卫生健康人才培养）的绩效自评工作，形成绩效自评报告。</w:t>
      </w:r>
    </w:p>
    <w:p>
      <w:pPr>
        <w:keepNext w:val="0"/>
        <w:keepLines w:val="0"/>
        <w:pageBreakBefore w:val="0"/>
        <w:widowControl/>
        <w:wordWrap/>
        <w:overflowPunct/>
        <w:topLinePunct w:val="0"/>
        <w:bidi w:val="0"/>
        <w:spacing w:line="560" w:lineRule="exact"/>
        <w:ind w:firstLine="640" w:firstLineChars="200"/>
        <w:outlineLvl w:val="0"/>
        <w:rPr>
          <w:rFonts w:hint="eastAsia" w:ascii="黑体" w:hAnsi="宋体" w:eastAsia="黑体" w:cs="黑体"/>
          <w:bCs/>
          <w:sz w:val="32"/>
          <w:szCs w:val="32"/>
          <w:lang w:eastAsia="zh-CN" w:bidi="ar"/>
        </w:rPr>
      </w:pPr>
      <w:bookmarkStart w:id="0" w:name="_Toc1146578714_WPSOffice_Level1"/>
      <w:r>
        <w:rPr>
          <w:rFonts w:hint="eastAsia" w:ascii="黑体" w:hAnsi="宋体" w:eastAsia="黑体" w:cs="黑体"/>
          <w:bCs/>
          <w:sz w:val="32"/>
          <w:szCs w:val="32"/>
          <w:lang w:bidi="ar"/>
        </w:rPr>
        <w:t>一、</w:t>
      </w:r>
      <w:bookmarkEnd w:id="0"/>
      <w:r>
        <w:rPr>
          <w:rFonts w:hint="eastAsia" w:ascii="黑体" w:hAnsi="宋体" w:eastAsia="黑体" w:cs="黑体"/>
          <w:bCs/>
          <w:sz w:val="32"/>
          <w:szCs w:val="32"/>
          <w:lang w:eastAsia="zh-CN" w:bidi="ar"/>
        </w:rPr>
        <w:t>转移支付基本情况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snapToGrid/>
          <w:kern w:val="2"/>
          <w:sz w:val="32"/>
          <w:szCs w:val="32"/>
          <w:lang w:eastAsia="zh-CN" w:bidi="ar"/>
        </w:rPr>
      </w:pPr>
      <w:bookmarkStart w:id="1" w:name="_Toc1177681667_WPSOffice_Level2"/>
      <w:r>
        <w:rPr>
          <w:rFonts w:hint="eastAsia" w:ascii="楷体" w:hAnsi="楷体" w:eastAsia="楷体" w:cs="楷体"/>
          <w:bCs/>
          <w:snapToGrid/>
          <w:kern w:val="2"/>
          <w:sz w:val="32"/>
          <w:szCs w:val="32"/>
          <w:lang w:bidi="ar"/>
        </w:rPr>
        <w:t>（一）</w:t>
      </w:r>
      <w:bookmarkEnd w:id="1"/>
      <w:r>
        <w:rPr>
          <w:rFonts w:hint="eastAsia" w:ascii="楷体" w:hAnsi="楷体" w:eastAsia="楷体" w:cs="楷体"/>
          <w:bCs/>
          <w:snapToGrid/>
          <w:kern w:val="2"/>
          <w:sz w:val="32"/>
          <w:szCs w:val="32"/>
          <w:lang w:bidi="ar"/>
        </w:rPr>
        <w:t>卫生健康人才培养</w:t>
      </w:r>
      <w:r>
        <w:rPr>
          <w:rFonts w:hint="eastAsia" w:ascii="楷体" w:hAnsi="楷体" w:eastAsia="楷体" w:cs="楷体"/>
          <w:bCs/>
          <w:snapToGrid/>
          <w:kern w:val="2"/>
          <w:sz w:val="32"/>
          <w:szCs w:val="32"/>
          <w:lang w:eastAsia="zh-CN" w:bidi="ar"/>
        </w:rPr>
        <w:t>转移支付概况。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bidi="ar"/>
        </w:rPr>
      </w:pPr>
      <w:r>
        <w:rPr>
          <w:rFonts w:hint="eastAsia" w:ascii="仿宋_GB2312" w:hAnsi="仿宋" w:eastAsia="仿宋_GB2312"/>
          <w:sz w:val="32"/>
          <w:szCs w:val="32"/>
          <w:lang w:bidi="ar"/>
        </w:rPr>
        <w:t>2022年北京市中央转移支付医疗服务与保障能力提升补助资金（卫生健康人才培养）项目涉及北京市卫生健康委员会机关、北京市化工职业病防治院、北京肿瘤医院、北京急救中心和北京市疾病预防控制中心。</w:t>
      </w:r>
      <w:bookmarkStart w:id="2" w:name="_Toc2086486517_WPSOffice_Level2"/>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snapToGrid/>
          <w:kern w:val="2"/>
          <w:sz w:val="32"/>
          <w:szCs w:val="32"/>
          <w:lang w:eastAsia="zh-CN" w:bidi="ar"/>
        </w:rPr>
      </w:pPr>
      <w:r>
        <w:rPr>
          <w:rFonts w:hint="eastAsia" w:ascii="楷体" w:hAnsi="楷体" w:eastAsia="楷体" w:cs="楷体"/>
          <w:bCs/>
          <w:snapToGrid/>
          <w:kern w:val="2"/>
          <w:sz w:val="32"/>
          <w:szCs w:val="32"/>
          <w:lang w:bidi="ar"/>
        </w:rPr>
        <w:t>（</w:t>
      </w:r>
      <w:r>
        <w:rPr>
          <w:rFonts w:hint="eastAsia" w:ascii="楷体" w:hAnsi="楷体" w:eastAsia="楷体" w:cs="楷体"/>
          <w:bCs/>
          <w:snapToGrid/>
          <w:kern w:val="2"/>
          <w:sz w:val="32"/>
          <w:szCs w:val="32"/>
          <w:lang w:eastAsia="zh-CN" w:bidi="ar"/>
        </w:rPr>
        <w:t>二</w:t>
      </w:r>
      <w:r>
        <w:rPr>
          <w:rFonts w:hint="eastAsia" w:ascii="楷体" w:hAnsi="楷体" w:eastAsia="楷体" w:cs="楷体"/>
          <w:bCs/>
          <w:snapToGrid/>
          <w:kern w:val="2"/>
          <w:sz w:val="32"/>
          <w:szCs w:val="32"/>
          <w:lang w:bidi="ar"/>
        </w:rPr>
        <w:t>）资金投入情况分析</w:t>
      </w:r>
      <w:r>
        <w:rPr>
          <w:rFonts w:hint="eastAsia" w:ascii="楷体" w:hAnsi="楷体" w:eastAsia="楷体" w:cs="楷体"/>
          <w:bCs/>
          <w:snapToGrid/>
          <w:kern w:val="2"/>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cs="Arial"/>
          <w:snapToGrid w:val="0"/>
          <w:color w:val="000000"/>
          <w:sz w:val="32"/>
          <w:szCs w:val="32"/>
          <w:lang w:val="en-US" w:eastAsia="zh-CN" w:bidi="ar"/>
        </w:rPr>
      </w:pPr>
      <w:r>
        <w:rPr>
          <w:rFonts w:hint="eastAsia" w:ascii="仿宋_GB2312" w:hAnsi="等线" w:eastAsia="仿宋_GB2312" w:cs="Arial"/>
          <w:snapToGrid w:val="0"/>
          <w:color w:val="000000"/>
          <w:sz w:val="32"/>
          <w:szCs w:val="32"/>
          <w:lang w:val="en-US" w:eastAsia="zh-CN" w:bidi="ar"/>
        </w:rPr>
        <w:t>2022年北京市中央转移支付医疗服务与保障能力提升补助资金（卫生健康人才培养）</w:t>
      </w:r>
      <w:r>
        <w:rPr>
          <w:rFonts w:hint="eastAsia" w:ascii="仿宋_GB2312" w:hAnsi="等线" w:eastAsia="仿宋_GB2312" w:cs="Arial"/>
          <w:snapToGrid w:val="0"/>
          <w:color w:val="000000"/>
          <w:sz w:val="32"/>
          <w:szCs w:val="32"/>
          <w:lang w:val="en-US" w:eastAsia="zh-Hans" w:bidi="ar"/>
        </w:rPr>
        <w:t>预算共计</w:t>
      </w:r>
      <w:r>
        <w:rPr>
          <w:rFonts w:hint="eastAsia" w:ascii="仿宋_GB2312" w:hAnsi="等线" w:eastAsia="仿宋_GB2312" w:cs="Arial"/>
          <w:snapToGrid w:val="0"/>
          <w:color w:val="000000"/>
          <w:sz w:val="32"/>
          <w:szCs w:val="32"/>
          <w:lang w:val="en-US" w:eastAsia="zh-CN" w:bidi="ar"/>
        </w:rPr>
        <w:t>17,579万元</w:t>
      </w:r>
      <w:r>
        <w:rPr>
          <w:rFonts w:hint="eastAsia" w:ascii="仿宋_GB2312" w:hAnsi="等线" w:eastAsia="仿宋_GB2312" w:cs="Arial"/>
          <w:snapToGrid w:val="0"/>
          <w:color w:val="000000"/>
          <w:sz w:val="32"/>
          <w:szCs w:val="32"/>
          <w:lang w:val="en-US" w:eastAsia="zh-Hans" w:bidi="ar"/>
        </w:rPr>
        <w:t>，截至202</w:t>
      </w:r>
      <w:r>
        <w:rPr>
          <w:rFonts w:ascii="仿宋_GB2312" w:hAnsi="等线" w:eastAsia="仿宋_GB2312" w:cs="Arial"/>
          <w:snapToGrid w:val="0"/>
          <w:color w:val="000000"/>
          <w:sz w:val="32"/>
          <w:szCs w:val="32"/>
          <w:lang w:val="en-US" w:eastAsia="zh-Hans" w:bidi="ar"/>
        </w:rPr>
        <w:t>2</w:t>
      </w:r>
      <w:r>
        <w:rPr>
          <w:rFonts w:hint="eastAsia" w:ascii="仿宋_GB2312" w:hAnsi="等线" w:eastAsia="仿宋_GB2312" w:cs="Arial"/>
          <w:snapToGrid w:val="0"/>
          <w:color w:val="000000"/>
          <w:sz w:val="32"/>
          <w:szCs w:val="32"/>
          <w:lang w:val="en-US" w:eastAsia="zh-Hans" w:bidi="ar"/>
        </w:rPr>
        <w:t>年12月31日，账面实际支出</w:t>
      </w:r>
      <w:r>
        <w:rPr>
          <w:rFonts w:hint="eastAsia" w:ascii="仿宋_GB2312" w:hAnsi="等线" w:eastAsia="仿宋_GB2312" w:cs="Arial"/>
          <w:snapToGrid w:val="0"/>
          <w:color w:val="000000"/>
          <w:sz w:val="32"/>
          <w:szCs w:val="32"/>
          <w:lang w:val="en-US" w:eastAsia="zh-CN" w:bidi="ar"/>
        </w:rPr>
        <w:t>17,324.10</w:t>
      </w:r>
      <w:r>
        <w:rPr>
          <w:rFonts w:hint="eastAsia" w:ascii="仿宋_GB2312" w:hAnsi="等线" w:eastAsia="仿宋_GB2312" w:cs="Arial"/>
          <w:snapToGrid w:val="0"/>
          <w:color w:val="000000"/>
          <w:sz w:val="32"/>
          <w:szCs w:val="32"/>
          <w:lang w:val="en-US" w:eastAsia="zh-Hans" w:bidi="ar"/>
        </w:rPr>
        <w:t>万元，资金执行率为</w:t>
      </w:r>
      <w:r>
        <w:rPr>
          <w:rFonts w:hint="eastAsia" w:ascii="仿宋_GB2312" w:hAnsi="等线" w:eastAsia="仿宋_GB2312" w:cs="Arial"/>
          <w:snapToGrid w:val="0"/>
          <w:color w:val="000000"/>
          <w:sz w:val="32"/>
          <w:szCs w:val="32"/>
          <w:lang w:val="en-US" w:eastAsia="zh-CN" w:bidi="ar"/>
        </w:rPr>
        <w:t>98.55%，均为中央转移支付资金。</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snapToGrid/>
          <w:kern w:val="2"/>
          <w:sz w:val="32"/>
          <w:szCs w:val="32"/>
          <w:lang w:eastAsia="zh-CN" w:bidi="ar"/>
        </w:rPr>
      </w:pPr>
      <w:r>
        <w:rPr>
          <w:rFonts w:hint="eastAsia" w:ascii="楷体" w:hAnsi="楷体" w:eastAsia="楷体" w:cs="楷体"/>
          <w:bCs/>
          <w:snapToGrid/>
          <w:kern w:val="2"/>
          <w:sz w:val="32"/>
          <w:szCs w:val="32"/>
          <w:lang w:bidi="ar"/>
        </w:rPr>
        <w:t>（</w:t>
      </w:r>
      <w:r>
        <w:rPr>
          <w:rFonts w:hint="eastAsia" w:ascii="楷体" w:hAnsi="楷体" w:eastAsia="楷体" w:cs="楷体"/>
          <w:bCs/>
          <w:snapToGrid/>
          <w:kern w:val="2"/>
          <w:sz w:val="32"/>
          <w:szCs w:val="32"/>
          <w:lang w:eastAsia="zh-CN" w:bidi="ar"/>
        </w:rPr>
        <w:t>三</w:t>
      </w:r>
      <w:r>
        <w:rPr>
          <w:rFonts w:hint="eastAsia" w:ascii="楷体" w:hAnsi="楷体" w:eastAsia="楷体" w:cs="楷体"/>
          <w:bCs/>
          <w:snapToGrid/>
          <w:kern w:val="2"/>
          <w:sz w:val="32"/>
          <w:szCs w:val="32"/>
          <w:lang w:bidi="ar"/>
        </w:rPr>
        <w:t>）资金管理情况分析</w:t>
      </w:r>
      <w:r>
        <w:rPr>
          <w:rFonts w:hint="eastAsia" w:ascii="楷体" w:hAnsi="楷体" w:eastAsia="楷体" w:cs="楷体"/>
          <w:bCs/>
          <w:snapToGrid/>
          <w:kern w:val="2"/>
          <w:sz w:val="32"/>
          <w:szCs w:val="32"/>
          <w:lang w:eastAsia="zh-CN" w:bidi="ar"/>
        </w:rPr>
        <w:t>。</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1.资金分配科学性</w:t>
      </w:r>
    </w:p>
    <w:p>
      <w:pPr>
        <w:keepNext w:val="0"/>
        <w:keepLines w:val="0"/>
        <w:pageBreakBefore w:val="0"/>
        <w:widowControl/>
        <w:wordWrap/>
        <w:overflowPunct/>
        <w:topLinePunct w:val="0"/>
        <w:bidi w:val="0"/>
        <w:spacing w:line="560" w:lineRule="exact"/>
        <w:ind w:firstLine="640" w:firstLineChars="200"/>
        <w:jc w:val="both"/>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北京市卫生健康委员会根据《财政部 国家卫生健康委关于提前下达2022年医疗服务与保障能力提升（医疗卫生机构能力建设）补助资金预算的通知》（财社〔2021〕172号）、《财政部 国家卫生健康委国家中医药局关于下达2022年医疗服务与保障能力提升（卫生健康人才培养）补助资金预算的通知》（财社〔2022〕54号）、《国务院办公厅关于深化医教协同进一步推进医学教育改革与发展的意见》（国 办发〔2017〕63号）、《国务院办公厅关于改革完善全科医生培养与使用激励机制的意见》（国办发〔2018〕3号）和《国务院办公厅关于加快医学教育创新发展的指导意见》（国办发〔2020〕34号）等文件要求，结合北京市2022年计划开展的</w:t>
      </w:r>
      <w:r>
        <w:rPr>
          <w:rFonts w:hint="eastAsia" w:ascii="仿宋_GB2312" w:hAnsi="仿宋_GB2312" w:eastAsia="仿宋_GB2312" w:cs="仿宋_GB2312"/>
          <w:color w:val="auto"/>
          <w:sz w:val="32"/>
          <w:szCs w:val="32"/>
        </w:rPr>
        <w:t>毕业后医学教育（含住院医师规范化培训和专科医师规范化培训）</w:t>
      </w:r>
      <w:r>
        <w:rPr>
          <w:rFonts w:hint="eastAsia" w:eastAsia="仿宋_GB2312"/>
          <w:sz w:val="32"/>
          <w:szCs w:val="32"/>
        </w:rPr>
        <w:t>、</w:t>
      </w:r>
      <w:r>
        <w:rPr>
          <w:rFonts w:hint="eastAsia" w:ascii="仿宋_GB2312" w:hAnsi="仿宋_GB2312" w:eastAsia="仿宋_GB2312" w:cs="仿宋_GB2312"/>
          <w:color w:val="auto"/>
          <w:sz w:val="32"/>
          <w:szCs w:val="32"/>
        </w:rPr>
        <w:t>紧缺人才培训</w:t>
      </w:r>
      <w:r>
        <w:rPr>
          <w:rFonts w:hint="eastAsia" w:eastAsia="仿宋_GB2312"/>
          <w:sz w:val="32"/>
          <w:szCs w:val="32"/>
        </w:rPr>
        <w:t>和</w:t>
      </w:r>
      <w:r>
        <w:rPr>
          <w:rFonts w:hint="eastAsia" w:ascii="仿宋_GB2312" w:hAnsi="仿宋_GB2312" w:eastAsia="仿宋_GB2312" w:cs="仿宋_GB2312"/>
          <w:color w:val="auto"/>
          <w:sz w:val="32"/>
          <w:szCs w:val="32"/>
        </w:rPr>
        <w:t>县乡村卫生人才能力提升培训等培训内容</w:t>
      </w:r>
      <w:r>
        <w:rPr>
          <w:rFonts w:hint="eastAsia" w:ascii="仿宋_GB2312" w:eastAsia="仿宋_GB2312"/>
          <w:sz w:val="32"/>
          <w:szCs w:val="32"/>
        </w:rPr>
        <w:t>，制定了资金分配表，项目资金分配依据充分，分配科学合理</w:t>
      </w:r>
      <w:r>
        <w:rPr>
          <w:rFonts w:hint="eastAsia" w:ascii="仿宋_GB2312" w:hAnsi="楷体" w:eastAsia="仿宋_GB2312" w:cs="仿宋_GB2312"/>
          <w:bCs/>
          <w:sz w:val="32"/>
          <w:szCs w:val="32"/>
          <w:lang w:bidi="ar"/>
        </w:rPr>
        <w:t>。</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2.资金下达及时性</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北京市卫生健康委员会制定了资金分配表后，严格按照预算法及其实施条例，向北京市财政局提出申请，由北京市财政局及时将项目资金下发给</w:t>
      </w:r>
      <w:r>
        <w:rPr>
          <w:rFonts w:hint="eastAsia" w:ascii="仿宋_GB2312" w:hAnsi="仿宋_GB2312" w:eastAsia="仿宋_GB2312" w:cs="仿宋_GB2312"/>
          <w:sz w:val="32"/>
          <w:szCs w:val="32"/>
        </w:rPr>
        <w:t>北京市卫生健康委员会机关、北京市化工职业病防治院、北京肿瘤医院、北京急救中心和北京市疾病预防控制中心</w:t>
      </w:r>
      <w:r>
        <w:rPr>
          <w:rFonts w:hint="eastAsia" w:ascii="仿宋_GB2312" w:hAnsi="楷体" w:eastAsia="仿宋_GB2312" w:cs="仿宋_GB2312"/>
          <w:bCs/>
          <w:sz w:val="32"/>
          <w:szCs w:val="32"/>
          <w:lang w:bidi="ar"/>
        </w:rPr>
        <w:t>，各个资金使用单位根据资金分配表情况组织实施各项培训，项目整体资金下达较为及时。</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3.资金拨付合规性</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仿宋_GB2312" w:eastAsia="仿宋_GB2312" w:cs="仿宋_GB2312"/>
          <w:bCs/>
          <w:color w:val="auto"/>
          <w:sz w:val="32"/>
          <w:szCs w:val="32"/>
        </w:rPr>
        <w:t>2022年北京市中央转移支付医疗服务与保障能力提升补助资金（卫生健康人才培养）</w:t>
      </w:r>
      <w:r>
        <w:rPr>
          <w:rFonts w:hint="eastAsia" w:ascii="仿宋_GB2312" w:hAnsi="楷体" w:eastAsia="仿宋_GB2312" w:cs="仿宋_GB2312"/>
          <w:bCs/>
          <w:sz w:val="32"/>
          <w:szCs w:val="32"/>
          <w:lang w:bidi="ar"/>
        </w:rPr>
        <w:t>严格按照北京市国库集中支付制度有关规定支付资金，未出现违规将资金从国库转入财政专户或支付到预算单位实有资金账户等问题。</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4.资金使用规范性</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仿宋_GB2312" w:eastAsia="仿宋_GB2312" w:cs="仿宋_GB2312"/>
          <w:bCs/>
          <w:color w:val="auto"/>
          <w:sz w:val="32"/>
          <w:szCs w:val="32"/>
        </w:rPr>
        <w:t>2022年北京市中央转移支付医疗服务与保障能力提升补助资金（卫生健康人才培养）</w:t>
      </w:r>
      <w:r>
        <w:rPr>
          <w:rFonts w:hint="eastAsia" w:ascii="仿宋_GB2312" w:hAnsi="楷体" w:eastAsia="仿宋_GB2312" w:cs="仿宋_GB2312"/>
          <w:bCs/>
          <w:sz w:val="32"/>
          <w:szCs w:val="32"/>
          <w:lang w:bidi="ar"/>
        </w:rPr>
        <w:t>根据《财政部 国家卫生健康委关于提前下达2022年医疗服务与保障能力提升（医疗卫生机构能力建设）补助资金预算的通知》（财社〔2021〕172号）、《财政部 国家卫生健康委国家中医药局关于下达2022年医疗服务与保障能力提升（卫生健康人才培养）补助资金预算的通知》（财社〔2022〕54号）的通知要求，按照《国务院办公厅关于深化医教协同进一步推进医学教育改革与发展的意见》（国办发〔2017〕63号）、《国务院办公厅关于改革完善全科医生培养与使用激励机制的意见》（国办发〔2018〕3号）和《国务院办公厅关于加快医学教育创新发展的指导意见》（国办发〔2020〕34号）</w:t>
      </w:r>
      <w:r>
        <w:rPr>
          <w:rFonts w:hint="eastAsia" w:ascii="仿宋_GB2312" w:eastAsia="仿宋_GB2312"/>
          <w:sz w:val="32"/>
          <w:szCs w:val="32"/>
        </w:rPr>
        <w:t>要求，结合各个资金使用单位的项目资金管理制度、转移支付资金管理制度对</w:t>
      </w:r>
      <w:r>
        <w:rPr>
          <w:rFonts w:hint="eastAsia" w:ascii="仿宋_GB2312" w:hAnsi="楷体" w:eastAsia="仿宋_GB2312" w:cs="仿宋_GB2312"/>
          <w:bCs/>
          <w:sz w:val="32"/>
          <w:szCs w:val="32"/>
          <w:lang w:bidi="ar"/>
        </w:rPr>
        <w:t>项目实行专项核算，能够做到专款专用，严格按照下达预算的科目和项目执行，未出现截留、挤占、挪用或擅自调整等问题。并按照财务管理要求进行财务核算，会计核算基本真实、完整、及时，未出现截留挤占挪用等问题，用款程序标准符合国家财务管理制度，资金管理使用较为规范。</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5.资金执行准确性</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按照上级下达和本级预算安排的金额执行，不存在执行数偏离预算数较多的问题。北京市中央转移支付医疗服务与保障能力提升补助资金（卫生健康人才培养）总投入为17,579万元，实际到位资金为17,579万元，资金到位率为100%。截止到2022年12月31日，实际支出金额为</w:t>
      </w:r>
      <w:r>
        <w:rPr>
          <w:rFonts w:hint="eastAsia" w:ascii="仿宋_GB2312" w:hAnsi="仿宋" w:eastAsia="仿宋_GB2312"/>
          <w:sz w:val="32"/>
          <w:szCs w:val="32"/>
          <w:lang w:bidi="ar"/>
        </w:rPr>
        <w:t>17,324.10万元，预算执行率为98.55%。</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6.预算绩效管理情况</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仿宋_GB2312" w:eastAsia="仿宋_GB2312" w:cs="仿宋_GB2312"/>
          <w:bCs/>
          <w:sz w:val="32"/>
          <w:szCs w:val="32"/>
        </w:rPr>
      </w:pPr>
      <w:r>
        <w:rPr>
          <w:rFonts w:hint="eastAsia" w:ascii="仿宋_GB2312" w:hAnsi="楷体" w:eastAsia="仿宋_GB2312" w:cs="仿宋_GB2312"/>
          <w:bCs/>
          <w:sz w:val="32"/>
          <w:szCs w:val="32"/>
          <w:lang w:bidi="ar"/>
        </w:rPr>
        <w:t>2022年</w:t>
      </w:r>
      <w:r>
        <w:rPr>
          <w:rFonts w:hint="eastAsia" w:ascii="仿宋_GB2312" w:hAnsi="仿宋_GB2312" w:eastAsia="仿宋_GB2312" w:cs="仿宋_GB2312"/>
          <w:bCs/>
          <w:color w:val="auto"/>
          <w:sz w:val="32"/>
          <w:szCs w:val="32"/>
          <w:lang w:eastAsia="zh-Hans"/>
        </w:rPr>
        <w:t>北京市</w:t>
      </w:r>
      <w:r>
        <w:rPr>
          <w:rFonts w:hint="eastAsia" w:ascii="仿宋_GB2312" w:hAnsi="仿宋_GB2312" w:eastAsia="仿宋_GB2312" w:cs="仿宋_GB2312"/>
          <w:bCs/>
          <w:color w:val="auto"/>
          <w:sz w:val="32"/>
          <w:szCs w:val="32"/>
        </w:rPr>
        <w:t>中央转移支付医疗服务与保障能力提升补助资金（卫生健康人才培养）</w:t>
      </w:r>
      <w:r>
        <w:rPr>
          <w:rFonts w:hint="eastAsia" w:ascii="仿宋_GB2312" w:hAnsi="楷体" w:eastAsia="仿宋_GB2312" w:cs="仿宋_GB2312"/>
          <w:bCs/>
          <w:sz w:val="32"/>
          <w:szCs w:val="32"/>
          <w:lang w:bidi="ar"/>
        </w:rPr>
        <w:t>在细化下达预算时同步下达绩效目标，按《项目支出绩效评价管理办法》（京财预〔2020〕2146号）、</w:t>
      </w:r>
      <w:r>
        <w:rPr>
          <w:rFonts w:hint="eastAsia" w:ascii="仿宋_GB2312" w:hAnsi="仿宋_GB2312" w:eastAsia="仿宋_GB2312" w:cs="仿宋_GB2312"/>
          <w:sz w:val="32"/>
          <w:szCs w:val="32"/>
        </w:rPr>
        <w:t>《关于开展2022年度中央对地方转移支付预算执行情况绩效自评工作的通知》（财监</w:t>
      </w:r>
      <w:r>
        <w:rPr>
          <w:rFonts w:hint="eastAsia" w:ascii="仿宋_GB2312" w:hAnsi="仿宋_GB2312" w:eastAsia="仿宋_GB2312" w:cs="仿宋_GB2312"/>
          <w:bCs/>
          <w:color w:val="auto"/>
          <w:sz w:val="32"/>
          <w:szCs w:val="32"/>
          <w:lang w:eastAsia="zh-Hans"/>
        </w:rPr>
        <w:t>〔202</w:t>
      </w:r>
      <w:r>
        <w:rPr>
          <w:rFonts w:hint="eastAsia" w:ascii="仿宋_GB2312" w:hAnsi="仿宋_GB2312" w:eastAsia="仿宋_GB2312" w:cs="仿宋_GB2312"/>
          <w:bCs/>
          <w:color w:val="auto"/>
          <w:sz w:val="32"/>
          <w:szCs w:val="32"/>
        </w:rPr>
        <w:t>3</w:t>
      </w:r>
      <w:r>
        <w:rPr>
          <w:rFonts w:hint="eastAsia" w:ascii="仿宋_GB2312" w:hAnsi="仿宋_GB2312" w:eastAsia="仿宋_GB2312" w:cs="仿宋_GB2312"/>
          <w:bCs/>
          <w:color w:val="auto"/>
          <w:sz w:val="32"/>
          <w:szCs w:val="32"/>
          <w:lang w:eastAsia="zh-Hans"/>
        </w:rPr>
        <w:t>〕</w:t>
      </w:r>
      <w:r>
        <w:rPr>
          <w:rFonts w:hint="eastAsia" w:ascii="仿宋_GB2312" w:hAnsi="仿宋_GB2312" w:eastAsia="仿宋_GB2312" w:cs="仿宋_GB2312"/>
          <w:sz w:val="32"/>
          <w:szCs w:val="32"/>
        </w:rPr>
        <w:t>1号）</w:t>
      </w:r>
      <w:r>
        <w:rPr>
          <w:rFonts w:hint="eastAsia" w:ascii="仿宋_GB2312" w:hAnsi="楷体" w:eastAsia="仿宋_GB2312" w:cs="仿宋_GB2312"/>
          <w:bCs/>
          <w:sz w:val="32"/>
          <w:szCs w:val="32"/>
          <w:lang w:bidi="ar"/>
        </w:rPr>
        <w:t>要求，结合项目绩效目标完成情况开展绩效自评工作。</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7.支出责任履行情况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楷体" w:eastAsia="仿宋_GB2312" w:cs="仿宋_GB2312"/>
          <w:bCs/>
          <w:snapToGrid w:val="0"/>
          <w:color w:val="000000"/>
          <w:sz w:val="32"/>
          <w:szCs w:val="32"/>
          <w:lang w:val="en-US" w:eastAsia="zh-CN" w:bidi="ar"/>
        </w:rPr>
      </w:pPr>
      <w:r>
        <w:rPr>
          <w:rFonts w:hint="eastAsia" w:ascii="仿宋_GB2312" w:hAnsi="楷体" w:eastAsia="仿宋_GB2312" w:cs="仿宋_GB2312"/>
          <w:bCs/>
          <w:snapToGrid w:val="0"/>
          <w:color w:val="000000"/>
          <w:sz w:val="32"/>
          <w:szCs w:val="32"/>
          <w:lang w:val="en-US" w:eastAsia="zh-CN" w:bidi="ar"/>
        </w:rPr>
        <w:t>北京市卫生健康委员会和北京市财政局针对</w:t>
      </w:r>
      <w:r>
        <w:rPr>
          <w:rFonts w:hint="eastAsia" w:ascii="仿宋_GB2312" w:hAnsi="仿宋" w:eastAsia="仿宋_GB2312" w:cs="Arial"/>
          <w:snapToGrid w:val="0"/>
          <w:color w:val="000000"/>
          <w:sz w:val="32"/>
          <w:szCs w:val="32"/>
          <w:lang w:val="en-US" w:eastAsia="zh-CN" w:bidi="ar"/>
        </w:rPr>
        <w:t>中央转移支付医疗服务与保障能力提升补助资金（卫生健康人才培养）</w:t>
      </w:r>
      <w:r>
        <w:rPr>
          <w:rFonts w:hint="eastAsia" w:ascii="仿宋_GB2312" w:hAnsi="楷体" w:eastAsia="仿宋_GB2312" w:cs="仿宋_GB2312"/>
          <w:bCs/>
          <w:snapToGrid w:val="0"/>
          <w:color w:val="000000"/>
          <w:sz w:val="32"/>
          <w:szCs w:val="32"/>
          <w:lang w:val="en-US" w:eastAsia="zh-CN" w:bidi="ar"/>
        </w:rPr>
        <w:t>能够做到严格按照财政事权和支出责任划分有关规定，足额安排资金履行本级支出责任。各个资金使用单位能够严格按照财政事权和支出责任划分有关规定，足额安排资金履行本级支出责任。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snapToGrid/>
          <w:kern w:val="2"/>
          <w:sz w:val="32"/>
          <w:szCs w:val="32"/>
          <w:lang w:eastAsia="zh-CN" w:bidi="ar"/>
        </w:rPr>
      </w:pPr>
      <w:r>
        <w:rPr>
          <w:rFonts w:hint="eastAsia" w:ascii="楷体" w:hAnsi="楷体" w:eastAsia="楷体" w:cs="楷体"/>
          <w:bCs/>
          <w:snapToGrid/>
          <w:kern w:val="2"/>
          <w:sz w:val="32"/>
          <w:szCs w:val="32"/>
          <w:lang w:eastAsia="zh-CN" w:bidi="ar"/>
        </w:rPr>
        <w:t>二、绩效目标实现情况</w:t>
      </w:r>
    </w:p>
    <w:p>
      <w:pPr>
        <w:pStyle w:val="2"/>
        <w:keepNext w:val="0"/>
        <w:keepLines w:val="0"/>
        <w:pageBreakBefore w:val="0"/>
        <w:widowControl/>
        <w:wordWrap/>
        <w:overflowPunct/>
        <w:topLinePunct w:val="0"/>
        <w:bidi w:val="0"/>
        <w:spacing w:line="560" w:lineRule="exact"/>
        <w:ind w:firstLine="640" w:firstLineChars="200"/>
        <w:jc w:val="both"/>
        <w:rPr>
          <w:rFonts w:ascii="仿宋_GB2312" w:hAnsi="等线" w:eastAsia="仿宋_GB2312"/>
          <w:sz w:val="32"/>
          <w:szCs w:val="32"/>
          <w:lang w:bidi="ar"/>
        </w:rPr>
      </w:pPr>
      <w:r>
        <w:rPr>
          <w:rFonts w:hint="eastAsia" w:ascii="仿宋_GB2312" w:hAnsi="等线" w:eastAsia="仿宋_GB2312"/>
          <w:sz w:val="32"/>
          <w:szCs w:val="32"/>
          <w:lang w:eastAsia="zh-Hans" w:bidi="ar"/>
        </w:rPr>
        <w:t>根据《财政部</w:t>
      </w:r>
      <w:r>
        <w:rPr>
          <w:rFonts w:hint="eastAsia" w:ascii="仿宋_GB2312" w:hAnsi="等线" w:eastAsia="仿宋_GB2312"/>
          <w:sz w:val="32"/>
          <w:szCs w:val="32"/>
          <w:lang w:bidi="ar"/>
        </w:rPr>
        <w:t xml:space="preserve"> </w:t>
      </w:r>
      <w:r>
        <w:rPr>
          <w:rFonts w:hint="eastAsia" w:ascii="仿宋_GB2312" w:hAnsi="等线" w:eastAsia="仿宋_GB2312"/>
          <w:sz w:val="32"/>
          <w:szCs w:val="32"/>
          <w:lang w:eastAsia="zh-Hans" w:bidi="ar"/>
        </w:rPr>
        <w:t>国家卫生健康委国家中医药局关于提前下达2022年医疗服务与保障能力提升（卫生健康人才培养）补助资金预算的通知》（财社〔2021〕167号）</w:t>
      </w:r>
      <w:r>
        <w:rPr>
          <w:rFonts w:hint="eastAsia" w:ascii="仿宋_GB2312" w:hAnsi="等线" w:eastAsia="仿宋_GB2312"/>
          <w:sz w:val="32"/>
          <w:szCs w:val="32"/>
          <w:lang w:bidi="ar"/>
        </w:rPr>
        <w:t>、</w:t>
      </w:r>
      <w:r>
        <w:rPr>
          <w:rFonts w:hint="eastAsia" w:ascii="仿宋_GB2312" w:hAnsi="等线" w:eastAsia="仿宋_GB2312"/>
          <w:sz w:val="32"/>
          <w:szCs w:val="32"/>
          <w:lang w:eastAsia="zh-Hans" w:bidi="ar"/>
        </w:rPr>
        <w:t>《财政部</w:t>
      </w:r>
      <w:r>
        <w:rPr>
          <w:rFonts w:hint="eastAsia" w:ascii="仿宋_GB2312" w:hAnsi="等线" w:eastAsia="仿宋_GB2312"/>
          <w:sz w:val="32"/>
          <w:szCs w:val="32"/>
          <w:lang w:bidi="ar"/>
        </w:rPr>
        <w:t xml:space="preserve"> </w:t>
      </w:r>
      <w:r>
        <w:rPr>
          <w:rFonts w:hint="eastAsia" w:ascii="仿宋_GB2312" w:hAnsi="等线" w:eastAsia="仿宋_GB2312"/>
          <w:sz w:val="32"/>
          <w:szCs w:val="32"/>
          <w:lang w:eastAsia="zh-Hans" w:bidi="ar"/>
        </w:rPr>
        <w:t>国家卫生健康委国家中医药局关于下达2022年医疗服务与保障能力提升（卫生健康人才培养）补助资金预算的通知》（财社〔2022〕54号）文件，财政部和国家卫生健康委共同下达</w:t>
      </w:r>
      <w:r>
        <w:rPr>
          <w:rFonts w:hint="eastAsia" w:ascii="仿宋_GB2312" w:hAnsi="等线" w:eastAsia="仿宋_GB2312"/>
          <w:sz w:val="32"/>
          <w:szCs w:val="32"/>
          <w:lang w:bidi="ar"/>
        </w:rPr>
        <w:t>2022年北京市中央转移支付医疗服务与保障能力提升补助资金（卫生健康人才培养）</w:t>
      </w:r>
      <w:r>
        <w:rPr>
          <w:rFonts w:hint="eastAsia" w:ascii="仿宋_GB2312" w:hAnsi="等线" w:eastAsia="仿宋_GB2312"/>
          <w:sz w:val="32"/>
          <w:szCs w:val="32"/>
          <w:lang w:eastAsia="zh-Hans" w:bidi="ar"/>
        </w:rPr>
        <w:t>项目资金区</w:t>
      </w:r>
      <w:r>
        <w:rPr>
          <w:rFonts w:hint="eastAsia" w:ascii="仿宋_GB2312" w:hAnsi="仿宋" w:eastAsia="仿宋_GB2312"/>
          <w:sz w:val="32"/>
          <w:szCs w:val="32"/>
          <w:lang w:eastAsia="zh-Hans" w:bidi="ar"/>
        </w:rPr>
        <w:t>域</w:t>
      </w:r>
      <w:r>
        <w:rPr>
          <w:rFonts w:hint="eastAsia" w:ascii="仿宋_GB2312" w:hAnsi="等线" w:eastAsia="仿宋_GB2312"/>
          <w:sz w:val="32"/>
          <w:szCs w:val="32"/>
          <w:lang w:bidi="ar"/>
        </w:rPr>
        <w:t>绩效目标，北京市卫生健康委员会根据实际情况将年度绩效目标分解下达至各项目单位。</w:t>
      </w:r>
    </w:p>
    <w:p>
      <w:pPr>
        <w:pStyle w:val="2"/>
        <w:keepNext w:val="0"/>
        <w:keepLines w:val="0"/>
        <w:pageBreakBefore w:val="0"/>
        <w:widowControl/>
        <w:wordWrap/>
        <w:overflowPunct/>
        <w:topLinePunct w:val="0"/>
        <w:bidi w:val="0"/>
        <w:spacing w:line="560" w:lineRule="exact"/>
        <w:ind w:firstLine="640" w:firstLineChars="200"/>
        <w:jc w:val="both"/>
        <w:rPr>
          <w:rFonts w:hint="eastAsia" w:ascii="仿宋_GB2312" w:hAnsi="楷体" w:eastAsia="仿宋_GB2312" w:cs="仿宋_GB2312"/>
          <w:bCs/>
          <w:snapToGrid w:val="0"/>
          <w:color w:val="000000"/>
          <w:sz w:val="32"/>
          <w:szCs w:val="32"/>
          <w:lang w:val="en-US" w:eastAsia="zh-CN" w:bidi="ar"/>
        </w:rPr>
      </w:pPr>
      <w:r>
        <w:rPr>
          <w:rFonts w:hint="eastAsia" w:ascii="仿宋_GB2312" w:hAnsi="等线" w:eastAsia="仿宋_GB2312"/>
          <w:sz w:val="32"/>
          <w:szCs w:val="32"/>
          <w:lang w:bidi="ar"/>
        </w:rPr>
        <w:t>2022年北京市中央转移支付医疗服务与保障能力提升补助资金（卫生健康人才培养）绩效目标为：推动地方落实《国务院办公厅关于深化医教协同进一步推进医学教育改革与发展的意见》（国办发〔2017〕63号）、《国务院办公厅关于改革完善全科医生培养与使用激励机制的意见》（国办发〔2018〕3号）和《国务院办公厅关于加快医学教育创新发展的指导意见》（国办发〔2020〕34号）等文件精神，加大卫生健康人才培养培训力度。经住院医师规范化培训的临床医师进一步增加，全科、精神科、儿科等紧缺专业卫生健康人才进一步充实，基层医疗卫生机构医疗水平不断提升，整个卫生健康人才队伍的专业结构、城乡结构和区域分布不断优化，促进人才与卫生健康事业发展更加适应，加快构建适合我国国情的整合型医疗卫生服务体系</w:t>
      </w:r>
      <w:r>
        <w:rPr>
          <w:rFonts w:ascii="仿宋_GB2312" w:hAnsi="等线" w:eastAsia="仿宋_GB2312"/>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snapToGrid/>
          <w:kern w:val="2"/>
          <w:sz w:val="32"/>
          <w:szCs w:val="32"/>
          <w:lang w:eastAsia="zh-CN" w:bidi="ar"/>
        </w:rPr>
      </w:pPr>
      <w:r>
        <w:rPr>
          <w:rFonts w:hint="eastAsia" w:ascii="楷体" w:hAnsi="楷体" w:eastAsia="楷体" w:cs="楷体"/>
          <w:bCs/>
          <w:snapToGrid/>
          <w:kern w:val="2"/>
          <w:sz w:val="32"/>
          <w:szCs w:val="32"/>
          <w:lang w:bidi="ar"/>
        </w:rPr>
        <w:t>（</w:t>
      </w:r>
      <w:r>
        <w:rPr>
          <w:rFonts w:hint="eastAsia" w:ascii="楷体" w:hAnsi="楷体" w:eastAsia="楷体" w:cs="楷体"/>
          <w:bCs/>
          <w:snapToGrid/>
          <w:kern w:val="2"/>
          <w:sz w:val="32"/>
          <w:szCs w:val="32"/>
          <w:lang w:eastAsia="zh-CN" w:bidi="ar"/>
        </w:rPr>
        <w:t>一</w:t>
      </w:r>
      <w:r>
        <w:rPr>
          <w:rFonts w:hint="eastAsia" w:ascii="楷体" w:hAnsi="楷体" w:eastAsia="楷体" w:cs="楷体"/>
          <w:bCs/>
          <w:snapToGrid/>
          <w:kern w:val="2"/>
          <w:sz w:val="32"/>
          <w:szCs w:val="32"/>
          <w:lang w:bidi="ar"/>
        </w:rPr>
        <w:t>）总体绩效目标完成情况分析</w:t>
      </w:r>
      <w:r>
        <w:rPr>
          <w:rFonts w:hint="eastAsia" w:ascii="楷体" w:hAnsi="楷体" w:eastAsia="楷体" w:cs="楷体"/>
          <w:bCs/>
          <w:snapToGrid/>
          <w:kern w:val="2"/>
          <w:sz w:val="32"/>
          <w:szCs w:val="32"/>
          <w:lang w:eastAsia="zh-CN" w:bidi="ar"/>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cs="Arial"/>
          <w:snapToGrid w:val="0"/>
          <w:color w:val="000000"/>
          <w:sz w:val="32"/>
          <w:szCs w:val="32"/>
          <w:lang w:val="en-US" w:eastAsia="zh-Hans" w:bidi="ar"/>
        </w:rPr>
      </w:pPr>
      <w:r>
        <w:rPr>
          <w:rFonts w:hint="eastAsia" w:ascii="仿宋_GB2312" w:hAnsi="仿宋" w:eastAsia="仿宋_GB2312" w:cs="Arial"/>
          <w:snapToGrid w:val="0"/>
          <w:color w:val="000000"/>
          <w:sz w:val="32"/>
          <w:szCs w:val="32"/>
          <w:lang w:val="en-US" w:eastAsia="zh-CN" w:bidi="ar"/>
        </w:rPr>
        <w:t>随着中央转移支付医疗服务与保障能力提升补助资金（卫生健康人才培养）支持力度不断加大，住院医师能力得到大幅提升，2022年，</w:t>
      </w:r>
      <w:r>
        <w:rPr>
          <w:rFonts w:hint="eastAsia" w:ascii="仿宋_GB2312" w:hAnsi="仿宋_GB2312" w:eastAsia="仿宋_GB2312" w:cs="仿宋_GB2312"/>
          <w:snapToGrid w:val="0"/>
          <w:color w:val="auto"/>
          <w:sz w:val="32"/>
          <w:szCs w:val="32"/>
          <w:lang w:val="en-US" w:eastAsia="zh-CN" w:bidi="ar-SA"/>
        </w:rPr>
        <w:t>完成毕业后医学教育、临床药师培训、生物安全骨干人员培训、基层骨干人员培训等任务，</w:t>
      </w:r>
      <w:r>
        <w:rPr>
          <w:rFonts w:ascii="仿宋_GB2312" w:hAnsi="仿宋_GB2312" w:eastAsia="仿宋_GB2312" w:cs="仿宋_GB2312"/>
          <w:snapToGrid w:val="0"/>
          <w:color w:val="auto"/>
          <w:sz w:val="32"/>
          <w:szCs w:val="32"/>
          <w:lang w:val="en-US" w:eastAsia="zh-CN" w:bidi="ar-SA"/>
        </w:rPr>
        <w:t>进一步提升</w:t>
      </w:r>
      <w:r>
        <w:rPr>
          <w:rFonts w:hint="eastAsia" w:ascii="仿宋_GB2312" w:hAnsi="仿宋_GB2312" w:eastAsia="仿宋_GB2312" w:cs="仿宋_GB2312"/>
          <w:snapToGrid w:val="0"/>
          <w:color w:val="auto"/>
          <w:sz w:val="32"/>
          <w:szCs w:val="32"/>
          <w:lang w:val="en-US" w:eastAsia="zh-CN" w:bidi="ar-SA"/>
        </w:rPr>
        <w:t>北京市</w:t>
      </w:r>
      <w:r>
        <w:rPr>
          <w:rFonts w:ascii="仿宋_GB2312" w:hAnsi="仿宋_GB2312" w:eastAsia="仿宋_GB2312" w:cs="仿宋_GB2312"/>
          <w:snapToGrid w:val="0"/>
          <w:color w:val="auto"/>
          <w:sz w:val="32"/>
          <w:szCs w:val="32"/>
          <w:lang w:val="en-US" w:eastAsia="zh-CN" w:bidi="ar-SA"/>
        </w:rPr>
        <w:t>卫生健康人才综合服务能力，为基层培养一支留得住、</w:t>
      </w:r>
      <w:r>
        <w:rPr>
          <w:rFonts w:hint="eastAsia" w:ascii="仿宋_GB2312" w:hAnsi="仿宋_GB2312" w:eastAsia="仿宋_GB2312" w:cs="仿宋_GB2312"/>
          <w:snapToGrid w:val="0"/>
          <w:color w:val="auto"/>
          <w:sz w:val="32"/>
          <w:szCs w:val="32"/>
          <w:lang w:val="en-US" w:eastAsia="zh-CN" w:bidi="ar-SA"/>
        </w:rPr>
        <w:t>用得上</w:t>
      </w:r>
      <w:r>
        <w:rPr>
          <w:rFonts w:ascii="仿宋_GB2312" w:hAnsi="仿宋_GB2312" w:eastAsia="仿宋_GB2312" w:cs="仿宋_GB2312"/>
          <w:snapToGrid w:val="0"/>
          <w:color w:val="auto"/>
          <w:sz w:val="32"/>
          <w:szCs w:val="32"/>
          <w:lang w:val="en-US" w:eastAsia="zh-CN" w:bidi="ar-SA"/>
        </w:rPr>
        <w:t>、临床医疗技术基本功扎实、掌握相关临床适宜技术，满足当地居民基本医疗服务需求的医疗队伍，培训坚持以需求为导向，培训基层常用、常见的实用技术，重点提高岗位胜任能力。培训对基层卫生人才队伍建设、临床服务开展等方面产生了较强影响，培训对象和用人单位均对该培训项目具有很高的认可度和满意度，患者也从中获益</w:t>
      </w:r>
      <w:r>
        <w:rPr>
          <w:rFonts w:hint="eastAsia" w:ascii="仿宋_GB2312" w:hAnsi="仿宋_GB2312" w:eastAsia="仿宋_GB2312" w:cs="Arial"/>
          <w:snapToGrid w:val="0"/>
          <w:color w:val="000000"/>
          <w:sz w:val="32"/>
          <w:szCs w:val="32"/>
          <w:lang w:val="en-US" w:eastAsia="zh-CN" w:bidi="ar"/>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snapToGrid/>
          <w:kern w:val="2"/>
          <w:sz w:val="32"/>
          <w:szCs w:val="32"/>
          <w:lang w:eastAsia="zh-CN" w:bidi="ar"/>
        </w:rPr>
      </w:pPr>
      <w:r>
        <w:rPr>
          <w:rFonts w:hint="eastAsia" w:ascii="楷体" w:hAnsi="楷体" w:eastAsia="楷体" w:cs="楷体"/>
          <w:bCs/>
          <w:snapToGrid/>
          <w:kern w:val="2"/>
          <w:sz w:val="32"/>
          <w:szCs w:val="32"/>
          <w:lang w:bidi="ar"/>
        </w:rPr>
        <w:t>（</w:t>
      </w:r>
      <w:r>
        <w:rPr>
          <w:rFonts w:hint="eastAsia" w:ascii="楷体" w:hAnsi="楷体" w:eastAsia="楷体" w:cs="楷体"/>
          <w:bCs/>
          <w:snapToGrid/>
          <w:kern w:val="2"/>
          <w:sz w:val="32"/>
          <w:szCs w:val="32"/>
          <w:lang w:eastAsia="zh-CN" w:bidi="ar"/>
        </w:rPr>
        <w:t>二</w:t>
      </w:r>
      <w:r>
        <w:rPr>
          <w:rFonts w:hint="eastAsia" w:ascii="楷体" w:hAnsi="楷体" w:eastAsia="楷体" w:cs="楷体"/>
          <w:bCs/>
          <w:snapToGrid/>
          <w:kern w:val="2"/>
          <w:sz w:val="32"/>
          <w:szCs w:val="32"/>
          <w:lang w:bidi="ar"/>
        </w:rPr>
        <w:t>）绩效指标完成情况分析</w:t>
      </w:r>
      <w:r>
        <w:rPr>
          <w:rFonts w:hint="eastAsia" w:ascii="楷体" w:hAnsi="楷体" w:eastAsia="楷体" w:cs="楷体"/>
          <w:bCs/>
          <w:snapToGrid/>
          <w:kern w:val="2"/>
          <w:sz w:val="32"/>
          <w:szCs w:val="32"/>
          <w:lang w:eastAsia="zh-CN" w:bidi="ar"/>
        </w:rPr>
        <w:t>。</w:t>
      </w:r>
    </w:p>
    <w:p>
      <w:pPr>
        <w:keepNext w:val="0"/>
        <w:keepLines w:val="0"/>
        <w:pageBreakBefore w:val="0"/>
        <w:widowControl/>
        <w:wordWrap/>
        <w:overflowPunct/>
        <w:topLinePunct w:val="0"/>
        <w:bidi w:val="0"/>
        <w:spacing w:line="560" w:lineRule="exact"/>
        <w:ind w:firstLine="640" w:firstLineChars="200"/>
        <w:jc w:val="both"/>
        <w:rPr>
          <w:rFonts w:ascii="仿宋_GB2312" w:hAnsi="仿宋_GB2312" w:eastAsia="仿宋_GB2312" w:cs="仿宋_GB2312"/>
          <w:b w:val="0"/>
          <w:bCs/>
          <w:sz w:val="32"/>
          <w:szCs w:val="32"/>
          <w:lang w:eastAsia="zh-Hans"/>
        </w:rPr>
      </w:pPr>
      <w:r>
        <w:rPr>
          <w:rFonts w:hint="eastAsia" w:ascii="仿宋_GB2312" w:hAnsi="仿宋_GB2312" w:eastAsia="仿宋_GB2312" w:cs="仿宋_GB2312"/>
          <w:b w:val="0"/>
          <w:bCs/>
          <w:sz w:val="32"/>
          <w:szCs w:val="32"/>
          <w:lang w:eastAsia="zh-Hans"/>
        </w:rPr>
        <w:t>1.产出指标完成情况分析</w:t>
      </w:r>
    </w:p>
    <w:p>
      <w:pPr>
        <w:pStyle w:val="3"/>
        <w:keepNext w:val="0"/>
        <w:keepLines w:val="0"/>
        <w:pageBreakBefore w:val="0"/>
        <w:widowControl/>
        <w:wordWrap/>
        <w:overflowPunct/>
        <w:topLinePunct w:val="0"/>
        <w:bidi w:val="0"/>
        <w:spacing w:after="0" w:line="560" w:lineRule="exact"/>
        <w:ind w:firstLine="640" w:firstLineChars="200"/>
        <w:rPr>
          <w:rFonts w:ascii="仿宋_GB2312" w:hAnsi="仿宋_GB2312" w:eastAsia="仿宋_GB2312" w:cs="仿宋_GB2312"/>
          <w:color w:val="FF0000"/>
          <w:sz w:val="32"/>
          <w:szCs w:val="32"/>
          <w:lang w:eastAsia="zh-Hans" w:bidi="ar"/>
        </w:rPr>
      </w:pPr>
      <w:r>
        <w:rPr>
          <w:rFonts w:hint="eastAsia" w:ascii="仿宋_GB2312" w:hAnsi="仿宋_GB2312" w:eastAsia="仿宋_GB2312" w:cs="仿宋_GB2312"/>
          <w:sz w:val="32"/>
          <w:szCs w:val="32"/>
          <w:lang w:eastAsia="zh-Hans" w:bidi="ar"/>
        </w:rPr>
        <w:t>（1）数量指标</w:t>
      </w:r>
    </w:p>
    <w:p>
      <w:pPr>
        <w:keepNext w:val="0"/>
        <w:keepLines w:val="0"/>
        <w:pageBreakBefore w:val="0"/>
        <w:widowControl/>
        <w:wordWrap/>
        <w:overflowPunct/>
        <w:topLinePunct w:val="0"/>
        <w:bidi w:val="0"/>
        <w:spacing w:line="560" w:lineRule="exact"/>
        <w:ind w:firstLine="640" w:firstLineChars="200"/>
        <w:jc w:val="both"/>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2022年北京市中央转移支付医疗服务与保障能力提升补助资金（卫生健康人才培养）</w:t>
      </w:r>
      <w:r>
        <w:rPr>
          <w:rFonts w:hint="eastAsia" w:ascii="仿宋_GB2312" w:hAnsi="仿宋" w:eastAsia="仿宋_GB2312" w:cs="仿宋_GB2312"/>
          <w:sz w:val="32"/>
          <w:szCs w:val="32"/>
          <w:lang w:eastAsia="zh-Hans" w:bidi="ar"/>
        </w:rPr>
        <w:t>项目</w:t>
      </w:r>
      <w:r>
        <w:rPr>
          <w:rFonts w:hint="eastAsia" w:ascii="仿宋_GB2312" w:hAnsi="仿宋" w:eastAsia="仿宋_GB2312"/>
          <w:sz w:val="32"/>
          <w:szCs w:val="32"/>
          <w:lang w:bidi="ar"/>
        </w:rPr>
        <w:t>设定的产出数量指标共5项，已全部完成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1</w:t>
      </w:r>
      <w:r>
        <w:rPr>
          <w:rFonts w:ascii="仿宋_GB2312" w:hAnsi="仿宋" w:eastAsia="仿宋_GB2312"/>
          <w:sz w:val="32"/>
          <w:szCs w:val="32"/>
          <w:lang w:eastAsia="zh-Hans" w:bidi="ar"/>
        </w:rPr>
        <w:t>：</w:t>
      </w:r>
    </w:p>
    <w:p>
      <w:pPr>
        <w:pStyle w:val="3"/>
        <w:widowControl w:val="0"/>
        <w:kinsoku/>
        <w:autoSpaceDE/>
        <w:autoSpaceDN/>
        <w:adjustRightInd/>
        <w:snapToGrid/>
        <w:spacing w:after="0" w:line="240" w:lineRule="auto"/>
        <w:jc w:val="center"/>
        <w:textAlignment w:val="auto"/>
        <w:rPr>
          <w:lang w:eastAsia="zh-Hans"/>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1</w:t>
      </w:r>
      <w:r>
        <w:rPr>
          <w:rFonts w:hint="eastAsia" w:ascii="仿宋_GB2312" w:hAnsi="仿宋_GB2312" w:eastAsia="仿宋_GB2312" w:cs="仿宋_GB2312"/>
          <w:snapToGrid/>
          <w:kern w:val="2"/>
          <w:sz w:val="28"/>
          <w:szCs w:val="28"/>
        </w:rPr>
        <w:t>：产出数量指标完成情况表</w:t>
      </w:r>
    </w:p>
    <w:tbl>
      <w:tblPr>
        <w:tblStyle w:val="10"/>
        <w:tblW w:w="8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224"/>
        <w:gridCol w:w="2971"/>
        <w:gridCol w:w="1660"/>
        <w:gridCol w:w="1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blHeader/>
          <w:jc w:val="center"/>
        </w:trPr>
        <w:tc>
          <w:tcPr>
            <w:tcW w:w="83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序号</w:t>
            </w:r>
          </w:p>
        </w:tc>
        <w:tc>
          <w:tcPr>
            <w:tcW w:w="122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指标类型</w:t>
            </w:r>
          </w:p>
        </w:tc>
        <w:tc>
          <w:tcPr>
            <w:tcW w:w="297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三级指标</w:t>
            </w:r>
          </w:p>
        </w:tc>
        <w:tc>
          <w:tcPr>
            <w:tcW w:w="166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指标值</w:t>
            </w:r>
          </w:p>
        </w:tc>
        <w:tc>
          <w:tcPr>
            <w:tcW w:w="1616"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rPr>
            </w:pPr>
            <w:r>
              <w:rPr>
                <w:rFonts w:hint="eastAsia" w:ascii="宋体" w:hAnsi="宋体" w:eastAsia="宋体" w:cs="宋体"/>
                <w:sz w:val="20"/>
                <w:szCs w:val="20"/>
                <w:lang w:bidi="ar"/>
              </w:rPr>
              <w:t>1</w:t>
            </w:r>
          </w:p>
        </w:tc>
        <w:tc>
          <w:tcPr>
            <w:tcW w:w="122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宋体" w:hAnsi="宋体" w:eastAsia="宋体" w:cs="宋体"/>
                <w:sz w:val="20"/>
                <w:szCs w:val="20"/>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lang w:bidi="ar"/>
              </w:rPr>
              <w:t>住院医师规范化培训招收完成率</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lang w:bidi="ar"/>
              </w:rPr>
              <w:t>≥90%</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lang w:bidi="ar"/>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2</w:t>
            </w:r>
          </w:p>
        </w:tc>
        <w:tc>
          <w:tcPr>
            <w:tcW w:w="122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住院医师规范化培训项目紧缺专业招收完成率</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≥80%</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3</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专科医师规范化培训招收完成率</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≥80%</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4</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紧缺人才培训招收完成率</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≥80%</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5</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县乡村卫生人才能力提升培训招收完成率</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≥80%</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98%</w:t>
            </w:r>
          </w:p>
        </w:tc>
      </w:tr>
    </w:tbl>
    <w:p>
      <w:pPr>
        <w:pStyle w:val="3"/>
        <w:spacing w:after="0" w:line="640" w:lineRule="exact"/>
        <w:ind w:firstLine="720" w:firstLineChars="200"/>
        <w:rPr>
          <w:rFonts w:ascii="仿宋_GB2312" w:hAnsi="仿宋_GB2312" w:eastAsia="仿宋_GB2312" w:cs="仿宋_GB2312"/>
          <w:sz w:val="36"/>
          <w:szCs w:val="36"/>
          <w:lang w:eastAsia="zh-Hans" w:bidi="ar"/>
        </w:rPr>
      </w:pPr>
    </w:p>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_GB2312" w:eastAsia="仿宋_GB2312" w:cs="仿宋_GB2312"/>
          <w:sz w:val="32"/>
          <w:szCs w:val="32"/>
          <w:lang w:eastAsia="zh-Hans" w:bidi="ar"/>
        </w:rPr>
      </w:pPr>
      <w:r>
        <w:rPr>
          <w:rFonts w:ascii="仿宋_GB2312" w:hAnsi="仿宋_GB2312" w:eastAsia="仿宋_GB2312" w:cs="仿宋_GB2312"/>
          <w:sz w:val="32"/>
          <w:szCs w:val="32"/>
          <w:lang w:eastAsia="zh-Hans" w:bidi="ar"/>
        </w:rPr>
        <w:t>（2）</w:t>
      </w:r>
      <w:r>
        <w:rPr>
          <w:rFonts w:hint="eastAsia" w:ascii="仿宋_GB2312" w:hAnsi="仿宋_GB2312" w:eastAsia="仿宋_GB2312" w:cs="仿宋_GB2312"/>
          <w:sz w:val="32"/>
          <w:szCs w:val="32"/>
          <w:lang w:eastAsia="zh-Hans" w:bidi="ar"/>
        </w:rPr>
        <w:t>质量指标</w:t>
      </w:r>
    </w:p>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2022年北京市中央转移支付医疗服务与保障能力提升补助资金（卫生健康人才培养）项目设定的</w:t>
      </w:r>
      <w:r>
        <w:rPr>
          <w:rFonts w:hint="eastAsia" w:ascii="仿宋_GB2312" w:hAnsi="仿宋" w:eastAsia="仿宋_GB2312"/>
          <w:sz w:val="32"/>
          <w:szCs w:val="32"/>
          <w:lang w:eastAsia="zh-Hans" w:bidi="ar"/>
        </w:rPr>
        <w:t>质量</w:t>
      </w:r>
      <w:r>
        <w:rPr>
          <w:rFonts w:hint="eastAsia" w:ascii="仿宋_GB2312" w:hAnsi="仿宋" w:eastAsia="仿宋_GB2312"/>
          <w:sz w:val="32"/>
          <w:szCs w:val="32"/>
          <w:lang w:bidi="ar"/>
        </w:rPr>
        <w:t>指标共1项，已全部完成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2</w:t>
      </w:r>
      <w:r>
        <w:rPr>
          <w:rFonts w:ascii="仿宋_GB2312" w:hAnsi="仿宋" w:eastAsia="仿宋_GB2312"/>
          <w:sz w:val="32"/>
          <w:szCs w:val="32"/>
          <w:lang w:eastAsia="zh-Hans" w:bidi="ar"/>
        </w:rPr>
        <w:t>：</w:t>
      </w:r>
    </w:p>
    <w:p>
      <w:pPr>
        <w:pStyle w:val="3"/>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2</w:t>
      </w:r>
      <w:r>
        <w:rPr>
          <w:rFonts w:hint="eastAsia" w:ascii="仿宋_GB2312" w:hAnsi="仿宋_GB2312" w:eastAsia="仿宋_GB2312" w:cs="仿宋_GB2312"/>
          <w:snapToGrid/>
          <w:kern w:val="2"/>
          <w:sz w:val="28"/>
          <w:szCs w:val="28"/>
        </w:rPr>
        <w:t>：产出质量指标完成情况表</w:t>
      </w:r>
    </w:p>
    <w:tbl>
      <w:tblPr>
        <w:tblStyle w:val="10"/>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1233"/>
        <w:gridCol w:w="3000"/>
        <w:gridCol w:w="1630"/>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blHeader/>
          <w:jc w:val="center"/>
        </w:trPr>
        <w:tc>
          <w:tcPr>
            <w:tcW w:w="85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序号</w:t>
            </w:r>
          </w:p>
        </w:tc>
        <w:tc>
          <w:tcPr>
            <w:tcW w:w="1233"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指标类型</w:t>
            </w:r>
          </w:p>
        </w:tc>
        <w:tc>
          <w:tcPr>
            <w:tcW w:w="300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三级指标</w:t>
            </w:r>
          </w:p>
        </w:tc>
        <w:tc>
          <w:tcPr>
            <w:tcW w:w="163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指标值</w:t>
            </w:r>
          </w:p>
        </w:tc>
        <w:tc>
          <w:tcPr>
            <w:tcW w:w="165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bidi="ar"/>
              </w:rPr>
              <w:t>1</w:t>
            </w:r>
          </w:p>
        </w:tc>
        <w:tc>
          <w:tcPr>
            <w:tcW w:w="1233"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rPr>
            </w:pPr>
            <w:r>
              <w:rPr>
                <w:rFonts w:hint="eastAsia" w:ascii="宋体" w:hAnsi="宋体" w:eastAsia="宋体" w:cs="宋体"/>
                <w:sz w:val="20"/>
                <w:szCs w:val="20"/>
                <w:lang w:bidi="ar"/>
              </w:rPr>
              <w:t>住院医师规范化培训结业考试通过率</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rPr>
            </w:pPr>
            <w:r>
              <w:rPr>
                <w:rFonts w:hint="eastAsia" w:ascii="宋体" w:hAnsi="宋体" w:eastAsia="宋体" w:cs="宋体"/>
                <w:sz w:val="20"/>
                <w:szCs w:val="20"/>
                <w:lang w:bidi="ar"/>
              </w:rPr>
              <w:t>≥80%</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rPr>
            </w:pPr>
            <w:r>
              <w:rPr>
                <w:rFonts w:hint="eastAsia" w:ascii="宋体" w:hAnsi="宋体" w:eastAsia="宋体" w:cs="宋体"/>
                <w:sz w:val="20"/>
                <w:szCs w:val="20"/>
                <w:lang w:bidi="ar"/>
              </w:rPr>
              <w:t>91.30%</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 w:val="0"/>
          <w:bCs/>
          <w:sz w:val="32"/>
          <w:szCs w:val="32"/>
          <w:lang w:eastAsia="zh-Hans"/>
        </w:rPr>
      </w:pPr>
      <w:r>
        <w:rPr>
          <w:rFonts w:hint="eastAsia" w:ascii="仿宋_GB2312" w:hAnsi="仿宋_GB2312" w:eastAsia="仿宋_GB2312" w:cs="仿宋_GB2312"/>
          <w:b w:val="0"/>
          <w:bCs/>
          <w:sz w:val="32"/>
          <w:szCs w:val="32"/>
          <w:lang w:eastAsia="zh-Hans"/>
        </w:rPr>
        <w:t>2.效益指标完成情况分析</w:t>
      </w:r>
    </w:p>
    <w:p>
      <w:pPr>
        <w:pStyle w:val="3"/>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2022年北京市中央转移支付医疗服务与保障能力提升补助资金（卫生健康人才培养）项目设定的社会</w:t>
      </w:r>
      <w:r>
        <w:rPr>
          <w:rFonts w:hint="eastAsia" w:ascii="仿宋_GB2312" w:hAnsi="仿宋" w:eastAsia="仿宋_GB2312"/>
          <w:sz w:val="32"/>
          <w:szCs w:val="32"/>
          <w:lang w:eastAsia="zh-Hans" w:bidi="ar"/>
        </w:rPr>
        <w:t>效益</w:t>
      </w:r>
      <w:r>
        <w:rPr>
          <w:rFonts w:hint="eastAsia" w:ascii="仿宋_GB2312" w:hAnsi="仿宋" w:eastAsia="仿宋_GB2312"/>
          <w:sz w:val="32"/>
          <w:szCs w:val="32"/>
          <w:lang w:bidi="ar"/>
        </w:rPr>
        <w:t>指标共1项，已全部完成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bidi="ar"/>
        </w:rPr>
        <w:t>5</w:t>
      </w:r>
      <w:r>
        <w:rPr>
          <w:rFonts w:ascii="仿宋_GB2312" w:hAnsi="仿宋" w:eastAsia="仿宋_GB2312"/>
          <w:sz w:val="32"/>
          <w:szCs w:val="32"/>
          <w:lang w:eastAsia="zh-Hans" w:bidi="ar"/>
        </w:rPr>
        <w:t>：</w:t>
      </w:r>
    </w:p>
    <w:p>
      <w:pPr>
        <w:pStyle w:val="3"/>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表5：社会效益指标完成情况表</w:t>
      </w:r>
    </w:p>
    <w:tbl>
      <w:tblPr>
        <w:tblStyle w:val="1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1233"/>
        <w:gridCol w:w="2891"/>
        <w:gridCol w:w="1630"/>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blHeader/>
          <w:jc w:val="center"/>
        </w:trPr>
        <w:tc>
          <w:tcPr>
            <w:tcW w:w="96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序号</w:t>
            </w:r>
          </w:p>
        </w:tc>
        <w:tc>
          <w:tcPr>
            <w:tcW w:w="1233"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指标类型</w:t>
            </w:r>
          </w:p>
        </w:tc>
        <w:tc>
          <w:tcPr>
            <w:tcW w:w="289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三级指标</w:t>
            </w:r>
          </w:p>
        </w:tc>
        <w:tc>
          <w:tcPr>
            <w:tcW w:w="163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指标值</w:t>
            </w:r>
          </w:p>
        </w:tc>
        <w:tc>
          <w:tcPr>
            <w:tcW w:w="173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1</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社会效益</w:t>
            </w:r>
            <w:r>
              <w:rPr>
                <w:rFonts w:hint="eastAsia" w:ascii="宋体" w:hAnsi="宋体" w:eastAsia="宋体" w:cs="宋体"/>
                <w:bCs/>
                <w:sz w:val="20"/>
                <w:szCs w:val="20"/>
                <w:lang w:eastAsia="zh-Hans" w:bidi="ar"/>
              </w:rPr>
              <w:t>指标</w:t>
            </w:r>
          </w:p>
        </w:tc>
        <w:tc>
          <w:tcPr>
            <w:tcW w:w="289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bCs/>
                <w:sz w:val="20"/>
                <w:szCs w:val="20"/>
                <w:lang w:bidi="ar"/>
              </w:rPr>
            </w:pPr>
            <w:r>
              <w:rPr>
                <w:rFonts w:hint="eastAsia" w:ascii="宋体" w:hAnsi="宋体" w:eastAsia="宋体" w:cs="宋体"/>
                <w:sz w:val="20"/>
                <w:szCs w:val="20"/>
                <w:lang w:bidi="ar"/>
              </w:rPr>
              <w:t>参培住院医师业务水平</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bCs/>
                <w:sz w:val="20"/>
                <w:szCs w:val="20"/>
                <w:lang w:eastAsia="zh-Hans" w:bidi="ar"/>
              </w:rPr>
            </w:pPr>
            <w:r>
              <w:rPr>
                <w:rFonts w:hint="eastAsia" w:ascii="宋体" w:hAnsi="宋体" w:eastAsia="宋体" w:cs="宋体"/>
                <w:sz w:val="20"/>
                <w:szCs w:val="20"/>
                <w:lang w:bidi="ar"/>
              </w:rPr>
              <w:t>大幅提高</w:t>
            </w:r>
          </w:p>
        </w:tc>
        <w:tc>
          <w:tcPr>
            <w:tcW w:w="17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bCs/>
                <w:sz w:val="20"/>
                <w:szCs w:val="20"/>
                <w:lang w:eastAsia="zh-Hans" w:bidi="ar"/>
              </w:rPr>
            </w:pPr>
            <w:r>
              <w:rPr>
                <w:rFonts w:hint="eastAsia" w:ascii="宋体" w:hAnsi="宋体" w:eastAsia="宋体" w:cs="宋体"/>
                <w:sz w:val="20"/>
                <w:szCs w:val="20"/>
                <w:lang w:bidi="ar"/>
              </w:rPr>
              <w:t>大幅提高</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 w:val="0"/>
          <w:bCs/>
          <w:sz w:val="32"/>
          <w:szCs w:val="32"/>
          <w:lang w:eastAsia="zh-Hans"/>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b w:val="0"/>
          <w:bCs/>
          <w:sz w:val="32"/>
          <w:szCs w:val="32"/>
          <w:lang w:eastAsia="zh-Hans"/>
        </w:rPr>
        <w:t>.</w:t>
      </w:r>
      <w:r>
        <w:rPr>
          <w:rFonts w:hint="eastAsia" w:ascii="仿宋_GB2312" w:hAnsi="仿宋_GB2312" w:eastAsia="仿宋_GB2312" w:cs="仿宋_GB2312"/>
          <w:b w:val="0"/>
          <w:bCs/>
          <w:sz w:val="32"/>
          <w:szCs w:val="32"/>
        </w:rPr>
        <w:t>服务对象满意度</w:t>
      </w:r>
      <w:r>
        <w:rPr>
          <w:rFonts w:hint="eastAsia" w:ascii="仿宋_GB2312" w:hAnsi="仿宋_GB2312" w:eastAsia="仿宋_GB2312" w:cs="仿宋_GB2312"/>
          <w:b w:val="0"/>
          <w:bCs/>
          <w:sz w:val="32"/>
          <w:szCs w:val="32"/>
          <w:lang w:eastAsia="zh-Hans"/>
        </w:rPr>
        <w:t>指标完成情况分析</w:t>
      </w:r>
    </w:p>
    <w:p>
      <w:pPr>
        <w:pStyle w:val="3"/>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sz w:val="36"/>
          <w:szCs w:val="36"/>
          <w:lang w:eastAsia="zh-Hans" w:bidi="ar"/>
        </w:rPr>
      </w:pPr>
      <w:r>
        <w:rPr>
          <w:rFonts w:hint="eastAsia" w:ascii="仿宋_GB2312" w:hAnsi="仿宋" w:eastAsia="仿宋_GB2312"/>
          <w:sz w:val="32"/>
          <w:szCs w:val="32"/>
          <w:lang w:bidi="ar"/>
        </w:rPr>
        <w:t>2022年北京市中央转移支付医疗服务与保障能力提升补助资金（卫生健康人才培养）项目设定的</w:t>
      </w:r>
      <w:r>
        <w:rPr>
          <w:rFonts w:hint="eastAsia" w:ascii="仿宋_GB2312" w:hAnsi="仿宋_GB2312" w:eastAsia="仿宋_GB2312" w:cs="仿宋_GB2312"/>
          <w:sz w:val="32"/>
          <w:szCs w:val="32"/>
        </w:rPr>
        <w:t>服务对象满意度</w:t>
      </w:r>
      <w:r>
        <w:rPr>
          <w:rFonts w:hint="eastAsia" w:ascii="仿宋_GB2312" w:hAnsi="仿宋" w:eastAsia="仿宋_GB2312"/>
          <w:sz w:val="32"/>
          <w:szCs w:val="32"/>
          <w:lang w:bidi="ar"/>
        </w:rPr>
        <w:t>共1项，已全部完成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bidi="ar"/>
        </w:rPr>
        <w:t>6</w:t>
      </w:r>
      <w:r>
        <w:rPr>
          <w:rFonts w:ascii="仿宋_GB2312" w:hAnsi="仿宋" w:eastAsia="仿宋_GB2312"/>
          <w:sz w:val="32"/>
          <w:szCs w:val="32"/>
          <w:lang w:eastAsia="zh-Hans" w:bidi="ar"/>
        </w:rPr>
        <w:t>：</w:t>
      </w:r>
    </w:p>
    <w:p>
      <w:pPr>
        <w:pStyle w:val="3"/>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表5：社会效益指标完成情况表</w:t>
      </w:r>
    </w:p>
    <w:tbl>
      <w:tblPr>
        <w:tblStyle w:val="1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1774"/>
        <w:gridCol w:w="2350"/>
        <w:gridCol w:w="1630"/>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blHeader/>
          <w:jc w:val="center"/>
        </w:trPr>
        <w:tc>
          <w:tcPr>
            <w:tcW w:w="96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序号</w:t>
            </w:r>
          </w:p>
        </w:tc>
        <w:tc>
          <w:tcPr>
            <w:tcW w:w="177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指标类型</w:t>
            </w:r>
          </w:p>
        </w:tc>
        <w:tc>
          <w:tcPr>
            <w:tcW w:w="235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三级指标</w:t>
            </w:r>
          </w:p>
        </w:tc>
        <w:tc>
          <w:tcPr>
            <w:tcW w:w="163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指标值</w:t>
            </w:r>
          </w:p>
        </w:tc>
        <w:tc>
          <w:tcPr>
            <w:tcW w:w="173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1</w:t>
            </w:r>
          </w:p>
        </w:tc>
        <w:tc>
          <w:tcPr>
            <w:tcW w:w="177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bCs/>
                <w:sz w:val="20"/>
                <w:szCs w:val="20"/>
                <w:lang w:bidi="ar"/>
              </w:rPr>
            </w:pPr>
            <w:r>
              <w:rPr>
                <w:rFonts w:hint="eastAsia" w:ascii="宋体" w:hAnsi="宋体" w:eastAsia="宋体" w:cs="宋体"/>
                <w:sz w:val="20"/>
                <w:szCs w:val="20"/>
                <w:lang w:bidi="ar"/>
              </w:rPr>
              <w:t>服务对象满意度指标</w:t>
            </w:r>
          </w:p>
        </w:tc>
        <w:tc>
          <w:tcPr>
            <w:tcW w:w="23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bCs/>
                <w:sz w:val="20"/>
                <w:szCs w:val="20"/>
                <w:lang w:bidi="ar"/>
              </w:rPr>
            </w:pPr>
            <w:r>
              <w:rPr>
                <w:rFonts w:hint="eastAsia" w:ascii="宋体" w:hAnsi="宋体" w:eastAsia="宋体" w:cs="宋体"/>
                <w:sz w:val="20"/>
                <w:szCs w:val="20"/>
                <w:lang w:bidi="ar"/>
              </w:rPr>
              <w:t>参培学员满意度</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bCs/>
                <w:sz w:val="20"/>
                <w:szCs w:val="20"/>
                <w:lang w:eastAsia="zh-Hans" w:bidi="ar"/>
              </w:rPr>
            </w:pPr>
            <w:r>
              <w:rPr>
                <w:rFonts w:hint="eastAsia" w:ascii="宋体" w:hAnsi="宋体" w:eastAsia="宋体" w:cs="宋体"/>
                <w:sz w:val="20"/>
                <w:szCs w:val="20"/>
                <w:lang w:bidi="ar"/>
              </w:rPr>
              <w:t>≥80%</w:t>
            </w:r>
          </w:p>
        </w:tc>
        <w:tc>
          <w:tcPr>
            <w:tcW w:w="17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bCs/>
                <w:sz w:val="20"/>
                <w:szCs w:val="20"/>
                <w:lang w:eastAsia="zh-Hans" w:bidi="ar"/>
              </w:rPr>
            </w:pPr>
            <w:r>
              <w:rPr>
                <w:rFonts w:hint="eastAsia" w:ascii="宋体" w:hAnsi="宋体" w:eastAsia="宋体" w:cs="宋体"/>
                <w:sz w:val="20"/>
                <w:szCs w:val="20"/>
                <w:lang w:bidi="ar"/>
              </w:rPr>
              <w:t>90%</w:t>
            </w:r>
          </w:p>
        </w:tc>
      </w:tr>
    </w:tbl>
    <w:p>
      <w:pPr>
        <w:keepNext w:val="0"/>
        <w:keepLines w:val="0"/>
        <w:pageBreakBefore w:val="0"/>
        <w:wordWrap/>
        <w:overflowPunct/>
        <w:topLinePunct w:val="0"/>
        <w:bidi w:val="0"/>
        <w:spacing w:line="560" w:lineRule="exact"/>
        <w:ind w:firstLine="628" w:firstLineChars="200"/>
        <w:jc w:val="both"/>
        <w:outlineLvl w:val="1"/>
        <w:rPr>
          <w:rFonts w:hint="eastAsia" w:ascii="黑体" w:hAnsi="黑体" w:eastAsia="黑体" w:cs="黑体"/>
          <w:sz w:val="32"/>
          <w:szCs w:val="32"/>
          <w:lang w:eastAsia="zh-CN"/>
        </w:rPr>
      </w:pPr>
      <w:r>
        <w:rPr>
          <w:rFonts w:ascii="黑体" w:hAnsi="黑体" w:eastAsia="黑体" w:cs="黑体"/>
          <w:bCs/>
          <w:spacing w:val="-3"/>
          <w:sz w:val="32"/>
          <w:szCs w:val="32"/>
        </w:rPr>
        <w:t>三、</w:t>
      </w:r>
      <w:r>
        <w:rPr>
          <w:rFonts w:ascii="黑体" w:hAnsi="黑体" w:eastAsia="黑体" w:cs="黑体"/>
          <w:spacing w:val="-55"/>
          <w:sz w:val="32"/>
          <w:szCs w:val="32"/>
        </w:rPr>
        <w:t xml:space="preserve"> </w:t>
      </w:r>
      <w:r>
        <w:rPr>
          <w:rFonts w:hint="eastAsia" w:ascii="黑体" w:hAnsi="黑体" w:eastAsia="黑体" w:cs="黑体"/>
          <w:bCs/>
          <w:spacing w:val="-3"/>
          <w:sz w:val="32"/>
          <w:szCs w:val="32"/>
          <w:lang w:eastAsia="zh-CN"/>
        </w:rPr>
        <w:t>绩效自评结论</w:t>
      </w:r>
    </w:p>
    <w:p>
      <w:pPr>
        <w:keepNext w:val="0"/>
        <w:keepLines w:val="0"/>
        <w:pageBreakBefore w:val="0"/>
        <w:wordWrap/>
        <w:overflowPunct/>
        <w:topLinePunct w:val="0"/>
        <w:bidi w:val="0"/>
        <w:spacing w:line="560" w:lineRule="exact"/>
        <w:ind w:firstLine="640" w:firstLineChars="200"/>
        <w:rPr>
          <w:sz w:val="32"/>
          <w:szCs w:val="32"/>
        </w:rPr>
      </w:pPr>
      <w:r>
        <w:rPr>
          <w:rFonts w:hint="eastAsia" w:ascii="仿宋_GB2312" w:hAnsi="仿宋_GB2312" w:eastAsia="仿宋_GB2312" w:cs="仿宋_GB2312"/>
          <w:bCs/>
          <w:snapToGrid/>
          <w:kern w:val="2"/>
          <w:sz w:val="32"/>
          <w:szCs w:val="32"/>
          <w:lang w:val="en-US" w:eastAsia="zh-CN" w:bidi="ar"/>
        </w:rPr>
        <w:t>根据本次绩效自评工作结果，本项目</w:t>
      </w:r>
      <w:r>
        <w:rPr>
          <w:rFonts w:hint="eastAsia" w:ascii="仿宋_GB2312" w:hAnsi="仿宋_GB2312" w:eastAsia="仿宋_GB2312" w:cs="仿宋_GB2312"/>
          <w:bCs/>
          <w:snapToGrid/>
          <w:kern w:val="2"/>
          <w:sz w:val="32"/>
          <w:szCs w:val="32"/>
          <w:lang w:eastAsia="zh-CN" w:bidi="ar"/>
        </w:rPr>
        <w:t>共设置</w:t>
      </w:r>
      <w:r>
        <w:rPr>
          <w:rFonts w:hint="eastAsia" w:ascii="仿宋_GB2312" w:hAnsi="仿宋_GB2312" w:eastAsia="仿宋_GB2312" w:cs="仿宋_GB2312"/>
          <w:bCs/>
          <w:snapToGrid/>
          <w:kern w:val="2"/>
          <w:sz w:val="32"/>
          <w:szCs w:val="32"/>
          <w:lang w:val="en-US" w:eastAsia="zh-CN" w:bidi="ar"/>
        </w:rPr>
        <w:t>8项年度绩效</w:t>
      </w:r>
      <w:r>
        <w:rPr>
          <w:rFonts w:hint="eastAsia" w:ascii="仿宋_GB2312" w:hAnsi="仿宋_GB2312" w:eastAsia="仿宋_GB2312" w:cs="仿宋_GB2312"/>
          <w:bCs/>
          <w:snapToGrid/>
          <w:kern w:val="2"/>
          <w:sz w:val="32"/>
          <w:szCs w:val="32"/>
          <w:lang w:eastAsia="zh-CN" w:bidi="ar"/>
        </w:rPr>
        <w:t>指标</w:t>
      </w:r>
      <w:r>
        <w:rPr>
          <w:rFonts w:hint="eastAsia" w:ascii="仿宋_GB2312" w:hAnsi="仿宋_GB2312" w:eastAsia="仿宋_GB2312" w:cs="仿宋_GB2312"/>
          <w:bCs/>
          <w:snapToGrid/>
          <w:kern w:val="2"/>
          <w:sz w:val="32"/>
          <w:szCs w:val="32"/>
          <w:lang w:val="en-US" w:eastAsia="zh-CN" w:bidi="ar"/>
        </w:rPr>
        <w:t>，均已实现年初目标值，项目实施取得了较好社会经济效益，</w:t>
      </w:r>
      <w:r>
        <w:rPr>
          <w:rFonts w:hint="eastAsia" w:ascii="仿宋_GB2312" w:hAnsi="仿宋_GB2312" w:eastAsia="仿宋_GB2312" w:cs="仿宋_GB2312"/>
          <w:snapToGrid/>
          <w:kern w:val="2"/>
          <w:sz w:val="32"/>
          <w:szCs w:val="32"/>
          <w:lang w:val="en-US" w:eastAsia="zh-CN" w:bidi="ar"/>
        </w:rPr>
        <w:t>自评结果整体良好</w:t>
      </w:r>
      <w:r>
        <w:rPr>
          <w:rFonts w:hint="eastAsia" w:ascii="仿宋_GB2312" w:hAnsi="仿宋_GB2312" w:eastAsia="仿宋_GB2312" w:cs="仿宋_GB2312"/>
          <w:bCs/>
          <w:snapToGrid/>
          <w:kern w:val="2"/>
          <w:sz w:val="32"/>
          <w:szCs w:val="32"/>
          <w:lang w:bidi="ar"/>
        </w:rPr>
        <w:t>。</w:t>
      </w:r>
      <w:r>
        <w:rPr>
          <w:rFonts w:hint="eastAsia" w:ascii="仿宋_GB2312" w:hAnsi="仿宋_GB2312" w:eastAsia="仿宋_GB2312" w:cs="仿宋_GB2312"/>
          <w:snapToGrid/>
          <w:kern w:val="2"/>
          <w:sz w:val="32"/>
          <w:szCs w:val="32"/>
          <w:lang w:val="en-US" w:eastAsia="zh-CN" w:bidi="ar"/>
        </w:rPr>
        <w:t>本次绩效自评工作结果暂未发现绩效目标偏离情况。</w:t>
      </w:r>
    </w:p>
    <w:bookmarkEnd w:id="2"/>
    <w:p>
      <w:pPr>
        <w:pStyle w:val="2"/>
        <w:keepNext w:val="0"/>
        <w:keepLines w:val="0"/>
        <w:pageBreakBefore w:val="0"/>
        <w:wordWrap/>
        <w:overflowPunct/>
        <w:topLinePunct w:val="0"/>
        <w:bidi w:val="0"/>
        <w:spacing w:line="560" w:lineRule="exact"/>
        <w:ind w:firstLine="3888" w:firstLineChars="1200"/>
        <w:rPr>
          <w:rFonts w:hint="eastAsia" w:ascii="仿宋_GB2312" w:hAnsi="仿宋_GB2312" w:eastAsia="仿宋_GB2312" w:cs="仿宋_GB2312"/>
          <w:spacing w:val="2"/>
          <w:sz w:val="32"/>
          <w:szCs w:val="32"/>
        </w:rPr>
      </w:pPr>
    </w:p>
    <w:p>
      <w:pPr>
        <w:pStyle w:val="2"/>
        <w:keepNext w:val="0"/>
        <w:keepLines w:val="0"/>
        <w:pageBreakBefore w:val="0"/>
        <w:wordWrap/>
        <w:overflowPunct/>
        <w:topLinePunct w:val="0"/>
        <w:bidi w:val="0"/>
        <w:spacing w:line="560" w:lineRule="exact"/>
        <w:ind w:firstLine="3888" w:firstLineChars="1200"/>
        <w:rPr>
          <w:rFonts w:hint="eastAsia" w:ascii="仿宋_GB2312" w:hAnsi="仿宋_GB2312" w:eastAsia="仿宋_GB2312" w:cs="仿宋_GB2312"/>
          <w:spacing w:val="2"/>
          <w:sz w:val="32"/>
          <w:szCs w:val="32"/>
        </w:rPr>
      </w:pPr>
    </w:p>
    <w:p>
      <w:pPr>
        <w:pStyle w:val="2"/>
        <w:keepNext w:val="0"/>
        <w:keepLines w:val="0"/>
        <w:pageBreakBefore w:val="0"/>
        <w:wordWrap/>
        <w:overflowPunct/>
        <w:topLinePunct w:val="0"/>
        <w:bidi w:val="0"/>
        <w:spacing w:line="560" w:lineRule="exact"/>
        <w:ind w:firstLine="3888" w:firstLineChars="1200"/>
        <w:rPr>
          <w:rFonts w:ascii="仿宋_GB2312" w:hAnsi="仿宋_GB2312" w:eastAsia="仿宋_GB2312" w:cs="仿宋_GB2312"/>
          <w:spacing w:val="2"/>
          <w:sz w:val="32"/>
          <w:szCs w:val="32"/>
        </w:rPr>
      </w:pPr>
      <w:bookmarkStart w:id="3" w:name="_GoBack"/>
      <w:bookmarkEnd w:id="3"/>
      <w:r>
        <w:rPr>
          <w:rFonts w:hint="eastAsia" w:ascii="仿宋_GB2312" w:hAnsi="仿宋_GB2312" w:eastAsia="仿宋_GB2312" w:cs="仿宋_GB2312"/>
          <w:spacing w:val="2"/>
          <w:sz w:val="32"/>
          <w:szCs w:val="32"/>
        </w:rPr>
        <w:t>北京市卫生健康委员会</w:t>
      </w:r>
    </w:p>
    <w:p>
      <w:pPr>
        <w:pStyle w:val="2"/>
        <w:keepNext w:val="0"/>
        <w:keepLines w:val="0"/>
        <w:pageBreakBefore w:val="0"/>
        <w:wordWrap/>
        <w:overflowPunct/>
        <w:topLinePunct w:val="0"/>
        <w:bidi w:val="0"/>
        <w:spacing w:line="560" w:lineRule="exact"/>
        <w:ind w:firstLine="4536" w:firstLineChars="1400"/>
        <w:rPr>
          <w:rFonts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2023年</w:t>
      </w:r>
      <w:r>
        <w:rPr>
          <w:rFonts w:hint="eastAsia" w:ascii="仿宋_GB2312" w:hAnsi="仿宋_GB2312" w:eastAsia="仿宋_GB2312" w:cs="仿宋_GB2312"/>
          <w:spacing w:val="2"/>
          <w:sz w:val="32"/>
          <w:szCs w:val="32"/>
          <w:lang w:val="en-US" w:eastAsia="zh-CN"/>
        </w:rPr>
        <w:t>6</w:t>
      </w:r>
      <w:r>
        <w:rPr>
          <w:rFonts w:hint="eastAsia" w:ascii="仿宋_GB2312" w:hAnsi="仿宋_GB2312" w:eastAsia="仿宋_GB2312" w:cs="仿宋_GB2312"/>
          <w:spacing w:val="2"/>
          <w:sz w:val="32"/>
          <w:szCs w:val="32"/>
        </w:rPr>
        <w:t>月</w:t>
      </w:r>
      <w:r>
        <w:rPr>
          <w:rFonts w:hint="eastAsia" w:ascii="仿宋_GB2312" w:hAnsi="仿宋_GB2312" w:eastAsia="仿宋_GB2312" w:cs="仿宋_GB2312"/>
          <w:spacing w:val="2"/>
          <w:sz w:val="32"/>
          <w:szCs w:val="32"/>
          <w:lang w:val="en-US" w:eastAsia="zh-CN"/>
        </w:rPr>
        <w:t>8</w:t>
      </w:r>
      <w:r>
        <w:rPr>
          <w:rFonts w:hint="eastAsia" w:ascii="仿宋_GB2312" w:hAnsi="仿宋_GB2312" w:eastAsia="仿宋_GB2312" w:cs="仿宋_GB2312"/>
          <w:spacing w:val="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等线">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7427212"/>
    </w:sdtPr>
    <w:sdtEndPr>
      <w:rPr>
        <w:rFonts w:asciiTheme="minorEastAsia" w:hAnsiTheme="minorEastAsia" w:eastAsiaTheme="minorEastAsia"/>
        <w:sz w:val="28"/>
        <w:szCs w:val="28"/>
      </w:rPr>
    </w:sdtEndPr>
    <w:sdtContent>
      <w:p>
        <w:pPr>
          <w:pStyle w:val="5"/>
          <w:jc w:val="center"/>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13</w:t>
        </w:r>
        <w:r>
          <w:rPr>
            <w:rFonts w:asciiTheme="minorEastAsia" w:hAnsiTheme="minorEastAsia" w:eastAsiaTheme="minorEastAsia"/>
            <w:sz w:val="28"/>
            <w:szCs w:val="28"/>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13B1BF0"/>
    <w:rsid w:val="0006417D"/>
    <w:rsid w:val="000C1B60"/>
    <w:rsid w:val="000F68F8"/>
    <w:rsid w:val="00182336"/>
    <w:rsid w:val="00254391"/>
    <w:rsid w:val="00280027"/>
    <w:rsid w:val="0028258C"/>
    <w:rsid w:val="00302B95"/>
    <w:rsid w:val="003C13A0"/>
    <w:rsid w:val="00444284"/>
    <w:rsid w:val="005F023C"/>
    <w:rsid w:val="0076616E"/>
    <w:rsid w:val="007A32DF"/>
    <w:rsid w:val="007E5E58"/>
    <w:rsid w:val="00830FBF"/>
    <w:rsid w:val="00834545"/>
    <w:rsid w:val="008C6BEB"/>
    <w:rsid w:val="008F0150"/>
    <w:rsid w:val="008F02AC"/>
    <w:rsid w:val="00934965"/>
    <w:rsid w:val="00947727"/>
    <w:rsid w:val="00B7078E"/>
    <w:rsid w:val="00B74A9D"/>
    <w:rsid w:val="00BC190A"/>
    <w:rsid w:val="00C23E95"/>
    <w:rsid w:val="00C90576"/>
    <w:rsid w:val="00CE1CA1"/>
    <w:rsid w:val="00D83502"/>
    <w:rsid w:val="00DB660E"/>
    <w:rsid w:val="00E25F13"/>
    <w:rsid w:val="00EA2DA2"/>
    <w:rsid w:val="00ED50E7"/>
    <w:rsid w:val="00F34B11"/>
    <w:rsid w:val="00FE2820"/>
    <w:rsid w:val="013B1BF0"/>
    <w:rsid w:val="02D74371"/>
    <w:rsid w:val="122B27B2"/>
    <w:rsid w:val="168F7D2D"/>
    <w:rsid w:val="16E138A4"/>
    <w:rsid w:val="278422F1"/>
    <w:rsid w:val="28F50FF9"/>
    <w:rsid w:val="318B6C4D"/>
    <w:rsid w:val="330F23E1"/>
    <w:rsid w:val="35F52B54"/>
    <w:rsid w:val="367A60F6"/>
    <w:rsid w:val="37931DDD"/>
    <w:rsid w:val="3AED0244"/>
    <w:rsid w:val="3DD65D66"/>
    <w:rsid w:val="3DFDE95A"/>
    <w:rsid w:val="3ED95906"/>
    <w:rsid w:val="3FDD51FD"/>
    <w:rsid w:val="48114E67"/>
    <w:rsid w:val="52B92EE7"/>
    <w:rsid w:val="55ED17E4"/>
    <w:rsid w:val="56CE7470"/>
    <w:rsid w:val="5D123920"/>
    <w:rsid w:val="5EBDF1D8"/>
    <w:rsid w:val="5F7F3670"/>
    <w:rsid w:val="606C25FF"/>
    <w:rsid w:val="61AE77B2"/>
    <w:rsid w:val="63890E5C"/>
    <w:rsid w:val="66F3492C"/>
    <w:rsid w:val="6AA61F8F"/>
    <w:rsid w:val="6BD69C96"/>
    <w:rsid w:val="6DC61E74"/>
    <w:rsid w:val="6F73AD8B"/>
    <w:rsid w:val="769F9781"/>
    <w:rsid w:val="77D90132"/>
    <w:rsid w:val="7CDB759B"/>
    <w:rsid w:val="7FC714D0"/>
    <w:rsid w:val="7FD7F737"/>
    <w:rsid w:val="BFDF3071"/>
    <w:rsid w:val="DF7455FA"/>
    <w:rsid w:val="EA7FA2D5"/>
    <w:rsid w:val="ED7B1A18"/>
    <w:rsid w:val="EFFDC19E"/>
    <w:rsid w:val="F3BB4B57"/>
    <w:rsid w:val="F7F7804F"/>
    <w:rsid w:val="FCDC6674"/>
    <w:rsid w:val="FD7DF079"/>
    <w:rsid w:val="FE6DE809"/>
    <w:rsid w:val="FFF74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3">
    <w:name w:val="Body Text"/>
    <w:basedOn w:val="1"/>
    <w:qFormat/>
    <w:uiPriority w:val="0"/>
    <w:pPr>
      <w:spacing w:after="120" w:line="360" w:lineRule="auto"/>
    </w:pPr>
  </w:style>
  <w:style w:type="paragraph" w:styleId="4">
    <w:name w:val="Body Text Indent"/>
    <w:basedOn w:val="1"/>
    <w:unhideWhenUsed/>
    <w:qFormat/>
    <w:uiPriority w:val="99"/>
    <w:pPr>
      <w:spacing w:before="100" w:beforeAutospacing="1" w:after="100" w:afterAutospacing="1"/>
    </w:pPr>
    <w:rPr>
      <w:rFonts w:hint="eastAsia" w:ascii="宋体" w:hAnsi="宋体"/>
      <w:sz w:val="24"/>
      <w:szCs w:val="24"/>
    </w:rPr>
  </w:style>
  <w:style w:type="paragraph" w:styleId="5">
    <w:name w:val="footer"/>
    <w:basedOn w:val="1"/>
    <w:link w:val="17"/>
    <w:qFormat/>
    <w:uiPriority w:val="99"/>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index 9"/>
    <w:basedOn w:val="1"/>
    <w:next w:val="1"/>
    <w:unhideWhenUsed/>
    <w:qFormat/>
    <w:uiPriority w:val="99"/>
    <w:pPr>
      <w:ind w:firstLine="420"/>
    </w:pPr>
    <w:rPr>
      <w:rFonts w:eastAsia="仿宋_GB2312"/>
      <w:bCs/>
      <w:sz w:val="28"/>
      <w:szCs w:val="28"/>
    </w:rPr>
  </w:style>
  <w:style w:type="paragraph" w:styleId="8">
    <w:name w:val="Normal (Web)"/>
    <w:basedOn w:val="1"/>
    <w:qFormat/>
    <w:uiPriority w:val="0"/>
    <w:pPr>
      <w:spacing w:beforeAutospacing="1" w:afterAutospacing="1"/>
    </w:pPr>
    <w:rPr>
      <w:rFonts w:cs="Times New Roman"/>
      <w:sz w:val="24"/>
    </w:rPr>
  </w:style>
  <w:style w:type="table" w:styleId="10">
    <w:name w:val="Table Grid"/>
    <w:basedOn w:val="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2"/>
    <w:basedOn w:val="1"/>
    <w:qFormat/>
    <w:uiPriority w:val="0"/>
    <w:pPr>
      <w:spacing w:line="590" w:lineRule="exact"/>
      <w:ind w:firstLine="580"/>
    </w:pPr>
    <w:rPr>
      <w:rFonts w:hint="eastAsia" w:ascii="宋体" w:hAnsi="宋体"/>
      <w:szCs w:val="24"/>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font21"/>
    <w:basedOn w:val="11"/>
    <w:qFormat/>
    <w:uiPriority w:val="0"/>
    <w:rPr>
      <w:rFonts w:hint="eastAsia" w:ascii="宋体" w:hAnsi="宋体" w:eastAsia="宋体" w:cs="宋体"/>
      <w:color w:val="000000"/>
      <w:sz w:val="20"/>
      <w:szCs w:val="20"/>
      <w:u w:val="none"/>
    </w:rPr>
  </w:style>
  <w:style w:type="character" w:customStyle="1" w:styleId="15">
    <w:name w:val="font11"/>
    <w:basedOn w:val="11"/>
    <w:qFormat/>
    <w:uiPriority w:val="0"/>
    <w:rPr>
      <w:rFonts w:hint="eastAsia" w:ascii="宋体" w:hAnsi="宋体" w:eastAsia="宋体" w:cs="宋体"/>
      <w:color w:val="000000"/>
      <w:sz w:val="20"/>
      <w:szCs w:val="20"/>
      <w:u w:val="none"/>
    </w:rPr>
  </w:style>
  <w:style w:type="character" w:customStyle="1" w:styleId="16">
    <w:name w:val="页眉 字符"/>
    <w:basedOn w:val="11"/>
    <w:link w:val="6"/>
    <w:qFormat/>
    <w:uiPriority w:val="0"/>
    <w:rPr>
      <w:rFonts w:ascii="Arial" w:hAnsi="Arial" w:eastAsia="Arial" w:cs="Arial"/>
      <w:snapToGrid w:val="0"/>
      <w:color w:val="000000"/>
      <w:sz w:val="18"/>
      <w:szCs w:val="18"/>
    </w:rPr>
  </w:style>
  <w:style w:type="character" w:customStyle="1" w:styleId="17">
    <w:name w:val="页脚 字符"/>
    <w:basedOn w:val="11"/>
    <w:link w:val="5"/>
    <w:qFormat/>
    <w:uiPriority w:val="99"/>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2960</Words>
  <Characters>3257</Characters>
  <Lines>232</Lines>
  <Paragraphs>214</Paragraphs>
  <TotalTime>7</TotalTime>
  <ScaleCrop>false</ScaleCrop>
  <LinksUpToDate>false</LinksUpToDate>
  <CharactersWithSpaces>6003</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2023-03-27T23:27:00Z</dcterms:created>
  <dc:creator>WPS_1599385647</dc:creator>
  <cp:lastModifiedBy>admin</cp:lastModifiedBy>
  <cp:lastPrinted>2023-06-09T01:02:00Z</cp:lastPrinted>
  <dcterms:modified xsi:type="dcterms:W3CDTF">2023-06-09T17:14:56Z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94D62D04C20F4FC186AC1D50FE292C4D_13</vt:lpwstr>
  </property>
  <property fmtid="{D5CDD505-2E9C-101B-9397-08002B2CF9AE}" pid="4" name="GrammarlyDocumentId">
    <vt:lpwstr>df53e46b9bebe958029e42a72e2052f43a704546b67097661a8824c78f96c9e3</vt:lpwstr>
  </property>
</Properties>
</file>