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黑体" w:eastAsia="方正小标宋简体" w:cs="Times New Roman"/>
          <w:snapToGrid/>
          <w:color w:val="auto"/>
          <w:kern w:val="2"/>
          <w:sz w:val="44"/>
          <w:szCs w:val="44"/>
        </w:rPr>
      </w:pP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黑体" w:eastAsia="方正小标宋简体" w:cs="Times New Roman"/>
          <w:snapToGrid/>
          <w:color w:val="auto"/>
          <w:kern w:val="2"/>
          <w:sz w:val="44"/>
          <w:szCs w:val="44"/>
        </w:rPr>
      </w:pPr>
      <w:r>
        <w:rPr>
          <w:rFonts w:hint="eastAsia" w:ascii="方正小标宋简体" w:hAnsi="黑体" w:eastAsia="方正小标宋简体" w:cs="Times New Roman"/>
          <w:snapToGrid/>
          <w:color w:val="auto"/>
          <w:kern w:val="2"/>
          <w:sz w:val="44"/>
          <w:szCs w:val="44"/>
        </w:rPr>
        <w:t>2022年度中央</w:t>
      </w:r>
      <w:r>
        <w:rPr>
          <w:rFonts w:hint="eastAsia" w:ascii="方正小标宋简体" w:hAnsi="黑体" w:eastAsia="方正小标宋简体" w:cs="Times New Roman"/>
          <w:snapToGrid/>
          <w:color w:val="auto"/>
          <w:kern w:val="2"/>
          <w:sz w:val="44"/>
          <w:szCs w:val="44"/>
          <w:lang w:eastAsia="zh-CN"/>
        </w:rPr>
        <w:t>对北京</w:t>
      </w:r>
      <w:r>
        <w:rPr>
          <w:rFonts w:hint="eastAsia" w:ascii="方正小标宋简体" w:hAnsi="黑体" w:eastAsia="方正小标宋简体" w:cs="Times New Roman"/>
          <w:snapToGrid/>
          <w:color w:val="auto"/>
          <w:kern w:val="2"/>
          <w:sz w:val="44"/>
          <w:szCs w:val="44"/>
        </w:rPr>
        <w:t>基本药物制度补助</w:t>
      </w: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ascii="方正小标宋简体" w:hAnsi="黑体" w:eastAsia="方正小标宋简体" w:cs="Times New Roman"/>
          <w:snapToGrid/>
          <w:color w:val="auto"/>
          <w:kern w:val="2"/>
          <w:sz w:val="44"/>
          <w:szCs w:val="44"/>
        </w:rPr>
      </w:pPr>
      <w:r>
        <w:rPr>
          <w:rFonts w:hint="eastAsia" w:ascii="方正小标宋简体" w:hAnsi="黑体" w:eastAsia="方正小标宋简体" w:cs="Times New Roman"/>
          <w:snapToGrid/>
          <w:color w:val="auto"/>
          <w:kern w:val="2"/>
          <w:sz w:val="44"/>
          <w:szCs w:val="44"/>
          <w:lang w:eastAsia="zh-CN"/>
        </w:rPr>
        <w:t>资金</w:t>
      </w:r>
      <w:r>
        <w:rPr>
          <w:rFonts w:hint="eastAsia" w:ascii="方正小标宋简体" w:hAnsi="黑体" w:eastAsia="方正小标宋简体" w:cs="Times New Roman"/>
          <w:snapToGrid/>
          <w:color w:val="auto"/>
          <w:kern w:val="2"/>
          <w:sz w:val="44"/>
          <w:szCs w:val="44"/>
        </w:rPr>
        <w:t>转移支付</w:t>
      </w:r>
      <w:r>
        <w:rPr>
          <w:rFonts w:hint="eastAsia" w:ascii="方正小标宋简体" w:hAnsi="黑体" w:eastAsia="方正小标宋简体" w:cs="Times New Roman"/>
          <w:snapToGrid/>
          <w:color w:val="auto"/>
          <w:kern w:val="2"/>
          <w:sz w:val="44"/>
          <w:szCs w:val="44"/>
          <w:lang w:eastAsia="zh-CN"/>
        </w:rPr>
        <w:t>预算执行情况</w:t>
      </w:r>
      <w:r>
        <w:rPr>
          <w:rFonts w:hint="eastAsia" w:ascii="方正小标宋简体" w:hAnsi="黑体" w:eastAsia="方正小标宋简体" w:cs="Times New Roman"/>
          <w:snapToGrid/>
          <w:color w:val="auto"/>
          <w:kern w:val="2"/>
          <w:sz w:val="44"/>
          <w:szCs w:val="44"/>
        </w:rPr>
        <w:t>绩效自评报告</w:t>
      </w:r>
    </w:p>
    <w:p>
      <w:pPr>
        <w:pStyle w:val="6"/>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ascii="方正小标宋简体" w:hAnsi="黑体" w:eastAsia="方正小标宋简体" w:cs="Times New Roman"/>
          <w:snapToGrid/>
          <w:color w:val="auto"/>
          <w:kern w:val="2"/>
          <w:sz w:val="44"/>
          <w:szCs w:val="44"/>
        </w:rPr>
      </w:pPr>
    </w:p>
    <w:p>
      <w:pPr>
        <w:pStyle w:val="6"/>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eastAsia="宋体"/>
          <w:sz w:val="32"/>
          <w:szCs w:val="32"/>
        </w:rPr>
      </w:pPr>
      <w:r>
        <w:rPr>
          <w:rFonts w:hint="eastAsia" w:ascii="仿宋_GB2312" w:hAnsi="仿宋_GB2312" w:eastAsia="仿宋_GB2312" w:cs="仿宋_GB2312"/>
          <w:sz w:val="32"/>
          <w:szCs w:val="32"/>
        </w:rPr>
        <w:t>为了贯彻落实《中共中央 国务院关于全面实施预算绩效管理的意见》《中共北京市委 北京市人民政府关于全面实施预算绩效管理的实施意见》有关精神，加快建成全方位、全过程、全覆盖的预算绩效管理体系，切实增强资金使用单位支出绩效意识，提高中央对地方转移支付资金使用效益，根据财政部《关于开展2022年度中央对地方转移支付预算执行情况绩效自</w:t>
      </w:r>
      <w:r>
        <w:rPr>
          <w:rFonts w:hint="default" w:ascii="仿宋_GB2312" w:hAnsi="仿宋_GB2312" w:eastAsia="仿宋_GB2312" w:cs="仿宋_GB2312"/>
          <w:sz w:val="32"/>
          <w:szCs w:val="32"/>
          <w:lang w:val="en"/>
        </w:rPr>
        <w:t xml:space="preserve"> </w:t>
      </w:r>
      <w:r>
        <w:rPr>
          <w:rFonts w:hint="eastAsia" w:ascii="仿宋_GB2312" w:hAnsi="仿宋_GB2312" w:eastAsia="仿宋_GB2312" w:cs="仿宋_GB2312"/>
          <w:sz w:val="32"/>
          <w:szCs w:val="32"/>
        </w:rPr>
        <w:t>市卫生健康委员会组织</w:t>
      </w:r>
      <w:r>
        <w:rPr>
          <w:rFonts w:hint="eastAsia" w:ascii="仿宋_GB2312" w:hAnsi="仿宋_GB2312" w:eastAsia="仿宋_GB2312" w:cs="仿宋_GB2312"/>
          <w:sz w:val="32"/>
          <w:szCs w:val="32"/>
          <w:lang w:val="en-US" w:eastAsia="zh-CN"/>
        </w:rPr>
        <w:t>各</w:t>
      </w:r>
      <w:r>
        <w:rPr>
          <w:rFonts w:hint="eastAsia" w:ascii="仿宋_GB2312" w:hAnsi="仿宋_GB2312" w:eastAsia="仿宋_GB2312" w:cs="仿宋_GB2312"/>
          <w:sz w:val="32"/>
          <w:szCs w:val="32"/>
        </w:rPr>
        <w:t>区卫</w:t>
      </w:r>
      <w:r>
        <w:rPr>
          <w:rFonts w:hint="eastAsia" w:ascii="仿宋_GB2312" w:hAnsi="仿宋_GB2312" w:eastAsia="仿宋_GB2312" w:cs="仿宋_GB2312"/>
          <w:sz w:val="32"/>
          <w:szCs w:val="32"/>
          <w:lang w:eastAsia="zh-CN"/>
        </w:rPr>
        <w:t>生</w:t>
      </w:r>
      <w:r>
        <w:rPr>
          <w:rFonts w:hint="eastAsia" w:ascii="仿宋_GB2312" w:hAnsi="仿宋_GB2312" w:eastAsia="仿宋_GB2312" w:cs="仿宋_GB2312"/>
          <w:sz w:val="32"/>
          <w:szCs w:val="32"/>
        </w:rPr>
        <w:t>健</w:t>
      </w:r>
      <w:r>
        <w:rPr>
          <w:rFonts w:hint="eastAsia" w:ascii="仿宋_GB2312" w:hAnsi="仿宋_GB2312" w:eastAsia="仿宋_GB2312" w:cs="仿宋_GB2312"/>
          <w:sz w:val="32"/>
          <w:szCs w:val="32"/>
          <w:lang w:eastAsia="zh-CN"/>
        </w:rPr>
        <w:t>康</w:t>
      </w:r>
      <w:r>
        <w:rPr>
          <w:rFonts w:hint="eastAsia" w:ascii="仿宋_GB2312" w:hAnsi="仿宋_GB2312" w:eastAsia="仿宋_GB2312" w:cs="仿宋_GB2312"/>
          <w:sz w:val="32"/>
          <w:szCs w:val="32"/>
          <w:lang w:val="en-US" w:eastAsia="zh-CN"/>
        </w:rPr>
        <w:t>委员会</w:t>
      </w:r>
      <w:r>
        <w:rPr>
          <w:rFonts w:hint="eastAsia" w:ascii="仿宋_GB2312" w:hAnsi="仿宋_GB2312" w:eastAsia="仿宋_GB2312" w:cs="仿宋_GB2312"/>
          <w:sz w:val="32"/>
          <w:szCs w:val="32"/>
        </w:rPr>
        <w:t>开展了2022年北京市中央转移支付基本药物制度补助资金的绩效自评工作，形成绩效自评报告。</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outlineLvl w:val="0"/>
        <w:rPr>
          <w:rFonts w:hint="eastAsia" w:ascii="黑体" w:hAnsi="宋体" w:eastAsia="黑体" w:cs="黑体"/>
          <w:bCs/>
          <w:sz w:val="32"/>
          <w:szCs w:val="32"/>
          <w:lang w:eastAsia="zh-CN" w:bidi="ar"/>
        </w:rPr>
      </w:pPr>
      <w:bookmarkStart w:id="0" w:name="_Toc1146578714_WPSOffice_Level1"/>
      <w:r>
        <w:rPr>
          <w:rFonts w:hint="eastAsia" w:ascii="黑体" w:hAnsi="宋体" w:eastAsia="黑体" w:cs="黑体"/>
          <w:bCs/>
          <w:sz w:val="32"/>
          <w:szCs w:val="32"/>
          <w:lang w:bidi="ar"/>
        </w:rPr>
        <w:t>一、</w:t>
      </w:r>
      <w:bookmarkEnd w:id="0"/>
      <w:r>
        <w:rPr>
          <w:rFonts w:hint="eastAsia" w:ascii="黑体" w:hAnsi="宋体" w:eastAsia="黑体" w:cs="黑体"/>
          <w:bCs/>
          <w:sz w:val="32"/>
          <w:szCs w:val="32"/>
          <w:lang w:eastAsia="zh-CN" w:bidi="ar"/>
        </w:rPr>
        <w:t>转移支付基本情况</w:t>
      </w:r>
    </w:p>
    <w:p>
      <w:pPr>
        <w:pStyle w:val="6"/>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楷体" w:hAnsi="楷体" w:eastAsia="楷体" w:cs="楷体"/>
          <w:b w:val="0"/>
          <w:bCs/>
          <w:kern w:val="2"/>
          <w:sz w:val="32"/>
          <w:szCs w:val="32"/>
          <w:lang w:eastAsia="zh-CN" w:bidi="ar"/>
        </w:rPr>
      </w:pPr>
      <w:bookmarkStart w:id="1" w:name="_Toc1177681667_WPSOffice_Level2"/>
      <w:r>
        <w:rPr>
          <w:rFonts w:hint="eastAsia" w:ascii="楷体" w:hAnsi="楷体" w:eastAsia="楷体" w:cs="楷体"/>
          <w:b w:val="0"/>
          <w:bCs/>
          <w:kern w:val="2"/>
          <w:sz w:val="32"/>
          <w:szCs w:val="32"/>
          <w:lang w:bidi="ar"/>
        </w:rPr>
        <w:t>（一）</w:t>
      </w:r>
      <w:bookmarkEnd w:id="1"/>
      <w:r>
        <w:rPr>
          <w:rFonts w:hint="eastAsia" w:ascii="楷体" w:hAnsi="楷体" w:eastAsia="楷体" w:cs="楷体"/>
          <w:b w:val="0"/>
          <w:bCs/>
          <w:kern w:val="2"/>
          <w:sz w:val="32"/>
          <w:szCs w:val="32"/>
          <w:lang w:bidi="ar"/>
        </w:rPr>
        <w:t>基本药物制度补助资金</w:t>
      </w:r>
      <w:r>
        <w:rPr>
          <w:rFonts w:hint="eastAsia" w:ascii="楷体" w:hAnsi="楷体" w:eastAsia="楷体" w:cs="楷体"/>
          <w:b w:val="0"/>
          <w:bCs/>
          <w:kern w:val="2"/>
          <w:sz w:val="32"/>
          <w:szCs w:val="32"/>
          <w:lang w:eastAsia="zh-CN" w:bidi="ar"/>
        </w:rPr>
        <w:t>转移支付概况。</w:t>
      </w:r>
    </w:p>
    <w:p>
      <w:pPr>
        <w:pStyle w:val="6"/>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 w:eastAsia="仿宋_GB2312" w:cs="仿宋_GB2312"/>
          <w:sz w:val="32"/>
          <w:szCs w:val="32"/>
          <w:lang w:eastAsia="zh-Hans" w:bidi="ar"/>
        </w:rPr>
      </w:pPr>
      <w:r>
        <w:rPr>
          <w:rFonts w:hint="eastAsia" w:ascii="仿宋_GB2312" w:hAnsi="仿宋" w:eastAsia="仿宋_GB2312" w:cs="仿宋_GB2312"/>
          <w:sz w:val="32"/>
          <w:szCs w:val="32"/>
          <w:lang w:eastAsia="zh-Hans" w:bidi="ar"/>
        </w:rPr>
        <w:t>2022年北京市中央转移支付基本药物制度补助资金项目涉及东城区卫健委、西城区卫健委、朝阳区卫健委、海淀区卫健委、丰台区卫健委、石景山区卫健委、门头沟区卫健委、房山区卫健委、通州区卫健委、顺义区卫健委、大兴区卫健委、昌平区卫健委、平谷区卫健委、怀柔区卫健委、密云区卫健委、延庆区卫健委</w:t>
      </w:r>
      <w:r>
        <w:rPr>
          <w:rFonts w:hint="eastAsia" w:ascii="仿宋_GB2312" w:hAnsi="仿宋" w:eastAsia="仿宋_GB2312" w:cs="仿宋_GB2312"/>
          <w:sz w:val="32"/>
          <w:szCs w:val="32"/>
          <w:lang w:val="en-US" w:eastAsia="zh-CN" w:bidi="ar"/>
        </w:rPr>
        <w:t>等</w:t>
      </w:r>
      <w:r>
        <w:rPr>
          <w:rFonts w:hint="eastAsia" w:ascii="仿宋_GB2312" w:hAnsi="仿宋" w:eastAsia="仿宋_GB2312" w:cs="仿宋_GB2312"/>
          <w:sz w:val="32"/>
          <w:szCs w:val="32"/>
          <w:lang w:eastAsia="zh-Hans" w:bidi="ar"/>
        </w:rPr>
        <w:t>16个区卫生健康委员会。</w:t>
      </w:r>
      <w:bookmarkStart w:id="2" w:name="_Toc2086486517_WPSOffice_Level2"/>
    </w:p>
    <w:p>
      <w:pPr>
        <w:pStyle w:val="6"/>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楷体" w:hAnsi="楷体" w:eastAsia="楷体" w:cs="楷体"/>
          <w:b w:val="0"/>
          <w:bCs/>
          <w:kern w:val="2"/>
          <w:sz w:val="32"/>
          <w:szCs w:val="32"/>
          <w:lang w:eastAsia="zh-CN" w:bidi="ar"/>
        </w:rPr>
      </w:pPr>
      <w:r>
        <w:rPr>
          <w:rFonts w:hint="eastAsia" w:ascii="楷体" w:hAnsi="楷体" w:eastAsia="楷体" w:cs="楷体"/>
          <w:b w:val="0"/>
          <w:bCs/>
          <w:kern w:val="2"/>
          <w:sz w:val="32"/>
          <w:szCs w:val="32"/>
          <w:lang w:eastAsia="zh-CN" w:bidi="ar"/>
        </w:rPr>
        <w:t>（二）</w:t>
      </w:r>
      <w:r>
        <w:rPr>
          <w:rFonts w:hint="eastAsia" w:ascii="楷体" w:hAnsi="楷体" w:eastAsia="楷体" w:cs="楷体"/>
          <w:b w:val="0"/>
          <w:bCs/>
          <w:kern w:val="2"/>
          <w:sz w:val="32"/>
          <w:szCs w:val="32"/>
          <w:lang w:bidi="ar"/>
        </w:rPr>
        <w:t>资金投入情况分析</w:t>
      </w:r>
      <w:r>
        <w:rPr>
          <w:rFonts w:hint="eastAsia" w:ascii="楷体" w:hAnsi="楷体" w:eastAsia="楷体" w:cs="楷体"/>
          <w:b w:val="0"/>
          <w:bCs/>
          <w:kern w:val="2"/>
          <w:sz w:val="32"/>
          <w:szCs w:val="32"/>
          <w:lang w:eastAsia="zh-CN" w:bidi="ar"/>
        </w:rPr>
        <w:t>。</w:t>
      </w:r>
    </w:p>
    <w:p>
      <w:pPr>
        <w:pStyle w:val="6"/>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 w:eastAsia="仿宋_GB2312" w:cs="仿宋_GB2312"/>
          <w:sz w:val="32"/>
          <w:szCs w:val="32"/>
          <w:lang w:bidi="ar"/>
        </w:rPr>
      </w:pPr>
      <w:r>
        <w:rPr>
          <w:rFonts w:hint="eastAsia" w:ascii="仿宋_GB2312" w:hAnsi="仿宋_GB2312" w:eastAsia="仿宋_GB2312" w:cs="仿宋_GB2312"/>
          <w:bCs/>
          <w:color w:val="auto"/>
          <w:sz w:val="32"/>
          <w:szCs w:val="32"/>
        </w:rPr>
        <w:t>2022年北京市中央转移支付基本药物制度补助资金</w:t>
      </w:r>
      <w:r>
        <w:rPr>
          <w:rFonts w:hint="eastAsia" w:ascii="仿宋_GB2312" w:hAnsi="仿宋" w:eastAsia="仿宋_GB2312" w:cs="仿宋_GB2312"/>
          <w:sz w:val="32"/>
          <w:szCs w:val="32"/>
          <w:lang w:bidi="ar"/>
        </w:rPr>
        <w:t>预算金额共计</w:t>
      </w:r>
      <w:r>
        <w:rPr>
          <w:rFonts w:hint="eastAsia" w:ascii="仿宋_GB2312" w:hAnsi="仿宋" w:eastAsia="仿宋_GB2312" w:cs="仿宋_GB2312"/>
          <w:sz w:val="32"/>
          <w:szCs w:val="32"/>
          <w:lang w:eastAsia="zh-CN" w:bidi="ar"/>
        </w:rPr>
        <w:t>2,919.62万元</w:t>
      </w:r>
      <w:r>
        <w:rPr>
          <w:rFonts w:hint="eastAsia" w:ascii="仿宋_GB2312" w:hAnsi="仿宋" w:eastAsia="仿宋_GB2312" w:cs="仿宋_GB2312"/>
          <w:sz w:val="32"/>
          <w:szCs w:val="32"/>
          <w:lang w:bidi="ar"/>
        </w:rPr>
        <w:t>，截至2022年12月31日，实际支出金额</w:t>
      </w:r>
      <w:r>
        <w:rPr>
          <w:rFonts w:hint="eastAsia" w:ascii="仿宋_GB2312" w:hAnsi="仿宋" w:eastAsia="仿宋_GB2312" w:cs="仿宋_GB2312"/>
          <w:sz w:val="32"/>
          <w:szCs w:val="32"/>
          <w:lang w:eastAsia="zh-CN" w:bidi="ar"/>
        </w:rPr>
        <w:t>2,919.62万元</w:t>
      </w:r>
      <w:r>
        <w:rPr>
          <w:rFonts w:hint="eastAsia" w:ascii="仿宋_GB2312" w:hAnsi="仿宋" w:eastAsia="仿宋_GB2312" w:cs="仿宋_GB2312"/>
          <w:sz w:val="32"/>
          <w:szCs w:val="32"/>
          <w:lang w:bidi="ar"/>
        </w:rPr>
        <w:t>，资金执行率为</w:t>
      </w:r>
      <w:r>
        <w:rPr>
          <w:rFonts w:hint="eastAsia" w:ascii="仿宋_GB2312" w:hAnsi="仿宋" w:eastAsia="仿宋_GB2312" w:cs="仿宋_GB2312"/>
          <w:sz w:val="32"/>
          <w:szCs w:val="32"/>
          <w:lang w:eastAsia="zh-CN" w:bidi="ar"/>
        </w:rPr>
        <w:t>100.00%</w:t>
      </w:r>
      <w:r>
        <w:rPr>
          <w:rFonts w:hint="eastAsia" w:ascii="仿宋_GB2312" w:hAnsi="仿宋" w:eastAsia="仿宋_GB2312" w:cs="仿宋_GB2312"/>
          <w:sz w:val="32"/>
          <w:szCs w:val="32"/>
          <w:lang w:bidi="ar"/>
        </w:rPr>
        <w:t>。其中：中央财政资金预算</w:t>
      </w:r>
      <w:r>
        <w:rPr>
          <w:rFonts w:hint="eastAsia" w:ascii="仿宋_GB2312" w:hAnsi="仿宋" w:eastAsia="仿宋_GB2312" w:cs="仿宋_GB2312"/>
          <w:sz w:val="32"/>
          <w:szCs w:val="32"/>
          <w:lang w:eastAsia="zh-CN" w:bidi="ar"/>
        </w:rPr>
        <w:t>1,795万元</w:t>
      </w:r>
      <w:r>
        <w:rPr>
          <w:rFonts w:hint="eastAsia" w:ascii="仿宋_GB2312" w:hAnsi="仿宋" w:eastAsia="仿宋_GB2312" w:cs="仿宋_GB2312"/>
          <w:sz w:val="32"/>
          <w:szCs w:val="32"/>
          <w:lang w:bidi="ar"/>
        </w:rPr>
        <w:t>，实际支出</w:t>
      </w:r>
      <w:r>
        <w:rPr>
          <w:rFonts w:hint="eastAsia" w:ascii="仿宋_GB2312" w:hAnsi="仿宋" w:eastAsia="仿宋_GB2312" w:cs="仿宋_GB2312"/>
          <w:sz w:val="32"/>
          <w:szCs w:val="32"/>
          <w:lang w:eastAsia="zh-CN" w:bidi="ar"/>
        </w:rPr>
        <w:t>1,795万元</w:t>
      </w:r>
      <w:r>
        <w:rPr>
          <w:rFonts w:hint="eastAsia" w:ascii="仿宋_GB2312" w:hAnsi="仿宋" w:eastAsia="仿宋_GB2312" w:cs="仿宋_GB2312"/>
          <w:sz w:val="32"/>
          <w:szCs w:val="32"/>
          <w:lang w:bidi="ar"/>
        </w:rPr>
        <w:t>，资金执行率为100%；地方资金预算1</w:t>
      </w:r>
      <w:r>
        <w:rPr>
          <w:rFonts w:hint="eastAsia" w:ascii="仿宋_GB2312" w:hAnsi="仿宋" w:eastAsia="仿宋_GB2312" w:cs="仿宋_GB2312"/>
          <w:sz w:val="32"/>
          <w:szCs w:val="32"/>
          <w:lang w:eastAsia="zh-CN" w:bidi="ar"/>
        </w:rPr>
        <w:t>,</w:t>
      </w:r>
      <w:r>
        <w:rPr>
          <w:rFonts w:hint="eastAsia" w:ascii="仿宋_GB2312" w:hAnsi="仿宋" w:eastAsia="仿宋_GB2312" w:cs="仿宋_GB2312"/>
          <w:sz w:val="32"/>
          <w:szCs w:val="32"/>
          <w:lang w:bidi="ar"/>
        </w:rPr>
        <w:t>124.62万元，实际支出1</w:t>
      </w:r>
      <w:r>
        <w:rPr>
          <w:rFonts w:hint="eastAsia" w:ascii="仿宋_GB2312" w:hAnsi="仿宋" w:eastAsia="仿宋_GB2312" w:cs="仿宋_GB2312"/>
          <w:sz w:val="32"/>
          <w:szCs w:val="32"/>
          <w:lang w:eastAsia="zh-CN" w:bidi="ar"/>
        </w:rPr>
        <w:t>,</w:t>
      </w:r>
      <w:r>
        <w:rPr>
          <w:rFonts w:hint="eastAsia" w:ascii="仿宋_GB2312" w:hAnsi="仿宋" w:eastAsia="仿宋_GB2312" w:cs="仿宋_GB2312"/>
          <w:sz w:val="32"/>
          <w:szCs w:val="32"/>
          <w:lang w:bidi="ar"/>
        </w:rPr>
        <w:t>124.62万元，资金执行率为100%。</w:t>
      </w:r>
    </w:p>
    <w:p>
      <w:pPr>
        <w:pStyle w:val="6"/>
        <w:keepNext w:val="0"/>
        <w:keepLines w:val="0"/>
        <w:pageBreakBefore w:val="0"/>
        <w:wordWrap/>
        <w:overflowPunct/>
        <w:topLinePunct w:val="0"/>
        <w:bidi w:val="0"/>
        <w:spacing w:line="560" w:lineRule="exact"/>
        <w:ind w:firstLine="640" w:firstLineChars="200"/>
        <w:rPr>
          <w:rFonts w:hint="eastAsia" w:ascii="仿宋_GB2312" w:hAnsi="仿宋_GB2312" w:eastAsia="楷体" w:cs="仿宋_GB2312"/>
          <w:b w:val="0"/>
          <w:bCs/>
          <w:spacing w:val="3"/>
          <w:position w:val="20"/>
          <w:sz w:val="32"/>
          <w:szCs w:val="32"/>
          <w:lang w:eastAsia="zh-CN"/>
        </w:rPr>
      </w:pPr>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CN" w:bidi="ar"/>
        </w:rPr>
        <w:t>三</w:t>
      </w:r>
      <w:r>
        <w:rPr>
          <w:rFonts w:hint="eastAsia" w:ascii="楷体" w:hAnsi="楷体" w:eastAsia="楷体" w:cs="楷体"/>
          <w:b w:val="0"/>
          <w:bCs/>
          <w:kern w:val="2"/>
          <w:sz w:val="32"/>
          <w:szCs w:val="32"/>
          <w:lang w:bidi="ar"/>
        </w:rPr>
        <w:t>）资金管理情况分析</w:t>
      </w:r>
      <w:r>
        <w:rPr>
          <w:rFonts w:hint="eastAsia" w:ascii="楷体" w:hAnsi="楷体" w:eastAsia="楷体" w:cs="楷体"/>
          <w:b w:val="0"/>
          <w:bCs/>
          <w:kern w:val="2"/>
          <w:sz w:val="32"/>
          <w:szCs w:val="32"/>
          <w:lang w:eastAsia="zh-CN" w:bidi="ar"/>
        </w:rPr>
        <w:t>。</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1.资金分配科学性</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2022年北京市中央转移支付基本药物制度补助资金中，总资金为1</w:t>
      </w:r>
      <w:r>
        <w:rPr>
          <w:rFonts w:hint="eastAsia" w:ascii="仿宋_GB2312" w:hAnsi="楷体" w:eastAsia="仿宋_GB2312" w:cs="仿宋_GB2312"/>
          <w:bCs/>
          <w:sz w:val="32"/>
          <w:szCs w:val="32"/>
          <w:lang w:val="en-US" w:eastAsia="zh-CN" w:bidi="ar"/>
        </w:rPr>
        <w:t>,</w:t>
      </w:r>
      <w:r>
        <w:rPr>
          <w:rFonts w:hint="eastAsia" w:ascii="仿宋_GB2312" w:hAnsi="楷体" w:eastAsia="仿宋_GB2312" w:cs="仿宋_GB2312"/>
          <w:bCs/>
          <w:sz w:val="32"/>
          <w:szCs w:val="32"/>
          <w:lang w:bidi="ar"/>
        </w:rPr>
        <w:t>795</w:t>
      </w:r>
      <w:r>
        <w:rPr>
          <w:rFonts w:hint="eastAsia" w:ascii="仿宋_GB2312" w:hAnsi="楷体" w:eastAsia="仿宋_GB2312" w:cs="仿宋_GB2312"/>
          <w:bCs/>
          <w:sz w:val="32"/>
          <w:szCs w:val="32"/>
          <w:lang w:val="en-US" w:eastAsia="zh-CN" w:bidi="ar"/>
        </w:rPr>
        <w:t>.00</w:t>
      </w:r>
      <w:r>
        <w:rPr>
          <w:rFonts w:hint="eastAsia" w:ascii="仿宋_GB2312" w:hAnsi="楷体" w:eastAsia="仿宋_GB2312" w:cs="仿宋_GB2312"/>
          <w:bCs/>
          <w:sz w:val="32"/>
          <w:szCs w:val="32"/>
          <w:lang w:bidi="ar"/>
        </w:rPr>
        <w:t>元，按行政区划因素和人口因素分配至16个区。根据《财政部国家卫生健康委关于提前下达2022年基本药物制度补助资金预算的通知》（财社〔2021〕170号）文件，提前下达2022年北京市中央转移支付基本药物制度补助资金1</w:t>
      </w:r>
      <w:r>
        <w:rPr>
          <w:rFonts w:hint="eastAsia" w:ascii="仿宋_GB2312" w:hAnsi="楷体" w:eastAsia="仿宋_GB2312" w:cs="仿宋_GB2312"/>
          <w:bCs/>
          <w:sz w:val="32"/>
          <w:szCs w:val="32"/>
          <w:lang w:val="en-US" w:eastAsia="zh-CN" w:bidi="ar"/>
        </w:rPr>
        <w:t>,</w:t>
      </w:r>
      <w:r>
        <w:rPr>
          <w:rFonts w:hint="eastAsia" w:ascii="仿宋_GB2312" w:hAnsi="楷体" w:eastAsia="仿宋_GB2312" w:cs="仿宋_GB2312"/>
          <w:bCs/>
          <w:sz w:val="32"/>
          <w:szCs w:val="32"/>
          <w:lang w:bidi="ar"/>
        </w:rPr>
        <w:t>621万元；根据《北京市财政局关于下达中央转移支付2022年基本药物制度补助资金的通知》（京财社指〔2022〕1656号）文件，下达资金174万元。</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2.资金下达及时性</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北京市卫生健康委员会根据行政区划因素和人口因素分配北京市中央转移支付基本药物制度补助资金，形成分配方案，严格按照预算法及其实施条例，向北京市财政局提出申请，由市财政及时将项目资金下达给16个区财政局。各区卫生健康委员会在收到资金下达的通知后，制定本区的资金分配方案，由区财政局将项目资金及时下达给各个项目资金使用单位。</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3.资金拨付合规性</w:t>
      </w:r>
    </w:p>
    <w:p>
      <w:pPr>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rPr>
          <w:rFonts w:ascii="仿宋_GB2312" w:hAnsi="宋体" w:eastAsia="仿宋_GB2312" w:cs="Times New Roman"/>
          <w:snapToGrid/>
          <w:kern w:val="2"/>
          <w:sz w:val="32"/>
          <w:szCs w:val="32"/>
        </w:rPr>
      </w:pPr>
      <w:r>
        <w:rPr>
          <w:rFonts w:hint="eastAsia" w:ascii="仿宋_GB2312" w:hAnsi="宋体" w:eastAsia="仿宋_GB2312" w:cs="Times New Roman"/>
          <w:snapToGrid/>
          <w:kern w:val="2"/>
          <w:sz w:val="32"/>
          <w:szCs w:val="32"/>
        </w:rPr>
        <w:t>2022年北京市中央转移支付基本药物制度补助资金严格按照北京市国库集中支付制度有关规定支付资金，未出现违规将资金从国库转入财政专户或支付到预算单位实有资金账户等问题。</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4.资金使用规范性</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ascii="仿宋_GB2312" w:hAnsi="楷体" w:eastAsia="仿宋_GB2312" w:cs="仿宋_GB2312"/>
          <w:bCs/>
          <w:sz w:val="32"/>
          <w:szCs w:val="32"/>
          <w:lang w:bidi="ar"/>
        </w:rPr>
        <w:t>2022年北京市中央转移支付基本药物制度补助资金根据《财政部国家卫生健康委关于提前下达2022年基本药物制度补助资金预算的通知》（财社〔2021〕170号）、《北京市财政局关于下达中央转移支付2022年基本药物制度补助资金的通知》（京财社指〔2022〕1656号）的通知要求，按照各个资金使用单位的项目资金管理制度、转移支付资金管理制度对项目实行专项核算，能够做到专款专用，严格按照下达预算的科目和项目执行，未出现截留、挤占、挪用或擅自调整等问题。并按照财务管理要求进行财务核算，会计核算</w:t>
      </w:r>
      <w:r>
        <w:rPr>
          <w:rFonts w:hint="eastAsia" w:ascii="仿宋_GB2312" w:hAnsi="楷体" w:eastAsia="仿宋_GB2312" w:cs="仿宋_GB2312"/>
          <w:bCs/>
          <w:sz w:val="32"/>
          <w:szCs w:val="32"/>
          <w:lang w:bidi="ar"/>
        </w:rPr>
        <w:t>基本</w:t>
      </w:r>
      <w:r>
        <w:rPr>
          <w:rFonts w:ascii="仿宋_GB2312" w:hAnsi="楷体" w:eastAsia="仿宋_GB2312" w:cs="仿宋_GB2312"/>
          <w:bCs/>
          <w:sz w:val="32"/>
          <w:szCs w:val="32"/>
          <w:lang w:bidi="ar"/>
        </w:rPr>
        <w:t>真实、完整、及时，未出现截留挤占挪用等问题，用款程序标准符合国家财务管理制度，资金管理使用</w:t>
      </w:r>
      <w:r>
        <w:rPr>
          <w:rFonts w:hint="eastAsia" w:ascii="仿宋_GB2312" w:hAnsi="楷体" w:eastAsia="仿宋_GB2312" w:cs="仿宋_GB2312"/>
          <w:bCs/>
          <w:sz w:val="32"/>
          <w:szCs w:val="32"/>
          <w:lang w:bidi="ar"/>
        </w:rPr>
        <w:t>较为</w:t>
      </w:r>
      <w:r>
        <w:rPr>
          <w:rFonts w:ascii="仿宋_GB2312" w:hAnsi="楷体" w:eastAsia="仿宋_GB2312" w:cs="仿宋_GB2312"/>
          <w:bCs/>
          <w:sz w:val="32"/>
          <w:szCs w:val="32"/>
          <w:lang w:bidi="ar"/>
        </w:rPr>
        <w:t>规范。</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5.资金执行准确性</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按照上级下达和本级预算安排的金额执行，不存在执行数偏离预算数较多的问题。2022年北京市中央转移支付基本药物制度补助资金总投入为</w:t>
      </w:r>
      <w:r>
        <w:rPr>
          <w:rFonts w:hint="eastAsia" w:ascii="仿宋_GB2312" w:hAnsi="楷体" w:eastAsia="仿宋_GB2312" w:cs="仿宋_GB2312"/>
          <w:bCs/>
          <w:sz w:val="32"/>
          <w:szCs w:val="32"/>
          <w:lang w:eastAsia="zh-CN" w:bidi="ar"/>
        </w:rPr>
        <w:t>2,919.62万元</w:t>
      </w:r>
      <w:r>
        <w:rPr>
          <w:rFonts w:hint="eastAsia" w:ascii="仿宋_GB2312" w:hAnsi="楷体" w:eastAsia="仿宋_GB2312" w:cs="仿宋_GB2312"/>
          <w:bCs/>
          <w:sz w:val="32"/>
          <w:szCs w:val="32"/>
          <w:lang w:bidi="ar"/>
        </w:rPr>
        <w:t>，实际到位资金为</w:t>
      </w:r>
      <w:r>
        <w:rPr>
          <w:rFonts w:hint="eastAsia" w:ascii="仿宋_GB2312" w:hAnsi="楷体" w:eastAsia="仿宋_GB2312" w:cs="仿宋_GB2312"/>
          <w:bCs/>
          <w:sz w:val="32"/>
          <w:szCs w:val="32"/>
          <w:lang w:eastAsia="zh-CN" w:bidi="ar"/>
        </w:rPr>
        <w:t>2,919.62万元</w:t>
      </w:r>
      <w:r>
        <w:rPr>
          <w:rFonts w:hint="eastAsia" w:ascii="仿宋_GB2312" w:hAnsi="楷体" w:eastAsia="仿宋_GB2312" w:cs="仿宋_GB2312"/>
          <w:bCs/>
          <w:sz w:val="32"/>
          <w:szCs w:val="32"/>
          <w:lang w:bidi="ar"/>
        </w:rPr>
        <w:t>，资金到位率为</w:t>
      </w:r>
      <w:r>
        <w:rPr>
          <w:rFonts w:hint="eastAsia" w:ascii="仿宋_GB2312" w:hAnsi="楷体" w:eastAsia="仿宋_GB2312" w:cs="仿宋_GB2312"/>
          <w:bCs/>
          <w:sz w:val="32"/>
          <w:szCs w:val="32"/>
          <w:lang w:eastAsia="zh-CN" w:bidi="ar"/>
        </w:rPr>
        <w:t>100%</w:t>
      </w:r>
      <w:r>
        <w:rPr>
          <w:rFonts w:hint="eastAsia" w:ascii="仿宋_GB2312" w:hAnsi="楷体" w:eastAsia="仿宋_GB2312" w:cs="仿宋_GB2312"/>
          <w:bCs/>
          <w:sz w:val="32"/>
          <w:szCs w:val="32"/>
          <w:lang w:bidi="ar"/>
        </w:rPr>
        <w:t>，截止到2022年12月31日，实际支出金额为</w:t>
      </w:r>
      <w:r>
        <w:rPr>
          <w:rFonts w:hint="eastAsia" w:ascii="仿宋_GB2312" w:hAnsi="楷体" w:eastAsia="仿宋_GB2312" w:cs="仿宋_GB2312"/>
          <w:bCs/>
          <w:sz w:val="32"/>
          <w:szCs w:val="32"/>
          <w:lang w:eastAsia="zh-CN" w:bidi="ar"/>
        </w:rPr>
        <w:t>2,919.62万元</w:t>
      </w:r>
      <w:r>
        <w:rPr>
          <w:rFonts w:hint="eastAsia" w:ascii="仿宋_GB2312" w:hAnsi="楷体" w:eastAsia="仿宋_GB2312" w:cs="仿宋_GB2312"/>
          <w:bCs/>
          <w:sz w:val="32"/>
          <w:szCs w:val="32"/>
          <w:lang w:bidi="ar"/>
        </w:rPr>
        <w:t>，预算执行率为</w:t>
      </w:r>
      <w:r>
        <w:rPr>
          <w:rFonts w:hint="eastAsia" w:ascii="仿宋_GB2312" w:hAnsi="楷体" w:eastAsia="仿宋_GB2312" w:cs="仿宋_GB2312"/>
          <w:bCs/>
          <w:sz w:val="32"/>
          <w:szCs w:val="32"/>
          <w:lang w:eastAsia="zh-CN" w:bidi="ar"/>
        </w:rPr>
        <w:t>100%</w:t>
      </w:r>
      <w:r>
        <w:rPr>
          <w:rFonts w:hint="eastAsia" w:ascii="仿宋_GB2312" w:hAnsi="楷体" w:eastAsia="仿宋_GB2312" w:cs="仿宋_GB2312"/>
          <w:bCs/>
          <w:sz w:val="32"/>
          <w:szCs w:val="32"/>
          <w:lang w:bidi="ar"/>
        </w:rPr>
        <w:t>。</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6.预算绩效管理情况</w:t>
      </w:r>
    </w:p>
    <w:p>
      <w:pPr>
        <w:keepNext w:val="0"/>
        <w:keepLines w:val="0"/>
        <w:pageBreakBefore w:val="0"/>
        <w:wordWrap/>
        <w:overflowPunct/>
        <w:topLinePunct w:val="0"/>
        <w:bidi w:val="0"/>
        <w:spacing w:line="560" w:lineRule="exact"/>
        <w:ind w:firstLine="640" w:firstLineChars="200"/>
        <w:jc w:val="both"/>
        <w:outlineLvl w:val="2"/>
        <w:rPr>
          <w:rFonts w:ascii="仿宋_GB2312" w:hAnsi="仿宋_GB2312" w:eastAsia="仿宋_GB2312" w:cs="仿宋_GB2312"/>
          <w:bCs/>
          <w:sz w:val="32"/>
          <w:szCs w:val="32"/>
        </w:rPr>
      </w:pPr>
      <w:r>
        <w:rPr>
          <w:rFonts w:hint="eastAsia" w:ascii="仿宋_GB2312" w:hAnsi="楷体" w:eastAsia="仿宋_GB2312" w:cs="仿宋_GB2312"/>
          <w:bCs/>
          <w:sz w:val="32"/>
          <w:szCs w:val="32"/>
          <w:lang w:bidi="ar"/>
        </w:rPr>
        <w:t>2022年北京市中央转移支付基本药物制度补助资金在细化下达预算时同步下达绩效目标，按《项目支出绩效评价管理办法》（京财预〔2020〕2146号）、《关于开展2022年度中央对地方转移支付预算执行情况绩效自评工作的通知》（财监〔2023〕1号）要求，结合项目绩效目标完成情况开展绩效自评工作。</w:t>
      </w:r>
    </w:p>
    <w:p>
      <w:pPr>
        <w:keepNext w:val="0"/>
        <w:keepLines w:val="0"/>
        <w:pageBreakBefore w:val="0"/>
        <w:wordWrap/>
        <w:overflowPunct/>
        <w:topLinePunct w:val="0"/>
        <w:bidi w:val="0"/>
        <w:spacing w:line="560" w:lineRule="exact"/>
        <w:ind w:firstLine="640" w:firstLineChars="200"/>
        <w:jc w:val="both"/>
        <w:outlineLvl w:val="2"/>
        <w:rPr>
          <w:rFonts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7.支出责任履行情况</w:t>
      </w:r>
    </w:p>
    <w:p>
      <w:pPr>
        <w:pStyle w:val="6"/>
        <w:keepNext w:val="0"/>
        <w:keepLines w:val="0"/>
        <w:pageBreakBefore w:val="0"/>
        <w:wordWrap/>
        <w:overflowPunct/>
        <w:topLinePunct w:val="0"/>
        <w:bidi w:val="0"/>
        <w:spacing w:line="560" w:lineRule="exact"/>
        <w:ind w:firstLine="640" w:firstLineChars="200"/>
        <w:jc w:val="both"/>
        <w:rPr>
          <w:rFonts w:hint="eastAsia" w:ascii="仿宋_GB2312" w:hAnsi="楷体" w:eastAsia="仿宋_GB2312" w:cs="仿宋_GB2312"/>
          <w:bCs/>
          <w:sz w:val="32"/>
          <w:szCs w:val="32"/>
          <w:lang w:bidi="ar"/>
        </w:rPr>
      </w:pPr>
      <w:r>
        <w:rPr>
          <w:rFonts w:hint="eastAsia" w:ascii="仿宋_GB2312" w:hAnsi="楷体" w:eastAsia="仿宋_GB2312" w:cs="仿宋_GB2312"/>
          <w:bCs/>
          <w:sz w:val="32"/>
          <w:szCs w:val="32"/>
          <w:lang w:bidi="ar"/>
        </w:rPr>
        <w:t>北京市卫生健康委员会和北京市财政局针对2022年北京市中央转移支付基本药物制度补助资金能够做到严格按照财政事权和支出责任划分有关规定，足额安排资金履行本级支出责任。各区财政局、卫生健康委员会及各个资金使用单位能够严格按照财政事权和支出责任划分有关规定，足额安排资金履行本级支出责任。</w:t>
      </w:r>
    </w:p>
    <w:p>
      <w:pPr>
        <w:pStyle w:val="6"/>
        <w:keepNext w:val="0"/>
        <w:keepLines w:val="0"/>
        <w:pageBreakBefore w:val="0"/>
        <w:numPr>
          <w:ilvl w:val="0"/>
          <w:numId w:val="1"/>
        </w:numPr>
        <w:wordWrap/>
        <w:overflowPunct/>
        <w:topLinePunct w:val="0"/>
        <w:bidi w:val="0"/>
        <w:spacing w:line="560" w:lineRule="exact"/>
        <w:ind w:firstLine="640" w:firstLineChars="200"/>
        <w:jc w:val="both"/>
        <w:rPr>
          <w:rFonts w:hint="eastAsia" w:ascii="方正黑体_GBK" w:hAnsi="方正黑体_GBK" w:eastAsia="方正黑体_GBK" w:cs="方正黑体_GBK"/>
          <w:bCs/>
          <w:sz w:val="32"/>
          <w:szCs w:val="32"/>
          <w:lang w:eastAsia="zh-CN" w:bidi="ar"/>
        </w:rPr>
      </w:pPr>
      <w:r>
        <w:rPr>
          <w:rFonts w:hint="eastAsia" w:ascii="方正黑体_GBK" w:hAnsi="方正黑体_GBK" w:eastAsia="方正黑体_GBK" w:cs="方正黑体_GBK"/>
          <w:bCs/>
          <w:sz w:val="32"/>
          <w:szCs w:val="32"/>
          <w:lang w:eastAsia="zh-CN" w:bidi="ar"/>
        </w:rPr>
        <w:t>绩效目标实现情况</w:t>
      </w:r>
    </w:p>
    <w:p>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等线" w:eastAsia="仿宋_GB2312"/>
          <w:sz w:val="32"/>
          <w:szCs w:val="32"/>
          <w:lang w:bidi="ar"/>
        </w:rPr>
      </w:pPr>
      <w:r>
        <w:rPr>
          <w:rFonts w:hint="eastAsia" w:ascii="仿宋_GB2312" w:hAnsi="仿宋" w:eastAsia="仿宋_GB2312"/>
          <w:sz w:val="32"/>
          <w:szCs w:val="32"/>
          <w:lang w:eastAsia="zh-Hans" w:bidi="ar"/>
        </w:rPr>
        <w:t>根据《财政部国家卫生健康委关于提前下达2022年基本药物制度补助资金预算的通知》（财社〔2021〕170号）</w:t>
      </w:r>
      <w:r>
        <w:rPr>
          <w:rFonts w:hint="eastAsia" w:ascii="仿宋_GB2312" w:hAnsi="仿宋" w:eastAsia="仿宋_GB2312"/>
          <w:sz w:val="32"/>
          <w:szCs w:val="32"/>
          <w:lang w:bidi="ar"/>
        </w:rPr>
        <w:t>、《财政部国家卫生健康委关于下达2022年基本药物制度补助资金预算的通知》（财社〔2022〕51号）</w:t>
      </w:r>
      <w:r>
        <w:rPr>
          <w:rFonts w:hint="eastAsia" w:ascii="仿宋_GB2312" w:hAnsi="仿宋" w:eastAsia="仿宋_GB2312"/>
          <w:sz w:val="32"/>
          <w:szCs w:val="32"/>
          <w:lang w:eastAsia="zh-Hans" w:bidi="ar"/>
        </w:rPr>
        <w:t>文件</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财政部和国家卫生健康委</w:t>
      </w:r>
      <w:r>
        <w:rPr>
          <w:rFonts w:hint="eastAsia" w:ascii="仿宋_GB2312" w:hAnsi="仿宋" w:eastAsia="仿宋_GB2312"/>
          <w:sz w:val="32"/>
          <w:szCs w:val="32"/>
          <w:lang w:bidi="ar"/>
        </w:rPr>
        <w:t>共同下达基本药物制度补助资金</w:t>
      </w:r>
      <w:r>
        <w:rPr>
          <w:rFonts w:hint="eastAsia" w:ascii="仿宋_GB2312" w:hAnsi="仿宋" w:eastAsia="仿宋_GB2312"/>
          <w:sz w:val="32"/>
          <w:szCs w:val="32"/>
          <w:lang w:eastAsia="zh-Hans" w:bidi="ar"/>
        </w:rPr>
        <w:t>区域</w:t>
      </w:r>
      <w:r>
        <w:rPr>
          <w:rFonts w:hint="eastAsia" w:ascii="仿宋_GB2312" w:hAnsi="等线" w:eastAsia="仿宋_GB2312"/>
          <w:sz w:val="32"/>
          <w:szCs w:val="32"/>
          <w:lang w:bidi="ar"/>
        </w:rPr>
        <w:t>绩效目标，北京</w:t>
      </w:r>
      <w:r>
        <w:rPr>
          <w:rFonts w:hint="eastAsia" w:ascii="仿宋_GB2312" w:hAnsi="仿宋_GB2312" w:eastAsia="仿宋_GB2312" w:cs="仿宋_GB2312"/>
          <w:sz w:val="32"/>
          <w:szCs w:val="32"/>
          <w:lang w:bidi="ar"/>
        </w:rPr>
        <w:t>市卫生健康委员会</w:t>
      </w:r>
      <w:r>
        <w:rPr>
          <w:rFonts w:hint="eastAsia" w:ascii="仿宋_GB2312" w:hAnsi="等线" w:eastAsia="仿宋_GB2312"/>
          <w:sz w:val="32"/>
          <w:szCs w:val="32"/>
          <w:lang w:bidi="ar"/>
        </w:rPr>
        <w:t>根据</w:t>
      </w:r>
      <w:r>
        <w:rPr>
          <w:rFonts w:hint="eastAsia" w:ascii="仿宋_GB2312" w:hAnsi="等线" w:eastAsia="仿宋_GB2312"/>
          <w:sz w:val="32"/>
          <w:szCs w:val="32"/>
          <w:lang w:eastAsia="zh-Hans" w:bidi="ar"/>
        </w:rPr>
        <w:t>实际情况将年度绩效目标分解下达至各区</w:t>
      </w:r>
      <w:r>
        <w:rPr>
          <w:rFonts w:ascii="仿宋_GB2312" w:hAnsi="等线" w:eastAsia="仿宋_GB2312"/>
          <w:sz w:val="32"/>
          <w:szCs w:val="32"/>
          <w:lang w:eastAsia="zh-Hans" w:bidi="ar"/>
        </w:rPr>
        <w:t>、</w:t>
      </w:r>
      <w:r>
        <w:rPr>
          <w:rFonts w:hint="eastAsia" w:ascii="仿宋_GB2312" w:hAnsi="等线" w:eastAsia="仿宋_GB2312"/>
          <w:sz w:val="32"/>
          <w:szCs w:val="32"/>
          <w:lang w:eastAsia="zh-Hans" w:bidi="ar"/>
        </w:rPr>
        <w:t>各项目单位</w:t>
      </w:r>
      <w:r>
        <w:rPr>
          <w:rFonts w:ascii="仿宋_GB2312" w:hAnsi="等线" w:eastAsia="仿宋_GB2312"/>
          <w:sz w:val="32"/>
          <w:szCs w:val="32"/>
          <w:lang w:bidi="ar"/>
        </w:rPr>
        <w:t>。</w:t>
      </w:r>
    </w:p>
    <w:p>
      <w:pPr>
        <w:pStyle w:val="6"/>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bCs/>
          <w:sz w:val="32"/>
          <w:szCs w:val="32"/>
          <w:lang w:eastAsia="zh-Hans"/>
        </w:rPr>
      </w:pPr>
      <w:r>
        <w:rPr>
          <w:rFonts w:hint="eastAsia" w:ascii="仿宋_GB2312" w:hAnsi="仿宋" w:eastAsia="仿宋_GB2312"/>
          <w:sz w:val="32"/>
          <w:szCs w:val="32"/>
          <w:lang w:bidi="ar"/>
        </w:rPr>
        <w:t>2022年北京市中央转移支付基本药物制度补助资金绩效目标为</w:t>
      </w:r>
      <w:r>
        <w:rPr>
          <w:rFonts w:hint="eastAsia" w:ascii="仿宋_GB2312" w:hAnsi="仿宋" w:eastAsia="仿宋_GB2312"/>
          <w:sz w:val="32"/>
          <w:szCs w:val="32"/>
          <w:lang w:eastAsia="zh-CN" w:bidi="ar"/>
        </w:rPr>
        <w:t>：</w:t>
      </w:r>
      <w:r>
        <w:rPr>
          <w:rFonts w:hint="eastAsia" w:ascii="仿宋_GB2312" w:hAnsi="仿宋" w:eastAsia="仿宋_GB2312"/>
          <w:sz w:val="32"/>
          <w:szCs w:val="32"/>
          <w:lang w:bidi="ar"/>
        </w:rPr>
        <w:t>基层医疗卫生机构按要求实施基本药物制度、基本药物制度在村卫生室顺利实施、基层医疗卫生机构服务质量进一步提高、紧密型医共体等基层卫生综合改革在县域内稳步推进、对基本药物制度补助满意度进一步提高。</w:t>
      </w:r>
    </w:p>
    <w:p>
      <w:pPr>
        <w:pStyle w:val="6"/>
        <w:keepNext w:val="0"/>
        <w:keepLines w:val="0"/>
        <w:pageBreakBefore w:val="0"/>
        <w:wordWrap/>
        <w:overflowPunct/>
        <w:topLinePunct w:val="0"/>
        <w:bidi w:val="0"/>
        <w:spacing w:line="560" w:lineRule="exact"/>
        <w:ind w:firstLine="640" w:firstLineChars="200"/>
        <w:rPr>
          <w:rFonts w:hint="eastAsia" w:ascii="楷体" w:hAnsi="楷体" w:eastAsia="楷体" w:cs="楷体"/>
          <w:b w:val="0"/>
          <w:bCs/>
          <w:kern w:val="2"/>
          <w:sz w:val="32"/>
          <w:szCs w:val="32"/>
          <w:lang w:eastAsia="zh-CN" w:bidi="ar"/>
        </w:rPr>
      </w:pPr>
      <w:r>
        <w:rPr>
          <w:rFonts w:hint="eastAsia" w:ascii="楷体" w:hAnsi="楷体" w:eastAsia="楷体" w:cs="楷体"/>
          <w:b w:val="0"/>
          <w:bCs/>
          <w:kern w:val="2"/>
          <w:sz w:val="32"/>
          <w:szCs w:val="32"/>
          <w:lang w:eastAsia="zh-CN" w:bidi="ar"/>
        </w:rPr>
        <w:t>（一）</w:t>
      </w:r>
      <w:r>
        <w:rPr>
          <w:rFonts w:hint="eastAsia" w:ascii="楷体" w:hAnsi="楷体" w:eastAsia="楷体" w:cs="楷体"/>
          <w:b w:val="0"/>
          <w:bCs/>
          <w:kern w:val="2"/>
          <w:sz w:val="32"/>
          <w:szCs w:val="32"/>
          <w:lang w:bidi="ar"/>
        </w:rPr>
        <w:t>总体绩效目标完成情况分析</w:t>
      </w:r>
      <w:r>
        <w:rPr>
          <w:rFonts w:hint="eastAsia" w:ascii="楷体" w:hAnsi="楷体" w:eastAsia="楷体" w:cs="楷体"/>
          <w:b w:val="0"/>
          <w:bCs/>
          <w:kern w:val="2"/>
          <w:sz w:val="32"/>
          <w:szCs w:val="32"/>
          <w:lang w:eastAsia="zh-CN" w:bidi="ar"/>
        </w:rPr>
        <w:t>。</w:t>
      </w:r>
    </w:p>
    <w:p>
      <w:pPr>
        <w:pStyle w:val="6"/>
        <w:keepNext w:val="0"/>
        <w:keepLines w:val="0"/>
        <w:pageBreakBefore w:val="0"/>
        <w:wordWrap/>
        <w:overflowPunct/>
        <w:topLinePunct w:val="0"/>
        <w:bidi w:val="0"/>
        <w:spacing w:line="56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2022年，北京市高度重视基本药物制度补助资金工作，市深化医改领导小组认真落实习近平总书记重要指示精神和党中央、国务院决策部署，紧紧围绕国家医改重点工作任务，按照基层医疗卫生机构按要求实施基本药物制度，保障基本药物制度在村卫生室顺利实施，实现基层医疗卫生机构服务质量进一步提高、紧密型医共体等基层卫生综合改革在县域内稳步推进，从而使得对基本药物制度补助满意度进一步提高。绩效指标整体完成情况良好，任务目标基本落实到位。</w:t>
      </w:r>
    </w:p>
    <w:p>
      <w:pPr>
        <w:pStyle w:val="6"/>
        <w:keepNext w:val="0"/>
        <w:keepLines w:val="0"/>
        <w:pageBreakBefore w:val="0"/>
        <w:wordWrap/>
        <w:overflowPunct/>
        <w:topLinePunct w:val="0"/>
        <w:bidi w:val="0"/>
        <w:spacing w:line="560" w:lineRule="exact"/>
        <w:ind w:firstLine="640" w:firstLineChars="200"/>
        <w:rPr>
          <w:rFonts w:hint="eastAsia" w:ascii="楷体" w:hAnsi="楷体" w:eastAsia="楷体" w:cs="楷体"/>
          <w:b w:val="0"/>
          <w:bCs/>
          <w:kern w:val="2"/>
          <w:sz w:val="32"/>
          <w:szCs w:val="32"/>
          <w:lang w:eastAsia="zh-CN" w:bidi="ar"/>
        </w:rPr>
      </w:pPr>
      <w:r>
        <w:rPr>
          <w:rFonts w:hint="eastAsia" w:ascii="楷体" w:hAnsi="楷体" w:eastAsia="楷体" w:cs="楷体"/>
          <w:b w:val="0"/>
          <w:bCs/>
          <w:kern w:val="2"/>
          <w:sz w:val="32"/>
          <w:szCs w:val="32"/>
          <w:lang w:bidi="ar"/>
        </w:rPr>
        <w:t>（</w:t>
      </w:r>
      <w:r>
        <w:rPr>
          <w:rFonts w:hint="eastAsia" w:ascii="楷体" w:hAnsi="楷体" w:eastAsia="楷体" w:cs="楷体"/>
          <w:b w:val="0"/>
          <w:bCs/>
          <w:kern w:val="2"/>
          <w:sz w:val="32"/>
          <w:szCs w:val="32"/>
          <w:lang w:eastAsia="zh-CN" w:bidi="ar"/>
        </w:rPr>
        <w:t>二</w:t>
      </w:r>
      <w:r>
        <w:rPr>
          <w:rFonts w:hint="eastAsia" w:ascii="楷体" w:hAnsi="楷体" w:eastAsia="楷体" w:cs="楷体"/>
          <w:b w:val="0"/>
          <w:bCs/>
          <w:kern w:val="2"/>
          <w:sz w:val="32"/>
          <w:szCs w:val="32"/>
          <w:lang w:bidi="ar"/>
        </w:rPr>
        <w:t>）绩效指标完成情况分析</w:t>
      </w:r>
      <w:r>
        <w:rPr>
          <w:rFonts w:hint="eastAsia" w:ascii="楷体" w:hAnsi="楷体" w:eastAsia="楷体" w:cs="楷体"/>
          <w:b w:val="0"/>
          <w:bCs/>
          <w:kern w:val="2"/>
          <w:sz w:val="32"/>
          <w:szCs w:val="32"/>
          <w:lang w:eastAsia="zh-CN" w:bidi="ar"/>
        </w:rPr>
        <w:t>。</w:t>
      </w:r>
    </w:p>
    <w:p>
      <w:pPr>
        <w:keepNext w:val="0"/>
        <w:keepLines w:val="0"/>
        <w:pageBreakBefore w:val="0"/>
        <w:wordWrap/>
        <w:overflowPunct/>
        <w:topLinePunct w:val="0"/>
        <w:bidi w:val="0"/>
        <w:spacing w:line="560" w:lineRule="exact"/>
        <w:ind w:firstLine="640" w:firstLineChars="200"/>
        <w:jc w:val="both"/>
        <w:rPr>
          <w:rFonts w:ascii="仿宋_GB2312" w:hAnsi="仿宋_GB2312" w:eastAsia="仿宋_GB2312" w:cs="仿宋_GB2312"/>
          <w:bCs/>
          <w:sz w:val="32"/>
          <w:szCs w:val="32"/>
          <w:lang w:eastAsia="zh-Hans"/>
        </w:rPr>
      </w:pPr>
      <w:r>
        <w:rPr>
          <w:rFonts w:hint="eastAsia" w:ascii="仿宋_GB2312" w:hAnsi="仿宋_GB2312" w:eastAsia="仿宋_GB2312" w:cs="仿宋_GB2312"/>
          <w:bCs/>
          <w:sz w:val="32"/>
          <w:szCs w:val="32"/>
          <w:lang w:eastAsia="zh-Hans"/>
        </w:rPr>
        <w:t>1.产出指标完成情况分析</w:t>
      </w:r>
    </w:p>
    <w:p>
      <w:pPr>
        <w:keepNext w:val="0"/>
        <w:keepLines w:val="0"/>
        <w:pageBreakBefore w:val="0"/>
        <w:wordWrap/>
        <w:overflowPunct/>
        <w:topLinePunct w:val="0"/>
        <w:bidi w:val="0"/>
        <w:spacing w:line="560" w:lineRule="exact"/>
        <w:ind w:firstLine="640" w:firstLineChars="200"/>
        <w:jc w:val="both"/>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2022年北京市中央转移支付基本药物制度补助资金</w:t>
      </w:r>
      <w:r>
        <w:rPr>
          <w:rFonts w:hint="eastAsia" w:ascii="仿宋_GB2312" w:hAnsi="仿宋" w:eastAsia="仿宋_GB2312" w:cs="仿宋_GB2312"/>
          <w:sz w:val="32"/>
          <w:szCs w:val="32"/>
          <w:lang w:eastAsia="zh-Hans" w:bidi="ar"/>
        </w:rPr>
        <w:t>项目</w:t>
      </w:r>
      <w:r>
        <w:rPr>
          <w:rFonts w:hint="eastAsia" w:ascii="仿宋_GB2312" w:hAnsi="仿宋" w:eastAsia="仿宋_GB2312"/>
          <w:sz w:val="32"/>
          <w:szCs w:val="32"/>
          <w:lang w:bidi="ar"/>
        </w:rPr>
        <w:t>设定的产出数量指标共2项，均已完成</w:t>
      </w:r>
      <w:r>
        <w:rPr>
          <w:rFonts w:ascii="仿宋_GB2312" w:hAnsi="仿宋" w:eastAsia="仿宋_GB2312"/>
          <w:sz w:val="32"/>
          <w:szCs w:val="32"/>
          <w:lang w:eastAsia="zh-Hans" w:bidi="ar"/>
        </w:rPr>
        <w:t>，</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val="en-US" w:eastAsia="zh-CN" w:bidi="ar"/>
        </w:rPr>
        <w:t>1</w:t>
      </w:r>
      <w:r>
        <w:rPr>
          <w:rFonts w:ascii="仿宋_GB2312" w:hAnsi="仿宋" w:eastAsia="仿宋_GB2312"/>
          <w:sz w:val="32"/>
          <w:szCs w:val="32"/>
          <w:lang w:eastAsia="zh-Hans" w:bidi="ar"/>
        </w:rPr>
        <w:t>：</w:t>
      </w:r>
    </w:p>
    <w:p>
      <w:pPr>
        <w:pStyle w:val="4"/>
        <w:widowControl w:val="0"/>
        <w:kinsoku/>
        <w:autoSpaceDE/>
        <w:autoSpaceDN/>
        <w:adjustRightInd/>
        <w:snapToGrid/>
        <w:spacing w:after="0" w:line="240" w:lineRule="auto"/>
        <w:jc w:val="center"/>
        <w:textAlignment w:val="auto"/>
        <w:rPr>
          <w:lang w:eastAsia="zh-Hans"/>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1</w:t>
      </w:r>
      <w:r>
        <w:rPr>
          <w:rFonts w:hint="eastAsia" w:ascii="仿宋_GB2312" w:hAnsi="仿宋_GB2312" w:eastAsia="仿宋_GB2312" w:cs="仿宋_GB2312"/>
          <w:snapToGrid/>
          <w:kern w:val="2"/>
          <w:sz w:val="28"/>
          <w:szCs w:val="28"/>
        </w:rPr>
        <w:t>：产出数量指标完成情况表</w:t>
      </w:r>
    </w:p>
    <w:tbl>
      <w:tblPr>
        <w:tblStyle w:val="11"/>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1224"/>
        <w:gridCol w:w="2971"/>
        <w:gridCol w:w="1660"/>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blHeader/>
          <w:jc w:val="center"/>
        </w:trPr>
        <w:tc>
          <w:tcPr>
            <w:tcW w:w="83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lang w:bidi="ar"/>
              </w:rPr>
              <w:t>序号</w:t>
            </w:r>
          </w:p>
        </w:tc>
        <w:tc>
          <w:tcPr>
            <w:tcW w:w="122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lang w:bidi="ar"/>
              </w:rPr>
              <w:t>指标类型</w:t>
            </w:r>
          </w:p>
        </w:tc>
        <w:tc>
          <w:tcPr>
            <w:tcW w:w="297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lang w:bidi="ar"/>
              </w:rPr>
              <w:t>三级指标</w:t>
            </w:r>
          </w:p>
        </w:tc>
        <w:tc>
          <w:tcPr>
            <w:tcW w:w="1660"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lang w:bidi="ar"/>
              </w:rPr>
              <w:t>指标值</w:t>
            </w:r>
          </w:p>
        </w:tc>
        <w:tc>
          <w:tcPr>
            <w:tcW w:w="198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ajorEastAsia" w:hAnsiTheme="majorEastAsia" w:eastAsiaTheme="majorEastAsia" w:cstheme="majorEastAsia"/>
                <w:b/>
                <w:sz w:val="20"/>
                <w:szCs w:val="20"/>
              </w:rPr>
            </w:pPr>
            <w:r>
              <w:rPr>
                <w:rFonts w:hint="eastAsia" w:asciiTheme="majorEastAsia" w:hAnsiTheme="majorEastAsia" w:eastAsiaTheme="majorEastAsia" w:cstheme="majorEastAsia"/>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rPr>
            </w:pPr>
            <w:r>
              <w:rPr>
                <w:rFonts w:hint="eastAsia" w:asciiTheme="majorEastAsia" w:hAnsiTheme="majorEastAsia" w:eastAsiaTheme="majorEastAsia" w:cstheme="majorEastAsia"/>
                <w:sz w:val="20"/>
                <w:szCs w:val="20"/>
                <w:lang w:bidi="ar"/>
              </w:rPr>
              <w:t>1</w:t>
            </w:r>
          </w:p>
        </w:tc>
        <w:tc>
          <w:tcPr>
            <w:tcW w:w="1224"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ajorEastAsia" w:hAnsiTheme="majorEastAsia" w:eastAsiaTheme="majorEastAsia" w:cstheme="majorEastAsia"/>
                <w:sz w:val="20"/>
                <w:szCs w:val="20"/>
                <w:lang w:bidi="ar"/>
              </w:rPr>
            </w:pPr>
            <w:r>
              <w:rPr>
                <w:rFonts w:hint="eastAsia" w:asciiTheme="majorEastAsia" w:hAnsiTheme="majorEastAsia" w:eastAsiaTheme="majorEastAsia" w:cstheme="majorEastAsia"/>
                <w:sz w:val="20"/>
                <w:szCs w:val="20"/>
                <w:lang w:bidi="ar"/>
              </w:rPr>
              <w:t>政府办基层医疗卫生机构实施国家基本药物制度覆盖率</w:t>
            </w:r>
          </w:p>
        </w:tc>
        <w:tc>
          <w:tcPr>
            <w:tcW w:w="1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ajorEastAsia" w:hAnsiTheme="majorEastAsia" w:eastAsiaTheme="majorEastAsia" w:cstheme="majorEastAsia"/>
                <w:sz w:val="20"/>
                <w:szCs w:val="20"/>
                <w:lang w:bidi="ar"/>
              </w:rPr>
            </w:pPr>
            <w:r>
              <w:rPr>
                <w:rFonts w:hint="eastAsia" w:asciiTheme="majorEastAsia" w:hAnsiTheme="majorEastAsia" w:eastAsiaTheme="majorEastAsia" w:cstheme="majorEastAsia"/>
                <w:sz w:val="20"/>
                <w:szCs w:val="20"/>
                <w:lang w:bidi="ar"/>
              </w:rPr>
              <w:t>100.00%</w:t>
            </w:r>
          </w:p>
        </w:tc>
        <w:tc>
          <w:tcPr>
            <w:tcW w:w="198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ajorEastAsia" w:hAnsiTheme="majorEastAsia" w:eastAsiaTheme="majorEastAsia" w:cstheme="majorEastAsia"/>
                <w:sz w:val="20"/>
                <w:szCs w:val="20"/>
                <w:lang w:bidi="ar"/>
              </w:rPr>
            </w:pPr>
            <w:r>
              <w:rPr>
                <w:rFonts w:hint="eastAsia" w:asciiTheme="majorEastAsia" w:hAnsiTheme="majorEastAsia" w:eastAsiaTheme="majorEastAsia" w:cstheme="majorEastAsia"/>
                <w:sz w:val="20"/>
                <w:szCs w:val="20"/>
                <w:lang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831" w:type="dxa"/>
            <w:tcBorders>
              <w:top w:val="single" w:color="auto" w:sz="4" w:space="0"/>
              <w:left w:val="single" w:color="auto" w:sz="4" w:space="0"/>
              <w:bottom w:val="single" w:color="auto" w:sz="4" w:space="0"/>
              <w:right w:val="single" w:color="auto" w:sz="4" w:space="0"/>
            </w:tcBorders>
            <w:vAlign w:val="center"/>
          </w:tcPr>
          <w:p>
            <w:pPr>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bidi="ar"/>
              </w:rPr>
              <w:t>2</w:t>
            </w:r>
          </w:p>
        </w:tc>
        <w:tc>
          <w:tcPr>
            <w:tcW w:w="1224"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ajorEastAsia" w:hAnsiTheme="majorEastAsia" w:eastAsiaTheme="majorEastAsia" w:cstheme="majorEastAsia"/>
                <w:sz w:val="20"/>
                <w:szCs w:val="20"/>
                <w:lang w:eastAsia="zh-Hans" w:bidi="ar"/>
              </w:rPr>
            </w:pPr>
            <w:r>
              <w:rPr>
                <w:rFonts w:hint="eastAsia" w:asciiTheme="majorEastAsia" w:hAnsiTheme="majorEastAsia" w:eastAsiaTheme="majorEastAsia" w:cstheme="majorEastAsia"/>
                <w:sz w:val="20"/>
                <w:szCs w:val="20"/>
                <w:lang w:eastAsia="zh-Hans" w:bidi="ar"/>
              </w:rPr>
              <w:t>数量</w:t>
            </w:r>
            <w:r>
              <w:rPr>
                <w:rFonts w:hint="eastAsia" w:asciiTheme="majorEastAsia" w:hAnsiTheme="majorEastAsia" w:eastAsiaTheme="majorEastAsia" w:cstheme="majorEastAsia"/>
                <w:sz w:val="20"/>
                <w:szCs w:val="20"/>
                <w:lang w:bidi="ar"/>
              </w:rPr>
              <w:t>指标</w:t>
            </w:r>
          </w:p>
        </w:tc>
        <w:tc>
          <w:tcPr>
            <w:tcW w:w="297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ajorEastAsia" w:hAnsiTheme="majorEastAsia" w:eastAsiaTheme="majorEastAsia" w:cstheme="majorEastAsia"/>
                <w:sz w:val="20"/>
                <w:szCs w:val="20"/>
                <w:lang w:bidi="ar"/>
              </w:rPr>
            </w:pPr>
            <w:r>
              <w:rPr>
                <w:rFonts w:hint="eastAsia" w:asciiTheme="majorEastAsia" w:hAnsiTheme="majorEastAsia" w:eastAsiaTheme="majorEastAsia" w:cstheme="majorEastAsia"/>
                <w:sz w:val="20"/>
                <w:szCs w:val="20"/>
                <w:lang w:bidi="ar"/>
              </w:rPr>
              <w:t>村卫生室实施国家基本药物制度覆盖率</w:t>
            </w:r>
          </w:p>
        </w:tc>
        <w:tc>
          <w:tcPr>
            <w:tcW w:w="166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ajorEastAsia" w:hAnsiTheme="majorEastAsia" w:eastAsiaTheme="majorEastAsia" w:cstheme="majorEastAsia"/>
                <w:sz w:val="20"/>
                <w:szCs w:val="20"/>
                <w:lang w:bidi="ar"/>
              </w:rPr>
            </w:pPr>
            <w:r>
              <w:rPr>
                <w:rFonts w:hint="eastAsia" w:asciiTheme="majorEastAsia" w:hAnsiTheme="majorEastAsia" w:eastAsiaTheme="majorEastAsia" w:cstheme="majorEastAsia"/>
                <w:sz w:val="20"/>
                <w:szCs w:val="20"/>
                <w:lang w:bidi="ar"/>
              </w:rPr>
              <w:t>100.00%</w:t>
            </w:r>
          </w:p>
        </w:tc>
        <w:tc>
          <w:tcPr>
            <w:tcW w:w="198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ajorEastAsia" w:hAnsiTheme="majorEastAsia" w:eastAsiaTheme="majorEastAsia" w:cstheme="majorEastAsia"/>
                <w:sz w:val="20"/>
                <w:szCs w:val="20"/>
                <w:lang w:bidi="ar"/>
              </w:rPr>
            </w:pPr>
            <w:r>
              <w:rPr>
                <w:rFonts w:hint="eastAsia" w:asciiTheme="majorEastAsia" w:hAnsiTheme="majorEastAsia" w:eastAsiaTheme="majorEastAsia" w:cstheme="majorEastAsia"/>
                <w:sz w:val="20"/>
                <w:szCs w:val="20"/>
                <w:lang w:bidi="ar"/>
              </w:rPr>
              <w:t>100.00%</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ascii="仿宋_GB2312" w:hAnsi="仿宋_GB2312" w:eastAsia="仿宋_GB2312" w:cs="仿宋_GB2312"/>
          <w:bCs/>
          <w:sz w:val="32"/>
          <w:szCs w:val="32"/>
          <w:highlight w:val="lightGray"/>
          <w:lang w:eastAsia="zh-Hans"/>
        </w:rPr>
      </w:pPr>
      <w:r>
        <w:rPr>
          <w:rFonts w:hint="eastAsia" w:ascii="仿宋_GB2312" w:hAnsi="仿宋_GB2312" w:eastAsia="仿宋_GB2312" w:cs="仿宋_GB2312"/>
          <w:bCs/>
          <w:sz w:val="32"/>
          <w:szCs w:val="32"/>
          <w:lang w:eastAsia="zh-Hans"/>
        </w:rPr>
        <w:t>2.效益指标完成情况分析</w:t>
      </w:r>
    </w:p>
    <w:p>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 w:eastAsia="仿宋_GB2312"/>
          <w:sz w:val="32"/>
          <w:szCs w:val="32"/>
          <w:lang w:bidi="ar"/>
        </w:rPr>
      </w:pPr>
      <w:r>
        <w:rPr>
          <w:rFonts w:hint="eastAsia" w:ascii="仿宋_GB2312" w:hAnsi="仿宋" w:eastAsia="仿宋_GB2312"/>
          <w:sz w:val="32"/>
          <w:szCs w:val="32"/>
          <w:lang w:bidi="ar"/>
        </w:rPr>
        <w:t>（1）经济效益指标</w:t>
      </w:r>
    </w:p>
    <w:p>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firstLine="641"/>
        <w:textAlignment w:val="baseline"/>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2022年北京市中央转移支付基本药物制度补助资金设定的经济</w:t>
      </w:r>
      <w:r>
        <w:rPr>
          <w:rFonts w:hint="eastAsia" w:ascii="仿宋_GB2312" w:hAnsi="仿宋" w:eastAsia="仿宋_GB2312"/>
          <w:sz w:val="32"/>
          <w:szCs w:val="32"/>
          <w:lang w:eastAsia="zh-Hans" w:bidi="ar"/>
        </w:rPr>
        <w:t>效益</w:t>
      </w:r>
      <w:r>
        <w:rPr>
          <w:rFonts w:hint="eastAsia" w:ascii="仿宋_GB2312" w:hAnsi="仿宋" w:eastAsia="仿宋_GB2312"/>
          <w:sz w:val="32"/>
          <w:szCs w:val="32"/>
          <w:lang w:bidi="ar"/>
        </w:rPr>
        <w:t>指标共</w:t>
      </w:r>
      <w:r>
        <w:rPr>
          <w:rFonts w:hint="eastAsia" w:ascii="仿宋_GB2312" w:hAnsi="仿宋" w:eastAsia="仿宋_GB2312"/>
          <w:sz w:val="32"/>
          <w:szCs w:val="32"/>
          <w:lang w:val="en-US" w:eastAsia="zh-CN" w:bidi="ar"/>
        </w:rPr>
        <w:t>1</w:t>
      </w:r>
      <w:r>
        <w:rPr>
          <w:rFonts w:hint="eastAsia" w:ascii="仿宋_GB2312" w:hAnsi="仿宋" w:eastAsia="仿宋_GB2312"/>
          <w:sz w:val="32"/>
          <w:szCs w:val="32"/>
          <w:lang w:bidi="ar"/>
        </w:rPr>
        <w:t>项，指标均已完成</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val="en-US" w:eastAsia="zh-CN" w:bidi="ar"/>
        </w:rPr>
        <w:t>2</w:t>
      </w:r>
      <w:r>
        <w:rPr>
          <w:rFonts w:hint="eastAsia" w:ascii="仿宋_GB2312" w:hAnsi="仿宋" w:eastAsia="仿宋_GB2312"/>
          <w:sz w:val="32"/>
          <w:szCs w:val="32"/>
          <w:lang w:eastAsia="zh-Hans" w:bidi="ar"/>
        </w:rPr>
        <w:t>：</w:t>
      </w:r>
    </w:p>
    <w:p>
      <w:pPr>
        <w:pStyle w:val="4"/>
        <w:widowControl w:val="0"/>
        <w:kinsoku/>
        <w:autoSpaceDE/>
        <w:autoSpaceDN/>
        <w:adjustRightInd/>
        <w:snapToGrid/>
        <w:spacing w:after="0" w:line="240" w:lineRule="auto"/>
        <w:jc w:val="center"/>
        <w:textAlignment w:val="auto"/>
        <w:rPr>
          <w:rFonts w:ascii="仿宋_GB2312" w:hAnsi="仿宋" w:eastAsia="仿宋_GB2312"/>
          <w:sz w:val="32"/>
          <w:szCs w:val="32"/>
          <w:lang w:eastAsia="zh-Hans" w:bidi="ar"/>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2</w:t>
      </w:r>
      <w:r>
        <w:rPr>
          <w:rFonts w:hint="eastAsia" w:ascii="仿宋_GB2312" w:hAnsi="仿宋_GB2312" w:eastAsia="仿宋_GB2312" w:cs="仿宋_GB2312"/>
          <w:snapToGrid/>
          <w:kern w:val="2"/>
          <w:sz w:val="28"/>
          <w:szCs w:val="28"/>
        </w:rPr>
        <w:t>：经济效益指标完成情况表</w:t>
      </w:r>
    </w:p>
    <w:tbl>
      <w:tblPr>
        <w:tblStyle w:val="11"/>
        <w:tblW w:w="8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1444"/>
        <w:gridCol w:w="2513"/>
        <w:gridCol w:w="1984"/>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25"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lang w:bidi="ar"/>
              </w:rPr>
            </w:pPr>
            <w:r>
              <w:rPr>
                <w:rFonts w:hint="eastAsia" w:asciiTheme="minorEastAsia" w:hAnsiTheme="minorEastAsia" w:eastAsiaTheme="minorEastAsia" w:cstheme="minorEastAsia"/>
                <w:b/>
                <w:sz w:val="20"/>
                <w:szCs w:val="20"/>
                <w:lang w:bidi="ar"/>
              </w:rPr>
              <w:t>序号</w:t>
            </w:r>
          </w:p>
        </w:tc>
        <w:tc>
          <w:tcPr>
            <w:tcW w:w="144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lang w:bidi="ar"/>
              </w:rPr>
            </w:pPr>
            <w:r>
              <w:rPr>
                <w:rFonts w:hint="eastAsia" w:asciiTheme="minorEastAsia" w:hAnsiTheme="minorEastAsia" w:eastAsiaTheme="minorEastAsia" w:cstheme="minorEastAsia"/>
                <w:b/>
                <w:sz w:val="20"/>
                <w:szCs w:val="20"/>
                <w:lang w:bidi="ar"/>
              </w:rPr>
              <w:t>指标类型</w:t>
            </w:r>
          </w:p>
        </w:tc>
        <w:tc>
          <w:tcPr>
            <w:tcW w:w="2513"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lang w:bidi="ar"/>
              </w:rPr>
            </w:pPr>
            <w:r>
              <w:rPr>
                <w:rFonts w:hint="eastAsia" w:asciiTheme="minorEastAsia" w:hAnsiTheme="minorEastAsia" w:eastAsiaTheme="minorEastAsia" w:cstheme="minorEastAsia"/>
                <w:b/>
                <w:sz w:val="20"/>
                <w:szCs w:val="20"/>
                <w:lang w:bidi="ar"/>
              </w:rPr>
              <w:t>三级指标</w:t>
            </w:r>
          </w:p>
        </w:tc>
        <w:tc>
          <w:tcPr>
            <w:tcW w:w="198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lang w:bidi="ar"/>
              </w:rPr>
            </w:pPr>
            <w:r>
              <w:rPr>
                <w:rFonts w:hint="eastAsia" w:asciiTheme="minorEastAsia" w:hAnsiTheme="minorEastAsia" w:eastAsiaTheme="minorEastAsia" w:cstheme="minorEastAsia"/>
                <w:b/>
                <w:sz w:val="20"/>
                <w:szCs w:val="20"/>
                <w:lang w:bidi="ar"/>
              </w:rPr>
              <w:t>指标值</w:t>
            </w:r>
          </w:p>
        </w:tc>
        <w:tc>
          <w:tcPr>
            <w:tcW w:w="1633"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lang w:bidi="ar"/>
              </w:rPr>
            </w:pPr>
            <w:r>
              <w:rPr>
                <w:rFonts w:hint="eastAsia" w:asciiTheme="minorEastAsia" w:hAnsiTheme="minorEastAsia" w:eastAsiaTheme="minorEastAsia" w:cstheme="minorEastAsia"/>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25"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1</w:t>
            </w:r>
          </w:p>
        </w:tc>
        <w:tc>
          <w:tcPr>
            <w:tcW w:w="1444"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经济效益</w:t>
            </w:r>
            <w:r>
              <w:rPr>
                <w:rFonts w:hint="eastAsia" w:asciiTheme="minorEastAsia" w:hAnsiTheme="minorEastAsia" w:eastAsiaTheme="minorEastAsia" w:cstheme="minorEastAsia"/>
                <w:sz w:val="20"/>
                <w:szCs w:val="20"/>
                <w:lang w:eastAsia="zh-Hans" w:bidi="ar"/>
              </w:rPr>
              <w:t>指标</w:t>
            </w:r>
          </w:p>
        </w:tc>
        <w:tc>
          <w:tcPr>
            <w:tcW w:w="2513"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乡村医生收入</w:t>
            </w:r>
          </w:p>
        </w:tc>
        <w:tc>
          <w:tcPr>
            <w:tcW w:w="1984"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bidi="ar"/>
              </w:rPr>
              <w:t>保持稳定</w:t>
            </w:r>
          </w:p>
        </w:tc>
        <w:tc>
          <w:tcPr>
            <w:tcW w:w="1633" w:type="dxa"/>
            <w:tcBorders>
              <w:top w:val="single" w:color="auto" w:sz="4" w:space="0"/>
              <w:left w:val="single" w:color="auto" w:sz="4" w:space="0"/>
              <w:bottom w:val="single" w:color="auto" w:sz="4" w:space="0"/>
              <w:right w:val="single" w:color="auto" w:sz="4" w:space="0"/>
            </w:tcBorders>
            <w:vAlign w:val="center"/>
          </w:tcPr>
          <w:p>
            <w:pPr>
              <w:spacing w:after="156" w:afterLines="50"/>
              <w:jc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bidi="ar"/>
              </w:rPr>
              <w:t>保持稳定</w:t>
            </w:r>
          </w:p>
        </w:tc>
      </w:tr>
    </w:tbl>
    <w:p>
      <w:pPr>
        <w:pStyle w:val="4"/>
        <w:keepNext w:val="0"/>
        <w:keepLines w:val="0"/>
        <w:pageBreakBefore w:val="0"/>
        <w:widowControl/>
        <w:kinsoku w:val="0"/>
        <w:wordWrap/>
        <w:overflowPunct/>
        <w:topLinePunct w:val="0"/>
        <w:autoSpaceDE w:val="0"/>
        <w:autoSpaceDN w:val="0"/>
        <w:bidi w:val="0"/>
        <w:adjustRightInd w:val="0"/>
        <w:snapToGrid w:val="0"/>
        <w:spacing w:after="0" w:line="560" w:lineRule="exact"/>
        <w:ind w:firstLine="640" w:firstLineChars="200"/>
        <w:textAlignment w:val="baseline"/>
        <w:rPr>
          <w:rFonts w:ascii="仿宋_GB2312" w:hAnsi="仿宋" w:eastAsia="仿宋_GB2312"/>
          <w:sz w:val="32"/>
          <w:szCs w:val="32"/>
          <w:lang w:bidi="ar"/>
        </w:rPr>
      </w:pPr>
      <w:r>
        <w:rPr>
          <w:rFonts w:hint="eastAsia" w:ascii="仿宋_GB2312" w:hAnsi="仿宋" w:eastAsia="仿宋_GB2312"/>
          <w:sz w:val="32"/>
          <w:szCs w:val="32"/>
          <w:lang w:bidi="ar"/>
        </w:rPr>
        <w:t>（2）可持续影响效益指标</w:t>
      </w:r>
    </w:p>
    <w:p>
      <w:pPr>
        <w:pStyle w:val="4"/>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ascii="仿宋_GB2312" w:hAnsi="仿宋" w:eastAsia="仿宋_GB2312"/>
          <w:sz w:val="32"/>
          <w:szCs w:val="32"/>
          <w:lang w:eastAsia="zh-Hans" w:bidi="ar"/>
        </w:rPr>
      </w:pPr>
      <w:r>
        <w:rPr>
          <w:rFonts w:hint="eastAsia" w:ascii="仿宋_GB2312" w:hAnsi="仿宋" w:eastAsia="仿宋_GB2312"/>
          <w:sz w:val="32"/>
          <w:szCs w:val="32"/>
          <w:lang w:bidi="ar"/>
        </w:rPr>
        <w:t>2022年北京市中央转移支付基本药物制度补助资金设定的可持续影响</w:t>
      </w:r>
      <w:r>
        <w:rPr>
          <w:rFonts w:hint="eastAsia" w:ascii="仿宋_GB2312" w:hAnsi="仿宋" w:eastAsia="仿宋_GB2312"/>
          <w:sz w:val="32"/>
          <w:szCs w:val="32"/>
          <w:lang w:eastAsia="zh-Hans" w:bidi="ar"/>
        </w:rPr>
        <w:t>效益</w:t>
      </w:r>
      <w:r>
        <w:rPr>
          <w:rFonts w:hint="eastAsia" w:ascii="仿宋_GB2312" w:hAnsi="仿宋" w:eastAsia="仿宋_GB2312"/>
          <w:sz w:val="32"/>
          <w:szCs w:val="32"/>
          <w:lang w:bidi="ar"/>
        </w:rPr>
        <w:t>指标共</w:t>
      </w:r>
      <w:r>
        <w:rPr>
          <w:rFonts w:hint="eastAsia" w:ascii="仿宋_GB2312" w:hAnsi="仿宋" w:eastAsia="仿宋_GB2312"/>
          <w:sz w:val="32"/>
          <w:szCs w:val="32"/>
          <w:lang w:val="en-US" w:eastAsia="zh-CN" w:bidi="ar"/>
        </w:rPr>
        <w:t>1</w:t>
      </w:r>
      <w:r>
        <w:rPr>
          <w:rFonts w:hint="eastAsia" w:ascii="仿宋_GB2312" w:hAnsi="仿宋" w:eastAsia="仿宋_GB2312"/>
          <w:sz w:val="32"/>
          <w:szCs w:val="32"/>
          <w:lang w:bidi="ar"/>
        </w:rPr>
        <w:t>项，指标均已完成，</w:t>
      </w:r>
      <w:r>
        <w:rPr>
          <w:rFonts w:hint="eastAsia" w:ascii="仿宋_GB2312" w:hAnsi="仿宋" w:eastAsia="仿宋_GB2312"/>
          <w:sz w:val="32"/>
          <w:szCs w:val="32"/>
          <w:lang w:eastAsia="zh-Hans" w:bidi="ar"/>
        </w:rPr>
        <w:t>具体情况如下表</w:t>
      </w:r>
      <w:r>
        <w:rPr>
          <w:rFonts w:hint="eastAsia" w:ascii="仿宋_GB2312" w:hAnsi="仿宋" w:eastAsia="仿宋_GB2312"/>
          <w:sz w:val="32"/>
          <w:szCs w:val="32"/>
          <w:lang w:val="en-US" w:eastAsia="zh-CN" w:bidi="ar"/>
        </w:rPr>
        <w:t>3</w:t>
      </w:r>
      <w:r>
        <w:rPr>
          <w:rFonts w:hint="eastAsia" w:ascii="仿宋_GB2312" w:hAnsi="仿宋" w:eastAsia="仿宋_GB2312"/>
          <w:sz w:val="32"/>
          <w:szCs w:val="32"/>
          <w:lang w:eastAsia="zh-Hans" w:bidi="ar"/>
        </w:rPr>
        <w:t>：</w:t>
      </w:r>
    </w:p>
    <w:p>
      <w:pPr>
        <w:pStyle w:val="4"/>
        <w:widowControl w:val="0"/>
        <w:kinsoku/>
        <w:autoSpaceDE/>
        <w:autoSpaceDN/>
        <w:adjustRightInd/>
        <w:snapToGrid/>
        <w:spacing w:after="0" w:line="240" w:lineRule="auto"/>
        <w:jc w:val="center"/>
        <w:textAlignment w:val="auto"/>
        <w:rPr>
          <w:rFonts w:ascii="仿宋_GB2312" w:hAnsi="仿宋" w:eastAsia="仿宋_GB2312"/>
          <w:sz w:val="32"/>
          <w:szCs w:val="32"/>
          <w:lang w:eastAsia="zh-Hans" w:bidi="ar"/>
        </w:rPr>
      </w:pPr>
      <w:r>
        <w:rPr>
          <w:rFonts w:hint="eastAsia" w:ascii="仿宋_GB2312" w:hAnsi="仿宋_GB2312" w:eastAsia="仿宋_GB2312" w:cs="仿宋_GB2312"/>
          <w:snapToGrid/>
          <w:kern w:val="2"/>
          <w:sz w:val="28"/>
          <w:szCs w:val="28"/>
        </w:rPr>
        <w:t>表</w:t>
      </w:r>
      <w:r>
        <w:rPr>
          <w:rFonts w:hint="eastAsia" w:ascii="仿宋_GB2312" w:hAnsi="仿宋_GB2312" w:eastAsia="仿宋_GB2312" w:cs="仿宋_GB2312"/>
          <w:snapToGrid/>
          <w:kern w:val="2"/>
          <w:sz w:val="28"/>
          <w:szCs w:val="28"/>
          <w:lang w:val="en-US" w:eastAsia="zh-CN"/>
        </w:rPr>
        <w:t>3</w:t>
      </w:r>
      <w:r>
        <w:rPr>
          <w:rFonts w:hint="eastAsia" w:ascii="仿宋_GB2312" w:hAnsi="仿宋_GB2312" w:eastAsia="仿宋_GB2312" w:cs="仿宋_GB2312"/>
          <w:snapToGrid/>
          <w:kern w:val="2"/>
          <w:sz w:val="28"/>
          <w:szCs w:val="28"/>
        </w:rPr>
        <w:t>：可持续影响效益指标完成情况表</w:t>
      </w:r>
    </w:p>
    <w:tbl>
      <w:tblPr>
        <w:tblStyle w:val="11"/>
        <w:tblW w:w="8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1301"/>
        <w:gridCol w:w="2768"/>
        <w:gridCol w:w="1794"/>
        <w:gridCol w:w="1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88"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序号</w:t>
            </w:r>
          </w:p>
        </w:tc>
        <w:tc>
          <w:tcPr>
            <w:tcW w:w="1301"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指标类型</w:t>
            </w:r>
          </w:p>
        </w:tc>
        <w:tc>
          <w:tcPr>
            <w:tcW w:w="2768"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三级指标</w:t>
            </w:r>
          </w:p>
        </w:tc>
        <w:tc>
          <w:tcPr>
            <w:tcW w:w="1794"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指标值</w:t>
            </w:r>
          </w:p>
        </w:tc>
        <w:tc>
          <w:tcPr>
            <w:tcW w:w="1795" w:type="dxa"/>
            <w:tcBorders>
              <w:top w:val="single" w:color="auto" w:sz="4" w:space="0"/>
              <w:left w:val="single" w:color="auto" w:sz="4" w:space="0"/>
              <w:bottom w:val="single" w:color="auto" w:sz="4" w:space="0"/>
              <w:right w:val="single" w:color="auto" w:sz="4" w:space="0"/>
            </w:tcBorders>
            <w:shd w:val="clear" w:color="auto" w:fill="A6A6A6"/>
            <w:vAlign w:val="center"/>
          </w:tcPr>
          <w:p>
            <w:pPr>
              <w:jc w:val="center"/>
              <w:rPr>
                <w:rFonts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lang w:bidi="ar"/>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78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sz w:val="20"/>
                <w:szCs w:val="20"/>
                <w:lang w:eastAsia="zh-Hans"/>
              </w:rPr>
            </w:pPr>
            <w:r>
              <w:rPr>
                <w:rFonts w:hint="eastAsia" w:asciiTheme="minorEastAsia" w:hAnsiTheme="minorEastAsia" w:eastAsiaTheme="minorEastAsia" w:cstheme="minorEastAsia"/>
                <w:sz w:val="20"/>
                <w:szCs w:val="20"/>
                <w:lang w:bidi="ar"/>
              </w:rPr>
              <w:t>1</w:t>
            </w:r>
          </w:p>
        </w:tc>
        <w:tc>
          <w:tcPr>
            <w:tcW w:w="130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Hans" w:bidi="ar"/>
              </w:rPr>
              <w:t>可持续影响</w:t>
            </w:r>
            <w:r>
              <w:rPr>
                <w:rFonts w:hint="eastAsia" w:ascii="宋体" w:hAnsi="宋体" w:eastAsia="宋体" w:cs="宋体"/>
                <w:sz w:val="20"/>
                <w:szCs w:val="20"/>
                <w:lang w:eastAsia="zh-Hans" w:bidi="ar"/>
              </w:rPr>
              <w:t>指标</w:t>
            </w:r>
          </w:p>
        </w:tc>
        <w:tc>
          <w:tcPr>
            <w:tcW w:w="2768"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bidi="ar"/>
              </w:rPr>
              <w:t>国家基本药物制度在基层医疗持续实施</w:t>
            </w:r>
          </w:p>
        </w:tc>
        <w:tc>
          <w:tcPr>
            <w:tcW w:w="179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bidi="ar"/>
              </w:rPr>
              <w:t>中长期</w:t>
            </w:r>
          </w:p>
        </w:tc>
        <w:tc>
          <w:tcPr>
            <w:tcW w:w="179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heme="minorEastAsia" w:hAnsiTheme="minorEastAsia" w:eastAsiaTheme="minorEastAsia" w:cstheme="minorEastAsia"/>
                <w:sz w:val="20"/>
                <w:szCs w:val="20"/>
                <w:lang w:eastAsia="zh-Hans" w:bidi="ar"/>
              </w:rPr>
            </w:pPr>
            <w:r>
              <w:rPr>
                <w:rFonts w:hint="eastAsia" w:asciiTheme="minorEastAsia" w:hAnsiTheme="minorEastAsia" w:eastAsiaTheme="minorEastAsia" w:cstheme="minorEastAsia"/>
                <w:sz w:val="20"/>
                <w:szCs w:val="20"/>
                <w:lang w:bidi="ar"/>
              </w:rPr>
              <w:t>中长期</w:t>
            </w:r>
          </w:p>
        </w:tc>
      </w:tr>
    </w:tbl>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方正黑体_GBK" w:hAnsi="方正黑体_GBK" w:eastAsia="方正黑体_GBK" w:cs="方正黑体_GBK"/>
          <w:b w:val="0"/>
          <w:bCs/>
          <w:snapToGrid/>
          <w:kern w:val="2"/>
          <w:sz w:val="32"/>
          <w:szCs w:val="32"/>
          <w:lang w:eastAsia="zh-CN"/>
        </w:rPr>
      </w:pPr>
      <w:r>
        <w:rPr>
          <w:rFonts w:hint="eastAsia" w:ascii="方正黑体_GBK" w:hAnsi="方正黑体_GBK" w:eastAsia="方正黑体_GBK" w:cs="方正黑体_GBK"/>
          <w:b w:val="0"/>
          <w:bCs/>
          <w:snapToGrid/>
          <w:kern w:val="2"/>
          <w:sz w:val="32"/>
          <w:szCs w:val="32"/>
          <w:lang w:eastAsia="zh-CN"/>
        </w:rPr>
        <w:t>绩效自评结论</w:t>
      </w:r>
    </w:p>
    <w:p>
      <w:pPr>
        <w:keepNext w:val="0"/>
        <w:keepLines w:val="0"/>
        <w:pageBreakBefore w:val="0"/>
        <w:wordWrap/>
        <w:overflowPunct/>
        <w:topLinePunct w:val="0"/>
        <w:bidi w:val="0"/>
        <w:spacing w:line="560" w:lineRule="exact"/>
        <w:ind w:firstLine="640" w:firstLineChars="200"/>
        <w:jc w:val="both"/>
        <w:rPr>
          <w:rFonts w:ascii="仿宋_GB2312" w:hAnsi="仿宋_GB2312" w:eastAsia="仿宋_GB2312" w:cs="仿宋_GB2312"/>
          <w:sz w:val="32"/>
          <w:szCs w:val="32"/>
          <w:lang w:eastAsia="zh-Hans"/>
        </w:rPr>
      </w:pPr>
      <w:r>
        <w:rPr>
          <w:rFonts w:hint="eastAsia" w:ascii="仿宋_GB2312" w:hAnsi="仿宋_GB2312" w:eastAsia="仿宋_GB2312" w:cs="仿宋_GB2312"/>
          <w:bCs/>
          <w:snapToGrid/>
          <w:kern w:val="2"/>
          <w:sz w:val="32"/>
          <w:szCs w:val="32"/>
          <w:lang w:val="en-US" w:eastAsia="zh-CN" w:bidi="ar"/>
        </w:rPr>
        <w:t>根据本次绩效自评工作结果，本项目</w:t>
      </w:r>
      <w:r>
        <w:rPr>
          <w:rFonts w:hint="eastAsia" w:ascii="仿宋_GB2312" w:hAnsi="仿宋_GB2312" w:eastAsia="仿宋_GB2312" w:cs="仿宋_GB2312"/>
          <w:bCs/>
          <w:snapToGrid/>
          <w:kern w:val="2"/>
          <w:sz w:val="32"/>
          <w:szCs w:val="32"/>
          <w:lang w:eastAsia="zh-CN" w:bidi="ar"/>
        </w:rPr>
        <w:t>共设置</w:t>
      </w:r>
      <w:r>
        <w:rPr>
          <w:rFonts w:hint="eastAsia" w:ascii="仿宋_GB2312" w:hAnsi="仿宋_GB2312" w:eastAsia="仿宋_GB2312" w:cs="仿宋_GB2312"/>
          <w:bCs/>
          <w:snapToGrid/>
          <w:kern w:val="2"/>
          <w:sz w:val="32"/>
          <w:szCs w:val="32"/>
          <w:lang w:val="en-US" w:eastAsia="zh-CN" w:bidi="ar"/>
        </w:rPr>
        <w:t>4项年度绩效</w:t>
      </w:r>
      <w:r>
        <w:rPr>
          <w:rFonts w:hint="eastAsia" w:ascii="仿宋_GB2312" w:hAnsi="仿宋_GB2312" w:eastAsia="仿宋_GB2312" w:cs="仿宋_GB2312"/>
          <w:bCs/>
          <w:snapToGrid/>
          <w:kern w:val="2"/>
          <w:sz w:val="32"/>
          <w:szCs w:val="32"/>
          <w:lang w:eastAsia="zh-CN" w:bidi="ar"/>
        </w:rPr>
        <w:t>指标</w:t>
      </w:r>
      <w:r>
        <w:rPr>
          <w:rFonts w:hint="eastAsia" w:ascii="仿宋_GB2312" w:hAnsi="仿宋_GB2312" w:eastAsia="仿宋_GB2312" w:cs="仿宋_GB2312"/>
          <w:bCs/>
          <w:snapToGrid/>
          <w:kern w:val="2"/>
          <w:sz w:val="32"/>
          <w:szCs w:val="32"/>
          <w:lang w:val="en-US" w:eastAsia="zh-CN" w:bidi="ar"/>
        </w:rPr>
        <w:t>，均已实现年初目标值，项目实施取得了较好社会经济效益，</w:t>
      </w:r>
      <w:r>
        <w:rPr>
          <w:rFonts w:hint="eastAsia" w:ascii="仿宋_GB2312" w:hAnsi="仿宋_GB2312" w:eastAsia="仿宋_GB2312" w:cs="仿宋_GB2312"/>
          <w:snapToGrid/>
          <w:kern w:val="2"/>
          <w:sz w:val="32"/>
          <w:szCs w:val="32"/>
          <w:lang w:val="en-US" w:eastAsia="zh-CN" w:bidi="ar"/>
        </w:rPr>
        <w:t>自评结果整体良好</w:t>
      </w:r>
      <w:r>
        <w:rPr>
          <w:rFonts w:hint="eastAsia" w:ascii="仿宋_GB2312" w:hAnsi="仿宋_GB2312" w:eastAsia="仿宋_GB2312" w:cs="仿宋_GB2312"/>
          <w:bCs/>
          <w:snapToGrid/>
          <w:kern w:val="2"/>
          <w:sz w:val="32"/>
          <w:szCs w:val="32"/>
          <w:lang w:bidi="ar"/>
        </w:rPr>
        <w:t>。</w:t>
      </w:r>
      <w:r>
        <w:rPr>
          <w:rFonts w:hint="eastAsia" w:ascii="仿宋_GB2312" w:hAnsi="仿宋_GB2312" w:eastAsia="仿宋_GB2312" w:cs="仿宋_GB2312"/>
          <w:snapToGrid/>
          <w:kern w:val="2"/>
          <w:sz w:val="32"/>
          <w:szCs w:val="32"/>
          <w:lang w:val="en-US" w:eastAsia="zh-CN" w:bidi="ar"/>
        </w:rPr>
        <w:t>本项目绩效自评工作中暂未发现绩效目标偏离情况。</w:t>
      </w:r>
    </w:p>
    <w:bookmarkEnd w:id="2"/>
    <w:p>
      <w:pPr>
        <w:pStyle w:val="6"/>
        <w:keepNext w:val="0"/>
        <w:keepLines w:val="0"/>
        <w:pageBreakBefore w:val="0"/>
        <w:widowControl/>
        <w:kinsoku w:val="0"/>
        <w:wordWrap/>
        <w:overflowPunct/>
        <w:topLinePunct w:val="0"/>
        <w:autoSpaceDE w:val="0"/>
        <w:autoSpaceDN w:val="0"/>
        <w:bidi w:val="0"/>
        <w:adjustRightInd w:val="0"/>
        <w:snapToGrid w:val="0"/>
        <w:spacing w:line="560" w:lineRule="exact"/>
        <w:ind w:firstLine="3888" w:firstLineChars="1200"/>
        <w:textAlignment w:val="baseline"/>
        <w:rPr>
          <w:rFonts w:hint="eastAsia" w:ascii="仿宋_GB2312" w:hAnsi="仿宋_GB2312" w:eastAsia="仿宋_GB2312" w:cs="仿宋_GB2312"/>
          <w:spacing w:val="2"/>
          <w:sz w:val="32"/>
          <w:szCs w:val="32"/>
          <w:lang w:eastAsia="zh-CN"/>
        </w:rPr>
      </w:pPr>
    </w:p>
    <w:p>
      <w:pPr>
        <w:pStyle w:val="6"/>
        <w:keepNext w:val="0"/>
        <w:keepLines w:val="0"/>
        <w:pageBreakBefore w:val="0"/>
        <w:widowControl/>
        <w:kinsoku w:val="0"/>
        <w:wordWrap/>
        <w:overflowPunct/>
        <w:topLinePunct w:val="0"/>
        <w:autoSpaceDE w:val="0"/>
        <w:autoSpaceDN w:val="0"/>
        <w:bidi w:val="0"/>
        <w:adjustRightInd w:val="0"/>
        <w:snapToGrid w:val="0"/>
        <w:spacing w:line="560" w:lineRule="exact"/>
        <w:ind w:firstLine="3888" w:firstLineChars="1200"/>
        <w:textAlignment w:val="baseline"/>
        <w:rPr>
          <w:rFonts w:hint="eastAsia" w:ascii="仿宋_GB2312" w:hAnsi="仿宋_GB2312" w:eastAsia="仿宋_GB2312" w:cs="仿宋_GB2312"/>
          <w:spacing w:val="2"/>
          <w:sz w:val="32"/>
          <w:szCs w:val="32"/>
          <w:lang w:eastAsia="zh-CN"/>
        </w:rPr>
      </w:pPr>
    </w:p>
    <w:p>
      <w:pPr>
        <w:pStyle w:val="6"/>
        <w:keepNext w:val="0"/>
        <w:keepLines w:val="0"/>
        <w:pageBreakBefore w:val="0"/>
        <w:widowControl/>
        <w:kinsoku w:val="0"/>
        <w:wordWrap/>
        <w:overflowPunct/>
        <w:topLinePunct w:val="0"/>
        <w:autoSpaceDE w:val="0"/>
        <w:autoSpaceDN w:val="0"/>
        <w:bidi w:val="0"/>
        <w:adjustRightInd w:val="0"/>
        <w:snapToGrid w:val="0"/>
        <w:spacing w:line="560" w:lineRule="exact"/>
        <w:ind w:firstLine="3888" w:firstLineChars="1200"/>
        <w:textAlignment w:val="baseline"/>
        <w:rPr>
          <w:rFonts w:hint="eastAsia" w:ascii="仿宋_GB2312" w:hAnsi="仿宋_GB2312" w:eastAsia="仿宋_GB2312" w:cs="仿宋_GB2312"/>
          <w:spacing w:val="2"/>
          <w:sz w:val="32"/>
          <w:szCs w:val="32"/>
          <w:lang w:eastAsia="zh-CN"/>
        </w:rPr>
      </w:pPr>
      <w:bookmarkStart w:id="3" w:name="_GoBack"/>
      <w:bookmarkEnd w:id="3"/>
      <w:r>
        <w:rPr>
          <w:rFonts w:hint="eastAsia" w:ascii="仿宋_GB2312" w:hAnsi="仿宋_GB2312" w:eastAsia="仿宋_GB2312" w:cs="仿宋_GB2312"/>
          <w:spacing w:val="2"/>
          <w:sz w:val="32"/>
          <w:szCs w:val="32"/>
          <w:lang w:eastAsia="zh-CN"/>
        </w:rPr>
        <w:t>北京市卫生健康委员会</w:t>
      </w:r>
    </w:p>
    <w:p>
      <w:pPr>
        <w:pStyle w:val="6"/>
        <w:keepNext w:val="0"/>
        <w:keepLines w:val="0"/>
        <w:pageBreakBefore w:val="0"/>
        <w:widowControl/>
        <w:kinsoku w:val="0"/>
        <w:wordWrap/>
        <w:overflowPunct/>
        <w:topLinePunct w:val="0"/>
        <w:autoSpaceDE w:val="0"/>
        <w:autoSpaceDN w:val="0"/>
        <w:bidi w:val="0"/>
        <w:adjustRightInd w:val="0"/>
        <w:snapToGrid w:val="0"/>
        <w:spacing w:line="560" w:lineRule="exact"/>
        <w:ind w:firstLine="4860" w:firstLineChars="1500"/>
        <w:textAlignment w:val="baseline"/>
        <w:rPr>
          <w:rFonts w:hint="default" w:ascii="仿宋_GB2312" w:hAnsi="仿宋_GB2312" w:eastAsia="仿宋_GB2312" w:cs="仿宋_GB2312"/>
          <w:spacing w:val="2"/>
          <w:sz w:val="32"/>
          <w:szCs w:val="32"/>
          <w:lang w:val="en-US" w:eastAsia="zh-CN"/>
        </w:rPr>
      </w:pPr>
      <w:r>
        <w:rPr>
          <w:rFonts w:hint="eastAsia" w:ascii="仿宋_GB2312" w:hAnsi="仿宋_GB2312" w:eastAsia="仿宋_GB2312" w:cs="仿宋_GB2312"/>
          <w:spacing w:val="2"/>
          <w:sz w:val="32"/>
          <w:szCs w:val="32"/>
          <w:lang w:val="en-US" w:eastAsia="zh-CN"/>
        </w:rPr>
        <w:t>2023年6月8日</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560261"/>
      <w:docPartObj>
        <w:docPartGallery w:val="autotext"/>
      </w:docPartObj>
    </w:sdtPr>
    <w:sdtEndPr>
      <w:rPr>
        <w:rFonts w:asciiTheme="minorEastAsia" w:hAnsiTheme="minorEastAsia" w:eastAsiaTheme="minorEastAsia"/>
        <w:sz w:val="28"/>
        <w:szCs w:val="28"/>
      </w:rPr>
    </w:sdtEndPr>
    <w:sdtContent>
      <w:p>
        <w:pPr>
          <w:pStyle w:val="7"/>
          <w:jc w:val="center"/>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16</w:t>
        </w:r>
        <w:r>
          <w:rPr>
            <w:rFonts w:asciiTheme="minorEastAsia" w:hAnsiTheme="minorEastAsia" w:eastAsia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BE192B"/>
    <w:multiLevelType w:val="singleLevel"/>
    <w:tmpl w:val="FFBE192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mNDFiYWFiMjk4YzY3MGE0Nzc2NTBjYzg3ODRkY2YifQ=="/>
  </w:docVars>
  <w:rsids>
    <w:rsidRoot w:val="013B1BF0"/>
    <w:rsid w:val="000C383D"/>
    <w:rsid w:val="000D14F6"/>
    <w:rsid w:val="000D41B9"/>
    <w:rsid w:val="000F4B5E"/>
    <w:rsid w:val="000F67AF"/>
    <w:rsid w:val="00172E78"/>
    <w:rsid w:val="002406F6"/>
    <w:rsid w:val="003C3467"/>
    <w:rsid w:val="00595136"/>
    <w:rsid w:val="005D3225"/>
    <w:rsid w:val="00643BE3"/>
    <w:rsid w:val="006B6D1F"/>
    <w:rsid w:val="006E0D2F"/>
    <w:rsid w:val="006E35F5"/>
    <w:rsid w:val="007419CE"/>
    <w:rsid w:val="007F16C1"/>
    <w:rsid w:val="00980285"/>
    <w:rsid w:val="00A2011D"/>
    <w:rsid w:val="00A42719"/>
    <w:rsid w:val="00AA6430"/>
    <w:rsid w:val="00AA7487"/>
    <w:rsid w:val="00AD41CB"/>
    <w:rsid w:val="00B25133"/>
    <w:rsid w:val="00B313B9"/>
    <w:rsid w:val="00BB200C"/>
    <w:rsid w:val="00C43DE9"/>
    <w:rsid w:val="00CF6289"/>
    <w:rsid w:val="00D30800"/>
    <w:rsid w:val="00D42354"/>
    <w:rsid w:val="00D53903"/>
    <w:rsid w:val="00D70BC0"/>
    <w:rsid w:val="00E438A0"/>
    <w:rsid w:val="00F05BA2"/>
    <w:rsid w:val="00FA60EB"/>
    <w:rsid w:val="01170C55"/>
    <w:rsid w:val="013B1BF0"/>
    <w:rsid w:val="01FF3BC3"/>
    <w:rsid w:val="02661E94"/>
    <w:rsid w:val="02C72207"/>
    <w:rsid w:val="033755DF"/>
    <w:rsid w:val="044004C3"/>
    <w:rsid w:val="04602913"/>
    <w:rsid w:val="05F41565"/>
    <w:rsid w:val="07D4164E"/>
    <w:rsid w:val="092403B3"/>
    <w:rsid w:val="094822F4"/>
    <w:rsid w:val="09A432A2"/>
    <w:rsid w:val="0A314B36"/>
    <w:rsid w:val="0A51082F"/>
    <w:rsid w:val="0BD7170D"/>
    <w:rsid w:val="0E7B0A75"/>
    <w:rsid w:val="0E80608C"/>
    <w:rsid w:val="0EAD2BF9"/>
    <w:rsid w:val="0F9F2542"/>
    <w:rsid w:val="10703EDE"/>
    <w:rsid w:val="10B65D95"/>
    <w:rsid w:val="11D81D3B"/>
    <w:rsid w:val="122B27B2"/>
    <w:rsid w:val="12633CFA"/>
    <w:rsid w:val="133B6A25"/>
    <w:rsid w:val="13B642FE"/>
    <w:rsid w:val="14447B5C"/>
    <w:rsid w:val="14C91E0F"/>
    <w:rsid w:val="15064E11"/>
    <w:rsid w:val="1525173B"/>
    <w:rsid w:val="1695469E"/>
    <w:rsid w:val="187D188E"/>
    <w:rsid w:val="19A370D2"/>
    <w:rsid w:val="1ABC044C"/>
    <w:rsid w:val="1B966EEF"/>
    <w:rsid w:val="1C4032FE"/>
    <w:rsid w:val="1C827473"/>
    <w:rsid w:val="1CD001DE"/>
    <w:rsid w:val="1DE303E5"/>
    <w:rsid w:val="1E8E0351"/>
    <w:rsid w:val="1FFE1506"/>
    <w:rsid w:val="208A586E"/>
    <w:rsid w:val="20B971DB"/>
    <w:rsid w:val="211A411E"/>
    <w:rsid w:val="217A4BBD"/>
    <w:rsid w:val="220B7F0B"/>
    <w:rsid w:val="22602004"/>
    <w:rsid w:val="2265761B"/>
    <w:rsid w:val="228F4698"/>
    <w:rsid w:val="22D14CB0"/>
    <w:rsid w:val="25584B9A"/>
    <w:rsid w:val="26094761"/>
    <w:rsid w:val="2751A524"/>
    <w:rsid w:val="276E51C4"/>
    <w:rsid w:val="296248B4"/>
    <w:rsid w:val="2A1C0F07"/>
    <w:rsid w:val="2A222295"/>
    <w:rsid w:val="2A3F69A3"/>
    <w:rsid w:val="2AC05D36"/>
    <w:rsid w:val="2B7E52A9"/>
    <w:rsid w:val="2D7B23E8"/>
    <w:rsid w:val="2DB17BB8"/>
    <w:rsid w:val="2EF73CF0"/>
    <w:rsid w:val="2FE778C1"/>
    <w:rsid w:val="30C776F3"/>
    <w:rsid w:val="327B402A"/>
    <w:rsid w:val="32DF0D23"/>
    <w:rsid w:val="340C5B48"/>
    <w:rsid w:val="345B6AD0"/>
    <w:rsid w:val="346239BA"/>
    <w:rsid w:val="352670DE"/>
    <w:rsid w:val="362C0724"/>
    <w:rsid w:val="367A60F6"/>
    <w:rsid w:val="36B129D7"/>
    <w:rsid w:val="37A60A1C"/>
    <w:rsid w:val="38B13162"/>
    <w:rsid w:val="39F72DF7"/>
    <w:rsid w:val="3AED0244"/>
    <w:rsid w:val="3B196D9D"/>
    <w:rsid w:val="3CF63839"/>
    <w:rsid w:val="3D9646D4"/>
    <w:rsid w:val="3EA11583"/>
    <w:rsid w:val="3EAB2402"/>
    <w:rsid w:val="3ED41958"/>
    <w:rsid w:val="3ED95906"/>
    <w:rsid w:val="3EEE18B6"/>
    <w:rsid w:val="3F9B5FD2"/>
    <w:rsid w:val="411E0665"/>
    <w:rsid w:val="413B5CBF"/>
    <w:rsid w:val="4235270E"/>
    <w:rsid w:val="42383FAC"/>
    <w:rsid w:val="43853221"/>
    <w:rsid w:val="43A643FA"/>
    <w:rsid w:val="44663053"/>
    <w:rsid w:val="45D95AA6"/>
    <w:rsid w:val="460743C1"/>
    <w:rsid w:val="477C493B"/>
    <w:rsid w:val="47C562E2"/>
    <w:rsid w:val="480D7C89"/>
    <w:rsid w:val="49223F29"/>
    <w:rsid w:val="49A63EF1"/>
    <w:rsid w:val="4A58168F"/>
    <w:rsid w:val="4CA54934"/>
    <w:rsid w:val="4DB51D17"/>
    <w:rsid w:val="4E5D6ED5"/>
    <w:rsid w:val="4FAE1D52"/>
    <w:rsid w:val="513A2680"/>
    <w:rsid w:val="546D5D37"/>
    <w:rsid w:val="57805D82"/>
    <w:rsid w:val="58CE0D6F"/>
    <w:rsid w:val="5AFC1BC3"/>
    <w:rsid w:val="5C71038F"/>
    <w:rsid w:val="5CD34BA6"/>
    <w:rsid w:val="5D123920"/>
    <w:rsid w:val="5DA402F0"/>
    <w:rsid w:val="5DCD5A99"/>
    <w:rsid w:val="5EEF2878"/>
    <w:rsid w:val="60C767CF"/>
    <w:rsid w:val="60DB04CD"/>
    <w:rsid w:val="611B4D6D"/>
    <w:rsid w:val="61A15272"/>
    <w:rsid w:val="61AE77B2"/>
    <w:rsid w:val="62F15D85"/>
    <w:rsid w:val="6300421A"/>
    <w:rsid w:val="64992B79"/>
    <w:rsid w:val="64E27BA0"/>
    <w:rsid w:val="659F5F6D"/>
    <w:rsid w:val="66D103A8"/>
    <w:rsid w:val="66E0683D"/>
    <w:rsid w:val="67095D94"/>
    <w:rsid w:val="67801DCE"/>
    <w:rsid w:val="67892A30"/>
    <w:rsid w:val="68120C78"/>
    <w:rsid w:val="68CA50AF"/>
    <w:rsid w:val="6C445178"/>
    <w:rsid w:val="6CA64085"/>
    <w:rsid w:val="6CF22E26"/>
    <w:rsid w:val="6F6D49E6"/>
    <w:rsid w:val="712832BA"/>
    <w:rsid w:val="72955527"/>
    <w:rsid w:val="734D7008"/>
    <w:rsid w:val="73816CB2"/>
    <w:rsid w:val="756248C1"/>
    <w:rsid w:val="75B4336E"/>
    <w:rsid w:val="761A519B"/>
    <w:rsid w:val="78C7785D"/>
    <w:rsid w:val="78DF4BA6"/>
    <w:rsid w:val="79A25BD4"/>
    <w:rsid w:val="79FA77BE"/>
    <w:rsid w:val="7A6510DB"/>
    <w:rsid w:val="7A9C0875"/>
    <w:rsid w:val="7C613B24"/>
    <w:rsid w:val="7D256B1B"/>
    <w:rsid w:val="7F0D3AEF"/>
    <w:rsid w:val="7FBE7C98"/>
    <w:rsid w:val="9EAFF938"/>
    <w:rsid w:val="CFFDAE3E"/>
    <w:rsid w:val="DFAE0EB0"/>
    <w:rsid w:val="EEEBF478"/>
    <w:rsid w:val="F43B0750"/>
    <w:rsid w:val="FBBBA5F9"/>
    <w:rsid w:val="FBFF59AD"/>
    <w:rsid w:val="FD5C3A61"/>
    <w:rsid w:val="FE585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iPriority="99"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4"/>
    <w:basedOn w:val="1"/>
    <w:next w:val="1"/>
    <w:qFormat/>
    <w:uiPriority w:val="9"/>
    <w:pPr>
      <w:keepNext/>
      <w:keepLines/>
      <w:spacing w:before="280" w:after="290" w:line="372" w:lineRule="auto"/>
      <w:outlineLvl w:val="3"/>
    </w:pPr>
    <w:rPr>
      <w:rFonts w:ascii="Cambria" w:hAnsi="Cambria"/>
      <w:b/>
      <w:bCs/>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index 9"/>
    <w:basedOn w:val="1"/>
    <w:next w:val="1"/>
    <w:unhideWhenUsed/>
    <w:qFormat/>
    <w:uiPriority w:val="99"/>
    <w:pPr>
      <w:ind w:firstLine="420"/>
    </w:pPr>
    <w:rPr>
      <w:rFonts w:eastAsia="仿宋_GB2312"/>
      <w:bCs/>
      <w:sz w:val="28"/>
      <w:szCs w:val="28"/>
    </w:rPr>
  </w:style>
  <w:style w:type="paragraph" w:styleId="4">
    <w:name w:val="Body Text"/>
    <w:basedOn w:val="1"/>
    <w:qFormat/>
    <w:uiPriority w:val="0"/>
    <w:pPr>
      <w:spacing w:after="120" w:line="360" w:lineRule="auto"/>
    </w:pPr>
  </w:style>
  <w:style w:type="paragraph" w:styleId="5">
    <w:name w:val="Body Text Indent"/>
    <w:basedOn w:val="1"/>
    <w:unhideWhenUsed/>
    <w:qFormat/>
    <w:uiPriority w:val="99"/>
    <w:pPr>
      <w:spacing w:before="100" w:beforeAutospacing="1" w:after="100" w:afterAutospacing="1"/>
    </w:pPr>
    <w:rPr>
      <w:rFonts w:hint="eastAsia" w:ascii="宋体" w:hAnsi="宋体"/>
      <w:sz w:val="24"/>
      <w:szCs w:val="24"/>
    </w:rPr>
  </w:style>
  <w:style w:type="paragraph" w:styleId="6">
    <w:name w:val="Plain Text"/>
    <w:basedOn w:val="1"/>
    <w:unhideWhenUsed/>
    <w:qFormat/>
    <w:uiPriority w:val="99"/>
    <w:rPr>
      <w:rFonts w:ascii="宋体" w:hAnsi="Courier New"/>
    </w:rPr>
  </w:style>
  <w:style w:type="paragraph" w:styleId="7">
    <w:name w:val="footer"/>
    <w:basedOn w:val="1"/>
    <w:link w:val="17"/>
    <w:qFormat/>
    <w:uiPriority w:val="99"/>
    <w:pPr>
      <w:tabs>
        <w:tab w:val="center" w:pos="4153"/>
        <w:tab w:val="right" w:pos="8306"/>
      </w:tabs>
    </w:pPr>
    <w:rPr>
      <w:sz w:val="18"/>
      <w:szCs w:val="18"/>
    </w:rPr>
  </w:style>
  <w:style w:type="paragraph" w:styleId="8">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9">
    <w:name w:val="Normal (Web)"/>
    <w:basedOn w:val="1"/>
    <w:qFormat/>
    <w:uiPriority w:val="0"/>
    <w:pPr>
      <w:spacing w:beforeAutospacing="1" w:afterAutospacing="1"/>
    </w:pPr>
    <w:rPr>
      <w:rFonts w:cs="Times New Roman"/>
      <w:sz w:val="24"/>
    </w:rPr>
  </w:style>
  <w:style w:type="table" w:styleId="11">
    <w:name w:val="Table Grid"/>
    <w:basedOn w:val="10"/>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Body text|2"/>
    <w:basedOn w:val="1"/>
    <w:qFormat/>
    <w:uiPriority w:val="0"/>
    <w:pPr>
      <w:spacing w:line="590" w:lineRule="exact"/>
      <w:ind w:firstLine="580"/>
    </w:pPr>
    <w:rPr>
      <w:rFonts w:hint="eastAsia" w:ascii="宋体" w:hAnsi="宋体"/>
      <w:szCs w:val="24"/>
    </w:rPr>
  </w:style>
  <w:style w:type="table" w:customStyle="1" w:styleId="14">
    <w:name w:val="Table Normal"/>
    <w:semiHidden/>
    <w:unhideWhenUsed/>
    <w:qFormat/>
    <w:uiPriority w:val="0"/>
    <w:tblPr>
      <w:tblCellMar>
        <w:top w:w="0" w:type="dxa"/>
        <w:left w:w="0" w:type="dxa"/>
        <w:bottom w:w="0" w:type="dxa"/>
        <w:right w:w="0" w:type="dxa"/>
      </w:tblCellMar>
    </w:tblPr>
  </w:style>
  <w:style w:type="character" w:customStyle="1" w:styleId="15">
    <w:name w:val="font21"/>
    <w:basedOn w:val="12"/>
    <w:qFormat/>
    <w:uiPriority w:val="0"/>
    <w:rPr>
      <w:rFonts w:hint="eastAsia" w:ascii="宋体" w:hAnsi="宋体" w:eastAsia="宋体" w:cs="宋体"/>
      <w:color w:val="000000"/>
      <w:sz w:val="20"/>
      <w:szCs w:val="20"/>
      <w:u w:val="none"/>
    </w:rPr>
  </w:style>
  <w:style w:type="character" w:customStyle="1" w:styleId="16">
    <w:name w:val="页眉 字符"/>
    <w:basedOn w:val="12"/>
    <w:link w:val="8"/>
    <w:qFormat/>
    <w:uiPriority w:val="0"/>
    <w:rPr>
      <w:rFonts w:ascii="Arial" w:hAnsi="Arial" w:eastAsia="Arial" w:cs="Arial"/>
      <w:snapToGrid w:val="0"/>
      <w:color w:val="000000"/>
      <w:sz w:val="18"/>
      <w:szCs w:val="18"/>
    </w:rPr>
  </w:style>
  <w:style w:type="character" w:customStyle="1" w:styleId="17">
    <w:name w:val="页脚 字符"/>
    <w:basedOn w:val="12"/>
    <w:link w:val="7"/>
    <w:qFormat/>
    <w:uiPriority w:val="99"/>
    <w:rPr>
      <w:rFonts w:ascii="Arial" w:hAnsi="Arial" w:eastAsia="Arial" w:cs="Arial"/>
      <w:snapToGrid w:val="0"/>
      <w:color w:val="000000"/>
      <w:sz w:val="18"/>
      <w:szCs w:val="18"/>
    </w:rPr>
  </w:style>
  <w:style w:type="character" w:customStyle="1" w:styleId="18">
    <w:name w:val="font11"/>
    <w:basedOn w:val="12"/>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4755</Words>
  <Characters>6163</Characters>
  <Lines>66</Lines>
  <Paragraphs>18</Paragraphs>
  <TotalTime>3</TotalTime>
  <ScaleCrop>false</ScaleCrop>
  <LinksUpToDate>false</LinksUpToDate>
  <CharactersWithSpaces>6377</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2023-03-27T15:27:00Z</dcterms:created>
  <dc:creator>WPS_1599385647</dc:creator>
  <cp:lastModifiedBy>admin</cp:lastModifiedBy>
  <cp:lastPrinted>2023-06-09T01:00:00Z</cp:lastPrinted>
  <dcterms:modified xsi:type="dcterms:W3CDTF">2023-06-09T17:14:31Z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B4E2B2836C274D2CB37D5D81A6AD3BCF_13</vt:lpwstr>
  </property>
</Properties>
</file>