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0"/>
          <w:szCs w:val="40"/>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2022年度中央</w:t>
      </w:r>
      <w:r>
        <w:rPr>
          <w:rFonts w:hint="eastAsia" w:ascii="方正小标宋简体" w:hAnsi="方正小标宋简体" w:eastAsia="方正小标宋简体" w:cs="方正小标宋简体"/>
          <w:sz w:val="44"/>
          <w:szCs w:val="44"/>
          <w:lang w:eastAsia="zh-CN"/>
        </w:rPr>
        <w:t>对北京</w:t>
      </w:r>
      <w:r>
        <w:rPr>
          <w:rFonts w:hint="eastAsia" w:ascii="方正小标宋简体" w:hAnsi="方正小标宋简体" w:eastAsia="方正小标宋简体" w:cs="方正小标宋简体"/>
          <w:sz w:val="44"/>
          <w:szCs w:val="44"/>
        </w:rPr>
        <w:t>计划生育补助资金</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转移支付</w:t>
      </w:r>
      <w:r>
        <w:rPr>
          <w:rFonts w:hint="eastAsia" w:ascii="方正小标宋简体" w:hAnsi="方正小标宋简体" w:eastAsia="方正小标宋简体" w:cs="方正小标宋简体"/>
          <w:sz w:val="44"/>
          <w:szCs w:val="44"/>
          <w:lang w:eastAsia="zh-CN"/>
        </w:rPr>
        <w:t>预算执行情况</w:t>
      </w:r>
      <w:r>
        <w:rPr>
          <w:rFonts w:hint="eastAsia" w:ascii="方正小标宋简体" w:hAnsi="方正小标宋简体" w:eastAsia="方正小标宋简体" w:cs="方正小标宋简体"/>
          <w:sz w:val="44"/>
          <w:szCs w:val="44"/>
        </w:rPr>
        <w:t>绩效自评报告</w:t>
      </w:r>
    </w:p>
    <w:p>
      <w:pPr>
        <w:pStyle w:val="5"/>
        <w:keepNext w:val="0"/>
        <w:keepLines w:val="0"/>
        <w:pageBreakBefore w:val="0"/>
        <w:kinsoku/>
        <w:wordWrap/>
        <w:overflowPunct/>
        <w:topLinePunct w:val="0"/>
        <w:autoSpaceDE/>
        <w:autoSpaceDN/>
        <w:bidi w:val="0"/>
        <w:adjustRightInd/>
        <w:snapToGrid/>
        <w:spacing w:after="0" w:line="560" w:lineRule="exact"/>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为贯彻落实《中共中央 国务院关于全面实施预算绩效管理的意见》《中共北京市委 北京市人民政府关于全面实施预算绩效管理的实施意见》有关精神，加快建成全方位、全过程、全覆盖的预算绩效管理体系，切实增强资金使用单位支出绩效意识，提高中央对地方转移支付资金使用效益，根据财政部《关于开展2022年度中央对地方转移支付预算执行情况绩效自评工作的通知》（财监〔2023〕1号）文件要求，北京市卫生健康委员会组织16个区卫生健康</w:t>
      </w:r>
      <w:r>
        <w:rPr>
          <w:rFonts w:hint="eastAsia" w:ascii="仿宋_GB2312" w:hAnsi="仿宋_GB2312" w:eastAsia="仿宋_GB2312" w:cs="仿宋_GB2312"/>
          <w:b w:val="0"/>
          <w:bCs w:val="0"/>
          <w:sz w:val="32"/>
          <w:szCs w:val="32"/>
          <w:lang w:eastAsia="zh-CN" w:bidi="ar"/>
        </w:rPr>
        <w:t>委员会</w:t>
      </w:r>
      <w:r>
        <w:rPr>
          <w:rFonts w:hint="eastAsia" w:ascii="仿宋_GB2312" w:hAnsi="仿宋_GB2312" w:eastAsia="仿宋_GB2312" w:cs="仿宋_GB2312"/>
          <w:b w:val="0"/>
          <w:bCs w:val="0"/>
          <w:sz w:val="32"/>
          <w:szCs w:val="32"/>
          <w:lang w:bidi="ar"/>
        </w:rPr>
        <w:t>开展了2022年中央转移支付计划生育转移支付资金的绩效自评工作，形成绩效自评报告。</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640" w:firstLineChars="200"/>
        <w:jc w:val="left"/>
        <w:textAlignment w:val="baseline"/>
        <w:outlineLvl w:val="0"/>
        <w:rPr>
          <w:rFonts w:ascii="黑体" w:hAnsi="宋体" w:eastAsia="黑体" w:cs="黑体"/>
          <w:b w:val="0"/>
          <w:bCs w:val="0"/>
          <w:snapToGrid w:val="0"/>
          <w:color w:val="000000"/>
          <w:kern w:val="0"/>
          <w:sz w:val="32"/>
          <w:szCs w:val="32"/>
          <w:lang w:bidi="ar"/>
        </w:rPr>
      </w:pPr>
      <w:r>
        <w:rPr>
          <w:rFonts w:hint="eastAsia" w:ascii="黑体" w:hAnsi="宋体" w:eastAsia="黑体" w:cs="黑体"/>
          <w:b w:val="0"/>
          <w:bCs w:val="0"/>
          <w:snapToGrid w:val="0"/>
          <w:color w:val="000000"/>
          <w:kern w:val="0"/>
          <w:sz w:val="32"/>
          <w:szCs w:val="32"/>
          <w:lang w:eastAsia="zh-CN" w:bidi="ar"/>
        </w:rPr>
        <w:t>转移支付基本情况</w:t>
      </w:r>
    </w:p>
    <w:p>
      <w:pPr>
        <w:pStyle w:val="12"/>
        <w:keepNext w:val="0"/>
        <w:keepLines w:val="0"/>
        <w:pageBreakBefore w:val="0"/>
        <w:tabs>
          <w:tab w:val="left" w:pos="1676"/>
        </w:tabs>
        <w:wordWrap/>
        <w:overflowPunct/>
        <w:topLinePunct w:val="0"/>
        <w:bidi w:val="0"/>
        <w:spacing w:line="560" w:lineRule="exact"/>
        <w:ind w:firstLine="640" w:firstLineChars="200"/>
        <w:jc w:val="left"/>
        <w:rPr>
          <w:rFonts w:hint="eastAsia" w:ascii="楷体_GB2312" w:hAnsi="楷体_GB2312" w:eastAsia="楷体_GB2312" w:cs="楷体_GB2312"/>
          <w:b w:val="0"/>
          <w:bCs w:val="0"/>
          <w:color w:val="000000"/>
          <w:sz w:val="32"/>
          <w:szCs w:val="32"/>
          <w:lang w:eastAsia="zh-CN"/>
        </w:rPr>
      </w:pPr>
      <w:r>
        <w:rPr>
          <w:rFonts w:hint="eastAsia" w:ascii="楷体_GB2312" w:hAnsi="楷体_GB2312" w:eastAsia="楷体_GB2312" w:cs="楷体_GB2312"/>
          <w:b w:val="0"/>
          <w:bCs w:val="0"/>
          <w:color w:val="000000"/>
          <w:sz w:val="32"/>
          <w:szCs w:val="32"/>
        </w:rPr>
        <w:t>（</w:t>
      </w:r>
      <w:r>
        <w:rPr>
          <w:rFonts w:hint="eastAsia" w:ascii="楷体_GB2312" w:hAnsi="楷体_GB2312" w:eastAsia="楷体_GB2312" w:cs="楷体_GB2312"/>
          <w:b w:val="0"/>
          <w:bCs w:val="0"/>
          <w:color w:val="000000"/>
          <w:sz w:val="32"/>
          <w:szCs w:val="32"/>
          <w:lang w:eastAsia="zh-CN"/>
        </w:rPr>
        <w:t>一</w:t>
      </w:r>
      <w:r>
        <w:rPr>
          <w:rFonts w:hint="eastAsia" w:ascii="楷体_GB2312" w:hAnsi="楷体_GB2312" w:eastAsia="楷体_GB2312" w:cs="楷体_GB2312"/>
          <w:b w:val="0"/>
          <w:bCs w:val="0"/>
          <w:color w:val="000000"/>
          <w:sz w:val="32"/>
          <w:szCs w:val="32"/>
        </w:rPr>
        <w:t>）</w:t>
      </w:r>
      <w:r>
        <w:rPr>
          <w:rFonts w:hint="eastAsia" w:ascii="楷体_GB2312" w:hAnsi="楷体_GB2312" w:eastAsia="楷体_GB2312" w:cs="楷体_GB2312"/>
          <w:b w:val="0"/>
          <w:bCs w:val="0"/>
          <w:sz w:val="32"/>
          <w:szCs w:val="32"/>
          <w:lang w:bidi="ar"/>
        </w:rPr>
        <w:t>计划生育</w:t>
      </w:r>
      <w:r>
        <w:rPr>
          <w:rFonts w:hint="eastAsia" w:ascii="楷体_GB2312" w:hAnsi="楷体_GB2312" w:eastAsia="楷体_GB2312" w:cs="楷体_GB2312"/>
          <w:b w:val="0"/>
          <w:bCs w:val="0"/>
          <w:color w:val="000000"/>
          <w:sz w:val="32"/>
          <w:szCs w:val="32"/>
          <w:lang w:eastAsia="zh-CN"/>
        </w:rPr>
        <w:t>转移支付概况。</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_GB2312" w:hAnsi="仿宋_GB2312" w:eastAsia="仿宋_GB2312" w:cs="仿宋_GB2312"/>
          <w:b w:val="0"/>
          <w:bCs w:val="0"/>
          <w:sz w:val="32"/>
          <w:szCs w:val="32"/>
          <w:lang w:eastAsia="zh-CN" w:bidi="ar"/>
        </w:rPr>
      </w:pPr>
      <w:r>
        <w:rPr>
          <w:rFonts w:hint="eastAsia" w:ascii="仿宋_GB2312" w:hAnsi="仿宋_GB2312" w:eastAsia="仿宋_GB2312" w:cs="仿宋_GB2312"/>
          <w:b w:val="0"/>
          <w:bCs w:val="0"/>
          <w:sz w:val="32"/>
          <w:szCs w:val="32"/>
          <w:lang w:bidi="ar"/>
        </w:rPr>
        <w:t>北京市2022年计划生育补助资金项目涉及东城</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、西城</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、朝阳</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、丰台</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、石景山</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、海淀</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、门头沟</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、房山</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、通州</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、顺义</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、昌平</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、大兴</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、怀柔</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、平谷</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、密云</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、延庆</w:t>
      </w:r>
      <w:r>
        <w:rPr>
          <w:rFonts w:hint="eastAsia" w:ascii="仿宋_GB2312" w:hAnsi="仿宋_GB2312" w:eastAsia="仿宋_GB2312" w:cs="仿宋_GB2312"/>
          <w:b w:val="0"/>
          <w:bCs w:val="0"/>
          <w:sz w:val="32"/>
          <w:szCs w:val="32"/>
          <w:lang w:eastAsia="zh-CN" w:bidi="ar"/>
        </w:rPr>
        <w:t>区卫生健康委员会</w:t>
      </w:r>
      <w:r>
        <w:rPr>
          <w:rFonts w:hint="eastAsia" w:ascii="仿宋_GB2312" w:hAnsi="仿宋_GB2312" w:eastAsia="仿宋_GB2312" w:cs="仿宋_GB2312"/>
          <w:b w:val="0"/>
          <w:bCs w:val="0"/>
          <w:sz w:val="32"/>
          <w:szCs w:val="32"/>
          <w:lang w:bidi="ar"/>
        </w:rPr>
        <w:t>等16个</w:t>
      </w:r>
      <w:r>
        <w:rPr>
          <w:rFonts w:hint="eastAsia" w:ascii="仿宋_GB2312" w:hAnsi="仿宋_GB2312" w:eastAsia="仿宋_GB2312" w:cs="仿宋_GB2312"/>
          <w:b w:val="0"/>
          <w:bCs w:val="0"/>
          <w:sz w:val="32"/>
          <w:szCs w:val="32"/>
          <w:lang w:eastAsia="zh-CN" w:bidi="ar"/>
        </w:rPr>
        <w:t>区卫生健康委员会。</w:t>
      </w:r>
    </w:p>
    <w:p>
      <w:pPr>
        <w:pStyle w:val="12"/>
        <w:keepNext w:val="0"/>
        <w:keepLines w:val="0"/>
        <w:pageBreakBefore w:val="0"/>
        <w:tabs>
          <w:tab w:val="left" w:pos="1676"/>
        </w:tabs>
        <w:wordWrap/>
        <w:overflowPunct/>
        <w:topLinePunct w:val="0"/>
        <w:bidi w:val="0"/>
        <w:spacing w:line="560" w:lineRule="exact"/>
        <w:ind w:firstLine="640" w:firstLineChars="200"/>
        <w:jc w:val="left"/>
        <w:rPr>
          <w:rFonts w:hint="eastAsia" w:ascii="仿宋_GB2312" w:hAnsi="仿宋_GB2312" w:eastAsia="楷体_GB2312" w:cs="仿宋_GB2312"/>
          <w:b w:val="0"/>
          <w:bCs w:val="0"/>
          <w:color w:val="000000"/>
          <w:sz w:val="32"/>
          <w:szCs w:val="32"/>
          <w:lang w:eastAsia="zh-CN"/>
        </w:rPr>
      </w:pPr>
      <w:r>
        <w:rPr>
          <w:rFonts w:hint="eastAsia" w:ascii="楷体_GB2312" w:hAnsi="楷体_GB2312" w:eastAsia="楷体_GB2312" w:cs="楷体_GB2312"/>
          <w:b w:val="0"/>
          <w:bCs w:val="0"/>
          <w:color w:val="000000"/>
          <w:sz w:val="32"/>
          <w:szCs w:val="32"/>
        </w:rPr>
        <w:t>（</w:t>
      </w:r>
      <w:r>
        <w:rPr>
          <w:rFonts w:hint="eastAsia" w:ascii="楷体_GB2312" w:hAnsi="楷体_GB2312" w:eastAsia="楷体_GB2312" w:cs="楷体_GB2312"/>
          <w:b w:val="0"/>
          <w:bCs w:val="0"/>
          <w:color w:val="000000"/>
          <w:sz w:val="32"/>
          <w:szCs w:val="32"/>
          <w:lang w:eastAsia="zh-CN"/>
        </w:rPr>
        <w:t>二</w:t>
      </w:r>
      <w:r>
        <w:rPr>
          <w:rFonts w:hint="eastAsia" w:ascii="楷体_GB2312" w:hAnsi="楷体_GB2312" w:eastAsia="楷体_GB2312" w:cs="楷体_GB2312"/>
          <w:b w:val="0"/>
          <w:bCs w:val="0"/>
          <w:color w:val="000000"/>
          <w:sz w:val="32"/>
          <w:szCs w:val="32"/>
        </w:rPr>
        <w:t>）资金投入情况分析</w:t>
      </w:r>
      <w:r>
        <w:rPr>
          <w:rFonts w:hint="eastAsia" w:ascii="楷体_GB2312" w:hAnsi="楷体_GB2312" w:eastAsia="楷体_GB2312" w:cs="楷体_GB2312"/>
          <w:b w:val="0"/>
          <w:bCs w:val="0"/>
          <w:color w:val="000000"/>
          <w:sz w:val="32"/>
          <w:szCs w:val="32"/>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北京市2022年计划生育补助资金项目预算金额共计66,459.5</w:t>
      </w:r>
      <w:r>
        <w:rPr>
          <w:rFonts w:ascii="仿宋_GB2312" w:hAnsi="仿宋_GB2312" w:eastAsia="仿宋_GB2312" w:cs="仿宋_GB2312"/>
          <w:b w:val="0"/>
          <w:bCs w:val="0"/>
          <w:sz w:val="32"/>
          <w:szCs w:val="32"/>
          <w:lang w:bidi="ar"/>
        </w:rPr>
        <w:t>5</w:t>
      </w:r>
      <w:r>
        <w:rPr>
          <w:rFonts w:hint="eastAsia" w:ascii="仿宋_GB2312" w:hAnsi="仿宋_GB2312" w:eastAsia="仿宋_GB2312" w:cs="仿宋_GB2312"/>
          <w:b w:val="0"/>
          <w:bCs w:val="0"/>
          <w:sz w:val="32"/>
          <w:szCs w:val="32"/>
          <w:lang w:bidi="ar"/>
        </w:rPr>
        <w:t>万元，截至2022年12月31日，实际支出金额65,977.35万元，资金执行率为99.27%。其中：中央财政资金预算3,525万元，实际支出3,525万元，资金执行率100%；地方资金预算62,022.97万元，实际支出61,540.7</w:t>
      </w:r>
      <w:r>
        <w:rPr>
          <w:rFonts w:ascii="仿宋_GB2312" w:hAnsi="仿宋_GB2312" w:eastAsia="仿宋_GB2312" w:cs="仿宋_GB2312"/>
          <w:b w:val="0"/>
          <w:bCs w:val="0"/>
          <w:sz w:val="32"/>
          <w:szCs w:val="32"/>
          <w:lang w:bidi="ar"/>
        </w:rPr>
        <w:t>8</w:t>
      </w:r>
      <w:r>
        <w:rPr>
          <w:rFonts w:hint="eastAsia" w:ascii="仿宋_GB2312" w:hAnsi="仿宋_GB2312" w:eastAsia="仿宋_GB2312" w:cs="仿宋_GB2312"/>
          <w:b w:val="0"/>
          <w:bCs w:val="0"/>
          <w:sz w:val="32"/>
          <w:szCs w:val="32"/>
          <w:lang w:bidi="ar"/>
        </w:rPr>
        <w:t>万元，资金执行率为99.22%；其他资金预算911.57万元，实际支出911.57万元，资金执行率为100%。</w:t>
      </w:r>
    </w:p>
    <w:p>
      <w:pPr>
        <w:keepNext w:val="0"/>
        <w:keepLines w:val="0"/>
        <w:pageBreakBefore w:val="0"/>
        <w:wordWrap/>
        <w:overflowPunct/>
        <w:topLinePunct w:val="0"/>
        <w:bidi w:val="0"/>
        <w:spacing w:line="560" w:lineRule="exact"/>
        <w:ind w:firstLine="640" w:firstLineChars="200"/>
        <w:rPr>
          <w:rFonts w:hint="eastAsia" w:ascii="仿宋_GB2312" w:hAnsi="仿宋_GB2312" w:eastAsia="楷体_GB2312" w:cs="仿宋_GB2312"/>
          <w:b w:val="0"/>
          <w:bCs w:val="0"/>
          <w:color w:val="000000"/>
          <w:sz w:val="32"/>
          <w:szCs w:val="32"/>
          <w:lang w:eastAsia="zh-CN"/>
        </w:rPr>
      </w:pPr>
      <w:r>
        <w:rPr>
          <w:rFonts w:hint="eastAsia" w:ascii="楷体_GB2312" w:hAnsi="楷体_GB2312" w:eastAsia="楷体_GB2312" w:cs="楷体_GB2312"/>
          <w:b w:val="0"/>
          <w:bCs w:val="0"/>
          <w:color w:val="000000"/>
          <w:sz w:val="32"/>
          <w:szCs w:val="32"/>
        </w:rPr>
        <w:t>（</w:t>
      </w:r>
      <w:r>
        <w:rPr>
          <w:rFonts w:hint="eastAsia" w:ascii="楷体_GB2312" w:hAnsi="楷体_GB2312" w:eastAsia="楷体_GB2312" w:cs="楷体_GB2312"/>
          <w:b w:val="0"/>
          <w:bCs w:val="0"/>
          <w:color w:val="000000"/>
          <w:sz w:val="32"/>
          <w:szCs w:val="32"/>
          <w:lang w:eastAsia="zh-CN"/>
        </w:rPr>
        <w:t>三</w:t>
      </w:r>
      <w:r>
        <w:rPr>
          <w:rFonts w:hint="eastAsia" w:ascii="楷体_GB2312" w:hAnsi="楷体_GB2312" w:eastAsia="楷体_GB2312" w:cs="楷体_GB2312"/>
          <w:b w:val="0"/>
          <w:bCs w:val="0"/>
          <w:color w:val="000000"/>
          <w:sz w:val="32"/>
          <w:szCs w:val="32"/>
        </w:rPr>
        <w:t>）资金管理情况分析</w:t>
      </w:r>
      <w:r>
        <w:rPr>
          <w:rFonts w:hint="eastAsia" w:ascii="楷体_GB2312" w:hAnsi="楷体_GB2312" w:eastAsia="楷体_GB2312" w:cs="楷体_GB2312"/>
          <w:b w:val="0"/>
          <w:bCs w:val="0"/>
          <w:color w:val="000000"/>
          <w:sz w:val="32"/>
          <w:szCs w:val="32"/>
          <w:lang w:eastAsia="zh-CN"/>
        </w:rPr>
        <w:t>。</w:t>
      </w:r>
    </w:p>
    <w:p>
      <w:pPr>
        <w:keepNext w:val="0"/>
        <w:keepLines w:val="0"/>
        <w:pageBreakBefore w:val="0"/>
        <w:widowControl/>
        <w:wordWrap/>
        <w:overflowPunct/>
        <w:topLinePunct w:val="0"/>
        <w:bidi w:val="0"/>
        <w:spacing w:line="560" w:lineRule="exact"/>
        <w:ind w:firstLine="640" w:firstLineChars="200"/>
        <w:rPr>
          <w:rFonts w:ascii="仿宋_GB2312" w:hAnsi="仿宋" w:eastAsia="仿宋_GB2312" w:cs="Times New Roman"/>
          <w:b w:val="0"/>
          <w:bCs w:val="0"/>
          <w:sz w:val="32"/>
          <w:szCs w:val="32"/>
          <w:lang w:bidi="ar"/>
        </w:rPr>
      </w:pPr>
      <w:r>
        <w:rPr>
          <w:rFonts w:hint="eastAsia" w:ascii="仿宋_GB2312" w:hAnsi="仿宋" w:eastAsia="仿宋_GB2312" w:cs="Times New Roman"/>
          <w:b w:val="0"/>
          <w:bCs w:val="0"/>
          <w:sz w:val="32"/>
          <w:szCs w:val="32"/>
          <w:lang w:bidi="ar"/>
        </w:rPr>
        <w:t>1.资金分配科学性</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北京市2022年中央转移支付计划生育补助资金项目中，依据《北京市财政局关于提前下达各区2022年中央转移支付计划生育补助资金（直达资金）的通知》（京财社指〔2021〕2501号）文件，提前下达2022年中央转移支付计划生育转移支付资金2682万元；依据《北京市财政局关于下达2022年计划生育中央转移支付资金的通知》（京财社指〔2022〕1672号）文件，下达2022年中央转移支付计划生育转移支付资金843万元。按行政区划因素和人口因素分配至16个区，分配资金总额为3525万元。</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2.资金下达及时性</w:t>
      </w:r>
    </w:p>
    <w:p>
      <w:pPr>
        <w:keepNext w:val="0"/>
        <w:keepLines w:val="0"/>
        <w:pageBreakBefore w:val="0"/>
        <w:widowControl/>
        <w:wordWrap/>
        <w:overflowPunct/>
        <w:topLinePunct w:val="0"/>
        <w:bidi w:val="0"/>
        <w:spacing w:line="560" w:lineRule="exact"/>
        <w:ind w:firstLine="640" w:firstLineChars="200"/>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北京市卫生健康委员会根据行政区划因素和人口因素分配北京市2022年中央转移支付计划生育补助资金，形成分配方案，严格按照预算法及其实施条例，向北京市财政局提出申请，由市财政及时将项目资金下达给16个区财政局。各区卫生健康委员会在收到资金下达的通知后，制定本区的资金分配方案，由区财政局将项目资金及时下达给各个项目资金使用单位。</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3.资金拨付合规性</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北京市2022年中央转移支付计划生育补助资金项目严格按照北京市国库集中支付制度有关规定支付资金，未出现违规将资金从国库转入财政专户或支付到预算单位实有资金账户等问题。</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4.资金使用规范性</w:t>
      </w:r>
    </w:p>
    <w:p>
      <w:pPr>
        <w:keepNext w:val="0"/>
        <w:keepLines w:val="0"/>
        <w:pageBreakBefore w:val="0"/>
        <w:widowControl/>
        <w:wordWrap/>
        <w:overflowPunct/>
        <w:topLinePunct w:val="0"/>
        <w:bidi w:val="0"/>
        <w:spacing w:line="560" w:lineRule="exact"/>
        <w:ind w:firstLine="640" w:firstLineChars="200"/>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北京市2022年中央转移支付计划生育补助资金项目根据《财政部国家卫生健康委关于提前下达2022年计划生育转移支付资金预算的通知》（财社〔2021〕171号）、《财政部国家卫生健康委关于下达2022年计划生育转移支付资金预算的通知》（财社〔2022〕61号）的通知要求，按照各个资金使用单位的项目资金管理制度、转移支付资金管理制度对项目实行专项核算，能够做到专款专用，严格按照下达预算的科目和项目执行，未出现截留、挤占、挪用或擅自调整等问题。并按照财务管理要求进行财务核算，会计核算基本真实、完整、及时，未出现截留挤占挪用等问题，用款程序标准符合国家财务管理制度，资金管理使用较为规范。</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5.资金执行准确性</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按照上级下达和本级预算安排的金额执行，不存在执行数偏离预算数较多的问题。北京市2022年计划生育补助资金项目总投入为66,459.5</w:t>
      </w:r>
      <w:r>
        <w:rPr>
          <w:rFonts w:ascii="仿宋_GB2312" w:hAnsi="仿宋_GB2312" w:eastAsia="仿宋_GB2312" w:cs="仿宋_GB2312"/>
          <w:b w:val="0"/>
          <w:bCs w:val="0"/>
          <w:sz w:val="32"/>
          <w:szCs w:val="32"/>
          <w:lang w:bidi="ar"/>
        </w:rPr>
        <w:t>5</w:t>
      </w:r>
      <w:r>
        <w:rPr>
          <w:rFonts w:hint="eastAsia" w:ascii="仿宋_GB2312" w:hAnsi="仿宋_GB2312" w:eastAsia="仿宋_GB2312" w:cs="仿宋_GB2312"/>
          <w:b w:val="0"/>
          <w:bCs w:val="0"/>
          <w:sz w:val="32"/>
          <w:szCs w:val="32"/>
          <w:lang w:bidi="ar"/>
        </w:rPr>
        <w:t>万元，实际到位资金为66,459.5</w:t>
      </w:r>
      <w:r>
        <w:rPr>
          <w:rFonts w:ascii="仿宋_GB2312" w:hAnsi="仿宋_GB2312" w:eastAsia="仿宋_GB2312" w:cs="仿宋_GB2312"/>
          <w:b w:val="0"/>
          <w:bCs w:val="0"/>
          <w:sz w:val="32"/>
          <w:szCs w:val="32"/>
          <w:lang w:bidi="ar"/>
        </w:rPr>
        <w:t>5</w:t>
      </w:r>
      <w:r>
        <w:rPr>
          <w:rFonts w:hint="eastAsia" w:ascii="仿宋_GB2312" w:hAnsi="仿宋_GB2312" w:eastAsia="仿宋_GB2312" w:cs="仿宋_GB2312"/>
          <w:b w:val="0"/>
          <w:bCs w:val="0"/>
          <w:sz w:val="32"/>
          <w:szCs w:val="32"/>
          <w:lang w:bidi="ar"/>
        </w:rPr>
        <w:t>万元，资金到位率为100%，截止到2022年12月31日，实际支出金额为</w:t>
      </w:r>
      <w:r>
        <w:rPr>
          <w:rFonts w:ascii="仿宋_GB2312" w:hAnsi="仿宋_GB2312" w:eastAsia="仿宋_GB2312" w:cs="仿宋_GB2312"/>
          <w:b w:val="0"/>
          <w:bCs w:val="0"/>
          <w:sz w:val="32"/>
          <w:szCs w:val="32"/>
          <w:lang w:bidi="ar"/>
        </w:rPr>
        <w:t>65,977.35</w:t>
      </w:r>
      <w:r>
        <w:rPr>
          <w:rFonts w:hint="eastAsia" w:ascii="仿宋_GB2312" w:hAnsi="仿宋_GB2312" w:eastAsia="仿宋_GB2312" w:cs="仿宋_GB2312"/>
          <w:b w:val="0"/>
          <w:bCs w:val="0"/>
          <w:sz w:val="32"/>
          <w:szCs w:val="32"/>
          <w:lang w:bidi="ar"/>
        </w:rPr>
        <w:t>万元，预算执行率为99.27%。</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6.预算绩效管理情况</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北京市2022年中央转移支付计划生育补助资金项目在细化下达预算时同步下达绩效目标，按《项目支出绩效评价管理办法》（京财预〔2020〕2146号）、《关于开展2022年度中央对地方转移支付预算执行情况绩效自评工作的通知》（财监〔2023〕1号）要求，结合项目绩效目标完成情况开展绩效自评工作。</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7.支出责任履行情况</w:t>
      </w:r>
    </w:p>
    <w:p>
      <w:pPr>
        <w:keepNext w:val="0"/>
        <w:keepLines w:val="0"/>
        <w:pageBreakBefore w:val="0"/>
        <w:widowControl/>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北京市卫生健康委员会和北京市财政局针对北京市2022年中央转移支付计划生育补助资金项目能够做到严格按照财政事权和支出责任划分有关规定，足额安排资金履行本级支出责任。各区财政局、卫生健康委员会及各个资金使用单位能够严格按照财政事权和支出责任划分有关规定，足额安排资金履行本级支出责任。</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方正黑体_GBK" w:hAnsi="方正黑体_GBK" w:eastAsia="方正黑体_GBK" w:cs="方正黑体_GBK"/>
          <w:b w:val="0"/>
          <w:bCs w:val="0"/>
          <w:sz w:val="32"/>
          <w:szCs w:val="32"/>
          <w:lang w:eastAsia="zh-CN" w:bidi="ar"/>
        </w:rPr>
      </w:pPr>
      <w:r>
        <w:rPr>
          <w:rFonts w:hint="eastAsia" w:ascii="方正黑体_GBK" w:hAnsi="方正黑体_GBK" w:eastAsia="方正黑体_GBK" w:cs="方正黑体_GBK"/>
          <w:b w:val="0"/>
          <w:bCs w:val="0"/>
          <w:sz w:val="32"/>
          <w:szCs w:val="32"/>
          <w:lang w:eastAsia="zh-CN" w:bidi="ar"/>
        </w:rPr>
        <w:t>二、绩效目标实现情况</w:t>
      </w:r>
    </w:p>
    <w:p>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根据《财政部 国家卫生健康委关于提前下达2022年计划生育转移支付资金预算的通知》（财社〔2021〕171号）、《财政部 国家卫生健康委关于下达2022年计划生育转移支付资金预算的通知》（财社〔2022〕61号）文件，财政部和国家卫生健康委共同下达2022年中央转移支付计划生育转移支付资金项目资金区域绩效目标，北京市卫生健康委根据实际情况将年度绩效目标分解下达至各区、各项目单位。2022年中央转移支付计划生育转移支付资金绩效目标为：</w:t>
      </w:r>
    </w:p>
    <w:p>
      <w:pPr>
        <w:keepNext w:val="0"/>
        <w:keepLines w:val="0"/>
        <w:pageBreakBefore w:val="0"/>
        <w:wordWrap/>
        <w:overflowPunct/>
        <w:topLinePunct w:val="0"/>
        <w:bidi w:val="0"/>
        <w:spacing w:line="560" w:lineRule="exact"/>
        <w:ind w:firstLine="640" w:firstLineChars="200"/>
        <w:rPr>
          <w:rFonts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1.实施农村部分计划生育家庭奖励扶助制度，缓解农村独生子女和双女家庭的养老问题，提高家庭发展能力。</w:t>
      </w:r>
    </w:p>
    <w:p>
      <w:pPr>
        <w:keepNext w:val="0"/>
        <w:keepLines w:val="0"/>
        <w:pageBreakBefore w:val="0"/>
        <w:wordWrap/>
        <w:overflowPunct/>
        <w:topLinePunct w:val="0"/>
        <w:bidi w:val="0"/>
        <w:spacing w:line="560" w:lineRule="exact"/>
        <w:ind w:firstLine="640" w:firstLineChars="200"/>
        <w:rPr>
          <w:rFonts w:hint="eastAsia" w:ascii="仿宋_GB2312" w:hAnsi="仿宋_GB2312" w:eastAsia="仿宋_GB2312" w:cs="仿宋_GB2312"/>
          <w:b w:val="0"/>
          <w:bCs w:val="0"/>
          <w:sz w:val="32"/>
          <w:szCs w:val="32"/>
          <w:lang w:bidi="ar"/>
        </w:rPr>
      </w:pPr>
      <w:r>
        <w:rPr>
          <w:rFonts w:hint="eastAsia" w:ascii="仿宋_GB2312" w:hAnsi="仿宋_GB2312" w:eastAsia="仿宋_GB2312" w:cs="仿宋_GB2312"/>
          <w:b w:val="0"/>
          <w:bCs w:val="0"/>
          <w:sz w:val="32"/>
          <w:szCs w:val="32"/>
          <w:lang w:bidi="ar"/>
        </w:rPr>
        <w:t>2.实施计划生育家庭特别扶助制度，缓解扶助对象在生产、生活、医疗和养老等方面的特殊困难，保障和改善民生，促进社会和谐稳定。</w:t>
      </w:r>
    </w:p>
    <w:p>
      <w:pPr>
        <w:pStyle w:val="12"/>
        <w:keepNext w:val="0"/>
        <w:keepLines w:val="0"/>
        <w:pageBreakBefore w:val="0"/>
        <w:tabs>
          <w:tab w:val="left" w:pos="1667"/>
        </w:tabs>
        <w:wordWrap/>
        <w:overflowPunct/>
        <w:topLinePunct w:val="0"/>
        <w:bidi w:val="0"/>
        <w:spacing w:line="560" w:lineRule="exact"/>
        <w:ind w:firstLine="640" w:firstLineChars="200"/>
        <w:rPr>
          <w:rFonts w:hint="eastAsia" w:ascii="仿宋_GB2312" w:hAnsi="仿宋_GB2312" w:eastAsia="楷体_GB2312" w:cs="仿宋_GB2312"/>
          <w:b w:val="0"/>
          <w:bCs w:val="0"/>
          <w:sz w:val="32"/>
          <w:szCs w:val="32"/>
          <w:lang w:eastAsia="zh-CN"/>
        </w:rPr>
      </w:pPr>
      <w:bookmarkStart w:id="0" w:name="bookmark42"/>
      <w:r>
        <w:rPr>
          <w:rFonts w:hint="eastAsia" w:ascii="楷体_GB2312" w:hAnsi="楷体_GB2312" w:eastAsia="楷体_GB2312" w:cs="楷体_GB2312"/>
          <w:b w:val="0"/>
          <w:bCs w:val="0"/>
          <w:color w:val="000000"/>
          <w:sz w:val="32"/>
          <w:szCs w:val="32"/>
        </w:rPr>
        <w:t>（</w:t>
      </w:r>
      <w:bookmarkEnd w:id="0"/>
      <w:r>
        <w:rPr>
          <w:rFonts w:hint="eastAsia" w:ascii="楷体_GB2312" w:hAnsi="楷体_GB2312" w:eastAsia="楷体_GB2312" w:cs="楷体_GB2312"/>
          <w:b w:val="0"/>
          <w:bCs w:val="0"/>
          <w:color w:val="000000"/>
          <w:sz w:val="32"/>
          <w:szCs w:val="32"/>
          <w:lang w:val="en-US" w:eastAsia="zh-CN"/>
        </w:rPr>
        <w:t>一</w:t>
      </w:r>
      <w:r>
        <w:rPr>
          <w:rFonts w:hint="eastAsia" w:ascii="楷体_GB2312" w:hAnsi="楷体_GB2312" w:eastAsia="楷体_GB2312" w:cs="楷体_GB2312"/>
          <w:b w:val="0"/>
          <w:bCs w:val="0"/>
          <w:color w:val="000000"/>
          <w:sz w:val="32"/>
          <w:szCs w:val="32"/>
        </w:rPr>
        <w:t>）总体绩效目标完成情况分析</w:t>
      </w:r>
      <w:r>
        <w:rPr>
          <w:rFonts w:hint="eastAsia" w:ascii="楷体_GB2312" w:hAnsi="楷体_GB2312" w:eastAsia="楷体_GB2312" w:cs="楷体_GB2312"/>
          <w:b w:val="0"/>
          <w:bCs w:val="0"/>
          <w:color w:val="000000"/>
          <w:sz w:val="32"/>
          <w:szCs w:val="32"/>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_GB2312" w:eastAsia="仿宋_GB2312" w:cs="仿宋_GB2312"/>
          <w:b w:val="0"/>
          <w:bCs w:val="0"/>
          <w:sz w:val="32"/>
          <w:szCs w:val="32"/>
        </w:rPr>
      </w:pPr>
      <w:bookmarkStart w:id="1" w:name="bookmark43"/>
      <w:r>
        <w:rPr>
          <w:rFonts w:hint="eastAsia" w:ascii="仿宋_GB2312" w:hAnsi="仿宋" w:eastAsia="仿宋_GB2312"/>
          <w:b w:val="0"/>
          <w:bCs w:val="0"/>
          <w:sz w:val="32"/>
          <w:szCs w:val="32"/>
          <w:lang w:bidi="ar"/>
        </w:rPr>
        <w:t>随着2022年中央转移支付计划生育补助资金支持力度不断加大，实施农村部分计划生育家庭奖励扶助制度缓解了农村独生子女家庭养老问题，提高家庭发展能力。实施计划生育家庭特别扶助制度，缓解独生子女发生伤残、死亡家庭在生产、生活、医疗和养老等方面的实际困难，保障和改善民生，促进社会和谐稳定。其他计划生育事项顺利推进</w:t>
      </w:r>
      <w:r>
        <w:rPr>
          <w:rFonts w:hint="eastAsia" w:ascii="仿宋_GB2312" w:hAnsi="仿宋" w:eastAsia="仿宋_GB2312"/>
          <w:b w:val="0"/>
          <w:bCs w:val="0"/>
          <w:color w:val="000000"/>
          <w:sz w:val="32"/>
          <w:szCs w:val="32"/>
          <w:lang w:bidi="ar"/>
        </w:rPr>
        <w:t>，绩效指标整体良好，任务目标基本落实到位。</w:t>
      </w:r>
    </w:p>
    <w:p>
      <w:pPr>
        <w:keepNext w:val="0"/>
        <w:keepLines w:val="0"/>
        <w:pageBreakBefore w:val="0"/>
        <w:wordWrap/>
        <w:overflowPunct/>
        <w:topLinePunct w:val="0"/>
        <w:bidi w:val="0"/>
        <w:spacing w:line="560" w:lineRule="exact"/>
        <w:ind w:firstLine="640" w:firstLineChars="200"/>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rPr>
        <w:t>（</w:t>
      </w:r>
      <w:r>
        <w:rPr>
          <w:rFonts w:hint="eastAsia" w:ascii="楷体" w:hAnsi="楷体" w:eastAsia="楷体" w:cs="楷体"/>
          <w:b w:val="0"/>
          <w:bCs w:val="0"/>
          <w:sz w:val="32"/>
          <w:szCs w:val="32"/>
          <w:lang w:eastAsia="zh-CN"/>
        </w:rPr>
        <w:t>二</w:t>
      </w:r>
      <w:r>
        <w:rPr>
          <w:rFonts w:hint="eastAsia" w:ascii="楷体" w:hAnsi="楷体" w:eastAsia="楷体" w:cs="楷体"/>
          <w:b w:val="0"/>
          <w:bCs w:val="0"/>
          <w:sz w:val="32"/>
          <w:szCs w:val="32"/>
        </w:rPr>
        <w:t>）绩效指标完成情况分析</w:t>
      </w:r>
      <w:r>
        <w:rPr>
          <w:rFonts w:hint="eastAsia" w:ascii="楷体" w:hAnsi="楷体" w:eastAsia="楷体" w:cs="楷体"/>
          <w:b w:val="0"/>
          <w:bCs w:val="0"/>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960" w:firstLineChars="300"/>
        <w:textAlignment w:val="baseline"/>
        <w:rPr>
          <w:rFonts w:ascii="仿宋_GB2312" w:hAnsi="仿宋_GB2312" w:eastAsia="仿宋_GB2312" w:cs="仿宋_GB2312"/>
          <w:b w:val="0"/>
          <w:bCs w:val="0"/>
          <w:sz w:val="32"/>
          <w:szCs w:val="32"/>
          <w:lang w:eastAsia="zh-Hans"/>
        </w:rPr>
      </w:pPr>
      <w:r>
        <w:rPr>
          <w:rFonts w:hint="eastAsia" w:ascii="仿宋_GB2312" w:hAnsi="仿宋_GB2312" w:eastAsia="仿宋_GB2312" w:cs="仿宋_GB2312"/>
          <w:b w:val="0"/>
          <w:bCs w:val="0"/>
          <w:sz w:val="32"/>
          <w:szCs w:val="32"/>
          <w:lang w:eastAsia="zh-Hans"/>
        </w:rPr>
        <w:t>1.产出指标完成情况分析</w:t>
      </w:r>
    </w:p>
    <w:p>
      <w:pPr>
        <w:pStyle w:val="5"/>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_GB2312" w:eastAsia="仿宋_GB2312" w:cs="仿宋_GB2312"/>
          <w:b w:val="0"/>
          <w:bCs w:val="0"/>
          <w:color w:val="FF0000"/>
          <w:sz w:val="32"/>
          <w:szCs w:val="32"/>
          <w:lang w:eastAsia="zh-Hans" w:bidi="ar"/>
        </w:rPr>
      </w:pPr>
      <w:r>
        <w:rPr>
          <w:rFonts w:hint="eastAsia" w:ascii="仿宋_GB2312" w:hAnsi="仿宋_GB2312" w:eastAsia="仿宋_GB2312" w:cs="仿宋_GB2312"/>
          <w:b w:val="0"/>
          <w:bCs w:val="0"/>
          <w:color w:val="000000"/>
          <w:sz w:val="32"/>
          <w:szCs w:val="32"/>
          <w:lang w:eastAsia="zh-Hans" w:bidi="ar"/>
        </w:rPr>
        <w:t>（1）数量指标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b w:val="0"/>
          <w:bCs w:val="0"/>
          <w:sz w:val="32"/>
          <w:szCs w:val="32"/>
          <w:lang w:eastAsia="zh-Hans"/>
        </w:rPr>
      </w:pPr>
      <w:r>
        <w:rPr>
          <w:rFonts w:hint="eastAsia" w:ascii="仿宋_GB2312" w:hAnsi="仿宋" w:eastAsia="仿宋_GB2312"/>
          <w:b w:val="0"/>
          <w:bCs w:val="0"/>
          <w:color w:val="000000"/>
          <w:sz w:val="32"/>
          <w:szCs w:val="32"/>
          <w:lang w:bidi="ar"/>
        </w:rPr>
        <w:t>北京市2022年中央转移支付计划生育补助资金</w:t>
      </w:r>
      <w:r>
        <w:rPr>
          <w:rFonts w:hint="eastAsia" w:ascii="仿宋_GB2312" w:hAnsi="仿宋" w:eastAsia="仿宋_GB2312" w:cs="仿宋_GB2312"/>
          <w:b w:val="0"/>
          <w:bCs w:val="0"/>
          <w:color w:val="000000"/>
          <w:sz w:val="32"/>
          <w:szCs w:val="32"/>
          <w:lang w:eastAsia="zh-Hans" w:bidi="ar"/>
        </w:rPr>
        <w:t>项目</w:t>
      </w:r>
      <w:r>
        <w:rPr>
          <w:rFonts w:hint="eastAsia" w:ascii="仿宋_GB2312" w:hAnsi="仿宋" w:eastAsia="仿宋_GB2312"/>
          <w:b w:val="0"/>
          <w:bCs w:val="0"/>
          <w:sz w:val="32"/>
          <w:szCs w:val="32"/>
          <w:lang w:bidi="ar"/>
        </w:rPr>
        <w:t>设定的产出数量指标共</w:t>
      </w:r>
      <w:r>
        <w:rPr>
          <w:rFonts w:ascii="仿宋_GB2312" w:hAnsi="仿宋" w:eastAsia="仿宋_GB2312"/>
          <w:b w:val="0"/>
          <w:bCs w:val="0"/>
          <w:sz w:val="32"/>
          <w:szCs w:val="32"/>
          <w:lang w:bidi="ar"/>
        </w:rPr>
        <w:t>4</w:t>
      </w:r>
      <w:r>
        <w:rPr>
          <w:rFonts w:hint="eastAsia" w:ascii="仿宋_GB2312" w:hAnsi="仿宋" w:eastAsia="仿宋_GB2312"/>
          <w:b w:val="0"/>
          <w:bCs w:val="0"/>
          <w:sz w:val="32"/>
          <w:szCs w:val="32"/>
          <w:lang w:bidi="ar"/>
        </w:rPr>
        <w:t>项，</w:t>
      </w:r>
      <w:r>
        <w:rPr>
          <w:rFonts w:hint="eastAsia" w:ascii="仿宋_GB2312" w:hAnsi="仿宋" w:eastAsia="仿宋_GB2312"/>
          <w:b w:val="0"/>
          <w:bCs w:val="0"/>
          <w:sz w:val="32"/>
          <w:szCs w:val="32"/>
          <w:lang w:eastAsia="zh-Hans" w:bidi="ar"/>
        </w:rPr>
        <w:t>其中</w:t>
      </w:r>
      <w:r>
        <w:rPr>
          <w:rFonts w:ascii="仿宋_GB2312" w:hAnsi="仿宋" w:eastAsia="仿宋_GB2312"/>
          <w:b w:val="0"/>
          <w:bCs w:val="0"/>
          <w:sz w:val="32"/>
          <w:szCs w:val="32"/>
          <w:lang w:bidi="ar"/>
        </w:rPr>
        <w:t>1</w:t>
      </w:r>
      <w:r>
        <w:rPr>
          <w:rFonts w:hint="eastAsia" w:ascii="仿宋_GB2312" w:hAnsi="仿宋" w:eastAsia="仿宋_GB2312"/>
          <w:b w:val="0"/>
          <w:bCs w:val="0"/>
          <w:sz w:val="32"/>
          <w:szCs w:val="32"/>
          <w:lang w:eastAsia="zh-Hans" w:bidi="ar"/>
        </w:rPr>
        <w:t>项指标已完成</w:t>
      </w:r>
      <w:r>
        <w:rPr>
          <w:rFonts w:ascii="仿宋_GB2312" w:hAnsi="仿宋" w:eastAsia="仿宋_GB2312"/>
          <w:b w:val="0"/>
          <w:bCs w:val="0"/>
          <w:sz w:val="32"/>
          <w:szCs w:val="32"/>
          <w:lang w:eastAsia="zh-Hans" w:bidi="ar"/>
        </w:rPr>
        <w:t>，</w:t>
      </w:r>
      <w:r>
        <w:rPr>
          <w:rFonts w:hint="eastAsia" w:ascii="仿宋_GB2312" w:hAnsi="仿宋" w:eastAsia="仿宋_GB2312"/>
          <w:b w:val="0"/>
          <w:bCs w:val="0"/>
          <w:sz w:val="32"/>
          <w:szCs w:val="32"/>
          <w:lang w:bidi="ar"/>
        </w:rPr>
        <w:t>3</w:t>
      </w:r>
      <w:r>
        <w:rPr>
          <w:rFonts w:hint="eastAsia" w:ascii="仿宋_GB2312" w:hAnsi="仿宋" w:eastAsia="仿宋_GB2312"/>
          <w:b w:val="0"/>
          <w:bCs w:val="0"/>
          <w:sz w:val="32"/>
          <w:szCs w:val="32"/>
          <w:lang w:eastAsia="zh-Hans" w:bidi="ar"/>
        </w:rPr>
        <w:t>项指标未完成</w:t>
      </w:r>
      <w:r>
        <w:rPr>
          <w:rFonts w:ascii="仿宋_GB2312" w:hAnsi="仿宋" w:eastAsia="仿宋_GB2312"/>
          <w:b w:val="0"/>
          <w:bCs w:val="0"/>
          <w:sz w:val="32"/>
          <w:szCs w:val="32"/>
          <w:lang w:eastAsia="zh-Hans" w:bidi="ar"/>
        </w:rPr>
        <w:t>，</w:t>
      </w:r>
      <w:r>
        <w:rPr>
          <w:rFonts w:hint="eastAsia" w:ascii="仿宋_GB2312" w:hAnsi="仿宋" w:eastAsia="仿宋_GB2312"/>
          <w:b w:val="0"/>
          <w:bCs w:val="0"/>
          <w:sz w:val="32"/>
          <w:szCs w:val="32"/>
          <w:lang w:eastAsia="zh-Hans" w:bidi="ar"/>
        </w:rPr>
        <w:t>具体情况如下表</w:t>
      </w:r>
      <w:r>
        <w:rPr>
          <w:rFonts w:hint="eastAsia" w:ascii="仿宋_GB2312" w:hAnsi="仿宋" w:eastAsia="仿宋_GB2312"/>
          <w:b w:val="0"/>
          <w:bCs w:val="0"/>
          <w:sz w:val="32"/>
          <w:szCs w:val="32"/>
          <w:lang w:val="en-US" w:eastAsia="zh-CN" w:bidi="ar"/>
        </w:rPr>
        <w:t>1</w:t>
      </w:r>
      <w:r>
        <w:rPr>
          <w:rFonts w:ascii="仿宋_GB2312" w:hAnsi="仿宋" w:eastAsia="仿宋_GB2312"/>
          <w:b w:val="0"/>
          <w:bCs w:val="0"/>
          <w:sz w:val="32"/>
          <w:szCs w:val="32"/>
          <w:lang w:eastAsia="zh-Hans" w:bidi="ar"/>
        </w:rPr>
        <w:t>：</w:t>
      </w:r>
    </w:p>
    <w:p>
      <w:pPr>
        <w:pStyle w:val="5"/>
        <w:spacing w:after="0"/>
        <w:jc w:val="center"/>
        <w:rPr>
          <w:rFonts w:ascii="仿宋_GB2312" w:hAnsi="仿宋" w:eastAsia="仿宋_GB2312"/>
          <w:sz w:val="28"/>
          <w:szCs w:val="28"/>
          <w:lang w:eastAsia="zh-Hans" w:bidi="ar"/>
        </w:rPr>
      </w:pPr>
      <w:r>
        <w:rPr>
          <w:rFonts w:hint="eastAsia" w:ascii="仿宋_GB2312" w:hAnsi="仿宋" w:eastAsia="仿宋_GB2312"/>
          <w:sz w:val="28"/>
          <w:szCs w:val="28"/>
          <w:lang w:eastAsia="zh-Hans" w:bidi="ar"/>
        </w:rPr>
        <w:t>表</w:t>
      </w:r>
      <w:r>
        <w:rPr>
          <w:rFonts w:hint="eastAsia" w:ascii="仿宋_GB2312" w:hAnsi="仿宋" w:eastAsia="仿宋_GB2312"/>
          <w:sz w:val="28"/>
          <w:szCs w:val="28"/>
          <w:lang w:val="en-US" w:eastAsia="zh-CN" w:bidi="ar"/>
        </w:rPr>
        <w:t>1</w:t>
      </w:r>
      <w:r>
        <w:rPr>
          <w:rFonts w:hint="eastAsia" w:ascii="仿宋_GB2312" w:hAnsi="仿宋" w:eastAsia="仿宋_GB2312"/>
          <w:sz w:val="28"/>
          <w:szCs w:val="28"/>
          <w:lang w:eastAsia="zh-Hans" w:bidi="ar"/>
        </w:rPr>
        <w:t>：产出数量指标完成情况表</w:t>
      </w:r>
    </w:p>
    <w:tbl>
      <w:tblPr>
        <w:tblStyle w:val="10"/>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224"/>
        <w:gridCol w:w="2971"/>
        <w:gridCol w:w="166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blHeader/>
          <w:jc w:val="center"/>
        </w:trPr>
        <w:tc>
          <w:tcPr>
            <w:tcW w:w="831"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ajorEastAsia" w:hAnsiTheme="majorEastAsia" w:eastAsiaTheme="majorEastAsia" w:cstheme="majorEastAsia"/>
                <w:b/>
                <w:snapToGrid w:val="0"/>
                <w:color w:val="000000"/>
                <w:kern w:val="0"/>
                <w:sz w:val="20"/>
                <w:szCs w:val="20"/>
              </w:rPr>
            </w:pPr>
            <w:r>
              <w:rPr>
                <w:rFonts w:hint="eastAsia" w:asciiTheme="majorEastAsia" w:hAnsiTheme="majorEastAsia" w:eastAsiaTheme="majorEastAsia" w:cstheme="majorEastAsia"/>
                <w:b/>
                <w:color w:val="000000"/>
                <w:kern w:val="0"/>
                <w:sz w:val="20"/>
                <w:szCs w:val="20"/>
                <w:lang w:bidi="ar"/>
              </w:rPr>
              <w:t>序号</w:t>
            </w:r>
          </w:p>
        </w:tc>
        <w:tc>
          <w:tcPr>
            <w:tcW w:w="122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ajorEastAsia" w:hAnsiTheme="majorEastAsia" w:eastAsiaTheme="majorEastAsia" w:cstheme="majorEastAsia"/>
                <w:b/>
                <w:color w:val="000000"/>
                <w:kern w:val="0"/>
                <w:sz w:val="20"/>
                <w:szCs w:val="20"/>
              </w:rPr>
            </w:pPr>
            <w:r>
              <w:rPr>
                <w:rFonts w:hint="eastAsia" w:asciiTheme="majorEastAsia" w:hAnsiTheme="majorEastAsia" w:eastAsiaTheme="majorEastAsia" w:cstheme="majorEastAsia"/>
                <w:b/>
                <w:color w:val="000000"/>
                <w:kern w:val="0"/>
                <w:sz w:val="20"/>
                <w:szCs w:val="20"/>
                <w:lang w:bidi="ar"/>
              </w:rPr>
              <w:t>指标类型</w:t>
            </w:r>
          </w:p>
        </w:tc>
        <w:tc>
          <w:tcPr>
            <w:tcW w:w="2971"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ajorEastAsia" w:hAnsiTheme="majorEastAsia" w:eastAsiaTheme="majorEastAsia" w:cstheme="majorEastAsia"/>
                <w:b/>
                <w:color w:val="000000"/>
                <w:kern w:val="0"/>
                <w:sz w:val="20"/>
                <w:szCs w:val="20"/>
              </w:rPr>
            </w:pPr>
            <w:r>
              <w:rPr>
                <w:rFonts w:hint="eastAsia" w:asciiTheme="majorEastAsia" w:hAnsiTheme="majorEastAsia" w:eastAsiaTheme="majorEastAsia" w:cstheme="majorEastAsia"/>
                <w:b/>
                <w:color w:val="000000"/>
                <w:kern w:val="0"/>
                <w:sz w:val="20"/>
                <w:szCs w:val="20"/>
                <w:lang w:bidi="ar"/>
              </w:rPr>
              <w:t>三级指标</w:t>
            </w:r>
          </w:p>
        </w:tc>
        <w:tc>
          <w:tcPr>
            <w:tcW w:w="1660"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ajorEastAsia" w:hAnsiTheme="majorEastAsia" w:eastAsiaTheme="majorEastAsia" w:cstheme="majorEastAsia"/>
                <w:b/>
                <w:color w:val="000000"/>
                <w:kern w:val="0"/>
                <w:sz w:val="20"/>
                <w:szCs w:val="20"/>
              </w:rPr>
            </w:pPr>
            <w:r>
              <w:rPr>
                <w:rFonts w:hint="eastAsia" w:asciiTheme="majorEastAsia" w:hAnsiTheme="majorEastAsia" w:eastAsiaTheme="majorEastAsia" w:cstheme="majorEastAsia"/>
                <w:b/>
                <w:color w:val="000000"/>
                <w:kern w:val="0"/>
                <w:sz w:val="20"/>
                <w:szCs w:val="20"/>
                <w:lang w:bidi="ar"/>
              </w:rPr>
              <w:t>指标值</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ajorEastAsia" w:hAnsiTheme="majorEastAsia" w:eastAsiaTheme="majorEastAsia" w:cstheme="majorEastAsia"/>
                <w:b/>
                <w:color w:val="000000"/>
                <w:kern w:val="0"/>
                <w:sz w:val="20"/>
                <w:szCs w:val="20"/>
              </w:rPr>
            </w:pPr>
            <w:r>
              <w:rPr>
                <w:rFonts w:hint="eastAsia" w:asciiTheme="majorEastAsia" w:hAnsiTheme="majorEastAsia" w:eastAsiaTheme="majorEastAsia" w:cstheme="majorEastAsia"/>
                <w:b/>
                <w:color w:val="000000"/>
                <w:kern w:val="0"/>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ajorEastAsia" w:hAnsiTheme="majorEastAsia" w:eastAsiaTheme="majorEastAsia" w:cstheme="majorEastAsia"/>
                <w:snapToGrid w:val="0"/>
                <w:color w:val="000000"/>
                <w:kern w:val="0"/>
                <w:sz w:val="20"/>
                <w:szCs w:val="20"/>
                <w:lang w:eastAsia="zh-Hans"/>
              </w:rPr>
            </w:pPr>
            <w:r>
              <w:rPr>
                <w:rFonts w:hint="eastAsia" w:asciiTheme="majorEastAsia" w:hAnsiTheme="majorEastAsia" w:eastAsiaTheme="majorEastAsia" w:cstheme="majorEastAsia"/>
                <w:sz w:val="20"/>
                <w:szCs w:val="20"/>
                <w:lang w:bidi="ar"/>
              </w:rPr>
              <w:t>1</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rPr>
            </w:pPr>
            <w:r>
              <w:rPr>
                <w:rFonts w:hint="eastAsia" w:ascii="宋体" w:hAnsi="宋体" w:eastAsia="宋体" w:cs="宋体"/>
                <w:color w:val="000000"/>
                <w:kern w:val="0"/>
                <w:sz w:val="20"/>
                <w:szCs w:val="20"/>
                <w:lang w:bidi="ar"/>
              </w:rPr>
              <w:t>扶助独生子女伤残家庭人数</w:t>
            </w:r>
          </w:p>
        </w:tc>
        <w:tc>
          <w:tcPr>
            <w:tcW w:w="16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rPr>
            </w:pPr>
            <w:r>
              <w:rPr>
                <w:rFonts w:hint="eastAsia" w:ascii="宋体" w:hAnsi="宋体" w:eastAsia="宋体" w:cs="宋体"/>
                <w:color w:val="000000"/>
                <w:kern w:val="0"/>
                <w:sz w:val="20"/>
                <w:szCs w:val="20"/>
                <w:lang w:bidi="ar"/>
              </w:rPr>
              <w:t>22627人</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rPr>
            </w:pPr>
            <w:r>
              <w:rPr>
                <w:rFonts w:hint="eastAsia" w:ascii="宋体" w:hAnsi="宋体" w:eastAsia="宋体" w:cs="宋体"/>
                <w:color w:val="000000"/>
                <w:kern w:val="0"/>
                <w:sz w:val="20"/>
                <w:szCs w:val="20"/>
                <w:lang w:bidi="ar"/>
              </w:rPr>
              <w:t>20313人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ajorEastAsia" w:hAnsiTheme="majorEastAsia" w:eastAsiaTheme="majorEastAsia" w:cstheme="majorEastAsia"/>
                <w:snapToGrid w:val="0"/>
                <w:color w:val="000000"/>
                <w:kern w:val="0"/>
                <w:sz w:val="20"/>
                <w:szCs w:val="20"/>
                <w:lang w:eastAsia="zh-Hans" w:bidi="ar"/>
              </w:rPr>
            </w:pPr>
            <w:r>
              <w:rPr>
                <w:rFonts w:hint="eastAsia" w:asciiTheme="majorEastAsia" w:hAnsiTheme="majorEastAsia" w:eastAsiaTheme="majorEastAsia" w:cstheme="majorEastAsia"/>
                <w:sz w:val="20"/>
                <w:szCs w:val="20"/>
                <w:lang w:bidi="ar"/>
              </w:rPr>
              <w:t>2</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扶助独生子女死亡家庭人数</w:t>
            </w:r>
          </w:p>
        </w:tc>
        <w:tc>
          <w:tcPr>
            <w:tcW w:w="16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20225人</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20218人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ajorEastAsia" w:hAnsiTheme="majorEastAsia" w:eastAsiaTheme="majorEastAsia" w:cstheme="majorEastAsia"/>
                <w:snapToGrid w:val="0"/>
                <w:color w:val="000000"/>
                <w:kern w:val="0"/>
                <w:sz w:val="20"/>
                <w:szCs w:val="20"/>
                <w:lang w:eastAsia="zh-Hans" w:bidi="ar"/>
              </w:rPr>
            </w:pPr>
            <w:r>
              <w:rPr>
                <w:rFonts w:hint="eastAsia" w:asciiTheme="majorEastAsia" w:hAnsiTheme="majorEastAsia" w:eastAsiaTheme="majorEastAsia" w:cstheme="majorEastAsia"/>
                <w:sz w:val="20"/>
                <w:szCs w:val="20"/>
                <w:lang w:bidi="ar"/>
              </w:rPr>
              <w:t>3</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扶助一级、二级、三级计划生育手术并发症人员数</w:t>
            </w:r>
          </w:p>
        </w:tc>
        <w:tc>
          <w:tcPr>
            <w:tcW w:w="16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1人</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ajorEastAsia" w:hAnsiTheme="majorEastAsia" w:eastAsiaTheme="majorEastAsia" w:cstheme="majorEastAsia"/>
                <w:snapToGrid w:val="0"/>
                <w:color w:val="000000"/>
                <w:kern w:val="0"/>
                <w:sz w:val="20"/>
                <w:szCs w:val="20"/>
                <w:lang w:eastAsia="zh-Hans" w:bidi="ar"/>
              </w:rPr>
            </w:pPr>
            <w:r>
              <w:rPr>
                <w:rFonts w:hint="eastAsia" w:asciiTheme="majorEastAsia" w:hAnsiTheme="majorEastAsia" w:eastAsiaTheme="majorEastAsia" w:cstheme="majorEastAsia"/>
                <w:sz w:val="20"/>
                <w:szCs w:val="20"/>
                <w:lang w:bidi="ar"/>
              </w:rPr>
              <w:t>4</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农村部分计划生育家庭奖励扶助人数</w:t>
            </w:r>
          </w:p>
        </w:tc>
        <w:tc>
          <w:tcPr>
            <w:tcW w:w="166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119450人</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ajorEastAsia" w:hAnsiTheme="majorEastAsia" w:eastAsiaTheme="majorEastAsia" w:cstheme="majorEastAsia"/>
                <w:sz w:val="20"/>
                <w:szCs w:val="20"/>
                <w:lang w:bidi="ar"/>
              </w:rPr>
            </w:pPr>
            <w:r>
              <w:rPr>
                <w:rFonts w:hint="eastAsia" w:ascii="宋体" w:hAnsi="宋体" w:eastAsia="宋体" w:cs="宋体"/>
                <w:color w:val="000000"/>
                <w:kern w:val="0"/>
                <w:sz w:val="20"/>
                <w:szCs w:val="20"/>
                <w:lang w:bidi="ar"/>
              </w:rPr>
              <w:t>119446人</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（2）质量指标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color w:val="000000"/>
          <w:sz w:val="32"/>
          <w:szCs w:val="32"/>
          <w:lang w:eastAsia="zh-Hans" w:bidi="ar"/>
        </w:rPr>
      </w:pPr>
      <w:r>
        <w:rPr>
          <w:rFonts w:hint="eastAsia" w:ascii="仿宋_GB2312" w:hAnsi="仿宋" w:eastAsia="仿宋_GB2312"/>
          <w:color w:val="000000"/>
          <w:sz w:val="32"/>
          <w:szCs w:val="32"/>
          <w:lang w:bidi="ar"/>
        </w:rPr>
        <w:t>北京市2022年中央转移支付计划生育补助资金项目设定的产出质量指标共</w:t>
      </w:r>
      <w:r>
        <w:rPr>
          <w:rFonts w:ascii="仿宋_GB2312" w:hAnsi="仿宋" w:eastAsia="仿宋_GB2312"/>
          <w:color w:val="000000"/>
          <w:sz w:val="32"/>
          <w:szCs w:val="32"/>
          <w:lang w:bidi="ar"/>
        </w:rPr>
        <w:t>1</w:t>
      </w:r>
      <w:r>
        <w:rPr>
          <w:rFonts w:hint="eastAsia" w:ascii="仿宋_GB2312" w:hAnsi="仿宋" w:eastAsia="仿宋_GB2312"/>
          <w:color w:val="000000"/>
          <w:sz w:val="32"/>
          <w:szCs w:val="32"/>
          <w:lang w:bidi="ar"/>
        </w:rPr>
        <w:t>项，指标已完成，具体情况如下表</w:t>
      </w:r>
      <w:r>
        <w:rPr>
          <w:rFonts w:hint="eastAsia" w:ascii="仿宋_GB2312" w:hAnsi="仿宋" w:eastAsia="仿宋_GB2312"/>
          <w:color w:val="000000"/>
          <w:sz w:val="32"/>
          <w:szCs w:val="32"/>
          <w:lang w:val="en-US" w:eastAsia="zh-CN" w:bidi="ar"/>
        </w:rPr>
        <w:t>2</w:t>
      </w:r>
      <w:r>
        <w:rPr>
          <w:rFonts w:hint="eastAsia" w:ascii="仿宋_GB2312" w:hAnsi="仿宋" w:eastAsia="仿宋_GB2312"/>
          <w:color w:val="000000"/>
          <w:sz w:val="32"/>
          <w:szCs w:val="32"/>
          <w:lang w:bidi="ar"/>
        </w:rPr>
        <w:t>：</w:t>
      </w:r>
    </w:p>
    <w:p>
      <w:pPr>
        <w:pStyle w:val="5"/>
        <w:spacing w:after="0"/>
        <w:jc w:val="center"/>
        <w:rPr>
          <w:sz w:val="28"/>
          <w:szCs w:val="28"/>
          <w:lang w:eastAsia="zh-Hans"/>
        </w:rPr>
      </w:pPr>
      <w:r>
        <w:rPr>
          <w:rFonts w:hint="eastAsia" w:ascii="仿宋_GB2312" w:hAnsi="仿宋_GB2312" w:eastAsia="仿宋_GB2312" w:cs="仿宋_GB2312"/>
          <w:sz w:val="28"/>
          <w:szCs w:val="28"/>
        </w:rPr>
        <w:t>表</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：产出质量指标完成情况表</w:t>
      </w:r>
    </w:p>
    <w:tbl>
      <w:tblPr>
        <w:tblStyle w:val="10"/>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179"/>
        <w:gridCol w:w="2534"/>
        <w:gridCol w:w="2071"/>
        <w:gridCol w:w="1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98"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snapToGrid w:val="0"/>
                <w:color w:val="000000"/>
                <w:kern w:val="0"/>
                <w:sz w:val="20"/>
                <w:szCs w:val="20"/>
              </w:rPr>
            </w:pPr>
            <w:r>
              <w:rPr>
                <w:rFonts w:hint="eastAsia" w:ascii="宋体" w:hAnsi="宋体" w:eastAsia="宋体" w:cs="宋体"/>
                <w:b/>
                <w:color w:val="000000"/>
                <w:kern w:val="0"/>
                <w:sz w:val="20"/>
                <w:szCs w:val="20"/>
                <w:lang w:bidi="ar"/>
              </w:rPr>
              <w:t>序号</w:t>
            </w:r>
          </w:p>
        </w:tc>
        <w:tc>
          <w:tcPr>
            <w:tcW w:w="1179"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指标类型</w:t>
            </w:r>
          </w:p>
        </w:tc>
        <w:tc>
          <w:tcPr>
            <w:tcW w:w="253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三级指标</w:t>
            </w:r>
          </w:p>
        </w:tc>
        <w:tc>
          <w:tcPr>
            <w:tcW w:w="2071"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指标值</w:t>
            </w:r>
          </w:p>
        </w:tc>
        <w:tc>
          <w:tcPr>
            <w:tcW w:w="1726"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9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napToGrid w:val="0"/>
                <w:color w:val="000000"/>
                <w:kern w:val="0"/>
                <w:sz w:val="20"/>
                <w:szCs w:val="20"/>
                <w:lang w:eastAsia="zh-Hans"/>
              </w:rPr>
            </w:pPr>
            <w:r>
              <w:rPr>
                <w:rFonts w:hint="eastAsia" w:ascii="宋体" w:hAnsi="宋体" w:eastAsia="宋体" w:cs="宋体"/>
                <w:sz w:val="20"/>
                <w:szCs w:val="20"/>
                <w:lang w:bidi="ar"/>
              </w:rPr>
              <w:t>1</w:t>
            </w:r>
          </w:p>
        </w:tc>
        <w:tc>
          <w:tcPr>
            <w:tcW w:w="1179"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宋体" w:hAnsi="宋体" w:eastAsia="宋体" w:cs="宋体"/>
                <w:sz w:val="20"/>
                <w:szCs w:val="20"/>
              </w:rPr>
            </w:pPr>
            <w:r>
              <w:rPr>
                <w:rFonts w:hint="eastAsia" w:ascii="宋体" w:hAnsi="宋体" w:eastAsia="宋体" w:cs="宋体"/>
                <w:sz w:val="20"/>
                <w:szCs w:val="20"/>
                <w:lang w:eastAsia="zh-Hans" w:bidi="ar"/>
              </w:rPr>
              <w:t>质量</w:t>
            </w:r>
            <w:r>
              <w:rPr>
                <w:rFonts w:hint="eastAsia" w:ascii="宋体" w:hAnsi="宋体" w:eastAsia="宋体" w:cs="宋体"/>
                <w:sz w:val="20"/>
                <w:szCs w:val="20"/>
                <w:lang w:bidi="ar"/>
              </w:rPr>
              <w:t>指标</w:t>
            </w:r>
          </w:p>
        </w:tc>
        <w:tc>
          <w:tcPr>
            <w:tcW w:w="25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0"/>
                <w:szCs w:val="20"/>
              </w:rPr>
            </w:pPr>
            <w:r>
              <w:rPr>
                <w:rFonts w:hint="eastAsia" w:ascii="宋体" w:hAnsi="宋体" w:eastAsia="宋体" w:cs="宋体"/>
                <w:color w:val="000000"/>
                <w:kern w:val="0"/>
                <w:sz w:val="20"/>
                <w:szCs w:val="20"/>
                <w:lang w:bidi="ar"/>
              </w:rPr>
              <w:t>符合条件申报对象覆盖率</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0"/>
                <w:szCs w:val="20"/>
              </w:rPr>
            </w:pPr>
            <w:r>
              <w:rPr>
                <w:rFonts w:hint="eastAsia" w:ascii="宋体" w:hAnsi="宋体" w:eastAsia="宋体" w:cs="宋体"/>
                <w:color w:val="000000"/>
                <w:kern w:val="0"/>
                <w:sz w:val="20"/>
                <w:szCs w:val="20"/>
                <w:lang w:bidi="ar"/>
              </w:rPr>
              <w:t>100%</w:t>
            </w:r>
          </w:p>
        </w:tc>
        <w:tc>
          <w:tcPr>
            <w:tcW w:w="172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0"/>
                <w:szCs w:val="20"/>
              </w:rPr>
            </w:pPr>
            <w:r>
              <w:rPr>
                <w:rFonts w:hint="eastAsia" w:ascii="宋体" w:hAnsi="宋体" w:eastAsia="宋体" w:cs="宋体"/>
                <w:color w:val="000000"/>
                <w:kern w:val="0"/>
                <w:sz w:val="20"/>
                <w:szCs w:val="20"/>
                <w:lang w:bidi="ar"/>
              </w:rPr>
              <w:t>100%</w:t>
            </w:r>
          </w:p>
        </w:tc>
      </w:tr>
    </w:tbl>
    <w:p>
      <w:pPr>
        <w:pStyle w:val="5"/>
        <w:keepNext w:val="0"/>
        <w:keepLines w:val="0"/>
        <w:pageBreakBefore w:val="0"/>
        <w:widowControl/>
        <w:kinsoku w:val="0"/>
        <w:wordWrap/>
        <w:overflowPunct/>
        <w:topLinePunct w:val="0"/>
        <w:autoSpaceDE w:val="0"/>
        <w:autoSpaceDN w:val="0"/>
        <w:bidi w:val="0"/>
        <w:adjustRightInd w:val="0"/>
        <w:snapToGrid w:val="0"/>
        <w:spacing w:after="0" w:line="560" w:lineRule="exact"/>
        <w:ind w:firstLine="641"/>
        <w:textAlignment w:val="baseline"/>
        <w:rPr>
          <w:rFonts w:ascii="仿宋_GB2312" w:hAnsi="仿宋" w:eastAsia="仿宋_GB2312"/>
          <w:sz w:val="32"/>
          <w:szCs w:val="32"/>
          <w:lang w:eastAsia="zh-Hans" w:bidi="ar"/>
        </w:rPr>
      </w:pPr>
      <w:r>
        <w:rPr>
          <w:rFonts w:ascii="仿宋_GB2312" w:hAnsi="仿宋" w:eastAsia="仿宋_GB2312"/>
          <w:sz w:val="32"/>
          <w:szCs w:val="32"/>
          <w:lang w:eastAsia="zh-Hans" w:bidi="ar"/>
        </w:rPr>
        <w:t>（</w:t>
      </w:r>
      <w:r>
        <w:rPr>
          <w:rFonts w:hint="eastAsia" w:ascii="仿宋_GB2312" w:hAnsi="仿宋" w:eastAsia="仿宋_GB2312"/>
          <w:sz w:val="32"/>
          <w:szCs w:val="32"/>
          <w:lang w:bidi="ar"/>
        </w:rPr>
        <w:t>3</w:t>
      </w:r>
      <w:r>
        <w:rPr>
          <w:rFonts w:ascii="仿宋_GB2312" w:hAnsi="仿宋" w:eastAsia="仿宋_GB2312"/>
          <w:sz w:val="32"/>
          <w:szCs w:val="32"/>
          <w:lang w:eastAsia="zh-Hans" w:bidi="ar"/>
        </w:rPr>
        <w:t>）</w:t>
      </w:r>
      <w:r>
        <w:rPr>
          <w:rFonts w:hint="eastAsia" w:ascii="仿宋_GB2312" w:hAnsi="仿宋" w:eastAsia="仿宋_GB2312"/>
          <w:sz w:val="32"/>
          <w:szCs w:val="32"/>
          <w:lang w:bidi="ar"/>
        </w:rPr>
        <w:t>时效</w:t>
      </w:r>
      <w:r>
        <w:rPr>
          <w:rFonts w:hint="eastAsia" w:ascii="仿宋_GB2312" w:hAnsi="仿宋" w:eastAsia="仿宋_GB2312"/>
          <w:sz w:val="32"/>
          <w:szCs w:val="32"/>
          <w:lang w:eastAsia="zh-Hans" w:bidi="ar"/>
        </w:rPr>
        <w:t>指标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color w:val="000000"/>
          <w:sz w:val="32"/>
          <w:szCs w:val="32"/>
          <w:lang w:eastAsia="zh-Hans" w:bidi="ar"/>
        </w:rPr>
      </w:pPr>
      <w:r>
        <w:rPr>
          <w:rFonts w:hint="eastAsia" w:ascii="仿宋_GB2312" w:hAnsi="仿宋" w:eastAsia="仿宋_GB2312"/>
          <w:color w:val="000000"/>
          <w:sz w:val="32"/>
          <w:szCs w:val="32"/>
          <w:lang w:bidi="ar"/>
        </w:rPr>
        <w:t>北京市2022年中央转移支付计划生育补助资金项目设定的产出时效指标共</w:t>
      </w:r>
      <w:r>
        <w:rPr>
          <w:rFonts w:ascii="仿宋_GB2312" w:hAnsi="仿宋" w:eastAsia="仿宋_GB2312"/>
          <w:color w:val="000000"/>
          <w:sz w:val="32"/>
          <w:szCs w:val="32"/>
          <w:lang w:bidi="ar"/>
        </w:rPr>
        <w:t>1</w:t>
      </w:r>
      <w:r>
        <w:rPr>
          <w:rFonts w:hint="eastAsia" w:ascii="仿宋_GB2312" w:hAnsi="仿宋" w:eastAsia="仿宋_GB2312"/>
          <w:color w:val="000000"/>
          <w:sz w:val="32"/>
          <w:szCs w:val="32"/>
          <w:lang w:bidi="ar"/>
        </w:rPr>
        <w:t>项，指标已完成，具体情况如下表</w:t>
      </w:r>
      <w:r>
        <w:rPr>
          <w:rFonts w:hint="eastAsia" w:ascii="仿宋_GB2312" w:hAnsi="仿宋" w:eastAsia="仿宋_GB2312"/>
          <w:color w:val="000000"/>
          <w:sz w:val="32"/>
          <w:szCs w:val="32"/>
          <w:lang w:val="en-US" w:eastAsia="zh-CN" w:bidi="ar"/>
        </w:rPr>
        <w:t>3</w:t>
      </w:r>
      <w:r>
        <w:rPr>
          <w:rFonts w:hint="eastAsia" w:ascii="仿宋_GB2312" w:hAnsi="仿宋" w:eastAsia="仿宋_GB2312"/>
          <w:color w:val="000000"/>
          <w:sz w:val="32"/>
          <w:szCs w:val="32"/>
          <w:lang w:bidi="ar"/>
        </w:rPr>
        <w:t>：</w:t>
      </w:r>
    </w:p>
    <w:p>
      <w:pPr>
        <w:pStyle w:val="5"/>
        <w:spacing w:after="0"/>
        <w:jc w:val="center"/>
        <w:rPr>
          <w:rFonts w:ascii="仿宋_GB2312" w:hAnsi="仿宋" w:eastAsia="仿宋_GB2312"/>
          <w:sz w:val="32"/>
          <w:szCs w:val="32"/>
          <w:lang w:eastAsia="zh-Hans" w:bidi="ar"/>
        </w:rPr>
      </w:pPr>
      <w:r>
        <w:rPr>
          <w:rFonts w:hint="eastAsia" w:ascii="仿宋_GB2312" w:hAnsi="仿宋_GB2312" w:eastAsia="仿宋_GB2312" w:cs="仿宋_GB2312"/>
          <w:sz w:val="28"/>
          <w:szCs w:val="28"/>
        </w:rPr>
        <w:t>表</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：产出时效指标完成情况表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224"/>
        <w:gridCol w:w="2513"/>
        <w:gridCol w:w="1843"/>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106"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snapToGrid w:val="0"/>
                <w:color w:val="000000"/>
                <w:kern w:val="0"/>
                <w:sz w:val="20"/>
                <w:szCs w:val="20"/>
              </w:rPr>
            </w:pPr>
            <w:r>
              <w:rPr>
                <w:rFonts w:hint="eastAsia" w:ascii="宋体" w:hAnsi="宋体" w:eastAsia="宋体" w:cs="宋体"/>
                <w:b/>
                <w:color w:val="000000"/>
                <w:kern w:val="0"/>
                <w:sz w:val="20"/>
                <w:szCs w:val="20"/>
                <w:lang w:bidi="ar"/>
              </w:rPr>
              <w:t>序号</w:t>
            </w:r>
          </w:p>
        </w:tc>
        <w:tc>
          <w:tcPr>
            <w:tcW w:w="122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指标类型</w:t>
            </w:r>
          </w:p>
        </w:tc>
        <w:tc>
          <w:tcPr>
            <w:tcW w:w="2513"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三级指标</w:t>
            </w:r>
          </w:p>
        </w:tc>
        <w:tc>
          <w:tcPr>
            <w:tcW w:w="1843"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指标值</w:t>
            </w:r>
          </w:p>
        </w:tc>
        <w:tc>
          <w:tcPr>
            <w:tcW w:w="177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宋体" w:hAnsi="宋体" w:eastAsia="宋体" w:cs="宋体"/>
                <w:b/>
                <w:color w:val="000000"/>
                <w:kern w:val="0"/>
                <w:sz w:val="20"/>
                <w:szCs w:val="20"/>
              </w:rPr>
            </w:pPr>
            <w:r>
              <w:rPr>
                <w:rFonts w:hint="eastAsia" w:ascii="宋体" w:hAnsi="宋体" w:eastAsia="宋体" w:cs="宋体"/>
                <w:b/>
                <w:color w:val="000000"/>
                <w:kern w:val="0"/>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1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snapToGrid w:val="0"/>
                <w:color w:val="000000"/>
                <w:kern w:val="0"/>
                <w:sz w:val="20"/>
                <w:szCs w:val="20"/>
              </w:rPr>
            </w:pPr>
            <w:r>
              <w:rPr>
                <w:rFonts w:hint="eastAsia" w:ascii="宋体" w:hAnsi="宋体" w:eastAsia="宋体" w:cs="宋体"/>
                <w:sz w:val="20"/>
                <w:szCs w:val="20"/>
                <w:lang w:bidi="ar"/>
              </w:rPr>
              <w:t>1</w:t>
            </w:r>
          </w:p>
        </w:tc>
        <w:tc>
          <w:tcPr>
            <w:tcW w:w="1224"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宋体" w:hAnsi="宋体" w:eastAsia="宋体" w:cs="宋体"/>
                <w:sz w:val="20"/>
                <w:szCs w:val="20"/>
              </w:rPr>
            </w:pPr>
            <w:r>
              <w:rPr>
                <w:rFonts w:hint="eastAsia" w:ascii="宋体" w:hAnsi="宋体" w:eastAsia="宋体" w:cs="宋体"/>
                <w:sz w:val="20"/>
                <w:szCs w:val="20"/>
              </w:rPr>
              <w:t>时效指标</w:t>
            </w:r>
          </w:p>
        </w:tc>
        <w:tc>
          <w:tcPr>
            <w:tcW w:w="251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napToGrid w:val="0"/>
                <w:color w:val="000000"/>
                <w:kern w:val="0"/>
                <w:sz w:val="20"/>
                <w:szCs w:val="20"/>
                <w:lang w:bidi="ar"/>
              </w:rPr>
            </w:pPr>
            <w:r>
              <w:rPr>
                <w:rFonts w:hint="eastAsia" w:ascii="宋体" w:hAnsi="宋体" w:eastAsia="宋体" w:cs="宋体"/>
                <w:color w:val="000000"/>
                <w:kern w:val="0"/>
                <w:sz w:val="20"/>
                <w:szCs w:val="20"/>
                <w:lang w:bidi="ar"/>
              </w:rPr>
              <w:t>奖励和扶助资金到位率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napToGrid w:val="0"/>
                <w:color w:val="000000"/>
                <w:kern w:val="0"/>
                <w:sz w:val="20"/>
                <w:szCs w:val="20"/>
                <w:lang w:bidi="ar"/>
              </w:rPr>
            </w:pPr>
            <w:r>
              <w:rPr>
                <w:rFonts w:hint="eastAsia" w:ascii="宋体" w:hAnsi="宋体" w:eastAsia="宋体" w:cs="宋体"/>
                <w:snapToGrid w:val="0"/>
                <w:color w:val="000000"/>
                <w:kern w:val="0"/>
                <w:sz w:val="20"/>
                <w:szCs w:val="20"/>
                <w:lang w:bidi="ar"/>
              </w:rPr>
              <w:t>100.00%</w:t>
            </w:r>
          </w:p>
        </w:tc>
        <w:tc>
          <w:tcPr>
            <w:tcW w:w="17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napToGrid w:val="0"/>
                <w:color w:val="000000"/>
                <w:kern w:val="0"/>
                <w:sz w:val="20"/>
                <w:szCs w:val="20"/>
                <w:lang w:bidi="ar"/>
              </w:rPr>
            </w:pPr>
            <w:r>
              <w:rPr>
                <w:rFonts w:hint="eastAsia" w:ascii="宋体" w:hAnsi="宋体" w:eastAsia="宋体" w:cs="宋体"/>
                <w:snapToGrid w:val="0"/>
                <w:color w:val="000000"/>
                <w:kern w:val="0"/>
                <w:sz w:val="20"/>
                <w:szCs w:val="20"/>
                <w:lang w:bidi="ar"/>
              </w:rPr>
              <w:t>100.00%</w:t>
            </w:r>
          </w:p>
        </w:tc>
      </w:tr>
    </w:tbl>
    <w:p>
      <w:pPr>
        <w:pStyle w:val="5"/>
        <w:keepNext w:val="0"/>
        <w:keepLines w:val="0"/>
        <w:pageBreakBefore w:val="0"/>
        <w:widowControl/>
        <w:kinsoku w:val="0"/>
        <w:wordWrap/>
        <w:overflowPunct/>
        <w:topLinePunct w:val="0"/>
        <w:autoSpaceDE w:val="0"/>
        <w:autoSpaceDN w:val="0"/>
        <w:bidi w:val="0"/>
        <w:adjustRightInd w:val="0"/>
        <w:snapToGrid w:val="0"/>
        <w:spacing w:after="0" w:line="560" w:lineRule="exact"/>
        <w:ind w:firstLine="641"/>
        <w:textAlignment w:val="baseline"/>
        <w:rPr>
          <w:rFonts w:ascii="仿宋_GB2312" w:hAnsi="仿宋" w:eastAsia="仿宋_GB2312"/>
          <w:sz w:val="32"/>
          <w:szCs w:val="32"/>
          <w:lang w:eastAsia="zh-Hans" w:bidi="ar"/>
        </w:rPr>
      </w:pPr>
      <w:r>
        <w:rPr>
          <w:rFonts w:ascii="仿宋_GB2312" w:hAnsi="仿宋" w:eastAsia="仿宋_GB2312"/>
          <w:sz w:val="32"/>
          <w:szCs w:val="32"/>
          <w:lang w:eastAsia="zh-Hans" w:bidi="ar"/>
        </w:rPr>
        <w:t>（</w:t>
      </w:r>
      <w:r>
        <w:rPr>
          <w:rFonts w:hint="eastAsia" w:ascii="仿宋_GB2312" w:hAnsi="仿宋" w:eastAsia="仿宋_GB2312"/>
          <w:sz w:val="32"/>
          <w:szCs w:val="32"/>
          <w:lang w:bidi="ar"/>
        </w:rPr>
        <w:t>4</w:t>
      </w:r>
      <w:r>
        <w:rPr>
          <w:rFonts w:ascii="仿宋_GB2312" w:hAnsi="仿宋" w:eastAsia="仿宋_GB2312"/>
          <w:sz w:val="32"/>
          <w:szCs w:val="32"/>
          <w:lang w:eastAsia="zh-Hans" w:bidi="ar"/>
        </w:rPr>
        <w:t>）</w:t>
      </w:r>
      <w:r>
        <w:rPr>
          <w:rFonts w:hint="eastAsia" w:ascii="仿宋_GB2312" w:hAnsi="仿宋" w:eastAsia="仿宋_GB2312"/>
          <w:sz w:val="32"/>
          <w:szCs w:val="32"/>
          <w:lang w:bidi="ar"/>
        </w:rPr>
        <w:t>成本</w:t>
      </w:r>
      <w:r>
        <w:rPr>
          <w:rFonts w:hint="eastAsia" w:ascii="仿宋_GB2312" w:hAnsi="仿宋" w:eastAsia="仿宋_GB2312"/>
          <w:sz w:val="32"/>
          <w:szCs w:val="32"/>
          <w:lang w:eastAsia="zh-Hans" w:bidi="ar"/>
        </w:rPr>
        <w:t>指标</w:t>
      </w:r>
    </w:p>
    <w:p>
      <w:pPr>
        <w:pStyle w:val="5"/>
        <w:keepNext w:val="0"/>
        <w:keepLines w:val="0"/>
        <w:pageBreakBefore w:val="0"/>
        <w:widowControl/>
        <w:kinsoku w:val="0"/>
        <w:wordWrap/>
        <w:overflowPunct/>
        <w:topLinePunct w:val="0"/>
        <w:autoSpaceDE w:val="0"/>
        <w:autoSpaceDN w:val="0"/>
        <w:bidi w:val="0"/>
        <w:adjustRightInd w:val="0"/>
        <w:snapToGrid w:val="0"/>
        <w:spacing w:after="0" w:line="560" w:lineRule="exact"/>
        <w:ind w:firstLine="641"/>
        <w:textAlignment w:val="baseline"/>
        <w:rPr>
          <w:rFonts w:ascii="仿宋_GB2312" w:hAnsi="仿宋" w:eastAsia="仿宋_GB2312"/>
          <w:sz w:val="32"/>
          <w:szCs w:val="32"/>
          <w:lang w:eastAsia="zh-Hans" w:bidi="ar"/>
        </w:rPr>
      </w:pPr>
      <w:r>
        <w:rPr>
          <w:rFonts w:hint="eastAsia" w:ascii="仿宋_GB2312" w:hAnsi="仿宋" w:eastAsia="仿宋_GB2312"/>
          <w:color w:val="000000"/>
          <w:sz w:val="32"/>
          <w:szCs w:val="32"/>
          <w:lang w:bidi="ar"/>
        </w:rPr>
        <w:t>北京市2022年中央转移支付计划生育补助资金项目</w:t>
      </w:r>
      <w:r>
        <w:rPr>
          <w:rFonts w:hint="eastAsia" w:ascii="仿宋_GB2312" w:hAnsi="仿宋" w:eastAsia="仿宋_GB2312"/>
          <w:sz w:val="32"/>
          <w:szCs w:val="32"/>
          <w:lang w:bidi="ar"/>
        </w:rPr>
        <w:t>设定的产出成本指标共</w:t>
      </w:r>
      <w:r>
        <w:rPr>
          <w:rFonts w:ascii="仿宋_GB2312" w:hAnsi="仿宋" w:eastAsia="仿宋_GB2312"/>
          <w:sz w:val="32"/>
          <w:szCs w:val="32"/>
          <w:lang w:bidi="ar"/>
        </w:rPr>
        <w:t>4</w:t>
      </w:r>
      <w:r>
        <w:rPr>
          <w:rFonts w:hint="eastAsia" w:ascii="仿宋_GB2312" w:hAnsi="仿宋" w:eastAsia="仿宋_GB2312"/>
          <w:sz w:val="32"/>
          <w:szCs w:val="32"/>
          <w:lang w:bidi="ar"/>
        </w:rPr>
        <w:t>项，均</w:t>
      </w:r>
      <w:r>
        <w:rPr>
          <w:rFonts w:hint="eastAsia" w:ascii="仿宋_GB2312" w:hAnsi="仿宋" w:eastAsia="仿宋_GB2312"/>
          <w:sz w:val="32"/>
          <w:szCs w:val="32"/>
          <w:lang w:eastAsia="zh-Hans" w:bidi="ar"/>
        </w:rPr>
        <w:t>已完成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4</w:t>
      </w:r>
      <w:r>
        <w:rPr>
          <w:rFonts w:ascii="仿宋_GB2312" w:hAnsi="仿宋" w:eastAsia="仿宋_GB2312"/>
          <w:sz w:val="32"/>
          <w:szCs w:val="32"/>
          <w:lang w:eastAsia="zh-Hans" w:bidi="ar"/>
        </w:rPr>
        <w:t>：</w:t>
      </w:r>
    </w:p>
    <w:p>
      <w:pPr>
        <w:pStyle w:val="5"/>
        <w:spacing w:after="0"/>
        <w:jc w:val="center"/>
        <w:rPr>
          <w:rFonts w:ascii="仿宋_GB2312" w:hAnsi="仿宋" w:eastAsia="仿宋_GB2312"/>
          <w:sz w:val="28"/>
          <w:szCs w:val="28"/>
          <w:lang w:eastAsia="zh-Hans" w:bidi="ar"/>
        </w:rPr>
      </w:pPr>
      <w:r>
        <w:rPr>
          <w:rFonts w:hint="eastAsia" w:ascii="仿宋_GB2312" w:hAnsi="仿宋_GB2312" w:eastAsia="仿宋_GB2312" w:cs="仿宋_GB2312"/>
          <w:sz w:val="28"/>
          <w:szCs w:val="28"/>
        </w:rPr>
        <w:t>表</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：产出成本指标完成情况表</w:t>
      </w:r>
    </w:p>
    <w:tbl>
      <w:tblPr>
        <w:tblStyle w:val="10"/>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301"/>
        <w:gridCol w:w="2754"/>
        <w:gridCol w:w="1782"/>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49"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snapToGrid w:val="0"/>
                <w:color w:val="000000"/>
                <w:kern w:val="0"/>
                <w:sz w:val="20"/>
                <w:szCs w:val="20"/>
              </w:rPr>
            </w:pPr>
            <w:r>
              <w:rPr>
                <w:rFonts w:hint="eastAsia" w:asciiTheme="minorEastAsia" w:hAnsiTheme="minorEastAsia" w:cstheme="minorEastAsia"/>
                <w:b/>
                <w:color w:val="000000"/>
                <w:kern w:val="0"/>
                <w:sz w:val="20"/>
                <w:szCs w:val="20"/>
                <w:lang w:bidi="ar"/>
              </w:rPr>
              <w:t>序号</w:t>
            </w:r>
          </w:p>
        </w:tc>
        <w:tc>
          <w:tcPr>
            <w:tcW w:w="1301"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rPr>
            </w:pPr>
            <w:r>
              <w:rPr>
                <w:rFonts w:hint="eastAsia" w:asciiTheme="minorEastAsia" w:hAnsiTheme="minorEastAsia" w:cstheme="minorEastAsia"/>
                <w:b/>
                <w:color w:val="000000"/>
                <w:kern w:val="0"/>
                <w:sz w:val="20"/>
                <w:szCs w:val="20"/>
                <w:lang w:bidi="ar"/>
              </w:rPr>
              <w:t>指标类型</w:t>
            </w:r>
          </w:p>
        </w:tc>
        <w:tc>
          <w:tcPr>
            <w:tcW w:w="275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rPr>
            </w:pPr>
            <w:r>
              <w:rPr>
                <w:rFonts w:hint="eastAsia" w:asciiTheme="minorEastAsia" w:hAnsiTheme="minorEastAsia" w:cstheme="minorEastAsia"/>
                <w:b/>
                <w:color w:val="000000"/>
                <w:kern w:val="0"/>
                <w:sz w:val="20"/>
                <w:szCs w:val="20"/>
                <w:lang w:bidi="ar"/>
              </w:rPr>
              <w:t>三级指标</w:t>
            </w:r>
          </w:p>
        </w:tc>
        <w:tc>
          <w:tcPr>
            <w:tcW w:w="1782"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rPr>
            </w:pPr>
            <w:r>
              <w:rPr>
                <w:rFonts w:hint="eastAsia" w:asciiTheme="minorEastAsia" w:hAnsiTheme="minorEastAsia" w:cstheme="minorEastAsia"/>
                <w:b/>
                <w:color w:val="000000"/>
                <w:kern w:val="0"/>
                <w:sz w:val="20"/>
                <w:szCs w:val="20"/>
                <w:lang w:bidi="ar"/>
              </w:rPr>
              <w:t>指标值</w:t>
            </w:r>
          </w:p>
        </w:tc>
        <w:tc>
          <w:tcPr>
            <w:tcW w:w="177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rPr>
            </w:pPr>
            <w:r>
              <w:rPr>
                <w:rFonts w:hint="eastAsia" w:asciiTheme="minorEastAsia" w:hAnsiTheme="minorEastAsia" w:cstheme="minorEastAsia"/>
                <w:b/>
                <w:color w:val="000000"/>
                <w:kern w:val="0"/>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rPr>
            </w:pPr>
            <w:r>
              <w:rPr>
                <w:rFonts w:hint="eastAsia" w:asciiTheme="minorEastAsia" w:hAnsiTheme="minorEastAsia" w:cstheme="minorEastAsia"/>
                <w:snapToGrid w:val="0"/>
                <w:kern w:val="0"/>
                <w:sz w:val="20"/>
                <w:szCs w:val="20"/>
                <w:lang w:bidi="ar"/>
              </w:rPr>
              <w:t>1</w:t>
            </w:r>
          </w:p>
        </w:tc>
        <w:tc>
          <w:tcPr>
            <w:tcW w:w="1301"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rPr>
            </w:pPr>
            <w:r>
              <w:rPr>
                <w:rFonts w:hint="eastAsia" w:asciiTheme="minorEastAsia" w:hAnsiTheme="minorEastAsia" w:cstheme="minorEastAsia"/>
                <w:sz w:val="20"/>
                <w:szCs w:val="20"/>
                <w:lang w:bidi="ar"/>
              </w:rPr>
              <w:t>成本指标</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rPr>
            </w:pPr>
            <w:r>
              <w:rPr>
                <w:rFonts w:hint="eastAsia" w:ascii="宋体" w:hAnsi="宋体" w:eastAsia="宋体" w:cs="宋体"/>
                <w:color w:val="000000"/>
                <w:kern w:val="0"/>
                <w:sz w:val="20"/>
                <w:szCs w:val="20"/>
                <w:lang w:bidi="ar"/>
              </w:rPr>
              <w:t>独生子女伤残家庭扶助金发放标准</w:t>
            </w:r>
          </w:p>
        </w:tc>
        <w:tc>
          <w:tcPr>
            <w:tcW w:w="178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rPr>
            </w:pPr>
            <w:r>
              <w:rPr>
                <w:rFonts w:hint="eastAsia" w:ascii="宋体" w:hAnsi="宋体" w:eastAsia="宋体" w:cs="宋体"/>
                <w:color w:val="000000"/>
                <w:kern w:val="0"/>
                <w:sz w:val="20"/>
                <w:szCs w:val="20"/>
                <w:lang w:bidi="ar"/>
              </w:rPr>
              <w:t>上半年350元/人/月，下半年460元/人/月</w:t>
            </w:r>
          </w:p>
        </w:tc>
        <w:tc>
          <w:tcPr>
            <w:tcW w:w="17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rPr>
            </w:pPr>
            <w:r>
              <w:rPr>
                <w:rFonts w:hint="eastAsia" w:ascii="宋体" w:hAnsi="宋体" w:eastAsia="宋体" w:cs="宋体"/>
                <w:color w:val="000000"/>
                <w:kern w:val="0"/>
                <w:sz w:val="20"/>
                <w:szCs w:val="20"/>
                <w:lang w:bidi="ar"/>
              </w:rPr>
              <w:t>1-6月：590元/人/月；7-12月：740元/人/月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hint="eastAsia" w:asciiTheme="minorEastAsia" w:hAnsiTheme="minorEastAsia" w:cstheme="minorEastAsia"/>
                <w:snapToGrid w:val="0"/>
                <w:kern w:val="0"/>
                <w:sz w:val="20"/>
                <w:szCs w:val="20"/>
                <w:lang w:bidi="ar"/>
              </w:rPr>
              <w:t>2</w:t>
            </w:r>
          </w:p>
        </w:tc>
        <w:tc>
          <w:tcPr>
            <w:tcW w:w="1301"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lang w:eastAsia="zh-Hans" w:bidi="ar"/>
              </w:rPr>
            </w:pPr>
            <w:r>
              <w:rPr>
                <w:rFonts w:hint="eastAsia" w:asciiTheme="minorEastAsia" w:hAnsiTheme="minorEastAsia" w:cstheme="minorEastAsia"/>
                <w:sz w:val="20"/>
                <w:szCs w:val="20"/>
                <w:lang w:bidi="ar"/>
              </w:rPr>
              <w:t>成本指标</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bidi="ar"/>
              </w:rPr>
            </w:pPr>
            <w:r>
              <w:rPr>
                <w:rFonts w:hint="eastAsia" w:ascii="宋体" w:hAnsi="宋体" w:eastAsia="宋体" w:cs="宋体"/>
                <w:color w:val="000000"/>
                <w:kern w:val="0"/>
                <w:sz w:val="20"/>
                <w:szCs w:val="20"/>
                <w:lang w:bidi="ar"/>
              </w:rPr>
              <w:t>独生子女死亡家庭扶助金发放标准</w:t>
            </w:r>
          </w:p>
        </w:tc>
        <w:tc>
          <w:tcPr>
            <w:tcW w:w="178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bidi="ar"/>
              </w:rPr>
            </w:pPr>
            <w:r>
              <w:rPr>
                <w:rFonts w:hint="eastAsia" w:ascii="宋体" w:hAnsi="宋体" w:eastAsia="宋体" w:cs="宋体"/>
                <w:color w:val="000000"/>
                <w:kern w:val="0"/>
                <w:sz w:val="20"/>
                <w:szCs w:val="20"/>
                <w:lang w:bidi="ar"/>
              </w:rPr>
              <w:t>上半年450元/人/月，下半年590元/人/月</w:t>
            </w:r>
          </w:p>
        </w:tc>
        <w:tc>
          <w:tcPr>
            <w:tcW w:w="17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bidi="ar"/>
              </w:rPr>
            </w:pPr>
            <w:r>
              <w:rPr>
                <w:rFonts w:hint="eastAsia" w:ascii="宋体" w:hAnsi="宋体" w:eastAsia="宋体" w:cs="宋体"/>
                <w:color w:val="000000"/>
                <w:kern w:val="0"/>
                <w:sz w:val="20"/>
                <w:szCs w:val="20"/>
                <w:lang w:bidi="ar"/>
              </w:rPr>
              <w:t>1-6月：720元/人/月；7-12月：900元/人/月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asciiTheme="minorEastAsia" w:hAnsiTheme="minorEastAsia" w:cstheme="minorEastAsia"/>
                <w:snapToGrid w:val="0"/>
                <w:kern w:val="0"/>
                <w:sz w:val="20"/>
                <w:szCs w:val="20"/>
                <w:lang w:bidi="ar"/>
              </w:rPr>
              <w:t>3</w:t>
            </w:r>
          </w:p>
        </w:tc>
        <w:tc>
          <w:tcPr>
            <w:tcW w:w="1301"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lang w:bidi="ar"/>
              </w:rPr>
            </w:pPr>
            <w:r>
              <w:rPr>
                <w:rFonts w:hint="eastAsia" w:asciiTheme="minorEastAsia" w:hAnsiTheme="minorEastAsia" w:cstheme="minorEastAsia"/>
                <w:sz w:val="20"/>
                <w:szCs w:val="20"/>
                <w:lang w:bidi="ar"/>
              </w:rPr>
              <w:t>成本指标</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hint="eastAsia" w:ascii="宋体" w:hAnsi="宋体" w:eastAsia="宋体" w:cs="宋体"/>
                <w:color w:val="000000"/>
                <w:kern w:val="0"/>
                <w:sz w:val="20"/>
                <w:szCs w:val="20"/>
                <w:lang w:bidi="ar"/>
              </w:rPr>
              <w:t>计划生育手术并发症人员扶助金发放标准</w:t>
            </w:r>
          </w:p>
        </w:tc>
        <w:tc>
          <w:tcPr>
            <w:tcW w:w="178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hint="eastAsia" w:ascii="宋体" w:hAnsi="宋体" w:eastAsia="宋体" w:cs="宋体"/>
                <w:color w:val="000000"/>
                <w:kern w:val="0"/>
                <w:sz w:val="20"/>
                <w:szCs w:val="20"/>
                <w:lang w:bidi="ar"/>
              </w:rPr>
              <w:t>三级：上半年200元/人/月，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下半年260元/人/月；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二级：上半年300元/人/月，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下半年390元/人/月；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一级：上半年400元/人/月，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下半年520元/人/月</w:t>
            </w:r>
          </w:p>
        </w:tc>
        <w:tc>
          <w:tcPr>
            <w:tcW w:w="17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hint="eastAsia" w:ascii="宋体" w:hAnsi="宋体" w:eastAsia="宋体" w:cs="宋体"/>
                <w:color w:val="000000"/>
                <w:kern w:val="0"/>
                <w:sz w:val="20"/>
                <w:szCs w:val="20"/>
                <w:lang w:bidi="ar"/>
              </w:rPr>
              <w:t>三级：上半年200元/人/月，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下半年260元/人/月；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二级：上半年300元/人/月，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下半年390元/人/月；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一级：上半年400元/人/月，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下半年520元/人/月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asciiTheme="minorEastAsia" w:hAnsiTheme="minorEastAsia" w:cstheme="minorEastAsia"/>
                <w:snapToGrid w:val="0"/>
                <w:kern w:val="0"/>
                <w:sz w:val="20"/>
                <w:szCs w:val="20"/>
                <w:lang w:bidi="ar"/>
              </w:rPr>
              <w:t>4</w:t>
            </w:r>
          </w:p>
        </w:tc>
        <w:tc>
          <w:tcPr>
            <w:tcW w:w="1301"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lang w:bidi="ar"/>
              </w:rPr>
            </w:pPr>
            <w:r>
              <w:rPr>
                <w:rFonts w:hint="eastAsia" w:asciiTheme="minorEastAsia" w:hAnsiTheme="minorEastAsia" w:cstheme="minorEastAsia"/>
                <w:sz w:val="20"/>
                <w:szCs w:val="20"/>
                <w:lang w:bidi="ar"/>
              </w:rPr>
              <w:t>成本指标</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hint="eastAsia" w:ascii="宋体" w:hAnsi="宋体" w:eastAsia="宋体" w:cs="宋体"/>
                <w:color w:val="000000"/>
                <w:kern w:val="0"/>
                <w:sz w:val="20"/>
                <w:szCs w:val="20"/>
                <w:lang w:bidi="ar"/>
              </w:rPr>
              <w:t>农村部分计划生育家庭奖励扶助金发放标准</w:t>
            </w:r>
          </w:p>
        </w:tc>
        <w:tc>
          <w:tcPr>
            <w:tcW w:w="178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hint="eastAsia" w:ascii="宋体" w:hAnsi="宋体" w:eastAsia="宋体" w:cs="宋体"/>
                <w:color w:val="000000"/>
                <w:kern w:val="0"/>
                <w:sz w:val="20"/>
                <w:szCs w:val="20"/>
                <w:lang w:bidi="ar"/>
              </w:rPr>
              <w:t>80元/人/月</w:t>
            </w:r>
          </w:p>
        </w:tc>
        <w:tc>
          <w:tcPr>
            <w:tcW w:w="177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napToGrid w:val="0"/>
                <w:color w:val="000000"/>
                <w:kern w:val="0"/>
                <w:sz w:val="20"/>
                <w:szCs w:val="20"/>
                <w:lang w:bidi="ar"/>
              </w:rPr>
            </w:pPr>
            <w:r>
              <w:rPr>
                <w:rFonts w:hint="eastAsia" w:ascii="宋体" w:hAnsi="宋体" w:eastAsia="宋体" w:cs="宋体"/>
                <w:color w:val="000000"/>
                <w:kern w:val="0"/>
                <w:sz w:val="20"/>
                <w:szCs w:val="20"/>
                <w:lang w:bidi="ar"/>
              </w:rPr>
              <w:t>80元/人/月</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_GB2312" w:eastAsia="仿宋_GB2312" w:cs="仿宋_GB2312"/>
          <w:b w:val="0"/>
          <w:bCs/>
          <w:sz w:val="32"/>
          <w:szCs w:val="32"/>
          <w:lang w:eastAsia="zh-Hans"/>
        </w:rPr>
      </w:pPr>
      <w:r>
        <w:rPr>
          <w:rFonts w:hint="eastAsia" w:ascii="仿宋_GB2312" w:hAnsi="仿宋_GB2312" w:eastAsia="仿宋_GB2312" w:cs="仿宋_GB2312"/>
          <w:b w:val="0"/>
          <w:bCs/>
          <w:sz w:val="32"/>
          <w:szCs w:val="32"/>
          <w:lang w:eastAsia="zh-Hans"/>
        </w:rPr>
        <w:t>2.效益指标完成情况分析</w:t>
      </w:r>
    </w:p>
    <w:p>
      <w:pPr>
        <w:pStyle w:val="5"/>
        <w:keepNext w:val="0"/>
        <w:keepLines w:val="0"/>
        <w:pageBreakBefore w:val="0"/>
        <w:widowControl/>
        <w:kinsoku w:val="0"/>
        <w:wordWrap/>
        <w:overflowPunct/>
        <w:topLinePunct w:val="0"/>
        <w:autoSpaceDE w:val="0"/>
        <w:autoSpaceDN w:val="0"/>
        <w:bidi w:val="0"/>
        <w:adjustRightInd w:val="0"/>
        <w:snapToGrid w:val="0"/>
        <w:spacing w:after="0" w:line="560" w:lineRule="exact"/>
        <w:ind w:firstLine="641"/>
        <w:textAlignment w:val="baseline"/>
        <w:rPr>
          <w:rFonts w:hint="eastAsia" w:ascii="仿宋_GB2312" w:hAnsi="仿宋" w:eastAsia="仿宋_GB2312"/>
          <w:b w:val="0"/>
          <w:bCs/>
          <w:color w:val="000000"/>
          <w:sz w:val="32"/>
          <w:szCs w:val="32"/>
          <w:lang w:bidi="ar"/>
        </w:rPr>
      </w:pPr>
      <w:r>
        <w:rPr>
          <w:rFonts w:hint="eastAsia" w:ascii="仿宋_GB2312" w:hAnsi="仿宋" w:eastAsia="仿宋_GB2312"/>
          <w:b w:val="0"/>
          <w:bCs/>
          <w:color w:val="000000"/>
          <w:sz w:val="32"/>
          <w:szCs w:val="32"/>
          <w:lang w:bidi="ar"/>
        </w:rPr>
        <w:t>北京市2022年中央转移支付计划生育补助资金项目设定的社会效益指标共2项，指标均已完成，具体情况如下表</w:t>
      </w:r>
      <w:r>
        <w:rPr>
          <w:rFonts w:hint="eastAsia" w:ascii="仿宋_GB2312" w:hAnsi="仿宋" w:eastAsia="仿宋_GB2312"/>
          <w:b w:val="0"/>
          <w:bCs/>
          <w:color w:val="000000"/>
          <w:sz w:val="32"/>
          <w:szCs w:val="32"/>
          <w:lang w:val="en-US" w:eastAsia="zh-CN" w:bidi="ar"/>
        </w:rPr>
        <w:t>5</w:t>
      </w:r>
      <w:r>
        <w:rPr>
          <w:rFonts w:hint="eastAsia" w:ascii="仿宋_GB2312" w:hAnsi="仿宋" w:eastAsia="仿宋_GB2312"/>
          <w:b w:val="0"/>
          <w:bCs/>
          <w:color w:val="000000"/>
          <w:sz w:val="32"/>
          <w:szCs w:val="32"/>
          <w:lang w:bidi="ar"/>
        </w:rPr>
        <w:t>：</w:t>
      </w:r>
    </w:p>
    <w:p>
      <w:pPr>
        <w:pStyle w:val="5"/>
        <w:spacing w:after="0"/>
        <w:jc w:val="center"/>
        <w:rPr>
          <w:rFonts w:ascii="仿宋_GB2312" w:hAnsi="仿宋" w:eastAsia="仿宋_GB2312"/>
          <w:sz w:val="28"/>
          <w:szCs w:val="28"/>
          <w:lang w:eastAsia="zh-Hans" w:bidi="ar"/>
        </w:rPr>
      </w:pPr>
      <w:r>
        <w:rPr>
          <w:rFonts w:hint="eastAsia" w:ascii="仿宋_GB2312" w:hAnsi="仿宋_GB2312" w:eastAsia="仿宋_GB2312" w:cs="仿宋_GB2312"/>
          <w:sz w:val="28"/>
          <w:szCs w:val="28"/>
        </w:rPr>
        <w:t>表</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：社会效益指标完成情况表</w:t>
      </w:r>
    </w:p>
    <w:tbl>
      <w:tblPr>
        <w:tblStyle w:val="10"/>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444"/>
        <w:gridCol w:w="2513"/>
        <w:gridCol w:w="1984"/>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25"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lang w:bidi="ar"/>
              </w:rPr>
            </w:pPr>
            <w:r>
              <w:rPr>
                <w:rFonts w:hint="eastAsia" w:asciiTheme="minorEastAsia" w:hAnsiTheme="minorEastAsia" w:cstheme="minorEastAsia"/>
                <w:b/>
                <w:color w:val="000000"/>
                <w:kern w:val="0"/>
                <w:sz w:val="20"/>
                <w:szCs w:val="20"/>
                <w:lang w:bidi="ar"/>
              </w:rPr>
              <w:t>序号</w:t>
            </w:r>
          </w:p>
        </w:tc>
        <w:tc>
          <w:tcPr>
            <w:tcW w:w="144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lang w:bidi="ar"/>
              </w:rPr>
            </w:pPr>
            <w:r>
              <w:rPr>
                <w:rFonts w:hint="eastAsia" w:asciiTheme="minorEastAsia" w:hAnsiTheme="minorEastAsia" w:cstheme="minorEastAsia"/>
                <w:b/>
                <w:color w:val="000000"/>
                <w:kern w:val="0"/>
                <w:sz w:val="20"/>
                <w:szCs w:val="20"/>
                <w:lang w:bidi="ar"/>
              </w:rPr>
              <w:t>指标类型</w:t>
            </w:r>
          </w:p>
        </w:tc>
        <w:tc>
          <w:tcPr>
            <w:tcW w:w="2513"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lang w:bidi="ar"/>
              </w:rPr>
            </w:pPr>
            <w:r>
              <w:rPr>
                <w:rFonts w:hint="eastAsia" w:asciiTheme="minorEastAsia" w:hAnsiTheme="minorEastAsia" w:cstheme="minorEastAsia"/>
                <w:b/>
                <w:color w:val="000000"/>
                <w:kern w:val="0"/>
                <w:sz w:val="20"/>
                <w:szCs w:val="20"/>
                <w:lang w:bidi="ar"/>
              </w:rPr>
              <w:t>三级指标</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lang w:bidi="ar"/>
              </w:rPr>
            </w:pPr>
            <w:r>
              <w:rPr>
                <w:rFonts w:hint="eastAsia" w:asciiTheme="minorEastAsia" w:hAnsiTheme="minorEastAsia" w:cstheme="minorEastAsia"/>
                <w:b/>
                <w:color w:val="000000"/>
                <w:kern w:val="0"/>
                <w:sz w:val="20"/>
                <w:szCs w:val="20"/>
                <w:lang w:bidi="ar"/>
              </w:rPr>
              <w:t>指标值</w:t>
            </w:r>
          </w:p>
        </w:tc>
        <w:tc>
          <w:tcPr>
            <w:tcW w:w="1633"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jc w:val="center"/>
              <w:rPr>
                <w:rFonts w:asciiTheme="minorEastAsia" w:hAnsiTheme="minorEastAsia" w:cstheme="minorEastAsia"/>
                <w:b/>
                <w:color w:val="000000"/>
                <w:kern w:val="0"/>
                <w:sz w:val="20"/>
                <w:szCs w:val="20"/>
                <w:lang w:bidi="ar"/>
              </w:rPr>
            </w:pPr>
            <w:r>
              <w:rPr>
                <w:rFonts w:hint="eastAsia" w:asciiTheme="minorEastAsia" w:hAnsiTheme="minorEastAsia" w:cstheme="minorEastAsia"/>
                <w:b/>
                <w:color w:val="000000"/>
                <w:kern w:val="0"/>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25"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lang w:bidi="ar"/>
              </w:rPr>
            </w:pPr>
            <w:r>
              <w:rPr>
                <w:rFonts w:hint="eastAsia" w:asciiTheme="minorEastAsia" w:hAnsiTheme="minorEastAsia" w:cstheme="minorEastAsia"/>
                <w:sz w:val="20"/>
                <w:szCs w:val="20"/>
                <w:lang w:bidi="ar"/>
              </w:rPr>
              <w:t>1</w:t>
            </w:r>
          </w:p>
        </w:tc>
        <w:tc>
          <w:tcPr>
            <w:tcW w:w="1444"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lang w:bidi="ar"/>
              </w:rPr>
            </w:pPr>
            <w:r>
              <w:rPr>
                <w:rFonts w:hint="eastAsia" w:asciiTheme="minorEastAsia" w:hAnsiTheme="minorEastAsia" w:cstheme="minorEastAsia"/>
                <w:sz w:val="20"/>
                <w:szCs w:val="20"/>
                <w:lang w:bidi="ar"/>
              </w:rPr>
              <w:t>社会效益</w:t>
            </w:r>
            <w:r>
              <w:rPr>
                <w:rFonts w:hint="eastAsia" w:asciiTheme="minorEastAsia" w:hAnsiTheme="minorEastAsia" w:cstheme="minorEastAsia"/>
                <w:sz w:val="20"/>
                <w:szCs w:val="20"/>
                <w:lang w:eastAsia="zh-Hans" w:bidi="ar"/>
              </w:rPr>
              <w:t>指标</w:t>
            </w:r>
          </w:p>
        </w:tc>
        <w:tc>
          <w:tcPr>
            <w:tcW w:w="251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bidi="ar"/>
              </w:rPr>
            </w:pPr>
            <w:r>
              <w:rPr>
                <w:rFonts w:hint="eastAsia" w:ascii="宋体" w:hAnsi="宋体" w:eastAsia="宋体" w:cs="宋体"/>
                <w:color w:val="000000"/>
                <w:kern w:val="0"/>
                <w:sz w:val="20"/>
                <w:szCs w:val="20"/>
                <w:lang w:bidi="ar"/>
              </w:rPr>
              <w:t>家庭发展能力</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eastAsia="zh-Hans" w:bidi="ar"/>
              </w:rPr>
            </w:pPr>
            <w:r>
              <w:rPr>
                <w:rFonts w:hint="eastAsia" w:ascii="宋体" w:hAnsi="宋体" w:eastAsia="宋体" w:cs="宋体"/>
                <w:color w:val="000000"/>
                <w:kern w:val="0"/>
                <w:sz w:val="20"/>
                <w:szCs w:val="20"/>
                <w:lang w:bidi="ar"/>
              </w:rPr>
              <w:t>逐步提高</w:t>
            </w:r>
          </w:p>
        </w:tc>
        <w:tc>
          <w:tcPr>
            <w:tcW w:w="16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eastAsia="zh-Hans" w:bidi="ar"/>
              </w:rPr>
            </w:pPr>
            <w:r>
              <w:rPr>
                <w:rFonts w:hint="eastAsia" w:ascii="宋体" w:hAnsi="宋体" w:eastAsia="宋体" w:cs="宋体"/>
                <w:color w:val="000000"/>
                <w:kern w:val="0"/>
                <w:sz w:val="20"/>
                <w:szCs w:val="20"/>
                <w:lang w:bidi="ar"/>
              </w:rPr>
              <w:t>逐步提高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25"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lang w:bidi="ar"/>
              </w:rPr>
            </w:pPr>
            <w:r>
              <w:rPr>
                <w:rFonts w:hint="eastAsia" w:asciiTheme="minorEastAsia" w:hAnsiTheme="minorEastAsia" w:cstheme="minorEastAsia"/>
                <w:sz w:val="20"/>
                <w:szCs w:val="20"/>
                <w:lang w:bidi="ar"/>
              </w:rPr>
              <w:t>2</w:t>
            </w:r>
          </w:p>
        </w:tc>
        <w:tc>
          <w:tcPr>
            <w:tcW w:w="1444" w:type="dxa"/>
            <w:tcBorders>
              <w:top w:val="single" w:color="auto" w:sz="4" w:space="0"/>
              <w:left w:val="single" w:color="auto" w:sz="4" w:space="0"/>
              <w:bottom w:val="single" w:color="auto" w:sz="4" w:space="0"/>
              <w:right w:val="single" w:color="auto" w:sz="4" w:space="0"/>
            </w:tcBorders>
            <w:vAlign w:val="center"/>
          </w:tcPr>
          <w:p>
            <w:pPr>
              <w:widowControl/>
              <w:spacing w:after="156" w:afterLines="50"/>
              <w:jc w:val="center"/>
              <w:rPr>
                <w:rFonts w:asciiTheme="minorEastAsia" w:hAnsiTheme="minorEastAsia" w:cstheme="minorEastAsia"/>
                <w:sz w:val="20"/>
                <w:szCs w:val="20"/>
                <w:lang w:eastAsia="zh-Hans" w:bidi="ar"/>
              </w:rPr>
            </w:pPr>
            <w:r>
              <w:rPr>
                <w:rFonts w:hint="eastAsia" w:asciiTheme="minorEastAsia" w:hAnsiTheme="minorEastAsia" w:cstheme="minorEastAsia"/>
                <w:sz w:val="20"/>
                <w:szCs w:val="20"/>
                <w:lang w:bidi="ar"/>
              </w:rPr>
              <w:t>社会效益</w:t>
            </w:r>
            <w:r>
              <w:rPr>
                <w:rFonts w:hint="eastAsia" w:asciiTheme="minorEastAsia" w:hAnsiTheme="minorEastAsia" w:cstheme="minorEastAsia"/>
                <w:sz w:val="20"/>
                <w:szCs w:val="20"/>
                <w:lang w:eastAsia="zh-Hans" w:bidi="ar"/>
              </w:rPr>
              <w:t>指标</w:t>
            </w:r>
          </w:p>
        </w:tc>
        <w:tc>
          <w:tcPr>
            <w:tcW w:w="251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bidi="ar"/>
              </w:rPr>
            </w:pPr>
            <w:r>
              <w:rPr>
                <w:rFonts w:hint="eastAsia" w:ascii="宋体" w:hAnsi="宋体" w:eastAsia="宋体" w:cs="宋体"/>
                <w:color w:val="000000"/>
                <w:kern w:val="0"/>
                <w:sz w:val="20"/>
                <w:szCs w:val="20"/>
                <w:lang w:bidi="ar"/>
              </w:rPr>
              <w:t>社会稳定水平</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eastAsia="zh-Hans" w:bidi="ar"/>
              </w:rPr>
            </w:pPr>
            <w:r>
              <w:rPr>
                <w:rFonts w:hint="eastAsia" w:ascii="宋体" w:hAnsi="宋体" w:eastAsia="宋体" w:cs="宋体"/>
                <w:color w:val="000000"/>
                <w:kern w:val="0"/>
                <w:sz w:val="20"/>
                <w:szCs w:val="20"/>
                <w:lang w:bidi="ar"/>
              </w:rPr>
              <w:t>逐步提高</w:t>
            </w:r>
          </w:p>
        </w:tc>
        <w:tc>
          <w:tcPr>
            <w:tcW w:w="163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heme="minorEastAsia" w:hAnsiTheme="minorEastAsia" w:cstheme="minorEastAsia"/>
                <w:sz w:val="20"/>
                <w:szCs w:val="20"/>
                <w:lang w:eastAsia="zh-Hans" w:bidi="ar"/>
              </w:rPr>
            </w:pPr>
            <w:r>
              <w:rPr>
                <w:rFonts w:hint="eastAsia" w:ascii="宋体" w:hAnsi="宋体" w:eastAsia="宋体" w:cs="宋体"/>
                <w:color w:val="000000"/>
                <w:kern w:val="0"/>
                <w:sz w:val="20"/>
                <w:szCs w:val="20"/>
                <w:lang w:bidi="ar"/>
              </w:rPr>
              <w:t>逐步提高</w:t>
            </w:r>
          </w:p>
        </w:tc>
      </w:tr>
      <w:bookmarkEnd w:id="1"/>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20" w:firstLineChars="200"/>
        <w:jc w:val="left"/>
        <w:textAlignment w:val="baseline"/>
        <w:outlineLvl w:val="1"/>
        <w:rPr>
          <w:rFonts w:hint="eastAsia" w:ascii="黑体" w:hAnsi="黑体" w:eastAsia="黑体" w:cs="黑体"/>
          <w:bCs/>
          <w:snapToGrid w:val="0"/>
          <w:color w:val="000000"/>
          <w:spacing w:val="-5"/>
          <w:kern w:val="0"/>
          <w:sz w:val="32"/>
          <w:szCs w:val="32"/>
          <w:lang w:eastAsia="zh-CN"/>
        </w:rPr>
      </w:pPr>
      <w:bookmarkStart w:id="2" w:name="bookmark44"/>
      <w:r>
        <w:rPr>
          <w:rFonts w:hint="eastAsia" w:ascii="黑体" w:hAnsi="黑体" w:eastAsia="黑体" w:cs="黑体"/>
          <w:bCs/>
          <w:snapToGrid w:val="0"/>
          <w:color w:val="000000"/>
          <w:spacing w:val="-5"/>
          <w:kern w:val="0"/>
          <w:sz w:val="32"/>
          <w:szCs w:val="32"/>
        </w:rPr>
        <w:t>三</w:t>
      </w:r>
      <w:bookmarkEnd w:id="2"/>
      <w:r>
        <w:rPr>
          <w:rFonts w:hint="eastAsia" w:ascii="黑体" w:hAnsi="黑体" w:eastAsia="黑体" w:cs="黑体"/>
          <w:bCs/>
          <w:snapToGrid w:val="0"/>
          <w:color w:val="000000"/>
          <w:spacing w:val="-5"/>
          <w:kern w:val="0"/>
          <w:sz w:val="32"/>
          <w:szCs w:val="32"/>
        </w:rPr>
        <w:t>、</w:t>
      </w:r>
      <w:r>
        <w:rPr>
          <w:rFonts w:hint="eastAsia" w:ascii="黑体" w:hAnsi="黑体" w:eastAsia="黑体" w:cs="黑体"/>
          <w:bCs/>
          <w:snapToGrid w:val="0"/>
          <w:color w:val="000000"/>
          <w:spacing w:val="-5"/>
          <w:kern w:val="0"/>
          <w:sz w:val="32"/>
          <w:szCs w:val="32"/>
          <w:lang w:eastAsia="zh-CN"/>
        </w:rPr>
        <w:t>绩效自评结论</w:t>
      </w:r>
    </w:p>
    <w:p>
      <w:pPr>
        <w:keepNext w:val="0"/>
        <w:keepLines w:val="0"/>
        <w:pageBreakBefore w:val="0"/>
        <w:widowControl/>
        <w:wordWrap/>
        <w:overflowPunct/>
        <w:topLinePunct w:val="0"/>
        <w:bidi w:val="0"/>
        <w:spacing w:line="560" w:lineRule="exact"/>
        <w:ind w:firstLine="640" w:firstLineChars="200"/>
        <w:jc w:val="left"/>
        <w:rPr>
          <w:rFonts w:hint="eastAsia" w:ascii="仿宋_GB2312" w:hAnsi="仿宋_GB2312" w:eastAsia="仿宋_GB2312" w:cs="仿宋_GB2312"/>
          <w:bCs/>
          <w:snapToGrid/>
          <w:kern w:val="2"/>
          <w:sz w:val="32"/>
          <w:szCs w:val="32"/>
          <w:lang w:bidi="ar"/>
        </w:rPr>
      </w:pPr>
      <w:r>
        <w:rPr>
          <w:rFonts w:hint="eastAsia" w:ascii="仿宋_GB2312" w:hAnsi="仿宋_GB2312" w:eastAsia="仿宋_GB2312" w:cs="仿宋_GB2312"/>
          <w:bCs/>
          <w:snapToGrid/>
          <w:kern w:val="2"/>
          <w:sz w:val="32"/>
          <w:szCs w:val="32"/>
          <w:lang w:val="en-US" w:eastAsia="zh-CN" w:bidi="ar"/>
        </w:rPr>
        <w:t>根据本次绩效自评工作结果，本项目</w:t>
      </w:r>
      <w:r>
        <w:rPr>
          <w:rFonts w:hint="eastAsia" w:ascii="仿宋_GB2312" w:hAnsi="仿宋_GB2312" w:eastAsia="仿宋_GB2312" w:cs="仿宋_GB2312"/>
          <w:bCs/>
          <w:snapToGrid/>
          <w:kern w:val="2"/>
          <w:sz w:val="32"/>
          <w:szCs w:val="32"/>
          <w:lang w:eastAsia="zh-CN" w:bidi="ar"/>
        </w:rPr>
        <w:t>共设置</w:t>
      </w:r>
      <w:r>
        <w:rPr>
          <w:rFonts w:hint="eastAsia" w:ascii="仿宋_GB2312" w:hAnsi="仿宋_GB2312" w:eastAsia="仿宋_GB2312" w:cs="仿宋_GB2312"/>
          <w:bCs/>
          <w:snapToGrid/>
          <w:kern w:val="2"/>
          <w:sz w:val="32"/>
          <w:szCs w:val="32"/>
          <w:lang w:val="en-US" w:eastAsia="zh-CN" w:bidi="ar"/>
        </w:rPr>
        <w:t>12项年度绩效</w:t>
      </w:r>
      <w:r>
        <w:rPr>
          <w:rFonts w:hint="eastAsia" w:ascii="仿宋_GB2312" w:hAnsi="仿宋_GB2312" w:eastAsia="仿宋_GB2312" w:cs="仿宋_GB2312"/>
          <w:bCs/>
          <w:snapToGrid/>
          <w:kern w:val="2"/>
          <w:sz w:val="32"/>
          <w:szCs w:val="32"/>
          <w:lang w:eastAsia="zh-CN" w:bidi="ar"/>
        </w:rPr>
        <w:t>指标</w:t>
      </w:r>
      <w:r>
        <w:rPr>
          <w:rFonts w:hint="eastAsia" w:ascii="仿宋_GB2312" w:hAnsi="仿宋_GB2312" w:eastAsia="仿宋_GB2312" w:cs="仿宋_GB2312"/>
          <w:bCs/>
          <w:snapToGrid/>
          <w:kern w:val="2"/>
          <w:sz w:val="32"/>
          <w:szCs w:val="32"/>
          <w:lang w:val="en-US" w:eastAsia="zh-CN" w:bidi="ar"/>
        </w:rPr>
        <w:t>，均已实现年初目标值，项目实施取得了较好社会经济效益，</w:t>
      </w:r>
      <w:r>
        <w:rPr>
          <w:rFonts w:hint="eastAsia" w:ascii="仿宋_GB2312" w:hAnsi="仿宋_GB2312" w:eastAsia="仿宋_GB2312" w:cs="仿宋_GB2312"/>
          <w:snapToGrid/>
          <w:kern w:val="2"/>
          <w:sz w:val="32"/>
          <w:szCs w:val="32"/>
          <w:lang w:val="en-US" w:eastAsia="zh-CN" w:bidi="ar"/>
        </w:rPr>
        <w:t>自评结果整体良好</w:t>
      </w:r>
      <w:r>
        <w:rPr>
          <w:rFonts w:hint="eastAsia" w:ascii="仿宋_GB2312" w:hAnsi="仿宋_GB2312" w:eastAsia="仿宋_GB2312" w:cs="仿宋_GB2312"/>
          <w:bCs/>
          <w:snapToGrid/>
          <w:kern w:val="2"/>
          <w:sz w:val="32"/>
          <w:szCs w:val="32"/>
          <w:lang w:bidi="ar"/>
        </w:rPr>
        <w:t>。</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ascii="仿宋" w:hAnsi="仿宋" w:eastAsia="仿宋" w:cs="仿宋"/>
          <w:spacing w:val="2"/>
          <w:sz w:val="32"/>
          <w:szCs w:val="32"/>
        </w:rPr>
      </w:pPr>
      <w:bookmarkStart w:id="3" w:name="_GoBack"/>
      <w:bookmarkEnd w:id="3"/>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ascii="仿宋" w:hAnsi="仿宋" w:eastAsia="仿宋" w:cs="仿宋"/>
          <w:spacing w:val="2"/>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ascii="仿宋" w:hAnsi="仿宋" w:eastAsia="仿宋" w:cs="仿宋"/>
          <w:spacing w:val="2"/>
          <w:sz w:val="32"/>
          <w:szCs w:val="32"/>
        </w:rPr>
      </w:pPr>
      <w:r>
        <w:rPr>
          <w:rFonts w:hint="eastAsia" w:ascii="仿宋" w:hAnsi="仿宋" w:eastAsia="仿宋" w:cs="仿宋"/>
          <w:spacing w:val="2"/>
          <w:sz w:val="32"/>
          <w:szCs w:val="32"/>
        </w:rPr>
        <w:t>北京市卫生健康委员会</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firstLine="4536" w:firstLineChars="1400"/>
        <w:textAlignment w:val="baseline"/>
        <w:rPr>
          <w:rFonts w:ascii="仿宋" w:hAnsi="仿宋" w:eastAsia="仿宋" w:cs="仿宋"/>
          <w:spacing w:val="2"/>
          <w:sz w:val="32"/>
          <w:szCs w:val="32"/>
        </w:rPr>
      </w:pPr>
      <w:r>
        <w:rPr>
          <w:rFonts w:hint="eastAsia" w:ascii="仿宋" w:hAnsi="仿宋" w:eastAsia="仿宋" w:cs="仿宋"/>
          <w:spacing w:val="2"/>
          <w:sz w:val="32"/>
          <w:szCs w:val="32"/>
        </w:rPr>
        <w:t>2023年</w:t>
      </w:r>
      <w:r>
        <w:rPr>
          <w:rFonts w:hint="eastAsia" w:ascii="仿宋" w:hAnsi="仿宋" w:eastAsia="仿宋" w:cs="仿宋"/>
          <w:spacing w:val="2"/>
          <w:sz w:val="32"/>
          <w:szCs w:val="32"/>
          <w:lang w:val="en-US" w:eastAsia="zh-CN"/>
        </w:rPr>
        <w:t>6</w:t>
      </w:r>
      <w:r>
        <w:rPr>
          <w:rFonts w:hint="eastAsia" w:ascii="仿宋" w:hAnsi="仿宋" w:eastAsia="仿宋" w:cs="仿宋"/>
          <w:spacing w:val="2"/>
          <w:sz w:val="32"/>
          <w:szCs w:val="32"/>
        </w:rPr>
        <w:t>月</w:t>
      </w:r>
      <w:r>
        <w:rPr>
          <w:rFonts w:hint="eastAsia" w:ascii="仿宋" w:hAnsi="仿宋" w:eastAsia="仿宋" w:cs="仿宋"/>
          <w:spacing w:val="2"/>
          <w:sz w:val="32"/>
          <w:szCs w:val="32"/>
          <w:lang w:val="en-US" w:eastAsia="zh-CN"/>
        </w:rPr>
        <w:t>8</w:t>
      </w:r>
      <w:r>
        <w:rPr>
          <w:rFonts w:hint="eastAsia" w:ascii="仿宋" w:hAnsi="仿宋" w:eastAsia="仿宋" w:cs="仿宋"/>
          <w:spacing w:val="2"/>
          <w:sz w:val="32"/>
          <w:szCs w:val="32"/>
        </w:rPr>
        <w:t>日</w:t>
      </w:r>
    </w:p>
    <w:p>
      <w:pPr>
        <w:keepNext w:val="0"/>
        <w:keepLines w:val="0"/>
        <w:pageBreakBefore w:val="0"/>
        <w:wordWrap/>
        <w:overflowPunct/>
        <w:topLinePunct w:val="0"/>
        <w:bidi w:val="0"/>
        <w:spacing w:line="560" w:lineRule="exact"/>
      </w:pPr>
    </w:p>
    <w:p>
      <w:pPr>
        <w:keepNext w:val="0"/>
        <w:keepLines w:val="0"/>
        <w:pageBreakBefore w:val="0"/>
        <w:wordWrap/>
        <w:overflowPunct/>
        <w:topLinePunct w:val="0"/>
        <w:bidi w:val="0"/>
        <w:spacing w:line="560" w:lineRule="exact"/>
        <w:jc w:val="left"/>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8953231"/>
    </w:sdtPr>
    <w:sdtEndPr>
      <w:rPr>
        <w:rFonts w:asciiTheme="minorEastAsia" w:hAnsiTheme="minorEastAsia"/>
        <w:sz w:val="28"/>
        <w:szCs w:val="28"/>
      </w:rPr>
    </w:sdtEndPr>
    <w:sdtContent>
      <w:p>
        <w:pPr>
          <w:pStyle w:val="6"/>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11</w:t>
        </w:r>
        <w:r>
          <w:rPr>
            <w:rFonts w:asciiTheme="minorEastAsia" w:hAnsiTheme="minorEastAsia"/>
            <w:sz w:val="28"/>
            <w:szCs w:val="28"/>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A0F67C"/>
    <w:multiLevelType w:val="singleLevel"/>
    <w:tmpl w:val="53A0F67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09CC77A3"/>
    <w:rsid w:val="000E1B6D"/>
    <w:rsid w:val="000F74F9"/>
    <w:rsid w:val="00100231"/>
    <w:rsid w:val="0010219E"/>
    <w:rsid w:val="001765E2"/>
    <w:rsid w:val="001D501E"/>
    <w:rsid w:val="00236EE2"/>
    <w:rsid w:val="002379CB"/>
    <w:rsid w:val="002C1265"/>
    <w:rsid w:val="002D373A"/>
    <w:rsid w:val="002F4BF7"/>
    <w:rsid w:val="00324079"/>
    <w:rsid w:val="003570AE"/>
    <w:rsid w:val="00381A37"/>
    <w:rsid w:val="00382478"/>
    <w:rsid w:val="003A4E6D"/>
    <w:rsid w:val="003D473C"/>
    <w:rsid w:val="003D7EC5"/>
    <w:rsid w:val="003E07A5"/>
    <w:rsid w:val="00461E9B"/>
    <w:rsid w:val="00484C3A"/>
    <w:rsid w:val="00491827"/>
    <w:rsid w:val="004D6F39"/>
    <w:rsid w:val="004E5F78"/>
    <w:rsid w:val="0050117C"/>
    <w:rsid w:val="00522D70"/>
    <w:rsid w:val="00545CD1"/>
    <w:rsid w:val="00567510"/>
    <w:rsid w:val="00617432"/>
    <w:rsid w:val="00647431"/>
    <w:rsid w:val="00653269"/>
    <w:rsid w:val="00663C80"/>
    <w:rsid w:val="00664DF2"/>
    <w:rsid w:val="0069365F"/>
    <w:rsid w:val="00703B29"/>
    <w:rsid w:val="00762643"/>
    <w:rsid w:val="00782DF4"/>
    <w:rsid w:val="007B161C"/>
    <w:rsid w:val="0083327E"/>
    <w:rsid w:val="00854721"/>
    <w:rsid w:val="00892209"/>
    <w:rsid w:val="008B7C84"/>
    <w:rsid w:val="008D4E9C"/>
    <w:rsid w:val="00963D9C"/>
    <w:rsid w:val="0096618A"/>
    <w:rsid w:val="009C4BAA"/>
    <w:rsid w:val="00A518FE"/>
    <w:rsid w:val="00AD7205"/>
    <w:rsid w:val="00B159F0"/>
    <w:rsid w:val="00B3575E"/>
    <w:rsid w:val="00B379D3"/>
    <w:rsid w:val="00B5142F"/>
    <w:rsid w:val="00B613CB"/>
    <w:rsid w:val="00B65EAF"/>
    <w:rsid w:val="00B6685E"/>
    <w:rsid w:val="00BA6141"/>
    <w:rsid w:val="00BC307C"/>
    <w:rsid w:val="00BD65CB"/>
    <w:rsid w:val="00C36420"/>
    <w:rsid w:val="00D373C5"/>
    <w:rsid w:val="00D93072"/>
    <w:rsid w:val="00DB2186"/>
    <w:rsid w:val="00DF7F8D"/>
    <w:rsid w:val="00E52533"/>
    <w:rsid w:val="00E67D36"/>
    <w:rsid w:val="00E77CDE"/>
    <w:rsid w:val="00E80830"/>
    <w:rsid w:val="00EA753E"/>
    <w:rsid w:val="00EC4DBA"/>
    <w:rsid w:val="00EE3563"/>
    <w:rsid w:val="00EF678A"/>
    <w:rsid w:val="00F2741E"/>
    <w:rsid w:val="00FA694F"/>
    <w:rsid w:val="00FD1C1D"/>
    <w:rsid w:val="00FE2F6F"/>
    <w:rsid w:val="01366D4C"/>
    <w:rsid w:val="01D65764"/>
    <w:rsid w:val="02382502"/>
    <w:rsid w:val="06B71F44"/>
    <w:rsid w:val="09CC77A3"/>
    <w:rsid w:val="13BC1F1B"/>
    <w:rsid w:val="1D335E9C"/>
    <w:rsid w:val="22FC2731"/>
    <w:rsid w:val="234E76E1"/>
    <w:rsid w:val="29693576"/>
    <w:rsid w:val="2B0D3313"/>
    <w:rsid w:val="314E3D30"/>
    <w:rsid w:val="329627FE"/>
    <w:rsid w:val="35A5434E"/>
    <w:rsid w:val="35BE4669"/>
    <w:rsid w:val="37ED0847"/>
    <w:rsid w:val="393FE9D4"/>
    <w:rsid w:val="3BD04FFD"/>
    <w:rsid w:val="3DEEAEB1"/>
    <w:rsid w:val="3EDF1F3A"/>
    <w:rsid w:val="3EF31ECB"/>
    <w:rsid w:val="3EF362A7"/>
    <w:rsid w:val="48A013C5"/>
    <w:rsid w:val="5D1B4AB5"/>
    <w:rsid w:val="5E2356B9"/>
    <w:rsid w:val="5ED63530"/>
    <w:rsid w:val="6EDE5D5F"/>
    <w:rsid w:val="73FFD181"/>
    <w:rsid w:val="776F76DE"/>
    <w:rsid w:val="7E7FC85A"/>
    <w:rsid w:val="7FB5874D"/>
    <w:rsid w:val="7FE900FC"/>
    <w:rsid w:val="7FFD3517"/>
    <w:rsid w:val="9F98D17B"/>
    <w:rsid w:val="B8FFC014"/>
    <w:rsid w:val="CD6F8FBF"/>
    <w:rsid w:val="D7776045"/>
    <w:rsid w:val="DFB583EA"/>
    <w:rsid w:val="DFF8C9C3"/>
    <w:rsid w:val="ECFD6020"/>
    <w:rsid w:val="EDFB0773"/>
    <w:rsid w:val="EFB9D679"/>
    <w:rsid w:val="EFFED375"/>
    <w:rsid w:val="FDFFE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5">
    <w:name w:val="Body Text"/>
    <w:basedOn w:val="1"/>
    <w:semiHidden/>
    <w:unhideWhenUsed/>
    <w:qFormat/>
    <w:uiPriority w:val="99"/>
    <w:pPr>
      <w:spacing w:after="120"/>
    </w:p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index 9"/>
    <w:basedOn w:val="1"/>
    <w:next w:val="1"/>
    <w:unhideWhenUsed/>
    <w:qFormat/>
    <w:uiPriority w:val="99"/>
    <w:pPr>
      <w:ind w:firstLine="420"/>
    </w:pPr>
    <w:rPr>
      <w:rFonts w:eastAsia="仿宋_GB2312"/>
      <w:bCs/>
      <w:sz w:val="28"/>
      <w:szCs w:val="28"/>
    </w:rPr>
  </w:style>
  <w:style w:type="table" w:styleId="10">
    <w:name w:val="Table Grid"/>
    <w:basedOn w:val="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Body text|2"/>
    <w:basedOn w:val="1"/>
    <w:qFormat/>
    <w:uiPriority w:val="0"/>
    <w:pPr>
      <w:spacing w:line="590" w:lineRule="exact"/>
      <w:ind w:firstLine="580"/>
    </w:pPr>
    <w:rPr>
      <w:rFonts w:ascii="宋体" w:hAnsi="宋体" w:eastAsia="宋体" w:cs="宋体"/>
      <w:lang w:val="zh-TW" w:eastAsia="zh-TW" w:bidi="zh-TW"/>
    </w:rPr>
  </w:style>
  <w:style w:type="paragraph" w:customStyle="1" w:styleId="13">
    <w:name w:val="Header or footer|1"/>
    <w:basedOn w:val="1"/>
    <w:qFormat/>
    <w:uiPriority w:val="0"/>
    <w:rPr>
      <w:sz w:val="28"/>
      <w:szCs w:val="28"/>
      <w:lang w:val="zh-TW" w:eastAsia="zh-TW" w:bidi="zh-TW"/>
    </w:rPr>
  </w:style>
  <w:style w:type="character" w:customStyle="1" w:styleId="14">
    <w:name w:val="fontstyle11"/>
    <w:basedOn w:val="11"/>
    <w:qFormat/>
    <w:uiPriority w:val="0"/>
    <w:rPr>
      <w:rFonts w:hint="eastAsia" w:ascii="黑体" w:hAnsi="黑体" w:eastAsia="黑体"/>
      <w:color w:val="000000"/>
      <w:sz w:val="56"/>
      <w:szCs w:val="56"/>
    </w:rPr>
  </w:style>
  <w:style w:type="character" w:customStyle="1" w:styleId="15">
    <w:name w:val="页眉 字符"/>
    <w:basedOn w:val="11"/>
    <w:link w:val="7"/>
    <w:qFormat/>
    <w:uiPriority w:val="0"/>
    <w:rPr>
      <w:rFonts w:asciiTheme="minorHAnsi" w:hAnsiTheme="minorHAnsi" w:eastAsiaTheme="minorEastAsia" w:cstheme="minorBidi"/>
      <w:kern w:val="2"/>
      <w:sz w:val="18"/>
      <w:szCs w:val="18"/>
    </w:rPr>
  </w:style>
  <w:style w:type="character" w:customStyle="1" w:styleId="16">
    <w:name w:val="页脚 字符"/>
    <w:basedOn w:val="11"/>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3950</Words>
  <Characters>5294</Characters>
  <Lines>661</Lines>
  <Paragraphs>616</Paragraphs>
  <TotalTime>7</TotalTime>
  <ScaleCrop>false</ScaleCrop>
  <LinksUpToDate>false</LinksUpToDate>
  <CharactersWithSpaces>8628</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2022-02-26T05:45:00Z</dcterms:created>
  <dc:creator>曹晨</dc:creator>
  <cp:lastModifiedBy>admin</cp:lastModifiedBy>
  <cp:lastPrinted>2023-06-09T08:59:00Z</cp:lastPrinted>
  <dcterms:modified xsi:type="dcterms:W3CDTF">2023-06-09T17:14:09Z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BCEC0E01AEB649188B1E3A367C6F25F1</vt:lpwstr>
  </property>
  <property fmtid="{D5CDD505-2E9C-101B-9397-08002B2CF9AE}" pid="4" name="GrammarlyDocumentId">
    <vt:lpwstr>1263db9ca816f147922d9802d9a2e58b76e3a614fb2a089818b5af1cff152633</vt:lpwstr>
  </property>
</Properties>
</file>