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黑体" w:eastAsia="方正小标宋简体" w:cs="Times New Roman"/>
          <w:snapToGrid/>
          <w:color w:val="auto"/>
          <w:kern w:val="2"/>
          <w:sz w:val="44"/>
          <w:szCs w:val="44"/>
        </w:rPr>
      </w:pPr>
    </w:p>
    <w:p>
      <w:pPr>
        <w:spacing w:line="560" w:lineRule="exact"/>
        <w:jc w:val="center"/>
        <w:rPr>
          <w:rFonts w:hint="eastAsia" w:ascii="方正小标宋简体" w:hAnsi="黑体" w:eastAsia="方正小标宋简体" w:cs="Times New Roman"/>
          <w:snapToGrid/>
          <w:color w:val="auto"/>
          <w:kern w:val="2"/>
          <w:sz w:val="44"/>
          <w:szCs w:val="44"/>
        </w:rPr>
      </w:pPr>
      <w:r>
        <w:rPr>
          <w:rFonts w:hint="eastAsia" w:ascii="方正小标宋简体" w:hAnsi="黑体" w:eastAsia="方正小标宋简体" w:cs="Times New Roman"/>
          <w:snapToGrid/>
          <w:color w:val="auto"/>
          <w:kern w:val="2"/>
          <w:sz w:val="44"/>
          <w:szCs w:val="44"/>
        </w:rPr>
        <w:t>2022年度中央</w:t>
      </w:r>
      <w:r>
        <w:rPr>
          <w:rFonts w:hint="eastAsia" w:ascii="方正小标宋简体" w:hAnsi="黑体" w:eastAsia="方正小标宋简体" w:cs="Times New Roman"/>
          <w:snapToGrid/>
          <w:color w:val="auto"/>
          <w:kern w:val="2"/>
          <w:sz w:val="44"/>
          <w:szCs w:val="44"/>
          <w:lang w:eastAsia="zh-CN"/>
        </w:rPr>
        <w:t>对北京</w:t>
      </w:r>
      <w:r>
        <w:rPr>
          <w:rFonts w:hint="eastAsia" w:ascii="方正小标宋简体" w:hAnsi="黑体" w:eastAsia="方正小标宋简体" w:cs="Times New Roman"/>
          <w:snapToGrid/>
          <w:color w:val="auto"/>
          <w:kern w:val="2"/>
          <w:sz w:val="44"/>
          <w:szCs w:val="44"/>
        </w:rPr>
        <w:t>基本公共卫生服务</w:t>
      </w:r>
    </w:p>
    <w:p>
      <w:pPr>
        <w:spacing w:line="560" w:lineRule="exact"/>
        <w:jc w:val="center"/>
        <w:rPr>
          <w:rFonts w:hint="eastAsia" w:ascii="方正小标宋简体" w:hAnsi="黑体" w:eastAsia="方正小标宋简体" w:cs="Times New Roman"/>
          <w:snapToGrid/>
          <w:color w:val="auto"/>
          <w:kern w:val="2"/>
          <w:sz w:val="44"/>
          <w:szCs w:val="44"/>
          <w:lang w:eastAsia="zh-CN"/>
        </w:rPr>
      </w:pPr>
      <w:r>
        <w:rPr>
          <w:rFonts w:hint="eastAsia" w:ascii="方正小标宋简体" w:hAnsi="黑体" w:eastAsia="方正小标宋简体" w:cs="Times New Roman"/>
          <w:snapToGrid/>
          <w:color w:val="auto"/>
          <w:kern w:val="2"/>
          <w:sz w:val="44"/>
          <w:szCs w:val="44"/>
        </w:rPr>
        <w:t>补助资金转移支付</w:t>
      </w:r>
      <w:r>
        <w:rPr>
          <w:rFonts w:hint="eastAsia" w:ascii="方正小标宋简体" w:hAnsi="黑体" w:eastAsia="方正小标宋简体" w:cs="Times New Roman"/>
          <w:snapToGrid/>
          <w:color w:val="auto"/>
          <w:kern w:val="2"/>
          <w:sz w:val="44"/>
          <w:szCs w:val="44"/>
          <w:lang w:eastAsia="zh-CN"/>
        </w:rPr>
        <w:t>预算执行情况</w:t>
      </w:r>
    </w:p>
    <w:p>
      <w:pPr>
        <w:spacing w:line="560" w:lineRule="exact"/>
        <w:jc w:val="center"/>
        <w:rPr>
          <w:rFonts w:ascii="方正小标宋简体" w:hAnsi="黑体" w:eastAsia="方正小标宋简体" w:cs="Times New Roman"/>
          <w:snapToGrid/>
          <w:color w:val="auto"/>
          <w:kern w:val="2"/>
          <w:sz w:val="44"/>
          <w:szCs w:val="44"/>
        </w:rPr>
      </w:pPr>
      <w:r>
        <w:rPr>
          <w:rFonts w:hint="eastAsia" w:ascii="方正小标宋简体" w:hAnsi="黑体" w:eastAsia="方正小标宋简体" w:cs="Times New Roman"/>
          <w:snapToGrid/>
          <w:color w:val="auto"/>
          <w:kern w:val="2"/>
          <w:sz w:val="44"/>
          <w:szCs w:val="44"/>
          <w:lang w:eastAsia="zh-CN"/>
        </w:rPr>
        <w:t>绩效</w:t>
      </w:r>
      <w:r>
        <w:rPr>
          <w:rFonts w:hint="eastAsia" w:ascii="方正小标宋简体" w:hAnsi="黑体" w:eastAsia="方正小标宋简体" w:cs="Times New Roman"/>
          <w:snapToGrid/>
          <w:color w:val="auto"/>
          <w:kern w:val="2"/>
          <w:sz w:val="44"/>
          <w:szCs w:val="44"/>
        </w:rPr>
        <w:t>自评报告</w:t>
      </w:r>
    </w:p>
    <w:p>
      <w:pPr>
        <w:pStyle w:val="6"/>
        <w:rPr>
          <w:rFonts w:ascii="方正小标宋简体" w:hAnsi="黑体" w:eastAsia="方正小标宋简体" w:cs="Times New Roman"/>
          <w:snapToGrid/>
          <w:color w:val="auto"/>
          <w:kern w:val="2"/>
          <w:sz w:val="44"/>
          <w:szCs w:val="44"/>
        </w:rPr>
      </w:pPr>
    </w:p>
    <w:p>
      <w:pPr>
        <w:pStyle w:val="6"/>
        <w:keepNext w:val="0"/>
        <w:keepLines w:val="0"/>
        <w:pageBreakBefore w:val="0"/>
        <w:widowControl/>
        <w:wordWrap/>
        <w:overflowPunct/>
        <w:topLinePunct w:val="0"/>
        <w:bidi w:val="0"/>
        <w:spacing w:line="560" w:lineRule="exact"/>
        <w:ind w:firstLine="640" w:firstLineChars="200"/>
        <w:jc w:val="both"/>
        <w:rPr>
          <w:rFonts w:eastAsia="宋体"/>
          <w:sz w:val="32"/>
          <w:szCs w:val="32"/>
        </w:rPr>
      </w:pPr>
      <w:r>
        <w:rPr>
          <w:rFonts w:hint="eastAsia" w:ascii="仿宋_GB2312" w:hAnsi="仿宋_GB2312" w:eastAsia="仿宋_GB2312" w:cs="仿宋_GB2312"/>
          <w:sz w:val="32"/>
          <w:szCs w:val="32"/>
        </w:rPr>
        <w:t>为贯彻落实《中共中央 国务院关于全面实施预算绩效管理的意见》《中共北京市委 北京市人民政府关于全面实施预算绩效管理的实施意见》有关精神，加快建成全方位、全过程、全覆盖的预算绩效管理体系，切实增强资金使用单位支出绩效意识，提高转移支付资金使用效益，根据财政部《关于开展2022年度中央对地方转移支付预算执行情况绩效自评工作的通知》（财监</w:t>
      </w:r>
      <w:r>
        <w:rPr>
          <w:rFonts w:hint="eastAsia" w:ascii="仿宋_GB2312" w:hAnsi="仿宋_GB2312" w:eastAsia="仿宋_GB2312" w:cs="仿宋_GB2312"/>
          <w:bCs/>
          <w:color w:val="auto"/>
          <w:sz w:val="32"/>
          <w:szCs w:val="32"/>
          <w:lang w:eastAsia="zh-Hans"/>
        </w:rPr>
        <w:t>〔202</w:t>
      </w:r>
      <w:r>
        <w:rPr>
          <w:rFonts w:hint="eastAsia" w:ascii="仿宋_GB2312" w:hAnsi="仿宋_GB2312" w:eastAsia="仿宋_GB2312" w:cs="仿宋_GB2312"/>
          <w:bCs/>
          <w:color w:val="auto"/>
          <w:sz w:val="32"/>
          <w:szCs w:val="32"/>
        </w:rPr>
        <w:t>3</w:t>
      </w:r>
      <w:r>
        <w:rPr>
          <w:rFonts w:hint="eastAsia" w:ascii="仿宋_GB2312" w:hAnsi="仿宋_GB2312" w:eastAsia="仿宋_GB2312" w:cs="仿宋_GB2312"/>
          <w:bCs/>
          <w:color w:val="auto"/>
          <w:sz w:val="32"/>
          <w:szCs w:val="32"/>
          <w:lang w:eastAsia="zh-Hans"/>
        </w:rPr>
        <w:t>〕</w:t>
      </w:r>
      <w:r>
        <w:rPr>
          <w:rFonts w:hint="eastAsia" w:ascii="仿宋_GB2312" w:hAnsi="仿宋_GB2312" w:eastAsia="仿宋_GB2312" w:cs="仿宋_GB2312"/>
          <w:sz w:val="32"/>
          <w:szCs w:val="32"/>
        </w:rPr>
        <w:t>1号）文件要求，北京市卫生健康委员会组织各区卫生健康委员会和部分市级单位开展了2022年北京市中央转移支付基本公共卫生服务补助资金的绩效自评工作，形成绩效自评报告。</w:t>
      </w:r>
    </w:p>
    <w:p>
      <w:pPr>
        <w:keepNext w:val="0"/>
        <w:keepLines w:val="0"/>
        <w:pageBreakBefore w:val="0"/>
        <w:widowControl/>
        <w:wordWrap/>
        <w:overflowPunct/>
        <w:topLinePunct w:val="0"/>
        <w:bidi w:val="0"/>
        <w:spacing w:line="560" w:lineRule="exact"/>
        <w:ind w:firstLine="640" w:firstLineChars="200"/>
        <w:jc w:val="both"/>
        <w:outlineLvl w:val="0"/>
        <w:rPr>
          <w:rFonts w:hint="eastAsia" w:ascii="黑体" w:hAnsi="宋体" w:eastAsia="黑体" w:cs="黑体"/>
          <w:bCs/>
          <w:sz w:val="32"/>
          <w:szCs w:val="32"/>
          <w:lang w:eastAsia="zh-CN" w:bidi="ar"/>
        </w:rPr>
      </w:pPr>
      <w:bookmarkStart w:id="0" w:name="_Toc1146578714_WPSOffice_Level1"/>
      <w:r>
        <w:rPr>
          <w:rFonts w:hint="eastAsia" w:ascii="黑体" w:hAnsi="宋体" w:eastAsia="黑体" w:cs="黑体"/>
          <w:bCs/>
          <w:sz w:val="32"/>
          <w:szCs w:val="32"/>
          <w:lang w:bidi="ar"/>
        </w:rPr>
        <w:t>一、</w:t>
      </w:r>
      <w:bookmarkEnd w:id="0"/>
      <w:r>
        <w:rPr>
          <w:rFonts w:hint="eastAsia" w:ascii="黑体" w:hAnsi="宋体" w:eastAsia="黑体" w:cs="黑体"/>
          <w:bCs/>
          <w:sz w:val="32"/>
          <w:szCs w:val="32"/>
          <w:lang w:eastAsia="zh-CN" w:bidi="ar"/>
        </w:rPr>
        <w:t>转移支付基本情况</w:t>
      </w:r>
    </w:p>
    <w:p>
      <w:pPr>
        <w:pStyle w:val="6"/>
        <w:keepNext w:val="0"/>
        <w:keepLines w:val="0"/>
        <w:pageBreakBefore w:val="0"/>
        <w:widowControl/>
        <w:wordWrap/>
        <w:overflowPunct/>
        <w:topLinePunct w:val="0"/>
        <w:bidi w:val="0"/>
        <w:spacing w:line="560" w:lineRule="exact"/>
        <w:ind w:firstLine="640" w:firstLineChars="200"/>
        <w:jc w:val="both"/>
        <w:rPr>
          <w:rFonts w:hint="eastAsia" w:ascii="楷体_GB2312" w:hAnsi="楷体_GB2312" w:eastAsia="楷体_GB2312" w:cs="楷体_GB2312"/>
          <w:sz w:val="32"/>
          <w:szCs w:val="32"/>
          <w:lang w:eastAsia="zh-CN"/>
        </w:rPr>
      </w:pPr>
      <w:bookmarkStart w:id="1" w:name="_Toc1177681667_WPSOffice_Level2"/>
      <w:r>
        <w:rPr>
          <w:rFonts w:hint="eastAsia" w:ascii="楷体_GB2312" w:hAnsi="楷体_GB2312" w:eastAsia="楷体_GB2312" w:cs="楷体_GB2312"/>
          <w:bCs/>
          <w:kern w:val="2"/>
          <w:sz w:val="32"/>
          <w:szCs w:val="32"/>
          <w:lang w:bidi="ar"/>
        </w:rPr>
        <w:t>（一）</w:t>
      </w:r>
      <w:bookmarkEnd w:id="1"/>
      <w:r>
        <w:rPr>
          <w:rFonts w:hint="eastAsia" w:ascii="楷体_GB2312" w:hAnsi="楷体_GB2312" w:eastAsia="楷体_GB2312" w:cs="楷体_GB2312"/>
          <w:sz w:val="32"/>
          <w:szCs w:val="32"/>
        </w:rPr>
        <w:t>基本公共卫生服务</w:t>
      </w:r>
      <w:r>
        <w:rPr>
          <w:rFonts w:hint="eastAsia" w:ascii="楷体_GB2312" w:hAnsi="楷体_GB2312" w:eastAsia="楷体_GB2312" w:cs="楷体_GB2312"/>
          <w:sz w:val="32"/>
          <w:szCs w:val="32"/>
          <w:lang w:eastAsia="zh-CN"/>
        </w:rPr>
        <w:t>补助转移支付概况。</w:t>
      </w:r>
    </w:p>
    <w:p>
      <w:pPr>
        <w:pStyle w:val="6"/>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楷体_GB2312" w:hAnsi="楷体_GB2312" w:eastAsia="楷体_GB2312" w:cs="楷体_GB2312"/>
          <w:sz w:val="32"/>
          <w:szCs w:val="32"/>
          <w:lang w:eastAsia="zh-CN"/>
        </w:rPr>
      </w:pPr>
      <w:r>
        <w:rPr>
          <w:rFonts w:hint="eastAsia" w:ascii="仿宋_GB2312" w:hAnsi="仿宋_GB2312" w:eastAsia="仿宋_GB2312" w:cs="仿宋_GB2312"/>
          <w:bCs/>
          <w:color w:val="auto"/>
          <w:sz w:val="32"/>
          <w:szCs w:val="32"/>
        </w:rPr>
        <w:t>2022年</w:t>
      </w:r>
      <w:r>
        <w:rPr>
          <w:rFonts w:hint="eastAsia" w:ascii="仿宋_GB2312" w:hAnsi="仿宋_GB2312" w:eastAsia="仿宋_GB2312" w:cs="仿宋_GB2312"/>
          <w:bCs/>
          <w:color w:val="auto"/>
          <w:sz w:val="32"/>
          <w:szCs w:val="32"/>
          <w:lang w:val="en-US" w:eastAsia="zh-CN"/>
        </w:rPr>
        <w:t>,</w:t>
      </w:r>
      <w:r>
        <w:rPr>
          <w:rFonts w:hint="eastAsia" w:ascii="仿宋_GB2312" w:hAnsi="仿宋_GB2312" w:eastAsia="仿宋_GB2312" w:cs="仿宋_GB2312"/>
          <w:bCs/>
          <w:color w:val="auto"/>
          <w:sz w:val="32"/>
          <w:szCs w:val="32"/>
        </w:rPr>
        <w:t>北京市中央转移支付基本公共卫生服务补助资金涉及东城区卫生健康委员会、西城区卫生健康委员会、朝阳区卫生健康委员会、丰台区卫生健康委员会、石景山区卫生健康委员会、海淀区卫生健康委员会、门头沟区卫生健康委员会、房山区卫生健康委员会、通州区卫生健康委员会、顺义区卫生健康委员会、昌平区卫生健康委员会、大兴区卫生健康委员会、怀柔区卫生健康委员会、平谷区卫生健康委员会、密云区卫生健康委员会、延庆区卫生健康委员会共16个区卫生健康委，以及北京市卫生健康委员会机关、北京妇幼保健院、北京市疾病预防控制中心、北京市体检中心、北京市化工职业病防治院</w:t>
      </w:r>
      <w:r>
        <w:rPr>
          <w:rFonts w:hint="eastAsia" w:ascii="仿宋_GB2312" w:hAnsi="仿宋_GB2312" w:eastAsia="仿宋_GB2312" w:cs="仿宋_GB2312"/>
          <w:bCs/>
          <w:color w:val="auto"/>
          <w:sz w:val="32"/>
          <w:szCs w:val="32"/>
          <w:lang w:val="en-US" w:eastAsia="zh-CN"/>
        </w:rPr>
        <w:t>4</w:t>
      </w:r>
      <w:r>
        <w:rPr>
          <w:rFonts w:hint="eastAsia" w:ascii="仿宋_GB2312" w:hAnsi="仿宋_GB2312" w:eastAsia="仿宋_GB2312" w:cs="仿宋_GB2312"/>
          <w:bCs/>
          <w:color w:val="auto"/>
          <w:sz w:val="32"/>
          <w:szCs w:val="32"/>
        </w:rPr>
        <w:t>家直属单位，并涉及首都医科大学宣武医院、首都医科大学附属北京朝阳医院、北京积水潭医院、首都医科大学附属北京儿童医院、首都儿科研究所附属儿童医院在内的5家市属医院资金。</w:t>
      </w:r>
    </w:p>
    <w:p>
      <w:pPr>
        <w:pStyle w:val="6"/>
        <w:keepNext w:val="0"/>
        <w:keepLines w:val="0"/>
        <w:pageBreakBefore w:val="0"/>
        <w:widowControl/>
        <w:wordWrap/>
        <w:overflowPunct/>
        <w:topLinePunct w:val="0"/>
        <w:bidi w:val="0"/>
        <w:spacing w:line="560" w:lineRule="exact"/>
        <w:ind w:firstLine="640" w:firstLineChars="200"/>
        <w:rPr>
          <w:rFonts w:hint="eastAsia" w:ascii="楷体_GB2312" w:hAnsi="楷体_GB2312" w:eastAsia="楷体_GB2312" w:cs="楷体_GB2312"/>
          <w:bCs/>
          <w:kern w:val="2"/>
          <w:sz w:val="32"/>
          <w:szCs w:val="32"/>
          <w:lang w:eastAsia="zh-CN" w:bidi="ar"/>
        </w:rPr>
      </w:pPr>
      <w:r>
        <w:rPr>
          <w:rFonts w:hint="eastAsia" w:ascii="楷体_GB2312" w:hAnsi="楷体_GB2312" w:eastAsia="楷体_GB2312" w:cs="楷体_GB2312"/>
          <w:bCs/>
          <w:kern w:val="2"/>
          <w:sz w:val="32"/>
          <w:szCs w:val="32"/>
          <w:lang w:bidi="ar"/>
        </w:rPr>
        <w:t>（</w:t>
      </w:r>
      <w:r>
        <w:rPr>
          <w:rFonts w:hint="eastAsia" w:ascii="楷体_GB2312" w:hAnsi="楷体_GB2312" w:eastAsia="楷体_GB2312" w:cs="楷体_GB2312"/>
          <w:bCs/>
          <w:kern w:val="2"/>
          <w:sz w:val="32"/>
          <w:szCs w:val="32"/>
          <w:lang w:eastAsia="zh-CN" w:bidi="ar"/>
        </w:rPr>
        <w:t>二</w:t>
      </w:r>
      <w:r>
        <w:rPr>
          <w:rFonts w:hint="eastAsia" w:ascii="楷体_GB2312" w:hAnsi="楷体_GB2312" w:eastAsia="楷体_GB2312" w:cs="楷体_GB2312"/>
          <w:bCs/>
          <w:kern w:val="2"/>
          <w:sz w:val="32"/>
          <w:szCs w:val="32"/>
          <w:lang w:bidi="ar"/>
        </w:rPr>
        <w:t>）资金投入情况分析</w:t>
      </w:r>
      <w:r>
        <w:rPr>
          <w:rFonts w:hint="eastAsia" w:ascii="楷体_GB2312" w:hAnsi="楷体_GB2312" w:eastAsia="楷体_GB2312" w:cs="楷体_GB2312"/>
          <w:bCs/>
          <w:kern w:val="2"/>
          <w:sz w:val="32"/>
          <w:szCs w:val="32"/>
          <w:lang w:eastAsia="zh-CN" w:bidi="ar"/>
        </w:rPr>
        <w:t>。</w:t>
      </w:r>
    </w:p>
    <w:p>
      <w:pPr>
        <w:pStyle w:val="6"/>
        <w:keepNext w:val="0"/>
        <w:keepLines w:val="0"/>
        <w:pageBreakBefore w:val="0"/>
        <w:widowControl/>
        <w:wordWrap/>
        <w:overflowPunct/>
        <w:topLinePunct w:val="0"/>
        <w:bidi w:val="0"/>
        <w:spacing w:line="560" w:lineRule="exact"/>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2022年北京市中央转移支付基本公共卫生服务补助资金预算金额共计</w:t>
      </w:r>
      <w:r>
        <w:rPr>
          <w:rFonts w:ascii="仿宋_GB2312" w:hAnsi="仿宋_GB2312" w:eastAsia="仿宋_GB2312" w:cs="仿宋_GB2312"/>
          <w:bCs/>
          <w:color w:val="auto"/>
          <w:sz w:val="32"/>
          <w:szCs w:val="32"/>
        </w:rPr>
        <w:t>197,196.50</w:t>
      </w:r>
      <w:r>
        <w:rPr>
          <w:rFonts w:hint="eastAsia" w:ascii="仿宋_GB2312" w:hAnsi="仿宋_GB2312" w:eastAsia="仿宋_GB2312" w:cs="仿宋_GB2312"/>
          <w:bCs/>
          <w:color w:val="auto"/>
          <w:sz w:val="32"/>
          <w:szCs w:val="32"/>
        </w:rPr>
        <w:t>万元，截至2022年12月31日，实际支出金额</w:t>
      </w:r>
      <w:r>
        <w:rPr>
          <w:rFonts w:ascii="仿宋_GB2312" w:hAnsi="仿宋_GB2312" w:eastAsia="仿宋_GB2312" w:cs="仿宋_GB2312"/>
          <w:bCs/>
          <w:color w:val="auto"/>
          <w:sz w:val="32"/>
          <w:szCs w:val="32"/>
        </w:rPr>
        <w:t>195,170.20</w:t>
      </w:r>
      <w:r>
        <w:rPr>
          <w:rFonts w:hint="eastAsia" w:ascii="仿宋_GB2312" w:hAnsi="仿宋_GB2312" w:eastAsia="仿宋_GB2312" w:cs="仿宋_GB2312"/>
          <w:bCs/>
          <w:color w:val="auto"/>
          <w:sz w:val="32"/>
          <w:szCs w:val="32"/>
        </w:rPr>
        <w:t>万元，资金执行率为98.97%。其中：中央财政资金预算18,395万元，实际支出</w:t>
      </w:r>
      <w:r>
        <w:rPr>
          <w:rFonts w:ascii="仿宋_GB2312" w:hAnsi="仿宋_GB2312" w:eastAsia="仿宋_GB2312" w:cs="仿宋_GB2312"/>
          <w:bCs/>
          <w:color w:val="auto"/>
          <w:sz w:val="32"/>
          <w:szCs w:val="32"/>
        </w:rPr>
        <w:t>17,691.95</w:t>
      </w:r>
      <w:r>
        <w:rPr>
          <w:rFonts w:hint="eastAsia" w:ascii="仿宋_GB2312" w:hAnsi="仿宋_GB2312" w:eastAsia="仿宋_GB2312" w:cs="仿宋_GB2312"/>
          <w:bCs/>
          <w:color w:val="auto"/>
          <w:sz w:val="32"/>
          <w:szCs w:val="32"/>
        </w:rPr>
        <w:t>万元，资金执行率为96.18%；地方资金预算</w:t>
      </w:r>
      <w:r>
        <w:rPr>
          <w:rFonts w:ascii="仿宋_GB2312" w:hAnsi="仿宋_GB2312" w:eastAsia="仿宋_GB2312" w:cs="仿宋_GB2312"/>
          <w:bCs/>
          <w:color w:val="auto"/>
          <w:sz w:val="32"/>
          <w:szCs w:val="32"/>
        </w:rPr>
        <w:t>178,561.85</w:t>
      </w:r>
      <w:r>
        <w:rPr>
          <w:rFonts w:hint="eastAsia" w:ascii="仿宋_GB2312" w:hAnsi="仿宋_GB2312" w:eastAsia="仿宋_GB2312" w:cs="仿宋_GB2312"/>
          <w:bCs/>
          <w:color w:val="auto"/>
          <w:sz w:val="32"/>
          <w:szCs w:val="32"/>
        </w:rPr>
        <w:t>万元，实际支出177,238.6</w:t>
      </w:r>
      <w:r>
        <w:rPr>
          <w:rFonts w:ascii="仿宋_GB2312" w:hAnsi="仿宋_GB2312" w:eastAsia="仿宋_GB2312" w:cs="仿宋_GB2312"/>
          <w:bCs/>
          <w:color w:val="auto"/>
          <w:sz w:val="32"/>
          <w:szCs w:val="32"/>
        </w:rPr>
        <w:t>1</w:t>
      </w:r>
      <w:r>
        <w:rPr>
          <w:rFonts w:hint="eastAsia" w:ascii="仿宋_GB2312" w:hAnsi="仿宋_GB2312" w:eastAsia="仿宋_GB2312" w:cs="仿宋_GB2312"/>
          <w:bCs/>
          <w:color w:val="auto"/>
          <w:sz w:val="32"/>
          <w:szCs w:val="32"/>
        </w:rPr>
        <w:t>万元，资金执行率为99.26%；其他资金预算239.64万元，实际支出239.64万元，资金执行率为100%。</w:t>
      </w:r>
    </w:p>
    <w:p>
      <w:pPr>
        <w:pStyle w:val="6"/>
        <w:keepNext w:val="0"/>
        <w:keepLines w:val="0"/>
        <w:pageBreakBefore w:val="0"/>
        <w:widowControl/>
        <w:wordWrap/>
        <w:overflowPunct/>
        <w:topLinePunct w:val="0"/>
        <w:bidi w:val="0"/>
        <w:spacing w:line="560" w:lineRule="exact"/>
        <w:ind w:firstLine="640" w:firstLineChars="200"/>
        <w:rPr>
          <w:rFonts w:hint="eastAsia" w:ascii="楷体_GB2312" w:hAnsi="楷体_GB2312" w:eastAsia="楷体_GB2312" w:cs="楷体_GB2312"/>
          <w:bCs/>
          <w:kern w:val="2"/>
          <w:sz w:val="32"/>
          <w:szCs w:val="32"/>
          <w:lang w:eastAsia="zh-CN" w:bidi="ar"/>
        </w:rPr>
      </w:pPr>
      <w:r>
        <w:rPr>
          <w:rFonts w:hint="eastAsia" w:ascii="楷体_GB2312" w:hAnsi="楷体_GB2312" w:eastAsia="楷体_GB2312" w:cs="楷体_GB2312"/>
          <w:bCs/>
          <w:kern w:val="2"/>
          <w:sz w:val="32"/>
          <w:szCs w:val="32"/>
          <w:lang w:bidi="ar"/>
        </w:rPr>
        <w:t>（二）资金管理情况分析</w:t>
      </w:r>
      <w:r>
        <w:rPr>
          <w:rFonts w:hint="eastAsia" w:ascii="楷体_GB2312" w:hAnsi="楷体_GB2312" w:eastAsia="楷体_GB2312" w:cs="楷体_GB2312"/>
          <w:bCs/>
          <w:kern w:val="2"/>
          <w:sz w:val="32"/>
          <w:szCs w:val="32"/>
          <w:lang w:eastAsia="zh-CN" w:bidi="ar"/>
        </w:rPr>
        <w:t>。</w:t>
      </w:r>
    </w:p>
    <w:p>
      <w:pPr>
        <w:keepNext w:val="0"/>
        <w:keepLines w:val="0"/>
        <w:pageBreakBefore w:val="0"/>
        <w:widowControl/>
        <w:wordWrap/>
        <w:overflowPunct/>
        <w:topLinePunct w:val="0"/>
        <w:bidi w:val="0"/>
        <w:spacing w:line="560" w:lineRule="exact"/>
        <w:ind w:firstLine="640" w:firstLineChars="200"/>
        <w:jc w:val="both"/>
        <w:outlineLvl w:val="2"/>
        <w:rPr>
          <w:rFonts w:ascii="仿宋_GB2312" w:hAnsi="楷体" w:eastAsia="仿宋_GB2312" w:cs="仿宋_GB2312"/>
          <w:b w:val="0"/>
          <w:bCs/>
          <w:sz w:val="32"/>
          <w:szCs w:val="32"/>
          <w:lang w:bidi="ar"/>
        </w:rPr>
      </w:pPr>
      <w:r>
        <w:rPr>
          <w:rFonts w:hint="eastAsia" w:ascii="仿宋_GB2312" w:hAnsi="楷体" w:eastAsia="仿宋_GB2312" w:cs="仿宋_GB2312"/>
          <w:b w:val="0"/>
          <w:bCs/>
          <w:sz w:val="32"/>
          <w:szCs w:val="32"/>
          <w:lang w:bidi="ar"/>
        </w:rPr>
        <w:t>1.资金分配科学性</w:t>
      </w:r>
    </w:p>
    <w:p>
      <w:pPr>
        <w:pStyle w:val="6"/>
        <w:keepNext w:val="0"/>
        <w:keepLines w:val="0"/>
        <w:pageBreakBefore w:val="0"/>
        <w:widowControl/>
        <w:wordWrap/>
        <w:overflowPunct/>
        <w:topLinePunct w:val="0"/>
        <w:bidi w:val="0"/>
        <w:spacing w:line="560" w:lineRule="exact"/>
        <w:ind w:firstLine="640" w:firstLineChars="200"/>
        <w:jc w:val="both"/>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2022年北京市中央转移支付基本公共卫生服务补助资金项目，根据《财政部国家卫生健康委关于提前下达2022年基本公共卫生服务补助资金预算的通知》（财社〔2021〕168号）文件，提前下达2022年北京市中央转移支付基本公共卫生服务补助资金15,530万元；根据《财政部国家卫生健康委关于下达2022年基本公共卫生服务补助资金预算的通知》（财社〔2022〕52号）文件，下达资金2,865万元。</w:t>
      </w:r>
    </w:p>
    <w:p>
      <w:pPr>
        <w:pStyle w:val="6"/>
        <w:keepNext w:val="0"/>
        <w:keepLines w:val="0"/>
        <w:pageBreakBefore w:val="0"/>
        <w:widowControl/>
        <w:wordWrap/>
        <w:overflowPunct/>
        <w:topLinePunct w:val="0"/>
        <w:bidi w:val="0"/>
        <w:spacing w:line="560" w:lineRule="exact"/>
        <w:ind w:firstLine="640" w:firstLineChars="200"/>
        <w:jc w:val="both"/>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北京市财政局根据北京市卫生健康委员会的资金分配方案结合资金额度情况，分批次下达26家单位。北京市中央转移支付基本公共卫生服务补助资金经费共计18,395万元，各区财政局根据其财力情况确定是否配套资金。</w:t>
      </w:r>
    </w:p>
    <w:p>
      <w:pPr>
        <w:keepNext w:val="0"/>
        <w:keepLines w:val="0"/>
        <w:pageBreakBefore w:val="0"/>
        <w:widowControl/>
        <w:wordWrap/>
        <w:overflowPunct/>
        <w:topLinePunct w:val="0"/>
        <w:bidi w:val="0"/>
        <w:spacing w:line="560" w:lineRule="exact"/>
        <w:ind w:firstLine="640" w:firstLineChars="200"/>
        <w:jc w:val="both"/>
        <w:outlineLvl w:val="2"/>
        <w:rPr>
          <w:rFonts w:ascii="仿宋_GB2312" w:hAnsi="楷体" w:eastAsia="仿宋_GB2312" w:cs="仿宋_GB2312"/>
          <w:b w:val="0"/>
          <w:bCs/>
          <w:sz w:val="32"/>
          <w:szCs w:val="32"/>
          <w:lang w:bidi="ar"/>
        </w:rPr>
      </w:pPr>
      <w:r>
        <w:rPr>
          <w:rFonts w:hint="eastAsia" w:ascii="仿宋_GB2312" w:hAnsi="楷体" w:eastAsia="仿宋_GB2312" w:cs="仿宋_GB2312"/>
          <w:b w:val="0"/>
          <w:bCs/>
          <w:sz w:val="32"/>
          <w:szCs w:val="32"/>
          <w:lang w:bidi="ar"/>
        </w:rPr>
        <w:t>2.资金下达及时性</w:t>
      </w:r>
    </w:p>
    <w:p>
      <w:pPr>
        <w:keepNext w:val="0"/>
        <w:keepLines w:val="0"/>
        <w:pageBreakBefore w:val="0"/>
        <w:widowControl/>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北京市卫生健康委员会根据行政区划因素和人口因素分配北京市中央转移支付基本公共卫生服务补助资金，形成分配方案，严格按照预算法及其实施条例，向北京市财政局提出申请，由市财政及时将项目资金下拨给区财政局、市级单位及相关医院。</w:t>
      </w:r>
    </w:p>
    <w:p>
      <w:pPr>
        <w:keepNext w:val="0"/>
        <w:keepLines w:val="0"/>
        <w:pageBreakBefore w:val="0"/>
        <w:widowControl/>
        <w:wordWrap/>
        <w:overflowPunct/>
        <w:topLinePunct w:val="0"/>
        <w:bidi w:val="0"/>
        <w:spacing w:line="560" w:lineRule="exact"/>
        <w:ind w:firstLine="640" w:firstLineChars="200"/>
        <w:jc w:val="both"/>
        <w:outlineLvl w:val="2"/>
        <w:rPr>
          <w:rFonts w:ascii="仿宋_GB2312" w:hAnsi="楷体" w:eastAsia="仿宋_GB2312" w:cs="仿宋_GB2312"/>
          <w:b w:val="0"/>
          <w:bCs/>
          <w:sz w:val="32"/>
          <w:szCs w:val="32"/>
          <w:lang w:bidi="ar"/>
        </w:rPr>
      </w:pPr>
      <w:r>
        <w:rPr>
          <w:rFonts w:hint="eastAsia" w:ascii="仿宋_GB2312" w:hAnsi="楷体" w:eastAsia="仿宋_GB2312" w:cs="仿宋_GB2312"/>
          <w:b w:val="0"/>
          <w:bCs/>
          <w:sz w:val="32"/>
          <w:szCs w:val="32"/>
          <w:lang w:bidi="ar"/>
        </w:rPr>
        <w:t>3.资金拨付合规性</w:t>
      </w:r>
    </w:p>
    <w:p>
      <w:pPr>
        <w:pStyle w:val="6"/>
        <w:keepNext w:val="0"/>
        <w:keepLines w:val="0"/>
        <w:pageBreakBefore w:val="0"/>
        <w:widowControl/>
        <w:wordWrap/>
        <w:overflowPunct/>
        <w:topLinePunct w:val="0"/>
        <w:bidi w:val="0"/>
        <w:spacing w:line="560" w:lineRule="exact"/>
        <w:ind w:firstLine="640" w:firstLineChars="200"/>
        <w:jc w:val="both"/>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2022年北京市中央转移支付基本公共卫生服务补助资金严格按照北京市国库集中支付制度有关规定支付资金，未出现违规将资金从国库转入财政专户或支付到预算单位实有资金账户等问题。</w:t>
      </w:r>
    </w:p>
    <w:p>
      <w:pPr>
        <w:keepNext w:val="0"/>
        <w:keepLines w:val="0"/>
        <w:pageBreakBefore w:val="0"/>
        <w:widowControl/>
        <w:wordWrap/>
        <w:overflowPunct/>
        <w:topLinePunct w:val="0"/>
        <w:bidi w:val="0"/>
        <w:spacing w:line="560" w:lineRule="exact"/>
        <w:ind w:firstLine="640" w:firstLineChars="200"/>
        <w:jc w:val="both"/>
        <w:outlineLvl w:val="2"/>
        <w:rPr>
          <w:rFonts w:ascii="仿宋_GB2312" w:hAnsi="楷体" w:eastAsia="仿宋_GB2312" w:cs="仿宋_GB2312"/>
          <w:b w:val="0"/>
          <w:bCs/>
          <w:sz w:val="32"/>
          <w:szCs w:val="32"/>
          <w:lang w:bidi="ar"/>
        </w:rPr>
      </w:pPr>
      <w:r>
        <w:rPr>
          <w:rFonts w:hint="eastAsia" w:ascii="仿宋_GB2312" w:hAnsi="楷体" w:eastAsia="仿宋_GB2312" w:cs="仿宋_GB2312"/>
          <w:b w:val="0"/>
          <w:bCs/>
          <w:sz w:val="32"/>
          <w:szCs w:val="32"/>
          <w:lang w:bidi="ar"/>
        </w:rPr>
        <w:t>4.资金使用规范性</w:t>
      </w:r>
    </w:p>
    <w:p>
      <w:pPr>
        <w:pStyle w:val="6"/>
        <w:keepNext w:val="0"/>
        <w:keepLines w:val="0"/>
        <w:pageBreakBefore w:val="0"/>
        <w:widowControl/>
        <w:wordWrap/>
        <w:overflowPunct/>
        <w:topLinePunct w:val="0"/>
        <w:bidi w:val="0"/>
        <w:spacing w:line="560" w:lineRule="exact"/>
        <w:ind w:firstLine="640" w:firstLineChars="200"/>
        <w:jc w:val="both"/>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2022年北京市中央转移支付基本公共卫生服务补助</w:t>
      </w:r>
      <w:r>
        <w:rPr>
          <w:rFonts w:hint="eastAsia" w:ascii="仿宋_GB2312" w:hAnsi="仿宋_GB2312" w:eastAsia="仿宋_GB2312" w:cs="仿宋_GB2312"/>
          <w:bCs/>
          <w:color w:val="auto"/>
          <w:sz w:val="32"/>
          <w:szCs w:val="32"/>
          <w:lang w:eastAsia="zh-CN"/>
        </w:rPr>
        <w:t>项目</w:t>
      </w:r>
      <w:r>
        <w:rPr>
          <w:rFonts w:hint="eastAsia" w:ascii="仿宋_GB2312" w:hAnsi="仿宋_GB2312" w:eastAsia="仿宋_GB2312" w:cs="仿宋_GB2312"/>
          <w:bCs/>
          <w:color w:val="auto"/>
          <w:sz w:val="32"/>
          <w:szCs w:val="32"/>
        </w:rPr>
        <w:t>资金根据《财政部国家卫生健康委关于提前下达2022年基本公共卫生服务补助资金预算的通知》（财社〔2021〕168号）、《财政部国家卫生健康委关于下达2022年基本公共卫生服务补助资金预算的通知》（财社〔2022〕52号）的通知要求，按照各个资金使用单位的项目资金管理制度、转移支付资金管理制度对项目实行专项核算，做到专款专用，严格按照下达预算的科目和项目执行，未出现截留、挤占、挪用或擅自调整等问题</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rPr>
        <w:t>按照财务管理要求进行财务核算，会计核算基本真实、完整、及时，未出现截留挤占挪用等问题，用款程序标准符合国家财务管理制度，资金管理使用较为规范。</w:t>
      </w:r>
    </w:p>
    <w:p>
      <w:pPr>
        <w:keepNext w:val="0"/>
        <w:keepLines w:val="0"/>
        <w:pageBreakBefore w:val="0"/>
        <w:widowControl/>
        <w:wordWrap/>
        <w:overflowPunct/>
        <w:topLinePunct w:val="0"/>
        <w:bidi w:val="0"/>
        <w:spacing w:line="560" w:lineRule="exact"/>
        <w:ind w:firstLine="640" w:firstLineChars="200"/>
        <w:jc w:val="both"/>
        <w:outlineLvl w:val="2"/>
        <w:rPr>
          <w:rFonts w:ascii="仿宋_GB2312" w:hAnsi="楷体" w:eastAsia="仿宋_GB2312" w:cs="仿宋_GB2312"/>
          <w:b w:val="0"/>
          <w:bCs/>
          <w:sz w:val="32"/>
          <w:szCs w:val="32"/>
          <w:lang w:bidi="ar"/>
        </w:rPr>
      </w:pPr>
      <w:r>
        <w:rPr>
          <w:rFonts w:hint="eastAsia" w:ascii="仿宋_GB2312" w:hAnsi="楷体" w:eastAsia="仿宋_GB2312" w:cs="仿宋_GB2312"/>
          <w:b w:val="0"/>
          <w:bCs/>
          <w:sz w:val="32"/>
          <w:szCs w:val="32"/>
          <w:lang w:bidi="ar"/>
        </w:rPr>
        <w:t>5.资金执行准确性</w:t>
      </w:r>
    </w:p>
    <w:p>
      <w:pPr>
        <w:keepNext w:val="0"/>
        <w:keepLines w:val="0"/>
        <w:pageBreakBefore w:val="0"/>
        <w:widowControl/>
        <w:wordWrap/>
        <w:overflowPunct/>
        <w:topLinePunct w:val="0"/>
        <w:bidi w:val="0"/>
        <w:spacing w:line="560" w:lineRule="exact"/>
        <w:ind w:firstLine="640" w:firstLineChars="200"/>
        <w:jc w:val="both"/>
        <w:outlineLvl w:val="2"/>
        <w:rPr>
          <w:rFonts w:ascii="仿宋_GB2312" w:hAnsi="仿宋" w:eastAsia="仿宋_GB2312"/>
          <w:sz w:val="32"/>
          <w:szCs w:val="32"/>
          <w:lang w:bidi="ar"/>
        </w:rPr>
      </w:pPr>
      <w:r>
        <w:rPr>
          <w:rFonts w:hint="eastAsia" w:ascii="仿宋_GB2312" w:hAnsi="楷体" w:eastAsia="仿宋_GB2312" w:cs="仿宋_GB2312"/>
          <w:bCs/>
          <w:sz w:val="32"/>
          <w:szCs w:val="32"/>
          <w:lang w:bidi="ar"/>
        </w:rPr>
        <w:t>按照上级下达和本级预算安排的金额执行，不存在执行数偏离预算数较多的问题。</w:t>
      </w:r>
      <w:r>
        <w:rPr>
          <w:rFonts w:hint="eastAsia" w:ascii="仿宋_GB2312" w:hAnsi="仿宋_GB2312" w:eastAsia="仿宋_GB2312" w:cs="仿宋_GB2312"/>
          <w:bCs/>
          <w:color w:val="auto"/>
          <w:sz w:val="32"/>
          <w:szCs w:val="32"/>
        </w:rPr>
        <w:t>2022年北京市中央转移支付基本公共卫生服务补助资金预算金额共计197,196.</w:t>
      </w:r>
      <w:r>
        <w:rPr>
          <w:rFonts w:ascii="仿宋_GB2312" w:hAnsi="仿宋_GB2312" w:eastAsia="仿宋_GB2312" w:cs="仿宋_GB2312"/>
          <w:bCs/>
          <w:color w:val="auto"/>
          <w:sz w:val="32"/>
          <w:szCs w:val="32"/>
        </w:rPr>
        <w:t>50</w:t>
      </w:r>
      <w:r>
        <w:rPr>
          <w:rFonts w:hint="eastAsia" w:ascii="仿宋_GB2312" w:hAnsi="仿宋_GB2312" w:eastAsia="仿宋_GB2312" w:cs="仿宋_GB2312"/>
          <w:bCs/>
          <w:color w:val="auto"/>
          <w:sz w:val="32"/>
          <w:szCs w:val="32"/>
        </w:rPr>
        <w:t>万元，截至2022年12月31日，实际支出金额195,170.20万元，资金执行率为98.97%。其中：中央财政资金预算18,395万元，实际支出17,691.95万元，资金执行率为96.18%；地方资金预算178,561.85万元，实际支出177,238.6</w:t>
      </w:r>
      <w:r>
        <w:rPr>
          <w:rFonts w:ascii="仿宋_GB2312" w:hAnsi="仿宋_GB2312" w:eastAsia="仿宋_GB2312" w:cs="仿宋_GB2312"/>
          <w:bCs/>
          <w:color w:val="auto"/>
          <w:sz w:val="32"/>
          <w:szCs w:val="32"/>
        </w:rPr>
        <w:t>1</w:t>
      </w:r>
      <w:r>
        <w:rPr>
          <w:rFonts w:hint="eastAsia" w:ascii="仿宋_GB2312" w:hAnsi="仿宋_GB2312" w:eastAsia="仿宋_GB2312" w:cs="仿宋_GB2312"/>
          <w:bCs/>
          <w:color w:val="auto"/>
          <w:sz w:val="32"/>
          <w:szCs w:val="32"/>
        </w:rPr>
        <w:t>万元，资金执行率为99.26%；其他资金预算239.64万元，实际支出239.64万元，资金执行率为100%。</w:t>
      </w:r>
    </w:p>
    <w:p>
      <w:pPr>
        <w:keepNext w:val="0"/>
        <w:keepLines w:val="0"/>
        <w:pageBreakBefore w:val="0"/>
        <w:widowControl/>
        <w:wordWrap/>
        <w:overflowPunct/>
        <w:topLinePunct w:val="0"/>
        <w:bidi w:val="0"/>
        <w:spacing w:line="560" w:lineRule="exact"/>
        <w:ind w:firstLine="640" w:firstLineChars="200"/>
        <w:jc w:val="both"/>
        <w:outlineLvl w:val="2"/>
        <w:rPr>
          <w:rFonts w:ascii="仿宋_GB2312" w:hAnsi="楷体" w:eastAsia="仿宋_GB2312" w:cs="仿宋_GB2312"/>
          <w:b w:val="0"/>
          <w:bCs/>
          <w:sz w:val="32"/>
          <w:szCs w:val="32"/>
          <w:lang w:bidi="ar"/>
        </w:rPr>
      </w:pPr>
      <w:r>
        <w:rPr>
          <w:rFonts w:hint="eastAsia" w:ascii="仿宋_GB2312" w:hAnsi="楷体" w:eastAsia="仿宋_GB2312" w:cs="仿宋_GB2312"/>
          <w:b w:val="0"/>
          <w:bCs/>
          <w:sz w:val="32"/>
          <w:szCs w:val="32"/>
          <w:lang w:bidi="ar"/>
        </w:rPr>
        <w:t>6.预算绩效管理情况</w:t>
      </w:r>
    </w:p>
    <w:p>
      <w:pPr>
        <w:keepNext w:val="0"/>
        <w:keepLines w:val="0"/>
        <w:pageBreakBefore w:val="0"/>
        <w:widowControl/>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2022年北京市中央转移支付基本公共卫生服务补助资金在下达预算时同步下达绩效目标，按《项目支出绩效评价管理办法》（京财预〔2020〕2146号）、《关于开展2022年度中央对地方转移支付预算执行情况绩效自评工作的通知》（财监〔2023〕1号）要求，结合项目绩效目标完成情况开展绩效自评工作。</w:t>
      </w:r>
    </w:p>
    <w:p>
      <w:pPr>
        <w:keepNext w:val="0"/>
        <w:keepLines w:val="0"/>
        <w:pageBreakBefore w:val="0"/>
        <w:widowControl/>
        <w:wordWrap/>
        <w:overflowPunct/>
        <w:topLinePunct w:val="0"/>
        <w:bidi w:val="0"/>
        <w:spacing w:line="560" w:lineRule="exact"/>
        <w:ind w:firstLine="640" w:firstLineChars="200"/>
        <w:jc w:val="both"/>
        <w:outlineLvl w:val="2"/>
        <w:rPr>
          <w:rFonts w:ascii="仿宋_GB2312" w:hAnsi="楷体" w:eastAsia="仿宋_GB2312" w:cs="仿宋_GB2312"/>
          <w:b w:val="0"/>
          <w:bCs/>
          <w:sz w:val="32"/>
          <w:szCs w:val="32"/>
          <w:lang w:bidi="ar"/>
        </w:rPr>
      </w:pPr>
      <w:r>
        <w:rPr>
          <w:rFonts w:hint="eastAsia" w:ascii="仿宋_GB2312" w:hAnsi="楷体" w:eastAsia="仿宋_GB2312" w:cs="仿宋_GB2312"/>
          <w:b w:val="0"/>
          <w:bCs/>
          <w:sz w:val="32"/>
          <w:szCs w:val="32"/>
          <w:lang w:bidi="ar"/>
        </w:rPr>
        <w:t>7.支出责任履行情况</w:t>
      </w:r>
    </w:p>
    <w:p>
      <w:pPr>
        <w:pStyle w:val="6"/>
        <w:keepNext w:val="0"/>
        <w:keepLines w:val="0"/>
        <w:pageBreakBefore w:val="0"/>
        <w:widowControl/>
        <w:wordWrap/>
        <w:overflowPunct/>
        <w:topLinePunct w:val="0"/>
        <w:bidi w:val="0"/>
        <w:spacing w:line="560" w:lineRule="exact"/>
        <w:ind w:firstLine="640" w:firstLineChars="200"/>
        <w:jc w:val="both"/>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北京市卫生健康委员会和北京市财政局针对</w:t>
      </w:r>
      <w:r>
        <w:rPr>
          <w:rFonts w:hint="eastAsia" w:ascii="仿宋_GB2312" w:hAnsi="仿宋_GB2312" w:eastAsia="仿宋_GB2312" w:cs="仿宋_GB2312"/>
          <w:bCs/>
          <w:color w:val="auto"/>
          <w:sz w:val="32"/>
          <w:szCs w:val="32"/>
        </w:rPr>
        <w:t>2022年</w:t>
      </w:r>
      <w:r>
        <w:rPr>
          <w:rFonts w:hint="eastAsia" w:ascii="仿宋_GB2312" w:hAnsi="楷体" w:eastAsia="仿宋_GB2312" w:cs="仿宋_GB2312"/>
          <w:bCs/>
          <w:sz w:val="32"/>
          <w:szCs w:val="32"/>
          <w:lang w:bidi="ar"/>
        </w:rPr>
        <w:t>北京市中央转移支付基本公共卫生服务补助资金能够做到严格按照财政事权和支出责任划分有关规定，足额安排资金履行本级支出责任。各区财政局、卫生健康委员会及各个资金使用单位能够严格按照财政事权和支出责任划分有关规定，足额安排资金履行本级支出责任。</w:t>
      </w:r>
    </w:p>
    <w:p>
      <w:pPr>
        <w:pStyle w:val="6"/>
        <w:keepNext w:val="0"/>
        <w:keepLines w:val="0"/>
        <w:pageBreakBefore w:val="0"/>
        <w:widowControl/>
        <w:numPr>
          <w:ilvl w:val="0"/>
          <w:numId w:val="1"/>
        </w:numPr>
        <w:wordWrap/>
        <w:overflowPunct/>
        <w:topLinePunct w:val="0"/>
        <w:bidi w:val="0"/>
        <w:spacing w:line="560" w:lineRule="exact"/>
        <w:ind w:firstLine="640" w:firstLineChars="200"/>
        <w:jc w:val="both"/>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lang w:eastAsia="zh-CN"/>
        </w:rPr>
        <w:t>绩效目标实现情况</w:t>
      </w:r>
    </w:p>
    <w:p>
      <w:pPr>
        <w:pStyle w:val="6"/>
        <w:keepNext w:val="0"/>
        <w:keepLines w:val="0"/>
        <w:pageBreakBefore w:val="0"/>
        <w:widowControl/>
        <w:wordWrap/>
        <w:overflowPunct/>
        <w:topLinePunct w:val="0"/>
        <w:bidi w:val="0"/>
        <w:spacing w:line="560" w:lineRule="exact"/>
        <w:ind w:firstLine="640" w:firstLineChars="200"/>
        <w:rPr>
          <w:rFonts w:hint="eastAsia" w:ascii="楷体_GB2312" w:hAnsi="楷体_GB2312" w:eastAsia="楷体_GB2312" w:cs="楷体_GB2312"/>
          <w:bCs/>
          <w:kern w:val="2"/>
          <w:sz w:val="32"/>
          <w:szCs w:val="32"/>
          <w:lang w:eastAsia="zh-CN" w:bidi="ar"/>
        </w:rPr>
      </w:pPr>
      <w:r>
        <w:rPr>
          <w:rFonts w:hint="eastAsia" w:ascii="楷体_GB2312" w:hAnsi="楷体_GB2312" w:eastAsia="楷体_GB2312" w:cs="楷体_GB2312"/>
          <w:bCs/>
          <w:kern w:val="2"/>
          <w:sz w:val="32"/>
          <w:szCs w:val="32"/>
          <w:lang w:bidi="ar"/>
        </w:rPr>
        <w:t>（</w:t>
      </w:r>
      <w:r>
        <w:rPr>
          <w:rFonts w:hint="eastAsia" w:ascii="楷体_GB2312" w:hAnsi="楷体_GB2312" w:eastAsia="楷体_GB2312" w:cs="楷体_GB2312"/>
          <w:bCs/>
          <w:kern w:val="2"/>
          <w:sz w:val="32"/>
          <w:szCs w:val="32"/>
          <w:lang w:eastAsia="zh-CN" w:bidi="ar"/>
        </w:rPr>
        <w:t>一</w:t>
      </w:r>
      <w:r>
        <w:rPr>
          <w:rFonts w:hint="eastAsia" w:ascii="楷体_GB2312" w:hAnsi="楷体_GB2312" w:eastAsia="楷体_GB2312" w:cs="楷体_GB2312"/>
          <w:bCs/>
          <w:kern w:val="2"/>
          <w:sz w:val="32"/>
          <w:szCs w:val="32"/>
          <w:lang w:bidi="ar"/>
        </w:rPr>
        <w:t>）总体绩效目标完成情况分析</w:t>
      </w:r>
      <w:r>
        <w:rPr>
          <w:rFonts w:hint="eastAsia" w:ascii="楷体_GB2312" w:hAnsi="楷体_GB2312" w:eastAsia="楷体_GB2312" w:cs="楷体_GB2312"/>
          <w:bCs/>
          <w:kern w:val="2"/>
          <w:sz w:val="32"/>
          <w:szCs w:val="32"/>
          <w:lang w:eastAsia="zh-CN" w:bidi="ar"/>
        </w:rPr>
        <w:t>。</w:t>
      </w:r>
    </w:p>
    <w:p>
      <w:pPr>
        <w:pStyle w:val="6"/>
        <w:keepNext w:val="0"/>
        <w:keepLines w:val="0"/>
        <w:pageBreakBefore w:val="0"/>
        <w:widowControl/>
        <w:wordWrap/>
        <w:overflowPunct/>
        <w:topLinePunct w:val="0"/>
        <w:bidi w:val="0"/>
        <w:spacing w:line="560" w:lineRule="exact"/>
        <w:ind w:firstLine="640" w:firstLineChars="200"/>
        <w:jc w:val="both"/>
        <w:rPr>
          <w:rFonts w:ascii="仿宋_GB2312" w:hAnsi="仿宋_GB2312" w:eastAsia="仿宋_GB2312" w:cs="仿宋_GB2312"/>
          <w:bCs/>
          <w:color w:val="auto"/>
          <w:sz w:val="32"/>
          <w:szCs w:val="32"/>
        </w:rPr>
      </w:pPr>
      <w:r>
        <w:rPr>
          <w:rFonts w:ascii="仿宋_GB2312" w:hAnsi="仿宋_GB2312" w:eastAsia="仿宋_GB2312" w:cs="仿宋_GB2312"/>
          <w:bCs/>
          <w:color w:val="auto"/>
          <w:sz w:val="32"/>
          <w:szCs w:val="32"/>
        </w:rPr>
        <w:t>202</w:t>
      </w:r>
      <w:r>
        <w:rPr>
          <w:rFonts w:hint="eastAsia" w:ascii="仿宋_GB2312" w:hAnsi="仿宋_GB2312" w:eastAsia="仿宋_GB2312" w:cs="仿宋_GB2312"/>
          <w:bCs/>
          <w:color w:val="auto"/>
          <w:sz w:val="32"/>
          <w:szCs w:val="32"/>
        </w:rPr>
        <w:t>2年实际完成情况为</w:t>
      </w:r>
      <w:r>
        <w:rPr>
          <w:rFonts w:ascii="仿宋_GB2312" w:hAnsi="仿宋_GB2312" w:eastAsia="仿宋_GB2312" w:cs="仿宋_GB2312"/>
          <w:bCs/>
          <w:color w:val="auto"/>
          <w:sz w:val="32"/>
          <w:szCs w:val="32"/>
        </w:rPr>
        <w:t>：</w:t>
      </w:r>
    </w:p>
    <w:p>
      <w:pPr>
        <w:pStyle w:val="6"/>
        <w:keepNext w:val="0"/>
        <w:keepLines w:val="0"/>
        <w:pageBreakBefore w:val="0"/>
        <w:widowControl/>
        <w:wordWrap/>
        <w:overflowPunct/>
        <w:topLinePunct w:val="0"/>
        <w:bidi w:val="0"/>
        <w:spacing w:line="560" w:lineRule="exact"/>
        <w:ind w:firstLine="640" w:firstLineChars="200"/>
        <w:jc w:val="both"/>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1.北京市全面落实国家基本公共卫生服务项目，免费向城乡居民提供了基本公共卫生服务。</w:t>
      </w:r>
    </w:p>
    <w:p>
      <w:pPr>
        <w:pStyle w:val="6"/>
        <w:keepNext w:val="0"/>
        <w:keepLines w:val="0"/>
        <w:pageBreakBefore w:val="0"/>
        <w:widowControl/>
        <w:wordWrap/>
        <w:overflowPunct/>
        <w:topLinePunct w:val="0"/>
        <w:bidi w:val="0"/>
        <w:spacing w:line="560" w:lineRule="exact"/>
        <w:ind w:firstLine="640" w:firstLineChars="200"/>
        <w:jc w:val="both"/>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2.保持重点地方病防治措施全面落实。开展职业病防治</w:t>
      </w:r>
      <w:r>
        <w:rPr>
          <w:rFonts w:hint="eastAsia" w:ascii="仿宋_GB2312" w:hAnsi="仿宋_GB2312" w:eastAsia="仿宋_GB2312" w:cs="仿宋_GB2312"/>
          <w:bCs/>
          <w:color w:val="auto"/>
          <w:sz w:val="32"/>
          <w:szCs w:val="32"/>
          <w:lang w:eastAsia="zh-CN"/>
        </w:rPr>
        <w:t>工作</w:t>
      </w:r>
      <w:r>
        <w:rPr>
          <w:rFonts w:hint="eastAsia" w:ascii="仿宋_GB2312" w:hAnsi="仿宋_GB2312" w:eastAsia="仿宋_GB2312" w:cs="仿宋_GB2312"/>
          <w:bCs/>
          <w:color w:val="auto"/>
          <w:sz w:val="32"/>
          <w:szCs w:val="32"/>
        </w:rPr>
        <w:t>，最大限度地保护放射工作人员、患者和公众的健康权益。同时推进妇幼卫生、健康素养促进、医养结合和老年健康服务、卫生应急等方面工作，服务质量逐年提升，服务效果明显改善，较好地完成了年度绩效目标。</w:t>
      </w:r>
    </w:p>
    <w:p>
      <w:pPr>
        <w:pStyle w:val="6"/>
        <w:keepNext w:val="0"/>
        <w:keepLines w:val="0"/>
        <w:pageBreakBefore w:val="0"/>
        <w:widowControl/>
        <w:wordWrap/>
        <w:overflowPunct/>
        <w:topLinePunct w:val="0"/>
        <w:bidi w:val="0"/>
        <w:spacing w:line="560" w:lineRule="exact"/>
        <w:ind w:firstLine="640" w:firstLineChars="200"/>
        <w:rPr>
          <w:rFonts w:hint="eastAsia" w:ascii="楷体_GB2312" w:hAnsi="楷体_GB2312" w:eastAsia="楷体_GB2312" w:cs="楷体_GB2312"/>
          <w:b w:val="0"/>
          <w:bCs/>
          <w:kern w:val="2"/>
          <w:sz w:val="32"/>
          <w:szCs w:val="32"/>
          <w:lang w:eastAsia="zh-CN" w:bidi="ar"/>
        </w:rPr>
      </w:pPr>
      <w:r>
        <w:rPr>
          <w:rFonts w:hint="eastAsia" w:ascii="楷体_GB2312" w:hAnsi="楷体_GB2312" w:eastAsia="楷体_GB2312" w:cs="楷体_GB2312"/>
          <w:bCs/>
          <w:kern w:val="2"/>
          <w:sz w:val="32"/>
          <w:szCs w:val="32"/>
          <w:lang w:bidi="ar"/>
        </w:rPr>
        <w:t>（</w:t>
      </w:r>
      <w:r>
        <w:rPr>
          <w:rFonts w:hint="eastAsia" w:ascii="楷体_GB2312" w:hAnsi="楷体_GB2312" w:eastAsia="楷体_GB2312" w:cs="楷体_GB2312"/>
          <w:bCs/>
          <w:kern w:val="2"/>
          <w:sz w:val="32"/>
          <w:szCs w:val="32"/>
          <w:lang w:eastAsia="zh-CN" w:bidi="ar"/>
        </w:rPr>
        <w:t>二</w:t>
      </w:r>
      <w:r>
        <w:rPr>
          <w:rFonts w:hint="eastAsia" w:ascii="楷体_GB2312" w:hAnsi="楷体_GB2312" w:eastAsia="楷体_GB2312" w:cs="楷体_GB2312"/>
          <w:bCs/>
          <w:kern w:val="2"/>
          <w:sz w:val="32"/>
          <w:szCs w:val="32"/>
          <w:lang w:bidi="ar"/>
        </w:rPr>
        <w:t>）绩效指标完成情况分析</w:t>
      </w:r>
      <w:r>
        <w:rPr>
          <w:rFonts w:hint="eastAsia" w:ascii="楷体_GB2312" w:hAnsi="楷体_GB2312" w:eastAsia="楷体_GB2312" w:cs="楷体_GB2312"/>
          <w:bCs/>
          <w:kern w:val="2"/>
          <w:sz w:val="32"/>
          <w:szCs w:val="32"/>
          <w:lang w:eastAsia="zh-CN" w:bidi="ar"/>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snapToGrid/>
          <w:kern w:val="2"/>
          <w:sz w:val="32"/>
          <w:szCs w:val="32"/>
          <w:lang w:eastAsia="zh-Hans" w:bidi="ar"/>
        </w:rPr>
      </w:pPr>
      <w:r>
        <w:rPr>
          <w:rFonts w:hint="eastAsia" w:ascii="仿宋_GB2312" w:hAnsi="仿宋_GB2312" w:eastAsia="仿宋_GB2312" w:cs="仿宋_GB2312"/>
          <w:b w:val="0"/>
          <w:bCs/>
          <w:snapToGrid/>
          <w:kern w:val="2"/>
          <w:sz w:val="32"/>
          <w:szCs w:val="32"/>
          <w:lang w:eastAsia="zh-Hans" w:bidi="ar"/>
        </w:rPr>
        <w:t>1.产出指标完成情况分析</w:t>
      </w:r>
    </w:p>
    <w:p>
      <w:pPr>
        <w:pStyle w:val="4"/>
        <w:keepNext w:val="0"/>
        <w:keepLines w:val="0"/>
        <w:pageBreakBefore w:val="0"/>
        <w:widowControl/>
        <w:wordWrap/>
        <w:overflowPunct/>
        <w:topLinePunct w:val="0"/>
        <w:bidi w:val="0"/>
        <w:spacing w:after="0" w:line="560" w:lineRule="exact"/>
        <w:ind w:firstLine="640" w:firstLineChars="200"/>
        <w:rPr>
          <w:rFonts w:ascii="仿宋_GB2312" w:hAnsi="仿宋_GB2312" w:eastAsia="仿宋_GB2312" w:cs="仿宋_GB2312"/>
          <w:color w:val="FF0000"/>
          <w:sz w:val="32"/>
          <w:szCs w:val="32"/>
          <w:lang w:eastAsia="zh-Hans" w:bidi="ar"/>
        </w:rPr>
      </w:pPr>
      <w:r>
        <w:rPr>
          <w:rFonts w:hint="eastAsia" w:ascii="仿宋_GB2312" w:hAnsi="仿宋_GB2312" w:eastAsia="仿宋_GB2312" w:cs="仿宋_GB2312"/>
          <w:sz w:val="32"/>
          <w:szCs w:val="32"/>
          <w:lang w:eastAsia="zh-Hans" w:bidi="ar"/>
        </w:rPr>
        <w:t>（1）数量指标</w:t>
      </w:r>
    </w:p>
    <w:p>
      <w:pPr>
        <w:keepNext w:val="0"/>
        <w:keepLines w:val="0"/>
        <w:pageBreakBefore w:val="0"/>
        <w:widowControl/>
        <w:wordWrap/>
        <w:overflowPunct/>
        <w:topLinePunct w:val="0"/>
        <w:bidi w:val="0"/>
        <w:spacing w:line="560" w:lineRule="exact"/>
        <w:ind w:firstLine="640" w:firstLineChars="200"/>
        <w:jc w:val="both"/>
        <w:rPr>
          <w:rFonts w:ascii="仿宋_GB2312" w:hAnsi="仿宋" w:eastAsia="仿宋_GB2312"/>
          <w:sz w:val="32"/>
          <w:szCs w:val="32"/>
          <w:lang w:eastAsia="zh-Hans" w:bidi="ar"/>
        </w:rPr>
      </w:pPr>
      <w:r>
        <w:rPr>
          <w:rFonts w:hint="eastAsia" w:ascii="仿宋_GB2312" w:hAnsi="仿宋" w:eastAsia="仿宋_GB2312"/>
          <w:sz w:val="32"/>
          <w:szCs w:val="32"/>
          <w:lang w:bidi="ar"/>
        </w:rPr>
        <w:t>2022年北京市中央转移支付基本公共卫生服务补助资金</w:t>
      </w:r>
      <w:r>
        <w:rPr>
          <w:rFonts w:hint="eastAsia" w:ascii="仿宋_GB2312" w:hAnsi="仿宋" w:eastAsia="仿宋_GB2312" w:cs="仿宋_GB2312"/>
          <w:sz w:val="32"/>
          <w:szCs w:val="32"/>
          <w:lang w:eastAsia="zh-Hans" w:bidi="ar"/>
        </w:rPr>
        <w:t>项目</w:t>
      </w:r>
      <w:r>
        <w:rPr>
          <w:rFonts w:hint="eastAsia" w:ascii="仿宋_GB2312" w:hAnsi="仿宋" w:eastAsia="仿宋_GB2312"/>
          <w:sz w:val="32"/>
          <w:szCs w:val="32"/>
          <w:lang w:bidi="ar"/>
        </w:rPr>
        <w:t>设定的产出数量指标共</w:t>
      </w:r>
      <w:r>
        <w:rPr>
          <w:rFonts w:hint="eastAsia" w:ascii="仿宋_GB2312" w:hAnsi="仿宋" w:eastAsia="仿宋_GB2312"/>
          <w:sz w:val="32"/>
          <w:szCs w:val="32"/>
          <w:lang w:val="en-US" w:eastAsia="zh-CN" w:bidi="ar"/>
        </w:rPr>
        <w:t>16</w:t>
      </w:r>
      <w:r>
        <w:rPr>
          <w:rFonts w:hint="eastAsia" w:ascii="仿宋_GB2312" w:hAnsi="仿宋" w:eastAsia="仿宋_GB2312"/>
          <w:sz w:val="32"/>
          <w:szCs w:val="32"/>
          <w:lang w:bidi="ar"/>
        </w:rPr>
        <w:t>项，均已完成</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具体情况如下表</w:t>
      </w:r>
      <w:r>
        <w:rPr>
          <w:rFonts w:hint="eastAsia" w:ascii="仿宋_GB2312" w:hAnsi="仿宋" w:eastAsia="仿宋_GB2312"/>
          <w:sz w:val="32"/>
          <w:szCs w:val="32"/>
          <w:lang w:val="en-US" w:eastAsia="zh-CN" w:bidi="ar"/>
        </w:rPr>
        <w:t>1</w:t>
      </w:r>
      <w:r>
        <w:rPr>
          <w:rFonts w:ascii="仿宋_GB2312" w:hAnsi="仿宋" w:eastAsia="仿宋_GB2312"/>
          <w:sz w:val="32"/>
          <w:szCs w:val="32"/>
          <w:lang w:eastAsia="zh-Hans" w:bidi="ar"/>
        </w:rPr>
        <w:t>：</w:t>
      </w:r>
    </w:p>
    <w:p>
      <w:pPr>
        <w:pStyle w:val="4"/>
        <w:widowControl w:val="0"/>
        <w:kinsoku/>
        <w:autoSpaceDE/>
        <w:autoSpaceDN/>
        <w:adjustRightInd/>
        <w:snapToGrid/>
        <w:spacing w:after="0" w:line="240" w:lineRule="auto"/>
        <w:jc w:val="center"/>
        <w:textAlignment w:val="auto"/>
        <w:rPr>
          <w:lang w:eastAsia="zh-Hans"/>
        </w:rPr>
      </w:pPr>
      <w:r>
        <w:rPr>
          <w:rFonts w:hint="eastAsia" w:ascii="仿宋_GB2312" w:hAnsi="仿宋_GB2312" w:eastAsia="仿宋_GB2312" w:cs="仿宋_GB2312"/>
          <w:snapToGrid/>
          <w:kern w:val="2"/>
          <w:sz w:val="28"/>
          <w:szCs w:val="28"/>
        </w:rPr>
        <w:t>表</w:t>
      </w:r>
      <w:r>
        <w:rPr>
          <w:rFonts w:hint="eastAsia" w:ascii="仿宋_GB2312" w:hAnsi="仿宋_GB2312" w:eastAsia="仿宋_GB2312" w:cs="仿宋_GB2312"/>
          <w:snapToGrid/>
          <w:kern w:val="2"/>
          <w:sz w:val="28"/>
          <w:szCs w:val="28"/>
          <w:lang w:val="en-US" w:eastAsia="zh-CN"/>
        </w:rPr>
        <w:t>1</w:t>
      </w:r>
      <w:r>
        <w:rPr>
          <w:rFonts w:hint="eastAsia" w:ascii="仿宋_GB2312" w:hAnsi="仿宋_GB2312" w:eastAsia="仿宋_GB2312" w:cs="仿宋_GB2312"/>
          <w:snapToGrid/>
          <w:kern w:val="2"/>
          <w:sz w:val="28"/>
          <w:szCs w:val="28"/>
        </w:rPr>
        <w:t>：产出数量指标完成情况表</w:t>
      </w:r>
    </w:p>
    <w:tbl>
      <w:tblPr>
        <w:tblStyle w:val="11"/>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
        <w:gridCol w:w="1224"/>
        <w:gridCol w:w="2971"/>
        <w:gridCol w:w="1660"/>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blHeader/>
          <w:jc w:val="center"/>
        </w:trPr>
        <w:tc>
          <w:tcPr>
            <w:tcW w:w="831"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ajorEastAsia" w:hAnsiTheme="majorEastAsia" w:eastAsiaTheme="majorEastAsia" w:cstheme="majorEastAsia"/>
                <w:b/>
                <w:sz w:val="20"/>
                <w:szCs w:val="20"/>
              </w:rPr>
            </w:pPr>
            <w:r>
              <w:rPr>
                <w:rFonts w:hint="eastAsia" w:asciiTheme="majorEastAsia" w:hAnsiTheme="majorEastAsia" w:eastAsiaTheme="majorEastAsia" w:cstheme="majorEastAsia"/>
                <w:b/>
                <w:sz w:val="20"/>
                <w:szCs w:val="20"/>
                <w:lang w:bidi="ar"/>
              </w:rPr>
              <w:t>序号</w:t>
            </w:r>
          </w:p>
        </w:tc>
        <w:tc>
          <w:tcPr>
            <w:tcW w:w="1224"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ajorEastAsia" w:hAnsiTheme="majorEastAsia" w:eastAsiaTheme="majorEastAsia" w:cstheme="majorEastAsia"/>
                <w:b/>
                <w:sz w:val="20"/>
                <w:szCs w:val="20"/>
              </w:rPr>
            </w:pPr>
            <w:r>
              <w:rPr>
                <w:rFonts w:hint="eastAsia" w:asciiTheme="majorEastAsia" w:hAnsiTheme="majorEastAsia" w:eastAsiaTheme="majorEastAsia" w:cstheme="majorEastAsia"/>
                <w:b/>
                <w:sz w:val="20"/>
                <w:szCs w:val="20"/>
                <w:lang w:bidi="ar"/>
              </w:rPr>
              <w:t>指标类型</w:t>
            </w:r>
          </w:p>
        </w:tc>
        <w:tc>
          <w:tcPr>
            <w:tcW w:w="2971"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ajorEastAsia" w:hAnsiTheme="majorEastAsia" w:eastAsiaTheme="majorEastAsia" w:cstheme="majorEastAsia"/>
                <w:b/>
                <w:sz w:val="20"/>
                <w:szCs w:val="20"/>
              </w:rPr>
            </w:pPr>
            <w:r>
              <w:rPr>
                <w:rFonts w:hint="eastAsia" w:asciiTheme="majorEastAsia" w:hAnsiTheme="majorEastAsia" w:eastAsiaTheme="majorEastAsia" w:cstheme="majorEastAsia"/>
                <w:b/>
                <w:sz w:val="20"/>
                <w:szCs w:val="20"/>
                <w:lang w:bidi="ar"/>
              </w:rPr>
              <w:t>三级指标</w:t>
            </w:r>
          </w:p>
        </w:tc>
        <w:tc>
          <w:tcPr>
            <w:tcW w:w="1660"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ajorEastAsia" w:hAnsiTheme="majorEastAsia" w:eastAsiaTheme="majorEastAsia" w:cstheme="majorEastAsia"/>
                <w:b/>
                <w:sz w:val="20"/>
                <w:szCs w:val="20"/>
              </w:rPr>
            </w:pPr>
            <w:r>
              <w:rPr>
                <w:rFonts w:hint="eastAsia" w:asciiTheme="majorEastAsia" w:hAnsiTheme="majorEastAsia" w:eastAsiaTheme="majorEastAsia" w:cstheme="majorEastAsia"/>
                <w:b/>
                <w:sz w:val="20"/>
                <w:szCs w:val="20"/>
                <w:lang w:bidi="ar"/>
              </w:rPr>
              <w:t>指标值</w:t>
            </w:r>
          </w:p>
        </w:tc>
        <w:tc>
          <w:tcPr>
            <w:tcW w:w="1984"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ajorEastAsia" w:hAnsiTheme="majorEastAsia" w:eastAsiaTheme="majorEastAsia" w:cstheme="majorEastAsia"/>
                <w:b/>
                <w:sz w:val="20"/>
                <w:szCs w:val="20"/>
              </w:rPr>
            </w:pPr>
            <w:r>
              <w:rPr>
                <w:rFonts w:hint="eastAsia" w:asciiTheme="majorEastAsia" w:hAnsiTheme="majorEastAsia" w:eastAsiaTheme="majorEastAsia" w:cstheme="majorEastAsia"/>
                <w:b/>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eastAsia="zh-Hans"/>
              </w:rPr>
            </w:pPr>
            <w:r>
              <w:rPr>
                <w:rFonts w:hint="eastAsia" w:asciiTheme="majorEastAsia" w:hAnsiTheme="majorEastAsia" w:eastAsiaTheme="majorEastAsia" w:cstheme="majorEastAsia"/>
                <w:sz w:val="20"/>
                <w:szCs w:val="20"/>
                <w:lang w:bidi="ar"/>
              </w:rPr>
              <w:t>1</w:t>
            </w:r>
          </w:p>
        </w:tc>
        <w:tc>
          <w:tcPr>
            <w:tcW w:w="1224"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lang w:eastAsia="zh-Hans" w:bidi="ar"/>
              </w:rPr>
              <w:t>数量</w:t>
            </w:r>
            <w:r>
              <w:rPr>
                <w:rFonts w:hint="eastAsia" w:asciiTheme="majorEastAsia" w:hAnsiTheme="majorEastAsia" w:eastAsiaTheme="majorEastAsia" w:cstheme="majorEastAsia"/>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rPr>
            </w:pPr>
            <w:r>
              <w:rPr>
                <w:rFonts w:hint="eastAsia" w:ascii="宋体" w:hAnsi="宋体" w:eastAsia="宋体" w:cs="宋体"/>
                <w:i w:val="0"/>
                <w:iCs w:val="0"/>
                <w:snapToGrid w:val="0"/>
                <w:color w:val="000000"/>
                <w:kern w:val="0"/>
                <w:sz w:val="20"/>
                <w:szCs w:val="20"/>
                <w:u w:val="none"/>
                <w:lang w:val="en-US" w:eastAsia="zh-CN" w:bidi="ar"/>
              </w:rPr>
              <w:t>适龄儿童国家免疫规划疫苗接种率</w:t>
            </w:r>
          </w:p>
        </w:tc>
        <w:tc>
          <w:tcPr>
            <w:tcW w:w="16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rPr>
            </w:pPr>
            <w:r>
              <w:rPr>
                <w:rFonts w:hint="eastAsia" w:ascii="宋体" w:hAnsi="宋体" w:eastAsia="宋体" w:cs="宋体"/>
                <w:i w:val="0"/>
                <w:iCs w:val="0"/>
                <w:snapToGrid w:val="0"/>
                <w:color w:val="000000"/>
                <w:kern w:val="0"/>
                <w:sz w:val="20"/>
                <w:szCs w:val="20"/>
                <w:u w:val="none"/>
                <w:lang w:val="en-US" w:eastAsia="zh-CN" w:bidi="ar"/>
              </w:rPr>
              <w:t>≥90%</w:t>
            </w:r>
          </w:p>
        </w:tc>
        <w:tc>
          <w:tcPr>
            <w:tcW w:w="19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rPr>
            </w:pPr>
            <w:r>
              <w:rPr>
                <w:rFonts w:hint="eastAsia" w:ascii="宋体" w:hAnsi="宋体" w:eastAsia="宋体" w:cs="宋体"/>
                <w:i w:val="0"/>
                <w:iCs w:val="0"/>
                <w:snapToGrid w:val="0"/>
                <w:color w:val="000000"/>
                <w:kern w:val="0"/>
                <w:sz w:val="20"/>
                <w:szCs w:val="20"/>
                <w:u w:val="none"/>
                <w:lang w:val="en-US" w:eastAsia="zh-CN" w:bidi="ar"/>
              </w:rPr>
              <w:t>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bidi="ar"/>
              </w:rPr>
              <w:t>2</w:t>
            </w:r>
          </w:p>
        </w:tc>
        <w:tc>
          <w:tcPr>
            <w:tcW w:w="1224"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eastAsia="zh-Hans" w:bidi="ar"/>
              </w:rPr>
              <w:t>数量</w:t>
            </w:r>
            <w:r>
              <w:rPr>
                <w:rFonts w:hint="eastAsia" w:asciiTheme="majorEastAsia" w:hAnsiTheme="majorEastAsia" w:eastAsiaTheme="majorEastAsia" w:cstheme="majorEastAsia"/>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地方病防治工作任务完成率</w:t>
            </w:r>
          </w:p>
        </w:tc>
        <w:tc>
          <w:tcPr>
            <w:tcW w:w="16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≥95%</w:t>
            </w:r>
          </w:p>
        </w:tc>
        <w:tc>
          <w:tcPr>
            <w:tcW w:w="19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8"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bidi="ar"/>
              </w:rPr>
              <w:t>3</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eastAsia="zh-Hans" w:bidi="ar"/>
              </w:rPr>
              <w:t>数量</w:t>
            </w:r>
            <w:r>
              <w:rPr>
                <w:rFonts w:hint="eastAsia" w:asciiTheme="majorEastAsia" w:hAnsiTheme="majorEastAsia" w:eastAsiaTheme="majorEastAsia" w:cstheme="majorEastAsia"/>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地方病核心指标完成率</w:t>
            </w:r>
          </w:p>
        </w:tc>
        <w:tc>
          <w:tcPr>
            <w:tcW w:w="16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≥90%</w:t>
            </w:r>
          </w:p>
        </w:tc>
        <w:tc>
          <w:tcPr>
            <w:tcW w:w="19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bidi="ar"/>
              </w:rPr>
              <w:t>4</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eastAsia="zh-Hans" w:bidi="ar"/>
              </w:rPr>
              <w:t>数量</w:t>
            </w:r>
            <w:r>
              <w:rPr>
                <w:rFonts w:hint="eastAsia" w:asciiTheme="majorEastAsia" w:hAnsiTheme="majorEastAsia" w:eastAsiaTheme="majorEastAsia" w:cstheme="majorEastAsia"/>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肺结核患者管理率</w:t>
            </w:r>
          </w:p>
        </w:tc>
        <w:tc>
          <w:tcPr>
            <w:tcW w:w="16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≥90%</w:t>
            </w:r>
          </w:p>
        </w:tc>
        <w:tc>
          <w:tcPr>
            <w:tcW w:w="19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98.20%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bidi="ar"/>
              </w:rPr>
              <w:t>5</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eastAsia="zh-Hans" w:bidi="ar"/>
              </w:rPr>
              <w:t>数量</w:t>
            </w:r>
            <w:r>
              <w:rPr>
                <w:rFonts w:hint="eastAsia" w:asciiTheme="majorEastAsia" w:hAnsiTheme="majorEastAsia" w:eastAsiaTheme="majorEastAsia" w:cstheme="majorEastAsia"/>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3岁以下儿童系统管理率</w:t>
            </w:r>
          </w:p>
        </w:tc>
        <w:tc>
          <w:tcPr>
            <w:tcW w:w="16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≥90%</w:t>
            </w:r>
          </w:p>
        </w:tc>
        <w:tc>
          <w:tcPr>
            <w:tcW w:w="19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96.66%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bidi="ar"/>
              </w:rPr>
              <w:t>6</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eastAsia="zh-Hans" w:bidi="ar"/>
              </w:rPr>
              <w:t>数量</w:t>
            </w:r>
            <w:r>
              <w:rPr>
                <w:rFonts w:hint="eastAsia" w:asciiTheme="majorEastAsia" w:hAnsiTheme="majorEastAsia" w:eastAsiaTheme="majorEastAsia" w:cstheme="majorEastAsia"/>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孕产妇系统管理率</w:t>
            </w:r>
          </w:p>
        </w:tc>
        <w:tc>
          <w:tcPr>
            <w:tcW w:w="16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≥90%</w:t>
            </w:r>
          </w:p>
        </w:tc>
        <w:tc>
          <w:tcPr>
            <w:tcW w:w="19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99.43%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22"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bidi="ar"/>
              </w:rPr>
            </w:pPr>
            <w:r>
              <w:rPr>
                <w:rFonts w:hint="eastAsia" w:asciiTheme="majorEastAsia" w:hAnsiTheme="majorEastAsia" w:eastAsiaTheme="majorEastAsia" w:cstheme="majorEastAsia"/>
                <w:sz w:val="20"/>
                <w:szCs w:val="20"/>
                <w:lang w:bidi="ar"/>
              </w:rPr>
              <w:t>7</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eastAsia="zh-Hans" w:bidi="ar"/>
              </w:rPr>
              <w:t>数量</w:t>
            </w:r>
            <w:r>
              <w:rPr>
                <w:rFonts w:hint="eastAsia" w:asciiTheme="majorEastAsia" w:hAnsiTheme="majorEastAsia" w:eastAsiaTheme="majorEastAsia" w:cstheme="majorEastAsia"/>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7岁以下儿童健康管理率</w:t>
            </w:r>
          </w:p>
        </w:tc>
        <w:tc>
          <w:tcPr>
            <w:tcW w:w="16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≥90%</w:t>
            </w:r>
          </w:p>
        </w:tc>
        <w:tc>
          <w:tcPr>
            <w:tcW w:w="19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98.91%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bidi="ar"/>
              </w:rPr>
            </w:pPr>
            <w:r>
              <w:rPr>
                <w:rFonts w:hint="eastAsia" w:asciiTheme="majorEastAsia" w:hAnsiTheme="majorEastAsia" w:eastAsiaTheme="majorEastAsia" w:cstheme="majorEastAsia"/>
                <w:sz w:val="20"/>
                <w:szCs w:val="20"/>
                <w:lang w:bidi="ar"/>
              </w:rPr>
              <w:t>8</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eastAsia="zh-Hans" w:bidi="ar"/>
              </w:rPr>
              <w:t>数量</w:t>
            </w:r>
            <w:r>
              <w:rPr>
                <w:rFonts w:hint="eastAsia" w:asciiTheme="majorEastAsia" w:hAnsiTheme="majorEastAsia" w:eastAsiaTheme="majorEastAsia" w:cstheme="majorEastAsia"/>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0-6岁儿童眼保健和视力检查覆盖率</w:t>
            </w:r>
          </w:p>
        </w:tc>
        <w:tc>
          <w:tcPr>
            <w:tcW w:w="16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≥90%</w:t>
            </w:r>
          </w:p>
        </w:tc>
        <w:tc>
          <w:tcPr>
            <w:tcW w:w="19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99.24%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bidi="ar"/>
              </w:rPr>
            </w:pPr>
            <w:r>
              <w:rPr>
                <w:rFonts w:hint="eastAsia" w:asciiTheme="majorEastAsia" w:hAnsiTheme="majorEastAsia" w:eastAsiaTheme="majorEastAsia" w:cstheme="majorEastAsia"/>
                <w:sz w:val="20"/>
                <w:szCs w:val="20"/>
                <w:lang w:bidi="ar"/>
              </w:rPr>
              <w:t>9</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eastAsia="zh-Hans" w:bidi="ar"/>
              </w:rPr>
              <w:t>数量</w:t>
            </w:r>
            <w:r>
              <w:rPr>
                <w:rFonts w:hint="eastAsia" w:asciiTheme="majorEastAsia" w:hAnsiTheme="majorEastAsia" w:eastAsiaTheme="majorEastAsia" w:cstheme="majorEastAsia"/>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高血压患者管理人数</w:t>
            </w:r>
          </w:p>
        </w:tc>
        <w:tc>
          <w:tcPr>
            <w:tcW w:w="16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142万人</w:t>
            </w:r>
          </w:p>
        </w:tc>
        <w:tc>
          <w:tcPr>
            <w:tcW w:w="19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142万人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bidi="ar"/>
              </w:rPr>
            </w:pPr>
            <w:r>
              <w:rPr>
                <w:rFonts w:hint="eastAsia" w:asciiTheme="majorEastAsia" w:hAnsiTheme="majorEastAsia" w:eastAsiaTheme="majorEastAsia" w:cstheme="majorEastAsia"/>
                <w:sz w:val="20"/>
                <w:szCs w:val="20"/>
                <w:lang w:bidi="ar"/>
              </w:rPr>
              <w:t>10</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eastAsia="zh-Hans" w:bidi="ar"/>
              </w:rPr>
              <w:t>数量</w:t>
            </w:r>
            <w:r>
              <w:rPr>
                <w:rFonts w:hint="eastAsia" w:asciiTheme="majorEastAsia" w:hAnsiTheme="majorEastAsia" w:eastAsiaTheme="majorEastAsia" w:cstheme="majorEastAsia"/>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2型糖尿病患者管理人数</w:t>
            </w:r>
          </w:p>
        </w:tc>
        <w:tc>
          <w:tcPr>
            <w:tcW w:w="16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63万人</w:t>
            </w:r>
          </w:p>
        </w:tc>
        <w:tc>
          <w:tcPr>
            <w:tcW w:w="19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63万人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9"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bidi="ar"/>
              </w:rPr>
            </w:pPr>
            <w:r>
              <w:rPr>
                <w:rFonts w:hint="eastAsia" w:asciiTheme="majorEastAsia" w:hAnsiTheme="majorEastAsia" w:eastAsiaTheme="majorEastAsia" w:cstheme="majorEastAsia"/>
                <w:sz w:val="20"/>
                <w:szCs w:val="20"/>
                <w:lang w:bidi="ar"/>
              </w:rPr>
              <w:t>11</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eastAsia="zh-Hans" w:bidi="ar"/>
              </w:rPr>
              <w:t>数量</w:t>
            </w:r>
            <w:r>
              <w:rPr>
                <w:rFonts w:hint="eastAsia" w:asciiTheme="majorEastAsia" w:hAnsiTheme="majorEastAsia" w:eastAsiaTheme="majorEastAsia" w:cstheme="majorEastAsia"/>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儿童中医药健康管理率</w:t>
            </w:r>
          </w:p>
        </w:tc>
        <w:tc>
          <w:tcPr>
            <w:tcW w:w="16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≥77%</w:t>
            </w:r>
          </w:p>
        </w:tc>
        <w:tc>
          <w:tcPr>
            <w:tcW w:w="19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81.29%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bidi="ar"/>
              </w:rPr>
            </w:pPr>
            <w:r>
              <w:rPr>
                <w:rFonts w:hint="eastAsia" w:asciiTheme="majorEastAsia" w:hAnsiTheme="majorEastAsia" w:eastAsiaTheme="majorEastAsia" w:cstheme="majorEastAsia"/>
                <w:sz w:val="20"/>
                <w:szCs w:val="20"/>
                <w:lang w:bidi="ar"/>
              </w:rPr>
              <w:t>12</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eastAsia="zh-Hans" w:bidi="ar"/>
              </w:rPr>
              <w:t>数量</w:t>
            </w:r>
            <w:r>
              <w:rPr>
                <w:rFonts w:hint="eastAsia" w:asciiTheme="majorEastAsia" w:hAnsiTheme="majorEastAsia" w:eastAsiaTheme="majorEastAsia" w:cstheme="majorEastAsia"/>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老年人中医药健康管理率</w:t>
            </w:r>
          </w:p>
        </w:tc>
        <w:tc>
          <w:tcPr>
            <w:tcW w:w="16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≥70%</w:t>
            </w:r>
          </w:p>
        </w:tc>
        <w:tc>
          <w:tcPr>
            <w:tcW w:w="19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70.65%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Theme="majorEastAsia" w:hAnsiTheme="majorEastAsia" w:eastAsiaTheme="majorEastAsia" w:cstheme="majorEastAsia"/>
                <w:sz w:val="20"/>
                <w:szCs w:val="20"/>
                <w:lang w:bidi="ar"/>
              </w:rPr>
            </w:pPr>
            <w:r>
              <w:rPr>
                <w:rFonts w:hint="eastAsia" w:ascii="宋体" w:hAnsi="宋体" w:eastAsia="宋体" w:cs="宋体"/>
                <w:sz w:val="22"/>
                <w:szCs w:val="22"/>
                <w:lang w:bidi="ar"/>
              </w:rPr>
              <w:t>13</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eastAsia="zh-Hans" w:bidi="ar"/>
              </w:rPr>
              <w:t>数量</w:t>
            </w:r>
            <w:r>
              <w:rPr>
                <w:rFonts w:hint="eastAsia" w:asciiTheme="majorEastAsia" w:hAnsiTheme="majorEastAsia" w:eastAsiaTheme="majorEastAsia" w:cstheme="majorEastAsia"/>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卫生监督协管各专业年巡查（访）2次完成率</w:t>
            </w:r>
          </w:p>
        </w:tc>
        <w:tc>
          <w:tcPr>
            <w:tcW w:w="16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≥90%</w:t>
            </w:r>
          </w:p>
        </w:tc>
        <w:tc>
          <w:tcPr>
            <w:tcW w:w="19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Theme="majorEastAsia" w:hAnsiTheme="majorEastAsia" w:eastAsiaTheme="majorEastAsia" w:cstheme="majorEastAsia"/>
                <w:sz w:val="20"/>
                <w:szCs w:val="20"/>
                <w:lang w:bidi="ar"/>
              </w:rPr>
            </w:pPr>
            <w:r>
              <w:rPr>
                <w:rFonts w:hint="eastAsia" w:ascii="宋体" w:hAnsi="宋体" w:eastAsia="宋体" w:cs="宋体"/>
                <w:sz w:val="22"/>
                <w:szCs w:val="22"/>
                <w:lang w:bidi="ar"/>
              </w:rPr>
              <w:t>14</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eastAsia="zh-Hans" w:bidi="ar"/>
              </w:rPr>
              <w:t>数量</w:t>
            </w:r>
            <w:r>
              <w:rPr>
                <w:rFonts w:hint="eastAsia" w:asciiTheme="majorEastAsia" w:hAnsiTheme="majorEastAsia" w:eastAsiaTheme="majorEastAsia" w:cstheme="majorEastAsia"/>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职业健康检查服务覆盖率</w:t>
            </w:r>
          </w:p>
        </w:tc>
        <w:tc>
          <w:tcPr>
            <w:tcW w:w="16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达到100%</w:t>
            </w:r>
          </w:p>
        </w:tc>
        <w:tc>
          <w:tcPr>
            <w:tcW w:w="19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达到100%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2"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Theme="majorEastAsia" w:hAnsiTheme="majorEastAsia" w:eastAsiaTheme="majorEastAsia" w:cstheme="majorEastAsia"/>
                <w:sz w:val="20"/>
                <w:szCs w:val="20"/>
                <w:lang w:bidi="ar"/>
              </w:rPr>
            </w:pPr>
            <w:r>
              <w:rPr>
                <w:rFonts w:hint="eastAsia" w:ascii="宋体" w:hAnsi="宋体" w:eastAsia="宋体" w:cs="宋体"/>
                <w:sz w:val="22"/>
                <w:szCs w:val="22"/>
                <w:lang w:bidi="ar"/>
              </w:rPr>
              <w:t>15</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eastAsia="zh-Hans" w:bidi="ar"/>
              </w:rPr>
              <w:t>数量</w:t>
            </w:r>
            <w:r>
              <w:rPr>
                <w:rFonts w:hint="eastAsia" w:asciiTheme="majorEastAsia" w:hAnsiTheme="majorEastAsia" w:eastAsiaTheme="majorEastAsia" w:cstheme="majorEastAsia"/>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宫颈癌、乳腺癌筛查目标人群覆盖率</w:t>
            </w:r>
          </w:p>
        </w:tc>
        <w:tc>
          <w:tcPr>
            <w:tcW w:w="16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较上年提高</w:t>
            </w:r>
          </w:p>
        </w:tc>
        <w:tc>
          <w:tcPr>
            <w:tcW w:w="19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较上年提高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Theme="majorEastAsia" w:hAnsiTheme="majorEastAsia" w:eastAsiaTheme="majorEastAsia" w:cstheme="majorEastAsia"/>
                <w:sz w:val="20"/>
                <w:szCs w:val="20"/>
                <w:lang w:bidi="ar"/>
              </w:rPr>
            </w:pPr>
            <w:r>
              <w:rPr>
                <w:rFonts w:hint="eastAsia" w:ascii="宋体" w:hAnsi="宋体" w:eastAsia="宋体" w:cs="宋体"/>
                <w:sz w:val="22"/>
                <w:szCs w:val="22"/>
                <w:lang w:bidi="ar"/>
              </w:rPr>
              <w:t>16</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eastAsia="zh-Hans" w:bidi="ar"/>
              </w:rPr>
              <w:t>数量</w:t>
            </w:r>
            <w:r>
              <w:rPr>
                <w:rFonts w:hint="eastAsia" w:asciiTheme="majorEastAsia" w:hAnsiTheme="majorEastAsia" w:eastAsiaTheme="majorEastAsia" w:cstheme="majorEastAsia"/>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社区在册居家严重精神障碍患者健康管理率</w:t>
            </w:r>
          </w:p>
        </w:tc>
        <w:tc>
          <w:tcPr>
            <w:tcW w:w="16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≥90%</w:t>
            </w:r>
          </w:p>
        </w:tc>
        <w:tc>
          <w:tcPr>
            <w:tcW w:w="19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94.93%</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bCs/>
          <w:sz w:val="32"/>
          <w:szCs w:val="32"/>
          <w:lang w:eastAsia="zh-Hans"/>
        </w:rPr>
      </w:pPr>
      <w:r>
        <w:rPr>
          <w:rFonts w:hint="eastAsia" w:ascii="仿宋_GB2312" w:hAnsi="仿宋_GB2312" w:eastAsia="仿宋_GB2312" w:cs="仿宋_GB2312"/>
          <w:bCs/>
          <w:sz w:val="32"/>
          <w:szCs w:val="32"/>
          <w:lang w:eastAsia="zh-Hans"/>
        </w:rPr>
        <w:t>（2）质量指标</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 w:eastAsia="仿宋_GB2312"/>
          <w:sz w:val="32"/>
          <w:szCs w:val="32"/>
          <w:lang w:eastAsia="zh-Hans" w:bidi="ar"/>
        </w:rPr>
      </w:pPr>
      <w:r>
        <w:rPr>
          <w:rFonts w:hint="eastAsia" w:ascii="仿宋_GB2312" w:hAnsi="仿宋" w:eastAsia="仿宋_GB2312"/>
          <w:sz w:val="32"/>
          <w:szCs w:val="32"/>
          <w:lang w:bidi="ar"/>
        </w:rPr>
        <w:t>2022年北京市中央转移支付基本公共卫生服务补助资金项目设定的产出</w:t>
      </w:r>
      <w:r>
        <w:rPr>
          <w:rFonts w:hint="eastAsia" w:ascii="仿宋_GB2312" w:hAnsi="仿宋" w:eastAsia="仿宋_GB2312"/>
          <w:sz w:val="32"/>
          <w:szCs w:val="32"/>
          <w:lang w:eastAsia="zh-Hans" w:bidi="ar"/>
        </w:rPr>
        <w:t>质量</w:t>
      </w:r>
      <w:r>
        <w:rPr>
          <w:rFonts w:hint="eastAsia" w:ascii="仿宋_GB2312" w:hAnsi="仿宋" w:eastAsia="仿宋_GB2312"/>
          <w:sz w:val="32"/>
          <w:szCs w:val="32"/>
          <w:lang w:bidi="ar"/>
        </w:rPr>
        <w:t>指标共</w:t>
      </w:r>
      <w:r>
        <w:rPr>
          <w:rFonts w:hint="eastAsia" w:ascii="仿宋_GB2312" w:hAnsi="仿宋" w:eastAsia="仿宋_GB2312"/>
          <w:sz w:val="32"/>
          <w:szCs w:val="32"/>
          <w:lang w:val="en-US" w:eastAsia="zh-CN" w:bidi="ar"/>
        </w:rPr>
        <w:t>6</w:t>
      </w:r>
      <w:r>
        <w:rPr>
          <w:rFonts w:hint="eastAsia" w:ascii="仿宋_GB2312" w:hAnsi="仿宋" w:eastAsia="仿宋_GB2312"/>
          <w:sz w:val="32"/>
          <w:szCs w:val="32"/>
          <w:lang w:bidi="ar"/>
        </w:rPr>
        <w:t>项，</w:t>
      </w:r>
      <w:r>
        <w:rPr>
          <w:rFonts w:hint="eastAsia" w:ascii="仿宋_GB2312" w:hAnsi="仿宋" w:eastAsia="仿宋_GB2312"/>
          <w:sz w:val="32"/>
          <w:szCs w:val="32"/>
          <w:lang w:val="en-US" w:eastAsia="zh-CN" w:bidi="ar"/>
        </w:rPr>
        <w:t>其中5项已完成，1项尚未完成</w:t>
      </w:r>
      <w:r>
        <w:rPr>
          <w:rFonts w:hint="eastAsia" w:ascii="仿宋_GB2312" w:hAnsi="仿宋" w:eastAsia="仿宋_GB2312"/>
          <w:sz w:val="32"/>
          <w:szCs w:val="32"/>
          <w:lang w:eastAsia="zh-Hans" w:bidi="ar"/>
        </w:rPr>
        <w:t>，具体情况如下表</w:t>
      </w:r>
      <w:r>
        <w:rPr>
          <w:rFonts w:hint="eastAsia" w:ascii="仿宋_GB2312" w:hAnsi="仿宋" w:eastAsia="仿宋_GB2312"/>
          <w:sz w:val="32"/>
          <w:szCs w:val="32"/>
          <w:lang w:val="en-US" w:eastAsia="zh-CN" w:bidi="ar"/>
        </w:rPr>
        <w:t>2</w:t>
      </w:r>
      <w:r>
        <w:rPr>
          <w:rFonts w:hint="eastAsia" w:ascii="仿宋_GB2312" w:hAnsi="仿宋" w:eastAsia="仿宋_GB2312"/>
          <w:sz w:val="32"/>
          <w:szCs w:val="32"/>
          <w:lang w:eastAsia="zh-Hans" w:bidi="ar"/>
        </w:rPr>
        <w:t>：</w:t>
      </w:r>
    </w:p>
    <w:p>
      <w:pPr>
        <w:pStyle w:val="4"/>
        <w:widowControl w:val="0"/>
        <w:kinsoku/>
        <w:autoSpaceDE/>
        <w:autoSpaceDN/>
        <w:adjustRightInd/>
        <w:snapToGrid/>
        <w:spacing w:after="0" w:line="240" w:lineRule="auto"/>
        <w:jc w:val="center"/>
        <w:textAlignment w:val="auto"/>
        <w:rPr>
          <w:lang w:eastAsia="zh-Hans"/>
        </w:rPr>
      </w:pPr>
      <w:r>
        <w:rPr>
          <w:rFonts w:hint="eastAsia" w:ascii="仿宋_GB2312" w:hAnsi="仿宋_GB2312" w:eastAsia="仿宋_GB2312" w:cs="仿宋_GB2312"/>
          <w:snapToGrid/>
          <w:kern w:val="2"/>
          <w:sz w:val="28"/>
          <w:szCs w:val="28"/>
        </w:rPr>
        <w:t>表</w:t>
      </w:r>
      <w:r>
        <w:rPr>
          <w:rFonts w:hint="eastAsia" w:ascii="仿宋_GB2312" w:hAnsi="仿宋_GB2312" w:eastAsia="仿宋_GB2312" w:cs="仿宋_GB2312"/>
          <w:snapToGrid/>
          <w:kern w:val="2"/>
          <w:sz w:val="28"/>
          <w:szCs w:val="28"/>
          <w:lang w:val="en-US" w:eastAsia="zh-CN"/>
        </w:rPr>
        <w:t>2</w:t>
      </w:r>
      <w:r>
        <w:rPr>
          <w:rFonts w:hint="eastAsia" w:ascii="仿宋_GB2312" w:hAnsi="仿宋_GB2312" w:eastAsia="仿宋_GB2312" w:cs="仿宋_GB2312"/>
          <w:snapToGrid/>
          <w:kern w:val="2"/>
          <w:sz w:val="28"/>
          <w:szCs w:val="28"/>
        </w:rPr>
        <w:t>：产出质量指标完成情况表</w:t>
      </w:r>
    </w:p>
    <w:tbl>
      <w:tblPr>
        <w:tblStyle w:val="11"/>
        <w:tblW w:w="8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4"/>
        <w:gridCol w:w="1187"/>
        <w:gridCol w:w="2551"/>
        <w:gridCol w:w="2085"/>
        <w:gridCol w:w="1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904"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rPr>
            </w:pPr>
            <w:r>
              <w:rPr>
                <w:rFonts w:hint="eastAsia" w:ascii="宋体" w:hAnsi="宋体" w:eastAsia="宋体" w:cs="宋体"/>
                <w:b/>
                <w:sz w:val="20"/>
                <w:szCs w:val="20"/>
                <w:lang w:bidi="ar"/>
              </w:rPr>
              <w:t>序号</w:t>
            </w:r>
          </w:p>
        </w:tc>
        <w:tc>
          <w:tcPr>
            <w:tcW w:w="1187"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rPr>
            </w:pPr>
            <w:r>
              <w:rPr>
                <w:rFonts w:hint="eastAsia" w:ascii="宋体" w:hAnsi="宋体" w:eastAsia="宋体" w:cs="宋体"/>
                <w:b/>
                <w:sz w:val="20"/>
                <w:szCs w:val="20"/>
                <w:lang w:bidi="ar"/>
              </w:rPr>
              <w:t>指标类型</w:t>
            </w:r>
          </w:p>
        </w:tc>
        <w:tc>
          <w:tcPr>
            <w:tcW w:w="2551"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rPr>
            </w:pPr>
            <w:r>
              <w:rPr>
                <w:rFonts w:hint="eastAsia" w:ascii="宋体" w:hAnsi="宋体" w:eastAsia="宋体" w:cs="宋体"/>
                <w:b/>
                <w:sz w:val="20"/>
                <w:szCs w:val="20"/>
                <w:lang w:bidi="ar"/>
              </w:rPr>
              <w:t>三级指标</w:t>
            </w:r>
          </w:p>
        </w:tc>
        <w:tc>
          <w:tcPr>
            <w:tcW w:w="2085"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rPr>
            </w:pPr>
            <w:r>
              <w:rPr>
                <w:rFonts w:hint="eastAsia" w:ascii="宋体" w:hAnsi="宋体" w:eastAsia="宋体" w:cs="宋体"/>
                <w:b/>
                <w:sz w:val="20"/>
                <w:szCs w:val="20"/>
                <w:lang w:bidi="ar"/>
              </w:rPr>
              <w:t>指标值</w:t>
            </w:r>
          </w:p>
        </w:tc>
        <w:tc>
          <w:tcPr>
            <w:tcW w:w="1738"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宋体" w:hAnsi="宋体" w:eastAsia="宋体" w:cs="宋体"/>
                <w:b/>
                <w:sz w:val="20"/>
                <w:szCs w:val="20"/>
              </w:rPr>
            </w:pPr>
            <w:r>
              <w:rPr>
                <w:rFonts w:hint="eastAsia" w:ascii="宋体" w:hAnsi="宋体" w:eastAsia="宋体" w:cs="宋体"/>
                <w:b/>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3" w:hRule="atLeast"/>
          <w:jc w:val="center"/>
        </w:trPr>
        <w:tc>
          <w:tcPr>
            <w:tcW w:w="9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rPr>
            </w:pPr>
            <w:r>
              <w:rPr>
                <w:rFonts w:hint="eastAsia" w:ascii="宋体" w:hAnsi="宋体" w:eastAsia="宋体" w:cs="宋体"/>
                <w:sz w:val="20"/>
                <w:szCs w:val="20"/>
                <w:lang w:bidi="ar"/>
              </w:rPr>
              <w:t>1</w:t>
            </w:r>
          </w:p>
        </w:tc>
        <w:tc>
          <w:tcPr>
            <w:tcW w:w="1187"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宋体" w:hAnsi="宋体" w:eastAsia="宋体" w:cs="宋体"/>
                <w:sz w:val="20"/>
                <w:szCs w:val="20"/>
              </w:rPr>
            </w:pPr>
            <w:r>
              <w:rPr>
                <w:rFonts w:hint="eastAsia" w:ascii="宋体" w:hAnsi="宋体" w:eastAsia="宋体" w:cs="宋体"/>
                <w:sz w:val="20"/>
                <w:szCs w:val="20"/>
                <w:lang w:eastAsia="zh-Hans" w:bidi="ar"/>
              </w:rPr>
              <w:t>质量</w:t>
            </w:r>
            <w:r>
              <w:rPr>
                <w:rFonts w:hint="eastAsia" w:ascii="宋体" w:hAnsi="宋体" w:eastAsia="宋体" w:cs="宋体"/>
                <w:sz w:val="20"/>
                <w:szCs w:val="20"/>
                <w:lang w:bidi="ar"/>
              </w:rPr>
              <w:t>指标</w:t>
            </w:r>
          </w:p>
        </w:tc>
        <w:tc>
          <w:tcPr>
            <w:tcW w:w="255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rPr>
            </w:pPr>
            <w:r>
              <w:rPr>
                <w:rFonts w:hint="eastAsia" w:ascii="宋体" w:hAnsi="宋体" w:eastAsia="宋体" w:cs="宋体"/>
                <w:i w:val="0"/>
                <w:iCs w:val="0"/>
                <w:snapToGrid w:val="0"/>
                <w:color w:val="000000"/>
                <w:kern w:val="0"/>
                <w:sz w:val="20"/>
                <w:szCs w:val="20"/>
                <w:u w:val="none"/>
                <w:lang w:val="en-US" w:eastAsia="zh-CN" w:bidi="ar"/>
              </w:rPr>
              <w:t>传染病和突发公共卫生事件报告率</w:t>
            </w:r>
          </w:p>
        </w:tc>
        <w:tc>
          <w:tcPr>
            <w:tcW w:w="20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rPr>
            </w:pPr>
            <w:r>
              <w:rPr>
                <w:rFonts w:hint="eastAsia" w:ascii="宋体" w:hAnsi="宋体" w:eastAsia="宋体" w:cs="宋体"/>
                <w:i w:val="0"/>
                <w:iCs w:val="0"/>
                <w:snapToGrid w:val="0"/>
                <w:color w:val="000000"/>
                <w:kern w:val="0"/>
                <w:sz w:val="20"/>
                <w:szCs w:val="20"/>
                <w:u w:val="none"/>
                <w:lang w:val="en-US" w:eastAsia="zh-CN" w:bidi="ar"/>
              </w:rPr>
              <w:t>≥95%</w:t>
            </w:r>
          </w:p>
        </w:tc>
        <w:tc>
          <w:tcPr>
            <w:tcW w:w="17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rPr>
            </w:pPr>
            <w:r>
              <w:rPr>
                <w:rFonts w:hint="eastAsia" w:ascii="宋体" w:hAnsi="宋体" w:eastAsia="宋体" w:cs="宋体"/>
                <w:i w:val="0"/>
                <w:iCs w:val="0"/>
                <w:snapToGrid w:val="0"/>
                <w:color w:val="000000"/>
                <w:kern w:val="0"/>
                <w:sz w:val="20"/>
                <w:szCs w:val="20"/>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9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bidi="ar"/>
              </w:rPr>
              <w:t>2</w:t>
            </w:r>
          </w:p>
        </w:tc>
        <w:tc>
          <w:tcPr>
            <w:tcW w:w="1187"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宋体" w:hAnsi="宋体" w:eastAsia="宋体" w:cs="宋体"/>
                <w:sz w:val="20"/>
                <w:szCs w:val="20"/>
                <w:lang w:eastAsia="zh-Hans" w:bidi="ar"/>
              </w:rPr>
            </w:pPr>
            <w:r>
              <w:rPr>
                <w:rFonts w:hint="eastAsia" w:ascii="宋体" w:hAnsi="宋体" w:eastAsia="宋体" w:cs="宋体"/>
                <w:sz w:val="20"/>
                <w:szCs w:val="20"/>
                <w:lang w:eastAsia="zh-Hans" w:bidi="ar"/>
              </w:rPr>
              <w:t>质量</w:t>
            </w:r>
            <w:r>
              <w:rPr>
                <w:rFonts w:hint="eastAsia" w:ascii="宋体" w:hAnsi="宋体" w:eastAsia="宋体" w:cs="宋体"/>
                <w:sz w:val="20"/>
                <w:szCs w:val="20"/>
                <w:lang w:bidi="ar"/>
              </w:rPr>
              <w:t>指标</w:t>
            </w:r>
          </w:p>
        </w:tc>
        <w:tc>
          <w:tcPr>
            <w:tcW w:w="255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职业健康检查机构个案数据报送率</w:t>
            </w:r>
          </w:p>
        </w:tc>
        <w:tc>
          <w:tcPr>
            <w:tcW w:w="20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≥90%</w:t>
            </w:r>
          </w:p>
        </w:tc>
        <w:tc>
          <w:tcPr>
            <w:tcW w:w="17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3" w:hRule="atLeast"/>
          <w:jc w:val="center"/>
        </w:trPr>
        <w:tc>
          <w:tcPr>
            <w:tcW w:w="9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bidi="ar"/>
              </w:rPr>
              <w:t>3</w:t>
            </w:r>
          </w:p>
        </w:tc>
        <w:tc>
          <w:tcPr>
            <w:tcW w:w="11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eastAsia="zh-Hans" w:bidi="ar"/>
              </w:rPr>
              <w:t>质量</w:t>
            </w:r>
            <w:r>
              <w:rPr>
                <w:rFonts w:hint="eastAsia" w:ascii="宋体" w:hAnsi="宋体" w:eastAsia="宋体" w:cs="宋体"/>
                <w:sz w:val="20"/>
                <w:szCs w:val="20"/>
                <w:lang w:bidi="ar"/>
              </w:rPr>
              <w:t>指标</w:t>
            </w:r>
          </w:p>
        </w:tc>
        <w:tc>
          <w:tcPr>
            <w:tcW w:w="255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65岁及以上老年人城乡社区规范健康管理服务率</w:t>
            </w:r>
          </w:p>
        </w:tc>
        <w:tc>
          <w:tcPr>
            <w:tcW w:w="20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≥62%</w:t>
            </w:r>
          </w:p>
        </w:tc>
        <w:tc>
          <w:tcPr>
            <w:tcW w:w="17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61.09%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9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bidi="ar"/>
              </w:rPr>
            </w:pPr>
            <w:r>
              <w:rPr>
                <w:rFonts w:hint="eastAsia" w:ascii="宋体" w:hAnsi="宋体" w:eastAsia="宋体" w:cs="宋体"/>
                <w:sz w:val="20"/>
                <w:szCs w:val="20"/>
                <w:lang w:bidi="ar"/>
              </w:rPr>
              <w:t>4</w:t>
            </w:r>
          </w:p>
        </w:tc>
        <w:tc>
          <w:tcPr>
            <w:tcW w:w="11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eastAsia="zh-Hans" w:bidi="ar"/>
              </w:rPr>
              <w:t>质量</w:t>
            </w:r>
            <w:r>
              <w:rPr>
                <w:rFonts w:hint="eastAsia" w:ascii="宋体" w:hAnsi="宋体" w:eastAsia="宋体" w:cs="宋体"/>
                <w:sz w:val="20"/>
                <w:szCs w:val="20"/>
                <w:lang w:bidi="ar"/>
              </w:rPr>
              <w:t>指标</w:t>
            </w:r>
          </w:p>
        </w:tc>
        <w:tc>
          <w:tcPr>
            <w:tcW w:w="255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2型糖尿病患者基层规范管理服务率</w:t>
            </w:r>
          </w:p>
        </w:tc>
        <w:tc>
          <w:tcPr>
            <w:tcW w:w="20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≥73%</w:t>
            </w:r>
          </w:p>
        </w:tc>
        <w:tc>
          <w:tcPr>
            <w:tcW w:w="17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73.00%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3" w:hRule="atLeast"/>
          <w:jc w:val="center"/>
        </w:trPr>
        <w:tc>
          <w:tcPr>
            <w:tcW w:w="9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bidi="ar"/>
              </w:rPr>
            </w:pPr>
            <w:r>
              <w:rPr>
                <w:rFonts w:hint="eastAsia" w:ascii="宋体" w:hAnsi="宋体" w:eastAsia="宋体" w:cs="宋体"/>
                <w:sz w:val="20"/>
                <w:szCs w:val="20"/>
                <w:lang w:bidi="ar"/>
              </w:rPr>
              <w:t>5</w:t>
            </w:r>
          </w:p>
        </w:tc>
        <w:tc>
          <w:tcPr>
            <w:tcW w:w="11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eastAsia="zh-Hans" w:bidi="ar"/>
              </w:rPr>
              <w:t>质量</w:t>
            </w:r>
            <w:r>
              <w:rPr>
                <w:rFonts w:hint="eastAsia" w:ascii="宋体" w:hAnsi="宋体" w:eastAsia="宋体" w:cs="宋体"/>
                <w:sz w:val="20"/>
                <w:szCs w:val="20"/>
                <w:lang w:bidi="ar"/>
              </w:rPr>
              <w:t>指标</w:t>
            </w:r>
          </w:p>
        </w:tc>
        <w:tc>
          <w:tcPr>
            <w:tcW w:w="255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高血压患者基层规范管理服务率</w:t>
            </w:r>
          </w:p>
        </w:tc>
        <w:tc>
          <w:tcPr>
            <w:tcW w:w="20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≥73%</w:t>
            </w:r>
          </w:p>
        </w:tc>
        <w:tc>
          <w:tcPr>
            <w:tcW w:w="17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73.00%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9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bidi="ar"/>
              </w:rPr>
            </w:pPr>
            <w:r>
              <w:rPr>
                <w:rFonts w:hint="eastAsia" w:ascii="宋体" w:hAnsi="宋体" w:eastAsia="宋体" w:cs="宋体"/>
                <w:sz w:val="20"/>
                <w:szCs w:val="20"/>
                <w:lang w:bidi="ar"/>
              </w:rPr>
              <w:t>6</w:t>
            </w:r>
          </w:p>
        </w:tc>
        <w:tc>
          <w:tcPr>
            <w:tcW w:w="11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0"/>
                <w:szCs w:val="20"/>
                <w:lang w:eastAsia="zh-Hans" w:bidi="ar"/>
              </w:rPr>
            </w:pPr>
            <w:r>
              <w:rPr>
                <w:rFonts w:hint="eastAsia" w:ascii="宋体" w:hAnsi="宋体" w:eastAsia="宋体" w:cs="宋体"/>
                <w:sz w:val="20"/>
                <w:szCs w:val="20"/>
                <w:lang w:eastAsia="zh-Hans" w:bidi="ar"/>
              </w:rPr>
              <w:t>质量</w:t>
            </w:r>
            <w:r>
              <w:rPr>
                <w:rFonts w:hint="eastAsia" w:ascii="宋体" w:hAnsi="宋体" w:eastAsia="宋体" w:cs="宋体"/>
                <w:sz w:val="20"/>
                <w:szCs w:val="20"/>
                <w:lang w:bidi="ar"/>
              </w:rPr>
              <w:t>指标</w:t>
            </w:r>
          </w:p>
        </w:tc>
        <w:tc>
          <w:tcPr>
            <w:tcW w:w="255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居民规范化电子健康档案覆盖率</w:t>
            </w:r>
          </w:p>
        </w:tc>
        <w:tc>
          <w:tcPr>
            <w:tcW w:w="20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≥61%</w:t>
            </w:r>
          </w:p>
        </w:tc>
        <w:tc>
          <w:tcPr>
            <w:tcW w:w="173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sz w:val="20"/>
                <w:szCs w:val="20"/>
                <w:lang w:bidi="ar"/>
              </w:rPr>
            </w:pPr>
            <w:r>
              <w:rPr>
                <w:rFonts w:hint="eastAsia" w:ascii="宋体" w:hAnsi="宋体" w:eastAsia="宋体" w:cs="宋体"/>
                <w:i w:val="0"/>
                <w:iCs w:val="0"/>
                <w:snapToGrid w:val="0"/>
                <w:color w:val="000000"/>
                <w:kern w:val="0"/>
                <w:sz w:val="20"/>
                <w:szCs w:val="20"/>
                <w:u w:val="none"/>
                <w:lang w:val="en-US" w:eastAsia="zh-CN" w:bidi="ar"/>
              </w:rPr>
              <w:t>61.00%</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b w:val="0"/>
          <w:bCs/>
          <w:sz w:val="32"/>
          <w:szCs w:val="32"/>
          <w:lang w:eastAsia="zh-Hans"/>
        </w:rPr>
      </w:pPr>
      <w:r>
        <w:rPr>
          <w:rFonts w:hint="eastAsia" w:ascii="仿宋_GB2312" w:hAnsi="仿宋_GB2312" w:eastAsia="仿宋_GB2312" w:cs="仿宋_GB2312"/>
          <w:b w:val="0"/>
          <w:bCs/>
          <w:sz w:val="32"/>
          <w:szCs w:val="32"/>
          <w:lang w:eastAsia="zh-Hans"/>
        </w:rPr>
        <w:t>2.效益指标完成情况分析</w:t>
      </w:r>
    </w:p>
    <w:p>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firstLine="640" w:firstLineChars="200"/>
        <w:textAlignment w:val="baseline"/>
        <w:rPr>
          <w:rFonts w:ascii="仿宋_GB2312" w:hAnsi="仿宋" w:eastAsia="仿宋_GB2312"/>
          <w:sz w:val="32"/>
          <w:szCs w:val="32"/>
          <w:lang w:bidi="ar"/>
        </w:rPr>
      </w:pPr>
      <w:r>
        <w:rPr>
          <w:rFonts w:hint="eastAsia" w:ascii="仿宋_GB2312" w:hAnsi="仿宋" w:eastAsia="仿宋_GB2312"/>
          <w:sz w:val="32"/>
          <w:szCs w:val="32"/>
          <w:lang w:bidi="ar"/>
        </w:rPr>
        <w:t>（1）社会效益指标</w:t>
      </w:r>
    </w:p>
    <w:p>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firstLine="640" w:firstLineChars="200"/>
        <w:textAlignment w:val="baseline"/>
        <w:rPr>
          <w:rFonts w:ascii="仿宋_GB2312" w:hAnsi="仿宋" w:eastAsia="仿宋_GB2312"/>
          <w:sz w:val="32"/>
          <w:szCs w:val="32"/>
          <w:lang w:eastAsia="zh-Hans" w:bidi="ar"/>
        </w:rPr>
      </w:pPr>
      <w:r>
        <w:rPr>
          <w:rFonts w:hint="eastAsia" w:ascii="仿宋_GB2312" w:hAnsi="仿宋" w:eastAsia="仿宋_GB2312"/>
          <w:sz w:val="32"/>
          <w:szCs w:val="32"/>
          <w:lang w:bidi="ar"/>
        </w:rPr>
        <w:t>2022年北京市中央转移支付基本公共卫生服务补助资金项目设定的社会</w:t>
      </w:r>
      <w:r>
        <w:rPr>
          <w:rFonts w:hint="eastAsia" w:ascii="仿宋_GB2312" w:hAnsi="仿宋" w:eastAsia="仿宋_GB2312"/>
          <w:sz w:val="32"/>
          <w:szCs w:val="32"/>
          <w:lang w:eastAsia="zh-Hans" w:bidi="ar"/>
        </w:rPr>
        <w:t>效益</w:t>
      </w:r>
      <w:r>
        <w:rPr>
          <w:rFonts w:hint="eastAsia" w:ascii="仿宋_GB2312" w:hAnsi="仿宋" w:eastAsia="仿宋_GB2312"/>
          <w:sz w:val="32"/>
          <w:szCs w:val="32"/>
          <w:lang w:bidi="ar"/>
        </w:rPr>
        <w:t>指标共</w:t>
      </w:r>
      <w:r>
        <w:rPr>
          <w:rFonts w:hint="eastAsia" w:ascii="仿宋_GB2312" w:hAnsi="仿宋" w:eastAsia="仿宋_GB2312"/>
          <w:sz w:val="32"/>
          <w:szCs w:val="32"/>
          <w:lang w:val="en-US" w:eastAsia="zh-CN" w:bidi="ar"/>
        </w:rPr>
        <w:t>3</w:t>
      </w:r>
      <w:r>
        <w:rPr>
          <w:rFonts w:hint="eastAsia" w:ascii="仿宋_GB2312" w:hAnsi="仿宋" w:eastAsia="仿宋_GB2312"/>
          <w:sz w:val="32"/>
          <w:szCs w:val="32"/>
          <w:lang w:bidi="ar"/>
        </w:rPr>
        <w:t>项，指标均已完成</w:t>
      </w:r>
      <w:r>
        <w:rPr>
          <w:rFonts w:hint="eastAsia" w:ascii="仿宋_GB2312" w:hAnsi="仿宋" w:eastAsia="仿宋_GB2312"/>
          <w:sz w:val="32"/>
          <w:szCs w:val="32"/>
          <w:lang w:eastAsia="zh-Hans" w:bidi="ar"/>
        </w:rPr>
        <w:t>，具体情况如下表</w:t>
      </w:r>
      <w:r>
        <w:rPr>
          <w:rFonts w:hint="eastAsia" w:ascii="仿宋_GB2312" w:hAnsi="仿宋" w:eastAsia="仿宋_GB2312"/>
          <w:sz w:val="32"/>
          <w:szCs w:val="32"/>
          <w:lang w:val="en-US" w:eastAsia="zh-CN" w:bidi="ar"/>
        </w:rPr>
        <w:t>3</w:t>
      </w:r>
      <w:r>
        <w:rPr>
          <w:rFonts w:hint="eastAsia" w:ascii="仿宋_GB2312" w:hAnsi="仿宋" w:eastAsia="仿宋_GB2312"/>
          <w:sz w:val="32"/>
          <w:szCs w:val="32"/>
          <w:lang w:eastAsia="zh-Hans" w:bidi="ar"/>
        </w:rPr>
        <w:t>：</w:t>
      </w:r>
    </w:p>
    <w:p>
      <w:pPr>
        <w:pStyle w:val="4"/>
        <w:widowControl w:val="0"/>
        <w:kinsoku/>
        <w:autoSpaceDE/>
        <w:autoSpaceDN/>
        <w:adjustRightInd/>
        <w:snapToGrid/>
        <w:spacing w:after="0" w:line="240" w:lineRule="auto"/>
        <w:jc w:val="center"/>
        <w:textAlignment w:val="auto"/>
        <w:rPr>
          <w:rFonts w:ascii="仿宋_GB2312" w:hAnsi="仿宋" w:eastAsia="仿宋_GB2312"/>
          <w:sz w:val="32"/>
          <w:szCs w:val="32"/>
          <w:lang w:eastAsia="zh-Hans" w:bidi="ar"/>
        </w:rPr>
      </w:pPr>
      <w:r>
        <w:rPr>
          <w:rFonts w:hint="eastAsia" w:ascii="仿宋_GB2312" w:hAnsi="仿宋_GB2312" w:eastAsia="仿宋_GB2312" w:cs="仿宋_GB2312"/>
          <w:snapToGrid/>
          <w:kern w:val="2"/>
          <w:sz w:val="28"/>
          <w:szCs w:val="28"/>
        </w:rPr>
        <w:t>表</w:t>
      </w:r>
      <w:r>
        <w:rPr>
          <w:rFonts w:hint="eastAsia" w:ascii="仿宋_GB2312" w:hAnsi="仿宋_GB2312" w:eastAsia="仿宋_GB2312" w:cs="仿宋_GB2312"/>
          <w:snapToGrid/>
          <w:kern w:val="2"/>
          <w:sz w:val="28"/>
          <w:szCs w:val="28"/>
          <w:lang w:val="en-US" w:eastAsia="zh-CN"/>
        </w:rPr>
        <w:t>3</w:t>
      </w:r>
      <w:r>
        <w:rPr>
          <w:rFonts w:hint="eastAsia" w:ascii="仿宋_GB2312" w:hAnsi="仿宋_GB2312" w:eastAsia="仿宋_GB2312" w:cs="仿宋_GB2312"/>
          <w:snapToGrid/>
          <w:kern w:val="2"/>
          <w:sz w:val="28"/>
          <w:szCs w:val="28"/>
        </w:rPr>
        <w:t>：社会效益指标完成情况表</w:t>
      </w:r>
    </w:p>
    <w:tbl>
      <w:tblPr>
        <w:tblStyle w:val="11"/>
        <w:tblW w:w="8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1444"/>
        <w:gridCol w:w="2513"/>
        <w:gridCol w:w="1984"/>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725"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lang w:bidi="ar"/>
              </w:rPr>
            </w:pPr>
            <w:r>
              <w:rPr>
                <w:rFonts w:hint="eastAsia" w:asciiTheme="minorEastAsia" w:hAnsiTheme="minorEastAsia" w:eastAsiaTheme="minorEastAsia" w:cstheme="minorEastAsia"/>
                <w:b/>
                <w:sz w:val="20"/>
                <w:szCs w:val="20"/>
                <w:lang w:bidi="ar"/>
              </w:rPr>
              <w:t>序号</w:t>
            </w:r>
          </w:p>
        </w:tc>
        <w:tc>
          <w:tcPr>
            <w:tcW w:w="1444"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lang w:bidi="ar"/>
              </w:rPr>
            </w:pPr>
            <w:r>
              <w:rPr>
                <w:rFonts w:hint="eastAsia" w:asciiTheme="minorEastAsia" w:hAnsiTheme="minorEastAsia" w:eastAsiaTheme="minorEastAsia" w:cstheme="minorEastAsia"/>
                <w:b/>
                <w:sz w:val="20"/>
                <w:szCs w:val="20"/>
                <w:lang w:bidi="ar"/>
              </w:rPr>
              <w:t>指标类型</w:t>
            </w:r>
          </w:p>
        </w:tc>
        <w:tc>
          <w:tcPr>
            <w:tcW w:w="2513"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lang w:bidi="ar"/>
              </w:rPr>
            </w:pPr>
            <w:r>
              <w:rPr>
                <w:rFonts w:hint="eastAsia" w:asciiTheme="minorEastAsia" w:hAnsiTheme="minorEastAsia" w:eastAsiaTheme="minorEastAsia" w:cstheme="minorEastAsia"/>
                <w:b/>
                <w:sz w:val="20"/>
                <w:szCs w:val="20"/>
                <w:lang w:bidi="ar"/>
              </w:rPr>
              <w:t>三级指标</w:t>
            </w:r>
          </w:p>
        </w:tc>
        <w:tc>
          <w:tcPr>
            <w:tcW w:w="1984"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lang w:bidi="ar"/>
              </w:rPr>
            </w:pPr>
            <w:r>
              <w:rPr>
                <w:rFonts w:hint="eastAsia" w:asciiTheme="minorEastAsia" w:hAnsiTheme="minorEastAsia" w:eastAsiaTheme="minorEastAsia" w:cstheme="minorEastAsia"/>
                <w:b/>
                <w:sz w:val="20"/>
                <w:szCs w:val="20"/>
                <w:lang w:bidi="ar"/>
              </w:rPr>
              <w:t>指标值</w:t>
            </w:r>
          </w:p>
        </w:tc>
        <w:tc>
          <w:tcPr>
            <w:tcW w:w="1633"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lang w:bidi="ar"/>
              </w:rPr>
            </w:pPr>
            <w:r>
              <w:rPr>
                <w:rFonts w:hint="eastAsia" w:asciiTheme="minorEastAsia" w:hAnsiTheme="minorEastAsia" w:eastAsiaTheme="minorEastAsia" w:cstheme="minorEastAsia"/>
                <w:b/>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25"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1</w:t>
            </w:r>
          </w:p>
        </w:tc>
        <w:tc>
          <w:tcPr>
            <w:tcW w:w="1444"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社会效益</w:t>
            </w:r>
            <w:r>
              <w:rPr>
                <w:rFonts w:hint="eastAsia" w:asciiTheme="minorEastAsia" w:hAnsiTheme="minorEastAsia" w:eastAsiaTheme="minorEastAsia" w:cstheme="minorEastAsia"/>
                <w:sz w:val="20"/>
                <w:szCs w:val="20"/>
                <w:lang w:eastAsia="zh-Hans" w:bidi="ar"/>
              </w:rPr>
              <w:t>指标</w:t>
            </w:r>
          </w:p>
        </w:tc>
        <w:tc>
          <w:tcPr>
            <w:tcW w:w="25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inorEastAsia" w:hAnsiTheme="minorEastAsia" w:eastAsiaTheme="minorEastAsia" w:cstheme="min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职业病防治社会知晓率</w:t>
            </w:r>
          </w:p>
        </w:tc>
        <w:tc>
          <w:tcPr>
            <w:tcW w:w="19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inorEastAsia" w:hAnsiTheme="minorEastAsia" w:eastAsiaTheme="minorEastAsia" w:cstheme="minorEastAsia"/>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较上一年提高</w:t>
            </w:r>
          </w:p>
        </w:tc>
        <w:tc>
          <w:tcPr>
            <w:tcW w:w="16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inorEastAsia" w:hAnsiTheme="minorEastAsia" w:eastAsiaTheme="minorEastAsia" w:cstheme="minorEastAsia"/>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较上一年提高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25"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2</w:t>
            </w:r>
          </w:p>
        </w:tc>
        <w:tc>
          <w:tcPr>
            <w:tcW w:w="1444"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bidi="ar"/>
              </w:rPr>
              <w:t>社会效益</w:t>
            </w:r>
            <w:r>
              <w:rPr>
                <w:rFonts w:hint="eastAsia" w:asciiTheme="minorEastAsia" w:hAnsiTheme="minorEastAsia" w:eastAsiaTheme="minorEastAsia" w:cstheme="minorEastAsia"/>
                <w:sz w:val="20"/>
                <w:szCs w:val="20"/>
                <w:lang w:eastAsia="zh-Hans" w:bidi="ar"/>
              </w:rPr>
              <w:t>指标</w:t>
            </w:r>
          </w:p>
        </w:tc>
        <w:tc>
          <w:tcPr>
            <w:tcW w:w="25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inorEastAsia" w:hAnsiTheme="minorEastAsia" w:eastAsiaTheme="minorEastAsia" w:cstheme="min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城乡居民公共卫生差距</w:t>
            </w:r>
          </w:p>
        </w:tc>
        <w:tc>
          <w:tcPr>
            <w:tcW w:w="19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inorEastAsia" w:hAnsiTheme="minorEastAsia" w:eastAsiaTheme="minorEastAsia" w:cstheme="minorEastAsia"/>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不断缩小</w:t>
            </w:r>
          </w:p>
        </w:tc>
        <w:tc>
          <w:tcPr>
            <w:tcW w:w="16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inorEastAsia" w:hAnsiTheme="minorEastAsia" w:eastAsiaTheme="minorEastAsia" w:cstheme="minorEastAsia"/>
                <w:sz w:val="20"/>
                <w:szCs w:val="20"/>
                <w:lang w:eastAsia="zh-Hans" w:bidi="ar"/>
              </w:rPr>
            </w:pPr>
            <w:r>
              <w:rPr>
                <w:rFonts w:hint="eastAsia" w:ascii="宋体" w:hAnsi="宋体" w:eastAsia="宋体" w:cs="宋体"/>
                <w:i w:val="0"/>
                <w:iCs w:val="0"/>
                <w:snapToGrid w:val="0"/>
                <w:color w:val="000000"/>
                <w:kern w:val="0"/>
                <w:sz w:val="20"/>
                <w:szCs w:val="20"/>
                <w:u w:val="none"/>
                <w:lang w:val="en-US" w:eastAsia="zh-CN" w:bidi="ar"/>
              </w:rPr>
              <w:t>不断缩小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atLeast"/>
          <w:jc w:val="center"/>
        </w:trPr>
        <w:tc>
          <w:tcPr>
            <w:tcW w:w="725"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3</w:t>
            </w:r>
          </w:p>
        </w:tc>
        <w:tc>
          <w:tcPr>
            <w:tcW w:w="1444"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bidi="ar"/>
              </w:rPr>
              <w:t>社会效益</w:t>
            </w:r>
            <w:r>
              <w:rPr>
                <w:rFonts w:hint="eastAsia" w:asciiTheme="minorEastAsia" w:hAnsiTheme="minorEastAsia" w:eastAsiaTheme="minorEastAsia" w:cstheme="minorEastAsia"/>
                <w:sz w:val="20"/>
                <w:szCs w:val="20"/>
                <w:lang w:eastAsia="zh-Hans" w:bidi="ar"/>
              </w:rPr>
              <w:t>指标</w:t>
            </w:r>
          </w:p>
        </w:tc>
        <w:tc>
          <w:tcPr>
            <w:tcW w:w="25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inorEastAsia" w:hAnsiTheme="minorEastAsia" w:eastAsiaTheme="minorEastAsia" w:cstheme="min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居民健康素养水平</w:t>
            </w:r>
          </w:p>
        </w:tc>
        <w:tc>
          <w:tcPr>
            <w:tcW w:w="19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inorEastAsia" w:hAnsiTheme="minorEastAsia" w:eastAsiaTheme="minorEastAsia" w:cstheme="min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不断提高</w:t>
            </w:r>
          </w:p>
        </w:tc>
        <w:tc>
          <w:tcPr>
            <w:tcW w:w="16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inorEastAsia" w:hAnsiTheme="minorEastAsia" w:eastAsiaTheme="minorEastAsia" w:cstheme="minorEastAsia"/>
                <w:sz w:val="20"/>
                <w:szCs w:val="20"/>
                <w:lang w:bidi="ar"/>
              </w:rPr>
            </w:pPr>
            <w:r>
              <w:rPr>
                <w:rFonts w:hint="eastAsia" w:ascii="宋体" w:hAnsi="宋体" w:eastAsia="宋体" w:cs="宋体"/>
                <w:i w:val="0"/>
                <w:iCs w:val="0"/>
                <w:snapToGrid w:val="0"/>
                <w:color w:val="000000"/>
                <w:kern w:val="0"/>
                <w:sz w:val="20"/>
                <w:szCs w:val="20"/>
                <w:u w:val="none"/>
                <w:lang w:val="en-US" w:eastAsia="zh-CN" w:bidi="ar"/>
              </w:rPr>
              <w:t>不断提高</w:t>
            </w:r>
          </w:p>
        </w:tc>
      </w:tr>
    </w:tbl>
    <w:p>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firstLine="640" w:firstLineChars="200"/>
        <w:textAlignment w:val="baseline"/>
        <w:rPr>
          <w:rFonts w:ascii="仿宋_GB2312" w:hAnsi="仿宋" w:eastAsia="仿宋_GB2312"/>
          <w:sz w:val="32"/>
          <w:szCs w:val="32"/>
          <w:lang w:bidi="ar"/>
        </w:rPr>
      </w:pPr>
      <w:r>
        <w:rPr>
          <w:rFonts w:hint="eastAsia" w:ascii="仿宋_GB2312" w:hAnsi="仿宋" w:eastAsia="仿宋_GB2312"/>
          <w:sz w:val="32"/>
          <w:szCs w:val="32"/>
          <w:lang w:bidi="ar"/>
        </w:rPr>
        <w:t>（2）可持续影响效益指标</w:t>
      </w: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_GB2312" w:hAnsi="仿宋" w:eastAsia="仿宋_GB2312"/>
          <w:sz w:val="32"/>
          <w:szCs w:val="32"/>
          <w:lang w:eastAsia="zh-Hans" w:bidi="ar"/>
        </w:rPr>
      </w:pPr>
      <w:r>
        <w:rPr>
          <w:rFonts w:hint="eastAsia" w:ascii="仿宋_GB2312" w:hAnsi="仿宋" w:eastAsia="仿宋_GB2312"/>
          <w:sz w:val="32"/>
          <w:szCs w:val="32"/>
          <w:lang w:bidi="ar"/>
        </w:rPr>
        <w:t>2022年北京市中央转移支付基本公共卫生服务补助资金项目设定的可持续影响</w:t>
      </w:r>
      <w:r>
        <w:rPr>
          <w:rFonts w:hint="eastAsia" w:ascii="仿宋_GB2312" w:hAnsi="仿宋" w:eastAsia="仿宋_GB2312"/>
          <w:sz w:val="32"/>
          <w:szCs w:val="32"/>
          <w:lang w:eastAsia="zh-Hans" w:bidi="ar"/>
        </w:rPr>
        <w:t>效益</w:t>
      </w:r>
      <w:r>
        <w:rPr>
          <w:rFonts w:hint="eastAsia" w:ascii="仿宋_GB2312" w:hAnsi="仿宋" w:eastAsia="仿宋_GB2312"/>
          <w:sz w:val="32"/>
          <w:szCs w:val="32"/>
          <w:lang w:bidi="ar"/>
        </w:rPr>
        <w:t>指标共</w:t>
      </w:r>
      <w:r>
        <w:rPr>
          <w:rFonts w:hint="eastAsia" w:ascii="仿宋_GB2312" w:hAnsi="仿宋" w:eastAsia="仿宋_GB2312"/>
          <w:sz w:val="32"/>
          <w:szCs w:val="32"/>
          <w:lang w:val="en-US" w:eastAsia="zh-CN" w:bidi="ar"/>
        </w:rPr>
        <w:t>1</w:t>
      </w:r>
      <w:r>
        <w:rPr>
          <w:rFonts w:hint="eastAsia" w:ascii="仿宋_GB2312" w:hAnsi="仿宋" w:eastAsia="仿宋_GB2312"/>
          <w:sz w:val="32"/>
          <w:szCs w:val="32"/>
          <w:lang w:bidi="ar"/>
        </w:rPr>
        <w:t>项，均已完成</w:t>
      </w:r>
      <w:r>
        <w:rPr>
          <w:rFonts w:hint="eastAsia" w:ascii="仿宋_GB2312" w:hAnsi="仿宋" w:eastAsia="仿宋_GB2312"/>
          <w:sz w:val="32"/>
          <w:szCs w:val="32"/>
          <w:lang w:eastAsia="zh-Hans" w:bidi="ar"/>
        </w:rPr>
        <w:t>，具体情况如下表</w:t>
      </w:r>
      <w:r>
        <w:rPr>
          <w:rFonts w:hint="eastAsia" w:ascii="仿宋_GB2312" w:hAnsi="仿宋" w:eastAsia="仿宋_GB2312"/>
          <w:sz w:val="32"/>
          <w:szCs w:val="32"/>
          <w:lang w:val="en-US" w:eastAsia="zh-CN" w:bidi="ar"/>
        </w:rPr>
        <w:t>4</w:t>
      </w:r>
      <w:r>
        <w:rPr>
          <w:rFonts w:hint="eastAsia" w:ascii="仿宋_GB2312" w:hAnsi="仿宋" w:eastAsia="仿宋_GB2312"/>
          <w:sz w:val="32"/>
          <w:szCs w:val="32"/>
          <w:lang w:eastAsia="zh-Hans" w:bidi="ar"/>
        </w:rPr>
        <w:t>：</w:t>
      </w:r>
    </w:p>
    <w:p>
      <w:pPr>
        <w:pStyle w:val="4"/>
        <w:widowControl w:val="0"/>
        <w:kinsoku/>
        <w:autoSpaceDE/>
        <w:autoSpaceDN/>
        <w:adjustRightInd/>
        <w:snapToGrid/>
        <w:spacing w:after="0" w:line="240" w:lineRule="auto"/>
        <w:jc w:val="center"/>
        <w:textAlignment w:val="auto"/>
        <w:rPr>
          <w:rFonts w:ascii="仿宋_GB2312" w:hAnsi="仿宋" w:eastAsia="仿宋_GB2312"/>
          <w:sz w:val="32"/>
          <w:szCs w:val="32"/>
          <w:lang w:eastAsia="zh-Hans" w:bidi="ar"/>
        </w:rPr>
      </w:pPr>
      <w:r>
        <w:rPr>
          <w:rFonts w:hint="eastAsia" w:ascii="仿宋_GB2312" w:hAnsi="仿宋_GB2312" w:eastAsia="仿宋_GB2312" w:cs="仿宋_GB2312"/>
          <w:snapToGrid/>
          <w:kern w:val="2"/>
          <w:sz w:val="28"/>
          <w:szCs w:val="28"/>
        </w:rPr>
        <w:t>表</w:t>
      </w:r>
      <w:r>
        <w:rPr>
          <w:rFonts w:hint="eastAsia" w:ascii="仿宋_GB2312" w:hAnsi="仿宋_GB2312" w:eastAsia="仿宋_GB2312" w:cs="仿宋_GB2312"/>
          <w:snapToGrid/>
          <w:kern w:val="2"/>
          <w:sz w:val="28"/>
          <w:szCs w:val="28"/>
          <w:lang w:val="en-US" w:eastAsia="zh-CN"/>
        </w:rPr>
        <w:t>4</w:t>
      </w:r>
      <w:r>
        <w:rPr>
          <w:rFonts w:hint="eastAsia" w:ascii="仿宋_GB2312" w:hAnsi="仿宋_GB2312" w:eastAsia="仿宋_GB2312" w:cs="仿宋_GB2312"/>
          <w:snapToGrid/>
          <w:kern w:val="2"/>
          <w:sz w:val="28"/>
          <w:szCs w:val="28"/>
        </w:rPr>
        <w:t>：可持续影响效益指标完成情况表</w:t>
      </w:r>
    </w:p>
    <w:tbl>
      <w:tblPr>
        <w:tblStyle w:val="11"/>
        <w:tblW w:w="84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1301"/>
        <w:gridCol w:w="2768"/>
        <w:gridCol w:w="1794"/>
        <w:gridCol w:w="1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blHeader/>
          <w:jc w:val="center"/>
        </w:trPr>
        <w:tc>
          <w:tcPr>
            <w:tcW w:w="788"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lang w:bidi="ar"/>
              </w:rPr>
              <w:t>序号</w:t>
            </w:r>
          </w:p>
        </w:tc>
        <w:tc>
          <w:tcPr>
            <w:tcW w:w="1301"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lang w:bidi="ar"/>
              </w:rPr>
              <w:t>指标类型</w:t>
            </w:r>
          </w:p>
        </w:tc>
        <w:tc>
          <w:tcPr>
            <w:tcW w:w="2768"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lang w:bidi="ar"/>
              </w:rPr>
              <w:t>三级指标</w:t>
            </w:r>
          </w:p>
        </w:tc>
        <w:tc>
          <w:tcPr>
            <w:tcW w:w="1794"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lang w:bidi="ar"/>
              </w:rPr>
              <w:t>指标值</w:t>
            </w:r>
          </w:p>
        </w:tc>
        <w:tc>
          <w:tcPr>
            <w:tcW w:w="1795"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8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rPr>
            </w:pPr>
            <w:r>
              <w:rPr>
                <w:rFonts w:hint="eastAsia" w:asciiTheme="minorEastAsia" w:hAnsiTheme="minorEastAsia" w:eastAsiaTheme="minorEastAsia" w:cstheme="minorEastAsia"/>
                <w:sz w:val="20"/>
                <w:szCs w:val="20"/>
                <w:lang w:bidi="ar"/>
              </w:rPr>
              <w:t>1</w:t>
            </w:r>
          </w:p>
        </w:tc>
        <w:tc>
          <w:tcPr>
            <w:tcW w:w="1301"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Hans" w:bidi="ar"/>
              </w:rPr>
              <w:t>可持续影响指标</w:t>
            </w:r>
          </w:p>
        </w:tc>
        <w:tc>
          <w:tcPr>
            <w:tcW w:w="276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rPr>
            </w:pPr>
            <w:r>
              <w:rPr>
                <w:rFonts w:hint="eastAsia" w:ascii="宋体" w:hAnsi="宋体" w:eastAsia="宋体" w:cs="宋体"/>
                <w:sz w:val="20"/>
                <w:szCs w:val="20"/>
                <w:lang w:bidi="ar"/>
              </w:rPr>
              <w:t>基本公共卫生服务水平</w:t>
            </w:r>
          </w:p>
        </w:tc>
        <w:tc>
          <w:tcPr>
            <w:tcW w:w="179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eastAsia="zh-Hans"/>
              </w:rPr>
            </w:pPr>
            <w:r>
              <w:rPr>
                <w:rFonts w:hint="eastAsia" w:ascii="宋体" w:hAnsi="宋体" w:eastAsia="宋体" w:cs="宋体"/>
                <w:sz w:val="20"/>
                <w:szCs w:val="20"/>
                <w:lang w:bidi="ar"/>
              </w:rPr>
              <w:t>不断提高</w:t>
            </w:r>
          </w:p>
        </w:tc>
        <w:tc>
          <w:tcPr>
            <w:tcW w:w="1795"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eastAsia="zh-Hans"/>
              </w:rPr>
            </w:pPr>
            <w:r>
              <w:rPr>
                <w:rFonts w:hint="eastAsia" w:ascii="宋体" w:hAnsi="宋体" w:eastAsia="宋体" w:cs="宋体"/>
                <w:sz w:val="20"/>
                <w:szCs w:val="20"/>
                <w:lang w:bidi="ar"/>
              </w:rPr>
              <w:t>不断提高</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b w:val="0"/>
          <w:bCs/>
          <w:sz w:val="32"/>
          <w:szCs w:val="32"/>
          <w:lang w:eastAsia="zh-Hans"/>
        </w:rPr>
      </w:pPr>
      <w:r>
        <w:rPr>
          <w:rFonts w:hint="eastAsia" w:ascii="仿宋_GB2312" w:hAnsi="仿宋_GB2312" w:eastAsia="仿宋_GB2312" w:cs="仿宋_GB2312"/>
          <w:b w:val="0"/>
          <w:bCs/>
          <w:sz w:val="32"/>
          <w:szCs w:val="32"/>
        </w:rPr>
        <w:t>3</w:t>
      </w:r>
      <w:r>
        <w:rPr>
          <w:rFonts w:hint="eastAsia" w:ascii="仿宋_GB2312" w:hAnsi="仿宋_GB2312" w:eastAsia="仿宋_GB2312" w:cs="仿宋_GB2312"/>
          <w:b w:val="0"/>
          <w:bCs/>
          <w:sz w:val="32"/>
          <w:szCs w:val="32"/>
          <w:lang w:eastAsia="zh-Hans"/>
        </w:rPr>
        <w:t>.</w:t>
      </w:r>
      <w:r>
        <w:rPr>
          <w:rFonts w:hint="eastAsia" w:ascii="仿宋_GB2312" w:hAnsi="仿宋_GB2312" w:eastAsia="仿宋_GB2312" w:cs="仿宋_GB2312"/>
          <w:b w:val="0"/>
          <w:bCs/>
          <w:sz w:val="32"/>
          <w:szCs w:val="32"/>
        </w:rPr>
        <w:t>服务对象满意度</w:t>
      </w:r>
      <w:r>
        <w:rPr>
          <w:rFonts w:hint="eastAsia" w:ascii="仿宋_GB2312" w:hAnsi="仿宋_GB2312" w:eastAsia="仿宋_GB2312" w:cs="仿宋_GB2312"/>
          <w:b w:val="0"/>
          <w:bCs/>
          <w:sz w:val="32"/>
          <w:szCs w:val="32"/>
          <w:lang w:eastAsia="zh-Hans"/>
        </w:rPr>
        <w:t>指标完成情况分析</w:t>
      </w: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_GB2312" w:hAnsi="仿宋" w:eastAsia="仿宋_GB2312"/>
          <w:sz w:val="32"/>
          <w:szCs w:val="32"/>
          <w:lang w:eastAsia="zh-Hans" w:bidi="ar"/>
        </w:rPr>
      </w:pPr>
      <w:r>
        <w:rPr>
          <w:rFonts w:hint="eastAsia" w:ascii="仿宋_GB2312" w:hAnsi="仿宋" w:eastAsia="仿宋_GB2312"/>
          <w:sz w:val="32"/>
          <w:szCs w:val="32"/>
          <w:lang w:bidi="ar"/>
        </w:rPr>
        <w:t>2022年北京市中央转移支付基本公共卫生服务补助资金项目设定的</w:t>
      </w:r>
      <w:r>
        <w:rPr>
          <w:rFonts w:hint="eastAsia" w:ascii="仿宋_GB2312" w:hAnsi="仿宋_GB2312" w:eastAsia="仿宋_GB2312" w:cs="仿宋_GB2312"/>
          <w:bCs/>
          <w:sz w:val="32"/>
          <w:szCs w:val="32"/>
        </w:rPr>
        <w:t>服务对象满意度指标</w:t>
      </w:r>
      <w:r>
        <w:rPr>
          <w:rFonts w:hint="eastAsia" w:ascii="仿宋_GB2312" w:hAnsi="仿宋" w:eastAsia="仿宋_GB2312"/>
          <w:sz w:val="32"/>
          <w:szCs w:val="32"/>
          <w:lang w:bidi="ar"/>
        </w:rPr>
        <w:t>共3项，指标均已完成</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具体情况如下表</w:t>
      </w:r>
      <w:r>
        <w:rPr>
          <w:rFonts w:hint="eastAsia" w:ascii="仿宋_GB2312" w:hAnsi="仿宋" w:eastAsia="仿宋_GB2312"/>
          <w:sz w:val="32"/>
          <w:szCs w:val="32"/>
          <w:lang w:val="en-US" w:eastAsia="zh-CN" w:bidi="ar"/>
        </w:rPr>
        <w:t>5</w:t>
      </w:r>
      <w:r>
        <w:rPr>
          <w:rFonts w:ascii="仿宋_GB2312" w:hAnsi="仿宋" w:eastAsia="仿宋_GB2312"/>
          <w:sz w:val="32"/>
          <w:szCs w:val="32"/>
          <w:lang w:eastAsia="zh-Hans" w:bidi="ar"/>
        </w:rPr>
        <w:t>：</w:t>
      </w:r>
    </w:p>
    <w:p>
      <w:pPr>
        <w:pStyle w:val="4"/>
        <w:widowControl w:val="0"/>
        <w:kinsoku/>
        <w:autoSpaceDE/>
        <w:autoSpaceDN/>
        <w:adjustRightInd/>
        <w:snapToGrid/>
        <w:spacing w:after="0" w:line="240" w:lineRule="auto"/>
        <w:jc w:val="center"/>
        <w:textAlignment w:val="auto"/>
        <w:rPr>
          <w:rFonts w:ascii="仿宋_GB2312" w:hAnsi="仿宋" w:eastAsia="仿宋_GB2312"/>
          <w:sz w:val="32"/>
          <w:szCs w:val="32"/>
          <w:lang w:eastAsia="zh-Hans" w:bidi="ar"/>
        </w:rPr>
      </w:pPr>
      <w:r>
        <w:rPr>
          <w:rFonts w:hint="eastAsia" w:ascii="仿宋_GB2312" w:hAnsi="仿宋_GB2312" w:eastAsia="仿宋_GB2312" w:cs="仿宋_GB2312"/>
          <w:snapToGrid/>
          <w:kern w:val="2"/>
          <w:sz w:val="28"/>
          <w:szCs w:val="28"/>
        </w:rPr>
        <w:t>表</w:t>
      </w:r>
      <w:r>
        <w:rPr>
          <w:rFonts w:hint="eastAsia" w:ascii="仿宋_GB2312" w:hAnsi="仿宋_GB2312" w:eastAsia="仿宋_GB2312" w:cs="仿宋_GB2312"/>
          <w:snapToGrid/>
          <w:kern w:val="2"/>
          <w:sz w:val="28"/>
          <w:szCs w:val="28"/>
          <w:lang w:val="en-US" w:eastAsia="zh-CN"/>
        </w:rPr>
        <w:t>5</w:t>
      </w:r>
      <w:r>
        <w:rPr>
          <w:rFonts w:hint="eastAsia" w:ascii="仿宋_GB2312" w:hAnsi="仿宋_GB2312" w:eastAsia="仿宋_GB2312" w:cs="仿宋_GB2312"/>
          <w:snapToGrid/>
          <w:kern w:val="2"/>
          <w:sz w:val="28"/>
          <w:szCs w:val="28"/>
        </w:rPr>
        <w:t>：服务对象满意度指标完成情况表</w:t>
      </w:r>
    </w:p>
    <w:tbl>
      <w:tblPr>
        <w:tblStyle w:val="11"/>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1329"/>
        <w:gridCol w:w="2734"/>
        <w:gridCol w:w="1841"/>
        <w:gridCol w:w="1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780"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序号</w:t>
            </w:r>
          </w:p>
        </w:tc>
        <w:tc>
          <w:tcPr>
            <w:tcW w:w="1329"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指标类型</w:t>
            </w:r>
          </w:p>
        </w:tc>
        <w:tc>
          <w:tcPr>
            <w:tcW w:w="2734"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三级指标</w:t>
            </w:r>
          </w:p>
        </w:tc>
        <w:tc>
          <w:tcPr>
            <w:tcW w:w="1841"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指标值</w:t>
            </w:r>
          </w:p>
        </w:tc>
        <w:tc>
          <w:tcPr>
            <w:tcW w:w="1776"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rPr>
            </w:pPr>
            <w:r>
              <w:rPr>
                <w:rFonts w:hint="eastAsia" w:asciiTheme="minorEastAsia" w:hAnsiTheme="minorEastAsia" w:eastAsiaTheme="minorEastAsia" w:cstheme="minorEastAsia"/>
                <w:sz w:val="20"/>
                <w:szCs w:val="20"/>
                <w:lang w:eastAsia="zh-Hans"/>
              </w:rPr>
              <w:t>1</w:t>
            </w:r>
          </w:p>
        </w:tc>
        <w:tc>
          <w:tcPr>
            <w:tcW w:w="132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rPr>
            </w:pPr>
            <w:r>
              <w:rPr>
                <w:rFonts w:hint="eastAsia" w:asciiTheme="minorEastAsia" w:hAnsiTheme="minorEastAsia" w:eastAsiaTheme="minorEastAsia" w:cstheme="minorEastAsia"/>
                <w:sz w:val="20"/>
                <w:szCs w:val="20"/>
                <w:lang w:eastAsia="zh-Hans"/>
              </w:rPr>
              <w:t>服务对象满意度指标</w:t>
            </w:r>
          </w:p>
        </w:tc>
        <w:tc>
          <w:tcPr>
            <w:tcW w:w="27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inorEastAsia" w:hAnsiTheme="minorEastAsia" w:eastAsiaTheme="minorEastAsia" w:cstheme="minorEastAsia"/>
                <w:sz w:val="20"/>
                <w:szCs w:val="20"/>
                <w:lang w:eastAsia="zh-Hans"/>
              </w:rPr>
            </w:pPr>
            <w:r>
              <w:rPr>
                <w:rFonts w:hint="eastAsia" w:ascii="宋体" w:hAnsi="宋体" w:eastAsia="宋体" w:cs="宋体"/>
                <w:i w:val="0"/>
                <w:iCs w:val="0"/>
                <w:snapToGrid w:val="0"/>
                <w:color w:val="000000"/>
                <w:kern w:val="0"/>
                <w:sz w:val="20"/>
                <w:szCs w:val="20"/>
                <w:u w:val="none"/>
                <w:lang w:val="en-US" w:eastAsia="zh-CN" w:bidi="ar"/>
              </w:rPr>
              <w:t>服务对象满意度</w:t>
            </w:r>
          </w:p>
        </w:tc>
        <w:tc>
          <w:tcPr>
            <w:tcW w:w="184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inorEastAsia" w:hAnsiTheme="minorEastAsia" w:eastAsiaTheme="minorEastAsia" w:cstheme="minorEastAsia"/>
                <w:sz w:val="20"/>
                <w:szCs w:val="20"/>
                <w:lang w:eastAsia="zh-Hans"/>
              </w:rPr>
            </w:pPr>
            <w:r>
              <w:rPr>
                <w:rFonts w:hint="eastAsia" w:ascii="宋体" w:hAnsi="宋体" w:eastAsia="宋体" w:cs="宋体"/>
                <w:i w:val="0"/>
                <w:iCs w:val="0"/>
                <w:snapToGrid w:val="0"/>
                <w:color w:val="000000"/>
                <w:kern w:val="0"/>
                <w:sz w:val="20"/>
                <w:szCs w:val="20"/>
                <w:u w:val="none"/>
                <w:lang w:val="en-US" w:eastAsia="zh-CN" w:bidi="ar"/>
              </w:rPr>
              <w:t>较上一年提高</w:t>
            </w:r>
          </w:p>
        </w:tc>
        <w:tc>
          <w:tcPr>
            <w:tcW w:w="17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inorEastAsia" w:hAnsiTheme="minorEastAsia" w:eastAsiaTheme="minorEastAsia" w:cstheme="minorEastAsia"/>
                <w:sz w:val="20"/>
                <w:szCs w:val="20"/>
                <w:lang w:eastAsia="zh-Hans"/>
              </w:rPr>
            </w:pPr>
            <w:r>
              <w:rPr>
                <w:rFonts w:hint="eastAsia" w:ascii="宋体" w:hAnsi="宋体" w:eastAsia="宋体" w:cs="宋体"/>
                <w:i w:val="0"/>
                <w:iCs w:val="0"/>
                <w:snapToGrid w:val="0"/>
                <w:color w:val="000000"/>
                <w:kern w:val="0"/>
                <w:sz w:val="20"/>
                <w:szCs w:val="20"/>
                <w:u w:val="none"/>
                <w:lang w:val="en-US" w:eastAsia="zh-CN" w:bidi="ar"/>
              </w:rPr>
              <w:t>较上一年提高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rPr>
            </w:pPr>
            <w:r>
              <w:rPr>
                <w:rFonts w:hint="eastAsia" w:asciiTheme="minorEastAsia" w:hAnsiTheme="minorEastAsia" w:eastAsiaTheme="minorEastAsia" w:cstheme="minorEastAsia"/>
                <w:sz w:val="20"/>
                <w:szCs w:val="20"/>
                <w:lang w:eastAsia="zh-Hans"/>
              </w:rPr>
              <w:t>2</w:t>
            </w:r>
          </w:p>
        </w:tc>
        <w:tc>
          <w:tcPr>
            <w:tcW w:w="132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rPr>
            </w:pPr>
            <w:r>
              <w:rPr>
                <w:rFonts w:hint="eastAsia" w:asciiTheme="minorEastAsia" w:hAnsiTheme="minorEastAsia" w:eastAsiaTheme="minorEastAsia" w:cstheme="minorEastAsia"/>
                <w:sz w:val="20"/>
                <w:szCs w:val="20"/>
                <w:lang w:eastAsia="zh-Hans"/>
              </w:rPr>
              <w:t>服务对象满意度指标</w:t>
            </w:r>
          </w:p>
        </w:tc>
        <w:tc>
          <w:tcPr>
            <w:tcW w:w="27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inorEastAsia" w:hAnsiTheme="minorEastAsia" w:eastAsiaTheme="minorEastAsia" w:cstheme="minorEastAsia"/>
                <w:sz w:val="20"/>
                <w:szCs w:val="20"/>
                <w:lang w:eastAsia="zh-Hans"/>
              </w:rPr>
            </w:pPr>
            <w:r>
              <w:rPr>
                <w:rFonts w:hint="eastAsia" w:ascii="宋体" w:hAnsi="宋体" w:eastAsia="宋体" w:cs="宋体"/>
                <w:i w:val="0"/>
                <w:iCs w:val="0"/>
                <w:snapToGrid w:val="0"/>
                <w:color w:val="000000"/>
                <w:kern w:val="0"/>
                <w:sz w:val="20"/>
                <w:szCs w:val="20"/>
                <w:u w:val="none"/>
                <w:lang w:val="en-US" w:eastAsia="zh-CN" w:bidi="ar"/>
              </w:rPr>
              <w:t>尘肺病康复患者满意度</w:t>
            </w:r>
          </w:p>
        </w:tc>
        <w:tc>
          <w:tcPr>
            <w:tcW w:w="184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inorEastAsia" w:hAnsiTheme="minorEastAsia" w:eastAsiaTheme="minorEastAsia" w:cstheme="minorEastAsia"/>
                <w:sz w:val="20"/>
                <w:szCs w:val="20"/>
                <w:lang w:eastAsia="zh-Hans"/>
              </w:rPr>
            </w:pPr>
            <w:r>
              <w:rPr>
                <w:rFonts w:hint="eastAsia" w:ascii="宋体" w:hAnsi="宋体" w:eastAsia="宋体" w:cs="宋体"/>
                <w:i w:val="0"/>
                <w:iCs w:val="0"/>
                <w:snapToGrid w:val="0"/>
                <w:color w:val="000000"/>
                <w:kern w:val="0"/>
                <w:sz w:val="20"/>
                <w:szCs w:val="20"/>
                <w:u w:val="none"/>
                <w:lang w:val="en-US" w:eastAsia="zh-CN" w:bidi="ar"/>
              </w:rPr>
              <w:t>≥85%</w:t>
            </w:r>
          </w:p>
        </w:tc>
        <w:tc>
          <w:tcPr>
            <w:tcW w:w="17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inorEastAsia" w:hAnsiTheme="minorEastAsia" w:eastAsiaTheme="minorEastAsia" w:cstheme="minorEastAsia"/>
                <w:sz w:val="20"/>
                <w:szCs w:val="20"/>
                <w:lang w:eastAsia="zh-Hans"/>
              </w:rPr>
            </w:pPr>
            <w:r>
              <w:rPr>
                <w:rFonts w:hint="eastAsia" w:ascii="宋体" w:hAnsi="宋体" w:eastAsia="宋体" w:cs="宋体"/>
                <w:i w:val="0"/>
                <w:iCs w:val="0"/>
                <w:snapToGrid w:val="0"/>
                <w:color w:val="000000"/>
                <w:kern w:val="0"/>
                <w:sz w:val="20"/>
                <w:szCs w:val="20"/>
                <w:u w:val="none"/>
                <w:lang w:val="en-US" w:eastAsia="zh-CN" w:bidi="ar"/>
              </w:rPr>
              <w:t>85%以上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w:t>
            </w:r>
          </w:p>
        </w:tc>
        <w:tc>
          <w:tcPr>
            <w:tcW w:w="132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rPr>
            </w:pPr>
            <w:r>
              <w:rPr>
                <w:rFonts w:hint="eastAsia" w:asciiTheme="minorEastAsia" w:hAnsiTheme="minorEastAsia" w:eastAsiaTheme="minorEastAsia" w:cstheme="minorEastAsia"/>
                <w:sz w:val="20"/>
                <w:szCs w:val="20"/>
                <w:lang w:eastAsia="zh-Hans"/>
              </w:rPr>
              <w:t>服务对象满意度指标</w:t>
            </w:r>
          </w:p>
        </w:tc>
        <w:tc>
          <w:tcPr>
            <w:tcW w:w="27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inorEastAsia" w:hAnsiTheme="minorEastAsia" w:eastAsiaTheme="minorEastAsia" w:cstheme="minorEastAsia"/>
                <w:sz w:val="20"/>
                <w:szCs w:val="20"/>
                <w:lang w:eastAsia="zh-Hans"/>
              </w:rPr>
            </w:pPr>
            <w:r>
              <w:rPr>
                <w:rFonts w:hint="eastAsia" w:ascii="宋体" w:hAnsi="宋体" w:eastAsia="宋体" w:cs="宋体"/>
                <w:i w:val="0"/>
                <w:iCs w:val="0"/>
                <w:snapToGrid w:val="0"/>
                <w:color w:val="000000"/>
                <w:kern w:val="0"/>
                <w:sz w:val="20"/>
                <w:szCs w:val="20"/>
                <w:u w:val="none"/>
                <w:lang w:val="en-US" w:eastAsia="zh-CN" w:bidi="ar"/>
              </w:rPr>
              <w:t>市级职业病防治技术支撑机构满意度</w:t>
            </w:r>
          </w:p>
        </w:tc>
        <w:tc>
          <w:tcPr>
            <w:tcW w:w="184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inorEastAsia" w:hAnsiTheme="minorEastAsia" w:eastAsiaTheme="minorEastAsia" w:cstheme="minorEastAsia"/>
                <w:sz w:val="20"/>
                <w:szCs w:val="20"/>
                <w:lang w:eastAsia="zh-Hans"/>
              </w:rPr>
            </w:pPr>
            <w:r>
              <w:rPr>
                <w:rFonts w:hint="eastAsia" w:ascii="宋体" w:hAnsi="宋体" w:eastAsia="宋体" w:cs="宋体"/>
                <w:i w:val="0"/>
                <w:iCs w:val="0"/>
                <w:snapToGrid w:val="0"/>
                <w:color w:val="000000"/>
                <w:kern w:val="0"/>
                <w:sz w:val="20"/>
                <w:szCs w:val="20"/>
                <w:u w:val="none"/>
                <w:lang w:val="en-US" w:eastAsia="zh-CN" w:bidi="ar"/>
              </w:rPr>
              <w:t>≥90%</w:t>
            </w:r>
          </w:p>
        </w:tc>
        <w:tc>
          <w:tcPr>
            <w:tcW w:w="17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heme="minorEastAsia" w:hAnsiTheme="minorEastAsia" w:eastAsiaTheme="minorEastAsia" w:cstheme="minorEastAsia"/>
                <w:sz w:val="20"/>
                <w:szCs w:val="20"/>
                <w:lang w:eastAsia="zh-Hans"/>
              </w:rPr>
            </w:pPr>
            <w:r>
              <w:rPr>
                <w:rFonts w:hint="eastAsia" w:ascii="宋体" w:hAnsi="宋体" w:eastAsia="宋体" w:cs="宋体"/>
                <w:i w:val="0"/>
                <w:iCs w:val="0"/>
                <w:snapToGrid w:val="0"/>
                <w:color w:val="000000"/>
                <w:kern w:val="0"/>
                <w:sz w:val="20"/>
                <w:szCs w:val="20"/>
                <w:u w:val="none"/>
                <w:lang w:val="en-US" w:eastAsia="zh-CN" w:bidi="ar"/>
              </w:rPr>
              <w:t>90%以上</w:t>
            </w:r>
          </w:p>
        </w:tc>
      </w:tr>
    </w:tbl>
    <w:p>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lang w:eastAsia="zh-CN"/>
        </w:rPr>
        <w:t>三、绩效自评结论</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32"/>
          <w:lang w:val="en-US" w:eastAsia="zh-CN" w:bidi="ar"/>
        </w:rPr>
      </w:pPr>
    </w:p>
    <w:p>
      <w:pPr>
        <w:keepNext w:val="0"/>
        <w:keepLines w:val="0"/>
        <w:pageBreakBefore w:val="0"/>
        <w:wordWrap/>
        <w:overflowPunct/>
        <w:topLinePunct w:val="0"/>
        <w:bidi w:val="0"/>
        <w:spacing w:line="560" w:lineRule="exact"/>
        <w:ind w:firstLine="640" w:firstLineChars="200"/>
        <w:jc w:val="both"/>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val="en-US" w:eastAsia="zh-CN" w:bidi="ar"/>
        </w:rPr>
        <w:t>根据本次绩效自评工作结果，该项目共设立</w:t>
      </w:r>
      <w:r>
        <w:rPr>
          <w:rFonts w:hint="eastAsia" w:ascii="仿宋_GB2312" w:hAnsi="仿宋_GB2312" w:eastAsia="仿宋_GB2312" w:cs="仿宋_GB2312"/>
          <w:snapToGrid/>
          <w:kern w:val="2"/>
          <w:sz w:val="32"/>
          <w:szCs w:val="32"/>
          <w:highlight w:val="none"/>
          <w:lang w:val="en-US" w:eastAsia="zh-CN" w:bidi="ar"/>
        </w:rPr>
        <w:t>29</w:t>
      </w:r>
      <w:r>
        <w:rPr>
          <w:rFonts w:hint="eastAsia" w:ascii="仿宋_GB2312" w:hAnsi="仿宋_GB2312" w:eastAsia="仿宋_GB2312" w:cs="仿宋_GB2312"/>
          <w:snapToGrid/>
          <w:kern w:val="2"/>
          <w:sz w:val="32"/>
          <w:szCs w:val="32"/>
          <w:lang w:val="en-US" w:eastAsia="zh-CN" w:bidi="ar"/>
        </w:rPr>
        <w:t>项年度绩效目标，均已实现年初目标值，项目实施取得较好社会经济效益，自评结果整体良好</w:t>
      </w:r>
      <w:r>
        <w:rPr>
          <w:rFonts w:hint="eastAsia" w:ascii="仿宋_GB2312" w:hAnsi="仿宋_GB2312" w:eastAsia="仿宋_GB2312" w:cs="仿宋_GB2312"/>
          <w:bCs/>
          <w:snapToGrid/>
          <w:kern w:val="2"/>
          <w:sz w:val="32"/>
          <w:szCs w:val="32"/>
          <w:lang w:bidi="ar"/>
        </w:rPr>
        <w:t>。</w:t>
      </w:r>
      <w:r>
        <w:rPr>
          <w:rFonts w:hint="eastAsia" w:ascii="仿宋_GB2312" w:hAnsi="仿宋_GB2312" w:eastAsia="仿宋_GB2312" w:cs="仿宋_GB2312"/>
          <w:snapToGrid/>
          <w:kern w:val="2"/>
          <w:sz w:val="32"/>
          <w:szCs w:val="32"/>
          <w:lang w:val="en-US" w:eastAsia="zh-CN" w:bidi="ar"/>
        </w:rPr>
        <w:t>本次绩效自评工作中暂未发现绩效目标偏离情况。</w:t>
      </w:r>
    </w:p>
    <w:p>
      <w:pPr>
        <w:pStyle w:val="2"/>
        <w:keepNext w:val="0"/>
        <w:keepLines w:val="0"/>
        <w:pageBreakBefore w:val="0"/>
        <w:wordWrap/>
        <w:overflowPunct/>
        <w:topLinePunct w:val="0"/>
        <w:bidi w:val="0"/>
        <w:spacing w:line="560" w:lineRule="exact"/>
        <w:rPr>
          <w:rFonts w:hint="eastAsia" w:ascii="仿宋_GB2312" w:hAnsi="仿宋_GB2312" w:eastAsia="仿宋_GB2312" w:cs="仿宋_GB2312"/>
          <w:bCs/>
          <w:snapToGrid/>
          <w:kern w:val="2"/>
          <w:sz w:val="32"/>
          <w:szCs w:val="32"/>
          <w:lang w:bidi="ar"/>
        </w:rPr>
      </w:pPr>
      <w:bookmarkStart w:id="2" w:name="_GoBack"/>
      <w:bookmarkEnd w:id="2"/>
    </w:p>
    <w:p>
      <w:pPr>
        <w:pStyle w:val="2"/>
        <w:keepNext w:val="0"/>
        <w:keepLines w:val="0"/>
        <w:pageBreakBefore w:val="0"/>
        <w:wordWrap/>
        <w:overflowPunct/>
        <w:topLinePunct w:val="0"/>
        <w:bidi w:val="0"/>
        <w:spacing w:line="560" w:lineRule="exact"/>
        <w:rPr>
          <w:rFonts w:hint="eastAsia" w:ascii="仿宋_GB2312" w:hAnsi="仿宋_GB2312" w:eastAsia="仿宋_GB2312" w:cs="仿宋_GB2312"/>
          <w:bCs/>
          <w:snapToGrid/>
          <w:kern w:val="2"/>
          <w:sz w:val="32"/>
          <w:szCs w:val="32"/>
          <w:lang w:bidi="ar"/>
        </w:rPr>
      </w:pPr>
    </w:p>
    <w:p>
      <w:pPr>
        <w:keepNext w:val="0"/>
        <w:keepLines w:val="0"/>
        <w:pageBreakBefore w:val="0"/>
        <w:wordWrap/>
        <w:overflowPunct/>
        <w:topLinePunct w:val="0"/>
        <w:bidi w:val="0"/>
        <w:spacing w:line="560" w:lineRule="exact"/>
        <w:rPr>
          <w:rFonts w:hint="eastAsia"/>
          <w:sz w:val="32"/>
          <w:szCs w:val="32"/>
        </w:rPr>
      </w:pPr>
    </w:p>
    <w:p>
      <w:pPr>
        <w:pStyle w:val="6"/>
        <w:keepNext w:val="0"/>
        <w:keepLines w:val="0"/>
        <w:pageBreakBefore w:val="0"/>
        <w:widowControl/>
        <w:kinsoku w:val="0"/>
        <w:wordWrap/>
        <w:overflowPunct/>
        <w:topLinePunct w:val="0"/>
        <w:autoSpaceDE w:val="0"/>
        <w:autoSpaceDN w:val="0"/>
        <w:bidi w:val="0"/>
        <w:adjustRightInd w:val="0"/>
        <w:snapToGrid w:val="0"/>
        <w:spacing w:line="560" w:lineRule="exact"/>
        <w:ind w:firstLine="3888" w:firstLineChars="1200"/>
        <w:textAlignment w:val="baseline"/>
        <w:rPr>
          <w:rFonts w:hint="eastAsia" w:ascii="仿宋" w:hAnsi="仿宋" w:eastAsia="仿宋" w:cs="仿宋"/>
          <w:spacing w:val="2"/>
          <w:kern w:val="2"/>
          <w:sz w:val="32"/>
          <w:szCs w:val="32"/>
          <w:lang w:val="en-US" w:eastAsia="zh-CN" w:bidi="ar-SA"/>
        </w:rPr>
      </w:pPr>
      <w:r>
        <w:rPr>
          <w:rFonts w:hint="eastAsia" w:ascii="仿宋" w:hAnsi="仿宋" w:eastAsia="仿宋" w:cs="仿宋"/>
          <w:spacing w:val="2"/>
          <w:kern w:val="2"/>
          <w:sz w:val="32"/>
          <w:szCs w:val="32"/>
          <w:lang w:val="en-US" w:eastAsia="zh-CN" w:bidi="ar-SA"/>
        </w:rPr>
        <w:t>北京市卫生健康委员会</w:t>
      </w:r>
    </w:p>
    <w:p>
      <w:pPr>
        <w:pStyle w:val="6"/>
        <w:keepNext w:val="0"/>
        <w:keepLines w:val="0"/>
        <w:pageBreakBefore w:val="0"/>
        <w:widowControl/>
        <w:kinsoku w:val="0"/>
        <w:wordWrap/>
        <w:overflowPunct/>
        <w:topLinePunct w:val="0"/>
        <w:autoSpaceDE w:val="0"/>
        <w:autoSpaceDN w:val="0"/>
        <w:bidi w:val="0"/>
        <w:adjustRightInd w:val="0"/>
        <w:snapToGrid w:val="0"/>
        <w:spacing w:line="560" w:lineRule="exact"/>
        <w:ind w:firstLine="4536" w:firstLineChars="1400"/>
        <w:textAlignment w:val="baseline"/>
        <w:rPr>
          <w:rFonts w:hint="default" w:ascii="仿宋" w:hAnsi="仿宋" w:eastAsia="仿宋" w:cs="仿宋"/>
          <w:spacing w:val="2"/>
          <w:kern w:val="2"/>
          <w:sz w:val="32"/>
          <w:szCs w:val="32"/>
          <w:lang w:val="en-US" w:eastAsia="zh-CN" w:bidi="ar-SA"/>
        </w:rPr>
      </w:pPr>
      <w:r>
        <w:rPr>
          <w:rFonts w:hint="eastAsia" w:ascii="仿宋" w:hAnsi="仿宋" w:eastAsia="仿宋" w:cs="仿宋"/>
          <w:spacing w:val="2"/>
          <w:kern w:val="2"/>
          <w:sz w:val="32"/>
          <w:szCs w:val="32"/>
          <w:lang w:val="en-US" w:eastAsia="zh-CN" w:bidi="ar-SA"/>
        </w:rPr>
        <w:t>2023年6月8日</w:t>
      </w:r>
    </w:p>
    <w:p>
      <w:pPr>
        <w:keepNext w:val="0"/>
        <w:keepLines w:val="0"/>
        <w:pageBreakBefore w:val="0"/>
        <w:wordWrap/>
        <w:overflowPunct/>
        <w:topLinePunct w:val="0"/>
        <w:bidi w:val="0"/>
        <w:spacing w:line="560" w:lineRule="exact"/>
        <w:rPr>
          <w:rFonts w:hint="eastAsia"/>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86419144"/>
      <w:docPartObj>
        <w:docPartGallery w:val="autotext"/>
      </w:docPartObj>
    </w:sdtPr>
    <w:sdtEndPr>
      <w:rPr>
        <w:rFonts w:ascii="宋体" w:hAnsi="宋体" w:eastAsia="宋体"/>
        <w:sz w:val="28"/>
        <w:szCs w:val="28"/>
      </w:rPr>
    </w:sdtEndPr>
    <w:sdtContent>
      <w:p>
        <w:pPr>
          <w:pStyle w:val="7"/>
          <w:jc w:val="center"/>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9</w:t>
        </w:r>
        <w:r>
          <w:rPr>
            <w:rFonts w:ascii="宋体" w:hAnsi="宋体" w:eastAsia="宋体"/>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3F6E46"/>
    <w:multiLevelType w:val="singleLevel"/>
    <w:tmpl w:val="7F3F6E4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mNDFiYWFiMjk4YzY3MGE0Nzc2NTBjYzg3ODRkY2YifQ=="/>
  </w:docVars>
  <w:rsids>
    <w:rsidRoot w:val="013B1BF0"/>
    <w:rsid w:val="00045EA4"/>
    <w:rsid w:val="00081E0D"/>
    <w:rsid w:val="00104609"/>
    <w:rsid w:val="001D462F"/>
    <w:rsid w:val="001E370F"/>
    <w:rsid w:val="001E5F5B"/>
    <w:rsid w:val="001F3662"/>
    <w:rsid w:val="00216176"/>
    <w:rsid w:val="00241182"/>
    <w:rsid w:val="002B261D"/>
    <w:rsid w:val="002D73BD"/>
    <w:rsid w:val="002E1201"/>
    <w:rsid w:val="00350A2F"/>
    <w:rsid w:val="00392007"/>
    <w:rsid w:val="003D5F10"/>
    <w:rsid w:val="004540C3"/>
    <w:rsid w:val="004678AA"/>
    <w:rsid w:val="004C0B91"/>
    <w:rsid w:val="005C2CBD"/>
    <w:rsid w:val="005D354F"/>
    <w:rsid w:val="00604F80"/>
    <w:rsid w:val="00614D54"/>
    <w:rsid w:val="0062436F"/>
    <w:rsid w:val="006576E1"/>
    <w:rsid w:val="0066575E"/>
    <w:rsid w:val="006E4AF2"/>
    <w:rsid w:val="0072238B"/>
    <w:rsid w:val="00736DDA"/>
    <w:rsid w:val="00785CB8"/>
    <w:rsid w:val="00796C6B"/>
    <w:rsid w:val="00837221"/>
    <w:rsid w:val="008C4039"/>
    <w:rsid w:val="0090366A"/>
    <w:rsid w:val="0094448F"/>
    <w:rsid w:val="00A811FB"/>
    <w:rsid w:val="00AE063B"/>
    <w:rsid w:val="00B341AE"/>
    <w:rsid w:val="00B73F73"/>
    <w:rsid w:val="00B74154"/>
    <w:rsid w:val="00C75B0E"/>
    <w:rsid w:val="00D0249D"/>
    <w:rsid w:val="00D9140D"/>
    <w:rsid w:val="00DB62D5"/>
    <w:rsid w:val="00E1595A"/>
    <w:rsid w:val="00EC5C73"/>
    <w:rsid w:val="00F318CD"/>
    <w:rsid w:val="00F55C8E"/>
    <w:rsid w:val="00FC6908"/>
    <w:rsid w:val="00FF1924"/>
    <w:rsid w:val="013B1BF0"/>
    <w:rsid w:val="01FF3BC3"/>
    <w:rsid w:val="06E844B7"/>
    <w:rsid w:val="08004547"/>
    <w:rsid w:val="0A314B36"/>
    <w:rsid w:val="0A51082F"/>
    <w:rsid w:val="0E80608C"/>
    <w:rsid w:val="122B27B2"/>
    <w:rsid w:val="14447B5C"/>
    <w:rsid w:val="19832ED4"/>
    <w:rsid w:val="1FCBD529"/>
    <w:rsid w:val="208A586E"/>
    <w:rsid w:val="22D14CB0"/>
    <w:rsid w:val="25584B9A"/>
    <w:rsid w:val="2A222295"/>
    <w:rsid w:val="2D732D66"/>
    <w:rsid w:val="2ED33B5E"/>
    <w:rsid w:val="2FAB0F93"/>
    <w:rsid w:val="2FED151F"/>
    <w:rsid w:val="34C944BE"/>
    <w:rsid w:val="367A60F6"/>
    <w:rsid w:val="3785702B"/>
    <w:rsid w:val="38BE1DF3"/>
    <w:rsid w:val="39D976F3"/>
    <w:rsid w:val="3AED0244"/>
    <w:rsid w:val="3B8763FC"/>
    <w:rsid w:val="3D660033"/>
    <w:rsid w:val="3ED95906"/>
    <w:rsid w:val="3FEB7571"/>
    <w:rsid w:val="40844CB8"/>
    <w:rsid w:val="43A643FA"/>
    <w:rsid w:val="44540702"/>
    <w:rsid w:val="49213C75"/>
    <w:rsid w:val="496D59D0"/>
    <w:rsid w:val="4AE1409A"/>
    <w:rsid w:val="4C46731B"/>
    <w:rsid w:val="4DB51D17"/>
    <w:rsid w:val="4DEE6C7F"/>
    <w:rsid w:val="4E6A3D6B"/>
    <w:rsid w:val="4FAA09A6"/>
    <w:rsid w:val="513A2680"/>
    <w:rsid w:val="5642318F"/>
    <w:rsid w:val="5D123920"/>
    <w:rsid w:val="60742EFC"/>
    <w:rsid w:val="61AE77B2"/>
    <w:rsid w:val="64992B79"/>
    <w:rsid w:val="66E0683D"/>
    <w:rsid w:val="677F7FB4"/>
    <w:rsid w:val="75276A1E"/>
    <w:rsid w:val="79972F9C"/>
    <w:rsid w:val="7DDD71DA"/>
    <w:rsid w:val="7F77924E"/>
    <w:rsid w:val="7F7C9CB5"/>
    <w:rsid w:val="A7FF31BA"/>
    <w:rsid w:val="AFFD5486"/>
    <w:rsid w:val="BBFF5E5E"/>
    <w:rsid w:val="DA9F452B"/>
    <w:rsid w:val="DEC5BAB5"/>
    <w:rsid w:val="DECBBA63"/>
    <w:rsid w:val="DF45A37E"/>
    <w:rsid w:val="F7FFA3EE"/>
    <w:rsid w:val="FBDFF40A"/>
    <w:rsid w:val="FF9743AD"/>
    <w:rsid w:val="FFDF8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iPriority="99"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3">
    <w:name w:val="heading 4"/>
    <w:basedOn w:val="1"/>
    <w:next w:val="1"/>
    <w:qFormat/>
    <w:uiPriority w:val="9"/>
    <w:pPr>
      <w:keepNext/>
      <w:keepLines/>
      <w:spacing w:before="280" w:after="290" w:line="372" w:lineRule="auto"/>
      <w:outlineLvl w:val="3"/>
    </w:pPr>
    <w:rPr>
      <w:rFonts w:ascii="Cambria" w:hAnsi="Cambria"/>
      <w:b/>
      <w:bCs/>
      <w:sz w:val="28"/>
      <w:szCs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index 9"/>
    <w:basedOn w:val="1"/>
    <w:next w:val="1"/>
    <w:unhideWhenUsed/>
    <w:qFormat/>
    <w:uiPriority w:val="99"/>
    <w:pPr>
      <w:ind w:firstLine="420"/>
    </w:pPr>
    <w:rPr>
      <w:rFonts w:eastAsia="仿宋_GB2312"/>
      <w:bCs/>
      <w:sz w:val="28"/>
      <w:szCs w:val="28"/>
    </w:rPr>
  </w:style>
  <w:style w:type="paragraph" w:styleId="4">
    <w:name w:val="Body Text"/>
    <w:basedOn w:val="1"/>
    <w:qFormat/>
    <w:uiPriority w:val="0"/>
    <w:pPr>
      <w:spacing w:after="120" w:line="360" w:lineRule="auto"/>
    </w:pPr>
  </w:style>
  <w:style w:type="paragraph" w:styleId="5">
    <w:name w:val="Body Text Indent"/>
    <w:basedOn w:val="1"/>
    <w:unhideWhenUsed/>
    <w:qFormat/>
    <w:uiPriority w:val="99"/>
    <w:pPr>
      <w:spacing w:before="100" w:beforeAutospacing="1" w:after="100" w:afterAutospacing="1"/>
    </w:pPr>
    <w:rPr>
      <w:rFonts w:hint="eastAsia" w:ascii="宋体" w:hAnsi="宋体"/>
      <w:sz w:val="24"/>
      <w:szCs w:val="24"/>
    </w:rPr>
  </w:style>
  <w:style w:type="paragraph" w:styleId="6">
    <w:name w:val="Plain Text"/>
    <w:basedOn w:val="1"/>
    <w:unhideWhenUsed/>
    <w:qFormat/>
    <w:uiPriority w:val="99"/>
    <w:rPr>
      <w:rFonts w:ascii="宋体" w:hAnsi="Courier New"/>
    </w:rPr>
  </w:style>
  <w:style w:type="paragraph" w:styleId="7">
    <w:name w:val="footer"/>
    <w:basedOn w:val="1"/>
    <w:link w:val="19"/>
    <w:qFormat/>
    <w:uiPriority w:val="99"/>
    <w:pPr>
      <w:tabs>
        <w:tab w:val="center" w:pos="4153"/>
        <w:tab w:val="right" w:pos="8306"/>
      </w:tabs>
    </w:pPr>
    <w:rPr>
      <w:sz w:val="18"/>
      <w:szCs w:val="18"/>
    </w:rPr>
  </w:style>
  <w:style w:type="paragraph" w:styleId="8">
    <w:name w:val="header"/>
    <w:basedOn w:val="1"/>
    <w:link w:val="18"/>
    <w:qFormat/>
    <w:uiPriority w:val="0"/>
    <w:pPr>
      <w:pBdr>
        <w:bottom w:val="single" w:color="auto" w:sz="6" w:space="1"/>
      </w:pBdr>
      <w:tabs>
        <w:tab w:val="center" w:pos="4153"/>
        <w:tab w:val="right" w:pos="8306"/>
      </w:tabs>
      <w:jc w:val="center"/>
    </w:pPr>
    <w:rPr>
      <w:sz w:val="18"/>
      <w:szCs w:val="18"/>
    </w:rPr>
  </w:style>
  <w:style w:type="paragraph" w:styleId="9">
    <w:name w:val="Normal (Web)"/>
    <w:basedOn w:val="1"/>
    <w:qFormat/>
    <w:uiPriority w:val="0"/>
    <w:pPr>
      <w:spacing w:beforeAutospacing="1" w:afterAutospacing="1"/>
    </w:pPr>
    <w:rPr>
      <w:rFonts w:cs="Times New Roman"/>
      <w:sz w:val="24"/>
    </w:rPr>
  </w:style>
  <w:style w:type="table" w:styleId="11">
    <w:name w:val="Table Grid"/>
    <w:basedOn w:val="10"/>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Body text|2"/>
    <w:basedOn w:val="1"/>
    <w:qFormat/>
    <w:uiPriority w:val="0"/>
    <w:pPr>
      <w:spacing w:line="590" w:lineRule="exact"/>
      <w:ind w:firstLine="580"/>
    </w:pPr>
    <w:rPr>
      <w:rFonts w:hint="eastAsia" w:ascii="宋体" w:hAnsi="宋体"/>
      <w:szCs w:val="24"/>
    </w:rPr>
  </w:style>
  <w:style w:type="table" w:customStyle="1" w:styleId="14">
    <w:name w:val="Table Normal"/>
    <w:semiHidden/>
    <w:unhideWhenUsed/>
    <w:qFormat/>
    <w:uiPriority w:val="0"/>
    <w:tblPr>
      <w:tblCellMar>
        <w:top w:w="0" w:type="dxa"/>
        <w:left w:w="0" w:type="dxa"/>
        <w:bottom w:w="0" w:type="dxa"/>
        <w:right w:w="0" w:type="dxa"/>
      </w:tblCellMar>
    </w:tblPr>
  </w:style>
  <w:style w:type="character" w:customStyle="1" w:styleId="15">
    <w:name w:val="font21"/>
    <w:basedOn w:val="12"/>
    <w:qFormat/>
    <w:uiPriority w:val="0"/>
    <w:rPr>
      <w:rFonts w:hint="eastAsia" w:ascii="宋体" w:hAnsi="宋体" w:eastAsia="宋体" w:cs="宋体"/>
      <w:color w:val="000000"/>
      <w:sz w:val="20"/>
      <w:szCs w:val="20"/>
      <w:u w:val="none"/>
    </w:rPr>
  </w:style>
  <w:style w:type="character" w:customStyle="1" w:styleId="16">
    <w:name w:val="font01"/>
    <w:basedOn w:val="12"/>
    <w:qFormat/>
    <w:uiPriority w:val="0"/>
    <w:rPr>
      <w:rFonts w:hint="eastAsia" w:ascii="宋体" w:hAnsi="宋体" w:eastAsia="宋体" w:cs="宋体"/>
      <w:color w:val="000000"/>
      <w:sz w:val="20"/>
      <w:szCs w:val="20"/>
      <w:u w:val="none"/>
    </w:rPr>
  </w:style>
  <w:style w:type="character" w:customStyle="1" w:styleId="17">
    <w:name w:val="font11"/>
    <w:basedOn w:val="12"/>
    <w:qFormat/>
    <w:uiPriority w:val="0"/>
    <w:rPr>
      <w:rFonts w:hint="eastAsia" w:ascii="宋体" w:hAnsi="宋体" w:eastAsia="宋体" w:cs="宋体"/>
      <w:color w:val="000000"/>
      <w:sz w:val="20"/>
      <w:szCs w:val="20"/>
      <w:u w:val="none"/>
    </w:rPr>
  </w:style>
  <w:style w:type="character" w:customStyle="1" w:styleId="18">
    <w:name w:val="页眉 字符"/>
    <w:basedOn w:val="12"/>
    <w:link w:val="8"/>
    <w:qFormat/>
    <w:uiPriority w:val="0"/>
    <w:rPr>
      <w:rFonts w:ascii="Arial" w:hAnsi="Arial" w:eastAsia="Arial" w:cs="Arial"/>
      <w:snapToGrid w:val="0"/>
      <w:color w:val="000000"/>
      <w:sz w:val="18"/>
      <w:szCs w:val="18"/>
    </w:rPr>
  </w:style>
  <w:style w:type="character" w:customStyle="1" w:styleId="19">
    <w:name w:val="页脚 字符"/>
    <w:basedOn w:val="12"/>
    <w:link w:val="7"/>
    <w:qFormat/>
    <w:uiPriority w:val="99"/>
    <w:rPr>
      <w:rFonts w:ascii="Arial" w:hAnsi="Arial" w:eastAsia="Arial" w:cs="Arial"/>
      <w:snapToGrid w:val="0"/>
      <w:color w:val="000000"/>
      <w:sz w:val="18"/>
      <w:szCs w:val="18"/>
    </w:rPr>
  </w:style>
  <w:style w:type="character" w:customStyle="1" w:styleId="20">
    <w:name w:val="font31"/>
    <w:basedOn w:val="12"/>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6578</Words>
  <Characters>9060</Characters>
  <Lines>94</Lines>
  <Paragraphs>26</Paragraphs>
  <TotalTime>3</TotalTime>
  <ScaleCrop>false</ScaleCrop>
  <LinksUpToDate>false</LinksUpToDate>
  <CharactersWithSpaces>10899</CharactersWithSpaces>
  <Application>WPS Office_11.8.2.10587_F1E327BC-269C-435d-A152-05C5408002CA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2023-03-27T23:27:00Z</dcterms:created>
  <dc:creator>WPS_1599385647</dc:creator>
  <cp:lastModifiedBy>admin</cp:lastModifiedBy>
  <cp:lastPrinted>2023-05-19T08:59:00Z</cp:lastPrinted>
  <dcterms:modified xsi:type="dcterms:W3CDTF">2023-06-09T17:13:50Z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2052-11.8.2.10587</vt:lpwstr>
  </property>
  <property fmtid="{D5CDD505-2E9C-101B-9397-08002B2CF9AE}" pid="3" name="ICV">
    <vt:lpwstr>195FD7248D31440E90D062EFA4B77F3C</vt:lpwstr>
  </property>
</Properties>
</file>