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highlight w:val="none"/>
        </w:rPr>
      </w:pPr>
      <w:r>
        <w:rPr>
          <w:rFonts w:hint="eastAsia" w:ascii="方正小标宋简体" w:eastAsia="方正小标宋简体"/>
          <w:sz w:val="36"/>
          <w:szCs w:val="36"/>
          <w:highlight w:val="none"/>
          <w:lang w:eastAsia="zh-CN"/>
        </w:rPr>
        <w:t>中共北京市委办公厅</w:t>
      </w:r>
      <w:r>
        <w:rPr>
          <w:rFonts w:hint="eastAsia" w:ascii="方正小标宋简体" w:eastAsia="方正小标宋简体"/>
          <w:sz w:val="36"/>
          <w:szCs w:val="36"/>
          <w:highlight w:val="none"/>
        </w:rPr>
        <w:t>部门整体绩效评价报告</w:t>
      </w:r>
    </w:p>
    <w:p>
      <w:pPr>
        <w:jc w:val="center"/>
        <w:rPr>
          <w:rFonts w:ascii="仿宋_GB2312"/>
          <w:sz w:val="22"/>
          <w:szCs w:val="32"/>
          <w:highlight w:val="none"/>
        </w:rPr>
      </w:pPr>
    </w:p>
    <w:p>
      <w:pPr>
        <w:jc w:val="center"/>
        <w:rPr>
          <w:rFonts w:ascii="仿宋_GB2312"/>
          <w:sz w:val="22"/>
          <w:szCs w:val="32"/>
          <w:highlight w:val="none"/>
        </w:rPr>
      </w:pPr>
    </w:p>
    <w:p>
      <w:pPr>
        <w:spacing w:line="560" w:lineRule="exact"/>
        <w:ind w:firstLine="640" w:firstLineChars="200"/>
        <w:rPr>
          <w:rFonts w:ascii="黑体" w:hAnsi="黑体" w:eastAsia="黑体" w:cs="宋体"/>
          <w:b w:val="0"/>
          <w:bCs w:val="0"/>
          <w:color w:val="000000"/>
          <w:kern w:val="0"/>
          <w:sz w:val="32"/>
          <w:szCs w:val="32"/>
          <w:highlight w:val="none"/>
        </w:rPr>
      </w:pPr>
      <w:r>
        <w:rPr>
          <w:rFonts w:hint="eastAsia" w:ascii="黑体" w:hAnsi="黑体" w:eastAsia="黑体" w:cs="宋体"/>
          <w:b w:val="0"/>
          <w:bCs w:val="0"/>
          <w:color w:val="000000"/>
          <w:kern w:val="0"/>
          <w:sz w:val="32"/>
          <w:szCs w:val="32"/>
          <w:highlight w:val="none"/>
        </w:rPr>
        <w:t>一、部门概况</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（一）机构设置及职责工作任务情况</w:t>
      </w:r>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中共北京市委办公厅（以下简称市委办公厅）是市委的综合部门，负责推动市委决策部署的落实，按照市委要求协调有关方面开展工作，完成市委交办的其他任务。</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（二）部门整体绩效目标设立情况</w:t>
      </w:r>
    </w:p>
    <w:p>
      <w:pPr>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市委办公厅以部门职能职责与年度主要工作任务为依据，坚持以预算资金管理为主线，统筹考虑资产和业务活动，按照部门预算绩效指标设置相关要求，设置了2</w:t>
      </w:r>
      <w:r>
        <w:rPr>
          <w:rFonts w:ascii="仿宋_GB2312" w:hAnsi="仿宋_GB2312" w:eastAsia="仿宋_GB2312" w:cs="仿宋_GB2312"/>
          <w:b w:val="0"/>
          <w:bCs w:val="0"/>
          <w:sz w:val="32"/>
          <w:szCs w:val="32"/>
          <w:highlight w:val="none"/>
        </w:rPr>
        <w:t>022</w:t>
      </w:r>
      <w:r>
        <w:rPr>
          <w:rFonts w:hint="eastAsia" w:ascii="仿宋_GB2312" w:hAnsi="仿宋_GB2312" w:eastAsia="仿宋_GB2312" w:cs="仿宋_GB2312"/>
          <w:b w:val="0"/>
          <w:bCs w:val="0"/>
          <w:sz w:val="32"/>
          <w:szCs w:val="32"/>
          <w:highlight w:val="none"/>
        </w:rPr>
        <w:t>年度部门整体绩效指标。</w:t>
      </w:r>
      <w:bookmarkStart w:id="0" w:name="_GoBack"/>
      <w:bookmarkEnd w:id="0"/>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eastAsia="zh-CN"/>
        </w:rPr>
        <w:t>市委办公厅</w:t>
      </w:r>
      <w:r>
        <w:rPr>
          <w:rFonts w:hint="eastAsia" w:ascii="仿宋_GB2312" w:hAnsi="仿宋_GB2312" w:eastAsia="仿宋_GB2312" w:cs="仿宋_GB2312"/>
          <w:b w:val="0"/>
          <w:bCs w:val="0"/>
          <w:sz w:val="32"/>
          <w:szCs w:val="32"/>
          <w:highlight w:val="none"/>
          <w:lang w:val="en-US" w:eastAsia="zh-CN"/>
        </w:rPr>
        <w:t>2022年度部门整体绩效目标是：</w:t>
      </w:r>
      <w:r>
        <w:rPr>
          <w:rFonts w:hint="eastAsia" w:ascii="仿宋_GB2312" w:hAnsi="仿宋_GB2312" w:eastAsia="仿宋_GB2312" w:cs="仿宋_GB2312"/>
          <w:b w:val="0"/>
          <w:bCs w:val="0"/>
          <w:sz w:val="32"/>
          <w:szCs w:val="32"/>
          <w:highlight w:val="none"/>
        </w:rPr>
        <w:t>以习近平新时代中国特色社会主义思想为指导，紧紧围绕市委中心工作，</w:t>
      </w:r>
      <w:r>
        <w:rPr>
          <w:rFonts w:hint="eastAsia" w:ascii="仿宋_GB2312" w:hAnsi="宋体" w:eastAsia="仿宋_GB2312" w:cs="宋体"/>
          <w:b w:val="0"/>
          <w:bCs w:val="0"/>
          <w:color w:val="000000"/>
          <w:kern w:val="0"/>
          <w:sz w:val="32"/>
          <w:szCs w:val="32"/>
          <w:highlight w:val="none"/>
        </w:rPr>
        <w:t>充分发挥“参谋助手、统筹协调、督查落实、服务保障”职能作用</w:t>
      </w:r>
      <w:r>
        <w:rPr>
          <w:rFonts w:hint="eastAsia" w:ascii="仿宋_GB2312" w:hAnsi="仿宋_GB2312" w:eastAsia="仿宋_GB2312" w:cs="仿宋_GB2312"/>
          <w:b w:val="0"/>
          <w:bCs w:val="0"/>
          <w:sz w:val="32"/>
          <w:szCs w:val="32"/>
          <w:highlight w:val="none"/>
        </w:rPr>
        <w:t>。全面贯彻全成本预算绩效管理理念，加强支出标准化体系建设。继续坚持过“紧日子”思想，深入贯彻落实中央八项规定及实施细则精神，在预算编制、预算执行、政府采购、资产配置等方面，深入挖掘节支潜力，建立健全厉行节约长效机制，推动各项财务工作高质量发展，确保各部门高效运转，圆满完成各项工作任务。</w:t>
      </w:r>
    </w:p>
    <w:p>
      <w:pPr>
        <w:spacing w:line="560" w:lineRule="exact"/>
        <w:ind w:firstLine="640" w:firstLineChars="200"/>
        <w:rPr>
          <w:rFonts w:ascii="黑体" w:hAnsi="黑体" w:eastAsia="黑体" w:cs="宋体"/>
          <w:b w:val="0"/>
          <w:bCs w:val="0"/>
          <w:color w:val="000000"/>
          <w:kern w:val="0"/>
          <w:sz w:val="32"/>
          <w:szCs w:val="32"/>
          <w:highlight w:val="none"/>
        </w:rPr>
      </w:pPr>
      <w:r>
        <w:rPr>
          <w:rFonts w:hint="eastAsia" w:ascii="黑体" w:hAnsi="黑体" w:eastAsia="黑体" w:cs="宋体"/>
          <w:b w:val="0"/>
          <w:bCs w:val="0"/>
          <w:color w:val="000000"/>
          <w:kern w:val="0"/>
          <w:sz w:val="32"/>
          <w:szCs w:val="32"/>
          <w:highlight w:val="none"/>
        </w:rPr>
        <w:t>二</w:t>
      </w:r>
      <w:r>
        <w:rPr>
          <w:rFonts w:ascii="黑体" w:hAnsi="黑体" w:eastAsia="黑体" w:cs="宋体"/>
          <w:b w:val="0"/>
          <w:bCs w:val="0"/>
          <w:color w:val="000000"/>
          <w:kern w:val="0"/>
          <w:sz w:val="32"/>
          <w:szCs w:val="32"/>
          <w:highlight w:val="none"/>
        </w:rPr>
        <w:t>、</w:t>
      </w:r>
      <w:r>
        <w:rPr>
          <w:rFonts w:hint="eastAsia" w:ascii="黑体" w:hAnsi="黑体" w:eastAsia="黑体" w:cs="宋体"/>
          <w:b w:val="0"/>
          <w:bCs w:val="0"/>
          <w:color w:val="000000"/>
          <w:kern w:val="0"/>
          <w:sz w:val="32"/>
          <w:szCs w:val="32"/>
          <w:highlight w:val="none"/>
        </w:rPr>
        <w:t>当年</w:t>
      </w:r>
      <w:r>
        <w:rPr>
          <w:rFonts w:ascii="黑体" w:hAnsi="黑体" w:eastAsia="黑体" w:cs="宋体"/>
          <w:b w:val="0"/>
          <w:bCs w:val="0"/>
          <w:color w:val="000000"/>
          <w:kern w:val="0"/>
          <w:sz w:val="32"/>
          <w:szCs w:val="32"/>
          <w:highlight w:val="none"/>
        </w:rPr>
        <w:t>预算执行情况</w:t>
      </w:r>
    </w:p>
    <w:p>
      <w:pPr>
        <w:spacing w:line="560" w:lineRule="exact"/>
        <w:ind w:firstLine="640" w:firstLineChars="200"/>
        <w:rPr>
          <w:rFonts w:hint="eastAsia"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kern w:val="0"/>
          <w:sz w:val="32"/>
          <w:szCs w:val="32"/>
          <w:highlight w:val="none"/>
        </w:rPr>
        <w:t>2022</w:t>
      </w:r>
      <w:r>
        <w:rPr>
          <w:rFonts w:hint="eastAsia" w:ascii="仿宋_GB2312" w:hAnsi="宋体" w:eastAsia="仿宋_GB2312" w:cs="宋体"/>
          <w:b w:val="0"/>
          <w:bCs w:val="0"/>
          <w:color w:val="000000"/>
          <w:kern w:val="0"/>
          <w:sz w:val="32"/>
          <w:szCs w:val="32"/>
          <w:highlight w:val="none"/>
        </w:rPr>
        <w:t>年</w:t>
      </w:r>
      <w:r>
        <w:rPr>
          <w:rFonts w:ascii="仿宋_GB2312" w:hAnsi="宋体" w:eastAsia="仿宋_GB2312" w:cs="宋体"/>
          <w:b w:val="0"/>
          <w:bCs w:val="0"/>
          <w:color w:val="000000"/>
          <w:kern w:val="0"/>
          <w:sz w:val="32"/>
          <w:szCs w:val="32"/>
          <w:highlight w:val="none"/>
        </w:rPr>
        <w:t>全年</w:t>
      </w:r>
      <w:r>
        <w:rPr>
          <w:rFonts w:hint="eastAsia" w:ascii="仿宋_GB2312" w:hAnsi="宋体" w:eastAsia="仿宋_GB2312" w:cs="宋体"/>
          <w:b w:val="0"/>
          <w:bCs w:val="0"/>
          <w:color w:val="000000"/>
          <w:kern w:val="0"/>
          <w:sz w:val="32"/>
          <w:szCs w:val="32"/>
          <w:highlight w:val="none"/>
        </w:rPr>
        <w:t>预算</w:t>
      </w:r>
      <w:r>
        <w:rPr>
          <w:rFonts w:hint="eastAsia" w:ascii="仿宋_GB2312" w:hAnsi="宋体" w:eastAsia="仿宋_GB2312" w:cs="宋体"/>
          <w:b w:val="0"/>
          <w:bCs w:val="0"/>
          <w:color w:val="000000"/>
          <w:kern w:val="0"/>
          <w:sz w:val="32"/>
          <w:szCs w:val="32"/>
          <w:highlight w:val="none"/>
          <w:lang w:eastAsia="zh-CN"/>
        </w:rPr>
        <w:t>数</w:t>
      </w:r>
      <w:r>
        <w:rPr>
          <w:rFonts w:hint="eastAsia" w:ascii="仿宋_GB2312" w:hAnsi="宋体" w:eastAsia="仿宋_GB2312" w:cs="宋体"/>
          <w:b w:val="0"/>
          <w:bCs w:val="0"/>
          <w:color w:val="000000"/>
          <w:kern w:val="0"/>
          <w:sz w:val="32"/>
          <w:szCs w:val="32"/>
          <w:highlight w:val="none"/>
        </w:rPr>
        <w:t>16707.16万元</w:t>
      </w:r>
      <w:r>
        <w:rPr>
          <w:rFonts w:ascii="仿宋_GB2312" w:hAnsi="宋体" w:eastAsia="仿宋_GB2312" w:cs="宋体"/>
          <w:b w:val="0"/>
          <w:bCs w:val="0"/>
          <w:color w:val="000000"/>
          <w:kern w:val="0"/>
          <w:sz w:val="32"/>
          <w:szCs w:val="32"/>
          <w:highlight w:val="none"/>
        </w:rPr>
        <w:t>，</w:t>
      </w:r>
      <w:r>
        <w:rPr>
          <w:rFonts w:hint="eastAsia" w:ascii="仿宋_GB2312" w:hAnsi="宋体" w:eastAsia="仿宋_GB2312" w:cs="宋体"/>
          <w:b w:val="0"/>
          <w:bCs w:val="0"/>
          <w:color w:val="000000"/>
          <w:kern w:val="0"/>
          <w:sz w:val="32"/>
          <w:szCs w:val="32"/>
          <w:highlight w:val="none"/>
        </w:rPr>
        <w:t>其中</w:t>
      </w:r>
      <w:r>
        <w:rPr>
          <w:rFonts w:ascii="仿宋_GB2312" w:hAnsi="宋体" w:eastAsia="仿宋_GB2312" w:cs="宋体"/>
          <w:b w:val="0"/>
          <w:bCs w:val="0"/>
          <w:color w:val="000000"/>
          <w:kern w:val="0"/>
          <w:sz w:val="32"/>
          <w:szCs w:val="32"/>
          <w:highlight w:val="none"/>
        </w:rPr>
        <w:t>，基本</w:t>
      </w:r>
      <w:r>
        <w:rPr>
          <w:rFonts w:hint="eastAsia" w:ascii="仿宋_GB2312" w:hAnsi="宋体" w:eastAsia="仿宋_GB2312" w:cs="宋体"/>
          <w:b w:val="0"/>
          <w:bCs w:val="0"/>
          <w:color w:val="000000"/>
          <w:kern w:val="0"/>
          <w:sz w:val="32"/>
          <w:szCs w:val="32"/>
          <w:highlight w:val="none"/>
        </w:rPr>
        <w:t>支出</w:t>
      </w:r>
      <w:r>
        <w:rPr>
          <w:rFonts w:ascii="仿宋_GB2312" w:hAnsi="宋体" w:eastAsia="仿宋_GB2312" w:cs="宋体"/>
          <w:b w:val="0"/>
          <w:bCs w:val="0"/>
          <w:color w:val="000000"/>
          <w:kern w:val="0"/>
          <w:sz w:val="32"/>
          <w:szCs w:val="32"/>
          <w:highlight w:val="none"/>
        </w:rPr>
        <w:t>预算</w:t>
      </w:r>
      <w:r>
        <w:rPr>
          <w:rFonts w:hint="eastAsia" w:ascii="仿宋_GB2312" w:hAnsi="宋体" w:eastAsia="仿宋_GB2312" w:cs="宋体"/>
          <w:b w:val="0"/>
          <w:bCs w:val="0"/>
          <w:color w:val="000000"/>
          <w:kern w:val="0"/>
          <w:sz w:val="32"/>
          <w:szCs w:val="32"/>
          <w:highlight w:val="none"/>
        </w:rPr>
        <w:t>11695.58</w:t>
      </w:r>
      <w:r>
        <w:rPr>
          <w:rFonts w:ascii="仿宋_GB2312" w:hAnsi="宋体" w:eastAsia="仿宋_GB2312" w:cs="宋体"/>
          <w:b w:val="0"/>
          <w:bCs w:val="0"/>
          <w:color w:val="000000"/>
          <w:kern w:val="0"/>
          <w:sz w:val="32"/>
          <w:szCs w:val="32"/>
          <w:highlight w:val="none"/>
        </w:rPr>
        <w:t>万元，</w:t>
      </w:r>
      <w:r>
        <w:rPr>
          <w:rFonts w:hint="eastAsia" w:ascii="仿宋_GB2312" w:hAnsi="宋体" w:eastAsia="仿宋_GB2312" w:cs="宋体"/>
          <w:b w:val="0"/>
          <w:bCs w:val="0"/>
          <w:color w:val="000000"/>
          <w:kern w:val="0"/>
          <w:sz w:val="32"/>
          <w:szCs w:val="32"/>
          <w:highlight w:val="none"/>
        </w:rPr>
        <w:t>项目支出预算5011.58</w:t>
      </w:r>
      <w:r>
        <w:rPr>
          <w:rFonts w:ascii="仿宋_GB2312" w:hAnsi="宋体" w:eastAsia="仿宋_GB2312" w:cs="宋体"/>
          <w:b w:val="0"/>
          <w:bCs w:val="0"/>
          <w:color w:val="000000"/>
          <w:kern w:val="0"/>
          <w:sz w:val="32"/>
          <w:szCs w:val="32"/>
          <w:highlight w:val="none"/>
        </w:rPr>
        <w:t>万元</w:t>
      </w:r>
      <w:r>
        <w:rPr>
          <w:rFonts w:hint="eastAsia" w:ascii="仿宋_GB2312" w:hAnsi="宋体" w:eastAsia="仿宋_GB2312" w:cs="宋体"/>
          <w:b w:val="0"/>
          <w:bCs w:val="0"/>
          <w:color w:val="000000"/>
          <w:kern w:val="0"/>
          <w:sz w:val="32"/>
          <w:szCs w:val="32"/>
          <w:highlight w:val="none"/>
          <w:lang w:eastAsia="zh-CN"/>
        </w:rPr>
        <w:t>，其他支出预算</w:t>
      </w:r>
      <w:r>
        <w:rPr>
          <w:rFonts w:hint="eastAsia" w:ascii="仿宋_GB2312" w:hAnsi="宋体" w:eastAsia="仿宋_GB2312" w:cs="宋体"/>
          <w:b w:val="0"/>
          <w:bCs w:val="0"/>
          <w:color w:val="000000"/>
          <w:kern w:val="0"/>
          <w:sz w:val="32"/>
          <w:szCs w:val="32"/>
          <w:highlight w:val="none"/>
          <w:lang w:val="en-US" w:eastAsia="zh-CN"/>
        </w:rPr>
        <w:t>0.00万元</w:t>
      </w:r>
      <w:r>
        <w:rPr>
          <w:rFonts w:hint="eastAsia" w:ascii="仿宋_GB2312" w:hAnsi="宋体" w:eastAsia="仿宋_GB2312" w:cs="宋体"/>
          <w:b w:val="0"/>
          <w:bCs w:val="0"/>
          <w:color w:val="000000"/>
          <w:kern w:val="0"/>
          <w:sz w:val="32"/>
          <w:szCs w:val="32"/>
          <w:highlight w:val="none"/>
        </w:rPr>
        <w:t>。</w:t>
      </w:r>
      <w:r>
        <w:rPr>
          <w:rFonts w:hint="eastAsia" w:ascii="仿宋_GB2312" w:hAnsi="宋体" w:eastAsia="仿宋_GB2312" w:cs="宋体"/>
          <w:b w:val="0"/>
          <w:bCs w:val="0"/>
          <w:color w:val="000000"/>
          <w:kern w:val="0"/>
          <w:sz w:val="32"/>
          <w:szCs w:val="32"/>
          <w:highlight w:val="none"/>
          <w:lang w:eastAsia="zh-CN"/>
        </w:rPr>
        <w:t>资金总体</w:t>
      </w:r>
      <w:r>
        <w:rPr>
          <w:rFonts w:hint="eastAsia" w:ascii="仿宋_GB2312" w:hAnsi="宋体" w:eastAsia="仿宋_GB2312" w:cs="宋体"/>
          <w:b w:val="0"/>
          <w:bCs w:val="0"/>
          <w:color w:val="000000"/>
          <w:kern w:val="0"/>
          <w:sz w:val="32"/>
          <w:szCs w:val="32"/>
          <w:highlight w:val="none"/>
        </w:rPr>
        <w:t>支出15774.63</w:t>
      </w:r>
      <w:r>
        <w:rPr>
          <w:rFonts w:ascii="仿宋_GB2312" w:hAnsi="宋体" w:eastAsia="仿宋_GB2312" w:cs="宋体"/>
          <w:b w:val="0"/>
          <w:bCs w:val="0"/>
          <w:color w:val="000000"/>
          <w:kern w:val="0"/>
          <w:sz w:val="32"/>
          <w:szCs w:val="32"/>
          <w:highlight w:val="none"/>
        </w:rPr>
        <w:t>万元，其中，基本支出</w:t>
      </w:r>
      <w:r>
        <w:rPr>
          <w:rFonts w:hint="eastAsia" w:ascii="仿宋_GB2312" w:hAnsi="宋体" w:eastAsia="仿宋_GB2312" w:cs="宋体"/>
          <w:b w:val="0"/>
          <w:bCs w:val="0"/>
          <w:color w:val="000000"/>
          <w:kern w:val="0"/>
          <w:sz w:val="32"/>
          <w:szCs w:val="32"/>
          <w:highlight w:val="none"/>
        </w:rPr>
        <w:t>11279.16</w:t>
      </w:r>
      <w:r>
        <w:rPr>
          <w:rFonts w:ascii="仿宋_GB2312" w:hAnsi="宋体" w:eastAsia="仿宋_GB2312" w:cs="宋体"/>
          <w:b w:val="0"/>
          <w:bCs w:val="0"/>
          <w:color w:val="000000"/>
          <w:kern w:val="0"/>
          <w:sz w:val="32"/>
          <w:szCs w:val="32"/>
          <w:highlight w:val="none"/>
        </w:rPr>
        <w:t>万元，项目</w:t>
      </w:r>
      <w:r>
        <w:rPr>
          <w:rFonts w:hint="eastAsia" w:ascii="仿宋_GB2312" w:hAnsi="宋体" w:eastAsia="仿宋_GB2312" w:cs="宋体"/>
          <w:b w:val="0"/>
          <w:bCs w:val="0"/>
          <w:color w:val="000000"/>
          <w:kern w:val="0"/>
          <w:sz w:val="32"/>
          <w:szCs w:val="32"/>
          <w:highlight w:val="none"/>
        </w:rPr>
        <w:t>支出4495.47</w:t>
      </w:r>
      <w:r>
        <w:rPr>
          <w:rFonts w:ascii="仿宋_GB2312" w:hAnsi="宋体" w:eastAsia="仿宋_GB2312" w:cs="宋体"/>
          <w:b w:val="0"/>
          <w:bCs w:val="0"/>
          <w:color w:val="000000"/>
          <w:kern w:val="0"/>
          <w:sz w:val="32"/>
          <w:szCs w:val="32"/>
          <w:highlight w:val="none"/>
        </w:rPr>
        <w:t>万元</w:t>
      </w:r>
      <w:r>
        <w:rPr>
          <w:rFonts w:hint="eastAsia" w:ascii="仿宋_GB2312" w:hAnsi="宋体" w:eastAsia="仿宋_GB2312" w:cs="宋体"/>
          <w:b w:val="0"/>
          <w:bCs w:val="0"/>
          <w:color w:val="000000"/>
          <w:kern w:val="0"/>
          <w:sz w:val="32"/>
          <w:szCs w:val="32"/>
          <w:highlight w:val="none"/>
          <w:lang w:eastAsia="zh-CN"/>
        </w:rPr>
        <w:t>，其他支出</w:t>
      </w:r>
      <w:r>
        <w:rPr>
          <w:rFonts w:hint="eastAsia" w:ascii="仿宋_GB2312" w:hAnsi="宋体" w:eastAsia="仿宋_GB2312" w:cs="宋体"/>
          <w:b w:val="0"/>
          <w:bCs w:val="0"/>
          <w:color w:val="000000"/>
          <w:kern w:val="0"/>
          <w:sz w:val="32"/>
          <w:szCs w:val="32"/>
          <w:highlight w:val="none"/>
          <w:lang w:val="en-US" w:eastAsia="zh-CN"/>
        </w:rPr>
        <w:t>0.00万元</w:t>
      </w:r>
      <w:r>
        <w:rPr>
          <w:rFonts w:ascii="仿宋_GB2312" w:hAnsi="宋体" w:eastAsia="仿宋_GB2312" w:cs="宋体"/>
          <w:b w:val="0"/>
          <w:bCs w:val="0"/>
          <w:color w:val="000000"/>
          <w:kern w:val="0"/>
          <w:sz w:val="32"/>
          <w:szCs w:val="32"/>
          <w:highlight w:val="none"/>
        </w:rPr>
        <w:t>。</w:t>
      </w:r>
      <w:r>
        <w:rPr>
          <w:rFonts w:hint="eastAsia" w:ascii="仿宋_GB2312" w:hAnsi="宋体" w:eastAsia="仿宋_GB2312" w:cs="宋体"/>
          <w:b w:val="0"/>
          <w:bCs w:val="0"/>
          <w:color w:val="000000"/>
          <w:kern w:val="0"/>
          <w:sz w:val="32"/>
          <w:szCs w:val="32"/>
          <w:highlight w:val="none"/>
        </w:rPr>
        <w:t>预算</w:t>
      </w:r>
      <w:r>
        <w:rPr>
          <w:rFonts w:ascii="仿宋_GB2312" w:hAnsi="宋体" w:eastAsia="仿宋_GB2312" w:cs="宋体"/>
          <w:b w:val="0"/>
          <w:bCs w:val="0"/>
          <w:color w:val="000000"/>
          <w:kern w:val="0"/>
          <w:sz w:val="32"/>
          <w:szCs w:val="32"/>
          <w:highlight w:val="none"/>
        </w:rPr>
        <w:t>执行率为</w:t>
      </w:r>
      <w:r>
        <w:rPr>
          <w:rFonts w:hint="eastAsia" w:ascii="仿宋_GB2312" w:hAnsi="宋体" w:eastAsia="仿宋_GB2312" w:cs="宋体"/>
          <w:b w:val="0"/>
          <w:bCs w:val="0"/>
          <w:color w:val="000000"/>
          <w:kern w:val="0"/>
          <w:sz w:val="32"/>
          <w:szCs w:val="32"/>
          <w:highlight w:val="none"/>
          <w:lang w:val="en-US" w:eastAsia="zh-CN"/>
        </w:rPr>
        <w:t>94.42</w:t>
      </w:r>
      <w:r>
        <w:rPr>
          <w:rFonts w:hint="eastAsia" w:ascii="仿宋_GB2312" w:hAnsi="宋体" w:eastAsia="仿宋_GB2312" w:cs="宋体"/>
          <w:b w:val="0"/>
          <w:bCs w:val="0"/>
          <w:color w:val="000000"/>
          <w:kern w:val="0"/>
          <w:sz w:val="32"/>
          <w:szCs w:val="32"/>
          <w:highlight w:val="none"/>
        </w:rPr>
        <w:t>%。</w:t>
      </w:r>
    </w:p>
    <w:p>
      <w:pPr>
        <w:spacing w:line="560" w:lineRule="exact"/>
        <w:ind w:firstLine="640" w:firstLineChars="200"/>
        <w:rPr>
          <w:rFonts w:ascii="黑体" w:hAnsi="黑体" w:eastAsia="黑体" w:cs="宋体"/>
          <w:b w:val="0"/>
          <w:bCs w:val="0"/>
          <w:color w:val="000000"/>
          <w:kern w:val="0"/>
          <w:sz w:val="32"/>
          <w:szCs w:val="32"/>
          <w:highlight w:val="none"/>
        </w:rPr>
      </w:pPr>
      <w:r>
        <w:rPr>
          <w:rFonts w:hint="eastAsia" w:ascii="黑体" w:hAnsi="黑体" w:eastAsia="黑体" w:cs="宋体"/>
          <w:b w:val="0"/>
          <w:bCs w:val="0"/>
          <w:color w:val="000000"/>
          <w:kern w:val="0"/>
          <w:sz w:val="32"/>
          <w:szCs w:val="32"/>
          <w:highlight w:val="none"/>
        </w:rPr>
        <w:t>三</w:t>
      </w:r>
      <w:r>
        <w:rPr>
          <w:rFonts w:ascii="黑体" w:hAnsi="黑体" w:eastAsia="黑体" w:cs="宋体"/>
          <w:b w:val="0"/>
          <w:bCs w:val="0"/>
          <w:color w:val="000000"/>
          <w:kern w:val="0"/>
          <w:sz w:val="32"/>
          <w:szCs w:val="32"/>
          <w:highlight w:val="none"/>
        </w:rPr>
        <w:t>、整体绩效目标实现情况</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（一）产出完成情况分析</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1.产出数量</w:t>
      </w:r>
    </w:p>
    <w:p>
      <w:pPr>
        <w:spacing w:line="560" w:lineRule="exact"/>
        <w:ind w:firstLine="640" w:firstLineChars="200"/>
        <w:rPr>
          <w:rFonts w:hint="eastAsia"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各项工作任务均已完成</w:t>
      </w:r>
      <w:r>
        <w:rPr>
          <w:rFonts w:hint="eastAsia" w:ascii="仿宋_GB2312" w:hAnsi="宋体" w:eastAsia="仿宋_GB2312" w:cs="宋体"/>
          <w:b w:val="0"/>
          <w:bCs w:val="0"/>
          <w:color w:val="000000"/>
          <w:kern w:val="0"/>
          <w:sz w:val="32"/>
          <w:szCs w:val="32"/>
          <w:highlight w:val="none"/>
          <w:lang w:eastAsia="zh-CN"/>
        </w:rPr>
        <w:t>。</w:t>
      </w:r>
      <w:r>
        <w:rPr>
          <w:rFonts w:hint="eastAsia" w:ascii="仿宋_GB2312" w:hAnsi="宋体" w:eastAsia="仿宋_GB2312" w:cs="宋体"/>
          <w:b w:val="0"/>
          <w:bCs w:val="0"/>
          <w:color w:val="000000"/>
          <w:kern w:val="0"/>
          <w:sz w:val="32"/>
          <w:szCs w:val="32"/>
          <w:highlight w:val="none"/>
        </w:rPr>
        <w:t>产出数量符合整体绩效目标要求。</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2.产出质量</w:t>
      </w:r>
    </w:p>
    <w:p>
      <w:pPr>
        <w:spacing w:line="560" w:lineRule="exact"/>
        <w:ind w:firstLine="640" w:firstLineChars="200"/>
        <w:rPr>
          <w:rFonts w:hint="eastAsia"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根据年度工作目标，认真落实市委决策部署，主动适应新形势新任务新要求，在调研、督查、信息、法规、会议、公文办理、文稿起草等各方面</w:t>
      </w:r>
      <w:r>
        <w:rPr>
          <w:rFonts w:hint="eastAsia" w:ascii="仿宋_GB2312" w:hAnsi="宋体" w:eastAsia="仿宋_GB2312" w:cs="宋体"/>
          <w:b w:val="0"/>
          <w:bCs w:val="0"/>
          <w:color w:val="000000"/>
          <w:kern w:val="0"/>
          <w:sz w:val="32"/>
          <w:szCs w:val="32"/>
          <w:highlight w:val="none"/>
          <w:lang w:eastAsia="zh-CN"/>
        </w:rPr>
        <w:t>持续发力</w:t>
      </w:r>
      <w:r>
        <w:rPr>
          <w:rFonts w:hint="eastAsia" w:ascii="仿宋_GB2312" w:hAnsi="宋体" w:eastAsia="仿宋_GB2312" w:cs="宋体"/>
          <w:b w:val="0"/>
          <w:bCs w:val="0"/>
          <w:color w:val="000000"/>
          <w:kern w:val="0"/>
          <w:sz w:val="32"/>
          <w:szCs w:val="32"/>
          <w:highlight w:val="none"/>
        </w:rPr>
        <w:t>。产出质量符合整体绩效目标要求。</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3.产出</w:t>
      </w:r>
      <w:r>
        <w:rPr>
          <w:rFonts w:ascii="仿宋_GB2312" w:hAnsi="宋体" w:eastAsia="仿宋_GB2312" w:cs="宋体"/>
          <w:b w:val="0"/>
          <w:bCs w:val="0"/>
          <w:color w:val="000000"/>
          <w:kern w:val="0"/>
          <w:sz w:val="32"/>
          <w:szCs w:val="32"/>
          <w:highlight w:val="none"/>
        </w:rPr>
        <w:t>进度</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各项工作任务按照进度计划开展，根据工作变化，及时做出经费预算调整，支出进度与工作进度相匹配</w:t>
      </w:r>
      <w:r>
        <w:rPr>
          <w:rFonts w:hint="eastAsia" w:ascii="仿宋_GB2312" w:hAnsi="宋体" w:eastAsia="仿宋_GB2312" w:cs="宋体"/>
          <w:b w:val="0"/>
          <w:bCs w:val="0"/>
          <w:color w:val="000000"/>
          <w:kern w:val="0"/>
          <w:sz w:val="32"/>
          <w:szCs w:val="32"/>
          <w:highlight w:val="none"/>
          <w:lang w:eastAsia="zh-CN"/>
        </w:rPr>
        <w:t>。</w:t>
      </w:r>
      <w:r>
        <w:rPr>
          <w:rFonts w:hint="eastAsia" w:ascii="仿宋_GB2312" w:hAnsi="宋体" w:eastAsia="仿宋_GB2312" w:cs="宋体"/>
          <w:b w:val="0"/>
          <w:bCs w:val="0"/>
          <w:color w:val="000000"/>
          <w:kern w:val="0"/>
          <w:sz w:val="32"/>
          <w:szCs w:val="32"/>
          <w:highlight w:val="none"/>
        </w:rPr>
        <w:t>产出</w:t>
      </w:r>
      <w:r>
        <w:rPr>
          <w:rFonts w:hint="eastAsia" w:ascii="仿宋_GB2312" w:hAnsi="宋体" w:eastAsia="仿宋_GB2312" w:cs="宋体"/>
          <w:b w:val="0"/>
          <w:bCs w:val="0"/>
          <w:color w:val="000000"/>
          <w:kern w:val="0"/>
          <w:sz w:val="32"/>
          <w:szCs w:val="32"/>
          <w:highlight w:val="none"/>
          <w:lang w:eastAsia="zh-CN"/>
        </w:rPr>
        <w:t>进度</w:t>
      </w:r>
      <w:r>
        <w:rPr>
          <w:rFonts w:hint="eastAsia" w:ascii="仿宋_GB2312" w:hAnsi="宋体" w:eastAsia="仿宋_GB2312" w:cs="宋体"/>
          <w:b w:val="0"/>
          <w:bCs w:val="0"/>
          <w:color w:val="000000"/>
          <w:kern w:val="0"/>
          <w:sz w:val="32"/>
          <w:szCs w:val="32"/>
          <w:highlight w:val="none"/>
        </w:rPr>
        <w:t>符合整体绩效目标要求。</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ascii="仿宋_GB2312" w:hAnsi="宋体" w:eastAsia="仿宋_GB2312" w:cs="宋体"/>
          <w:b w:val="0"/>
          <w:bCs w:val="0"/>
          <w:color w:val="000000"/>
          <w:kern w:val="0"/>
          <w:sz w:val="32"/>
          <w:szCs w:val="32"/>
          <w:highlight w:val="none"/>
        </w:rPr>
        <w:t>4.</w:t>
      </w:r>
      <w:r>
        <w:rPr>
          <w:rFonts w:hint="eastAsia" w:ascii="仿宋_GB2312" w:hAnsi="宋体" w:eastAsia="仿宋_GB2312" w:cs="宋体"/>
          <w:b w:val="0"/>
          <w:bCs w:val="0"/>
          <w:color w:val="000000"/>
          <w:kern w:val="0"/>
          <w:sz w:val="32"/>
          <w:szCs w:val="32"/>
          <w:highlight w:val="none"/>
        </w:rPr>
        <w:t>产出</w:t>
      </w:r>
      <w:r>
        <w:rPr>
          <w:rFonts w:ascii="仿宋_GB2312" w:hAnsi="宋体" w:eastAsia="仿宋_GB2312" w:cs="宋体"/>
          <w:b w:val="0"/>
          <w:bCs w:val="0"/>
          <w:color w:val="000000"/>
          <w:kern w:val="0"/>
          <w:sz w:val="32"/>
          <w:szCs w:val="32"/>
          <w:highlight w:val="none"/>
        </w:rPr>
        <w:t>成本</w:t>
      </w:r>
    </w:p>
    <w:p>
      <w:pPr>
        <w:spacing w:line="560" w:lineRule="exact"/>
        <w:ind w:firstLine="640" w:firstLineChars="200"/>
        <w:rPr>
          <w:rFonts w:hint="eastAsia" w:ascii="仿宋_GB2312" w:hAnsi="宋体" w:eastAsia="仿宋_GB2312" w:cs="宋体"/>
          <w:b w:val="0"/>
          <w:bCs w:val="0"/>
          <w:color w:val="000000"/>
          <w:kern w:val="0"/>
          <w:sz w:val="32"/>
          <w:szCs w:val="32"/>
          <w:highlight w:val="none"/>
          <w:lang w:eastAsia="zh-CN"/>
        </w:rPr>
      </w:pPr>
      <w:r>
        <w:rPr>
          <w:rFonts w:hint="eastAsia" w:ascii="仿宋_GB2312" w:hAnsi="宋体" w:eastAsia="仿宋_GB2312" w:cs="宋体"/>
          <w:b w:val="0"/>
          <w:bCs w:val="0"/>
          <w:color w:val="000000"/>
          <w:kern w:val="0"/>
          <w:sz w:val="32"/>
          <w:szCs w:val="32"/>
          <w:highlight w:val="none"/>
          <w:lang w:eastAsia="zh-CN"/>
        </w:rPr>
        <w:t>认真贯彻</w:t>
      </w:r>
      <w:r>
        <w:rPr>
          <w:rFonts w:hint="eastAsia" w:ascii="仿宋_GB2312" w:hAnsi="宋体" w:eastAsia="仿宋_GB2312" w:cs="宋体"/>
          <w:b w:val="0"/>
          <w:bCs w:val="0"/>
          <w:color w:val="000000"/>
          <w:kern w:val="0"/>
          <w:sz w:val="32"/>
          <w:szCs w:val="32"/>
          <w:highlight w:val="none"/>
        </w:rPr>
        <w:t>落实过“紧日子”</w:t>
      </w:r>
      <w:r>
        <w:rPr>
          <w:rFonts w:hint="eastAsia" w:ascii="仿宋_GB2312" w:hAnsi="宋体" w:eastAsia="仿宋_GB2312" w:cs="宋体"/>
          <w:b w:val="0"/>
          <w:bCs w:val="0"/>
          <w:color w:val="000000"/>
          <w:kern w:val="0"/>
          <w:sz w:val="32"/>
          <w:szCs w:val="32"/>
          <w:highlight w:val="none"/>
          <w:lang w:eastAsia="zh-CN"/>
        </w:rPr>
        <w:t>要求</w:t>
      </w:r>
      <w:r>
        <w:rPr>
          <w:rFonts w:hint="eastAsia" w:ascii="仿宋_GB2312" w:hAnsi="宋体" w:eastAsia="仿宋_GB2312" w:cs="宋体"/>
          <w:b w:val="0"/>
          <w:bCs w:val="0"/>
          <w:color w:val="000000"/>
          <w:kern w:val="0"/>
          <w:sz w:val="32"/>
          <w:szCs w:val="32"/>
          <w:highlight w:val="none"/>
        </w:rPr>
        <w:t>，</w:t>
      </w:r>
      <w:r>
        <w:rPr>
          <w:rFonts w:hint="eastAsia" w:ascii="仿宋_GB2312" w:hAnsi="宋体" w:eastAsia="仿宋_GB2312" w:cs="宋体"/>
          <w:b w:val="0"/>
          <w:bCs w:val="0"/>
          <w:color w:val="000000"/>
          <w:kern w:val="0"/>
          <w:sz w:val="32"/>
          <w:szCs w:val="32"/>
          <w:highlight w:val="none"/>
          <w:lang w:eastAsia="zh-CN"/>
        </w:rPr>
        <w:t>加强预算执行管理，厉行勤俭节约，</w:t>
      </w:r>
      <w:r>
        <w:rPr>
          <w:rFonts w:hint="eastAsia" w:ascii="仿宋_GB2312" w:hAnsi="宋体" w:eastAsia="仿宋_GB2312" w:cs="宋体"/>
          <w:b w:val="0"/>
          <w:bCs w:val="0"/>
          <w:color w:val="000000"/>
          <w:kern w:val="0"/>
          <w:sz w:val="32"/>
          <w:szCs w:val="32"/>
          <w:highlight w:val="none"/>
        </w:rPr>
        <w:t>压缩一般性开支</w:t>
      </w:r>
      <w:r>
        <w:rPr>
          <w:rFonts w:hint="eastAsia" w:ascii="仿宋_GB2312" w:hAnsi="宋体" w:eastAsia="仿宋_GB2312" w:cs="宋体"/>
          <w:b w:val="0"/>
          <w:bCs w:val="0"/>
          <w:color w:val="000000"/>
          <w:kern w:val="0"/>
          <w:sz w:val="32"/>
          <w:szCs w:val="32"/>
          <w:highlight w:val="none"/>
          <w:lang w:eastAsia="zh-CN"/>
        </w:rPr>
        <w:t>，严格预算约束</w:t>
      </w:r>
      <w:r>
        <w:rPr>
          <w:rFonts w:hint="eastAsia" w:ascii="仿宋_GB2312" w:hAnsi="宋体" w:eastAsia="仿宋_GB2312" w:cs="宋体"/>
          <w:b w:val="0"/>
          <w:bCs w:val="0"/>
          <w:color w:val="000000"/>
          <w:kern w:val="0"/>
          <w:sz w:val="32"/>
          <w:szCs w:val="32"/>
          <w:highlight w:val="none"/>
        </w:rPr>
        <w:t>，</w:t>
      </w:r>
      <w:r>
        <w:rPr>
          <w:rFonts w:hint="eastAsia" w:ascii="仿宋_GB2312" w:hAnsi="宋体" w:eastAsia="仿宋_GB2312" w:cs="宋体"/>
          <w:b w:val="0"/>
          <w:bCs w:val="0"/>
          <w:color w:val="000000"/>
          <w:kern w:val="0"/>
          <w:sz w:val="32"/>
          <w:szCs w:val="32"/>
          <w:highlight w:val="none"/>
          <w:lang w:eastAsia="zh-CN"/>
        </w:rPr>
        <w:t>注重</w:t>
      </w:r>
      <w:r>
        <w:rPr>
          <w:rFonts w:hint="eastAsia" w:ascii="仿宋_GB2312" w:hAnsi="宋体" w:eastAsia="仿宋_GB2312" w:cs="宋体"/>
          <w:b w:val="0"/>
          <w:bCs w:val="0"/>
          <w:color w:val="000000"/>
          <w:kern w:val="0"/>
          <w:sz w:val="32"/>
          <w:szCs w:val="32"/>
          <w:highlight w:val="none"/>
        </w:rPr>
        <w:t>成本效益</w:t>
      </w:r>
      <w:r>
        <w:rPr>
          <w:rFonts w:hint="eastAsia" w:ascii="仿宋_GB2312" w:hAnsi="宋体" w:eastAsia="仿宋_GB2312" w:cs="宋体"/>
          <w:b w:val="0"/>
          <w:bCs w:val="0"/>
          <w:color w:val="000000"/>
          <w:kern w:val="0"/>
          <w:sz w:val="32"/>
          <w:szCs w:val="32"/>
          <w:highlight w:val="none"/>
          <w:lang w:eastAsia="zh-CN"/>
        </w:rPr>
        <w:t>提升</w:t>
      </w:r>
      <w:r>
        <w:rPr>
          <w:rFonts w:hint="eastAsia" w:ascii="仿宋_GB2312" w:hAnsi="宋体" w:eastAsia="仿宋_GB2312" w:cs="宋体"/>
          <w:b w:val="0"/>
          <w:bCs w:val="0"/>
          <w:color w:val="000000"/>
          <w:kern w:val="0"/>
          <w:sz w:val="32"/>
          <w:szCs w:val="32"/>
          <w:highlight w:val="none"/>
        </w:rPr>
        <w:t>，明确各类支出标准，加强</w:t>
      </w:r>
      <w:r>
        <w:rPr>
          <w:rFonts w:hint="eastAsia" w:ascii="仿宋_GB2312" w:hAnsi="宋体" w:eastAsia="仿宋_GB2312" w:cs="宋体"/>
          <w:b w:val="0"/>
          <w:bCs w:val="0"/>
          <w:color w:val="000000"/>
          <w:kern w:val="0"/>
          <w:sz w:val="32"/>
          <w:szCs w:val="32"/>
          <w:highlight w:val="none"/>
          <w:lang w:eastAsia="zh-CN"/>
        </w:rPr>
        <w:t>预算</w:t>
      </w:r>
      <w:r>
        <w:rPr>
          <w:rFonts w:hint="eastAsia" w:ascii="仿宋_GB2312" w:hAnsi="宋体" w:eastAsia="仿宋_GB2312" w:cs="宋体"/>
          <w:b w:val="0"/>
          <w:bCs w:val="0"/>
          <w:color w:val="000000"/>
          <w:kern w:val="0"/>
          <w:sz w:val="32"/>
          <w:szCs w:val="32"/>
          <w:highlight w:val="none"/>
        </w:rPr>
        <w:t>评审，有效降低产出成本。产出</w:t>
      </w:r>
      <w:r>
        <w:rPr>
          <w:rFonts w:hint="eastAsia" w:ascii="仿宋_GB2312" w:hAnsi="宋体" w:eastAsia="仿宋_GB2312" w:cs="宋体"/>
          <w:b w:val="0"/>
          <w:bCs w:val="0"/>
          <w:color w:val="000000"/>
          <w:kern w:val="0"/>
          <w:sz w:val="32"/>
          <w:szCs w:val="32"/>
          <w:highlight w:val="none"/>
          <w:lang w:eastAsia="zh-CN"/>
        </w:rPr>
        <w:t>成本</w:t>
      </w:r>
      <w:r>
        <w:rPr>
          <w:rFonts w:hint="eastAsia" w:ascii="仿宋_GB2312" w:hAnsi="宋体" w:eastAsia="仿宋_GB2312" w:cs="宋体"/>
          <w:b w:val="0"/>
          <w:bCs w:val="0"/>
          <w:color w:val="000000"/>
          <w:kern w:val="0"/>
          <w:sz w:val="32"/>
          <w:szCs w:val="32"/>
          <w:highlight w:val="none"/>
        </w:rPr>
        <w:t>符合整体绩效目标要求。</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（二）效果</w:t>
      </w:r>
      <w:r>
        <w:rPr>
          <w:rFonts w:ascii="楷体_GB2312" w:eastAsia="楷体_GB2312"/>
          <w:b w:val="0"/>
          <w:bCs w:val="0"/>
          <w:sz w:val="32"/>
          <w:szCs w:val="32"/>
          <w:highlight w:val="none"/>
        </w:rPr>
        <w:t>实现情况分析</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1.社会效益</w:t>
      </w:r>
    </w:p>
    <w:p>
      <w:pPr>
        <w:spacing w:line="560" w:lineRule="exact"/>
        <w:ind w:firstLine="640" w:firstLineChars="200"/>
        <w:rPr>
          <w:rFonts w:hint="eastAsia"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lang w:eastAsia="zh-CN"/>
        </w:rPr>
        <w:t>高</w:t>
      </w:r>
      <w:r>
        <w:rPr>
          <w:rFonts w:hint="eastAsia" w:ascii="仿宋_GB2312" w:hAnsi="宋体" w:eastAsia="仿宋_GB2312" w:cs="宋体"/>
          <w:b w:val="0"/>
          <w:bCs w:val="0"/>
          <w:color w:val="000000"/>
          <w:kern w:val="0"/>
          <w:sz w:val="32"/>
          <w:szCs w:val="32"/>
          <w:highlight w:val="none"/>
        </w:rPr>
        <w:t>效做好党的二十大</w:t>
      </w:r>
      <w:r>
        <w:rPr>
          <w:rFonts w:hint="eastAsia" w:ascii="仿宋_GB2312" w:hAnsi="宋体" w:eastAsia="仿宋_GB2312" w:cs="宋体"/>
          <w:b w:val="0"/>
          <w:bCs w:val="0"/>
          <w:color w:val="000000"/>
          <w:kern w:val="0"/>
          <w:sz w:val="32"/>
          <w:szCs w:val="32"/>
          <w:highlight w:val="none"/>
          <w:lang w:eastAsia="zh-CN"/>
        </w:rPr>
        <w:t>和市委重要会议</w:t>
      </w:r>
      <w:r>
        <w:rPr>
          <w:rFonts w:hint="eastAsia" w:ascii="仿宋_GB2312" w:hAnsi="宋体" w:eastAsia="仿宋_GB2312" w:cs="宋体"/>
          <w:b w:val="0"/>
          <w:bCs w:val="0"/>
          <w:color w:val="000000"/>
          <w:kern w:val="0"/>
          <w:sz w:val="32"/>
          <w:szCs w:val="32"/>
          <w:highlight w:val="none"/>
        </w:rPr>
        <w:t>服务保障工作</w:t>
      </w:r>
      <w:r>
        <w:rPr>
          <w:rFonts w:hint="eastAsia" w:ascii="仿宋_GB2312" w:hAnsi="宋体" w:eastAsia="仿宋_GB2312" w:cs="宋体"/>
          <w:b w:val="0"/>
          <w:bCs w:val="0"/>
          <w:color w:val="000000"/>
          <w:kern w:val="0"/>
          <w:sz w:val="32"/>
          <w:szCs w:val="32"/>
          <w:highlight w:val="none"/>
          <w:lang w:eastAsia="zh-CN"/>
        </w:rPr>
        <w:t>，</w:t>
      </w:r>
      <w:r>
        <w:rPr>
          <w:rFonts w:hint="eastAsia" w:ascii="仿宋_GB2312" w:hAnsi="宋体" w:eastAsia="仿宋_GB2312" w:cs="宋体"/>
          <w:b w:val="0"/>
          <w:bCs w:val="0"/>
          <w:color w:val="000000"/>
          <w:kern w:val="0"/>
          <w:sz w:val="32"/>
          <w:szCs w:val="32"/>
          <w:highlight w:val="none"/>
        </w:rPr>
        <w:t>健全完善重要会议服务保障工作日调度机制，精益求精做好会务组织服务工作。圆满完成冬奥会冬残奥会筹办举办服务保障任务。持之以恒抓好疫情防控，服务保障疫情防控机制有序运转，因时因势优化完善防控措施，服务保障社会面防控和重大活动安全。</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2.可持续影响力</w:t>
      </w:r>
    </w:p>
    <w:p>
      <w:pPr>
        <w:spacing w:line="560" w:lineRule="exact"/>
        <w:ind w:firstLine="640" w:firstLineChars="200"/>
        <w:rPr>
          <w:rFonts w:hint="eastAsia"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rPr>
        <w:t>聚焦</w:t>
      </w:r>
      <w:r>
        <w:rPr>
          <w:rFonts w:hint="eastAsia" w:ascii="仿宋_GB2312" w:hAnsi="宋体" w:eastAsia="仿宋_GB2312" w:cs="宋体"/>
          <w:b w:val="0"/>
          <w:bCs w:val="0"/>
          <w:color w:val="000000"/>
          <w:kern w:val="0"/>
          <w:sz w:val="32"/>
          <w:szCs w:val="32"/>
          <w:highlight w:val="none"/>
          <w:lang w:eastAsia="zh-CN"/>
        </w:rPr>
        <w:t>重点领域</w:t>
      </w:r>
      <w:r>
        <w:rPr>
          <w:rFonts w:hint="eastAsia" w:ascii="仿宋_GB2312" w:hAnsi="宋体" w:eastAsia="仿宋_GB2312" w:cs="宋体"/>
          <w:b w:val="0"/>
          <w:bCs w:val="0"/>
          <w:color w:val="000000"/>
          <w:kern w:val="0"/>
          <w:sz w:val="32"/>
          <w:szCs w:val="32"/>
          <w:highlight w:val="none"/>
        </w:rPr>
        <w:t>持续跟进研究，坚持问题导向，紧贴决策需求，持续提升了市委重要会议组织服务水平。</w:t>
      </w:r>
      <w:r>
        <w:rPr>
          <w:rFonts w:hint="eastAsia" w:ascii="仿宋_GB2312" w:hAnsi="宋体" w:eastAsia="仿宋_GB2312" w:cs="宋体"/>
          <w:b w:val="0"/>
          <w:bCs w:val="0"/>
          <w:color w:val="000000"/>
          <w:kern w:val="0"/>
          <w:sz w:val="32"/>
          <w:szCs w:val="32"/>
          <w:highlight w:val="none"/>
          <w:lang w:eastAsia="zh-CN"/>
        </w:rPr>
        <w:t>同时持续</w:t>
      </w:r>
      <w:r>
        <w:rPr>
          <w:rFonts w:hint="eastAsia" w:ascii="仿宋_GB2312" w:hAnsi="宋体" w:eastAsia="仿宋_GB2312" w:cs="宋体"/>
          <w:b w:val="0"/>
          <w:bCs w:val="0"/>
          <w:color w:val="000000"/>
          <w:kern w:val="0"/>
          <w:sz w:val="32"/>
          <w:szCs w:val="32"/>
          <w:highlight w:val="none"/>
        </w:rPr>
        <w:t>强化统筹指导</w:t>
      </w:r>
      <w:r>
        <w:rPr>
          <w:rFonts w:hint="eastAsia" w:ascii="仿宋_GB2312" w:hAnsi="宋体" w:eastAsia="仿宋_GB2312" w:cs="宋体"/>
          <w:b w:val="0"/>
          <w:bCs w:val="0"/>
          <w:color w:val="000000"/>
          <w:kern w:val="0"/>
          <w:sz w:val="32"/>
          <w:szCs w:val="32"/>
          <w:highlight w:val="none"/>
          <w:lang w:eastAsia="zh-CN"/>
        </w:rPr>
        <w:t>，</w:t>
      </w:r>
      <w:r>
        <w:rPr>
          <w:rFonts w:hint="eastAsia" w:ascii="仿宋_GB2312" w:hAnsi="宋体" w:eastAsia="仿宋_GB2312" w:cs="宋体"/>
          <w:b w:val="0"/>
          <w:bCs w:val="0"/>
          <w:color w:val="000000"/>
          <w:kern w:val="0"/>
          <w:sz w:val="32"/>
          <w:szCs w:val="32"/>
          <w:highlight w:val="none"/>
        </w:rPr>
        <w:t>巩固强化党委信息主渠道作用</w:t>
      </w:r>
      <w:r>
        <w:rPr>
          <w:rFonts w:hint="eastAsia" w:ascii="仿宋_GB2312" w:hAnsi="宋体" w:eastAsia="仿宋_GB2312" w:cs="宋体"/>
          <w:b w:val="0"/>
          <w:bCs w:val="0"/>
          <w:color w:val="000000"/>
          <w:kern w:val="0"/>
          <w:sz w:val="32"/>
          <w:szCs w:val="32"/>
          <w:highlight w:val="none"/>
          <w:lang w:eastAsia="zh-CN"/>
        </w:rPr>
        <w:t>，</w:t>
      </w:r>
      <w:r>
        <w:rPr>
          <w:rFonts w:hint="eastAsia" w:ascii="仿宋_GB2312" w:hAnsi="宋体" w:eastAsia="仿宋_GB2312" w:cs="宋体"/>
          <w:b w:val="0"/>
          <w:bCs w:val="0"/>
          <w:color w:val="000000"/>
          <w:kern w:val="0"/>
          <w:sz w:val="32"/>
          <w:szCs w:val="32"/>
          <w:highlight w:val="none"/>
        </w:rPr>
        <w:t>不断拓展信息深度，</w:t>
      </w:r>
      <w:r>
        <w:rPr>
          <w:rFonts w:hint="eastAsia" w:ascii="仿宋_GB2312" w:hAnsi="宋体" w:eastAsia="仿宋_GB2312" w:cs="宋体"/>
          <w:b w:val="0"/>
          <w:bCs w:val="0"/>
          <w:color w:val="000000"/>
          <w:kern w:val="0"/>
          <w:sz w:val="32"/>
          <w:szCs w:val="32"/>
          <w:highlight w:val="none"/>
          <w:lang w:eastAsia="zh-CN"/>
        </w:rPr>
        <w:t>提升服务决策水平</w:t>
      </w:r>
      <w:r>
        <w:rPr>
          <w:rFonts w:hint="eastAsia" w:ascii="仿宋_GB2312" w:hAnsi="宋体" w:eastAsia="仿宋_GB2312" w:cs="宋体"/>
          <w:b w:val="0"/>
          <w:bCs w:val="0"/>
          <w:color w:val="000000"/>
          <w:kern w:val="0"/>
          <w:sz w:val="32"/>
          <w:szCs w:val="32"/>
          <w:highlight w:val="none"/>
        </w:rPr>
        <w:t>。</w:t>
      </w:r>
      <w:r>
        <w:rPr>
          <w:rFonts w:hint="eastAsia" w:ascii="仿宋_GB2312" w:hAnsi="宋体" w:eastAsia="仿宋_GB2312" w:cs="宋体"/>
          <w:b w:val="0"/>
          <w:bCs w:val="0"/>
          <w:color w:val="000000"/>
          <w:kern w:val="0"/>
          <w:sz w:val="32"/>
          <w:szCs w:val="32"/>
          <w:highlight w:val="none"/>
          <w:lang w:eastAsia="zh-CN"/>
        </w:rPr>
        <w:t>积极</w:t>
      </w:r>
      <w:r>
        <w:rPr>
          <w:rFonts w:hint="eastAsia" w:ascii="仿宋_GB2312" w:hAnsi="宋体" w:eastAsia="仿宋_GB2312" w:cs="宋体"/>
          <w:b w:val="0"/>
          <w:bCs w:val="0"/>
          <w:color w:val="000000"/>
          <w:kern w:val="0"/>
          <w:sz w:val="32"/>
          <w:szCs w:val="32"/>
          <w:highlight w:val="none"/>
        </w:rPr>
        <w:t>发挥</w:t>
      </w:r>
      <w:r>
        <w:rPr>
          <w:rFonts w:hint="eastAsia" w:ascii="仿宋_GB2312" w:hAnsi="宋体" w:eastAsia="仿宋_GB2312" w:cs="宋体"/>
          <w:b w:val="0"/>
          <w:bCs w:val="0"/>
          <w:color w:val="000000"/>
          <w:kern w:val="0"/>
          <w:sz w:val="32"/>
          <w:szCs w:val="32"/>
          <w:highlight w:val="none"/>
          <w:lang w:eastAsia="zh-CN"/>
        </w:rPr>
        <w:t>市委</w:t>
      </w:r>
      <w:r>
        <w:rPr>
          <w:rFonts w:hint="eastAsia" w:ascii="仿宋_GB2312" w:hAnsi="宋体" w:eastAsia="仿宋_GB2312" w:cs="宋体"/>
          <w:b w:val="0"/>
          <w:bCs w:val="0"/>
          <w:color w:val="000000"/>
          <w:kern w:val="0"/>
          <w:sz w:val="32"/>
          <w:szCs w:val="32"/>
          <w:highlight w:val="none"/>
        </w:rPr>
        <w:t>法律顾问作用，</w:t>
      </w:r>
      <w:r>
        <w:rPr>
          <w:rFonts w:hint="eastAsia" w:ascii="仿宋_GB2312" w:hAnsi="宋体" w:eastAsia="仿宋_GB2312" w:cs="宋体"/>
          <w:b w:val="0"/>
          <w:bCs w:val="0"/>
          <w:color w:val="000000"/>
          <w:kern w:val="0"/>
          <w:sz w:val="32"/>
          <w:szCs w:val="32"/>
          <w:highlight w:val="none"/>
          <w:lang w:eastAsia="zh-CN"/>
        </w:rPr>
        <w:t>持续推进</w:t>
      </w:r>
      <w:r>
        <w:rPr>
          <w:rFonts w:hint="eastAsia" w:ascii="仿宋_GB2312" w:hAnsi="宋体" w:eastAsia="仿宋_GB2312" w:cs="宋体"/>
          <w:b w:val="0"/>
          <w:bCs w:val="0"/>
          <w:color w:val="000000"/>
          <w:kern w:val="0"/>
          <w:sz w:val="32"/>
          <w:szCs w:val="32"/>
          <w:highlight w:val="none"/>
        </w:rPr>
        <w:t>党内法规制度建设。</w:t>
      </w:r>
    </w:p>
    <w:p>
      <w:pPr>
        <w:spacing w:line="560" w:lineRule="exact"/>
        <w:ind w:firstLine="640" w:firstLineChars="200"/>
        <w:rPr>
          <w:rFonts w:hint="eastAsia" w:ascii="仿宋_GB2312" w:hAnsi="宋体" w:eastAsia="仿宋_GB2312" w:cs="宋体"/>
          <w:b w:val="0"/>
          <w:bCs w:val="0"/>
          <w:color w:val="000000"/>
          <w:kern w:val="0"/>
          <w:sz w:val="32"/>
          <w:szCs w:val="32"/>
          <w:highlight w:val="none"/>
          <w:lang w:val="en-US" w:eastAsia="zh-CN"/>
        </w:rPr>
      </w:pPr>
      <w:r>
        <w:rPr>
          <w:rFonts w:hint="eastAsia" w:ascii="仿宋_GB2312" w:hAnsi="宋体" w:eastAsia="仿宋_GB2312" w:cs="宋体"/>
          <w:b w:val="0"/>
          <w:bCs w:val="0"/>
          <w:color w:val="000000"/>
          <w:kern w:val="0"/>
          <w:sz w:val="32"/>
          <w:szCs w:val="32"/>
          <w:highlight w:val="none"/>
          <w:lang w:val="en-US" w:eastAsia="zh-CN"/>
        </w:rPr>
        <w:t>3.服务对象满意度</w:t>
      </w:r>
    </w:p>
    <w:p>
      <w:pPr>
        <w:spacing w:line="560" w:lineRule="exact"/>
        <w:ind w:firstLine="640" w:firstLineChars="200"/>
        <w:rPr>
          <w:rFonts w:hint="default" w:ascii="仿宋_GB2312" w:hAnsi="宋体" w:eastAsia="仿宋_GB2312" w:cs="宋体"/>
          <w:b w:val="0"/>
          <w:bCs w:val="0"/>
          <w:color w:val="000000"/>
          <w:kern w:val="0"/>
          <w:sz w:val="32"/>
          <w:szCs w:val="32"/>
          <w:highlight w:val="none"/>
          <w:lang w:val="en-US" w:eastAsia="zh-CN"/>
        </w:rPr>
      </w:pPr>
      <w:r>
        <w:rPr>
          <w:rFonts w:hint="default" w:ascii="仿宋_GB2312" w:hAnsi="宋体" w:eastAsia="仿宋_GB2312" w:cs="宋体"/>
          <w:b w:val="0"/>
          <w:bCs w:val="0"/>
          <w:color w:val="000000"/>
          <w:kern w:val="0"/>
          <w:sz w:val="32"/>
          <w:szCs w:val="32"/>
          <w:highlight w:val="none"/>
          <w:lang w:val="en-US" w:eastAsia="zh-CN"/>
        </w:rPr>
        <w:t>全面贯彻落实中央和市委的决策部署，紧紧围绕中心任务，圆满完成各项</w:t>
      </w:r>
      <w:r>
        <w:rPr>
          <w:rFonts w:hint="eastAsia" w:ascii="仿宋_GB2312" w:hAnsi="宋体" w:eastAsia="仿宋_GB2312" w:cs="宋体"/>
          <w:b w:val="0"/>
          <w:bCs w:val="0"/>
          <w:color w:val="000000"/>
          <w:kern w:val="0"/>
          <w:sz w:val="32"/>
          <w:szCs w:val="32"/>
          <w:highlight w:val="none"/>
          <w:lang w:val="en-US" w:eastAsia="zh-CN"/>
        </w:rPr>
        <w:t>工作任务</w:t>
      </w:r>
      <w:r>
        <w:rPr>
          <w:rFonts w:hint="default" w:ascii="仿宋_GB2312" w:hAnsi="宋体" w:eastAsia="仿宋_GB2312" w:cs="宋体"/>
          <w:b w:val="0"/>
          <w:bCs w:val="0"/>
          <w:color w:val="000000"/>
          <w:kern w:val="0"/>
          <w:sz w:val="32"/>
          <w:szCs w:val="32"/>
          <w:highlight w:val="none"/>
          <w:lang w:val="en-US" w:eastAsia="zh-CN"/>
        </w:rPr>
        <w:t>，充分发挥职能作用，服务市委推动新时代首都发展。各项工作取得新进展新成效</w:t>
      </w:r>
      <w:r>
        <w:rPr>
          <w:rFonts w:hint="eastAsia" w:ascii="仿宋_GB2312" w:hAnsi="宋体" w:eastAsia="仿宋_GB2312" w:cs="宋体"/>
          <w:b w:val="0"/>
          <w:bCs w:val="0"/>
          <w:color w:val="000000"/>
          <w:kern w:val="0"/>
          <w:sz w:val="32"/>
          <w:szCs w:val="32"/>
          <w:highlight w:val="none"/>
          <w:lang w:val="en-US" w:eastAsia="zh-CN"/>
        </w:rPr>
        <w:t>，</w:t>
      </w:r>
      <w:r>
        <w:rPr>
          <w:rFonts w:hint="default" w:ascii="仿宋_GB2312" w:hAnsi="宋体" w:eastAsia="仿宋_GB2312" w:cs="宋体"/>
          <w:b w:val="0"/>
          <w:bCs w:val="0"/>
          <w:color w:val="000000"/>
          <w:kern w:val="0"/>
          <w:sz w:val="32"/>
          <w:szCs w:val="32"/>
          <w:highlight w:val="none"/>
          <w:lang w:val="en-US" w:eastAsia="zh-CN"/>
        </w:rPr>
        <w:t>达到较高的工作满意度。</w:t>
      </w:r>
    </w:p>
    <w:p>
      <w:pPr>
        <w:spacing w:line="560" w:lineRule="exact"/>
        <w:ind w:firstLine="640" w:firstLineChars="200"/>
        <w:rPr>
          <w:rFonts w:ascii="黑体" w:hAnsi="黑体" w:eastAsia="黑体" w:cs="宋体"/>
          <w:b w:val="0"/>
          <w:bCs w:val="0"/>
          <w:color w:val="000000"/>
          <w:kern w:val="0"/>
          <w:sz w:val="32"/>
          <w:szCs w:val="32"/>
          <w:highlight w:val="none"/>
        </w:rPr>
      </w:pPr>
      <w:r>
        <w:rPr>
          <w:rFonts w:hint="eastAsia" w:ascii="黑体" w:hAnsi="黑体" w:eastAsia="黑体" w:cs="宋体"/>
          <w:b w:val="0"/>
          <w:bCs w:val="0"/>
          <w:color w:val="000000"/>
          <w:kern w:val="0"/>
          <w:sz w:val="32"/>
          <w:szCs w:val="32"/>
          <w:highlight w:val="none"/>
        </w:rPr>
        <w:t>四</w:t>
      </w:r>
      <w:r>
        <w:rPr>
          <w:rFonts w:ascii="黑体" w:hAnsi="黑体" w:eastAsia="黑体" w:cs="宋体"/>
          <w:b w:val="0"/>
          <w:bCs w:val="0"/>
          <w:color w:val="000000"/>
          <w:kern w:val="0"/>
          <w:sz w:val="32"/>
          <w:szCs w:val="32"/>
          <w:highlight w:val="none"/>
        </w:rPr>
        <w:t>、预算管理</w:t>
      </w:r>
      <w:r>
        <w:rPr>
          <w:rFonts w:hint="eastAsia" w:ascii="黑体" w:hAnsi="黑体" w:eastAsia="黑体" w:cs="宋体"/>
          <w:b w:val="0"/>
          <w:bCs w:val="0"/>
          <w:color w:val="000000"/>
          <w:kern w:val="0"/>
          <w:sz w:val="32"/>
          <w:szCs w:val="32"/>
          <w:highlight w:val="none"/>
        </w:rPr>
        <w:t>情况分</w:t>
      </w:r>
      <w:r>
        <w:rPr>
          <w:rFonts w:ascii="黑体" w:hAnsi="黑体" w:eastAsia="黑体" w:cs="宋体"/>
          <w:b w:val="0"/>
          <w:bCs w:val="0"/>
          <w:color w:val="000000"/>
          <w:kern w:val="0"/>
          <w:sz w:val="32"/>
          <w:szCs w:val="32"/>
          <w:highlight w:val="none"/>
        </w:rPr>
        <w:t>析</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（一）财务管理</w:t>
      </w:r>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1.财务管理制度健全性</w:t>
      </w:r>
    </w:p>
    <w:p>
      <w:pPr>
        <w:spacing w:line="560" w:lineRule="exact"/>
        <w:ind w:firstLine="640" w:firstLineChars="20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市委办公厅把严肃财经纪律、规范财务管理摆在突出位置，持续完善财务管理制度，优化业务流程，建立了涵盖</w:t>
      </w:r>
      <w:r>
        <w:rPr>
          <w:rFonts w:hint="eastAsia" w:ascii="仿宋_GB2312" w:hAnsi="仿宋_GB2312" w:eastAsia="仿宋_GB2312" w:cs="仿宋_GB2312"/>
          <w:b w:val="0"/>
          <w:bCs w:val="0"/>
          <w:sz w:val="32"/>
          <w:szCs w:val="32"/>
          <w:highlight w:val="none"/>
        </w:rPr>
        <w:t>预算</w:t>
      </w:r>
      <w:r>
        <w:rPr>
          <w:rFonts w:hint="eastAsia" w:ascii="仿宋_GB2312" w:hAnsi="仿宋_GB2312" w:eastAsia="仿宋_GB2312" w:cs="仿宋_GB2312"/>
          <w:b w:val="0"/>
          <w:bCs w:val="0"/>
          <w:sz w:val="32"/>
          <w:szCs w:val="32"/>
          <w:highlight w:val="none"/>
          <w:lang w:eastAsia="zh-CN"/>
        </w:rPr>
        <w:t>管理</w:t>
      </w:r>
      <w:r>
        <w:rPr>
          <w:rFonts w:hint="eastAsia" w:ascii="仿宋_GB2312" w:hAnsi="仿宋_GB2312" w:eastAsia="仿宋_GB2312" w:cs="仿宋_GB2312"/>
          <w:b w:val="0"/>
          <w:bCs w:val="0"/>
          <w:sz w:val="32"/>
          <w:szCs w:val="32"/>
          <w:highlight w:val="none"/>
        </w:rPr>
        <w:t>、政府采购、资产</w:t>
      </w:r>
      <w:r>
        <w:rPr>
          <w:rFonts w:hint="eastAsia" w:ascii="仿宋_GB2312" w:hAnsi="仿宋_GB2312" w:eastAsia="仿宋_GB2312" w:cs="仿宋_GB2312"/>
          <w:b w:val="0"/>
          <w:bCs w:val="0"/>
          <w:sz w:val="32"/>
          <w:szCs w:val="32"/>
          <w:highlight w:val="none"/>
          <w:lang w:eastAsia="zh-CN"/>
        </w:rPr>
        <w:t>管理</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预算绩效、</w:t>
      </w:r>
      <w:r>
        <w:rPr>
          <w:rFonts w:hint="eastAsia" w:ascii="仿宋_GB2312" w:hAnsi="仿宋_GB2312" w:eastAsia="仿宋_GB2312" w:cs="仿宋_GB2312"/>
          <w:b w:val="0"/>
          <w:bCs w:val="0"/>
          <w:sz w:val="32"/>
          <w:szCs w:val="32"/>
          <w:highlight w:val="none"/>
        </w:rPr>
        <w:t>合同</w:t>
      </w:r>
      <w:r>
        <w:rPr>
          <w:rFonts w:hint="eastAsia" w:ascii="仿宋_GB2312" w:hAnsi="仿宋_GB2312" w:eastAsia="仿宋_GB2312" w:cs="仿宋_GB2312"/>
          <w:b w:val="0"/>
          <w:bCs w:val="0"/>
          <w:sz w:val="32"/>
          <w:szCs w:val="32"/>
          <w:highlight w:val="none"/>
          <w:lang w:eastAsia="zh-CN"/>
        </w:rPr>
        <w:t>管理</w:t>
      </w:r>
      <w:r>
        <w:rPr>
          <w:rFonts w:hint="eastAsia" w:ascii="仿宋_GB2312" w:hAnsi="仿宋_GB2312" w:eastAsia="仿宋_GB2312" w:cs="仿宋_GB2312"/>
          <w:b w:val="0"/>
          <w:bCs w:val="0"/>
          <w:sz w:val="32"/>
          <w:szCs w:val="32"/>
          <w:highlight w:val="none"/>
        </w:rPr>
        <w:t>等</w:t>
      </w:r>
      <w:r>
        <w:rPr>
          <w:rFonts w:hint="eastAsia" w:ascii="仿宋_GB2312" w:hAnsi="仿宋_GB2312" w:eastAsia="仿宋_GB2312" w:cs="仿宋_GB2312"/>
          <w:b w:val="0"/>
          <w:bCs w:val="0"/>
          <w:sz w:val="32"/>
          <w:szCs w:val="32"/>
          <w:highlight w:val="none"/>
          <w:lang w:eastAsia="zh-CN"/>
        </w:rPr>
        <w:t>领域的管理制度，</w:t>
      </w:r>
      <w:r>
        <w:rPr>
          <w:rFonts w:hint="eastAsia" w:ascii="仿宋_GB2312" w:hAnsi="仿宋_GB2312" w:eastAsia="仿宋_GB2312" w:cs="仿宋_GB2312"/>
          <w:b w:val="0"/>
          <w:bCs w:val="0"/>
          <w:sz w:val="32"/>
          <w:szCs w:val="32"/>
          <w:highlight w:val="none"/>
        </w:rPr>
        <w:t>并得到了有效的实施，对单位经济业务活动起到了指导、规范、控制和监督作用。</w:t>
      </w:r>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2.资金使用合规性和安全性</w:t>
      </w:r>
    </w:p>
    <w:p>
      <w:pPr>
        <w:spacing w:line="560" w:lineRule="exact"/>
        <w:ind w:firstLine="640" w:firstLineChars="200"/>
        <w:rPr>
          <w:rFonts w:ascii="仿宋" w:hAnsi="仿宋" w:eastAsia="仿宋"/>
          <w:b w:val="0"/>
          <w:bCs w:val="0"/>
          <w:sz w:val="32"/>
          <w:szCs w:val="32"/>
          <w:highlight w:val="none"/>
        </w:rPr>
      </w:pPr>
      <w:r>
        <w:rPr>
          <w:rFonts w:hint="eastAsia" w:ascii="仿宋_GB2312" w:hAnsi="仿宋_GB2312" w:eastAsia="仿宋_GB2312" w:cs="仿宋_GB2312"/>
          <w:b w:val="0"/>
          <w:bCs w:val="0"/>
          <w:sz w:val="32"/>
          <w:szCs w:val="32"/>
          <w:highlight w:val="none"/>
        </w:rPr>
        <w:t>市委办公厅在资金使用和管理上，严格遵守财经纪律和各项财务管理制度规定，严格预算执行，坚决杜绝无预算、超预算支出行为。注重预算事前评审工作，引入第三方机构加强对资金使用的</w:t>
      </w:r>
      <w:r>
        <w:rPr>
          <w:rFonts w:hint="eastAsia" w:ascii="仿宋_GB2312" w:hAnsi="仿宋_GB2312" w:eastAsia="仿宋_GB2312" w:cs="仿宋_GB2312"/>
          <w:b w:val="0"/>
          <w:bCs w:val="0"/>
          <w:sz w:val="32"/>
          <w:szCs w:val="32"/>
          <w:highlight w:val="none"/>
          <w:lang w:eastAsia="zh-CN"/>
        </w:rPr>
        <w:t>评审</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同时强化资金使用监管，</w:t>
      </w:r>
      <w:r>
        <w:rPr>
          <w:rFonts w:hint="eastAsia" w:ascii="仿宋_GB2312" w:hAnsi="仿宋_GB2312" w:eastAsia="仿宋_GB2312" w:cs="仿宋_GB2312"/>
          <w:b w:val="0"/>
          <w:bCs w:val="0"/>
          <w:sz w:val="32"/>
          <w:szCs w:val="32"/>
          <w:highlight w:val="none"/>
        </w:rPr>
        <w:t>坚持收支平衡原则，量入为出</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项目资金严格实行专款专用</w:t>
      </w:r>
      <w:r>
        <w:rPr>
          <w:rFonts w:hint="eastAsia" w:ascii="仿宋_GB2312" w:hAnsi="仿宋_GB2312" w:eastAsia="仿宋_GB2312" w:cs="仿宋_GB2312"/>
          <w:b w:val="0"/>
          <w:bCs w:val="0"/>
          <w:sz w:val="32"/>
          <w:szCs w:val="32"/>
          <w:highlight w:val="none"/>
          <w:lang w:eastAsia="zh-CN"/>
        </w:rPr>
        <w:t>，防范各类资金使用风险</w:t>
      </w:r>
      <w:r>
        <w:rPr>
          <w:rFonts w:hint="eastAsia" w:ascii="仿宋_GB2312" w:hAnsi="仿宋_GB2312" w:eastAsia="仿宋_GB2312" w:cs="仿宋_GB2312"/>
          <w:b w:val="0"/>
          <w:bCs w:val="0"/>
          <w:sz w:val="32"/>
          <w:szCs w:val="32"/>
          <w:highlight w:val="none"/>
        </w:rPr>
        <w:t>，保障了项目</w:t>
      </w:r>
      <w:r>
        <w:rPr>
          <w:rFonts w:hint="eastAsia" w:ascii="仿宋_GB2312" w:hAnsi="仿宋_GB2312" w:eastAsia="仿宋_GB2312" w:cs="仿宋_GB2312"/>
          <w:b w:val="0"/>
          <w:bCs w:val="0"/>
          <w:sz w:val="32"/>
          <w:szCs w:val="32"/>
          <w:highlight w:val="none"/>
          <w:lang w:eastAsia="zh-CN"/>
        </w:rPr>
        <w:t>资金</w:t>
      </w:r>
      <w:r>
        <w:rPr>
          <w:rFonts w:hint="eastAsia" w:ascii="仿宋_GB2312" w:hAnsi="仿宋_GB2312" w:eastAsia="仿宋_GB2312" w:cs="仿宋_GB2312"/>
          <w:b w:val="0"/>
          <w:bCs w:val="0"/>
          <w:sz w:val="32"/>
          <w:szCs w:val="32"/>
          <w:highlight w:val="none"/>
        </w:rPr>
        <w:t>支</w:t>
      </w:r>
      <w:r>
        <w:rPr>
          <w:rFonts w:hint="eastAsia" w:ascii="仿宋" w:hAnsi="仿宋" w:eastAsia="仿宋"/>
          <w:b w:val="0"/>
          <w:bCs w:val="0"/>
          <w:sz w:val="32"/>
          <w:szCs w:val="32"/>
          <w:highlight w:val="none"/>
        </w:rPr>
        <w:t>出</w:t>
      </w:r>
      <w:r>
        <w:rPr>
          <w:rFonts w:hint="eastAsia" w:ascii="仿宋" w:hAnsi="仿宋" w:eastAsia="仿宋"/>
          <w:b w:val="0"/>
          <w:bCs w:val="0"/>
          <w:sz w:val="32"/>
          <w:szCs w:val="32"/>
          <w:highlight w:val="none"/>
          <w:lang w:eastAsia="zh-CN"/>
        </w:rPr>
        <w:t>的规范性</w:t>
      </w:r>
      <w:r>
        <w:rPr>
          <w:rFonts w:hint="eastAsia" w:ascii="仿宋" w:hAnsi="仿宋" w:eastAsia="仿宋"/>
          <w:b w:val="0"/>
          <w:bCs w:val="0"/>
          <w:sz w:val="32"/>
          <w:szCs w:val="32"/>
          <w:highlight w:val="none"/>
        </w:rPr>
        <w:t>、</w:t>
      </w:r>
      <w:r>
        <w:rPr>
          <w:rFonts w:hint="eastAsia" w:ascii="仿宋" w:hAnsi="仿宋" w:eastAsia="仿宋"/>
          <w:b w:val="0"/>
          <w:bCs w:val="0"/>
          <w:sz w:val="32"/>
          <w:szCs w:val="32"/>
          <w:highlight w:val="none"/>
          <w:lang w:eastAsia="zh-CN"/>
        </w:rPr>
        <w:t>合理性</w:t>
      </w:r>
      <w:r>
        <w:rPr>
          <w:rFonts w:hint="eastAsia" w:ascii="仿宋" w:hAnsi="仿宋" w:eastAsia="仿宋"/>
          <w:b w:val="0"/>
          <w:bCs w:val="0"/>
          <w:sz w:val="32"/>
          <w:szCs w:val="32"/>
          <w:highlight w:val="none"/>
        </w:rPr>
        <w:t>。</w:t>
      </w:r>
    </w:p>
    <w:p>
      <w:pPr>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3.会计基础信息完善性</w:t>
      </w:r>
    </w:p>
    <w:p>
      <w:pPr>
        <w:spacing w:line="560" w:lineRule="exact"/>
        <w:ind w:firstLine="640" w:firstLineChars="20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市委办公厅严格执行政府会计准则和政府会计制度规定，</w:t>
      </w:r>
      <w:r>
        <w:rPr>
          <w:rFonts w:hint="eastAsia" w:ascii="仿宋_GB2312" w:hAnsi="仿宋_GB2312" w:eastAsia="仿宋_GB2312" w:cs="仿宋_GB2312"/>
          <w:b w:val="0"/>
          <w:bCs w:val="0"/>
          <w:sz w:val="32"/>
          <w:szCs w:val="32"/>
          <w:highlight w:val="none"/>
          <w:lang w:eastAsia="zh-CN"/>
        </w:rPr>
        <w:t>认真组织开展日常财务核算和报表编制工作。依托预算一体化系统，强化会计基础信息的核对，有效提升了会计信息质量</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同时注重财务人员培训，注重业财融合，多角度、多层次、多方面对财务人员开展新知识、新法规、新制度培训。注重开展财务内部监督，持续加强对会计基础信息完整性的监督检查，促进部门整体会计信息质量提升。</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（二）资产管理</w:t>
      </w:r>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市委办公厅进一步完善了资产清查盘点工作机制</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采取多方联动</w:t>
      </w:r>
      <w:r>
        <w:rPr>
          <w:rFonts w:hint="eastAsia" w:ascii="仿宋_GB2312" w:hAnsi="仿宋_GB2312" w:eastAsia="仿宋_GB2312" w:cs="仿宋_GB2312"/>
          <w:b w:val="0"/>
          <w:bCs w:val="0"/>
          <w:sz w:val="32"/>
          <w:szCs w:val="32"/>
          <w:highlight w:val="none"/>
          <w:lang w:eastAsia="zh-CN"/>
        </w:rPr>
        <w:t>方式</w:t>
      </w:r>
      <w:r>
        <w:rPr>
          <w:rFonts w:hint="eastAsia" w:ascii="仿宋_GB2312" w:hAnsi="仿宋_GB2312" w:eastAsia="仿宋_GB2312" w:cs="仿宋_GB2312"/>
          <w:b w:val="0"/>
          <w:bCs w:val="0"/>
          <w:sz w:val="32"/>
          <w:szCs w:val="32"/>
          <w:highlight w:val="none"/>
        </w:rPr>
        <w:t>摸清资产状况</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定期对资产进行盘点、对账、清理等方面的工作，确保资产使用的</w:t>
      </w:r>
      <w:r>
        <w:rPr>
          <w:rFonts w:hint="eastAsia" w:ascii="仿宋_GB2312" w:hAnsi="仿宋_GB2312" w:eastAsia="仿宋_GB2312" w:cs="仿宋_GB2312"/>
          <w:b w:val="0"/>
          <w:bCs w:val="0"/>
          <w:sz w:val="32"/>
          <w:szCs w:val="32"/>
          <w:highlight w:val="none"/>
          <w:lang w:eastAsia="zh-CN"/>
        </w:rPr>
        <w:t>规范</w:t>
      </w:r>
      <w:r>
        <w:rPr>
          <w:rFonts w:hint="eastAsia" w:ascii="仿宋_GB2312" w:hAnsi="仿宋_GB2312" w:eastAsia="仿宋_GB2312" w:cs="仿宋_GB2312"/>
          <w:b w:val="0"/>
          <w:bCs w:val="0"/>
          <w:sz w:val="32"/>
          <w:szCs w:val="32"/>
          <w:highlight w:val="none"/>
        </w:rPr>
        <w:t>性。</w:t>
      </w:r>
      <w:r>
        <w:rPr>
          <w:rFonts w:hint="eastAsia" w:ascii="仿宋_GB2312" w:hAnsi="仿宋_GB2312" w:eastAsia="仿宋_GB2312" w:cs="仿宋_GB2312"/>
          <w:b w:val="0"/>
          <w:bCs w:val="0"/>
          <w:sz w:val="32"/>
          <w:szCs w:val="32"/>
          <w:highlight w:val="none"/>
          <w:lang w:eastAsia="zh-CN"/>
        </w:rPr>
        <w:t>同时</w:t>
      </w:r>
      <w:r>
        <w:rPr>
          <w:rFonts w:hint="eastAsia" w:ascii="仿宋_GB2312" w:hAnsi="仿宋_GB2312" w:eastAsia="仿宋_GB2312" w:cs="仿宋_GB2312"/>
          <w:b w:val="0"/>
          <w:bCs w:val="0"/>
          <w:sz w:val="32"/>
          <w:szCs w:val="32"/>
          <w:highlight w:val="none"/>
        </w:rPr>
        <w:t>加强项目资产</w:t>
      </w:r>
      <w:r>
        <w:rPr>
          <w:rFonts w:hint="eastAsia" w:ascii="仿宋_GB2312" w:hAnsi="仿宋_GB2312" w:eastAsia="仿宋_GB2312" w:cs="仿宋_GB2312"/>
          <w:b w:val="0"/>
          <w:bCs w:val="0"/>
          <w:sz w:val="32"/>
          <w:szCs w:val="32"/>
          <w:highlight w:val="none"/>
          <w:lang w:eastAsia="zh-CN"/>
        </w:rPr>
        <w:t>管理</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对</w:t>
      </w:r>
      <w:r>
        <w:rPr>
          <w:rFonts w:hint="eastAsia" w:ascii="仿宋_GB2312" w:hAnsi="仿宋_GB2312" w:eastAsia="仿宋_GB2312" w:cs="仿宋_GB2312"/>
          <w:b w:val="0"/>
          <w:bCs w:val="0"/>
          <w:sz w:val="32"/>
          <w:szCs w:val="32"/>
          <w:highlight w:val="none"/>
        </w:rPr>
        <w:t>已交付使用的项目资产及时</w:t>
      </w:r>
      <w:r>
        <w:rPr>
          <w:rFonts w:hint="eastAsia" w:ascii="仿宋_GB2312" w:hAnsi="仿宋_GB2312" w:eastAsia="仿宋_GB2312" w:cs="仿宋_GB2312"/>
          <w:b w:val="0"/>
          <w:bCs w:val="0"/>
          <w:sz w:val="32"/>
          <w:szCs w:val="32"/>
          <w:highlight w:val="none"/>
          <w:lang w:eastAsia="zh-CN"/>
        </w:rPr>
        <w:t>登记</w:t>
      </w:r>
      <w:r>
        <w:rPr>
          <w:rFonts w:hint="eastAsia" w:ascii="仿宋_GB2312" w:hAnsi="仿宋_GB2312" w:eastAsia="仿宋_GB2312" w:cs="仿宋_GB2312"/>
          <w:b w:val="0"/>
          <w:bCs w:val="0"/>
          <w:sz w:val="32"/>
          <w:szCs w:val="32"/>
          <w:highlight w:val="none"/>
        </w:rPr>
        <w:t>，有效保证资产管理人员了解固定资产信息变动情况。</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（三）绩效</w:t>
      </w:r>
      <w:r>
        <w:rPr>
          <w:rFonts w:ascii="楷体_GB2312" w:eastAsia="楷体_GB2312"/>
          <w:b w:val="0"/>
          <w:bCs w:val="0"/>
          <w:sz w:val="32"/>
          <w:szCs w:val="32"/>
          <w:highlight w:val="none"/>
        </w:rPr>
        <w:t>管理</w:t>
      </w:r>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市委办公厅</w:t>
      </w:r>
      <w:r>
        <w:rPr>
          <w:rFonts w:hint="eastAsia" w:ascii="仿宋_GB2312" w:hAnsi="仿宋_GB2312" w:eastAsia="仿宋_GB2312" w:cs="仿宋_GB2312"/>
          <w:b w:val="0"/>
          <w:bCs w:val="0"/>
          <w:sz w:val="32"/>
          <w:szCs w:val="32"/>
          <w:highlight w:val="none"/>
          <w:lang w:eastAsia="zh-CN"/>
        </w:rPr>
        <w:t>持续健全绩效管理机制</w:t>
      </w:r>
      <w:r>
        <w:rPr>
          <w:rFonts w:hint="eastAsia" w:ascii="仿宋_GB2312" w:hAnsi="仿宋_GB2312" w:eastAsia="仿宋_GB2312" w:cs="仿宋_GB2312"/>
          <w:b w:val="0"/>
          <w:bCs w:val="0"/>
          <w:sz w:val="32"/>
          <w:szCs w:val="32"/>
          <w:highlight w:val="none"/>
        </w:rPr>
        <w:t>，优化了本单位涵盖绩效目标管理、绩效运行监控、绩效评价管理、评价结果应用等各环节的管理流程，保障绩效管理工作质量，实现管理效益目标。</w:t>
      </w:r>
      <w:r>
        <w:rPr>
          <w:rFonts w:hint="eastAsia" w:ascii="仿宋_GB2312" w:hAnsi="仿宋_GB2312" w:eastAsia="仿宋_GB2312" w:cs="仿宋_GB2312"/>
          <w:b w:val="0"/>
          <w:bCs w:val="0"/>
          <w:sz w:val="32"/>
          <w:szCs w:val="32"/>
          <w:highlight w:val="none"/>
          <w:lang w:eastAsia="zh-CN"/>
        </w:rPr>
        <w:t>持续</w:t>
      </w:r>
      <w:r>
        <w:rPr>
          <w:rFonts w:hint="eastAsia" w:ascii="仿宋_GB2312" w:hAnsi="仿宋_GB2312" w:eastAsia="仿宋_GB2312" w:cs="仿宋_GB2312"/>
          <w:b w:val="0"/>
          <w:bCs w:val="0"/>
          <w:sz w:val="32"/>
          <w:szCs w:val="32"/>
          <w:highlight w:val="none"/>
        </w:rPr>
        <w:t>完善了定量和定性相结合的共性绩效指标框架，根据预算项目特点构建了核心绩效指标，进一步聚焦了项目实施核心价值</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建立完善绩效评价工作机制，本着科学公正、统筹兼顾、激励约束、公开透明的原则，根据项目的绩效目标和绩效指标等标准对项目的效益性、经济性、效率性进行的自我评价。</w:t>
      </w:r>
    </w:p>
    <w:p>
      <w:pPr>
        <w:numPr>
          <w:ilvl w:val="0"/>
          <w:numId w:val="1"/>
        </w:num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结转结余率</w:t>
      </w:r>
    </w:p>
    <w:p>
      <w:pPr>
        <w:spacing w:line="560" w:lineRule="exact"/>
        <w:ind w:firstLine="640" w:firstLineChars="200"/>
        <w:rPr>
          <w:rFonts w:ascii="楷体_GB2312" w:eastAsia="楷体_GB2312"/>
          <w:b w:val="0"/>
          <w:bCs w:val="0"/>
          <w:sz w:val="32"/>
          <w:szCs w:val="32"/>
          <w:highlight w:val="none"/>
        </w:rPr>
      </w:pPr>
      <w:r>
        <w:rPr>
          <w:rFonts w:hint="eastAsia" w:ascii="仿宋_GB2312" w:hAnsi="仿宋_GB2312" w:eastAsia="仿宋_GB2312" w:cs="仿宋_GB2312"/>
          <w:b w:val="0"/>
          <w:bCs w:val="0"/>
          <w:sz w:val="32"/>
          <w:szCs w:val="32"/>
          <w:highlight w:val="none"/>
        </w:rPr>
        <w:t>市委办公厅2022年末结转结余资金</w:t>
      </w:r>
      <w:r>
        <w:rPr>
          <w:rFonts w:hint="eastAsia" w:ascii="仿宋_GB2312" w:hAnsi="仿宋_GB2312" w:eastAsia="仿宋_GB2312" w:cs="仿宋_GB2312"/>
          <w:b w:val="0"/>
          <w:bCs w:val="0"/>
          <w:sz w:val="32"/>
          <w:szCs w:val="32"/>
          <w:highlight w:val="none"/>
          <w:lang w:val="en-US" w:eastAsia="zh-CN"/>
        </w:rPr>
        <w:t>932.53</w:t>
      </w:r>
      <w:r>
        <w:rPr>
          <w:rFonts w:hint="eastAsia" w:ascii="仿宋_GB2312" w:hAnsi="仿宋_GB2312" w:eastAsia="仿宋_GB2312" w:cs="仿宋_GB2312"/>
          <w:b w:val="0"/>
          <w:bCs w:val="0"/>
          <w:sz w:val="32"/>
          <w:szCs w:val="32"/>
          <w:highlight w:val="none"/>
        </w:rPr>
        <w:t>万元，2022年支出预算总额</w:t>
      </w:r>
      <w:r>
        <w:rPr>
          <w:rFonts w:hint="eastAsia" w:ascii="仿宋_GB2312" w:hAnsi="仿宋_GB2312" w:eastAsia="仿宋_GB2312" w:cs="仿宋_GB2312"/>
          <w:b w:val="0"/>
          <w:bCs w:val="0"/>
          <w:sz w:val="32"/>
          <w:szCs w:val="32"/>
          <w:highlight w:val="none"/>
          <w:lang w:val="en-US" w:eastAsia="zh-CN"/>
        </w:rPr>
        <w:t>16707.16</w:t>
      </w:r>
      <w:r>
        <w:rPr>
          <w:rFonts w:hint="eastAsia" w:ascii="仿宋_GB2312" w:hAnsi="仿宋_GB2312" w:eastAsia="仿宋_GB2312" w:cs="仿宋_GB2312"/>
          <w:b w:val="0"/>
          <w:bCs w:val="0"/>
          <w:sz w:val="32"/>
          <w:szCs w:val="32"/>
          <w:highlight w:val="none"/>
        </w:rPr>
        <w:t>万元。结转结余率为</w:t>
      </w:r>
      <w:r>
        <w:rPr>
          <w:rFonts w:hint="eastAsia" w:ascii="仿宋_GB2312" w:hAnsi="仿宋_GB2312" w:eastAsia="仿宋_GB2312" w:cs="仿宋_GB2312"/>
          <w:b w:val="0"/>
          <w:bCs w:val="0"/>
          <w:sz w:val="32"/>
          <w:szCs w:val="32"/>
          <w:highlight w:val="none"/>
          <w:lang w:val="en-US" w:eastAsia="zh-CN"/>
        </w:rPr>
        <w:t>5.58</w:t>
      </w:r>
      <w:r>
        <w:rPr>
          <w:rFonts w:hint="eastAsia" w:ascii="仿宋_GB2312" w:hAnsi="仿宋_GB2312" w:eastAsia="仿宋_GB2312" w:cs="仿宋_GB2312"/>
          <w:b w:val="0"/>
          <w:bCs w:val="0"/>
          <w:sz w:val="32"/>
          <w:szCs w:val="32"/>
          <w:highlight w:val="none"/>
        </w:rPr>
        <w:t>%。</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（五）部门</w:t>
      </w:r>
      <w:r>
        <w:rPr>
          <w:rFonts w:ascii="楷体_GB2312" w:eastAsia="楷体_GB2312"/>
          <w:b w:val="0"/>
          <w:bCs w:val="0"/>
          <w:sz w:val="32"/>
          <w:szCs w:val="32"/>
          <w:highlight w:val="none"/>
        </w:rPr>
        <w:t>预决算差异率</w:t>
      </w:r>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市委办公厅2022年年初预算数</w:t>
      </w:r>
      <w:r>
        <w:rPr>
          <w:rFonts w:hint="eastAsia" w:ascii="仿宋_GB2312" w:hAnsi="仿宋_GB2312" w:eastAsia="仿宋_GB2312" w:cs="仿宋_GB2312"/>
          <w:b w:val="0"/>
          <w:bCs w:val="0"/>
          <w:sz w:val="32"/>
          <w:szCs w:val="32"/>
          <w:highlight w:val="none"/>
          <w:lang w:val="en-US" w:eastAsia="zh-CN"/>
        </w:rPr>
        <w:t>17887.58</w:t>
      </w:r>
      <w:r>
        <w:rPr>
          <w:rFonts w:hint="eastAsia" w:ascii="仿宋_GB2312" w:hAnsi="仿宋_GB2312" w:eastAsia="仿宋_GB2312" w:cs="仿宋_GB2312"/>
          <w:b w:val="0"/>
          <w:bCs w:val="0"/>
          <w:sz w:val="32"/>
          <w:szCs w:val="32"/>
          <w:highlight w:val="none"/>
        </w:rPr>
        <w:t>万元，202</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rPr>
        <w:t>年度支出决算数</w:t>
      </w:r>
      <w:r>
        <w:rPr>
          <w:rFonts w:hint="eastAsia" w:ascii="仿宋_GB2312" w:hAnsi="仿宋_GB2312" w:eastAsia="仿宋_GB2312" w:cs="仿宋_GB2312"/>
          <w:b w:val="0"/>
          <w:bCs w:val="0"/>
          <w:sz w:val="32"/>
          <w:szCs w:val="32"/>
          <w:highlight w:val="none"/>
          <w:lang w:val="en-US" w:eastAsia="zh-CN"/>
        </w:rPr>
        <w:t>15774.63</w:t>
      </w:r>
      <w:r>
        <w:rPr>
          <w:rFonts w:hint="eastAsia" w:ascii="仿宋_GB2312" w:hAnsi="仿宋_GB2312" w:eastAsia="仿宋_GB2312" w:cs="仿宋_GB2312"/>
          <w:b w:val="0"/>
          <w:bCs w:val="0"/>
          <w:sz w:val="32"/>
          <w:szCs w:val="32"/>
          <w:highlight w:val="none"/>
        </w:rPr>
        <w:t>万元，预决算差异率</w:t>
      </w:r>
      <w:r>
        <w:rPr>
          <w:rFonts w:hint="eastAsia" w:ascii="仿宋_GB2312" w:hAnsi="仿宋_GB2312" w:eastAsia="仿宋_GB2312" w:cs="仿宋_GB2312"/>
          <w:b w:val="0"/>
          <w:bCs w:val="0"/>
          <w:sz w:val="32"/>
          <w:szCs w:val="32"/>
          <w:highlight w:val="none"/>
          <w:lang w:val="en-US" w:eastAsia="zh-CN"/>
        </w:rPr>
        <w:t>11.81</w:t>
      </w:r>
      <w:r>
        <w:rPr>
          <w:rFonts w:hint="eastAsia" w:ascii="仿宋_GB2312" w:hAnsi="仿宋_GB2312" w:eastAsia="仿宋_GB2312" w:cs="仿宋_GB2312"/>
          <w:b w:val="0"/>
          <w:bCs w:val="0"/>
          <w:sz w:val="32"/>
          <w:szCs w:val="32"/>
          <w:highlight w:val="none"/>
        </w:rPr>
        <w:t>%。</w:t>
      </w:r>
    </w:p>
    <w:p>
      <w:pPr>
        <w:spacing w:line="560" w:lineRule="exact"/>
        <w:ind w:firstLine="640" w:firstLineChars="200"/>
        <w:rPr>
          <w:rFonts w:ascii="黑体" w:hAnsi="黑体" w:eastAsia="黑体"/>
          <w:b w:val="0"/>
          <w:bCs w:val="0"/>
          <w:sz w:val="32"/>
          <w:szCs w:val="32"/>
          <w:highlight w:val="none"/>
        </w:rPr>
      </w:pPr>
      <w:r>
        <w:rPr>
          <w:rFonts w:hint="eastAsia" w:ascii="黑体" w:hAnsi="黑体" w:eastAsia="黑体"/>
          <w:b w:val="0"/>
          <w:bCs w:val="0"/>
          <w:sz w:val="32"/>
          <w:szCs w:val="32"/>
          <w:highlight w:val="none"/>
        </w:rPr>
        <w:t>五、总体</w:t>
      </w:r>
      <w:r>
        <w:rPr>
          <w:rFonts w:ascii="黑体" w:hAnsi="黑体" w:eastAsia="黑体"/>
          <w:b w:val="0"/>
          <w:bCs w:val="0"/>
          <w:sz w:val="32"/>
          <w:szCs w:val="32"/>
          <w:highlight w:val="none"/>
        </w:rPr>
        <w:t>评价结论</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（一）评价</w:t>
      </w:r>
      <w:r>
        <w:rPr>
          <w:rFonts w:ascii="楷体_GB2312" w:eastAsia="楷体_GB2312"/>
          <w:b w:val="0"/>
          <w:bCs w:val="0"/>
          <w:sz w:val="32"/>
          <w:szCs w:val="32"/>
          <w:highlight w:val="none"/>
        </w:rPr>
        <w:t>得分</w:t>
      </w:r>
      <w:r>
        <w:rPr>
          <w:rFonts w:hint="eastAsia" w:ascii="楷体_GB2312" w:eastAsia="楷体_GB2312"/>
          <w:b w:val="0"/>
          <w:bCs w:val="0"/>
          <w:sz w:val="32"/>
          <w:szCs w:val="32"/>
          <w:highlight w:val="none"/>
        </w:rPr>
        <w:t>情况</w:t>
      </w:r>
    </w:p>
    <w:p>
      <w:pPr>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kern w:val="2"/>
          <w:sz w:val="32"/>
          <w:szCs w:val="32"/>
          <w:highlight w:val="none"/>
        </w:rPr>
        <w:t>按照市委办公厅《部门整体支出绩效目标表》，同时结合市委办公厅的实际情况，经综合评价后，市委办公厅的部门整体绩效评价综合得分</w:t>
      </w:r>
      <w:r>
        <w:rPr>
          <w:rFonts w:hint="eastAsia" w:ascii="仿宋_GB2312" w:hAnsi="仿宋_GB2312" w:eastAsia="仿宋_GB2312" w:cs="仿宋_GB2312"/>
          <w:b w:val="0"/>
          <w:bCs w:val="0"/>
          <w:kern w:val="2"/>
          <w:sz w:val="32"/>
          <w:szCs w:val="32"/>
          <w:highlight w:val="none"/>
          <w:lang w:val="en-US" w:eastAsia="zh-CN"/>
        </w:rPr>
        <w:t>96.08</w:t>
      </w:r>
      <w:r>
        <w:rPr>
          <w:rFonts w:hint="eastAsia" w:ascii="仿宋_GB2312" w:hAnsi="仿宋_GB2312" w:eastAsia="仿宋_GB2312" w:cs="仿宋_GB2312"/>
          <w:b w:val="0"/>
          <w:bCs w:val="0"/>
          <w:kern w:val="2"/>
          <w:sz w:val="32"/>
          <w:szCs w:val="32"/>
          <w:highlight w:val="none"/>
        </w:rPr>
        <w:t>分，绩效级别评定为“优”。</w:t>
      </w:r>
    </w:p>
    <w:p>
      <w:pPr>
        <w:spacing w:line="560" w:lineRule="exact"/>
        <w:ind w:firstLine="640" w:firstLineChars="200"/>
        <w:rPr>
          <w:rFonts w:ascii="楷体_GB2312" w:eastAsia="楷体_GB2312"/>
          <w:b w:val="0"/>
          <w:bCs w:val="0"/>
          <w:sz w:val="32"/>
          <w:szCs w:val="32"/>
          <w:highlight w:val="none"/>
        </w:rPr>
      </w:pPr>
      <w:r>
        <w:rPr>
          <w:rFonts w:hint="eastAsia" w:ascii="楷体_GB2312" w:eastAsia="楷体_GB2312"/>
          <w:b w:val="0"/>
          <w:bCs w:val="0"/>
          <w:sz w:val="32"/>
          <w:szCs w:val="32"/>
          <w:highlight w:val="none"/>
        </w:rPr>
        <w:t>（二）存在的问题及原因分析</w:t>
      </w:r>
    </w:p>
    <w:p>
      <w:pPr>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一是</w:t>
      </w:r>
      <w:r>
        <w:rPr>
          <w:rFonts w:hint="eastAsia" w:ascii="仿宋_GB2312" w:hAnsi="仿宋_GB2312" w:eastAsia="仿宋_GB2312" w:cs="仿宋_GB2312"/>
          <w:b w:val="0"/>
          <w:bCs w:val="0"/>
          <w:sz w:val="32"/>
          <w:szCs w:val="32"/>
          <w:highlight w:val="none"/>
          <w:lang w:eastAsia="zh-CN"/>
        </w:rPr>
        <w:t>绩效目标有待进一步细化，</w:t>
      </w:r>
      <w:r>
        <w:rPr>
          <w:rFonts w:hint="eastAsia" w:ascii="仿宋_GB2312" w:hAnsi="仿宋_GB2312" w:eastAsia="仿宋_GB2312" w:cs="仿宋_GB2312"/>
          <w:b w:val="0"/>
          <w:bCs w:val="0"/>
          <w:sz w:val="32"/>
          <w:szCs w:val="32"/>
          <w:highlight w:val="none"/>
        </w:rPr>
        <w:t>个别绩效目标及指标设置与部门</w:t>
      </w:r>
      <w:r>
        <w:rPr>
          <w:rFonts w:hint="eastAsia" w:ascii="仿宋_GB2312" w:hAnsi="仿宋_GB2312" w:eastAsia="仿宋_GB2312" w:cs="仿宋_GB2312"/>
          <w:b w:val="0"/>
          <w:bCs w:val="0"/>
          <w:sz w:val="32"/>
          <w:szCs w:val="32"/>
          <w:highlight w:val="none"/>
          <w:lang w:eastAsia="zh-CN"/>
        </w:rPr>
        <w:t>职能</w:t>
      </w:r>
      <w:r>
        <w:rPr>
          <w:rFonts w:hint="eastAsia" w:ascii="仿宋_GB2312" w:hAnsi="仿宋_GB2312" w:eastAsia="仿宋_GB2312" w:cs="仿宋_GB2312"/>
          <w:b w:val="0"/>
          <w:bCs w:val="0"/>
          <w:sz w:val="32"/>
          <w:szCs w:val="32"/>
          <w:highlight w:val="none"/>
        </w:rPr>
        <w:t>匹配</w:t>
      </w:r>
      <w:r>
        <w:rPr>
          <w:rFonts w:hint="eastAsia" w:ascii="仿宋_GB2312" w:hAnsi="仿宋_GB2312" w:eastAsia="仿宋_GB2312" w:cs="仿宋_GB2312"/>
          <w:b w:val="0"/>
          <w:bCs w:val="0"/>
          <w:sz w:val="32"/>
          <w:szCs w:val="32"/>
          <w:highlight w:val="none"/>
          <w:lang w:eastAsia="zh-CN"/>
        </w:rPr>
        <w:t>度有待提升，绩效目标多为定性描述，量化不充分</w:t>
      </w:r>
      <w:r>
        <w:rPr>
          <w:rFonts w:hint="eastAsia" w:ascii="仿宋_GB2312" w:hAnsi="仿宋_GB2312" w:eastAsia="仿宋_GB2312" w:cs="仿宋_GB2312"/>
          <w:b w:val="0"/>
          <w:bCs w:val="0"/>
          <w:sz w:val="32"/>
          <w:szCs w:val="32"/>
          <w:highlight w:val="none"/>
        </w:rPr>
        <w:t>。二是预算执行管理有待进一步加强。2</w:t>
      </w:r>
      <w:r>
        <w:rPr>
          <w:rFonts w:ascii="仿宋_GB2312" w:hAnsi="仿宋_GB2312" w:eastAsia="仿宋_GB2312" w:cs="仿宋_GB2312"/>
          <w:b w:val="0"/>
          <w:bCs w:val="0"/>
          <w:sz w:val="32"/>
          <w:szCs w:val="32"/>
          <w:highlight w:val="none"/>
        </w:rPr>
        <w:t>022</w:t>
      </w:r>
      <w:r>
        <w:rPr>
          <w:rFonts w:hint="eastAsia" w:ascii="仿宋_GB2312" w:hAnsi="仿宋_GB2312" w:eastAsia="仿宋_GB2312" w:cs="仿宋_GB2312"/>
          <w:b w:val="0"/>
          <w:bCs w:val="0"/>
          <w:sz w:val="32"/>
          <w:szCs w:val="32"/>
          <w:highlight w:val="none"/>
          <w:lang w:eastAsia="zh-CN"/>
        </w:rPr>
        <w:t>年度</w:t>
      </w:r>
      <w:r>
        <w:rPr>
          <w:rFonts w:hint="eastAsia" w:ascii="仿宋_GB2312" w:hAnsi="仿宋_GB2312" w:eastAsia="仿宋_GB2312" w:cs="仿宋_GB2312"/>
          <w:b w:val="0"/>
          <w:bCs w:val="0"/>
          <w:sz w:val="32"/>
          <w:szCs w:val="32"/>
          <w:highlight w:val="none"/>
        </w:rPr>
        <w:t>受疫情影响，部分活动未达到预期，导致个别项目资金执行未全部完成，影响了总体执行进度。</w:t>
      </w:r>
    </w:p>
    <w:p>
      <w:pPr>
        <w:spacing w:line="560" w:lineRule="exact"/>
        <w:ind w:firstLine="640" w:firstLineChars="200"/>
        <w:rPr>
          <w:rFonts w:ascii="仿宋_GB2312" w:hAnsi="宋体" w:eastAsia="仿宋_GB2312" w:cs="宋体"/>
          <w:b w:val="0"/>
          <w:bCs w:val="0"/>
          <w:color w:val="000000"/>
          <w:kern w:val="0"/>
          <w:sz w:val="32"/>
          <w:szCs w:val="32"/>
          <w:highlight w:val="none"/>
        </w:rPr>
      </w:pPr>
      <w:r>
        <w:rPr>
          <w:rFonts w:hint="eastAsia" w:ascii="黑体" w:hAnsi="黑体" w:eastAsia="黑体" w:cs="宋体"/>
          <w:b w:val="0"/>
          <w:bCs w:val="0"/>
          <w:color w:val="000000"/>
          <w:kern w:val="0"/>
          <w:sz w:val="32"/>
          <w:szCs w:val="32"/>
          <w:highlight w:val="none"/>
        </w:rPr>
        <w:t>六、措施建议</w:t>
      </w:r>
    </w:p>
    <w:p>
      <w:pPr>
        <w:spacing w:line="560" w:lineRule="exact"/>
        <w:ind w:firstLine="640" w:firstLineChars="200"/>
        <w:rPr>
          <w:rFonts w:ascii="仿宋_GB2312" w:hAnsi="仿宋_GB2312" w:eastAsia="仿宋_GB2312" w:cs="仿宋_GB2312"/>
          <w:b w:val="0"/>
          <w:bCs w:val="0"/>
          <w:color w:val="auto"/>
          <w:kern w:val="2"/>
          <w:sz w:val="32"/>
          <w:szCs w:val="32"/>
          <w:highlight w:val="none"/>
        </w:rPr>
      </w:pPr>
      <w:r>
        <w:rPr>
          <w:rFonts w:hint="eastAsia" w:ascii="仿宋_GB2312" w:hAnsi="仿宋_GB2312" w:eastAsia="仿宋_GB2312" w:cs="仿宋_GB2312"/>
          <w:b w:val="0"/>
          <w:bCs w:val="0"/>
          <w:sz w:val="32"/>
          <w:szCs w:val="32"/>
          <w:highlight w:val="none"/>
        </w:rPr>
        <w:t>一</w:t>
      </w:r>
      <w:r>
        <w:rPr>
          <w:rFonts w:hint="eastAsia" w:ascii="仿宋_GB2312" w:hAnsi="仿宋_GB2312" w:eastAsia="仿宋_GB2312" w:cs="仿宋_GB2312"/>
          <w:b w:val="0"/>
          <w:bCs w:val="0"/>
          <w:color w:val="auto"/>
          <w:kern w:val="2"/>
          <w:sz w:val="32"/>
          <w:szCs w:val="32"/>
          <w:highlight w:val="none"/>
        </w:rPr>
        <w:t>是优化绩效目标设定，科学评价项目成效。</w:t>
      </w:r>
      <w:r>
        <w:rPr>
          <w:rFonts w:hint="eastAsia" w:ascii="仿宋_GB2312" w:hAnsi="仿宋_GB2312" w:eastAsia="仿宋_GB2312" w:cs="仿宋_GB2312"/>
          <w:b w:val="0"/>
          <w:bCs w:val="0"/>
          <w:color w:val="auto"/>
          <w:kern w:val="2"/>
          <w:sz w:val="32"/>
          <w:szCs w:val="32"/>
          <w:highlight w:val="none"/>
          <w:lang w:eastAsia="zh-CN"/>
        </w:rPr>
        <w:t>进一步</w:t>
      </w:r>
      <w:r>
        <w:rPr>
          <w:rFonts w:hint="eastAsia" w:ascii="仿宋_GB2312" w:hAnsi="仿宋_GB2312" w:eastAsia="仿宋_GB2312" w:cs="仿宋_GB2312"/>
          <w:b w:val="0"/>
          <w:bCs w:val="0"/>
          <w:color w:val="auto"/>
          <w:kern w:val="2"/>
          <w:sz w:val="32"/>
          <w:szCs w:val="32"/>
          <w:highlight w:val="none"/>
        </w:rPr>
        <w:t>结合项目实际执行，评估当前绩效目标设定的合理性，深挖项目效能，建立健全行之有效的绩效评价指标体系，科学评价预算项目的价值作用。</w:t>
      </w:r>
      <w:r>
        <w:rPr>
          <w:rFonts w:hint="eastAsia" w:ascii="仿宋_GB2312" w:hAnsi="仿宋_GB2312" w:eastAsia="仿宋_GB2312" w:cs="仿宋_GB2312"/>
          <w:b w:val="0"/>
          <w:bCs w:val="0"/>
          <w:sz w:val="32"/>
          <w:szCs w:val="32"/>
          <w:highlight w:val="none"/>
        </w:rPr>
        <w:t>二</w:t>
      </w:r>
      <w:r>
        <w:rPr>
          <w:rFonts w:hint="eastAsia" w:ascii="仿宋_GB2312" w:hAnsi="仿宋_GB2312" w:eastAsia="仿宋_GB2312" w:cs="仿宋_GB2312"/>
          <w:b w:val="0"/>
          <w:bCs w:val="0"/>
          <w:color w:val="auto"/>
          <w:kern w:val="2"/>
          <w:sz w:val="32"/>
          <w:szCs w:val="32"/>
          <w:highlight w:val="none"/>
        </w:rPr>
        <w:t>是强化执行进度管理，提升资金使用效益。科学稳妥推进各项目加快执行进度，做好业财融合，加强项目执行分析研判，提升资金统筹管理水平，同时坚持厉行节约、勤俭办事，促进项目高质量发展。</w:t>
      </w:r>
    </w:p>
    <w:p>
      <w:pPr>
        <w:spacing w:line="560" w:lineRule="exact"/>
        <w:ind w:firstLine="640" w:firstLineChars="200"/>
        <w:rPr>
          <w:rFonts w:ascii="仿宋_GB2312" w:hAnsi="仿宋_GB2312" w:eastAsia="仿宋_GB2312" w:cs="仿宋_GB2312"/>
          <w:b w:val="0"/>
          <w:bCs w:val="0"/>
          <w:sz w:val="32"/>
          <w:szCs w:val="32"/>
          <w:highlight w:val="none"/>
        </w:rPr>
        <w:sectPr>
          <w:footerReference r:id="rId3" w:type="default"/>
          <w:pgSz w:w="11906" w:h="16838"/>
          <w:pgMar w:top="1440" w:right="1800" w:bottom="1440" w:left="1800" w:header="851" w:footer="964" w:gutter="0"/>
          <w:pgNumType w:start="1"/>
          <w:cols w:space="425" w:num="1"/>
          <w:docGrid w:type="lines" w:linePitch="435" w:charSpace="0"/>
        </w:sectPr>
      </w:pPr>
    </w:p>
    <w:p>
      <w:pPr>
        <w:spacing w:line="560" w:lineRule="exact"/>
        <w:jc w:val="left"/>
        <w:rPr>
          <w:rFonts w:ascii="方正黑体_GBK" w:hAnsi="方正黑体_GBK" w:eastAsia="方正黑体_GBK" w:cs="方正黑体_GBK"/>
          <w:sz w:val="36"/>
          <w:szCs w:val="28"/>
          <w:highlight w:val="none"/>
        </w:rPr>
      </w:pPr>
    </w:p>
    <w:tbl>
      <w:tblPr>
        <w:tblStyle w:val="11"/>
        <w:tblW w:w="5086" w:type="pct"/>
        <w:tblInd w:w="0" w:type="dxa"/>
        <w:tblLayout w:type="autofit"/>
        <w:tblCellMar>
          <w:top w:w="0" w:type="dxa"/>
          <w:left w:w="108" w:type="dxa"/>
          <w:bottom w:w="0" w:type="dxa"/>
          <w:right w:w="108" w:type="dxa"/>
        </w:tblCellMar>
      </w:tblPr>
      <w:tblGrid>
        <w:gridCol w:w="1121"/>
        <w:gridCol w:w="1127"/>
        <w:gridCol w:w="1177"/>
        <w:gridCol w:w="1182"/>
        <w:gridCol w:w="1139"/>
        <w:gridCol w:w="655"/>
        <w:gridCol w:w="854"/>
        <w:gridCol w:w="3619"/>
        <w:gridCol w:w="3544"/>
      </w:tblGrid>
      <w:tr>
        <w:tblPrEx>
          <w:tblCellMar>
            <w:top w:w="0" w:type="dxa"/>
            <w:left w:w="108" w:type="dxa"/>
            <w:bottom w:w="0" w:type="dxa"/>
            <w:right w:w="108" w:type="dxa"/>
          </w:tblCellMar>
        </w:tblPrEx>
        <w:trPr>
          <w:cantSplit/>
          <w:trHeight w:val="769" w:hRule="atLeast"/>
        </w:trPr>
        <w:tc>
          <w:tcPr>
            <w:tcW w:w="5000" w:type="pct"/>
            <w:gridSpan w:val="9"/>
            <w:tcBorders>
              <w:top w:val="nil"/>
              <w:left w:val="nil"/>
              <w:bottom w:val="single" w:color="auto" w:sz="4" w:space="0"/>
              <w:right w:val="nil"/>
            </w:tcBorders>
            <w:noWrap/>
            <w:vAlign w:val="bottom"/>
          </w:tcPr>
          <w:p>
            <w:pPr>
              <w:widowControl/>
              <w:jc w:val="center"/>
              <w:rPr>
                <w:rFonts w:hint="eastAsia" w:ascii="方正小标宋简体" w:hAnsi="黑体" w:eastAsia="方正小标宋简体" w:cs="宋体"/>
                <w:color w:val="000000"/>
                <w:kern w:val="0"/>
                <w:sz w:val="48"/>
                <w:szCs w:val="48"/>
                <w:highlight w:val="none"/>
                <w:lang w:eastAsia="zh-CN"/>
              </w:rPr>
            </w:pPr>
            <w:r>
              <w:rPr>
                <w:rFonts w:hint="eastAsia" w:ascii="方正小标宋简体" w:hAnsi="黑体" w:eastAsia="方正小标宋简体" w:cs="宋体"/>
                <w:color w:val="000000"/>
                <w:kern w:val="0"/>
                <w:sz w:val="48"/>
                <w:szCs w:val="48"/>
                <w:highlight w:val="none"/>
              </w:rPr>
              <w:t>202</w:t>
            </w:r>
            <w:r>
              <w:rPr>
                <w:rFonts w:hint="eastAsia" w:ascii="方正小标宋简体" w:hAnsi="黑体" w:eastAsia="方正小标宋简体" w:cs="宋体"/>
                <w:color w:val="000000"/>
                <w:kern w:val="0"/>
                <w:sz w:val="48"/>
                <w:szCs w:val="48"/>
                <w:highlight w:val="none"/>
                <w:lang w:val="en-US" w:eastAsia="zh-CN"/>
              </w:rPr>
              <w:t>2</w:t>
            </w:r>
            <w:r>
              <w:rPr>
                <w:rFonts w:hint="eastAsia" w:ascii="方正小标宋简体" w:hAnsi="黑体" w:eastAsia="方正小标宋简体" w:cs="宋体"/>
                <w:color w:val="000000"/>
                <w:kern w:val="0"/>
                <w:sz w:val="48"/>
                <w:szCs w:val="48"/>
                <w:highlight w:val="none"/>
              </w:rPr>
              <w:t>年部门整体绩效评价指标体系评分表</w:t>
            </w:r>
          </w:p>
        </w:tc>
      </w:tr>
      <w:tr>
        <w:tblPrEx>
          <w:tblCellMar>
            <w:top w:w="0" w:type="dxa"/>
            <w:left w:w="108" w:type="dxa"/>
            <w:bottom w:w="0" w:type="dxa"/>
            <w:right w:w="108" w:type="dxa"/>
          </w:tblCellMar>
        </w:tblPrEx>
        <w:trPr>
          <w:cantSplit/>
          <w:trHeight w:val="395"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hint="eastAsia" w:ascii="宋体" w:hAnsi="宋体" w:cs="宋体"/>
                <w:color w:val="000000"/>
                <w:kern w:val="0"/>
                <w:sz w:val="21"/>
                <w:szCs w:val="21"/>
                <w:highlight w:val="none"/>
              </w:rPr>
              <w:t>当年预算执行情况（20分）</w:t>
            </w:r>
          </w:p>
        </w:tc>
      </w:tr>
      <w:tr>
        <w:tblPrEx>
          <w:tblCellMar>
            <w:top w:w="0" w:type="dxa"/>
            <w:left w:w="108" w:type="dxa"/>
            <w:bottom w:w="0" w:type="dxa"/>
            <w:right w:w="108" w:type="dxa"/>
          </w:tblCellMar>
        </w:tblPrEx>
        <w:trPr>
          <w:cantSplit/>
          <w:trHeight w:val="551" w:hRule="atLeast"/>
        </w:trPr>
        <w:tc>
          <w:tcPr>
            <w:tcW w:w="38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一</w:t>
            </w:r>
            <w:r>
              <w:rPr>
                <w:rFonts w:ascii="宋体" w:hAnsi="宋体" w:cs="宋体"/>
                <w:color w:val="000000"/>
                <w:kern w:val="0"/>
                <w:sz w:val="21"/>
                <w:szCs w:val="21"/>
                <w:highlight w:val="none"/>
              </w:rPr>
              <w:t>级指标</w:t>
            </w:r>
            <w:r>
              <w:rPr>
                <w:rFonts w:hint="eastAsia" w:ascii="宋体" w:hAnsi="宋体" w:cs="宋体"/>
                <w:color w:val="000000"/>
                <w:kern w:val="0"/>
                <w:sz w:val="21"/>
                <w:szCs w:val="21"/>
                <w:highlight w:val="none"/>
              </w:rPr>
              <w:t>　</w:t>
            </w: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二</w:t>
            </w:r>
            <w:r>
              <w:rPr>
                <w:rFonts w:ascii="宋体" w:hAnsi="宋体" w:cs="宋体"/>
                <w:color w:val="000000"/>
                <w:kern w:val="0"/>
                <w:sz w:val="21"/>
                <w:szCs w:val="21"/>
                <w:highlight w:val="none"/>
              </w:rPr>
              <w:t>级指标</w:t>
            </w:r>
            <w:r>
              <w:rPr>
                <w:rFonts w:hint="eastAsia" w:ascii="宋体" w:hAnsi="宋体" w:cs="宋体"/>
                <w:color w:val="000000"/>
                <w:kern w:val="0"/>
                <w:sz w:val="21"/>
                <w:szCs w:val="21"/>
                <w:highlight w:val="none"/>
              </w:rPr>
              <w:t>　</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预算数（万元）</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执行数（万元）</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预算执行率</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分值</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得分</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指标解释</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评分标准</w:t>
            </w:r>
          </w:p>
        </w:tc>
      </w:tr>
      <w:tr>
        <w:tblPrEx>
          <w:tblCellMar>
            <w:top w:w="0" w:type="dxa"/>
            <w:left w:w="108" w:type="dxa"/>
            <w:bottom w:w="0" w:type="dxa"/>
            <w:right w:w="108" w:type="dxa"/>
          </w:tblCellMar>
        </w:tblPrEx>
        <w:trPr>
          <w:cantSplit/>
          <w:trHeight w:val="526" w:hRule="atLeast"/>
        </w:trPr>
        <w:tc>
          <w:tcPr>
            <w:tcW w:w="38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当年预算执行情况（20）</w:t>
            </w: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资金总体</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lang w:val="en-US" w:eastAsia="zh-CN"/>
              </w:rPr>
              <w:t>16707.16</w:t>
            </w:r>
            <w:r>
              <w:rPr>
                <w:rFonts w:hint="eastAsia" w:ascii="宋体" w:hAnsi="宋体" w:cs="宋体"/>
                <w:color w:val="000000"/>
                <w:kern w:val="0"/>
                <w:szCs w:val="21"/>
                <w:highlight w:val="none"/>
              </w:rPr>
              <w:t>　</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lang w:val="en-US" w:eastAsia="zh-CN"/>
              </w:rPr>
              <w:t>15774.63</w:t>
            </w:r>
            <w:r>
              <w:rPr>
                <w:rFonts w:hint="eastAsia" w:ascii="宋体" w:hAnsi="宋体" w:cs="宋体"/>
                <w:color w:val="000000"/>
                <w:kern w:val="0"/>
                <w:szCs w:val="21"/>
                <w:highlight w:val="none"/>
              </w:rPr>
              <w:t>　</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en-US" w:eastAsia="zh-CN"/>
              </w:rPr>
              <w:t>4</w:t>
            </w:r>
            <w:r>
              <w:rPr>
                <w:rFonts w:ascii="宋体" w:hAnsi="宋体" w:cs="宋体"/>
                <w:color w:val="000000"/>
                <w:kern w:val="0"/>
                <w:szCs w:val="21"/>
                <w:highlight w:val="none"/>
              </w:rPr>
              <w:t>.</w:t>
            </w:r>
            <w:r>
              <w:rPr>
                <w:rFonts w:hint="eastAsia" w:ascii="宋体" w:hAnsi="宋体" w:cs="宋体"/>
                <w:color w:val="000000"/>
                <w:kern w:val="0"/>
                <w:szCs w:val="21"/>
                <w:highlight w:val="none"/>
                <w:lang w:val="en-US" w:eastAsia="zh-CN"/>
              </w:rPr>
              <w:t>42</w:t>
            </w:r>
            <w:r>
              <w:rPr>
                <w:rFonts w:ascii="宋体" w:hAnsi="宋体" w:cs="宋体"/>
                <w:color w:val="000000"/>
                <w:kern w:val="0"/>
                <w:szCs w:val="21"/>
                <w:highlight w:val="none"/>
              </w:rPr>
              <w:t>%</w:t>
            </w:r>
          </w:p>
        </w:tc>
        <w:tc>
          <w:tcPr>
            <w:tcW w:w="227"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20</w:t>
            </w:r>
          </w:p>
        </w:tc>
        <w:tc>
          <w:tcPr>
            <w:tcW w:w="296"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18.88</w:t>
            </w:r>
          </w:p>
        </w:tc>
        <w:tc>
          <w:tcPr>
            <w:tcW w:w="125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部门全年执行数与全年预算数的比率。资金总体=基本支出+项目支出+其他</w:t>
            </w:r>
          </w:p>
        </w:tc>
        <w:tc>
          <w:tcPr>
            <w:tcW w:w="122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①得分一档最高不能超过该指标分值上限（20分）。</w:t>
            </w: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90"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基本支出</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lang w:val="en-US" w:eastAsia="zh-CN"/>
              </w:rPr>
              <w:t>11695.58</w:t>
            </w:r>
            <w:r>
              <w:rPr>
                <w:rFonts w:hint="eastAsia" w:ascii="宋体" w:hAnsi="宋体" w:cs="宋体"/>
                <w:color w:val="000000"/>
                <w:kern w:val="0"/>
                <w:szCs w:val="21"/>
                <w:highlight w:val="none"/>
              </w:rPr>
              <w:t>　</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11279.16</w:t>
            </w:r>
          </w:p>
        </w:tc>
        <w:tc>
          <w:tcPr>
            <w:tcW w:w="39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w:t>
            </w:r>
          </w:p>
        </w:tc>
        <w:tc>
          <w:tcPr>
            <w:tcW w:w="22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29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12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22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cantSplit/>
          <w:trHeight w:val="514"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项目支出</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lang w:val="en-US" w:eastAsia="zh-CN"/>
              </w:rPr>
              <w:t>5011.58</w:t>
            </w:r>
            <w:r>
              <w:rPr>
                <w:rFonts w:hint="eastAsia" w:ascii="宋体" w:hAnsi="宋体" w:cs="宋体"/>
                <w:color w:val="000000"/>
                <w:kern w:val="0"/>
                <w:szCs w:val="21"/>
                <w:highlight w:val="none"/>
              </w:rPr>
              <w:t>　</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lang w:val="en-US" w:eastAsia="zh-CN"/>
              </w:rPr>
              <w:t>4495.47</w:t>
            </w:r>
            <w:r>
              <w:rPr>
                <w:rFonts w:hint="eastAsia" w:ascii="宋体" w:hAnsi="宋体" w:cs="宋体"/>
                <w:color w:val="000000"/>
                <w:kern w:val="0"/>
                <w:szCs w:val="21"/>
                <w:highlight w:val="none"/>
              </w:rPr>
              <w:t>　</w:t>
            </w:r>
          </w:p>
        </w:tc>
        <w:tc>
          <w:tcPr>
            <w:tcW w:w="39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22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29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12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22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cantSplit/>
          <w:trHeight w:val="2569"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其他</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rPr>
              <w:t>0</w:t>
            </w:r>
            <w:r>
              <w:rPr>
                <w:rFonts w:ascii="宋体" w:hAnsi="宋体" w:cs="宋体"/>
                <w:color w:val="000000"/>
                <w:kern w:val="0"/>
                <w:szCs w:val="21"/>
                <w:highlight w:val="none"/>
              </w:rPr>
              <w:t>.00</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Cs w:val="21"/>
                <w:highlight w:val="none"/>
              </w:rPr>
              <w:t>0</w:t>
            </w:r>
            <w:r>
              <w:rPr>
                <w:rFonts w:ascii="宋体" w:hAnsi="宋体" w:cs="宋体"/>
                <w:color w:val="000000"/>
                <w:kern w:val="0"/>
                <w:szCs w:val="21"/>
                <w:highlight w:val="none"/>
              </w:rPr>
              <w:t>.00</w:t>
            </w:r>
            <w:r>
              <w:rPr>
                <w:rFonts w:hint="eastAsia" w:ascii="宋体" w:hAnsi="宋体" w:cs="宋体"/>
                <w:color w:val="000000"/>
                <w:kern w:val="0"/>
                <w:szCs w:val="21"/>
                <w:highlight w:val="none"/>
              </w:rPr>
              <w:t>　</w:t>
            </w:r>
          </w:p>
        </w:tc>
        <w:tc>
          <w:tcPr>
            <w:tcW w:w="39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22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29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12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22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cantSplit/>
          <w:trHeight w:val="402"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w:t>
            </w:r>
            <w:r>
              <w:rPr>
                <w:rFonts w:hint="eastAsia" w:ascii="宋体" w:hAnsi="宋体" w:cs="宋体"/>
                <w:color w:val="000000"/>
                <w:kern w:val="0"/>
                <w:sz w:val="21"/>
                <w:szCs w:val="21"/>
                <w:highlight w:val="none"/>
              </w:rPr>
              <w:t>整体绩效目标实现情况（60分）</w:t>
            </w:r>
          </w:p>
        </w:tc>
      </w:tr>
      <w:tr>
        <w:tblPrEx>
          <w:tblCellMar>
            <w:top w:w="0" w:type="dxa"/>
            <w:left w:w="108" w:type="dxa"/>
            <w:bottom w:w="0" w:type="dxa"/>
            <w:right w:w="108" w:type="dxa"/>
          </w:tblCellMar>
        </w:tblPrEx>
        <w:trPr>
          <w:cantSplit/>
          <w:trHeight w:val="419" w:hRule="atLeast"/>
        </w:trPr>
        <w:tc>
          <w:tcPr>
            <w:tcW w:w="38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一</w:t>
            </w:r>
            <w:r>
              <w:rPr>
                <w:rFonts w:ascii="宋体" w:hAnsi="宋体" w:cs="宋体"/>
                <w:color w:val="000000"/>
                <w:kern w:val="0"/>
                <w:sz w:val="21"/>
                <w:szCs w:val="21"/>
                <w:highlight w:val="none"/>
              </w:rPr>
              <w:t>级指标</w:t>
            </w: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二</w:t>
            </w:r>
            <w:r>
              <w:rPr>
                <w:rFonts w:ascii="宋体" w:hAnsi="宋体" w:cs="宋体"/>
                <w:color w:val="000000"/>
                <w:kern w:val="0"/>
                <w:sz w:val="21"/>
                <w:szCs w:val="21"/>
                <w:highlight w:val="none"/>
              </w:rPr>
              <w:t>级指标</w:t>
            </w:r>
            <w:r>
              <w:rPr>
                <w:rFonts w:hint="eastAsia" w:ascii="宋体" w:hAnsi="宋体" w:cs="宋体"/>
                <w:color w:val="000000"/>
                <w:kern w:val="0"/>
                <w:sz w:val="21"/>
                <w:szCs w:val="21"/>
                <w:highlight w:val="none"/>
              </w:rPr>
              <w:t>　</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三</w:t>
            </w:r>
            <w:r>
              <w:rPr>
                <w:rFonts w:ascii="宋体" w:hAnsi="宋体" w:cs="宋体"/>
                <w:color w:val="000000"/>
                <w:kern w:val="0"/>
                <w:sz w:val="21"/>
                <w:szCs w:val="21"/>
                <w:highlight w:val="none"/>
              </w:rPr>
              <w:t>级指标</w:t>
            </w:r>
            <w:r>
              <w:rPr>
                <w:rFonts w:hint="eastAsia" w:ascii="宋体" w:hAnsi="宋体" w:cs="宋体"/>
                <w:color w:val="000000"/>
                <w:kern w:val="0"/>
                <w:sz w:val="21"/>
                <w:szCs w:val="21"/>
                <w:highlight w:val="none"/>
              </w:rPr>
              <w:t>　</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指标值</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完成值</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分值</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得分</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20"/>
                <w:szCs w:val="20"/>
                <w:highlight w:val="none"/>
              </w:rPr>
            </w:pPr>
            <w:r>
              <w:rPr>
                <w:rFonts w:hint="eastAsia" w:ascii="宋体" w:hAnsi="宋体" w:cs="宋体"/>
                <w:bCs/>
                <w:color w:val="000000"/>
                <w:kern w:val="0"/>
                <w:sz w:val="20"/>
                <w:szCs w:val="20"/>
                <w:highlight w:val="none"/>
              </w:rPr>
              <w:t>指标</w:t>
            </w:r>
            <w:r>
              <w:rPr>
                <w:rFonts w:ascii="宋体" w:hAnsi="宋体" w:cs="宋体"/>
                <w:bCs/>
                <w:color w:val="000000"/>
                <w:kern w:val="0"/>
                <w:sz w:val="20"/>
                <w:szCs w:val="20"/>
                <w:highlight w:val="none"/>
              </w:rPr>
              <w:t>解释</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评</w:t>
            </w:r>
            <w:r>
              <w:rPr>
                <w:rFonts w:ascii="宋体" w:hAnsi="宋体" w:cs="宋体"/>
                <w:color w:val="000000"/>
                <w:kern w:val="0"/>
                <w:sz w:val="20"/>
                <w:szCs w:val="20"/>
                <w:highlight w:val="none"/>
              </w:rPr>
              <w:t>分标准</w:t>
            </w:r>
          </w:p>
        </w:tc>
      </w:tr>
      <w:tr>
        <w:tblPrEx>
          <w:tblCellMar>
            <w:top w:w="0" w:type="dxa"/>
            <w:left w:w="108" w:type="dxa"/>
            <w:bottom w:w="0" w:type="dxa"/>
            <w:right w:w="108" w:type="dxa"/>
          </w:tblCellMar>
        </w:tblPrEx>
        <w:trPr>
          <w:cantSplit/>
          <w:trHeight w:val="1620" w:hRule="atLeast"/>
        </w:trPr>
        <w:tc>
          <w:tcPr>
            <w:tcW w:w="38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整体绩效目标实现情况（60）</w:t>
            </w:r>
          </w:p>
        </w:tc>
        <w:tc>
          <w:tcPr>
            <w:tcW w:w="39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1"/>
                <w:szCs w:val="21"/>
                <w:highlight w:val="none"/>
              </w:rPr>
            </w:pPr>
          </w:p>
          <w:p>
            <w:pPr>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产出（30）</w:t>
            </w:r>
          </w:p>
        </w:tc>
        <w:tc>
          <w:tcPr>
            <w:tcW w:w="4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产出数量</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0"/>
                <w:szCs w:val="20"/>
                <w:highlight w:val="none"/>
              </w:rPr>
              <w:t>计划完成率</w:t>
            </w:r>
            <w:r>
              <w:rPr>
                <w:rFonts w:hint="eastAsia" w:ascii="宋体" w:hAnsi="宋体" w:cs="宋体"/>
                <w:color w:val="000000"/>
                <w:kern w:val="0"/>
                <w:sz w:val="20"/>
                <w:szCs w:val="20"/>
                <w:highlight w:val="none"/>
                <w:lang w:val="en-US" w:eastAsia="zh-CN"/>
              </w:rPr>
              <w:t>=</w:t>
            </w:r>
            <w:r>
              <w:rPr>
                <w:rFonts w:hint="eastAsia" w:ascii="宋体" w:hAnsi="宋体" w:cs="宋体"/>
                <w:color w:val="000000"/>
                <w:kern w:val="0"/>
                <w:sz w:val="21"/>
                <w:szCs w:val="21"/>
                <w:highlight w:val="none"/>
                <w:lang w:val="en-US" w:eastAsia="zh-CN"/>
              </w:rPr>
              <w:t>100%</w:t>
            </w:r>
          </w:p>
        </w:tc>
        <w:tc>
          <w:tcPr>
            <w:tcW w:w="3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1"/>
                <w:szCs w:val="21"/>
                <w:highlight w:val="none"/>
              </w:rPr>
            </w:pPr>
            <w:r>
              <w:rPr>
                <w:rFonts w:hint="eastAsia" w:ascii="宋体" w:hAnsi="宋体" w:cs="宋体"/>
                <w:color w:val="000000"/>
                <w:kern w:val="0"/>
                <w:sz w:val="20"/>
                <w:szCs w:val="20"/>
                <w:highlight w:val="none"/>
              </w:rPr>
              <w:t>计划完成率</w:t>
            </w:r>
            <w:r>
              <w:rPr>
                <w:rFonts w:hint="eastAsia" w:ascii="宋体" w:hAnsi="宋体" w:cs="宋体"/>
                <w:color w:val="000000"/>
                <w:kern w:val="0"/>
                <w:sz w:val="20"/>
                <w:szCs w:val="20"/>
                <w:highlight w:val="none"/>
                <w:lang w:val="en-US" w:eastAsia="zh-CN"/>
              </w:rPr>
              <w:t>=</w:t>
            </w:r>
            <w:r>
              <w:rPr>
                <w:rFonts w:hint="eastAsia" w:ascii="宋体" w:hAnsi="宋体" w:cs="宋体"/>
                <w:color w:val="000000"/>
                <w:kern w:val="0"/>
                <w:sz w:val="21"/>
                <w:szCs w:val="21"/>
                <w:highlight w:val="none"/>
                <w:lang w:val="en-US" w:eastAsia="zh-CN"/>
              </w:rPr>
              <w:t>100%</w:t>
            </w:r>
          </w:p>
        </w:tc>
        <w:tc>
          <w:tcPr>
            <w:tcW w:w="227"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lang w:val="en-US" w:eastAsia="zh-CN"/>
              </w:rPr>
              <w:t>10</w:t>
            </w:r>
          </w:p>
        </w:tc>
        <w:tc>
          <w:tcPr>
            <w:tcW w:w="125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b/>
                <w:bCs/>
                <w:color w:val="000000"/>
                <w:kern w:val="0"/>
                <w:sz w:val="20"/>
                <w:szCs w:val="20"/>
                <w:highlight w:val="none"/>
              </w:rPr>
              <w:t>产出数量</w:t>
            </w:r>
            <w:r>
              <w:rPr>
                <w:rFonts w:hint="eastAsia" w:ascii="宋体" w:hAnsi="宋体" w:cs="宋体"/>
                <w:color w:val="000000"/>
                <w:kern w:val="0"/>
                <w:sz w:val="20"/>
                <w:szCs w:val="20"/>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20"/>
                <w:szCs w:val="20"/>
                <w:highlight w:val="none"/>
              </w:rPr>
              <w:t>产出质量</w:t>
            </w:r>
            <w:r>
              <w:rPr>
                <w:rFonts w:hint="eastAsia" w:ascii="宋体" w:hAnsi="宋体" w:cs="宋体"/>
                <w:color w:val="000000"/>
                <w:kern w:val="0"/>
                <w:sz w:val="20"/>
                <w:szCs w:val="20"/>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20"/>
                <w:szCs w:val="20"/>
                <w:highlight w:val="none"/>
              </w:rPr>
              <w:t>产出进度：</w:t>
            </w:r>
            <w:r>
              <w:rPr>
                <w:rFonts w:hint="eastAsia" w:ascii="宋体" w:hAnsi="宋体" w:cs="宋体"/>
                <w:color w:val="000000"/>
                <w:kern w:val="0"/>
                <w:sz w:val="20"/>
                <w:szCs w:val="20"/>
                <w:highlight w:val="none"/>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20"/>
                <w:szCs w:val="20"/>
                <w:highlight w:val="none"/>
              </w:rPr>
              <w:t>产出成本</w:t>
            </w:r>
            <w:r>
              <w:rPr>
                <w:rFonts w:hint="eastAsia" w:ascii="宋体" w:hAnsi="宋体" w:cs="宋体"/>
                <w:color w:val="000000"/>
                <w:kern w:val="0"/>
                <w:sz w:val="20"/>
                <w:szCs w:val="20"/>
                <w:highlight w:val="none"/>
              </w:rPr>
              <w:t>：单位产出相对于上一年度的节约额；②单位产出相对于市场同类产出的节约额；③部门公用经费的控制情况。</w:t>
            </w:r>
          </w:p>
        </w:tc>
        <w:tc>
          <w:tcPr>
            <w:tcW w:w="122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cantSplit/>
          <w:trHeight w:val="1647"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4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产出质量</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0"/>
                <w:szCs w:val="20"/>
                <w:highlight w:val="none"/>
              </w:rPr>
              <w:t>质量达标率</w:t>
            </w:r>
            <w:r>
              <w:rPr>
                <w:rFonts w:hint="eastAsia" w:ascii="宋体" w:hAnsi="宋体" w:cs="宋体"/>
                <w:color w:val="000000"/>
                <w:kern w:val="0"/>
                <w:sz w:val="20"/>
                <w:szCs w:val="20"/>
                <w:highlight w:val="none"/>
                <w:lang w:val="en-US" w:eastAsia="zh-CN"/>
              </w:rPr>
              <w:t>=</w:t>
            </w:r>
            <w:r>
              <w:rPr>
                <w:rFonts w:hint="eastAsia" w:ascii="宋体" w:hAnsi="宋体" w:cs="宋体"/>
                <w:color w:val="000000"/>
                <w:kern w:val="0"/>
                <w:sz w:val="21"/>
                <w:szCs w:val="21"/>
                <w:highlight w:val="none"/>
                <w:lang w:val="en-US" w:eastAsia="zh-CN"/>
              </w:rPr>
              <w:t>100%</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0"/>
                <w:szCs w:val="20"/>
                <w:highlight w:val="none"/>
              </w:rPr>
              <w:t>质量达标率</w:t>
            </w:r>
            <w:r>
              <w:rPr>
                <w:rFonts w:hint="eastAsia" w:ascii="宋体" w:hAnsi="宋体" w:cs="宋体"/>
                <w:color w:val="000000"/>
                <w:kern w:val="0"/>
                <w:sz w:val="20"/>
                <w:szCs w:val="20"/>
                <w:highlight w:val="none"/>
                <w:lang w:val="en-US" w:eastAsia="zh-CN"/>
              </w:rPr>
              <w:t>=</w:t>
            </w:r>
            <w:r>
              <w:rPr>
                <w:rFonts w:hint="eastAsia" w:ascii="宋体" w:hAnsi="宋体" w:cs="宋体"/>
                <w:color w:val="000000"/>
                <w:kern w:val="0"/>
                <w:sz w:val="21"/>
                <w:szCs w:val="21"/>
                <w:highlight w:val="none"/>
                <w:lang w:val="en-US" w:eastAsia="zh-CN"/>
              </w:rPr>
              <w:t>100%</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12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22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cantSplit/>
          <w:trHeight w:val="2714"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4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产出进度</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0"/>
                <w:szCs w:val="20"/>
                <w:highlight w:val="none"/>
              </w:rPr>
              <w:t>按时完成率</w:t>
            </w:r>
            <w:r>
              <w:rPr>
                <w:rFonts w:hint="eastAsia" w:ascii="宋体" w:hAnsi="宋体" w:cs="宋体"/>
                <w:color w:val="000000"/>
                <w:kern w:val="0"/>
                <w:sz w:val="20"/>
                <w:szCs w:val="20"/>
                <w:highlight w:val="none"/>
                <w:lang w:val="en-US" w:eastAsia="zh-CN"/>
              </w:rPr>
              <w:t>=</w:t>
            </w:r>
            <w:r>
              <w:rPr>
                <w:rFonts w:hint="eastAsia" w:ascii="宋体" w:hAnsi="宋体" w:cs="宋体"/>
                <w:color w:val="000000"/>
                <w:kern w:val="0"/>
                <w:sz w:val="21"/>
                <w:szCs w:val="21"/>
                <w:highlight w:val="none"/>
                <w:lang w:val="en-US" w:eastAsia="zh-CN"/>
              </w:rPr>
              <w:t>100%</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0"/>
                <w:szCs w:val="20"/>
                <w:highlight w:val="none"/>
              </w:rPr>
              <w:t>按时完成率</w:t>
            </w:r>
            <w:r>
              <w:rPr>
                <w:rFonts w:hint="eastAsia" w:ascii="宋体" w:hAnsi="宋体" w:cs="宋体"/>
                <w:color w:val="000000"/>
                <w:kern w:val="0"/>
                <w:sz w:val="20"/>
                <w:szCs w:val="20"/>
                <w:highlight w:val="none"/>
                <w:lang w:val="en-US" w:eastAsia="zh-CN"/>
              </w:rPr>
              <w:t>=</w:t>
            </w:r>
            <w:r>
              <w:rPr>
                <w:rFonts w:hint="eastAsia" w:ascii="宋体" w:hAnsi="宋体" w:cs="宋体"/>
                <w:color w:val="000000"/>
                <w:kern w:val="0"/>
                <w:sz w:val="21"/>
                <w:szCs w:val="21"/>
                <w:highlight w:val="none"/>
                <w:lang w:val="en-US" w:eastAsia="zh-CN"/>
              </w:rPr>
              <w:t>100%</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12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22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cantSplit/>
          <w:trHeight w:val="1803"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效果（30）</w:t>
            </w:r>
          </w:p>
        </w:tc>
        <w:tc>
          <w:tcPr>
            <w:tcW w:w="4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社会效益</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服务决策水平不断提升</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服务决策水平不断提升</w:t>
            </w:r>
            <w:r>
              <w:rPr>
                <w:rFonts w:hint="eastAsia" w:ascii="宋体" w:hAnsi="宋体" w:cs="宋体"/>
                <w:color w:val="000000"/>
                <w:kern w:val="0"/>
                <w:sz w:val="21"/>
                <w:szCs w:val="21"/>
                <w:highlight w:val="none"/>
                <w:lang w:eastAsia="zh-CN"/>
              </w:rPr>
              <w:t>，参谋助手作用发挥上可持续发力提升</w:t>
            </w:r>
          </w:p>
        </w:tc>
        <w:tc>
          <w:tcPr>
            <w:tcW w:w="22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9</w:t>
            </w:r>
          </w:p>
        </w:tc>
        <w:tc>
          <w:tcPr>
            <w:tcW w:w="125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b/>
                <w:bCs/>
                <w:color w:val="000000"/>
                <w:kern w:val="0"/>
                <w:sz w:val="20"/>
                <w:szCs w:val="20"/>
                <w:highlight w:val="none"/>
              </w:rPr>
              <w:t>经济效益</w:t>
            </w:r>
            <w:r>
              <w:rPr>
                <w:rFonts w:hint="eastAsia" w:ascii="宋体" w:hAnsi="宋体" w:cs="宋体"/>
                <w:color w:val="000000"/>
                <w:kern w:val="0"/>
                <w:sz w:val="20"/>
                <w:szCs w:val="20"/>
                <w:highlight w:val="none"/>
              </w:rPr>
              <w:t>：部门（单位）履行职责对经济发展所带来的直接或间接影响。</w:t>
            </w:r>
            <w:r>
              <w:rPr>
                <w:rFonts w:hint="eastAsia" w:ascii="宋体" w:hAnsi="宋体" w:cs="宋体"/>
                <w:b/>
                <w:bCs/>
                <w:color w:val="000000"/>
                <w:kern w:val="0"/>
                <w:sz w:val="20"/>
                <w:szCs w:val="20"/>
                <w:highlight w:val="none"/>
              </w:rPr>
              <w:t>社会效益</w:t>
            </w:r>
            <w:r>
              <w:rPr>
                <w:rFonts w:hint="eastAsia" w:ascii="宋体" w:hAnsi="宋体" w:cs="宋体"/>
                <w:color w:val="000000"/>
                <w:kern w:val="0"/>
                <w:sz w:val="20"/>
                <w:szCs w:val="20"/>
                <w:highlight w:val="none"/>
              </w:rPr>
              <w:t>：部门（单位）履行职责对社会发展所带来的直接或间接影响。</w:t>
            </w:r>
            <w:r>
              <w:rPr>
                <w:rFonts w:hint="eastAsia" w:ascii="宋体" w:hAnsi="宋体" w:cs="宋体"/>
                <w:b/>
                <w:bCs/>
                <w:color w:val="000000"/>
                <w:kern w:val="0"/>
                <w:sz w:val="20"/>
                <w:szCs w:val="20"/>
                <w:highlight w:val="none"/>
              </w:rPr>
              <w:t>环境效益</w:t>
            </w:r>
            <w:r>
              <w:rPr>
                <w:rFonts w:hint="eastAsia" w:ascii="宋体" w:hAnsi="宋体" w:cs="宋体"/>
                <w:color w:val="000000"/>
                <w:kern w:val="0"/>
                <w:sz w:val="20"/>
                <w:szCs w:val="20"/>
                <w:highlight w:val="none"/>
              </w:rPr>
              <w:t>：部门（单位）履行职责对环境所带来的直接或间接影响。</w:t>
            </w:r>
            <w:r>
              <w:rPr>
                <w:rFonts w:hint="eastAsia" w:ascii="宋体" w:hAnsi="宋体" w:cs="宋体"/>
                <w:b/>
                <w:bCs/>
                <w:color w:val="000000"/>
                <w:kern w:val="0"/>
                <w:sz w:val="20"/>
                <w:szCs w:val="20"/>
                <w:highlight w:val="none"/>
              </w:rPr>
              <w:t>可持续性影响：</w:t>
            </w:r>
            <w:r>
              <w:rPr>
                <w:rFonts w:hint="eastAsia" w:ascii="宋体" w:hAnsi="宋体" w:cs="宋体"/>
                <w:color w:val="000000"/>
                <w:kern w:val="0"/>
                <w:sz w:val="20"/>
                <w:szCs w:val="20"/>
                <w:highlight w:val="none"/>
              </w:rPr>
              <w:t>部门绩效目标实现的长效机制建设情况，部门工作效率提升措施的创新。</w:t>
            </w:r>
            <w:r>
              <w:rPr>
                <w:rFonts w:hint="eastAsia" w:ascii="宋体" w:hAnsi="宋体" w:cs="宋体"/>
                <w:b/>
                <w:bCs/>
                <w:color w:val="000000"/>
                <w:kern w:val="0"/>
                <w:sz w:val="20"/>
                <w:szCs w:val="20"/>
                <w:highlight w:val="none"/>
              </w:rPr>
              <w:t>服务对象满意度</w:t>
            </w:r>
            <w:r>
              <w:rPr>
                <w:rFonts w:hint="eastAsia" w:ascii="宋体" w:hAnsi="宋体" w:cs="宋体"/>
                <w:color w:val="000000"/>
                <w:kern w:val="0"/>
                <w:sz w:val="20"/>
                <w:szCs w:val="20"/>
                <w:highlight w:val="none"/>
              </w:rPr>
              <w:t>：部门（单位）的服务对象对部门履职效果的满意程度。</w:t>
            </w:r>
          </w:p>
        </w:tc>
        <w:tc>
          <w:tcPr>
            <w:tcW w:w="122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778"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4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可持续性影响</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统筹协调力度持续加大</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统筹协调力度持续加大</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1"/>
                <w:szCs w:val="21"/>
                <w:highlight w:val="none"/>
                <w:lang w:val="en-US" w:eastAsia="zh-CN"/>
              </w:rPr>
            </w:pPr>
            <w:r>
              <w:rPr>
                <w:rFonts w:hint="default" w:ascii="宋体" w:hAnsi="宋体" w:cs="宋体"/>
                <w:color w:val="000000"/>
                <w:kern w:val="0"/>
                <w:sz w:val="21"/>
                <w:szCs w:val="21"/>
                <w:highlight w:val="none"/>
                <w:lang w:val="en-US" w:eastAsia="zh-CN"/>
              </w:rPr>
              <w:t>10</w:t>
            </w:r>
          </w:p>
        </w:tc>
        <w:tc>
          <w:tcPr>
            <w:tcW w:w="12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22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cantSplit/>
          <w:trHeight w:val="1803"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4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lang w:eastAsia="zh-CN"/>
              </w:rPr>
              <w:t>服务对象满意度</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服务对象对部门履职效果的满意</w:t>
            </w:r>
            <w:r>
              <w:rPr>
                <w:rFonts w:hint="eastAsia" w:ascii="宋体" w:hAnsi="宋体" w:cs="宋体"/>
                <w:color w:val="000000"/>
                <w:kern w:val="0"/>
                <w:sz w:val="21"/>
                <w:szCs w:val="21"/>
                <w:highlight w:val="none"/>
                <w:lang w:eastAsia="zh-CN"/>
              </w:rPr>
              <w:t>度达到</w:t>
            </w:r>
            <w:r>
              <w:rPr>
                <w:rFonts w:hint="eastAsia" w:ascii="宋体" w:hAnsi="宋体" w:cs="宋体"/>
                <w:color w:val="000000"/>
                <w:kern w:val="0"/>
                <w:sz w:val="21"/>
                <w:szCs w:val="21"/>
                <w:highlight w:val="none"/>
                <w:lang w:val="en-US" w:eastAsia="zh-CN"/>
              </w:rPr>
              <w:t>95%以上</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lang w:eastAsia="zh-CN"/>
              </w:rPr>
              <w:t>满意度达到目标，但满意度调查不够全面，资料有待完善</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9</w:t>
            </w:r>
          </w:p>
        </w:tc>
        <w:tc>
          <w:tcPr>
            <w:tcW w:w="12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22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cantSplit/>
          <w:trHeight w:val="409"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w:t>
            </w:r>
            <w:r>
              <w:rPr>
                <w:rFonts w:hint="eastAsia" w:ascii="宋体" w:hAnsi="宋体" w:cs="宋体"/>
                <w:color w:val="000000"/>
                <w:kern w:val="0"/>
                <w:sz w:val="21"/>
                <w:szCs w:val="21"/>
                <w:highlight w:val="none"/>
              </w:rPr>
              <w:t>预算管理情况（20分）</w:t>
            </w:r>
          </w:p>
        </w:tc>
      </w:tr>
      <w:tr>
        <w:tblPrEx>
          <w:tblCellMar>
            <w:top w:w="0" w:type="dxa"/>
            <w:left w:w="108" w:type="dxa"/>
            <w:bottom w:w="0" w:type="dxa"/>
            <w:right w:w="108" w:type="dxa"/>
          </w:tblCellMar>
        </w:tblPrEx>
        <w:trPr>
          <w:cantSplit/>
          <w:trHeight w:val="585" w:hRule="atLeast"/>
        </w:trPr>
        <w:tc>
          <w:tcPr>
            <w:tcW w:w="38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一</w:t>
            </w:r>
            <w:r>
              <w:rPr>
                <w:rFonts w:ascii="宋体" w:hAnsi="宋体" w:cs="宋体"/>
                <w:color w:val="000000"/>
                <w:kern w:val="0"/>
                <w:sz w:val="21"/>
                <w:szCs w:val="21"/>
                <w:highlight w:val="none"/>
              </w:rPr>
              <w:t>级指标</w:t>
            </w: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二</w:t>
            </w:r>
            <w:r>
              <w:rPr>
                <w:rFonts w:ascii="宋体" w:hAnsi="宋体" w:cs="宋体"/>
                <w:color w:val="000000"/>
                <w:kern w:val="0"/>
                <w:sz w:val="21"/>
                <w:szCs w:val="21"/>
                <w:highlight w:val="none"/>
              </w:rPr>
              <w:t>级指标</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三</w:t>
            </w:r>
            <w:r>
              <w:rPr>
                <w:rFonts w:ascii="宋体" w:hAnsi="宋体" w:cs="宋体"/>
                <w:color w:val="000000"/>
                <w:kern w:val="0"/>
                <w:sz w:val="21"/>
                <w:szCs w:val="21"/>
                <w:highlight w:val="none"/>
              </w:rPr>
              <w:t>级指标</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指标</w:t>
            </w:r>
            <w:r>
              <w:rPr>
                <w:rFonts w:ascii="宋体" w:hAnsi="宋体" w:cs="宋体"/>
                <w:color w:val="000000"/>
                <w:kern w:val="0"/>
                <w:sz w:val="21"/>
                <w:szCs w:val="21"/>
                <w:highlight w:val="none"/>
              </w:rPr>
              <w:t>值</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完成</w:t>
            </w:r>
            <w:r>
              <w:rPr>
                <w:rFonts w:ascii="宋体" w:hAnsi="宋体" w:cs="宋体"/>
                <w:color w:val="000000"/>
                <w:kern w:val="0"/>
                <w:sz w:val="21"/>
                <w:szCs w:val="21"/>
                <w:highlight w:val="none"/>
              </w:rPr>
              <w:t>值</w:t>
            </w:r>
          </w:p>
        </w:tc>
        <w:tc>
          <w:tcPr>
            <w:tcW w:w="22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分</w:t>
            </w:r>
            <w:r>
              <w:rPr>
                <w:rFonts w:ascii="宋体" w:hAnsi="宋体" w:cs="宋体"/>
                <w:color w:val="000000"/>
                <w:kern w:val="0"/>
                <w:sz w:val="21"/>
                <w:szCs w:val="21"/>
                <w:highlight w:val="none"/>
              </w:rPr>
              <w:t>值</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得</w:t>
            </w:r>
            <w:r>
              <w:rPr>
                <w:rFonts w:ascii="宋体" w:hAnsi="宋体" w:cs="宋体"/>
                <w:color w:val="000000"/>
                <w:kern w:val="0"/>
                <w:sz w:val="21"/>
                <w:szCs w:val="21"/>
                <w:highlight w:val="none"/>
              </w:rPr>
              <w:t>分</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Cs/>
                <w:color w:val="000000"/>
                <w:kern w:val="0"/>
                <w:sz w:val="20"/>
                <w:szCs w:val="20"/>
                <w:highlight w:val="none"/>
              </w:rPr>
              <w:t>指标</w:t>
            </w:r>
            <w:r>
              <w:rPr>
                <w:rFonts w:ascii="宋体" w:hAnsi="宋体" w:cs="宋体"/>
                <w:bCs/>
                <w:color w:val="000000"/>
                <w:kern w:val="0"/>
                <w:sz w:val="20"/>
                <w:szCs w:val="20"/>
                <w:highlight w:val="none"/>
              </w:rPr>
              <w:t>解释</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评</w:t>
            </w:r>
            <w:r>
              <w:rPr>
                <w:rFonts w:ascii="宋体" w:hAnsi="宋体" w:cs="宋体"/>
                <w:color w:val="000000"/>
                <w:kern w:val="0"/>
                <w:sz w:val="20"/>
                <w:szCs w:val="20"/>
                <w:highlight w:val="none"/>
              </w:rPr>
              <w:t>分标准</w:t>
            </w:r>
          </w:p>
        </w:tc>
      </w:tr>
      <w:tr>
        <w:tblPrEx>
          <w:tblCellMar>
            <w:top w:w="0" w:type="dxa"/>
            <w:left w:w="108" w:type="dxa"/>
            <w:bottom w:w="0" w:type="dxa"/>
            <w:right w:w="108" w:type="dxa"/>
          </w:tblCellMar>
        </w:tblPrEx>
        <w:trPr>
          <w:cantSplit/>
          <w:trHeight w:val="1290" w:hRule="atLeast"/>
        </w:trPr>
        <w:tc>
          <w:tcPr>
            <w:tcW w:w="38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预算管理情况（20）</w:t>
            </w:r>
          </w:p>
        </w:tc>
        <w:tc>
          <w:tcPr>
            <w:tcW w:w="39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财务管理（4）</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财务管理制度健全性</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健全</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健全</w:t>
            </w:r>
          </w:p>
        </w:tc>
        <w:tc>
          <w:tcPr>
            <w:tcW w:w="22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1</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1</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b/>
                <w:bCs/>
                <w:color w:val="000000"/>
                <w:kern w:val="0"/>
                <w:sz w:val="20"/>
                <w:szCs w:val="20"/>
                <w:highlight w:val="none"/>
              </w:rPr>
              <w:t>财务管理制度健全性:</w:t>
            </w:r>
            <w:r>
              <w:rPr>
                <w:rFonts w:hint="eastAsia" w:ascii="宋体" w:hAnsi="宋体" w:cs="宋体"/>
                <w:color w:val="000000"/>
                <w:kern w:val="0"/>
                <w:sz w:val="20"/>
                <w:szCs w:val="20"/>
                <w:highlight w:val="none"/>
              </w:rPr>
              <w:t>部门（单位）为加强财务管理、规范财务行为而制定的管理制度。</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cantSplit/>
          <w:trHeight w:val="2828"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资金使用合规性和安全性</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合规安全</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合规安全</w:t>
            </w:r>
          </w:p>
        </w:tc>
        <w:tc>
          <w:tcPr>
            <w:tcW w:w="22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2</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2</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b/>
                <w:bCs/>
                <w:color w:val="000000"/>
                <w:kern w:val="0"/>
                <w:sz w:val="20"/>
                <w:szCs w:val="20"/>
                <w:highlight w:val="none"/>
              </w:rPr>
              <w:t>资金使用合规性和安全性:</w:t>
            </w:r>
            <w:r>
              <w:rPr>
                <w:rFonts w:hint="eastAsia" w:ascii="宋体" w:hAnsi="宋体" w:cs="宋体"/>
                <w:color w:val="000000"/>
                <w:kern w:val="0"/>
                <w:sz w:val="20"/>
                <w:szCs w:val="20"/>
                <w:highlight w:val="none"/>
              </w:rPr>
              <w:t>部门（单位）使用预算资金是否符合相关的预算财务管理制度的规定，是否符合相关规定的开支范围，用以反映考核部门（单位）预算资金的规范运行和安全运行情况。</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cantSplit/>
          <w:trHeight w:val="1290"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会计基础信息完善性</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完善</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完善</w:t>
            </w:r>
          </w:p>
        </w:tc>
        <w:tc>
          <w:tcPr>
            <w:tcW w:w="22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1</w:t>
            </w:r>
          </w:p>
        </w:tc>
        <w:tc>
          <w:tcPr>
            <w:tcW w:w="2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1</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b/>
                <w:bCs/>
                <w:color w:val="000000"/>
                <w:kern w:val="0"/>
                <w:sz w:val="20"/>
                <w:szCs w:val="20"/>
                <w:highlight w:val="none"/>
              </w:rPr>
              <w:t>会计基础信息完善性:</w:t>
            </w:r>
            <w:r>
              <w:rPr>
                <w:rFonts w:hint="eastAsia" w:ascii="宋体" w:hAnsi="宋体" w:cs="宋体"/>
                <w:color w:val="000000"/>
                <w:kern w:val="0"/>
                <w:sz w:val="20"/>
                <w:szCs w:val="20"/>
                <w:highlight w:val="none"/>
              </w:rPr>
              <w:t>部门（单位）会计基础信息情况。</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cantSplit/>
          <w:trHeight w:val="2572"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资产管理（4）</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资产管理规范性</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规范</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规范</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4</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rPr>
              <w:t>3.2</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b/>
                <w:bCs/>
                <w:color w:val="000000"/>
                <w:kern w:val="0"/>
                <w:sz w:val="20"/>
                <w:szCs w:val="20"/>
                <w:highlight w:val="none"/>
              </w:rPr>
              <w:t>资产管理规范性:</w:t>
            </w:r>
            <w:r>
              <w:rPr>
                <w:rFonts w:hint="eastAsia" w:ascii="宋体" w:hAnsi="宋体" w:cs="宋体"/>
                <w:color w:val="000000"/>
                <w:kern w:val="0"/>
                <w:sz w:val="20"/>
                <w:szCs w:val="20"/>
                <w:highlight w:val="none"/>
              </w:rPr>
              <w:t>部门（单位）的资产是否保持安全完整，资产配置是否合理，资产使用和资产处理是否规范，用以反映和考核部门（单位）资产管理的整体水平。</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cantSplit/>
          <w:trHeight w:val="1034"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绩效管理（4）</w:t>
            </w:r>
          </w:p>
        </w:tc>
        <w:tc>
          <w:tcPr>
            <w:tcW w:w="4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绩效管理情况</w:t>
            </w:r>
          </w:p>
        </w:tc>
        <w:tc>
          <w:tcPr>
            <w:tcW w:w="40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良好</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Cs w:val="21"/>
                <w:highlight w:val="none"/>
              </w:rPr>
              <w:t>良好</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4</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rPr>
              <w:t>4</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b/>
                <w:bCs/>
                <w:color w:val="000000"/>
                <w:kern w:val="0"/>
                <w:sz w:val="20"/>
                <w:szCs w:val="20"/>
                <w:highlight w:val="none"/>
              </w:rPr>
              <w:t>绩效管理情况:</w:t>
            </w:r>
            <w:r>
              <w:rPr>
                <w:rFonts w:hint="eastAsia" w:ascii="宋体" w:hAnsi="宋体" w:cs="宋体"/>
                <w:color w:val="000000"/>
                <w:kern w:val="0"/>
                <w:sz w:val="20"/>
                <w:szCs w:val="20"/>
                <w:highlight w:val="none"/>
              </w:rPr>
              <w:t>考核部门（单位）在绩效管理信息的汇总和应用情况。</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cantSplit/>
          <w:trHeight w:val="332"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指标　</w:t>
            </w:r>
          </w:p>
        </w:tc>
        <w:tc>
          <w:tcPr>
            <w:tcW w:w="818"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20</w:t>
            </w:r>
            <w:r>
              <w:rPr>
                <w:rFonts w:hint="eastAsia" w:ascii="宋体" w:hAnsi="宋体" w:cs="宋体"/>
                <w:color w:val="000000"/>
                <w:kern w:val="0"/>
                <w:sz w:val="21"/>
                <w:szCs w:val="21"/>
                <w:highlight w:val="none"/>
                <w:lang w:val="en-US" w:eastAsia="zh-CN"/>
              </w:rPr>
              <w:t>21</w:t>
            </w:r>
            <w:r>
              <w:rPr>
                <w:rFonts w:hint="eastAsia" w:ascii="宋体" w:hAnsi="宋体" w:cs="宋体"/>
                <w:color w:val="000000"/>
                <w:kern w:val="0"/>
                <w:sz w:val="21"/>
                <w:szCs w:val="21"/>
                <w:highlight w:val="none"/>
              </w:rPr>
              <w:t>年</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202</w:t>
            </w:r>
            <w:r>
              <w:rPr>
                <w:rFonts w:hint="eastAsia" w:ascii="宋体" w:hAnsi="宋体" w:cs="宋体"/>
                <w:color w:val="000000"/>
                <w:kern w:val="0"/>
                <w:sz w:val="21"/>
                <w:szCs w:val="21"/>
                <w:highlight w:val="none"/>
                <w:lang w:val="en-US" w:eastAsia="zh-CN"/>
              </w:rPr>
              <w:t>2</w:t>
            </w:r>
            <w:r>
              <w:rPr>
                <w:rFonts w:hint="eastAsia" w:ascii="宋体" w:hAnsi="宋体" w:cs="宋体"/>
                <w:color w:val="000000"/>
                <w:kern w:val="0"/>
                <w:sz w:val="21"/>
                <w:szCs w:val="21"/>
                <w:highlight w:val="none"/>
              </w:rPr>
              <w:t>年</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分值</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得分</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bCs/>
                <w:color w:val="000000"/>
                <w:kern w:val="0"/>
                <w:sz w:val="20"/>
                <w:szCs w:val="20"/>
                <w:highlight w:val="none"/>
              </w:rPr>
              <w:t>指标</w:t>
            </w:r>
            <w:r>
              <w:rPr>
                <w:rFonts w:ascii="宋体" w:hAnsi="宋体" w:cs="宋体"/>
                <w:bCs/>
                <w:color w:val="000000"/>
                <w:kern w:val="0"/>
                <w:sz w:val="20"/>
                <w:szCs w:val="20"/>
                <w:highlight w:val="none"/>
              </w:rPr>
              <w:t>解释</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Times New Roman"/>
                <w:kern w:val="0"/>
                <w:sz w:val="21"/>
                <w:szCs w:val="21"/>
                <w:highlight w:val="none"/>
              </w:rPr>
            </w:pPr>
            <w:r>
              <w:rPr>
                <w:rFonts w:hint="eastAsia" w:ascii="宋体" w:hAnsi="宋体" w:cs="宋体"/>
                <w:color w:val="000000"/>
                <w:kern w:val="0"/>
                <w:sz w:val="20"/>
                <w:szCs w:val="20"/>
                <w:highlight w:val="none"/>
              </w:rPr>
              <w:t>评</w:t>
            </w:r>
            <w:r>
              <w:rPr>
                <w:rFonts w:ascii="宋体" w:hAnsi="宋体" w:cs="宋体"/>
                <w:color w:val="000000"/>
                <w:kern w:val="0"/>
                <w:sz w:val="20"/>
                <w:szCs w:val="20"/>
                <w:highlight w:val="none"/>
              </w:rPr>
              <w:t>分标准</w:t>
            </w:r>
          </w:p>
        </w:tc>
      </w:tr>
      <w:tr>
        <w:tblPrEx>
          <w:tblCellMar>
            <w:top w:w="0" w:type="dxa"/>
            <w:left w:w="108" w:type="dxa"/>
            <w:bottom w:w="0" w:type="dxa"/>
            <w:right w:w="108" w:type="dxa"/>
          </w:tblCellMar>
        </w:tblPrEx>
        <w:trPr>
          <w:cantSplit/>
          <w:trHeight w:val="2059"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color w:val="000000"/>
                <w:kern w:val="0"/>
                <w:sz w:val="21"/>
                <w:szCs w:val="21"/>
                <w:highlight w:val="none"/>
              </w:rPr>
            </w:pPr>
            <w:r>
              <w:rPr>
                <w:rFonts w:hint="eastAsia" w:ascii="宋体" w:hAnsi="宋体" w:cs="宋体"/>
                <w:color w:val="000000"/>
                <w:kern w:val="0"/>
                <w:sz w:val="21"/>
                <w:szCs w:val="21"/>
                <w:highlight w:val="none"/>
              </w:rPr>
              <w:t>结转结余率（4）</w:t>
            </w:r>
          </w:p>
        </w:tc>
        <w:tc>
          <w:tcPr>
            <w:tcW w:w="818"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rPr>
              <w:t>5.09</w:t>
            </w:r>
            <w:r>
              <w:rPr>
                <w:rFonts w:hint="eastAsia" w:ascii="宋体" w:hAnsi="宋体" w:cs="宋体"/>
                <w:color w:val="000000"/>
                <w:kern w:val="0"/>
                <w:sz w:val="21"/>
                <w:szCs w:val="21"/>
                <w:highlight w:val="none"/>
                <w:lang w:val="en-US" w:eastAsia="zh-CN"/>
              </w:rPr>
              <w:t>%</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lang w:val="en-US" w:eastAsia="zh-CN"/>
              </w:rPr>
              <w:t>5.58</w:t>
            </w:r>
            <w:r>
              <w:rPr>
                <w:rFonts w:hint="eastAsia" w:ascii="宋体" w:hAnsi="宋体" w:cs="宋体"/>
                <w:color w:val="000000"/>
                <w:kern w:val="0"/>
                <w:sz w:val="21"/>
                <w:szCs w:val="21"/>
                <w:highlight w:val="none"/>
              </w:rPr>
              <w:t>%</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4</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4</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结转结余率=结转结余总额/支出预算数×100%。</w:t>
            </w: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结转结余总额：部门（单位）本年度的结转资金与结余资金之和。</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815" w:hRule="atLeast"/>
        </w:trPr>
        <w:tc>
          <w:tcPr>
            <w:tcW w:w="38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1"/>
                <w:szCs w:val="21"/>
                <w:highlight w:val="none"/>
              </w:rPr>
            </w:pPr>
          </w:p>
        </w:tc>
        <w:tc>
          <w:tcPr>
            <w:tcW w:w="391" w:type="pct"/>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部门预决算差异率（4）</w:t>
            </w:r>
          </w:p>
        </w:tc>
        <w:tc>
          <w:tcPr>
            <w:tcW w:w="818"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w:t>
            </w:r>
          </w:p>
        </w:tc>
        <w:tc>
          <w:tcPr>
            <w:tcW w:w="39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lang w:val="en-US" w:eastAsia="zh-CN"/>
              </w:rPr>
              <w:t>11.81</w:t>
            </w:r>
            <w:r>
              <w:rPr>
                <w:rFonts w:hint="eastAsia" w:ascii="宋体" w:hAnsi="宋体" w:cs="宋体"/>
                <w:color w:val="000000"/>
                <w:kern w:val="0"/>
                <w:sz w:val="21"/>
                <w:szCs w:val="21"/>
                <w:highlight w:val="none"/>
              </w:rPr>
              <w:t>%</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4</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lang w:val="en-US" w:eastAsia="zh-CN"/>
              </w:rPr>
              <w:t>4</w:t>
            </w:r>
          </w:p>
        </w:tc>
        <w:tc>
          <w:tcPr>
            <w:tcW w:w="125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通过年度部门决算与年初部门预算对比，对部门的年度支出情况进行考核，衡量部门预算的约束力。</w:t>
            </w:r>
          </w:p>
        </w:tc>
        <w:tc>
          <w:tcPr>
            <w:tcW w:w="122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部门预决算差异率高于市级平均差异率（28.3%）的，每高出10%（含），扣0.4分，扣完为止。</w:t>
            </w:r>
          </w:p>
        </w:tc>
      </w:tr>
      <w:tr>
        <w:tblPrEx>
          <w:tblCellMar>
            <w:top w:w="0" w:type="dxa"/>
            <w:left w:w="108" w:type="dxa"/>
            <w:bottom w:w="0" w:type="dxa"/>
            <w:right w:w="108" w:type="dxa"/>
          </w:tblCellMar>
        </w:tblPrEx>
        <w:trPr>
          <w:cantSplit/>
          <w:trHeight w:val="414" w:hRule="atLeast"/>
        </w:trPr>
        <w:tc>
          <w:tcPr>
            <w:tcW w:w="1992" w:type="pct"/>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合计</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rPr>
              <w:t>100</w:t>
            </w:r>
          </w:p>
        </w:tc>
        <w:tc>
          <w:tcPr>
            <w:tcW w:w="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96.08</w:t>
            </w:r>
          </w:p>
        </w:tc>
        <w:tc>
          <w:tcPr>
            <w:tcW w:w="2484" w:type="pct"/>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bl>
    <w:p>
      <w:pPr>
        <w:spacing w:line="20" w:lineRule="exact"/>
        <w:rPr>
          <w:rFonts w:ascii="方正小标宋简体" w:eastAsia="方正小标宋简体"/>
          <w:sz w:val="40"/>
          <w:szCs w:val="40"/>
          <w:highlight w:val="none"/>
        </w:rPr>
      </w:pP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sz w:val="21"/>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5B4D79"/>
    <w:multiLevelType w:val="singleLevel"/>
    <w:tmpl w:val="CE5B4D7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1E3B"/>
    <w:rsid w:val="00052F7C"/>
    <w:rsid w:val="000A58A7"/>
    <w:rsid w:val="0010228B"/>
    <w:rsid w:val="00113071"/>
    <w:rsid w:val="00142954"/>
    <w:rsid w:val="00172A27"/>
    <w:rsid w:val="00174250"/>
    <w:rsid w:val="00211C30"/>
    <w:rsid w:val="0022652F"/>
    <w:rsid w:val="002612A7"/>
    <w:rsid w:val="002D1636"/>
    <w:rsid w:val="003857CA"/>
    <w:rsid w:val="00400F4C"/>
    <w:rsid w:val="00757805"/>
    <w:rsid w:val="00787D06"/>
    <w:rsid w:val="00790907"/>
    <w:rsid w:val="0082374A"/>
    <w:rsid w:val="00825F26"/>
    <w:rsid w:val="00873F71"/>
    <w:rsid w:val="00905E4C"/>
    <w:rsid w:val="00935CE0"/>
    <w:rsid w:val="009A5ABD"/>
    <w:rsid w:val="009F250F"/>
    <w:rsid w:val="00A501BE"/>
    <w:rsid w:val="00BC6067"/>
    <w:rsid w:val="00C3731B"/>
    <w:rsid w:val="00C75A70"/>
    <w:rsid w:val="00CF66DB"/>
    <w:rsid w:val="00EB4CE6"/>
    <w:rsid w:val="00EF2F9C"/>
    <w:rsid w:val="00F019DF"/>
    <w:rsid w:val="00FB08AD"/>
    <w:rsid w:val="00FE3F6D"/>
    <w:rsid w:val="010830D7"/>
    <w:rsid w:val="012966F6"/>
    <w:rsid w:val="013F00A3"/>
    <w:rsid w:val="016616CB"/>
    <w:rsid w:val="016E0CD1"/>
    <w:rsid w:val="02DB1A0A"/>
    <w:rsid w:val="03205401"/>
    <w:rsid w:val="0365090E"/>
    <w:rsid w:val="03891BD5"/>
    <w:rsid w:val="03E24EDE"/>
    <w:rsid w:val="042C4B70"/>
    <w:rsid w:val="05352BDC"/>
    <w:rsid w:val="05E3750C"/>
    <w:rsid w:val="06362256"/>
    <w:rsid w:val="06863DFD"/>
    <w:rsid w:val="069116E4"/>
    <w:rsid w:val="07B366D9"/>
    <w:rsid w:val="086A7F5D"/>
    <w:rsid w:val="08AC223A"/>
    <w:rsid w:val="090F0E2D"/>
    <w:rsid w:val="09555D0A"/>
    <w:rsid w:val="09A70467"/>
    <w:rsid w:val="09DD1E2C"/>
    <w:rsid w:val="09F80FFC"/>
    <w:rsid w:val="0A917495"/>
    <w:rsid w:val="0AAC774A"/>
    <w:rsid w:val="0AD362F8"/>
    <w:rsid w:val="0B3051BC"/>
    <w:rsid w:val="0BA1705F"/>
    <w:rsid w:val="0C171F8D"/>
    <w:rsid w:val="0C681D1C"/>
    <w:rsid w:val="0C92095B"/>
    <w:rsid w:val="0D206E1B"/>
    <w:rsid w:val="0D357B9C"/>
    <w:rsid w:val="0E64573C"/>
    <w:rsid w:val="0E6A68BE"/>
    <w:rsid w:val="0FC37007"/>
    <w:rsid w:val="103E676F"/>
    <w:rsid w:val="10893BAE"/>
    <w:rsid w:val="10E311B7"/>
    <w:rsid w:val="10E93956"/>
    <w:rsid w:val="11686624"/>
    <w:rsid w:val="11D86F98"/>
    <w:rsid w:val="123B77FA"/>
    <w:rsid w:val="12AE3C16"/>
    <w:rsid w:val="1325724C"/>
    <w:rsid w:val="133B0319"/>
    <w:rsid w:val="14394F5D"/>
    <w:rsid w:val="14C81ADF"/>
    <w:rsid w:val="14E679C3"/>
    <w:rsid w:val="14EF6585"/>
    <w:rsid w:val="15457974"/>
    <w:rsid w:val="155354C7"/>
    <w:rsid w:val="1580560E"/>
    <w:rsid w:val="15D85134"/>
    <w:rsid w:val="15E272D7"/>
    <w:rsid w:val="175F53D8"/>
    <w:rsid w:val="17C24F5E"/>
    <w:rsid w:val="183B490D"/>
    <w:rsid w:val="18D778C6"/>
    <w:rsid w:val="19451072"/>
    <w:rsid w:val="19816401"/>
    <w:rsid w:val="19F76F2D"/>
    <w:rsid w:val="1A5A774B"/>
    <w:rsid w:val="1ABA6908"/>
    <w:rsid w:val="1ACA38BD"/>
    <w:rsid w:val="1B84191A"/>
    <w:rsid w:val="1B994988"/>
    <w:rsid w:val="1B994BB6"/>
    <w:rsid w:val="1BBC5CE4"/>
    <w:rsid w:val="1BF95C43"/>
    <w:rsid w:val="1C346362"/>
    <w:rsid w:val="1D153F3B"/>
    <w:rsid w:val="1D307D88"/>
    <w:rsid w:val="1D7E1C62"/>
    <w:rsid w:val="1E0F68C9"/>
    <w:rsid w:val="1E5912AC"/>
    <w:rsid w:val="1E5C3A75"/>
    <w:rsid w:val="1E6E5EAE"/>
    <w:rsid w:val="1FA701FA"/>
    <w:rsid w:val="20C9194B"/>
    <w:rsid w:val="20FD2FD9"/>
    <w:rsid w:val="21F76A43"/>
    <w:rsid w:val="22097A6B"/>
    <w:rsid w:val="221702E0"/>
    <w:rsid w:val="22396A28"/>
    <w:rsid w:val="224E532A"/>
    <w:rsid w:val="225C642C"/>
    <w:rsid w:val="22B36992"/>
    <w:rsid w:val="2338512B"/>
    <w:rsid w:val="23627CE6"/>
    <w:rsid w:val="23647238"/>
    <w:rsid w:val="239B00FB"/>
    <w:rsid w:val="244008AF"/>
    <w:rsid w:val="244D7E78"/>
    <w:rsid w:val="24C90FF7"/>
    <w:rsid w:val="24CE3FE1"/>
    <w:rsid w:val="25041192"/>
    <w:rsid w:val="252E3A92"/>
    <w:rsid w:val="25792C1A"/>
    <w:rsid w:val="25955B31"/>
    <w:rsid w:val="26E3374A"/>
    <w:rsid w:val="27117B18"/>
    <w:rsid w:val="27495CCD"/>
    <w:rsid w:val="279E270C"/>
    <w:rsid w:val="27C83A9F"/>
    <w:rsid w:val="2807538D"/>
    <w:rsid w:val="284934E2"/>
    <w:rsid w:val="28603380"/>
    <w:rsid w:val="28F3640F"/>
    <w:rsid w:val="29CC4C5F"/>
    <w:rsid w:val="29D34625"/>
    <w:rsid w:val="2A327666"/>
    <w:rsid w:val="2A607631"/>
    <w:rsid w:val="2AE7749E"/>
    <w:rsid w:val="2B912BF7"/>
    <w:rsid w:val="2BD376FC"/>
    <w:rsid w:val="2C6170B8"/>
    <w:rsid w:val="2C7B6EAB"/>
    <w:rsid w:val="2C8656FF"/>
    <w:rsid w:val="2CFD1365"/>
    <w:rsid w:val="2D737C97"/>
    <w:rsid w:val="2DB422DA"/>
    <w:rsid w:val="2E4954C2"/>
    <w:rsid w:val="2E5E3F2C"/>
    <w:rsid w:val="2F0207F1"/>
    <w:rsid w:val="2F0B7D7B"/>
    <w:rsid w:val="2F737D53"/>
    <w:rsid w:val="2FF24B01"/>
    <w:rsid w:val="30BA6A40"/>
    <w:rsid w:val="30C076FE"/>
    <w:rsid w:val="30D341F5"/>
    <w:rsid w:val="30F31BB6"/>
    <w:rsid w:val="31A60806"/>
    <w:rsid w:val="31F55516"/>
    <w:rsid w:val="3269222F"/>
    <w:rsid w:val="32741978"/>
    <w:rsid w:val="32870841"/>
    <w:rsid w:val="32CD697B"/>
    <w:rsid w:val="32D574B1"/>
    <w:rsid w:val="32E8505A"/>
    <w:rsid w:val="331F5CB3"/>
    <w:rsid w:val="3360549A"/>
    <w:rsid w:val="33607533"/>
    <w:rsid w:val="33F957B6"/>
    <w:rsid w:val="341042F1"/>
    <w:rsid w:val="346105D8"/>
    <w:rsid w:val="34903E89"/>
    <w:rsid w:val="34EB4CBF"/>
    <w:rsid w:val="35036BFF"/>
    <w:rsid w:val="35120827"/>
    <w:rsid w:val="356A4E46"/>
    <w:rsid w:val="35FF5670"/>
    <w:rsid w:val="363270CA"/>
    <w:rsid w:val="36695730"/>
    <w:rsid w:val="368607BF"/>
    <w:rsid w:val="37173543"/>
    <w:rsid w:val="372F57C0"/>
    <w:rsid w:val="3764680F"/>
    <w:rsid w:val="378F0F74"/>
    <w:rsid w:val="383508E6"/>
    <w:rsid w:val="38C76174"/>
    <w:rsid w:val="38CC659B"/>
    <w:rsid w:val="38D423CF"/>
    <w:rsid w:val="38D66566"/>
    <w:rsid w:val="39800F27"/>
    <w:rsid w:val="398864CA"/>
    <w:rsid w:val="39CB37E4"/>
    <w:rsid w:val="39D034DF"/>
    <w:rsid w:val="3A451FC3"/>
    <w:rsid w:val="3AAF65A6"/>
    <w:rsid w:val="3AB63F87"/>
    <w:rsid w:val="3AC762B9"/>
    <w:rsid w:val="3AED6E54"/>
    <w:rsid w:val="3B0C079D"/>
    <w:rsid w:val="3B425E55"/>
    <w:rsid w:val="3B887DA0"/>
    <w:rsid w:val="3C155912"/>
    <w:rsid w:val="3C7D0870"/>
    <w:rsid w:val="3CA24A30"/>
    <w:rsid w:val="3CC1344D"/>
    <w:rsid w:val="3CEA5BE7"/>
    <w:rsid w:val="3CEE70FC"/>
    <w:rsid w:val="3CF36747"/>
    <w:rsid w:val="3D6B4EEE"/>
    <w:rsid w:val="3D9E7B53"/>
    <w:rsid w:val="3E2419DC"/>
    <w:rsid w:val="3EE9326C"/>
    <w:rsid w:val="3F155CEA"/>
    <w:rsid w:val="3F7904D6"/>
    <w:rsid w:val="3F952B8F"/>
    <w:rsid w:val="3FAA0DAC"/>
    <w:rsid w:val="3FB31141"/>
    <w:rsid w:val="3FC87B38"/>
    <w:rsid w:val="3FDBA076"/>
    <w:rsid w:val="3FDFB3F0"/>
    <w:rsid w:val="3FDFC9A6"/>
    <w:rsid w:val="3FF76880"/>
    <w:rsid w:val="4057348D"/>
    <w:rsid w:val="40935E3B"/>
    <w:rsid w:val="40AC0031"/>
    <w:rsid w:val="40F15ECD"/>
    <w:rsid w:val="40F801DB"/>
    <w:rsid w:val="41102336"/>
    <w:rsid w:val="41170F0C"/>
    <w:rsid w:val="41BF33A0"/>
    <w:rsid w:val="42BE22B3"/>
    <w:rsid w:val="43081657"/>
    <w:rsid w:val="432259A1"/>
    <w:rsid w:val="43AC21FE"/>
    <w:rsid w:val="44E7550D"/>
    <w:rsid w:val="44EB138C"/>
    <w:rsid w:val="453A5ABD"/>
    <w:rsid w:val="456A41D3"/>
    <w:rsid w:val="45AD71B2"/>
    <w:rsid w:val="45B349E8"/>
    <w:rsid w:val="46A51676"/>
    <w:rsid w:val="46E903C4"/>
    <w:rsid w:val="472C3205"/>
    <w:rsid w:val="475D14AD"/>
    <w:rsid w:val="479D3BB9"/>
    <w:rsid w:val="48002E65"/>
    <w:rsid w:val="486A348C"/>
    <w:rsid w:val="48BC6DBF"/>
    <w:rsid w:val="48BE06CB"/>
    <w:rsid w:val="48D60C3F"/>
    <w:rsid w:val="49385B83"/>
    <w:rsid w:val="4994328C"/>
    <w:rsid w:val="49EB7CBB"/>
    <w:rsid w:val="49F12E79"/>
    <w:rsid w:val="4B4B4482"/>
    <w:rsid w:val="4B9250FA"/>
    <w:rsid w:val="4BF53DDD"/>
    <w:rsid w:val="4C7E574F"/>
    <w:rsid w:val="4E6C1488"/>
    <w:rsid w:val="4EED456E"/>
    <w:rsid w:val="4F1546B5"/>
    <w:rsid w:val="4FCE619C"/>
    <w:rsid w:val="4FE768C3"/>
    <w:rsid w:val="515B13C2"/>
    <w:rsid w:val="516220C5"/>
    <w:rsid w:val="51C64D68"/>
    <w:rsid w:val="51ED38FA"/>
    <w:rsid w:val="51FD1E6D"/>
    <w:rsid w:val="525C4A7C"/>
    <w:rsid w:val="52630FA7"/>
    <w:rsid w:val="52DE4B70"/>
    <w:rsid w:val="53C701AB"/>
    <w:rsid w:val="546D6F0C"/>
    <w:rsid w:val="547B60EA"/>
    <w:rsid w:val="54B4786E"/>
    <w:rsid w:val="5552207D"/>
    <w:rsid w:val="555D2BEA"/>
    <w:rsid w:val="558549A7"/>
    <w:rsid w:val="56462EAB"/>
    <w:rsid w:val="564962D8"/>
    <w:rsid w:val="566F246C"/>
    <w:rsid w:val="57017FA8"/>
    <w:rsid w:val="57182AB8"/>
    <w:rsid w:val="5791739B"/>
    <w:rsid w:val="57DB503F"/>
    <w:rsid w:val="58390D34"/>
    <w:rsid w:val="58F53C26"/>
    <w:rsid w:val="594B4613"/>
    <w:rsid w:val="5A1C63DE"/>
    <w:rsid w:val="5A2C724A"/>
    <w:rsid w:val="5A8B5530"/>
    <w:rsid w:val="5AB44D81"/>
    <w:rsid w:val="5BA12AC4"/>
    <w:rsid w:val="5BB271D6"/>
    <w:rsid w:val="5BF67AAD"/>
    <w:rsid w:val="5BFB34C5"/>
    <w:rsid w:val="5BFD4AC2"/>
    <w:rsid w:val="5C7C7963"/>
    <w:rsid w:val="5D0D5167"/>
    <w:rsid w:val="5D3D0062"/>
    <w:rsid w:val="5D3D5613"/>
    <w:rsid w:val="5D652FED"/>
    <w:rsid w:val="5F353FBE"/>
    <w:rsid w:val="5F3D49DC"/>
    <w:rsid w:val="5F7A2797"/>
    <w:rsid w:val="5FFB6211"/>
    <w:rsid w:val="60326478"/>
    <w:rsid w:val="60FF7662"/>
    <w:rsid w:val="61324793"/>
    <w:rsid w:val="613F52DB"/>
    <w:rsid w:val="61632D5F"/>
    <w:rsid w:val="619A771C"/>
    <w:rsid w:val="621344FB"/>
    <w:rsid w:val="62C31D7A"/>
    <w:rsid w:val="6318476D"/>
    <w:rsid w:val="633D4851"/>
    <w:rsid w:val="634B5498"/>
    <w:rsid w:val="63667309"/>
    <w:rsid w:val="640E4A26"/>
    <w:rsid w:val="645B6E03"/>
    <w:rsid w:val="64A33BE2"/>
    <w:rsid w:val="64FE3410"/>
    <w:rsid w:val="650C4968"/>
    <w:rsid w:val="656A59AF"/>
    <w:rsid w:val="659863B2"/>
    <w:rsid w:val="65F0406C"/>
    <w:rsid w:val="66182FF7"/>
    <w:rsid w:val="664812AE"/>
    <w:rsid w:val="6724104C"/>
    <w:rsid w:val="6728192A"/>
    <w:rsid w:val="674C349E"/>
    <w:rsid w:val="67759716"/>
    <w:rsid w:val="67C22A34"/>
    <w:rsid w:val="67CD4E5D"/>
    <w:rsid w:val="67CE3227"/>
    <w:rsid w:val="67D111E3"/>
    <w:rsid w:val="68E5030D"/>
    <w:rsid w:val="690A21AD"/>
    <w:rsid w:val="6A91074E"/>
    <w:rsid w:val="6BA31B3C"/>
    <w:rsid w:val="6BA36563"/>
    <w:rsid w:val="6BCD1925"/>
    <w:rsid w:val="6C4C6293"/>
    <w:rsid w:val="6C68703B"/>
    <w:rsid w:val="6C8C47B2"/>
    <w:rsid w:val="6CEC7F95"/>
    <w:rsid w:val="6D0D09A2"/>
    <w:rsid w:val="6D4856AC"/>
    <w:rsid w:val="6DCB61C2"/>
    <w:rsid w:val="6E3C4D68"/>
    <w:rsid w:val="6E4A0489"/>
    <w:rsid w:val="6E8139AF"/>
    <w:rsid w:val="6EF03DFC"/>
    <w:rsid w:val="6F5A41B5"/>
    <w:rsid w:val="6F7ED27B"/>
    <w:rsid w:val="6FA36F80"/>
    <w:rsid w:val="704B7DCC"/>
    <w:rsid w:val="70A70C96"/>
    <w:rsid w:val="70D073A0"/>
    <w:rsid w:val="71576F0B"/>
    <w:rsid w:val="71883B18"/>
    <w:rsid w:val="71BB04E4"/>
    <w:rsid w:val="723C7DB4"/>
    <w:rsid w:val="72D66041"/>
    <w:rsid w:val="733D331B"/>
    <w:rsid w:val="74EE34CD"/>
    <w:rsid w:val="74F970BF"/>
    <w:rsid w:val="75B17A7C"/>
    <w:rsid w:val="75E55907"/>
    <w:rsid w:val="75E72AB7"/>
    <w:rsid w:val="75FD1DAA"/>
    <w:rsid w:val="7669689F"/>
    <w:rsid w:val="76744BAD"/>
    <w:rsid w:val="76951CE8"/>
    <w:rsid w:val="771E0303"/>
    <w:rsid w:val="77925563"/>
    <w:rsid w:val="78501B05"/>
    <w:rsid w:val="78E4097F"/>
    <w:rsid w:val="79946997"/>
    <w:rsid w:val="79D77DFF"/>
    <w:rsid w:val="79DB6298"/>
    <w:rsid w:val="7A3360BD"/>
    <w:rsid w:val="7A4F4BCC"/>
    <w:rsid w:val="7AB11917"/>
    <w:rsid w:val="7AB7FF50"/>
    <w:rsid w:val="7ADE7003"/>
    <w:rsid w:val="7AEAF641"/>
    <w:rsid w:val="7B2278F3"/>
    <w:rsid w:val="7BAD2729"/>
    <w:rsid w:val="7BBC48C8"/>
    <w:rsid w:val="7BD00178"/>
    <w:rsid w:val="7BFEB0DB"/>
    <w:rsid w:val="7C822E3A"/>
    <w:rsid w:val="7D15748A"/>
    <w:rsid w:val="7D292E55"/>
    <w:rsid w:val="7D4068C1"/>
    <w:rsid w:val="7D55224B"/>
    <w:rsid w:val="7D587F71"/>
    <w:rsid w:val="7DA56D3B"/>
    <w:rsid w:val="7DDC60C8"/>
    <w:rsid w:val="7DEE25EE"/>
    <w:rsid w:val="7DF222BF"/>
    <w:rsid w:val="7E274250"/>
    <w:rsid w:val="7E2916E3"/>
    <w:rsid w:val="7E5F1E2D"/>
    <w:rsid w:val="7E816418"/>
    <w:rsid w:val="7F8C5934"/>
    <w:rsid w:val="7F982F18"/>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index 9"/>
    <w:next w:val="1"/>
    <w:qFormat/>
    <w:uiPriority w:val="99"/>
    <w:pPr>
      <w:widowControl w:val="0"/>
      <w:ind w:left="3360"/>
      <w:jc w:val="both"/>
    </w:pPr>
    <w:rPr>
      <w:rFonts w:ascii="Times New Roman" w:hAnsi="Times New Roman" w:eastAsia="宋体" w:cs="Calibri"/>
      <w:kern w:val="2"/>
      <w:sz w:val="21"/>
      <w:szCs w:val="24"/>
      <w:lang w:val="en-US" w:eastAsia="zh-CN" w:bidi="ar-SA"/>
    </w:rPr>
  </w:style>
  <w:style w:type="paragraph" w:styleId="5">
    <w:name w:val="annotation text"/>
    <w:basedOn w:val="1"/>
    <w:link w:val="23"/>
    <w:qFormat/>
    <w:uiPriority w:val="0"/>
    <w:pPr>
      <w:jc w:val="left"/>
    </w:pPr>
  </w:style>
  <w:style w:type="paragraph" w:styleId="6">
    <w:name w:val="Body Text Indent"/>
    <w:basedOn w:val="1"/>
    <w:qFormat/>
    <w:uiPriority w:val="0"/>
    <w:pPr>
      <w:spacing w:after="120"/>
      <w:ind w:left="420" w:leftChars="200"/>
    </w:pPr>
  </w:style>
  <w:style w:type="paragraph" w:styleId="7">
    <w:name w:val="Balloon Text"/>
    <w:basedOn w:val="1"/>
    <w:link w:val="25"/>
    <w:qFormat/>
    <w:uiPriority w:val="0"/>
    <w:rPr>
      <w:sz w:val="18"/>
      <w:szCs w:val="18"/>
    </w:rPr>
  </w:style>
  <w:style w:type="paragraph" w:styleId="8">
    <w:name w:val="footer"/>
    <w:basedOn w:val="1"/>
    <w:qFormat/>
    <w:uiPriority w:val="99"/>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annotation subject"/>
    <w:basedOn w:val="5"/>
    <w:next w:val="5"/>
    <w:link w:val="24"/>
    <w:qFormat/>
    <w:uiPriority w:val="0"/>
    <w:rPr>
      <w:b/>
      <w:bCs/>
    </w:rPr>
  </w:style>
  <w:style w:type="character" w:styleId="13">
    <w:name w:val="Strong"/>
    <w:basedOn w:val="12"/>
    <w:qFormat/>
    <w:uiPriority w:val="0"/>
    <w:rPr>
      <w:b/>
      <w:bCs/>
    </w:rPr>
  </w:style>
  <w:style w:type="character" w:styleId="14">
    <w:name w:val="FollowedHyperlink"/>
    <w:basedOn w:val="12"/>
    <w:qFormat/>
    <w:uiPriority w:val="0"/>
    <w:rPr>
      <w:color w:val="1E50A2"/>
      <w:u w:val="single"/>
    </w:rPr>
  </w:style>
  <w:style w:type="character" w:styleId="15">
    <w:name w:val="HTML Definition"/>
    <w:basedOn w:val="12"/>
    <w:qFormat/>
    <w:uiPriority w:val="0"/>
    <w:rPr>
      <w:i/>
      <w:iCs/>
    </w:rPr>
  </w:style>
  <w:style w:type="character" w:styleId="16">
    <w:name w:val="Hyperlink"/>
    <w:basedOn w:val="12"/>
    <w:qFormat/>
    <w:uiPriority w:val="0"/>
    <w:rPr>
      <w:color w:val="1E50A2"/>
      <w:u w:val="single"/>
    </w:rPr>
  </w:style>
  <w:style w:type="character" w:styleId="17">
    <w:name w:val="HTML Code"/>
    <w:basedOn w:val="12"/>
    <w:qFormat/>
    <w:uiPriority w:val="0"/>
    <w:rPr>
      <w:rFonts w:hint="default" w:ascii="Consolas" w:hAnsi="Consolas" w:eastAsia="Consolas" w:cs="Consolas"/>
      <w:color w:val="C7254E"/>
      <w:sz w:val="21"/>
      <w:szCs w:val="21"/>
      <w:shd w:val="clear" w:fill="F9F2F4"/>
    </w:rPr>
  </w:style>
  <w:style w:type="character" w:styleId="18">
    <w:name w:val="annotation reference"/>
    <w:basedOn w:val="12"/>
    <w:qFormat/>
    <w:uiPriority w:val="0"/>
    <w:rPr>
      <w:sz w:val="21"/>
      <w:szCs w:val="21"/>
    </w:rPr>
  </w:style>
  <w:style w:type="character" w:styleId="19">
    <w:name w:val="HTML Keyboard"/>
    <w:basedOn w:val="12"/>
    <w:qFormat/>
    <w:uiPriority w:val="0"/>
    <w:rPr>
      <w:rFonts w:ascii="Consolas" w:hAnsi="Consolas" w:eastAsia="Consolas" w:cs="Consolas"/>
      <w:color w:val="FFFFFF"/>
      <w:sz w:val="21"/>
      <w:szCs w:val="21"/>
      <w:shd w:val="clear" w:fill="333333"/>
    </w:rPr>
  </w:style>
  <w:style w:type="character" w:styleId="20">
    <w:name w:val="HTML Sample"/>
    <w:basedOn w:val="12"/>
    <w:qFormat/>
    <w:uiPriority w:val="0"/>
    <w:rPr>
      <w:rFonts w:hint="default" w:ascii="Consolas" w:hAnsi="Consolas" w:eastAsia="Consolas" w:cs="Consolas"/>
      <w:sz w:val="21"/>
      <w:szCs w:val="21"/>
    </w:rPr>
  </w:style>
  <w:style w:type="paragraph" w:customStyle="1" w:styleId="21">
    <w:name w:val="列出段落1"/>
    <w:basedOn w:val="1"/>
    <w:qFormat/>
    <w:uiPriority w:val="34"/>
    <w:pPr>
      <w:ind w:firstLine="420" w:firstLineChars="200"/>
    </w:pPr>
    <w:rPr>
      <w:rFonts w:ascii="Calibri" w:hAnsi="Calibri" w:cs="黑体"/>
      <w:szCs w:val="22"/>
    </w:rPr>
  </w:style>
  <w:style w:type="paragraph" w:customStyle="1" w:styleId="22">
    <w:name w:val="Default"/>
    <w:unhideWhenUsed/>
    <w:qFormat/>
    <w:uiPriority w:val="99"/>
    <w:pPr>
      <w:widowControl w:val="0"/>
      <w:autoSpaceDE w:val="0"/>
      <w:autoSpaceDN w:val="0"/>
      <w:adjustRightInd w:val="0"/>
    </w:pPr>
    <w:rPr>
      <w:rFonts w:hint="eastAsia" w:ascii="仿宋_GB2312" w:hAnsi="仿宋_GB2312" w:eastAsia="仿宋_GB2312" w:cstheme="minorBidi"/>
      <w:color w:val="000000"/>
      <w:sz w:val="24"/>
      <w:szCs w:val="24"/>
      <w:lang w:val="en-US" w:eastAsia="zh-CN" w:bidi="ar-SA"/>
    </w:rPr>
  </w:style>
  <w:style w:type="character" w:customStyle="1" w:styleId="23">
    <w:name w:val="批注文字 字符"/>
    <w:basedOn w:val="12"/>
    <w:link w:val="5"/>
    <w:qFormat/>
    <w:uiPriority w:val="0"/>
    <w:rPr>
      <w:rFonts w:ascii="Times New Roman" w:hAnsi="Times New Roman" w:eastAsia="宋体" w:cs="Times New Roman"/>
      <w:kern w:val="2"/>
      <w:sz w:val="21"/>
      <w:szCs w:val="24"/>
    </w:rPr>
  </w:style>
  <w:style w:type="character" w:customStyle="1" w:styleId="24">
    <w:name w:val="批注主题 字符"/>
    <w:basedOn w:val="23"/>
    <w:link w:val="10"/>
    <w:qFormat/>
    <w:uiPriority w:val="0"/>
    <w:rPr>
      <w:rFonts w:ascii="Times New Roman" w:hAnsi="Times New Roman" w:eastAsia="宋体" w:cs="Times New Roman"/>
      <w:b/>
      <w:bCs/>
      <w:kern w:val="2"/>
      <w:sz w:val="21"/>
      <w:szCs w:val="24"/>
    </w:rPr>
  </w:style>
  <w:style w:type="character" w:customStyle="1" w:styleId="25">
    <w:name w:val="批注框文本 字符"/>
    <w:basedOn w:val="12"/>
    <w:link w:val="7"/>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A6AEB-BA6A-4734-BD3C-6EEAE0D34E05}">
  <ds:schemaRefs/>
</ds:datastoreItem>
</file>

<file path=docProps/app.xml><?xml version="1.0" encoding="utf-8"?>
<Properties xmlns="http://schemas.openxmlformats.org/officeDocument/2006/extended-properties" xmlns:vt="http://schemas.openxmlformats.org/officeDocument/2006/docPropsVTypes">
  <Template>Normal</Template>
  <Pages>18</Pages>
  <Words>1586</Words>
  <Characters>9044</Characters>
  <Lines>75</Lines>
  <Paragraphs>21</Paragraphs>
  <TotalTime>0</TotalTime>
  <ScaleCrop>false</ScaleCrop>
  <LinksUpToDate>false</LinksUpToDate>
  <CharactersWithSpaces>10609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2023-05-11T10:20:00Z</dcterms:created>
  <dc:creator>user</dc:creator>
  <cp:lastModifiedBy>魏雪波</cp:lastModifiedBy>
  <cp:lastPrinted>2023-08-16T06:41:00Z</cp:lastPrinted>
  <dcterms:modified xsi:type="dcterms:W3CDTF">2023-08-16T11:15:47Z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