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931" w:rsidRDefault="00F14931">
      <w:pPr>
        <w:adjustRightInd w:val="0"/>
        <w:snapToGrid w:val="0"/>
        <w:spacing w:line="360" w:lineRule="auto"/>
        <w:jc w:val="center"/>
        <w:rPr>
          <w:rFonts w:ascii="宋体" w:hAnsi="宋体"/>
          <w:b/>
          <w:sz w:val="48"/>
          <w:szCs w:val="21"/>
        </w:rPr>
      </w:pPr>
    </w:p>
    <w:p w:rsidR="00F14931" w:rsidRDefault="00F14931">
      <w:pPr>
        <w:adjustRightInd w:val="0"/>
        <w:snapToGrid w:val="0"/>
        <w:spacing w:line="360" w:lineRule="auto"/>
        <w:jc w:val="center"/>
        <w:rPr>
          <w:rFonts w:ascii="宋体" w:hAnsi="宋体"/>
          <w:b/>
          <w:sz w:val="48"/>
          <w:szCs w:val="21"/>
        </w:rPr>
      </w:pPr>
    </w:p>
    <w:p w:rsidR="00F14931" w:rsidRDefault="00F14931">
      <w:pPr>
        <w:adjustRightInd w:val="0"/>
        <w:snapToGrid w:val="0"/>
        <w:spacing w:line="360" w:lineRule="auto"/>
        <w:jc w:val="center"/>
        <w:rPr>
          <w:rFonts w:ascii="宋体" w:hAnsi="宋体"/>
          <w:b/>
          <w:sz w:val="48"/>
          <w:szCs w:val="21"/>
        </w:rPr>
      </w:pPr>
    </w:p>
    <w:p w:rsidR="00F14931" w:rsidRDefault="002D1D6E">
      <w:pPr>
        <w:adjustRightInd w:val="0"/>
        <w:snapToGrid w:val="0"/>
        <w:spacing w:line="360" w:lineRule="auto"/>
        <w:jc w:val="center"/>
        <w:rPr>
          <w:rFonts w:ascii="宋体" w:hAnsi="宋体"/>
          <w:b/>
          <w:bCs/>
          <w:spacing w:val="-20"/>
          <w:sz w:val="48"/>
          <w:szCs w:val="48"/>
        </w:rPr>
      </w:pPr>
      <w:r>
        <w:rPr>
          <w:rFonts w:ascii="宋体" w:hAnsi="宋体" w:hint="eastAsia"/>
          <w:b/>
          <w:sz w:val="48"/>
          <w:szCs w:val="21"/>
        </w:rPr>
        <w:t>202</w:t>
      </w:r>
      <w:r>
        <w:rPr>
          <w:rFonts w:ascii="宋体" w:hAnsi="宋体" w:hint="eastAsia"/>
          <w:b/>
          <w:sz w:val="48"/>
          <w:szCs w:val="21"/>
        </w:rPr>
        <w:t>2</w:t>
      </w:r>
      <w:r>
        <w:rPr>
          <w:rFonts w:ascii="宋体" w:hAnsi="宋体" w:hint="eastAsia"/>
          <w:b/>
          <w:sz w:val="48"/>
          <w:szCs w:val="21"/>
        </w:rPr>
        <w:t>年度</w:t>
      </w:r>
      <w:r>
        <w:rPr>
          <w:rFonts w:ascii="宋体" w:hAnsi="宋体" w:hint="eastAsia"/>
          <w:b/>
          <w:bCs/>
          <w:spacing w:val="-20"/>
          <w:sz w:val="48"/>
          <w:szCs w:val="48"/>
        </w:rPr>
        <w:t>北京市石景山区人民法院</w:t>
      </w:r>
    </w:p>
    <w:p w:rsidR="00F14931" w:rsidRDefault="002D1D6E">
      <w:pPr>
        <w:adjustRightInd w:val="0"/>
        <w:snapToGrid w:val="0"/>
        <w:spacing w:line="360" w:lineRule="auto"/>
        <w:jc w:val="center"/>
        <w:rPr>
          <w:rFonts w:ascii="宋体" w:hAnsi="宋体"/>
          <w:b/>
          <w:bCs/>
          <w:sz w:val="48"/>
          <w:szCs w:val="48"/>
        </w:rPr>
      </w:pPr>
      <w:r>
        <w:rPr>
          <w:rFonts w:ascii="宋体" w:hAnsi="宋体" w:hint="eastAsia"/>
          <w:b/>
          <w:bCs/>
          <w:sz w:val="48"/>
          <w:szCs w:val="48"/>
        </w:rPr>
        <w:t>部门整体绩效评价报告</w:t>
      </w:r>
    </w:p>
    <w:p w:rsidR="00F14931" w:rsidRDefault="00F14931">
      <w:pPr>
        <w:adjustRightInd w:val="0"/>
        <w:snapToGrid w:val="0"/>
        <w:spacing w:line="360" w:lineRule="auto"/>
        <w:ind w:firstLineChars="200" w:firstLine="1044"/>
        <w:jc w:val="center"/>
        <w:rPr>
          <w:rFonts w:ascii="宋体" w:hAnsi="宋体"/>
          <w:b/>
          <w:sz w:val="52"/>
        </w:rPr>
      </w:pPr>
    </w:p>
    <w:p w:rsidR="00F14931" w:rsidRDefault="00F14931">
      <w:pPr>
        <w:adjustRightInd w:val="0"/>
        <w:snapToGrid w:val="0"/>
        <w:spacing w:line="360" w:lineRule="auto"/>
        <w:ind w:firstLineChars="200" w:firstLine="600"/>
        <w:jc w:val="center"/>
        <w:rPr>
          <w:rFonts w:ascii="仿宋_GB2312" w:eastAsia="仿宋_GB2312"/>
          <w:sz w:val="30"/>
        </w:rPr>
      </w:pPr>
    </w:p>
    <w:p w:rsidR="00F14931" w:rsidRDefault="00F14931">
      <w:pPr>
        <w:adjustRightInd w:val="0"/>
        <w:snapToGrid w:val="0"/>
        <w:spacing w:line="360" w:lineRule="auto"/>
        <w:ind w:firstLineChars="200" w:firstLine="600"/>
        <w:jc w:val="center"/>
        <w:rPr>
          <w:rFonts w:ascii="仿宋_GB2312" w:eastAsia="仿宋_GB2312"/>
          <w:sz w:val="30"/>
        </w:rPr>
      </w:pPr>
    </w:p>
    <w:p w:rsidR="00F14931" w:rsidRDefault="00F14931">
      <w:pPr>
        <w:adjustRightInd w:val="0"/>
        <w:snapToGrid w:val="0"/>
        <w:spacing w:line="360" w:lineRule="auto"/>
        <w:ind w:firstLineChars="200" w:firstLine="600"/>
        <w:jc w:val="center"/>
        <w:rPr>
          <w:rFonts w:ascii="仿宋_GB2312" w:eastAsia="仿宋_GB2312"/>
          <w:sz w:val="30"/>
        </w:rPr>
      </w:pPr>
    </w:p>
    <w:p w:rsidR="00F14931" w:rsidRDefault="00F14931">
      <w:pPr>
        <w:adjustRightInd w:val="0"/>
        <w:snapToGrid w:val="0"/>
        <w:spacing w:line="360" w:lineRule="auto"/>
        <w:ind w:firstLineChars="200" w:firstLine="600"/>
        <w:jc w:val="center"/>
        <w:rPr>
          <w:rFonts w:ascii="仿宋_GB2312" w:eastAsia="仿宋_GB2312"/>
          <w:sz w:val="30"/>
        </w:rPr>
      </w:pPr>
    </w:p>
    <w:p w:rsidR="00F14931" w:rsidRDefault="00F14931">
      <w:pPr>
        <w:pStyle w:val="a0"/>
      </w:pPr>
    </w:p>
    <w:p w:rsidR="00F14931" w:rsidRDefault="00F14931">
      <w:pPr>
        <w:adjustRightInd w:val="0"/>
        <w:snapToGrid w:val="0"/>
        <w:spacing w:line="360" w:lineRule="auto"/>
        <w:ind w:firstLineChars="200" w:firstLine="600"/>
        <w:rPr>
          <w:rFonts w:ascii="仿宋_GB2312" w:eastAsia="仿宋_GB2312"/>
          <w:sz w:val="30"/>
        </w:rPr>
      </w:pPr>
    </w:p>
    <w:p w:rsidR="00F14931" w:rsidRDefault="00F14931">
      <w:pPr>
        <w:adjustRightInd w:val="0"/>
        <w:snapToGrid w:val="0"/>
        <w:spacing w:line="360" w:lineRule="auto"/>
        <w:ind w:firstLineChars="200" w:firstLine="640"/>
        <w:jc w:val="left"/>
        <w:rPr>
          <w:rFonts w:ascii="宋体" w:hAnsi="宋体"/>
          <w:sz w:val="32"/>
        </w:rPr>
      </w:pPr>
    </w:p>
    <w:p w:rsidR="00F14931" w:rsidRDefault="00F14931">
      <w:pPr>
        <w:adjustRightInd w:val="0"/>
        <w:snapToGrid w:val="0"/>
        <w:spacing w:line="360" w:lineRule="auto"/>
        <w:ind w:firstLineChars="200" w:firstLine="640"/>
        <w:rPr>
          <w:rFonts w:ascii="仿宋_GB2312" w:eastAsia="仿宋_GB2312" w:hAnsi="宋体"/>
          <w:sz w:val="32"/>
          <w:szCs w:val="32"/>
        </w:rPr>
      </w:pPr>
    </w:p>
    <w:p w:rsidR="00F14931" w:rsidRDefault="00F14931">
      <w:pPr>
        <w:adjustRightInd w:val="0"/>
        <w:snapToGrid w:val="0"/>
        <w:spacing w:line="360" w:lineRule="auto"/>
        <w:jc w:val="center"/>
        <w:rPr>
          <w:rFonts w:ascii="仿宋_GB2312" w:eastAsia="仿宋_GB2312" w:hAnsi="宋体"/>
          <w:sz w:val="32"/>
          <w:szCs w:val="32"/>
        </w:rPr>
      </w:pPr>
    </w:p>
    <w:p w:rsidR="00F14931" w:rsidRDefault="00F14931">
      <w:pPr>
        <w:adjustRightInd w:val="0"/>
        <w:snapToGrid w:val="0"/>
        <w:spacing w:line="360" w:lineRule="auto"/>
        <w:jc w:val="center"/>
        <w:rPr>
          <w:rFonts w:ascii="黑体" w:eastAsia="黑体"/>
          <w:sz w:val="36"/>
          <w:szCs w:val="36"/>
        </w:rPr>
      </w:pPr>
    </w:p>
    <w:p w:rsidR="00F14931" w:rsidRDefault="00F14931">
      <w:pPr>
        <w:adjustRightInd w:val="0"/>
        <w:snapToGrid w:val="0"/>
        <w:spacing w:line="360" w:lineRule="auto"/>
        <w:jc w:val="center"/>
        <w:rPr>
          <w:rFonts w:ascii="黑体" w:eastAsia="黑体"/>
          <w:sz w:val="36"/>
          <w:szCs w:val="36"/>
        </w:rPr>
      </w:pPr>
    </w:p>
    <w:p w:rsidR="00F14931" w:rsidRDefault="002D1D6E">
      <w:pPr>
        <w:adjustRightInd w:val="0"/>
        <w:snapToGrid w:val="0"/>
        <w:spacing w:line="360" w:lineRule="auto"/>
        <w:jc w:val="center"/>
        <w:rPr>
          <w:b/>
          <w:bCs/>
          <w:sz w:val="52"/>
          <w:szCs w:val="52"/>
        </w:rPr>
      </w:pPr>
      <w:r>
        <w:rPr>
          <w:rFonts w:ascii="黑体" w:eastAsia="黑体" w:hint="eastAsia"/>
          <w:sz w:val="36"/>
          <w:szCs w:val="36"/>
        </w:rPr>
        <w:t>二〇二</w:t>
      </w:r>
      <w:r>
        <w:rPr>
          <w:rFonts w:ascii="黑体" w:eastAsia="黑体" w:hint="eastAsia"/>
          <w:sz w:val="36"/>
          <w:szCs w:val="36"/>
        </w:rPr>
        <w:t>三</w:t>
      </w:r>
      <w:r>
        <w:rPr>
          <w:rFonts w:ascii="黑体" w:eastAsia="黑体" w:hint="eastAsia"/>
          <w:sz w:val="36"/>
          <w:szCs w:val="36"/>
        </w:rPr>
        <w:t>年五月</w:t>
      </w:r>
    </w:p>
    <w:p w:rsidR="00F14931" w:rsidRDefault="00F14931">
      <w:pPr>
        <w:adjustRightInd w:val="0"/>
        <w:snapToGrid w:val="0"/>
        <w:spacing w:line="360" w:lineRule="auto"/>
        <w:jc w:val="center"/>
        <w:rPr>
          <w:rFonts w:ascii="方正小标宋简体" w:eastAsia="方正小标宋简体"/>
          <w:sz w:val="36"/>
          <w:szCs w:val="36"/>
        </w:rPr>
        <w:sectPr w:rsidR="00F14931">
          <w:pgSz w:w="11906" w:h="16838"/>
          <w:pgMar w:top="1440" w:right="1800" w:bottom="1440" w:left="1800" w:header="851" w:footer="992" w:gutter="0"/>
          <w:cols w:space="425"/>
          <w:docGrid w:type="lines" w:linePitch="312"/>
        </w:sectPr>
      </w:pPr>
    </w:p>
    <w:sdt>
      <w:sdtPr>
        <w:rPr>
          <w:rFonts w:ascii="黑体" w:eastAsia="黑体" w:hAnsi="黑体" w:cs="黑体" w:hint="eastAsia"/>
          <w:b/>
          <w:bCs/>
          <w:sz w:val="32"/>
          <w:szCs w:val="32"/>
        </w:rPr>
        <w:id w:val="147456552"/>
        <w:docPartObj>
          <w:docPartGallery w:val="Table of Contents"/>
          <w:docPartUnique/>
        </w:docPartObj>
      </w:sdtPr>
      <w:sdtEndPr>
        <w:rPr>
          <w:rFonts w:ascii="Times New Roman" w:eastAsia="宋体" w:hAnsi="Times New Roman" w:cs="Times New Roman" w:hint="default"/>
          <w:sz w:val="21"/>
          <w:szCs w:val="24"/>
        </w:rPr>
      </w:sdtEndPr>
      <w:sdtContent>
        <w:p w:rsidR="00F14931" w:rsidRDefault="002D1D6E">
          <w:pPr>
            <w:adjustRightInd w:val="0"/>
            <w:snapToGrid w:val="0"/>
            <w:spacing w:line="360" w:lineRule="auto"/>
            <w:ind w:firstLineChars="200" w:firstLine="643"/>
            <w:jc w:val="center"/>
            <w:rPr>
              <w:rFonts w:ascii="黑体" w:eastAsia="黑体" w:hAnsi="黑体" w:cs="黑体"/>
              <w:sz w:val="32"/>
              <w:szCs w:val="32"/>
            </w:rPr>
          </w:pPr>
          <w:r>
            <w:rPr>
              <w:rFonts w:ascii="黑体" w:eastAsia="黑体" w:hAnsi="黑体" w:cs="黑体" w:hint="eastAsia"/>
              <w:b/>
              <w:bCs/>
              <w:sz w:val="32"/>
              <w:szCs w:val="32"/>
            </w:rPr>
            <w:t>目</w:t>
          </w:r>
          <w:r>
            <w:rPr>
              <w:rFonts w:ascii="黑体" w:eastAsia="黑体" w:hAnsi="黑体" w:cs="黑体" w:hint="eastAsia"/>
              <w:b/>
              <w:bCs/>
              <w:sz w:val="32"/>
              <w:szCs w:val="32"/>
            </w:rPr>
            <w:t xml:space="preserve"> </w:t>
          </w:r>
          <w:r>
            <w:rPr>
              <w:rFonts w:ascii="黑体" w:eastAsia="黑体" w:hAnsi="黑体" w:cs="黑体" w:hint="eastAsia"/>
              <w:b/>
              <w:bCs/>
              <w:sz w:val="32"/>
              <w:szCs w:val="32"/>
            </w:rPr>
            <w:t>录</w:t>
          </w:r>
        </w:p>
        <w:p w:rsidR="00F14931" w:rsidRDefault="002D1D6E">
          <w:pPr>
            <w:pStyle w:val="10"/>
            <w:tabs>
              <w:tab w:val="clear" w:pos="8296"/>
              <w:tab w:val="right" w:leader="dot" w:pos="8306"/>
            </w:tabs>
            <w:rPr>
              <w:rFonts w:cs="黑体"/>
            </w:rPr>
          </w:pPr>
          <w:r>
            <w:rPr>
              <w:rFonts w:cs="黑体" w:hint="eastAsia"/>
            </w:rPr>
            <w:fldChar w:fldCharType="begin"/>
          </w:r>
          <w:r>
            <w:rPr>
              <w:rFonts w:cs="黑体" w:hint="eastAsia"/>
            </w:rPr>
            <w:instrText xml:space="preserve">TOC \o "1-3" \h \u </w:instrText>
          </w:r>
          <w:r>
            <w:rPr>
              <w:rFonts w:cs="黑体" w:hint="eastAsia"/>
            </w:rPr>
            <w:fldChar w:fldCharType="separate"/>
          </w:r>
          <w:hyperlink w:anchor="_Toc22386" w:history="1">
            <w:r>
              <w:rPr>
                <w:rFonts w:cs="黑体" w:hint="eastAsia"/>
                <w:kern w:val="0"/>
                <w:szCs w:val="32"/>
              </w:rPr>
              <w:t>一、部门概况</w:t>
            </w:r>
            <w:r>
              <w:rPr>
                <w:rFonts w:cs="黑体" w:hint="eastAsia"/>
              </w:rPr>
              <w:tab/>
            </w:r>
            <w:r>
              <w:rPr>
                <w:rFonts w:cs="黑体" w:hint="eastAsia"/>
              </w:rPr>
              <w:fldChar w:fldCharType="begin"/>
            </w:r>
            <w:r>
              <w:rPr>
                <w:rFonts w:cs="黑体" w:hint="eastAsia"/>
              </w:rPr>
              <w:instrText xml:space="preserve"> PAGEREF _Toc22386 \h </w:instrText>
            </w:r>
            <w:r>
              <w:rPr>
                <w:rFonts w:cs="黑体" w:hint="eastAsia"/>
              </w:rPr>
            </w:r>
            <w:r>
              <w:rPr>
                <w:rFonts w:cs="黑体" w:hint="eastAsia"/>
              </w:rPr>
              <w:fldChar w:fldCharType="separate"/>
            </w:r>
            <w:r>
              <w:rPr>
                <w:rFonts w:cs="黑体" w:hint="eastAsia"/>
              </w:rPr>
              <w:t>1</w:t>
            </w:r>
            <w:r>
              <w:rPr>
                <w:rFonts w:cs="黑体" w:hint="eastAsia"/>
              </w:rPr>
              <w:fldChar w:fldCharType="end"/>
            </w:r>
          </w:hyperlink>
        </w:p>
        <w:p w:rsidR="00F14931" w:rsidRDefault="002D1D6E">
          <w:pPr>
            <w:pStyle w:val="20"/>
            <w:tabs>
              <w:tab w:val="clear" w:pos="8296"/>
              <w:tab w:val="right" w:leader="dot" w:pos="8306"/>
            </w:tabs>
            <w:rPr>
              <w:rFonts w:cs="黑体"/>
            </w:rPr>
          </w:pPr>
          <w:hyperlink w:anchor="_Toc24732" w:history="1">
            <w:r>
              <w:rPr>
                <w:rFonts w:cs="黑体" w:hint="eastAsia"/>
                <w:szCs w:val="32"/>
              </w:rPr>
              <w:t>（一）机构设置及职责工作任务情况</w:t>
            </w:r>
            <w:r>
              <w:rPr>
                <w:rFonts w:cs="黑体" w:hint="eastAsia"/>
              </w:rPr>
              <w:tab/>
            </w:r>
            <w:r>
              <w:rPr>
                <w:rFonts w:cs="黑体" w:hint="eastAsia"/>
              </w:rPr>
              <w:fldChar w:fldCharType="begin"/>
            </w:r>
            <w:r>
              <w:rPr>
                <w:rFonts w:cs="黑体" w:hint="eastAsia"/>
              </w:rPr>
              <w:instrText xml:space="preserve"> PAGEREF _Toc24732 \h </w:instrText>
            </w:r>
            <w:r>
              <w:rPr>
                <w:rFonts w:cs="黑体" w:hint="eastAsia"/>
              </w:rPr>
            </w:r>
            <w:r>
              <w:rPr>
                <w:rFonts w:cs="黑体" w:hint="eastAsia"/>
              </w:rPr>
              <w:fldChar w:fldCharType="separate"/>
            </w:r>
            <w:r>
              <w:rPr>
                <w:rFonts w:cs="黑体" w:hint="eastAsia"/>
              </w:rPr>
              <w:t>1</w:t>
            </w:r>
            <w:r>
              <w:rPr>
                <w:rFonts w:cs="黑体" w:hint="eastAsia"/>
              </w:rPr>
              <w:fldChar w:fldCharType="end"/>
            </w:r>
          </w:hyperlink>
        </w:p>
        <w:p w:rsidR="00F14931" w:rsidRDefault="002D1D6E">
          <w:pPr>
            <w:pStyle w:val="20"/>
            <w:tabs>
              <w:tab w:val="clear" w:pos="8296"/>
              <w:tab w:val="right" w:leader="dot" w:pos="8306"/>
            </w:tabs>
            <w:rPr>
              <w:rFonts w:cs="黑体"/>
            </w:rPr>
          </w:pPr>
          <w:hyperlink w:anchor="_Toc763" w:history="1">
            <w:r>
              <w:rPr>
                <w:rFonts w:cs="黑体" w:hint="eastAsia"/>
                <w:szCs w:val="32"/>
              </w:rPr>
              <w:t>（二）部门整体绩效目标设立情况</w:t>
            </w:r>
            <w:r>
              <w:rPr>
                <w:rFonts w:cs="黑体" w:hint="eastAsia"/>
              </w:rPr>
              <w:tab/>
            </w:r>
            <w:r>
              <w:rPr>
                <w:rFonts w:cs="黑体" w:hint="eastAsia"/>
              </w:rPr>
              <w:fldChar w:fldCharType="begin"/>
            </w:r>
            <w:r>
              <w:rPr>
                <w:rFonts w:cs="黑体" w:hint="eastAsia"/>
              </w:rPr>
              <w:instrText xml:space="preserve"> PAGEREF _Toc763 \h </w:instrText>
            </w:r>
            <w:r>
              <w:rPr>
                <w:rFonts w:cs="黑体" w:hint="eastAsia"/>
              </w:rPr>
            </w:r>
            <w:r>
              <w:rPr>
                <w:rFonts w:cs="黑体" w:hint="eastAsia"/>
              </w:rPr>
              <w:fldChar w:fldCharType="separate"/>
            </w:r>
            <w:r>
              <w:rPr>
                <w:rFonts w:cs="黑体" w:hint="eastAsia"/>
              </w:rPr>
              <w:t>2</w:t>
            </w:r>
            <w:r>
              <w:rPr>
                <w:rFonts w:cs="黑体" w:hint="eastAsia"/>
              </w:rPr>
              <w:fldChar w:fldCharType="end"/>
            </w:r>
          </w:hyperlink>
        </w:p>
        <w:p w:rsidR="00F14931" w:rsidRDefault="002D1D6E">
          <w:pPr>
            <w:pStyle w:val="10"/>
            <w:tabs>
              <w:tab w:val="clear" w:pos="8296"/>
              <w:tab w:val="right" w:leader="dot" w:pos="8306"/>
            </w:tabs>
            <w:rPr>
              <w:rFonts w:cs="黑体"/>
            </w:rPr>
          </w:pPr>
          <w:hyperlink w:anchor="_Toc25080" w:history="1">
            <w:r>
              <w:rPr>
                <w:rFonts w:cs="黑体" w:hint="eastAsia"/>
                <w:kern w:val="0"/>
                <w:szCs w:val="32"/>
              </w:rPr>
              <w:t>二、当年预算执行情况</w:t>
            </w:r>
            <w:r>
              <w:rPr>
                <w:rFonts w:cs="黑体" w:hint="eastAsia"/>
              </w:rPr>
              <w:tab/>
            </w:r>
            <w:r>
              <w:rPr>
                <w:rFonts w:cs="黑体" w:hint="eastAsia"/>
              </w:rPr>
              <w:fldChar w:fldCharType="begin"/>
            </w:r>
            <w:r>
              <w:rPr>
                <w:rFonts w:cs="黑体" w:hint="eastAsia"/>
              </w:rPr>
              <w:instrText xml:space="preserve"> PAGEREF _Toc25080 \h </w:instrText>
            </w:r>
            <w:r>
              <w:rPr>
                <w:rFonts w:cs="黑体" w:hint="eastAsia"/>
              </w:rPr>
            </w:r>
            <w:r>
              <w:rPr>
                <w:rFonts w:cs="黑体" w:hint="eastAsia"/>
              </w:rPr>
              <w:fldChar w:fldCharType="separate"/>
            </w:r>
            <w:r>
              <w:rPr>
                <w:rFonts w:cs="黑体" w:hint="eastAsia"/>
              </w:rPr>
              <w:t>4</w:t>
            </w:r>
            <w:r>
              <w:rPr>
                <w:rFonts w:cs="黑体" w:hint="eastAsia"/>
              </w:rPr>
              <w:fldChar w:fldCharType="end"/>
            </w:r>
          </w:hyperlink>
        </w:p>
        <w:p w:rsidR="00F14931" w:rsidRDefault="002D1D6E">
          <w:pPr>
            <w:pStyle w:val="10"/>
            <w:tabs>
              <w:tab w:val="clear" w:pos="8296"/>
              <w:tab w:val="right" w:leader="dot" w:pos="8306"/>
            </w:tabs>
            <w:rPr>
              <w:rFonts w:cs="黑体"/>
            </w:rPr>
          </w:pPr>
          <w:hyperlink w:anchor="_Toc13215" w:history="1">
            <w:r>
              <w:rPr>
                <w:rFonts w:cs="黑体" w:hint="eastAsia"/>
                <w:kern w:val="0"/>
                <w:szCs w:val="32"/>
              </w:rPr>
              <w:t>三、整体绩效目标实现情况</w:t>
            </w:r>
            <w:r>
              <w:rPr>
                <w:rFonts w:cs="黑体" w:hint="eastAsia"/>
              </w:rPr>
              <w:tab/>
            </w:r>
            <w:r>
              <w:rPr>
                <w:rFonts w:cs="黑体" w:hint="eastAsia"/>
              </w:rPr>
              <w:fldChar w:fldCharType="begin"/>
            </w:r>
            <w:r>
              <w:rPr>
                <w:rFonts w:cs="黑体" w:hint="eastAsia"/>
              </w:rPr>
              <w:instrText xml:space="preserve"> PAGEREF _Toc13215 \h </w:instrText>
            </w:r>
            <w:r>
              <w:rPr>
                <w:rFonts w:cs="黑体" w:hint="eastAsia"/>
              </w:rPr>
            </w:r>
            <w:r>
              <w:rPr>
                <w:rFonts w:cs="黑体" w:hint="eastAsia"/>
              </w:rPr>
              <w:fldChar w:fldCharType="separate"/>
            </w:r>
            <w:r>
              <w:rPr>
                <w:rFonts w:cs="黑体" w:hint="eastAsia"/>
              </w:rPr>
              <w:t>4</w:t>
            </w:r>
            <w:r>
              <w:rPr>
                <w:rFonts w:cs="黑体" w:hint="eastAsia"/>
              </w:rPr>
              <w:fldChar w:fldCharType="end"/>
            </w:r>
          </w:hyperlink>
        </w:p>
        <w:p w:rsidR="00F14931" w:rsidRDefault="002D1D6E">
          <w:pPr>
            <w:pStyle w:val="20"/>
            <w:tabs>
              <w:tab w:val="clear" w:pos="8296"/>
              <w:tab w:val="right" w:leader="dot" w:pos="8306"/>
            </w:tabs>
            <w:rPr>
              <w:rFonts w:cs="黑体"/>
            </w:rPr>
          </w:pPr>
          <w:hyperlink w:anchor="_Toc28675" w:history="1">
            <w:r>
              <w:rPr>
                <w:rFonts w:cs="黑体" w:hint="eastAsia"/>
                <w:szCs w:val="32"/>
              </w:rPr>
              <w:t>（一）产出完成情况分析</w:t>
            </w:r>
            <w:r>
              <w:rPr>
                <w:rFonts w:cs="黑体" w:hint="eastAsia"/>
              </w:rPr>
              <w:tab/>
            </w:r>
            <w:r>
              <w:rPr>
                <w:rFonts w:cs="黑体" w:hint="eastAsia"/>
              </w:rPr>
              <w:fldChar w:fldCharType="begin"/>
            </w:r>
            <w:r>
              <w:rPr>
                <w:rFonts w:cs="黑体" w:hint="eastAsia"/>
              </w:rPr>
              <w:instrText xml:space="preserve"> PAGEREF _Toc28675 \h </w:instrText>
            </w:r>
            <w:r>
              <w:rPr>
                <w:rFonts w:cs="黑体" w:hint="eastAsia"/>
              </w:rPr>
            </w:r>
            <w:r>
              <w:rPr>
                <w:rFonts w:cs="黑体" w:hint="eastAsia"/>
              </w:rPr>
              <w:fldChar w:fldCharType="separate"/>
            </w:r>
            <w:r>
              <w:rPr>
                <w:rFonts w:cs="黑体" w:hint="eastAsia"/>
              </w:rPr>
              <w:t>4</w:t>
            </w:r>
            <w:r>
              <w:rPr>
                <w:rFonts w:cs="黑体" w:hint="eastAsia"/>
              </w:rPr>
              <w:fldChar w:fldCharType="end"/>
            </w:r>
          </w:hyperlink>
        </w:p>
        <w:p w:rsidR="00F14931" w:rsidRDefault="002D1D6E">
          <w:pPr>
            <w:pStyle w:val="20"/>
            <w:tabs>
              <w:tab w:val="clear" w:pos="8296"/>
              <w:tab w:val="right" w:leader="dot" w:pos="8306"/>
            </w:tabs>
            <w:rPr>
              <w:rFonts w:cs="黑体"/>
            </w:rPr>
          </w:pPr>
          <w:hyperlink w:anchor="_Toc28480" w:history="1">
            <w:r>
              <w:rPr>
                <w:rFonts w:cs="黑体" w:hint="eastAsia"/>
                <w:szCs w:val="32"/>
              </w:rPr>
              <w:t>（二）效果实现情况分析</w:t>
            </w:r>
            <w:r>
              <w:rPr>
                <w:rFonts w:cs="黑体" w:hint="eastAsia"/>
              </w:rPr>
              <w:tab/>
            </w:r>
            <w:r>
              <w:rPr>
                <w:rFonts w:cs="黑体" w:hint="eastAsia"/>
              </w:rPr>
              <w:fldChar w:fldCharType="begin"/>
            </w:r>
            <w:r>
              <w:rPr>
                <w:rFonts w:cs="黑体" w:hint="eastAsia"/>
              </w:rPr>
              <w:instrText xml:space="preserve"> PAGEREF _Toc28480 \h </w:instrText>
            </w:r>
            <w:r>
              <w:rPr>
                <w:rFonts w:cs="黑体" w:hint="eastAsia"/>
              </w:rPr>
            </w:r>
            <w:r>
              <w:rPr>
                <w:rFonts w:cs="黑体" w:hint="eastAsia"/>
              </w:rPr>
              <w:fldChar w:fldCharType="separate"/>
            </w:r>
            <w:r>
              <w:rPr>
                <w:rFonts w:cs="黑体" w:hint="eastAsia"/>
              </w:rPr>
              <w:t>8</w:t>
            </w:r>
            <w:r>
              <w:rPr>
                <w:rFonts w:cs="黑体" w:hint="eastAsia"/>
              </w:rPr>
              <w:fldChar w:fldCharType="end"/>
            </w:r>
          </w:hyperlink>
        </w:p>
        <w:p w:rsidR="00F14931" w:rsidRDefault="002D1D6E">
          <w:pPr>
            <w:pStyle w:val="10"/>
            <w:tabs>
              <w:tab w:val="clear" w:pos="8296"/>
              <w:tab w:val="right" w:leader="dot" w:pos="8306"/>
            </w:tabs>
            <w:rPr>
              <w:rFonts w:cs="黑体"/>
            </w:rPr>
          </w:pPr>
          <w:hyperlink w:anchor="_Toc15100" w:history="1">
            <w:r>
              <w:rPr>
                <w:rFonts w:cs="黑体" w:hint="eastAsia"/>
                <w:kern w:val="0"/>
                <w:szCs w:val="32"/>
              </w:rPr>
              <w:t>四、预算管理情况分析</w:t>
            </w:r>
            <w:r>
              <w:rPr>
                <w:rFonts w:cs="黑体" w:hint="eastAsia"/>
              </w:rPr>
              <w:tab/>
            </w:r>
            <w:r>
              <w:rPr>
                <w:rFonts w:cs="黑体" w:hint="eastAsia"/>
              </w:rPr>
              <w:fldChar w:fldCharType="begin"/>
            </w:r>
            <w:r>
              <w:rPr>
                <w:rFonts w:cs="黑体" w:hint="eastAsia"/>
              </w:rPr>
              <w:instrText xml:space="preserve"> PAGEREF _Toc15100 \h </w:instrText>
            </w:r>
            <w:r>
              <w:rPr>
                <w:rFonts w:cs="黑体" w:hint="eastAsia"/>
              </w:rPr>
            </w:r>
            <w:r>
              <w:rPr>
                <w:rFonts w:cs="黑体" w:hint="eastAsia"/>
              </w:rPr>
              <w:fldChar w:fldCharType="separate"/>
            </w:r>
            <w:r>
              <w:rPr>
                <w:rFonts w:cs="黑体" w:hint="eastAsia"/>
              </w:rPr>
              <w:t>11</w:t>
            </w:r>
            <w:r>
              <w:rPr>
                <w:rFonts w:cs="黑体" w:hint="eastAsia"/>
              </w:rPr>
              <w:fldChar w:fldCharType="end"/>
            </w:r>
          </w:hyperlink>
        </w:p>
        <w:p w:rsidR="00F14931" w:rsidRDefault="002D1D6E">
          <w:pPr>
            <w:pStyle w:val="20"/>
            <w:tabs>
              <w:tab w:val="clear" w:pos="8296"/>
              <w:tab w:val="right" w:leader="dot" w:pos="8306"/>
            </w:tabs>
            <w:rPr>
              <w:rFonts w:cs="黑体"/>
            </w:rPr>
          </w:pPr>
          <w:hyperlink w:anchor="_Toc1890" w:history="1">
            <w:r>
              <w:rPr>
                <w:rFonts w:cs="黑体" w:hint="eastAsia"/>
                <w:szCs w:val="32"/>
              </w:rPr>
              <w:t>（一）财务管理</w:t>
            </w:r>
            <w:r>
              <w:rPr>
                <w:rFonts w:cs="黑体" w:hint="eastAsia"/>
              </w:rPr>
              <w:tab/>
            </w:r>
            <w:r>
              <w:rPr>
                <w:rFonts w:cs="黑体" w:hint="eastAsia"/>
              </w:rPr>
              <w:fldChar w:fldCharType="begin"/>
            </w:r>
            <w:r>
              <w:rPr>
                <w:rFonts w:cs="黑体" w:hint="eastAsia"/>
              </w:rPr>
              <w:instrText xml:space="preserve"> PAGEREF _Toc1890 \h </w:instrText>
            </w:r>
            <w:r>
              <w:rPr>
                <w:rFonts w:cs="黑体" w:hint="eastAsia"/>
              </w:rPr>
            </w:r>
            <w:r>
              <w:rPr>
                <w:rFonts w:cs="黑体" w:hint="eastAsia"/>
              </w:rPr>
              <w:fldChar w:fldCharType="separate"/>
            </w:r>
            <w:r>
              <w:rPr>
                <w:rFonts w:cs="黑体" w:hint="eastAsia"/>
              </w:rPr>
              <w:t>11</w:t>
            </w:r>
            <w:r>
              <w:rPr>
                <w:rFonts w:cs="黑体" w:hint="eastAsia"/>
              </w:rPr>
              <w:fldChar w:fldCharType="end"/>
            </w:r>
          </w:hyperlink>
        </w:p>
        <w:p w:rsidR="00F14931" w:rsidRDefault="002D1D6E">
          <w:pPr>
            <w:pStyle w:val="20"/>
            <w:tabs>
              <w:tab w:val="clear" w:pos="8296"/>
              <w:tab w:val="right" w:leader="dot" w:pos="8306"/>
            </w:tabs>
            <w:rPr>
              <w:rFonts w:cs="黑体"/>
            </w:rPr>
          </w:pPr>
          <w:hyperlink w:anchor="_Toc12179" w:history="1">
            <w:r>
              <w:rPr>
                <w:rFonts w:cs="黑体" w:hint="eastAsia"/>
                <w:szCs w:val="32"/>
              </w:rPr>
              <w:t>（二）资产管理</w:t>
            </w:r>
            <w:r>
              <w:rPr>
                <w:rFonts w:cs="黑体" w:hint="eastAsia"/>
              </w:rPr>
              <w:tab/>
            </w:r>
            <w:r>
              <w:rPr>
                <w:rFonts w:cs="黑体" w:hint="eastAsia"/>
              </w:rPr>
              <w:fldChar w:fldCharType="begin"/>
            </w:r>
            <w:r>
              <w:rPr>
                <w:rFonts w:cs="黑体" w:hint="eastAsia"/>
              </w:rPr>
              <w:instrText xml:space="preserve"> PAGEREF _Toc12179 \h </w:instrText>
            </w:r>
            <w:r>
              <w:rPr>
                <w:rFonts w:cs="黑体" w:hint="eastAsia"/>
              </w:rPr>
            </w:r>
            <w:r>
              <w:rPr>
                <w:rFonts w:cs="黑体" w:hint="eastAsia"/>
              </w:rPr>
              <w:fldChar w:fldCharType="separate"/>
            </w:r>
            <w:r>
              <w:rPr>
                <w:rFonts w:cs="黑体" w:hint="eastAsia"/>
              </w:rPr>
              <w:t>14</w:t>
            </w:r>
            <w:r>
              <w:rPr>
                <w:rFonts w:cs="黑体" w:hint="eastAsia"/>
              </w:rPr>
              <w:fldChar w:fldCharType="end"/>
            </w:r>
          </w:hyperlink>
        </w:p>
        <w:p w:rsidR="00F14931" w:rsidRDefault="002D1D6E">
          <w:pPr>
            <w:pStyle w:val="20"/>
            <w:tabs>
              <w:tab w:val="clear" w:pos="8296"/>
              <w:tab w:val="right" w:leader="dot" w:pos="8306"/>
            </w:tabs>
            <w:rPr>
              <w:rFonts w:cs="黑体"/>
            </w:rPr>
          </w:pPr>
          <w:hyperlink w:anchor="_Toc31300" w:history="1">
            <w:r>
              <w:rPr>
                <w:rFonts w:cs="黑体" w:hint="eastAsia"/>
                <w:szCs w:val="32"/>
              </w:rPr>
              <w:t>（三）绩效管理</w:t>
            </w:r>
            <w:r>
              <w:rPr>
                <w:rFonts w:cs="黑体" w:hint="eastAsia"/>
              </w:rPr>
              <w:tab/>
            </w:r>
            <w:r>
              <w:rPr>
                <w:rFonts w:cs="黑体" w:hint="eastAsia"/>
              </w:rPr>
              <w:fldChar w:fldCharType="begin"/>
            </w:r>
            <w:r>
              <w:rPr>
                <w:rFonts w:cs="黑体" w:hint="eastAsia"/>
              </w:rPr>
              <w:instrText xml:space="preserve"> PAGEREF _Toc31300 \h </w:instrText>
            </w:r>
            <w:r>
              <w:rPr>
                <w:rFonts w:cs="黑体" w:hint="eastAsia"/>
              </w:rPr>
            </w:r>
            <w:r>
              <w:rPr>
                <w:rFonts w:cs="黑体" w:hint="eastAsia"/>
              </w:rPr>
              <w:fldChar w:fldCharType="separate"/>
            </w:r>
            <w:r>
              <w:rPr>
                <w:rFonts w:cs="黑体" w:hint="eastAsia"/>
              </w:rPr>
              <w:t>15</w:t>
            </w:r>
            <w:r>
              <w:rPr>
                <w:rFonts w:cs="黑体" w:hint="eastAsia"/>
              </w:rPr>
              <w:fldChar w:fldCharType="end"/>
            </w:r>
          </w:hyperlink>
        </w:p>
        <w:p w:rsidR="00F14931" w:rsidRDefault="002D1D6E">
          <w:pPr>
            <w:pStyle w:val="20"/>
            <w:tabs>
              <w:tab w:val="clear" w:pos="8296"/>
              <w:tab w:val="right" w:leader="dot" w:pos="8306"/>
            </w:tabs>
            <w:rPr>
              <w:rFonts w:cs="黑体"/>
            </w:rPr>
          </w:pPr>
          <w:hyperlink w:anchor="_Toc19989" w:history="1">
            <w:r>
              <w:rPr>
                <w:rFonts w:cs="黑体" w:hint="eastAsia"/>
                <w:szCs w:val="32"/>
              </w:rPr>
              <w:t>（四）结转结余率</w:t>
            </w:r>
            <w:r>
              <w:rPr>
                <w:rFonts w:cs="黑体" w:hint="eastAsia"/>
              </w:rPr>
              <w:tab/>
            </w:r>
            <w:r>
              <w:rPr>
                <w:rFonts w:cs="黑体" w:hint="eastAsia"/>
              </w:rPr>
              <w:fldChar w:fldCharType="begin"/>
            </w:r>
            <w:r>
              <w:rPr>
                <w:rFonts w:cs="黑体" w:hint="eastAsia"/>
              </w:rPr>
              <w:instrText xml:space="preserve"> PAGEREF _Toc19989 \h </w:instrText>
            </w:r>
            <w:r>
              <w:rPr>
                <w:rFonts w:cs="黑体" w:hint="eastAsia"/>
              </w:rPr>
            </w:r>
            <w:r>
              <w:rPr>
                <w:rFonts w:cs="黑体" w:hint="eastAsia"/>
              </w:rPr>
              <w:fldChar w:fldCharType="separate"/>
            </w:r>
            <w:r>
              <w:rPr>
                <w:rFonts w:cs="黑体" w:hint="eastAsia"/>
              </w:rPr>
              <w:t>16</w:t>
            </w:r>
            <w:r>
              <w:rPr>
                <w:rFonts w:cs="黑体" w:hint="eastAsia"/>
              </w:rPr>
              <w:fldChar w:fldCharType="end"/>
            </w:r>
          </w:hyperlink>
        </w:p>
        <w:p w:rsidR="00F14931" w:rsidRDefault="002D1D6E">
          <w:pPr>
            <w:pStyle w:val="20"/>
            <w:tabs>
              <w:tab w:val="clear" w:pos="8296"/>
              <w:tab w:val="right" w:leader="dot" w:pos="8306"/>
            </w:tabs>
            <w:rPr>
              <w:rFonts w:cs="黑体"/>
            </w:rPr>
          </w:pPr>
          <w:hyperlink w:anchor="_Toc32227" w:history="1">
            <w:r>
              <w:rPr>
                <w:rFonts w:cs="黑体" w:hint="eastAsia"/>
                <w:szCs w:val="32"/>
              </w:rPr>
              <w:t>（五）部门预决算差异率</w:t>
            </w:r>
            <w:r>
              <w:rPr>
                <w:rFonts w:cs="黑体" w:hint="eastAsia"/>
              </w:rPr>
              <w:tab/>
            </w:r>
            <w:r>
              <w:rPr>
                <w:rFonts w:cs="黑体" w:hint="eastAsia"/>
              </w:rPr>
              <w:fldChar w:fldCharType="begin"/>
            </w:r>
            <w:r>
              <w:rPr>
                <w:rFonts w:cs="黑体" w:hint="eastAsia"/>
              </w:rPr>
              <w:instrText xml:space="preserve"> PAGEREF _Toc32227 \h </w:instrText>
            </w:r>
            <w:r>
              <w:rPr>
                <w:rFonts w:cs="黑体" w:hint="eastAsia"/>
              </w:rPr>
            </w:r>
            <w:r>
              <w:rPr>
                <w:rFonts w:cs="黑体" w:hint="eastAsia"/>
              </w:rPr>
              <w:fldChar w:fldCharType="separate"/>
            </w:r>
            <w:r>
              <w:rPr>
                <w:rFonts w:cs="黑体" w:hint="eastAsia"/>
              </w:rPr>
              <w:t>16</w:t>
            </w:r>
            <w:r>
              <w:rPr>
                <w:rFonts w:cs="黑体" w:hint="eastAsia"/>
              </w:rPr>
              <w:fldChar w:fldCharType="end"/>
            </w:r>
          </w:hyperlink>
        </w:p>
        <w:p w:rsidR="00F14931" w:rsidRDefault="002D1D6E">
          <w:pPr>
            <w:pStyle w:val="10"/>
            <w:tabs>
              <w:tab w:val="clear" w:pos="8296"/>
              <w:tab w:val="right" w:leader="dot" w:pos="8306"/>
            </w:tabs>
            <w:rPr>
              <w:rFonts w:cs="黑体"/>
            </w:rPr>
          </w:pPr>
          <w:hyperlink w:anchor="_Toc22501" w:history="1">
            <w:r>
              <w:rPr>
                <w:rFonts w:cs="黑体" w:hint="eastAsia"/>
                <w:kern w:val="0"/>
                <w:szCs w:val="32"/>
              </w:rPr>
              <w:t>五、总体评价结论</w:t>
            </w:r>
            <w:r>
              <w:rPr>
                <w:rFonts w:cs="黑体" w:hint="eastAsia"/>
              </w:rPr>
              <w:tab/>
            </w:r>
            <w:r>
              <w:rPr>
                <w:rFonts w:cs="黑体" w:hint="eastAsia"/>
              </w:rPr>
              <w:fldChar w:fldCharType="begin"/>
            </w:r>
            <w:r>
              <w:rPr>
                <w:rFonts w:cs="黑体" w:hint="eastAsia"/>
              </w:rPr>
              <w:instrText xml:space="preserve"> PAGEREF _Toc22501 \h </w:instrText>
            </w:r>
            <w:r>
              <w:rPr>
                <w:rFonts w:cs="黑体" w:hint="eastAsia"/>
              </w:rPr>
            </w:r>
            <w:r>
              <w:rPr>
                <w:rFonts w:cs="黑体" w:hint="eastAsia"/>
              </w:rPr>
              <w:fldChar w:fldCharType="separate"/>
            </w:r>
            <w:r>
              <w:rPr>
                <w:rFonts w:cs="黑体" w:hint="eastAsia"/>
              </w:rPr>
              <w:t>16</w:t>
            </w:r>
            <w:r>
              <w:rPr>
                <w:rFonts w:cs="黑体" w:hint="eastAsia"/>
              </w:rPr>
              <w:fldChar w:fldCharType="end"/>
            </w:r>
          </w:hyperlink>
        </w:p>
        <w:p w:rsidR="00F14931" w:rsidRDefault="002D1D6E">
          <w:pPr>
            <w:pStyle w:val="20"/>
            <w:tabs>
              <w:tab w:val="clear" w:pos="8296"/>
              <w:tab w:val="right" w:leader="dot" w:pos="8306"/>
            </w:tabs>
            <w:rPr>
              <w:rFonts w:cs="黑体"/>
            </w:rPr>
          </w:pPr>
          <w:hyperlink w:anchor="_Toc3081" w:history="1">
            <w:r>
              <w:rPr>
                <w:rFonts w:cs="黑体" w:hint="eastAsia"/>
                <w:szCs w:val="32"/>
              </w:rPr>
              <w:t>（一）评价得分情况</w:t>
            </w:r>
            <w:r>
              <w:rPr>
                <w:rFonts w:cs="黑体" w:hint="eastAsia"/>
              </w:rPr>
              <w:tab/>
            </w:r>
            <w:r>
              <w:rPr>
                <w:rFonts w:cs="黑体" w:hint="eastAsia"/>
              </w:rPr>
              <w:fldChar w:fldCharType="begin"/>
            </w:r>
            <w:r>
              <w:rPr>
                <w:rFonts w:cs="黑体" w:hint="eastAsia"/>
              </w:rPr>
              <w:instrText xml:space="preserve"> PAGEREF _Toc3081 \h </w:instrText>
            </w:r>
            <w:r>
              <w:rPr>
                <w:rFonts w:cs="黑体" w:hint="eastAsia"/>
              </w:rPr>
            </w:r>
            <w:r>
              <w:rPr>
                <w:rFonts w:cs="黑体" w:hint="eastAsia"/>
              </w:rPr>
              <w:fldChar w:fldCharType="separate"/>
            </w:r>
            <w:r>
              <w:rPr>
                <w:rFonts w:cs="黑体" w:hint="eastAsia"/>
              </w:rPr>
              <w:t>16</w:t>
            </w:r>
            <w:r>
              <w:rPr>
                <w:rFonts w:cs="黑体" w:hint="eastAsia"/>
              </w:rPr>
              <w:fldChar w:fldCharType="end"/>
            </w:r>
          </w:hyperlink>
        </w:p>
        <w:p w:rsidR="00F14931" w:rsidRDefault="002D1D6E">
          <w:pPr>
            <w:pStyle w:val="20"/>
            <w:tabs>
              <w:tab w:val="clear" w:pos="8296"/>
              <w:tab w:val="right" w:leader="dot" w:pos="8306"/>
            </w:tabs>
            <w:rPr>
              <w:rFonts w:cs="黑体"/>
            </w:rPr>
          </w:pPr>
          <w:hyperlink w:anchor="_Toc28113" w:history="1">
            <w:r>
              <w:rPr>
                <w:rFonts w:cs="黑体" w:hint="eastAsia"/>
                <w:szCs w:val="32"/>
              </w:rPr>
              <w:t>（二）存在的问题及原因分析</w:t>
            </w:r>
            <w:r>
              <w:rPr>
                <w:rFonts w:cs="黑体" w:hint="eastAsia"/>
              </w:rPr>
              <w:tab/>
            </w:r>
            <w:r>
              <w:rPr>
                <w:rFonts w:cs="黑体" w:hint="eastAsia"/>
              </w:rPr>
              <w:fldChar w:fldCharType="begin"/>
            </w:r>
            <w:r>
              <w:rPr>
                <w:rFonts w:cs="黑体" w:hint="eastAsia"/>
              </w:rPr>
              <w:instrText xml:space="preserve"> PAGEREF _Toc28113 \h </w:instrText>
            </w:r>
            <w:r>
              <w:rPr>
                <w:rFonts w:cs="黑体" w:hint="eastAsia"/>
              </w:rPr>
            </w:r>
            <w:r>
              <w:rPr>
                <w:rFonts w:cs="黑体" w:hint="eastAsia"/>
              </w:rPr>
              <w:fldChar w:fldCharType="separate"/>
            </w:r>
            <w:r>
              <w:rPr>
                <w:rFonts w:cs="黑体" w:hint="eastAsia"/>
              </w:rPr>
              <w:t>17</w:t>
            </w:r>
            <w:r>
              <w:rPr>
                <w:rFonts w:cs="黑体" w:hint="eastAsia"/>
              </w:rPr>
              <w:fldChar w:fldCharType="end"/>
            </w:r>
          </w:hyperlink>
        </w:p>
        <w:p w:rsidR="00F14931" w:rsidRDefault="002D1D6E">
          <w:pPr>
            <w:pStyle w:val="10"/>
            <w:tabs>
              <w:tab w:val="clear" w:pos="8296"/>
              <w:tab w:val="right" w:leader="dot" w:pos="8306"/>
            </w:tabs>
            <w:rPr>
              <w:rFonts w:cs="黑体"/>
            </w:rPr>
          </w:pPr>
          <w:hyperlink w:anchor="_Toc16335" w:history="1">
            <w:r>
              <w:rPr>
                <w:rFonts w:cs="黑体" w:hint="eastAsia"/>
                <w:kern w:val="0"/>
                <w:szCs w:val="32"/>
              </w:rPr>
              <w:t>六、措施建议</w:t>
            </w:r>
            <w:r>
              <w:rPr>
                <w:rFonts w:cs="黑体" w:hint="eastAsia"/>
              </w:rPr>
              <w:tab/>
            </w:r>
            <w:r>
              <w:rPr>
                <w:rFonts w:cs="黑体" w:hint="eastAsia"/>
              </w:rPr>
              <w:fldChar w:fldCharType="begin"/>
            </w:r>
            <w:r>
              <w:rPr>
                <w:rFonts w:cs="黑体" w:hint="eastAsia"/>
              </w:rPr>
              <w:instrText xml:space="preserve"> PAGEREF _Toc16335 \h </w:instrText>
            </w:r>
            <w:r>
              <w:rPr>
                <w:rFonts w:cs="黑体" w:hint="eastAsia"/>
              </w:rPr>
            </w:r>
            <w:r>
              <w:rPr>
                <w:rFonts w:cs="黑体" w:hint="eastAsia"/>
              </w:rPr>
              <w:fldChar w:fldCharType="separate"/>
            </w:r>
            <w:r>
              <w:rPr>
                <w:rFonts w:cs="黑体" w:hint="eastAsia"/>
              </w:rPr>
              <w:t>17</w:t>
            </w:r>
            <w:r>
              <w:rPr>
                <w:rFonts w:cs="黑体" w:hint="eastAsia"/>
              </w:rPr>
              <w:fldChar w:fldCharType="end"/>
            </w:r>
          </w:hyperlink>
        </w:p>
        <w:p w:rsidR="00F14931" w:rsidRDefault="002D1D6E">
          <w:pPr>
            <w:pStyle w:val="10"/>
            <w:tabs>
              <w:tab w:val="clear" w:pos="8296"/>
              <w:tab w:val="right" w:leader="dot" w:pos="8306"/>
            </w:tabs>
          </w:pPr>
          <w:hyperlink w:anchor="_Toc19973" w:history="1">
            <w:r>
              <w:rPr>
                <w:rFonts w:cs="黑体" w:hint="eastAsia"/>
                <w:kern w:val="0"/>
                <w:szCs w:val="32"/>
              </w:rPr>
              <w:t>七、</w:t>
            </w:r>
            <w:r>
              <w:rPr>
                <w:rFonts w:cs="黑体" w:hint="eastAsia"/>
                <w:kern w:val="0"/>
                <w:szCs w:val="32"/>
              </w:rPr>
              <w:t>附件</w:t>
            </w:r>
            <w:r>
              <w:rPr>
                <w:rFonts w:cs="黑体" w:hint="eastAsia"/>
              </w:rPr>
              <w:tab/>
            </w:r>
            <w:r>
              <w:rPr>
                <w:rFonts w:cs="黑体" w:hint="eastAsia"/>
              </w:rPr>
              <w:fldChar w:fldCharType="begin"/>
            </w:r>
            <w:r>
              <w:rPr>
                <w:rFonts w:cs="黑体" w:hint="eastAsia"/>
              </w:rPr>
              <w:instrText xml:space="preserve"> PAGEREF _Toc19973 \h </w:instrText>
            </w:r>
            <w:r>
              <w:rPr>
                <w:rFonts w:cs="黑体" w:hint="eastAsia"/>
              </w:rPr>
            </w:r>
            <w:r>
              <w:rPr>
                <w:rFonts w:cs="黑体" w:hint="eastAsia"/>
              </w:rPr>
              <w:fldChar w:fldCharType="separate"/>
            </w:r>
            <w:r>
              <w:rPr>
                <w:rFonts w:cs="黑体" w:hint="eastAsia"/>
              </w:rPr>
              <w:t>18</w:t>
            </w:r>
            <w:r>
              <w:rPr>
                <w:rFonts w:cs="黑体" w:hint="eastAsia"/>
              </w:rPr>
              <w:fldChar w:fldCharType="end"/>
            </w:r>
          </w:hyperlink>
        </w:p>
        <w:p w:rsidR="00F14931" w:rsidRDefault="002D1D6E">
          <w:pPr>
            <w:adjustRightInd w:val="0"/>
            <w:snapToGrid w:val="0"/>
            <w:spacing w:line="540" w:lineRule="exact"/>
            <w:ind w:leftChars="200" w:left="420" w:firstLineChars="200" w:firstLine="420"/>
            <w:sectPr w:rsidR="00F14931">
              <w:headerReference w:type="default" r:id="rId8"/>
              <w:footerReference w:type="default" r:id="rId9"/>
              <w:pgSz w:w="11906" w:h="16838"/>
              <w:pgMar w:top="1440" w:right="1800" w:bottom="1440" w:left="1800" w:header="851" w:footer="992" w:gutter="0"/>
              <w:cols w:space="425"/>
              <w:docGrid w:type="lines" w:linePitch="312"/>
            </w:sectPr>
          </w:pPr>
          <w:r>
            <w:rPr>
              <w:rFonts w:ascii="黑体" w:eastAsia="黑体" w:hAnsi="黑体" w:cs="黑体" w:hint="eastAsia"/>
              <w:szCs w:val="28"/>
            </w:rPr>
            <w:fldChar w:fldCharType="end"/>
          </w:r>
        </w:p>
      </w:sdtContent>
    </w:sdt>
    <w:p w:rsidR="00F14931" w:rsidRDefault="002D1D6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lastRenderedPageBreak/>
        <w:t>202</w:t>
      </w:r>
      <w:r>
        <w:rPr>
          <w:rFonts w:ascii="方正小标宋简体" w:eastAsia="方正小标宋简体" w:hint="eastAsia"/>
          <w:sz w:val="36"/>
          <w:szCs w:val="36"/>
        </w:rPr>
        <w:t>2</w:t>
      </w:r>
      <w:r>
        <w:rPr>
          <w:rFonts w:ascii="方正小标宋简体" w:eastAsia="方正小标宋简体" w:hint="eastAsia"/>
          <w:sz w:val="36"/>
          <w:szCs w:val="36"/>
        </w:rPr>
        <w:t>年度北京石景山区人民法院</w:t>
      </w:r>
    </w:p>
    <w:p w:rsidR="00F14931" w:rsidRDefault="002D1D6E">
      <w:pPr>
        <w:spacing w:line="560" w:lineRule="exact"/>
        <w:jc w:val="center"/>
        <w:rPr>
          <w:rFonts w:ascii="仿宋_GB2312"/>
          <w:szCs w:val="30"/>
        </w:rPr>
      </w:pPr>
      <w:r>
        <w:rPr>
          <w:rFonts w:ascii="方正小标宋简体" w:eastAsia="方正小标宋简体" w:hint="eastAsia"/>
          <w:sz w:val="36"/>
          <w:szCs w:val="36"/>
        </w:rPr>
        <w:t>部门整体绩效评价报告</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0" w:name="_Toc22386"/>
      <w:r>
        <w:rPr>
          <w:rFonts w:ascii="黑体" w:eastAsia="黑体" w:hAnsi="黑体" w:cs="宋体" w:hint="eastAsia"/>
          <w:color w:val="000000"/>
          <w:kern w:val="0"/>
          <w:sz w:val="32"/>
          <w:szCs w:val="32"/>
        </w:rPr>
        <w:t>一、部门概况</w:t>
      </w:r>
      <w:bookmarkEnd w:id="0"/>
    </w:p>
    <w:p w:rsidR="00F14931" w:rsidRDefault="002D1D6E">
      <w:pPr>
        <w:spacing w:line="600" w:lineRule="exact"/>
        <w:ind w:firstLineChars="200" w:firstLine="640"/>
        <w:outlineLvl w:val="1"/>
        <w:rPr>
          <w:rFonts w:ascii="楷体_GB2312" w:eastAsia="楷体_GB2312"/>
          <w:sz w:val="32"/>
          <w:szCs w:val="32"/>
        </w:rPr>
      </w:pPr>
      <w:bookmarkStart w:id="1" w:name="_Toc24732"/>
      <w:bookmarkStart w:id="2" w:name="_Toc25937"/>
      <w:r>
        <w:rPr>
          <w:rFonts w:ascii="楷体_GB2312" w:eastAsia="楷体_GB2312" w:hint="eastAsia"/>
          <w:sz w:val="32"/>
          <w:szCs w:val="32"/>
        </w:rPr>
        <w:t>（一）机构设置及职责工作任务情况</w:t>
      </w:r>
      <w:bookmarkEnd w:id="1"/>
      <w:bookmarkEnd w:id="2"/>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北京市石景山区人民法院（以下简称“石景山区人民法院”）包括北京市石景山区人民法院本级、北京市石景山区人民法院综合事务中心，北京市石景山区人民法院本级单位性质为行政单位，北京市石景山区人民法院综合事务中心为公益一类事业单位。北京市石景山区人民法院本级共含内设机构数量</w:t>
      </w:r>
      <w:r>
        <w:rPr>
          <w:rFonts w:ascii="仿宋_GB2312" w:eastAsia="仿宋_GB2312" w:hAnsi="宋体" w:cs="宋体" w:hint="eastAsia"/>
          <w:kern w:val="0"/>
          <w:sz w:val="32"/>
          <w:szCs w:val="32"/>
        </w:rPr>
        <w:t>12</w:t>
      </w:r>
      <w:r>
        <w:rPr>
          <w:rFonts w:ascii="仿宋_GB2312" w:eastAsia="仿宋_GB2312" w:hAnsi="宋体" w:cs="宋体" w:hint="eastAsia"/>
          <w:kern w:val="0"/>
          <w:sz w:val="32"/>
          <w:szCs w:val="32"/>
        </w:rPr>
        <w:t>个，分别为政治部（机关党委、机关纪委）、综合办公室、立案庭（诉讼服务中心）、刑事审判庭、民事审判一庭、民事审判二庭、行政审判庭、综合审判庭、执行局、审判管理办公室（研究室）、司法警察大队、五里</w:t>
      </w:r>
      <w:proofErr w:type="gramStart"/>
      <w:r>
        <w:rPr>
          <w:rFonts w:ascii="仿宋_GB2312" w:eastAsia="仿宋_GB2312" w:hAnsi="宋体" w:cs="宋体" w:hint="eastAsia"/>
          <w:kern w:val="0"/>
          <w:sz w:val="32"/>
          <w:szCs w:val="32"/>
        </w:rPr>
        <w:t>坨</w:t>
      </w:r>
      <w:proofErr w:type="gramEnd"/>
      <w:r>
        <w:rPr>
          <w:rFonts w:ascii="仿宋_GB2312" w:eastAsia="仿宋_GB2312" w:hAnsi="宋体" w:cs="宋体" w:hint="eastAsia"/>
          <w:kern w:val="0"/>
          <w:sz w:val="32"/>
          <w:szCs w:val="32"/>
        </w:rPr>
        <w:t>人民法庭。</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石景山区人民法院作为国家审判机关，在本</w:t>
      </w:r>
      <w:r>
        <w:rPr>
          <w:rFonts w:ascii="仿宋_GB2312" w:eastAsia="仿宋_GB2312" w:hAnsi="宋体" w:cs="宋体" w:hint="eastAsia"/>
          <w:kern w:val="0"/>
          <w:sz w:val="32"/>
          <w:szCs w:val="32"/>
        </w:rPr>
        <w:t>辖区内依法独立行使审判权，审判工作受北京市高级人民法院、北京市第一中级人民法院的监督、指导，并对石景山区人民代表大会及其常务委员会负责并报告工作。其主要职责如下：依照法律规定，审判本辖区内由石景山区人民法院管辖的刑事、民事、行政等第一审案件；受理和审查各类告诉、申诉案件，处理来信来访，对其中确有错误的已发生法律效力的判决、裁定根据审判监督程序进行再审；依法行使司法执行权和司法决定权；按照干部管理权限管理石景山区人民法院的法官、</w:t>
      </w:r>
      <w:r>
        <w:rPr>
          <w:rFonts w:ascii="仿宋_GB2312" w:eastAsia="仿宋_GB2312" w:hAnsi="宋体" w:cs="宋体" w:hint="eastAsia"/>
          <w:kern w:val="0"/>
          <w:sz w:val="32"/>
          <w:szCs w:val="32"/>
        </w:rPr>
        <w:lastRenderedPageBreak/>
        <w:t>执行员、书记员、司法警察及司法行政人员；负责石景山区人民法院党的思想、组织、作风建</w:t>
      </w:r>
      <w:r>
        <w:rPr>
          <w:rFonts w:ascii="仿宋_GB2312" w:eastAsia="仿宋_GB2312" w:hAnsi="宋体" w:cs="宋体" w:hint="eastAsia"/>
          <w:kern w:val="0"/>
          <w:sz w:val="32"/>
          <w:szCs w:val="32"/>
        </w:rPr>
        <w:t>设工作，负责石景山区人民法院群团工作；负责石景山区人民法院的监察工作；承办其他应由石景山区人民法院负责的工作。</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石景山区人民法院坚持以习近平新时代中国特色社会主义思想为指导，深入贯彻落实党的十九大和十九届二中、三中、四中全会精神，紧紧围绕中央、市区委决策部署，全力维护区域安全稳定，全力服务保障中心大局，加快推进审判质效提升，加快推进司法体制改革，加快推进队伍“四化”建设，为满足人民群众司法需求、落实新版北京城市规划、实现“三区”功能定位提供更加有力的司法保障。</w:t>
      </w:r>
    </w:p>
    <w:p w:rsidR="00F14931" w:rsidRDefault="002D1D6E">
      <w:pPr>
        <w:spacing w:line="600" w:lineRule="exact"/>
        <w:ind w:firstLineChars="200" w:firstLine="640"/>
        <w:outlineLvl w:val="1"/>
        <w:rPr>
          <w:rFonts w:ascii="楷体_GB2312" w:eastAsia="楷体_GB2312"/>
          <w:sz w:val="32"/>
          <w:szCs w:val="32"/>
        </w:rPr>
      </w:pPr>
      <w:bookmarkStart w:id="3" w:name="_Toc763"/>
      <w:bookmarkStart w:id="4" w:name="_Toc20769"/>
      <w:r>
        <w:rPr>
          <w:rFonts w:ascii="楷体_GB2312" w:eastAsia="楷体_GB2312" w:hint="eastAsia"/>
          <w:sz w:val="32"/>
          <w:szCs w:val="32"/>
        </w:rPr>
        <w:t>（二）部门整体绩效目标设立情况</w:t>
      </w:r>
      <w:bookmarkEnd w:id="3"/>
      <w:bookmarkEnd w:id="4"/>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年，石</w:t>
      </w:r>
      <w:r>
        <w:rPr>
          <w:rFonts w:ascii="仿宋_GB2312" w:eastAsia="仿宋_GB2312" w:hAnsi="宋体" w:cs="宋体" w:hint="eastAsia"/>
          <w:kern w:val="0"/>
          <w:sz w:val="32"/>
          <w:szCs w:val="32"/>
        </w:rPr>
        <w:t>景山区人民法院依据部门职能、年度工作任务和工作重点设置了部门绩效目标，主要内容</w:t>
      </w:r>
      <w:r>
        <w:rPr>
          <w:rFonts w:ascii="仿宋_GB2312" w:eastAsia="仿宋_GB2312" w:hAnsi="宋体" w:cs="宋体" w:hint="eastAsia"/>
          <w:kern w:val="0"/>
          <w:sz w:val="32"/>
          <w:szCs w:val="32"/>
        </w:rPr>
        <w:t>如下</w:t>
      </w:r>
      <w:r>
        <w:rPr>
          <w:rFonts w:ascii="仿宋_GB2312" w:eastAsia="仿宋_GB2312" w:hAnsi="宋体" w:cs="宋体" w:hint="eastAsia"/>
          <w:kern w:val="0"/>
          <w:sz w:val="32"/>
          <w:szCs w:val="32"/>
        </w:rPr>
        <w:t>：北京市石景山区人民法院的职责是依照法律规定，审判本辖区内由区人民法院管辖的刑事、民事、行政等第一审案件；受理和审查各类告诉、申诉案件，处理来信来访，对其中确有错误的已发生法律效力的判决、裁定根据审判监督程序进行再审；依法行使司法执行权和司法决定权；按照干部管理权限管理本院的法官、执行员、书记员、司法警察及司法行政人员；承办其他应由本院负责的工作等，确保在本辖区内依法独立行使审判权，为人民群众提供优质高效的司法服务，促进石景山</w:t>
      </w:r>
      <w:r>
        <w:rPr>
          <w:rFonts w:ascii="仿宋_GB2312" w:eastAsia="仿宋_GB2312" w:hAnsi="宋体" w:cs="宋体" w:hint="eastAsia"/>
          <w:kern w:val="0"/>
          <w:sz w:val="32"/>
          <w:szCs w:val="32"/>
        </w:rPr>
        <w:t>区司法事业科学发展。</w:t>
      </w:r>
    </w:p>
    <w:p w:rsidR="00F14931" w:rsidRDefault="002D1D6E" w:rsidP="00C74003">
      <w:pPr>
        <w:spacing w:afterLines="50" w:after="156"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石景山区人民法院在对</w:t>
      </w:r>
      <w:r>
        <w:rPr>
          <w:rFonts w:ascii="仿宋_GB2312" w:eastAsia="仿宋_GB2312" w:hAnsi="宋体" w:cs="宋体" w:hint="eastAsia"/>
          <w:kern w:val="0"/>
          <w:sz w:val="32"/>
          <w:szCs w:val="32"/>
        </w:rPr>
        <w:t>202</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年度部门绩效目标分解细化的基础上，进一步设置了部门绩效指标，具体如下</w:t>
      </w:r>
      <w:r>
        <w:rPr>
          <w:rFonts w:ascii="仿宋_GB2312" w:eastAsia="仿宋_GB2312" w:hAnsi="宋体" w:cs="宋体" w:hint="eastAsia"/>
          <w:kern w:val="0"/>
          <w:sz w:val="32"/>
          <w:szCs w:val="32"/>
        </w:rPr>
        <w:t>:</w:t>
      </w:r>
    </w:p>
    <w:p w:rsidR="00F14931" w:rsidRDefault="002D1D6E">
      <w:pPr>
        <w:adjustRightInd w:val="0"/>
        <w:snapToGrid w:val="0"/>
        <w:spacing w:afterLines="50" w:after="156"/>
        <w:jc w:val="center"/>
        <w:rPr>
          <w:rFonts w:ascii="宋体" w:hAnsi="宋体"/>
          <w:b/>
          <w:sz w:val="24"/>
        </w:rPr>
      </w:pPr>
      <w:r>
        <w:rPr>
          <w:rFonts w:ascii="宋体" w:hAnsi="宋体" w:hint="eastAsia"/>
          <w:b/>
          <w:sz w:val="24"/>
        </w:rPr>
        <w:t>表</w:t>
      </w:r>
      <w:r>
        <w:rPr>
          <w:rFonts w:ascii="宋体" w:hAnsi="宋体" w:hint="eastAsia"/>
          <w:b/>
          <w:sz w:val="24"/>
        </w:rPr>
        <w:t>1</w:t>
      </w:r>
      <w:r>
        <w:rPr>
          <w:rFonts w:ascii="宋体" w:hAnsi="宋体"/>
          <w:b/>
          <w:sz w:val="24"/>
        </w:rPr>
        <w:t xml:space="preserve"> 202</w:t>
      </w:r>
      <w:r>
        <w:rPr>
          <w:rFonts w:ascii="宋体" w:hAnsi="宋体" w:hint="eastAsia"/>
          <w:b/>
          <w:sz w:val="24"/>
        </w:rPr>
        <w:t>2</w:t>
      </w:r>
      <w:r>
        <w:rPr>
          <w:rFonts w:ascii="宋体" w:hAnsi="宋体"/>
          <w:b/>
          <w:sz w:val="24"/>
        </w:rPr>
        <w:t>年度</w:t>
      </w:r>
      <w:r>
        <w:rPr>
          <w:rFonts w:ascii="宋体" w:hAnsi="宋体" w:hint="eastAsia"/>
          <w:b/>
          <w:sz w:val="24"/>
        </w:rPr>
        <w:t>石景山区人民法院</w:t>
      </w:r>
      <w:r>
        <w:rPr>
          <w:rFonts w:ascii="宋体" w:hAnsi="宋体"/>
          <w:b/>
          <w:sz w:val="24"/>
        </w:rPr>
        <w:t>部门绩效指标设置情况</w:t>
      </w:r>
    </w:p>
    <w:tbl>
      <w:tblPr>
        <w:tblW w:w="49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1513"/>
        <w:gridCol w:w="4703"/>
        <w:gridCol w:w="1512"/>
      </w:tblGrid>
      <w:tr w:rsidR="00F14931">
        <w:trPr>
          <w:trHeight w:val="340"/>
          <w:tblHeader/>
          <w:jc w:val="center"/>
        </w:trPr>
        <w:tc>
          <w:tcPr>
            <w:tcW w:w="416" w:type="pct"/>
            <w:shd w:val="clear" w:color="auto" w:fill="BFBFBF"/>
            <w:vAlign w:val="center"/>
          </w:tcPr>
          <w:p w:rsidR="00F14931" w:rsidRDefault="002D1D6E">
            <w:pPr>
              <w:adjustRightInd w:val="0"/>
              <w:snapToGrid w:val="0"/>
              <w:jc w:val="center"/>
              <w:rPr>
                <w:rFonts w:ascii="宋体" w:hAnsi="宋体"/>
                <w:b/>
                <w:szCs w:val="21"/>
              </w:rPr>
            </w:pPr>
            <w:r>
              <w:rPr>
                <w:rFonts w:ascii="宋体" w:hAnsi="宋体"/>
                <w:b/>
                <w:szCs w:val="21"/>
              </w:rPr>
              <w:t>序号</w:t>
            </w:r>
          </w:p>
        </w:tc>
        <w:tc>
          <w:tcPr>
            <w:tcW w:w="897" w:type="pct"/>
            <w:shd w:val="clear" w:color="auto" w:fill="BFBFBF"/>
            <w:vAlign w:val="center"/>
          </w:tcPr>
          <w:p w:rsidR="00F14931" w:rsidRDefault="002D1D6E">
            <w:pPr>
              <w:adjustRightInd w:val="0"/>
              <w:snapToGrid w:val="0"/>
              <w:jc w:val="center"/>
              <w:rPr>
                <w:rFonts w:ascii="宋体" w:hAnsi="宋体"/>
                <w:b/>
                <w:szCs w:val="21"/>
              </w:rPr>
            </w:pPr>
            <w:r>
              <w:rPr>
                <w:rFonts w:ascii="宋体" w:hAnsi="宋体" w:hint="eastAsia"/>
                <w:b/>
                <w:szCs w:val="21"/>
              </w:rPr>
              <w:t>活动</w:t>
            </w:r>
          </w:p>
        </w:tc>
        <w:tc>
          <w:tcPr>
            <w:tcW w:w="2788" w:type="pct"/>
            <w:shd w:val="clear" w:color="auto" w:fill="BFBFBF"/>
            <w:vAlign w:val="center"/>
          </w:tcPr>
          <w:p w:rsidR="00F14931" w:rsidRDefault="002D1D6E">
            <w:pPr>
              <w:adjustRightInd w:val="0"/>
              <w:snapToGrid w:val="0"/>
              <w:jc w:val="center"/>
              <w:rPr>
                <w:rFonts w:ascii="宋体" w:hAnsi="宋体"/>
                <w:b/>
                <w:szCs w:val="21"/>
              </w:rPr>
            </w:pPr>
            <w:r>
              <w:rPr>
                <w:rFonts w:ascii="宋体" w:hAnsi="宋体" w:hint="eastAsia"/>
                <w:b/>
                <w:szCs w:val="21"/>
              </w:rPr>
              <w:t>绩效指标</w:t>
            </w:r>
          </w:p>
        </w:tc>
        <w:tc>
          <w:tcPr>
            <w:tcW w:w="897" w:type="pct"/>
            <w:shd w:val="clear" w:color="auto" w:fill="BFBFBF"/>
            <w:vAlign w:val="center"/>
          </w:tcPr>
          <w:p w:rsidR="00F14931" w:rsidRDefault="002D1D6E">
            <w:pPr>
              <w:adjustRightInd w:val="0"/>
              <w:snapToGrid w:val="0"/>
              <w:jc w:val="center"/>
              <w:rPr>
                <w:rFonts w:ascii="宋体" w:hAnsi="宋体"/>
                <w:b/>
                <w:szCs w:val="21"/>
              </w:rPr>
            </w:pPr>
            <w:r>
              <w:rPr>
                <w:rFonts w:ascii="宋体" w:hAnsi="宋体" w:hint="eastAsia"/>
                <w:b/>
                <w:szCs w:val="21"/>
              </w:rPr>
              <w:t>指标值</w:t>
            </w:r>
          </w:p>
        </w:tc>
      </w:tr>
      <w:tr w:rsidR="00F14931">
        <w:trPr>
          <w:trHeight w:val="340"/>
          <w:jc w:val="center"/>
        </w:trPr>
        <w:tc>
          <w:tcPr>
            <w:tcW w:w="416" w:type="pct"/>
            <w:vMerge w:val="restart"/>
            <w:shd w:val="clear" w:color="auto" w:fill="auto"/>
            <w:vAlign w:val="center"/>
          </w:tcPr>
          <w:p w:rsidR="00F14931" w:rsidRDefault="002D1D6E">
            <w:pPr>
              <w:adjustRightInd w:val="0"/>
              <w:snapToGrid w:val="0"/>
              <w:jc w:val="center"/>
              <w:rPr>
                <w:rFonts w:ascii="宋体" w:hAnsi="宋体"/>
                <w:bCs/>
                <w:szCs w:val="21"/>
              </w:rPr>
            </w:pPr>
            <w:r>
              <w:rPr>
                <w:rFonts w:ascii="宋体" w:hAnsi="宋体"/>
                <w:bCs/>
                <w:szCs w:val="21"/>
              </w:rPr>
              <w:t>1</w:t>
            </w:r>
          </w:p>
        </w:tc>
        <w:tc>
          <w:tcPr>
            <w:tcW w:w="897" w:type="pct"/>
            <w:vMerge w:val="restart"/>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案件审判</w:t>
            </w:r>
          </w:p>
        </w:tc>
        <w:tc>
          <w:tcPr>
            <w:tcW w:w="2788" w:type="pct"/>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保障案件审判工作顺利开展，为审判工作提供便利，为人民群众提供优质高效的司法服务</w:t>
            </w:r>
          </w:p>
        </w:tc>
        <w:tc>
          <w:tcPr>
            <w:tcW w:w="897" w:type="pct"/>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优</w:t>
            </w:r>
          </w:p>
        </w:tc>
      </w:tr>
      <w:tr w:rsidR="00F14931">
        <w:trPr>
          <w:trHeight w:val="340"/>
          <w:jc w:val="center"/>
        </w:trPr>
        <w:tc>
          <w:tcPr>
            <w:tcW w:w="416" w:type="pct"/>
            <w:vMerge/>
            <w:shd w:val="clear" w:color="auto" w:fill="auto"/>
            <w:vAlign w:val="center"/>
          </w:tcPr>
          <w:p w:rsidR="00F14931" w:rsidRDefault="00F14931">
            <w:pPr>
              <w:adjustRightInd w:val="0"/>
              <w:snapToGrid w:val="0"/>
              <w:jc w:val="center"/>
              <w:rPr>
                <w:rFonts w:ascii="宋体" w:hAnsi="宋体"/>
                <w:bCs/>
                <w:szCs w:val="21"/>
              </w:rPr>
            </w:pPr>
          </w:p>
        </w:tc>
        <w:tc>
          <w:tcPr>
            <w:tcW w:w="897" w:type="pct"/>
            <w:vMerge/>
            <w:shd w:val="clear" w:color="auto" w:fill="auto"/>
            <w:vAlign w:val="center"/>
          </w:tcPr>
          <w:p w:rsidR="00F14931" w:rsidRDefault="00F14931">
            <w:pPr>
              <w:jc w:val="center"/>
              <w:rPr>
                <w:rFonts w:ascii="宋体" w:hAnsi="宋体"/>
                <w:bCs/>
                <w:szCs w:val="21"/>
              </w:rPr>
            </w:pPr>
          </w:p>
        </w:tc>
        <w:tc>
          <w:tcPr>
            <w:tcW w:w="2788" w:type="pct"/>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保障审判执行活动正常开展，为办公办案提供便利，提高审判执行工作水平</w:t>
            </w:r>
          </w:p>
        </w:tc>
        <w:tc>
          <w:tcPr>
            <w:tcW w:w="897" w:type="pct"/>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优</w:t>
            </w:r>
          </w:p>
        </w:tc>
      </w:tr>
      <w:tr w:rsidR="00F14931">
        <w:trPr>
          <w:trHeight w:val="340"/>
          <w:jc w:val="center"/>
        </w:trPr>
        <w:tc>
          <w:tcPr>
            <w:tcW w:w="416" w:type="pct"/>
            <w:vMerge w:val="restart"/>
            <w:shd w:val="clear" w:color="auto" w:fill="auto"/>
            <w:vAlign w:val="center"/>
          </w:tcPr>
          <w:p w:rsidR="00F14931" w:rsidRDefault="002D1D6E">
            <w:pPr>
              <w:adjustRightInd w:val="0"/>
              <w:snapToGrid w:val="0"/>
              <w:jc w:val="center"/>
              <w:rPr>
                <w:rFonts w:ascii="宋体" w:hAnsi="宋体"/>
                <w:bCs/>
                <w:szCs w:val="21"/>
              </w:rPr>
            </w:pPr>
            <w:r>
              <w:rPr>
                <w:rFonts w:ascii="宋体" w:hAnsi="宋体" w:hint="eastAsia"/>
                <w:bCs/>
                <w:szCs w:val="21"/>
              </w:rPr>
              <w:t>2</w:t>
            </w:r>
          </w:p>
        </w:tc>
        <w:tc>
          <w:tcPr>
            <w:tcW w:w="897" w:type="pct"/>
            <w:vMerge w:val="restart"/>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“两庭”建设</w:t>
            </w:r>
          </w:p>
        </w:tc>
        <w:tc>
          <w:tcPr>
            <w:tcW w:w="2788" w:type="pct"/>
            <w:tcBorders>
              <w:bottom w:val="single" w:sz="4" w:space="0" w:color="auto"/>
            </w:tcBorders>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审判区办公用房</w:t>
            </w:r>
            <w:proofErr w:type="gramStart"/>
            <w:r>
              <w:rPr>
                <w:rFonts w:ascii="宋体" w:hAnsi="宋体" w:cs="宋体" w:hint="eastAsia"/>
                <w:color w:val="000000"/>
                <w:szCs w:val="21"/>
              </w:rPr>
              <w:t>及诉调</w:t>
            </w:r>
            <w:proofErr w:type="gramEnd"/>
            <w:r>
              <w:rPr>
                <w:rFonts w:ascii="宋体" w:hAnsi="宋体" w:cs="宋体" w:hint="eastAsia"/>
                <w:color w:val="000000"/>
                <w:szCs w:val="21"/>
              </w:rPr>
              <w:t>对接中心租赁</w:t>
            </w:r>
          </w:p>
        </w:tc>
        <w:tc>
          <w:tcPr>
            <w:tcW w:w="897" w:type="pct"/>
            <w:tcBorders>
              <w:bottom w:val="single" w:sz="4" w:space="0" w:color="auto"/>
            </w:tcBorders>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4833</w:t>
            </w:r>
            <w:r>
              <w:rPr>
                <w:rFonts w:ascii="宋体" w:hAnsi="宋体" w:cs="宋体" w:hint="eastAsia"/>
                <w:color w:val="000000"/>
                <w:szCs w:val="21"/>
              </w:rPr>
              <w:t>平方米</w:t>
            </w:r>
          </w:p>
        </w:tc>
      </w:tr>
      <w:tr w:rsidR="00F14931">
        <w:trPr>
          <w:trHeight w:val="340"/>
          <w:jc w:val="center"/>
        </w:trPr>
        <w:tc>
          <w:tcPr>
            <w:tcW w:w="416" w:type="pct"/>
            <w:vMerge/>
            <w:tcBorders>
              <w:bottom w:val="single" w:sz="4" w:space="0" w:color="auto"/>
            </w:tcBorders>
            <w:shd w:val="clear" w:color="auto" w:fill="auto"/>
            <w:vAlign w:val="center"/>
          </w:tcPr>
          <w:p w:rsidR="00F14931" w:rsidRDefault="00F14931">
            <w:pPr>
              <w:adjustRightInd w:val="0"/>
              <w:snapToGrid w:val="0"/>
              <w:jc w:val="center"/>
              <w:rPr>
                <w:rFonts w:ascii="宋体" w:hAnsi="宋体"/>
                <w:bCs/>
                <w:szCs w:val="21"/>
              </w:rPr>
            </w:pPr>
          </w:p>
        </w:tc>
        <w:tc>
          <w:tcPr>
            <w:tcW w:w="897" w:type="pct"/>
            <w:vMerge/>
            <w:tcBorders>
              <w:bottom w:val="single" w:sz="4" w:space="0" w:color="auto"/>
            </w:tcBorders>
            <w:shd w:val="clear" w:color="auto" w:fill="auto"/>
            <w:vAlign w:val="center"/>
          </w:tcPr>
          <w:p w:rsidR="00F14931" w:rsidRDefault="00F14931">
            <w:pPr>
              <w:jc w:val="center"/>
              <w:rPr>
                <w:rFonts w:ascii="宋体" w:hAnsi="宋体" w:cs="宋体"/>
                <w:color w:val="000000"/>
                <w:szCs w:val="21"/>
              </w:rPr>
            </w:pPr>
          </w:p>
        </w:tc>
        <w:tc>
          <w:tcPr>
            <w:tcW w:w="2788" w:type="pct"/>
            <w:tcBorders>
              <w:bottom w:val="single" w:sz="4" w:space="0" w:color="auto"/>
            </w:tcBorders>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保障日常办公顺利开展，满足“两庭”建设需求，提升公共服务能力</w:t>
            </w:r>
          </w:p>
        </w:tc>
        <w:tc>
          <w:tcPr>
            <w:tcW w:w="897" w:type="pct"/>
            <w:tcBorders>
              <w:bottom w:val="single" w:sz="4" w:space="0" w:color="auto"/>
            </w:tcBorders>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优</w:t>
            </w:r>
          </w:p>
        </w:tc>
      </w:tr>
      <w:tr w:rsidR="00F14931">
        <w:trPr>
          <w:trHeight w:val="340"/>
          <w:jc w:val="center"/>
        </w:trPr>
        <w:tc>
          <w:tcPr>
            <w:tcW w:w="416" w:type="pct"/>
            <w:vMerge w:val="restart"/>
            <w:shd w:val="clear" w:color="auto" w:fill="auto"/>
            <w:vAlign w:val="center"/>
          </w:tcPr>
          <w:p w:rsidR="00F14931" w:rsidRDefault="002D1D6E">
            <w:pPr>
              <w:adjustRightInd w:val="0"/>
              <w:snapToGrid w:val="0"/>
              <w:jc w:val="center"/>
              <w:rPr>
                <w:rFonts w:ascii="宋体" w:hAnsi="宋体"/>
                <w:bCs/>
                <w:szCs w:val="21"/>
              </w:rPr>
            </w:pPr>
            <w:r>
              <w:rPr>
                <w:rFonts w:ascii="宋体" w:hAnsi="宋体" w:hint="eastAsia"/>
                <w:bCs/>
                <w:szCs w:val="21"/>
              </w:rPr>
              <w:t>3</w:t>
            </w:r>
          </w:p>
        </w:tc>
        <w:tc>
          <w:tcPr>
            <w:tcW w:w="897" w:type="pct"/>
            <w:vMerge w:val="restart"/>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信息化系统建设和运维</w:t>
            </w:r>
          </w:p>
        </w:tc>
        <w:tc>
          <w:tcPr>
            <w:tcW w:w="2788" w:type="pct"/>
            <w:shd w:val="clear" w:color="auto" w:fill="auto"/>
            <w:vAlign w:val="center"/>
          </w:tcPr>
          <w:p w:rsidR="00F14931" w:rsidRDefault="002D1D6E">
            <w:pPr>
              <w:jc w:val="center"/>
              <w:rPr>
                <w:rFonts w:ascii="宋体" w:hAnsi="宋体"/>
                <w:bCs/>
                <w:szCs w:val="21"/>
              </w:rPr>
            </w:pPr>
            <w:r>
              <w:rPr>
                <w:rFonts w:ascii="宋体" w:hAnsi="宋体" w:cs="宋体" w:hint="eastAsia"/>
                <w:color w:val="000000"/>
                <w:szCs w:val="21"/>
              </w:rPr>
              <w:t>开展日常网络运</w:t>
            </w:r>
            <w:proofErr w:type="gramStart"/>
            <w:r>
              <w:rPr>
                <w:rFonts w:ascii="宋体" w:hAnsi="宋体" w:cs="宋体" w:hint="eastAsia"/>
                <w:color w:val="000000"/>
                <w:szCs w:val="21"/>
              </w:rPr>
              <w:t>维工作</w:t>
            </w:r>
            <w:proofErr w:type="gramEnd"/>
            <w:r>
              <w:rPr>
                <w:rFonts w:ascii="宋体" w:hAnsi="宋体" w:cs="宋体" w:hint="eastAsia"/>
                <w:color w:val="000000"/>
                <w:szCs w:val="21"/>
              </w:rPr>
              <w:t>及信息化业务租赁等</w:t>
            </w:r>
          </w:p>
        </w:tc>
        <w:tc>
          <w:tcPr>
            <w:tcW w:w="897" w:type="pct"/>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100%</w:t>
            </w:r>
          </w:p>
        </w:tc>
      </w:tr>
      <w:tr w:rsidR="00F14931">
        <w:trPr>
          <w:trHeight w:val="340"/>
          <w:jc w:val="center"/>
        </w:trPr>
        <w:tc>
          <w:tcPr>
            <w:tcW w:w="416" w:type="pct"/>
            <w:vMerge/>
            <w:shd w:val="clear" w:color="auto" w:fill="auto"/>
            <w:vAlign w:val="center"/>
          </w:tcPr>
          <w:p w:rsidR="00F14931" w:rsidRDefault="00F14931">
            <w:pPr>
              <w:adjustRightInd w:val="0"/>
              <w:snapToGrid w:val="0"/>
              <w:jc w:val="center"/>
              <w:rPr>
                <w:rFonts w:ascii="宋体" w:hAnsi="宋体"/>
                <w:bCs/>
                <w:szCs w:val="21"/>
              </w:rPr>
            </w:pPr>
          </w:p>
        </w:tc>
        <w:tc>
          <w:tcPr>
            <w:tcW w:w="897" w:type="pct"/>
            <w:vMerge/>
            <w:shd w:val="clear" w:color="auto" w:fill="auto"/>
            <w:vAlign w:val="center"/>
          </w:tcPr>
          <w:p w:rsidR="00F14931" w:rsidRDefault="00F14931">
            <w:pPr>
              <w:jc w:val="center"/>
              <w:rPr>
                <w:rFonts w:ascii="宋体" w:hAnsi="宋体" w:cs="宋体"/>
                <w:color w:val="000000"/>
                <w:szCs w:val="21"/>
              </w:rPr>
            </w:pPr>
          </w:p>
        </w:tc>
        <w:tc>
          <w:tcPr>
            <w:tcW w:w="2788" w:type="pct"/>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保障办公办案平台正常运转，提升法院网络信息安全和数据安全，为干警办公办案提供便利</w:t>
            </w:r>
          </w:p>
        </w:tc>
        <w:tc>
          <w:tcPr>
            <w:tcW w:w="897" w:type="pct"/>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优</w:t>
            </w:r>
          </w:p>
        </w:tc>
      </w:tr>
      <w:tr w:rsidR="00F14931">
        <w:trPr>
          <w:trHeight w:val="340"/>
          <w:jc w:val="center"/>
        </w:trPr>
        <w:tc>
          <w:tcPr>
            <w:tcW w:w="416" w:type="pct"/>
            <w:tcBorders>
              <w:top w:val="single" w:sz="4" w:space="0" w:color="auto"/>
              <w:bottom w:val="single" w:sz="4" w:space="0" w:color="auto"/>
              <w:right w:val="single" w:sz="4" w:space="0" w:color="auto"/>
            </w:tcBorders>
            <w:shd w:val="clear" w:color="auto" w:fill="auto"/>
            <w:vAlign w:val="center"/>
          </w:tcPr>
          <w:p w:rsidR="00F14931" w:rsidRDefault="002D1D6E">
            <w:pPr>
              <w:adjustRightInd w:val="0"/>
              <w:snapToGrid w:val="0"/>
              <w:jc w:val="center"/>
              <w:rPr>
                <w:rFonts w:ascii="宋体" w:hAnsi="宋体"/>
                <w:bCs/>
                <w:szCs w:val="21"/>
              </w:rPr>
            </w:pPr>
            <w:r>
              <w:rPr>
                <w:rFonts w:ascii="宋体" w:hAnsi="宋体" w:hint="eastAsia"/>
                <w:bCs/>
                <w:szCs w:val="21"/>
              </w:rPr>
              <w:t>4</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jc w:val="center"/>
              <w:rPr>
                <w:rFonts w:ascii="宋体" w:hAnsi="宋体"/>
                <w:bCs/>
                <w:color w:val="000000"/>
                <w:szCs w:val="21"/>
              </w:rPr>
            </w:pPr>
            <w:r>
              <w:rPr>
                <w:rFonts w:ascii="宋体" w:hAnsi="宋体" w:cs="宋体" w:hint="eastAsia"/>
                <w:color w:val="000000"/>
                <w:szCs w:val="21"/>
              </w:rPr>
              <w:t>纪检监察</w:t>
            </w:r>
          </w:p>
        </w:tc>
        <w:tc>
          <w:tcPr>
            <w:tcW w:w="278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jc w:val="center"/>
              <w:rPr>
                <w:rFonts w:ascii="宋体" w:hAnsi="宋体"/>
                <w:bCs/>
                <w:color w:val="000000"/>
                <w:szCs w:val="21"/>
              </w:rPr>
            </w:pPr>
            <w:r>
              <w:rPr>
                <w:rFonts w:ascii="宋体" w:hAnsi="宋体" w:cs="宋体" w:hint="eastAsia"/>
                <w:color w:val="000000"/>
                <w:szCs w:val="21"/>
              </w:rPr>
              <w:t>保障区人民法院各项经费开展合理合</w:t>
            </w:r>
            <w:proofErr w:type="gramStart"/>
            <w:r>
              <w:rPr>
                <w:rFonts w:ascii="宋体" w:hAnsi="宋体" w:cs="宋体" w:hint="eastAsia"/>
                <w:color w:val="000000"/>
                <w:szCs w:val="21"/>
              </w:rPr>
              <w:t>规</w:t>
            </w:r>
            <w:proofErr w:type="gramEnd"/>
            <w:r>
              <w:rPr>
                <w:rFonts w:ascii="宋体" w:hAnsi="宋体" w:cs="宋体" w:hint="eastAsia"/>
                <w:color w:val="000000"/>
                <w:szCs w:val="21"/>
              </w:rPr>
              <w:t>合法，为开展经济业务提供相关支撑材料</w:t>
            </w:r>
          </w:p>
        </w:tc>
        <w:tc>
          <w:tcPr>
            <w:tcW w:w="897"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jc w:val="center"/>
              <w:rPr>
                <w:rFonts w:ascii="宋体" w:hAnsi="宋体" w:cs="宋体"/>
                <w:color w:val="000000"/>
                <w:szCs w:val="21"/>
              </w:rPr>
            </w:pPr>
            <w:r>
              <w:rPr>
                <w:rFonts w:ascii="宋体" w:hAnsi="宋体" w:cs="宋体" w:hint="eastAsia"/>
                <w:color w:val="000000"/>
                <w:szCs w:val="21"/>
              </w:rPr>
              <w:t>优</w:t>
            </w:r>
          </w:p>
        </w:tc>
      </w:tr>
    </w:tbl>
    <w:p w:rsidR="00F14931" w:rsidRDefault="002D1D6E" w:rsidP="00C74003">
      <w:pPr>
        <w:spacing w:beforeLines="50" w:before="156"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石景山区人民法院</w:t>
      </w:r>
      <w:r>
        <w:rPr>
          <w:rFonts w:ascii="仿宋_GB2312" w:eastAsia="仿宋_GB2312" w:hAnsi="宋体" w:cs="宋体" w:hint="eastAsia"/>
          <w:kern w:val="0"/>
          <w:sz w:val="32"/>
          <w:szCs w:val="32"/>
        </w:rPr>
        <w:t>202</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年度依据部门职责、年度工作和工作重点设置了部门绩效目标，绩效目标设立依据充分，目标与职责任务相匹配；同时，对总体目标进行分解和细化，设置了部门绩效指标，绩效指标完整、合理。但部门绩效目标填报的科学性、合理性有待提高，如：年度重点任务目标不够</w:t>
      </w:r>
      <w:r>
        <w:rPr>
          <w:rFonts w:ascii="仿宋_GB2312" w:eastAsia="仿宋_GB2312" w:hAnsi="宋体" w:cs="宋体" w:hint="eastAsia"/>
          <w:kern w:val="0"/>
          <w:sz w:val="32"/>
          <w:szCs w:val="32"/>
        </w:rPr>
        <w:t>清晰</w:t>
      </w:r>
      <w:r>
        <w:rPr>
          <w:rFonts w:ascii="仿宋_GB2312" w:eastAsia="仿宋_GB2312" w:hAnsi="宋体" w:cs="宋体" w:hint="eastAsia"/>
          <w:kern w:val="0"/>
          <w:sz w:val="32"/>
          <w:szCs w:val="32"/>
        </w:rPr>
        <w:t>；绩效指标和指标值细化、量化不足，难以体现部门履职效率、效能等。此外，个别项目编制的绩效目标存在细化程度不足、涵盖内容不全面、可衡量性不足等问题。</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建议从以下几个方面完善：①部门总体目标指部门在本年度内履职预期达到的总体产出和效果，应以定量和定性相结合的方式进行设定。</w:t>
      </w:r>
      <w:r>
        <w:rPr>
          <w:rFonts w:ascii="仿宋_GB2312" w:eastAsia="仿宋_GB2312" w:hAnsi="宋体" w:cs="宋体" w:hint="eastAsia"/>
          <w:kern w:val="0"/>
          <w:sz w:val="32"/>
          <w:szCs w:val="32"/>
        </w:rPr>
        <w:t>②绩效指标是对总体目标的分解和细化，依据部门职责、年度重点任务和重点项目设定。③指标</w:t>
      </w:r>
      <w:r>
        <w:rPr>
          <w:rFonts w:ascii="仿宋_GB2312" w:eastAsia="仿宋_GB2312" w:hAnsi="宋体" w:cs="宋体" w:hint="eastAsia"/>
          <w:kern w:val="0"/>
          <w:sz w:val="32"/>
          <w:szCs w:val="32"/>
        </w:rPr>
        <w:lastRenderedPageBreak/>
        <w:t>内容和指标值应包括产出目标和效果指标，产出目标应对绩效指标进行具体描述，并阐述预期达到的可量化或可衡量的数值，效果指标应体现相应产出所带来的明确的效果。</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5" w:name="_Toc25080"/>
      <w:r>
        <w:rPr>
          <w:rFonts w:ascii="黑体" w:eastAsia="黑体" w:hAnsi="黑体" w:cs="宋体" w:hint="eastAsia"/>
          <w:color w:val="000000"/>
          <w:kern w:val="0"/>
          <w:sz w:val="32"/>
          <w:szCs w:val="32"/>
        </w:rPr>
        <w:t>二、当年预算执行情况</w:t>
      </w:r>
      <w:bookmarkEnd w:id="5"/>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年全年预算数</w:t>
      </w:r>
      <w:r>
        <w:rPr>
          <w:rFonts w:ascii="仿宋_GB2312" w:eastAsia="仿宋_GB2312" w:hAnsi="宋体" w:cs="宋体" w:hint="eastAsia"/>
          <w:kern w:val="0"/>
          <w:sz w:val="32"/>
          <w:szCs w:val="32"/>
        </w:rPr>
        <w:t>14607.94</w:t>
      </w:r>
      <w:r>
        <w:rPr>
          <w:rFonts w:ascii="仿宋_GB2312" w:eastAsia="仿宋_GB2312" w:hAnsi="宋体" w:cs="宋体" w:hint="eastAsia"/>
          <w:kern w:val="0"/>
          <w:sz w:val="32"/>
          <w:szCs w:val="32"/>
        </w:rPr>
        <w:t>万元，其中，基本支出预算数</w:t>
      </w:r>
      <w:r>
        <w:rPr>
          <w:rFonts w:ascii="仿宋_GB2312" w:eastAsia="仿宋_GB2312" w:hAnsi="宋体" w:cs="宋体" w:hint="eastAsia"/>
          <w:kern w:val="0"/>
          <w:sz w:val="32"/>
          <w:szCs w:val="32"/>
        </w:rPr>
        <w:t>11142.98</w:t>
      </w:r>
      <w:r>
        <w:rPr>
          <w:rFonts w:ascii="仿宋_GB2312" w:eastAsia="仿宋_GB2312" w:hAnsi="宋体" w:cs="宋体" w:hint="eastAsia"/>
          <w:kern w:val="0"/>
          <w:sz w:val="32"/>
          <w:szCs w:val="32"/>
        </w:rPr>
        <w:t>万元，项目支出预算数</w:t>
      </w:r>
      <w:r>
        <w:rPr>
          <w:rFonts w:ascii="仿宋_GB2312" w:eastAsia="仿宋_GB2312" w:hAnsi="宋体" w:cs="宋体" w:hint="eastAsia"/>
          <w:kern w:val="0"/>
          <w:sz w:val="32"/>
          <w:szCs w:val="32"/>
        </w:rPr>
        <w:t>3464.95</w:t>
      </w:r>
      <w:r>
        <w:rPr>
          <w:rFonts w:ascii="仿宋_GB2312" w:eastAsia="仿宋_GB2312" w:hAnsi="宋体" w:cs="宋体" w:hint="eastAsia"/>
          <w:kern w:val="0"/>
          <w:sz w:val="32"/>
          <w:szCs w:val="32"/>
        </w:rPr>
        <w:t>万元，其他支出预算数</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万元。资金总体支出</w:t>
      </w:r>
      <w:r>
        <w:rPr>
          <w:rFonts w:ascii="仿宋_GB2312" w:eastAsia="仿宋_GB2312" w:hAnsi="宋体" w:cs="宋体" w:hint="eastAsia"/>
          <w:kern w:val="0"/>
          <w:sz w:val="32"/>
          <w:szCs w:val="32"/>
        </w:rPr>
        <w:t>14362.69</w:t>
      </w:r>
      <w:r>
        <w:rPr>
          <w:rFonts w:ascii="仿宋_GB2312" w:eastAsia="仿宋_GB2312" w:hAnsi="宋体" w:cs="宋体" w:hint="eastAsia"/>
          <w:kern w:val="0"/>
          <w:sz w:val="32"/>
          <w:szCs w:val="32"/>
        </w:rPr>
        <w:t>万元，其中，基本支出</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939.49</w:t>
      </w:r>
      <w:r>
        <w:rPr>
          <w:rFonts w:ascii="仿宋_GB2312" w:eastAsia="仿宋_GB2312" w:hAnsi="宋体" w:cs="宋体" w:hint="eastAsia"/>
          <w:kern w:val="0"/>
          <w:sz w:val="32"/>
          <w:szCs w:val="32"/>
        </w:rPr>
        <w:t>万元，项目支出</w:t>
      </w:r>
      <w:r>
        <w:rPr>
          <w:rFonts w:ascii="仿宋_GB2312" w:eastAsia="仿宋_GB2312" w:hAnsi="宋体" w:cs="宋体" w:hint="eastAsia"/>
          <w:kern w:val="0"/>
          <w:sz w:val="32"/>
          <w:szCs w:val="32"/>
        </w:rPr>
        <w:t>3423.2</w:t>
      </w:r>
      <w:r>
        <w:rPr>
          <w:rFonts w:ascii="仿宋_GB2312" w:eastAsia="仿宋_GB2312" w:hAnsi="宋体" w:cs="宋体" w:hint="eastAsia"/>
          <w:kern w:val="0"/>
          <w:sz w:val="32"/>
          <w:szCs w:val="32"/>
        </w:rPr>
        <w:t>万元，其他支出</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万元。预算执行率为</w:t>
      </w:r>
      <w:r>
        <w:rPr>
          <w:rFonts w:ascii="仿宋_GB2312" w:eastAsia="仿宋_GB2312" w:hAnsi="宋体" w:cs="宋体" w:hint="eastAsia"/>
          <w:kern w:val="0"/>
          <w:sz w:val="32"/>
          <w:szCs w:val="32"/>
        </w:rPr>
        <w:t>9</w:t>
      </w:r>
      <w:r>
        <w:rPr>
          <w:rFonts w:ascii="仿宋_GB2312" w:eastAsia="仿宋_GB2312" w:hAnsi="宋体" w:cs="宋体" w:hint="eastAsia"/>
          <w:kern w:val="0"/>
          <w:sz w:val="32"/>
          <w:szCs w:val="32"/>
        </w:rPr>
        <w:t>8.32</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6" w:name="_Toc13215"/>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bookmarkEnd w:id="6"/>
    </w:p>
    <w:p w:rsidR="00F14931" w:rsidRDefault="002D1D6E">
      <w:pPr>
        <w:spacing w:line="600" w:lineRule="exact"/>
        <w:ind w:firstLineChars="200" w:firstLine="640"/>
        <w:outlineLvl w:val="1"/>
        <w:rPr>
          <w:rFonts w:ascii="楷体_GB2312" w:eastAsia="楷体_GB2312"/>
          <w:sz w:val="32"/>
          <w:szCs w:val="32"/>
        </w:rPr>
      </w:pPr>
      <w:bookmarkStart w:id="7" w:name="_Toc28675"/>
      <w:r>
        <w:rPr>
          <w:rFonts w:ascii="楷体_GB2312" w:eastAsia="楷体_GB2312" w:hint="eastAsia"/>
          <w:sz w:val="32"/>
          <w:szCs w:val="32"/>
        </w:rPr>
        <w:t>（一）产出完成情况分析</w:t>
      </w:r>
      <w:bookmarkEnd w:id="7"/>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案件审判工作产出</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①</w:t>
      </w:r>
      <w:r>
        <w:rPr>
          <w:rFonts w:ascii="仿宋_GB2312" w:eastAsia="仿宋_GB2312" w:hAnsi="宋体" w:cs="宋体" w:hint="eastAsia"/>
          <w:kern w:val="0"/>
          <w:sz w:val="32"/>
          <w:szCs w:val="32"/>
        </w:rPr>
        <w:t>全年新收各类案件</w:t>
      </w:r>
      <w:r>
        <w:rPr>
          <w:rFonts w:ascii="仿宋_GB2312" w:eastAsia="仿宋_GB2312" w:hAnsi="宋体" w:cs="宋体" w:hint="eastAsia"/>
          <w:kern w:val="0"/>
          <w:sz w:val="32"/>
          <w:szCs w:val="32"/>
        </w:rPr>
        <w:t>24675</w:t>
      </w:r>
      <w:r>
        <w:rPr>
          <w:rFonts w:ascii="仿宋_GB2312" w:eastAsia="仿宋_GB2312" w:hAnsi="宋体" w:cs="宋体" w:hint="eastAsia"/>
          <w:kern w:val="0"/>
          <w:sz w:val="32"/>
          <w:szCs w:val="32"/>
        </w:rPr>
        <w:t>件，结案</w:t>
      </w:r>
      <w:r>
        <w:rPr>
          <w:rFonts w:ascii="仿宋_GB2312" w:eastAsia="仿宋_GB2312" w:hAnsi="宋体" w:cs="宋体" w:hint="eastAsia"/>
          <w:kern w:val="0"/>
          <w:sz w:val="32"/>
          <w:szCs w:val="32"/>
        </w:rPr>
        <w:t>25433</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结收比</w:t>
      </w:r>
      <w:proofErr w:type="gramEnd"/>
      <w:r>
        <w:rPr>
          <w:rFonts w:ascii="仿宋_GB2312" w:eastAsia="仿宋_GB2312" w:hAnsi="宋体" w:cs="宋体" w:hint="eastAsia"/>
          <w:kern w:val="0"/>
          <w:sz w:val="32"/>
          <w:szCs w:val="32"/>
        </w:rPr>
        <w:t>103.07</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，结案率</w:t>
      </w:r>
      <w:r>
        <w:rPr>
          <w:rFonts w:ascii="仿宋_GB2312" w:eastAsia="仿宋_GB2312" w:hAnsi="宋体" w:cs="宋体" w:hint="eastAsia"/>
          <w:kern w:val="0"/>
          <w:sz w:val="32"/>
          <w:szCs w:val="32"/>
        </w:rPr>
        <w:t>86.35</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，法官人均结案</w:t>
      </w:r>
      <w:r>
        <w:rPr>
          <w:rFonts w:ascii="仿宋_GB2312" w:eastAsia="仿宋_GB2312" w:hAnsi="宋体" w:cs="宋体" w:hint="eastAsia"/>
          <w:kern w:val="0"/>
          <w:sz w:val="32"/>
          <w:szCs w:val="32"/>
        </w:rPr>
        <w:t>423.88</w:t>
      </w:r>
      <w:r>
        <w:rPr>
          <w:rFonts w:ascii="仿宋_GB2312" w:eastAsia="仿宋_GB2312" w:hAnsi="宋体" w:cs="宋体" w:hint="eastAsia"/>
          <w:kern w:val="0"/>
          <w:sz w:val="32"/>
          <w:szCs w:val="32"/>
        </w:rPr>
        <w:t>件，</w:t>
      </w:r>
      <w:r>
        <w:rPr>
          <w:rFonts w:ascii="仿宋_GB2312" w:eastAsia="仿宋_GB2312" w:hAnsi="宋体" w:cs="宋体" w:hint="eastAsia"/>
          <w:kern w:val="0"/>
          <w:sz w:val="32"/>
          <w:szCs w:val="32"/>
        </w:rPr>
        <w:t>202</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年未结案清理率达</w:t>
      </w:r>
      <w:r>
        <w:rPr>
          <w:rFonts w:ascii="仿宋_GB2312" w:eastAsia="仿宋_GB2312" w:hAnsi="宋体" w:cs="宋体" w:hint="eastAsia"/>
          <w:kern w:val="0"/>
          <w:sz w:val="32"/>
          <w:szCs w:val="32"/>
        </w:rPr>
        <w:t>98.55</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，两年以上长期未结案清零</w:t>
      </w:r>
      <w:r>
        <w:rPr>
          <w:rFonts w:ascii="仿宋_GB2312" w:eastAsia="仿宋_GB2312" w:hAnsi="宋体" w:cs="宋体" w:hint="eastAsia"/>
          <w:kern w:val="0"/>
          <w:sz w:val="32"/>
          <w:szCs w:val="32"/>
        </w:rPr>
        <w:t>；结案率、</w:t>
      </w:r>
      <w:proofErr w:type="gramStart"/>
      <w:r>
        <w:rPr>
          <w:rFonts w:ascii="仿宋_GB2312" w:eastAsia="仿宋_GB2312" w:hAnsi="宋体" w:cs="宋体" w:hint="eastAsia"/>
          <w:kern w:val="0"/>
          <w:sz w:val="32"/>
          <w:szCs w:val="32"/>
        </w:rPr>
        <w:t>结收比</w:t>
      </w:r>
      <w:proofErr w:type="gramEnd"/>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法官人均结案数、一审服判息诉率</w:t>
      </w:r>
      <w:r>
        <w:rPr>
          <w:rFonts w:ascii="仿宋_GB2312" w:eastAsia="仿宋_GB2312" w:hAnsi="宋体" w:cs="宋体" w:hint="eastAsia"/>
          <w:kern w:val="0"/>
          <w:sz w:val="32"/>
          <w:szCs w:val="32"/>
        </w:rPr>
        <w:t>、线上</w:t>
      </w:r>
      <w:proofErr w:type="gramStart"/>
      <w:r>
        <w:rPr>
          <w:rFonts w:ascii="仿宋_GB2312" w:eastAsia="仿宋_GB2312" w:hAnsi="宋体" w:cs="宋体" w:hint="eastAsia"/>
          <w:kern w:val="0"/>
          <w:sz w:val="32"/>
          <w:szCs w:val="32"/>
        </w:rPr>
        <w:t>庭审率</w:t>
      </w:r>
      <w:proofErr w:type="gramEnd"/>
      <w:r>
        <w:rPr>
          <w:rFonts w:ascii="仿宋_GB2312" w:eastAsia="仿宋_GB2312" w:hAnsi="宋体" w:cs="宋体" w:hint="eastAsia"/>
          <w:kern w:val="0"/>
          <w:sz w:val="32"/>
          <w:szCs w:val="32"/>
        </w:rPr>
        <w:t>等</w:t>
      </w:r>
      <w:r>
        <w:rPr>
          <w:rFonts w:ascii="仿宋_GB2312" w:eastAsia="仿宋_GB2312" w:hAnsi="宋体" w:cs="宋体" w:hint="eastAsia"/>
          <w:kern w:val="0"/>
          <w:sz w:val="32"/>
          <w:szCs w:val="32"/>
        </w:rPr>
        <w:t>均位居全市法院前列。</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②</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年新收执</w:t>
      </w:r>
      <w:proofErr w:type="gramStart"/>
      <w:r>
        <w:rPr>
          <w:rFonts w:ascii="仿宋_GB2312" w:eastAsia="仿宋_GB2312" w:hAnsi="宋体" w:cs="宋体" w:hint="eastAsia"/>
          <w:kern w:val="0"/>
          <w:sz w:val="32"/>
          <w:szCs w:val="32"/>
        </w:rPr>
        <w:t>行案件</w:t>
      </w:r>
      <w:proofErr w:type="gramEnd"/>
      <w:r>
        <w:rPr>
          <w:rFonts w:ascii="仿宋_GB2312" w:eastAsia="仿宋_GB2312" w:hAnsi="宋体" w:cs="宋体" w:hint="eastAsia"/>
          <w:kern w:val="0"/>
          <w:sz w:val="32"/>
          <w:szCs w:val="32"/>
        </w:rPr>
        <w:t>9839</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其中首执案件</w:t>
      </w:r>
      <w:proofErr w:type="gramEnd"/>
      <w:r>
        <w:rPr>
          <w:rFonts w:ascii="仿宋_GB2312" w:eastAsia="仿宋_GB2312" w:hAnsi="宋体" w:cs="宋体" w:hint="eastAsia"/>
          <w:kern w:val="0"/>
          <w:sz w:val="32"/>
          <w:szCs w:val="32"/>
        </w:rPr>
        <w:t>7913</w:t>
      </w:r>
      <w:r>
        <w:rPr>
          <w:rFonts w:ascii="仿宋_GB2312" w:eastAsia="仿宋_GB2312" w:hAnsi="宋体" w:cs="宋体" w:hint="eastAsia"/>
          <w:kern w:val="0"/>
          <w:sz w:val="32"/>
          <w:szCs w:val="32"/>
        </w:rPr>
        <w:t>件、执</w:t>
      </w:r>
      <w:proofErr w:type="gramStart"/>
      <w:r>
        <w:rPr>
          <w:rFonts w:ascii="仿宋_GB2312" w:eastAsia="仿宋_GB2312" w:hAnsi="宋体" w:cs="宋体" w:hint="eastAsia"/>
          <w:kern w:val="0"/>
          <w:sz w:val="32"/>
          <w:szCs w:val="32"/>
        </w:rPr>
        <w:t>恢</w:t>
      </w:r>
      <w:proofErr w:type="gramEnd"/>
      <w:r>
        <w:rPr>
          <w:rFonts w:ascii="仿宋_GB2312" w:eastAsia="仿宋_GB2312" w:hAnsi="宋体" w:cs="宋体" w:hint="eastAsia"/>
          <w:kern w:val="0"/>
          <w:sz w:val="32"/>
          <w:szCs w:val="32"/>
        </w:rPr>
        <w:t>案件</w:t>
      </w:r>
      <w:r>
        <w:rPr>
          <w:rFonts w:ascii="仿宋_GB2312" w:eastAsia="仿宋_GB2312" w:hAnsi="宋体" w:cs="宋体" w:hint="eastAsia"/>
          <w:kern w:val="0"/>
          <w:sz w:val="32"/>
          <w:szCs w:val="32"/>
        </w:rPr>
        <w:t>783</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执异案件</w:t>
      </w:r>
      <w:proofErr w:type="gramEnd"/>
      <w:r>
        <w:rPr>
          <w:rFonts w:ascii="仿宋_GB2312" w:eastAsia="仿宋_GB2312" w:hAnsi="宋体" w:cs="宋体" w:hint="eastAsia"/>
          <w:kern w:val="0"/>
          <w:sz w:val="32"/>
          <w:szCs w:val="32"/>
        </w:rPr>
        <w:t>136</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执保案件</w:t>
      </w:r>
      <w:proofErr w:type="gramEnd"/>
      <w:r>
        <w:rPr>
          <w:rFonts w:ascii="仿宋_GB2312" w:eastAsia="仿宋_GB2312" w:hAnsi="宋体" w:cs="宋体" w:hint="eastAsia"/>
          <w:kern w:val="0"/>
          <w:sz w:val="32"/>
          <w:szCs w:val="32"/>
        </w:rPr>
        <w:t>1007</w:t>
      </w:r>
      <w:r>
        <w:rPr>
          <w:rFonts w:ascii="仿宋_GB2312" w:eastAsia="仿宋_GB2312" w:hAnsi="宋体" w:cs="宋体" w:hint="eastAsia"/>
          <w:kern w:val="0"/>
          <w:sz w:val="32"/>
          <w:szCs w:val="32"/>
        </w:rPr>
        <w:t>件），结案</w:t>
      </w:r>
      <w:r>
        <w:rPr>
          <w:rFonts w:ascii="仿宋_GB2312" w:eastAsia="仿宋_GB2312" w:hAnsi="宋体" w:cs="宋体" w:hint="eastAsia"/>
          <w:kern w:val="0"/>
          <w:sz w:val="32"/>
          <w:szCs w:val="32"/>
        </w:rPr>
        <w:t>10351</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其中首执案件</w:t>
      </w:r>
      <w:proofErr w:type="gramEnd"/>
      <w:r>
        <w:rPr>
          <w:rFonts w:ascii="仿宋_GB2312" w:eastAsia="仿宋_GB2312" w:hAnsi="宋体" w:cs="宋体" w:hint="eastAsia"/>
          <w:kern w:val="0"/>
          <w:sz w:val="32"/>
          <w:szCs w:val="32"/>
        </w:rPr>
        <w:t>8357</w:t>
      </w:r>
      <w:r>
        <w:rPr>
          <w:rFonts w:ascii="仿宋_GB2312" w:eastAsia="仿宋_GB2312" w:hAnsi="宋体" w:cs="宋体" w:hint="eastAsia"/>
          <w:kern w:val="0"/>
          <w:sz w:val="32"/>
          <w:szCs w:val="32"/>
        </w:rPr>
        <w:t>件、执</w:t>
      </w:r>
      <w:proofErr w:type="gramStart"/>
      <w:r>
        <w:rPr>
          <w:rFonts w:ascii="仿宋_GB2312" w:eastAsia="仿宋_GB2312" w:hAnsi="宋体" w:cs="宋体" w:hint="eastAsia"/>
          <w:kern w:val="0"/>
          <w:sz w:val="32"/>
          <w:szCs w:val="32"/>
        </w:rPr>
        <w:t>恢</w:t>
      </w:r>
      <w:proofErr w:type="gramEnd"/>
      <w:r>
        <w:rPr>
          <w:rFonts w:ascii="仿宋_GB2312" w:eastAsia="仿宋_GB2312" w:hAnsi="宋体" w:cs="宋体" w:hint="eastAsia"/>
          <w:kern w:val="0"/>
          <w:sz w:val="32"/>
          <w:szCs w:val="32"/>
        </w:rPr>
        <w:t>案件</w:t>
      </w:r>
      <w:r>
        <w:rPr>
          <w:rFonts w:ascii="仿宋_GB2312" w:eastAsia="仿宋_GB2312" w:hAnsi="宋体" w:cs="宋体" w:hint="eastAsia"/>
          <w:kern w:val="0"/>
          <w:sz w:val="32"/>
          <w:szCs w:val="32"/>
        </w:rPr>
        <w:t>803</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执异案件</w:t>
      </w:r>
      <w:proofErr w:type="gramEnd"/>
      <w:r>
        <w:rPr>
          <w:rFonts w:ascii="仿宋_GB2312" w:eastAsia="仿宋_GB2312" w:hAnsi="宋体" w:cs="宋体" w:hint="eastAsia"/>
          <w:kern w:val="0"/>
          <w:sz w:val="32"/>
          <w:szCs w:val="32"/>
        </w:rPr>
        <w:t>143</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执保案件</w:t>
      </w:r>
      <w:proofErr w:type="gramEnd"/>
      <w:r>
        <w:rPr>
          <w:rFonts w:ascii="仿宋_GB2312" w:eastAsia="仿宋_GB2312" w:hAnsi="宋体" w:cs="宋体" w:hint="eastAsia"/>
          <w:kern w:val="0"/>
          <w:sz w:val="32"/>
          <w:szCs w:val="32"/>
        </w:rPr>
        <w:t>1048</w:t>
      </w:r>
      <w:r>
        <w:rPr>
          <w:rFonts w:ascii="仿宋_GB2312" w:eastAsia="仿宋_GB2312" w:hAnsi="宋体" w:cs="宋体" w:hint="eastAsia"/>
          <w:kern w:val="0"/>
          <w:sz w:val="32"/>
          <w:szCs w:val="32"/>
        </w:rPr>
        <w:t>件），</w:t>
      </w:r>
      <w:proofErr w:type="gramStart"/>
      <w:r>
        <w:rPr>
          <w:rFonts w:ascii="仿宋_GB2312" w:eastAsia="仿宋_GB2312" w:hAnsi="宋体" w:cs="宋体" w:hint="eastAsia"/>
          <w:kern w:val="0"/>
          <w:sz w:val="32"/>
          <w:szCs w:val="32"/>
        </w:rPr>
        <w:t>结收比</w:t>
      </w:r>
      <w:proofErr w:type="gramEnd"/>
      <w:r>
        <w:rPr>
          <w:rFonts w:ascii="仿宋_GB2312" w:eastAsia="仿宋_GB2312" w:hAnsi="宋体" w:cs="宋体" w:hint="eastAsia"/>
          <w:kern w:val="0"/>
          <w:sz w:val="32"/>
          <w:szCs w:val="32"/>
        </w:rPr>
        <w:t>为</w:t>
      </w:r>
      <w:r>
        <w:rPr>
          <w:rFonts w:ascii="仿宋_GB2312" w:eastAsia="仿宋_GB2312" w:hAnsi="宋体" w:cs="宋体" w:hint="eastAsia"/>
          <w:kern w:val="0"/>
          <w:sz w:val="32"/>
          <w:szCs w:val="32"/>
        </w:rPr>
        <w:t>105.2%</w:t>
      </w:r>
      <w:r>
        <w:rPr>
          <w:rFonts w:ascii="仿宋_GB2312" w:eastAsia="仿宋_GB2312" w:hAnsi="宋体" w:cs="宋体" w:hint="eastAsia"/>
          <w:kern w:val="0"/>
          <w:sz w:val="32"/>
          <w:szCs w:val="32"/>
        </w:rPr>
        <w:t>，同比增加</w:t>
      </w:r>
      <w:r>
        <w:rPr>
          <w:rFonts w:ascii="仿宋_GB2312" w:eastAsia="仿宋_GB2312" w:hAnsi="宋体" w:cs="宋体" w:hint="eastAsia"/>
          <w:kern w:val="0"/>
          <w:sz w:val="32"/>
          <w:szCs w:val="32"/>
        </w:rPr>
        <w:t>10.4%</w:t>
      </w:r>
      <w:r>
        <w:rPr>
          <w:rFonts w:ascii="仿宋_GB2312" w:eastAsia="仿宋_GB2312" w:hAnsi="宋体" w:cs="宋体" w:hint="eastAsia"/>
          <w:kern w:val="0"/>
          <w:sz w:val="32"/>
          <w:szCs w:val="32"/>
        </w:rPr>
        <w:t>，执行到位金额约为</w:t>
      </w:r>
      <w:r>
        <w:rPr>
          <w:rFonts w:ascii="仿宋_GB2312" w:eastAsia="仿宋_GB2312" w:hAnsi="宋体" w:cs="宋体" w:hint="eastAsia"/>
          <w:kern w:val="0"/>
          <w:sz w:val="32"/>
          <w:szCs w:val="32"/>
        </w:rPr>
        <w:t>11.18</w:t>
      </w:r>
      <w:r>
        <w:rPr>
          <w:rFonts w:ascii="仿宋_GB2312" w:eastAsia="仿宋_GB2312" w:hAnsi="宋体" w:cs="宋体" w:hint="eastAsia"/>
          <w:kern w:val="0"/>
          <w:sz w:val="32"/>
          <w:szCs w:val="32"/>
        </w:rPr>
        <w:t>亿，</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年旧存案件均已清理完毕。</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③</w:t>
      </w:r>
      <w:r>
        <w:rPr>
          <w:rFonts w:ascii="仿宋_GB2312" w:eastAsia="仿宋_GB2312" w:hAnsi="宋体" w:cs="宋体"/>
          <w:kern w:val="0"/>
          <w:sz w:val="32"/>
          <w:szCs w:val="32"/>
        </w:rPr>
        <w:t>截</w:t>
      </w:r>
      <w:r>
        <w:rPr>
          <w:rFonts w:ascii="仿宋_GB2312" w:eastAsia="仿宋_GB2312" w:hAnsi="宋体" w:cs="宋体" w:hint="eastAsia"/>
          <w:kern w:val="0"/>
          <w:sz w:val="32"/>
          <w:szCs w:val="32"/>
        </w:rPr>
        <w:t>至</w:t>
      </w:r>
      <w:r>
        <w:rPr>
          <w:rFonts w:ascii="仿宋_GB2312" w:eastAsia="仿宋_GB2312" w:hAnsi="宋体" w:cs="宋体"/>
          <w:kern w:val="0"/>
          <w:sz w:val="32"/>
          <w:szCs w:val="32"/>
        </w:rPr>
        <w:t>2022</w:t>
      </w:r>
      <w:r>
        <w:rPr>
          <w:rFonts w:ascii="仿宋_GB2312" w:eastAsia="仿宋_GB2312" w:hAnsi="宋体" w:cs="宋体"/>
          <w:kern w:val="0"/>
          <w:sz w:val="32"/>
          <w:szCs w:val="32"/>
        </w:rPr>
        <w:t>年</w:t>
      </w:r>
      <w:r>
        <w:rPr>
          <w:rFonts w:ascii="仿宋_GB2312" w:eastAsia="仿宋_GB2312" w:hAnsi="宋体" w:cs="宋体"/>
          <w:kern w:val="0"/>
          <w:sz w:val="32"/>
          <w:szCs w:val="32"/>
        </w:rPr>
        <w:t>9</w:t>
      </w:r>
      <w:r>
        <w:rPr>
          <w:rFonts w:ascii="仿宋_GB2312" w:eastAsia="仿宋_GB2312" w:hAnsi="宋体" w:cs="宋体"/>
          <w:kern w:val="0"/>
          <w:sz w:val="32"/>
          <w:szCs w:val="32"/>
        </w:rPr>
        <w:t>月</w:t>
      </w:r>
      <w:r>
        <w:rPr>
          <w:rFonts w:ascii="仿宋_GB2312" w:eastAsia="仿宋_GB2312" w:hAnsi="宋体" w:cs="宋体"/>
          <w:kern w:val="0"/>
          <w:sz w:val="32"/>
          <w:szCs w:val="32"/>
        </w:rPr>
        <w:t>30</w:t>
      </w:r>
      <w:r>
        <w:rPr>
          <w:rFonts w:ascii="仿宋_GB2312" w:eastAsia="仿宋_GB2312" w:hAnsi="宋体" w:cs="宋体"/>
          <w:kern w:val="0"/>
          <w:sz w:val="32"/>
          <w:szCs w:val="32"/>
        </w:rPr>
        <w:t>日</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审结刑事案件</w:t>
      </w:r>
      <w:r>
        <w:rPr>
          <w:rFonts w:ascii="仿宋_GB2312" w:eastAsia="仿宋_GB2312" w:hAnsi="宋体" w:cs="宋体" w:hint="eastAsia"/>
          <w:kern w:val="0"/>
          <w:sz w:val="32"/>
          <w:szCs w:val="32"/>
        </w:rPr>
        <w:t>207</w:t>
      </w:r>
      <w:r>
        <w:rPr>
          <w:rFonts w:ascii="仿宋_GB2312" w:eastAsia="仿宋_GB2312" w:hAnsi="宋体" w:cs="宋体" w:hint="eastAsia"/>
          <w:kern w:val="0"/>
          <w:sz w:val="32"/>
          <w:szCs w:val="32"/>
        </w:rPr>
        <w:t>件，</w:t>
      </w:r>
      <w:r>
        <w:rPr>
          <w:rFonts w:ascii="仿宋_GB2312" w:eastAsia="仿宋_GB2312" w:hAnsi="宋体" w:cs="宋体" w:hint="eastAsia"/>
          <w:kern w:val="0"/>
          <w:sz w:val="32"/>
          <w:szCs w:val="32"/>
        </w:rPr>
        <w:t>审理</w:t>
      </w:r>
      <w:r>
        <w:rPr>
          <w:rFonts w:ascii="仿宋_GB2312" w:eastAsia="仿宋_GB2312" w:hAnsi="宋体" w:cs="宋体" w:hint="eastAsia"/>
          <w:kern w:val="0"/>
          <w:sz w:val="32"/>
          <w:szCs w:val="32"/>
        </w:rPr>
        <w:t>15</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恶势力犯罪集团敲诈勒索案、</w:t>
      </w:r>
      <w:r>
        <w:rPr>
          <w:rFonts w:ascii="仿宋_GB2312" w:eastAsia="仿宋_GB2312" w:hAnsi="宋体" w:cs="宋体" w:hint="eastAsia"/>
          <w:kern w:val="0"/>
          <w:sz w:val="32"/>
          <w:szCs w:val="32"/>
        </w:rPr>
        <w:t>25</w:t>
      </w:r>
      <w:r>
        <w:rPr>
          <w:rFonts w:ascii="仿宋_GB2312" w:eastAsia="仿宋_GB2312" w:hAnsi="宋体" w:cs="宋体" w:hint="eastAsia"/>
          <w:kern w:val="0"/>
          <w:sz w:val="32"/>
          <w:szCs w:val="32"/>
        </w:rPr>
        <w:t>人</w:t>
      </w:r>
      <w:r>
        <w:rPr>
          <w:rFonts w:ascii="仿宋_GB2312" w:eastAsia="仿宋_GB2312" w:hAnsi="宋体" w:cs="宋体"/>
          <w:kern w:val="0"/>
          <w:sz w:val="32"/>
          <w:szCs w:val="32"/>
        </w:rPr>
        <w:t>养老诈骗案</w:t>
      </w:r>
      <w:r>
        <w:rPr>
          <w:rFonts w:ascii="仿宋_GB2312" w:eastAsia="仿宋_GB2312" w:hAnsi="宋体" w:cs="宋体" w:hint="eastAsia"/>
          <w:kern w:val="0"/>
          <w:sz w:val="32"/>
          <w:szCs w:val="32"/>
        </w:rPr>
        <w:t>等危害社会安全、人民财产安全重大案件。</w:t>
      </w:r>
      <w:r>
        <w:rPr>
          <w:rFonts w:ascii="仿宋_GB2312" w:eastAsia="仿宋_GB2312" w:hAnsi="宋体" w:cs="宋体"/>
          <w:kern w:val="0"/>
          <w:sz w:val="32"/>
          <w:szCs w:val="32"/>
        </w:rPr>
        <w:t>审结民商事案件</w:t>
      </w:r>
      <w:r>
        <w:rPr>
          <w:rFonts w:ascii="仿宋_GB2312" w:eastAsia="仿宋_GB2312" w:hAnsi="宋体" w:cs="宋体"/>
          <w:kern w:val="0"/>
          <w:sz w:val="32"/>
          <w:szCs w:val="32"/>
        </w:rPr>
        <w:t>12051</w:t>
      </w:r>
      <w:r>
        <w:rPr>
          <w:rFonts w:ascii="仿宋_GB2312" w:eastAsia="仿宋_GB2312" w:hAnsi="宋体" w:cs="宋体"/>
          <w:kern w:val="0"/>
          <w:sz w:val="32"/>
          <w:szCs w:val="32"/>
        </w:rPr>
        <w:t>件，审结涉就业、住房、医疗、养老、育幼等各类民生案件</w:t>
      </w:r>
      <w:r>
        <w:rPr>
          <w:rFonts w:ascii="仿宋_GB2312" w:eastAsia="仿宋_GB2312" w:hAnsi="宋体" w:cs="宋体"/>
          <w:kern w:val="0"/>
          <w:sz w:val="32"/>
          <w:szCs w:val="32"/>
        </w:rPr>
        <w:t>3998</w:t>
      </w:r>
      <w:r>
        <w:rPr>
          <w:rFonts w:ascii="仿宋_GB2312" w:eastAsia="仿宋_GB2312" w:hAnsi="宋体" w:cs="宋体"/>
          <w:kern w:val="0"/>
          <w:sz w:val="32"/>
          <w:szCs w:val="32"/>
        </w:rPr>
        <w:t>件；持续</w:t>
      </w:r>
      <w:proofErr w:type="gramStart"/>
      <w:r>
        <w:rPr>
          <w:rFonts w:ascii="仿宋_GB2312" w:eastAsia="仿宋_GB2312" w:hAnsi="宋体" w:cs="宋体"/>
          <w:kern w:val="0"/>
          <w:sz w:val="32"/>
          <w:szCs w:val="32"/>
        </w:rPr>
        <w:t>推进商</w:t>
      </w:r>
      <w:proofErr w:type="gramEnd"/>
      <w:r>
        <w:rPr>
          <w:rFonts w:ascii="仿宋_GB2312" w:eastAsia="仿宋_GB2312" w:hAnsi="宋体" w:cs="宋体"/>
          <w:kern w:val="0"/>
          <w:sz w:val="32"/>
          <w:szCs w:val="32"/>
        </w:rPr>
        <w:t>事审判专业化建设，审结破产清算、股权争议、信用卡纠纷等各类商事案件</w:t>
      </w:r>
      <w:r>
        <w:rPr>
          <w:rFonts w:ascii="仿宋_GB2312" w:eastAsia="仿宋_GB2312" w:hAnsi="宋体" w:cs="宋体"/>
          <w:kern w:val="0"/>
          <w:sz w:val="32"/>
          <w:szCs w:val="32"/>
        </w:rPr>
        <w:t>4565</w:t>
      </w:r>
      <w:r>
        <w:rPr>
          <w:rFonts w:ascii="仿宋_GB2312" w:eastAsia="仿宋_GB2312" w:hAnsi="宋体" w:cs="宋体"/>
          <w:kern w:val="0"/>
          <w:sz w:val="32"/>
          <w:szCs w:val="32"/>
        </w:rPr>
        <w:t>件；全面加强知识产权司法保护，审结各类知识产权案件</w:t>
      </w:r>
      <w:r>
        <w:rPr>
          <w:rFonts w:ascii="仿宋_GB2312" w:eastAsia="仿宋_GB2312" w:hAnsi="宋体" w:cs="宋体"/>
          <w:kern w:val="0"/>
          <w:sz w:val="32"/>
          <w:szCs w:val="32"/>
        </w:rPr>
        <w:t>947</w:t>
      </w:r>
      <w:r>
        <w:rPr>
          <w:rFonts w:ascii="仿宋_GB2312" w:eastAsia="仿宋_GB2312" w:hAnsi="宋体" w:cs="宋体"/>
          <w:kern w:val="0"/>
          <w:sz w:val="32"/>
          <w:szCs w:val="32"/>
        </w:rPr>
        <w:t>件。深入推进</w:t>
      </w:r>
      <w:r>
        <w:rPr>
          <w:rFonts w:ascii="仿宋_GB2312" w:eastAsia="仿宋_GB2312" w:hAnsi="宋体" w:cs="宋体"/>
          <w:kern w:val="0"/>
          <w:sz w:val="32"/>
          <w:szCs w:val="32"/>
        </w:rPr>
        <w:t>“</w:t>
      </w:r>
      <w:r>
        <w:rPr>
          <w:rFonts w:ascii="仿宋_GB2312" w:eastAsia="仿宋_GB2312" w:hAnsi="宋体" w:cs="宋体"/>
          <w:kern w:val="0"/>
          <w:sz w:val="32"/>
          <w:szCs w:val="32"/>
        </w:rPr>
        <w:t>多元调解</w:t>
      </w:r>
      <w:r>
        <w:rPr>
          <w:rFonts w:ascii="仿宋_GB2312" w:eastAsia="仿宋_GB2312" w:hAnsi="宋体" w:cs="宋体"/>
          <w:kern w:val="0"/>
          <w:sz w:val="32"/>
          <w:szCs w:val="32"/>
        </w:rPr>
        <w:t>+</w:t>
      </w:r>
      <w:r>
        <w:rPr>
          <w:rFonts w:ascii="仿宋_GB2312" w:eastAsia="仿宋_GB2312" w:hAnsi="宋体" w:cs="宋体"/>
          <w:kern w:val="0"/>
          <w:sz w:val="32"/>
          <w:szCs w:val="32"/>
        </w:rPr>
        <w:t>速裁</w:t>
      </w:r>
      <w:r>
        <w:rPr>
          <w:rFonts w:ascii="仿宋_GB2312" w:eastAsia="仿宋_GB2312" w:hAnsi="宋体" w:cs="宋体"/>
          <w:kern w:val="0"/>
          <w:sz w:val="32"/>
          <w:szCs w:val="32"/>
        </w:rPr>
        <w:t>”</w:t>
      </w:r>
      <w:r>
        <w:rPr>
          <w:rFonts w:ascii="仿宋_GB2312" w:eastAsia="仿宋_GB2312" w:hAnsi="宋体" w:cs="宋体" w:hint="eastAsia"/>
          <w:kern w:val="0"/>
          <w:sz w:val="32"/>
          <w:szCs w:val="32"/>
        </w:rPr>
        <w:t>，</w:t>
      </w:r>
      <w:r>
        <w:rPr>
          <w:rFonts w:ascii="仿宋_GB2312" w:eastAsia="仿宋_GB2312" w:hAnsi="宋体" w:cs="宋体"/>
          <w:kern w:val="0"/>
          <w:sz w:val="32"/>
          <w:szCs w:val="32"/>
        </w:rPr>
        <w:t>多元调解成功案件</w:t>
      </w:r>
      <w:r>
        <w:rPr>
          <w:rFonts w:ascii="仿宋_GB2312" w:eastAsia="仿宋_GB2312" w:hAnsi="宋体" w:cs="宋体"/>
          <w:kern w:val="0"/>
          <w:sz w:val="32"/>
          <w:szCs w:val="32"/>
        </w:rPr>
        <w:t>1982</w:t>
      </w:r>
      <w:r>
        <w:rPr>
          <w:rFonts w:ascii="仿宋_GB2312" w:eastAsia="仿宋_GB2312" w:hAnsi="宋体" w:cs="宋体"/>
          <w:kern w:val="0"/>
          <w:sz w:val="32"/>
          <w:szCs w:val="32"/>
        </w:rPr>
        <w:t>件，将</w:t>
      </w:r>
      <w:r>
        <w:rPr>
          <w:rFonts w:ascii="仿宋_GB2312" w:eastAsia="仿宋_GB2312" w:hAnsi="宋体" w:cs="宋体"/>
          <w:kern w:val="0"/>
          <w:sz w:val="32"/>
          <w:szCs w:val="32"/>
        </w:rPr>
        <w:t>78.5%</w:t>
      </w:r>
      <w:r>
        <w:rPr>
          <w:rFonts w:ascii="仿宋_GB2312" w:eastAsia="仿宋_GB2312" w:hAnsi="宋体" w:cs="宋体"/>
          <w:kern w:val="0"/>
          <w:sz w:val="32"/>
          <w:szCs w:val="32"/>
        </w:rPr>
        <w:t>民商事案件解决在诉讼前端。审结行政案件</w:t>
      </w:r>
      <w:r>
        <w:rPr>
          <w:rFonts w:ascii="仿宋_GB2312" w:eastAsia="仿宋_GB2312" w:hAnsi="宋体" w:cs="宋体"/>
          <w:kern w:val="0"/>
          <w:sz w:val="32"/>
          <w:szCs w:val="32"/>
        </w:rPr>
        <w:t>91</w:t>
      </w:r>
      <w:r>
        <w:rPr>
          <w:rFonts w:ascii="仿宋_GB2312" w:eastAsia="仿宋_GB2312" w:hAnsi="宋体" w:cs="宋体"/>
          <w:kern w:val="0"/>
          <w:sz w:val="32"/>
          <w:szCs w:val="32"/>
        </w:rPr>
        <w:t>件，协调和解行政争议</w:t>
      </w:r>
      <w:r>
        <w:rPr>
          <w:rFonts w:ascii="仿宋_GB2312" w:eastAsia="仿宋_GB2312" w:hAnsi="宋体" w:cs="宋体"/>
          <w:kern w:val="0"/>
          <w:sz w:val="32"/>
          <w:szCs w:val="32"/>
        </w:rPr>
        <w:t>13</w:t>
      </w:r>
      <w:r>
        <w:rPr>
          <w:rFonts w:ascii="仿宋_GB2312" w:eastAsia="仿宋_GB2312" w:hAnsi="宋体" w:cs="宋体"/>
          <w:kern w:val="0"/>
          <w:sz w:val="32"/>
          <w:szCs w:val="32"/>
        </w:rPr>
        <w:t>件。</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④</w:t>
      </w:r>
      <w:r>
        <w:rPr>
          <w:rFonts w:ascii="仿宋_GB2312" w:eastAsia="仿宋_GB2312" w:hAnsi="宋体" w:cs="宋体"/>
          <w:kern w:val="0"/>
          <w:sz w:val="32"/>
          <w:szCs w:val="32"/>
        </w:rPr>
        <w:t>2022</w:t>
      </w:r>
      <w:r>
        <w:rPr>
          <w:rFonts w:ascii="仿宋_GB2312" w:eastAsia="仿宋_GB2312" w:hAnsi="宋体" w:cs="宋体"/>
          <w:kern w:val="0"/>
          <w:sz w:val="32"/>
          <w:szCs w:val="32"/>
        </w:rPr>
        <w:t>年，开展网络司法拍卖</w:t>
      </w:r>
      <w:r>
        <w:rPr>
          <w:rFonts w:ascii="仿宋_GB2312" w:eastAsia="仿宋_GB2312" w:hAnsi="宋体" w:cs="宋体"/>
          <w:kern w:val="0"/>
          <w:sz w:val="32"/>
          <w:szCs w:val="32"/>
        </w:rPr>
        <w:t>1702</w:t>
      </w:r>
      <w:r>
        <w:rPr>
          <w:rFonts w:ascii="仿宋_GB2312" w:eastAsia="仿宋_GB2312" w:hAnsi="宋体" w:cs="宋体"/>
          <w:kern w:val="0"/>
          <w:sz w:val="32"/>
          <w:szCs w:val="32"/>
        </w:rPr>
        <w:t>次，处置标的物</w:t>
      </w:r>
      <w:r>
        <w:rPr>
          <w:rFonts w:ascii="仿宋_GB2312" w:eastAsia="仿宋_GB2312" w:hAnsi="宋体" w:cs="宋体"/>
          <w:kern w:val="0"/>
          <w:sz w:val="32"/>
          <w:szCs w:val="32"/>
        </w:rPr>
        <w:t>3106</w:t>
      </w:r>
      <w:r>
        <w:rPr>
          <w:rFonts w:ascii="仿宋_GB2312" w:eastAsia="仿宋_GB2312" w:hAnsi="宋体" w:cs="宋体"/>
          <w:kern w:val="0"/>
          <w:sz w:val="32"/>
          <w:szCs w:val="32"/>
        </w:rPr>
        <w:t>个，司法处置变现款约</w:t>
      </w:r>
      <w:r>
        <w:rPr>
          <w:rFonts w:ascii="仿宋_GB2312" w:eastAsia="仿宋_GB2312" w:hAnsi="宋体" w:cs="宋体"/>
          <w:kern w:val="0"/>
          <w:sz w:val="32"/>
          <w:szCs w:val="32"/>
        </w:rPr>
        <w:t>4.4</w:t>
      </w:r>
      <w:r>
        <w:rPr>
          <w:rFonts w:ascii="仿宋_GB2312" w:eastAsia="仿宋_GB2312" w:hAnsi="宋体" w:cs="宋体"/>
          <w:kern w:val="0"/>
          <w:sz w:val="32"/>
          <w:szCs w:val="32"/>
        </w:rPr>
        <w:t>亿元，较去年增加一倍，</w:t>
      </w:r>
      <w:proofErr w:type="gramStart"/>
      <w:r>
        <w:rPr>
          <w:rFonts w:ascii="仿宋_GB2312" w:eastAsia="仿宋_GB2312" w:hAnsi="宋体" w:cs="宋体"/>
          <w:kern w:val="0"/>
          <w:sz w:val="32"/>
          <w:szCs w:val="32"/>
        </w:rPr>
        <w:t>案拍比</w:t>
      </w:r>
      <w:proofErr w:type="gramEnd"/>
      <w:r>
        <w:rPr>
          <w:rFonts w:ascii="仿宋_GB2312" w:eastAsia="仿宋_GB2312" w:hAnsi="宋体" w:cs="宋体"/>
          <w:kern w:val="0"/>
          <w:sz w:val="32"/>
          <w:szCs w:val="32"/>
        </w:rPr>
        <w:t>8.75%</w:t>
      </w:r>
      <w:r>
        <w:rPr>
          <w:rFonts w:ascii="仿宋_GB2312" w:eastAsia="仿宋_GB2312" w:hAnsi="宋体" w:cs="宋体"/>
          <w:kern w:val="0"/>
          <w:sz w:val="32"/>
          <w:szCs w:val="32"/>
        </w:rPr>
        <w:t>，同比增长近</w:t>
      </w:r>
      <w:r>
        <w:rPr>
          <w:rFonts w:ascii="仿宋_GB2312" w:eastAsia="仿宋_GB2312" w:hAnsi="宋体" w:cs="宋体"/>
          <w:kern w:val="0"/>
          <w:sz w:val="32"/>
          <w:szCs w:val="32"/>
        </w:rPr>
        <w:t>2%</w:t>
      </w:r>
      <w:r>
        <w:rPr>
          <w:rFonts w:ascii="仿宋_GB2312" w:eastAsia="仿宋_GB2312" w:hAnsi="宋体" w:cs="宋体"/>
          <w:kern w:val="0"/>
          <w:sz w:val="32"/>
          <w:szCs w:val="32"/>
        </w:rPr>
        <w:t>，位列北京市基层法院首位。</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“两庭”建设</w:t>
      </w:r>
      <w:r>
        <w:rPr>
          <w:rFonts w:ascii="仿宋_GB2312" w:eastAsia="仿宋_GB2312" w:hAnsi="宋体" w:cs="宋体" w:hint="eastAsia"/>
          <w:kern w:val="0"/>
          <w:sz w:val="32"/>
          <w:szCs w:val="32"/>
        </w:rPr>
        <w:t>产出</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石景山区人民法院为充分发挥审判职能，为区域发展稳定提供坚实司法保障，开展了一系列“两庭”建设工作，主要包括：①按照实际办公用房需要，完成了审判区</w:t>
      </w:r>
      <w:proofErr w:type="gramStart"/>
      <w:r>
        <w:rPr>
          <w:rFonts w:ascii="仿宋_GB2312" w:eastAsia="仿宋_GB2312" w:hAnsi="宋体" w:cs="宋体" w:hint="eastAsia"/>
          <w:kern w:val="0"/>
          <w:sz w:val="32"/>
          <w:szCs w:val="32"/>
        </w:rPr>
        <w:t>及诉调</w:t>
      </w:r>
      <w:proofErr w:type="gramEnd"/>
      <w:r>
        <w:rPr>
          <w:rFonts w:ascii="仿宋_GB2312" w:eastAsia="仿宋_GB2312" w:hAnsi="宋体" w:cs="宋体" w:hint="eastAsia"/>
          <w:kern w:val="0"/>
          <w:sz w:val="32"/>
          <w:szCs w:val="32"/>
        </w:rPr>
        <w:t>对接中心办公用房租赁工作，租赁面积共计</w:t>
      </w:r>
      <w:r>
        <w:rPr>
          <w:rFonts w:ascii="仿宋_GB2312" w:eastAsia="仿宋_GB2312" w:hAnsi="宋体" w:cs="宋体" w:hint="eastAsia"/>
          <w:kern w:val="0"/>
          <w:sz w:val="32"/>
          <w:szCs w:val="32"/>
        </w:rPr>
        <w:t>4833</w:t>
      </w:r>
      <w:r>
        <w:rPr>
          <w:rFonts w:ascii="仿宋_GB2312" w:eastAsia="仿宋_GB2312" w:hAnsi="宋体" w:cs="宋体" w:hint="eastAsia"/>
          <w:kern w:val="0"/>
          <w:sz w:val="32"/>
          <w:szCs w:val="32"/>
        </w:rPr>
        <w:t>平方米。②完成了少年法庭信息化设备、庭审主机、存储及硬盘设备、指纹门禁设备、档案备份存储设备、笔记本电脑、无线</w:t>
      </w:r>
      <w:r>
        <w:rPr>
          <w:rFonts w:ascii="仿宋_GB2312" w:eastAsia="仿宋_GB2312" w:hAnsi="宋体" w:cs="宋体" w:hint="eastAsia"/>
          <w:kern w:val="0"/>
          <w:sz w:val="32"/>
          <w:szCs w:val="32"/>
        </w:rPr>
        <w:t>AP</w:t>
      </w:r>
      <w:r>
        <w:rPr>
          <w:rFonts w:ascii="仿宋_GB2312" w:eastAsia="仿宋_GB2312" w:hAnsi="宋体" w:cs="宋体" w:hint="eastAsia"/>
          <w:kern w:val="0"/>
          <w:sz w:val="32"/>
          <w:szCs w:val="32"/>
        </w:rPr>
        <w:t>、电话录音设备、法庭法椅、警用遮挡围栏、警用专用设备、警用服装、</w:t>
      </w:r>
      <w:r>
        <w:rPr>
          <w:rFonts w:ascii="仿宋_GB2312" w:eastAsia="仿宋_GB2312" w:hAnsi="宋体" w:cs="宋体" w:hint="eastAsia"/>
          <w:kern w:val="0"/>
          <w:sz w:val="32"/>
          <w:szCs w:val="32"/>
        </w:rPr>
        <w:t>X</w:t>
      </w:r>
      <w:r>
        <w:rPr>
          <w:rFonts w:ascii="仿宋_GB2312" w:eastAsia="仿宋_GB2312" w:hAnsi="宋体" w:cs="宋体" w:hint="eastAsia"/>
          <w:kern w:val="0"/>
          <w:sz w:val="32"/>
          <w:szCs w:val="32"/>
        </w:rPr>
        <w:t>光机等设备购置工作。③完成了日常监控，办公、办案区域等重点场所的安全检查、卫生防护工作</w:t>
      </w:r>
      <w:r>
        <w:rPr>
          <w:rFonts w:ascii="仿宋_GB2312" w:eastAsia="仿宋_GB2312" w:hAnsi="宋体" w:cs="宋体" w:hint="eastAsia"/>
          <w:kern w:val="0"/>
          <w:sz w:val="32"/>
          <w:szCs w:val="32"/>
        </w:rPr>
        <w:t>，落实</w:t>
      </w:r>
      <w:r>
        <w:rPr>
          <w:rFonts w:ascii="仿宋_GB2312" w:eastAsia="仿宋_GB2312" w:hAnsi="宋体" w:cs="宋体" w:hint="eastAsia"/>
          <w:kern w:val="0"/>
          <w:sz w:val="32"/>
          <w:szCs w:val="32"/>
        </w:rPr>
        <w:lastRenderedPageBreak/>
        <w:t>每日消杀工作责任机制和疫情防控期间应急管理机制，定期发放个人防疫用品和消毒用品，核发审判及办公用品，全年共发放防疫用品及办公用品逾百余次。④完成了</w:t>
      </w:r>
      <w:proofErr w:type="gramStart"/>
      <w:r>
        <w:rPr>
          <w:rFonts w:ascii="仿宋_GB2312" w:eastAsia="仿宋_GB2312" w:hAnsi="宋体" w:cs="宋体" w:hint="eastAsia"/>
          <w:kern w:val="0"/>
          <w:sz w:val="32"/>
          <w:szCs w:val="32"/>
        </w:rPr>
        <w:t>审判楼</w:t>
      </w:r>
      <w:proofErr w:type="gramEnd"/>
      <w:r>
        <w:rPr>
          <w:rFonts w:ascii="仿宋_GB2312" w:eastAsia="仿宋_GB2312" w:hAnsi="宋体" w:cs="宋体" w:hint="eastAsia"/>
          <w:kern w:val="0"/>
          <w:sz w:val="32"/>
          <w:szCs w:val="32"/>
        </w:rPr>
        <w:t>电梯更新、</w:t>
      </w:r>
      <w:proofErr w:type="gramStart"/>
      <w:r>
        <w:rPr>
          <w:rFonts w:ascii="仿宋_GB2312" w:eastAsia="仿宋_GB2312" w:hAnsi="宋体" w:cs="宋体" w:hint="eastAsia"/>
          <w:kern w:val="0"/>
          <w:sz w:val="32"/>
          <w:szCs w:val="32"/>
        </w:rPr>
        <w:t>审判楼</w:t>
      </w:r>
      <w:proofErr w:type="gramEnd"/>
      <w:r>
        <w:rPr>
          <w:rFonts w:ascii="仿宋_GB2312" w:eastAsia="仿宋_GB2312" w:hAnsi="宋体" w:cs="宋体" w:hint="eastAsia"/>
          <w:kern w:val="0"/>
          <w:sz w:val="32"/>
          <w:szCs w:val="32"/>
        </w:rPr>
        <w:t>消防改造等工程任务。⑤注重消防安全，加强隐患排查，开展日常消防检查</w:t>
      </w:r>
      <w:r>
        <w:rPr>
          <w:rFonts w:ascii="仿宋_GB2312" w:eastAsia="仿宋_GB2312" w:hAnsi="宋体" w:cs="宋体" w:hint="eastAsia"/>
          <w:kern w:val="0"/>
          <w:sz w:val="32"/>
          <w:szCs w:val="32"/>
        </w:rPr>
        <w:t>1489</w:t>
      </w:r>
      <w:r>
        <w:rPr>
          <w:rFonts w:ascii="仿宋_GB2312" w:eastAsia="仿宋_GB2312" w:hAnsi="宋体" w:cs="宋体" w:hint="eastAsia"/>
          <w:kern w:val="0"/>
          <w:sz w:val="32"/>
          <w:szCs w:val="32"/>
        </w:rPr>
        <w:t>次、消防安全演习</w:t>
      </w:r>
      <w:r>
        <w:rPr>
          <w:rFonts w:ascii="仿宋_GB2312" w:eastAsia="仿宋_GB2312" w:hAnsi="宋体" w:cs="宋体" w:hint="eastAsia"/>
          <w:kern w:val="0"/>
          <w:sz w:val="32"/>
          <w:szCs w:val="32"/>
        </w:rPr>
        <w:t>14</w:t>
      </w:r>
      <w:r>
        <w:rPr>
          <w:rFonts w:ascii="仿宋_GB2312" w:eastAsia="仿宋_GB2312" w:hAnsi="宋体" w:cs="宋体" w:hint="eastAsia"/>
          <w:kern w:val="0"/>
          <w:sz w:val="32"/>
          <w:szCs w:val="32"/>
        </w:rPr>
        <w:t>次；加强日常巡检维护，在院内路面、南广场地面、重装电梯施工期间重点巡视，确保设备平稳安全运行；全年物业共完成派工单维修</w:t>
      </w:r>
      <w:r>
        <w:rPr>
          <w:rFonts w:ascii="仿宋_GB2312" w:eastAsia="仿宋_GB2312" w:hAnsi="宋体" w:cs="宋体" w:hint="eastAsia"/>
          <w:kern w:val="0"/>
          <w:sz w:val="32"/>
          <w:szCs w:val="32"/>
        </w:rPr>
        <w:t>1300</w:t>
      </w:r>
      <w:r>
        <w:rPr>
          <w:rFonts w:ascii="仿宋_GB2312" w:eastAsia="仿宋_GB2312" w:hAnsi="宋体" w:cs="宋体" w:hint="eastAsia"/>
          <w:kern w:val="0"/>
          <w:sz w:val="32"/>
          <w:szCs w:val="32"/>
        </w:rPr>
        <w:t>余次，搬运、安装干警办公家具及用品</w:t>
      </w:r>
      <w:r>
        <w:rPr>
          <w:rFonts w:ascii="仿宋_GB2312" w:eastAsia="仿宋_GB2312" w:hAnsi="宋体" w:cs="宋体" w:hint="eastAsia"/>
          <w:kern w:val="0"/>
          <w:sz w:val="32"/>
          <w:szCs w:val="32"/>
        </w:rPr>
        <w:t>300</w:t>
      </w:r>
      <w:r>
        <w:rPr>
          <w:rFonts w:ascii="仿宋_GB2312" w:eastAsia="仿宋_GB2312" w:hAnsi="宋体" w:cs="宋体" w:hint="eastAsia"/>
          <w:kern w:val="0"/>
          <w:sz w:val="32"/>
          <w:szCs w:val="32"/>
        </w:rPr>
        <w:t>余次。</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信息化系统建设和运维产出</w:t>
      </w:r>
    </w:p>
    <w:p w:rsidR="00F14931" w:rsidRDefault="002D1D6E">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完成</w:t>
      </w:r>
      <w:r>
        <w:rPr>
          <w:rFonts w:ascii="仿宋_GB2312" w:eastAsia="仿宋_GB2312" w:hAnsi="宋体" w:cs="宋体" w:hint="eastAsia"/>
          <w:kern w:val="0"/>
          <w:sz w:val="32"/>
          <w:szCs w:val="32"/>
        </w:rPr>
        <w:t>了</w:t>
      </w:r>
      <w:r>
        <w:rPr>
          <w:rFonts w:ascii="仿宋_GB2312" w:eastAsia="仿宋_GB2312" w:hAnsi="宋体" w:cs="宋体" w:hint="eastAsia"/>
          <w:kern w:val="0"/>
          <w:sz w:val="32"/>
          <w:szCs w:val="32"/>
        </w:rPr>
        <w:t>日常网络运</w:t>
      </w:r>
      <w:proofErr w:type="gramStart"/>
      <w:r>
        <w:rPr>
          <w:rFonts w:ascii="仿宋_GB2312" w:eastAsia="仿宋_GB2312" w:hAnsi="宋体" w:cs="宋体" w:hint="eastAsia"/>
          <w:kern w:val="0"/>
          <w:sz w:val="32"/>
          <w:szCs w:val="32"/>
        </w:rPr>
        <w:t>维工作</w:t>
      </w:r>
      <w:proofErr w:type="gramEnd"/>
      <w:r>
        <w:rPr>
          <w:rFonts w:ascii="仿宋_GB2312" w:eastAsia="仿宋_GB2312" w:hAnsi="宋体" w:cs="宋体" w:hint="eastAsia"/>
          <w:kern w:val="0"/>
          <w:sz w:val="32"/>
          <w:szCs w:val="32"/>
        </w:rPr>
        <w:t>及信息化业务租赁等</w:t>
      </w:r>
      <w:r>
        <w:rPr>
          <w:rFonts w:ascii="仿宋_GB2312" w:eastAsia="仿宋_GB2312" w:hAnsi="宋体" w:cs="宋体" w:hint="eastAsia"/>
          <w:kern w:val="0"/>
          <w:sz w:val="32"/>
          <w:szCs w:val="32"/>
        </w:rPr>
        <w:t>工作，具体内容如下：①提高日常和专项巡检频次，全年开展系统优化升级</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余次，确保审执业务、安防监控、网络电话等系统稳定运行。②通过电话、</w:t>
      </w:r>
      <w:proofErr w:type="gramStart"/>
      <w:r>
        <w:rPr>
          <w:rFonts w:ascii="仿宋_GB2312" w:eastAsia="仿宋_GB2312" w:hAnsi="宋体" w:cs="宋体" w:hint="eastAsia"/>
          <w:kern w:val="0"/>
          <w:sz w:val="32"/>
          <w:szCs w:val="32"/>
        </w:rPr>
        <w:t>微信群</w:t>
      </w:r>
      <w:proofErr w:type="gramEnd"/>
      <w:r>
        <w:rPr>
          <w:rFonts w:ascii="仿宋_GB2312" w:eastAsia="仿宋_GB2312" w:hAnsi="宋体" w:cs="宋体" w:hint="eastAsia"/>
          <w:kern w:val="0"/>
          <w:sz w:val="32"/>
          <w:szCs w:val="32"/>
        </w:rPr>
        <w:t>、现场保障等方式保障线上开庭</w:t>
      </w:r>
      <w:r>
        <w:rPr>
          <w:rFonts w:ascii="仿宋_GB2312" w:eastAsia="仿宋_GB2312" w:hAnsi="宋体" w:cs="宋体" w:hint="eastAsia"/>
          <w:kern w:val="0"/>
          <w:sz w:val="32"/>
          <w:szCs w:val="32"/>
        </w:rPr>
        <w:t>25000</w:t>
      </w:r>
      <w:r>
        <w:rPr>
          <w:rFonts w:ascii="仿宋_GB2312" w:eastAsia="仿宋_GB2312" w:hAnsi="宋体" w:cs="宋体" w:hint="eastAsia"/>
          <w:kern w:val="0"/>
          <w:sz w:val="32"/>
          <w:szCs w:val="32"/>
        </w:rPr>
        <w:t>余次，刻录庭审光盘</w:t>
      </w:r>
      <w:r>
        <w:rPr>
          <w:rFonts w:ascii="仿宋_GB2312" w:eastAsia="仿宋_GB2312" w:hAnsi="宋体" w:cs="宋体" w:hint="eastAsia"/>
          <w:kern w:val="0"/>
          <w:sz w:val="32"/>
          <w:szCs w:val="32"/>
        </w:rPr>
        <w:t>2500</w:t>
      </w:r>
      <w:r>
        <w:rPr>
          <w:rFonts w:ascii="仿宋_GB2312" w:eastAsia="仿宋_GB2312" w:hAnsi="宋体" w:cs="宋体" w:hint="eastAsia"/>
          <w:kern w:val="0"/>
          <w:sz w:val="32"/>
          <w:szCs w:val="32"/>
        </w:rPr>
        <w:t>余张，保障新闻发布会</w:t>
      </w:r>
      <w:r>
        <w:rPr>
          <w:rFonts w:ascii="仿宋_GB2312" w:eastAsia="仿宋_GB2312" w:hAnsi="宋体" w:cs="宋体" w:hint="eastAsia"/>
          <w:kern w:val="0"/>
          <w:sz w:val="32"/>
          <w:szCs w:val="32"/>
        </w:rPr>
        <w:t>6</w:t>
      </w:r>
      <w:r>
        <w:rPr>
          <w:rFonts w:ascii="仿宋_GB2312" w:eastAsia="仿宋_GB2312" w:hAnsi="宋体" w:cs="宋体" w:hint="eastAsia"/>
          <w:kern w:val="0"/>
          <w:sz w:val="32"/>
          <w:szCs w:val="32"/>
        </w:rPr>
        <w:t>次，保障驻看守所科技法庭开庭</w:t>
      </w:r>
      <w:r>
        <w:rPr>
          <w:rFonts w:ascii="仿宋_GB2312" w:eastAsia="仿宋_GB2312" w:hAnsi="宋体" w:cs="宋体" w:hint="eastAsia"/>
          <w:kern w:val="0"/>
          <w:sz w:val="32"/>
          <w:szCs w:val="32"/>
        </w:rPr>
        <w:t>27</w:t>
      </w:r>
      <w:r>
        <w:rPr>
          <w:rFonts w:ascii="仿宋_GB2312" w:eastAsia="仿宋_GB2312" w:hAnsi="宋体" w:cs="宋体" w:hint="eastAsia"/>
          <w:kern w:val="0"/>
          <w:sz w:val="32"/>
          <w:szCs w:val="32"/>
        </w:rPr>
        <w:t>次。③积极与市经信局等部门沟通，将互联网接入速率由</w:t>
      </w:r>
      <w:r>
        <w:rPr>
          <w:rFonts w:ascii="仿宋_GB2312" w:eastAsia="仿宋_GB2312" w:hAnsi="宋体" w:cs="宋体" w:hint="eastAsia"/>
          <w:kern w:val="0"/>
          <w:sz w:val="32"/>
          <w:szCs w:val="32"/>
        </w:rPr>
        <w:t>400</w:t>
      </w:r>
      <w:proofErr w:type="gramStart"/>
      <w:r>
        <w:rPr>
          <w:rFonts w:ascii="仿宋_GB2312" w:eastAsia="仿宋_GB2312" w:hAnsi="宋体" w:cs="宋体" w:hint="eastAsia"/>
          <w:kern w:val="0"/>
          <w:sz w:val="32"/>
          <w:szCs w:val="32"/>
        </w:rPr>
        <w:t>兆</w:t>
      </w:r>
      <w:proofErr w:type="gramEnd"/>
      <w:r>
        <w:rPr>
          <w:rFonts w:ascii="仿宋_GB2312" w:eastAsia="仿宋_GB2312" w:hAnsi="宋体" w:cs="宋体" w:hint="eastAsia"/>
          <w:kern w:val="0"/>
          <w:sz w:val="32"/>
          <w:szCs w:val="32"/>
        </w:rPr>
        <w:t>提升至</w:t>
      </w:r>
      <w:r>
        <w:rPr>
          <w:rFonts w:ascii="仿宋_GB2312" w:eastAsia="仿宋_GB2312" w:hAnsi="宋体" w:cs="宋体" w:hint="eastAsia"/>
          <w:kern w:val="0"/>
          <w:sz w:val="32"/>
          <w:szCs w:val="32"/>
        </w:rPr>
        <w:t>500</w:t>
      </w:r>
      <w:proofErr w:type="gramStart"/>
      <w:r>
        <w:rPr>
          <w:rFonts w:ascii="仿宋_GB2312" w:eastAsia="仿宋_GB2312" w:hAnsi="宋体" w:cs="宋体" w:hint="eastAsia"/>
          <w:kern w:val="0"/>
          <w:sz w:val="32"/>
          <w:szCs w:val="32"/>
        </w:rPr>
        <w:t>兆</w:t>
      </w:r>
      <w:proofErr w:type="gramEnd"/>
      <w:r>
        <w:rPr>
          <w:rFonts w:ascii="仿宋_GB2312" w:eastAsia="仿宋_GB2312" w:hAnsi="宋体" w:cs="宋体" w:hint="eastAsia"/>
          <w:kern w:val="0"/>
          <w:sz w:val="32"/>
          <w:szCs w:val="32"/>
        </w:rPr>
        <w:t>。④</w:t>
      </w:r>
      <w:proofErr w:type="gramStart"/>
      <w:r>
        <w:rPr>
          <w:rFonts w:ascii="仿宋_GB2312" w:eastAsia="仿宋_GB2312" w:hAnsi="宋体" w:cs="宋体" w:hint="eastAsia"/>
          <w:kern w:val="0"/>
          <w:sz w:val="32"/>
          <w:szCs w:val="32"/>
        </w:rPr>
        <w:t>进行信</w:t>
      </w:r>
      <w:proofErr w:type="gramEnd"/>
      <w:r>
        <w:rPr>
          <w:rFonts w:ascii="仿宋_GB2312" w:eastAsia="仿宋_GB2312" w:hAnsi="宋体" w:cs="宋体" w:hint="eastAsia"/>
          <w:kern w:val="0"/>
          <w:sz w:val="32"/>
          <w:szCs w:val="32"/>
        </w:rPr>
        <w:t>创设备更换和配套系统建设，并根据工作需求建设与</w:t>
      </w:r>
      <w:proofErr w:type="gramStart"/>
      <w:r>
        <w:rPr>
          <w:rFonts w:ascii="仿宋_GB2312" w:eastAsia="仿宋_GB2312" w:hAnsi="宋体" w:cs="宋体" w:hint="eastAsia"/>
          <w:kern w:val="0"/>
          <w:sz w:val="32"/>
          <w:szCs w:val="32"/>
        </w:rPr>
        <w:t>信创系统</w:t>
      </w:r>
      <w:proofErr w:type="gramEnd"/>
      <w:r>
        <w:rPr>
          <w:rFonts w:ascii="仿宋_GB2312" w:eastAsia="仿宋_GB2312" w:hAnsi="宋体" w:cs="宋体" w:hint="eastAsia"/>
          <w:kern w:val="0"/>
          <w:sz w:val="32"/>
          <w:szCs w:val="32"/>
        </w:rPr>
        <w:t>配套的电话录音系统和电子签章系统，完成执行局大型打印机与信创设备的适配升级。⑤根据实际情况，更换服务年限较长、故障隐</w:t>
      </w:r>
      <w:r>
        <w:rPr>
          <w:rFonts w:ascii="仿宋_GB2312" w:eastAsia="仿宋_GB2312" w:hAnsi="宋体" w:cs="宋体" w:hint="eastAsia"/>
          <w:kern w:val="0"/>
          <w:sz w:val="32"/>
          <w:szCs w:val="32"/>
        </w:rPr>
        <w:t>患较大的视频会议系统设备、电子卷宗存储设备、法庭显示屏、网络机房不间断电源、部分法庭主机等设备。⑥开展第二办公区、车管所和石景山区人</w:t>
      </w:r>
      <w:r>
        <w:rPr>
          <w:rFonts w:ascii="仿宋_GB2312" w:eastAsia="仿宋_GB2312" w:hAnsi="宋体" w:cs="宋体" w:hint="eastAsia"/>
          <w:kern w:val="0"/>
          <w:sz w:val="32"/>
          <w:szCs w:val="32"/>
        </w:rPr>
        <w:lastRenderedPageBreak/>
        <w:t>民法院本院专线电路租赁工作，保障第二办公区，车管所与石景山区人民法院本院在视频会议、远程培训、办公办案方面得到网络支持等。</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纪检监察</w:t>
      </w:r>
      <w:r>
        <w:rPr>
          <w:rFonts w:ascii="仿宋_GB2312" w:eastAsia="仿宋_GB2312" w:hAnsi="宋体" w:cs="宋体" w:hint="eastAsia"/>
          <w:color w:val="000000"/>
          <w:kern w:val="0"/>
          <w:sz w:val="32"/>
          <w:szCs w:val="32"/>
        </w:rPr>
        <w:t>产出</w:t>
      </w:r>
    </w:p>
    <w:p w:rsidR="00F14931" w:rsidRDefault="002D1D6E">
      <w:pPr>
        <w:spacing w:line="600" w:lineRule="exact"/>
        <w:ind w:firstLineChars="200" w:firstLine="640"/>
      </w:pPr>
      <w:r>
        <w:rPr>
          <w:rFonts w:ascii="仿宋_GB2312" w:eastAsia="仿宋_GB2312" w:hAnsi="宋体" w:cs="宋体" w:hint="eastAsia"/>
          <w:color w:val="000000"/>
          <w:kern w:val="0"/>
          <w:sz w:val="32"/>
          <w:szCs w:val="32"/>
        </w:rPr>
        <w:t>①严格落实《中国共产党重大事项请示报告条例》，向上级请示报告</w:t>
      </w:r>
      <w:r>
        <w:rPr>
          <w:rFonts w:ascii="仿宋_GB2312" w:eastAsia="仿宋_GB2312" w:hAnsi="宋体" w:cs="宋体" w:hint="eastAsia"/>
          <w:color w:val="000000"/>
          <w:kern w:val="0"/>
          <w:sz w:val="32"/>
          <w:szCs w:val="32"/>
        </w:rPr>
        <w:t>16</w:t>
      </w:r>
      <w:r>
        <w:rPr>
          <w:rFonts w:ascii="仿宋_GB2312" w:eastAsia="仿宋_GB2312" w:hAnsi="宋体" w:cs="宋体" w:hint="eastAsia"/>
          <w:color w:val="000000"/>
          <w:kern w:val="0"/>
          <w:sz w:val="32"/>
          <w:szCs w:val="32"/>
        </w:rPr>
        <w:t>件次。②严格落实党内监督要求，以季度为单位从严开展支部书记述职述廉、党支部全面从严治党专项检查。③履行全面从严治党工作和业务工作“双一百”考核机制，形成“一把手负总责、分管领导直接抓、部门负责人具体抓、机关纪委强化监督、每名干警具体落实”的党风廉政建设责任制体系。④组织干警学习石景山区人民法院</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年党风廉政建设和反腐败工作会议精神、《新时代政法干警“十个严禁”》等内容，采取观看警示教育片，参观警示教育基地、</w:t>
      </w:r>
      <w:proofErr w:type="gramStart"/>
      <w:r>
        <w:rPr>
          <w:rFonts w:ascii="仿宋_GB2312" w:eastAsia="仿宋_GB2312" w:hAnsi="宋体" w:cs="宋体" w:hint="eastAsia"/>
          <w:color w:val="000000"/>
          <w:kern w:val="0"/>
          <w:sz w:val="32"/>
          <w:szCs w:val="32"/>
        </w:rPr>
        <w:t>首都政法</w:t>
      </w:r>
      <w:proofErr w:type="gramEnd"/>
      <w:r>
        <w:rPr>
          <w:rFonts w:ascii="仿宋_GB2312" w:eastAsia="仿宋_GB2312" w:hAnsi="宋体" w:cs="宋体" w:hint="eastAsia"/>
          <w:color w:val="000000"/>
          <w:kern w:val="0"/>
          <w:sz w:val="32"/>
          <w:szCs w:val="32"/>
        </w:rPr>
        <w:t>队伍教育整顿主题展等方式不</w:t>
      </w:r>
      <w:r>
        <w:rPr>
          <w:rFonts w:ascii="仿宋_GB2312" w:eastAsia="仿宋_GB2312" w:hAnsi="宋体" w:cs="宋体" w:hint="eastAsia"/>
          <w:color w:val="000000"/>
          <w:kern w:val="0"/>
          <w:sz w:val="32"/>
          <w:szCs w:val="32"/>
        </w:rPr>
        <w:t>断丰富学习教育形式；开展“算好廉政四本账”专项警示教育活动，组织干警认真学习违纪违法案例，组织召开青年干警专题交流研讨会。⑤出台关于巩固北京法院政法队伍教育整顿成果推进全面从</w:t>
      </w:r>
      <w:proofErr w:type="gramStart"/>
      <w:r>
        <w:rPr>
          <w:rFonts w:ascii="仿宋_GB2312" w:eastAsia="仿宋_GB2312" w:hAnsi="宋体" w:cs="宋体" w:hint="eastAsia"/>
          <w:color w:val="000000"/>
          <w:kern w:val="0"/>
          <w:sz w:val="32"/>
          <w:szCs w:val="32"/>
        </w:rPr>
        <w:t>严管党</w:t>
      </w:r>
      <w:proofErr w:type="gramEnd"/>
      <w:r>
        <w:rPr>
          <w:rFonts w:ascii="仿宋_GB2312" w:eastAsia="仿宋_GB2312" w:hAnsi="宋体" w:cs="宋体" w:hint="eastAsia"/>
          <w:color w:val="000000"/>
          <w:kern w:val="0"/>
          <w:sz w:val="32"/>
          <w:szCs w:val="32"/>
        </w:rPr>
        <w:t>治警的实施细则，明确</w:t>
      </w:r>
      <w:r>
        <w:rPr>
          <w:rFonts w:ascii="仿宋_GB2312" w:eastAsia="仿宋_GB2312" w:hAnsi="宋体" w:cs="宋体" w:hint="eastAsia"/>
          <w:color w:val="000000"/>
          <w:kern w:val="0"/>
          <w:sz w:val="32"/>
          <w:szCs w:val="32"/>
        </w:rPr>
        <w:t>6</w:t>
      </w:r>
      <w:r>
        <w:rPr>
          <w:rFonts w:ascii="仿宋_GB2312" w:eastAsia="仿宋_GB2312" w:hAnsi="宋体" w:cs="宋体" w:hint="eastAsia"/>
          <w:color w:val="000000"/>
          <w:kern w:val="0"/>
          <w:sz w:val="32"/>
          <w:szCs w:val="32"/>
        </w:rPr>
        <w:t>方面</w:t>
      </w:r>
      <w:r>
        <w:rPr>
          <w:rFonts w:ascii="仿宋_GB2312" w:eastAsia="仿宋_GB2312" w:hAnsi="宋体" w:cs="宋体" w:hint="eastAsia"/>
          <w:color w:val="000000"/>
          <w:kern w:val="0"/>
          <w:sz w:val="32"/>
          <w:szCs w:val="32"/>
        </w:rPr>
        <w:t>19</w:t>
      </w:r>
      <w:r>
        <w:rPr>
          <w:rFonts w:ascii="仿宋_GB2312" w:eastAsia="仿宋_GB2312" w:hAnsi="宋体" w:cs="宋体" w:hint="eastAsia"/>
          <w:color w:val="000000"/>
          <w:kern w:val="0"/>
          <w:sz w:val="32"/>
          <w:szCs w:val="32"/>
        </w:rPr>
        <w:t>个总体任务、</w:t>
      </w:r>
      <w:r>
        <w:rPr>
          <w:rFonts w:ascii="仿宋_GB2312" w:eastAsia="仿宋_GB2312" w:hAnsi="宋体" w:cs="宋体" w:hint="eastAsia"/>
          <w:color w:val="000000"/>
          <w:kern w:val="0"/>
          <w:sz w:val="32"/>
          <w:szCs w:val="32"/>
        </w:rPr>
        <w:t>68</w:t>
      </w:r>
      <w:r>
        <w:rPr>
          <w:rFonts w:ascii="仿宋_GB2312" w:eastAsia="仿宋_GB2312" w:hAnsi="宋体" w:cs="宋体" w:hint="eastAsia"/>
          <w:color w:val="000000"/>
          <w:kern w:val="0"/>
          <w:sz w:val="32"/>
          <w:szCs w:val="32"/>
        </w:rPr>
        <w:t>项具体任务及举措。⑥建立干警家属担任亲情廉政监督员制度，召开亲情廉政监督员聘任会，定时发送廉洁提醒和警示教育案例，提高家庭成员廉洁司法意识。⑦制定《</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年廉政风险点排查清单》，坚持问题导向，分级分岗、分人分类查找个性化廉政风险点</w:t>
      </w:r>
      <w:r>
        <w:rPr>
          <w:rFonts w:ascii="仿宋_GB2312" w:eastAsia="仿宋_GB2312" w:hAnsi="宋体" w:cs="宋体" w:hint="eastAsia"/>
          <w:color w:val="000000"/>
          <w:kern w:val="0"/>
          <w:sz w:val="32"/>
          <w:szCs w:val="32"/>
        </w:rPr>
        <w:t>299</w:t>
      </w:r>
      <w:r>
        <w:rPr>
          <w:rFonts w:ascii="仿宋_GB2312" w:eastAsia="仿宋_GB2312" w:hAnsi="宋体" w:cs="宋体" w:hint="eastAsia"/>
          <w:color w:val="000000"/>
          <w:kern w:val="0"/>
          <w:sz w:val="32"/>
          <w:szCs w:val="32"/>
        </w:rPr>
        <w:t>条，针对性制定廉政风</w:t>
      </w:r>
      <w:r>
        <w:rPr>
          <w:rFonts w:ascii="仿宋_GB2312" w:eastAsia="仿宋_GB2312" w:hAnsi="宋体" w:cs="宋体" w:hint="eastAsia"/>
          <w:color w:val="000000"/>
          <w:kern w:val="0"/>
          <w:sz w:val="32"/>
          <w:szCs w:val="32"/>
        </w:rPr>
        <w:lastRenderedPageBreak/>
        <w:t>险点防控措施</w:t>
      </w:r>
      <w:r>
        <w:rPr>
          <w:rFonts w:ascii="仿宋_GB2312" w:eastAsia="仿宋_GB2312" w:hAnsi="宋体" w:cs="宋体" w:hint="eastAsia"/>
          <w:color w:val="000000"/>
          <w:kern w:val="0"/>
          <w:sz w:val="32"/>
          <w:szCs w:val="32"/>
        </w:rPr>
        <w:t>308</w:t>
      </w:r>
      <w:r>
        <w:rPr>
          <w:rFonts w:ascii="仿宋_GB2312" w:eastAsia="仿宋_GB2312" w:hAnsi="宋体" w:cs="宋体" w:hint="eastAsia"/>
          <w:color w:val="000000"/>
          <w:kern w:val="0"/>
          <w:sz w:val="32"/>
          <w:szCs w:val="32"/>
        </w:rPr>
        <w:t>条。⑧建立</w:t>
      </w:r>
      <w:r>
        <w:rPr>
          <w:rFonts w:ascii="仿宋_GB2312" w:eastAsia="仿宋_GB2312" w:hAnsi="宋体" w:cs="宋体" w:hint="eastAsia"/>
          <w:color w:val="000000"/>
          <w:kern w:val="0"/>
          <w:sz w:val="32"/>
          <w:szCs w:val="32"/>
        </w:rPr>
        <w:t>重大敏感案事件专报机制，形成</w:t>
      </w:r>
      <w:r>
        <w:rPr>
          <w:rFonts w:ascii="仿宋_GB2312" w:eastAsia="仿宋_GB2312" w:hAnsi="宋体" w:cs="宋体" w:hint="eastAsia"/>
          <w:color w:val="000000"/>
          <w:kern w:val="0"/>
          <w:sz w:val="32"/>
          <w:szCs w:val="32"/>
        </w:rPr>
        <w:t>18</w:t>
      </w:r>
      <w:r>
        <w:rPr>
          <w:rFonts w:ascii="仿宋_GB2312" w:eastAsia="仿宋_GB2312" w:hAnsi="宋体" w:cs="宋体" w:hint="eastAsia"/>
          <w:color w:val="000000"/>
          <w:kern w:val="0"/>
          <w:sz w:val="32"/>
          <w:szCs w:val="32"/>
        </w:rPr>
        <w:t>期《重大敏感案（事）件专报》，健全完善重大敏感案</w:t>
      </w:r>
      <w:proofErr w:type="gramStart"/>
      <w:r>
        <w:rPr>
          <w:rFonts w:ascii="仿宋_GB2312" w:eastAsia="仿宋_GB2312" w:hAnsi="宋体" w:cs="宋体" w:hint="eastAsia"/>
          <w:color w:val="000000"/>
          <w:kern w:val="0"/>
          <w:sz w:val="32"/>
          <w:szCs w:val="32"/>
        </w:rPr>
        <w:t>事件台</w:t>
      </w:r>
      <w:proofErr w:type="gramEnd"/>
      <w:r>
        <w:rPr>
          <w:rFonts w:ascii="仿宋_GB2312" w:eastAsia="仿宋_GB2312" w:hAnsi="宋体" w:cs="宋体" w:hint="eastAsia"/>
          <w:color w:val="000000"/>
          <w:kern w:val="0"/>
          <w:sz w:val="32"/>
          <w:szCs w:val="32"/>
        </w:rPr>
        <w:t>账，选择典型案例开展“三同步”实战演练，落实“</w:t>
      </w:r>
      <w:r>
        <w:rPr>
          <w:rFonts w:ascii="仿宋_GB2312" w:eastAsia="仿宋_GB2312" w:hAnsi="宋体" w:cs="宋体" w:hint="eastAsia"/>
          <w:color w:val="000000"/>
          <w:kern w:val="0"/>
          <w:sz w:val="32"/>
          <w:szCs w:val="32"/>
        </w:rPr>
        <w:t>7</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24</w:t>
      </w:r>
      <w:r>
        <w:rPr>
          <w:rFonts w:ascii="仿宋_GB2312" w:eastAsia="仿宋_GB2312" w:hAnsi="宋体" w:cs="宋体" w:hint="eastAsia"/>
          <w:color w:val="000000"/>
          <w:kern w:val="0"/>
          <w:sz w:val="32"/>
          <w:szCs w:val="32"/>
        </w:rPr>
        <w:t>”小时舆情监测要求，未出现负面舆情事件及意识形态事故。⑨完成财务人员轮岗，年度决算、预算申报和预算一体化改革工作。</w:t>
      </w:r>
    </w:p>
    <w:p w:rsidR="00F14931" w:rsidRDefault="002D1D6E">
      <w:pPr>
        <w:spacing w:line="600" w:lineRule="exact"/>
        <w:ind w:firstLineChars="200" w:firstLine="640"/>
        <w:outlineLvl w:val="1"/>
        <w:rPr>
          <w:rFonts w:ascii="楷体_GB2312" w:eastAsia="楷体_GB2312"/>
          <w:sz w:val="32"/>
          <w:szCs w:val="32"/>
        </w:rPr>
      </w:pPr>
      <w:bookmarkStart w:id="8" w:name="_Toc28480"/>
      <w:r>
        <w:rPr>
          <w:rFonts w:ascii="楷体_GB2312" w:eastAsia="楷体_GB2312" w:hint="eastAsia"/>
          <w:sz w:val="32"/>
          <w:szCs w:val="32"/>
        </w:rPr>
        <w:t>（二）效果实现情况分析</w:t>
      </w:r>
      <w:bookmarkEnd w:id="8"/>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保障案件审判工作顺利开展，为审判工作提供便利，为人民群众提供优质高效的司法服务</w:t>
      </w:r>
    </w:p>
    <w:p w:rsidR="00F14931" w:rsidRDefault="002D1D6E">
      <w:pPr>
        <w:spacing w:line="600" w:lineRule="exact"/>
        <w:ind w:firstLineChars="200" w:firstLine="640"/>
      </w:pP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年，石景山区人民法院贯彻</w:t>
      </w:r>
      <w:r>
        <w:rPr>
          <w:rFonts w:ascii="仿宋_GB2312" w:eastAsia="仿宋_GB2312" w:hAnsi="宋体" w:cs="宋体" w:hint="eastAsia"/>
          <w:color w:val="000000"/>
          <w:kern w:val="0"/>
          <w:sz w:val="32"/>
          <w:szCs w:val="32"/>
        </w:rPr>
        <w:t>落实《关于规范办理大标的额民商事案件的实施意见》，针对重大敏感、疑难复杂、大标的额</w:t>
      </w:r>
      <w:r>
        <w:rPr>
          <w:rFonts w:ascii="仿宋_GB2312" w:eastAsia="仿宋_GB2312" w:hAnsi="宋体" w:cs="宋体" w:hint="eastAsia"/>
          <w:color w:val="000000"/>
          <w:kern w:val="0"/>
          <w:sz w:val="32"/>
          <w:szCs w:val="32"/>
        </w:rPr>
        <w:t>等</w:t>
      </w:r>
      <w:r>
        <w:rPr>
          <w:rFonts w:ascii="仿宋_GB2312" w:eastAsia="仿宋_GB2312" w:hAnsi="宋体" w:cs="宋体" w:hint="eastAsia"/>
          <w:color w:val="000000"/>
          <w:kern w:val="0"/>
          <w:sz w:val="32"/>
          <w:szCs w:val="32"/>
        </w:rPr>
        <w:t>民商案件，</w:t>
      </w:r>
      <w:r>
        <w:rPr>
          <w:rFonts w:ascii="仿宋_GB2312" w:eastAsia="仿宋_GB2312" w:hAnsi="宋体" w:cs="宋体" w:hint="eastAsia"/>
          <w:color w:val="000000"/>
          <w:kern w:val="0"/>
          <w:sz w:val="32"/>
          <w:szCs w:val="32"/>
        </w:rPr>
        <w:t>全年</w:t>
      </w:r>
      <w:r>
        <w:rPr>
          <w:rFonts w:ascii="仿宋_GB2312" w:eastAsia="仿宋_GB2312" w:hAnsi="宋体" w:cs="宋体" w:hint="eastAsia"/>
          <w:color w:val="000000"/>
          <w:kern w:val="0"/>
          <w:sz w:val="32"/>
          <w:szCs w:val="32"/>
        </w:rPr>
        <w:t>召开专业法官会议</w:t>
      </w:r>
      <w:r>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次，讨论案件</w:t>
      </w:r>
      <w:r>
        <w:rPr>
          <w:rFonts w:ascii="仿宋_GB2312" w:eastAsia="仿宋_GB2312" w:hAnsi="宋体" w:cs="宋体" w:hint="eastAsia"/>
          <w:color w:val="000000"/>
          <w:kern w:val="0"/>
          <w:sz w:val="32"/>
          <w:szCs w:val="32"/>
        </w:rPr>
        <w:t>25</w:t>
      </w:r>
      <w:r>
        <w:rPr>
          <w:rFonts w:ascii="仿宋_GB2312" w:eastAsia="仿宋_GB2312" w:hAnsi="宋体" w:cs="宋体" w:hint="eastAsia"/>
          <w:color w:val="000000"/>
          <w:kern w:val="0"/>
          <w:sz w:val="32"/>
          <w:szCs w:val="32"/>
        </w:rPr>
        <w:t>件，</w:t>
      </w:r>
      <w:r>
        <w:rPr>
          <w:rFonts w:ascii="仿宋_GB2312" w:eastAsia="仿宋_GB2312" w:hAnsi="宋体" w:cs="宋体" w:hint="eastAsia"/>
          <w:color w:val="000000"/>
          <w:kern w:val="0"/>
          <w:sz w:val="32"/>
          <w:szCs w:val="32"/>
        </w:rPr>
        <w:t>充分</w:t>
      </w:r>
      <w:r>
        <w:rPr>
          <w:rFonts w:ascii="仿宋_GB2312" w:eastAsia="仿宋_GB2312" w:hAnsi="宋体" w:cs="宋体" w:hint="eastAsia"/>
          <w:color w:val="000000"/>
          <w:kern w:val="0"/>
          <w:sz w:val="32"/>
          <w:szCs w:val="32"/>
        </w:rPr>
        <w:t>发挥专业法官会议平台作用</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坚持“让信息多跑路，让群众少跑腿”的理念，</w:t>
      </w:r>
      <w:r>
        <w:rPr>
          <w:rFonts w:ascii="仿宋_GB2312" w:eastAsia="仿宋_GB2312" w:hAnsi="宋体" w:cs="宋体" w:hint="eastAsia"/>
          <w:color w:val="000000"/>
          <w:kern w:val="0"/>
          <w:sz w:val="32"/>
          <w:szCs w:val="32"/>
        </w:rPr>
        <w:t>持续加强智慧法院建设</w:t>
      </w:r>
      <w:r>
        <w:rPr>
          <w:rFonts w:ascii="仿宋_GB2312" w:eastAsia="仿宋_GB2312" w:hAnsi="宋体" w:cs="宋体" w:hint="eastAsia"/>
          <w:color w:val="000000"/>
          <w:kern w:val="0"/>
          <w:sz w:val="32"/>
          <w:szCs w:val="32"/>
        </w:rPr>
        <w:t>，网上立案</w:t>
      </w:r>
      <w:r>
        <w:rPr>
          <w:rFonts w:ascii="仿宋_GB2312" w:eastAsia="仿宋_GB2312" w:hAnsi="宋体" w:cs="宋体" w:hint="eastAsia"/>
          <w:color w:val="000000"/>
          <w:kern w:val="0"/>
          <w:sz w:val="32"/>
          <w:szCs w:val="32"/>
        </w:rPr>
        <w:t>0.69</w:t>
      </w:r>
      <w:r>
        <w:rPr>
          <w:rFonts w:ascii="仿宋_GB2312" w:eastAsia="仿宋_GB2312" w:hAnsi="宋体" w:cs="宋体" w:hint="eastAsia"/>
          <w:color w:val="000000"/>
          <w:kern w:val="0"/>
          <w:sz w:val="32"/>
          <w:szCs w:val="32"/>
        </w:rPr>
        <w:t>万件、网上缴费</w:t>
      </w:r>
      <w:r>
        <w:rPr>
          <w:rFonts w:ascii="仿宋_GB2312" w:eastAsia="仿宋_GB2312" w:hAnsi="宋体" w:cs="宋体" w:hint="eastAsia"/>
          <w:color w:val="000000"/>
          <w:kern w:val="0"/>
          <w:sz w:val="32"/>
          <w:szCs w:val="32"/>
        </w:rPr>
        <w:t>0.87</w:t>
      </w:r>
      <w:r>
        <w:rPr>
          <w:rFonts w:ascii="仿宋_GB2312" w:eastAsia="仿宋_GB2312" w:hAnsi="宋体" w:cs="宋体" w:hint="eastAsia"/>
          <w:color w:val="000000"/>
          <w:kern w:val="0"/>
          <w:sz w:val="32"/>
          <w:szCs w:val="32"/>
        </w:rPr>
        <w:t>万笔、电子送达</w:t>
      </w:r>
      <w:r>
        <w:rPr>
          <w:rFonts w:ascii="仿宋_GB2312" w:eastAsia="仿宋_GB2312" w:hAnsi="宋体" w:cs="宋体" w:hint="eastAsia"/>
          <w:color w:val="000000"/>
          <w:kern w:val="0"/>
          <w:sz w:val="32"/>
          <w:szCs w:val="32"/>
        </w:rPr>
        <w:t>1.98</w:t>
      </w:r>
      <w:r>
        <w:rPr>
          <w:rFonts w:ascii="仿宋_GB2312" w:eastAsia="仿宋_GB2312" w:hAnsi="宋体" w:cs="宋体" w:hint="eastAsia"/>
          <w:color w:val="000000"/>
          <w:kern w:val="0"/>
          <w:sz w:val="32"/>
          <w:szCs w:val="32"/>
        </w:rPr>
        <w:t>万次、线上庭审</w:t>
      </w:r>
      <w:r>
        <w:rPr>
          <w:rFonts w:ascii="仿宋_GB2312" w:eastAsia="仿宋_GB2312" w:hAnsi="宋体" w:cs="宋体" w:hint="eastAsia"/>
          <w:color w:val="000000"/>
          <w:kern w:val="0"/>
          <w:sz w:val="32"/>
          <w:szCs w:val="32"/>
        </w:rPr>
        <w:t>1.3</w:t>
      </w:r>
      <w:r>
        <w:rPr>
          <w:rFonts w:ascii="仿宋_GB2312" w:eastAsia="仿宋_GB2312" w:hAnsi="宋体" w:cs="宋体" w:hint="eastAsia"/>
          <w:color w:val="000000"/>
          <w:kern w:val="0"/>
          <w:sz w:val="32"/>
          <w:szCs w:val="32"/>
        </w:rPr>
        <w:t>万场、网上查控</w:t>
      </w:r>
      <w:r>
        <w:rPr>
          <w:rFonts w:ascii="仿宋_GB2312" w:eastAsia="仿宋_GB2312" w:hAnsi="宋体" w:cs="宋体" w:hint="eastAsia"/>
          <w:color w:val="000000"/>
          <w:kern w:val="0"/>
          <w:sz w:val="32"/>
          <w:szCs w:val="32"/>
        </w:rPr>
        <w:t>0.87</w:t>
      </w:r>
      <w:r>
        <w:rPr>
          <w:rFonts w:ascii="仿宋_GB2312" w:eastAsia="仿宋_GB2312" w:hAnsi="宋体" w:cs="宋体" w:hint="eastAsia"/>
          <w:color w:val="000000"/>
          <w:kern w:val="0"/>
          <w:sz w:val="32"/>
          <w:szCs w:val="32"/>
        </w:rPr>
        <w:t>万次，保障</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案件审判工作顺利开展</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为审判工作提供</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便利</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有效提升</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案件审判质效</w:t>
      </w:r>
      <w:r>
        <w:rPr>
          <w:rFonts w:ascii="仿宋_GB2312" w:eastAsia="仿宋_GB2312" w:hAnsi="宋体" w:cs="宋体" w:hint="eastAsia"/>
          <w:color w:val="000000"/>
          <w:kern w:val="0"/>
          <w:sz w:val="32"/>
          <w:szCs w:val="32"/>
        </w:rPr>
        <w:t>。</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此外，石景山区人民法院</w:t>
      </w:r>
      <w:r>
        <w:rPr>
          <w:rFonts w:ascii="仿宋_GB2312" w:eastAsia="仿宋_GB2312" w:hAnsi="宋体" w:cs="宋体" w:hint="eastAsia"/>
          <w:color w:val="000000"/>
          <w:kern w:val="0"/>
          <w:sz w:val="32"/>
          <w:szCs w:val="32"/>
        </w:rPr>
        <w:t>因打击整治养老</w:t>
      </w:r>
      <w:proofErr w:type="gramStart"/>
      <w:r>
        <w:rPr>
          <w:rFonts w:ascii="仿宋_GB2312" w:eastAsia="仿宋_GB2312" w:hAnsi="宋体" w:cs="宋体" w:hint="eastAsia"/>
          <w:color w:val="000000"/>
          <w:kern w:val="0"/>
          <w:sz w:val="32"/>
          <w:szCs w:val="32"/>
        </w:rPr>
        <w:t>诈骗成效</w:t>
      </w:r>
      <w:proofErr w:type="gramEnd"/>
      <w:r>
        <w:rPr>
          <w:rFonts w:ascii="仿宋_GB2312" w:eastAsia="仿宋_GB2312" w:hAnsi="宋体" w:cs="宋体" w:hint="eastAsia"/>
          <w:color w:val="000000"/>
          <w:kern w:val="0"/>
          <w:sz w:val="32"/>
          <w:szCs w:val="32"/>
        </w:rPr>
        <w:t>显著，在全市推进会上，作为法院系统唯一代表做了经验介绍。同时，注重发挥司法审判示范指引作用，撰写典型案例，深刻揭露“养老帮扶”类诈骗的套路手段及危害，案例被最高人民法院采</w:t>
      </w:r>
      <w:r>
        <w:rPr>
          <w:rFonts w:ascii="仿宋_GB2312" w:eastAsia="仿宋_GB2312" w:hAnsi="宋体" w:cs="宋体" w:hint="eastAsia"/>
          <w:color w:val="000000"/>
          <w:kern w:val="0"/>
          <w:sz w:val="32"/>
          <w:szCs w:val="32"/>
        </w:rPr>
        <w:t>用，入选《人民法院重点打击六类养老诈骗犯罪典</w:t>
      </w:r>
      <w:r>
        <w:rPr>
          <w:rFonts w:ascii="仿宋_GB2312" w:eastAsia="仿宋_GB2312" w:hAnsi="宋体" w:cs="宋体" w:hint="eastAsia"/>
          <w:color w:val="000000"/>
          <w:kern w:val="0"/>
          <w:sz w:val="32"/>
          <w:szCs w:val="32"/>
        </w:rPr>
        <w:lastRenderedPageBreak/>
        <w:t>型案例》。</w:t>
      </w:r>
      <w:r>
        <w:rPr>
          <w:rFonts w:ascii="仿宋_GB2312" w:eastAsia="仿宋_GB2312" w:hint="eastAsia"/>
          <w:sz w:val="32"/>
          <w:szCs w:val="32"/>
        </w:rPr>
        <w:t>《</w:t>
      </w:r>
      <w:r>
        <w:rPr>
          <w:rFonts w:ascii="仿宋_GB2312" w:eastAsia="仿宋_GB2312" w:hint="eastAsia"/>
          <w:sz w:val="32"/>
          <w:szCs w:val="32"/>
        </w:rPr>
        <w:t>2016-2021</w:t>
      </w:r>
      <w:r>
        <w:rPr>
          <w:rFonts w:ascii="仿宋_GB2312" w:eastAsia="仿宋_GB2312" w:hint="eastAsia"/>
          <w:sz w:val="32"/>
          <w:szCs w:val="32"/>
        </w:rPr>
        <w:t>涉中小投资者权益保护司法大数据研究报告》在获得最高院“专题研究示范应用奖”的基础上，获评</w:t>
      </w:r>
      <w:r>
        <w:rPr>
          <w:rFonts w:ascii="仿宋_GB2312" w:eastAsia="仿宋_GB2312" w:hint="eastAsia"/>
          <w:sz w:val="32"/>
          <w:szCs w:val="32"/>
        </w:rPr>
        <w:t>2022</w:t>
      </w:r>
      <w:r>
        <w:rPr>
          <w:rFonts w:ascii="仿宋_GB2312" w:eastAsia="仿宋_GB2312" w:hint="eastAsia"/>
          <w:sz w:val="32"/>
          <w:szCs w:val="32"/>
        </w:rPr>
        <w:t>年北京市法院优秀司法统计分析优秀奖。</w:t>
      </w:r>
      <w:r>
        <w:rPr>
          <w:rFonts w:ascii="仿宋_GB2312" w:eastAsia="仿宋_GB2312" w:hint="eastAsia"/>
          <w:sz w:val="32"/>
          <w:szCs w:val="32"/>
        </w:rPr>
        <w:t>5</w:t>
      </w:r>
      <w:r>
        <w:rPr>
          <w:rFonts w:ascii="仿宋_GB2312" w:eastAsia="仿宋_GB2312" w:hint="eastAsia"/>
          <w:sz w:val="32"/>
          <w:szCs w:val="32"/>
        </w:rPr>
        <w:t>篇案例</w:t>
      </w:r>
      <w:r>
        <w:rPr>
          <w:rFonts w:ascii="仿宋_GB2312" w:eastAsia="仿宋_GB2312" w:hint="eastAsia"/>
          <w:sz w:val="32"/>
          <w:szCs w:val="32"/>
        </w:rPr>
        <w:t>被</w:t>
      </w:r>
      <w:r>
        <w:rPr>
          <w:rFonts w:ascii="仿宋_GB2312" w:eastAsia="仿宋_GB2312" w:hint="eastAsia"/>
          <w:sz w:val="32"/>
          <w:szCs w:val="32"/>
        </w:rPr>
        <w:t>《</w:t>
      </w:r>
      <w:r>
        <w:rPr>
          <w:rFonts w:ascii="仿宋_GB2312" w:eastAsia="仿宋_GB2312" w:hint="eastAsia"/>
          <w:sz w:val="32"/>
          <w:szCs w:val="32"/>
        </w:rPr>
        <w:t>中国法院年度案例</w:t>
      </w:r>
      <w:r>
        <w:rPr>
          <w:rFonts w:ascii="仿宋_GB2312" w:eastAsia="仿宋_GB2312" w:hint="eastAsia"/>
          <w:sz w:val="32"/>
          <w:szCs w:val="32"/>
        </w:rPr>
        <w:t>》《</w:t>
      </w:r>
      <w:r>
        <w:rPr>
          <w:rFonts w:ascii="仿宋_GB2312" w:eastAsia="仿宋_GB2312" w:hint="eastAsia"/>
          <w:sz w:val="32"/>
          <w:szCs w:val="32"/>
        </w:rPr>
        <w:t>审判前沿</w:t>
      </w:r>
      <w:r>
        <w:rPr>
          <w:rFonts w:ascii="仿宋_GB2312" w:eastAsia="仿宋_GB2312" w:hint="eastAsia"/>
          <w:sz w:val="32"/>
          <w:szCs w:val="32"/>
        </w:rPr>
        <w:t>》</w:t>
      </w:r>
      <w:r>
        <w:rPr>
          <w:rFonts w:ascii="仿宋_GB2312" w:eastAsia="仿宋_GB2312" w:hint="eastAsia"/>
          <w:sz w:val="32"/>
          <w:szCs w:val="32"/>
        </w:rPr>
        <w:t>及</w:t>
      </w:r>
      <w:r>
        <w:rPr>
          <w:rFonts w:ascii="仿宋_GB2312" w:eastAsia="仿宋_GB2312" w:hint="eastAsia"/>
          <w:sz w:val="32"/>
          <w:szCs w:val="32"/>
        </w:rPr>
        <w:t>最高院出版的书籍采用</w:t>
      </w: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篇党建、优化营商环境等普法文章被</w:t>
      </w:r>
      <w:r>
        <w:rPr>
          <w:rFonts w:ascii="仿宋_GB2312" w:eastAsia="仿宋_GB2312" w:hint="eastAsia"/>
          <w:sz w:val="32"/>
          <w:szCs w:val="32"/>
        </w:rPr>
        <w:t>《北京</w:t>
      </w:r>
      <w:r>
        <w:rPr>
          <w:rFonts w:ascii="仿宋_GB2312" w:eastAsia="仿宋_GB2312" w:hint="eastAsia"/>
          <w:sz w:val="32"/>
          <w:szCs w:val="32"/>
        </w:rPr>
        <w:t>法官</w:t>
      </w:r>
      <w:r>
        <w:rPr>
          <w:rFonts w:ascii="仿宋_GB2312" w:eastAsia="仿宋_GB2312" w:hint="eastAsia"/>
          <w:sz w:val="32"/>
          <w:szCs w:val="32"/>
        </w:rPr>
        <w:t>》《</w:t>
      </w:r>
      <w:r>
        <w:rPr>
          <w:rFonts w:ascii="仿宋_GB2312" w:eastAsia="仿宋_GB2312" w:hint="eastAsia"/>
          <w:sz w:val="32"/>
          <w:szCs w:val="32"/>
        </w:rPr>
        <w:t>法庭内外</w:t>
      </w:r>
      <w:r>
        <w:rPr>
          <w:rFonts w:ascii="仿宋_GB2312" w:eastAsia="仿宋_GB2312" w:hint="eastAsia"/>
          <w:sz w:val="32"/>
          <w:szCs w:val="32"/>
        </w:rPr>
        <w:t>》《</w:t>
      </w:r>
      <w:r>
        <w:rPr>
          <w:rFonts w:ascii="仿宋_GB2312" w:eastAsia="仿宋_GB2312" w:hint="eastAsia"/>
          <w:sz w:val="32"/>
          <w:szCs w:val="32"/>
        </w:rPr>
        <w:t>法治</w:t>
      </w:r>
      <w:r>
        <w:rPr>
          <w:rFonts w:ascii="仿宋_GB2312" w:eastAsia="仿宋_GB2312" w:hint="eastAsia"/>
          <w:sz w:val="32"/>
          <w:szCs w:val="32"/>
        </w:rPr>
        <w:t>日报》《北京日报》刊载。</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另一方面，</w:t>
      </w:r>
      <w:r>
        <w:rPr>
          <w:rFonts w:ascii="仿宋_GB2312" w:eastAsia="仿宋_GB2312" w:hAnsi="宋体" w:cs="宋体" w:hint="eastAsia"/>
          <w:color w:val="000000"/>
          <w:kern w:val="0"/>
          <w:sz w:val="32"/>
          <w:szCs w:val="32"/>
        </w:rPr>
        <w:t>通过日常申诉案件、</w:t>
      </w:r>
      <w:r>
        <w:rPr>
          <w:rFonts w:ascii="仿宋_GB2312" w:eastAsia="仿宋_GB2312" w:hAnsi="宋体" w:cs="宋体" w:hint="eastAsia"/>
          <w:color w:val="000000"/>
          <w:kern w:val="0"/>
          <w:sz w:val="32"/>
          <w:szCs w:val="32"/>
        </w:rPr>
        <w:t>信访案件复查等方式</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逐案</w:t>
      </w:r>
      <w:r>
        <w:rPr>
          <w:rFonts w:ascii="仿宋_GB2312" w:eastAsia="仿宋_GB2312" w:hAnsi="宋体" w:cs="宋体" w:hint="eastAsia"/>
          <w:color w:val="000000"/>
          <w:kern w:val="0"/>
          <w:sz w:val="32"/>
          <w:szCs w:val="32"/>
        </w:rPr>
        <w:t>梳理</w:t>
      </w:r>
      <w:r>
        <w:rPr>
          <w:rFonts w:ascii="仿宋_GB2312" w:eastAsia="仿宋_GB2312" w:hAnsi="宋体" w:cs="宋体" w:hint="eastAsia"/>
          <w:color w:val="000000"/>
          <w:kern w:val="0"/>
          <w:sz w:val="32"/>
          <w:szCs w:val="32"/>
        </w:rPr>
        <w:t>石景山区人民法院</w:t>
      </w:r>
      <w:r>
        <w:rPr>
          <w:rFonts w:ascii="仿宋_GB2312" w:eastAsia="仿宋_GB2312" w:hAnsi="宋体" w:cs="宋体" w:hint="eastAsia"/>
          <w:color w:val="000000"/>
          <w:kern w:val="0"/>
          <w:sz w:val="32"/>
          <w:szCs w:val="32"/>
        </w:rPr>
        <w:t>已结案件中确实存在的审判问题，及时进行案件纠错、纳入再审程序，</w:t>
      </w:r>
      <w:r>
        <w:rPr>
          <w:rFonts w:ascii="仿宋_GB2312" w:eastAsia="仿宋_GB2312" w:hAnsi="宋体" w:cs="宋体" w:hint="eastAsia"/>
          <w:color w:val="000000"/>
          <w:kern w:val="0"/>
          <w:sz w:val="32"/>
          <w:szCs w:val="32"/>
        </w:rPr>
        <w:t>既维护了当事人合法权益，又切实维护了司法权威；加强</w:t>
      </w:r>
      <w:r>
        <w:rPr>
          <w:rFonts w:ascii="仿宋_GB2312" w:eastAsia="仿宋_GB2312" w:hAnsi="宋体" w:cs="宋体" w:hint="eastAsia"/>
          <w:color w:val="000000"/>
          <w:kern w:val="0"/>
          <w:sz w:val="32"/>
          <w:szCs w:val="32"/>
        </w:rPr>
        <w:t>调解平台“三进”工作机制、</w:t>
      </w:r>
      <w:r>
        <w:rPr>
          <w:rFonts w:ascii="仿宋_GB2312" w:eastAsia="仿宋_GB2312" w:hAnsi="宋体" w:cs="宋体" w:hint="eastAsia"/>
          <w:color w:val="000000"/>
          <w:kern w:val="0"/>
          <w:sz w:val="32"/>
          <w:szCs w:val="32"/>
        </w:rPr>
        <w:t>12368</w:t>
      </w:r>
      <w:r>
        <w:rPr>
          <w:rFonts w:ascii="仿宋_GB2312" w:eastAsia="仿宋_GB2312" w:hAnsi="宋体" w:cs="宋体" w:hint="eastAsia"/>
          <w:color w:val="000000"/>
          <w:kern w:val="0"/>
          <w:sz w:val="32"/>
          <w:szCs w:val="32"/>
        </w:rPr>
        <w:t>“一号响应”工作机制</w:t>
      </w:r>
      <w:r>
        <w:rPr>
          <w:rFonts w:ascii="仿宋_GB2312" w:eastAsia="仿宋_GB2312" w:hAnsi="宋体" w:cs="宋体" w:hint="eastAsia"/>
          <w:color w:val="000000"/>
          <w:kern w:val="0"/>
          <w:sz w:val="32"/>
          <w:szCs w:val="32"/>
        </w:rPr>
        <w:t>与</w:t>
      </w:r>
      <w:proofErr w:type="gramStart"/>
      <w:r>
        <w:rPr>
          <w:rFonts w:ascii="仿宋_GB2312" w:eastAsia="仿宋_GB2312" w:hAnsi="宋体" w:cs="宋体" w:hint="eastAsia"/>
          <w:color w:val="000000"/>
          <w:kern w:val="0"/>
          <w:sz w:val="32"/>
          <w:szCs w:val="32"/>
        </w:rPr>
        <w:t>诉源治理</w:t>
      </w:r>
      <w:proofErr w:type="gramEnd"/>
      <w:r>
        <w:rPr>
          <w:rFonts w:ascii="仿宋_GB2312" w:eastAsia="仿宋_GB2312" w:hAnsi="宋体" w:cs="宋体" w:hint="eastAsia"/>
          <w:color w:val="000000"/>
          <w:kern w:val="0"/>
          <w:sz w:val="32"/>
          <w:szCs w:val="32"/>
        </w:rPr>
        <w:t>工作衔接融合</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对</w:t>
      </w:r>
      <w:r>
        <w:rPr>
          <w:rFonts w:ascii="仿宋_GB2312" w:eastAsia="仿宋_GB2312" w:hAnsi="宋体" w:cs="宋体" w:hint="eastAsia"/>
          <w:color w:val="000000"/>
          <w:kern w:val="0"/>
          <w:sz w:val="32"/>
          <w:szCs w:val="32"/>
        </w:rPr>
        <w:t>街道社区在预防化解矛盾纠纷过程中提出的司法需求</w:t>
      </w:r>
      <w:r>
        <w:rPr>
          <w:rFonts w:ascii="仿宋_GB2312" w:eastAsia="仿宋_GB2312" w:hAnsi="宋体" w:cs="宋体" w:hint="eastAsia"/>
          <w:color w:val="000000"/>
          <w:kern w:val="0"/>
          <w:sz w:val="32"/>
          <w:szCs w:val="32"/>
        </w:rPr>
        <w:t>进行了</w:t>
      </w:r>
      <w:r>
        <w:rPr>
          <w:rFonts w:ascii="仿宋_GB2312" w:eastAsia="仿宋_GB2312" w:hAnsi="宋体" w:cs="宋体" w:hint="eastAsia"/>
          <w:color w:val="000000"/>
          <w:kern w:val="0"/>
          <w:sz w:val="32"/>
          <w:szCs w:val="32"/>
        </w:rPr>
        <w:t>快速精准</w:t>
      </w:r>
      <w:r>
        <w:rPr>
          <w:rFonts w:ascii="仿宋_GB2312" w:eastAsia="仿宋_GB2312" w:hAnsi="宋体" w:cs="宋体" w:hint="eastAsia"/>
          <w:color w:val="000000"/>
          <w:kern w:val="0"/>
          <w:sz w:val="32"/>
          <w:szCs w:val="32"/>
        </w:rPr>
        <w:t>的</w:t>
      </w:r>
      <w:r>
        <w:rPr>
          <w:rFonts w:ascii="仿宋_GB2312" w:eastAsia="仿宋_GB2312" w:hAnsi="宋体" w:cs="宋体" w:hint="eastAsia"/>
          <w:color w:val="000000"/>
          <w:kern w:val="0"/>
          <w:sz w:val="32"/>
          <w:szCs w:val="32"/>
        </w:rPr>
        <w:t>回应</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为</w:t>
      </w:r>
      <w:r>
        <w:rPr>
          <w:rFonts w:ascii="仿宋_GB2312" w:eastAsia="仿宋_GB2312" w:hAnsi="宋体" w:cs="宋体" w:hint="eastAsia"/>
          <w:color w:val="000000"/>
          <w:kern w:val="0"/>
          <w:sz w:val="32"/>
          <w:szCs w:val="32"/>
        </w:rPr>
        <w:t>群众提供</w:t>
      </w:r>
      <w:r>
        <w:rPr>
          <w:rFonts w:ascii="仿宋_GB2312" w:eastAsia="仿宋_GB2312" w:hAnsi="宋体" w:cs="宋体" w:hint="eastAsia"/>
          <w:color w:val="000000"/>
          <w:kern w:val="0"/>
          <w:sz w:val="32"/>
          <w:szCs w:val="32"/>
        </w:rPr>
        <w:t>了更加优质高效</w:t>
      </w:r>
      <w:r>
        <w:rPr>
          <w:rFonts w:ascii="仿宋_GB2312" w:eastAsia="仿宋_GB2312" w:hAnsi="宋体" w:cs="宋体" w:hint="eastAsia"/>
          <w:color w:val="000000"/>
          <w:kern w:val="0"/>
          <w:sz w:val="32"/>
          <w:szCs w:val="32"/>
        </w:rPr>
        <w:t>的</w:t>
      </w:r>
      <w:r>
        <w:rPr>
          <w:rFonts w:ascii="仿宋_GB2312" w:eastAsia="仿宋_GB2312" w:hAnsi="宋体" w:cs="宋体" w:hint="eastAsia"/>
          <w:color w:val="000000"/>
          <w:kern w:val="0"/>
          <w:sz w:val="32"/>
          <w:szCs w:val="32"/>
        </w:rPr>
        <w:t>司法服务。</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保障审判执行活动正常开展，为办公办案提供便利，提高审判执行工作水平</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石景山区人民法院采购了庭审主机、存储及硬盘设备、指纹门禁设备、档案备份存储设备、笔记本电脑、无线</w:t>
      </w:r>
      <w:r>
        <w:rPr>
          <w:rFonts w:ascii="仿宋_GB2312" w:eastAsia="仿宋_GB2312" w:hAnsi="宋体" w:cs="宋体" w:hint="eastAsia"/>
          <w:color w:val="000000"/>
          <w:kern w:val="0"/>
          <w:sz w:val="32"/>
          <w:szCs w:val="32"/>
        </w:rPr>
        <w:t>AP</w:t>
      </w:r>
      <w:r>
        <w:rPr>
          <w:rFonts w:ascii="仿宋_GB2312" w:eastAsia="仿宋_GB2312" w:hAnsi="宋体" w:cs="宋体" w:hint="eastAsia"/>
          <w:color w:val="000000"/>
          <w:kern w:val="0"/>
          <w:sz w:val="32"/>
          <w:szCs w:val="32"/>
        </w:rPr>
        <w:t>、电话录音设备、法庭法椅、警用遮挡围栏等审判执行相关的业务设备，</w:t>
      </w:r>
      <w:r>
        <w:rPr>
          <w:rFonts w:ascii="仿宋_GB2312" w:eastAsia="仿宋_GB2312" w:hAnsi="宋体" w:cs="宋体" w:hint="eastAsia"/>
          <w:color w:val="000000"/>
          <w:kern w:val="0"/>
          <w:sz w:val="32"/>
          <w:szCs w:val="32"/>
        </w:rPr>
        <w:t>保障</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审判执行活动正常开展</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为办公办案提供</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便利</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同时，加大强制措施力度，通过当事人提供财产线索，确保胜诉人权益及时到位，</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年共接到线索</w:t>
      </w:r>
      <w:r>
        <w:rPr>
          <w:rFonts w:ascii="仿宋_GB2312" w:eastAsia="仿宋_GB2312" w:hAnsi="宋体" w:cs="宋体" w:hint="eastAsia"/>
          <w:color w:val="000000"/>
          <w:kern w:val="0"/>
          <w:sz w:val="32"/>
          <w:szCs w:val="32"/>
        </w:rPr>
        <w:t>88</w:t>
      </w:r>
      <w:r>
        <w:rPr>
          <w:rFonts w:ascii="仿宋_GB2312" w:eastAsia="仿宋_GB2312" w:hAnsi="宋体" w:cs="宋体" w:hint="eastAsia"/>
          <w:color w:val="000000"/>
          <w:kern w:val="0"/>
          <w:sz w:val="32"/>
          <w:szCs w:val="32"/>
        </w:rPr>
        <w:t>件，核查属实</w:t>
      </w:r>
      <w:r>
        <w:rPr>
          <w:rFonts w:ascii="仿宋_GB2312" w:eastAsia="仿宋_GB2312" w:hAnsi="宋体" w:cs="宋体" w:hint="eastAsia"/>
          <w:color w:val="000000"/>
          <w:kern w:val="0"/>
          <w:sz w:val="32"/>
          <w:szCs w:val="32"/>
        </w:rPr>
        <w:t>68</w:t>
      </w:r>
      <w:r>
        <w:rPr>
          <w:rFonts w:ascii="仿宋_GB2312" w:eastAsia="仿宋_GB2312" w:hAnsi="宋体" w:cs="宋体" w:hint="eastAsia"/>
          <w:color w:val="000000"/>
          <w:kern w:val="0"/>
          <w:sz w:val="32"/>
          <w:szCs w:val="32"/>
        </w:rPr>
        <w:t>件，执行到位金额</w:t>
      </w:r>
      <w:r>
        <w:rPr>
          <w:rFonts w:ascii="仿宋_GB2312" w:eastAsia="仿宋_GB2312" w:hAnsi="宋体" w:cs="宋体" w:hint="eastAsia"/>
          <w:color w:val="000000"/>
          <w:kern w:val="0"/>
          <w:sz w:val="32"/>
          <w:szCs w:val="32"/>
        </w:rPr>
        <w:t>105</w:t>
      </w:r>
      <w:r>
        <w:rPr>
          <w:rFonts w:ascii="仿宋_GB2312" w:eastAsia="仿宋_GB2312" w:hAnsi="宋体" w:cs="宋体" w:hint="eastAsia"/>
          <w:color w:val="000000"/>
          <w:kern w:val="0"/>
          <w:sz w:val="32"/>
          <w:szCs w:val="32"/>
        </w:rPr>
        <w:t>万元；深化执行联动机</w:t>
      </w:r>
      <w:r>
        <w:rPr>
          <w:rFonts w:ascii="仿宋_GB2312" w:eastAsia="仿宋_GB2312" w:hAnsi="宋体" w:cs="宋体" w:hint="eastAsia"/>
          <w:color w:val="000000"/>
          <w:kern w:val="0"/>
          <w:sz w:val="32"/>
          <w:szCs w:val="32"/>
        </w:rPr>
        <w:lastRenderedPageBreak/>
        <w:t>制，全年办结外地法院事项委托</w:t>
      </w:r>
      <w:r>
        <w:rPr>
          <w:rFonts w:ascii="仿宋_GB2312" w:eastAsia="仿宋_GB2312" w:hAnsi="宋体" w:cs="宋体" w:hint="eastAsia"/>
          <w:color w:val="000000"/>
          <w:kern w:val="0"/>
          <w:sz w:val="32"/>
          <w:szCs w:val="32"/>
        </w:rPr>
        <w:t>1386</w:t>
      </w:r>
      <w:r>
        <w:rPr>
          <w:rFonts w:ascii="仿宋_GB2312" w:eastAsia="仿宋_GB2312" w:hAnsi="宋体" w:cs="宋体" w:hint="eastAsia"/>
          <w:color w:val="000000"/>
          <w:kern w:val="0"/>
          <w:sz w:val="32"/>
          <w:szCs w:val="32"/>
        </w:rPr>
        <w:t>件，同比增长</w:t>
      </w:r>
      <w:r>
        <w:rPr>
          <w:rFonts w:ascii="仿宋_GB2312" w:eastAsia="仿宋_GB2312" w:hAnsi="宋体" w:cs="宋体" w:hint="eastAsia"/>
          <w:color w:val="000000"/>
          <w:kern w:val="0"/>
          <w:sz w:val="32"/>
          <w:szCs w:val="32"/>
        </w:rPr>
        <w:t>71%</w:t>
      </w:r>
      <w:r>
        <w:rPr>
          <w:rFonts w:ascii="仿宋_GB2312" w:eastAsia="仿宋_GB2312" w:hAnsi="宋体" w:cs="宋体" w:hint="eastAsia"/>
          <w:color w:val="000000"/>
          <w:kern w:val="0"/>
          <w:sz w:val="32"/>
          <w:szCs w:val="32"/>
        </w:rPr>
        <w:t>，有效解决了执行难问题。此外，</w:t>
      </w:r>
      <w:r>
        <w:rPr>
          <w:rFonts w:ascii="仿宋_GB2312" w:eastAsia="仿宋_GB2312" w:hAnsi="宋体" w:cs="宋体" w:hint="eastAsia"/>
          <w:color w:val="000000"/>
          <w:kern w:val="0"/>
          <w:sz w:val="32"/>
          <w:szCs w:val="32"/>
        </w:rPr>
        <w:t>运用法官会议等形式进行</w:t>
      </w:r>
      <w:r>
        <w:rPr>
          <w:rFonts w:ascii="仿宋_GB2312" w:eastAsia="仿宋_GB2312" w:hAnsi="宋体" w:cs="宋体" w:hint="eastAsia"/>
          <w:color w:val="000000"/>
          <w:kern w:val="0"/>
          <w:sz w:val="32"/>
          <w:szCs w:val="32"/>
        </w:rPr>
        <w:t>疑难复杂案件中的</w:t>
      </w:r>
      <w:r>
        <w:rPr>
          <w:rFonts w:ascii="仿宋_GB2312" w:eastAsia="仿宋_GB2312" w:hAnsi="宋体" w:cs="宋体" w:hint="eastAsia"/>
          <w:color w:val="000000"/>
          <w:kern w:val="0"/>
          <w:sz w:val="32"/>
          <w:szCs w:val="32"/>
        </w:rPr>
        <w:t>问题研讨，在提升干警业务水平的基础上有效减少</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类似问题的出现</w:t>
      </w:r>
      <w:r>
        <w:rPr>
          <w:rFonts w:ascii="仿宋_GB2312" w:eastAsia="仿宋_GB2312" w:hAnsi="宋体" w:cs="宋体" w:hint="eastAsia"/>
          <w:color w:val="000000"/>
          <w:kern w:val="0"/>
          <w:sz w:val="32"/>
          <w:szCs w:val="32"/>
        </w:rPr>
        <w:t>，提高</w:t>
      </w:r>
      <w:r>
        <w:rPr>
          <w:rFonts w:ascii="仿宋_GB2312" w:eastAsia="仿宋_GB2312" w:hAnsi="宋体" w:cs="宋体" w:hint="eastAsia"/>
          <w:color w:val="000000"/>
          <w:kern w:val="0"/>
          <w:sz w:val="32"/>
          <w:szCs w:val="32"/>
        </w:rPr>
        <w:t>了</w:t>
      </w:r>
      <w:r>
        <w:rPr>
          <w:rFonts w:ascii="仿宋_GB2312" w:eastAsia="仿宋_GB2312" w:hAnsi="宋体" w:cs="宋体" w:hint="eastAsia"/>
          <w:color w:val="000000"/>
          <w:kern w:val="0"/>
          <w:sz w:val="32"/>
          <w:szCs w:val="32"/>
        </w:rPr>
        <w:t>审判执行工作水平。</w:t>
      </w:r>
      <w:r>
        <w:rPr>
          <w:rFonts w:ascii="仿宋_GB2312" w:eastAsia="仿宋_GB2312" w:hAnsi="宋体" w:cs="宋体" w:hint="eastAsia"/>
          <w:color w:val="000000"/>
          <w:kern w:val="0"/>
          <w:sz w:val="32"/>
          <w:szCs w:val="32"/>
        </w:rPr>
        <w:t xml:space="preserve"> </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保障日常办公顺利开展，满足“两庭”建设需求，提升公共服务能力</w:t>
      </w:r>
    </w:p>
    <w:p w:rsidR="00F14931" w:rsidRDefault="002D1D6E">
      <w:pPr>
        <w:spacing w:line="600" w:lineRule="exact"/>
        <w:ind w:firstLineChars="200" w:firstLine="640"/>
      </w:pPr>
      <w:r>
        <w:rPr>
          <w:rFonts w:ascii="仿宋_GB2312" w:eastAsia="仿宋_GB2312" w:hAnsi="宋体" w:cs="宋体" w:hint="eastAsia"/>
          <w:color w:val="000000"/>
          <w:kern w:val="0"/>
          <w:sz w:val="32"/>
          <w:szCs w:val="32"/>
        </w:rPr>
        <w:t>通过办公用房租赁、业务装备购置、</w:t>
      </w:r>
      <w:proofErr w:type="gramStart"/>
      <w:r>
        <w:rPr>
          <w:rFonts w:ascii="仿宋_GB2312" w:eastAsia="仿宋_GB2312" w:hAnsi="宋体" w:cs="宋体" w:hint="eastAsia"/>
          <w:color w:val="000000"/>
          <w:kern w:val="0"/>
          <w:sz w:val="32"/>
          <w:szCs w:val="32"/>
        </w:rPr>
        <w:t>审判楼</w:t>
      </w:r>
      <w:proofErr w:type="gramEnd"/>
      <w:r>
        <w:rPr>
          <w:rFonts w:ascii="仿宋_GB2312" w:eastAsia="仿宋_GB2312" w:hAnsi="宋体" w:cs="宋体" w:hint="eastAsia"/>
          <w:color w:val="000000"/>
          <w:kern w:val="0"/>
          <w:sz w:val="32"/>
          <w:szCs w:val="32"/>
        </w:rPr>
        <w:t>电梯更新、</w:t>
      </w:r>
      <w:proofErr w:type="gramStart"/>
      <w:r>
        <w:rPr>
          <w:rFonts w:ascii="仿宋_GB2312" w:eastAsia="仿宋_GB2312" w:hAnsi="宋体" w:cs="宋体" w:hint="eastAsia"/>
          <w:color w:val="000000"/>
          <w:kern w:val="0"/>
          <w:sz w:val="32"/>
          <w:szCs w:val="32"/>
        </w:rPr>
        <w:t>审判楼</w:t>
      </w:r>
      <w:proofErr w:type="gramEnd"/>
      <w:r>
        <w:rPr>
          <w:rFonts w:ascii="仿宋_GB2312" w:eastAsia="仿宋_GB2312" w:hAnsi="宋体" w:cs="宋体" w:hint="eastAsia"/>
          <w:color w:val="000000"/>
          <w:kern w:val="0"/>
          <w:sz w:val="32"/>
          <w:szCs w:val="32"/>
        </w:rPr>
        <w:t>消防</w:t>
      </w:r>
      <w:r>
        <w:rPr>
          <w:rFonts w:ascii="仿宋_GB2312" w:eastAsia="仿宋_GB2312" w:hAnsi="宋体" w:cs="宋体" w:hint="eastAsia"/>
          <w:color w:val="000000"/>
          <w:kern w:val="0"/>
          <w:sz w:val="32"/>
          <w:szCs w:val="32"/>
        </w:rPr>
        <w:t>改造等工作的开展，为石景山区人民法院一线审执工作人员及安全保卫工作人员提供了完备的工作平台，对案件管理、庭审记录、证据展示、笔录整理、数据储存、庭审监督等环节实现了信息化管理。同时，满足了法庭审判及诉讼服务、</w:t>
      </w:r>
      <w:proofErr w:type="gramStart"/>
      <w:r>
        <w:rPr>
          <w:rFonts w:ascii="仿宋_GB2312" w:eastAsia="仿宋_GB2312" w:hAnsi="宋体" w:cs="宋体" w:hint="eastAsia"/>
          <w:color w:val="000000"/>
          <w:kern w:val="0"/>
          <w:sz w:val="32"/>
          <w:szCs w:val="32"/>
        </w:rPr>
        <w:t>诉调对接</w:t>
      </w:r>
      <w:proofErr w:type="gramEnd"/>
      <w:r>
        <w:rPr>
          <w:rFonts w:ascii="仿宋_GB2312" w:eastAsia="仿宋_GB2312" w:hAnsi="宋体" w:cs="宋体" w:hint="eastAsia"/>
          <w:color w:val="000000"/>
          <w:kern w:val="0"/>
          <w:sz w:val="32"/>
          <w:szCs w:val="32"/>
        </w:rPr>
        <w:t>等工作需求，为相关单位及社会公众在庭审期间提供了稳定、便捷的庭审条件和良好的司法服务工作环境，促进了公共服务能力的提升。</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w:t>
      </w:r>
      <w:r>
        <w:rPr>
          <w:rFonts w:ascii="仿宋_GB2312" w:eastAsia="仿宋_GB2312" w:hAnsi="宋体" w:cs="宋体" w:hint="eastAsia"/>
          <w:color w:val="000000"/>
          <w:kern w:val="0"/>
          <w:sz w:val="32"/>
          <w:szCs w:val="32"/>
        </w:rPr>
        <w:t>保障办公办案平台正常运转，提升法院网络信息安全和数据安全，为干警办公办案提供便利</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年，石景山区人民法院加强日常网络运维工作，保障了目前在用的审判业务系统、网上办公</w:t>
      </w:r>
      <w:r>
        <w:rPr>
          <w:rFonts w:ascii="仿宋_GB2312" w:eastAsia="仿宋_GB2312" w:hAnsi="宋体" w:cs="宋体" w:hint="eastAsia"/>
          <w:color w:val="000000"/>
          <w:kern w:val="0"/>
          <w:sz w:val="32"/>
          <w:szCs w:val="32"/>
        </w:rPr>
        <w:t>系统、智汇云系统、云开庭、执行办案系统、</w:t>
      </w:r>
      <w:r>
        <w:rPr>
          <w:rFonts w:ascii="仿宋_GB2312" w:eastAsia="仿宋_GB2312" w:hAnsi="宋体" w:cs="宋体" w:hint="eastAsia"/>
          <w:color w:val="000000"/>
          <w:kern w:val="0"/>
          <w:sz w:val="32"/>
          <w:szCs w:val="32"/>
        </w:rPr>
        <w:t>12368</w:t>
      </w:r>
      <w:r>
        <w:rPr>
          <w:rFonts w:ascii="仿宋_GB2312" w:eastAsia="仿宋_GB2312" w:hAnsi="宋体" w:cs="宋体" w:hint="eastAsia"/>
          <w:color w:val="000000"/>
          <w:kern w:val="0"/>
          <w:sz w:val="32"/>
          <w:szCs w:val="32"/>
        </w:rPr>
        <w:t>语音诉讼服务系统、文书校对系统、视频会议系统等</w:t>
      </w:r>
      <w:r>
        <w:rPr>
          <w:rFonts w:ascii="仿宋_GB2312" w:eastAsia="仿宋_GB2312" w:hAnsi="宋体" w:cs="宋体" w:hint="eastAsia"/>
          <w:color w:val="000000"/>
          <w:kern w:val="0"/>
          <w:sz w:val="32"/>
          <w:szCs w:val="32"/>
        </w:rPr>
        <w:t>30</w:t>
      </w:r>
      <w:r>
        <w:rPr>
          <w:rFonts w:ascii="仿宋_GB2312" w:eastAsia="仿宋_GB2312" w:hAnsi="宋体" w:cs="宋体" w:hint="eastAsia"/>
          <w:color w:val="000000"/>
          <w:kern w:val="0"/>
          <w:sz w:val="32"/>
          <w:szCs w:val="32"/>
        </w:rPr>
        <w:t>余个系统以及安防监控、电话语音等弱电设备能够平稳运行，保障了裁判文书制作的规范化和准确性，保障了网络信息安全和数据安全，提升了网络安全工作水平。其中，业务系统运维团队</w:t>
      </w:r>
      <w:proofErr w:type="gramStart"/>
      <w:r>
        <w:rPr>
          <w:rFonts w:ascii="仿宋_GB2312" w:eastAsia="仿宋_GB2312" w:hAnsi="宋体" w:cs="宋体" w:hint="eastAsia"/>
          <w:color w:val="000000"/>
          <w:kern w:val="0"/>
          <w:sz w:val="32"/>
          <w:szCs w:val="32"/>
        </w:rPr>
        <w:t>处理线</w:t>
      </w:r>
      <w:proofErr w:type="gramEnd"/>
      <w:r>
        <w:rPr>
          <w:rFonts w:ascii="仿宋_GB2312" w:eastAsia="仿宋_GB2312" w:hAnsi="宋体" w:cs="宋体" w:hint="eastAsia"/>
          <w:color w:val="000000"/>
          <w:kern w:val="0"/>
          <w:sz w:val="32"/>
          <w:szCs w:val="32"/>
        </w:rPr>
        <w:t>上开庭、业</w:t>
      </w:r>
      <w:r>
        <w:rPr>
          <w:rFonts w:ascii="仿宋_GB2312" w:eastAsia="仿宋_GB2312" w:hAnsi="宋体" w:cs="宋体" w:hint="eastAsia"/>
          <w:color w:val="000000"/>
          <w:kern w:val="0"/>
          <w:sz w:val="32"/>
          <w:szCs w:val="32"/>
        </w:rPr>
        <w:lastRenderedPageBreak/>
        <w:t>务系统等工单</w:t>
      </w:r>
      <w:r>
        <w:rPr>
          <w:rFonts w:ascii="仿宋_GB2312" w:eastAsia="仿宋_GB2312" w:hAnsi="宋体" w:cs="宋体" w:hint="eastAsia"/>
          <w:color w:val="000000"/>
          <w:kern w:val="0"/>
          <w:sz w:val="32"/>
          <w:szCs w:val="32"/>
        </w:rPr>
        <w:t>5800</w:t>
      </w:r>
      <w:r>
        <w:rPr>
          <w:rFonts w:ascii="仿宋_GB2312" w:eastAsia="仿宋_GB2312" w:hAnsi="宋体" w:cs="宋体" w:hint="eastAsia"/>
          <w:color w:val="000000"/>
          <w:kern w:val="0"/>
          <w:sz w:val="32"/>
          <w:szCs w:val="32"/>
        </w:rPr>
        <w:t>余件，弱电设备运维团队保障各类视频会议</w:t>
      </w:r>
      <w:r>
        <w:rPr>
          <w:rFonts w:ascii="仿宋_GB2312" w:eastAsia="仿宋_GB2312" w:hAnsi="宋体" w:cs="宋体" w:hint="eastAsia"/>
          <w:color w:val="000000"/>
          <w:kern w:val="0"/>
          <w:sz w:val="32"/>
          <w:szCs w:val="32"/>
        </w:rPr>
        <w:t>253</w:t>
      </w:r>
      <w:r>
        <w:rPr>
          <w:rFonts w:ascii="仿宋_GB2312" w:eastAsia="仿宋_GB2312" w:hAnsi="宋体" w:cs="宋体" w:hint="eastAsia"/>
          <w:color w:val="000000"/>
          <w:kern w:val="0"/>
          <w:sz w:val="32"/>
          <w:szCs w:val="32"/>
        </w:rPr>
        <w:t>次、内部会议</w:t>
      </w:r>
      <w:r>
        <w:rPr>
          <w:rFonts w:ascii="仿宋_GB2312" w:eastAsia="仿宋_GB2312" w:hAnsi="宋体" w:cs="宋体" w:hint="eastAsia"/>
          <w:color w:val="000000"/>
          <w:kern w:val="0"/>
          <w:sz w:val="32"/>
          <w:szCs w:val="32"/>
        </w:rPr>
        <w:t>162</w:t>
      </w:r>
      <w:r>
        <w:rPr>
          <w:rFonts w:ascii="仿宋_GB2312" w:eastAsia="仿宋_GB2312" w:hAnsi="宋体" w:cs="宋体" w:hint="eastAsia"/>
          <w:color w:val="000000"/>
          <w:kern w:val="0"/>
          <w:sz w:val="32"/>
          <w:szCs w:val="32"/>
        </w:rPr>
        <w:t>次，满足了日常办公需求。</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此外，为及时回应不同的信息化需求，满足各项工作要求，石景山区人民法院更换少年法庭信息化设备以适应新时代少年审判工作的发展需</w:t>
      </w:r>
      <w:r>
        <w:rPr>
          <w:rFonts w:ascii="仿宋_GB2312" w:eastAsia="仿宋_GB2312" w:hAnsi="宋体" w:cs="宋体" w:hint="eastAsia"/>
          <w:color w:val="000000"/>
          <w:kern w:val="0"/>
          <w:sz w:val="32"/>
          <w:szCs w:val="32"/>
        </w:rPr>
        <w:t>求，采购蓝光光驱以满足刑事审判工作的证据审查需求，根据</w:t>
      </w:r>
      <w:r>
        <w:rPr>
          <w:rFonts w:ascii="仿宋_GB2312" w:eastAsia="仿宋_GB2312" w:hAnsi="宋体" w:cs="宋体" w:hint="eastAsia"/>
          <w:color w:val="000000"/>
          <w:kern w:val="0"/>
          <w:sz w:val="32"/>
          <w:szCs w:val="32"/>
        </w:rPr>
        <w:t>12368</w:t>
      </w:r>
      <w:r>
        <w:rPr>
          <w:rFonts w:ascii="仿宋_GB2312" w:eastAsia="仿宋_GB2312" w:hAnsi="宋体" w:cs="宋体" w:hint="eastAsia"/>
          <w:color w:val="000000"/>
          <w:kern w:val="0"/>
          <w:sz w:val="32"/>
          <w:szCs w:val="32"/>
        </w:rPr>
        <w:t>热线电话工作量变化来采购新的专用接听耳机并协助完成办公室迁移和设备增配工作，采购视频采集卡提升线上与线下结合开庭的效果。</w:t>
      </w:r>
    </w:p>
    <w:p w:rsidR="00F14931" w:rsidRDefault="002D1D6E">
      <w:pPr>
        <w:pStyle w:val="a0"/>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保障区人民法院各项经费开展合理合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合法，为开展经济业务提供相关支撑材料</w:t>
      </w:r>
    </w:p>
    <w:p w:rsidR="00F14931" w:rsidRDefault="002D1D6E">
      <w:pPr>
        <w:spacing w:line="600" w:lineRule="exact"/>
        <w:ind w:firstLineChars="200" w:firstLine="640"/>
      </w:pPr>
      <w:r>
        <w:rPr>
          <w:rFonts w:ascii="仿宋_GB2312" w:eastAsia="仿宋_GB2312" w:hint="eastAsia"/>
          <w:bCs/>
          <w:color w:val="000000"/>
          <w:sz w:val="32"/>
          <w:szCs w:val="32"/>
        </w:rPr>
        <w:t>2022</w:t>
      </w:r>
      <w:r>
        <w:rPr>
          <w:rFonts w:ascii="仿宋_GB2312" w:eastAsia="仿宋_GB2312" w:hint="eastAsia"/>
          <w:bCs/>
          <w:color w:val="000000"/>
          <w:sz w:val="32"/>
          <w:szCs w:val="32"/>
        </w:rPr>
        <w:t>年，石景山区人民法院完成了</w:t>
      </w:r>
      <w:proofErr w:type="gramStart"/>
      <w:r>
        <w:rPr>
          <w:rFonts w:ascii="仿宋_GB2312" w:eastAsia="仿宋_GB2312" w:hint="eastAsia"/>
          <w:bCs/>
          <w:color w:val="000000"/>
          <w:sz w:val="32"/>
          <w:szCs w:val="32"/>
        </w:rPr>
        <w:t>经责审计迎审</w:t>
      </w:r>
      <w:proofErr w:type="gramEnd"/>
      <w:r>
        <w:rPr>
          <w:rFonts w:ascii="仿宋_GB2312" w:eastAsia="仿宋_GB2312" w:hint="eastAsia"/>
          <w:bCs/>
          <w:color w:val="000000"/>
          <w:sz w:val="32"/>
          <w:szCs w:val="32"/>
        </w:rPr>
        <w:t>工作并配合审计整改工作落实落地，严格执行重大项目评审制度，对</w:t>
      </w:r>
      <w:r>
        <w:rPr>
          <w:rFonts w:ascii="仿宋_GB2312" w:eastAsia="仿宋_GB2312" w:hint="eastAsia"/>
          <w:bCs/>
          <w:color w:val="000000"/>
          <w:sz w:val="32"/>
          <w:szCs w:val="32"/>
        </w:rPr>
        <w:t>138</w:t>
      </w:r>
      <w:r>
        <w:rPr>
          <w:rFonts w:ascii="仿宋_GB2312" w:eastAsia="仿宋_GB2312" w:hint="eastAsia"/>
          <w:bCs/>
          <w:color w:val="000000"/>
          <w:sz w:val="32"/>
          <w:szCs w:val="32"/>
        </w:rPr>
        <w:t>项经济活动做出决议，有效加强了内审内控，为各项经济业务合理合</w:t>
      </w:r>
      <w:proofErr w:type="gramStart"/>
      <w:r>
        <w:rPr>
          <w:rFonts w:ascii="仿宋_GB2312" w:eastAsia="仿宋_GB2312" w:hint="eastAsia"/>
          <w:bCs/>
          <w:color w:val="000000"/>
          <w:sz w:val="32"/>
          <w:szCs w:val="32"/>
        </w:rPr>
        <w:t>规</w:t>
      </w:r>
      <w:proofErr w:type="gramEnd"/>
      <w:r>
        <w:rPr>
          <w:rFonts w:ascii="仿宋_GB2312" w:eastAsia="仿宋_GB2312" w:hint="eastAsia"/>
          <w:bCs/>
          <w:color w:val="000000"/>
          <w:sz w:val="32"/>
          <w:szCs w:val="32"/>
        </w:rPr>
        <w:t>合法开展提供了支撑。同时，根据业务需要组织运维工程师对往年替换下的信息化设备</w:t>
      </w:r>
      <w:r>
        <w:rPr>
          <w:rFonts w:ascii="仿宋_GB2312" w:eastAsia="仿宋_GB2312" w:hint="eastAsia"/>
          <w:bCs/>
          <w:color w:val="000000"/>
          <w:sz w:val="32"/>
          <w:szCs w:val="32"/>
        </w:rPr>
        <w:t>进行盘点、登记，并分类整理存放，制作拟报废的设备台账，金额达</w:t>
      </w:r>
      <w:r>
        <w:rPr>
          <w:rFonts w:ascii="仿宋_GB2312" w:eastAsia="仿宋_GB2312" w:hint="eastAsia"/>
          <w:bCs/>
          <w:color w:val="000000"/>
          <w:sz w:val="32"/>
          <w:szCs w:val="32"/>
        </w:rPr>
        <w:t>400</w:t>
      </w:r>
      <w:r>
        <w:rPr>
          <w:rFonts w:ascii="仿宋_GB2312" w:eastAsia="仿宋_GB2312" w:hint="eastAsia"/>
          <w:bCs/>
          <w:color w:val="000000"/>
          <w:sz w:val="32"/>
          <w:szCs w:val="32"/>
        </w:rPr>
        <w:t>余万元；对全院笔记本电脑台</w:t>
      </w:r>
      <w:proofErr w:type="gramStart"/>
      <w:r>
        <w:rPr>
          <w:rFonts w:ascii="仿宋_GB2312" w:eastAsia="仿宋_GB2312" w:hint="eastAsia"/>
          <w:bCs/>
          <w:color w:val="000000"/>
          <w:sz w:val="32"/>
          <w:szCs w:val="32"/>
        </w:rPr>
        <w:t>账进行</w:t>
      </w:r>
      <w:proofErr w:type="gramEnd"/>
      <w:r>
        <w:rPr>
          <w:rFonts w:ascii="仿宋_GB2312" w:eastAsia="仿宋_GB2312" w:hint="eastAsia"/>
          <w:bCs/>
          <w:color w:val="000000"/>
          <w:sz w:val="32"/>
          <w:szCs w:val="32"/>
        </w:rPr>
        <w:t>核查，并根据核查发现的问题有针对性的走访部分干警，</w:t>
      </w:r>
      <w:proofErr w:type="gramStart"/>
      <w:r>
        <w:rPr>
          <w:rFonts w:ascii="仿宋_GB2312" w:eastAsia="仿宋_GB2312" w:hint="eastAsia"/>
          <w:bCs/>
          <w:color w:val="000000"/>
          <w:sz w:val="32"/>
          <w:szCs w:val="32"/>
        </w:rPr>
        <w:t>确保台账真实</w:t>
      </w:r>
      <w:proofErr w:type="gramEnd"/>
      <w:r>
        <w:rPr>
          <w:rFonts w:ascii="仿宋_GB2312" w:eastAsia="仿宋_GB2312" w:hint="eastAsia"/>
          <w:bCs/>
          <w:color w:val="000000"/>
          <w:sz w:val="32"/>
          <w:szCs w:val="32"/>
        </w:rPr>
        <w:t>准确；加强设备采购、项目招标等工作的规范化、程序化管理，严格遵守了内控和财务等工作规定，保障了各项经费的合理使用。</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9" w:name="_Toc8907"/>
      <w:bookmarkStart w:id="10" w:name="_Toc15100"/>
      <w:bookmarkStart w:id="11" w:name="_Toc79495668"/>
      <w:r>
        <w:rPr>
          <w:rFonts w:ascii="黑体" w:eastAsia="黑体" w:hAnsi="黑体" w:cs="宋体" w:hint="eastAsia"/>
          <w:color w:val="000000"/>
          <w:kern w:val="0"/>
          <w:sz w:val="32"/>
          <w:szCs w:val="32"/>
        </w:rPr>
        <w:t>四、预算管理情况分析</w:t>
      </w:r>
      <w:bookmarkEnd w:id="9"/>
      <w:bookmarkEnd w:id="10"/>
    </w:p>
    <w:p w:rsidR="00F14931" w:rsidRDefault="002D1D6E">
      <w:pPr>
        <w:spacing w:line="600" w:lineRule="exact"/>
        <w:ind w:firstLineChars="200" w:firstLine="640"/>
        <w:outlineLvl w:val="1"/>
        <w:rPr>
          <w:rFonts w:ascii="楷体_GB2312" w:eastAsia="楷体_GB2312"/>
          <w:sz w:val="32"/>
          <w:szCs w:val="32"/>
        </w:rPr>
      </w:pPr>
      <w:bookmarkStart w:id="12" w:name="_Toc1890"/>
      <w:bookmarkStart w:id="13" w:name="_Toc10081"/>
      <w:r>
        <w:rPr>
          <w:rFonts w:ascii="楷体_GB2312" w:eastAsia="楷体_GB2312" w:hint="eastAsia"/>
          <w:sz w:val="32"/>
          <w:szCs w:val="32"/>
        </w:rPr>
        <w:t>（一）财务管理</w:t>
      </w:r>
      <w:bookmarkEnd w:id="12"/>
      <w:bookmarkEnd w:id="13"/>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财务管理制度健全性</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石景山区人民法院始终贯彻执行党和国家的财经方针、政策，执行北京市、石景山区及石景山区人民法院的各项财经法规和制度，严格落实“三重一大”决策程序，健全完善内部控制管理机制。石景山区人民法院为加强财务管理，根据有关法律、法规的规定，结合实际情况建立了《内控控制手册》，包括《案款财务管理规定》《诉讼费退费管理办法</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试行</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》《差旅费报销实施办法》《固定资产管理制度》《财务管理审批权限制度》《发票、收据管理制度》《基建财务管理制度》</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库存现金管理制度</w:t>
      </w:r>
      <w:r>
        <w:rPr>
          <w:rFonts w:ascii="仿宋_GB2312" w:eastAsia="仿宋_GB2312" w:hAnsi="宋体" w:cs="宋体"/>
          <w:color w:val="000000"/>
          <w:kern w:val="0"/>
          <w:sz w:val="32"/>
          <w:szCs w:val="32"/>
        </w:rPr>
        <w:t>》《会计档案管理制度》</w:t>
      </w:r>
      <w:r>
        <w:rPr>
          <w:rFonts w:ascii="仿宋_GB2312" w:eastAsia="仿宋_GB2312" w:hAnsi="宋体" w:cs="宋体" w:hint="eastAsia"/>
          <w:color w:val="000000"/>
          <w:kern w:val="0"/>
          <w:sz w:val="32"/>
          <w:szCs w:val="32"/>
        </w:rPr>
        <w:t>《单位会议费管理办法》</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采购管理制度</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等相关财</w:t>
      </w:r>
      <w:r>
        <w:rPr>
          <w:rFonts w:ascii="仿宋_GB2312" w:eastAsia="仿宋_GB2312" w:hAnsi="宋体" w:cs="宋体" w:hint="eastAsia"/>
          <w:color w:val="000000"/>
          <w:kern w:val="0"/>
          <w:sz w:val="32"/>
          <w:szCs w:val="32"/>
        </w:rPr>
        <w:t>务管理制度，管理制度较为完善；此外，严格按照中央八项规定安排“三公”经费支出，加大各类资金统筹力度，出台《重大项目内控评审小组工作办法》，强化预算管理和经费使用审批，规范财务行为，建立了责权较为清晰、相互牵制为架构的财务管理模式。</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性和安全性</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石景山区人民法院支付资金严格按照国家财经法规、财务管理制度、有关专项资金管理办法以及《石景山区人民法院财务管理制度》《石景山区人民法院单位经费审</w:t>
      </w:r>
      <w:r>
        <w:rPr>
          <w:rFonts w:ascii="仿宋_GB2312" w:eastAsia="仿宋_GB2312" w:hAnsi="宋体" w:cs="宋体" w:hint="eastAsia"/>
          <w:color w:val="000000"/>
          <w:kern w:val="0"/>
          <w:sz w:val="32"/>
          <w:szCs w:val="32"/>
        </w:rPr>
        <w:t>批制度》《石景山区人民法院财务管理审批权限制度》</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库存现金管理制度</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等相关制度执行。</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在资金审批方面，石景山区人民法院各部门使用资金需拟定书面计划，注明所需费用事项、金额等，并</w:t>
      </w:r>
      <w:proofErr w:type="gramStart"/>
      <w:r>
        <w:rPr>
          <w:rFonts w:ascii="仿宋_GB2312" w:eastAsia="仿宋_GB2312" w:hAnsi="宋体" w:cs="宋体" w:hint="eastAsia"/>
          <w:color w:val="000000"/>
          <w:kern w:val="0"/>
          <w:sz w:val="32"/>
          <w:szCs w:val="32"/>
        </w:rPr>
        <w:t>报综合</w:t>
      </w:r>
      <w:proofErr w:type="gramEnd"/>
      <w:r>
        <w:rPr>
          <w:rFonts w:ascii="仿宋_GB2312" w:eastAsia="仿宋_GB2312" w:hAnsi="宋体" w:cs="宋体" w:hint="eastAsia"/>
          <w:color w:val="000000"/>
          <w:kern w:val="0"/>
          <w:sz w:val="32"/>
          <w:szCs w:val="32"/>
        </w:rPr>
        <w:t>办公</w:t>
      </w:r>
      <w:r>
        <w:rPr>
          <w:rFonts w:ascii="仿宋_GB2312" w:eastAsia="仿宋_GB2312" w:hAnsi="宋体" w:cs="宋体" w:hint="eastAsia"/>
          <w:color w:val="000000"/>
          <w:kern w:val="0"/>
          <w:sz w:val="32"/>
          <w:szCs w:val="32"/>
        </w:rPr>
        <w:lastRenderedPageBreak/>
        <w:t>室主任</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主管财务院领导及主管院长审批批准后，方可执行。在财务管理审批权限中，凡属“三重一大”的决策事项，都要以会议形式集体讨论决定，如遇重大突发事件和紧急情况临时做出的决策，事后向院党组会会议及时报告。</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在资金监管方面，石景山区人民法院严格规范经费支出内容及其用途，明确经费支出标准，且不同的资金支付事项使用不同的资金支付单据</w:t>
      </w:r>
      <w:r>
        <w:rPr>
          <w:rFonts w:ascii="仿宋_GB2312" w:eastAsia="仿宋_GB2312" w:hAnsi="宋体" w:cs="宋体" w:hint="eastAsia"/>
          <w:color w:val="000000"/>
          <w:kern w:val="0"/>
          <w:sz w:val="32"/>
          <w:szCs w:val="32"/>
        </w:rPr>
        <w:t>，现金随时存放保险柜中，保险柜钥匙和密码分开保管，存放地点安装防护设施</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提取大额现金提前预约，双人提款，专车接送，人不离款，款不离车</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保障资金支付</w:t>
      </w:r>
      <w:r>
        <w:rPr>
          <w:rFonts w:ascii="仿宋_GB2312" w:eastAsia="仿宋_GB2312" w:hAnsi="宋体" w:cs="宋体"/>
          <w:color w:val="000000"/>
          <w:kern w:val="0"/>
          <w:sz w:val="32"/>
          <w:szCs w:val="32"/>
        </w:rPr>
        <w:t>及提取</w:t>
      </w:r>
      <w:r>
        <w:rPr>
          <w:rFonts w:ascii="仿宋_GB2312" w:eastAsia="仿宋_GB2312" w:hAnsi="宋体" w:cs="宋体" w:hint="eastAsia"/>
          <w:color w:val="000000"/>
          <w:kern w:val="0"/>
          <w:sz w:val="32"/>
          <w:szCs w:val="32"/>
        </w:rPr>
        <w:t>的安全性。此外，加强对内部专项资金的监督管理，相关领导、财务人员等对专项资金的支出进行审核把关，确保票据来源合法，内容真实完整、合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。对未经批准、不按规定开支人员进行严肃处理。</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会计基础信息完善性</w:t>
      </w:r>
    </w:p>
    <w:p w:rsidR="00F14931" w:rsidRDefault="002D1D6E">
      <w:pPr>
        <w:spacing w:line="60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石景山区人民法院始终贯彻执行党和国家的财经方针、政策，参照《事业单位会计制度》</w:t>
      </w:r>
      <w:r>
        <w:rPr>
          <w:rFonts w:ascii="仿宋_GB2312" w:eastAsia="仿宋_GB2312" w:hAnsi="宋体" w:cs="宋体"/>
          <w:color w:val="000000"/>
          <w:kern w:val="0"/>
          <w:sz w:val="32"/>
          <w:szCs w:val="32"/>
        </w:rPr>
        <w:t>《</w:t>
      </w:r>
      <w:bookmarkStart w:id="14" w:name="_Toc11742"/>
      <w:bookmarkStart w:id="15" w:name="_Toc25563"/>
      <w:bookmarkStart w:id="16" w:name="_Toc26606"/>
      <w:bookmarkStart w:id="17" w:name="_Toc22744"/>
      <w:bookmarkStart w:id="18" w:name="_Toc31961"/>
      <w:bookmarkStart w:id="19" w:name="_Toc13449"/>
      <w:bookmarkStart w:id="20" w:name="_Toc5083"/>
      <w:bookmarkStart w:id="21" w:name="_Toc93395163"/>
      <w:bookmarkStart w:id="22" w:name="_Toc2025"/>
      <w:bookmarkStart w:id="23" w:name="_Toc23925"/>
      <w:bookmarkStart w:id="24" w:name="_Toc32345"/>
      <w:bookmarkStart w:id="25" w:name="_Toc20498"/>
      <w:bookmarkStart w:id="26" w:name="_Toc19314"/>
      <w:bookmarkStart w:id="27" w:name="_Toc9842"/>
      <w:bookmarkStart w:id="28" w:name="_Toc32760"/>
      <w:bookmarkStart w:id="29" w:name="_Toc27216"/>
      <w:bookmarkStart w:id="30" w:name="_Toc467432349"/>
      <w:bookmarkStart w:id="31" w:name="_Toc24911"/>
      <w:bookmarkStart w:id="32" w:name="_Toc17993"/>
      <w:bookmarkStart w:id="33" w:name="_Toc80968474"/>
      <w:bookmarkStart w:id="34" w:name="_Toc28123842"/>
      <w:bookmarkStart w:id="35" w:name="_Toc81221855"/>
      <w:r>
        <w:rPr>
          <w:rFonts w:ascii="仿宋_GB2312" w:eastAsia="仿宋_GB2312" w:hAnsi="宋体" w:cs="宋体" w:hint="eastAsia"/>
          <w:color w:val="000000"/>
          <w:kern w:val="0"/>
          <w:sz w:val="32"/>
          <w:szCs w:val="32"/>
        </w:rPr>
        <w:t>财务工作岗位责任制</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会计档案管理制度</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等相关法律法规进行资金管理和核算，严格</w:t>
      </w:r>
      <w:r>
        <w:rPr>
          <w:rFonts w:ascii="仿宋_GB2312" w:eastAsia="仿宋_GB2312" w:hAnsi="宋体" w:cs="宋体" w:hint="eastAsia"/>
          <w:color w:val="000000"/>
          <w:kern w:val="0"/>
          <w:sz w:val="32"/>
          <w:szCs w:val="32"/>
        </w:rPr>
        <w:t>实施财会监督，及时反馈真实、准确、完整、全面的基础数据信息和会计信息。具体如下：①经费实行专项管理，专款专用，未发现出现截留、挪用和违反合同约定支付等现象，资金使用规范，会计核算真实、完整、准确、及时。②在使用政府收支分类规定的科目的基础上，对专项资金的不同来源渠道性质予以区分，各类明细分类账记载、结账及时</w:t>
      </w:r>
      <w:r>
        <w:rPr>
          <w:rFonts w:ascii="仿宋_GB2312" w:eastAsia="仿宋_GB2312" w:hAnsi="宋体" w:cs="宋体" w:hint="eastAsia"/>
          <w:color w:val="000000"/>
          <w:kern w:val="0"/>
          <w:sz w:val="32"/>
          <w:szCs w:val="32"/>
        </w:rPr>
        <w:lastRenderedPageBreak/>
        <w:t>准确，资金支付安全、透明、规范，提高财政资金的支付效率。③科目发生余额表及账簿按月复核，财务核算原始凭证、记账凭证、账簿、报表等均</w:t>
      </w:r>
      <w:r>
        <w:rPr>
          <w:rFonts w:ascii="仿宋_GB2312" w:eastAsia="仿宋_GB2312" w:hAnsi="宋体" w:cs="宋体"/>
          <w:color w:val="000000"/>
          <w:kern w:val="0"/>
          <w:sz w:val="32"/>
          <w:szCs w:val="32"/>
        </w:rPr>
        <w:t>按要求</w:t>
      </w:r>
      <w:r>
        <w:rPr>
          <w:rFonts w:ascii="仿宋_GB2312" w:eastAsia="仿宋_GB2312" w:hAnsi="宋体" w:cs="宋体" w:hint="eastAsia"/>
          <w:color w:val="000000"/>
          <w:kern w:val="0"/>
          <w:sz w:val="32"/>
          <w:szCs w:val="32"/>
        </w:rPr>
        <w:t>整理立卷，装订成册，编制会计档案保管清册</w:t>
      </w:r>
      <w:r>
        <w:rPr>
          <w:rFonts w:ascii="仿宋_GB2312" w:eastAsia="仿宋_GB2312" w:hAnsi="宋体" w:cs="宋体"/>
          <w:color w:val="000000"/>
          <w:kern w:val="0"/>
          <w:sz w:val="32"/>
          <w:szCs w:val="32"/>
        </w:rPr>
        <w:t>后</w:t>
      </w:r>
      <w:r>
        <w:rPr>
          <w:rFonts w:ascii="仿宋_GB2312" w:eastAsia="仿宋_GB2312" w:hAnsi="宋体" w:cs="宋体" w:hint="eastAsia"/>
          <w:color w:val="000000"/>
          <w:kern w:val="0"/>
          <w:sz w:val="32"/>
          <w:szCs w:val="32"/>
        </w:rPr>
        <w:t>移交档案室</w:t>
      </w:r>
      <w:r>
        <w:rPr>
          <w:rFonts w:ascii="仿宋_GB2312" w:eastAsia="仿宋_GB2312" w:hAnsi="宋体" w:cs="宋体"/>
          <w:color w:val="000000"/>
          <w:kern w:val="0"/>
          <w:sz w:val="32"/>
          <w:szCs w:val="32"/>
        </w:rPr>
        <w:t>保管</w:t>
      </w:r>
      <w:r>
        <w:rPr>
          <w:rFonts w:ascii="仿宋_GB2312" w:eastAsia="仿宋_GB2312" w:hAnsi="宋体" w:cs="宋体" w:hint="eastAsia"/>
          <w:color w:val="000000"/>
          <w:kern w:val="0"/>
          <w:sz w:val="32"/>
          <w:szCs w:val="32"/>
        </w:rPr>
        <w:t>。④对已到保管期限的会计档案，由档案部门会同财务部门提出销毁意见，编制销毁清册</w:t>
      </w:r>
      <w:r>
        <w:rPr>
          <w:rFonts w:ascii="仿宋_GB2312" w:eastAsia="仿宋_GB2312" w:hAnsi="宋体" w:cs="宋体"/>
          <w:color w:val="000000"/>
          <w:kern w:val="0"/>
          <w:sz w:val="32"/>
          <w:szCs w:val="32"/>
        </w:rPr>
        <w:t>等。</w:t>
      </w:r>
    </w:p>
    <w:p w:rsidR="00F14931" w:rsidRDefault="002D1D6E">
      <w:pPr>
        <w:spacing w:line="600" w:lineRule="exact"/>
        <w:ind w:firstLineChars="200" w:firstLine="640"/>
        <w:outlineLvl w:val="1"/>
        <w:rPr>
          <w:rFonts w:ascii="楷体_GB2312" w:eastAsia="楷体_GB2312"/>
          <w:sz w:val="32"/>
          <w:szCs w:val="32"/>
        </w:rPr>
      </w:pPr>
      <w:bookmarkStart w:id="36" w:name="_Toc12179"/>
      <w:bookmarkStart w:id="37" w:name="_Toc32428"/>
      <w:bookmarkStart w:id="38" w:name="_Toc24470"/>
      <w:r>
        <w:rPr>
          <w:rFonts w:ascii="楷体_GB2312" w:eastAsia="楷体_GB2312" w:hint="eastAsia"/>
          <w:sz w:val="32"/>
          <w:szCs w:val="32"/>
        </w:rPr>
        <w:t>（二）资产管理</w:t>
      </w:r>
      <w:bookmarkEnd w:id="36"/>
      <w:bookmarkEnd w:id="37"/>
    </w:p>
    <w:p w:rsidR="00F14931" w:rsidRDefault="002D1D6E">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石景山区人民法院根据市高院要求及本院固定资产管理工作需要，逐步完善了《北京市石景山区人民法院固定资产管理制度》《北京市石景山区人民法院固定资产处置管理办法》等固定资产管理相关制度，旨在合理配置各部门的固定资产，提高固定资产的使用效益，保障固定资产的安全和完整，形成产权清晰、配置科学、使用合理、处置规范、监督公正的资产管理格局。</w:t>
      </w:r>
    </w:p>
    <w:p w:rsidR="00F14931" w:rsidRDefault="002D1D6E">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同时，石景山区人民法院还建立了完善的固定资产管理机制，由</w:t>
      </w:r>
      <w:proofErr w:type="gramStart"/>
      <w:r>
        <w:rPr>
          <w:rFonts w:ascii="仿宋_GB2312" w:eastAsia="仿宋_GB2312" w:hAnsi="宋体" w:cs="宋体"/>
          <w:color w:val="000000"/>
          <w:kern w:val="0"/>
          <w:sz w:val="32"/>
          <w:szCs w:val="32"/>
        </w:rPr>
        <w:t>院综合</w:t>
      </w:r>
      <w:proofErr w:type="gramEnd"/>
      <w:r>
        <w:rPr>
          <w:rFonts w:ascii="仿宋_GB2312" w:eastAsia="仿宋_GB2312" w:hAnsi="宋体" w:cs="宋体"/>
          <w:color w:val="000000"/>
          <w:kern w:val="0"/>
          <w:sz w:val="32"/>
          <w:szCs w:val="32"/>
        </w:rPr>
        <w:t>事务中心负责并确定一</w:t>
      </w:r>
      <w:r>
        <w:rPr>
          <w:rFonts w:ascii="仿宋_GB2312" w:eastAsia="仿宋_GB2312" w:hAnsi="宋体" w:cs="宋体"/>
          <w:color w:val="000000"/>
          <w:kern w:val="0"/>
          <w:sz w:val="32"/>
          <w:szCs w:val="32"/>
        </w:rPr>
        <w:t>名固定资产管理员，与院办公室财务组、院办公室信息技术工作组、院法警队、院审判管理办公室（研究室）联合管理固定资产。其中，固定资产管理员负责全院固定资产的登统计、盘点、报废等工作；</w:t>
      </w:r>
      <w:proofErr w:type="gramStart"/>
      <w:r>
        <w:rPr>
          <w:rFonts w:ascii="仿宋_GB2312" w:eastAsia="仿宋_GB2312" w:hAnsi="宋体" w:cs="宋体"/>
          <w:color w:val="000000"/>
          <w:kern w:val="0"/>
          <w:sz w:val="32"/>
          <w:szCs w:val="32"/>
        </w:rPr>
        <w:t>院综合</w:t>
      </w:r>
      <w:proofErr w:type="gramEnd"/>
      <w:r>
        <w:rPr>
          <w:rFonts w:ascii="仿宋_GB2312" w:eastAsia="仿宋_GB2312" w:hAnsi="宋体" w:cs="宋体"/>
          <w:color w:val="000000"/>
          <w:kern w:val="0"/>
          <w:sz w:val="32"/>
          <w:szCs w:val="32"/>
        </w:rPr>
        <w:t>事务中心负责家具类固定资产实物管理；院办公室信息技术工作组负责信息化设备的实物管理；院法警队负责警用装备的实物管理；院审判管理办公室（研究室）负责图书类固定资产的实物管理。</w:t>
      </w:r>
    </w:p>
    <w:p w:rsidR="00F14931" w:rsidRDefault="002D1D6E">
      <w:pPr>
        <w:adjustRightInd w:val="0"/>
        <w:snapToGrid w:val="0"/>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lastRenderedPageBreak/>
        <w:t>截至</w:t>
      </w:r>
      <w:r>
        <w:rPr>
          <w:rFonts w:ascii="仿宋_GB2312" w:eastAsia="仿宋_GB2312" w:hAnsi="宋体" w:cs="宋体"/>
          <w:color w:val="000000"/>
          <w:kern w:val="0"/>
          <w:sz w:val="32"/>
          <w:szCs w:val="32"/>
        </w:rPr>
        <w:t>2022</w:t>
      </w:r>
      <w:r>
        <w:rPr>
          <w:rFonts w:ascii="仿宋_GB2312" w:eastAsia="仿宋_GB2312" w:hAnsi="宋体" w:cs="宋体"/>
          <w:color w:val="000000"/>
          <w:kern w:val="0"/>
          <w:sz w:val="32"/>
          <w:szCs w:val="32"/>
        </w:rPr>
        <w:t>年</w:t>
      </w:r>
      <w:r>
        <w:rPr>
          <w:rFonts w:ascii="仿宋_GB2312" w:eastAsia="仿宋_GB2312" w:hAnsi="宋体" w:cs="宋体"/>
          <w:color w:val="000000"/>
          <w:kern w:val="0"/>
          <w:sz w:val="32"/>
          <w:szCs w:val="32"/>
        </w:rPr>
        <w:t>12</w:t>
      </w:r>
      <w:r>
        <w:rPr>
          <w:rFonts w:ascii="仿宋_GB2312" w:eastAsia="仿宋_GB2312" w:hAnsi="宋体" w:cs="宋体"/>
          <w:color w:val="000000"/>
          <w:kern w:val="0"/>
          <w:sz w:val="32"/>
          <w:szCs w:val="32"/>
        </w:rPr>
        <w:t>月</w:t>
      </w:r>
      <w:r>
        <w:rPr>
          <w:rFonts w:ascii="仿宋_GB2312" w:eastAsia="仿宋_GB2312" w:hAnsi="宋体" w:cs="宋体"/>
          <w:color w:val="000000"/>
          <w:kern w:val="0"/>
          <w:sz w:val="32"/>
          <w:szCs w:val="32"/>
        </w:rPr>
        <w:t>31</w:t>
      </w:r>
      <w:r>
        <w:rPr>
          <w:rFonts w:ascii="仿宋_GB2312" w:eastAsia="仿宋_GB2312" w:hAnsi="宋体" w:cs="宋体"/>
          <w:color w:val="000000"/>
          <w:kern w:val="0"/>
          <w:sz w:val="32"/>
          <w:szCs w:val="32"/>
        </w:rPr>
        <w:t>日，石景山区人民法院资产总额合计</w:t>
      </w:r>
      <w:r>
        <w:rPr>
          <w:rFonts w:ascii="仿宋_GB2312" w:eastAsia="仿宋_GB2312" w:hAnsi="宋体" w:cs="宋体"/>
          <w:color w:val="000000"/>
          <w:kern w:val="0"/>
          <w:sz w:val="32"/>
          <w:szCs w:val="32"/>
        </w:rPr>
        <w:t>9445.45</w:t>
      </w:r>
      <w:r>
        <w:rPr>
          <w:rFonts w:ascii="仿宋_GB2312" w:eastAsia="仿宋_GB2312" w:hAnsi="宋体" w:cs="宋体"/>
          <w:color w:val="000000"/>
          <w:kern w:val="0"/>
          <w:sz w:val="32"/>
          <w:szCs w:val="32"/>
        </w:rPr>
        <w:t>万元。在资产配置方面，</w:t>
      </w:r>
      <w:r>
        <w:rPr>
          <w:rFonts w:ascii="仿宋_GB2312" w:eastAsia="仿宋_GB2312" w:hAnsi="宋体" w:cs="宋体"/>
          <w:color w:val="000000"/>
          <w:kern w:val="0"/>
          <w:sz w:val="32"/>
          <w:szCs w:val="32"/>
        </w:rPr>
        <w:t>2022</w:t>
      </w:r>
      <w:r>
        <w:rPr>
          <w:rFonts w:ascii="仿宋_GB2312" w:eastAsia="仿宋_GB2312" w:hAnsi="宋体" w:cs="宋体"/>
          <w:color w:val="000000"/>
          <w:kern w:val="0"/>
          <w:sz w:val="32"/>
          <w:szCs w:val="32"/>
        </w:rPr>
        <w:t>年度配置固定资产</w:t>
      </w:r>
      <w:r>
        <w:rPr>
          <w:rFonts w:ascii="仿宋_GB2312" w:eastAsia="仿宋_GB2312" w:hAnsi="宋体" w:cs="宋体"/>
          <w:color w:val="000000"/>
          <w:kern w:val="0"/>
          <w:sz w:val="32"/>
          <w:szCs w:val="32"/>
        </w:rPr>
        <w:t>567.3</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包括</w:t>
      </w:r>
      <w:r>
        <w:rPr>
          <w:rFonts w:ascii="仿宋_GB2312" w:eastAsia="仿宋_GB2312" w:hAnsi="宋体" w:cs="宋体"/>
          <w:color w:val="000000"/>
          <w:kern w:val="0"/>
          <w:sz w:val="32"/>
          <w:szCs w:val="32"/>
        </w:rPr>
        <w:t>通用设备</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专用设备</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图书档案</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家具及用具</w:t>
      </w:r>
      <w:r>
        <w:rPr>
          <w:rFonts w:ascii="仿宋_GB2312" w:eastAsia="仿宋_GB2312" w:hAnsi="宋体" w:cs="宋体" w:hint="eastAsia"/>
          <w:color w:val="000000"/>
          <w:kern w:val="0"/>
          <w:sz w:val="32"/>
          <w:szCs w:val="32"/>
        </w:rPr>
        <w:t>等类别，</w:t>
      </w:r>
      <w:r>
        <w:rPr>
          <w:rFonts w:ascii="仿宋_GB2312" w:eastAsia="仿宋_GB2312" w:hAnsi="宋体" w:cs="宋体"/>
          <w:color w:val="000000"/>
          <w:kern w:val="0"/>
          <w:sz w:val="32"/>
          <w:szCs w:val="32"/>
        </w:rPr>
        <w:t>均为新购固定资产，无调拨固定资产</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均按有关规定办理了采购、登记、入账等购置手续。在资产使用方面，均为自用固定资产</w:t>
      </w:r>
      <w:r>
        <w:rPr>
          <w:rFonts w:ascii="仿宋_GB2312" w:eastAsia="仿宋_GB2312" w:hAnsi="宋体" w:cs="宋体"/>
          <w:color w:val="000000"/>
          <w:kern w:val="0"/>
          <w:sz w:val="32"/>
          <w:szCs w:val="32"/>
        </w:rPr>
        <w:t>，无出租出借及对外投资资产</w:t>
      </w:r>
      <w:r>
        <w:rPr>
          <w:rFonts w:ascii="仿宋_GB2312" w:eastAsia="仿宋_GB2312" w:hAnsi="宋体" w:cs="宋体"/>
          <w:color w:val="000000"/>
          <w:kern w:val="0"/>
          <w:sz w:val="32"/>
          <w:szCs w:val="32"/>
        </w:rPr>
        <w:t>。在资产处置方面，</w:t>
      </w:r>
      <w:r>
        <w:rPr>
          <w:rFonts w:ascii="仿宋_GB2312" w:eastAsia="仿宋_GB2312" w:hAnsi="宋体" w:cs="宋体"/>
          <w:color w:val="000000"/>
          <w:kern w:val="0"/>
          <w:sz w:val="32"/>
          <w:szCs w:val="32"/>
        </w:rPr>
        <w:t>2022</w:t>
      </w:r>
      <w:r>
        <w:rPr>
          <w:rFonts w:ascii="仿宋_GB2312" w:eastAsia="仿宋_GB2312" w:hAnsi="宋体" w:cs="宋体"/>
          <w:color w:val="000000"/>
          <w:kern w:val="0"/>
          <w:sz w:val="32"/>
          <w:szCs w:val="32"/>
        </w:rPr>
        <w:t>年度无固定资产处置情况。</w:t>
      </w:r>
    </w:p>
    <w:p w:rsidR="00F14931" w:rsidRDefault="002D1D6E">
      <w:pPr>
        <w:spacing w:line="600" w:lineRule="exact"/>
        <w:ind w:firstLineChars="200" w:firstLine="640"/>
        <w:outlineLvl w:val="1"/>
        <w:rPr>
          <w:rFonts w:ascii="楷体_GB2312" w:eastAsia="楷体_GB2312"/>
          <w:sz w:val="32"/>
          <w:szCs w:val="32"/>
        </w:rPr>
      </w:pPr>
      <w:bookmarkStart w:id="39" w:name="_Toc31300"/>
      <w:r>
        <w:rPr>
          <w:rFonts w:ascii="楷体_GB2312" w:eastAsia="楷体_GB2312" w:hint="eastAsia"/>
          <w:sz w:val="32"/>
          <w:szCs w:val="32"/>
        </w:rPr>
        <w:t>（三）绩效管理</w:t>
      </w:r>
      <w:bookmarkEnd w:id="38"/>
      <w:bookmarkEnd w:id="39"/>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石景山区人民法院非常重视绩效管理工作，成立了绩效管理工作领导小组，并于</w:t>
      </w: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t>月完成了绩效自评</w:t>
      </w:r>
      <w:r>
        <w:rPr>
          <w:rFonts w:ascii="仿宋_GB2312" w:eastAsia="仿宋_GB2312" w:hAnsi="宋体" w:cs="宋体"/>
          <w:color w:val="000000"/>
          <w:kern w:val="0"/>
          <w:sz w:val="32"/>
          <w:szCs w:val="32"/>
        </w:rPr>
        <w:t>工作</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项目支出</w:t>
      </w:r>
      <w:r>
        <w:rPr>
          <w:rFonts w:ascii="仿宋_GB2312" w:eastAsia="仿宋_GB2312" w:hAnsi="宋体" w:cs="宋体" w:hint="eastAsia"/>
          <w:color w:val="000000"/>
          <w:kern w:val="0"/>
          <w:sz w:val="32"/>
          <w:szCs w:val="32"/>
        </w:rPr>
        <w:t>自评涵盖</w:t>
      </w: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年度所有项目，各项目均需填报《项目支出绩效自评表》；</w:t>
      </w:r>
      <w:r>
        <w:rPr>
          <w:rFonts w:ascii="仿宋_GB2312" w:eastAsia="仿宋_GB2312" w:hAnsi="宋体" w:cs="宋体"/>
          <w:color w:val="000000"/>
          <w:kern w:val="0"/>
          <w:sz w:val="32"/>
          <w:szCs w:val="32"/>
        </w:rPr>
        <w:t>开展基层公检法</w:t>
      </w:r>
      <w:proofErr w:type="gramStart"/>
      <w:r>
        <w:rPr>
          <w:rFonts w:ascii="仿宋_GB2312" w:eastAsia="仿宋_GB2312" w:hAnsi="宋体" w:cs="宋体"/>
          <w:color w:val="000000"/>
          <w:kern w:val="0"/>
          <w:sz w:val="32"/>
          <w:szCs w:val="32"/>
        </w:rPr>
        <w:t>司转移</w:t>
      </w:r>
      <w:proofErr w:type="gramEnd"/>
      <w:r>
        <w:rPr>
          <w:rFonts w:ascii="仿宋_GB2312" w:eastAsia="仿宋_GB2312" w:hAnsi="宋体" w:cs="宋体"/>
          <w:color w:val="000000"/>
          <w:kern w:val="0"/>
          <w:sz w:val="32"/>
          <w:szCs w:val="32"/>
        </w:rPr>
        <w:t>支付资金自评</w:t>
      </w:r>
      <w:r>
        <w:rPr>
          <w:rFonts w:ascii="仿宋_GB2312" w:eastAsia="仿宋_GB2312" w:hAnsi="宋体" w:cs="宋体" w:hint="eastAsia"/>
          <w:color w:val="000000"/>
          <w:kern w:val="0"/>
          <w:sz w:val="32"/>
          <w:szCs w:val="32"/>
        </w:rPr>
        <w:t>，并形成《自评表》和《基层公检法司转移支付石景山区</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年度绩效自评报告》；最后，针对</w:t>
      </w:r>
      <w:r>
        <w:rPr>
          <w:rFonts w:ascii="仿宋_GB2312" w:eastAsia="仿宋_GB2312" w:hAnsi="宋体" w:cs="宋体" w:hint="eastAsia"/>
          <w:color w:val="000000"/>
          <w:kern w:val="0"/>
          <w:sz w:val="32"/>
          <w:szCs w:val="32"/>
        </w:rPr>
        <w:t>202</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年度部门整体支出情况进行绩效评价，形成《部门整体绩效评价报告》。</w:t>
      </w:r>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石景山区人民法院及时对绩效信息进行了汇总、分析和整理，针对绩效评价发现的问题进行了整改，并按要求将《项目支出绩效自评表》《基层公检法司转移支付石景山区</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年度绩效自评报告》《部门整体绩效评价报告》等上传至预算绩效管理系统，为后续绩效管理信息的应用提供了支撑和保障。</w:t>
      </w:r>
    </w:p>
    <w:p w:rsidR="00F14931" w:rsidRDefault="002D1D6E">
      <w:pPr>
        <w:spacing w:line="600" w:lineRule="exact"/>
        <w:ind w:firstLineChars="200" w:firstLine="640"/>
        <w:outlineLvl w:val="1"/>
        <w:rPr>
          <w:rFonts w:ascii="楷体_GB2312" w:eastAsia="楷体_GB2312"/>
          <w:sz w:val="32"/>
          <w:szCs w:val="32"/>
        </w:rPr>
      </w:pPr>
      <w:bookmarkStart w:id="40" w:name="_Toc19989"/>
      <w:bookmarkStart w:id="41" w:name="_Toc1707"/>
      <w:r>
        <w:rPr>
          <w:rFonts w:ascii="楷体_GB2312" w:eastAsia="楷体_GB2312" w:hint="eastAsia"/>
          <w:sz w:val="32"/>
          <w:szCs w:val="32"/>
        </w:rPr>
        <w:t>（四）结转结余率</w:t>
      </w:r>
      <w:bookmarkEnd w:id="40"/>
      <w:bookmarkEnd w:id="41"/>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石景山区人民法院</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年收支结转结余</w:t>
      </w:r>
      <w:r>
        <w:rPr>
          <w:rFonts w:ascii="仿宋_GB2312" w:eastAsia="仿宋_GB2312" w:hAnsi="宋体" w:cs="宋体" w:hint="eastAsia"/>
          <w:color w:val="000000"/>
          <w:kern w:val="0"/>
          <w:sz w:val="32"/>
          <w:szCs w:val="32"/>
        </w:rPr>
        <w:t>843.73</w:t>
      </w:r>
      <w:r>
        <w:rPr>
          <w:rFonts w:ascii="仿宋_GB2312" w:eastAsia="仿宋_GB2312" w:hAnsi="宋体" w:cs="宋体" w:hint="eastAsia"/>
          <w:color w:val="000000"/>
          <w:kern w:val="0"/>
          <w:sz w:val="32"/>
          <w:szCs w:val="32"/>
        </w:rPr>
        <w:t>万元，结转结</w:t>
      </w:r>
      <w:r>
        <w:rPr>
          <w:rFonts w:ascii="仿宋_GB2312" w:eastAsia="仿宋_GB2312" w:hAnsi="宋体" w:cs="宋体" w:hint="eastAsia"/>
          <w:color w:val="000000"/>
          <w:kern w:val="0"/>
          <w:sz w:val="32"/>
          <w:szCs w:val="32"/>
        </w:rPr>
        <w:t>余率</w:t>
      </w:r>
      <w:r>
        <w:rPr>
          <w:rFonts w:ascii="仿宋_GB2312" w:eastAsia="仿宋_GB2312" w:hAnsi="宋体" w:cs="宋体" w:hint="eastAsia"/>
          <w:color w:val="000000"/>
          <w:kern w:val="0"/>
          <w:sz w:val="32"/>
          <w:szCs w:val="32"/>
        </w:rPr>
        <w:t>6.08</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hint="eastAsia"/>
          <w:color w:val="000000"/>
          <w:kern w:val="0"/>
          <w:sz w:val="32"/>
          <w:szCs w:val="32"/>
        </w:rPr>
        <w:t>年收支结转结余</w:t>
      </w:r>
      <w:r>
        <w:rPr>
          <w:rFonts w:ascii="仿宋_GB2312" w:eastAsia="仿宋_GB2312" w:hAnsi="宋体" w:cs="宋体" w:hint="eastAsia"/>
          <w:color w:val="000000"/>
          <w:kern w:val="0"/>
          <w:sz w:val="32"/>
          <w:szCs w:val="32"/>
        </w:rPr>
        <w:t>245.24</w:t>
      </w:r>
      <w:r>
        <w:rPr>
          <w:rFonts w:ascii="仿宋_GB2312" w:eastAsia="仿宋_GB2312" w:hAnsi="宋体" w:cs="宋体" w:hint="eastAsia"/>
          <w:color w:val="000000"/>
          <w:kern w:val="0"/>
          <w:sz w:val="32"/>
          <w:szCs w:val="32"/>
        </w:rPr>
        <w:t>万元，其中基本支出结转结余</w:t>
      </w:r>
      <w:r>
        <w:rPr>
          <w:rFonts w:ascii="仿宋_GB2312" w:eastAsia="仿宋_GB2312" w:hAnsi="宋体" w:cs="宋体" w:hint="eastAsia"/>
          <w:color w:val="000000"/>
          <w:kern w:val="0"/>
          <w:sz w:val="32"/>
          <w:szCs w:val="32"/>
        </w:rPr>
        <w:t>203.49</w:t>
      </w:r>
      <w:r>
        <w:rPr>
          <w:rFonts w:ascii="仿宋_GB2312" w:eastAsia="仿宋_GB2312" w:hAnsi="宋体" w:cs="宋体" w:hint="eastAsia"/>
          <w:color w:val="000000"/>
          <w:kern w:val="0"/>
          <w:sz w:val="32"/>
          <w:szCs w:val="32"/>
        </w:rPr>
        <w:t>万元，项目支出结转结余</w:t>
      </w:r>
      <w:r>
        <w:rPr>
          <w:rFonts w:ascii="仿宋_GB2312" w:eastAsia="仿宋_GB2312" w:hAnsi="宋体" w:cs="宋体" w:hint="eastAsia"/>
          <w:color w:val="000000"/>
          <w:kern w:val="0"/>
          <w:sz w:val="32"/>
          <w:szCs w:val="32"/>
        </w:rPr>
        <w:t>41.75</w:t>
      </w:r>
      <w:r>
        <w:rPr>
          <w:rFonts w:ascii="仿宋_GB2312" w:eastAsia="仿宋_GB2312" w:hAnsi="宋体" w:cs="宋体" w:hint="eastAsia"/>
          <w:color w:val="000000"/>
          <w:kern w:val="0"/>
          <w:sz w:val="32"/>
          <w:szCs w:val="32"/>
        </w:rPr>
        <w:t>万元，结转结余率</w:t>
      </w:r>
      <w:r>
        <w:rPr>
          <w:rFonts w:ascii="仿宋_GB2312" w:eastAsia="仿宋_GB2312" w:hAnsi="宋体" w:cs="宋体" w:hint="eastAsia"/>
          <w:color w:val="000000"/>
          <w:kern w:val="0"/>
          <w:sz w:val="32"/>
          <w:szCs w:val="32"/>
        </w:rPr>
        <w:t>1.68</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，部门结转结余率较上年有所下降。</w:t>
      </w:r>
    </w:p>
    <w:p w:rsidR="00F14931" w:rsidRDefault="002D1D6E">
      <w:pPr>
        <w:spacing w:line="600" w:lineRule="exact"/>
        <w:ind w:firstLineChars="200" w:firstLine="640"/>
        <w:outlineLvl w:val="1"/>
        <w:rPr>
          <w:rFonts w:ascii="楷体_GB2312" w:eastAsia="楷体_GB2312"/>
          <w:sz w:val="32"/>
          <w:szCs w:val="32"/>
        </w:rPr>
      </w:pPr>
      <w:bookmarkStart w:id="42" w:name="_Toc32227"/>
      <w:bookmarkStart w:id="43" w:name="_Toc31075"/>
      <w:r>
        <w:rPr>
          <w:rFonts w:ascii="楷体_GB2312" w:eastAsia="楷体_GB2312" w:hint="eastAsia"/>
          <w:sz w:val="32"/>
          <w:szCs w:val="32"/>
        </w:rPr>
        <w:t>（五）部门预决算差异率</w:t>
      </w:r>
      <w:bookmarkEnd w:id="42"/>
      <w:bookmarkEnd w:id="43"/>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年年</w:t>
      </w:r>
      <w:proofErr w:type="gramStart"/>
      <w:r>
        <w:rPr>
          <w:rFonts w:ascii="仿宋_GB2312" w:eastAsia="仿宋_GB2312" w:hAnsi="宋体" w:cs="宋体" w:hint="eastAsia"/>
          <w:color w:val="000000"/>
          <w:kern w:val="0"/>
          <w:sz w:val="32"/>
          <w:szCs w:val="32"/>
        </w:rPr>
        <w:t>初部门</w:t>
      </w:r>
      <w:proofErr w:type="gramEnd"/>
      <w:r>
        <w:rPr>
          <w:rFonts w:ascii="仿宋_GB2312" w:eastAsia="仿宋_GB2312" w:hAnsi="宋体" w:cs="宋体" w:hint="eastAsia"/>
          <w:color w:val="000000"/>
          <w:kern w:val="0"/>
          <w:sz w:val="32"/>
          <w:szCs w:val="32"/>
        </w:rPr>
        <w:t>预算数</w:t>
      </w:r>
      <w:r>
        <w:rPr>
          <w:rFonts w:ascii="仿宋_GB2312" w:eastAsia="仿宋_GB2312" w:hAnsi="宋体" w:cs="宋体" w:hint="eastAsia"/>
          <w:color w:val="000000"/>
          <w:kern w:val="0"/>
          <w:sz w:val="32"/>
          <w:szCs w:val="32"/>
        </w:rPr>
        <w:t>14485.76</w:t>
      </w:r>
      <w:r>
        <w:rPr>
          <w:rFonts w:ascii="仿宋_GB2312" w:eastAsia="仿宋_GB2312" w:hAnsi="宋体" w:cs="宋体" w:hint="eastAsia"/>
          <w:color w:val="000000"/>
          <w:kern w:val="0"/>
          <w:sz w:val="32"/>
          <w:szCs w:val="32"/>
        </w:rPr>
        <w:t>万元，年度部门决算数</w:t>
      </w:r>
      <w:r>
        <w:rPr>
          <w:rFonts w:ascii="仿宋_GB2312" w:eastAsia="仿宋_GB2312" w:hAnsi="宋体" w:cs="宋体" w:hint="eastAsia"/>
          <w:color w:val="000000"/>
          <w:kern w:val="0"/>
          <w:sz w:val="32"/>
          <w:szCs w:val="32"/>
        </w:rPr>
        <w:t>14607.94</w:t>
      </w:r>
      <w:r>
        <w:rPr>
          <w:rFonts w:ascii="仿宋_GB2312" w:eastAsia="仿宋_GB2312" w:hAnsi="宋体" w:cs="宋体" w:hint="eastAsia"/>
          <w:color w:val="000000"/>
          <w:kern w:val="0"/>
          <w:sz w:val="32"/>
          <w:szCs w:val="32"/>
        </w:rPr>
        <w:t>万元，差异率</w:t>
      </w:r>
      <w:r>
        <w:rPr>
          <w:rFonts w:ascii="仿宋_GB2312" w:eastAsia="仿宋_GB2312" w:hAnsi="宋体" w:cs="宋体" w:hint="eastAsia"/>
          <w:color w:val="000000"/>
          <w:kern w:val="0"/>
          <w:sz w:val="32"/>
          <w:szCs w:val="32"/>
        </w:rPr>
        <w:t>0.84%</w:t>
      </w:r>
      <w:r>
        <w:rPr>
          <w:rFonts w:ascii="仿宋_GB2312" w:eastAsia="仿宋_GB2312" w:hAnsi="宋体" w:cs="宋体" w:hint="eastAsia"/>
          <w:color w:val="000000"/>
          <w:kern w:val="0"/>
          <w:sz w:val="32"/>
          <w:szCs w:val="32"/>
        </w:rPr>
        <w:t>，低于市级平均差异率</w:t>
      </w:r>
      <w:r>
        <w:rPr>
          <w:rFonts w:ascii="仿宋_GB2312" w:eastAsia="仿宋_GB2312" w:hAnsi="宋体" w:cs="宋体" w:hint="eastAsia"/>
          <w:color w:val="000000"/>
          <w:kern w:val="0"/>
          <w:sz w:val="32"/>
          <w:szCs w:val="32"/>
        </w:rPr>
        <w:t>28.3%</w:t>
      </w:r>
      <w:r>
        <w:rPr>
          <w:rFonts w:ascii="仿宋_GB2312" w:eastAsia="仿宋_GB2312" w:hAnsi="宋体" w:cs="宋体" w:hint="eastAsia"/>
          <w:color w:val="000000"/>
          <w:kern w:val="0"/>
          <w:sz w:val="32"/>
          <w:szCs w:val="32"/>
        </w:rPr>
        <w:t>。</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44" w:name="_Toc22787"/>
      <w:bookmarkStart w:id="45" w:name="_Toc22501"/>
      <w:r>
        <w:rPr>
          <w:rFonts w:ascii="黑体" w:eastAsia="黑体" w:hAnsi="黑体" w:cs="宋体" w:hint="eastAsia"/>
          <w:color w:val="000000"/>
          <w:kern w:val="0"/>
          <w:sz w:val="32"/>
          <w:szCs w:val="32"/>
        </w:rPr>
        <w:t>五、总体评价结论</w:t>
      </w:r>
      <w:bookmarkEnd w:id="44"/>
      <w:bookmarkEnd w:id="45"/>
    </w:p>
    <w:p w:rsidR="00F14931" w:rsidRDefault="002D1D6E">
      <w:pPr>
        <w:spacing w:line="600" w:lineRule="exact"/>
        <w:ind w:firstLineChars="200" w:firstLine="640"/>
        <w:outlineLvl w:val="1"/>
        <w:rPr>
          <w:rFonts w:ascii="楷体_GB2312" w:eastAsia="楷体_GB2312"/>
          <w:sz w:val="32"/>
          <w:szCs w:val="32"/>
        </w:rPr>
      </w:pPr>
      <w:bookmarkStart w:id="46" w:name="_Toc957"/>
      <w:bookmarkStart w:id="47" w:name="_Toc3081"/>
      <w:r>
        <w:rPr>
          <w:rFonts w:ascii="楷体_GB2312" w:eastAsia="楷体_GB2312" w:hint="eastAsia"/>
          <w:sz w:val="32"/>
          <w:szCs w:val="32"/>
        </w:rPr>
        <w:t>（一）评价得分情况</w:t>
      </w:r>
      <w:bookmarkEnd w:id="46"/>
      <w:bookmarkEnd w:id="47"/>
    </w:p>
    <w:p w:rsidR="00F14931" w:rsidRDefault="002D1D6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经评价，</w:t>
      </w:r>
      <w:r>
        <w:rPr>
          <w:rFonts w:ascii="仿宋_GB2312" w:eastAsia="仿宋_GB2312" w:hAnsi="宋体" w:cs="宋体" w:hint="eastAsia"/>
          <w:color w:val="000000"/>
          <w:kern w:val="0"/>
          <w:sz w:val="32"/>
          <w:szCs w:val="32"/>
        </w:rPr>
        <w:t>2022</w:t>
      </w:r>
      <w:r>
        <w:rPr>
          <w:rFonts w:ascii="仿宋_GB2312" w:eastAsia="仿宋_GB2312" w:hAnsi="宋体" w:cs="宋体" w:hint="eastAsia"/>
          <w:color w:val="000000"/>
          <w:kern w:val="0"/>
          <w:sz w:val="32"/>
          <w:szCs w:val="32"/>
        </w:rPr>
        <w:t>年度石景山区人民法院部门整体绩效评价综合得分</w:t>
      </w:r>
      <w:r>
        <w:rPr>
          <w:rFonts w:ascii="仿宋_GB2312" w:eastAsia="仿宋_GB2312" w:hAnsi="宋体" w:cs="宋体" w:hint="eastAsia"/>
          <w:color w:val="000000"/>
          <w:kern w:val="0"/>
          <w:sz w:val="32"/>
          <w:szCs w:val="32"/>
        </w:rPr>
        <w:t>94.44</w:t>
      </w:r>
      <w:r>
        <w:rPr>
          <w:rFonts w:ascii="仿宋_GB2312" w:eastAsia="仿宋_GB2312" w:hAnsi="宋体" w:cs="宋体" w:hint="eastAsia"/>
          <w:color w:val="000000"/>
          <w:kern w:val="0"/>
          <w:sz w:val="32"/>
          <w:szCs w:val="32"/>
        </w:rPr>
        <w:t>分，其中：当年预算执行情况</w:t>
      </w:r>
      <w:r>
        <w:rPr>
          <w:rFonts w:ascii="仿宋_GB2312" w:eastAsia="仿宋_GB2312" w:hAnsi="宋体" w:cs="宋体" w:hint="eastAsia"/>
          <w:color w:val="000000"/>
          <w:kern w:val="0"/>
          <w:sz w:val="32"/>
          <w:szCs w:val="32"/>
        </w:rPr>
        <w:t>19.66</w:t>
      </w:r>
      <w:r>
        <w:rPr>
          <w:rFonts w:ascii="仿宋_GB2312" w:eastAsia="仿宋_GB2312" w:hAnsi="宋体" w:cs="宋体" w:hint="eastAsia"/>
          <w:color w:val="000000"/>
          <w:kern w:val="0"/>
          <w:sz w:val="32"/>
          <w:szCs w:val="32"/>
        </w:rPr>
        <w:t>分，整体绩效目标实现情况</w:t>
      </w:r>
      <w:r>
        <w:rPr>
          <w:rFonts w:ascii="仿宋_GB2312" w:eastAsia="仿宋_GB2312" w:hAnsi="宋体" w:cs="宋体" w:hint="eastAsia"/>
          <w:color w:val="000000"/>
          <w:kern w:val="0"/>
          <w:sz w:val="32"/>
          <w:szCs w:val="32"/>
        </w:rPr>
        <w:t>57.4</w:t>
      </w:r>
      <w:r>
        <w:rPr>
          <w:rFonts w:ascii="仿宋_GB2312" w:eastAsia="仿宋_GB2312" w:hAnsi="宋体" w:cs="宋体" w:hint="eastAsia"/>
          <w:color w:val="000000"/>
          <w:kern w:val="0"/>
          <w:sz w:val="32"/>
          <w:szCs w:val="32"/>
        </w:rPr>
        <w:t>分，预算管理情况</w:t>
      </w:r>
      <w:r>
        <w:rPr>
          <w:rFonts w:ascii="仿宋_GB2312" w:eastAsia="仿宋_GB2312" w:hAnsi="宋体" w:cs="宋体" w:hint="eastAsia"/>
          <w:color w:val="000000"/>
          <w:kern w:val="0"/>
          <w:sz w:val="32"/>
          <w:szCs w:val="32"/>
        </w:rPr>
        <w:t>17.38</w:t>
      </w:r>
      <w:r>
        <w:rPr>
          <w:rFonts w:ascii="仿宋_GB2312" w:eastAsia="仿宋_GB2312" w:hAnsi="宋体" w:cs="宋体" w:hint="eastAsia"/>
          <w:color w:val="000000"/>
          <w:kern w:val="0"/>
          <w:sz w:val="32"/>
          <w:szCs w:val="32"/>
        </w:rPr>
        <w:t>分，绩效评定结论为“优”。</w:t>
      </w:r>
    </w:p>
    <w:p w:rsidR="00F14931" w:rsidRDefault="002D1D6E">
      <w:pPr>
        <w:spacing w:line="360" w:lineRule="auto"/>
        <w:contextualSpacing/>
        <w:jc w:val="center"/>
        <w:rPr>
          <w:rFonts w:ascii="宋体" w:hAnsi="宋体" w:cs="仿宋_GB2312"/>
          <w:b/>
          <w:sz w:val="28"/>
          <w:szCs w:val="28"/>
        </w:rPr>
      </w:pPr>
      <w:r>
        <w:rPr>
          <w:rFonts w:ascii="宋体" w:hAnsi="宋体" w:cs="仿宋_GB2312" w:hint="eastAsia"/>
          <w:b/>
          <w:sz w:val="28"/>
          <w:szCs w:val="28"/>
        </w:rPr>
        <w:t>绩效评价结论一览表</w:t>
      </w:r>
    </w:p>
    <w:tbl>
      <w:tblPr>
        <w:tblW w:w="86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918"/>
        <w:gridCol w:w="2832"/>
        <w:gridCol w:w="2929"/>
      </w:tblGrid>
      <w:tr w:rsidR="00F14931">
        <w:trPr>
          <w:cantSplit/>
          <w:trHeight w:val="340"/>
          <w:jc w:val="center"/>
        </w:trPr>
        <w:tc>
          <w:tcPr>
            <w:tcW w:w="2918" w:type="dxa"/>
            <w:shd w:val="clear" w:color="auto" w:fill="D9D9D9"/>
            <w:vAlign w:val="center"/>
          </w:tcPr>
          <w:p w:rsidR="00F14931" w:rsidRDefault="002D1D6E">
            <w:pPr>
              <w:adjustRightInd w:val="0"/>
              <w:snapToGrid w:val="0"/>
              <w:spacing w:before="120" w:after="60"/>
              <w:jc w:val="center"/>
              <w:rPr>
                <w:rFonts w:ascii="宋体" w:hAnsi="宋体" w:cs="宋体"/>
                <w:b/>
                <w:szCs w:val="21"/>
              </w:rPr>
            </w:pPr>
            <w:r>
              <w:rPr>
                <w:rFonts w:ascii="宋体" w:hAnsi="宋体" w:cs="宋体" w:hint="eastAsia"/>
                <w:b/>
                <w:szCs w:val="21"/>
              </w:rPr>
              <w:t>评价内容</w:t>
            </w:r>
          </w:p>
        </w:tc>
        <w:tc>
          <w:tcPr>
            <w:tcW w:w="2832" w:type="dxa"/>
            <w:shd w:val="clear" w:color="auto" w:fill="D9D9D9"/>
            <w:vAlign w:val="center"/>
          </w:tcPr>
          <w:p w:rsidR="00F14931" w:rsidRDefault="002D1D6E">
            <w:pPr>
              <w:adjustRightInd w:val="0"/>
              <w:snapToGrid w:val="0"/>
              <w:spacing w:before="120" w:after="60"/>
              <w:jc w:val="center"/>
              <w:rPr>
                <w:rFonts w:ascii="宋体" w:hAnsi="宋体" w:cs="宋体"/>
                <w:b/>
                <w:szCs w:val="21"/>
              </w:rPr>
            </w:pPr>
            <w:r>
              <w:rPr>
                <w:rFonts w:ascii="宋体" w:hAnsi="宋体" w:cs="宋体" w:hint="eastAsia"/>
                <w:b/>
                <w:szCs w:val="21"/>
              </w:rPr>
              <w:t>分值</w:t>
            </w:r>
          </w:p>
        </w:tc>
        <w:tc>
          <w:tcPr>
            <w:tcW w:w="2929" w:type="dxa"/>
            <w:shd w:val="clear" w:color="auto" w:fill="D9D9D9"/>
            <w:vAlign w:val="center"/>
          </w:tcPr>
          <w:p w:rsidR="00F14931" w:rsidRDefault="002D1D6E">
            <w:pPr>
              <w:adjustRightInd w:val="0"/>
              <w:snapToGrid w:val="0"/>
              <w:spacing w:before="120" w:after="60"/>
              <w:jc w:val="center"/>
              <w:rPr>
                <w:rFonts w:ascii="宋体" w:hAnsi="宋体" w:cs="宋体"/>
                <w:b/>
                <w:szCs w:val="21"/>
              </w:rPr>
            </w:pPr>
            <w:r>
              <w:rPr>
                <w:rFonts w:ascii="宋体" w:hAnsi="宋体" w:cs="宋体" w:hint="eastAsia"/>
                <w:b/>
                <w:szCs w:val="21"/>
              </w:rPr>
              <w:t>评价得分</w:t>
            </w:r>
          </w:p>
        </w:tc>
      </w:tr>
      <w:tr w:rsidR="00F14931">
        <w:trPr>
          <w:cantSplit/>
          <w:trHeight w:val="340"/>
          <w:jc w:val="center"/>
        </w:trPr>
        <w:tc>
          <w:tcPr>
            <w:tcW w:w="2918"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当年预算执行情况</w:t>
            </w:r>
          </w:p>
        </w:tc>
        <w:tc>
          <w:tcPr>
            <w:tcW w:w="2832"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20</w:t>
            </w:r>
          </w:p>
        </w:tc>
        <w:tc>
          <w:tcPr>
            <w:tcW w:w="2929"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19.66</w:t>
            </w:r>
          </w:p>
        </w:tc>
      </w:tr>
      <w:tr w:rsidR="00F14931">
        <w:trPr>
          <w:cantSplit/>
          <w:trHeight w:val="340"/>
          <w:jc w:val="center"/>
        </w:trPr>
        <w:tc>
          <w:tcPr>
            <w:tcW w:w="2918"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整体绩效目标实现情况</w:t>
            </w:r>
          </w:p>
        </w:tc>
        <w:tc>
          <w:tcPr>
            <w:tcW w:w="2832"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60</w:t>
            </w:r>
          </w:p>
        </w:tc>
        <w:tc>
          <w:tcPr>
            <w:tcW w:w="2929"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57.4</w:t>
            </w:r>
            <w:r w:rsidR="00C74003">
              <w:rPr>
                <w:rFonts w:ascii="宋体" w:hAnsi="宋体" w:cs="宋体" w:hint="eastAsia"/>
                <w:szCs w:val="21"/>
              </w:rPr>
              <w:t>0</w:t>
            </w:r>
          </w:p>
        </w:tc>
      </w:tr>
      <w:tr w:rsidR="00F14931">
        <w:trPr>
          <w:cantSplit/>
          <w:trHeight w:val="340"/>
          <w:jc w:val="center"/>
        </w:trPr>
        <w:tc>
          <w:tcPr>
            <w:tcW w:w="2918"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预算管理情况</w:t>
            </w:r>
          </w:p>
        </w:tc>
        <w:tc>
          <w:tcPr>
            <w:tcW w:w="2832"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20</w:t>
            </w:r>
          </w:p>
        </w:tc>
        <w:tc>
          <w:tcPr>
            <w:tcW w:w="2929"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17.38</w:t>
            </w:r>
          </w:p>
        </w:tc>
      </w:tr>
      <w:tr w:rsidR="00F14931">
        <w:trPr>
          <w:cantSplit/>
          <w:trHeight w:val="340"/>
          <w:jc w:val="center"/>
        </w:trPr>
        <w:tc>
          <w:tcPr>
            <w:tcW w:w="2918"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综合得分</w:t>
            </w:r>
          </w:p>
        </w:tc>
        <w:tc>
          <w:tcPr>
            <w:tcW w:w="2832"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100</w:t>
            </w:r>
          </w:p>
        </w:tc>
        <w:tc>
          <w:tcPr>
            <w:tcW w:w="2929"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94.44</w:t>
            </w:r>
          </w:p>
        </w:tc>
      </w:tr>
      <w:tr w:rsidR="00F14931">
        <w:trPr>
          <w:cantSplit/>
          <w:trHeight w:val="340"/>
          <w:jc w:val="center"/>
        </w:trPr>
        <w:tc>
          <w:tcPr>
            <w:tcW w:w="2918"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绩效评定级别</w:t>
            </w:r>
          </w:p>
        </w:tc>
        <w:tc>
          <w:tcPr>
            <w:tcW w:w="5761" w:type="dxa"/>
            <w:gridSpan w:val="2"/>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优</w:t>
            </w:r>
          </w:p>
        </w:tc>
      </w:tr>
      <w:tr w:rsidR="00F14931">
        <w:trPr>
          <w:cantSplit/>
          <w:trHeight w:val="340"/>
          <w:jc w:val="center"/>
        </w:trPr>
        <w:tc>
          <w:tcPr>
            <w:tcW w:w="2918" w:type="dxa"/>
            <w:vAlign w:val="center"/>
          </w:tcPr>
          <w:p w:rsidR="00F14931" w:rsidRDefault="002D1D6E">
            <w:pPr>
              <w:adjustRightInd w:val="0"/>
              <w:snapToGrid w:val="0"/>
              <w:spacing w:before="120" w:after="60"/>
              <w:jc w:val="center"/>
              <w:rPr>
                <w:rFonts w:ascii="宋体" w:hAnsi="宋体" w:cs="宋体"/>
                <w:szCs w:val="21"/>
              </w:rPr>
            </w:pPr>
            <w:r>
              <w:rPr>
                <w:rFonts w:ascii="宋体" w:hAnsi="宋体" w:cs="宋体" w:hint="eastAsia"/>
                <w:szCs w:val="21"/>
              </w:rPr>
              <w:t>绩效级别</w:t>
            </w:r>
          </w:p>
        </w:tc>
        <w:tc>
          <w:tcPr>
            <w:tcW w:w="5761" w:type="dxa"/>
            <w:gridSpan w:val="2"/>
            <w:vAlign w:val="center"/>
          </w:tcPr>
          <w:p w:rsidR="00F14931" w:rsidRDefault="002D1D6E">
            <w:pPr>
              <w:jc w:val="left"/>
              <w:rPr>
                <w:rFonts w:ascii="宋体" w:hAnsi="宋体" w:cs="宋体"/>
                <w:szCs w:val="21"/>
              </w:rPr>
            </w:pPr>
            <w:r>
              <w:rPr>
                <w:rFonts w:ascii="宋体" w:hAnsi="宋体" w:cs="宋体" w:hint="eastAsia"/>
                <w:szCs w:val="21"/>
              </w:rPr>
              <w:t>优</w:t>
            </w:r>
            <w:r>
              <w:rPr>
                <w:rFonts w:ascii="宋体" w:hAnsi="宋体" w:cs="宋体" w:hint="eastAsia"/>
                <w:szCs w:val="21"/>
              </w:rPr>
              <w:t>(90</w:t>
            </w:r>
            <w:r>
              <w:rPr>
                <w:rFonts w:ascii="宋体" w:hAnsi="宋体" w:cs="宋体" w:hint="eastAsia"/>
                <w:szCs w:val="21"/>
              </w:rPr>
              <w:t>分以上</w:t>
            </w:r>
            <w:r>
              <w:rPr>
                <w:rFonts w:ascii="宋体" w:hAnsi="宋体" w:cs="宋体" w:hint="eastAsia"/>
                <w:szCs w:val="21"/>
              </w:rPr>
              <w:t xml:space="preserve">)          </w:t>
            </w:r>
            <w:r>
              <w:rPr>
                <w:rFonts w:ascii="宋体" w:hAnsi="宋体" w:cs="宋体" w:hint="eastAsia"/>
                <w:szCs w:val="21"/>
              </w:rPr>
              <w:t>良</w:t>
            </w:r>
            <w:r>
              <w:rPr>
                <w:rFonts w:ascii="宋体" w:hAnsi="宋体" w:cs="宋体" w:hint="eastAsia"/>
                <w:szCs w:val="21"/>
              </w:rPr>
              <w:t>(80-90</w:t>
            </w:r>
            <w:r>
              <w:rPr>
                <w:rFonts w:ascii="宋体" w:hAnsi="宋体" w:cs="宋体" w:hint="eastAsia"/>
                <w:szCs w:val="21"/>
              </w:rPr>
              <w:t>分</w:t>
            </w:r>
            <w:r>
              <w:rPr>
                <w:rFonts w:ascii="宋体" w:hAnsi="宋体" w:cs="宋体" w:hint="eastAsia"/>
                <w:szCs w:val="21"/>
              </w:rPr>
              <w:t>)</w:t>
            </w:r>
          </w:p>
          <w:p w:rsidR="00F14931" w:rsidRDefault="002D1D6E">
            <w:pPr>
              <w:adjustRightInd w:val="0"/>
              <w:snapToGrid w:val="0"/>
              <w:spacing w:before="120" w:after="60"/>
              <w:jc w:val="left"/>
              <w:rPr>
                <w:rFonts w:ascii="宋体" w:hAnsi="宋体" w:cs="宋体"/>
                <w:szCs w:val="21"/>
              </w:rPr>
            </w:pPr>
            <w:r>
              <w:rPr>
                <w:rFonts w:ascii="宋体" w:hAnsi="宋体" w:cs="宋体" w:hint="eastAsia"/>
                <w:szCs w:val="21"/>
              </w:rPr>
              <w:t>中（</w:t>
            </w:r>
            <w:r>
              <w:rPr>
                <w:rFonts w:ascii="宋体" w:hAnsi="宋体" w:cs="宋体" w:hint="eastAsia"/>
                <w:szCs w:val="21"/>
              </w:rPr>
              <w:t>60-80</w:t>
            </w:r>
            <w:r>
              <w:rPr>
                <w:rFonts w:ascii="宋体" w:hAnsi="宋体" w:cs="宋体" w:hint="eastAsia"/>
                <w:szCs w:val="21"/>
              </w:rPr>
              <w:t>分）</w:t>
            </w:r>
            <w:r>
              <w:rPr>
                <w:rFonts w:ascii="宋体" w:hAnsi="宋体" w:cs="宋体" w:hint="eastAsia"/>
                <w:szCs w:val="21"/>
              </w:rPr>
              <w:t xml:space="preserve">         </w:t>
            </w:r>
            <w:r>
              <w:rPr>
                <w:rFonts w:ascii="宋体" w:hAnsi="宋体" w:cs="宋体" w:hint="eastAsia"/>
                <w:szCs w:val="21"/>
              </w:rPr>
              <w:t>差（</w:t>
            </w:r>
            <w:r>
              <w:rPr>
                <w:rFonts w:ascii="宋体" w:hAnsi="宋体" w:cs="宋体" w:hint="eastAsia"/>
                <w:szCs w:val="21"/>
              </w:rPr>
              <w:t>60</w:t>
            </w:r>
            <w:r>
              <w:rPr>
                <w:rFonts w:ascii="宋体" w:hAnsi="宋体" w:cs="宋体" w:hint="eastAsia"/>
                <w:szCs w:val="21"/>
              </w:rPr>
              <w:t>分以下）</w:t>
            </w:r>
          </w:p>
        </w:tc>
      </w:tr>
    </w:tbl>
    <w:p w:rsidR="00F14931" w:rsidRDefault="002D1D6E" w:rsidP="00C74003">
      <w:pPr>
        <w:spacing w:beforeLines="50" w:before="156" w:line="600" w:lineRule="exact"/>
        <w:ind w:firstLineChars="200" w:firstLine="640"/>
        <w:outlineLvl w:val="1"/>
        <w:rPr>
          <w:rFonts w:ascii="楷体_GB2312" w:eastAsia="楷体_GB2312"/>
          <w:sz w:val="32"/>
          <w:szCs w:val="32"/>
        </w:rPr>
      </w:pPr>
      <w:bookmarkStart w:id="48" w:name="_Toc5105"/>
      <w:bookmarkStart w:id="49" w:name="_Toc28113"/>
      <w:r>
        <w:rPr>
          <w:rFonts w:ascii="楷体_GB2312" w:eastAsia="楷体_GB2312" w:hint="eastAsia"/>
          <w:sz w:val="32"/>
          <w:szCs w:val="32"/>
        </w:rPr>
        <w:t>（二）存在的问题及原因分析</w:t>
      </w:r>
      <w:bookmarkEnd w:id="48"/>
      <w:bookmarkEnd w:id="49"/>
    </w:p>
    <w:p w:rsidR="00F14931" w:rsidRDefault="002D1D6E">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绩效目标填报质量需进一步提高</w:t>
      </w:r>
    </w:p>
    <w:p w:rsidR="00F14931" w:rsidRDefault="002D1D6E">
      <w:pPr>
        <w:spacing w:line="600" w:lineRule="exact"/>
        <w:ind w:firstLineChars="200" w:firstLine="640"/>
      </w:pPr>
      <w:r>
        <w:rPr>
          <w:rFonts w:ascii="仿宋_GB2312" w:eastAsia="仿宋_GB2312" w:hAnsi="仿宋" w:hint="eastAsia"/>
          <w:sz w:val="32"/>
          <w:szCs w:val="32"/>
        </w:rPr>
        <w:t>石景山区人民法院部门整体支出绩效目标和项目绩效</w:t>
      </w:r>
      <w:r>
        <w:rPr>
          <w:rFonts w:ascii="仿宋_GB2312" w:eastAsia="仿宋_GB2312" w:hAnsi="仿宋" w:hint="eastAsia"/>
          <w:sz w:val="32"/>
          <w:szCs w:val="32"/>
        </w:rPr>
        <w:lastRenderedPageBreak/>
        <w:t>目标设定依据较充分，绩效指标较为完整。但</w:t>
      </w:r>
      <w:r>
        <w:rPr>
          <w:rFonts w:ascii="仿宋_GB2312" w:eastAsia="仿宋_GB2312" w:hAnsi="宋体" w:cs="宋体" w:hint="eastAsia"/>
          <w:color w:val="000000"/>
          <w:kern w:val="0"/>
          <w:sz w:val="32"/>
          <w:szCs w:val="32"/>
        </w:rPr>
        <w:t>年度重点任务目标不够</w:t>
      </w:r>
      <w:r>
        <w:rPr>
          <w:rFonts w:ascii="仿宋_GB2312" w:eastAsia="仿宋_GB2312" w:hAnsi="宋体" w:cs="宋体" w:hint="eastAsia"/>
          <w:color w:val="000000"/>
          <w:kern w:val="0"/>
          <w:sz w:val="32"/>
          <w:szCs w:val="32"/>
        </w:rPr>
        <w:t>清晰、完整</w:t>
      </w:r>
      <w:r>
        <w:rPr>
          <w:rFonts w:ascii="仿宋_GB2312" w:eastAsia="仿宋_GB2312" w:hAnsi="宋体" w:cs="宋体" w:hint="eastAsia"/>
          <w:color w:val="000000"/>
          <w:kern w:val="0"/>
          <w:sz w:val="32"/>
          <w:szCs w:val="32"/>
        </w:rPr>
        <w:t>，</w:t>
      </w:r>
      <w:r>
        <w:rPr>
          <w:rFonts w:ascii="仿宋_GB2312" w:eastAsia="仿宋_GB2312" w:hAnsi="宋体" w:cs="宋体" w:hint="eastAsia"/>
          <w:color w:val="000000"/>
          <w:kern w:val="0"/>
          <w:sz w:val="32"/>
          <w:szCs w:val="32"/>
        </w:rPr>
        <w:t>绩效指标和指标值细化、量化不足，难以体现部门履职效率、效能</w:t>
      </w:r>
      <w:r>
        <w:rPr>
          <w:rFonts w:ascii="仿宋_GB2312" w:eastAsia="仿宋_GB2312" w:hAnsi="仿宋" w:hint="eastAsia"/>
          <w:sz w:val="32"/>
          <w:szCs w:val="32"/>
        </w:rPr>
        <w:t>；个别项目编制的绩效目标存在细化程度不足、涵盖内容不全面、可衡量性不足等问题。</w:t>
      </w:r>
    </w:p>
    <w:p w:rsidR="00F14931" w:rsidRDefault="002D1D6E" w:rsidP="00C74003">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bookmarkStart w:id="50" w:name="_GoBack"/>
      <w:bookmarkEnd w:id="50"/>
      <w:r>
        <w:rPr>
          <w:rFonts w:ascii="仿宋_GB2312" w:eastAsia="仿宋_GB2312" w:hAnsi="仿宋" w:hint="eastAsia"/>
          <w:sz w:val="32"/>
          <w:szCs w:val="32"/>
        </w:rPr>
        <w:t>绩效实现情况佐证材料不够充分</w:t>
      </w:r>
    </w:p>
    <w:p w:rsidR="00F14931" w:rsidRDefault="002D1D6E">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单位相关工作成果绩效资料留存、收集不够充分，一是在审结案件、调解案件、审判执行文书、推进诉讼服务现代化建设以及强化民生司法保障等方面部门绩效实现情况的证明材料需要注意收集、保存；二是石景山区人民法院</w:t>
      </w:r>
      <w:r>
        <w:rPr>
          <w:rFonts w:ascii="仿宋_GB2312" w:eastAsia="仿宋_GB2312" w:hAnsi="仿宋" w:hint="eastAsia"/>
          <w:sz w:val="32"/>
          <w:szCs w:val="32"/>
        </w:rPr>
        <w:t>202</w:t>
      </w:r>
      <w:r>
        <w:rPr>
          <w:rFonts w:ascii="仿宋_GB2312" w:eastAsia="仿宋_GB2312" w:hAnsi="仿宋" w:hint="eastAsia"/>
          <w:sz w:val="32"/>
          <w:szCs w:val="32"/>
        </w:rPr>
        <w:t>2</w:t>
      </w:r>
      <w:r>
        <w:rPr>
          <w:rFonts w:ascii="仿宋_GB2312" w:eastAsia="仿宋_GB2312" w:hAnsi="仿宋" w:hint="eastAsia"/>
          <w:sz w:val="32"/>
          <w:szCs w:val="32"/>
        </w:rPr>
        <w:t>年度未针对多元调解对象、</w:t>
      </w:r>
      <w:proofErr w:type="gramStart"/>
      <w:r>
        <w:rPr>
          <w:rFonts w:ascii="仿宋_GB2312" w:eastAsia="仿宋_GB2312" w:hAnsi="仿宋" w:hint="eastAsia"/>
          <w:sz w:val="32"/>
          <w:szCs w:val="32"/>
        </w:rPr>
        <w:t>知网</w:t>
      </w:r>
      <w:r>
        <w:rPr>
          <w:rFonts w:ascii="仿宋_GB2312" w:eastAsia="仿宋_GB2312" w:hAnsi="仿宋" w:hint="eastAsia"/>
          <w:sz w:val="32"/>
          <w:szCs w:val="32"/>
        </w:rPr>
        <w:t>数据库</w:t>
      </w:r>
      <w:proofErr w:type="gramEnd"/>
      <w:r>
        <w:rPr>
          <w:rFonts w:ascii="仿宋_GB2312" w:eastAsia="仿宋_GB2312" w:hAnsi="仿宋" w:hint="eastAsia"/>
          <w:sz w:val="32"/>
          <w:szCs w:val="32"/>
        </w:rPr>
        <w:t>使用人员等服务对象开展满意度调查工作，完成工作的满意度缺少数据、材料支撑。</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51" w:name="_Toc10908"/>
      <w:bookmarkStart w:id="52" w:name="_Toc16335"/>
      <w:r>
        <w:rPr>
          <w:rFonts w:ascii="黑体" w:eastAsia="黑体" w:hAnsi="黑体" w:cs="宋体" w:hint="eastAsia"/>
          <w:color w:val="000000"/>
          <w:kern w:val="0"/>
          <w:sz w:val="32"/>
          <w:szCs w:val="32"/>
        </w:rPr>
        <w:t>六、措施建议</w:t>
      </w:r>
      <w:bookmarkEnd w:id="51"/>
      <w:bookmarkEnd w:id="52"/>
    </w:p>
    <w:p w:rsidR="00F14931" w:rsidRDefault="002D1D6E">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（一）建议注重顶层设计，按照财政部门要求填报部门整体绩效目标</w:t>
      </w:r>
      <w:r>
        <w:rPr>
          <w:rFonts w:ascii="仿宋_GB2312" w:eastAsia="仿宋_GB2312" w:hAnsi="仿宋" w:hint="eastAsia"/>
          <w:sz w:val="32"/>
          <w:szCs w:val="32"/>
        </w:rPr>
        <w:t>，</w:t>
      </w:r>
      <w:r>
        <w:rPr>
          <w:rFonts w:ascii="仿宋_GB2312" w:eastAsia="仿宋_GB2312" w:hAnsi="仿宋" w:hint="eastAsia"/>
          <w:sz w:val="32"/>
          <w:szCs w:val="32"/>
        </w:rPr>
        <w:t>全面反映石景山区人民法院部门职责和年度重点工作和预期效果。同时，提高项目指标设定的细化</w:t>
      </w:r>
      <w:r>
        <w:rPr>
          <w:rFonts w:ascii="仿宋_GB2312" w:eastAsia="仿宋_GB2312" w:hAnsi="仿宋" w:hint="eastAsia"/>
          <w:sz w:val="32"/>
          <w:szCs w:val="32"/>
        </w:rPr>
        <w:t>和量化程度，保证</w:t>
      </w:r>
      <w:r>
        <w:rPr>
          <w:rFonts w:ascii="仿宋_GB2312" w:eastAsia="仿宋_GB2312" w:hAnsi="仿宋" w:hint="eastAsia"/>
          <w:sz w:val="32"/>
          <w:szCs w:val="32"/>
        </w:rPr>
        <w:t>数量、</w:t>
      </w:r>
      <w:r>
        <w:rPr>
          <w:rFonts w:ascii="仿宋_GB2312" w:eastAsia="仿宋_GB2312" w:hAnsi="仿宋" w:hint="eastAsia"/>
          <w:sz w:val="32"/>
          <w:szCs w:val="32"/>
        </w:rPr>
        <w:t>质量</w:t>
      </w:r>
      <w:r>
        <w:rPr>
          <w:rFonts w:ascii="仿宋_GB2312" w:eastAsia="仿宋_GB2312" w:hAnsi="仿宋" w:hint="eastAsia"/>
          <w:sz w:val="32"/>
          <w:szCs w:val="32"/>
        </w:rPr>
        <w:t>、</w:t>
      </w:r>
      <w:r>
        <w:rPr>
          <w:rFonts w:ascii="仿宋_GB2312" w:eastAsia="仿宋_GB2312" w:hAnsi="仿宋" w:hint="eastAsia"/>
          <w:sz w:val="32"/>
          <w:szCs w:val="32"/>
        </w:rPr>
        <w:t>满意度等</w:t>
      </w:r>
      <w:r>
        <w:rPr>
          <w:rFonts w:ascii="仿宋_GB2312" w:eastAsia="仿宋_GB2312" w:hAnsi="仿宋" w:hint="eastAsia"/>
          <w:sz w:val="32"/>
          <w:szCs w:val="32"/>
        </w:rPr>
        <w:t>相关指标的可衡量性。</w:t>
      </w:r>
    </w:p>
    <w:p w:rsidR="00F14931" w:rsidRDefault="002D1D6E">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二）建议进一步完善项目管理制度体系，细化项目管理要求，明确项目的具体组织实施、职责分工、执行标准、过程控制、资金支付及总结验收等规定，以保证项目在实施过程中能够有章可循，有据可依，提高项目开展的规范性和有效性，便于对项目质量进行监督检查和验收考核。</w:t>
      </w:r>
    </w:p>
    <w:p w:rsidR="00F14931" w:rsidRDefault="002D1D6E">
      <w:pPr>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（三）建议</w:t>
      </w:r>
      <w:r>
        <w:rPr>
          <w:rFonts w:ascii="仿宋_GB2312" w:eastAsia="仿宋_GB2312" w:hAnsi="仿宋" w:hint="eastAsia"/>
          <w:sz w:val="32"/>
          <w:szCs w:val="32"/>
        </w:rPr>
        <w:t>进一步提升预算绩效管理意识，提升绩效评</w:t>
      </w:r>
      <w:r>
        <w:rPr>
          <w:rFonts w:ascii="仿宋_GB2312" w:eastAsia="仿宋_GB2312" w:hAnsi="仿宋" w:hint="eastAsia"/>
          <w:sz w:val="32"/>
          <w:szCs w:val="32"/>
        </w:rPr>
        <w:lastRenderedPageBreak/>
        <w:t>价工作水平</w:t>
      </w:r>
      <w:r>
        <w:rPr>
          <w:rFonts w:ascii="仿宋_GB2312" w:eastAsia="仿宋_GB2312" w:hAnsi="仿宋" w:hint="eastAsia"/>
          <w:sz w:val="32"/>
          <w:szCs w:val="32"/>
        </w:rPr>
        <w:t>。</w:t>
      </w:r>
      <w:r>
        <w:rPr>
          <w:rFonts w:ascii="仿宋_GB2312" w:eastAsia="仿宋_GB2312" w:hAnsi="仿宋" w:hint="eastAsia"/>
          <w:sz w:val="32"/>
          <w:szCs w:val="32"/>
        </w:rPr>
        <w:t>一是</w:t>
      </w:r>
      <w:r>
        <w:rPr>
          <w:rFonts w:ascii="仿宋_GB2312" w:eastAsia="仿宋_GB2312" w:hAnsi="仿宋" w:hint="eastAsia"/>
          <w:sz w:val="32"/>
          <w:szCs w:val="32"/>
        </w:rPr>
        <w:t>注重收集和梳理部门履职产出、效果相关的资料</w:t>
      </w:r>
      <w:r>
        <w:rPr>
          <w:rFonts w:ascii="仿宋_GB2312" w:eastAsia="仿宋_GB2312" w:hAnsi="仿宋" w:hint="eastAsia"/>
          <w:sz w:val="32"/>
          <w:szCs w:val="32"/>
        </w:rPr>
        <w:t>，</w:t>
      </w:r>
      <w:r>
        <w:rPr>
          <w:rFonts w:ascii="仿宋_GB2312" w:eastAsia="仿宋_GB2312" w:hAnsi="仿宋" w:hint="eastAsia"/>
          <w:sz w:val="32"/>
          <w:szCs w:val="32"/>
        </w:rPr>
        <w:t>为</w:t>
      </w:r>
      <w:r>
        <w:rPr>
          <w:rFonts w:ascii="仿宋_GB2312" w:eastAsia="仿宋_GB2312" w:hAnsi="仿宋" w:hint="eastAsia"/>
          <w:sz w:val="32"/>
          <w:szCs w:val="32"/>
        </w:rPr>
        <w:t>部门绩效</w:t>
      </w:r>
      <w:r>
        <w:rPr>
          <w:rFonts w:ascii="仿宋_GB2312" w:eastAsia="仿宋_GB2312" w:hAnsi="仿宋" w:hint="eastAsia"/>
          <w:sz w:val="32"/>
          <w:szCs w:val="32"/>
        </w:rPr>
        <w:t>提供更加全面的支撑</w:t>
      </w:r>
      <w:r>
        <w:rPr>
          <w:rFonts w:ascii="仿宋_GB2312" w:eastAsia="仿宋_GB2312" w:hAnsi="仿宋" w:hint="eastAsia"/>
          <w:sz w:val="32"/>
          <w:szCs w:val="32"/>
        </w:rPr>
        <w:t>；</w:t>
      </w:r>
      <w:r>
        <w:rPr>
          <w:rFonts w:ascii="仿宋_GB2312" w:eastAsia="仿宋_GB2312" w:hAnsi="仿宋" w:hint="eastAsia"/>
          <w:sz w:val="32"/>
          <w:szCs w:val="32"/>
        </w:rPr>
        <w:t>二是注重开展满意度调查工作，通过被调查人员的反馈来促进部门工作改进提升。</w:t>
      </w:r>
    </w:p>
    <w:p w:rsidR="00F14931" w:rsidRDefault="002D1D6E">
      <w:pPr>
        <w:spacing w:line="600" w:lineRule="exact"/>
        <w:ind w:firstLineChars="200" w:firstLine="640"/>
        <w:outlineLvl w:val="0"/>
        <w:rPr>
          <w:rFonts w:ascii="黑体" w:eastAsia="黑体" w:hAnsi="黑体" w:cs="宋体"/>
          <w:color w:val="000000"/>
          <w:kern w:val="0"/>
          <w:sz w:val="32"/>
          <w:szCs w:val="32"/>
        </w:rPr>
      </w:pPr>
      <w:bookmarkStart w:id="53" w:name="_Toc19973"/>
      <w:r>
        <w:rPr>
          <w:rFonts w:ascii="黑体" w:eastAsia="黑体" w:hAnsi="黑体" w:cs="宋体" w:hint="eastAsia"/>
          <w:color w:val="000000"/>
          <w:kern w:val="0"/>
          <w:sz w:val="32"/>
          <w:szCs w:val="32"/>
        </w:rPr>
        <w:t>七、</w:t>
      </w:r>
      <w:r>
        <w:rPr>
          <w:rFonts w:ascii="黑体" w:eastAsia="黑体" w:hAnsi="黑体" w:cs="宋体" w:hint="eastAsia"/>
          <w:color w:val="000000"/>
          <w:kern w:val="0"/>
          <w:sz w:val="32"/>
          <w:szCs w:val="32"/>
        </w:rPr>
        <w:t>附件</w:t>
      </w:r>
      <w:bookmarkEnd w:id="11"/>
      <w:bookmarkEnd w:id="53"/>
    </w:p>
    <w:p w:rsidR="00F14931" w:rsidRDefault="002D1D6E">
      <w:pPr>
        <w:spacing w:line="600" w:lineRule="exact"/>
        <w:ind w:firstLine="641"/>
        <w:rPr>
          <w:rFonts w:ascii="仿宋_GB2312" w:eastAsia="仿宋_GB2312" w:hAnsi="仿宋_GB2312" w:cs="仿宋_GB2312"/>
          <w:sz w:val="32"/>
          <w:szCs w:val="32"/>
        </w:rPr>
      </w:pPr>
      <w:bookmarkStart w:id="54" w:name="_Toc493771738"/>
      <w:bookmarkStart w:id="55" w:name="_Toc455558626"/>
      <w:bookmarkStart w:id="56" w:name="_Toc493771734"/>
      <w:r>
        <w:rPr>
          <w:rFonts w:ascii="仿宋_GB2312" w:eastAsia="仿宋_GB2312" w:hAnsi="仿宋_GB2312" w:cs="仿宋_GB2312" w:hint="eastAsia"/>
          <w:sz w:val="32"/>
          <w:szCs w:val="32"/>
        </w:rPr>
        <w:t>1.</w:t>
      </w:r>
      <w:bookmarkEnd w:id="54"/>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年石景山区人民法院部门收入支出决算总表</w:t>
      </w:r>
    </w:p>
    <w:p w:rsidR="00F14931" w:rsidRDefault="002D1D6E">
      <w:pPr>
        <w:spacing w:line="600" w:lineRule="exact"/>
        <w:ind w:firstLine="641"/>
        <w:rPr>
          <w:rFonts w:ascii="仿宋_GB2312" w:eastAsia="仿宋_GB2312" w:hAnsi="仿宋_GB2312" w:cs="仿宋_GB2312"/>
          <w:sz w:val="32"/>
          <w:szCs w:val="32"/>
        </w:rPr>
      </w:pPr>
      <w:bookmarkStart w:id="57" w:name="_Toc493771739"/>
      <w:bookmarkStart w:id="58" w:name="_Toc455558634"/>
      <w:r>
        <w:rPr>
          <w:rFonts w:ascii="仿宋_GB2312" w:eastAsia="仿宋_GB2312" w:hAnsi="仿宋_GB2312" w:cs="仿宋_GB2312" w:hint="eastAsia"/>
          <w:sz w:val="32"/>
          <w:szCs w:val="32"/>
        </w:rPr>
        <w:t>2.</w:t>
      </w:r>
      <w:bookmarkEnd w:id="57"/>
      <w:bookmarkEnd w:id="58"/>
      <w:r>
        <w:rPr>
          <w:rFonts w:ascii="仿宋_GB2312" w:eastAsia="仿宋_GB2312" w:hAnsi="仿宋_GB2312" w:cs="仿宋_GB2312" w:hint="eastAsia"/>
          <w:sz w:val="32"/>
          <w:szCs w:val="32"/>
        </w:rPr>
        <w:t>202</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年石景山区人民法院部门整体绩效评价指标体系评分表</w:t>
      </w:r>
    </w:p>
    <w:bookmarkEnd w:id="55"/>
    <w:bookmarkEnd w:id="56"/>
    <w:p w:rsidR="00F14931" w:rsidRDefault="00F14931">
      <w:pPr>
        <w:rPr>
          <w:rFonts w:ascii="仿宋_GB2312" w:eastAsia="仿宋_GB2312" w:hAnsi="仿宋"/>
          <w:sz w:val="32"/>
          <w:szCs w:val="32"/>
        </w:rPr>
      </w:pPr>
    </w:p>
    <w:p w:rsidR="00F14931" w:rsidRDefault="00F14931">
      <w:pPr>
        <w:pStyle w:val="a0"/>
        <w:rPr>
          <w:rFonts w:ascii="仿宋_GB2312" w:eastAsia="仿宋_GB2312" w:hAnsi="仿宋"/>
          <w:sz w:val="32"/>
          <w:szCs w:val="32"/>
        </w:rPr>
      </w:pPr>
    </w:p>
    <w:p w:rsidR="00F14931" w:rsidRDefault="00F14931">
      <w:pPr>
        <w:rPr>
          <w:rFonts w:ascii="仿宋_GB2312" w:eastAsia="仿宋_GB2312" w:hAnsi="仿宋"/>
          <w:sz w:val="32"/>
          <w:szCs w:val="32"/>
        </w:rPr>
        <w:sectPr w:rsidR="00F14931">
          <w:headerReference w:type="default" r:id="rId10"/>
          <w:footerReference w:type="default" r:id="rId11"/>
          <w:pgSz w:w="11906" w:h="16838"/>
          <w:pgMar w:top="1440" w:right="1800" w:bottom="1440" w:left="1800" w:header="851" w:footer="992" w:gutter="0"/>
          <w:pgNumType w:start="1"/>
          <w:cols w:space="425"/>
          <w:docGrid w:type="lines" w:linePitch="312"/>
        </w:sectPr>
      </w:pPr>
    </w:p>
    <w:p w:rsidR="00F14931" w:rsidRDefault="002D1D6E">
      <w:pPr>
        <w:pStyle w:val="a0"/>
      </w:pPr>
      <w:r>
        <w:rPr>
          <w:rFonts w:hint="eastAsia"/>
        </w:rPr>
        <w:lastRenderedPageBreak/>
        <w:t>附件</w:t>
      </w:r>
      <w:r>
        <w:rPr>
          <w:rFonts w:hint="eastAsia"/>
        </w:rPr>
        <w:t>1</w:t>
      </w:r>
      <w:r>
        <w:rPr>
          <w:rFonts w:hint="eastAsia"/>
        </w:rPr>
        <w:t>：</w:t>
      </w:r>
    </w:p>
    <w:tbl>
      <w:tblPr>
        <w:tblW w:w="4896" w:type="pct"/>
        <w:jc w:val="center"/>
        <w:tblLayout w:type="fixed"/>
        <w:tblLook w:val="04A0" w:firstRow="1" w:lastRow="0" w:firstColumn="1" w:lastColumn="0" w:noHBand="0" w:noVBand="1"/>
      </w:tblPr>
      <w:tblGrid>
        <w:gridCol w:w="2562"/>
        <w:gridCol w:w="600"/>
        <w:gridCol w:w="1296"/>
        <w:gridCol w:w="2512"/>
        <w:gridCol w:w="705"/>
        <w:gridCol w:w="1391"/>
        <w:gridCol w:w="2004"/>
        <w:gridCol w:w="602"/>
        <w:gridCol w:w="2207"/>
      </w:tblGrid>
      <w:tr w:rsidR="00F14931">
        <w:trPr>
          <w:trHeight w:val="587"/>
          <w:jc w:val="center"/>
        </w:trPr>
        <w:tc>
          <w:tcPr>
            <w:tcW w:w="5000" w:type="pct"/>
            <w:gridSpan w:val="9"/>
            <w:tcBorders>
              <w:top w:val="nil"/>
              <w:left w:val="nil"/>
              <w:bottom w:val="nil"/>
              <w:right w:val="nil"/>
            </w:tcBorders>
            <w:shd w:val="clear" w:color="auto" w:fill="auto"/>
            <w:noWrap/>
            <w:vAlign w:val="bottom"/>
          </w:tcPr>
          <w:p w:rsidR="00F14931" w:rsidRDefault="002D1D6E">
            <w:pPr>
              <w:widowControl/>
              <w:adjustRightInd w:val="0"/>
              <w:snapToGrid w:val="0"/>
              <w:jc w:val="center"/>
              <w:textAlignment w:val="bottom"/>
              <w:rPr>
                <w:rFonts w:ascii="宋体" w:hAnsi="宋体" w:cs="宋体"/>
                <w:color w:val="000000"/>
                <w:sz w:val="15"/>
                <w:szCs w:val="15"/>
              </w:rPr>
            </w:pPr>
            <w:r>
              <w:rPr>
                <w:rFonts w:ascii="宋体" w:hAnsi="宋体" w:cs="宋体" w:hint="eastAsia"/>
                <w:b/>
                <w:bCs/>
                <w:color w:val="000000"/>
                <w:kern w:val="0"/>
                <w:sz w:val="44"/>
                <w:szCs w:val="44"/>
              </w:rPr>
              <w:t>202</w:t>
            </w:r>
            <w:r>
              <w:rPr>
                <w:rFonts w:ascii="宋体" w:hAnsi="宋体" w:cs="宋体" w:hint="eastAsia"/>
                <w:b/>
                <w:bCs/>
                <w:color w:val="000000"/>
                <w:kern w:val="0"/>
                <w:sz w:val="44"/>
                <w:szCs w:val="44"/>
              </w:rPr>
              <w:t>2</w:t>
            </w:r>
            <w:r>
              <w:rPr>
                <w:rFonts w:ascii="宋体" w:hAnsi="宋体" w:cs="宋体" w:hint="eastAsia"/>
                <w:b/>
                <w:bCs/>
                <w:color w:val="000000"/>
                <w:kern w:val="0"/>
                <w:sz w:val="44"/>
                <w:szCs w:val="44"/>
              </w:rPr>
              <w:t>年度北京市石景山区人民法院</w:t>
            </w:r>
            <w:r>
              <w:rPr>
                <w:rFonts w:ascii="宋体" w:hAnsi="宋体" w:cs="宋体" w:hint="eastAsia"/>
                <w:b/>
                <w:bCs/>
                <w:color w:val="000000"/>
                <w:kern w:val="0"/>
                <w:sz w:val="44"/>
                <w:szCs w:val="44"/>
              </w:rPr>
              <w:t>部门</w:t>
            </w:r>
            <w:r>
              <w:rPr>
                <w:rFonts w:ascii="宋体" w:hAnsi="宋体" w:cs="宋体" w:hint="eastAsia"/>
                <w:b/>
                <w:bCs/>
                <w:color w:val="000000"/>
                <w:kern w:val="0"/>
                <w:sz w:val="44"/>
                <w:szCs w:val="44"/>
              </w:rPr>
              <w:t>收入支出决算总表</w:t>
            </w:r>
          </w:p>
        </w:tc>
      </w:tr>
      <w:tr w:rsidR="00F14931">
        <w:trPr>
          <w:trHeight w:val="239"/>
          <w:jc w:val="center"/>
        </w:trPr>
        <w:tc>
          <w:tcPr>
            <w:tcW w:w="923" w:type="pct"/>
            <w:tcBorders>
              <w:top w:val="nil"/>
              <w:left w:val="nil"/>
              <w:bottom w:val="nil"/>
              <w:right w:val="nil"/>
            </w:tcBorders>
            <w:shd w:val="clear" w:color="auto" w:fill="auto"/>
            <w:noWrap/>
            <w:vAlign w:val="bottom"/>
          </w:tcPr>
          <w:p w:rsidR="00F14931" w:rsidRDefault="00F14931">
            <w:pPr>
              <w:widowControl/>
              <w:adjustRightInd w:val="0"/>
              <w:snapToGrid w:val="0"/>
              <w:jc w:val="left"/>
              <w:textAlignment w:val="bottom"/>
              <w:rPr>
                <w:rFonts w:ascii="宋体" w:hAnsi="宋体" w:cs="宋体"/>
                <w:color w:val="000000"/>
                <w:sz w:val="15"/>
                <w:szCs w:val="15"/>
              </w:rPr>
            </w:pPr>
          </w:p>
        </w:tc>
        <w:tc>
          <w:tcPr>
            <w:tcW w:w="216"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5"/>
                <w:szCs w:val="15"/>
              </w:rPr>
            </w:pPr>
          </w:p>
        </w:tc>
        <w:tc>
          <w:tcPr>
            <w:tcW w:w="467"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5"/>
                <w:szCs w:val="15"/>
              </w:rPr>
            </w:pPr>
          </w:p>
        </w:tc>
        <w:tc>
          <w:tcPr>
            <w:tcW w:w="905"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5"/>
                <w:szCs w:val="15"/>
              </w:rPr>
            </w:pPr>
          </w:p>
        </w:tc>
        <w:tc>
          <w:tcPr>
            <w:tcW w:w="254"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5"/>
                <w:szCs w:val="15"/>
              </w:rPr>
            </w:pPr>
          </w:p>
        </w:tc>
        <w:tc>
          <w:tcPr>
            <w:tcW w:w="501"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5"/>
                <w:szCs w:val="15"/>
              </w:rPr>
            </w:pPr>
          </w:p>
        </w:tc>
        <w:tc>
          <w:tcPr>
            <w:tcW w:w="720"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5"/>
                <w:szCs w:val="15"/>
              </w:rPr>
            </w:pPr>
          </w:p>
        </w:tc>
        <w:tc>
          <w:tcPr>
            <w:tcW w:w="217" w:type="pct"/>
            <w:tcBorders>
              <w:top w:val="nil"/>
              <w:left w:val="nil"/>
              <w:bottom w:val="nil"/>
              <w:right w:val="nil"/>
            </w:tcBorders>
            <w:shd w:val="clear" w:color="auto" w:fill="auto"/>
            <w:noWrap/>
            <w:vAlign w:val="bottom"/>
          </w:tcPr>
          <w:p w:rsidR="00F14931" w:rsidRDefault="00F14931">
            <w:pPr>
              <w:widowControl/>
              <w:adjustRightInd w:val="0"/>
              <w:snapToGrid w:val="0"/>
              <w:rPr>
                <w:rFonts w:ascii="Arial" w:hAnsi="Arial" w:cs="Arial"/>
                <w:color w:val="000000"/>
                <w:sz w:val="13"/>
                <w:szCs w:val="13"/>
              </w:rPr>
            </w:pPr>
          </w:p>
        </w:tc>
        <w:tc>
          <w:tcPr>
            <w:tcW w:w="793" w:type="pct"/>
            <w:tcBorders>
              <w:top w:val="nil"/>
              <w:left w:val="nil"/>
              <w:bottom w:val="nil"/>
              <w:right w:val="nil"/>
            </w:tcBorders>
            <w:shd w:val="clear" w:color="auto" w:fill="auto"/>
            <w:noWrap/>
            <w:vAlign w:val="bottom"/>
          </w:tcPr>
          <w:p w:rsidR="00F14931" w:rsidRDefault="002D1D6E">
            <w:pPr>
              <w:widowControl/>
              <w:adjustRightInd w:val="0"/>
              <w:snapToGrid w:val="0"/>
              <w:textAlignment w:val="bottom"/>
              <w:rPr>
                <w:rFonts w:ascii="宋体" w:hAnsi="宋体" w:cs="宋体"/>
                <w:color w:val="000000"/>
                <w:sz w:val="13"/>
                <w:szCs w:val="13"/>
              </w:rPr>
            </w:pPr>
            <w:r>
              <w:rPr>
                <w:rFonts w:ascii="宋体" w:hAnsi="宋体" w:cs="宋体" w:hint="eastAsia"/>
                <w:color w:val="000000"/>
                <w:kern w:val="0"/>
                <w:sz w:val="18"/>
                <w:szCs w:val="18"/>
              </w:rPr>
              <w:t>金额单位：元</w:t>
            </w:r>
          </w:p>
        </w:tc>
      </w:tr>
      <w:tr w:rsidR="00F14931">
        <w:trPr>
          <w:trHeight w:val="233"/>
          <w:jc w:val="center"/>
        </w:trPr>
        <w:tc>
          <w:tcPr>
            <w:tcW w:w="1606" w:type="pct"/>
            <w:gridSpan w:val="3"/>
            <w:tcBorders>
              <w:top w:val="single" w:sz="4" w:space="0" w:color="000000"/>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收入</w:t>
            </w:r>
          </w:p>
        </w:tc>
        <w:tc>
          <w:tcPr>
            <w:tcW w:w="3393" w:type="pct"/>
            <w:gridSpan w:val="6"/>
            <w:tcBorders>
              <w:top w:val="single" w:sz="4" w:space="0" w:color="000000"/>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6"/>
                <w:szCs w:val="16"/>
              </w:rPr>
            </w:pPr>
            <w:r>
              <w:rPr>
                <w:rFonts w:ascii="宋体" w:hAnsi="宋体" w:cs="宋体" w:hint="eastAsia"/>
                <w:color w:val="000000"/>
                <w:kern w:val="0"/>
                <w:sz w:val="16"/>
                <w:szCs w:val="16"/>
                <w:lang w:bidi="ar"/>
              </w:rPr>
              <w:t>支出</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项目</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行次</w:t>
            </w:r>
          </w:p>
        </w:tc>
        <w:tc>
          <w:tcPr>
            <w:tcW w:w="46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决算数</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项目</w:t>
            </w:r>
            <w:r>
              <w:rPr>
                <w:rFonts w:ascii="宋体" w:hAnsi="宋体" w:cs="宋体" w:hint="eastAsia"/>
                <w:color w:val="000000"/>
                <w:kern w:val="0"/>
                <w:sz w:val="13"/>
                <w:szCs w:val="13"/>
                <w:lang w:bidi="ar"/>
              </w:rPr>
              <w:t>(</w:t>
            </w:r>
            <w:r>
              <w:rPr>
                <w:rFonts w:ascii="宋体" w:hAnsi="宋体" w:cs="宋体" w:hint="eastAsia"/>
                <w:color w:val="000000"/>
                <w:kern w:val="0"/>
                <w:sz w:val="13"/>
                <w:szCs w:val="13"/>
                <w:lang w:bidi="ar"/>
              </w:rPr>
              <w:t>按功能分类</w:t>
            </w:r>
            <w:r>
              <w:rPr>
                <w:rFonts w:ascii="宋体" w:hAnsi="宋体" w:cs="宋体" w:hint="eastAsia"/>
                <w:color w:val="000000"/>
                <w:kern w:val="0"/>
                <w:sz w:val="13"/>
                <w:szCs w:val="13"/>
                <w:lang w:bidi="ar"/>
              </w:rPr>
              <w:t>)</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行次</w:t>
            </w:r>
          </w:p>
        </w:tc>
        <w:tc>
          <w:tcPr>
            <w:tcW w:w="501"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决算数</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项目</w:t>
            </w:r>
            <w:r>
              <w:rPr>
                <w:rFonts w:ascii="宋体" w:hAnsi="宋体" w:cs="宋体" w:hint="eastAsia"/>
                <w:color w:val="000000"/>
                <w:kern w:val="0"/>
                <w:sz w:val="13"/>
                <w:szCs w:val="13"/>
                <w:lang w:bidi="ar"/>
              </w:rPr>
              <w:t>(</w:t>
            </w:r>
            <w:r>
              <w:rPr>
                <w:rFonts w:ascii="宋体" w:hAnsi="宋体" w:cs="宋体" w:hint="eastAsia"/>
                <w:color w:val="000000"/>
                <w:kern w:val="0"/>
                <w:sz w:val="13"/>
                <w:szCs w:val="13"/>
                <w:lang w:bidi="ar"/>
              </w:rPr>
              <w:t>按支出性质和经济分类</w:t>
            </w:r>
            <w:r>
              <w:rPr>
                <w:rFonts w:ascii="宋体" w:hAnsi="宋体" w:cs="宋体" w:hint="eastAsia"/>
                <w:color w:val="000000"/>
                <w:kern w:val="0"/>
                <w:sz w:val="13"/>
                <w:szCs w:val="13"/>
                <w:lang w:bidi="ar"/>
              </w:rPr>
              <w:t>)</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行次</w:t>
            </w:r>
          </w:p>
        </w:tc>
        <w:tc>
          <w:tcPr>
            <w:tcW w:w="793" w:type="pct"/>
            <w:tcBorders>
              <w:top w:val="nil"/>
              <w:left w:val="nil"/>
              <w:bottom w:val="single" w:sz="4" w:space="0" w:color="000000"/>
              <w:right w:val="single" w:sz="8"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决算数</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栏次</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center"/>
              <w:rPr>
                <w:rFonts w:ascii="宋体" w:hAnsi="宋体" w:cs="宋体"/>
                <w:color w:val="000000"/>
                <w:sz w:val="13"/>
                <w:szCs w:val="13"/>
              </w:rPr>
            </w:pPr>
          </w:p>
        </w:tc>
        <w:tc>
          <w:tcPr>
            <w:tcW w:w="46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栏次</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center"/>
              <w:rPr>
                <w:rFonts w:ascii="宋体" w:hAnsi="宋体" w:cs="宋体"/>
                <w:color w:val="000000"/>
                <w:sz w:val="13"/>
                <w:szCs w:val="13"/>
              </w:rPr>
            </w:pPr>
          </w:p>
        </w:tc>
        <w:tc>
          <w:tcPr>
            <w:tcW w:w="501"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栏次</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center"/>
              <w:rPr>
                <w:rFonts w:ascii="宋体" w:hAnsi="宋体" w:cs="宋体"/>
                <w:color w:val="000000"/>
                <w:sz w:val="13"/>
                <w:szCs w:val="13"/>
              </w:rPr>
            </w:pPr>
          </w:p>
        </w:tc>
        <w:tc>
          <w:tcPr>
            <w:tcW w:w="793" w:type="pct"/>
            <w:tcBorders>
              <w:top w:val="nil"/>
              <w:left w:val="nil"/>
              <w:bottom w:val="single" w:sz="4" w:space="0" w:color="000000"/>
              <w:right w:val="single" w:sz="8"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9</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一、一般公共预算财政拨款收入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134,023,539.25</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一、一般公共服务支出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32</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一、基本支出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58</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109,394,883.05</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二、政府性基金预算财政拨款收入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二、外交支出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33</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人员经费</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59</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95,735,753.25</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三、国有资本经营预算财政拨款收入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三、国防支出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34</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公用经费</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60</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13,659,129.80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四、上级补助收入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四、公共安全支出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35</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129,608,005.19</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二、项目支出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61</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34,232,030.61</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五、事业收入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五、教育支出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36</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其中：基本建设类项目</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62</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六、经营收入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六、科学技术支出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37</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三、上缴上级支出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63</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七、附属单位上缴收入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七、文化旅游体育与传媒支出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38</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四、经营支出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64</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八、其他收入</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9,667,172.44</w:t>
            </w: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八、社会保障和就业支出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39</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7,598,263.22</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五、对附属单位补助支出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65</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9</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九、卫生健康支出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40</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6,420,645.25</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66</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10</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十、节能环保支出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41</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67</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11</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十一、城乡社区支出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42</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经济分类支出合计</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68</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143,626,913.66</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12</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十二、农林水支出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43</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一、工资福利支出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69</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94,899,191.70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13</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十三、交通运输支出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44</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二、商品和服务支出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70</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40,803,565.36</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14</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十四、资源勘探工业信息等支出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45</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三、对个人和家庭的补助</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71</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836,561.55</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15</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十五、商业服务业等支出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46</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四、债务利息及费用支出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72</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16</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十六、金融支出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47</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五、资本性支出（基本建设）</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73</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17</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十七、援助其他地区支出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48</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六、资本性支出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74</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7,087,595.05</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18</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十八、自然资源海洋气象等支出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49</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七、对企业补助（基本建设）</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75</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19</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十九、住房保障支出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50</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八、对企业补助</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76</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20</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二十、粮油物资储备支出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51</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九、对社会保障基金补助</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77</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21</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二十一、国有资本经营预算支出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52</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十、其他支出</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78</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22</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二十二、灾害防治及应急管理支出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53</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79</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23</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二十三、其他支出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54</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80</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24</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二十四、债务还本支出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55</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81</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25</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二十五、债务付息支出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56</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82</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26</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c>
          <w:tcPr>
            <w:tcW w:w="905"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二十六、抗</w:t>
            </w:r>
            <w:proofErr w:type="gramStart"/>
            <w:r>
              <w:rPr>
                <w:rFonts w:ascii="宋体" w:hAnsi="宋体" w:cs="宋体" w:hint="eastAsia"/>
                <w:color w:val="000000"/>
                <w:kern w:val="0"/>
                <w:sz w:val="13"/>
                <w:szCs w:val="13"/>
                <w:lang w:bidi="ar"/>
              </w:rPr>
              <w:t>疫</w:t>
            </w:r>
            <w:proofErr w:type="gramEnd"/>
            <w:r>
              <w:rPr>
                <w:rFonts w:ascii="宋体" w:hAnsi="宋体" w:cs="宋体" w:hint="eastAsia"/>
                <w:color w:val="000000"/>
                <w:kern w:val="0"/>
                <w:sz w:val="13"/>
                <w:szCs w:val="13"/>
                <w:lang w:bidi="ar"/>
              </w:rPr>
              <w:t>特别国债安排的支出</w:t>
            </w:r>
          </w:p>
        </w:tc>
        <w:tc>
          <w:tcPr>
            <w:tcW w:w="254"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57</w:t>
            </w:r>
          </w:p>
        </w:tc>
        <w:tc>
          <w:tcPr>
            <w:tcW w:w="501"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c>
          <w:tcPr>
            <w:tcW w:w="720" w:type="pct"/>
            <w:tcBorders>
              <w:top w:val="nil"/>
              <w:left w:val="nil"/>
              <w:bottom w:val="single" w:sz="4" w:space="0" w:color="000000"/>
              <w:right w:val="single" w:sz="4" w:space="0" w:color="000000"/>
            </w:tcBorders>
            <w:shd w:val="clear" w:color="FFFFFF" w:fill="C0C0C0"/>
            <w:noWrap/>
            <w:vAlign w:val="center"/>
          </w:tcPr>
          <w:p w:rsidR="00F14931" w:rsidRDefault="00F14931">
            <w:pPr>
              <w:widowControl/>
              <w:adjustRightInd w:val="0"/>
              <w:snapToGrid w:val="0"/>
              <w:jc w:val="left"/>
              <w:rPr>
                <w:rFonts w:ascii="宋体" w:hAnsi="宋体" w:cs="宋体"/>
                <w:color w:val="000000"/>
                <w:sz w:val="13"/>
                <w:szCs w:val="13"/>
              </w:rPr>
            </w:pP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83</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F14931">
            <w:pPr>
              <w:widowControl/>
              <w:adjustRightInd w:val="0"/>
              <w:snapToGrid w:val="0"/>
              <w:jc w:val="right"/>
              <w:rPr>
                <w:rFonts w:ascii="宋体" w:hAnsi="宋体" w:cs="宋体"/>
                <w:color w:val="000000"/>
                <w:sz w:val="13"/>
                <w:szCs w:val="13"/>
              </w:rPr>
            </w:pP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b/>
                <w:bCs/>
                <w:color w:val="000000"/>
                <w:sz w:val="13"/>
                <w:szCs w:val="13"/>
              </w:rPr>
            </w:pPr>
            <w:r>
              <w:rPr>
                <w:rFonts w:ascii="宋体" w:hAnsi="宋体" w:cs="宋体" w:hint="eastAsia"/>
                <w:b/>
                <w:bCs/>
                <w:color w:val="000000"/>
                <w:kern w:val="0"/>
                <w:sz w:val="13"/>
                <w:szCs w:val="13"/>
                <w:lang w:bidi="ar"/>
              </w:rPr>
              <w:t>本年收入合计</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27</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143,690,711.69</w:t>
            </w:r>
          </w:p>
        </w:tc>
        <w:tc>
          <w:tcPr>
            <w:tcW w:w="2382" w:type="pct"/>
            <w:gridSpan w:val="4"/>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b/>
                <w:bCs/>
                <w:color w:val="000000"/>
                <w:sz w:val="13"/>
                <w:szCs w:val="13"/>
              </w:rPr>
            </w:pPr>
            <w:r>
              <w:rPr>
                <w:rFonts w:ascii="宋体" w:hAnsi="宋体" w:cs="宋体" w:hint="eastAsia"/>
                <w:b/>
                <w:bCs/>
                <w:color w:val="000000"/>
                <w:kern w:val="0"/>
                <w:sz w:val="13"/>
                <w:szCs w:val="13"/>
                <w:lang w:bidi="ar"/>
              </w:rPr>
              <w:t>本年支出合计</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84</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143,626,913.66</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使用非财政拨款结余</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28</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w:t>
            </w:r>
          </w:p>
        </w:tc>
        <w:tc>
          <w:tcPr>
            <w:tcW w:w="2382" w:type="pct"/>
            <w:gridSpan w:val="4"/>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结余分配</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85</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0.00</w:t>
            </w:r>
          </w:p>
        </w:tc>
      </w:tr>
      <w:tr w:rsidR="00F14931">
        <w:trPr>
          <w:trHeight w:val="199"/>
          <w:jc w:val="center"/>
        </w:trPr>
        <w:tc>
          <w:tcPr>
            <w:tcW w:w="923" w:type="pct"/>
            <w:tcBorders>
              <w:top w:val="nil"/>
              <w:left w:val="single" w:sz="4" w:space="0" w:color="000000"/>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年初结转和结余</w:t>
            </w:r>
          </w:p>
        </w:tc>
        <w:tc>
          <w:tcPr>
            <w:tcW w:w="216"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29</w:t>
            </w:r>
          </w:p>
        </w:tc>
        <w:tc>
          <w:tcPr>
            <w:tcW w:w="467" w:type="pct"/>
            <w:tcBorders>
              <w:top w:val="nil"/>
              <w:left w:val="nil"/>
              <w:bottom w:val="single" w:sz="4"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2,388,647.60</w:t>
            </w:r>
          </w:p>
        </w:tc>
        <w:tc>
          <w:tcPr>
            <w:tcW w:w="2382" w:type="pct"/>
            <w:gridSpan w:val="4"/>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left"/>
              <w:textAlignment w:val="center"/>
              <w:rPr>
                <w:rFonts w:ascii="宋体" w:hAnsi="宋体" w:cs="宋体"/>
                <w:color w:val="000000"/>
                <w:sz w:val="13"/>
                <w:szCs w:val="13"/>
              </w:rPr>
            </w:pPr>
            <w:r>
              <w:rPr>
                <w:rFonts w:ascii="宋体" w:hAnsi="宋体" w:cs="宋体" w:hint="eastAsia"/>
                <w:color w:val="000000"/>
                <w:kern w:val="0"/>
                <w:sz w:val="13"/>
                <w:szCs w:val="13"/>
                <w:lang w:bidi="ar"/>
              </w:rPr>
              <w:t xml:space="preserve">    </w:t>
            </w:r>
            <w:r>
              <w:rPr>
                <w:rFonts w:ascii="宋体" w:hAnsi="宋体" w:cs="宋体" w:hint="eastAsia"/>
                <w:color w:val="000000"/>
                <w:kern w:val="0"/>
                <w:sz w:val="13"/>
                <w:szCs w:val="13"/>
                <w:lang w:bidi="ar"/>
              </w:rPr>
              <w:t>年末结转和结余</w:t>
            </w:r>
          </w:p>
        </w:tc>
        <w:tc>
          <w:tcPr>
            <w:tcW w:w="217" w:type="pct"/>
            <w:tcBorders>
              <w:top w:val="nil"/>
              <w:left w:val="nil"/>
              <w:bottom w:val="single" w:sz="4"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86</w:t>
            </w:r>
          </w:p>
        </w:tc>
        <w:tc>
          <w:tcPr>
            <w:tcW w:w="793" w:type="pct"/>
            <w:tcBorders>
              <w:top w:val="nil"/>
              <w:left w:val="nil"/>
              <w:bottom w:val="single" w:sz="4"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2,452,445.63</w:t>
            </w:r>
          </w:p>
        </w:tc>
      </w:tr>
      <w:tr w:rsidR="00F14931">
        <w:trPr>
          <w:trHeight w:val="390"/>
          <w:jc w:val="center"/>
        </w:trPr>
        <w:tc>
          <w:tcPr>
            <w:tcW w:w="923" w:type="pct"/>
            <w:tcBorders>
              <w:top w:val="nil"/>
              <w:left w:val="single" w:sz="4" w:space="0" w:color="000000"/>
              <w:bottom w:val="single" w:sz="8"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b/>
                <w:bCs/>
                <w:color w:val="000000"/>
                <w:sz w:val="13"/>
                <w:szCs w:val="13"/>
              </w:rPr>
            </w:pPr>
            <w:r>
              <w:rPr>
                <w:rFonts w:ascii="宋体" w:hAnsi="宋体" w:cs="宋体" w:hint="eastAsia"/>
                <w:b/>
                <w:bCs/>
                <w:color w:val="000000"/>
                <w:kern w:val="0"/>
                <w:sz w:val="13"/>
                <w:szCs w:val="13"/>
                <w:lang w:bidi="ar"/>
              </w:rPr>
              <w:t>总计</w:t>
            </w:r>
          </w:p>
        </w:tc>
        <w:tc>
          <w:tcPr>
            <w:tcW w:w="216" w:type="pct"/>
            <w:tcBorders>
              <w:top w:val="nil"/>
              <w:left w:val="nil"/>
              <w:bottom w:val="single" w:sz="8"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3</w:t>
            </w:r>
            <w:r>
              <w:rPr>
                <w:rFonts w:ascii="宋体" w:hAnsi="宋体" w:cs="宋体" w:hint="eastAsia"/>
                <w:color w:val="000000"/>
                <w:kern w:val="0"/>
                <w:sz w:val="13"/>
                <w:szCs w:val="13"/>
                <w:lang w:bidi="ar"/>
              </w:rPr>
              <w:t>0</w:t>
            </w:r>
          </w:p>
        </w:tc>
        <w:tc>
          <w:tcPr>
            <w:tcW w:w="467" w:type="pct"/>
            <w:tcBorders>
              <w:top w:val="nil"/>
              <w:left w:val="nil"/>
              <w:bottom w:val="single" w:sz="8" w:space="0" w:color="000000"/>
              <w:right w:val="single" w:sz="4"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146,079,359.29</w:t>
            </w:r>
          </w:p>
        </w:tc>
        <w:tc>
          <w:tcPr>
            <w:tcW w:w="2382" w:type="pct"/>
            <w:gridSpan w:val="4"/>
            <w:tcBorders>
              <w:top w:val="nil"/>
              <w:left w:val="nil"/>
              <w:bottom w:val="single" w:sz="8"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b/>
                <w:bCs/>
                <w:color w:val="000000"/>
                <w:sz w:val="13"/>
                <w:szCs w:val="13"/>
              </w:rPr>
            </w:pPr>
            <w:r>
              <w:rPr>
                <w:rFonts w:ascii="宋体" w:hAnsi="宋体" w:cs="宋体" w:hint="eastAsia"/>
                <w:b/>
                <w:bCs/>
                <w:color w:val="000000"/>
                <w:kern w:val="0"/>
                <w:sz w:val="13"/>
                <w:szCs w:val="13"/>
                <w:lang w:bidi="ar"/>
              </w:rPr>
              <w:t>总计</w:t>
            </w:r>
          </w:p>
        </w:tc>
        <w:tc>
          <w:tcPr>
            <w:tcW w:w="217" w:type="pct"/>
            <w:tcBorders>
              <w:top w:val="nil"/>
              <w:left w:val="nil"/>
              <w:bottom w:val="single" w:sz="8" w:space="0" w:color="000000"/>
              <w:right w:val="single" w:sz="4" w:space="0" w:color="000000"/>
            </w:tcBorders>
            <w:shd w:val="clear" w:color="FFFFFF" w:fill="C0C0C0"/>
            <w:noWrap/>
            <w:vAlign w:val="center"/>
          </w:tcPr>
          <w:p w:rsidR="00F14931" w:rsidRDefault="002D1D6E">
            <w:pPr>
              <w:widowControl/>
              <w:adjustRightInd w:val="0"/>
              <w:snapToGrid w:val="0"/>
              <w:jc w:val="center"/>
              <w:textAlignment w:val="center"/>
              <w:rPr>
                <w:rFonts w:ascii="宋体" w:hAnsi="宋体" w:cs="宋体"/>
                <w:color w:val="000000"/>
                <w:sz w:val="13"/>
                <w:szCs w:val="13"/>
              </w:rPr>
            </w:pPr>
            <w:r>
              <w:rPr>
                <w:rFonts w:ascii="宋体" w:hAnsi="宋体" w:cs="宋体" w:hint="eastAsia"/>
                <w:color w:val="000000"/>
                <w:kern w:val="0"/>
                <w:sz w:val="13"/>
                <w:szCs w:val="13"/>
                <w:lang w:bidi="ar"/>
              </w:rPr>
              <w:t>8</w:t>
            </w:r>
            <w:r>
              <w:rPr>
                <w:rFonts w:ascii="宋体" w:hAnsi="宋体" w:cs="宋体" w:hint="eastAsia"/>
                <w:color w:val="000000"/>
                <w:kern w:val="0"/>
                <w:sz w:val="13"/>
                <w:szCs w:val="13"/>
                <w:lang w:bidi="ar"/>
              </w:rPr>
              <w:t>7</w:t>
            </w:r>
          </w:p>
        </w:tc>
        <w:tc>
          <w:tcPr>
            <w:tcW w:w="793" w:type="pct"/>
            <w:tcBorders>
              <w:top w:val="nil"/>
              <w:left w:val="nil"/>
              <w:bottom w:val="single" w:sz="8" w:space="0" w:color="000000"/>
              <w:right w:val="single" w:sz="8" w:space="0" w:color="000000"/>
            </w:tcBorders>
            <w:shd w:val="clear" w:color="auto" w:fill="auto"/>
            <w:noWrap/>
            <w:vAlign w:val="center"/>
          </w:tcPr>
          <w:p w:rsidR="00F14931" w:rsidRDefault="002D1D6E">
            <w:pPr>
              <w:widowControl/>
              <w:adjustRightInd w:val="0"/>
              <w:snapToGrid w:val="0"/>
              <w:jc w:val="right"/>
              <w:textAlignment w:val="center"/>
              <w:rPr>
                <w:rFonts w:ascii="宋体" w:hAnsi="宋体" w:cs="宋体"/>
                <w:color w:val="000000"/>
                <w:sz w:val="13"/>
                <w:szCs w:val="13"/>
              </w:rPr>
            </w:pPr>
            <w:r>
              <w:rPr>
                <w:rFonts w:ascii="宋体" w:hAnsi="宋体" w:cs="宋体" w:hint="eastAsia"/>
                <w:color w:val="000000"/>
                <w:kern w:val="0"/>
                <w:sz w:val="13"/>
                <w:szCs w:val="13"/>
                <w:lang w:bidi="ar"/>
              </w:rPr>
              <w:t>146,079,359.29</w:t>
            </w:r>
          </w:p>
        </w:tc>
      </w:tr>
    </w:tbl>
    <w:p w:rsidR="00F14931" w:rsidRDefault="002D1D6E">
      <w:pPr>
        <w:pStyle w:val="a0"/>
      </w:pPr>
      <w:r>
        <w:rPr>
          <w:rFonts w:hint="eastAsia"/>
        </w:rPr>
        <w:lastRenderedPageBreak/>
        <w:t>附件</w:t>
      </w:r>
      <w:r>
        <w:rPr>
          <w:rFonts w:hint="eastAsia"/>
        </w:rPr>
        <w:t>2</w:t>
      </w:r>
      <w:r>
        <w:rPr>
          <w:rFonts w:hint="eastAsia"/>
        </w:rPr>
        <w:t>：</w:t>
      </w:r>
    </w:p>
    <w:tbl>
      <w:tblPr>
        <w:tblW w:w="5124" w:type="pct"/>
        <w:tblInd w:w="31" w:type="dxa"/>
        <w:tblLayout w:type="fixed"/>
        <w:tblLook w:val="04A0" w:firstRow="1" w:lastRow="0" w:firstColumn="1" w:lastColumn="0" w:noHBand="0" w:noVBand="1"/>
      </w:tblPr>
      <w:tblGrid>
        <w:gridCol w:w="985"/>
        <w:gridCol w:w="1113"/>
        <w:gridCol w:w="1737"/>
        <w:gridCol w:w="999"/>
        <w:gridCol w:w="2037"/>
        <w:gridCol w:w="712"/>
        <w:gridCol w:w="712"/>
        <w:gridCol w:w="2379"/>
        <w:gridCol w:w="3852"/>
      </w:tblGrid>
      <w:tr w:rsidR="00F14931">
        <w:trPr>
          <w:trHeight w:val="780"/>
        </w:trPr>
        <w:tc>
          <w:tcPr>
            <w:tcW w:w="5000" w:type="pct"/>
            <w:gridSpan w:val="9"/>
            <w:tcBorders>
              <w:top w:val="nil"/>
              <w:left w:val="nil"/>
              <w:bottom w:val="single" w:sz="4" w:space="0" w:color="auto"/>
              <w:right w:val="nil"/>
            </w:tcBorders>
            <w:shd w:val="clear" w:color="auto" w:fill="auto"/>
            <w:noWrap/>
            <w:vAlign w:val="center"/>
          </w:tcPr>
          <w:p w:rsidR="00F14931" w:rsidRDefault="002D1D6E">
            <w:pPr>
              <w:widowControl/>
              <w:adjustRightInd w:val="0"/>
              <w:snapToGrid w:val="0"/>
              <w:jc w:val="center"/>
              <w:textAlignment w:val="center"/>
            </w:pPr>
            <w:r>
              <w:rPr>
                <w:b/>
                <w:bCs/>
                <w:sz w:val="44"/>
                <w:szCs w:val="52"/>
              </w:rPr>
              <w:t>202</w:t>
            </w:r>
            <w:r>
              <w:rPr>
                <w:rFonts w:hint="eastAsia"/>
                <w:b/>
                <w:bCs/>
                <w:sz w:val="44"/>
                <w:szCs w:val="52"/>
              </w:rPr>
              <w:t>2</w:t>
            </w:r>
            <w:r>
              <w:rPr>
                <w:b/>
                <w:bCs/>
                <w:sz w:val="44"/>
                <w:szCs w:val="52"/>
              </w:rPr>
              <w:t>年北京市石景山区人民法院部门整体绩效评价指标体系评分表</w:t>
            </w:r>
            <w:r>
              <w:t xml:space="preserve"> </w:t>
            </w:r>
          </w:p>
          <w:p w:rsidR="00F14931" w:rsidRDefault="00F14931"/>
          <w:p w:rsidR="00F14931" w:rsidRDefault="00F14931">
            <w:pPr>
              <w:pStyle w:val="a0"/>
            </w:pPr>
          </w:p>
        </w:tc>
      </w:tr>
      <w:tr w:rsidR="00F14931">
        <w:trPr>
          <w:trHeight w:val="55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一、当年预算执行情况（</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分）</w:t>
            </w:r>
          </w:p>
        </w:tc>
      </w:tr>
      <w:tr w:rsidR="00F14931">
        <w:trPr>
          <w:trHeight w:val="600"/>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一级指标　</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二级指标　</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预算数</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执行数</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预算执行率</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指标解释</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评分标准</w:t>
            </w:r>
          </w:p>
        </w:tc>
      </w:tr>
      <w:tr w:rsidR="00F14931">
        <w:trPr>
          <w:trHeight w:val="1324"/>
        </w:trPr>
        <w:tc>
          <w:tcPr>
            <w:tcW w:w="33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当年预算执行情况（</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资金总体</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14607.94</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14362.69</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98.32%</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19.66</w:t>
            </w:r>
            <w:r>
              <w:rPr>
                <w:rFonts w:ascii="宋体" w:hAnsi="宋体" w:cs="宋体" w:hint="eastAsia"/>
                <w:color w:val="000000"/>
                <w:kern w:val="0"/>
                <w:sz w:val="18"/>
                <w:szCs w:val="18"/>
                <w:lang w:bidi="ar"/>
              </w:rPr>
              <w:t xml:space="preserve"> </w:t>
            </w:r>
          </w:p>
        </w:tc>
        <w:tc>
          <w:tcPr>
            <w:tcW w:w="81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部门全年执行数与全年预算数的比率。资金总体</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基本支出</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项目支出</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其他</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①得分一档最高不能超过该指标分值上限（</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分）。</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②该指标若为正向指标，则得分计算方法应用全年实际值（</w:t>
            </w:r>
            <w:r>
              <w:rPr>
                <w:rFonts w:ascii="宋体" w:hAnsi="宋体" w:cs="宋体" w:hint="eastAsia"/>
                <w:color w:val="000000"/>
                <w:kern w:val="0"/>
                <w:sz w:val="18"/>
                <w:szCs w:val="18"/>
                <w:lang w:bidi="ar"/>
              </w:rPr>
              <w:t>B</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年度指标值（</w:t>
            </w:r>
            <w:r>
              <w:rPr>
                <w:rFonts w:ascii="宋体" w:hAnsi="宋体" w:cs="宋体" w:hint="eastAsia"/>
                <w:color w:val="000000"/>
                <w:kern w:val="0"/>
                <w:sz w:val="18"/>
                <w:szCs w:val="18"/>
                <w:lang w:bidi="ar"/>
              </w:rPr>
              <w:t>A</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该指标分值；若定量指标为反向指标，则得分计算方法应用年度指标值（</w:t>
            </w:r>
            <w:r>
              <w:rPr>
                <w:rFonts w:ascii="宋体" w:hAnsi="宋体" w:cs="宋体" w:hint="eastAsia"/>
                <w:color w:val="000000"/>
                <w:kern w:val="0"/>
                <w:sz w:val="18"/>
                <w:szCs w:val="18"/>
                <w:lang w:bidi="ar"/>
              </w:rPr>
              <w:t>A</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全年实际值（</w:t>
            </w:r>
            <w:r>
              <w:rPr>
                <w:rFonts w:ascii="宋体" w:hAnsi="宋体" w:cs="宋体" w:hint="eastAsia"/>
                <w:color w:val="000000"/>
                <w:kern w:val="0"/>
                <w:sz w:val="18"/>
                <w:szCs w:val="18"/>
                <w:lang w:bidi="ar"/>
              </w:rPr>
              <w:t>B</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该指标分值。若年初指标值设定偏低，则得分计算方法应用（全年实际值（</w:t>
            </w:r>
            <w:r>
              <w:rPr>
                <w:rFonts w:ascii="宋体" w:hAnsi="宋体" w:cs="宋体" w:hint="eastAsia"/>
                <w:color w:val="000000"/>
                <w:kern w:val="0"/>
                <w:sz w:val="18"/>
                <w:szCs w:val="18"/>
                <w:lang w:bidi="ar"/>
              </w:rPr>
              <w:t>B</w:t>
            </w:r>
            <w:r>
              <w:rPr>
                <w:rFonts w:ascii="宋体" w:hAnsi="宋体" w:cs="宋体" w:hint="eastAsia"/>
                <w:color w:val="000000"/>
                <w:kern w:val="0"/>
                <w:sz w:val="18"/>
                <w:szCs w:val="18"/>
                <w:lang w:bidi="ar"/>
              </w:rPr>
              <w:t>）—年度指标值（</w:t>
            </w:r>
            <w:r>
              <w:rPr>
                <w:rFonts w:ascii="宋体" w:hAnsi="宋体" w:cs="宋体" w:hint="eastAsia"/>
                <w:color w:val="000000"/>
                <w:kern w:val="0"/>
                <w:sz w:val="18"/>
                <w:szCs w:val="18"/>
                <w:lang w:bidi="ar"/>
              </w:rPr>
              <w:t>A</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年度指标值（</w:t>
            </w:r>
            <w:r>
              <w:rPr>
                <w:rFonts w:ascii="宋体" w:hAnsi="宋体" w:cs="宋体" w:hint="eastAsia"/>
                <w:color w:val="000000"/>
                <w:kern w:val="0"/>
                <w:sz w:val="18"/>
                <w:szCs w:val="18"/>
                <w:lang w:bidi="ar"/>
              </w:rPr>
              <w:t>A</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。若计算结果在</w:t>
            </w:r>
            <w:r>
              <w:rPr>
                <w:rFonts w:ascii="宋体" w:hAnsi="宋体" w:cs="宋体" w:hint="eastAsia"/>
                <w:color w:val="000000"/>
                <w:kern w:val="0"/>
                <w:sz w:val="18"/>
                <w:szCs w:val="18"/>
                <w:lang w:bidi="ar"/>
              </w:rPr>
              <w:t>200%-300%</w:t>
            </w:r>
            <w:r>
              <w:rPr>
                <w:rFonts w:ascii="宋体" w:hAnsi="宋体" w:cs="宋体" w:hint="eastAsia"/>
                <w:color w:val="000000"/>
                <w:kern w:val="0"/>
                <w:sz w:val="18"/>
                <w:szCs w:val="18"/>
                <w:lang w:bidi="ar"/>
              </w:rPr>
              <w:t>（含</w:t>
            </w:r>
            <w:r>
              <w:rPr>
                <w:rFonts w:ascii="宋体" w:hAnsi="宋体" w:cs="宋体" w:hint="eastAsia"/>
                <w:color w:val="000000"/>
                <w:kern w:val="0"/>
                <w:sz w:val="18"/>
                <w:szCs w:val="18"/>
                <w:lang w:bidi="ar"/>
              </w:rPr>
              <w:t>200%</w:t>
            </w:r>
            <w:r>
              <w:rPr>
                <w:rFonts w:ascii="宋体" w:hAnsi="宋体" w:cs="宋体" w:hint="eastAsia"/>
                <w:color w:val="000000"/>
                <w:kern w:val="0"/>
                <w:sz w:val="18"/>
                <w:szCs w:val="18"/>
                <w:lang w:bidi="ar"/>
              </w:rPr>
              <w:t>）区间，则按照该指标分值的</w:t>
            </w: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扣分；计算结果在</w:t>
            </w:r>
            <w:r>
              <w:rPr>
                <w:rFonts w:ascii="宋体" w:hAnsi="宋体" w:cs="宋体" w:hint="eastAsia"/>
                <w:color w:val="000000"/>
                <w:kern w:val="0"/>
                <w:sz w:val="18"/>
                <w:szCs w:val="18"/>
                <w:lang w:bidi="ar"/>
              </w:rPr>
              <w:t>300%-500%</w:t>
            </w:r>
            <w:r>
              <w:rPr>
                <w:rFonts w:ascii="宋体" w:hAnsi="宋体" w:cs="宋体" w:hint="eastAsia"/>
                <w:color w:val="000000"/>
                <w:kern w:val="0"/>
                <w:sz w:val="18"/>
                <w:szCs w:val="18"/>
                <w:lang w:bidi="ar"/>
              </w:rPr>
              <w:t>（含</w:t>
            </w:r>
            <w:r>
              <w:rPr>
                <w:rFonts w:ascii="宋体" w:hAnsi="宋体" w:cs="宋体" w:hint="eastAsia"/>
                <w:color w:val="000000"/>
                <w:kern w:val="0"/>
                <w:sz w:val="18"/>
                <w:szCs w:val="18"/>
                <w:lang w:bidi="ar"/>
              </w:rPr>
              <w:t>300%</w:t>
            </w:r>
            <w:r>
              <w:rPr>
                <w:rFonts w:ascii="宋体" w:hAnsi="宋体" w:cs="宋体" w:hint="eastAsia"/>
                <w:color w:val="000000"/>
                <w:kern w:val="0"/>
                <w:sz w:val="18"/>
                <w:szCs w:val="18"/>
                <w:lang w:bidi="ar"/>
              </w:rPr>
              <w:t>）区间，则按照该指标分值的</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扣分；计算结果高于</w:t>
            </w:r>
            <w:r>
              <w:rPr>
                <w:rFonts w:ascii="宋体" w:hAnsi="宋体" w:cs="宋体" w:hint="eastAsia"/>
                <w:color w:val="000000"/>
                <w:kern w:val="0"/>
                <w:sz w:val="18"/>
                <w:szCs w:val="18"/>
                <w:lang w:bidi="ar"/>
              </w:rPr>
              <w:t>500%</w:t>
            </w:r>
            <w:r>
              <w:rPr>
                <w:rFonts w:ascii="宋体" w:hAnsi="宋体" w:cs="宋体" w:hint="eastAsia"/>
                <w:color w:val="000000"/>
                <w:kern w:val="0"/>
                <w:sz w:val="18"/>
                <w:szCs w:val="18"/>
                <w:lang w:bidi="ar"/>
              </w:rPr>
              <w:t>（含</w:t>
            </w:r>
            <w:r>
              <w:rPr>
                <w:rFonts w:ascii="宋体" w:hAnsi="宋体" w:cs="宋体" w:hint="eastAsia"/>
                <w:color w:val="000000"/>
                <w:kern w:val="0"/>
                <w:sz w:val="18"/>
                <w:szCs w:val="18"/>
                <w:lang w:bidi="ar"/>
              </w:rPr>
              <w:t>500%</w:t>
            </w:r>
            <w:r>
              <w:rPr>
                <w:rFonts w:ascii="宋体" w:hAnsi="宋体" w:cs="宋体" w:hint="eastAsia"/>
                <w:color w:val="000000"/>
                <w:kern w:val="0"/>
                <w:sz w:val="18"/>
                <w:szCs w:val="18"/>
                <w:lang w:bidi="ar"/>
              </w:rPr>
              <w:t>），则按照该指标分值的</w:t>
            </w:r>
            <w:r>
              <w:rPr>
                <w:rFonts w:ascii="宋体" w:hAnsi="宋体" w:cs="宋体" w:hint="eastAsia"/>
                <w:color w:val="000000"/>
                <w:kern w:val="0"/>
                <w:sz w:val="18"/>
                <w:szCs w:val="18"/>
                <w:lang w:bidi="ar"/>
              </w:rPr>
              <w:t>30%</w:t>
            </w:r>
            <w:r>
              <w:rPr>
                <w:rFonts w:ascii="宋体" w:hAnsi="宋体" w:cs="宋体" w:hint="eastAsia"/>
                <w:color w:val="000000"/>
                <w:kern w:val="0"/>
                <w:sz w:val="18"/>
                <w:szCs w:val="18"/>
                <w:lang w:bidi="ar"/>
              </w:rPr>
              <w:t>扣分。</w:t>
            </w:r>
          </w:p>
        </w:tc>
      </w:tr>
      <w:tr w:rsidR="00F14931">
        <w:trPr>
          <w:trHeight w:val="1228"/>
        </w:trPr>
        <w:tc>
          <w:tcPr>
            <w:tcW w:w="33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基本支出</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11142.98</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939.49</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p>
        </w:tc>
        <w:tc>
          <w:tcPr>
            <w:tcW w:w="24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F14931">
            <w:pPr>
              <w:adjustRightInd w:val="0"/>
              <w:snapToGrid w:val="0"/>
              <w:jc w:val="center"/>
              <w:rPr>
                <w:rFonts w:ascii="宋体" w:hAnsi="宋体" w:cs="宋体"/>
                <w:color w:val="000000"/>
                <w:sz w:val="18"/>
                <w:szCs w:val="18"/>
              </w:rPr>
            </w:pPr>
          </w:p>
        </w:tc>
        <w:tc>
          <w:tcPr>
            <w:tcW w:w="8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c>
          <w:tcPr>
            <w:tcW w:w="132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r>
      <w:tr w:rsidR="00F14931">
        <w:trPr>
          <w:trHeight w:val="1324"/>
        </w:trPr>
        <w:tc>
          <w:tcPr>
            <w:tcW w:w="33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项目支出</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3464.95</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3423.2</w:t>
            </w:r>
          </w:p>
        </w:tc>
        <w:tc>
          <w:tcPr>
            <w:tcW w:w="69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F14931">
            <w:pPr>
              <w:adjustRightInd w:val="0"/>
              <w:snapToGrid w:val="0"/>
              <w:jc w:val="center"/>
              <w:rPr>
                <w:rFonts w:ascii="宋体" w:hAnsi="宋体" w:cs="宋体"/>
                <w:color w:val="000000"/>
                <w:sz w:val="18"/>
                <w:szCs w:val="18"/>
              </w:rPr>
            </w:pPr>
          </w:p>
        </w:tc>
        <w:tc>
          <w:tcPr>
            <w:tcW w:w="8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c>
          <w:tcPr>
            <w:tcW w:w="132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r>
      <w:tr w:rsidR="00F14931">
        <w:trPr>
          <w:trHeight w:val="1412"/>
        </w:trPr>
        <w:tc>
          <w:tcPr>
            <w:tcW w:w="33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其他</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w:t>
            </w:r>
          </w:p>
        </w:tc>
        <w:tc>
          <w:tcPr>
            <w:tcW w:w="69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F14931">
            <w:pPr>
              <w:adjustRightInd w:val="0"/>
              <w:snapToGrid w:val="0"/>
              <w:jc w:val="center"/>
              <w:rPr>
                <w:rFonts w:ascii="宋体" w:hAnsi="宋体" w:cs="宋体"/>
                <w:color w:val="000000"/>
                <w:sz w:val="18"/>
                <w:szCs w:val="18"/>
              </w:rPr>
            </w:pPr>
          </w:p>
        </w:tc>
        <w:tc>
          <w:tcPr>
            <w:tcW w:w="81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c>
          <w:tcPr>
            <w:tcW w:w="132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r>
      <w:tr w:rsidR="00F14931">
        <w:trPr>
          <w:trHeight w:val="63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二、整体绩效目标实现情况（</w:t>
            </w:r>
            <w:r>
              <w:rPr>
                <w:rFonts w:ascii="宋体" w:hAnsi="宋体" w:cs="宋体" w:hint="eastAsia"/>
                <w:color w:val="000000"/>
                <w:kern w:val="0"/>
                <w:sz w:val="18"/>
                <w:szCs w:val="18"/>
                <w:lang w:bidi="ar"/>
              </w:rPr>
              <w:t>60</w:t>
            </w:r>
            <w:r>
              <w:rPr>
                <w:rFonts w:ascii="宋体" w:hAnsi="宋体" w:cs="宋体" w:hint="eastAsia"/>
                <w:color w:val="000000"/>
                <w:kern w:val="0"/>
                <w:sz w:val="18"/>
                <w:szCs w:val="18"/>
                <w:lang w:bidi="ar"/>
              </w:rPr>
              <w:t>分）</w:t>
            </w:r>
          </w:p>
        </w:tc>
      </w:tr>
      <w:tr w:rsidR="00F14931">
        <w:trPr>
          <w:trHeight w:val="556"/>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二级指标　</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三级指标　</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指标值</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完成值</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指标解释</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评分标准</w:t>
            </w:r>
          </w:p>
        </w:tc>
      </w:tr>
      <w:tr w:rsidR="00F14931">
        <w:trPr>
          <w:trHeight w:val="1780"/>
        </w:trPr>
        <w:tc>
          <w:tcPr>
            <w:tcW w:w="339" w:type="pct"/>
            <w:vMerge w:val="restart"/>
            <w:tcBorders>
              <w:top w:val="single" w:sz="4" w:space="0" w:color="auto"/>
              <w:left w:val="single" w:sz="4" w:space="0" w:color="auto"/>
              <w:right w:val="single" w:sz="4" w:space="0" w:color="auto"/>
            </w:tcBorders>
            <w:shd w:val="clear" w:color="auto" w:fill="auto"/>
            <w:vAlign w:val="center"/>
          </w:tcPr>
          <w:p w:rsidR="00F14931" w:rsidRDefault="002D1D6E">
            <w:pPr>
              <w:jc w:val="center"/>
              <w:rPr>
                <w:rFonts w:ascii="宋体" w:hAnsi="宋体" w:cs="宋体"/>
                <w:color w:val="000000"/>
                <w:sz w:val="18"/>
                <w:szCs w:val="18"/>
              </w:rPr>
            </w:pPr>
            <w:r>
              <w:rPr>
                <w:rFonts w:ascii="宋体" w:hAnsi="宋体" w:cs="宋体" w:hint="eastAsia"/>
                <w:color w:val="000000"/>
                <w:kern w:val="0"/>
                <w:sz w:val="18"/>
                <w:szCs w:val="18"/>
                <w:lang w:bidi="ar"/>
              </w:rPr>
              <w:t>整体绩效目标实现情况</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60</w:t>
            </w:r>
            <w:r>
              <w:rPr>
                <w:rFonts w:ascii="宋体" w:hAnsi="宋体" w:cs="宋体" w:hint="eastAsia"/>
                <w:color w:val="000000"/>
                <w:kern w:val="0"/>
                <w:sz w:val="18"/>
                <w:szCs w:val="18"/>
                <w:lang w:bidi="ar"/>
              </w:rPr>
              <w:t>分）</w:t>
            </w:r>
          </w:p>
        </w:tc>
        <w:tc>
          <w:tcPr>
            <w:tcW w:w="383" w:type="pct"/>
            <w:vMerge w:val="restart"/>
            <w:tcBorders>
              <w:top w:val="single" w:sz="4" w:space="0" w:color="auto"/>
              <w:left w:val="single" w:sz="4" w:space="0" w:color="auto"/>
              <w:right w:val="single" w:sz="4" w:space="0" w:color="auto"/>
            </w:tcBorders>
            <w:shd w:val="clear" w:color="auto" w:fill="auto"/>
            <w:vAlign w:val="center"/>
          </w:tcPr>
          <w:p w:rsidR="00F14931" w:rsidRDefault="002D1D6E">
            <w:pPr>
              <w:jc w:val="center"/>
              <w:rPr>
                <w:rFonts w:ascii="宋体" w:hAnsi="宋体" w:cs="宋体"/>
                <w:color w:val="000000"/>
                <w:sz w:val="18"/>
                <w:szCs w:val="18"/>
              </w:rPr>
            </w:pPr>
            <w:r>
              <w:rPr>
                <w:rFonts w:ascii="宋体" w:hAnsi="宋体" w:cs="宋体" w:hint="eastAsia"/>
                <w:color w:val="000000"/>
                <w:kern w:val="0"/>
                <w:sz w:val="18"/>
                <w:szCs w:val="18"/>
                <w:lang w:bidi="ar"/>
              </w:rPr>
              <w:t>产出（</w:t>
            </w:r>
            <w:r>
              <w:rPr>
                <w:rFonts w:ascii="宋体" w:hAnsi="宋体" w:cs="宋体" w:hint="eastAsia"/>
                <w:color w:val="000000"/>
                <w:kern w:val="0"/>
                <w:sz w:val="18"/>
                <w:szCs w:val="18"/>
                <w:lang w:bidi="ar"/>
              </w:rPr>
              <w:t>30</w:t>
            </w:r>
            <w:r>
              <w:rPr>
                <w:rFonts w:ascii="宋体" w:hAnsi="宋体" w:cs="宋体" w:hint="eastAsia"/>
                <w:color w:val="000000"/>
                <w:kern w:val="0"/>
                <w:sz w:val="18"/>
                <w:szCs w:val="18"/>
                <w:lang w:bidi="ar"/>
              </w:rPr>
              <w:t>）</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sz w:val="18"/>
                <w:szCs w:val="18"/>
              </w:rPr>
              <w:t>案件审判</w:t>
            </w:r>
            <w:r>
              <w:rPr>
                <w:rFonts w:ascii="宋体" w:hAnsi="宋体" w:cs="宋体" w:hint="eastAsia"/>
                <w:color w:val="000000"/>
                <w:sz w:val="18"/>
                <w:szCs w:val="18"/>
              </w:rPr>
              <w:t>工作产出</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在案件审判工作等方面的产出完成情况。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完成情况好得</w:t>
            </w:r>
            <w:r>
              <w:rPr>
                <w:rFonts w:ascii="宋体" w:hAnsi="宋体" w:cs="宋体" w:hint="eastAsia"/>
                <w:color w:val="000000"/>
                <w:kern w:val="0"/>
                <w:sz w:val="18"/>
                <w:szCs w:val="18"/>
                <w:lang w:bidi="ar"/>
              </w:rPr>
              <w:t>9</w:t>
            </w:r>
            <w:r>
              <w:rPr>
                <w:rFonts w:ascii="宋体" w:hAnsi="宋体" w:cs="宋体" w:hint="eastAsia"/>
                <w:color w:val="000000"/>
                <w:kern w:val="0"/>
                <w:sz w:val="18"/>
                <w:szCs w:val="18"/>
                <w:lang w:bidi="ar"/>
              </w:rPr>
              <w:t>分，否则根据实际情况酌情打分。</w:t>
            </w:r>
          </w:p>
        </w:tc>
      </w:tr>
      <w:tr w:rsidR="00F14931">
        <w:trPr>
          <w:trHeight w:val="1470"/>
        </w:trPr>
        <w:tc>
          <w:tcPr>
            <w:tcW w:w="339" w:type="pct"/>
            <w:vMerge/>
            <w:tcBorders>
              <w:left w:val="single" w:sz="4" w:space="0" w:color="auto"/>
              <w:right w:val="single" w:sz="4" w:space="0" w:color="auto"/>
            </w:tcBorders>
            <w:shd w:val="clear" w:color="auto" w:fill="auto"/>
            <w:vAlign w:val="center"/>
          </w:tcPr>
          <w:p w:rsidR="00F14931" w:rsidRDefault="00F14931">
            <w:pPr>
              <w:widowControl/>
              <w:adjustRightInd w:val="0"/>
              <w:snapToGrid w:val="0"/>
              <w:jc w:val="center"/>
              <w:textAlignment w:val="center"/>
              <w:rPr>
                <w:rFonts w:ascii="宋体" w:hAnsi="宋体" w:cs="宋体"/>
                <w:color w:val="000000"/>
                <w:sz w:val="18"/>
                <w:szCs w:val="18"/>
              </w:rPr>
            </w:pPr>
          </w:p>
        </w:tc>
        <w:tc>
          <w:tcPr>
            <w:tcW w:w="383" w:type="pct"/>
            <w:vMerge/>
            <w:tcBorders>
              <w:left w:val="single" w:sz="4" w:space="0" w:color="auto"/>
              <w:right w:val="single" w:sz="4" w:space="0" w:color="auto"/>
            </w:tcBorders>
            <w:shd w:val="clear" w:color="auto" w:fill="auto"/>
            <w:vAlign w:val="center"/>
          </w:tcPr>
          <w:p w:rsidR="00F14931" w:rsidRDefault="00F14931">
            <w:pPr>
              <w:widowControl/>
              <w:adjustRightInd w:val="0"/>
              <w:snapToGrid w:val="0"/>
              <w:jc w:val="center"/>
              <w:textAlignment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“两庭”建设</w:t>
            </w:r>
            <w:r>
              <w:rPr>
                <w:rFonts w:ascii="宋体" w:hAnsi="宋体" w:cs="宋体" w:hint="eastAsia"/>
                <w:color w:val="000000"/>
                <w:kern w:val="0"/>
                <w:sz w:val="18"/>
                <w:szCs w:val="18"/>
                <w:lang w:bidi="ar"/>
              </w:rPr>
              <w:t>工作</w:t>
            </w:r>
            <w:r>
              <w:rPr>
                <w:rFonts w:ascii="宋体" w:hAnsi="宋体" w:cs="宋体" w:hint="eastAsia"/>
                <w:color w:val="000000"/>
                <w:sz w:val="18"/>
                <w:szCs w:val="18"/>
              </w:rPr>
              <w:t>产出</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在“两庭”建设</w:t>
            </w:r>
            <w:r>
              <w:rPr>
                <w:rFonts w:ascii="宋体" w:hAnsi="宋体" w:cs="宋体" w:hint="eastAsia"/>
                <w:color w:val="000000"/>
                <w:kern w:val="0"/>
                <w:sz w:val="18"/>
                <w:szCs w:val="18"/>
                <w:lang w:bidi="ar"/>
              </w:rPr>
              <w:t>工作</w:t>
            </w:r>
            <w:r>
              <w:rPr>
                <w:rFonts w:ascii="宋体" w:hAnsi="宋体" w:cs="宋体" w:hint="eastAsia"/>
                <w:color w:val="000000"/>
                <w:kern w:val="0"/>
                <w:sz w:val="18"/>
                <w:szCs w:val="18"/>
                <w:lang w:bidi="ar"/>
              </w:rPr>
              <w:t>等方面的产出完成情况。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完成情况好得</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分，否则根据实际情况酌情打分。</w:t>
            </w:r>
          </w:p>
        </w:tc>
      </w:tr>
      <w:tr w:rsidR="00F14931">
        <w:trPr>
          <w:trHeight w:val="1516"/>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信息化系统建设和运</w:t>
            </w:r>
            <w:proofErr w:type="gramStart"/>
            <w:r>
              <w:rPr>
                <w:rFonts w:ascii="宋体" w:hAnsi="宋体" w:cs="宋体" w:hint="eastAsia"/>
                <w:color w:val="000000"/>
                <w:kern w:val="0"/>
                <w:sz w:val="18"/>
                <w:szCs w:val="18"/>
                <w:lang w:bidi="ar"/>
              </w:rPr>
              <w:t>维</w:t>
            </w:r>
            <w:r>
              <w:rPr>
                <w:rFonts w:ascii="宋体" w:hAnsi="宋体" w:cs="宋体" w:hint="eastAsia"/>
                <w:color w:val="000000"/>
                <w:kern w:val="0"/>
                <w:sz w:val="18"/>
                <w:szCs w:val="18"/>
                <w:lang w:bidi="ar"/>
              </w:rPr>
              <w:t>工作</w:t>
            </w:r>
            <w:proofErr w:type="gramEnd"/>
            <w:r>
              <w:rPr>
                <w:rFonts w:ascii="宋体" w:hAnsi="宋体" w:cs="宋体" w:hint="eastAsia"/>
                <w:color w:val="000000"/>
                <w:sz w:val="18"/>
                <w:szCs w:val="18"/>
              </w:rPr>
              <w:t>产出</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在信息化系统建设和运</w:t>
            </w:r>
            <w:proofErr w:type="gramStart"/>
            <w:r>
              <w:rPr>
                <w:rFonts w:ascii="宋体" w:hAnsi="宋体" w:cs="宋体" w:hint="eastAsia"/>
                <w:color w:val="000000"/>
                <w:kern w:val="0"/>
                <w:sz w:val="18"/>
                <w:szCs w:val="18"/>
                <w:lang w:bidi="ar"/>
              </w:rPr>
              <w:t>维</w:t>
            </w:r>
            <w:r>
              <w:rPr>
                <w:rFonts w:ascii="宋体" w:hAnsi="宋体" w:cs="宋体" w:hint="eastAsia"/>
                <w:color w:val="000000"/>
                <w:kern w:val="0"/>
                <w:sz w:val="18"/>
                <w:szCs w:val="18"/>
                <w:lang w:bidi="ar"/>
              </w:rPr>
              <w:t>工作</w:t>
            </w:r>
            <w:proofErr w:type="gramEnd"/>
            <w:r>
              <w:rPr>
                <w:rFonts w:ascii="宋体" w:hAnsi="宋体" w:cs="宋体" w:hint="eastAsia"/>
                <w:color w:val="000000"/>
                <w:kern w:val="0"/>
                <w:sz w:val="18"/>
                <w:szCs w:val="18"/>
                <w:lang w:bidi="ar"/>
              </w:rPr>
              <w:t>等方面的产出完成情况。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完成情况好得</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分，否则根据实际情况酌情打分。</w:t>
            </w:r>
          </w:p>
        </w:tc>
      </w:tr>
      <w:tr w:rsidR="00F14931">
        <w:trPr>
          <w:trHeight w:val="1750"/>
        </w:trPr>
        <w:tc>
          <w:tcPr>
            <w:tcW w:w="339" w:type="pct"/>
            <w:vMerge/>
            <w:tcBorders>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纪检监察</w:t>
            </w:r>
            <w:r>
              <w:rPr>
                <w:rFonts w:ascii="宋体" w:hAnsi="宋体" w:cs="宋体" w:hint="eastAsia"/>
                <w:color w:val="000000"/>
                <w:kern w:val="0"/>
                <w:sz w:val="18"/>
                <w:szCs w:val="18"/>
                <w:lang w:bidi="ar"/>
              </w:rPr>
              <w:t>工作</w:t>
            </w:r>
            <w:r>
              <w:rPr>
                <w:rFonts w:ascii="宋体" w:hAnsi="宋体" w:cs="宋体" w:hint="eastAsia"/>
                <w:color w:val="000000"/>
                <w:sz w:val="18"/>
                <w:szCs w:val="18"/>
              </w:rPr>
              <w:t>产出</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在纪检监察</w:t>
            </w:r>
            <w:r>
              <w:rPr>
                <w:rFonts w:ascii="宋体" w:hAnsi="宋体" w:cs="宋体" w:hint="eastAsia"/>
                <w:color w:val="000000"/>
                <w:kern w:val="0"/>
                <w:sz w:val="18"/>
                <w:szCs w:val="18"/>
                <w:lang w:bidi="ar"/>
              </w:rPr>
              <w:t>工作</w:t>
            </w:r>
            <w:r>
              <w:rPr>
                <w:rFonts w:ascii="宋体" w:hAnsi="宋体" w:cs="宋体" w:hint="eastAsia"/>
                <w:color w:val="000000"/>
                <w:kern w:val="0"/>
                <w:sz w:val="18"/>
                <w:szCs w:val="18"/>
                <w:lang w:bidi="ar"/>
              </w:rPr>
              <w:t>等方面的产出完成情况。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完成情况好得</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分，否则根据实际情况酌情打分。</w:t>
            </w:r>
          </w:p>
        </w:tc>
      </w:tr>
      <w:tr w:rsidR="00F14931">
        <w:trPr>
          <w:trHeight w:val="1709"/>
        </w:trPr>
        <w:tc>
          <w:tcPr>
            <w:tcW w:w="339" w:type="pct"/>
            <w:vMerge w:val="restart"/>
            <w:tcBorders>
              <w:top w:val="single" w:sz="4" w:space="0" w:color="auto"/>
              <w:left w:val="single" w:sz="4" w:space="0" w:color="auto"/>
              <w:right w:val="single" w:sz="4" w:space="0" w:color="auto"/>
            </w:tcBorders>
            <w:shd w:val="clear" w:color="auto" w:fill="auto"/>
            <w:vAlign w:val="center"/>
          </w:tcPr>
          <w:p w:rsidR="00F14931" w:rsidRDefault="002D1D6E">
            <w:pPr>
              <w:adjustRightInd w:val="0"/>
              <w:snapToGrid w:val="0"/>
              <w:jc w:val="center"/>
              <w:rPr>
                <w:rFonts w:ascii="宋体" w:hAnsi="宋体" w:cs="宋体"/>
                <w:color w:val="000000"/>
                <w:sz w:val="18"/>
                <w:szCs w:val="18"/>
              </w:rPr>
            </w:pPr>
            <w:r>
              <w:rPr>
                <w:rFonts w:ascii="宋体" w:hAnsi="宋体" w:cs="宋体" w:hint="eastAsia"/>
                <w:color w:val="000000"/>
                <w:sz w:val="18"/>
                <w:szCs w:val="18"/>
              </w:rPr>
              <w:lastRenderedPageBreak/>
              <w:t>续上页</w:t>
            </w:r>
          </w:p>
        </w:tc>
        <w:tc>
          <w:tcPr>
            <w:tcW w:w="3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效果（</w:t>
            </w:r>
            <w:r>
              <w:rPr>
                <w:rFonts w:ascii="宋体" w:hAnsi="宋体" w:cs="宋体" w:hint="eastAsia"/>
                <w:color w:val="000000"/>
                <w:kern w:val="0"/>
                <w:sz w:val="18"/>
                <w:szCs w:val="18"/>
                <w:lang w:bidi="ar"/>
              </w:rPr>
              <w:t>30</w:t>
            </w:r>
            <w:r>
              <w:rPr>
                <w:rFonts w:ascii="宋体" w:hAnsi="宋体" w:cs="宋体" w:hint="eastAsia"/>
                <w:color w:val="000000"/>
                <w:kern w:val="0"/>
                <w:sz w:val="18"/>
                <w:szCs w:val="18"/>
                <w:lang w:bidi="ar"/>
              </w:rPr>
              <w:t>）</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sz w:val="18"/>
                <w:szCs w:val="18"/>
              </w:rPr>
              <w:t>保障案件审判工作顺利开展，为审判工作提供便利，为人民群众提供优质高效的司法服务</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sz w:val="18"/>
                <w:szCs w:val="18"/>
              </w:rPr>
              <w:t>保障案件审判工作顺利开展，为审判工作提供便利，为人民群众提供优质高效的司法服务</w:t>
            </w:r>
            <w:r>
              <w:rPr>
                <w:rFonts w:ascii="宋体" w:hAnsi="宋体" w:cs="宋体" w:hint="eastAsia"/>
                <w:color w:val="000000"/>
                <w:kern w:val="0"/>
                <w:sz w:val="18"/>
                <w:szCs w:val="18"/>
                <w:lang w:bidi="ar"/>
              </w:rPr>
              <w:t>作用显著。</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4.1</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w:t>
            </w:r>
            <w:r>
              <w:rPr>
                <w:rFonts w:ascii="宋体" w:hAnsi="宋体" w:cs="宋体" w:hint="eastAsia"/>
                <w:color w:val="000000"/>
                <w:sz w:val="18"/>
                <w:szCs w:val="18"/>
              </w:rPr>
              <w:t>保障案件审判工作顺利开展，为审判工作提供便利，为人民群众提供优质高效的司法服务</w:t>
            </w:r>
            <w:r>
              <w:rPr>
                <w:rFonts w:ascii="宋体" w:hAnsi="宋体" w:cs="宋体" w:hint="eastAsia"/>
                <w:color w:val="000000"/>
                <w:kern w:val="0"/>
                <w:sz w:val="18"/>
                <w:szCs w:val="18"/>
                <w:lang w:bidi="ar"/>
              </w:rPr>
              <w:t>等方面起到的作用是否显著。</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石景山区人民法院相关工作在该方面效果显著得</w:t>
            </w:r>
            <w:r>
              <w:rPr>
                <w:rFonts w:ascii="宋体" w:hAnsi="宋体" w:cs="宋体" w:hint="eastAsia"/>
                <w:color w:val="000000"/>
                <w:kern w:val="0"/>
                <w:sz w:val="18"/>
                <w:szCs w:val="18"/>
                <w:lang w:bidi="ar"/>
              </w:rPr>
              <w:t>4.5</w:t>
            </w:r>
            <w:r>
              <w:rPr>
                <w:rFonts w:ascii="宋体" w:hAnsi="宋体" w:cs="宋体" w:hint="eastAsia"/>
                <w:color w:val="000000"/>
                <w:kern w:val="0"/>
                <w:sz w:val="18"/>
                <w:szCs w:val="18"/>
                <w:lang w:bidi="ar"/>
              </w:rPr>
              <w:t>分，否则根据实际情况酌情打分。</w:t>
            </w:r>
          </w:p>
        </w:tc>
      </w:tr>
      <w:tr w:rsidR="00F14931">
        <w:trPr>
          <w:trHeight w:val="1599"/>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保障审判执行活动正常开展，为办公办案提供便利，提高审判执行工作水平</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保障审判执行活动正常开展，为办公办案提供便利，提高审判执行工作水平作用显著。</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4.5</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1</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在保障审判执行活动正常开展，为办公办案提供便利，提高审判执行工作水平等方面起到的作用是否显著。</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石景山区人民法院相关工作在该方面效果显著得</w:t>
            </w:r>
            <w:r>
              <w:rPr>
                <w:rFonts w:ascii="宋体" w:hAnsi="宋体" w:cs="宋体" w:hint="eastAsia"/>
                <w:color w:val="000000"/>
                <w:kern w:val="0"/>
                <w:sz w:val="18"/>
                <w:szCs w:val="18"/>
                <w:lang w:bidi="ar"/>
              </w:rPr>
              <w:t>4.5</w:t>
            </w:r>
            <w:r>
              <w:rPr>
                <w:rFonts w:ascii="宋体" w:hAnsi="宋体" w:cs="宋体" w:hint="eastAsia"/>
                <w:color w:val="000000"/>
                <w:kern w:val="0"/>
                <w:sz w:val="18"/>
                <w:szCs w:val="18"/>
                <w:lang w:bidi="ar"/>
              </w:rPr>
              <w:t>分，否则根据实际情况酌情打分。</w:t>
            </w:r>
          </w:p>
        </w:tc>
      </w:tr>
      <w:tr w:rsidR="00F14931">
        <w:trPr>
          <w:trHeight w:val="1594"/>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保障日常办公顺利开展，满足“两庭”建设需求，提升公共服务能力</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明显</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保障日常办公顺利开展，满足“两庭”建设需求，提升公共服务能力作用显著。</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在保障日常办公顺利开展，满足“两庭”建设需求，提升公共服务能力等方面起到的作用是否显著。</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石景山区人民法院相关工作在该方面效果显著得</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分，否则根据实际情况酌情打分。</w:t>
            </w:r>
          </w:p>
        </w:tc>
      </w:tr>
      <w:tr w:rsidR="00F14931">
        <w:trPr>
          <w:trHeight w:val="1563"/>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保障办公办案平台正常运转，提升法院网络信息安全和数据安全，为干警办公办案提供便利</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显著</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保障办公办案平台正常运转，提升法院网络信息安全和数据安全，为干警办公办案提供便利作用显著。</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7</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在保障办公办案平台正常运转，提升法院网络信息安全和数据安全，为干警办公办案提供便利等方面起到的作用是否显著。</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石景山区人民法院相关工作在该方面效果显著得</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分，否则根据实际情况酌情打分。</w:t>
            </w:r>
          </w:p>
        </w:tc>
      </w:tr>
      <w:tr w:rsidR="00F14931">
        <w:trPr>
          <w:trHeight w:val="1505"/>
        </w:trPr>
        <w:tc>
          <w:tcPr>
            <w:tcW w:w="339" w:type="pct"/>
            <w:vMerge/>
            <w:tcBorders>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保障区人民法院各项经费开展合理合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合法，为开展经济业务提供相关支撑材料</w:t>
            </w:r>
          </w:p>
        </w:tc>
        <w:tc>
          <w:tcPr>
            <w:tcW w:w="34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明显</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保障区人民法院各项经费开展合理合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合法，为开展经济业务提供相关支撑材料效果明显。</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7</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6</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在保障区人民法院各项经费开展合理合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合法，为开展经济业务提供相关支撑材料等方面起到的效果是否明显。</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石景山区人民法院相关工作在该方面效果显著得</w:t>
            </w:r>
            <w:r>
              <w:rPr>
                <w:rFonts w:ascii="宋体" w:hAnsi="宋体" w:cs="宋体" w:hint="eastAsia"/>
                <w:color w:val="000000"/>
                <w:kern w:val="0"/>
                <w:sz w:val="18"/>
                <w:szCs w:val="18"/>
                <w:lang w:bidi="ar"/>
              </w:rPr>
              <w:t>7</w:t>
            </w:r>
            <w:r>
              <w:rPr>
                <w:rFonts w:ascii="宋体" w:hAnsi="宋体" w:cs="宋体" w:hint="eastAsia"/>
                <w:color w:val="000000"/>
                <w:kern w:val="0"/>
                <w:sz w:val="18"/>
                <w:szCs w:val="18"/>
                <w:lang w:bidi="ar"/>
              </w:rPr>
              <w:t>分，否则根据实际情况酌情打分。</w:t>
            </w:r>
          </w:p>
        </w:tc>
      </w:tr>
      <w:tr w:rsidR="00F14931">
        <w:trPr>
          <w:trHeight w:val="4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lastRenderedPageBreak/>
              <w:t>三、预算管理情况（</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分）</w:t>
            </w:r>
          </w:p>
        </w:tc>
      </w:tr>
      <w:tr w:rsidR="00F14931">
        <w:trPr>
          <w:trHeight w:val="380"/>
        </w:trPr>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一级指标</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二级指标</w:t>
            </w:r>
          </w:p>
        </w:tc>
        <w:tc>
          <w:tcPr>
            <w:tcW w:w="16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三级指标</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指标解释</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评分标准</w:t>
            </w:r>
          </w:p>
        </w:tc>
      </w:tr>
      <w:tr w:rsidR="00F14931">
        <w:trPr>
          <w:trHeight w:val="2175"/>
        </w:trPr>
        <w:tc>
          <w:tcPr>
            <w:tcW w:w="339" w:type="pct"/>
            <w:vMerge w:val="restart"/>
            <w:tcBorders>
              <w:top w:val="single" w:sz="4" w:space="0" w:color="auto"/>
              <w:left w:val="single" w:sz="4" w:space="0" w:color="auto"/>
              <w:right w:val="single" w:sz="4" w:space="0" w:color="auto"/>
            </w:tcBorders>
            <w:shd w:val="clear" w:color="auto" w:fill="auto"/>
            <w:vAlign w:val="center"/>
          </w:tcPr>
          <w:p w:rsidR="00F14931" w:rsidRDefault="002D1D6E">
            <w:pPr>
              <w:jc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预算管理情况</w:t>
            </w:r>
          </w:p>
          <w:p w:rsidR="00F14931" w:rsidRDefault="002D1D6E">
            <w:pPr>
              <w:jc w:val="cente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20</w:t>
            </w:r>
            <w:r>
              <w:rPr>
                <w:rFonts w:ascii="宋体" w:hAnsi="宋体" w:cs="宋体" w:hint="eastAsia"/>
                <w:color w:val="000000"/>
                <w:kern w:val="0"/>
                <w:sz w:val="18"/>
                <w:szCs w:val="18"/>
                <w:lang w:bidi="ar"/>
              </w:rPr>
              <w:t>）</w:t>
            </w:r>
          </w:p>
          <w:p w:rsidR="00F14931" w:rsidRDefault="00F14931">
            <w:pPr>
              <w:widowControl/>
              <w:adjustRightInd w:val="0"/>
              <w:snapToGrid w:val="0"/>
              <w:jc w:val="center"/>
              <w:textAlignment w:val="center"/>
              <w:rPr>
                <w:rFonts w:ascii="宋体" w:hAnsi="宋体" w:cs="宋体"/>
                <w:color w:val="000000"/>
                <w:sz w:val="18"/>
                <w:szCs w:val="18"/>
              </w:rPr>
            </w:pPr>
          </w:p>
        </w:tc>
        <w:tc>
          <w:tcPr>
            <w:tcW w:w="3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财务管理（</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w:t>
            </w:r>
          </w:p>
        </w:tc>
        <w:tc>
          <w:tcPr>
            <w:tcW w:w="16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财务管理制度健全性</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0.8</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财务管理制度健全性</w:t>
            </w:r>
            <w:r>
              <w:rPr>
                <w:rFonts w:ascii="宋体" w:hAnsi="宋体" w:cs="宋体" w:hint="eastAsia"/>
                <w:b/>
                <w:bCs/>
                <w:color w:val="000000"/>
                <w:kern w:val="0"/>
                <w:sz w:val="18"/>
                <w:szCs w:val="18"/>
                <w:lang w:bidi="ar"/>
              </w:rPr>
              <w:t>:</w:t>
            </w:r>
            <w:r>
              <w:rPr>
                <w:rStyle w:val="font31"/>
                <w:rFonts w:hint="default"/>
                <w:lang w:bidi="ar"/>
              </w:rPr>
              <w:t>部门（单位）为加强财务管理、规范财务行为而制定的管理制度。</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①预算资金管理办法、绩效跟踪管理办法、资产管理办法等各项制度是否健全；</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②部门内部财务管理制度是否完整、合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③会计核算制度是否完整、合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。每有一项不合格扣</w:t>
            </w:r>
            <w:r>
              <w:rPr>
                <w:rFonts w:ascii="宋体" w:hAnsi="宋体" w:cs="宋体" w:hint="eastAsia"/>
                <w:color w:val="000000"/>
                <w:kern w:val="0"/>
                <w:sz w:val="18"/>
                <w:szCs w:val="18"/>
                <w:lang w:bidi="ar"/>
              </w:rPr>
              <w:t>0.5</w:t>
            </w:r>
            <w:r>
              <w:rPr>
                <w:rFonts w:ascii="宋体" w:hAnsi="宋体" w:cs="宋体" w:hint="eastAsia"/>
                <w:color w:val="000000"/>
                <w:kern w:val="0"/>
                <w:sz w:val="18"/>
                <w:szCs w:val="18"/>
                <w:lang w:bidi="ar"/>
              </w:rPr>
              <w:t>分，扣完为止。</w:t>
            </w:r>
          </w:p>
        </w:tc>
      </w:tr>
      <w:tr w:rsidR="00F14931">
        <w:trPr>
          <w:trHeight w:val="2538"/>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16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资金使用合</w:t>
            </w:r>
            <w:proofErr w:type="gramStart"/>
            <w:r>
              <w:rPr>
                <w:rFonts w:ascii="宋体" w:hAnsi="宋体" w:cs="宋体" w:hint="eastAsia"/>
                <w:color w:val="000000"/>
                <w:kern w:val="0"/>
                <w:sz w:val="18"/>
                <w:szCs w:val="18"/>
                <w:lang w:bidi="ar"/>
              </w:rPr>
              <w:t>规</w:t>
            </w:r>
            <w:proofErr w:type="gramEnd"/>
            <w:r>
              <w:rPr>
                <w:rFonts w:ascii="宋体" w:hAnsi="宋体" w:cs="宋体" w:hint="eastAsia"/>
                <w:color w:val="000000"/>
                <w:kern w:val="0"/>
                <w:sz w:val="18"/>
                <w:szCs w:val="18"/>
                <w:lang w:bidi="ar"/>
              </w:rPr>
              <w:t>性和安全性</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1.68</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资金使用合</w:t>
            </w:r>
            <w:proofErr w:type="gramStart"/>
            <w:r>
              <w:rPr>
                <w:rFonts w:ascii="宋体" w:hAnsi="宋体" w:cs="宋体" w:hint="eastAsia"/>
                <w:b/>
                <w:bCs/>
                <w:color w:val="000000"/>
                <w:kern w:val="0"/>
                <w:sz w:val="18"/>
                <w:szCs w:val="18"/>
                <w:lang w:bidi="ar"/>
              </w:rPr>
              <w:t>规</w:t>
            </w:r>
            <w:proofErr w:type="gramEnd"/>
            <w:r>
              <w:rPr>
                <w:rFonts w:ascii="宋体" w:hAnsi="宋体" w:cs="宋体" w:hint="eastAsia"/>
                <w:b/>
                <w:bCs/>
                <w:color w:val="000000"/>
                <w:kern w:val="0"/>
                <w:sz w:val="18"/>
                <w:szCs w:val="18"/>
                <w:lang w:bidi="ar"/>
              </w:rPr>
              <w:t>性和安全性</w:t>
            </w:r>
            <w:r>
              <w:rPr>
                <w:rFonts w:ascii="宋体" w:hAnsi="宋体" w:cs="宋体" w:hint="eastAsia"/>
                <w:b/>
                <w:bCs/>
                <w:color w:val="000000"/>
                <w:kern w:val="0"/>
                <w:sz w:val="18"/>
                <w:szCs w:val="18"/>
                <w:lang w:bidi="ar"/>
              </w:rPr>
              <w:t>:</w:t>
            </w:r>
            <w:r>
              <w:rPr>
                <w:rStyle w:val="font31"/>
                <w:rFonts w:hint="default"/>
                <w:lang w:bidi="ar"/>
              </w:rPr>
              <w:t>部门（单位）使用预算资金是否符合相关的预算财务管理制度的规定，是否符合相关规定的开支范围，用以反映考核部门（单位）预算资金的规范运行和安全运行情况。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①是否符合国家财经法规和财务管理制度规定以及有关专项资金管理办法的规定；</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②资金的拨付是否有完整的审批程序和手续；</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③项目的重大开支是否经过评估论证；</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④是否符合部门预算批复的用途；</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⑤是否存在截留、挤占、挪用情况；</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⑥资金使用是否符合政府采购的程序和流程；</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⑦资金使用是否符合公务卡结算相关制度和规定。每有一项不合格扣</w:t>
            </w:r>
            <w:r>
              <w:rPr>
                <w:rFonts w:ascii="宋体" w:hAnsi="宋体" w:cs="宋体" w:hint="eastAsia"/>
                <w:color w:val="000000"/>
                <w:kern w:val="0"/>
                <w:sz w:val="18"/>
                <w:szCs w:val="18"/>
                <w:lang w:bidi="ar"/>
              </w:rPr>
              <w:t>0.5</w:t>
            </w:r>
            <w:r>
              <w:rPr>
                <w:rFonts w:ascii="宋体" w:hAnsi="宋体" w:cs="宋体" w:hint="eastAsia"/>
                <w:color w:val="000000"/>
                <w:kern w:val="0"/>
                <w:sz w:val="18"/>
                <w:szCs w:val="18"/>
                <w:lang w:bidi="ar"/>
              </w:rPr>
              <w:t>分，扣完为止。</w:t>
            </w:r>
          </w:p>
        </w:tc>
      </w:tr>
      <w:tr w:rsidR="00F14931">
        <w:trPr>
          <w:trHeight w:val="2423"/>
        </w:trPr>
        <w:tc>
          <w:tcPr>
            <w:tcW w:w="339" w:type="pct"/>
            <w:vMerge/>
            <w:tcBorders>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16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会计基础信息完善性</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w:t>
            </w:r>
          </w:p>
        </w:tc>
        <w:tc>
          <w:tcPr>
            <w:tcW w:w="245" w:type="pct"/>
            <w:tcBorders>
              <w:top w:val="single" w:sz="4" w:space="0" w:color="auto"/>
              <w:left w:val="single" w:sz="4" w:space="0" w:color="auto"/>
              <w:bottom w:val="single" w:sz="4" w:space="0" w:color="auto"/>
              <w:right w:val="single" w:sz="4" w:space="0" w:color="auto"/>
            </w:tcBorders>
            <w:shd w:val="clear" w:color="auto" w:fill="auto"/>
            <w:noWrap/>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0.9</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会计基础信息完善性</w:t>
            </w:r>
            <w:r>
              <w:rPr>
                <w:rFonts w:ascii="宋体" w:hAnsi="宋体" w:cs="宋体" w:hint="eastAsia"/>
                <w:b/>
                <w:bCs/>
                <w:color w:val="000000"/>
                <w:kern w:val="0"/>
                <w:sz w:val="18"/>
                <w:szCs w:val="18"/>
                <w:lang w:bidi="ar"/>
              </w:rPr>
              <w:t>:</w:t>
            </w:r>
            <w:r>
              <w:rPr>
                <w:rStyle w:val="font31"/>
                <w:rFonts w:hint="default"/>
                <w:lang w:bidi="ar"/>
              </w:rPr>
              <w:t>部门（单位）会计基础信息情况。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①基础数据信息和会计信息资料是否真实；</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②基础数据信息和会计信息资料是否完整；</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③基础数据信息和会计信息资料是否准确。每有一项不合格扣</w:t>
            </w:r>
            <w:r>
              <w:rPr>
                <w:rFonts w:ascii="宋体" w:hAnsi="宋体" w:cs="宋体" w:hint="eastAsia"/>
                <w:color w:val="000000"/>
                <w:kern w:val="0"/>
                <w:sz w:val="18"/>
                <w:szCs w:val="18"/>
                <w:lang w:bidi="ar"/>
              </w:rPr>
              <w:t>0.5</w:t>
            </w:r>
            <w:r>
              <w:rPr>
                <w:rFonts w:ascii="宋体" w:hAnsi="宋体" w:cs="宋体" w:hint="eastAsia"/>
                <w:color w:val="000000"/>
                <w:kern w:val="0"/>
                <w:sz w:val="18"/>
                <w:szCs w:val="18"/>
                <w:lang w:bidi="ar"/>
              </w:rPr>
              <w:t>分，扣完为止。</w:t>
            </w:r>
          </w:p>
        </w:tc>
      </w:tr>
      <w:tr w:rsidR="00F14931">
        <w:trPr>
          <w:trHeight w:val="454"/>
        </w:trPr>
        <w:tc>
          <w:tcPr>
            <w:tcW w:w="339" w:type="pct"/>
            <w:vMerge w:val="restart"/>
            <w:tcBorders>
              <w:top w:val="single" w:sz="4" w:space="0" w:color="auto"/>
              <w:left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sz w:val="18"/>
                <w:szCs w:val="18"/>
              </w:rPr>
              <w:lastRenderedPageBreak/>
              <w:t>续上页</w:t>
            </w: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资产管理（</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w:t>
            </w:r>
          </w:p>
        </w:tc>
        <w:tc>
          <w:tcPr>
            <w:tcW w:w="16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资产管理规范性</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3.3</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资产管理规范性</w:t>
            </w:r>
            <w:r>
              <w:rPr>
                <w:rFonts w:ascii="宋体" w:hAnsi="宋体" w:cs="宋体" w:hint="eastAsia"/>
                <w:b/>
                <w:bCs/>
                <w:color w:val="000000"/>
                <w:kern w:val="0"/>
                <w:sz w:val="18"/>
                <w:szCs w:val="18"/>
                <w:lang w:bidi="ar"/>
              </w:rPr>
              <w:t>:</w:t>
            </w:r>
            <w:r>
              <w:rPr>
                <w:rStyle w:val="font31"/>
                <w:rFonts w:hint="default"/>
                <w:lang w:bidi="ar"/>
              </w:rPr>
              <w:t>部门（单位）的资产是否保持安全完整，资产配置是否合理，资产使用和资产处理是否规范，用以反映和考核部门（单位）资产管理的整体水平。</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①对外投资行为是否经审批，是否存在投资亏损；</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②是否有因管理不当发生严重资产损失和丢失情况；</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③是否存在超标准配置资产；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④资产使用是否规范，是否存在未经批准擅自出租、出借资产行为；</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⑤资产处置是否规范，是否存在不按要求进行报批或资产不公开处置行为；</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⑥其它资产管理制度办法执行情况。每有一项不合格扣</w:t>
            </w:r>
            <w:r>
              <w:rPr>
                <w:rFonts w:ascii="宋体" w:hAnsi="宋体" w:cs="宋体" w:hint="eastAsia"/>
                <w:color w:val="000000"/>
                <w:kern w:val="0"/>
                <w:sz w:val="18"/>
                <w:szCs w:val="18"/>
                <w:lang w:bidi="ar"/>
              </w:rPr>
              <w:t>0.8</w:t>
            </w:r>
            <w:r>
              <w:rPr>
                <w:rFonts w:ascii="宋体" w:hAnsi="宋体" w:cs="宋体" w:hint="eastAsia"/>
                <w:color w:val="000000"/>
                <w:kern w:val="0"/>
                <w:sz w:val="18"/>
                <w:szCs w:val="18"/>
                <w:lang w:bidi="ar"/>
              </w:rPr>
              <w:t>分，扣完为止。</w:t>
            </w:r>
          </w:p>
        </w:tc>
      </w:tr>
      <w:tr w:rsidR="00F14931">
        <w:trPr>
          <w:trHeight w:val="1531"/>
        </w:trPr>
        <w:tc>
          <w:tcPr>
            <w:tcW w:w="339" w:type="pct"/>
            <w:vMerge/>
            <w:tcBorders>
              <w:left w:val="single" w:sz="4" w:space="0" w:color="auto"/>
              <w:right w:val="single" w:sz="4" w:space="0" w:color="auto"/>
            </w:tcBorders>
            <w:shd w:val="clear" w:color="auto" w:fill="auto"/>
            <w:vAlign w:val="center"/>
          </w:tcPr>
          <w:p w:rsidR="00F14931" w:rsidRDefault="00F14931">
            <w:pPr>
              <w:widowControl/>
              <w:adjustRightInd w:val="0"/>
              <w:snapToGrid w:val="0"/>
              <w:jc w:val="center"/>
              <w:textAlignment w:val="center"/>
              <w:rPr>
                <w:rFonts w:ascii="宋体" w:hAnsi="宋体" w:cs="宋体"/>
                <w:color w:val="000000"/>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绩效管理（</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w:t>
            </w:r>
          </w:p>
        </w:tc>
        <w:tc>
          <w:tcPr>
            <w:tcW w:w="16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绩效管理情况</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7</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b/>
                <w:bCs/>
                <w:color w:val="000000"/>
                <w:sz w:val="18"/>
                <w:szCs w:val="18"/>
              </w:rPr>
            </w:pPr>
            <w:r>
              <w:rPr>
                <w:rFonts w:ascii="宋体" w:hAnsi="宋体" w:cs="宋体" w:hint="eastAsia"/>
                <w:b/>
                <w:bCs/>
                <w:color w:val="000000"/>
                <w:kern w:val="0"/>
                <w:sz w:val="18"/>
                <w:szCs w:val="18"/>
                <w:lang w:bidi="ar"/>
              </w:rPr>
              <w:t>绩效管理情况</w:t>
            </w:r>
            <w:r>
              <w:rPr>
                <w:rFonts w:ascii="宋体" w:hAnsi="宋体" w:cs="宋体" w:hint="eastAsia"/>
                <w:b/>
                <w:bCs/>
                <w:color w:val="000000"/>
                <w:kern w:val="0"/>
                <w:sz w:val="18"/>
                <w:szCs w:val="18"/>
                <w:lang w:bidi="ar"/>
              </w:rPr>
              <w:t>:</w:t>
            </w:r>
            <w:r>
              <w:rPr>
                <w:rStyle w:val="font31"/>
                <w:rFonts w:hint="default"/>
                <w:lang w:bidi="ar"/>
              </w:rPr>
              <w:t>考核部门（单位）在绩效管理信息的汇总和应用情况。</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①部门（单位）是否及时对绩效信息进行汇总分析整理；</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②部门（单位）是否对绩效目标偏离情况及时进行矫正。每有一项不合格扣</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分。</w:t>
            </w:r>
          </w:p>
        </w:tc>
      </w:tr>
      <w:tr w:rsidR="00F14931">
        <w:trPr>
          <w:trHeight w:val="387"/>
        </w:trPr>
        <w:tc>
          <w:tcPr>
            <w:tcW w:w="339" w:type="pct"/>
            <w:vMerge/>
            <w:tcBorders>
              <w:left w:val="single" w:sz="4" w:space="0" w:color="auto"/>
              <w:right w:val="single" w:sz="4" w:space="0" w:color="auto"/>
            </w:tcBorders>
            <w:shd w:val="clear" w:color="auto" w:fill="auto"/>
            <w:vAlign w:val="center"/>
          </w:tcPr>
          <w:p w:rsidR="00F14931" w:rsidRDefault="00F14931">
            <w:pPr>
              <w:widowControl/>
              <w:adjustRightInd w:val="0"/>
              <w:snapToGrid w:val="0"/>
              <w:jc w:val="center"/>
              <w:textAlignment w:val="center"/>
              <w:rPr>
                <w:rFonts w:ascii="宋体" w:hAnsi="宋体" w:cs="宋体"/>
                <w:color w:val="000000"/>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 xml:space="preserve">指标　</w:t>
            </w:r>
          </w:p>
        </w:tc>
        <w:tc>
          <w:tcPr>
            <w:tcW w:w="9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年</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202</w:t>
            </w:r>
            <w:r>
              <w:rPr>
                <w:rFonts w:ascii="宋体" w:hAnsi="宋体" w:cs="宋体" w:hint="eastAsia"/>
                <w:color w:val="000000"/>
                <w:kern w:val="0"/>
                <w:sz w:val="18"/>
                <w:szCs w:val="18"/>
                <w:lang w:bidi="ar"/>
              </w:rPr>
              <w:t>2</w:t>
            </w:r>
            <w:r>
              <w:rPr>
                <w:rFonts w:ascii="宋体" w:hAnsi="宋体" w:cs="宋体" w:hint="eastAsia"/>
                <w:color w:val="000000"/>
                <w:kern w:val="0"/>
                <w:sz w:val="18"/>
                <w:szCs w:val="18"/>
                <w:lang w:bidi="ar"/>
              </w:rPr>
              <w:t>年</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分值</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得分</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指标解释</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评分标准</w:t>
            </w:r>
          </w:p>
        </w:tc>
      </w:tr>
      <w:tr w:rsidR="00F14931">
        <w:trPr>
          <w:trHeight w:val="759"/>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结转</w:t>
            </w:r>
          </w:p>
          <w:p w:rsidR="00F14931" w:rsidRDefault="002D1D6E">
            <w:pPr>
              <w:widowControl/>
              <w:adjustRightInd w:val="0"/>
              <w:snapToGrid w:val="0"/>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结余率</w:t>
            </w:r>
          </w:p>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w:t>
            </w:r>
          </w:p>
        </w:tc>
        <w:tc>
          <w:tcPr>
            <w:tcW w:w="9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6.08</w:t>
            </w:r>
            <w:r>
              <w:rPr>
                <w:rFonts w:ascii="宋体" w:hAnsi="宋体" w:cs="宋体" w:hint="eastAsia"/>
                <w:color w:val="000000"/>
                <w:kern w:val="0"/>
                <w:sz w:val="18"/>
                <w:szCs w:val="18"/>
                <w:lang w:bidi="ar"/>
              </w:rPr>
              <w:t>%</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1.68</w:t>
            </w:r>
            <w:r>
              <w:rPr>
                <w:rFonts w:ascii="宋体" w:hAnsi="宋体" w:cs="宋体" w:hint="eastAsia"/>
                <w:color w:val="000000"/>
                <w:kern w:val="0"/>
                <w:sz w:val="18"/>
                <w:szCs w:val="18"/>
                <w:lang w:bidi="ar"/>
              </w:rPr>
              <w:t>%</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结转结余率</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结转结余总额</w:t>
            </w:r>
            <w:r>
              <w:rPr>
                <w:rFonts w:ascii="宋体" w:hAnsi="宋体" w:cs="宋体" w:hint="eastAsia"/>
                <w:color w:val="000000"/>
                <w:kern w:val="0"/>
                <w:sz w:val="18"/>
                <w:szCs w:val="18"/>
                <w:lang w:bidi="ar"/>
              </w:rPr>
              <w:t>/</w:t>
            </w:r>
            <w:r>
              <w:rPr>
                <w:rFonts w:ascii="宋体" w:hAnsi="宋体" w:cs="宋体" w:hint="eastAsia"/>
                <w:color w:val="000000"/>
                <w:kern w:val="0"/>
                <w:sz w:val="18"/>
                <w:szCs w:val="18"/>
                <w:lang w:bidi="ar"/>
              </w:rPr>
              <w:t>支出预算数×</w:t>
            </w:r>
            <w:r>
              <w:rPr>
                <w:rFonts w:ascii="宋体" w:hAnsi="宋体" w:cs="宋体" w:hint="eastAsia"/>
                <w:color w:val="000000"/>
                <w:kern w:val="0"/>
                <w:sz w:val="18"/>
                <w:szCs w:val="18"/>
                <w:lang w:bidi="ar"/>
              </w:rPr>
              <w:t>100%</w:t>
            </w:r>
            <w:r>
              <w:rPr>
                <w:rFonts w:ascii="宋体" w:hAnsi="宋体" w:cs="宋体" w:hint="eastAsia"/>
                <w:color w:val="000000"/>
                <w:kern w:val="0"/>
                <w:sz w:val="18"/>
                <w:szCs w:val="18"/>
                <w:lang w:bidi="ar"/>
              </w:rPr>
              <w:t>。</w:t>
            </w:r>
          </w:p>
        </w:tc>
        <w:tc>
          <w:tcPr>
            <w:tcW w:w="13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部门结转结余率低于上年的不扣分；高于上年结余率，每高出</w:t>
            </w:r>
            <w:r>
              <w:rPr>
                <w:rFonts w:ascii="宋体" w:hAnsi="宋体" w:cs="宋体" w:hint="eastAsia"/>
                <w:color w:val="000000"/>
                <w:kern w:val="0"/>
                <w:sz w:val="18"/>
                <w:szCs w:val="18"/>
                <w:lang w:bidi="ar"/>
              </w:rPr>
              <w:t>1</w:t>
            </w:r>
            <w:r>
              <w:rPr>
                <w:rFonts w:ascii="宋体" w:hAnsi="宋体" w:cs="宋体" w:hint="eastAsia"/>
                <w:color w:val="000000"/>
                <w:kern w:val="0"/>
                <w:sz w:val="18"/>
                <w:szCs w:val="18"/>
                <w:lang w:bidi="ar"/>
              </w:rPr>
              <w:t>个百分点扣</w:t>
            </w:r>
            <w:r>
              <w:rPr>
                <w:rFonts w:ascii="宋体" w:hAnsi="宋体" w:cs="宋体" w:hint="eastAsia"/>
                <w:color w:val="000000"/>
                <w:kern w:val="0"/>
                <w:sz w:val="18"/>
                <w:szCs w:val="18"/>
                <w:lang w:bidi="ar"/>
              </w:rPr>
              <w:t>0.4</w:t>
            </w:r>
            <w:r>
              <w:rPr>
                <w:rFonts w:ascii="宋体" w:hAnsi="宋体" w:cs="宋体" w:hint="eastAsia"/>
                <w:color w:val="000000"/>
                <w:kern w:val="0"/>
                <w:sz w:val="18"/>
                <w:szCs w:val="18"/>
                <w:lang w:bidi="ar"/>
              </w:rPr>
              <w:t>分，扣完为止。（说明：预算调整和结转结余指标，如</w:t>
            </w:r>
            <w:proofErr w:type="gramStart"/>
            <w:r>
              <w:rPr>
                <w:rFonts w:ascii="宋体" w:hAnsi="宋体" w:cs="宋体" w:hint="eastAsia"/>
                <w:color w:val="000000"/>
                <w:kern w:val="0"/>
                <w:sz w:val="18"/>
                <w:szCs w:val="18"/>
                <w:lang w:bidi="ar"/>
              </w:rPr>
              <w:t>非预算</w:t>
            </w:r>
            <w:proofErr w:type="gramEnd"/>
            <w:r>
              <w:rPr>
                <w:rFonts w:ascii="宋体" w:hAnsi="宋体" w:cs="宋体" w:hint="eastAsia"/>
                <w:color w:val="000000"/>
                <w:kern w:val="0"/>
                <w:sz w:val="18"/>
                <w:szCs w:val="18"/>
                <w:lang w:bidi="ar"/>
              </w:rPr>
              <w:t>部门主观因素导致扣分的，在评分结果征求意见环节，经与相关部门预算主管处室共同研究，可作为例外情况酌情考虑。）</w:t>
            </w:r>
          </w:p>
        </w:tc>
      </w:tr>
      <w:tr w:rsidR="00F14931">
        <w:trPr>
          <w:trHeight w:val="792"/>
        </w:trPr>
        <w:tc>
          <w:tcPr>
            <w:tcW w:w="339" w:type="pct"/>
            <w:vMerge/>
            <w:tcBorders>
              <w:left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94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69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24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结转结余总额：部门（单位）本年度的结转资金与结余资金之</w:t>
            </w:r>
            <w:proofErr w:type="gramStart"/>
            <w:r>
              <w:rPr>
                <w:rFonts w:ascii="宋体" w:hAnsi="宋体" w:cs="宋体" w:hint="eastAsia"/>
                <w:color w:val="000000"/>
                <w:kern w:val="0"/>
                <w:sz w:val="18"/>
                <w:szCs w:val="18"/>
                <w:lang w:bidi="ar"/>
              </w:rPr>
              <w:t>和</w:t>
            </w:r>
            <w:proofErr w:type="gramEnd"/>
            <w:r>
              <w:rPr>
                <w:rFonts w:ascii="宋体" w:hAnsi="宋体" w:cs="宋体" w:hint="eastAsia"/>
                <w:color w:val="000000"/>
                <w:kern w:val="0"/>
                <w:sz w:val="18"/>
                <w:szCs w:val="18"/>
                <w:lang w:bidi="ar"/>
              </w:rPr>
              <w:t>。</w:t>
            </w:r>
          </w:p>
        </w:tc>
        <w:tc>
          <w:tcPr>
            <w:tcW w:w="1325" w:type="pct"/>
            <w:vMerge/>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left"/>
              <w:rPr>
                <w:rFonts w:ascii="宋体" w:hAnsi="宋体" w:cs="宋体"/>
                <w:color w:val="000000"/>
                <w:sz w:val="18"/>
                <w:szCs w:val="18"/>
              </w:rPr>
            </w:pPr>
          </w:p>
        </w:tc>
      </w:tr>
      <w:tr w:rsidR="00F14931">
        <w:trPr>
          <w:trHeight w:val="1279"/>
        </w:trPr>
        <w:tc>
          <w:tcPr>
            <w:tcW w:w="339" w:type="pct"/>
            <w:vMerge/>
            <w:tcBorders>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c>
          <w:tcPr>
            <w:tcW w:w="383"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部门预决算差异率（</w:t>
            </w:r>
            <w:r>
              <w:rPr>
                <w:rFonts w:ascii="宋体" w:hAnsi="宋体" w:cs="宋体" w:hint="eastAsia"/>
                <w:color w:val="000000"/>
                <w:kern w:val="0"/>
                <w:sz w:val="18"/>
                <w:szCs w:val="18"/>
                <w:lang w:bidi="ar"/>
              </w:rPr>
              <w:t>4</w:t>
            </w:r>
            <w:r>
              <w:rPr>
                <w:rFonts w:ascii="宋体" w:hAnsi="宋体" w:cs="宋体" w:hint="eastAsia"/>
                <w:color w:val="000000"/>
                <w:kern w:val="0"/>
                <w:sz w:val="18"/>
                <w:szCs w:val="18"/>
                <w:lang w:bidi="ar"/>
              </w:rPr>
              <w:t>）</w:t>
            </w:r>
          </w:p>
        </w:tc>
        <w:tc>
          <w:tcPr>
            <w:tcW w:w="9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-5.45%</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0.84%</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4</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通过年度部门决算与年初部门预算对比，对部门的年度支出情况进行考核，衡量部门预算的约束力。</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left"/>
              <w:textAlignment w:val="center"/>
              <w:rPr>
                <w:rFonts w:ascii="宋体" w:hAnsi="宋体" w:cs="宋体"/>
                <w:color w:val="000000"/>
                <w:sz w:val="18"/>
                <w:szCs w:val="18"/>
              </w:rPr>
            </w:pPr>
            <w:r>
              <w:rPr>
                <w:rFonts w:ascii="宋体" w:hAnsi="宋体" w:cs="宋体" w:hint="eastAsia"/>
                <w:color w:val="000000"/>
                <w:kern w:val="0"/>
                <w:sz w:val="18"/>
                <w:szCs w:val="18"/>
                <w:lang w:bidi="ar"/>
              </w:rPr>
              <w:t>部门预决算差异率高于市级平均差异率（</w:t>
            </w:r>
            <w:r>
              <w:rPr>
                <w:rFonts w:ascii="宋体" w:hAnsi="宋体" w:cs="宋体" w:hint="eastAsia"/>
                <w:color w:val="000000"/>
                <w:kern w:val="0"/>
                <w:sz w:val="18"/>
                <w:szCs w:val="18"/>
                <w:lang w:bidi="ar"/>
              </w:rPr>
              <w:t>28.3%</w:t>
            </w:r>
            <w:r>
              <w:rPr>
                <w:rFonts w:ascii="宋体" w:hAnsi="宋体" w:cs="宋体" w:hint="eastAsia"/>
                <w:color w:val="000000"/>
                <w:kern w:val="0"/>
                <w:sz w:val="18"/>
                <w:szCs w:val="18"/>
                <w:lang w:bidi="ar"/>
              </w:rPr>
              <w:t>）的，每高出</w:t>
            </w:r>
            <w:r>
              <w:rPr>
                <w:rFonts w:ascii="宋体" w:hAnsi="宋体" w:cs="宋体" w:hint="eastAsia"/>
                <w:color w:val="000000"/>
                <w:kern w:val="0"/>
                <w:sz w:val="18"/>
                <w:szCs w:val="18"/>
                <w:lang w:bidi="ar"/>
              </w:rPr>
              <w:t>10%</w:t>
            </w:r>
            <w:r>
              <w:rPr>
                <w:rFonts w:ascii="宋体" w:hAnsi="宋体" w:cs="宋体" w:hint="eastAsia"/>
                <w:color w:val="000000"/>
                <w:kern w:val="0"/>
                <w:sz w:val="18"/>
                <w:szCs w:val="18"/>
                <w:lang w:bidi="ar"/>
              </w:rPr>
              <w:t>（含），扣</w:t>
            </w:r>
            <w:r>
              <w:rPr>
                <w:rFonts w:ascii="宋体" w:hAnsi="宋体" w:cs="宋体" w:hint="eastAsia"/>
                <w:color w:val="000000"/>
                <w:kern w:val="0"/>
                <w:sz w:val="18"/>
                <w:szCs w:val="18"/>
                <w:lang w:bidi="ar"/>
              </w:rPr>
              <w:t>0.4</w:t>
            </w:r>
            <w:r>
              <w:rPr>
                <w:rFonts w:ascii="宋体" w:hAnsi="宋体" w:cs="宋体" w:hint="eastAsia"/>
                <w:color w:val="000000"/>
                <w:kern w:val="0"/>
                <w:sz w:val="18"/>
                <w:szCs w:val="18"/>
                <w:lang w:bidi="ar"/>
              </w:rPr>
              <w:t>分，扣完为止。</w:t>
            </w:r>
          </w:p>
        </w:tc>
      </w:tr>
      <w:tr w:rsidR="00F14931">
        <w:trPr>
          <w:trHeight w:val="396"/>
        </w:trPr>
        <w:tc>
          <w:tcPr>
            <w:tcW w:w="2365"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合计</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100</w:t>
            </w:r>
          </w:p>
        </w:tc>
        <w:tc>
          <w:tcPr>
            <w:tcW w:w="245" w:type="pct"/>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2D1D6E">
            <w:pPr>
              <w:widowControl/>
              <w:adjustRightInd w:val="0"/>
              <w:snapToGrid w:val="0"/>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94.44</w:t>
            </w:r>
            <w:r>
              <w:rPr>
                <w:rFonts w:ascii="宋体" w:hAnsi="宋体" w:cs="宋体" w:hint="eastAsia"/>
                <w:color w:val="000000"/>
                <w:kern w:val="0"/>
                <w:sz w:val="18"/>
                <w:szCs w:val="18"/>
                <w:lang w:bidi="ar"/>
              </w:rPr>
              <w:t xml:space="preserve"> </w:t>
            </w:r>
          </w:p>
        </w:tc>
        <w:tc>
          <w:tcPr>
            <w:tcW w:w="214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F14931" w:rsidRDefault="00F14931">
            <w:pPr>
              <w:adjustRightInd w:val="0"/>
              <w:snapToGrid w:val="0"/>
              <w:jc w:val="center"/>
              <w:rPr>
                <w:rFonts w:ascii="宋体" w:hAnsi="宋体" w:cs="宋体"/>
                <w:color w:val="000000"/>
                <w:sz w:val="18"/>
                <w:szCs w:val="18"/>
              </w:rPr>
            </w:pPr>
          </w:p>
        </w:tc>
      </w:tr>
    </w:tbl>
    <w:p w:rsidR="00F14931" w:rsidRDefault="00F14931">
      <w:pPr>
        <w:adjustRightInd w:val="0"/>
        <w:snapToGrid w:val="0"/>
        <w:spacing w:line="360" w:lineRule="auto"/>
        <w:rPr>
          <w:rFonts w:ascii="仿宋_GB2312" w:eastAsia="仿宋_GB2312" w:hAnsi="仿宋"/>
          <w:sz w:val="32"/>
          <w:szCs w:val="32"/>
        </w:rPr>
      </w:pPr>
    </w:p>
    <w:sectPr w:rsidR="00F1493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D6E" w:rsidRDefault="002D1D6E">
      <w:r>
        <w:separator/>
      </w:r>
    </w:p>
  </w:endnote>
  <w:endnote w:type="continuationSeparator" w:id="0">
    <w:p w:rsidR="002D1D6E" w:rsidRDefault="002D1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仿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黑体"/>
    <w:charset w:val="86"/>
    <w:family w:val="auto"/>
    <w:pitch w:val="default"/>
    <w:sig w:usb0="00000000" w:usb1="00000000" w:usb2="00000012"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31" w:rsidRDefault="00F1493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31" w:rsidRDefault="002D1D6E">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F14931" w:rsidRDefault="002D1D6E">
                          <w:pPr>
                            <w:pStyle w:val="a5"/>
                          </w:pPr>
                          <w:r>
                            <w:fldChar w:fldCharType="begin"/>
                          </w:r>
                          <w:r>
                            <w:instrText xml:space="preserve"> PAGE  \* MERGEFORMAT </w:instrText>
                          </w:r>
                          <w:r>
                            <w:fldChar w:fldCharType="separate"/>
                          </w:r>
                          <w:r w:rsidR="00C74003">
                            <w:rPr>
                              <w:noProof/>
                            </w:rPr>
                            <w:t>23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filled="f" stroked="f" strokeweight=".5pt">
              <v:textbox style="mso-fit-shape-to-text:t" inset="0,0,0,0">
                <w:txbxContent>
                  <w:p w:rsidR="00F14931" w:rsidRDefault="002D1D6E">
                    <w:pPr>
                      <w:pStyle w:val="a5"/>
                    </w:pPr>
                    <w:r>
                      <w:fldChar w:fldCharType="begin"/>
                    </w:r>
                    <w:r>
                      <w:instrText xml:space="preserve"> PAGE  \* MERGEFORMAT </w:instrText>
                    </w:r>
                    <w:r>
                      <w:fldChar w:fldCharType="separate"/>
                    </w:r>
                    <w:r w:rsidR="00C74003">
                      <w:rPr>
                        <w:noProof/>
                      </w:rPr>
                      <w:t>23</w:t>
                    </w:r>
                    <w: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D6E" w:rsidRDefault="002D1D6E">
      <w:r>
        <w:separator/>
      </w:r>
    </w:p>
  </w:footnote>
  <w:footnote w:type="continuationSeparator" w:id="0">
    <w:p w:rsidR="002D1D6E" w:rsidRDefault="002D1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31" w:rsidRDefault="00F1493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931" w:rsidRDefault="00F1493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zMTIyMDk2MjJjMmM3MjcxNjAxN2I3OTNmMTE0YmYifQ=="/>
  </w:docVars>
  <w:rsids>
    <w:rsidRoot w:val="00450BCE"/>
    <w:rsid w:val="001142CE"/>
    <w:rsid w:val="002D1D6E"/>
    <w:rsid w:val="00450BCE"/>
    <w:rsid w:val="00816543"/>
    <w:rsid w:val="0087167F"/>
    <w:rsid w:val="008D21F5"/>
    <w:rsid w:val="00973905"/>
    <w:rsid w:val="00C74003"/>
    <w:rsid w:val="00CE0E79"/>
    <w:rsid w:val="00CE6654"/>
    <w:rsid w:val="00E60A9C"/>
    <w:rsid w:val="00F14931"/>
    <w:rsid w:val="01260E98"/>
    <w:rsid w:val="01CF7782"/>
    <w:rsid w:val="02DA51D0"/>
    <w:rsid w:val="034F0B7A"/>
    <w:rsid w:val="03722A49"/>
    <w:rsid w:val="03A378B9"/>
    <w:rsid w:val="03B82ACE"/>
    <w:rsid w:val="03EA2651"/>
    <w:rsid w:val="041476CE"/>
    <w:rsid w:val="04421116"/>
    <w:rsid w:val="04635AFE"/>
    <w:rsid w:val="04A96068"/>
    <w:rsid w:val="052D1CE0"/>
    <w:rsid w:val="05323C89"/>
    <w:rsid w:val="053F2AC7"/>
    <w:rsid w:val="05413AD7"/>
    <w:rsid w:val="05545FD4"/>
    <w:rsid w:val="058825A2"/>
    <w:rsid w:val="05ED6429"/>
    <w:rsid w:val="06432F0A"/>
    <w:rsid w:val="06587544"/>
    <w:rsid w:val="06730D61"/>
    <w:rsid w:val="07CC27F3"/>
    <w:rsid w:val="087150EF"/>
    <w:rsid w:val="08B65FD7"/>
    <w:rsid w:val="08CC4A1B"/>
    <w:rsid w:val="08CC67C9"/>
    <w:rsid w:val="0A7B4636"/>
    <w:rsid w:val="0B2E72C7"/>
    <w:rsid w:val="0B786794"/>
    <w:rsid w:val="0B9A495D"/>
    <w:rsid w:val="0BDE6F3F"/>
    <w:rsid w:val="0C50326D"/>
    <w:rsid w:val="0C60098A"/>
    <w:rsid w:val="0D4D6A15"/>
    <w:rsid w:val="0DB937C0"/>
    <w:rsid w:val="0E15476E"/>
    <w:rsid w:val="0E2A0D5E"/>
    <w:rsid w:val="0E6B438E"/>
    <w:rsid w:val="0F2E5AE8"/>
    <w:rsid w:val="0F5840E5"/>
    <w:rsid w:val="0FC8369B"/>
    <w:rsid w:val="103A04BC"/>
    <w:rsid w:val="103D11F8"/>
    <w:rsid w:val="10593038"/>
    <w:rsid w:val="108654B0"/>
    <w:rsid w:val="10BC6302"/>
    <w:rsid w:val="11274EE5"/>
    <w:rsid w:val="11665A0D"/>
    <w:rsid w:val="118916FB"/>
    <w:rsid w:val="11BA40BE"/>
    <w:rsid w:val="11E51E8A"/>
    <w:rsid w:val="12280F14"/>
    <w:rsid w:val="12A72E93"/>
    <w:rsid w:val="13367661"/>
    <w:rsid w:val="13CE5AEB"/>
    <w:rsid w:val="13DC40BA"/>
    <w:rsid w:val="144477DD"/>
    <w:rsid w:val="148166BA"/>
    <w:rsid w:val="14C667C2"/>
    <w:rsid w:val="15C50828"/>
    <w:rsid w:val="15C77891"/>
    <w:rsid w:val="15E769F0"/>
    <w:rsid w:val="15FA5057"/>
    <w:rsid w:val="167C538B"/>
    <w:rsid w:val="16BF171B"/>
    <w:rsid w:val="17991F6C"/>
    <w:rsid w:val="17B0246F"/>
    <w:rsid w:val="17C3523B"/>
    <w:rsid w:val="180B1639"/>
    <w:rsid w:val="18371A34"/>
    <w:rsid w:val="186131B1"/>
    <w:rsid w:val="18911F28"/>
    <w:rsid w:val="18BA0D0B"/>
    <w:rsid w:val="19A86AD3"/>
    <w:rsid w:val="1AC54639"/>
    <w:rsid w:val="1B1A7868"/>
    <w:rsid w:val="1B3A3A66"/>
    <w:rsid w:val="1B522B5E"/>
    <w:rsid w:val="1B9427B1"/>
    <w:rsid w:val="1BAD4238"/>
    <w:rsid w:val="1C735D4E"/>
    <w:rsid w:val="1C821221"/>
    <w:rsid w:val="1C8256C5"/>
    <w:rsid w:val="1C9A2A0F"/>
    <w:rsid w:val="1D1C148A"/>
    <w:rsid w:val="1DC108B9"/>
    <w:rsid w:val="1DCE3EB8"/>
    <w:rsid w:val="1DFC5003"/>
    <w:rsid w:val="1E0A7720"/>
    <w:rsid w:val="1E451225"/>
    <w:rsid w:val="1E876FC3"/>
    <w:rsid w:val="1EBA7398"/>
    <w:rsid w:val="1F4818BA"/>
    <w:rsid w:val="1F6B0692"/>
    <w:rsid w:val="1F751511"/>
    <w:rsid w:val="1FA616CA"/>
    <w:rsid w:val="1FF572A6"/>
    <w:rsid w:val="1FF870A7"/>
    <w:rsid w:val="201B3E66"/>
    <w:rsid w:val="208A0FEC"/>
    <w:rsid w:val="2092223B"/>
    <w:rsid w:val="20C242E2"/>
    <w:rsid w:val="20D858B3"/>
    <w:rsid w:val="20F621DE"/>
    <w:rsid w:val="21224669"/>
    <w:rsid w:val="2129610F"/>
    <w:rsid w:val="215F5FD5"/>
    <w:rsid w:val="219F0AC7"/>
    <w:rsid w:val="21B31E7D"/>
    <w:rsid w:val="225C42C2"/>
    <w:rsid w:val="230F7587"/>
    <w:rsid w:val="23563407"/>
    <w:rsid w:val="23CD5478"/>
    <w:rsid w:val="241D7C15"/>
    <w:rsid w:val="246A0F18"/>
    <w:rsid w:val="24A80466"/>
    <w:rsid w:val="24AA57B9"/>
    <w:rsid w:val="24F84776"/>
    <w:rsid w:val="255A71DF"/>
    <w:rsid w:val="25995391"/>
    <w:rsid w:val="25F94B91"/>
    <w:rsid w:val="26170669"/>
    <w:rsid w:val="2652435A"/>
    <w:rsid w:val="26760048"/>
    <w:rsid w:val="274703C4"/>
    <w:rsid w:val="278247CB"/>
    <w:rsid w:val="27BE7C55"/>
    <w:rsid w:val="27EC45DC"/>
    <w:rsid w:val="280B2A12"/>
    <w:rsid w:val="28927BEE"/>
    <w:rsid w:val="28956780"/>
    <w:rsid w:val="28A6273B"/>
    <w:rsid w:val="28D9666D"/>
    <w:rsid w:val="28E17834"/>
    <w:rsid w:val="29000DA6"/>
    <w:rsid w:val="292F44DF"/>
    <w:rsid w:val="295A0AA5"/>
    <w:rsid w:val="295E6B72"/>
    <w:rsid w:val="299904B2"/>
    <w:rsid w:val="29E4176D"/>
    <w:rsid w:val="2A157B78"/>
    <w:rsid w:val="2A331DAD"/>
    <w:rsid w:val="2A541FD2"/>
    <w:rsid w:val="2AEB5809"/>
    <w:rsid w:val="2AFC7A77"/>
    <w:rsid w:val="2B125E66"/>
    <w:rsid w:val="2C02237E"/>
    <w:rsid w:val="2C2736A5"/>
    <w:rsid w:val="2C352F66"/>
    <w:rsid w:val="2C5D75B5"/>
    <w:rsid w:val="2CA86A82"/>
    <w:rsid w:val="2CAB6572"/>
    <w:rsid w:val="2D0A70C1"/>
    <w:rsid w:val="2D0B38B7"/>
    <w:rsid w:val="2D9B2143"/>
    <w:rsid w:val="2DD057D4"/>
    <w:rsid w:val="2E2B796A"/>
    <w:rsid w:val="2E463973"/>
    <w:rsid w:val="2E4862BB"/>
    <w:rsid w:val="2F6C023B"/>
    <w:rsid w:val="2FFB336C"/>
    <w:rsid w:val="2FFB4F8B"/>
    <w:rsid w:val="302723B3"/>
    <w:rsid w:val="30450A8C"/>
    <w:rsid w:val="308C5F1F"/>
    <w:rsid w:val="31A6555A"/>
    <w:rsid w:val="327E24CB"/>
    <w:rsid w:val="33222542"/>
    <w:rsid w:val="33784CD4"/>
    <w:rsid w:val="33A849E0"/>
    <w:rsid w:val="3457391A"/>
    <w:rsid w:val="34F673A3"/>
    <w:rsid w:val="35831DF6"/>
    <w:rsid w:val="359526FD"/>
    <w:rsid w:val="35FB26A1"/>
    <w:rsid w:val="36462E68"/>
    <w:rsid w:val="36873BAC"/>
    <w:rsid w:val="36FA25D0"/>
    <w:rsid w:val="36FD3E6E"/>
    <w:rsid w:val="375635EC"/>
    <w:rsid w:val="376B527C"/>
    <w:rsid w:val="378A39CB"/>
    <w:rsid w:val="37B10790"/>
    <w:rsid w:val="383C4522"/>
    <w:rsid w:val="39283D9F"/>
    <w:rsid w:val="395104A1"/>
    <w:rsid w:val="397D658A"/>
    <w:rsid w:val="3A2F07E2"/>
    <w:rsid w:val="3B7301D5"/>
    <w:rsid w:val="3BDC22A4"/>
    <w:rsid w:val="3BFC2258"/>
    <w:rsid w:val="3C0255BF"/>
    <w:rsid w:val="3C1A0693"/>
    <w:rsid w:val="3CD93927"/>
    <w:rsid w:val="3E0F1A33"/>
    <w:rsid w:val="3E2B282C"/>
    <w:rsid w:val="3E3A3F15"/>
    <w:rsid w:val="3EBC3E32"/>
    <w:rsid w:val="3EE6495F"/>
    <w:rsid w:val="3F6E3B5B"/>
    <w:rsid w:val="3FA96941"/>
    <w:rsid w:val="40582115"/>
    <w:rsid w:val="4168583B"/>
    <w:rsid w:val="42440BA3"/>
    <w:rsid w:val="42446DF5"/>
    <w:rsid w:val="42997141"/>
    <w:rsid w:val="42A358C7"/>
    <w:rsid w:val="42C65A5C"/>
    <w:rsid w:val="42E56902"/>
    <w:rsid w:val="43620070"/>
    <w:rsid w:val="43761230"/>
    <w:rsid w:val="43FA5102"/>
    <w:rsid w:val="442F5527"/>
    <w:rsid w:val="44377815"/>
    <w:rsid w:val="448636F5"/>
    <w:rsid w:val="44894F93"/>
    <w:rsid w:val="45097E82"/>
    <w:rsid w:val="450D1720"/>
    <w:rsid w:val="451A4345"/>
    <w:rsid w:val="456A0921"/>
    <w:rsid w:val="45863281"/>
    <w:rsid w:val="459914C1"/>
    <w:rsid w:val="45B147A1"/>
    <w:rsid w:val="465869CB"/>
    <w:rsid w:val="46B06807"/>
    <w:rsid w:val="46B67B95"/>
    <w:rsid w:val="46FB4A0B"/>
    <w:rsid w:val="471A45C8"/>
    <w:rsid w:val="476777B4"/>
    <w:rsid w:val="47E96E38"/>
    <w:rsid w:val="47F37C22"/>
    <w:rsid w:val="484311B7"/>
    <w:rsid w:val="48573115"/>
    <w:rsid w:val="49AF724A"/>
    <w:rsid w:val="4A064BFA"/>
    <w:rsid w:val="4A5751EC"/>
    <w:rsid w:val="4A62606A"/>
    <w:rsid w:val="4A802994"/>
    <w:rsid w:val="4B1E6493"/>
    <w:rsid w:val="4B62209A"/>
    <w:rsid w:val="4B7D6ED4"/>
    <w:rsid w:val="4BF947AC"/>
    <w:rsid w:val="4CF440D2"/>
    <w:rsid w:val="4DC42B98"/>
    <w:rsid w:val="4DD454D1"/>
    <w:rsid w:val="4DF416CF"/>
    <w:rsid w:val="4DFA0CB0"/>
    <w:rsid w:val="4E1F24C4"/>
    <w:rsid w:val="4E623A6E"/>
    <w:rsid w:val="4E9F5A46"/>
    <w:rsid w:val="4ED27537"/>
    <w:rsid w:val="4F3A75B6"/>
    <w:rsid w:val="4F934F18"/>
    <w:rsid w:val="4F9D5D96"/>
    <w:rsid w:val="4FDA48F5"/>
    <w:rsid w:val="50850D04"/>
    <w:rsid w:val="50FE4613"/>
    <w:rsid w:val="51AE5372"/>
    <w:rsid w:val="51C74243"/>
    <w:rsid w:val="52232583"/>
    <w:rsid w:val="52506890"/>
    <w:rsid w:val="52594EA1"/>
    <w:rsid w:val="529A65BD"/>
    <w:rsid w:val="52B6146D"/>
    <w:rsid w:val="52CF4E6B"/>
    <w:rsid w:val="52FE08FA"/>
    <w:rsid w:val="53065A01"/>
    <w:rsid w:val="530D7AD5"/>
    <w:rsid w:val="534D53DE"/>
    <w:rsid w:val="53F705B4"/>
    <w:rsid w:val="5401690D"/>
    <w:rsid w:val="540E7263"/>
    <w:rsid w:val="547370C6"/>
    <w:rsid w:val="54E104D3"/>
    <w:rsid w:val="55021B79"/>
    <w:rsid w:val="550B72FE"/>
    <w:rsid w:val="551B39E5"/>
    <w:rsid w:val="55320D2F"/>
    <w:rsid w:val="559417F6"/>
    <w:rsid w:val="55950A6D"/>
    <w:rsid w:val="56435D7C"/>
    <w:rsid w:val="5661367A"/>
    <w:rsid w:val="567333AD"/>
    <w:rsid w:val="56B55774"/>
    <w:rsid w:val="571921A6"/>
    <w:rsid w:val="57407733"/>
    <w:rsid w:val="57603931"/>
    <w:rsid w:val="57816536"/>
    <w:rsid w:val="58D04AE7"/>
    <w:rsid w:val="592334C7"/>
    <w:rsid w:val="593F61EF"/>
    <w:rsid w:val="59C032B8"/>
    <w:rsid w:val="59C4289D"/>
    <w:rsid w:val="5A032C9A"/>
    <w:rsid w:val="5A1F5D26"/>
    <w:rsid w:val="5B222965"/>
    <w:rsid w:val="5B305D11"/>
    <w:rsid w:val="5CB63FF4"/>
    <w:rsid w:val="5CC6692D"/>
    <w:rsid w:val="5CDA5F34"/>
    <w:rsid w:val="5CFA46CE"/>
    <w:rsid w:val="5D1D3F29"/>
    <w:rsid w:val="5D600B2F"/>
    <w:rsid w:val="5D643F22"/>
    <w:rsid w:val="5DAF6825"/>
    <w:rsid w:val="5E3653EC"/>
    <w:rsid w:val="5E6769C4"/>
    <w:rsid w:val="5EF01A3F"/>
    <w:rsid w:val="5F7F36A9"/>
    <w:rsid w:val="5F8D54E0"/>
    <w:rsid w:val="5FAF0290"/>
    <w:rsid w:val="600A073C"/>
    <w:rsid w:val="601646E4"/>
    <w:rsid w:val="60465E3B"/>
    <w:rsid w:val="604F09E7"/>
    <w:rsid w:val="6062696C"/>
    <w:rsid w:val="607448F1"/>
    <w:rsid w:val="609E371C"/>
    <w:rsid w:val="611F1075"/>
    <w:rsid w:val="61C72714"/>
    <w:rsid w:val="61FB0E26"/>
    <w:rsid w:val="62130DE2"/>
    <w:rsid w:val="621B0137"/>
    <w:rsid w:val="62562501"/>
    <w:rsid w:val="62877DA0"/>
    <w:rsid w:val="629923ED"/>
    <w:rsid w:val="62D90A3C"/>
    <w:rsid w:val="63942E22"/>
    <w:rsid w:val="63D92749"/>
    <w:rsid w:val="64346872"/>
    <w:rsid w:val="64403ED8"/>
    <w:rsid w:val="646507D9"/>
    <w:rsid w:val="648D3965"/>
    <w:rsid w:val="65430F17"/>
    <w:rsid w:val="655B1BDC"/>
    <w:rsid w:val="65801643"/>
    <w:rsid w:val="658A426F"/>
    <w:rsid w:val="658D5BDA"/>
    <w:rsid w:val="65B55790"/>
    <w:rsid w:val="65C34A8B"/>
    <w:rsid w:val="65F53DDF"/>
    <w:rsid w:val="663E2573"/>
    <w:rsid w:val="66521231"/>
    <w:rsid w:val="665E10CA"/>
    <w:rsid w:val="67980EC5"/>
    <w:rsid w:val="67D0065F"/>
    <w:rsid w:val="68263424"/>
    <w:rsid w:val="68792AA5"/>
    <w:rsid w:val="68923B67"/>
    <w:rsid w:val="69C87064"/>
    <w:rsid w:val="6A2151A2"/>
    <w:rsid w:val="6B2667E8"/>
    <w:rsid w:val="6B304E9E"/>
    <w:rsid w:val="6BCC7390"/>
    <w:rsid w:val="6BD9385B"/>
    <w:rsid w:val="6C1C0987"/>
    <w:rsid w:val="6C5C4BB7"/>
    <w:rsid w:val="6C624437"/>
    <w:rsid w:val="6CC440AA"/>
    <w:rsid w:val="6CCB5899"/>
    <w:rsid w:val="6CDA5ADC"/>
    <w:rsid w:val="6D21370B"/>
    <w:rsid w:val="6DC66213"/>
    <w:rsid w:val="6DD02C0B"/>
    <w:rsid w:val="6E0252EB"/>
    <w:rsid w:val="6E5024FA"/>
    <w:rsid w:val="6E81119C"/>
    <w:rsid w:val="6EE92007"/>
    <w:rsid w:val="6F2C5769"/>
    <w:rsid w:val="6FFC2728"/>
    <w:rsid w:val="700370F8"/>
    <w:rsid w:val="700C06A3"/>
    <w:rsid w:val="70117A67"/>
    <w:rsid w:val="702A6D7B"/>
    <w:rsid w:val="707953FD"/>
    <w:rsid w:val="70CD40F9"/>
    <w:rsid w:val="710B2708"/>
    <w:rsid w:val="71DF6C3B"/>
    <w:rsid w:val="71EC5D63"/>
    <w:rsid w:val="7238752D"/>
    <w:rsid w:val="727750B2"/>
    <w:rsid w:val="727F515C"/>
    <w:rsid w:val="73F2195D"/>
    <w:rsid w:val="74583EB6"/>
    <w:rsid w:val="748F3650"/>
    <w:rsid w:val="74B2697D"/>
    <w:rsid w:val="74BB61F3"/>
    <w:rsid w:val="74E514C2"/>
    <w:rsid w:val="750E6C6B"/>
    <w:rsid w:val="75104791"/>
    <w:rsid w:val="75B415C0"/>
    <w:rsid w:val="75CC658F"/>
    <w:rsid w:val="75CD18A3"/>
    <w:rsid w:val="75D73DE6"/>
    <w:rsid w:val="761526A2"/>
    <w:rsid w:val="76585081"/>
    <w:rsid w:val="766A6123"/>
    <w:rsid w:val="76B37445"/>
    <w:rsid w:val="76EE4DDF"/>
    <w:rsid w:val="77057BFA"/>
    <w:rsid w:val="77401CA7"/>
    <w:rsid w:val="78202F3D"/>
    <w:rsid w:val="796732EC"/>
    <w:rsid w:val="796C21B2"/>
    <w:rsid w:val="79A90D10"/>
    <w:rsid w:val="79B53B59"/>
    <w:rsid w:val="79C92B45"/>
    <w:rsid w:val="79D33FDF"/>
    <w:rsid w:val="79FF6B82"/>
    <w:rsid w:val="7AAF05A8"/>
    <w:rsid w:val="7AAF73E7"/>
    <w:rsid w:val="7B2014A6"/>
    <w:rsid w:val="7B767318"/>
    <w:rsid w:val="7B8D6BCE"/>
    <w:rsid w:val="7BFD3595"/>
    <w:rsid w:val="7C2A16F0"/>
    <w:rsid w:val="7C444D20"/>
    <w:rsid w:val="7C67749B"/>
    <w:rsid w:val="7D957F29"/>
    <w:rsid w:val="7DAC7021"/>
    <w:rsid w:val="7E15161E"/>
    <w:rsid w:val="7E525E1A"/>
    <w:rsid w:val="7EF173E1"/>
    <w:rsid w:val="7F436576"/>
    <w:rsid w:val="7F5931D8"/>
    <w:rsid w:val="7FCA19E0"/>
    <w:rsid w:val="7FF16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qFormat="1"/>
    <w:lsdException w:name="footnote text" w:semiHidden="1" w:uiPriority="99" w:unhideWhenUsed="1" w:qFormat="1"/>
    <w:lsdException w:name="annotation text" w:qFormat="1"/>
    <w:lsdException w:name="header" w:qFormat="1"/>
    <w:lsdException w:name="footer" w:qFormat="1"/>
    <w:lsdException w:name="caption" w:semiHidden="1" w:unhideWhenUsed="1" w:qFormat="1"/>
    <w:lsdException w:name="footnote reference" w:semiHidden="1" w:uiPriority="99" w:unhideWhenUsed="1"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360" w:lineRule="auto"/>
      <w:jc w:val="left"/>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
    <w:qFormat/>
    <w:rPr>
      <w:rFonts w:ascii="宋体" w:hAnsi="Courier New"/>
      <w:sz w:val="20"/>
      <w:szCs w:val="21"/>
    </w:rPr>
  </w:style>
  <w:style w:type="paragraph" w:styleId="a4">
    <w:name w:val="annotation text"/>
    <w:basedOn w:val="a"/>
    <w:qFormat/>
    <w:pPr>
      <w:jc w:val="left"/>
    </w:pPr>
  </w:style>
  <w:style w:type="paragraph" w:styleId="3">
    <w:name w:val="toc 3"/>
    <w:basedOn w:val="a"/>
    <w:next w:val="a"/>
    <w:qFormat/>
    <w:pPr>
      <w:ind w:leftChars="400" w:left="840"/>
    </w:pPr>
  </w:style>
  <w:style w:type="paragraph" w:styleId="a5">
    <w:name w:val="footer"/>
    <w:basedOn w:val="a"/>
    <w:qFormat/>
    <w:pPr>
      <w:tabs>
        <w:tab w:val="center" w:pos="4153"/>
        <w:tab w:val="right" w:pos="8306"/>
      </w:tabs>
      <w:snapToGrid w:val="0"/>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pPr>
      <w:tabs>
        <w:tab w:val="right" w:leader="dot" w:pos="8296"/>
      </w:tabs>
      <w:jc w:val="center"/>
    </w:pPr>
    <w:rPr>
      <w:rFonts w:ascii="黑体" w:eastAsia="黑体" w:hAnsi="黑体"/>
      <w:bCs/>
      <w:sz w:val="28"/>
      <w:szCs w:val="28"/>
    </w:rPr>
  </w:style>
  <w:style w:type="paragraph" w:styleId="a7">
    <w:name w:val="Subtitle"/>
    <w:basedOn w:val="a"/>
    <w:next w:val="a"/>
    <w:qFormat/>
    <w:pPr>
      <w:jc w:val="left"/>
      <w:outlineLvl w:val="2"/>
    </w:pPr>
    <w:rPr>
      <w:rFonts w:ascii="Cambria" w:eastAsia="黑体" w:hAnsi="Cambria"/>
      <w:bCs/>
      <w:kern w:val="28"/>
      <w:szCs w:val="32"/>
    </w:rPr>
  </w:style>
  <w:style w:type="paragraph" w:styleId="a8">
    <w:name w:val="footnote text"/>
    <w:basedOn w:val="a"/>
    <w:uiPriority w:val="99"/>
    <w:semiHidden/>
    <w:unhideWhenUsed/>
    <w:qFormat/>
    <w:pPr>
      <w:snapToGrid w:val="0"/>
      <w:jc w:val="left"/>
    </w:pPr>
    <w:rPr>
      <w:sz w:val="18"/>
      <w:szCs w:val="18"/>
    </w:rPr>
  </w:style>
  <w:style w:type="paragraph" w:styleId="20">
    <w:name w:val="toc 2"/>
    <w:basedOn w:val="a"/>
    <w:next w:val="a"/>
    <w:uiPriority w:val="39"/>
    <w:unhideWhenUsed/>
    <w:qFormat/>
    <w:pPr>
      <w:tabs>
        <w:tab w:val="right" w:leader="dot" w:pos="8296"/>
      </w:tabs>
      <w:ind w:leftChars="200" w:left="420"/>
    </w:pPr>
    <w:rPr>
      <w:rFonts w:ascii="黑体" w:eastAsia="黑体" w:hAnsi="黑体"/>
      <w:sz w:val="28"/>
      <w:szCs w:val="28"/>
    </w:rPr>
  </w:style>
  <w:style w:type="paragraph" w:styleId="a9">
    <w:name w:val="Normal (Web)"/>
    <w:basedOn w:val="a"/>
    <w:qFormat/>
    <w:pPr>
      <w:spacing w:beforeAutospacing="1" w:afterAutospacing="1"/>
      <w:jc w:val="left"/>
    </w:pPr>
    <w:rPr>
      <w:kern w:val="0"/>
      <w:sz w:val="24"/>
    </w:rPr>
  </w:style>
  <w:style w:type="character" w:styleId="aa">
    <w:name w:val="Strong"/>
    <w:basedOn w:val="a1"/>
    <w:qFormat/>
    <w:rPr>
      <w:b/>
    </w:rPr>
  </w:style>
  <w:style w:type="character" w:styleId="ab">
    <w:name w:val="Hyperlink"/>
    <w:basedOn w:val="a1"/>
    <w:uiPriority w:val="99"/>
    <w:unhideWhenUsed/>
    <w:qFormat/>
    <w:rPr>
      <w:color w:val="0563C1" w:themeColor="hyperlink"/>
      <w:u w:val="single"/>
    </w:rPr>
  </w:style>
  <w:style w:type="character" w:styleId="ac">
    <w:name w:val="annotation reference"/>
    <w:basedOn w:val="a1"/>
    <w:qFormat/>
    <w:rPr>
      <w:sz w:val="21"/>
      <w:szCs w:val="21"/>
    </w:rPr>
  </w:style>
  <w:style w:type="character" w:styleId="ad">
    <w:name w:val="footnote reference"/>
    <w:basedOn w:val="a1"/>
    <w:uiPriority w:val="99"/>
    <w:semiHidden/>
    <w:unhideWhenUsed/>
    <w:qFormat/>
    <w:rPr>
      <w:vertAlign w:val="superscript"/>
    </w:rPr>
  </w:style>
  <w:style w:type="character" w:customStyle="1" w:styleId="1Char">
    <w:name w:val="标题 1 Char"/>
    <w:link w:val="1"/>
    <w:qFormat/>
    <w:rPr>
      <w:b/>
      <w:kern w:val="44"/>
      <w:sz w:val="44"/>
    </w:rPr>
  </w:style>
  <w:style w:type="paragraph" w:customStyle="1" w:styleId="ae">
    <w:name w:val="表内文字"/>
    <w:basedOn w:val="a0"/>
    <w:qFormat/>
    <w:rPr>
      <w:rFonts w:hAnsi="宋体"/>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11">
    <w:name w:val="修订1"/>
    <w:hidden/>
    <w:uiPriority w:val="99"/>
    <w:semiHidden/>
    <w:qFormat/>
    <w:rPr>
      <w:kern w:val="2"/>
      <w:sz w:val="21"/>
      <w:szCs w:val="24"/>
    </w:rPr>
  </w:style>
  <w:style w:type="character" w:customStyle="1" w:styleId="font31">
    <w:name w:val="font31"/>
    <w:basedOn w:val="a1"/>
    <w:qFormat/>
    <w:rPr>
      <w:rFonts w:ascii="宋体" w:eastAsia="宋体" w:hAnsi="宋体" w:cs="宋体" w:hint="eastAsia"/>
      <w:color w:val="000000"/>
      <w:sz w:val="18"/>
      <w:szCs w:val="18"/>
      <w:u w:val="none"/>
    </w:rPr>
  </w:style>
  <w:style w:type="character" w:customStyle="1" w:styleId="ds-reads-from">
    <w:name w:val="ds-reads-from"/>
    <w:basedOn w:val="a1"/>
    <w:qFormat/>
  </w:style>
  <w:style w:type="character" w:customStyle="1" w:styleId="NormalCharacter">
    <w:name w:val="NormalCharacter"/>
    <w:semiHidden/>
    <w:qFormat/>
    <w:rPr>
      <w:rFonts w:ascii="Calibri" w:eastAsia="宋体" w:hAnsi="Calibri" w:cs="Times New Roman"/>
      <w:kern w:val="2"/>
      <w:sz w:val="21"/>
      <w:szCs w:val="24"/>
      <w:lang w:val="en-US" w:eastAsia="zh-CN" w:bidi="ar-SA"/>
    </w:rPr>
  </w:style>
  <w:style w:type="paragraph" w:customStyle="1" w:styleId="af">
    <w:name w:val="附件栏"/>
    <w:basedOn w:val="a"/>
    <w:uiPriority w:val="99"/>
    <w:qFormat/>
    <w:pPr>
      <w:autoSpaceDE w:val="0"/>
      <w:autoSpaceDN w:val="0"/>
      <w:snapToGrid w:val="0"/>
      <w:spacing w:line="590" w:lineRule="atLeast"/>
      <w:ind w:firstLine="624"/>
    </w:pPr>
    <w:rPr>
      <w:rFonts w:eastAsia="方正仿宋_GBK"/>
      <w:kern w:val="0"/>
      <w:sz w:val="32"/>
      <w:szCs w:val="32"/>
    </w:rPr>
  </w:style>
  <w:style w:type="paragraph" w:styleId="af0">
    <w:name w:val="Balloon Text"/>
    <w:basedOn w:val="a"/>
    <w:link w:val="Char"/>
    <w:rsid w:val="00C74003"/>
    <w:rPr>
      <w:sz w:val="18"/>
      <w:szCs w:val="18"/>
    </w:rPr>
  </w:style>
  <w:style w:type="character" w:customStyle="1" w:styleId="Char">
    <w:name w:val="批注框文本 Char"/>
    <w:basedOn w:val="a1"/>
    <w:link w:val="af0"/>
    <w:rsid w:val="00C7400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unhideWhenUsed="1" w:qFormat="1"/>
    <w:lsdException w:name="toc 3" w:qFormat="1"/>
    <w:lsdException w:name="footnote text" w:semiHidden="1" w:uiPriority="99" w:unhideWhenUsed="1" w:qFormat="1"/>
    <w:lsdException w:name="annotation text" w:qFormat="1"/>
    <w:lsdException w:name="header" w:qFormat="1"/>
    <w:lsdException w:name="footer" w:qFormat="1"/>
    <w:lsdException w:name="caption" w:semiHidden="1" w:unhideWhenUsed="1" w:qFormat="1"/>
    <w:lsdException w:name="footnote reference" w:semiHidden="1" w:uiPriority="99" w:unhideWhenUsed="1" w:qFormat="1"/>
    <w:lsdException w:name="annotation reference"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360" w:lineRule="auto"/>
      <w:jc w:val="left"/>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a"/>
    <w:qFormat/>
    <w:rPr>
      <w:rFonts w:ascii="宋体" w:hAnsi="Courier New"/>
      <w:sz w:val="20"/>
      <w:szCs w:val="21"/>
    </w:rPr>
  </w:style>
  <w:style w:type="paragraph" w:styleId="a4">
    <w:name w:val="annotation text"/>
    <w:basedOn w:val="a"/>
    <w:qFormat/>
    <w:pPr>
      <w:jc w:val="left"/>
    </w:pPr>
  </w:style>
  <w:style w:type="paragraph" w:styleId="3">
    <w:name w:val="toc 3"/>
    <w:basedOn w:val="a"/>
    <w:next w:val="a"/>
    <w:qFormat/>
    <w:pPr>
      <w:ind w:leftChars="400" w:left="840"/>
    </w:pPr>
  </w:style>
  <w:style w:type="paragraph" w:styleId="a5">
    <w:name w:val="footer"/>
    <w:basedOn w:val="a"/>
    <w:qFormat/>
    <w:pPr>
      <w:tabs>
        <w:tab w:val="center" w:pos="4153"/>
        <w:tab w:val="right" w:pos="8306"/>
      </w:tabs>
      <w:snapToGrid w:val="0"/>
      <w:jc w:val="left"/>
    </w:pPr>
    <w:rPr>
      <w:kern w:val="0"/>
      <w:sz w:val="18"/>
      <w:szCs w:val="20"/>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qFormat/>
    <w:pPr>
      <w:tabs>
        <w:tab w:val="right" w:leader="dot" w:pos="8296"/>
      </w:tabs>
      <w:jc w:val="center"/>
    </w:pPr>
    <w:rPr>
      <w:rFonts w:ascii="黑体" w:eastAsia="黑体" w:hAnsi="黑体"/>
      <w:bCs/>
      <w:sz w:val="28"/>
      <w:szCs w:val="28"/>
    </w:rPr>
  </w:style>
  <w:style w:type="paragraph" w:styleId="a7">
    <w:name w:val="Subtitle"/>
    <w:basedOn w:val="a"/>
    <w:next w:val="a"/>
    <w:qFormat/>
    <w:pPr>
      <w:jc w:val="left"/>
      <w:outlineLvl w:val="2"/>
    </w:pPr>
    <w:rPr>
      <w:rFonts w:ascii="Cambria" w:eastAsia="黑体" w:hAnsi="Cambria"/>
      <w:bCs/>
      <w:kern w:val="28"/>
      <w:szCs w:val="32"/>
    </w:rPr>
  </w:style>
  <w:style w:type="paragraph" w:styleId="a8">
    <w:name w:val="footnote text"/>
    <w:basedOn w:val="a"/>
    <w:uiPriority w:val="99"/>
    <w:semiHidden/>
    <w:unhideWhenUsed/>
    <w:qFormat/>
    <w:pPr>
      <w:snapToGrid w:val="0"/>
      <w:jc w:val="left"/>
    </w:pPr>
    <w:rPr>
      <w:sz w:val="18"/>
      <w:szCs w:val="18"/>
    </w:rPr>
  </w:style>
  <w:style w:type="paragraph" w:styleId="20">
    <w:name w:val="toc 2"/>
    <w:basedOn w:val="a"/>
    <w:next w:val="a"/>
    <w:uiPriority w:val="39"/>
    <w:unhideWhenUsed/>
    <w:qFormat/>
    <w:pPr>
      <w:tabs>
        <w:tab w:val="right" w:leader="dot" w:pos="8296"/>
      </w:tabs>
      <w:ind w:leftChars="200" w:left="420"/>
    </w:pPr>
    <w:rPr>
      <w:rFonts w:ascii="黑体" w:eastAsia="黑体" w:hAnsi="黑体"/>
      <w:sz w:val="28"/>
      <w:szCs w:val="28"/>
    </w:rPr>
  </w:style>
  <w:style w:type="paragraph" w:styleId="a9">
    <w:name w:val="Normal (Web)"/>
    <w:basedOn w:val="a"/>
    <w:qFormat/>
    <w:pPr>
      <w:spacing w:beforeAutospacing="1" w:afterAutospacing="1"/>
      <w:jc w:val="left"/>
    </w:pPr>
    <w:rPr>
      <w:kern w:val="0"/>
      <w:sz w:val="24"/>
    </w:rPr>
  </w:style>
  <w:style w:type="character" w:styleId="aa">
    <w:name w:val="Strong"/>
    <w:basedOn w:val="a1"/>
    <w:qFormat/>
    <w:rPr>
      <w:b/>
    </w:rPr>
  </w:style>
  <w:style w:type="character" w:styleId="ab">
    <w:name w:val="Hyperlink"/>
    <w:basedOn w:val="a1"/>
    <w:uiPriority w:val="99"/>
    <w:unhideWhenUsed/>
    <w:qFormat/>
    <w:rPr>
      <w:color w:val="0563C1" w:themeColor="hyperlink"/>
      <w:u w:val="single"/>
    </w:rPr>
  </w:style>
  <w:style w:type="character" w:styleId="ac">
    <w:name w:val="annotation reference"/>
    <w:basedOn w:val="a1"/>
    <w:qFormat/>
    <w:rPr>
      <w:sz w:val="21"/>
      <w:szCs w:val="21"/>
    </w:rPr>
  </w:style>
  <w:style w:type="character" w:styleId="ad">
    <w:name w:val="footnote reference"/>
    <w:basedOn w:val="a1"/>
    <w:uiPriority w:val="99"/>
    <w:semiHidden/>
    <w:unhideWhenUsed/>
    <w:qFormat/>
    <w:rPr>
      <w:vertAlign w:val="superscript"/>
    </w:rPr>
  </w:style>
  <w:style w:type="character" w:customStyle="1" w:styleId="1Char">
    <w:name w:val="标题 1 Char"/>
    <w:link w:val="1"/>
    <w:qFormat/>
    <w:rPr>
      <w:b/>
      <w:kern w:val="44"/>
      <w:sz w:val="44"/>
    </w:rPr>
  </w:style>
  <w:style w:type="paragraph" w:customStyle="1" w:styleId="ae">
    <w:name w:val="表内文字"/>
    <w:basedOn w:val="a0"/>
    <w:qFormat/>
    <w:rPr>
      <w:rFonts w:hAnsi="宋体"/>
      <w:sz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11">
    <w:name w:val="修订1"/>
    <w:hidden/>
    <w:uiPriority w:val="99"/>
    <w:semiHidden/>
    <w:qFormat/>
    <w:rPr>
      <w:kern w:val="2"/>
      <w:sz w:val="21"/>
      <w:szCs w:val="24"/>
    </w:rPr>
  </w:style>
  <w:style w:type="character" w:customStyle="1" w:styleId="font31">
    <w:name w:val="font31"/>
    <w:basedOn w:val="a1"/>
    <w:qFormat/>
    <w:rPr>
      <w:rFonts w:ascii="宋体" w:eastAsia="宋体" w:hAnsi="宋体" w:cs="宋体" w:hint="eastAsia"/>
      <w:color w:val="000000"/>
      <w:sz w:val="18"/>
      <w:szCs w:val="18"/>
      <w:u w:val="none"/>
    </w:rPr>
  </w:style>
  <w:style w:type="character" w:customStyle="1" w:styleId="ds-reads-from">
    <w:name w:val="ds-reads-from"/>
    <w:basedOn w:val="a1"/>
    <w:qFormat/>
  </w:style>
  <w:style w:type="character" w:customStyle="1" w:styleId="NormalCharacter">
    <w:name w:val="NormalCharacter"/>
    <w:semiHidden/>
    <w:qFormat/>
    <w:rPr>
      <w:rFonts w:ascii="Calibri" w:eastAsia="宋体" w:hAnsi="Calibri" w:cs="Times New Roman"/>
      <w:kern w:val="2"/>
      <w:sz w:val="21"/>
      <w:szCs w:val="24"/>
      <w:lang w:val="en-US" w:eastAsia="zh-CN" w:bidi="ar-SA"/>
    </w:rPr>
  </w:style>
  <w:style w:type="paragraph" w:customStyle="1" w:styleId="af">
    <w:name w:val="附件栏"/>
    <w:basedOn w:val="a"/>
    <w:uiPriority w:val="99"/>
    <w:qFormat/>
    <w:pPr>
      <w:autoSpaceDE w:val="0"/>
      <w:autoSpaceDN w:val="0"/>
      <w:snapToGrid w:val="0"/>
      <w:spacing w:line="590" w:lineRule="atLeast"/>
      <w:ind w:firstLine="624"/>
    </w:pPr>
    <w:rPr>
      <w:rFonts w:eastAsia="方正仿宋_GBK"/>
      <w:kern w:val="0"/>
      <w:sz w:val="32"/>
      <w:szCs w:val="32"/>
    </w:rPr>
  </w:style>
  <w:style w:type="paragraph" w:styleId="af0">
    <w:name w:val="Balloon Text"/>
    <w:basedOn w:val="a"/>
    <w:link w:val="Char"/>
    <w:rsid w:val="00C74003"/>
    <w:rPr>
      <w:sz w:val="18"/>
      <w:szCs w:val="18"/>
    </w:rPr>
  </w:style>
  <w:style w:type="character" w:customStyle="1" w:styleId="Char">
    <w:name w:val="批注框文本 Char"/>
    <w:basedOn w:val="a1"/>
    <w:link w:val="af0"/>
    <w:rsid w:val="00C7400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26</Pages>
  <Words>2349</Words>
  <Characters>13394</Characters>
  <Application>Microsoft Office Word</Application>
  <DocSecurity>0</DocSecurity>
  <Lines>111</Lines>
  <Paragraphs>31</Paragraphs>
  <ScaleCrop>false</ScaleCrop>
  <Company/>
  <LinksUpToDate>false</LinksUpToDate>
  <CharactersWithSpaces>15712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杨胖子的电脑</dc:creator>
  <cp:lastModifiedBy>1605-111</cp:lastModifiedBy>
  <cp:revision>3</cp:revision>
  <cp:lastPrinted>2023-05-12T08:06:00Z</cp:lastPrinted>
  <dcterms:created xsi:type="dcterms:W3CDTF">2022-05-30T18:46:00Z</dcterms:created>
  <dcterms:modified xsi:type="dcterms:W3CDTF">2023-05-19T05:09:00Z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796F7A3A86324F33992D980766361B24_13</vt:lpwstr>
  </property>
</Properties>
</file>