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348" w:rsidRDefault="006F3264">
      <w:pPr>
        <w:spacing w:line="480" w:lineRule="exact"/>
        <w:rPr>
          <w:rFonts w:ascii="黑体" w:eastAsia="黑体" w:hAnsi="黑体"/>
          <w:sz w:val="32"/>
          <w:szCs w:val="32"/>
        </w:rPr>
      </w:pPr>
      <w:r>
        <w:rPr>
          <w:rFonts w:ascii="黑体" w:eastAsia="黑体" w:hAnsi="黑体" w:hint="eastAsia"/>
          <w:sz w:val="32"/>
          <w:szCs w:val="32"/>
        </w:rPr>
        <w:t>附件</w:t>
      </w:r>
    </w:p>
    <w:p w:rsidR="001C4348" w:rsidRDefault="006F3264">
      <w:pPr>
        <w:spacing w:line="480" w:lineRule="exact"/>
        <w:jc w:val="center"/>
        <w:rPr>
          <w:rFonts w:ascii="方正小标宋简体" w:eastAsia="方正小标宋简体" w:hAnsi="黑体"/>
          <w:sz w:val="36"/>
          <w:szCs w:val="36"/>
        </w:rPr>
      </w:pPr>
      <w:r>
        <w:rPr>
          <w:rFonts w:ascii="方正小标宋简体" w:eastAsia="方正小标宋简体" w:hAnsi="方正小标宋简体" w:hint="eastAsia"/>
          <w:sz w:val="36"/>
          <w:szCs w:val="36"/>
        </w:rPr>
        <w:t>项目支出绩效自评表</w:t>
      </w:r>
    </w:p>
    <w:p w:rsidR="001C4348" w:rsidRDefault="006F3264">
      <w:pPr>
        <w:spacing w:line="480" w:lineRule="exact"/>
        <w:jc w:val="center"/>
        <w:rPr>
          <w:rFonts w:ascii="仿宋_GB2312" w:eastAsia="仿宋_GB2312" w:hAnsi="宋体"/>
          <w:sz w:val="28"/>
          <w:szCs w:val="28"/>
        </w:rPr>
      </w:pPr>
      <w:r>
        <w:rPr>
          <w:rFonts w:ascii="仿宋_GB2312" w:eastAsia="仿宋_GB2312" w:hAnsi="宋体" w:hint="eastAsia"/>
          <w:sz w:val="28"/>
          <w:szCs w:val="28"/>
        </w:rPr>
        <w:t>（2022年度）</w:t>
      </w:r>
    </w:p>
    <w:p w:rsidR="001C4348" w:rsidRDefault="001C4348">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922"/>
        <w:gridCol w:w="205"/>
        <w:gridCol w:w="1209"/>
        <w:gridCol w:w="771"/>
        <w:gridCol w:w="504"/>
        <w:gridCol w:w="59"/>
        <w:gridCol w:w="420"/>
        <w:gridCol w:w="143"/>
        <w:gridCol w:w="703"/>
        <w:gridCol w:w="710"/>
      </w:tblGrid>
      <w:tr w:rsidR="001C4348">
        <w:trPr>
          <w:trHeigh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项目名称</w:t>
            </w:r>
          </w:p>
        </w:tc>
        <w:tc>
          <w:tcPr>
            <w:tcW w:w="7478" w:type="dxa"/>
            <w:gridSpan w:val="1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审判工作经费</w:t>
            </w:r>
          </w:p>
        </w:tc>
      </w:tr>
      <w:tr w:rsidR="001C4348">
        <w:trPr>
          <w:trHeigh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主管部门</w:t>
            </w:r>
          </w:p>
        </w:tc>
        <w:tc>
          <w:tcPr>
            <w:tcW w:w="4168" w:type="dxa"/>
            <w:gridSpan w:val="5"/>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北京市海淀区人民法院</w:t>
            </w:r>
          </w:p>
        </w:tc>
        <w:tc>
          <w:tcPr>
            <w:tcW w:w="1275"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实施单位</w:t>
            </w:r>
          </w:p>
        </w:tc>
        <w:tc>
          <w:tcPr>
            <w:tcW w:w="2035" w:type="dxa"/>
            <w:gridSpan w:val="5"/>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北京市海淀区人民法院（本级）</w:t>
            </w:r>
          </w:p>
        </w:tc>
      </w:tr>
      <w:tr w:rsidR="001C4348">
        <w:trPr>
          <w:trHeigh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项目负责人</w:t>
            </w:r>
          </w:p>
        </w:tc>
        <w:tc>
          <w:tcPr>
            <w:tcW w:w="4168" w:type="dxa"/>
            <w:gridSpan w:val="5"/>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亢瑞英</w:t>
            </w:r>
          </w:p>
        </w:tc>
        <w:tc>
          <w:tcPr>
            <w:tcW w:w="1275"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联系电话</w:t>
            </w:r>
          </w:p>
        </w:tc>
        <w:tc>
          <w:tcPr>
            <w:tcW w:w="2035" w:type="dxa"/>
            <w:gridSpan w:val="5"/>
            <w:tcBorders>
              <w:top w:val="single" w:sz="4" w:space="0" w:color="auto"/>
              <w:left w:val="nil"/>
              <w:bottom w:val="single" w:sz="4" w:space="0" w:color="auto"/>
              <w:right w:val="single" w:sz="4" w:space="0" w:color="auto"/>
            </w:tcBorders>
            <w:vAlign w:val="center"/>
          </w:tcPr>
          <w:p w:rsidR="001C4348" w:rsidRDefault="00AE113F">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w:t>
            </w:r>
          </w:p>
        </w:tc>
      </w:tr>
      <w:tr w:rsidR="001C4348">
        <w:trPr>
          <w:trHeight w:val="567"/>
          <w:jc w:val="center"/>
        </w:trPr>
        <w:tc>
          <w:tcPr>
            <w:tcW w:w="1560" w:type="dxa"/>
            <w:gridSpan w:val="2"/>
            <w:vMerge w:val="restart"/>
            <w:tcBorders>
              <w:top w:val="nil"/>
              <w:left w:val="single" w:sz="4" w:space="0" w:color="auto"/>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项目资金</w:t>
            </w:r>
            <w:r>
              <w:rPr>
                <w:rFonts w:ascii="仿宋_GB2312" w:eastAsia="仿宋_GB2312" w:hAnsi="宋体" w:cs="宋体" w:hint="eastAsia"/>
                <w:kern w:val="0"/>
              </w:rPr>
              <w:br/>
              <w:t>（万元）</w:t>
            </w:r>
          </w:p>
        </w:tc>
        <w:tc>
          <w:tcPr>
            <w:tcW w:w="1832"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kern w:val="0"/>
              </w:rPr>
            </w:pPr>
          </w:p>
        </w:tc>
        <w:tc>
          <w:tcPr>
            <w:tcW w:w="1127"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年初预</w:t>
            </w:r>
          </w:p>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算数</w:t>
            </w:r>
          </w:p>
        </w:tc>
        <w:tc>
          <w:tcPr>
            <w:tcW w:w="1209" w:type="dxa"/>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全年预</w:t>
            </w:r>
          </w:p>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算数</w:t>
            </w:r>
          </w:p>
        </w:tc>
        <w:tc>
          <w:tcPr>
            <w:tcW w:w="1275"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全年</w:t>
            </w:r>
          </w:p>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执行数</w:t>
            </w:r>
          </w:p>
        </w:tc>
        <w:tc>
          <w:tcPr>
            <w:tcW w:w="479"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分值</w:t>
            </w:r>
          </w:p>
        </w:tc>
        <w:tc>
          <w:tcPr>
            <w:tcW w:w="846"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执行率</w:t>
            </w:r>
          </w:p>
        </w:tc>
        <w:tc>
          <w:tcPr>
            <w:tcW w:w="710" w:type="dxa"/>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得分</w:t>
            </w:r>
          </w:p>
        </w:tc>
      </w:tr>
      <w:tr w:rsidR="001C4348">
        <w:trPr>
          <w:trHeight w:val="306"/>
          <w:jc w:val="center"/>
        </w:trPr>
        <w:tc>
          <w:tcPr>
            <w:tcW w:w="1560" w:type="dxa"/>
            <w:gridSpan w:val="2"/>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832"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rPr>
                <w:rFonts w:ascii="仿宋_GB2312" w:eastAsia="仿宋_GB2312" w:hAnsi="宋体" w:cs="宋体"/>
                <w:kern w:val="0"/>
              </w:rPr>
            </w:pPr>
            <w:r>
              <w:rPr>
                <w:rFonts w:ascii="仿宋_GB2312" w:eastAsia="仿宋_GB2312" w:hAnsi="宋体" w:cs="宋体" w:hint="eastAsia"/>
                <w:kern w:val="0"/>
              </w:rPr>
              <w:t>年度资金总额</w:t>
            </w:r>
          </w:p>
        </w:tc>
        <w:tc>
          <w:tcPr>
            <w:tcW w:w="1127"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375.00</w:t>
            </w:r>
          </w:p>
        </w:tc>
        <w:tc>
          <w:tcPr>
            <w:tcW w:w="1209" w:type="dxa"/>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375.00</w:t>
            </w:r>
          </w:p>
        </w:tc>
        <w:tc>
          <w:tcPr>
            <w:tcW w:w="1275"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375.00</w:t>
            </w:r>
          </w:p>
        </w:tc>
        <w:tc>
          <w:tcPr>
            <w:tcW w:w="479"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10</w:t>
            </w:r>
          </w:p>
        </w:tc>
        <w:tc>
          <w:tcPr>
            <w:tcW w:w="846"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100%</w:t>
            </w:r>
          </w:p>
        </w:tc>
        <w:tc>
          <w:tcPr>
            <w:tcW w:w="710" w:type="dxa"/>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10</w:t>
            </w:r>
          </w:p>
        </w:tc>
      </w:tr>
      <w:tr w:rsidR="001C4348">
        <w:trPr>
          <w:trHeight w:val="601"/>
          <w:jc w:val="center"/>
        </w:trPr>
        <w:tc>
          <w:tcPr>
            <w:tcW w:w="1560" w:type="dxa"/>
            <w:gridSpan w:val="2"/>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832"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其中：当年财政</w:t>
            </w:r>
          </w:p>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拨款</w:t>
            </w:r>
          </w:p>
        </w:tc>
        <w:tc>
          <w:tcPr>
            <w:tcW w:w="1127"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375.00</w:t>
            </w:r>
          </w:p>
        </w:tc>
        <w:tc>
          <w:tcPr>
            <w:tcW w:w="1209" w:type="dxa"/>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375.00</w:t>
            </w:r>
          </w:p>
        </w:tc>
        <w:tc>
          <w:tcPr>
            <w:tcW w:w="1275"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375.00</w:t>
            </w:r>
          </w:p>
        </w:tc>
        <w:tc>
          <w:tcPr>
            <w:tcW w:w="479"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w:t>
            </w:r>
          </w:p>
        </w:tc>
        <w:tc>
          <w:tcPr>
            <w:tcW w:w="846"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kern w:val="0"/>
              </w:rPr>
            </w:pPr>
          </w:p>
        </w:tc>
        <w:tc>
          <w:tcPr>
            <w:tcW w:w="710" w:type="dxa"/>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w:t>
            </w:r>
          </w:p>
        </w:tc>
      </w:tr>
      <w:tr w:rsidR="001C4348">
        <w:trPr>
          <w:trHeight w:val="567"/>
          <w:jc w:val="center"/>
        </w:trPr>
        <w:tc>
          <w:tcPr>
            <w:tcW w:w="1560" w:type="dxa"/>
            <w:gridSpan w:val="2"/>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832"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bookmarkStart w:id="0" w:name="_GoBack"/>
            <w:bookmarkEnd w:id="0"/>
            <w:r>
              <w:rPr>
                <w:rFonts w:ascii="仿宋_GB2312" w:eastAsia="仿宋_GB2312" w:hAnsi="宋体" w:cs="宋体" w:hint="eastAsia"/>
                <w:kern w:val="0"/>
              </w:rPr>
              <w:t>上年结转资金</w:t>
            </w:r>
          </w:p>
        </w:tc>
        <w:tc>
          <w:tcPr>
            <w:tcW w:w="1127"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0</w:t>
            </w:r>
          </w:p>
        </w:tc>
        <w:tc>
          <w:tcPr>
            <w:tcW w:w="1209" w:type="dxa"/>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0</w:t>
            </w:r>
          </w:p>
        </w:tc>
        <w:tc>
          <w:tcPr>
            <w:tcW w:w="1275"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0</w:t>
            </w:r>
          </w:p>
        </w:tc>
        <w:tc>
          <w:tcPr>
            <w:tcW w:w="479"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w:t>
            </w:r>
          </w:p>
        </w:tc>
        <w:tc>
          <w:tcPr>
            <w:tcW w:w="846"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kern w:val="0"/>
              </w:rPr>
            </w:pPr>
          </w:p>
        </w:tc>
        <w:tc>
          <w:tcPr>
            <w:tcW w:w="710" w:type="dxa"/>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w:t>
            </w:r>
          </w:p>
        </w:tc>
      </w:tr>
      <w:tr w:rsidR="001C4348">
        <w:trPr>
          <w:trHeight w:val="306"/>
          <w:jc w:val="center"/>
        </w:trPr>
        <w:tc>
          <w:tcPr>
            <w:tcW w:w="1560" w:type="dxa"/>
            <w:gridSpan w:val="2"/>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832"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 xml:space="preserve">  其他资金</w:t>
            </w:r>
          </w:p>
        </w:tc>
        <w:tc>
          <w:tcPr>
            <w:tcW w:w="1127"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0</w:t>
            </w:r>
          </w:p>
        </w:tc>
        <w:tc>
          <w:tcPr>
            <w:tcW w:w="1209" w:type="dxa"/>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0</w:t>
            </w:r>
          </w:p>
        </w:tc>
        <w:tc>
          <w:tcPr>
            <w:tcW w:w="1275"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0</w:t>
            </w:r>
          </w:p>
        </w:tc>
        <w:tc>
          <w:tcPr>
            <w:tcW w:w="479" w:type="dxa"/>
            <w:gridSpan w:val="2"/>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w:t>
            </w:r>
          </w:p>
        </w:tc>
        <w:tc>
          <w:tcPr>
            <w:tcW w:w="846"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kern w:val="0"/>
              </w:rPr>
            </w:pPr>
          </w:p>
        </w:tc>
        <w:tc>
          <w:tcPr>
            <w:tcW w:w="710" w:type="dxa"/>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w:t>
            </w:r>
          </w:p>
        </w:tc>
      </w:tr>
      <w:tr w:rsidR="001C4348">
        <w:trPr>
          <w:trHeight w:val="548"/>
          <w:jc w:val="center"/>
        </w:trPr>
        <w:tc>
          <w:tcPr>
            <w:tcW w:w="585" w:type="dxa"/>
            <w:vMerge w:val="restart"/>
            <w:tcBorders>
              <w:top w:val="nil"/>
              <w:left w:val="single" w:sz="4" w:space="0" w:color="auto"/>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年度总体目标</w:t>
            </w:r>
          </w:p>
        </w:tc>
        <w:tc>
          <w:tcPr>
            <w:tcW w:w="5143" w:type="dxa"/>
            <w:gridSpan w:val="6"/>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预期目标</w:t>
            </w:r>
          </w:p>
        </w:tc>
        <w:tc>
          <w:tcPr>
            <w:tcW w:w="3310" w:type="dxa"/>
            <w:gridSpan w:val="7"/>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实际完成情况</w:t>
            </w:r>
          </w:p>
        </w:tc>
      </w:tr>
      <w:tr w:rsidR="001C4348">
        <w:trPr>
          <w:trHeight w:val="1597"/>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5143" w:type="dxa"/>
            <w:gridSpan w:val="6"/>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ind w:firstLineChars="200" w:firstLine="360"/>
              <w:rPr>
                <w:rFonts w:ascii="仿宋_GB2312" w:eastAsia="仿宋_GB2312" w:hAnsi="宋体" w:cs="宋体"/>
                <w:kern w:val="0"/>
              </w:rPr>
            </w:pPr>
            <w:r>
              <w:rPr>
                <w:rFonts w:ascii="仿宋_GB2312" w:eastAsia="仿宋_GB2312" w:hAnsi="宋体" w:cs="宋体" w:hint="eastAsia"/>
                <w:kern w:val="0"/>
                <w:sz w:val="18"/>
                <w:szCs w:val="18"/>
              </w:rPr>
              <w:t>根据当年本院结案量及归档量，随时归档随时进行诉讼档案数字化并进行相关档案保管工作。主要包括：一是完成所有已归档诉讼案件卷宗的扫描数字化加工处理和档案装订工作；二是完成图像数据挂接工作；三是完成诉讼档案卷宗的上架及日常保管工作。在确保电子数据安全和保密的同时，确保有档可查，使诉讼档案达到最大化的高效利用，不断提高档案服务和</w:t>
            </w:r>
            <w:r>
              <w:rPr>
                <w:rFonts w:ascii="仿宋_GB2312" w:eastAsia="仿宋_GB2312" w:hAnsi="宋体" w:cs="宋体" w:hint="eastAsia"/>
                <w:kern w:val="0"/>
              </w:rPr>
              <w:t>利用水平。</w:t>
            </w:r>
          </w:p>
        </w:tc>
        <w:tc>
          <w:tcPr>
            <w:tcW w:w="3310" w:type="dxa"/>
            <w:gridSpan w:val="7"/>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1、完成所有已归档诉讼案件卷宗的扫描数字化加工处理和档案装订工作；</w:t>
            </w:r>
          </w:p>
          <w:p w:rsidR="001C4348" w:rsidRDefault="006F3264">
            <w:pPr>
              <w:widowControl/>
              <w:spacing w:line="24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2、完成图像数据挂接工作；</w:t>
            </w:r>
          </w:p>
          <w:p w:rsidR="001C4348" w:rsidRDefault="006F3264">
            <w:pPr>
              <w:widowControl/>
              <w:spacing w:line="24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3、完成诉讼档案卷宗的上架及日常保管工作。</w:t>
            </w:r>
          </w:p>
        </w:tc>
      </w:tr>
      <w:tr w:rsidR="001C4348">
        <w:trPr>
          <w:trHeight w:val="830"/>
          <w:jc w:val="center"/>
        </w:trPr>
        <w:tc>
          <w:tcPr>
            <w:tcW w:w="585" w:type="dxa"/>
            <w:vMerge w:val="restart"/>
            <w:tcBorders>
              <w:top w:val="nil"/>
              <w:left w:val="single" w:sz="4" w:space="0" w:color="auto"/>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绩</w:t>
            </w:r>
            <w:r>
              <w:rPr>
                <w:rFonts w:ascii="仿宋_GB2312" w:eastAsia="仿宋_GB2312" w:hAnsi="宋体" w:cs="宋体" w:hint="eastAsia"/>
                <w:kern w:val="0"/>
              </w:rPr>
              <w:br/>
              <w:t>效</w:t>
            </w:r>
            <w:r>
              <w:rPr>
                <w:rFonts w:ascii="仿宋_GB2312" w:eastAsia="仿宋_GB2312" w:hAnsi="宋体" w:cs="宋体" w:hint="eastAsia"/>
                <w:kern w:val="0"/>
              </w:rPr>
              <w:br/>
              <w:t>指</w:t>
            </w:r>
            <w:r>
              <w:rPr>
                <w:rFonts w:ascii="仿宋_GB2312" w:eastAsia="仿宋_GB2312" w:hAnsi="宋体" w:cs="宋体" w:hint="eastAsia"/>
                <w:kern w:val="0"/>
              </w:rPr>
              <w:br/>
              <w:t>标</w:t>
            </w:r>
          </w:p>
        </w:tc>
        <w:tc>
          <w:tcPr>
            <w:tcW w:w="975"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一级指标</w:t>
            </w:r>
          </w:p>
        </w:tc>
        <w:tc>
          <w:tcPr>
            <w:tcW w:w="1105"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二级指标</w:t>
            </w: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三级指标</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年度</w:t>
            </w:r>
          </w:p>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指标值</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实际</w:t>
            </w:r>
          </w:p>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完成值</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分值</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得分</w:t>
            </w:r>
          </w:p>
        </w:tc>
        <w:tc>
          <w:tcPr>
            <w:tcW w:w="141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偏差原因分析及改进</w:t>
            </w:r>
          </w:p>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措施</w:t>
            </w: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val="restart"/>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产出指标</w:t>
            </w:r>
          </w:p>
        </w:tc>
        <w:tc>
          <w:tcPr>
            <w:tcW w:w="1105" w:type="dxa"/>
            <w:vMerge w:val="restart"/>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数量指标</w:t>
            </w: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rPr>
                <w:rFonts w:ascii="仿宋_GB2312" w:eastAsia="仿宋_GB2312" w:hAnsi="宋体" w:cs="宋体"/>
                <w:kern w:val="0"/>
              </w:rPr>
            </w:pPr>
            <w:r>
              <w:rPr>
                <w:rFonts w:ascii="仿宋_GB2312" w:eastAsia="仿宋_GB2312" w:hAnsi="宋体" w:cs="宋体" w:hint="eastAsia"/>
                <w:kern w:val="0"/>
              </w:rPr>
              <w:t>指标1：档案数字化加工数量</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≥12万</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12万</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指标2：案卷装订数量</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≥12万</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12万</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指标3：图像数据挂接数量</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≥12万</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4万</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指标4：档案卷宗上架数量</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≥12万</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4万</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val="restart"/>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质量指标</w:t>
            </w: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指标1：档案数字化加工合格率</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100%</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99%</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5</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4</w:t>
            </w:r>
          </w:p>
        </w:tc>
        <w:tc>
          <w:tcPr>
            <w:tcW w:w="141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提高质量</w:t>
            </w: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指标2：案卷装订合格率</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100%</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100%</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5</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5</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指标3：图像数据挂接正确率</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100%</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98%</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4</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w:t>
            </w:r>
          </w:p>
        </w:tc>
        <w:tc>
          <w:tcPr>
            <w:tcW w:w="141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提高质量</w:t>
            </w: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指标4：档案卷宗上架率</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100%</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100%</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指标5：档案损坏和丢失率</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0</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0</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3</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kern w:val="0"/>
              </w:rPr>
            </w:pPr>
          </w:p>
        </w:tc>
      </w:tr>
      <w:tr w:rsidR="001C4348">
        <w:trPr>
          <w:trHeight w:val="1455"/>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val="restart"/>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时效指标</w:t>
            </w: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指标1：档案数字化加工时间</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rPr>
                <w:rFonts w:ascii="仿宋_GB2312" w:eastAsia="仿宋_GB2312" w:hAnsi="宋体" w:cs="宋体"/>
                <w:color w:val="000000"/>
                <w:kern w:val="0"/>
              </w:rPr>
            </w:pPr>
            <w:r>
              <w:rPr>
                <w:rFonts w:ascii="仿宋_GB2312" w:eastAsia="仿宋_GB2312" w:hAnsi="宋体" w:cs="宋体" w:hint="eastAsia"/>
                <w:color w:val="000000"/>
                <w:kern w:val="0"/>
              </w:rPr>
              <w:t>若移交的卷宗不超过300件/日，则在接收当日起7个工作日，超过300件的，在上一条的基础上每超过300件增加7个工作日</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完成</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3</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3</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指标2：档案卷宗上架时间</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80" w:lineRule="atLeast"/>
              <w:rPr>
                <w:rFonts w:ascii="仿宋_GB2312" w:eastAsia="仿宋_GB2312" w:hAnsi="宋体" w:cs="宋体"/>
                <w:color w:val="000000"/>
                <w:kern w:val="0"/>
              </w:rPr>
            </w:pPr>
            <w:r>
              <w:rPr>
                <w:rFonts w:ascii="仿宋_GB2312" w:eastAsia="仿宋_GB2312" w:hAnsi="宋体" w:cs="宋体" w:hint="eastAsia"/>
                <w:color w:val="000000"/>
                <w:kern w:val="0"/>
              </w:rPr>
              <w:t>若移交的卷宗不超过300件/日，则在接收当日起7个工作日，超过300件的，在上一条的基础上每超过300件增加7个工作日</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完成</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3</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3</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指标3：验收时间</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80" w:lineRule="atLeast"/>
              <w:rPr>
                <w:rFonts w:ascii="仿宋_GB2312" w:hAnsi="宋体" w:cs="宋体"/>
                <w:color w:val="000000"/>
                <w:kern w:val="0"/>
              </w:rPr>
            </w:pPr>
            <w:r>
              <w:rPr>
                <w:rFonts w:ascii="仿宋_GB2312" w:eastAsia="仿宋_GB2312" w:hAnsi="宋体" w:cs="宋体" w:hint="eastAsia"/>
                <w:color w:val="000000"/>
                <w:kern w:val="0"/>
              </w:rPr>
              <w:t>每月15日前对上一自然月的全部扫描案件进行验收</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完成</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3</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3</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指标4：图像数据挂接</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80" w:lineRule="atLeast"/>
              <w:rPr>
                <w:rFonts w:ascii="仿宋_GB2312" w:eastAsia="仿宋_GB2312" w:hAnsi="宋体" w:cs="宋体"/>
                <w:color w:val="000000"/>
                <w:kern w:val="0"/>
              </w:rPr>
            </w:pPr>
            <w:r>
              <w:rPr>
                <w:rFonts w:ascii="仿宋_GB2312" w:eastAsia="仿宋_GB2312" w:hAnsi="宋体" w:cs="宋体" w:hint="eastAsia"/>
                <w:color w:val="000000"/>
                <w:kern w:val="0"/>
              </w:rPr>
              <w:t>若移交的卷宗不超过300件/日，则在接收当日起7个工作日，超过300件的，在上一条的基础上每超过300件增加7个工作日</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完成</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3</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3</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val="restart"/>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成本指标</w:t>
            </w: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指标1：项目预算控制数</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kern w:val="0"/>
              </w:rPr>
              <w:t>375</w:t>
            </w:r>
            <w:r>
              <w:rPr>
                <w:rFonts w:ascii="仿宋_GB2312" w:eastAsia="仿宋_GB2312" w:hAnsi="宋体" w:cs="宋体" w:hint="eastAsia"/>
                <w:color w:val="000000"/>
                <w:kern w:val="0"/>
              </w:rPr>
              <w:t>万</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完成</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3</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3</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指标2：装订用具成本</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≤5万</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完成</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3</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3</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val="restart"/>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效益指标</w:t>
            </w:r>
          </w:p>
        </w:tc>
        <w:tc>
          <w:tcPr>
            <w:tcW w:w="1105" w:type="dxa"/>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经济效益</w:t>
            </w:r>
          </w:p>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w:t>
            </w: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指标1：诉讼档案查阅和利用率</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kern w:val="0"/>
              </w:rPr>
              <w:t>得到提升</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完成</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10</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10</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社会效益</w:t>
            </w:r>
          </w:p>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lastRenderedPageBreak/>
              <w:t>指标</w:t>
            </w: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lastRenderedPageBreak/>
              <w:t>-</w:t>
            </w:r>
          </w:p>
        </w:tc>
        <w:tc>
          <w:tcPr>
            <w:tcW w:w="1414"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c>
          <w:tcPr>
            <w:tcW w:w="771" w:type="dxa"/>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c>
          <w:tcPr>
            <w:tcW w:w="56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c>
          <w:tcPr>
            <w:tcW w:w="56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生态效益</w:t>
            </w:r>
          </w:p>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w:t>
            </w: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w:t>
            </w:r>
          </w:p>
        </w:tc>
        <w:tc>
          <w:tcPr>
            <w:tcW w:w="1414"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c>
          <w:tcPr>
            <w:tcW w:w="771" w:type="dxa"/>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c>
          <w:tcPr>
            <w:tcW w:w="56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c>
          <w:tcPr>
            <w:tcW w:w="56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color w:val="000000"/>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val="restart"/>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可持续影响指标</w:t>
            </w: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指标1：档案服务和利用水平</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kern w:val="0"/>
              </w:rPr>
              <w:t>得到提升</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color w:val="000000"/>
                <w:kern w:val="0"/>
              </w:rPr>
              <w:t>完成</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10</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10</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105" w:type="dxa"/>
            <w:vMerge/>
            <w:tcBorders>
              <w:top w:val="nil"/>
              <w:left w:val="nil"/>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指标2：纸质档案的流转和损坏丢失</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kern w:val="0"/>
              </w:rPr>
              <w:t>大幅降低</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color w:val="000000"/>
                <w:kern w:val="0"/>
              </w:rPr>
              <w:t>完成</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10</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10</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kern w:val="0"/>
              </w:rPr>
            </w:pPr>
          </w:p>
        </w:tc>
      </w:tr>
      <w:tr w:rsidR="001C4348">
        <w:trPr>
          <w:trHeight w:val="306"/>
          <w:jc w:val="center"/>
        </w:trPr>
        <w:tc>
          <w:tcPr>
            <w:tcW w:w="585" w:type="dxa"/>
            <w:vMerge/>
            <w:tcBorders>
              <w:top w:val="nil"/>
              <w:left w:val="single" w:sz="4" w:space="0" w:color="auto"/>
              <w:bottom w:val="single" w:sz="4" w:space="0" w:color="auto"/>
              <w:right w:val="single" w:sz="4" w:space="0" w:color="auto"/>
            </w:tcBorders>
            <w:vAlign w:val="center"/>
          </w:tcPr>
          <w:p w:rsidR="001C4348" w:rsidRDefault="001C4348">
            <w:pPr>
              <w:widowControl/>
              <w:jc w:val="left"/>
              <w:rPr>
                <w:rFonts w:ascii="仿宋_GB2312" w:eastAsia="仿宋_GB2312" w:hAnsi="宋体" w:cs="宋体"/>
                <w:kern w:val="0"/>
              </w:rPr>
            </w:pPr>
          </w:p>
        </w:tc>
        <w:tc>
          <w:tcPr>
            <w:tcW w:w="975" w:type="dxa"/>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满意度</w:t>
            </w:r>
          </w:p>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w:t>
            </w:r>
          </w:p>
        </w:tc>
        <w:tc>
          <w:tcPr>
            <w:tcW w:w="1105" w:type="dxa"/>
            <w:tcBorders>
              <w:top w:val="nil"/>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服务对象满意度标</w:t>
            </w:r>
          </w:p>
        </w:tc>
        <w:tc>
          <w:tcPr>
            <w:tcW w:w="1649"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指标1：查阅和利用档案人员满意度</w:t>
            </w:r>
          </w:p>
        </w:tc>
        <w:tc>
          <w:tcPr>
            <w:tcW w:w="1414"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kern w:val="0"/>
              </w:rPr>
              <w:t>≥95%</w:t>
            </w:r>
          </w:p>
        </w:tc>
        <w:tc>
          <w:tcPr>
            <w:tcW w:w="771" w:type="dxa"/>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95%</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10</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kern w:val="0"/>
              </w:rPr>
            </w:pPr>
            <w:r>
              <w:rPr>
                <w:rFonts w:ascii="仿宋_GB2312" w:eastAsia="仿宋_GB2312" w:hAnsi="宋体" w:cs="宋体" w:hint="eastAsia"/>
                <w:kern w:val="0"/>
              </w:rPr>
              <w:t>10</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kern w:val="0"/>
              </w:rPr>
            </w:pPr>
          </w:p>
        </w:tc>
      </w:tr>
      <w:tr w:rsidR="001C4348">
        <w:trPr>
          <w:trHeigh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总分</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100</w:t>
            </w:r>
          </w:p>
        </w:tc>
        <w:tc>
          <w:tcPr>
            <w:tcW w:w="563" w:type="dxa"/>
            <w:gridSpan w:val="2"/>
            <w:tcBorders>
              <w:top w:val="single" w:sz="4" w:space="0" w:color="auto"/>
              <w:left w:val="nil"/>
              <w:bottom w:val="single" w:sz="4" w:space="0" w:color="auto"/>
              <w:right w:val="single" w:sz="4" w:space="0" w:color="auto"/>
            </w:tcBorders>
            <w:vAlign w:val="center"/>
          </w:tcPr>
          <w:p w:rsidR="001C4348" w:rsidRDefault="006F3264">
            <w:pPr>
              <w:widowControl/>
              <w:spacing w:line="240" w:lineRule="exact"/>
              <w:jc w:val="center"/>
              <w:rPr>
                <w:rFonts w:ascii="仿宋_GB2312" w:eastAsia="仿宋_GB2312" w:hAnsi="宋体" w:cs="宋体"/>
                <w:color w:val="000000"/>
                <w:kern w:val="0"/>
              </w:rPr>
            </w:pPr>
            <w:r>
              <w:rPr>
                <w:rFonts w:ascii="仿宋_GB2312" w:eastAsia="仿宋_GB2312" w:hAnsi="宋体" w:cs="宋体" w:hint="eastAsia"/>
                <w:color w:val="000000"/>
                <w:kern w:val="0"/>
              </w:rPr>
              <w:t>98</w:t>
            </w:r>
          </w:p>
        </w:tc>
        <w:tc>
          <w:tcPr>
            <w:tcW w:w="1413" w:type="dxa"/>
            <w:gridSpan w:val="2"/>
            <w:tcBorders>
              <w:top w:val="single" w:sz="4" w:space="0" w:color="auto"/>
              <w:left w:val="nil"/>
              <w:bottom w:val="single" w:sz="4" w:space="0" w:color="auto"/>
              <w:right w:val="single" w:sz="4" w:space="0" w:color="auto"/>
            </w:tcBorders>
            <w:vAlign w:val="center"/>
          </w:tcPr>
          <w:p w:rsidR="001C4348" w:rsidRDefault="001C4348">
            <w:pPr>
              <w:widowControl/>
              <w:spacing w:line="240" w:lineRule="exact"/>
              <w:jc w:val="center"/>
              <w:rPr>
                <w:rFonts w:ascii="仿宋_GB2312" w:eastAsia="仿宋_GB2312" w:hAnsi="宋体" w:cs="宋体"/>
                <w:kern w:val="0"/>
              </w:rPr>
            </w:pPr>
          </w:p>
        </w:tc>
      </w:tr>
    </w:tbl>
    <w:p w:rsidR="001C4348" w:rsidRDefault="001C4348">
      <w:pPr>
        <w:rPr>
          <w:rFonts w:ascii="仿宋_GB2312" w:eastAsia="仿宋_GB2312"/>
          <w:vanish/>
          <w:sz w:val="32"/>
          <w:szCs w:val="32"/>
        </w:rPr>
      </w:pPr>
    </w:p>
    <w:p w:rsidR="001C4348" w:rsidRDefault="001C4348"/>
    <w:sectPr w:rsidR="001C4348" w:rsidSect="001C43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7E8" w:rsidRDefault="008F07E8" w:rsidP="0020067A">
      <w:r>
        <w:separator/>
      </w:r>
    </w:p>
  </w:endnote>
  <w:endnote w:type="continuationSeparator" w:id="1">
    <w:p w:rsidR="008F07E8" w:rsidRDefault="008F07E8" w:rsidP="002006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00000000000000000"/>
    <w:charset w:val="86"/>
    <w:family w:val="auto"/>
    <w:pitch w:val="variable"/>
    <w:sig w:usb0="A00002BF" w:usb1="184F6CFA" w:usb2="00000012"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7E8" w:rsidRDefault="008F07E8" w:rsidP="0020067A">
      <w:r>
        <w:separator/>
      </w:r>
    </w:p>
  </w:footnote>
  <w:footnote w:type="continuationSeparator" w:id="1">
    <w:p w:rsidR="008F07E8" w:rsidRDefault="008F07E8" w:rsidP="002006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zU0Y2ZlMjZlMDJiOWE1Y2NiYmViYzU5YmMxNmY5MWEifQ=="/>
  </w:docVars>
  <w:rsids>
    <w:rsidRoot w:val="006F51D3"/>
    <w:rsid w:val="001C4348"/>
    <w:rsid w:val="0020067A"/>
    <w:rsid w:val="005F0C99"/>
    <w:rsid w:val="006F3264"/>
    <w:rsid w:val="006F51D3"/>
    <w:rsid w:val="008F07E8"/>
    <w:rsid w:val="00AE113F"/>
    <w:rsid w:val="00B135FD"/>
    <w:rsid w:val="00F90B03"/>
    <w:rsid w:val="2169341D"/>
    <w:rsid w:val="34966334"/>
    <w:rsid w:val="5B2744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348"/>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06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067A"/>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20067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067A"/>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216</Words>
  <Characters>1233</Characters>
  <Application>Microsoft Office Word</Application>
  <DocSecurity>0</DocSecurity>
  <Lines>10</Lines>
  <Paragraphs>2</Paragraphs>
  <ScaleCrop>false</ScaleCrop>
  <Company>Lenovo</Company>
  <LinksUpToDate>false</LinksUpToDate>
  <CharactersWithSpaces>1447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2023-05-19T07:57:00Z</dcterms:created>
  <dcterms:modified xsi:type="dcterms:W3CDTF">2023-08-25T03:25:00Z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390845F93A8C4BFB96222E34E5868D43_12</vt:lpwstr>
  </property>
</Properties>
</file>