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ascii="黑体" w:hAnsi="黑体" w:eastAsia="黑体"/>
          <w:sz w:val="32"/>
          <w:szCs w:val="32"/>
        </w:rPr>
      </w:pPr>
      <w:r>
        <w:rPr>
          <w:rFonts w:hint="eastAsia" w:ascii="黑体" w:hAnsi="黑体" w:eastAsia="黑体"/>
          <w:sz w:val="32"/>
          <w:szCs w:val="32"/>
        </w:rPr>
        <w:t>附件</w:t>
      </w:r>
    </w:p>
    <w:p>
      <w:pPr>
        <w:spacing w:line="480" w:lineRule="exact"/>
        <w:jc w:val="center"/>
        <w:rPr>
          <w:rFonts w:ascii="方正小标宋简体" w:hAnsi="黑体" w:eastAsia="方正小标宋简体"/>
          <w:sz w:val="36"/>
          <w:szCs w:val="36"/>
        </w:rPr>
      </w:pPr>
      <w:r>
        <w:rPr>
          <w:rFonts w:hint="eastAsia" w:ascii="方正小标宋简体" w:hAnsi="方正小标宋简体" w:eastAsia="方正小标宋简体"/>
          <w:sz w:val="36"/>
          <w:szCs w:val="36"/>
        </w:rPr>
        <w:t>项目支出绩效自评表</w:t>
      </w:r>
    </w:p>
    <w:p>
      <w:pPr>
        <w:spacing w:line="480" w:lineRule="exact"/>
        <w:jc w:val="center"/>
        <w:rPr>
          <w:rFonts w:ascii="仿宋_GB2312" w:hAnsi="宋体" w:eastAsia="仿宋_GB2312"/>
          <w:sz w:val="28"/>
          <w:szCs w:val="28"/>
        </w:rPr>
      </w:pPr>
      <w:r>
        <w:rPr>
          <w:rFonts w:hint="eastAsia" w:ascii="仿宋_GB2312" w:hAnsi="宋体" w:eastAsia="仿宋_GB2312"/>
          <w:sz w:val="28"/>
          <w:szCs w:val="28"/>
        </w:rPr>
        <w:t>（2022年度）</w:t>
      </w:r>
    </w:p>
    <w:p>
      <w:pPr>
        <w:spacing w:line="240" w:lineRule="exact"/>
        <w:rPr>
          <w:rFonts w:ascii="仿宋_GB2312" w:hAnsi="宋体" w:eastAsia="仿宋_GB2312"/>
          <w:sz w:val="30"/>
          <w:szCs w:val="30"/>
        </w:rPr>
      </w:pPr>
      <w:r>
        <w:rPr>
          <w:rFonts w:hint="eastAsia" w:ascii="仿宋_GB2312" w:hAnsi="宋体" w:eastAsia="仿宋_GB2312"/>
          <w:sz w:val="30"/>
          <w:szCs w:val="30"/>
        </w:rPr>
        <w:t xml:space="preserve"> </w:t>
      </w:r>
    </w:p>
    <w:tbl>
      <w:tblPr>
        <w:tblStyle w:val="4"/>
        <w:tblW w:w="11837" w:type="dxa"/>
        <w:jc w:val="center"/>
        <w:tblLayout w:type="fixed"/>
        <w:tblCellMar>
          <w:top w:w="0" w:type="dxa"/>
          <w:left w:w="108" w:type="dxa"/>
          <w:bottom w:w="0" w:type="dxa"/>
          <w:right w:w="108" w:type="dxa"/>
        </w:tblCellMar>
      </w:tblPr>
      <w:tblGrid>
        <w:gridCol w:w="585"/>
        <w:gridCol w:w="975"/>
        <w:gridCol w:w="1105"/>
        <w:gridCol w:w="579"/>
        <w:gridCol w:w="1275"/>
        <w:gridCol w:w="283"/>
        <w:gridCol w:w="1300"/>
        <w:gridCol w:w="1060"/>
        <w:gridCol w:w="212"/>
        <w:gridCol w:w="494"/>
        <w:gridCol w:w="218"/>
        <w:gridCol w:w="632"/>
        <w:gridCol w:w="166"/>
        <w:gridCol w:w="2953"/>
      </w:tblGrid>
      <w:tr>
        <w:tblPrEx>
          <w:tblCellMar>
            <w:top w:w="0" w:type="dxa"/>
            <w:left w:w="108" w:type="dxa"/>
            <w:bottom w:w="0" w:type="dxa"/>
            <w:right w:w="108" w:type="dxa"/>
          </w:tblCellMar>
        </w:tblPrEx>
        <w:trPr>
          <w:trHeight w:val="306" w:hRule="atLeas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项目名称</w:t>
            </w:r>
          </w:p>
        </w:tc>
        <w:tc>
          <w:tcPr>
            <w:tcW w:w="10277"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法院业务装备费</w:t>
            </w:r>
          </w:p>
        </w:tc>
      </w:tr>
      <w:tr>
        <w:tblPrEx>
          <w:tblCellMar>
            <w:top w:w="0" w:type="dxa"/>
            <w:left w:w="108" w:type="dxa"/>
            <w:bottom w:w="0" w:type="dxa"/>
            <w:right w:w="108" w:type="dxa"/>
          </w:tblCellMar>
        </w:tblPrEx>
        <w:trPr>
          <w:trHeight w:val="306" w:hRule="atLeas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主管部门</w:t>
            </w:r>
          </w:p>
        </w:tc>
        <w:tc>
          <w:tcPr>
            <w:tcW w:w="45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北京市海淀区人民法院</w:t>
            </w:r>
          </w:p>
        </w:tc>
        <w:tc>
          <w:tcPr>
            <w:tcW w:w="127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实施单位</w:t>
            </w:r>
          </w:p>
        </w:tc>
        <w:tc>
          <w:tcPr>
            <w:tcW w:w="4463"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北京市海淀区人民法院（本级）</w:t>
            </w:r>
          </w:p>
        </w:tc>
      </w:tr>
      <w:tr>
        <w:tblPrEx>
          <w:tblCellMar>
            <w:top w:w="0" w:type="dxa"/>
            <w:left w:w="108" w:type="dxa"/>
            <w:bottom w:w="0" w:type="dxa"/>
            <w:right w:w="108" w:type="dxa"/>
          </w:tblCellMar>
        </w:tblPrEx>
        <w:trPr>
          <w:trHeight w:val="306" w:hRule="atLeas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项目负责人</w:t>
            </w:r>
          </w:p>
        </w:tc>
        <w:tc>
          <w:tcPr>
            <w:tcW w:w="45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李正</w:t>
            </w:r>
          </w:p>
        </w:tc>
        <w:tc>
          <w:tcPr>
            <w:tcW w:w="127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联系电话</w:t>
            </w:r>
          </w:p>
        </w:tc>
        <w:tc>
          <w:tcPr>
            <w:tcW w:w="4463"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w:t>
            </w:r>
          </w:p>
        </w:tc>
      </w:tr>
      <w:tr>
        <w:tblPrEx>
          <w:tblCellMar>
            <w:top w:w="0" w:type="dxa"/>
            <w:left w:w="108" w:type="dxa"/>
            <w:bottom w:w="0" w:type="dxa"/>
            <w:right w:w="108" w:type="dxa"/>
          </w:tblCellMar>
        </w:tblPrEx>
        <w:trPr>
          <w:trHeight w:val="567" w:hRule="atLeast"/>
          <w:jc w:val="center"/>
        </w:trPr>
        <w:tc>
          <w:tcPr>
            <w:tcW w:w="1560" w:type="dxa"/>
            <w:gridSpan w:val="2"/>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项目资金</w:t>
            </w:r>
            <w:r>
              <w:rPr>
                <w:rFonts w:hint="eastAsia" w:ascii="仿宋_GB2312" w:hAnsi="宋体" w:eastAsia="仿宋_GB2312" w:cs="宋体"/>
                <w:kern w:val="0"/>
              </w:rPr>
              <w:br w:type="textWrapping"/>
            </w:r>
            <w:r>
              <w:rPr>
                <w:rFonts w:hint="eastAsia" w:ascii="仿宋_GB2312" w:hAnsi="宋体" w:eastAsia="仿宋_GB2312" w:cs="宋体"/>
                <w:kern w:val="0"/>
              </w:rPr>
              <w:t>（万元）</w:t>
            </w:r>
          </w:p>
        </w:tc>
        <w:tc>
          <w:tcPr>
            <w:tcW w:w="168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p>
        </w:tc>
        <w:tc>
          <w:tcPr>
            <w:tcW w:w="1275"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年初预</w:t>
            </w:r>
          </w:p>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算数</w:t>
            </w:r>
          </w:p>
        </w:tc>
        <w:tc>
          <w:tcPr>
            <w:tcW w:w="1583"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全年预</w:t>
            </w:r>
          </w:p>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算数</w:t>
            </w:r>
          </w:p>
        </w:tc>
        <w:tc>
          <w:tcPr>
            <w:tcW w:w="127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全年</w:t>
            </w:r>
          </w:p>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执行数</w:t>
            </w:r>
          </w:p>
        </w:tc>
        <w:tc>
          <w:tcPr>
            <w:tcW w:w="494"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分值</w:t>
            </w:r>
          </w:p>
        </w:tc>
        <w:tc>
          <w:tcPr>
            <w:tcW w:w="85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执行率</w:t>
            </w:r>
          </w:p>
        </w:tc>
        <w:tc>
          <w:tcPr>
            <w:tcW w:w="3119"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得分</w:t>
            </w:r>
          </w:p>
        </w:tc>
      </w:tr>
      <w:tr>
        <w:tblPrEx>
          <w:tblCellMar>
            <w:top w:w="0" w:type="dxa"/>
            <w:left w:w="108" w:type="dxa"/>
            <w:bottom w:w="0" w:type="dxa"/>
            <w:right w:w="108" w:type="dxa"/>
          </w:tblCellMar>
        </w:tblPrEx>
        <w:trPr>
          <w:trHeight w:val="306" w:hRule="atLeast"/>
          <w:jc w:val="center"/>
        </w:trPr>
        <w:tc>
          <w:tcPr>
            <w:tcW w:w="1560"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1684"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rPr>
            </w:pPr>
            <w:r>
              <w:rPr>
                <w:rFonts w:hint="eastAsia" w:ascii="仿宋_GB2312" w:hAnsi="宋体" w:eastAsia="仿宋_GB2312" w:cs="宋体"/>
                <w:kern w:val="0"/>
              </w:rPr>
              <w:t>年度资金总额</w:t>
            </w:r>
          </w:p>
        </w:tc>
        <w:tc>
          <w:tcPr>
            <w:tcW w:w="1275"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36</w:t>
            </w:r>
            <w:r>
              <w:rPr>
                <w:rFonts w:ascii="仿宋_GB2312" w:hAnsi="宋体" w:eastAsia="仿宋_GB2312" w:cs="宋体"/>
                <w:kern w:val="0"/>
              </w:rPr>
              <w:t>9.596494</w:t>
            </w:r>
          </w:p>
        </w:tc>
        <w:tc>
          <w:tcPr>
            <w:tcW w:w="1583"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36</w:t>
            </w:r>
            <w:r>
              <w:rPr>
                <w:rFonts w:ascii="仿宋_GB2312" w:hAnsi="宋体" w:eastAsia="仿宋_GB2312" w:cs="宋体"/>
                <w:kern w:val="0"/>
              </w:rPr>
              <w:t>9.596494</w:t>
            </w:r>
          </w:p>
        </w:tc>
        <w:tc>
          <w:tcPr>
            <w:tcW w:w="127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355.040980</w:t>
            </w:r>
          </w:p>
        </w:tc>
        <w:tc>
          <w:tcPr>
            <w:tcW w:w="494"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10</w:t>
            </w:r>
          </w:p>
        </w:tc>
        <w:tc>
          <w:tcPr>
            <w:tcW w:w="85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96.06%</w:t>
            </w:r>
          </w:p>
        </w:tc>
        <w:tc>
          <w:tcPr>
            <w:tcW w:w="3119"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9.61</w:t>
            </w:r>
          </w:p>
        </w:tc>
      </w:tr>
      <w:tr>
        <w:tblPrEx>
          <w:tblCellMar>
            <w:top w:w="0" w:type="dxa"/>
            <w:left w:w="108" w:type="dxa"/>
            <w:bottom w:w="0" w:type="dxa"/>
            <w:right w:w="108" w:type="dxa"/>
          </w:tblCellMar>
        </w:tblPrEx>
        <w:trPr>
          <w:trHeight w:val="601" w:hRule="atLeast"/>
          <w:jc w:val="center"/>
        </w:trPr>
        <w:tc>
          <w:tcPr>
            <w:tcW w:w="1560"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168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其中：当年财政</w:t>
            </w:r>
          </w:p>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拨款</w:t>
            </w:r>
          </w:p>
        </w:tc>
        <w:tc>
          <w:tcPr>
            <w:tcW w:w="1275"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350.00</w:t>
            </w:r>
          </w:p>
        </w:tc>
        <w:tc>
          <w:tcPr>
            <w:tcW w:w="1583"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350.00</w:t>
            </w:r>
          </w:p>
        </w:tc>
        <w:tc>
          <w:tcPr>
            <w:tcW w:w="127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ascii="仿宋_GB2312" w:hAnsi="宋体" w:eastAsia="仿宋_GB2312" w:cs="宋体"/>
                <w:kern w:val="0"/>
              </w:rPr>
              <w:t>335.444486</w:t>
            </w:r>
          </w:p>
        </w:tc>
        <w:tc>
          <w:tcPr>
            <w:tcW w:w="494"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w:t>
            </w:r>
          </w:p>
        </w:tc>
        <w:tc>
          <w:tcPr>
            <w:tcW w:w="85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p>
        </w:tc>
        <w:tc>
          <w:tcPr>
            <w:tcW w:w="3119"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w:t>
            </w:r>
          </w:p>
        </w:tc>
      </w:tr>
      <w:tr>
        <w:tblPrEx>
          <w:tblCellMar>
            <w:top w:w="0" w:type="dxa"/>
            <w:left w:w="108" w:type="dxa"/>
            <w:bottom w:w="0" w:type="dxa"/>
            <w:right w:w="108" w:type="dxa"/>
          </w:tblCellMar>
        </w:tblPrEx>
        <w:trPr>
          <w:trHeight w:val="567" w:hRule="atLeast"/>
          <w:jc w:val="center"/>
        </w:trPr>
        <w:tc>
          <w:tcPr>
            <w:tcW w:w="1560"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168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 xml:space="preserve"> 上年结转资金</w:t>
            </w:r>
          </w:p>
        </w:tc>
        <w:tc>
          <w:tcPr>
            <w:tcW w:w="1275"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ascii="仿宋_GB2312" w:hAnsi="宋体" w:eastAsia="仿宋_GB2312" w:cs="宋体"/>
                <w:kern w:val="0"/>
              </w:rPr>
              <w:t>19.596494</w:t>
            </w:r>
          </w:p>
        </w:tc>
        <w:tc>
          <w:tcPr>
            <w:tcW w:w="1583"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ascii="仿宋_GB2312" w:hAnsi="宋体" w:eastAsia="仿宋_GB2312" w:cs="宋体"/>
                <w:kern w:val="0"/>
              </w:rPr>
              <w:t>19.596494</w:t>
            </w:r>
          </w:p>
        </w:tc>
        <w:tc>
          <w:tcPr>
            <w:tcW w:w="127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ascii="仿宋_GB2312" w:hAnsi="宋体" w:eastAsia="仿宋_GB2312" w:cs="宋体"/>
                <w:kern w:val="0"/>
              </w:rPr>
              <w:t>19.596494</w:t>
            </w:r>
          </w:p>
        </w:tc>
        <w:tc>
          <w:tcPr>
            <w:tcW w:w="494"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w:t>
            </w:r>
          </w:p>
        </w:tc>
        <w:tc>
          <w:tcPr>
            <w:tcW w:w="85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p>
        </w:tc>
        <w:tc>
          <w:tcPr>
            <w:tcW w:w="3119"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w:t>
            </w:r>
          </w:p>
        </w:tc>
      </w:tr>
      <w:tr>
        <w:tblPrEx>
          <w:tblCellMar>
            <w:top w:w="0" w:type="dxa"/>
            <w:left w:w="108" w:type="dxa"/>
            <w:bottom w:w="0" w:type="dxa"/>
            <w:right w:w="108" w:type="dxa"/>
          </w:tblCellMar>
        </w:tblPrEx>
        <w:trPr>
          <w:trHeight w:val="306" w:hRule="atLeast"/>
          <w:jc w:val="center"/>
        </w:trPr>
        <w:tc>
          <w:tcPr>
            <w:tcW w:w="1560"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168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 xml:space="preserve">  其他资金</w:t>
            </w:r>
          </w:p>
        </w:tc>
        <w:tc>
          <w:tcPr>
            <w:tcW w:w="1275"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0</w:t>
            </w:r>
          </w:p>
        </w:tc>
        <w:tc>
          <w:tcPr>
            <w:tcW w:w="1583"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0</w:t>
            </w:r>
          </w:p>
        </w:tc>
        <w:tc>
          <w:tcPr>
            <w:tcW w:w="127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0</w:t>
            </w:r>
          </w:p>
        </w:tc>
        <w:tc>
          <w:tcPr>
            <w:tcW w:w="494"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w:t>
            </w:r>
          </w:p>
        </w:tc>
        <w:tc>
          <w:tcPr>
            <w:tcW w:w="85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p>
        </w:tc>
        <w:tc>
          <w:tcPr>
            <w:tcW w:w="3119"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w:t>
            </w:r>
          </w:p>
        </w:tc>
      </w:tr>
      <w:tr>
        <w:tblPrEx>
          <w:tblCellMar>
            <w:top w:w="0" w:type="dxa"/>
            <w:left w:w="108" w:type="dxa"/>
            <w:bottom w:w="0" w:type="dxa"/>
            <w:right w:w="108" w:type="dxa"/>
          </w:tblCellMar>
        </w:tblPrEx>
        <w:trPr>
          <w:trHeight w:val="548" w:hRule="atLeast"/>
          <w:jc w:val="center"/>
        </w:trPr>
        <w:tc>
          <w:tcPr>
            <w:tcW w:w="585"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年度总体目标</w:t>
            </w:r>
          </w:p>
        </w:tc>
        <w:tc>
          <w:tcPr>
            <w:tcW w:w="5517"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预期目标</w:t>
            </w:r>
          </w:p>
        </w:tc>
        <w:tc>
          <w:tcPr>
            <w:tcW w:w="573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实际完成情况</w:t>
            </w:r>
          </w:p>
        </w:tc>
      </w:tr>
      <w:tr>
        <w:tblPrEx>
          <w:tblCellMar>
            <w:top w:w="0" w:type="dxa"/>
            <w:left w:w="108" w:type="dxa"/>
            <w:bottom w:w="0" w:type="dxa"/>
            <w:right w:w="108" w:type="dxa"/>
          </w:tblCellMar>
        </w:tblPrEx>
        <w:trPr>
          <w:trHeight w:val="1597" w:hRule="atLeas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5517"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lang w:val="en-US" w:eastAsia="zh-CN"/>
              </w:rPr>
              <w:t xml:space="preserve">    </w:t>
            </w:r>
            <w:r>
              <w:rPr>
                <w:rFonts w:hint="eastAsia" w:ascii="仿宋_GB2312" w:hAnsi="宋体" w:eastAsia="仿宋_GB2312" w:cs="宋体"/>
                <w:kern w:val="0"/>
              </w:rPr>
              <w:t>深入贯彻落实党的指示精神和习近平总书记重要讲话，全面依法履行审判职能，积极稳妥的落实司法改革任务，积极回应人民群众对推进法治建设、维护司法公正的期待，坚持司法为民、公正司法，努力让人民群众在每一个司法案件中都感受到公平正义。切实发挥审判业务经费使用效益，努力发挥人民法院在践行社会主义核心价值观和全面深化改革中的职能作用，为首都经济社会发展提供坚强司法保障。</w:t>
            </w:r>
          </w:p>
        </w:tc>
        <w:tc>
          <w:tcPr>
            <w:tcW w:w="573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 xml:space="preserve">    保障办案所需装备，保障审判、执行工作的顺利开展。2022年，在区委的领导、区人大及其常委会的监督、区政府的支持、区政协的民主监督、上级法院的指导下，我院坚持以习近平新时代中国特色社会主义思想为指导，全面贯彻党的十九大和十九届历次全会精神，深入学习宣传贯彻党的二十大精神，深入贯彻习近平法治思想，贯彻新发展理念，落实高质量发展要求，坚持服务大局、司法为民、公正司法，坚持“五位一体”工作格局，以精准服务、精细管理、精品裁判、精心育才推动法院精进发展，为落实市、区第十三次党代会精神，全面实施“十四五”规划，高水平建设北京国际科技创新中心核心区提供有力司法保障。</w:t>
            </w:r>
          </w:p>
        </w:tc>
      </w:tr>
      <w:tr>
        <w:tblPrEx>
          <w:tblCellMar>
            <w:top w:w="0" w:type="dxa"/>
            <w:left w:w="108" w:type="dxa"/>
            <w:bottom w:w="0" w:type="dxa"/>
            <w:right w:w="108" w:type="dxa"/>
          </w:tblCellMar>
        </w:tblPrEx>
        <w:trPr>
          <w:trHeight w:val="830" w:hRule="atLeast"/>
          <w:jc w:val="center"/>
        </w:trPr>
        <w:tc>
          <w:tcPr>
            <w:tcW w:w="585"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绩</w:t>
            </w:r>
            <w:r>
              <w:rPr>
                <w:rFonts w:hint="eastAsia" w:ascii="仿宋_GB2312" w:hAnsi="宋体" w:eastAsia="仿宋_GB2312" w:cs="宋体"/>
                <w:kern w:val="0"/>
              </w:rPr>
              <w:br w:type="textWrapping"/>
            </w:r>
            <w:r>
              <w:rPr>
                <w:rFonts w:hint="eastAsia" w:ascii="仿宋_GB2312" w:hAnsi="宋体" w:eastAsia="仿宋_GB2312" w:cs="宋体"/>
                <w:kern w:val="0"/>
              </w:rPr>
              <w:t>效</w:t>
            </w:r>
            <w:r>
              <w:rPr>
                <w:rFonts w:hint="eastAsia" w:ascii="仿宋_GB2312" w:hAnsi="宋体" w:eastAsia="仿宋_GB2312" w:cs="宋体"/>
                <w:kern w:val="0"/>
              </w:rPr>
              <w:br w:type="textWrapping"/>
            </w:r>
            <w:r>
              <w:rPr>
                <w:rFonts w:hint="eastAsia" w:ascii="仿宋_GB2312" w:hAnsi="宋体" w:eastAsia="仿宋_GB2312" w:cs="宋体"/>
                <w:kern w:val="0"/>
              </w:rPr>
              <w:t>指</w:t>
            </w:r>
            <w:r>
              <w:rPr>
                <w:rFonts w:hint="eastAsia" w:ascii="仿宋_GB2312" w:hAnsi="宋体" w:eastAsia="仿宋_GB2312" w:cs="宋体"/>
                <w:kern w:val="0"/>
              </w:rPr>
              <w:br w:type="textWrapping"/>
            </w:r>
            <w:r>
              <w:rPr>
                <w:rFonts w:hint="eastAsia" w:ascii="仿宋_GB2312" w:hAnsi="宋体" w:eastAsia="仿宋_GB2312" w:cs="宋体"/>
                <w:kern w:val="0"/>
              </w:rPr>
              <w:t>标</w:t>
            </w:r>
          </w:p>
        </w:tc>
        <w:tc>
          <w:tcPr>
            <w:tcW w:w="9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一级指标</w:t>
            </w:r>
          </w:p>
        </w:tc>
        <w:tc>
          <w:tcPr>
            <w:tcW w:w="110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二级指标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三级指标</w:t>
            </w:r>
          </w:p>
        </w:tc>
        <w:tc>
          <w:tcPr>
            <w:tcW w:w="130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年度</w:t>
            </w:r>
          </w:p>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指标值</w:t>
            </w:r>
          </w:p>
        </w:tc>
        <w:tc>
          <w:tcPr>
            <w:tcW w:w="106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实际</w:t>
            </w:r>
          </w:p>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完成值</w:t>
            </w:r>
          </w:p>
        </w:tc>
        <w:tc>
          <w:tcPr>
            <w:tcW w:w="92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分值</w:t>
            </w:r>
          </w:p>
        </w:tc>
        <w:tc>
          <w:tcPr>
            <w:tcW w:w="79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得分</w:t>
            </w:r>
          </w:p>
        </w:tc>
        <w:tc>
          <w:tcPr>
            <w:tcW w:w="295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偏差原因分析及改进</w:t>
            </w:r>
          </w:p>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措施</w:t>
            </w:r>
          </w:p>
        </w:tc>
      </w:tr>
      <w:tr>
        <w:tblPrEx>
          <w:tblCellMar>
            <w:top w:w="0" w:type="dxa"/>
            <w:left w:w="108" w:type="dxa"/>
            <w:bottom w:w="0" w:type="dxa"/>
            <w:right w:w="108" w:type="dxa"/>
          </w:tblCellMar>
        </w:tblPrEx>
        <w:trPr>
          <w:trHeight w:val="306" w:hRule="atLeas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975" w:type="dxa"/>
            <w:vMerge w:val="restart"/>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产出指标</w:t>
            </w:r>
          </w:p>
        </w:tc>
        <w:tc>
          <w:tcPr>
            <w:tcW w:w="1105" w:type="dxa"/>
            <w:vMerge w:val="restart"/>
            <w:tcBorders>
              <w:top w:val="single" w:color="auto" w:sz="4" w:space="0"/>
              <w:left w:val="nil"/>
              <w:right w:val="single" w:color="auto" w:sz="4" w:space="0"/>
            </w:tcBorders>
            <w:vAlign w:val="bottom"/>
          </w:tcPr>
          <w:p>
            <w:pPr>
              <w:widowControl/>
              <w:jc w:val="center"/>
              <w:rPr>
                <w:rFonts w:ascii="仿宋_GB2312" w:hAnsi="宋体" w:eastAsia="仿宋_GB2312" w:cs="宋体"/>
                <w:kern w:val="0"/>
              </w:rPr>
            </w:pPr>
            <w:r>
              <w:rPr>
                <w:rFonts w:hint="eastAsia" w:ascii="仿宋_GB2312" w:hAnsi="宋体" w:eastAsia="仿宋_GB2312" w:cs="宋体"/>
                <w:kern w:val="0"/>
              </w:rPr>
              <w:t>数量指标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rPr>
            </w:pPr>
            <w:r>
              <w:rPr>
                <w:rFonts w:hint="eastAsia" w:ascii="仿宋_GB2312" w:hAnsi="宋体" w:eastAsia="仿宋_GB2312" w:cs="宋体"/>
                <w:color w:val="000000"/>
                <w:kern w:val="0"/>
                <w:lang w:val="en-US" w:eastAsia="zh-CN"/>
              </w:rPr>
              <w:t>指标1：</w:t>
            </w:r>
            <w:r>
              <w:rPr>
                <w:rFonts w:hint="eastAsia" w:ascii="仿宋_GB2312" w:hAnsi="宋体" w:eastAsia="仿宋_GB2312" w:cs="宋体"/>
                <w:color w:val="000000"/>
                <w:kern w:val="0"/>
              </w:rPr>
              <w:t>年初预计收结案量</w:t>
            </w:r>
          </w:p>
        </w:tc>
        <w:tc>
          <w:tcPr>
            <w:tcW w:w="130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收案：90788</w:t>
            </w:r>
          </w:p>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结案：90947</w:t>
            </w:r>
          </w:p>
        </w:tc>
        <w:tc>
          <w:tcPr>
            <w:tcW w:w="106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收案：91058</w:t>
            </w:r>
          </w:p>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结案：91077</w:t>
            </w:r>
          </w:p>
        </w:tc>
        <w:tc>
          <w:tcPr>
            <w:tcW w:w="92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5</w:t>
            </w:r>
          </w:p>
        </w:tc>
        <w:tc>
          <w:tcPr>
            <w:tcW w:w="79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5</w:t>
            </w:r>
          </w:p>
        </w:tc>
        <w:tc>
          <w:tcPr>
            <w:tcW w:w="295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p>
        </w:tc>
      </w:tr>
      <w:tr>
        <w:tblPrEx>
          <w:tblCellMar>
            <w:top w:w="0" w:type="dxa"/>
            <w:left w:w="108" w:type="dxa"/>
            <w:bottom w:w="0" w:type="dxa"/>
            <w:right w:w="108" w:type="dxa"/>
          </w:tblCellMar>
        </w:tblPrEx>
        <w:trPr>
          <w:trHeight w:val="306" w:hRule="atLeas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975" w:type="dxa"/>
            <w:vMerge w:val="continue"/>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1105" w:type="dxa"/>
            <w:vMerge w:val="continue"/>
            <w:tcBorders>
              <w:top w:val="nil"/>
              <w:left w:val="nil"/>
              <w:right w:val="single" w:color="auto" w:sz="4" w:space="0"/>
            </w:tcBorders>
            <w:vAlign w:val="bottom"/>
          </w:tcPr>
          <w:p>
            <w:pPr>
              <w:widowControl/>
              <w:jc w:val="center"/>
              <w:rPr>
                <w:rFonts w:ascii="仿宋_GB2312" w:hAnsi="宋体" w:eastAsia="仿宋_GB2312" w:cs="宋体"/>
                <w:kern w:val="0"/>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rPr>
            </w:pPr>
            <w:r>
              <w:rPr>
                <w:rFonts w:hint="eastAsia" w:ascii="仿宋_GB2312" w:hAnsi="宋体" w:eastAsia="仿宋_GB2312" w:cs="宋体"/>
                <w:color w:val="000000"/>
                <w:kern w:val="0"/>
                <w:lang w:val="en-US" w:eastAsia="zh-CN"/>
              </w:rPr>
              <w:t>指标2：</w:t>
            </w:r>
            <w:r>
              <w:rPr>
                <w:rFonts w:hint="eastAsia" w:ascii="仿宋_GB2312" w:hAnsi="宋体" w:eastAsia="仿宋_GB2312" w:cs="宋体"/>
                <w:color w:val="000000"/>
                <w:kern w:val="0"/>
              </w:rPr>
              <w:t>员额法官人均办案工作量</w:t>
            </w:r>
          </w:p>
        </w:tc>
        <w:tc>
          <w:tcPr>
            <w:tcW w:w="130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435.24</w:t>
            </w:r>
          </w:p>
        </w:tc>
        <w:tc>
          <w:tcPr>
            <w:tcW w:w="106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437.9</w:t>
            </w:r>
          </w:p>
        </w:tc>
        <w:tc>
          <w:tcPr>
            <w:tcW w:w="92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5</w:t>
            </w:r>
          </w:p>
        </w:tc>
        <w:tc>
          <w:tcPr>
            <w:tcW w:w="79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5</w:t>
            </w:r>
          </w:p>
        </w:tc>
        <w:tc>
          <w:tcPr>
            <w:tcW w:w="295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p>
        </w:tc>
      </w:tr>
      <w:tr>
        <w:tblPrEx>
          <w:tblCellMar>
            <w:top w:w="0" w:type="dxa"/>
            <w:left w:w="108" w:type="dxa"/>
            <w:bottom w:w="0" w:type="dxa"/>
            <w:right w:w="108" w:type="dxa"/>
          </w:tblCellMar>
        </w:tblPrEx>
        <w:trPr>
          <w:trHeight w:val="306" w:hRule="atLeas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975" w:type="dxa"/>
            <w:vMerge w:val="continue"/>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1105" w:type="dxa"/>
            <w:vMerge w:val="continue"/>
            <w:tcBorders>
              <w:top w:val="nil"/>
              <w:left w:val="nil"/>
              <w:right w:val="single" w:color="auto" w:sz="4" w:space="0"/>
            </w:tcBorders>
            <w:vAlign w:val="bottom"/>
          </w:tcPr>
          <w:p>
            <w:pPr>
              <w:widowControl/>
              <w:jc w:val="center"/>
              <w:rPr>
                <w:rFonts w:ascii="仿宋_GB2312" w:hAnsi="宋体" w:eastAsia="仿宋_GB2312" w:cs="宋体"/>
                <w:kern w:val="0"/>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rPr>
            </w:pPr>
            <w:r>
              <w:rPr>
                <w:rFonts w:hint="eastAsia" w:ascii="仿宋_GB2312" w:hAnsi="宋体" w:eastAsia="仿宋_GB2312" w:cs="宋体"/>
                <w:color w:val="000000"/>
                <w:kern w:val="0"/>
                <w:lang w:val="en-US" w:eastAsia="zh-CN"/>
              </w:rPr>
              <w:t>指标3：</w:t>
            </w:r>
            <w:r>
              <w:rPr>
                <w:rFonts w:hint="eastAsia" w:ascii="仿宋_GB2312" w:hAnsi="宋体" w:eastAsia="仿宋_GB2312" w:cs="宋体"/>
                <w:color w:val="000000"/>
                <w:kern w:val="0"/>
              </w:rPr>
              <w:t>全年审判执行文书数量（份）</w:t>
            </w:r>
          </w:p>
        </w:tc>
        <w:tc>
          <w:tcPr>
            <w:tcW w:w="130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55984</w:t>
            </w:r>
          </w:p>
        </w:tc>
        <w:tc>
          <w:tcPr>
            <w:tcW w:w="106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67419</w:t>
            </w:r>
          </w:p>
        </w:tc>
        <w:tc>
          <w:tcPr>
            <w:tcW w:w="92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5</w:t>
            </w:r>
          </w:p>
        </w:tc>
        <w:tc>
          <w:tcPr>
            <w:tcW w:w="79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5</w:t>
            </w:r>
          </w:p>
        </w:tc>
        <w:tc>
          <w:tcPr>
            <w:tcW w:w="295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p>
        </w:tc>
      </w:tr>
      <w:tr>
        <w:tblPrEx>
          <w:tblCellMar>
            <w:top w:w="0" w:type="dxa"/>
            <w:left w:w="108" w:type="dxa"/>
            <w:bottom w:w="0" w:type="dxa"/>
            <w:right w:w="108" w:type="dxa"/>
          </w:tblCellMar>
        </w:tblPrEx>
        <w:trPr>
          <w:trHeight w:val="306" w:hRule="atLeas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975" w:type="dxa"/>
            <w:vMerge w:val="continue"/>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1105" w:type="dxa"/>
            <w:tcBorders>
              <w:top w:val="nil"/>
              <w:left w:val="nil"/>
              <w:bottom w:val="single" w:color="auto" w:sz="4" w:space="0"/>
              <w:right w:val="single" w:color="auto" w:sz="4" w:space="0"/>
            </w:tcBorders>
            <w:vAlign w:val="bottom"/>
          </w:tcPr>
          <w:p>
            <w:pPr>
              <w:widowControl/>
              <w:rPr>
                <w:rFonts w:ascii="仿宋_GB2312" w:hAnsi="宋体" w:eastAsia="仿宋_GB2312" w:cs="宋体"/>
                <w:kern w:val="0"/>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rPr>
            </w:pPr>
            <w:r>
              <w:rPr>
                <w:rFonts w:hint="eastAsia" w:ascii="仿宋_GB2312" w:hAnsi="宋体" w:eastAsia="仿宋_GB2312" w:cs="宋体"/>
                <w:color w:val="000000"/>
                <w:kern w:val="0"/>
                <w:lang w:val="en-US" w:eastAsia="zh-CN"/>
              </w:rPr>
              <w:t>指标4：</w:t>
            </w:r>
            <w:r>
              <w:rPr>
                <w:rFonts w:hint="eastAsia" w:ascii="仿宋_GB2312" w:hAnsi="宋体" w:eastAsia="仿宋_GB2312" w:cs="宋体"/>
                <w:color w:val="000000"/>
                <w:kern w:val="0"/>
              </w:rPr>
              <w:t>数字化档案数量（卷）</w:t>
            </w:r>
          </w:p>
        </w:tc>
        <w:tc>
          <w:tcPr>
            <w:tcW w:w="130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ascii="仿宋_GB2312" w:hAnsi="宋体" w:eastAsia="仿宋_GB2312" w:cs="宋体"/>
                <w:kern w:val="0"/>
              </w:rPr>
              <w:t>60000</w:t>
            </w:r>
          </w:p>
        </w:tc>
        <w:tc>
          <w:tcPr>
            <w:tcW w:w="106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ascii="仿宋_GB2312" w:hAnsi="宋体" w:eastAsia="仿宋_GB2312" w:cs="宋体"/>
                <w:kern w:val="0"/>
              </w:rPr>
              <w:t>61315</w:t>
            </w:r>
          </w:p>
        </w:tc>
        <w:tc>
          <w:tcPr>
            <w:tcW w:w="92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lang w:val="en-US" w:eastAsia="zh-CN"/>
              </w:rPr>
              <w:t>4</w:t>
            </w:r>
          </w:p>
        </w:tc>
        <w:tc>
          <w:tcPr>
            <w:tcW w:w="79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lang w:val="en-US" w:eastAsia="zh-CN"/>
              </w:rPr>
              <w:t>4</w:t>
            </w:r>
          </w:p>
        </w:tc>
        <w:tc>
          <w:tcPr>
            <w:tcW w:w="295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p>
        </w:tc>
      </w:tr>
      <w:tr>
        <w:tblPrEx>
          <w:tblCellMar>
            <w:top w:w="0" w:type="dxa"/>
            <w:left w:w="108" w:type="dxa"/>
            <w:bottom w:w="0" w:type="dxa"/>
            <w:right w:w="108" w:type="dxa"/>
          </w:tblCellMar>
        </w:tblPrEx>
        <w:trPr>
          <w:trHeight w:val="306" w:hRule="atLeas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975" w:type="dxa"/>
            <w:vMerge w:val="continue"/>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1105" w:type="dxa"/>
            <w:vMerge w:val="restart"/>
            <w:tcBorders>
              <w:top w:val="single" w:color="auto" w:sz="4" w:space="0"/>
              <w:left w:val="nil"/>
              <w:right w:val="single" w:color="auto" w:sz="4" w:space="0"/>
            </w:tcBorders>
            <w:vAlign w:val="center"/>
          </w:tcPr>
          <w:p>
            <w:pPr>
              <w:widowControl/>
              <w:spacing w:line="240" w:lineRule="exact"/>
              <w:jc w:val="center"/>
              <w:rPr>
                <w:rFonts w:ascii="仿宋_GB2312" w:hAnsi="宋体" w:eastAsia="仿宋_GB2312" w:cs="宋体"/>
                <w:kern w:val="0"/>
              </w:rPr>
            </w:pPr>
          </w:p>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质量指标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rPr>
            </w:pPr>
            <w:r>
              <w:rPr>
                <w:rFonts w:hint="eastAsia" w:ascii="仿宋_GB2312" w:hAnsi="宋体" w:eastAsia="仿宋_GB2312" w:cs="宋体"/>
                <w:color w:val="000000"/>
                <w:kern w:val="0"/>
                <w:lang w:val="en-US" w:eastAsia="zh-CN"/>
              </w:rPr>
              <w:t>指标1：</w:t>
            </w:r>
            <w:r>
              <w:rPr>
                <w:rFonts w:hint="eastAsia" w:ascii="仿宋_GB2312" w:hAnsi="宋体" w:eastAsia="仿宋_GB2312" w:cs="宋体"/>
                <w:color w:val="000000"/>
                <w:kern w:val="0"/>
              </w:rPr>
              <w:t>裁判文书上网率</w:t>
            </w:r>
          </w:p>
        </w:tc>
        <w:tc>
          <w:tcPr>
            <w:tcW w:w="130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ascii="仿宋_GB2312" w:hAnsi="宋体" w:eastAsia="仿宋_GB2312" w:cs="宋体"/>
                <w:kern w:val="0"/>
              </w:rPr>
              <w:t>100%</w:t>
            </w:r>
          </w:p>
        </w:tc>
        <w:tc>
          <w:tcPr>
            <w:tcW w:w="106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ascii="仿宋_GB2312" w:hAnsi="宋体" w:eastAsia="仿宋_GB2312" w:cs="宋体"/>
                <w:kern w:val="0"/>
              </w:rPr>
              <w:t>100%</w:t>
            </w:r>
          </w:p>
        </w:tc>
        <w:tc>
          <w:tcPr>
            <w:tcW w:w="92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lang w:val="en-US" w:eastAsia="zh-CN"/>
              </w:rPr>
              <w:t>4</w:t>
            </w:r>
          </w:p>
        </w:tc>
        <w:tc>
          <w:tcPr>
            <w:tcW w:w="79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lang w:val="en-US" w:eastAsia="zh-CN"/>
              </w:rPr>
              <w:t>4</w:t>
            </w:r>
          </w:p>
        </w:tc>
        <w:tc>
          <w:tcPr>
            <w:tcW w:w="295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p>
        </w:tc>
      </w:tr>
      <w:tr>
        <w:tblPrEx>
          <w:tblCellMar>
            <w:top w:w="0" w:type="dxa"/>
            <w:left w:w="108" w:type="dxa"/>
            <w:bottom w:w="0" w:type="dxa"/>
            <w:right w:w="108" w:type="dxa"/>
          </w:tblCellMar>
        </w:tblPrEx>
        <w:trPr>
          <w:trHeight w:val="306" w:hRule="atLeas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975" w:type="dxa"/>
            <w:vMerge w:val="continue"/>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1105" w:type="dxa"/>
            <w:vMerge w:val="continue"/>
            <w:tcBorders>
              <w:top w:val="nil"/>
              <w:left w:val="nil"/>
              <w:right w:val="single" w:color="auto" w:sz="4" w:space="0"/>
            </w:tcBorders>
            <w:vAlign w:val="center"/>
          </w:tcPr>
          <w:p>
            <w:pPr>
              <w:widowControl/>
              <w:jc w:val="left"/>
              <w:rPr>
                <w:rFonts w:ascii="仿宋_GB2312" w:hAnsi="宋体" w:eastAsia="仿宋_GB2312" w:cs="宋体"/>
                <w:kern w:val="0"/>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rPr>
            </w:pPr>
            <w:r>
              <w:rPr>
                <w:rFonts w:hint="eastAsia" w:ascii="仿宋_GB2312" w:hAnsi="宋体" w:eastAsia="仿宋_GB2312" w:cs="宋体"/>
                <w:color w:val="000000"/>
                <w:kern w:val="0"/>
                <w:lang w:val="en-US" w:eastAsia="zh-CN"/>
              </w:rPr>
              <w:t>指标2：</w:t>
            </w:r>
            <w:r>
              <w:rPr>
                <w:rFonts w:hint="eastAsia" w:ascii="仿宋_GB2312" w:hAnsi="宋体" w:eastAsia="仿宋_GB2312" w:cs="宋体"/>
                <w:color w:val="000000"/>
                <w:kern w:val="0"/>
              </w:rPr>
              <w:t>投诉信访率</w:t>
            </w:r>
          </w:p>
        </w:tc>
        <w:tc>
          <w:tcPr>
            <w:tcW w:w="130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ascii="仿宋_GB2312" w:hAnsi="宋体" w:eastAsia="仿宋_GB2312" w:cs="宋体"/>
                <w:kern w:val="0"/>
              </w:rPr>
              <w:t>0.1%</w:t>
            </w:r>
          </w:p>
        </w:tc>
        <w:tc>
          <w:tcPr>
            <w:tcW w:w="106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ascii="仿宋_GB2312" w:hAnsi="宋体" w:eastAsia="仿宋_GB2312" w:cs="宋体"/>
                <w:kern w:val="0"/>
              </w:rPr>
              <w:t>0.</w:t>
            </w:r>
            <w:r>
              <w:rPr>
                <w:rFonts w:hint="eastAsia" w:ascii="仿宋_GB2312" w:hAnsi="宋体" w:eastAsia="仿宋_GB2312" w:cs="宋体"/>
                <w:kern w:val="0"/>
              </w:rPr>
              <w:t>03</w:t>
            </w:r>
            <w:r>
              <w:rPr>
                <w:rFonts w:ascii="仿宋_GB2312" w:hAnsi="宋体" w:eastAsia="仿宋_GB2312" w:cs="宋体"/>
                <w:kern w:val="0"/>
              </w:rPr>
              <w:t>%</w:t>
            </w:r>
          </w:p>
        </w:tc>
        <w:tc>
          <w:tcPr>
            <w:tcW w:w="92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5</w:t>
            </w:r>
          </w:p>
        </w:tc>
        <w:tc>
          <w:tcPr>
            <w:tcW w:w="79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5</w:t>
            </w:r>
          </w:p>
        </w:tc>
        <w:tc>
          <w:tcPr>
            <w:tcW w:w="2953" w:type="dxa"/>
            <w:tcBorders>
              <w:top w:val="single" w:color="auto" w:sz="4" w:space="0"/>
              <w:left w:val="nil"/>
              <w:bottom w:val="single" w:color="auto" w:sz="4" w:space="0"/>
              <w:right w:val="single" w:color="auto" w:sz="4" w:space="0"/>
            </w:tcBorders>
            <w:vAlign w:val="center"/>
          </w:tcPr>
          <w:p>
            <w:r>
              <w:rPr>
                <w:rFonts w:hint="eastAsia" w:ascii="仿宋_GB2312" w:eastAsia="仿宋_GB2312"/>
              </w:rPr>
              <w:t>在2022年度目标责任制考核中，我院涉诉信访得分为7分，全市排名第1。我院积极将信访工作从被动变为主动，工作中做好超前防控、措施到位，充分发挥司法调解的整体优势。认真热情的做好信访工作，充分发挥信访工作职能，及时妥善的化解各类矛盾纠纷，理顺群众情绪，引导群众理性表达信访诉求，促进社会稳定</w:t>
            </w:r>
            <w:r>
              <w:rPr>
                <w:rFonts w:hint="eastAsia"/>
              </w:rPr>
              <w:t>。</w:t>
            </w:r>
          </w:p>
        </w:tc>
      </w:tr>
      <w:tr>
        <w:tblPrEx>
          <w:tblCellMar>
            <w:top w:w="0" w:type="dxa"/>
            <w:left w:w="108" w:type="dxa"/>
            <w:bottom w:w="0" w:type="dxa"/>
            <w:right w:w="108" w:type="dxa"/>
          </w:tblCellMar>
        </w:tblPrEx>
        <w:trPr>
          <w:trHeight w:val="306" w:hRule="atLeas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975" w:type="dxa"/>
            <w:vMerge w:val="continue"/>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1105" w:type="dxa"/>
            <w:vMerge w:val="continue"/>
            <w:tcBorders>
              <w:top w:val="nil"/>
              <w:left w:val="nil"/>
              <w:right w:val="single" w:color="auto" w:sz="4" w:space="0"/>
            </w:tcBorders>
            <w:vAlign w:val="center"/>
          </w:tcPr>
          <w:p>
            <w:pPr>
              <w:widowControl/>
              <w:jc w:val="left"/>
              <w:rPr>
                <w:rFonts w:ascii="仿宋_GB2312" w:hAnsi="宋体" w:eastAsia="仿宋_GB2312" w:cs="宋体"/>
                <w:kern w:val="0"/>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rPr>
            </w:pPr>
            <w:r>
              <w:rPr>
                <w:rFonts w:hint="eastAsia" w:ascii="仿宋_GB2312" w:hAnsi="宋体" w:eastAsia="仿宋_GB2312" w:cs="宋体"/>
                <w:color w:val="000000"/>
                <w:kern w:val="0"/>
                <w:lang w:val="en-US" w:eastAsia="zh-CN"/>
              </w:rPr>
              <w:t>指标3：</w:t>
            </w:r>
            <w:r>
              <w:rPr>
                <w:rFonts w:hint="eastAsia" w:ascii="仿宋_GB2312" w:hAnsi="宋体" w:eastAsia="仿宋_GB2312" w:cs="宋体"/>
                <w:color w:val="000000"/>
                <w:kern w:val="0"/>
              </w:rPr>
              <w:t>执行质效</w:t>
            </w:r>
          </w:p>
        </w:tc>
        <w:tc>
          <w:tcPr>
            <w:tcW w:w="130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ascii="仿宋_GB2312" w:hAnsi="宋体" w:eastAsia="仿宋_GB2312" w:cs="宋体"/>
                <w:kern w:val="0"/>
              </w:rPr>
              <w:t>97.5%</w:t>
            </w:r>
          </w:p>
        </w:tc>
        <w:tc>
          <w:tcPr>
            <w:tcW w:w="106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ascii="仿宋_GB2312" w:hAnsi="宋体" w:eastAsia="仿宋_GB2312" w:cs="宋体"/>
                <w:kern w:val="0"/>
              </w:rPr>
              <w:t>99.</w:t>
            </w:r>
            <w:r>
              <w:rPr>
                <w:rFonts w:hint="eastAsia" w:ascii="仿宋_GB2312" w:hAnsi="宋体" w:eastAsia="仿宋_GB2312" w:cs="宋体"/>
                <w:kern w:val="0"/>
              </w:rPr>
              <w:t>47</w:t>
            </w:r>
            <w:r>
              <w:rPr>
                <w:rFonts w:ascii="仿宋_GB2312" w:hAnsi="宋体" w:eastAsia="仿宋_GB2312" w:cs="宋体"/>
                <w:kern w:val="0"/>
              </w:rPr>
              <w:t>%</w:t>
            </w:r>
          </w:p>
        </w:tc>
        <w:tc>
          <w:tcPr>
            <w:tcW w:w="92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5</w:t>
            </w:r>
          </w:p>
        </w:tc>
        <w:tc>
          <w:tcPr>
            <w:tcW w:w="79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5</w:t>
            </w:r>
          </w:p>
        </w:tc>
        <w:tc>
          <w:tcPr>
            <w:tcW w:w="295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p>
        </w:tc>
      </w:tr>
      <w:tr>
        <w:tblPrEx>
          <w:tblCellMar>
            <w:top w:w="0" w:type="dxa"/>
            <w:left w:w="108" w:type="dxa"/>
            <w:bottom w:w="0" w:type="dxa"/>
            <w:right w:w="108" w:type="dxa"/>
          </w:tblCellMar>
        </w:tblPrEx>
        <w:trPr>
          <w:trHeight w:val="306" w:hRule="atLeas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975" w:type="dxa"/>
            <w:vMerge w:val="continue"/>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1105"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rPr>
            </w:pPr>
            <w:r>
              <w:rPr>
                <w:rFonts w:hint="eastAsia" w:ascii="仿宋_GB2312" w:hAnsi="宋体" w:eastAsia="仿宋_GB2312" w:cs="宋体"/>
                <w:color w:val="000000"/>
                <w:kern w:val="0"/>
                <w:lang w:val="en-US" w:eastAsia="zh-CN"/>
              </w:rPr>
              <w:t>指标4：</w:t>
            </w:r>
            <w:r>
              <w:rPr>
                <w:rFonts w:hint="eastAsia" w:ascii="仿宋_GB2312" w:hAnsi="宋体" w:eastAsia="仿宋_GB2312" w:cs="宋体"/>
                <w:color w:val="000000"/>
                <w:kern w:val="0"/>
              </w:rPr>
              <w:t>结收比</w:t>
            </w:r>
          </w:p>
        </w:tc>
        <w:tc>
          <w:tcPr>
            <w:tcW w:w="130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ascii="仿宋_GB2312" w:hAnsi="宋体" w:eastAsia="仿宋_GB2312" w:cs="宋体"/>
                <w:kern w:val="0"/>
              </w:rPr>
              <w:t>100%</w:t>
            </w:r>
          </w:p>
        </w:tc>
        <w:tc>
          <w:tcPr>
            <w:tcW w:w="106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100.02</w:t>
            </w:r>
            <w:r>
              <w:rPr>
                <w:rFonts w:ascii="仿宋_GB2312" w:hAnsi="宋体" w:eastAsia="仿宋_GB2312" w:cs="宋体"/>
                <w:kern w:val="0"/>
              </w:rPr>
              <w:t>%</w:t>
            </w:r>
          </w:p>
        </w:tc>
        <w:tc>
          <w:tcPr>
            <w:tcW w:w="92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5</w:t>
            </w:r>
          </w:p>
        </w:tc>
        <w:tc>
          <w:tcPr>
            <w:tcW w:w="79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5</w:t>
            </w:r>
          </w:p>
        </w:tc>
        <w:tc>
          <w:tcPr>
            <w:tcW w:w="295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p>
        </w:tc>
      </w:tr>
      <w:tr>
        <w:tblPrEx>
          <w:tblCellMar>
            <w:top w:w="0" w:type="dxa"/>
            <w:left w:w="108" w:type="dxa"/>
            <w:bottom w:w="0" w:type="dxa"/>
            <w:right w:w="108" w:type="dxa"/>
          </w:tblCellMar>
        </w:tblPrEx>
        <w:trPr>
          <w:trHeight w:val="306" w:hRule="atLeas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975" w:type="dxa"/>
            <w:vMerge w:val="continue"/>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1105" w:type="dxa"/>
            <w:vMerge w:val="restart"/>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时效指标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rPr>
            </w:pPr>
            <w:r>
              <w:rPr>
                <w:rFonts w:hint="eastAsia" w:ascii="仿宋_GB2312" w:hAnsi="宋体" w:eastAsia="仿宋_GB2312" w:cs="宋体"/>
                <w:color w:val="000000"/>
                <w:kern w:val="0"/>
                <w:lang w:val="en-US" w:eastAsia="zh-CN"/>
              </w:rPr>
              <w:t>指标1：</w:t>
            </w:r>
            <w:r>
              <w:rPr>
                <w:rFonts w:hint="eastAsia" w:ascii="仿宋_GB2312" w:hAnsi="宋体" w:eastAsia="仿宋_GB2312" w:cs="宋体"/>
                <w:color w:val="000000"/>
                <w:kern w:val="0"/>
              </w:rPr>
              <w:t>电子送达覆盖率</w:t>
            </w:r>
          </w:p>
        </w:tc>
        <w:tc>
          <w:tcPr>
            <w:tcW w:w="130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59.39</w:t>
            </w:r>
            <w:r>
              <w:rPr>
                <w:rFonts w:ascii="仿宋_GB2312" w:hAnsi="宋体" w:eastAsia="仿宋_GB2312" w:cs="宋体"/>
                <w:kern w:val="0"/>
              </w:rPr>
              <w:t>%</w:t>
            </w:r>
          </w:p>
        </w:tc>
        <w:tc>
          <w:tcPr>
            <w:tcW w:w="106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68.38</w:t>
            </w:r>
            <w:r>
              <w:rPr>
                <w:rFonts w:ascii="仿宋_GB2312" w:hAnsi="宋体" w:eastAsia="仿宋_GB2312" w:cs="宋体"/>
                <w:kern w:val="0"/>
              </w:rPr>
              <w:t>%</w:t>
            </w:r>
          </w:p>
        </w:tc>
        <w:tc>
          <w:tcPr>
            <w:tcW w:w="92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lang w:val="en-US" w:eastAsia="zh-CN"/>
              </w:rPr>
              <w:t>6</w:t>
            </w:r>
          </w:p>
        </w:tc>
        <w:tc>
          <w:tcPr>
            <w:tcW w:w="79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lang w:val="en-US" w:eastAsia="zh-CN"/>
              </w:rPr>
              <w:t>6</w:t>
            </w:r>
          </w:p>
        </w:tc>
        <w:tc>
          <w:tcPr>
            <w:tcW w:w="295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p>
        </w:tc>
      </w:tr>
      <w:tr>
        <w:tblPrEx>
          <w:tblCellMar>
            <w:top w:w="0" w:type="dxa"/>
            <w:left w:w="108" w:type="dxa"/>
            <w:bottom w:w="0" w:type="dxa"/>
            <w:right w:w="108" w:type="dxa"/>
          </w:tblCellMar>
        </w:tblPrEx>
        <w:trPr>
          <w:trHeight w:val="306" w:hRule="atLeas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975" w:type="dxa"/>
            <w:vMerge w:val="continue"/>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1105" w:type="dxa"/>
            <w:vMerge w:val="continue"/>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rPr>
            </w:pPr>
            <w:r>
              <w:rPr>
                <w:rFonts w:hint="eastAsia" w:ascii="仿宋_GB2312" w:hAnsi="宋体" w:eastAsia="仿宋_GB2312" w:cs="宋体"/>
                <w:color w:val="000000"/>
                <w:kern w:val="0"/>
                <w:lang w:val="en-US" w:eastAsia="zh-CN"/>
              </w:rPr>
              <w:t>指标2：</w:t>
            </w:r>
            <w:r>
              <w:rPr>
                <w:rFonts w:hint="eastAsia" w:ascii="仿宋_GB2312" w:hAnsi="宋体" w:eastAsia="仿宋_GB2312" w:cs="宋体"/>
                <w:color w:val="000000"/>
                <w:kern w:val="0"/>
              </w:rPr>
              <w:t>网上预约立案数量（占全部收案数量的比重）</w:t>
            </w:r>
          </w:p>
        </w:tc>
        <w:tc>
          <w:tcPr>
            <w:tcW w:w="130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70</w:t>
            </w:r>
            <w:r>
              <w:rPr>
                <w:rFonts w:ascii="仿宋_GB2312" w:hAnsi="宋体" w:eastAsia="仿宋_GB2312" w:cs="宋体"/>
                <w:kern w:val="0"/>
              </w:rPr>
              <w:t>%</w:t>
            </w:r>
          </w:p>
        </w:tc>
        <w:tc>
          <w:tcPr>
            <w:tcW w:w="106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77.40</w:t>
            </w:r>
            <w:r>
              <w:rPr>
                <w:rFonts w:ascii="仿宋_GB2312" w:hAnsi="宋体" w:eastAsia="仿宋_GB2312" w:cs="宋体"/>
                <w:kern w:val="0"/>
              </w:rPr>
              <w:t>%</w:t>
            </w:r>
          </w:p>
        </w:tc>
        <w:tc>
          <w:tcPr>
            <w:tcW w:w="92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5</w:t>
            </w:r>
          </w:p>
        </w:tc>
        <w:tc>
          <w:tcPr>
            <w:tcW w:w="79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5</w:t>
            </w:r>
          </w:p>
        </w:tc>
        <w:tc>
          <w:tcPr>
            <w:tcW w:w="295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p>
        </w:tc>
      </w:tr>
      <w:tr>
        <w:tblPrEx>
          <w:tblCellMar>
            <w:top w:w="0" w:type="dxa"/>
            <w:left w:w="108" w:type="dxa"/>
            <w:bottom w:w="0" w:type="dxa"/>
            <w:right w:w="108" w:type="dxa"/>
          </w:tblCellMar>
        </w:tblPrEx>
        <w:trPr>
          <w:trHeight w:val="306" w:hRule="atLeas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975" w:type="dxa"/>
            <w:vMerge w:val="continue"/>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1105"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成本指标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rPr>
            </w:pPr>
            <w:r>
              <w:rPr>
                <w:rFonts w:hint="eastAsia" w:ascii="仿宋_GB2312" w:hAnsi="宋体" w:eastAsia="仿宋_GB2312" w:cs="宋体"/>
                <w:color w:val="000000"/>
                <w:kern w:val="0"/>
                <w:lang w:val="en-US" w:eastAsia="zh-CN"/>
              </w:rPr>
              <w:t>指标3：</w:t>
            </w:r>
            <w:r>
              <w:rPr>
                <w:rFonts w:hint="eastAsia" w:ascii="仿宋_GB2312" w:hAnsi="宋体" w:eastAsia="仿宋_GB2312" w:cs="宋体"/>
                <w:color w:val="000000"/>
                <w:kern w:val="0"/>
              </w:rPr>
              <w:t>全口径案件成本（万元）</w:t>
            </w:r>
          </w:p>
        </w:tc>
        <w:tc>
          <w:tcPr>
            <w:tcW w:w="130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0.25</w:t>
            </w:r>
          </w:p>
        </w:tc>
        <w:tc>
          <w:tcPr>
            <w:tcW w:w="106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0.107255</w:t>
            </w:r>
          </w:p>
        </w:tc>
        <w:tc>
          <w:tcPr>
            <w:tcW w:w="92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lang w:val="en-US" w:eastAsia="zh-CN"/>
              </w:rPr>
              <w:t>6</w:t>
            </w:r>
          </w:p>
        </w:tc>
        <w:tc>
          <w:tcPr>
            <w:tcW w:w="79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lang w:val="en-US" w:eastAsia="zh-CN"/>
              </w:rPr>
              <w:t>6</w:t>
            </w:r>
          </w:p>
        </w:tc>
        <w:tc>
          <w:tcPr>
            <w:tcW w:w="295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p>
        </w:tc>
      </w:tr>
      <w:tr>
        <w:tblPrEx>
          <w:tblCellMar>
            <w:top w:w="0" w:type="dxa"/>
            <w:left w:w="108" w:type="dxa"/>
            <w:bottom w:w="0" w:type="dxa"/>
            <w:right w:w="108" w:type="dxa"/>
          </w:tblCellMar>
        </w:tblPrEx>
        <w:trPr>
          <w:trHeight w:val="306" w:hRule="atLeas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975" w:type="dxa"/>
            <w:vMerge w:val="restart"/>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效益指标</w:t>
            </w:r>
          </w:p>
        </w:tc>
        <w:tc>
          <w:tcPr>
            <w:tcW w:w="1105" w:type="dxa"/>
            <w:vMerge w:val="restart"/>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经济效益</w:t>
            </w:r>
          </w:p>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rPr>
            </w:pPr>
            <w:r>
              <w:rPr>
                <w:rFonts w:hint="eastAsia" w:ascii="仿宋_GB2312" w:hAnsi="宋体" w:eastAsia="仿宋_GB2312" w:cs="宋体"/>
                <w:color w:val="000000"/>
                <w:kern w:val="0"/>
                <w:lang w:val="en-US" w:eastAsia="zh-CN"/>
              </w:rPr>
              <w:t>指标1：</w:t>
            </w:r>
            <w:r>
              <w:rPr>
                <w:rFonts w:hint="eastAsia" w:ascii="仿宋_GB2312" w:hAnsi="宋体" w:eastAsia="仿宋_GB2312" w:cs="宋体"/>
                <w:color w:val="000000"/>
                <w:kern w:val="0"/>
              </w:rPr>
              <w:t>保证首都经济运转和维护营商环境情况（文字描述）</w:t>
            </w:r>
          </w:p>
        </w:tc>
        <w:tc>
          <w:tcPr>
            <w:tcW w:w="130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有效保障</w:t>
            </w:r>
          </w:p>
        </w:tc>
        <w:tc>
          <w:tcPr>
            <w:tcW w:w="106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充分有效保障</w:t>
            </w:r>
          </w:p>
        </w:tc>
        <w:tc>
          <w:tcPr>
            <w:tcW w:w="92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lang w:val="en-US" w:eastAsia="zh-CN"/>
              </w:rPr>
              <w:t>3</w:t>
            </w:r>
          </w:p>
        </w:tc>
        <w:tc>
          <w:tcPr>
            <w:tcW w:w="79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lang w:val="en-US" w:eastAsia="zh-CN"/>
              </w:rPr>
              <w:t>3</w:t>
            </w:r>
          </w:p>
        </w:tc>
        <w:tc>
          <w:tcPr>
            <w:tcW w:w="295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p>
        </w:tc>
      </w:tr>
      <w:tr>
        <w:tblPrEx>
          <w:tblCellMar>
            <w:top w:w="0" w:type="dxa"/>
            <w:left w:w="108" w:type="dxa"/>
            <w:bottom w:w="0" w:type="dxa"/>
            <w:right w:w="108" w:type="dxa"/>
          </w:tblCellMar>
        </w:tblPrEx>
        <w:trPr>
          <w:trHeight w:val="306" w:hRule="atLeas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975" w:type="dxa"/>
            <w:vMerge w:val="continue"/>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1105" w:type="dxa"/>
            <w:vMerge w:val="continue"/>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rPr>
            </w:pPr>
            <w:r>
              <w:rPr>
                <w:rFonts w:hint="eastAsia" w:ascii="仿宋_GB2312" w:hAnsi="宋体" w:eastAsia="仿宋_GB2312" w:cs="宋体"/>
                <w:color w:val="000000"/>
                <w:kern w:val="0"/>
                <w:lang w:val="en-US" w:eastAsia="zh-CN"/>
              </w:rPr>
              <w:t>指标2：</w:t>
            </w:r>
            <w:r>
              <w:rPr>
                <w:rFonts w:hint="eastAsia" w:ascii="仿宋_GB2312" w:hAnsi="宋体" w:eastAsia="仿宋_GB2312" w:cs="宋体"/>
                <w:color w:val="000000"/>
                <w:kern w:val="0"/>
              </w:rPr>
              <w:t>脱贫攻坚及营商环境（结案情况）</w:t>
            </w:r>
          </w:p>
        </w:tc>
        <w:tc>
          <w:tcPr>
            <w:tcW w:w="130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20336</w:t>
            </w:r>
          </w:p>
        </w:tc>
        <w:tc>
          <w:tcPr>
            <w:tcW w:w="106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20951</w:t>
            </w:r>
          </w:p>
        </w:tc>
        <w:tc>
          <w:tcPr>
            <w:tcW w:w="92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lang w:val="en-US" w:eastAsia="zh-CN"/>
              </w:rPr>
              <w:t>4</w:t>
            </w:r>
          </w:p>
        </w:tc>
        <w:tc>
          <w:tcPr>
            <w:tcW w:w="79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lang w:val="en-US" w:eastAsia="zh-CN"/>
              </w:rPr>
              <w:t>4</w:t>
            </w:r>
          </w:p>
        </w:tc>
        <w:tc>
          <w:tcPr>
            <w:tcW w:w="295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p>
        </w:tc>
      </w:tr>
      <w:tr>
        <w:tblPrEx>
          <w:tblCellMar>
            <w:top w:w="0" w:type="dxa"/>
            <w:left w:w="108" w:type="dxa"/>
            <w:bottom w:w="0" w:type="dxa"/>
            <w:right w:w="108" w:type="dxa"/>
          </w:tblCellMar>
        </w:tblPrEx>
        <w:trPr>
          <w:trHeight w:val="306" w:hRule="atLeas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975" w:type="dxa"/>
            <w:vMerge w:val="continue"/>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1105" w:type="dxa"/>
            <w:vMerge w:val="restart"/>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社会效益</w:t>
            </w:r>
          </w:p>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rPr>
            </w:pPr>
            <w:r>
              <w:rPr>
                <w:rFonts w:hint="eastAsia" w:ascii="仿宋_GB2312" w:hAnsi="宋体" w:eastAsia="仿宋_GB2312" w:cs="宋体"/>
                <w:color w:val="000000"/>
                <w:kern w:val="0"/>
                <w:lang w:val="en-US" w:eastAsia="zh-CN"/>
              </w:rPr>
              <w:t>指标1：</w:t>
            </w:r>
            <w:r>
              <w:rPr>
                <w:rFonts w:hint="eastAsia" w:ascii="仿宋_GB2312" w:hAnsi="宋体" w:eastAsia="仿宋_GB2312" w:cs="宋体"/>
                <w:color w:val="000000"/>
                <w:kern w:val="0"/>
              </w:rPr>
              <w:t>首都治安（结案情况）</w:t>
            </w:r>
          </w:p>
        </w:tc>
        <w:tc>
          <w:tcPr>
            <w:tcW w:w="130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1321</w:t>
            </w:r>
          </w:p>
        </w:tc>
        <w:tc>
          <w:tcPr>
            <w:tcW w:w="106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1220</w:t>
            </w:r>
          </w:p>
        </w:tc>
        <w:tc>
          <w:tcPr>
            <w:tcW w:w="92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lang w:val="en-US" w:eastAsia="zh-CN"/>
              </w:rPr>
              <w:t>6</w:t>
            </w:r>
          </w:p>
        </w:tc>
        <w:tc>
          <w:tcPr>
            <w:tcW w:w="79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lang w:val="en-US" w:eastAsia="zh-CN"/>
              </w:rPr>
              <w:t>3</w:t>
            </w:r>
          </w:p>
        </w:tc>
        <w:tc>
          <w:tcPr>
            <w:tcW w:w="295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5月、11月、12月受疫情影响，无法提押，无法开庭，因此结案数下降</w:t>
            </w:r>
          </w:p>
        </w:tc>
      </w:tr>
      <w:tr>
        <w:tblPrEx>
          <w:tblCellMar>
            <w:top w:w="0" w:type="dxa"/>
            <w:left w:w="108" w:type="dxa"/>
            <w:bottom w:w="0" w:type="dxa"/>
            <w:right w:w="108" w:type="dxa"/>
          </w:tblCellMar>
        </w:tblPrEx>
        <w:trPr>
          <w:trHeight w:val="306" w:hRule="atLeas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975" w:type="dxa"/>
            <w:vMerge w:val="continue"/>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1105" w:type="dxa"/>
            <w:vMerge w:val="continue"/>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rPr>
            </w:pPr>
            <w:r>
              <w:rPr>
                <w:rFonts w:hint="eastAsia" w:ascii="仿宋_GB2312" w:hAnsi="宋体" w:eastAsia="仿宋_GB2312" w:cs="宋体"/>
                <w:color w:val="000000"/>
                <w:kern w:val="0"/>
                <w:lang w:val="en-US" w:eastAsia="zh-CN"/>
              </w:rPr>
              <w:t>指标2：</w:t>
            </w:r>
            <w:r>
              <w:rPr>
                <w:rFonts w:hint="eastAsia" w:ascii="仿宋_GB2312" w:hAnsi="宋体" w:eastAsia="仿宋_GB2312" w:cs="宋体"/>
                <w:color w:val="000000"/>
                <w:kern w:val="0"/>
              </w:rPr>
              <w:t>解决执行难（执结案件数）</w:t>
            </w:r>
          </w:p>
        </w:tc>
        <w:tc>
          <w:tcPr>
            <w:tcW w:w="130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24750</w:t>
            </w:r>
          </w:p>
        </w:tc>
        <w:tc>
          <w:tcPr>
            <w:tcW w:w="106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25036</w:t>
            </w:r>
          </w:p>
        </w:tc>
        <w:tc>
          <w:tcPr>
            <w:tcW w:w="92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lang w:val="en-US" w:eastAsia="zh-CN"/>
              </w:rPr>
              <w:t>6</w:t>
            </w:r>
          </w:p>
        </w:tc>
        <w:tc>
          <w:tcPr>
            <w:tcW w:w="79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lang w:val="en-US" w:eastAsia="zh-CN"/>
              </w:rPr>
              <w:t>6</w:t>
            </w:r>
          </w:p>
        </w:tc>
        <w:tc>
          <w:tcPr>
            <w:tcW w:w="295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bookmarkStart w:id="0" w:name="_GoBack"/>
            <w:bookmarkEnd w:id="0"/>
          </w:p>
        </w:tc>
      </w:tr>
      <w:tr>
        <w:tblPrEx>
          <w:tblCellMar>
            <w:top w:w="0" w:type="dxa"/>
            <w:left w:w="108" w:type="dxa"/>
            <w:bottom w:w="0" w:type="dxa"/>
            <w:right w:w="108" w:type="dxa"/>
          </w:tblCellMar>
        </w:tblPrEx>
        <w:trPr>
          <w:trHeight w:val="306" w:hRule="atLeas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975" w:type="dxa"/>
            <w:vMerge w:val="continue"/>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1105" w:type="dxa"/>
            <w:vMerge w:val="continue"/>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rPr>
            </w:pPr>
            <w:r>
              <w:rPr>
                <w:rFonts w:hint="eastAsia" w:ascii="仿宋_GB2312" w:hAnsi="宋体" w:eastAsia="仿宋_GB2312" w:cs="宋体"/>
                <w:color w:val="000000"/>
                <w:kern w:val="0"/>
                <w:lang w:val="en-US" w:eastAsia="zh-CN"/>
              </w:rPr>
              <w:t>指标3：</w:t>
            </w:r>
            <w:r>
              <w:rPr>
                <w:rFonts w:hint="eastAsia" w:ascii="仿宋_GB2312" w:hAnsi="宋体" w:eastAsia="仿宋_GB2312" w:cs="宋体"/>
                <w:color w:val="000000"/>
                <w:kern w:val="0"/>
              </w:rPr>
              <w:t>环境保护（结案情况）</w:t>
            </w:r>
          </w:p>
        </w:tc>
        <w:tc>
          <w:tcPr>
            <w:tcW w:w="130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lang w:eastAsia="zh-CN"/>
              </w:rPr>
            </w:pPr>
            <w:r>
              <w:rPr>
                <w:rFonts w:hint="eastAsia" w:ascii="仿宋_GB2312" w:hAnsi="宋体" w:eastAsia="仿宋_GB2312" w:cs="宋体"/>
                <w:kern w:val="0"/>
                <w:lang w:val="en-US" w:eastAsia="zh-CN"/>
              </w:rPr>
              <w:t>-</w:t>
            </w:r>
          </w:p>
        </w:tc>
        <w:tc>
          <w:tcPr>
            <w:tcW w:w="106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lang w:eastAsia="zh-CN"/>
              </w:rPr>
            </w:pPr>
            <w:r>
              <w:rPr>
                <w:rFonts w:hint="eastAsia" w:ascii="仿宋_GB2312" w:hAnsi="宋体" w:eastAsia="仿宋_GB2312" w:cs="宋体"/>
                <w:kern w:val="0"/>
                <w:lang w:val="en-US" w:eastAsia="zh-CN"/>
              </w:rPr>
              <w:t>-</w:t>
            </w:r>
          </w:p>
        </w:tc>
        <w:tc>
          <w:tcPr>
            <w:tcW w:w="92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p>
        </w:tc>
        <w:tc>
          <w:tcPr>
            <w:tcW w:w="79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p>
        </w:tc>
        <w:tc>
          <w:tcPr>
            <w:tcW w:w="295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p>
        </w:tc>
      </w:tr>
      <w:tr>
        <w:tblPrEx>
          <w:tblCellMar>
            <w:top w:w="0" w:type="dxa"/>
            <w:left w:w="108" w:type="dxa"/>
            <w:bottom w:w="0" w:type="dxa"/>
            <w:right w:w="108" w:type="dxa"/>
          </w:tblCellMar>
        </w:tblPrEx>
        <w:trPr>
          <w:trHeight w:val="306" w:hRule="atLeas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975" w:type="dxa"/>
            <w:vMerge w:val="continue"/>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1105"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生态效益</w:t>
            </w:r>
          </w:p>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rPr>
            </w:pPr>
            <w:r>
              <w:rPr>
                <w:rFonts w:hint="eastAsia" w:ascii="仿宋_GB2312" w:hAnsi="宋体" w:eastAsia="仿宋_GB2312" w:cs="宋体"/>
                <w:color w:val="000000"/>
                <w:kern w:val="0"/>
                <w:lang w:val="en-US" w:eastAsia="zh-CN"/>
              </w:rPr>
              <w:t>指标1：</w:t>
            </w:r>
            <w:r>
              <w:rPr>
                <w:rFonts w:hint="eastAsia" w:ascii="仿宋_GB2312" w:hAnsi="宋体" w:eastAsia="仿宋_GB2312" w:cs="宋体"/>
                <w:color w:val="000000"/>
                <w:kern w:val="0"/>
              </w:rPr>
              <w:t>司法为民、公正司法情况（文字）</w:t>
            </w:r>
          </w:p>
        </w:tc>
        <w:tc>
          <w:tcPr>
            <w:tcW w:w="130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发挥保障和改善民生职能作用，提升司法服务质效，大力推进解决执行难，加大普法力度</w:t>
            </w:r>
          </w:p>
        </w:tc>
        <w:tc>
          <w:tcPr>
            <w:tcW w:w="106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大力发挥保障和改善民生职能作用，大力提升司法服务质效，大力推进切实解决执行难，大力推动普法常态化建设。</w:t>
            </w:r>
          </w:p>
        </w:tc>
        <w:tc>
          <w:tcPr>
            <w:tcW w:w="92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lang w:val="en-US" w:eastAsia="zh-CN"/>
              </w:rPr>
              <w:t>5</w:t>
            </w:r>
          </w:p>
        </w:tc>
        <w:tc>
          <w:tcPr>
            <w:tcW w:w="79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lang w:val="en-US" w:eastAsia="zh-CN"/>
              </w:rPr>
              <w:t>5</w:t>
            </w:r>
          </w:p>
        </w:tc>
        <w:tc>
          <w:tcPr>
            <w:tcW w:w="295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p>
        </w:tc>
      </w:tr>
      <w:tr>
        <w:tblPrEx>
          <w:tblCellMar>
            <w:top w:w="0" w:type="dxa"/>
            <w:left w:w="108" w:type="dxa"/>
            <w:bottom w:w="0" w:type="dxa"/>
            <w:right w:w="108" w:type="dxa"/>
          </w:tblCellMar>
        </w:tblPrEx>
        <w:trPr>
          <w:trHeight w:val="306" w:hRule="atLeas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975" w:type="dxa"/>
            <w:vMerge w:val="continue"/>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1105"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可持续影响指标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rPr>
            </w:pPr>
            <w:r>
              <w:rPr>
                <w:rFonts w:hint="eastAsia" w:ascii="仿宋_GB2312" w:hAnsi="宋体" w:eastAsia="仿宋_GB2312" w:cs="宋体"/>
                <w:color w:val="000000"/>
                <w:kern w:val="0"/>
                <w:lang w:val="en-US" w:eastAsia="zh-CN"/>
              </w:rPr>
              <w:t>指标1：</w:t>
            </w:r>
            <w:r>
              <w:rPr>
                <w:rFonts w:hint="eastAsia" w:ascii="仿宋_GB2312" w:hAnsi="宋体" w:eastAsia="仿宋_GB2312" w:cs="宋体"/>
                <w:color w:val="000000"/>
                <w:kern w:val="0"/>
              </w:rPr>
              <w:t>同级人民代表大会通过、赞成率</w:t>
            </w:r>
          </w:p>
        </w:tc>
        <w:tc>
          <w:tcPr>
            <w:tcW w:w="130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ascii="仿宋_GB2312" w:hAnsi="宋体" w:eastAsia="仿宋_GB2312" w:cs="宋体"/>
                <w:kern w:val="0"/>
              </w:rPr>
              <w:t>97.04%</w:t>
            </w:r>
          </w:p>
        </w:tc>
        <w:tc>
          <w:tcPr>
            <w:tcW w:w="106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97.25</w:t>
            </w:r>
            <w:r>
              <w:rPr>
                <w:rFonts w:ascii="仿宋_GB2312" w:hAnsi="宋体" w:eastAsia="仿宋_GB2312" w:cs="宋体"/>
                <w:kern w:val="0"/>
              </w:rPr>
              <w:t>%</w:t>
            </w:r>
          </w:p>
        </w:tc>
        <w:tc>
          <w:tcPr>
            <w:tcW w:w="92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lang w:val="en-US" w:eastAsia="zh-CN"/>
              </w:rPr>
              <w:t>6</w:t>
            </w:r>
          </w:p>
        </w:tc>
        <w:tc>
          <w:tcPr>
            <w:tcW w:w="79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lang w:val="en-US" w:eastAsia="zh-CN"/>
              </w:rPr>
              <w:t>6</w:t>
            </w:r>
          </w:p>
        </w:tc>
        <w:tc>
          <w:tcPr>
            <w:tcW w:w="295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p>
        </w:tc>
      </w:tr>
      <w:tr>
        <w:tblPrEx>
          <w:tblCellMar>
            <w:top w:w="0" w:type="dxa"/>
            <w:left w:w="108" w:type="dxa"/>
            <w:bottom w:w="0" w:type="dxa"/>
            <w:right w:w="108" w:type="dxa"/>
          </w:tblCellMar>
        </w:tblPrEx>
        <w:trPr>
          <w:trHeight w:val="306" w:hRule="atLeas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975"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满意度</w:t>
            </w:r>
          </w:p>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指标</w:t>
            </w:r>
          </w:p>
        </w:tc>
        <w:tc>
          <w:tcPr>
            <w:tcW w:w="1105"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服务对象满意度标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rPr>
            </w:pPr>
            <w:r>
              <w:rPr>
                <w:rFonts w:hint="eastAsia" w:ascii="仿宋_GB2312" w:hAnsi="宋体" w:eastAsia="仿宋_GB2312" w:cs="宋体"/>
                <w:color w:val="000000"/>
                <w:kern w:val="0"/>
                <w:lang w:val="en-US" w:eastAsia="zh-CN"/>
              </w:rPr>
              <w:t>指标1：</w:t>
            </w:r>
            <w:r>
              <w:rPr>
                <w:rFonts w:hint="eastAsia" w:ascii="仿宋_GB2312" w:hAnsi="宋体" w:eastAsia="仿宋_GB2312" w:cs="宋体"/>
                <w:color w:val="000000"/>
                <w:kern w:val="0"/>
              </w:rPr>
              <w:t>群众满意度（文字）</w:t>
            </w:r>
          </w:p>
        </w:tc>
        <w:tc>
          <w:tcPr>
            <w:tcW w:w="130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基本满意</w:t>
            </w:r>
          </w:p>
        </w:tc>
        <w:tc>
          <w:tcPr>
            <w:tcW w:w="106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基本满意</w:t>
            </w:r>
          </w:p>
        </w:tc>
        <w:tc>
          <w:tcPr>
            <w:tcW w:w="92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lang w:val="en-US" w:eastAsia="zh-CN"/>
              </w:rPr>
              <w:t>5</w:t>
            </w:r>
          </w:p>
        </w:tc>
        <w:tc>
          <w:tcPr>
            <w:tcW w:w="79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lang w:val="en-US" w:eastAsia="zh-CN"/>
              </w:rPr>
              <w:t>5</w:t>
            </w:r>
          </w:p>
        </w:tc>
        <w:tc>
          <w:tcPr>
            <w:tcW w:w="295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p>
        </w:tc>
      </w:tr>
      <w:tr>
        <w:tblPrEx>
          <w:tblCellMar>
            <w:top w:w="0" w:type="dxa"/>
            <w:left w:w="108" w:type="dxa"/>
            <w:bottom w:w="0" w:type="dxa"/>
            <w:right w:w="108" w:type="dxa"/>
          </w:tblCellMar>
        </w:tblPrEx>
        <w:trPr>
          <w:trHeight w:val="477" w:hRule="atLeast"/>
          <w:jc w:val="center"/>
        </w:trPr>
        <w:tc>
          <w:tcPr>
            <w:tcW w:w="7162"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rPr>
            </w:pPr>
            <w:r>
              <w:rPr>
                <w:rFonts w:hint="eastAsia" w:ascii="仿宋_GB2312" w:hAnsi="宋体" w:eastAsia="仿宋_GB2312" w:cs="宋体"/>
                <w:color w:val="000000"/>
                <w:kern w:val="0"/>
              </w:rPr>
              <w:t>总分</w:t>
            </w:r>
          </w:p>
        </w:tc>
        <w:tc>
          <w:tcPr>
            <w:tcW w:w="92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rPr>
            </w:pPr>
          </w:p>
        </w:tc>
        <w:tc>
          <w:tcPr>
            <w:tcW w:w="79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color w:val="000000"/>
                <w:kern w:val="0"/>
                <w:lang w:val="en-US" w:eastAsia="zh-CN"/>
              </w:rPr>
            </w:pPr>
            <w:r>
              <w:rPr>
                <w:rFonts w:hint="eastAsia" w:ascii="仿宋_GB2312" w:hAnsi="宋体" w:eastAsia="仿宋_GB2312" w:cs="宋体"/>
                <w:color w:val="000000"/>
                <w:kern w:val="0"/>
                <w:lang w:val="en-US" w:eastAsia="zh-CN"/>
              </w:rPr>
              <w:t>96.61</w:t>
            </w:r>
          </w:p>
        </w:tc>
        <w:tc>
          <w:tcPr>
            <w:tcW w:w="295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p>
        </w:tc>
      </w:tr>
    </w:tbl>
    <w:p>
      <w:pPr>
        <w:rPr>
          <w:rFonts w:ascii="仿宋_GB2312" w:eastAsia="仿宋_GB2312"/>
          <w:vanish/>
          <w:sz w:val="32"/>
          <w:szCs w:val="32"/>
        </w:rPr>
      </w:pPr>
      <w:r>
        <w:rPr>
          <w:rFonts w:hint="eastAsia" w:ascii="仿宋_GB2312" w:eastAsia="仿宋_GB2312"/>
          <w:vanish/>
          <w:sz w:val="32"/>
          <w:szCs w:val="32"/>
        </w:rPr>
        <w:t xml:space="preserve"> </w:t>
      </w:r>
    </w:p>
    <w:p>
      <w:pPr>
        <w:widowControl/>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xml:space="preserve"> </w:t>
      </w:r>
    </w:p>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微软雅黑"/>
    <w:panose1 w:val="02000000000000000000"/>
    <w:charset w:val="86"/>
    <w:family w:val="auto"/>
    <w:pitch w:val="default"/>
    <w:sig w:usb0="00000000" w:usb1="00000000" w:usb2="00000012"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0Y2ZlMjZlMDJiOWE1Y2NiYmViYzU5YmMxNmY5MWEifQ=="/>
  </w:docVars>
  <w:rsids>
    <w:rsidRoot w:val="001B4A66"/>
    <w:rsid w:val="0003181F"/>
    <w:rsid w:val="00032079"/>
    <w:rsid w:val="000717C1"/>
    <w:rsid w:val="000A21D7"/>
    <w:rsid w:val="000D17BB"/>
    <w:rsid w:val="001618B0"/>
    <w:rsid w:val="001907D9"/>
    <w:rsid w:val="001B4A66"/>
    <w:rsid w:val="001F0221"/>
    <w:rsid w:val="002A11C9"/>
    <w:rsid w:val="002B6F44"/>
    <w:rsid w:val="002F1E01"/>
    <w:rsid w:val="00383DB5"/>
    <w:rsid w:val="003A6C07"/>
    <w:rsid w:val="003F065B"/>
    <w:rsid w:val="00422B46"/>
    <w:rsid w:val="0043408E"/>
    <w:rsid w:val="00471C89"/>
    <w:rsid w:val="004A3F33"/>
    <w:rsid w:val="004B2802"/>
    <w:rsid w:val="004D7743"/>
    <w:rsid w:val="004F2078"/>
    <w:rsid w:val="00534E96"/>
    <w:rsid w:val="00652541"/>
    <w:rsid w:val="00657961"/>
    <w:rsid w:val="00673834"/>
    <w:rsid w:val="006A10EA"/>
    <w:rsid w:val="006E6919"/>
    <w:rsid w:val="00714166"/>
    <w:rsid w:val="0076114A"/>
    <w:rsid w:val="007D7CB0"/>
    <w:rsid w:val="00820E22"/>
    <w:rsid w:val="0082148B"/>
    <w:rsid w:val="008A0AF1"/>
    <w:rsid w:val="008D4893"/>
    <w:rsid w:val="00916B36"/>
    <w:rsid w:val="00937017"/>
    <w:rsid w:val="00A144A7"/>
    <w:rsid w:val="00AE1941"/>
    <w:rsid w:val="00B314D6"/>
    <w:rsid w:val="00B82291"/>
    <w:rsid w:val="00C36367"/>
    <w:rsid w:val="00CD0F91"/>
    <w:rsid w:val="00D853D3"/>
    <w:rsid w:val="00D979D0"/>
    <w:rsid w:val="00E0092C"/>
    <w:rsid w:val="00E728F1"/>
    <w:rsid w:val="00ED2BD6"/>
    <w:rsid w:val="00F403FE"/>
    <w:rsid w:val="12FB57BF"/>
    <w:rsid w:val="21842F15"/>
    <w:rsid w:val="44413D56"/>
    <w:rsid w:val="7F480D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rFonts w:ascii="Times New Roman" w:hAnsi="Times New Roman" w:eastAsia="宋体" w:cs="Times New Roman"/>
      <w:sz w:val="18"/>
      <w:szCs w:val="18"/>
    </w:rPr>
  </w:style>
  <w:style w:type="character" w:customStyle="1" w:styleId="7">
    <w:name w:val="页脚 Char"/>
    <w:basedOn w:val="5"/>
    <w:link w:val="2"/>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E754C31-398F-4919-A156-7489C3449A23}">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4</Pages>
  <Words>1329</Words>
  <Characters>1556</Characters>
  <Lines>13</Lines>
  <Paragraphs>3</Paragraphs>
  <TotalTime>2</TotalTime>
  <ScaleCrop>false</ScaleCrop>
  <LinksUpToDate>false</LinksUpToDate>
  <CharactersWithSpaces>1569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2023-05-19T09:48:00Z</dcterms:created>
  <dc:creator>lenovo</dc:creator>
  <cp:lastModifiedBy>Murray Shi</cp:lastModifiedBy>
  <dcterms:modified xsi:type="dcterms:W3CDTF">2023-06-11T08:05:11Z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F1814111FC524C7B90C47FC3DCB73D99_12</vt:lpwstr>
  </property>
</Properties>
</file>