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E1E" w:rsidRDefault="00A643BD">
      <w:pPr>
        <w:spacing w:line="560" w:lineRule="exact"/>
        <w:jc w:val="center"/>
        <w:rPr>
          <w:rFonts w:ascii="方正小标宋简体" w:eastAsia="方正小标宋简体"/>
          <w:sz w:val="44"/>
          <w:szCs w:val="44"/>
        </w:rPr>
      </w:pPr>
      <w:bookmarkStart w:id="0" w:name="_GoBack"/>
      <w:bookmarkEnd w:id="0"/>
      <w:r>
        <w:rPr>
          <w:rFonts w:ascii="方正小标宋简体" w:eastAsia="方正小标宋简体" w:hint="eastAsia"/>
          <w:sz w:val="44"/>
          <w:szCs w:val="44"/>
        </w:rPr>
        <w:t>部门整体绩效评价报告</w:t>
      </w:r>
    </w:p>
    <w:p w:rsidR="00966E1E" w:rsidRDefault="00966E1E">
      <w:pPr>
        <w:spacing w:line="560" w:lineRule="exact"/>
        <w:jc w:val="center"/>
        <w:rPr>
          <w:rFonts w:ascii="仿宋_GB2312"/>
          <w:szCs w:val="30"/>
        </w:rPr>
      </w:pPr>
    </w:p>
    <w:p w:rsidR="00966E1E" w:rsidRDefault="00A643BD" w:rsidP="00C34E9B">
      <w:pPr>
        <w:spacing w:line="56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966E1E" w:rsidRDefault="00A643BD" w:rsidP="00C34E9B">
      <w:pPr>
        <w:spacing w:line="560" w:lineRule="exact"/>
        <w:ind w:firstLineChars="200" w:firstLine="643"/>
        <w:rPr>
          <w:rFonts w:ascii="楷体_GB2312" w:eastAsia="楷体_GB2312"/>
          <w:b/>
          <w:bCs/>
          <w:sz w:val="32"/>
          <w:szCs w:val="32"/>
        </w:rPr>
      </w:pPr>
      <w:r>
        <w:rPr>
          <w:rFonts w:ascii="楷体_GB2312" w:eastAsia="楷体_GB2312" w:hint="eastAsia"/>
          <w:b/>
          <w:bCs/>
          <w:sz w:val="32"/>
          <w:szCs w:val="32"/>
        </w:rPr>
        <w:t>（一）机构设置及职责工作任务情况</w:t>
      </w:r>
    </w:p>
    <w:p w:rsidR="00966E1E" w:rsidRDefault="00A643BD" w:rsidP="00C34E9B">
      <w:pPr>
        <w:spacing w:line="560" w:lineRule="exact"/>
        <w:ind w:firstLineChars="200" w:firstLine="640"/>
        <w:rPr>
          <w:rFonts w:ascii="仿宋_GB2312" w:eastAsia="仿宋_GB2312" w:cs="Droid Sans"/>
          <w:color w:val="000000"/>
          <w:sz w:val="32"/>
          <w:szCs w:val="32"/>
        </w:rPr>
      </w:pPr>
      <w:r>
        <w:rPr>
          <w:rFonts w:ascii="仿宋_GB2312" w:eastAsia="仿宋_GB2312" w:cs="Droid Sans" w:hint="eastAsia"/>
          <w:color w:val="000000"/>
          <w:sz w:val="32"/>
          <w:szCs w:val="32"/>
        </w:rPr>
        <w:t>北京市海淀区人民法院是国家审判机关，性质为行政单位。北京市海淀区人民法院的职责是审理辖区内刑事、民商事和行政等案件，依法执行已发生法律效力的判决、裁定以及国家行政机关依法申请执行的案件。</w:t>
      </w:r>
    </w:p>
    <w:p w:rsidR="00966E1E" w:rsidRDefault="00A643BD" w:rsidP="00C34E9B">
      <w:pPr>
        <w:spacing w:line="560" w:lineRule="exact"/>
        <w:ind w:firstLineChars="200" w:firstLine="640"/>
        <w:rPr>
          <w:rFonts w:ascii="仿宋_GB2312" w:eastAsia="仿宋_GB2312"/>
          <w:sz w:val="32"/>
          <w:szCs w:val="32"/>
        </w:rPr>
      </w:pPr>
      <w:r>
        <w:rPr>
          <w:rFonts w:ascii="仿宋_GB2312" w:eastAsia="仿宋_GB2312" w:hint="eastAsia"/>
          <w:sz w:val="32"/>
          <w:szCs w:val="32"/>
        </w:rPr>
        <w:t>北京市海淀区人民法院内设14个部门及7个派出法庭，分别为立案庭（诉讼服务中心）、刑事审判庭（未成年人案件审判庭）、民事审判一庭、民事审判二庭（劳动争议审判庭）、民事审判三庭（破产审判庭）、民事审判四庭、民事审判五庭（知识产权审判庭）、行政审判庭、综合审判庭、执行局、审判管理办公室（研究室）、政治部（机关党委、机关纪委）、综合办公室、司法警察大队，东升人民法庭、复兴路人民法庭、山后人民法庭、四季青人民法庭、上地人民法庭、温泉人民法庭、中关村人民法庭。</w:t>
      </w:r>
    </w:p>
    <w:p w:rsidR="00966E1E" w:rsidRDefault="00A643BD" w:rsidP="00C34E9B">
      <w:pPr>
        <w:spacing w:line="560" w:lineRule="exact"/>
        <w:ind w:firstLineChars="200" w:firstLine="640"/>
        <w:rPr>
          <w:rFonts w:ascii="仿宋_GB2312" w:eastAsia="仿宋_GB2312" w:cs="Droid Sans"/>
          <w:color w:val="000000"/>
          <w:sz w:val="32"/>
          <w:szCs w:val="32"/>
        </w:rPr>
      </w:pPr>
      <w:r>
        <w:rPr>
          <w:rFonts w:ascii="仿宋_GB2312" w:eastAsia="仿宋_GB2312" w:hint="eastAsia"/>
          <w:sz w:val="32"/>
          <w:szCs w:val="32"/>
        </w:rPr>
        <w:t>北京市海淀区人民法院包含1个预算单位，即北京市海淀区人民法院（本级）。</w:t>
      </w:r>
    </w:p>
    <w:p w:rsidR="00966E1E" w:rsidRDefault="00A643BD" w:rsidP="00C34E9B">
      <w:pPr>
        <w:overflowPunct w:val="0"/>
        <w:autoSpaceDE w:val="0"/>
        <w:spacing w:line="560" w:lineRule="exact"/>
        <w:ind w:firstLineChars="200" w:firstLine="640"/>
        <w:rPr>
          <w:rFonts w:ascii="仿宋_GB2312" w:eastAsia="仿宋_GB2312"/>
          <w:color w:val="000000"/>
          <w:sz w:val="32"/>
          <w:szCs w:val="32"/>
        </w:rPr>
      </w:pPr>
      <w:r>
        <w:rPr>
          <w:rFonts w:ascii="仿宋_GB2312" w:eastAsia="仿宋_GB2312" w:hAnsi="仿宋" w:hint="eastAsia"/>
          <w:color w:val="000000"/>
          <w:sz w:val="32"/>
          <w:szCs w:val="32"/>
        </w:rPr>
        <w:t>2022年，在区委的领导、区人大及其常委会的监督、区政府的支持、区政协的民主监督、上级法院的指导下，我院</w:t>
      </w:r>
      <w:r>
        <w:rPr>
          <w:rFonts w:ascii="仿宋_GB2312" w:eastAsia="仿宋_GB2312" w:hint="eastAsia"/>
          <w:color w:val="000000"/>
          <w:sz w:val="32"/>
          <w:szCs w:val="32"/>
        </w:rPr>
        <w:t>坚持以习近平新时代中国特色社会主义思想为指导，全面贯彻党的十九大和十九届历次全会精神，深入学习宣传贯彻党的二十大精神，深入贯彻习近平法治思想，贯彻新发展理念，</w:t>
      </w:r>
      <w:r>
        <w:rPr>
          <w:rFonts w:ascii="仿宋_GB2312" w:eastAsia="仿宋_GB2312" w:hint="eastAsia"/>
          <w:color w:val="000000"/>
          <w:sz w:val="32"/>
          <w:szCs w:val="32"/>
        </w:rPr>
        <w:lastRenderedPageBreak/>
        <w:t>落实高质量发展要求，坚持服务大局、司法为民、公正司法，坚持“五位一体”工作格局，以精准服务、精细管理、精品裁判、精心育才推动法院精进发展，为落实市、区第十三次党代会精神，全面实施“十四五”规划，高水平建设北京国际科技创新中心核心区提供有力司法保障。</w:t>
      </w:r>
    </w:p>
    <w:p w:rsidR="00966E1E" w:rsidRDefault="00A643BD" w:rsidP="00C34E9B">
      <w:pPr>
        <w:spacing w:line="560" w:lineRule="exact"/>
        <w:ind w:firstLineChars="200" w:firstLine="643"/>
        <w:rPr>
          <w:rFonts w:ascii="楷体_GB2312" w:eastAsia="楷体_GB2312"/>
          <w:b/>
          <w:bCs/>
          <w:sz w:val="32"/>
          <w:szCs w:val="32"/>
        </w:rPr>
      </w:pPr>
      <w:r>
        <w:rPr>
          <w:rFonts w:ascii="楷体_GB2312" w:eastAsia="楷体_GB2312" w:hint="eastAsia"/>
          <w:b/>
          <w:bCs/>
          <w:sz w:val="32"/>
          <w:szCs w:val="32"/>
        </w:rPr>
        <w:t>（二）部门整体绩效目标设立情况</w:t>
      </w:r>
    </w:p>
    <w:p w:rsidR="00966E1E" w:rsidRDefault="00A643BD" w:rsidP="00C34E9B">
      <w:p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1.满意度指标-服务对象满意度指标</w:t>
      </w:r>
    </w:p>
    <w:p w:rsidR="00966E1E" w:rsidRDefault="00A643BD" w:rsidP="00C34E9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依法接受人大监督，主动向区人大常委会报告重要工作、重大改革。畅通代表委员、社会各界监督渠道，健全接受检察机关法律监督工作机制，提高司法公开的质量和实效。努力让人民群众在每一个司法案件中感受到公平正义。</w:t>
      </w:r>
    </w:p>
    <w:p w:rsidR="00966E1E" w:rsidRDefault="00A643BD" w:rsidP="00C34E9B">
      <w:pPr>
        <w:overflowPunct w:val="0"/>
        <w:autoSpaceDE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2.效益指标-社会效益指标</w:t>
      </w:r>
    </w:p>
    <w:p w:rsidR="00966E1E" w:rsidRDefault="00A643BD" w:rsidP="00C34E9B">
      <w:pPr>
        <w:overflowPunct w:val="0"/>
        <w:autoSpaceDE w:val="0"/>
        <w:spacing w:line="560" w:lineRule="exact"/>
        <w:ind w:firstLineChars="200" w:firstLine="640"/>
        <w:rPr>
          <w:rFonts w:ascii="仿宋_GB2312" w:eastAsia="仿宋_GB2312" w:hAnsi="黑体"/>
          <w:color w:val="000000"/>
          <w:sz w:val="32"/>
          <w:szCs w:val="32"/>
        </w:rPr>
      </w:pPr>
      <w:r>
        <w:rPr>
          <w:rFonts w:ascii="仿宋_GB2312" w:eastAsia="仿宋_GB2312" w:hAnsi="仿宋_GB2312" w:cs="仿宋_GB2312" w:hint="eastAsia"/>
          <w:sz w:val="32"/>
          <w:szCs w:val="32"/>
        </w:rPr>
        <w:t>（1）</w:t>
      </w:r>
      <w:r>
        <w:rPr>
          <w:rFonts w:ascii="仿宋_GB2312" w:eastAsia="仿宋_GB2312" w:hAnsi="黑体" w:hint="eastAsia"/>
          <w:color w:val="000000"/>
          <w:sz w:val="32"/>
          <w:szCs w:val="32"/>
        </w:rPr>
        <w:t>忠实履行司法职能，全力助推平安海淀建设</w:t>
      </w:r>
    </w:p>
    <w:p w:rsidR="00966E1E" w:rsidRDefault="00A643BD" w:rsidP="00C34E9B">
      <w:pPr>
        <w:pStyle w:val="a6"/>
        <w:overflowPunct w:val="0"/>
        <w:autoSpaceDE w:val="0"/>
        <w:ind w:firstLineChars="200" w:firstLine="640"/>
        <w:jc w:val="both"/>
        <w:rPr>
          <w:rFonts w:ascii="仿宋_GB2312" w:eastAsia="仿宋_GB2312"/>
          <w:color w:val="000000"/>
          <w:sz w:val="32"/>
          <w:szCs w:val="32"/>
        </w:rPr>
      </w:pPr>
      <w:r>
        <w:rPr>
          <w:rStyle w:val="15"/>
          <w:rFonts w:ascii="仿宋_GB2312" w:eastAsia="仿宋_GB2312" w:hint="default"/>
          <w:color w:val="000000"/>
        </w:rPr>
        <w:t>坚决维护辖区安全稳定</w:t>
      </w:r>
      <w:r>
        <w:rPr>
          <w:rFonts w:ascii="仿宋_GB2312" w:eastAsia="仿宋_GB2312" w:hint="eastAsia"/>
          <w:color w:val="000000"/>
          <w:sz w:val="32"/>
          <w:szCs w:val="32"/>
        </w:rPr>
        <w:t>。将党的二十大安保维稳作为首要政治任务，坚持首善意识，践行“三最”标准，妥善处理重大敏感案事件，确保案件办理“三个效果”统一；防范化解重大矛盾风险，做好突发事件应急处置，圆满完成二十大期间各项安保维稳任务。</w:t>
      </w:r>
      <w:r>
        <w:rPr>
          <w:rStyle w:val="15"/>
          <w:rFonts w:ascii="仿宋_GB2312" w:eastAsia="仿宋_GB2312" w:hint="default"/>
          <w:color w:val="000000"/>
        </w:rPr>
        <w:t>坚决惩治各类违法犯罪</w:t>
      </w:r>
      <w:r>
        <w:rPr>
          <w:rFonts w:ascii="仿宋_GB2312" w:eastAsia="仿宋_GB2312" w:hint="eastAsia"/>
          <w:color w:val="000000"/>
          <w:sz w:val="32"/>
          <w:szCs w:val="32"/>
        </w:rPr>
        <w:t>。</w:t>
      </w:r>
      <w:r>
        <w:rPr>
          <w:rFonts w:ascii="仿宋_GB2312" w:eastAsia="仿宋_GB2312" w:hint="eastAsia"/>
          <w:bCs/>
          <w:color w:val="000000"/>
          <w:sz w:val="32"/>
          <w:szCs w:val="32"/>
        </w:rPr>
        <w:t>切实维护国家安全和社会稳定</w:t>
      </w:r>
      <w:r>
        <w:rPr>
          <w:rFonts w:ascii="仿宋_GB2312" w:eastAsia="仿宋_GB2312" w:hint="eastAsia"/>
          <w:color w:val="000000"/>
          <w:sz w:val="32"/>
          <w:szCs w:val="32"/>
        </w:rPr>
        <w:t>，开展打击整治养老诈骗专项行动；</w:t>
      </w:r>
      <w:r>
        <w:rPr>
          <w:rFonts w:ascii="仿宋_GB2312" w:eastAsia="仿宋_GB2312" w:hint="eastAsia"/>
          <w:bCs/>
          <w:color w:val="000000"/>
          <w:sz w:val="32"/>
          <w:szCs w:val="32"/>
        </w:rPr>
        <w:t>切实维护人民群众生命</w:t>
      </w:r>
      <w:r>
        <w:rPr>
          <w:rFonts w:ascii="仿宋_GB2312" w:eastAsia="仿宋_GB2312" w:hint="eastAsia"/>
          <w:bCs/>
          <w:color w:val="000000"/>
          <w:spacing w:val="2"/>
          <w:sz w:val="32"/>
          <w:szCs w:val="32"/>
        </w:rPr>
        <w:t>财产安全</w:t>
      </w:r>
      <w:r>
        <w:rPr>
          <w:rFonts w:ascii="仿宋_GB2312" w:eastAsia="仿宋_GB2312" w:hint="eastAsia"/>
          <w:color w:val="000000"/>
          <w:spacing w:val="2"/>
          <w:sz w:val="32"/>
          <w:szCs w:val="32"/>
        </w:rPr>
        <w:t>，依法打击涉众型经济犯罪；</w:t>
      </w:r>
      <w:r>
        <w:rPr>
          <w:rFonts w:ascii="仿宋_GB2312" w:eastAsia="仿宋_GB2312" w:hint="eastAsia"/>
          <w:bCs/>
          <w:color w:val="000000"/>
          <w:sz w:val="32"/>
          <w:szCs w:val="32"/>
        </w:rPr>
        <w:t>切实维护清朗网络空间秩序</w:t>
      </w:r>
      <w:r>
        <w:rPr>
          <w:rFonts w:ascii="仿宋_GB2312" w:eastAsia="仿宋_GB2312" w:hint="eastAsia"/>
          <w:color w:val="000000"/>
          <w:sz w:val="32"/>
          <w:szCs w:val="32"/>
        </w:rPr>
        <w:t>，严惩涉网络“灰黑产”违法犯罪。</w:t>
      </w:r>
    </w:p>
    <w:p w:rsidR="00966E1E" w:rsidRDefault="00A643BD" w:rsidP="00C34E9B">
      <w:pPr>
        <w:spacing w:line="560" w:lineRule="exact"/>
        <w:ind w:firstLineChars="200" w:firstLine="640"/>
        <w:rPr>
          <w:rFonts w:ascii="仿宋_GB2312" w:eastAsia="仿宋_GB2312"/>
          <w:sz w:val="32"/>
          <w:szCs w:val="32"/>
        </w:rPr>
      </w:pPr>
      <w:r>
        <w:rPr>
          <w:rFonts w:ascii="仿宋_GB2312" w:eastAsia="仿宋_GB2312" w:hAnsi="宋体" w:cs="宋体" w:hint="eastAsia"/>
          <w:color w:val="000000"/>
          <w:kern w:val="0"/>
          <w:sz w:val="32"/>
          <w:szCs w:val="32"/>
        </w:rPr>
        <w:t>（2）</w:t>
      </w:r>
      <w:r>
        <w:rPr>
          <w:rFonts w:ascii="仿宋_GB2312" w:eastAsia="仿宋_GB2312" w:hAnsi="黑体" w:hint="eastAsia"/>
          <w:color w:val="000000"/>
          <w:sz w:val="32"/>
          <w:szCs w:val="32"/>
        </w:rPr>
        <w:t>服务中心工作大局，精准助力区域高质量发展</w:t>
      </w:r>
    </w:p>
    <w:p w:rsidR="00966E1E" w:rsidRDefault="00A643BD" w:rsidP="00C34E9B">
      <w:pPr>
        <w:spacing w:line="560" w:lineRule="exact"/>
        <w:ind w:firstLineChars="200" w:firstLine="640"/>
        <w:rPr>
          <w:rFonts w:ascii="仿宋_GB2312" w:eastAsia="仿宋_GB2312"/>
          <w:sz w:val="32"/>
          <w:szCs w:val="32"/>
        </w:rPr>
      </w:pPr>
      <w:r>
        <w:rPr>
          <w:rFonts w:ascii="仿宋_GB2312" w:eastAsia="仿宋_GB2312" w:hAnsi="黑体" w:hint="eastAsia"/>
          <w:color w:val="000000"/>
          <w:sz w:val="32"/>
          <w:szCs w:val="32"/>
        </w:rPr>
        <w:t>强化“两区”建设司法保障</w:t>
      </w:r>
      <w:r>
        <w:rPr>
          <w:rFonts w:ascii="仿宋_GB2312" w:eastAsia="仿宋_GB2312" w:hAnsi="黑体" w:hint="eastAsia"/>
          <w:bCs/>
          <w:color w:val="000000"/>
          <w:sz w:val="32"/>
          <w:szCs w:val="32"/>
        </w:rPr>
        <w:t>，全面实施《区法院为海淀</w:t>
      </w:r>
      <w:r>
        <w:rPr>
          <w:rFonts w:ascii="仿宋_GB2312" w:eastAsia="仿宋_GB2312" w:hAnsi="黑体" w:hint="eastAsia"/>
          <w:bCs/>
          <w:color w:val="000000"/>
          <w:sz w:val="32"/>
          <w:szCs w:val="32"/>
        </w:rPr>
        <w:lastRenderedPageBreak/>
        <w:t>“两区”建设提供司法服务和保障的意见》</w:t>
      </w:r>
      <w:r>
        <w:rPr>
          <w:rFonts w:ascii="仿宋_GB2312" w:eastAsia="仿宋_GB2312" w:hAnsi="黑体" w:hint="eastAsia"/>
          <w:color w:val="000000"/>
          <w:sz w:val="32"/>
          <w:szCs w:val="32"/>
        </w:rPr>
        <w:t>强化知识产权审判高地建设，深化知产“三合一”审判；</w:t>
      </w:r>
      <w:r>
        <w:rPr>
          <w:rFonts w:ascii="仿宋_GB2312" w:eastAsia="仿宋_GB2312" w:hAnsi="黑体" w:hint="eastAsia"/>
          <w:bCs/>
          <w:color w:val="000000"/>
          <w:sz w:val="32"/>
          <w:szCs w:val="32"/>
        </w:rPr>
        <w:t>强化知识产权全链条保护</w:t>
      </w:r>
      <w:r>
        <w:rPr>
          <w:rFonts w:ascii="仿宋_GB2312" w:eastAsia="仿宋_GB2312" w:hAnsi="黑体" w:hint="eastAsia"/>
          <w:color w:val="000000"/>
          <w:sz w:val="32"/>
          <w:szCs w:val="32"/>
        </w:rPr>
        <w:t>，完善“七个平台”建设，坚持“送法进园区”；</w:t>
      </w:r>
      <w:r>
        <w:rPr>
          <w:rStyle w:val="15"/>
          <w:rFonts w:ascii="仿宋_GB2312" w:eastAsia="仿宋_GB2312" w:hint="default"/>
          <w:bCs w:val="0"/>
          <w:color w:val="000000"/>
        </w:rPr>
        <w:t>持续优化法治化营商环境</w:t>
      </w:r>
      <w:r>
        <w:rPr>
          <w:rFonts w:ascii="仿宋_GB2312" w:eastAsia="仿宋_GB2312" w:hAnsi="黑体" w:hint="eastAsia"/>
          <w:color w:val="000000"/>
          <w:sz w:val="32"/>
          <w:szCs w:val="32"/>
        </w:rPr>
        <w:t>。</w:t>
      </w:r>
      <w:r>
        <w:rPr>
          <w:rStyle w:val="15"/>
          <w:rFonts w:ascii="仿宋_GB2312" w:eastAsia="仿宋_GB2312" w:hint="default"/>
          <w:bCs w:val="0"/>
          <w:color w:val="000000"/>
        </w:rPr>
        <w:t>持续服务高品质城市建设</w:t>
      </w:r>
      <w:r>
        <w:rPr>
          <w:rFonts w:ascii="仿宋_GB2312" w:eastAsia="仿宋_GB2312" w:hint="eastAsia"/>
          <w:color w:val="000000"/>
          <w:sz w:val="32"/>
          <w:szCs w:val="32"/>
        </w:rPr>
        <w:t>。深化“N+1”服务大局工作机制。</w:t>
      </w:r>
      <w:r>
        <w:rPr>
          <w:rFonts w:ascii="仿宋_GB2312" w:eastAsia="仿宋_GB2312" w:hint="eastAsia"/>
          <w:bCs/>
          <w:color w:val="000000"/>
          <w:sz w:val="32"/>
          <w:szCs w:val="32"/>
        </w:rPr>
        <w:t>保障区域重点工作稳步推进</w:t>
      </w:r>
      <w:r>
        <w:rPr>
          <w:rFonts w:ascii="仿宋_GB2312" w:eastAsia="仿宋_GB2312" w:hint="eastAsia"/>
          <w:color w:val="000000"/>
          <w:sz w:val="32"/>
          <w:szCs w:val="32"/>
        </w:rPr>
        <w:t>，</w:t>
      </w:r>
    </w:p>
    <w:p w:rsidR="00966E1E" w:rsidRDefault="00A643BD" w:rsidP="00C34E9B">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Ansi="黑体" w:hint="eastAsia"/>
          <w:color w:val="000000"/>
          <w:sz w:val="32"/>
          <w:szCs w:val="32"/>
        </w:rPr>
        <w:t>践行公正为民司法，全面保障群众高品质生活</w:t>
      </w:r>
    </w:p>
    <w:p w:rsidR="00966E1E" w:rsidRDefault="00A643BD" w:rsidP="00C34E9B">
      <w:pPr>
        <w:spacing w:line="560" w:lineRule="exact"/>
        <w:ind w:firstLineChars="200" w:firstLine="640"/>
        <w:rPr>
          <w:rFonts w:ascii="仿宋_GB2312" w:eastAsia="仿宋_GB2312"/>
          <w:sz w:val="32"/>
          <w:szCs w:val="32"/>
        </w:rPr>
      </w:pPr>
      <w:r>
        <w:rPr>
          <w:rFonts w:ascii="仿宋_GB2312" w:eastAsia="仿宋_GB2312" w:cs="仿宋_GB2312" w:hint="eastAsia"/>
          <w:color w:val="000000"/>
          <w:sz w:val="32"/>
          <w:szCs w:val="32"/>
        </w:rPr>
        <w:t>着力加强民生司法保障</w:t>
      </w:r>
      <w:r>
        <w:rPr>
          <w:rFonts w:ascii="仿宋_GB2312" w:eastAsia="仿宋_GB2312" w:hAnsi="仿宋" w:hint="eastAsia"/>
          <w:color w:val="000000"/>
          <w:sz w:val="32"/>
          <w:szCs w:val="32"/>
        </w:rPr>
        <w:t>。</w:t>
      </w:r>
      <w:r>
        <w:rPr>
          <w:rFonts w:ascii="仿宋_GB2312" w:eastAsia="仿宋_GB2312" w:cs="仿宋_GB2312" w:hint="eastAsia"/>
          <w:color w:val="000000"/>
          <w:sz w:val="32"/>
          <w:szCs w:val="32"/>
        </w:rPr>
        <w:t>着力完善未成年人保护工作格局</w:t>
      </w:r>
      <w:r>
        <w:rPr>
          <w:rFonts w:ascii="仿宋_GB2312" w:eastAsia="仿宋_GB2312" w:hAnsi="仿宋" w:hint="eastAsia"/>
          <w:color w:val="000000"/>
          <w:sz w:val="32"/>
          <w:szCs w:val="32"/>
        </w:rPr>
        <w:t>。</w:t>
      </w:r>
      <w:r>
        <w:rPr>
          <w:rFonts w:ascii="仿宋_GB2312" w:eastAsia="仿宋_GB2312" w:cs="仿宋_GB2312" w:hint="eastAsia"/>
          <w:color w:val="000000"/>
          <w:sz w:val="32"/>
          <w:szCs w:val="32"/>
        </w:rPr>
        <w:t>着力优化一站式诉讼服务体系</w:t>
      </w:r>
      <w:r>
        <w:rPr>
          <w:rFonts w:ascii="仿宋_GB2312" w:eastAsia="仿宋_GB2312" w:hAnsi="仿宋" w:hint="eastAsia"/>
          <w:color w:val="000000"/>
          <w:sz w:val="32"/>
          <w:szCs w:val="32"/>
        </w:rPr>
        <w:t>。聚焦“三大领域”提升规范化水平；</w:t>
      </w:r>
      <w:r>
        <w:rPr>
          <w:rFonts w:ascii="仿宋_GB2312" w:eastAsia="仿宋_GB2312" w:cs="宋体" w:hint="eastAsia"/>
          <w:bCs/>
          <w:color w:val="000000"/>
          <w:sz w:val="32"/>
          <w:szCs w:val="32"/>
        </w:rPr>
        <w:t>着力健全解决执行难长效机制</w:t>
      </w:r>
      <w:r>
        <w:rPr>
          <w:rFonts w:ascii="仿宋_GB2312" w:eastAsia="仿宋_GB2312" w:hAnsi="仿宋" w:cs="宋体" w:hint="eastAsia"/>
          <w:color w:val="000000"/>
          <w:sz w:val="32"/>
          <w:szCs w:val="32"/>
        </w:rPr>
        <w:t>。打通公平正义“最后一公里”</w:t>
      </w:r>
      <w:r>
        <w:rPr>
          <w:rFonts w:ascii="仿宋_GB2312" w:eastAsia="仿宋_GB2312" w:hint="eastAsia"/>
          <w:sz w:val="32"/>
          <w:szCs w:val="32"/>
        </w:rPr>
        <w:t>；</w:t>
      </w:r>
      <w:r>
        <w:rPr>
          <w:rFonts w:ascii="仿宋_GB2312" w:eastAsia="仿宋_GB2312" w:cs="宋体" w:hint="eastAsia"/>
          <w:bCs/>
          <w:color w:val="000000"/>
          <w:sz w:val="32"/>
          <w:szCs w:val="32"/>
        </w:rPr>
        <w:t>着力扩大法治宣传矩阵影响力</w:t>
      </w:r>
      <w:r>
        <w:rPr>
          <w:rFonts w:ascii="仿宋_GB2312" w:eastAsia="仿宋_GB2312" w:cs="宋体" w:hint="eastAsia"/>
          <w:color w:val="000000"/>
          <w:sz w:val="32"/>
          <w:szCs w:val="32"/>
        </w:rPr>
        <w:t>，</w:t>
      </w:r>
      <w:r>
        <w:rPr>
          <w:rFonts w:ascii="仿宋_GB2312" w:eastAsia="仿宋_GB2312" w:hAnsi="仿宋" w:cs="宋体" w:hint="eastAsia"/>
          <w:color w:val="000000"/>
          <w:sz w:val="32"/>
          <w:szCs w:val="32"/>
        </w:rPr>
        <w:t>深化普法人才、资源、平台“三融合三共享”机制。</w:t>
      </w:r>
    </w:p>
    <w:p w:rsidR="00966E1E" w:rsidRDefault="00A643BD" w:rsidP="00C34E9B">
      <w:pPr>
        <w:overflowPunct w:val="0"/>
        <w:autoSpaceDE w:val="0"/>
        <w:spacing w:line="560" w:lineRule="exact"/>
        <w:ind w:firstLineChars="200" w:firstLine="640"/>
        <w:rPr>
          <w:rFonts w:ascii="仿宋_GB2312" w:eastAsia="仿宋_GB2312" w:cs="宋体"/>
          <w:bCs/>
          <w:color w:val="000000"/>
          <w:sz w:val="32"/>
          <w:szCs w:val="32"/>
        </w:rPr>
      </w:pPr>
      <w:r>
        <w:rPr>
          <w:rFonts w:ascii="仿宋_GB2312" w:eastAsia="仿宋_GB2312" w:cs="宋体" w:hint="eastAsia"/>
          <w:bCs/>
          <w:color w:val="000000"/>
          <w:sz w:val="32"/>
          <w:szCs w:val="32"/>
        </w:rPr>
        <w:t>（4）深化司法体制综合配套改革，全速推进审判能力现代化</w:t>
      </w:r>
    </w:p>
    <w:p w:rsidR="00966E1E" w:rsidRDefault="00A643BD" w:rsidP="00C34E9B">
      <w:pPr>
        <w:spacing w:line="560" w:lineRule="exact"/>
        <w:ind w:firstLineChars="200" w:firstLine="640"/>
        <w:rPr>
          <w:rFonts w:ascii="仿宋_GB2312" w:eastAsia="仿宋_GB2312" w:cs="宋体"/>
          <w:bCs/>
          <w:color w:val="000000"/>
          <w:sz w:val="32"/>
          <w:szCs w:val="32"/>
        </w:rPr>
      </w:pPr>
      <w:r>
        <w:rPr>
          <w:rFonts w:ascii="仿宋_GB2312" w:eastAsia="仿宋_GB2312" w:cs="宋体" w:hint="eastAsia"/>
          <w:bCs/>
          <w:color w:val="000000"/>
          <w:sz w:val="32"/>
          <w:szCs w:val="32"/>
        </w:rPr>
        <w:t>聚焦监督制约推进司法责任制落实；聚焦繁简分流推进“多元调解+速裁”工作。优化速裁工作格局，配齐配强骨干力量；聚焦协同联动推进诉源治理；聚焦深度融合推进智慧法院建设。</w:t>
      </w:r>
    </w:p>
    <w:p w:rsidR="00966E1E" w:rsidRDefault="00A643BD" w:rsidP="00C34E9B">
      <w:pPr>
        <w:spacing w:line="56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966E1E" w:rsidRDefault="00A643BD" w:rsidP="00C34E9B">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kern w:val="0"/>
          <w:sz w:val="32"/>
          <w:szCs w:val="32"/>
        </w:rPr>
        <w:t>2022</w:t>
      </w:r>
      <w:r>
        <w:rPr>
          <w:rFonts w:ascii="仿宋_GB2312" w:eastAsia="仿宋_GB2312" w:hAnsi="宋体" w:cs="宋体" w:hint="eastAsia"/>
          <w:color w:val="000000"/>
          <w:kern w:val="0"/>
          <w:sz w:val="32"/>
          <w:szCs w:val="32"/>
        </w:rPr>
        <w:t>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预算数</w:t>
      </w:r>
      <w:r>
        <w:rPr>
          <w:rFonts w:ascii="仿宋_GB2312" w:eastAsia="仿宋_GB2312" w:hAnsi="宋体" w:cs="宋体"/>
          <w:color w:val="000000"/>
          <w:kern w:val="0"/>
          <w:sz w:val="32"/>
          <w:szCs w:val="32"/>
        </w:rPr>
        <w:t>40161.92</w:t>
      </w:r>
      <w:r>
        <w:rPr>
          <w:rFonts w:ascii="仿宋_GB2312" w:eastAsia="仿宋_GB2312" w:hAnsi="宋体" w:cs="宋体" w:hint="eastAsia"/>
          <w:color w:val="000000"/>
          <w:kern w:val="0"/>
          <w:sz w:val="32"/>
          <w:szCs w:val="32"/>
        </w:rPr>
        <w:t>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预算数27865.3</w:t>
      </w:r>
      <w:r>
        <w:rPr>
          <w:rFonts w:ascii="仿宋_GB2312" w:eastAsia="仿宋_GB2312" w:hAnsi="宋体" w:cs="宋体" w:hint="eastAsia"/>
          <w:color w:val="000000"/>
          <w:kern w:val="0"/>
          <w:sz w:val="32"/>
          <w:szCs w:val="32"/>
        </w:rPr>
        <w:t>8</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项目支出预算数11018</w:t>
      </w:r>
      <w:r>
        <w:rPr>
          <w:rFonts w:ascii="仿宋_GB2312" w:eastAsia="仿宋_GB2312" w:hAnsi="宋体" w:cs="宋体"/>
          <w:color w:val="000000"/>
          <w:kern w:val="0"/>
          <w:sz w:val="32"/>
          <w:szCs w:val="32"/>
        </w:rPr>
        <w:t>.54万元，其他支出</w:t>
      </w:r>
      <w:r>
        <w:rPr>
          <w:rFonts w:ascii="仿宋_GB2312" w:eastAsia="仿宋_GB2312" w:hAnsi="宋体" w:cs="宋体" w:hint="eastAsia"/>
          <w:color w:val="000000"/>
          <w:kern w:val="0"/>
          <w:sz w:val="32"/>
          <w:szCs w:val="32"/>
        </w:rPr>
        <w:t>预算数1278.00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43319.53万元，其中，基本支出31610.13万元，项目</w:t>
      </w:r>
      <w:r>
        <w:rPr>
          <w:rFonts w:ascii="仿宋_GB2312" w:eastAsia="仿宋_GB2312" w:hAnsi="宋体" w:cs="宋体" w:hint="eastAsia"/>
          <w:color w:val="000000"/>
          <w:kern w:val="0"/>
          <w:sz w:val="32"/>
          <w:szCs w:val="32"/>
        </w:rPr>
        <w:t>支出10286.10</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1423.30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Pr>
          <w:rFonts w:ascii="仿宋_GB2312" w:eastAsia="仿宋_GB2312" w:hAnsi="宋体" w:cs="宋体" w:hint="eastAsia"/>
          <w:color w:val="000000"/>
          <w:kern w:val="0"/>
          <w:sz w:val="32"/>
          <w:szCs w:val="32"/>
        </w:rPr>
        <w:t>100%。</w:t>
      </w:r>
    </w:p>
    <w:p w:rsidR="00966E1E" w:rsidRDefault="00A643BD" w:rsidP="00C34E9B">
      <w:pPr>
        <w:spacing w:line="56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966E1E" w:rsidRPr="00CA41DF" w:rsidRDefault="00A643BD" w:rsidP="00CA41DF">
      <w:pPr>
        <w:spacing w:line="560" w:lineRule="exact"/>
        <w:ind w:leftChars="50" w:left="105" w:firstLineChars="150" w:firstLine="482"/>
        <w:rPr>
          <w:rFonts w:ascii="楷体_GB2312" w:eastAsia="楷体_GB2312"/>
          <w:b/>
          <w:sz w:val="32"/>
          <w:szCs w:val="32"/>
        </w:rPr>
      </w:pPr>
      <w:r w:rsidRPr="00CA41DF">
        <w:rPr>
          <w:rFonts w:ascii="楷体_GB2312" w:eastAsia="楷体_GB2312" w:hint="eastAsia"/>
          <w:b/>
          <w:sz w:val="32"/>
          <w:szCs w:val="32"/>
        </w:rPr>
        <w:lastRenderedPageBreak/>
        <w:t>（一）产出完成情况分析</w:t>
      </w:r>
    </w:p>
    <w:p w:rsidR="00966E1E" w:rsidRDefault="00A643BD" w:rsidP="00C34E9B">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1.产出数量</w:t>
      </w:r>
    </w:p>
    <w:p w:rsidR="00966E1E" w:rsidRDefault="00A643BD" w:rsidP="00C34E9B">
      <w:pPr>
        <w:pStyle w:val="11"/>
        <w:spacing w:line="560" w:lineRule="exact"/>
        <w:ind w:firstLineChars="250" w:firstLine="800"/>
        <w:rPr>
          <w:rFonts w:ascii="仿宋_GB2312" w:eastAsia="仿宋_GB2312"/>
          <w:sz w:val="32"/>
          <w:szCs w:val="32"/>
        </w:rPr>
      </w:pPr>
      <w:r>
        <w:rPr>
          <w:rFonts w:ascii="仿宋_GB2312" w:eastAsia="仿宋_GB2312" w:hint="eastAsia"/>
          <w:sz w:val="32"/>
          <w:szCs w:val="32"/>
        </w:rPr>
        <w:t>数量指标共四项，全部完成，其中：</w:t>
      </w:r>
    </w:p>
    <w:p w:rsidR="00966E1E" w:rsidRDefault="00A643BD" w:rsidP="00C34E9B">
      <w:pPr>
        <w:pStyle w:val="11"/>
        <w:spacing w:line="560" w:lineRule="exact"/>
        <w:ind w:firstLineChars="250" w:firstLine="800"/>
        <w:rPr>
          <w:rFonts w:ascii="仿宋_GB2312" w:eastAsia="仿宋_GB2312"/>
          <w:sz w:val="32"/>
          <w:szCs w:val="32"/>
        </w:rPr>
      </w:pPr>
      <w:r>
        <w:rPr>
          <w:rFonts w:ascii="仿宋_GB2312" w:eastAsia="仿宋_GB2312" w:hint="eastAsia"/>
          <w:sz w:val="32"/>
          <w:szCs w:val="32"/>
        </w:rPr>
        <w:t>收案情况年度指标值90788件，实际完成值91058件；</w:t>
      </w:r>
    </w:p>
    <w:p w:rsidR="00966E1E" w:rsidRDefault="00A643BD" w:rsidP="00C34E9B">
      <w:pPr>
        <w:pStyle w:val="11"/>
        <w:spacing w:line="560" w:lineRule="exact"/>
        <w:ind w:firstLine="200"/>
        <w:rPr>
          <w:rFonts w:ascii="仿宋_GB2312" w:eastAsia="仿宋_GB2312"/>
          <w:sz w:val="32"/>
          <w:szCs w:val="32"/>
        </w:rPr>
      </w:pPr>
      <w:r>
        <w:rPr>
          <w:rFonts w:ascii="仿宋_GB2312" w:eastAsia="仿宋_GB2312" w:hint="eastAsia"/>
          <w:sz w:val="32"/>
          <w:szCs w:val="32"/>
        </w:rPr>
        <w:t>结案情况年度指标值90947件，实际完成值91077件；</w:t>
      </w:r>
    </w:p>
    <w:p w:rsidR="00966E1E" w:rsidRDefault="00A643BD" w:rsidP="00C34E9B">
      <w:pPr>
        <w:pStyle w:val="11"/>
        <w:spacing w:line="560" w:lineRule="exact"/>
        <w:ind w:firstLineChars="250" w:firstLine="800"/>
        <w:rPr>
          <w:rFonts w:ascii="仿宋_GB2312" w:eastAsia="仿宋_GB2312"/>
          <w:sz w:val="32"/>
          <w:szCs w:val="32"/>
        </w:rPr>
      </w:pPr>
      <w:r>
        <w:rPr>
          <w:rFonts w:ascii="仿宋_GB2312" w:eastAsia="仿宋_GB2312" w:hint="eastAsia"/>
          <w:sz w:val="32"/>
          <w:szCs w:val="32"/>
        </w:rPr>
        <w:t>员额法官人均办案工作量年度指标值435.24件，实际完成值437.90件；</w:t>
      </w:r>
    </w:p>
    <w:p w:rsidR="00966E1E" w:rsidRDefault="00A643BD" w:rsidP="00C34E9B">
      <w:pPr>
        <w:pStyle w:val="11"/>
        <w:spacing w:line="560" w:lineRule="exact"/>
        <w:ind w:firstLineChars="250" w:firstLine="800"/>
        <w:rPr>
          <w:rFonts w:ascii="仿宋_GB2312" w:eastAsia="仿宋_GB2312"/>
          <w:sz w:val="32"/>
          <w:szCs w:val="32"/>
        </w:rPr>
      </w:pPr>
      <w:r>
        <w:rPr>
          <w:rFonts w:ascii="仿宋_GB2312" w:eastAsia="仿宋_GB2312" w:hint="eastAsia"/>
          <w:sz w:val="32"/>
          <w:szCs w:val="32"/>
        </w:rPr>
        <w:t>全年审判执行文书数量年度指标值55984份，实际完成值67419份；</w:t>
      </w:r>
    </w:p>
    <w:p w:rsidR="00966E1E" w:rsidRDefault="00A643BD" w:rsidP="00C34E9B">
      <w:pPr>
        <w:pStyle w:val="11"/>
        <w:spacing w:line="560" w:lineRule="exact"/>
        <w:ind w:firstLineChars="250" w:firstLine="800"/>
        <w:rPr>
          <w:sz w:val="32"/>
          <w:szCs w:val="32"/>
        </w:rPr>
      </w:pPr>
      <w:r>
        <w:rPr>
          <w:rFonts w:ascii="仿宋_GB2312" w:eastAsia="仿宋_GB2312" w:hint="eastAsia"/>
          <w:sz w:val="32"/>
          <w:szCs w:val="32"/>
        </w:rPr>
        <w:t>数字化档案数量年度指标值120000卷，年度完成值120238卷。</w:t>
      </w:r>
    </w:p>
    <w:p w:rsidR="00966E1E" w:rsidRDefault="00A643BD" w:rsidP="00C34E9B">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2.产出</w:t>
      </w:r>
      <w:r>
        <w:rPr>
          <w:rFonts w:ascii="仿宋_GB2312" w:eastAsia="仿宋_GB2312" w:hAnsi="宋体" w:cs="宋体"/>
          <w:b/>
          <w:bCs/>
          <w:color w:val="000000"/>
          <w:kern w:val="0"/>
          <w:sz w:val="32"/>
          <w:szCs w:val="32"/>
        </w:rPr>
        <w:t>质量</w:t>
      </w:r>
    </w:p>
    <w:p w:rsidR="00966E1E" w:rsidRDefault="00A643BD" w:rsidP="00C34E9B">
      <w:pPr>
        <w:pStyle w:val="a7"/>
        <w:spacing w:line="560" w:lineRule="exact"/>
        <w:ind w:firstLineChars="200" w:firstLine="640"/>
        <w:rPr>
          <w:rFonts w:ascii="仿宋_GB2312" w:eastAsia="仿宋_GB2312"/>
          <w:kern w:val="2"/>
        </w:rPr>
      </w:pPr>
      <w:r>
        <w:rPr>
          <w:rFonts w:ascii="仿宋_GB2312" w:eastAsia="仿宋_GB2312" w:hint="eastAsia"/>
          <w:kern w:val="2"/>
        </w:rPr>
        <w:t>质量指标共三项，全部完成，其中：</w:t>
      </w:r>
    </w:p>
    <w:p w:rsidR="00966E1E" w:rsidRDefault="00A643BD" w:rsidP="00C34E9B">
      <w:pPr>
        <w:pStyle w:val="a7"/>
        <w:spacing w:line="560" w:lineRule="exact"/>
        <w:ind w:firstLineChars="200" w:firstLine="640"/>
        <w:rPr>
          <w:rFonts w:ascii="仿宋_GB2312" w:eastAsia="仿宋_GB2312"/>
          <w:kern w:val="2"/>
        </w:rPr>
      </w:pPr>
      <w:r>
        <w:rPr>
          <w:rFonts w:ascii="仿宋_GB2312" w:eastAsia="仿宋_GB2312" w:hint="eastAsia"/>
          <w:kern w:val="2"/>
        </w:rPr>
        <w:t>裁判文书上网率年度指标值100%，年度完成值100%；</w:t>
      </w:r>
    </w:p>
    <w:p w:rsidR="00966E1E" w:rsidRDefault="00A643BD" w:rsidP="00C34E9B">
      <w:pPr>
        <w:pStyle w:val="a7"/>
        <w:spacing w:line="560" w:lineRule="exact"/>
        <w:ind w:firstLineChars="200" w:firstLine="640"/>
        <w:rPr>
          <w:rFonts w:ascii="仿宋_GB2312" w:eastAsia="仿宋_GB2312"/>
          <w:kern w:val="2"/>
        </w:rPr>
      </w:pPr>
      <w:r>
        <w:rPr>
          <w:rFonts w:ascii="仿宋_GB2312" w:eastAsia="仿宋_GB2312" w:hint="eastAsia"/>
          <w:kern w:val="2"/>
        </w:rPr>
        <w:t>投诉信访率年度指标值0.1%，年度完成值0.03%，在2022年度目标责任制考核中，我院涉诉信访得分为7分，全市</w:t>
      </w:r>
      <w:r w:rsidR="00D46A87">
        <w:rPr>
          <w:rFonts w:ascii="仿宋_GB2312" w:eastAsia="仿宋_GB2312" w:hint="eastAsia"/>
          <w:kern w:val="2"/>
        </w:rPr>
        <w:t>法院</w:t>
      </w:r>
      <w:r>
        <w:rPr>
          <w:rFonts w:ascii="仿宋_GB2312" w:eastAsia="仿宋_GB2312" w:hint="eastAsia"/>
          <w:kern w:val="2"/>
        </w:rPr>
        <w:t>排名第1。我院积极将信访工作从被动变为主动，工作中做好超前防控、措施到位，充分发挥司法调解的整体优势。认真热情的做好信访工作，充分发挥信访工作职能，及时妥善的化解各类矛盾纠纷，理顺群众情绪，引导群众理性表达信访诉求，促进社会稳定；</w:t>
      </w:r>
    </w:p>
    <w:p w:rsidR="00966E1E" w:rsidRDefault="00A643BD" w:rsidP="00C34E9B">
      <w:pPr>
        <w:pStyle w:val="a7"/>
        <w:spacing w:line="560" w:lineRule="exact"/>
        <w:ind w:firstLineChars="200" w:firstLine="640"/>
        <w:rPr>
          <w:rFonts w:ascii="仿宋_GB2312" w:eastAsia="仿宋_GB2312"/>
          <w:kern w:val="2"/>
        </w:rPr>
      </w:pPr>
      <w:r>
        <w:rPr>
          <w:rFonts w:ascii="仿宋_GB2312" w:eastAsia="仿宋_GB2312" w:hint="eastAsia"/>
          <w:kern w:val="2"/>
        </w:rPr>
        <w:t>执行质效年度指标值97.50%,年度完成值99.75%。</w:t>
      </w:r>
    </w:p>
    <w:p w:rsidR="00966E1E" w:rsidRDefault="00A643BD" w:rsidP="00C34E9B">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3.产出</w:t>
      </w:r>
      <w:r>
        <w:rPr>
          <w:rFonts w:ascii="仿宋_GB2312" w:eastAsia="仿宋_GB2312" w:hAnsi="宋体" w:cs="宋体"/>
          <w:b/>
          <w:bCs/>
          <w:color w:val="000000"/>
          <w:kern w:val="0"/>
          <w:sz w:val="32"/>
          <w:szCs w:val="32"/>
        </w:rPr>
        <w:t>进度</w:t>
      </w:r>
    </w:p>
    <w:p w:rsidR="00966E1E" w:rsidRDefault="00A643BD" w:rsidP="00C34E9B">
      <w:pPr>
        <w:pStyle w:val="11"/>
        <w:spacing w:line="560" w:lineRule="exact"/>
        <w:ind w:firstLineChars="200" w:firstLine="640"/>
        <w:rPr>
          <w:rFonts w:ascii="仿宋_GB2312" w:eastAsia="仿宋_GB2312"/>
          <w:sz w:val="32"/>
          <w:szCs w:val="32"/>
        </w:rPr>
      </w:pPr>
      <w:r>
        <w:rPr>
          <w:rFonts w:ascii="仿宋_GB2312" w:eastAsia="仿宋_GB2312" w:hint="eastAsia"/>
          <w:sz w:val="32"/>
          <w:szCs w:val="32"/>
        </w:rPr>
        <w:t>时效指标共两项，全部完成，其中：</w:t>
      </w:r>
    </w:p>
    <w:p w:rsidR="00966E1E" w:rsidRDefault="00A643BD" w:rsidP="00C34E9B">
      <w:pPr>
        <w:pStyle w:val="11"/>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结收比年度指标值100.00%，年度完成值100.02%；</w:t>
      </w:r>
    </w:p>
    <w:p w:rsidR="00966E1E" w:rsidRDefault="00A643BD" w:rsidP="00C34E9B">
      <w:pPr>
        <w:pStyle w:val="11"/>
        <w:spacing w:line="560" w:lineRule="exact"/>
        <w:ind w:firstLineChars="200" w:firstLine="640"/>
        <w:rPr>
          <w:sz w:val="32"/>
          <w:szCs w:val="32"/>
        </w:rPr>
      </w:pPr>
      <w:r>
        <w:rPr>
          <w:rFonts w:ascii="仿宋_GB2312" w:eastAsia="仿宋_GB2312" w:hint="eastAsia"/>
          <w:sz w:val="32"/>
          <w:szCs w:val="32"/>
        </w:rPr>
        <w:t>电子送达覆盖率年度指标值59.39%，年度完成值68.38%，完成情况良好。</w:t>
      </w:r>
    </w:p>
    <w:p w:rsidR="00966E1E" w:rsidRDefault="00A643BD" w:rsidP="00C34E9B">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4.</w:t>
      </w:r>
      <w:r>
        <w:rPr>
          <w:rFonts w:ascii="仿宋_GB2312" w:eastAsia="仿宋_GB2312" w:hAnsi="宋体" w:cs="宋体" w:hint="eastAsia"/>
          <w:b/>
          <w:bCs/>
          <w:color w:val="000000"/>
          <w:kern w:val="0"/>
          <w:sz w:val="32"/>
          <w:szCs w:val="32"/>
        </w:rPr>
        <w:t>产出</w:t>
      </w:r>
      <w:r>
        <w:rPr>
          <w:rFonts w:ascii="仿宋_GB2312" w:eastAsia="仿宋_GB2312" w:hAnsi="宋体" w:cs="宋体"/>
          <w:b/>
          <w:bCs/>
          <w:color w:val="000000"/>
          <w:kern w:val="0"/>
          <w:sz w:val="32"/>
          <w:szCs w:val="32"/>
        </w:rPr>
        <w:t>成本</w:t>
      </w:r>
    </w:p>
    <w:p w:rsidR="00966E1E" w:rsidRDefault="00A643BD" w:rsidP="00C34E9B">
      <w:pPr>
        <w:pStyle w:val="a7"/>
        <w:spacing w:line="560" w:lineRule="exact"/>
        <w:ind w:firstLineChars="200" w:firstLine="640"/>
        <w:rPr>
          <w:rFonts w:ascii="仿宋_GB2312" w:eastAsia="仿宋_GB2312"/>
          <w:kern w:val="2"/>
        </w:rPr>
      </w:pPr>
      <w:r>
        <w:rPr>
          <w:rFonts w:ascii="仿宋_GB2312" w:eastAsia="仿宋_GB2312" w:hint="eastAsia"/>
          <w:kern w:val="2"/>
        </w:rPr>
        <w:t>成本指标共一项，全部完成，全口径案件成本年度指标值0.25万元/件，年度完成值0.107255万元/件。</w:t>
      </w:r>
    </w:p>
    <w:p w:rsidR="00966E1E" w:rsidRDefault="00A643BD" w:rsidP="00C34E9B">
      <w:pPr>
        <w:spacing w:line="560" w:lineRule="exact"/>
        <w:ind w:leftChars="50" w:left="105" w:firstLineChars="150" w:firstLine="482"/>
        <w:rPr>
          <w:rFonts w:ascii="楷体_GB2312" w:eastAsia="楷体_GB2312"/>
          <w:b/>
          <w:bCs/>
          <w:sz w:val="32"/>
          <w:szCs w:val="32"/>
        </w:rPr>
      </w:pPr>
      <w:r>
        <w:rPr>
          <w:rFonts w:ascii="楷体_GB2312" w:eastAsia="楷体_GB2312" w:hint="eastAsia"/>
          <w:b/>
          <w:bCs/>
          <w:sz w:val="32"/>
          <w:szCs w:val="32"/>
        </w:rPr>
        <w:t>（二）效果</w:t>
      </w:r>
      <w:r>
        <w:rPr>
          <w:rFonts w:ascii="楷体_GB2312" w:eastAsia="楷体_GB2312"/>
          <w:b/>
          <w:bCs/>
          <w:sz w:val="32"/>
          <w:szCs w:val="32"/>
        </w:rPr>
        <w:t>实现情况分析</w:t>
      </w:r>
    </w:p>
    <w:p w:rsidR="00966E1E" w:rsidRDefault="00A643BD" w:rsidP="00C34E9B">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1.经济</w:t>
      </w:r>
      <w:r>
        <w:rPr>
          <w:rFonts w:ascii="仿宋_GB2312" w:eastAsia="仿宋_GB2312" w:hAnsi="宋体" w:cs="宋体"/>
          <w:b/>
          <w:bCs/>
          <w:color w:val="000000"/>
          <w:kern w:val="0"/>
          <w:sz w:val="32"/>
          <w:szCs w:val="32"/>
        </w:rPr>
        <w:t>效益</w:t>
      </w:r>
    </w:p>
    <w:p w:rsidR="00966E1E" w:rsidRDefault="00A643BD" w:rsidP="00C34E9B">
      <w:pPr>
        <w:pStyle w:val="11"/>
        <w:spacing w:line="560" w:lineRule="exact"/>
        <w:ind w:firstLineChars="200" w:firstLine="640"/>
        <w:rPr>
          <w:rFonts w:ascii="仿宋_GB2312" w:eastAsia="仿宋_GB2312"/>
          <w:sz w:val="32"/>
          <w:szCs w:val="32"/>
        </w:rPr>
      </w:pPr>
      <w:r>
        <w:rPr>
          <w:rFonts w:ascii="仿宋_GB2312" w:eastAsia="仿宋_GB2312" w:hint="eastAsia"/>
          <w:sz w:val="32"/>
          <w:szCs w:val="32"/>
        </w:rPr>
        <w:t>经济效益指标共两项，全部完成，其中：</w:t>
      </w:r>
    </w:p>
    <w:p w:rsidR="00966E1E" w:rsidRDefault="00A643BD" w:rsidP="00C34E9B">
      <w:pPr>
        <w:pStyle w:val="11"/>
        <w:spacing w:line="560" w:lineRule="exact"/>
        <w:ind w:firstLineChars="200" w:firstLine="640"/>
        <w:rPr>
          <w:rFonts w:ascii="仿宋_GB2312" w:eastAsia="仿宋_GB2312"/>
          <w:sz w:val="32"/>
          <w:szCs w:val="32"/>
        </w:rPr>
      </w:pPr>
      <w:r>
        <w:rPr>
          <w:rFonts w:ascii="仿宋_GB2312" w:eastAsia="仿宋_GB2312" w:hint="eastAsia"/>
          <w:sz w:val="32"/>
          <w:szCs w:val="32"/>
        </w:rPr>
        <w:t>网上预约立案数量年度指标值70%，实际完成值77.40%，2022年我院审核网上预约立案数量164958件，其中审核通过70483件。网上预约立案数主要受当事人主观影响较大，我院致力于推广并引导当事人多使用网上立案；</w:t>
      </w:r>
    </w:p>
    <w:p w:rsidR="00966E1E" w:rsidRDefault="00A643BD" w:rsidP="00C34E9B">
      <w:pPr>
        <w:pStyle w:val="11"/>
        <w:spacing w:line="560" w:lineRule="exact"/>
        <w:ind w:firstLineChars="200" w:firstLine="640"/>
        <w:rPr>
          <w:sz w:val="32"/>
          <w:szCs w:val="32"/>
        </w:rPr>
      </w:pPr>
      <w:r>
        <w:rPr>
          <w:rFonts w:ascii="仿宋_GB2312" w:eastAsia="仿宋_GB2312" w:hint="eastAsia"/>
          <w:sz w:val="32"/>
          <w:szCs w:val="32"/>
        </w:rPr>
        <w:t>本年我院充分有效保障了首都经济运转和维护营商环境。</w:t>
      </w:r>
    </w:p>
    <w:p w:rsidR="00966E1E" w:rsidRDefault="00A643BD" w:rsidP="00C34E9B">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2.社会效益</w:t>
      </w:r>
    </w:p>
    <w:p w:rsidR="00966E1E" w:rsidRDefault="00A643BD" w:rsidP="00C34E9B">
      <w:pPr>
        <w:spacing w:line="560" w:lineRule="exact"/>
        <w:ind w:firstLineChars="200" w:firstLine="640"/>
        <w:rPr>
          <w:rFonts w:ascii="仿宋_GB2312" w:eastAsia="仿宋_GB2312"/>
          <w:sz w:val="32"/>
          <w:szCs w:val="32"/>
        </w:rPr>
      </w:pPr>
      <w:r>
        <w:rPr>
          <w:rFonts w:ascii="仿宋_GB2312" w:eastAsia="仿宋_GB2312" w:hint="eastAsia"/>
          <w:sz w:val="32"/>
          <w:szCs w:val="32"/>
        </w:rPr>
        <w:t>社会效益指标完成两项，其中：</w:t>
      </w:r>
    </w:p>
    <w:p w:rsidR="00966E1E" w:rsidRDefault="00A643BD" w:rsidP="00C34E9B">
      <w:pPr>
        <w:spacing w:line="560" w:lineRule="exact"/>
        <w:ind w:firstLineChars="200" w:firstLine="640"/>
        <w:rPr>
          <w:rFonts w:ascii="仿宋_GB2312" w:eastAsia="仿宋_GB2312"/>
          <w:sz w:val="32"/>
          <w:szCs w:val="32"/>
        </w:rPr>
      </w:pPr>
      <w:r>
        <w:rPr>
          <w:rFonts w:ascii="仿宋_GB2312" w:eastAsia="仿宋_GB2312" w:hint="eastAsia"/>
          <w:sz w:val="32"/>
          <w:szCs w:val="32"/>
        </w:rPr>
        <w:t>脱贫攻坚及营商环境（结案情况）年度指标值20336件，全年完成值20951件；</w:t>
      </w:r>
    </w:p>
    <w:p w:rsidR="00966E1E" w:rsidRDefault="00A643BD" w:rsidP="00C34E9B">
      <w:pPr>
        <w:spacing w:line="560" w:lineRule="exact"/>
        <w:ind w:firstLineChars="200" w:firstLine="640"/>
        <w:rPr>
          <w:rFonts w:ascii="仿宋_GB2312" w:eastAsia="仿宋_GB2312"/>
          <w:sz w:val="32"/>
          <w:szCs w:val="32"/>
        </w:rPr>
      </w:pPr>
      <w:r>
        <w:rPr>
          <w:rFonts w:ascii="仿宋_GB2312" w:eastAsia="仿宋_GB2312" w:hint="eastAsia"/>
          <w:sz w:val="32"/>
          <w:szCs w:val="32"/>
        </w:rPr>
        <w:t>解决执行难（执结案件数）年度指标值24750件，全年完成值25036件。</w:t>
      </w:r>
    </w:p>
    <w:p w:rsidR="00966E1E" w:rsidRDefault="00A643BD" w:rsidP="00C34E9B">
      <w:pPr>
        <w:spacing w:line="560" w:lineRule="exact"/>
        <w:ind w:firstLineChars="200" w:firstLine="640"/>
        <w:rPr>
          <w:rFonts w:ascii="仿宋_GB2312" w:eastAsia="仿宋_GB2312"/>
          <w:sz w:val="32"/>
          <w:szCs w:val="32"/>
        </w:rPr>
      </w:pPr>
      <w:r>
        <w:rPr>
          <w:rFonts w:ascii="仿宋_GB2312" w:eastAsia="仿宋_GB2312" w:hint="eastAsia"/>
          <w:sz w:val="32"/>
          <w:szCs w:val="32"/>
        </w:rPr>
        <w:t>社会效益指标未完成一项，首都治安（结案情况）年度指标值1321件，全年完成值1220件，主要原因为受疫情影响，5月、11月、12月份无法提押造成无法</w:t>
      </w:r>
      <w:r w:rsidR="005D3E7E">
        <w:rPr>
          <w:rFonts w:ascii="仿宋_GB2312" w:eastAsia="仿宋_GB2312" w:hint="eastAsia"/>
          <w:sz w:val="32"/>
          <w:szCs w:val="32"/>
        </w:rPr>
        <w:t>按原计划</w:t>
      </w:r>
      <w:r>
        <w:rPr>
          <w:rFonts w:ascii="仿宋_GB2312" w:eastAsia="仿宋_GB2312" w:hint="eastAsia"/>
          <w:sz w:val="32"/>
          <w:szCs w:val="32"/>
        </w:rPr>
        <w:t>开庭，</w:t>
      </w:r>
      <w:r>
        <w:rPr>
          <w:rFonts w:ascii="仿宋_GB2312" w:eastAsia="仿宋_GB2312" w:hint="eastAsia"/>
          <w:sz w:val="32"/>
          <w:szCs w:val="32"/>
        </w:rPr>
        <w:lastRenderedPageBreak/>
        <w:t>导致结案数下降，未完成年度指标值。</w:t>
      </w:r>
    </w:p>
    <w:p w:rsidR="00966E1E" w:rsidRDefault="00A643BD" w:rsidP="00C34E9B">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3.环境效益</w:t>
      </w:r>
    </w:p>
    <w:p w:rsidR="00966E1E" w:rsidRDefault="00A643BD" w:rsidP="00C34E9B">
      <w:pPr>
        <w:pStyle w:val="a7"/>
        <w:spacing w:line="560" w:lineRule="exact"/>
        <w:ind w:firstLineChars="200" w:firstLine="640"/>
        <w:rPr>
          <w:rFonts w:ascii="仿宋_GB2312" w:eastAsia="仿宋_GB2312"/>
          <w:kern w:val="2"/>
        </w:rPr>
      </w:pPr>
      <w:r>
        <w:rPr>
          <w:rFonts w:ascii="仿宋_GB2312" w:eastAsia="仿宋_GB2312" w:hint="eastAsia"/>
          <w:kern w:val="2"/>
        </w:rPr>
        <w:t>本年度环境保护（结案情况）</w:t>
      </w:r>
      <w:r>
        <w:rPr>
          <w:rFonts w:ascii="仿宋_GB2312" w:eastAsia="仿宋_GB2312" w:hint="eastAsia"/>
        </w:rPr>
        <w:t>年度指标值0件，全年完成值0件。</w:t>
      </w:r>
    </w:p>
    <w:p w:rsidR="00966E1E" w:rsidRDefault="00A643BD" w:rsidP="00C34E9B">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4.可持续</w:t>
      </w:r>
      <w:r>
        <w:rPr>
          <w:rFonts w:ascii="仿宋_GB2312" w:eastAsia="仿宋_GB2312" w:hAnsi="宋体" w:cs="宋体"/>
          <w:b/>
          <w:bCs/>
          <w:color w:val="000000"/>
          <w:kern w:val="0"/>
          <w:sz w:val="32"/>
          <w:szCs w:val="32"/>
        </w:rPr>
        <w:t>性影响</w:t>
      </w:r>
    </w:p>
    <w:p w:rsidR="00966E1E" w:rsidRDefault="00A643BD" w:rsidP="00C34E9B">
      <w:pPr>
        <w:pStyle w:val="11"/>
        <w:spacing w:line="560" w:lineRule="exact"/>
        <w:ind w:firstLine="200"/>
        <w:rPr>
          <w:sz w:val="32"/>
          <w:szCs w:val="32"/>
        </w:rPr>
      </w:pPr>
      <w:r>
        <w:rPr>
          <w:rFonts w:ascii="仿宋_GB2312" w:eastAsia="仿宋_GB2312" w:hint="eastAsia"/>
          <w:sz w:val="32"/>
          <w:szCs w:val="32"/>
        </w:rPr>
        <w:t>司法为民公正司法情况：本年度大力发挥保障和改善民生职能作用，大力提升司法服务质效，大力推进切实解决执行难，大力推动普法常态化建设。</w:t>
      </w:r>
    </w:p>
    <w:p w:rsidR="00966E1E" w:rsidRDefault="00A643BD" w:rsidP="00C34E9B">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5.服务对象</w:t>
      </w:r>
      <w:r>
        <w:rPr>
          <w:rFonts w:ascii="仿宋_GB2312" w:eastAsia="仿宋_GB2312" w:hAnsi="宋体" w:cs="宋体"/>
          <w:b/>
          <w:bCs/>
          <w:color w:val="000000"/>
          <w:kern w:val="0"/>
          <w:sz w:val="32"/>
          <w:szCs w:val="32"/>
        </w:rPr>
        <w:t>满意度</w:t>
      </w:r>
    </w:p>
    <w:p w:rsidR="00966E1E" w:rsidRDefault="00A643BD" w:rsidP="00C34E9B">
      <w:pPr>
        <w:pStyle w:val="a7"/>
        <w:spacing w:line="560" w:lineRule="exact"/>
        <w:ind w:firstLineChars="200" w:firstLine="640"/>
        <w:rPr>
          <w:rFonts w:ascii="仿宋_GB2312" w:eastAsia="仿宋_GB2312"/>
          <w:kern w:val="2"/>
        </w:rPr>
      </w:pPr>
      <w:r>
        <w:rPr>
          <w:rFonts w:ascii="仿宋_GB2312" w:eastAsia="仿宋_GB2312" w:hint="eastAsia"/>
          <w:kern w:val="2"/>
        </w:rPr>
        <w:t>同级人民代表大会通过、赞成率年度指标值97.04%，全年完成值97.25%。</w:t>
      </w:r>
    </w:p>
    <w:p w:rsidR="00966E1E" w:rsidRDefault="00A643BD" w:rsidP="00C34E9B">
      <w:pPr>
        <w:spacing w:line="560" w:lineRule="exact"/>
        <w:ind w:firstLineChars="200" w:firstLine="640"/>
        <w:rPr>
          <w:rFonts w:ascii="Calibri"/>
          <w:sz w:val="32"/>
          <w:szCs w:val="32"/>
        </w:rPr>
      </w:pPr>
      <w:r>
        <w:rPr>
          <w:rFonts w:ascii="仿宋_GB2312" w:eastAsia="仿宋_GB2312" w:hint="eastAsia"/>
          <w:sz w:val="32"/>
          <w:szCs w:val="32"/>
        </w:rPr>
        <w:t>群众满意度指标完成，达到人民群众基本满意。</w:t>
      </w:r>
    </w:p>
    <w:p w:rsidR="00966E1E" w:rsidRDefault="00A643BD" w:rsidP="00C34E9B">
      <w:pPr>
        <w:spacing w:line="56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966E1E" w:rsidRDefault="00A643BD" w:rsidP="00C34E9B">
      <w:pPr>
        <w:spacing w:line="560" w:lineRule="exact"/>
        <w:ind w:leftChars="50" w:left="105" w:firstLineChars="150" w:firstLine="482"/>
        <w:rPr>
          <w:rFonts w:ascii="楷体_GB2312" w:eastAsia="楷体_GB2312"/>
          <w:b/>
          <w:bCs/>
          <w:sz w:val="32"/>
          <w:szCs w:val="32"/>
        </w:rPr>
      </w:pPr>
      <w:r>
        <w:rPr>
          <w:rFonts w:ascii="楷体_GB2312" w:eastAsia="楷体_GB2312" w:hint="eastAsia"/>
          <w:b/>
          <w:bCs/>
          <w:sz w:val="32"/>
          <w:szCs w:val="32"/>
        </w:rPr>
        <w:t>（一）财务管理</w:t>
      </w:r>
    </w:p>
    <w:p w:rsidR="00966E1E" w:rsidRDefault="00A643BD" w:rsidP="00C34E9B">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1.财务</w:t>
      </w:r>
      <w:r>
        <w:rPr>
          <w:rFonts w:ascii="仿宋_GB2312" w:eastAsia="仿宋_GB2312" w:hAnsi="宋体" w:cs="宋体"/>
          <w:b/>
          <w:bCs/>
          <w:color w:val="000000"/>
          <w:kern w:val="0"/>
          <w:sz w:val="32"/>
          <w:szCs w:val="32"/>
        </w:rPr>
        <w:t>管理制度健全性</w:t>
      </w:r>
    </w:p>
    <w:p w:rsidR="00966E1E" w:rsidRDefault="00A643BD" w:rsidP="00C34E9B">
      <w:pPr>
        <w:pStyle w:val="a3"/>
        <w:spacing w:line="56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本部门为加强财务管理、规范财务行为，提高资金使用效率，规范审批程序，防范财务风险，增加财务支出的民主性、科学性，保障审判、执行工作的顺利开展，于2021年重新修订了财务管理办法及大额资金管理规定，上述办法与规定自2022年</w:t>
      </w:r>
      <w:r w:rsidR="001B26AE">
        <w:rPr>
          <w:rFonts w:ascii="仿宋_GB2312" w:eastAsia="仿宋_GB2312" w:hAnsi="仿宋_GB2312" w:cs="仿宋_GB2312" w:hint="eastAsia"/>
          <w:color w:val="000000"/>
          <w:kern w:val="0"/>
          <w:sz w:val="32"/>
          <w:szCs w:val="32"/>
        </w:rPr>
        <w:t>1月1日</w:t>
      </w:r>
      <w:r>
        <w:rPr>
          <w:rFonts w:ascii="仿宋_GB2312" w:eastAsia="仿宋_GB2312" w:hAnsi="仿宋_GB2312" w:cs="仿宋_GB2312" w:hint="eastAsia"/>
          <w:color w:val="000000"/>
          <w:kern w:val="0"/>
          <w:sz w:val="32"/>
          <w:szCs w:val="32"/>
        </w:rPr>
        <w:t>起实行。</w:t>
      </w:r>
    </w:p>
    <w:p w:rsidR="00966E1E" w:rsidRDefault="00A643BD" w:rsidP="00C34E9B">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2.资金使用合规性</w:t>
      </w:r>
      <w:r>
        <w:rPr>
          <w:rFonts w:ascii="仿宋_GB2312" w:eastAsia="仿宋_GB2312" w:hAnsi="宋体" w:cs="宋体"/>
          <w:b/>
          <w:bCs/>
          <w:color w:val="000000"/>
          <w:kern w:val="0"/>
          <w:sz w:val="32"/>
          <w:szCs w:val="32"/>
        </w:rPr>
        <w:t>和安全性</w:t>
      </w:r>
    </w:p>
    <w:p w:rsidR="00966E1E" w:rsidRDefault="00A643BD" w:rsidP="00C34E9B">
      <w:pPr>
        <w:pStyle w:val="a3"/>
        <w:spacing w:line="560" w:lineRule="exact"/>
        <w:ind w:firstLine="640"/>
        <w:rPr>
          <w:sz w:val="32"/>
          <w:szCs w:val="32"/>
        </w:rPr>
      </w:pPr>
      <w:r>
        <w:rPr>
          <w:rFonts w:ascii="仿宋_GB2312" w:eastAsia="仿宋_GB2312" w:hAnsi="仿宋_GB2312" w:cs="仿宋_GB2312" w:hint="eastAsia"/>
          <w:color w:val="000000"/>
          <w:kern w:val="0"/>
          <w:sz w:val="32"/>
          <w:szCs w:val="32"/>
        </w:rPr>
        <w:t>我院在资金的使用上符合国家财经法规和财务管理制度规定以及有关专项资金管理办法的规定；我院财政资金的拨付有完整的审批程序和手续；我院大额资金使用需经党组</w:t>
      </w:r>
      <w:r>
        <w:rPr>
          <w:rFonts w:ascii="仿宋_GB2312" w:eastAsia="仿宋_GB2312" w:hAnsi="仿宋_GB2312" w:cs="仿宋_GB2312" w:hint="eastAsia"/>
          <w:color w:val="000000"/>
          <w:kern w:val="0"/>
          <w:sz w:val="32"/>
          <w:szCs w:val="32"/>
        </w:rPr>
        <w:lastRenderedPageBreak/>
        <w:t>会审议；我院在资金使用上符合部门预算批复的用途；我院在财政资金的使用上不存在截留、挤占及挪用情况；我院资金使用符合政府采购的程序和流程；我院资金使用符合公务卡结算相关制度和规定。</w:t>
      </w:r>
    </w:p>
    <w:p w:rsidR="00966E1E" w:rsidRDefault="00A643BD" w:rsidP="00C34E9B">
      <w:pPr>
        <w:spacing w:line="56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3.</w:t>
      </w:r>
      <w:r>
        <w:rPr>
          <w:rFonts w:ascii="仿宋_GB2312" w:eastAsia="仿宋_GB2312" w:hAnsi="宋体" w:cs="宋体" w:hint="eastAsia"/>
          <w:b/>
          <w:bCs/>
          <w:color w:val="000000"/>
          <w:kern w:val="0"/>
          <w:sz w:val="32"/>
          <w:szCs w:val="32"/>
        </w:rPr>
        <w:t>会计</w:t>
      </w:r>
      <w:r>
        <w:rPr>
          <w:rFonts w:ascii="仿宋_GB2312" w:eastAsia="仿宋_GB2312" w:hAnsi="宋体" w:cs="宋体"/>
          <w:b/>
          <w:bCs/>
          <w:color w:val="000000"/>
          <w:kern w:val="0"/>
          <w:sz w:val="32"/>
          <w:szCs w:val="32"/>
        </w:rPr>
        <w:t>基础信息完善性</w:t>
      </w:r>
    </w:p>
    <w:p w:rsidR="00966E1E" w:rsidRDefault="00A643BD" w:rsidP="00C34E9B">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仿宋_GB2312" w:cs="仿宋_GB2312" w:hint="eastAsia"/>
          <w:color w:val="000000"/>
          <w:kern w:val="0"/>
          <w:sz w:val="32"/>
          <w:szCs w:val="32"/>
        </w:rPr>
        <w:t>我院基础数据信息和会计信息资料真实；基础数据信息和会计信息资料完整；基础数据信息和会计信息资料准确。</w:t>
      </w:r>
    </w:p>
    <w:p w:rsidR="00966E1E" w:rsidRDefault="00A643BD" w:rsidP="00C34E9B">
      <w:pPr>
        <w:spacing w:line="560" w:lineRule="exact"/>
        <w:ind w:leftChars="50" w:left="105" w:firstLineChars="150" w:firstLine="482"/>
        <w:rPr>
          <w:rFonts w:ascii="楷体_GB2312" w:eastAsia="楷体_GB2312"/>
          <w:b/>
          <w:bCs/>
          <w:sz w:val="32"/>
          <w:szCs w:val="32"/>
        </w:rPr>
      </w:pPr>
      <w:r>
        <w:rPr>
          <w:rFonts w:ascii="楷体_GB2312" w:eastAsia="楷体_GB2312" w:hint="eastAsia"/>
          <w:b/>
          <w:bCs/>
          <w:sz w:val="32"/>
          <w:szCs w:val="32"/>
        </w:rPr>
        <w:t>（二）资产管理</w:t>
      </w:r>
    </w:p>
    <w:p w:rsidR="00966E1E" w:rsidRDefault="00A643BD" w:rsidP="00C34E9B">
      <w:pPr>
        <w:spacing w:line="560" w:lineRule="exact"/>
        <w:ind w:leftChars="50" w:left="105" w:firstLineChars="150" w:firstLine="480"/>
        <w:rPr>
          <w:rFonts w:ascii="楷体_GB2312" w:eastAsia="楷体_GB2312"/>
          <w:sz w:val="32"/>
          <w:szCs w:val="32"/>
        </w:rPr>
      </w:pPr>
      <w:r>
        <w:rPr>
          <w:rFonts w:ascii="仿宋_GB2312" w:eastAsia="仿宋_GB2312" w:hAnsi="仿宋_GB2312" w:cs="仿宋_GB2312" w:hint="eastAsia"/>
          <w:sz w:val="32"/>
          <w:szCs w:val="32"/>
        </w:rPr>
        <w:t>我院无对外投资项目，不存在对外投资行为未经审批及投资亏损的情况；我院不存在因管理不当发生严重资产损失和丢失情况；我院资产使用符合规范，不存在未经批准擅自出租、出借资产行为；我院资产处置规范，不存在未按要求进行报批或资产不公开处置的行为。</w:t>
      </w:r>
    </w:p>
    <w:p w:rsidR="00966E1E" w:rsidRDefault="00A643BD" w:rsidP="00C34E9B">
      <w:pPr>
        <w:spacing w:line="560" w:lineRule="exact"/>
        <w:ind w:leftChars="50" w:left="105" w:firstLineChars="150" w:firstLine="482"/>
        <w:rPr>
          <w:rFonts w:ascii="楷体_GB2312" w:eastAsia="楷体_GB2312"/>
          <w:b/>
          <w:bCs/>
          <w:sz w:val="32"/>
          <w:szCs w:val="32"/>
        </w:rPr>
      </w:pPr>
      <w:r>
        <w:rPr>
          <w:rFonts w:ascii="楷体_GB2312" w:eastAsia="楷体_GB2312" w:hint="eastAsia"/>
          <w:b/>
          <w:bCs/>
          <w:sz w:val="32"/>
          <w:szCs w:val="32"/>
        </w:rPr>
        <w:t>（三）绩效</w:t>
      </w:r>
      <w:r>
        <w:rPr>
          <w:rFonts w:ascii="楷体_GB2312" w:eastAsia="楷体_GB2312"/>
          <w:b/>
          <w:bCs/>
          <w:sz w:val="32"/>
          <w:szCs w:val="32"/>
        </w:rPr>
        <w:t>管理</w:t>
      </w:r>
    </w:p>
    <w:p w:rsidR="00966E1E" w:rsidRDefault="00A643BD" w:rsidP="00C34E9B">
      <w:pPr>
        <w:spacing w:line="560" w:lineRule="exact"/>
        <w:ind w:leftChars="50" w:left="105" w:firstLineChars="150" w:firstLine="480"/>
        <w:rPr>
          <w:rFonts w:ascii="楷体_GB2312" w:eastAsia="楷体_GB2312"/>
          <w:sz w:val="32"/>
          <w:szCs w:val="32"/>
        </w:rPr>
      </w:pPr>
      <w:r>
        <w:rPr>
          <w:rFonts w:ascii="仿宋_GB2312" w:eastAsia="仿宋_GB2312" w:hAnsi="仿宋_GB2312" w:cs="仿宋_GB2312" w:hint="eastAsia"/>
          <w:sz w:val="32"/>
          <w:szCs w:val="32"/>
        </w:rPr>
        <w:t>我院及时对绩效信息进行汇总分析整理，并对绩效目标偏离情况及时进行矫正。</w:t>
      </w:r>
    </w:p>
    <w:p w:rsidR="00966E1E" w:rsidRDefault="00A643BD" w:rsidP="00C34E9B">
      <w:pPr>
        <w:spacing w:line="560" w:lineRule="exact"/>
        <w:ind w:leftChars="50" w:left="105" w:firstLineChars="150" w:firstLine="482"/>
        <w:rPr>
          <w:rFonts w:ascii="楷体_GB2312" w:eastAsia="楷体_GB2312"/>
          <w:b/>
          <w:bCs/>
          <w:sz w:val="32"/>
          <w:szCs w:val="32"/>
        </w:rPr>
      </w:pPr>
      <w:r>
        <w:rPr>
          <w:rFonts w:ascii="楷体_GB2312" w:eastAsia="楷体_GB2312" w:hint="eastAsia"/>
          <w:b/>
          <w:bCs/>
          <w:sz w:val="32"/>
          <w:szCs w:val="32"/>
        </w:rPr>
        <w:t>（四）结转结余率</w:t>
      </w:r>
    </w:p>
    <w:p w:rsidR="00966E1E" w:rsidRDefault="00A643BD" w:rsidP="00C34E9B">
      <w:pPr>
        <w:spacing w:line="560" w:lineRule="exact"/>
        <w:ind w:leftChars="50" w:left="105" w:firstLineChars="150" w:firstLine="480"/>
        <w:rPr>
          <w:rFonts w:ascii="楷体_GB2312" w:eastAsia="楷体_GB2312"/>
          <w:sz w:val="32"/>
          <w:szCs w:val="32"/>
        </w:rPr>
      </w:pPr>
      <w:r>
        <w:rPr>
          <w:rFonts w:ascii="仿宋_GB2312" w:eastAsia="仿宋_GB2312" w:hAnsi="仿宋_GB2312" w:cs="仿宋_GB2312" w:hint="eastAsia"/>
          <w:sz w:val="32"/>
          <w:szCs w:val="32"/>
        </w:rPr>
        <w:t>我院2021年结转结余率为3.31%，2022年结转结余率为2.35%，根据我院审执工作安排,部分专项转移支付资金结转至2023年继续使用。</w:t>
      </w:r>
    </w:p>
    <w:p w:rsidR="00966E1E" w:rsidRDefault="00A643BD" w:rsidP="00C34E9B">
      <w:pPr>
        <w:spacing w:line="560" w:lineRule="exact"/>
        <w:ind w:leftChars="50" w:left="105" w:firstLineChars="150" w:firstLine="482"/>
        <w:rPr>
          <w:rFonts w:ascii="楷体_GB2312" w:eastAsia="楷体_GB2312"/>
          <w:b/>
          <w:bCs/>
          <w:sz w:val="32"/>
          <w:szCs w:val="32"/>
        </w:rPr>
      </w:pPr>
      <w:r>
        <w:rPr>
          <w:rFonts w:ascii="楷体_GB2312" w:eastAsia="楷体_GB2312" w:hint="eastAsia"/>
          <w:b/>
          <w:bCs/>
          <w:sz w:val="32"/>
          <w:szCs w:val="32"/>
        </w:rPr>
        <w:t>（五）部门</w:t>
      </w:r>
      <w:r>
        <w:rPr>
          <w:rFonts w:ascii="楷体_GB2312" w:eastAsia="楷体_GB2312"/>
          <w:b/>
          <w:bCs/>
          <w:sz w:val="32"/>
          <w:szCs w:val="32"/>
        </w:rPr>
        <w:t>预决算差异率</w:t>
      </w:r>
    </w:p>
    <w:p w:rsidR="00966E1E" w:rsidRDefault="00A643BD" w:rsidP="00C34E9B">
      <w:pPr>
        <w:spacing w:line="560" w:lineRule="exact"/>
        <w:ind w:leftChars="50" w:left="105" w:firstLineChars="150" w:firstLine="480"/>
        <w:rPr>
          <w:rFonts w:ascii="楷体_GB2312" w:eastAsia="楷体_GB2312"/>
          <w:sz w:val="32"/>
          <w:szCs w:val="32"/>
        </w:rPr>
      </w:pPr>
      <w:r>
        <w:rPr>
          <w:rFonts w:ascii="仿宋_GB2312" w:eastAsia="仿宋_GB2312" w:hAnsi="仿宋_GB2312" w:cs="仿宋_GB2312" w:hint="eastAsia"/>
          <w:sz w:val="32"/>
          <w:szCs w:val="32"/>
        </w:rPr>
        <w:t>我院2022年度部门决算差异率为7.86%。</w:t>
      </w:r>
    </w:p>
    <w:p w:rsidR="00966E1E" w:rsidRDefault="00A643BD" w:rsidP="00C34E9B">
      <w:pPr>
        <w:spacing w:line="560" w:lineRule="exact"/>
        <w:ind w:leftChars="50" w:left="105" w:firstLineChars="150" w:firstLine="480"/>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p>
    <w:p w:rsidR="00966E1E" w:rsidRDefault="00A643BD" w:rsidP="00C34E9B">
      <w:pPr>
        <w:spacing w:line="560" w:lineRule="exact"/>
        <w:ind w:leftChars="50" w:left="105" w:firstLineChars="150" w:firstLine="480"/>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rsidR="00966E1E" w:rsidRDefault="00A643BD" w:rsidP="00C34E9B">
      <w:pPr>
        <w:spacing w:line="560" w:lineRule="exact"/>
        <w:ind w:leftChars="50" w:left="105"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我院2022年部门整体绩效评价得分99.00。</w:t>
      </w:r>
    </w:p>
    <w:p w:rsidR="00966E1E" w:rsidRDefault="00A643BD" w:rsidP="00C34E9B">
      <w:pPr>
        <w:spacing w:line="560" w:lineRule="exact"/>
        <w:ind w:leftChars="50" w:left="105" w:firstLineChars="150" w:firstLine="480"/>
        <w:rPr>
          <w:rFonts w:ascii="楷体_GB2312" w:eastAsia="楷体_GB2312"/>
          <w:sz w:val="32"/>
          <w:szCs w:val="32"/>
        </w:rPr>
      </w:pPr>
      <w:r>
        <w:rPr>
          <w:rFonts w:ascii="楷体_GB2312" w:eastAsia="楷体_GB2312" w:hint="eastAsia"/>
          <w:sz w:val="32"/>
          <w:szCs w:val="32"/>
        </w:rPr>
        <w:t>（二）存在的问题及原因分析</w:t>
      </w:r>
    </w:p>
    <w:p w:rsidR="00966E1E" w:rsidRDefault="00A643BD" w:rsidP="00C34E9B">
      <w:pPr>
        <w:pStyle w:val="a7"/>
        <w:spacing w:line="560" w:lineRule="exact"/>
        <w:ind w:firstLineChars="200" w:firstLine="640"/>
        <w:rPr>
          <w:rFonts w:ascii="黑体" w:eastAsia="黑体" w:hAnsi="黑体"/>
          <w:kern w:val="2"/>
        </w:rPr>
      </w:pPr>
      <w:r>
        <w:rPr>
          <w:rFonts w:ascii="仿宋_GB2312" w:eastAsia="仿宋_GB2312" w:hAnsi="仿宋_GB2312" w:cs="仿宋_GB2312" w:hint="eastAsia"/>
          <w:kern w:val="2"/>
        </w:rPr>
        <w:t>2022年部门整体绩效评价</w:t>
      </w:r>
      <w:r>
        <w:rPr>
          <w:rFonts w:ascii="仿宋_GB2312" w:eastAsia="仿宋_GB2312" w:hint="eastAsia"/>
          <w:kern w:val="2"/>
        </w:rPr>
        <w:t>未完成指标共一项，</w:t>
      </w:r>
      <w:r>
        <w:rPr>
          <w:rFonts w:ascii="仿宋_GB2312" w:eastAsia="仿宋_GB2312" w:hint="eastAsia"/>
        </w:rPr>
        <w:t>社会效益指标中首都治安（结案情况）完成年度指标值。年度指标值1321件，全年完成值1220件，主要原因为受疫情影响，5月、11月、12月份无法提押造成</w:t>
      </w:r>
      <w:r w:rsidR="00690F63">
        <w:rPr>
          <w:rFonts w:ascii="仿宋_GB2312" w:eastAsia="仿宋_GB2312" w:hint="eastAsia"/>
        </w:rPr>
        <w:t>无法按原计划开庭</w:t>
      </w:r>
      <w:r>
        <w:rPr>
          <w:rFonts w:ascii="仿宋_GB2312" w:eastAsia="仿宋_GB2312" w:hint="eastAsia"/>
        </w:rPr>
        <w:t>，导致结案数下降，未完成年度指标值。</w:t>
      </w:r>
    </w:p>
    <w:p w:rsidR="00966E1E" w:rsidRDefault="00A643BD" w:rsidP="00C34E9B">
      <w:pPr>
        <w:spacing w:line="560" w:lineRule="exact"/>
        <w:ind w:firstLineChars="200" w:firstLine="640"/>
        <w:rPr>
          <w:rFonts w:ascii="仿宋_GB2312" w:eastAsia="仿宋_GB2312" w:hAnsi="宋体" w:cs="宋体"/>
          <w:color w:val="000000"/>
          <w:kern w:val="0"/>
          <w:sz w:val="32"/>
          <w:szCs w:val="32"/>
        </w:rPr>
      </w:pPr>
      <w:r>
        <w:rPr>
          <w:rFonts w:ascii="黑体" w:eastAsia="黑体" w:hAnsi="黑体" w:cs="宋体" w:hint="eastAsia"/>
          <w:color w:val="000000"/>
          <w:kern w:val="0"/>
          <w:sz w:val="32"/>
          <w:szCs w:val="32"/>
        </w:rPr>
        <w:t>六、措施建议</w:t>
      </w:r>
    </w:p>
    <w:p w:rsidR="00966E1E" w:rsidRDefault="00A643BD" w:rsidP="00C34E9B">
      <w:pPr>
        <w:autoSpaceDE w:val="0"/>
        <w:autoSpaceDN w:val="0"/>
        <w:spacing w:line="560" w:lineRule="exact"/>
        <w:ind w:firstLineChars="200" w:firstLine="640"/>
        <w:textAlignment w:val="baseline"/>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我院将继续强化绩效目标管理，严格按照预算管理和绩效目标管理的要求编制绩效目标，确保绩效目标能清晰反映预算资金的预期产出和效果，并以相应的绩效指标予以细化、量化描述，未按要求设定绩效目标的项目支出，不得纳入项目库管理，不得申请预算资金。</w:t>
      </w:r>
    </w:p>
    <w:p w:rsidR="00966E1E" w:rsidRDefault="00A643BD" w:rsidP="00C34E9B">
      <w:pPr>
        <w:autoSpaceDE w:val="0"/>
        <w:autoSpaceDN w:val="0"/>
        <w:spacing w:line="560" w:lineRule="exact"/>
        <w:ind w:firstLineChars="200" w:firstLine="640"/>
        <w:textAlignment w:val="baseline"/>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在预算执行环节加强绩效运行监控，对绩效目标实现程度和预算执行进度实行“双监控”，发现问题要及时分析原因并纠正，应针对我院重大项目、政策建立绩效跟踪机制，按照项目进度和绩效情况拨付款项，针对存在严重问题的要暂缓或停止支付款项，切实提高资金使用效率。</w:t>
      </w:r>
    </w:p>
    <w:p w:rsidR="00966E1E" w:rsidRDefault="00A643BD" w:rsidP="00C34E9B">
      <w:pPr>
        <w:autoSpaceDE w:val="0"/>
        <w:autoSpaceDN w:val="0"/>
        <w:spacing w:line="560" w:lineRule="exact"/>
        <w:ind w:firstLineChars="200" w:firstLine="640"/>
        <w:textAlignment w:val="baseline"/>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项目完成后，我院应及时开展绩效评价，严格贯彻落实预算绩效管理要求，依据设定的绩效目标，对项目支出的经济性、效率性、效益性和公平性进行客观、公正的测量、分析和评判，出具绩效评价结果，并加强绩效评价结果的运用，提高财政资金使用效率。</w:t>
      </w:r>
    </w:p>
    <w:p w:rsidR="00966E1E" w:rsidRDefault="00A643BD" w:rsidP="00C34E9B">
      <w:pPr>
        <w:pStyle w:val="a3"/>
        <w:spacing w:line="56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我院将高度重视绩效评价结果的应用工作，积极探索和</w:t>
      </w:r>
      <w:r>
        <w:rPr>
          <w:rFonts w:ascii="仿宋_GB2312" w:eastAsia="仿宋_GB2312" w:hAnsi="仿宋_GB2312" w:cs="仿宋_GB2312" w:hint="eastAsia"/>
          <w:color w:val="000000"/>
          <w:kern w:val="0"/>
          <w:sz w:val="32"/>
          <w:szCs w:val="32"/>
        </w:rPr>
        <w:lastRenderedPageBreak/>
        <w:t>建立一套与预算管理相结合、多渠道应用评价结果的有效机制，着力提高绩效意识和财政资金使用效益。</w:t>
      </w:r>
    </w:p>
    <w:p w:rsidR="00966E1E" w:rsidRDefault="00A643BD" w:rsidP="005A3D68">
      <w:pPr>
        <w:pStyle w:val="1"/>
        <w:spacing w:line="560" w:lineRule="exact"/>
        <w:rPr>
          <w:sz w:val="32"/>
          <w:szCs w:val="32"/>
        </w:rPr>
      </w:pPr>
      <w:bookmarkStart w:id="1" w:name="_Toc103006301"/>
      <w:r>
        <w:rPr>
          <w:rFonts w:hint="eastAsia"/>
          <w:sz w:val="32"/>
          <w:szCs w:val="32"/>
        </w:rPr>
        <w:t>七、附件</w:t>
      </w:r>
      <w:bookmarkEnd w:id="1"/>
    </w:p>
    <w:p w:rsidR="00966E1E" w:rsidRDefault="00A643BD" w:rsidP="005A3D68">
      <w:pPr>
        <w:spacing w:line="560" w:lineRule="exact"/>
        <w:ind w:firstLine="641"/>
        <w:rPr>
          <w:rFonts w:ascii="仿宋_GB2312" w:eastAsia="仿宋_GB2312" w:hAnsi="仿宋_GB2312" w:cs="仿宋_GB2312"/>
          <w:sz w:val="32"/>
          <w:szCs w:val="32"/>
        </w:rPr>
        <w:sectPr w:rsidR="00966E1E">
          <w:footerReference w:type="default" r:id="rId8"/>
          <w:pgSz w:w="11906" w:h="16838"/>
          <w:pgMar w:top="1440" w:right="1800" w:bottom="1440" w:left="1800" w:header="851" w:footer="964" w:gutter="0"/>
          <w:pgNumType w:start="1"/>
          <w:cols w:space="425"/>
          <w:docGrid w:type="lines" w:linePitch="435"/>
        </w:sectPr>
      </w:pPr>
      <w:r>
        <w:rPr>
          <w:rFonts w:ascii="仿宋_GB2312" w:eastAsia="仿宋_GB2312" w:hAnsi="仿宋_GB2312" w:cs="仿宋_GB2312" w:hint="eastAsia"/>
          <w:sz w:val="32"/>
          <w:szCs w:val="32"/>
        </w:rPr>
        <w:t>2022年部门整体绩效评价指标体系评分表</w:t>
      </w:r>
    </w:p>
    <w:p w:rsidR="00966E1E" w:rsidRDefault="00A643BD">
      <w:pPr>
        <w:spacing w:line="560" w:lineRule="exact"/>
        <w:jc w:val="left"/>
        <w:rPr>
          <w:rFonts w:ascii="方正黑体_GBK" w:eastAsia="方正黑体_GBK" w:hAnsi="方正黑体_GBK" w:cs="方正黑体_GBK"/>
          <w:sz w:val="32"/>
        </w:rPr>
      </w:pPr>
      <w:r>
        <w:rPr>
          <w:rFonts w:ascii="方正黑体_GBK" w:eastAsia="方正黑体_GBK" w:hAnsi="方正黑体_GBK" w:cs="方正黑体_GBK" w:hint="eastAsia"/>
          <w:sz w:val="32"/>
        </w:rPr>
        <w:lastRenderedPageBreak/>
        <w:t>附件</w:t>
      </w:r>
    </w:p>
    <w:tbl>
      <w:tblPr>
        <w:tblW w:w="4805" w:type="pct"/>
        <w:tblLayout w:type="fixed"/>
        <w:tblLook w:val="04A0"/>
      </w:tblPr>
      <w:tblGrid>
        <w:gridCol w:w="639"/>
        <w:gridCol w:w="21"/>
        <w:gridCol w:w="112"/>
        <w:gridCol w:w="526"/>
        <w:gridCol w:w="256"/>
        <w:gridCol w:w="847"/>
        <w:gridCol w:w="1490"/>
        <w:gridCol w:w="373"/>
        <w:gridCol w:w="689"/>
        <w:gridCol w:w="262"/>
        <w:gridCol w:w="373"/>
        <w:gridCol w:w="196"/>
        <w:gridCol w:w="133"/>
        <w:gridCol w:w="368"/>
        <w:gridCol w:w="294"/>
        <w:gridCol w:w="6"/>
        <w:gridCol w:w="3048"/>
        <w:gridCol w:w="106"/>
        <w:gridCol w:w="387"/>
        <w:gridCol w:w="3495"/>
      </w:tblGrid>
      <w:tr w:rsidR="00966E1E">
        <w:trPr>
          <w:trHeight w:val="499"/>
        </w:trPr>
        <w:tc>
          <w:tcPr>
            <w:tcW w:w="243" w:type="pct"/>
            <w:gridSpan w:val="2"/>
            <w:tcBorders>
              <w:top w:val="nil"/>
              <w:left w:val="nil"/>
              <w:bottom w:val="single" w:sz="4" w:space="0" w:color="auto"/>
              <w:right w:val="nil"/>
            </w:tcBorders>
            <w:shd w:val="clear" w:color="auto" w:fill="auto"/>
          </w:tcPr>
          <w:p w:rsidR="00966E1E" w:rsidRDefault="00966E1E">
            <w:pPr>
              <w:pStyle w:val="a3"/>
              <w:ind w:firstLine="420"/>
            </w:pPr>
          </w:p>
        </w:tc>
        <w:tc>
          <w:tcPr>
            <w:tcW w:w="4757" w:type="pct"/>
            <w:gridSpan w:val="18"/>
            <w:tcBorders>
              <w:top w:val="nil"/>
              <w:left w:val="nil"/>
              <w:bottom w:val="single" w:sz="4" w:space="0" w:color="auto"/>
              <w:right w:val="nil"/>
            </w:tcBorders>
            <w:shd w:val="clear" w:color="auto" w:fill="auto"/>
            <w:noWrap/>
            <w:vAlign w:val="bottom"/>
          </w:tcPr>
          <w:p w:rsidR="00966E1E" w:rsidRDefault="00A643BD">
            <w:pPr>
              <w:widowControl/>
              <w:jc w:val="center"/>
              <w:rPr>
                <w:rFonts w:ascii="方正小标宋简体" w:eastAsia="方正小标宋简体" w:hAnsi="宋体" w:cs="宋体"/>
                <w:color w:val="000000"/>
                <w:kern w:val="0"/>
                <w:sz w:val="44"/>
                <w:szCs w:val="44"/>
              </w:rPr>
            </w:pPr>
            <w:r>
              <w:rPr>
                <w:rFonts w:ascii="方正小标宋简体" w:eastAsia="方正小标宋简体" w:hAnsi="方正小标宋简体" w:cs="宋体" w:hint="eastAsia"/>
                <w:color w:val="000000"/>
                <w:kern w:val="0"/>
                <w:sz w:val="44"/>
                <w:szCs w:val="44"/>
              </w:rPr>
              <w:t>2022年部门整体绩效评价指标体系评分表</w:t>
            </w:r>
          </w:p>
        </w:tc>
      </w:tr>
      <w:tr w:rsidR="00966E1E">
        <w:trPr>
          <w:trHeight w:val="470"/>
        </w:trPr>
        <w:tc>
          <w:tcPr>
            <w:tcW w:w="243" w:type="pct"/>
            <w:gridSpan w:val="2"/>
            <w:tcBorders>
              <w:top w:val="single" w:sz="4" w:space="0" w:color="auto"/>
              <w:left w:val="single" w:sz="4" w:space="0" w:color="auto"/>
              <w:bottom w:val="single" w:sz="4" w:space="0" w:color="000000"/>
              <w:right w:val="single" w:sz="4" w:space="0" w:color="auto"/>
            </w:tcBorders>
            <w:shd w:val="clear" w:color="auto" w:fill="auto"/>
          </w:tcPr>
          <w:p w:rsidR="00966E1E" w:rsidRDefault="00966E1E">
            <w:pPr>
              <w:widowControl/>
              <w:jc w:val="left"/>
              <w:rPr>
                <w:rFonts w:ascii="宋体" w:hAnsi="宋体" w:cs="宋体"/>
                <w:color w:val="000000"/>
                <w:kern w:val="0"/>
                <w:sz w:val="18"/>
                <w:szCs w:val="18"/>
              </w:rPr>
            </w:pPr>
          </w:p>
        </w:tc>
        <w:tc>
          <w:tcPr>
            <w:tcW w:w="4757" w:type="pct"/>
            <w:gridSpan w:val="18"/>
            <w:tcBorders>
              <w:top w:val="single" w:sz="4" w:space="0" w:color="auto"/>
              <w:left w:val="single" w:sz="4" w:space="0" w:color="auto"/>
              <w:bottom w:val="single" w:sz="4" w:space="0" w:color="000000"/>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966E1E">
        <w:trPr>
          <w:trHeight w:val="6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一级指标　</w:t>
            </w:r>
          </w:p>
        </w:tc>
        <w:tc>
          <w:tcPr>
            <w:tcW w:w="242"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二级指标　</w:t>
            </w:r>
          </w:p>
        </w:tc>
        <w:tc>
          <w:tcPr>
            <w:tcW w:w="405"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253" w:type="pct"/>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233"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56"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267" w:type="pct"/>
            <w:gridSpan w:val="4"/>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1425"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966E1E">
        <w:trPr>
          <w:trHeight w:val="891"/>
        </w:trPr>
        <w:tc>
          <w:tcPr>
            <w:tcW w:w="235" w:type="pct"/>
            <w:vMerge w:val="restart"/>
            <w:tcBorders>
              <w:top w:val="nil"/>
              <w:left w:val="single" w:sz="4" w:space="0" w:color="auto"/>
              <w:bottom w:val="single" w:sz="4" w:space="0" w:color="000000"/>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242"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405"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20"/>
                <w:szCs w:val="20"/>
              </w:rPr>
            </w:pPr>
            <w:r>
              <w:rPr>
                <w:rFonts w:ascii="宋体" w:hAnsi="宋体" w:cs="宋体" w:hint="eastAsia"/>
                <w:color w:val="000000"/>
                <w:kern w:val="0"/>
                <w:sz w:val="20"/>
                <w:szCs w:val="20"/>
              </w:rPr>
              <w:t>40161.92</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43319.53</w:t>
            </w:r>
          </w:p>
        </w:tc>
        <w:tc>
          <w:tcPr>
            <w:tcW w:w="253" w:type="pct"/>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100%　</w:t>
            </w:r>
          </w:p>
        </w:tc>
        <w:tc>
          <w:tcPr>
            <w:tcW w:w="233" w:type="pct"/>
            <w:gridSpan w:val="2"/>
            <w:vMerge w:val="restart"/>
            <w:tcBorders>
              <w:top w:val="nil"/>
              <w:left w:val="nil"/>
              <w:bottom w:val="single" w:sz="4" w:space="0" w:color="auto"/>
              <w:right w:val="single" w:sz="4" w:space="0" w:color="auto"/>
            </w:tcBorders>
            <w:shd w:val="clear" w:color="auto" w:fill="auto"/>
            <w:noWrap/>
            <w:vAlign w:val="center"/>
          </w:tcPr>
          <w:p w:rsidR="00966E1E" w:rsidRDefault="00966E1E">
            <w:pPr>
              <w:widowControl/>
              <w:jc w:val="center"/>
              <w:rPr>
                <w:rFonts w:ascii="宋体" w:hAnsi="宋体" w:cs="宋体"/>
                <w:color w:val="000000"/>
                <w:kern w:val="0"/>
                <w:sz w:val="20"/>
                <w:szCs w:val="20"/>
              </w:rPr>
            </w:pPr>
          </w:p>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256" w:type="pct"/>
            <w:gridSpan w:val="3"/>
            <w:vMerge w:val="restart"/>
            <w:tcBorders>
              <w:top w:val="nil"/>
              <w:left w:val="nil"/>
              <w:bottom w:val="single" w:sz="4" w:space="0" w:color="auto"/>
              <w:right w:val="single" w:sz="4" w:space="0" w:color="auto"/>
            </w:tcBorders>
            <w:shd w:val="clear" w:color="auto" w:fill="auto"/>
            <w:noWrap/>
            <w:vAlign w:val="center"/>
          </w:tcPr>
          <w:p w:rsidR="00966E1E" w:rsidRDefault="00966E1E">
            <w:pPr>
              <w:widowControl/>
              <w:jc w:val="center"/>
              <w:rPr>
                <w:rFonts w:ascii="宋体" w:hAnsi="宋体" w:cs="宋体"/>
                <w:color w:val="000000"/>
                <w:kern w:val="0"/>
                <w:sz w:val="20"/>
                <w:szCs w:val="20"/>
              </w:rPr>
            </w:pPr>
          </w:p>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1267" w:type="pct"/>
            <w:gridSpan w:val="4"/>
            <w:vMerge w:val="restart"/>
            <w:tcBorders>
              <w:top w:val="nil"/>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部门全年执行数与全年预算数的比率。资金总体=基本支出+项目支出+其他</w:t>
            </w:r>
          </w:p>
        </w:tc>
        <w:tc>
          <w:tcPr>
            <w:tcW w:w="1425" w:type="pct"/>
            <w:gridSpan w:val="2"/>
            <w:vMerge w:val="restart"/>
            <w:tcBorders>
              <w:top w:val="nil"/>
              <w:left w:val="nil"/>
              <w:bottom w:val="single" w:sz="4" w:space="0" w:color="auto"/>
              <w:right w:val="single" w:sz="4" w:space="0" w:color="auto"/>
            </w:tcBorders>
            <w:shd w:val="clear" w:color="auto" w:fill="auto"/>
            <w:vAlign w:val="center"/>
          </w:tcPr>
          <w:p w:rsidR="00966E1E" w:rsidRDefault="00A643BD">
            <w:pPr>
              <w:pStyle w:val="a8"/>
              <w:widowControl/>
              <w:numPr>
                <w:ilvl w:val="0"/>
                <w:numId w:val="1"/>
              </w:numPr>
              <w:ind w:firstLineChars="0"/>
              <w:jc w:val="left"/>
              <w:rPr>
                <w:rFonts w:ascii="宋体" w:hAnsi="宋体" w:cs="宋体"/>
                <w:color w:val="000000"/>
                <w:kern w:val="0"/>
                <w:sz w:val="18"/>
                <w:szCs w:val="18"/>
              </w:rPr>
            </w:pPr>
            <w:r>
              <w:rPr>
                <w:rFonts w:ascii="宋体" w:hAnsi="宋体" w:cs="宋体" w:hint="eastAsia"/>
                <w:color w:val="000000"/>
                <w:kern w:val="0"/>
                <w:sz w:val="18"/>
                <w:szCs w:val="18"/>
              </w:rPr>
              <w:t>分一档最高不能超过该指标分值上限（20分）。</w:t>
            </w:r>
            <w:r>
              <w:rPr>
                <w:rFonts w:ascii="宋体" w:hAnsi="宋体" w:cs="宋体" w:hint="eastAsia"/>
                <w:color w:val="000000"/>
                <w:kern w:val="0"/>
                <w:sz w:val="18"/>
                <w:szCs w:val="18"/>
              </w:rPr>
              <w:b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rsidR="00966E1E" w:rsidRDefault="00966E1E">
            <w:pPr>
              <w:pStyle w:val="a8"/>
              <w:widowControl/>
              <w:ind w:left="360" w:firstLineChars="0" w:firstLine="0"/>
              <w:jc w:val="left"/>
              <w:rPr>
                <w:rFonts w:ascii="宋体" w:hAnsi="宋体" w:cs="宋体"/>
                <w:color w:val="000000"/>
                <w:kern w:val="0"/>
                <w:sz w:val="18"/>
                <w:szCs w:val="18"/>
              </w:rPr>
            </w:pPr>
          </w:p>
        </w:tc>
      </w:tr>
      <w:tr w:rsidR="00966E1E">
        <w:trPr>
          <w:trHeight w:val="957"/>
        </w:trPr>
        <w:tc>
          <w:tcPr>
            <w:tcW w:w="235" w:type="pct"/>
            <w:vMerge/>
            <w:tcBorders>
              <w:top w:val="nil"/>
              <w:left w:val="single" w:sz="4" w:space="0" w:color="auto"/>
              <w:bottom w:val="single" w:sz="4" w:space="0" w:color="000000"/>
              <w:right w:val="single" w:sz="4" w:space="0" w:color="auto"/>
            </w:tcBorders>
            <w:shd w:val="clear" w:color="auto" w:fill="auto"/>
            <w:vAlign w:val="center"/>
          </w:tcPr>
          <w:p w:rsidR="00966E1E" w:rsidRDefault="00966E1E">
            <w:pPr>
              <w:rPr>
                <w:rFonts w:ascii="Calibri" w:hAnsi="Calibri"/>
                <w:szCs w:val="22"/>
              </w:rPr>
            </w:pPr>
          </w:p>
        </w:tc>
        <w:tc>
          <w:tcPr>
            <w:tcW w:w="242" w:type="pct"/>
            <w:gridSpan w:val="3"/>
            <w:tcBorders>
              <w:top w:val="single" w:sz="4" w:space="0" w:color="auto"/>
              <w:left w:val="nil"/>
              <w:bottom w:val="single" w:sz="4" w:space="0" w:color="auto"/>
              <w:right w:val="nil"/>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4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6E1E" w:rsidRDefault="00A643BD">
            <w:pPr>
              <w:widowControl/>
              <w:rPr>
                <w:rFonts w:ascii="宋体" w:hAnsi="宋体" w:cs="宋体"/>
                <w:color w:val="000000"/>
                <w:kern w:val="0"/>
                <w:sz w:val="20"/>
                <w:szCs w:val="20"/>
              </w:rPr>
            </w:pPr>
            <w:r>
              <w:rPr>
                <w:rFonts w:ascii="宋体" w:hAnsi="宋体" w:cs="宋体" w:hint="eastAsia"/>
                <w:color w:val="000000"/>
                <w:kern w:val="0"/>
                <w:sz w:val="20"/>
                <w:szCs w:val="20"/>
              </w:rPr>
              <w:t>27865.38</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31610.13</w:t>
            </w:r>
          </w:p>
        </w:tc>
        <w:tc>
          <w:tcPr>
            <w:tcW w:w="253" w:type="pct"/>
            <w:vMerge w:val="restart"/>
            <w:tcBorders>
              <w:top w:val="nil"/>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233" w:type="pct"/>
            <w:gridSpan w:val="2"/>
            <w:vMerge/>
            <w:tcBorders>
              <w:top w:val="nil"/>
              <w:left w:val="nil"/>
              <w:bottom w:val="single" w:sz="4" w:space="0" w:color="auto"/>
              <w:right w:val="single" w:sz="4" w:space="0" w:color="auto"/>
            </w:tcBorders>
            <w:shd w:val="clear" w:color="auto" w:fill="auto"/>
            <w:noWrap/>
            <w:vAlign w:val="center"/>
          </w:tcPr>
          <w:p w:rsidR="00966E1E" w:rsidRDefault="00966E1E">
            <w:pPr>
              <w:rPr>
                <w:rFonts w:ascii="Calibri" w:hAnsi="Calibri"/>
                <w:szCs w:val="22"/>
              </w:rPr>
            </w:pPr>
          </w:p>
        </w:tc>
        <w:tc>
          <w:tcPr>
            <w:tcW w:w="256" w:type="pct"/>
            <w:gridSpan w:val="3"/>
            <w:vMerge/>
            <w:tcBorders>
              <w:top w:val="nil"/>
              <w:left w:val="nil"/>
              <w:bottom w:val="single" w:sz="4" w:space="0" w:color="auto"/>
              <w:right w:val="single" w:sz="4" w:space="0" w:color="auto"/>
            </w:tcBorders>
            <w:shd w:val="clear" w:color="auto" w:fill="auto"/>
            <w:noWrap/>
            <w:vAlign w:val="center"/>
          </w:tcPr>
          <w:p w:rsidR="00966E1E" w:rsidRDefault="00966E1E">
            <w:pPr>
              <w:rPr>
                <w:rFonts w:ascii="Calibri" w:hAnsi="Calibri"/>
                <w:szCs w:val="22"/>
              </w:rPr>
            </w:pPr>
          </w:p>
        </w:tc>
        <w:tc>
          <w:tcPr>
            <w:tcW w:w="1267" w:type="pct"/>
            <w:gridSpan w:val="4"/>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425" w:type="pct"/>
            <w:gridSpan w:val="2"/>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1287"/>
        </w:trPr>
        <w:tc>
          <w:tcPr>
            <w:tcW w:w="235" w:type="pct"/>
            <w:vMerge/>
            <w:tcBorders>
              <w:top w:val="nil"/>
              <w:left w:val="single" w:sz="4" w:space="0" w:color="auto"/>
              <w:bottom w:val="single" w:sz="4" w:space="0" w:color="000000"/>
              <w:right w:val="single" w:sz="4" w:space="0" w:color="auto"/>
            </w:tcBorders>
            <w:shd w:val="clear" w:color="auto" w:fill="auto"/>
            <w:vAlign w:val="center"/>
          </w:tcPr>
          <w:p w:rsidR="00966E1E" w:rsidRDefault="00966E1E">
            <w:pPr>
              <w:rPr>
                <w:rFonts w:ascii="Calibri" w:hAnsi="Calibri"/>
                <w:szCs w:val="22"/>
              </w:rPr>
            </w:pPr>
          </w:p>
        </w:tc>
        <w:tc>
          <w:tcPr>
            <w:tcW w:w="242" w:type="pct"/>
            <w:gridSpan w:val="3"/>
            <w:tcBorders>
              <w:top w:val="single" w:sz="4" w:space="0" w:color="auto"/>
              <w:left w:val="nil"/>
              <w:bottom w:val="single" w:sz="4" w:space="0" w:color="auto"/>
              <w:right w:val="nil"/>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40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6E1E" w:rsidRDefault="00A643BD">
            <w:pPr>
              <w:jc w:val="center"/>
              <w:rPr>
                <w:rFonts w:ascii="宋体" w:hAnsi="宋体" w:cs="宋体"/>
                <w:color w:val="000000"/>
                <w:kern w:val="0"/>
                <w:sz w:val="20"/>
                <w:szCs w:val="20"/>
              </w:rPr>
            </w:pPr>
            <w:r>
              <w:rPr>
                <w:rFonts w:ascii="宋体" w:hAnsi="宋体" w:cs="宋体" w:hint="eastAsia"/>
                <w:color w:val="000000"/>
                <w:kern w:val="0"/>
                <w:sz w:val="20"/>
                <w:szCs w:val="20"/>
              </w:rPr>
              <w:t>11018.54</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10286.10</w:t>
            </w:r>
          </w:p>
        </w:tc>
        <w:tc>
          <w:tcPr>
            <w:tcW w:w="253" w:type="pct"/>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33" w:type="pct"/>
            <w:gridSpan w:val="2"/>
            <w:vMerge/>
            <w:tcBorders>
              <w:top w:val="nil"/>
              <w:left w:val="nil"/>
              <w:bottom w:val="single" w:sz="4" w:space="0" w:color="auto"/>
              <w:right w:val="single" w:sz="4" w:space="0" w:color="auto"/>
            </w:tcBorders>
            <w:shd w:val="clear" w:color="auto" w:fill="auto"/>
            <w:noWrap/>
            <w:vAlign w:val="center"/>
          </w:tcPr>
          <w:p w:rsidR="00966E1E" w:rsidRDefault="00966E1E">
            <w:pPr>
              <w:rPr>
                <w:rFonts w:ascii="Calibri" w:hAnsi="Calibri"/>
                <w:szCs w:val="22"/>
              </w:rPr>
            </w:pPr>
          </w:p>
        </w:tc>
        <w:tc>
          <w:tcPr>
            <w:tcW w:w="256" w:type="pct"/>
            <w:gridSpan w:val="3"/>
            <w:vMerge/>
            <w:tcBorders>
              <w:top w:val="nil"/>
              <w:left w:val="nil"/>
              <w:bottom w:val="single" w:sz="4" w:space="0" w:color="auto"/>
              <w:right w:val="single" w:sz="4" w:space="0" w:color="auto"/>
            </w:tcBorders>
            <w:shd w:val="clear" w:color="auto" w:fill="auto"/>
            <w:noWrap/>
            <w:vAlign w:val="center"/>
          </w:tcPr>
          <w:p w:rsidR="00966E1E" w:rsidRDefault="00966E1E">
            <w:pPr>
              <w:rPr>
                <w:rFonts w:ascii="Calibri" w:hAnsi="Calibri"/>
                <w:szCs w:val="22"/>
              </w:rPr>
            </w:pPr>
          </w:p>
        </w:tc>
        <w:tc>
          <w:tcPr>
            <w:tcW w:w="1267" w:type="pct"/>
            <w:gridSpan w:val="4"/>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425" w:type="pct"/>
            <w:gridSpan w:val="2"/>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1276"/>
        </w:trPr>
        <w:tc>
          <w:tcPr>
            <w:tcW w:w="235" w:type="pct"/>
            <w:vMerge/>
            <w:tcBorders>
              <w:top w:val="nil"/>
              <w:left w:val="single" w:sz="4" w:space="0" w:color="auto"/>
              <w:bottom w:val="single" w:sz="4" w:space="0" w:color="000000"/>
              <w:right w:val="single" w:sz="4" w:space="0" w:color="auto"/>
            </w:tcBorders>
            <w:shd w:val="clear" w:color="auto" w:fill="auto"/>
            <w:vAlign w:val="center"/>
          </w:tcPr>
          <w:p w:rsidR="00966E1E" w:rsidRDefault="00966E1E">
            <w:pPr>
              <w:rPr>
                <w:rFonts w:ascii="Calibri" w:hAnsi="Calibri"/>
                <w:szCs w:val="22"/>
              </w:rPr>
            </w:pPr>
          </w:p>
        </w:tc>
        <w:tc>
          <w:tcPr>
            <w:tcW w:w="242"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405"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jc w:val="center"/>
              <w:rPr>
                <w:rFonts w:ascii="宋体" w:hAnsi="宋体" w:cs="宋体"/>
                <w:color w:val="000000"/>
                <w:kern w:val="0"/>
                <w:sz w:val="20"/>
                <w:szCs w:val="20"/>
              </w:rPr>
            </w:pPr>
            <w:r>
              <w:rPr>
                <w:rFonts w:ascii="宋体" w:hAnsi="宋体" w:cs="宋体" w:hint="eastAsia"/>
                <w:color w:val="000000"/>
                <w:kern w:val="0"/>
                <w:sz w:val="20"/>
                <w:szCs w:val="20"/>
              </w:rPr>
              <w:t>1278.00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jc w:val="center"/>
              <w:rPr>
                <w:rFonts w:ascii="Arial" w:hAnsi="Arial" w:cs="Arial"/>
                <w:sz w:val="20"/>
                <w:szCs w:val="20"/>
              </w:rPr>
            </w:pPr>
            <w:r>
              <w:rPr>
                <w:rFonts w:ascii="宋体" w:hAnsi="宋体" w:cs="宋体" w:hint="eastAsia"/>
                <w:color w:val="000000"/>
                <w:kern w:val="0"/>
                <w:sz w:val="20"/>
                <w:szCs w:val="20"/>
              </w:rPr>
              <w:t>1423.30</w:t>
            </w:r>
          </w:p>
        </w:tc>
        <w:tc>
          <w:tcPr>
            <w:tcW w:w="253" w:type="pct"/>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33" w:type="pct"/>
            <w:gridSpan w:val="2"/>
            <w:vMerge/>
            <w:tcBorders>
              <w:top w:val="nil"/>
              <w:left w:val="nil"/>
              <w:bottom w:val="single" w:sz="4" w:space="0" w:color="auto"/>
              <w:right w:val="single" w:sz="4" w:space="0" w:color="auto"/>
            </w:tcBorders>
            <w:shd w:val="clear" w:color="auto" w:fill="auto"/>
            <w:noWrap/>
            <w:vAlign w:val="center"/>
          </w:tcPr>
          <w:p w:rsidR="00966E1E" w:rsidRDefault="00966E1E">
            <w:pPr>
              <w:rPr>
                <w:rFonts w:ascii="Calibri" w:hAnsi="Calibri"/>
                <w:szCs w:val="22"/>
              </w:rPr>
            </w:pPr>
          </w:p>
        </w:tc>
        <w:tc>
          <w:tcPr>
            <w:tcW w:w="256" w:type="pct"/>
            <w:gridSpan w:val="3"/>
            <w:vMerge/>
            <w:tcBorders>
              <w:top w:val="nil"/>
              <w:left w:val="nil"/>
              <w:bottom w:val="single" w:sz="4" w:space="0" w:color="auto"/>
              <w:right w:val="single" w:sz="4" w:space="0" w:color="auto"/>
            </w:tcBorders>
            <w:shd w:val="clear" w:color="auto" w:fill="auto"/>
            <w:noWrap/>
            <w:vAlign w:val="center"/>
          </w:tcPr>
          <w:p w:rsidR="00966E1E" w:rsidRDefault="00966E1E">
            <w:pPr>
              <w:rPr>
                <w:rFonts w:ascii="Calibri" w:hAnsi="Calibri"/>
                <w:szCs w:val="22"/>
              </w:rPr>
            </w:pPr>
          </w:p>
        </w:tc>
        <w:tc>
          <w:tcPr>
            <w:tcW w:w="1267" w:type="pct"/>
            <w:gridSpan w:val="4"/>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425" w:type="pct"/>
            <w:gridSpan w:val="2"/>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569"/>
        </w:trPr>
        <w:tc>
          <w:tcPr>
            <w:tcW w:w="243" w:type="pct"/>
            <w:gridSpan w:val="2"/>
            <w:tcBorders>
              <w:top w:val="nil"/>
              <w:left w:val="single" w:sz="4" w:space="0" w:color="auto"/>
              <w:bottom w:val="single" w:sz="4" w:space="0" w:color="auto"/>
              <w:right w:val="single" w:sz="4" w:space="0" w:color="auto"/>
            </w:tcBorders>
            <w:shd w:val="clear" w:color="auto" w:fill="auto"/>
          </w:tcPr>
          <w:p w:rsidR="00966E1E" w:rsidRDefault="00966E1E">
            <w:pPr>
              <w:widowControl/>
              <w:jc w:val="left"/>
              <w:rPr>
                <w:rFonts w:ascii="宋体" w:hAnsi="宋体" w:cs="宋体"/>
                <w:color w:val="000000"/>
                <w:kern w:val="0"/>
                <w:sz w:val="18"/>
                <w:szCs w:val="18"/>
              </w:rPr>
            </w:pPr>
          </w:p>
        </w:tc>
        <w:tc>
          <w:tcPr>
            <w:tcW w:w="4757" w:type="pct"/>
            <w:gridSpan w:val="18"/>
            <w:tcBorders>
              <w:top w:val="nil"/>
              <w:left w:val="single" w:sz="4" w:space="0" w:color="auto"/>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二、</w:t>
            </w:r>
            <w:r>
              <w:rPr>
                <w:rFonts w:ascii="宋体" w:hAnsi="宋体" w:cs="宋体" w:hint="eastAsia"/>
                <w:color w:val="000000"/>
                <w:kern w:val="0"/>
                <w:sz w:val="20"/>
                <w:szCs w:val="20"/>
              </w:rPr>
              <w:t>整体绩效目标实现情况（60分）</w:t>
            </w:r>
          </w:p>
        </w:tc>
      </w:tr>
      <w:tr w:rsidR="00966E1E">
        <w:trPr>
          <w:trHeight w:val="499"/>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一级指标</w:t>
            </w:r>
          </w:p>
        </w:tc>
        <w:tc>
          <w:tcPr>
            <w:tcW w:w="242"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二级指标　</w:t>
            </w:r>
          </w:p>
        </w:tc>
        <w:tc>
          <w:tcPr>
            <w:tcW w:w="405"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三级指标　</w:t>
            </w:r>
          </w:p>
        </w:tc>
        <w:tc>
          <w:tcPr>
            <w:tcW w:w="547" w:type="pct"/>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486"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A643BD">
            <w:pPr>
              <w:widowControl/>
              <w:spacing w:line="480" w:lineRule="auto"/>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44" w:type="pct"/>
            <w:gridSpan w:val="3"/>
            <w:tcBorders>
              <w:top w:val="single" w:sz="4" w:space="0" w:color="auto"/>
              <w:left w:val="single" w:sz="4" w:space="0" w:color="auto"/>
              <w:bottom w:val="single" w:sz="4" w:space="0" w:color="auto"/>
              <w:right w:val="nil"/>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3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指标解释</w:t>
            </w:r>
          </w:p>
        </w:tc>
        <w:tc>
          <w:tcPr>
            <w:tcW w:w="1283" w:type="pct"/>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18"/>
                <w:szCs w:val="18"/>
              </w:rPr>
            </w:pPr>
            <w:r>
              <w:rPr>
                <w:rFonts w:ascii="宋体" w:hAnsi="宋体" w:cs="宋体" w:hint="eastAsia"/>
                <w:color w:val="000000"/>
                <w:kern w:val="0"/>
                <w:sz w:val="18"/>
                <w:szCs w:val="18"/>
              </w:rPr>
              <w:t>评分标准</w:t>
            </w:r>
          </w:p>
        </w:tc>
      </w:tr>
      <w:tr w:rsidR="00966E1E">
        <w:trPr>
          <w:trHeight w:val="1196"/>
        </w:trPr>
        <w:tc>
          <w:tcPr>
            <w:tcW w:w="235" w:type="pct"/>
            <w:vMerge w:val="restart"/>
            <w:tcBorders>
              <w:top w:val="nil"/>
              <w:left w:val="single" w:sz="4" w:space="0" w:color="auto"/>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整体绩效目标实现情况（60）</w:t>
            </w:r>
          </w:p>
        </w:tc>
        <w:tc>
          <w:tcPr>
            <w:tcW w:w="242" w:type="pct"/>
            <w:gridSpan w:val="3"/>
            <w:vMerge w:val="restart"/>
            <w:tcBorders>
              <w:top w:val="nil"/>
              <w:left w:val="nil"/>
              <w:bottom w:val="nil"/>
              <w:right w:val="single" w:sz="4" w:space="0" w:color="auto"/>
            </w:tcBorders>
            <w:shd w:val="clear" w:color="auto" w:fill="auto"/>
            <w:vAlign w:val="center"/>
          </w:tcPr>
          <w:p w:rsidR="00966E1E" w:rsidRDefault="00966E1E">
            <w:pPr>
              <w:widowControl/>
              <w:jc w:val="center"/>
              <w:rPr>
                <w:rFonts w:ascii="宋体" w:hAnsi="宋体" w:cs="宋体"/>
                <w:color w:val="000000"/>
                <w:kern w:val="0"/>
                <w:sz w:val="20"/>
                <w:szCs w:val="20"/>
              </w:rPr>
            </w:pPr>
          </w:p>
          <w:p w:rsidR="00966E1E" w:rsidRDefault="00A643BD">
            <w:pPr>
              <w:jc w:val="center"/>
              <w:rPr>
                <w:rFonts w:ascii="宋体" w:hAnsi="宋体" w:cs="宋体"/>
                <w:color w:val="000000"/>
                <w:kern w:val="0"/>
                <w:sz w:val="20"/>
                <w:szCs w:val="20"/>
              </w:rPr>
            </w:pPr>
            <w:r>
              <w:rPr>
                <w:rFonts w:ascii="宋体" w:hAnsi="宋体" w:cs="宋体" w:hint="eastAsia"/>
                <w:color w:val="000000"/>
                <w:kern w:val="0"/>
                <w:sz w:val="20"/>
                <w:szCs w:val="20"/>
              </w:rPr>
              <w:t>产出（30）</w:t>
            </w:r>
          </w:p>
        </w:tc>
        <w:tc>
          <w:tcPr>
            <w:tcW w:w="405"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rPr>
                <w:rFonts w:ascii="宋体" w:hAnsi="宋体" w:cs="宋体"/>
                <w:color w:val="000000"/>
                <w:kern w:val="0"/>
                <w:sz w:val="20"/>
                <w:szCs w:val="20"/>
              </w:rPr>
            </w:pPr>
            <w:r>
              <w:rPr>
                <w:rFonts w:ascii="宋体" w:hAnsi="宋体" w:cs="宋体" w:hint="eastAsia"/>
                <w:color w:val="000000"/>
                <w:kern w:val="0"/>
                <w:sz w:val="20"/>
                <w:szCs w:val="20"/>
              </w:rPr>
              <w:t>年初预计收结案量</w:t>
            </w:r>
          </w:p>
        </w:tc>
        <w:tc>
          <w:tcPr>
            <w:tcW w:w="547" w:type="pct"/>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收案：90788</w:t>
            </w:r>
          </w:p>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结案：90947</w:t>
            </w:r>
          </w:p>
        </w:tc>
        <w:tc>
          <w:tcPr>
            <w:tcW w:w="486"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收案：91058</w:t>
            </w:r>
          </w:p>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结案：91077</w:t>
            </w:r>
          </w:p>
        </w:tc>
        <w:tc>
          <w:tcPr>
            <w:tcW w:w="258" w:type="pct"/>
            <w:gridSpan w:val="3"/>
            <w:tcBorders>
              <w:top w:val="single" w:sz="4" w:space="0" w:color="auto"/>
              <w:left w:val="nil"/>
              <w:bottom w:val="single" w:sz="4" w:space="0" w:color="auto"/>
              <w:right w:val="single" w:sz="4" w:space="0" w:color="auto"/>
            </w:tcBorders>
            <w:shd w:val="clear" w:color="auto" w:fill="auto"/>
          </w:tcPr>
          <w:p w:rsidR="00690F63" w:rsidRPr="00690F63" w:rsidRDefault="00690F63" w:rsidP="00690F63">
            <w:pPr>
              <w:widowControl/>
              <w:spacing w:line="300" w:lineRule="auto"/>
              <w:rPr>
                <w:rFonts w:ascii="宋体" w:hAnsi="宋体" w:cs="宋体"/>
                <w:color w:val="000000"/>
                <w:kern w:val="0"/>
                <w:sz w:val="20"/>
                <w:szCs w:val="20"/>
              </w:rPr>
            </w:pPr>
          </w:p>
          <w:p w:rsidR="00966E1E" w:rsidRPr="00690F63" w:rsidRDefault="00A643BD" w:rsidP="00690F63">
            <w:pPr>
              <w:widowControl/>
              <w:spacing w:line="312" w:lineRule="auto"/>
              <w:jc w:val="center"/>
              <w:rPr>
                <w:rFonts w:ascii="宋体" w:hAnsi="宋体" w:cs="宋体"/>
                <w:color w:val="000000"/>
                <w:kern w:val="0"/>
                <w:sz w:val="20"/>
                <w:szCs w:val="20"/>
              </w:rPr>
            </w:pPr>
            <w:r w:rsidRPr="00690F63">
              <w:rPr>
                <w:rFonts w:ascii="宋体" w:hAnsi="宋体" w:cs="宋体" w:hint="eastAsia"/>
                <w:color w:val="000000"/>
                <w:kern w:val="0"/>
                <w:sz w:val="20"/>
                <w:szCs w:val="20"/>
              </w:rPr>
              <w:t>5</w:t>
            </w:r>
          </w:p>
        </w:tc>
        <w:tc>
          <w:tcPr>
            <w:tcW w:w="244" w:type="pct"/>
            <w:gridSpan w:val="3"/>
            <w:tcBorders>
              <w:top w:val="single" w:sz="4" w:space="0" w:color="auto"/>
              <w:left w:val="single" w:sz="4" w:space="0" w:color="auto"/>
              <w:bottom w:val="single" w:sz="4" w:space="0" w:color="auto"/>
              <w:right w:val="nil"/>
            </w:tcBorders>
            <w:shd w:val="clear" w:color="auto" w:fill="auto"/>
            <w:vAlign w:val="center"/>
          </w:tcPr>
          <w:p w:rsidR="00966E1E" w:rsidRPr="00690F63" w:rsidRDefault="00966E1E" w:rsidP="00690F63">
            <w:pPr>
              <w:widowControl/>
              <w:jc w:val="center"/>
              <w:rPr>
                <w:rFonts w:ascii="宋体" w:hAnsi="宋体" w:cs="宋体"/>
                <w:color w:val="000000"/>
                <w:kern w:val="0"/>
                <w:sz w:val="20"/>
                <w:szCs w:val="20"/>
              </w:rPr>
            </w:pPr>
          </w:p>
          <w:p w:rsidR="00966E1E" w:rsidRPr="00690F63" w:rsidRDefault="00A643BD" w:rsidP="00690F63">
            <w:pPr>
              <w:widowControl/>
              <w:jc w:val="center"/>
              <w:rPr>
                <w:rFonts w:ascii="宋体" w:hAnsi="宋体" w:cs="宋体"/>
                <w:color w:val="000000"/>
                <w:kern w:val="0"/>
                <w:sz w:val="20"/>
                <w:szCs w:val="20"/>
              </w:rPr>
            </w:pPr>
            <w:r w:rsidRPr="00690F63">
              <w:rPr>
                <w:rFonts w:ascii="宋体" w:hAnsi="宋体" w:cs="宋体" w:hint="eastAsia"/>
                <w:color w:val="000000"/>
                <w:kern w:val="0"/>
                <w:sz w:val="20"/>
                <w:szCs w:val="20"/>
              </w:rPr>
              <w:t>5</w:t>
            </w:r>
          </w:p>
          <w:p w:rsidR="00966E1E" w:rsidRPr="00690F63" w:rsidRDefault="00966E1E" w:rsidP="00690F63">
            <w:pPr>
              <w:widowControl/>
              <w:jc w:val="center"/>
              <w:rPr>
                <w:rFonts w:ascii="宋体" w:hAnsi="宋体" w:cs="宋体"/>
                <w:color w:val="000000"/>
                <w:kern w:val="0"/>
                <w:sz w:val="20"/>
                <w:szCs w:val="20"/>
              </w:rPr>
            </w:pPr>
          </w:p>
        </w:tc>
        <w:tc>
          <w:tcPr>
            <w:tcW w:w="1300" w:type="pct"/>
            <w:gridSpan w:val="3"/>
            <w:vMerge w:val="restart"/>
            <w:tcBorders>
              <w:top w:val="nil"/>
              <w:left w:val="single" w:sz="4" w:space="0" w:color="auto"/>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按时完成率=（按时完成工作数/实际完成工作数）×100%。按时完成工作数：部门（单位）按照整体绩效目标确定的时限实际完成的工作任务数量。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1283" w:type="pct"/>
            <w:vMerge w:val="restart"/>
            <w:tcBorders>
              <w:top w:val="nil"/>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rsidR="00966E1E">
        <w:trPr>
          <w:trHeight w:val="1130"/>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vMerge/>
            <w:tcBorders>
              <w:top w:val="nil"/>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员额法官人均办案工作量</w:t>
            </w:r>
          </w:p>
        </w:tc>
        <w:tc>
          <w:tcPr>
            <w:tcW w:w="547" w:type="pct"/>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435.24</w:t>
            </w:r>
          </w:p>
        </w:tc>
        <w:tc>
          <w:tcPr>
            <w:tcW w:w="486"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437.90</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966E1E">
            <w:pPr>
              <w:widowControl/>
              <w:jc w:val="center"/>
              <w:rPr>
                <w:rFonts w:ascii="宋体" w:hAnsi="宋体" w:cs="宋体"/>
                <w:color w:val="000000"/>
                <w:kern w:val="0"/>
                <w:sz w:val="20"/>
                <w:szCs w:val="20"/>
              </w:rPr>
            </w:pPr>
          </w:p>
          <w:p w:rsidR="00966E1E" w:rsidRDefault="00A643BD" w:rsidP="00690F63">
            <w:pPr>
              <w:widowControl/>
              <w:spacing w:line="420" w:lineRule="auto"/>
              <w:ind w:firstLineChars="100" w:firstLine="200"/>
              <w:rPr>
                <w:rFonts w:ascii="宋体" w:hAnsi="宋体" w:cs="宋体"/>
                <w:color w:val="000000"/>
                <w:kern w:val="0"/>
                <w:sz w:val="20"/>
                <w:szCs w:val="20"/>
              </w:rPr>
            </w:pPr>
            <w:r>
              <w:rPr>
                <w:rFonts w:ascii="宋体" w:hAnsi="宋体" w:cs="宋体" w:hint="eastAsia"/>
                <w:color w:val="000000"/>
                <w:kern w:val="0"/>
                <w:sz w:val="20"/>
                <w:szCs w:val="20"/>
              </w:rPr>
              <w:t>3</w:t>
            </w:r>
          </w:p>
        </w:tc>
        <w:tc>
          <w:tcPr>
            <w:tcW w:w="244" w:type="pct"/>
            <w:gridSpan w:val="3"/>
            <w:tcBorders>
              <w:top w:val="single" w:sz="4" w:space="0" w:color="auto"/>
              <w:left w:val="single" w:sz="4" w:space="0" w:color="auto"/>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00" w:type="pct"/>
            <w:gridSpan w:val="3"/>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283" w:type="pct"/>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1258"/>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vMerge/>
            <w:tcBorders>
              <w:top w:val="nil"/>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全年审判执行文书数量（份）</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55984</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67419</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966E1E">
            <w:pPr>
              <w:widowControl/>
              <w:jc w:val="center"/>
              <w:rPr>
                <w:rFonts w:ascii="宋体" w:hAnsi="宋体" w:cs="宋体"/>
                <w:color w:val="000000"/>
                <w:kern w:val="0"/>
                <w:sz w:val="20"/>
                <w:szCs w:val="20"/>
              </w:rPr>
            </w:pPr>
          </w:p>
          <w:p w:rsidR="00966E1E" w:rsidRDefault="00A643BD">
            <w:pPr>
              <w:widowControl/>
              <w:spacing w:line="480" w:lineRule="auto"/>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244" w:type="pct"/>
            <w:gridSpan w:val="3"/>
            <w:tcBorders>
              <w:top w:val="single" w:sz="4" w:space="0" w:color="auto"/>
              <w:left w:val="single" w:sz="4" w:space="0" w:color="auto"/>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00" w:type="pct"/>
            <w:gridSpan w:val="3"/>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283" w:type="pct"/>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975"/>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vMerge/>
            <w:tcBorders>
              <w:top w:val="nil"/>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数字化档案数量（卷）</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120000</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120238</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966E1E" w:rsidP="00690F63">
            <w:pPr>
              <w:widowControl/>
              <w:spacing w:line="312" w:lineRule="auto"/>
              <w:jc w:val="center"/>
              <w:rPr>
                <w:rFonts w:ascii="宋体" w:hAnsi="宋体" w:cs="宋体"/>
                <w:color w:val="000000"/>
                <w:kern w:val="0"/>
                <w:sz w:val="20"/>
                <w:szCs w:val="20"/>
              </w:rPr>
            </w:pPr>
          </w:p>
          <w:p w:rsidR="00966E1E" w:rsidRDefault="00966E1E" w:rsidP="00690F63">
            <w:pPr>
              <w:widowControl/>
              <w:spacing w:line="312" w:lineRule="auto"/>
              <w:rPr>
                <w:rFonts w:ascii="宋体" w:hAnsi="宋体" w:cs="宋体"/>
                <w:color w:val="000000"/>
                <w:kern w:val="0"/>
                <w:sz w:val="20"/>
                <w:szCs w:val="20"/>
              </w:rPr>
            </w:pPr>
          </w:p>
          <w:p w:rsidR="00966E1E" w:rsidRDefault="00A643BD" w:rsidP="00690F63">
            <w:pPr>
              <w:widowControl/>
              <w:spacing w:line="312" w:lineRule="auto"/>
              <w:jc w:val="center"/>
              <w:rPr>
                <w:rFonts w:ascii="宋体" w:hAnsi="宋体" w:cs="宋体"/>
                <w:color w:val="000000"/>
                <w:kern w:val="0"/>
                <w:sz w:val="20"/>
                <w:szCs w:val="20"/>
              </w:rPr>
            </w:pPr>
            <w:r>
              <w:rPr>
                <w:rFonts w:ascii="宋体" w:hAnsi="宋体" w:cs="宋体" w:hint="eastAsia"/>
                <w:color w:val="000000"/>
                <w:kern w:val="0"/>
                <w:sz w:val="20"/>
                <w:szCs w:val="20"/>
              </w:rPr>
              <w:t>2.5</w:t>
            </w:r>
          </w:p>
        </w:tc>
        <w:tc>
          <w:tcPr>
            <w:tcW w:w="244" w:type="pct"/>
            <w:gridSpan w:val="3"/>
            <w:tcBorders>
              <w:top w:val="single" w:sz="4" w:space="0" w:color="auto"/>
              <w:left w:val="single" w:sz="4" w:space="0" w:color="auto"/>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2.5</w:t>
            </w:r>
          </w:p>
        </w:tc>
        <w:tc>
          <w:tcPr>
            <w:tcW w:w="1300" w:type="pct"/>
            <w:gridSpan w:val="3"/>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283" w:type="pct"/>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975"/>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tcBorders>
              <w:top w:val="nil"/>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裁判文书上网率</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966E1E">
            <w:pPr>
              <w:widowControl/>
              <w:jc w:val="center"/>
              <w:rPr>
                <w:rFonts w:ascii="宋体" w:hAnsi="宋体" w:cs="宋体"/>
                <w:color w:val="000000"/>
                <w:kern w:val="0"/>
                <w:sz w:val="20"/>
                <w:szCs w:val="20"/>
              </w:rPr>
            </w:pPr>
          </w:p>
          <w:p w:rsidR="00966E1E" w:rsidRDefault="00A643BD" w:rsidP="00A04F58">
            <w:pPr>
              <w:widowControl/>
              <w:spacing w:line="276" w:lineRule="auto"/>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44" w:type="pct"/>
            <w:gridSpan w:val="3"/>
            <w:tcBorders>
              <w:top w:val="single" w:sz="4" w:space="0" w:color="auto"/>
              <w:left w:val="single" w:sz="4" w:space="0" w:color="auto"/>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300" w:type="pct"/>
            <w:gridSpan w:val="3"/>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283" w:type="pct"/>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975"/>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tcBorders>
              <w:top w:val="nil"/>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投诉信访率</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0.1%</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0.03%</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966E1E">
            <w:pPr>
              <w:widowControl/>
              <w:jc w:val="center"/>
              <w:rPr>
                <w:rFonts w:ascii="宋体" w:hAnsi="宋体" w:cs="宋体"/>
                <w:color w:val="000000"/>
                <w:kern w:val="0"/>
                <w:sz w:val="20"/>
                <w:szCs w:val="20"/>
              </w:rPr>
            </w:pPr>
          </w:p>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3.5</w:t>
            </w:r>
          </w:p>
        </w:tc>
        <w:tc>
          <w:tcPr>
            <w:tcW w:w="244" w:type="pct"/>
            <w:gridSpan w:val="3"/>
            <w:tcBorders>
              <w:top w:val="single" w:sz="4" w:space="0" w:color="auto"/>
              <w:left w:val="single" w:sz="4" w:space="0" w:color="auto"/>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3.5</w:t>
            </w:r>
          </w:p>
        </w:tc>
        <w:tc>
          <w:tcPr>
            <w:tcW w:w="1300" w:type="pct"/>
            <w:gridSpan w:val="3"/>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283" w:type="pct"/>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975"/>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tcBorders>
              <w:top w:val="nil"/>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执行质效</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97.5%</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99.47%</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966E1E">
            <w:pPr>
              <w:widowControl/>
              <w:jc w:val="center"/>
              <w:rPr>
                <w:rFonts w:ascii="宋体" w:hAnsi="宋体" w:cs="宋体"/>
                <w:color w:val="000000"/>
                <w:kern w:val="0"/>
                <w:sz w:val="20"/>
                <w:szCs w:val="20"/>
              </w:rPr>
            </w:pPr>
          </w:p>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3.5</w:t>
            </w:r>
          </w:p>
        </w:tc>
        <w:tc>
          <w:tcPr>
            <w:tcW w:w="244" w:type="pct"/>
            <w:gridSpan w:val="3"/>
            <w:tcBorders>
              <w:top w:val="single" w:sz="4" w:space="0" w:color="auto"/>
              <w:left w:val="single" w:sz="4" w:space="0" w:color="auto"/>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3.5</w:t>
            </w:r>
          </w:p>
        </w:tc>
        <w:tc>
          <w:tcPr>
            <w:tcW w:w="1300" w:type="pct"/>
            <w:gridSpan w:val="3"/>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283" w:type="pct"/>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975"/>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tcBorders>
              <w:top w:val="nil"/>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结收比</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100.02%</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966E1E">
            <w:pPr>
              <w:widowControl/>
              <w:jc w:val="center"/>
              <w:rPr>
                <w:rFonts w:ascii="宋体" w:hAnsi="宋体" w:cs="宋体"/>
                <w:color w:val="000000"/>
                <w:kern w:val="0"/>
                <w:sz w:val="20"/>
                <w:szCs w:val="20"/>
              </w:rPr>
            </w:pPr>
          </w:p>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3.5</w:t>
            </w:r>
          </w:p>
        </w:tc>
        <w:tc>
          <w:tcPr>
            <w:tcW w:w="244" w:type="pct"/>
            <w:gridSpan w:val="3"/>
            <w:tcBorders>
              <w:top w:val="single" w:sz="4" w:space="0" w:color="auto"/>
              <w:left w:val="single" w:sz="4" w:space="0" w:color="auto"/>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3.5</w:t>
            </w:r>
          </w:p>
        </w:tc>
        <w:tc>
          <w:tcPr>
            <w:tcW w:w="1300" w:type="pct"/>
            <w:gridSpan w:val="3"/>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283" w:type="pct"/>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975"/>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tcBorders>
              <w:top w:val="nil"/>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电子送达覆盖率</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59.39%</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68.38%</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966E1E">
            <w:pPr>
              <w:widowControl/>
              <w:jc w:val="center"/>
              <w:rPr>
                <w:rFonts w:ascii="宋体" w:hAnsi="宋体" w:cs="宋体"/>
                <w:color w:val="000000"/>
                <w:kern w:val="0"/>
                <w:sz w:val="20"/>
                <w:szCs w:val="20"/>
              </w:rPr>
            </w:pPr>
          </w:p>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44" w:type="pct"/>
            <w:gridSpan w:val="3"/>
            <w:tcBorders>
              <w:top w:val="single" w:sz="4" w:space="0" w:color="auto"/>
              <w:left w:val="single" w:sz="4" w:space="0" w:color="auto"/>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300" w:type="pct"/>
            <w:gridSpan w:val="3"/>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283" w:type="pct"/>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975"/>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tcBorders>
              <w:top w:val="nil"/>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全口径案件成本（万元）</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0.25</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0.107255</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966E1E">
            <w:pPr>
              <w:widowControl/>
              <w:jc w:val="center"/>
              <w:rPr>
                <w:rFonts w:ascii="宋体" w:hAnsi="宋体" w:cs="宋体"/>
                <w:color w:val="000000"/>
                <w:kern w:val="0"/>
                <w:sz w:val="20"/>
                <w:szCs w:val="20"/>
              </w:rPr>
            </w:pPr>
          </w:p>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44" w:type="pct"/>
            <w:gridSpan w:val="3"/>
            <w:tcBorders>
              <w:top w:val="single" w:sz="4" w:space="0" w:color="auto"/>
              <w:left w:val="single" w:sz="4" w:space="0" w:color="auto"/>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300" w:type="pct"/>
            <w:gridSpan w:val="3"/>
            <w:tcBorders>
              <w:top w:val="nil"/>
              <w:left w:val="single" w:sz="4" w:space="0" w:color="auto"/>
              <w:bottom w:val="single" w:sz="4" w:space="0" w:color="auto"/>
              <w:right w:val="single" w:sz="4" w:space="0" w:color="auto"/>
            </w:tcBorders>
            <w:shd w:val="clear" w:color="auto" w:fill="auto"/>
            <w:vAlign w:val="center"/>
          </w:tcPr>
          <w:p w:rsidR="00966E1E" w:rsidRDefault="00966E1E">
            <w:pPr>
              <w:widowControl/>
              <w:jc w:val="left"/>
              <w:rPr>
                <w:rFonts w:ascii="宋体" w:hAnsi="宋体" w:cs="宋体"/>
                <w:color w:val="000000"/>
                <w:kern w:val="0"/>
                <w:sz w:val="18"/>
                <w:szCs w:val="18"/>
              </w:rPr>
            </w:pPr>
          </w:p>
        </w:tc>
        <w:tc>
          <w:tcPr>
            <w:tcW w:w="1283" w:type="pct"/>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975"/>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tcBorders>
              <w:top w:val="nil"/>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网上预约立案数量（占全部收案数量的比重）</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70%</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77.40%</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966E1E">
            <w:pPr>
              <w:widowControl/>
              <w:jc w:val="center"/>
              <w:rPr>
                <w:rFonts w:ascii="宋体" w:hAnsi="宋体" w:cs="宋体"/>
                <w:color w:val="000000"/>
                <w:kern w:val="0"/>
                <w:sz w:val="20"/>
                <w:szCs w:val="20"/>
              </w:rPr>
            </w:pPr>
          </w:p>
          <w:p w:rsidR="00966E1E" w:rsidRDefault="00966E1E">
            <w:pPr>
              <w:widowControl/>
              <w:jc w:val="center"/>
              <w:rPr>
                <w:rFonts w:ascii="宋体" w:hAnsi="宋体" w:cs="宋体"/>
                <w:color w:val="000000"/>
                <w:kern w:val="0"/>
                <w:sz w:val="20"/>
                <w:szCs w:val="20"/>
              </w:rPr>
            </w:pPr>
          </w:p>
          <w:p w:rsidR="00966E1E" w:rsidRDefault="00966E1E">
            <w:pPr>
              <w:widowControl/>
              <w:jc w:val="center"/>
              <w:rPr>
                <w:rFonts w:ascii="宋体" w:hAnsi="宋体" w:cs="宋体"/>
                <w:color w:val="000000"/>
                <w:kern w:val="0"/>
                <w:sz w:val="20"/>
                <w:szCs w:val="20"/>
              </w:rPr>
            </w:pPr>
          </w:p>
          <w:p w:rsidR="00966E1E" w:rsidRDefault="00966E1E">
            <w:pPr>
              <w:widowControl/>
              <w:jc w:val="center"/>
              <w:rPr>
                <w:rFonts w:ascii="宋体" w:hAnsi="宋体" w:cs="宋体"/>
                <w:color w:val="000000"/>
                <w:kern w:val="0"/>
                <w:sz w:val="20"/>
                <w:szCs w:val="20"/>
              </w:rPr>
            </w:pPr>
          </w:p>
          <w:p w:rsidR="00966E1E" w:rsidRDefault="00A643BD">
            <w:pPr>
              <w:widowControl/>
              <w:spacing w:line="480" w:lineRule="auto"/>
              <w:ind w:firstLineChars="100" w:firstLine="200"/>
            </w:pPr>
            <w:r>
              <w:rPr>
                <w:rFonts w:ascii="宋体" w:hAnsi="宋体" w:cs="宋体" w:hint="eastAsia"/>
                <w:color w:val="000000"/>
                <w:kern w:val="0"/>
                <w:sz w:val="20"/>
                <w:szCs w:val="20"/>
              </w:rPr>
              <w:t>5</w:t>
            </w:r>
          </w:p>
        </w:tc>
        <w:tc>
          <w:tcPr>
            <w:tcW w:w="244" w:type="pct"/>
            <w:gridSpan w:val="3"/>
            <w:tcBorders>
              <w:top w:val="single" w:sz="4" w:space="0" w:color="auto"/>
              <w:left w:val="single" w:sz="4" w:space="0" w:color="auto"/>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300" w:type="pct"/>
            <w:gridSpan w:val="3"/>
            <w:tcBorders>
              <w:top w:val="nil"/>
              <w:left w:val="single" w:sz="4" w:space="0" w:color="auto"/>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1283" w:type="pct"/>
            <w:tcBorders>
              <w:top w:val="nil"/>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部门根据实际情况选择指标进行填写，并将其细化为相应的个性化指标。对于效益类指标可从受益对象瞄准度、受益广度和受益深度上进行设计分析。</w:t>
            </w:r>
          </w:p>
        </w:tc>
      </w:tr>
      <w:tr w:rsidR="00966E1E">
        <w:trPr>
          <w:trHeight w:val="675"/>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vMerge w:val="restart"/>
            <w:tcBorders>
              <w:top w:val="single" w:sz="4" w:space="0" w:color="auto"/>
              <w:left w:val="nil"/>
              <w:bottom w:val="nil"/>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保证首都经济运转和维护营商环境情况（文字描述）</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有效保障</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充分有效保障</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966E1E">
            <w:pPr>
              <w:widowControl/>
              <w:jc w:val="center"/>
              <w:rPr>
                <w:rFonts w:ascii="宋体" w:hAnsi="宋体" w:cs="宋体"/>
                <w:color w:val="000000"/>
                <w:kern w:val="0"/>
                <w:sz w:val="20"/>
                <w:szCs w:val="20"/>
              </w:rPr>
            </w:pPr>
          </w:p>
          <w:p w:rsidR="00966E1E" w:rsidRDefault="00A643BD">
            <w:pPr>
              <w:widowControl/>
              <w:spacing w:line="600" w:lineRule="auto"/>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244" w:type="pct"/>
            <w:gridSpan w:val="3"/>
            <w:tcBorders>
              <w:top w:val="single" w:sz="4" w:space="0" w:color="auto"/>
              <w:left w:val="single" w:sz="4" w:space="0" w:color="auto"/>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00" w:type="pct"/>
            <w:gridSpan w:val="3"/>
            <w:vMerge w:val="restart"/>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p w:rsidR="00966E1E" w:rsidRDefault="00966E1E">
            <w:pPr>
              <w:rPr>
                <w:rFonts w:ascii="Calibri" w:hAnsi="Calibri"/>
                <w:szCs w:val="22"/>
              </w:rPr>
            </w:pPr>
          </w:p>
        </w:tc>
        <w:tc>
          <w:tcPr>
            <w:tcW w:w="1283" w:type="pct"/>
            <w:vMerge w:val="restart"/>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p w:rsidR="00966E1E" w:rsidRDefault="00966E1E">
            <w:pPr>
              <w:rPr>
                <w:rFonts w:ascii="Calibri" w:hAnsi="Calibri"/>
                <w:szCs w:val="22"/>
              </w:rPr>
            </w:pPr>
          </w:p>
        </w:tc>
      </w:tr>
      <w:tr w:rsidR="00966E1E">
        <w:trPr>
          <w:trHeight w:val="630"/>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vMerge/>
            <w:tcBorders>
              <w:top w:val="single" w:sz="4" w:space="0" w:color="auto"/>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脱贫攻坚及营商环境（结案情况）</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20336</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20951</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966E1E">
            <w:pPr>
              <w:widowControl/>
              <w:jc w:val="center"/>
              <w:rPr>
                <w:rFonts w:ascii="宋体" w:hAnsi="宋体" w:cs="宋体"/>
                <w:color w:val="000000"/>
                <w:kern w:val="0"/>
                <w:sz w:val="20"/>
                <w:szCs w:val="20"/>
              </w:rPr>
            </w:pPr>
          </w:p>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3.5</w:t>
            </w:r>
          </w:p>
        </w:tc>
        <w:tc>
          <w:tcPr>
            <w:tcW w:w="244" w:type="pct"/>
            <w:gridSpan w:val="3"/>
            <w:tcBorders>
              <w:top w:val="single" w:sz="4" w:space="0" w:color="auto"/>
              <w:left w:val="single" w:sz="4" w:space="0" w:color="auto"/>
              <w:bottom w:val="single" w:sz="4" w:space="0" w:color="auto"/>
              <w:right w:val="nil"/>
            </w:tcBorders>
            <w:shd w:val="clear" w:color="auto" w:fill="auto"/>
            <w:noWrap/>
          </w:tcPr>
          <w:p w:rsidR="00966E1E" w:rsidRDefault="00966E1E">
            <w:pPr>
              <w:widowControl/>
              <w:jc w:val="center"/>
              <w:rPr>
                <w:rFonts w:ascii="宋体" w:hAnsi="宋体" w:cs="宋体"/>
                <w:color w:val="000000"/>
                <w:kern w:val="0"/>
                <w:sz w:val="20"/>
                <w:szCs w:val="20"/>
              </w:rPr>
            </w:pPr>
          </w:p>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3.5</w:t>
            </w:r>
          </w:p>
        </w:tc>
        <w:tc>
          <w:tcPr>
            <w:tcW w:w="1300" w:type="pct"/>
            <w:gridSpan w:val="3"/>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283" w:type="pct"/>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690"/>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vMerge/>
            <w:tcBorders>
              <w:top w:val="single" w:sz="4" w:space="0" w:color="auto"/>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首都治安（结案情况）</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1321</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1220</w:t>
            </w:r>
          </w:p>
        </w:tc>
        <w:tc>
          <w:tcPr>
            <w:tcW w:w="258" w:type="pct"/>
            <w:gridSpan w:val="3"/>
            <w:tcBorders>
              <w:top w:val="single" w:sz="4" w:space="0" w:color="auto"/>
              <w:left w:val="nil"/>
              <w:bottom w:val="single" w:sz="4" w:space="0" w:color="auto"/>
              <w:right w:val="single" w:sz="4" w:space="0" w:color="auto"/>
            </w:tcBorders>
            <w:shd w:val="clear" w:color="auto" w:fill="auto"/>
          </w:tcPr>
          <w:p w:rsidR="00966E1E" w:rsidRDefault="00A643BD">
            <w:pPr>
              <w:widowControl/>
              <w:spacing w:line="600" w:lineRule="auto"/>
              <w:jc w:val="center"/>
              <w:rPr>
                <w:rFonts w:ascii="宋体" w:hAnsi="宋体" w:cs="宋体"/>
                <w:color w:val="000000"/>
                <w:kern w:val="0"/>
                <w:sz w:val="20"/>
                <w:szCs w:val="20"/>
              </w:rPr>
            </w:pPr>
            <w:r>
              <w:rPr>
                <w:rFonts w:ascii="宋体" w:hAnsi="宋体" w:cs="宋体" w:hint="eastAsia"/>
                <w:color w:val="000000"/>
                <w:kern w:val="0"/>
                <w:sz w:val="20"/>
                <w:szCs w:val="20"/>
              </w:rPr>
              <w:t>3.5</w:t>
            </w:r>
          </w:p>
        </w:tc>
        <w:tc>
          <w:tcPr>
            <w:tcW w:w="244" w:type="pct"/>
            <w:gridSpan w:val="3"/>
            <w:tcBorders>
              <w:top w:val="single" w:sz="4" w:space="0" w:color="auto"/>
              <w:left w:val="single" w:sz="4" w:space="0" w:color="auto"/>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r w:rsidR="002F5008">
              <w:rPr>
                <w:rFonts w:ascii="宋体" w:hAnsi="宋体" w:cs="宋体" w:hint="eastAsia"/>
                <w:color w:val="000000"/>
                <w:kern w:val="0"/>
                <w:sz w:val="20"/>
                <w:szCs w:val="20"/>
              </w:rPr>
              <w:t>.0</w:t>
            </w:r>
          </w:p>
        </w:tc>
        <w:tc>
          <w:tcPr>
            <w:tcW w:w="1300" w:type="pct"/>
            <w:gridSpan w:val="3"/>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283" w:type="pct"/>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675"/>
        </w:trPr>
        <w:tc>
          <w:tcPr>
            <w:tcW w:w="235" w:type="pct"/>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vMerge/>
            <w:tcBorders>
              <w:top w:val="single" w:sz="4" w:space="0" w:color="auto"/>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解决执行难（执结案件数）</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24750</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25036</w:t>
            </w:r>
          </w:p>
        </w:tc>
        <w:tc>
          <w:tcPr>
            <w:tcW w:w="258"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3.5</w:t>
            </w:r>
          </w:p>
        </w:tc>
        <w:tc>
          <w:tcPr>
            <w:tcW w:w="244" w:type="pct"/>
            <w:gridSpan w:val="3"/>
            <w:tcBorders>
              <w:top w:val="nil"/>
              <w:left w:val="nil"/>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3.5</w:t>
            </w:r>
          </w:p>
        </w:tc>
        <w:tc>
          <w:tcPr>
            <w:tcW w:w="1300" w:type="pct"/>
            <w:gridSpan w:val="3"/>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283" w:type="pct"/>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675"/>
        </w:trPr>
        <w:tc>
          <w:tcPr>
            <w:tcW w:w="235" w:type="pct"/>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tcBorders>
              <w:top w:val="nil"/>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司法为民、公正司法情况（文字）</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发挥保障和改善民生职能作用，提升司法服务质效，大力推进解决执行难，加大普法力度</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大力发挥保障和改善民生职能作用，大力提升司法服务质效，大力推进切实解决执行难，大力推动普法常态化建设。</w:t>
            </w:r>
          </w:p>
        </w:tc>
        <w:tc>
          <w:tcPr>
            <w:tcW w:w="258"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20"/>
                <w:szCs w:val="20"/>
              </w:rPr>
            </w:pPr>
            <w:r>
              <w:rPr>
                <w:rFonts w:ascii="宋体" w:hAnsi="宋体" w:cs="宋体" w:hint="eastAsia"/>
                <w:color w:val="000000"/>
                <w:kern w:val="0"/>
                <w:sz w:val="20"/>
                <w:szCs w:val="20"/>
              </w:rPr>
              <w:t>3.5</w:t>
            </w:r>
          </w:p>
        </w:tc>
        <w:tc>
          <w:tcPr>
            <w:tcW w:w="244" w:type="pct"/>
            <w:gridSpan w:val="3"/>
            <w:tcBorders>
              <w:top w:val="nil"/>
              <w:left w:val="nil"/>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3.5</w:t>
            </w:r>
          </w:p>
        </w:tc>
        <w:tc>
          <w:tcPr>
            <w:tcW w:w="1300" w:type="pct"/>
            <w:gridSpan w:val="3"/>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283" w:type="pct"/>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675"/>
        </w:trPr>
        <w:tc>
          <w:tcPr>
            <w:tcW w:w="235" w:type="pct"/>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tcBorders>
              <w:top w:val="nil"/>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同级人民代表大会通过、赞成率</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97.04%</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97.25%</w:t>
            </w:r>
          </w:p>
        </w:tc>
        <w:tc>
          <w:tcPr>
            <w:tcW w:w="258"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20"/>
                <w:szCs w:val="20"/>
              </w:rPr>
            </w:pPr>
            <w:r>
              <w:rPr>
                <w:rFonts w:ascii="宋体" w:hAnsi="宋体" w:cs="宋体" w:hint="eastAsia"/>
                <w:color w:val="000000"/>
                <w:kern w:val="0"/>
                <w:sz w:val="20"/>
                <w:szCs w:val="20"/>
              </w:rPr>
              <w:t>5</w:t>
            </w:r>
          </w:p>
        </w:tc>
        <w:tc>
          <w:tcPr>
            <w:tcW w:w="244" w:type="pct"/>
            <w:gridSpan w:val="3"/>
            <w:tcBorders>
              <w:top w:val="nil"/>
              <w:left w:val="nil"/>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5</w:t>
            </w:r>
          </w:p>
        </w:tc>
        <w:tc>
          <w:tcPr>
            <w:tcW w:w="1300" w:type="pct"/>
            <w:gridSpan w:val="3"/>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1283" w:type="pct"/>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675"/>
        </w:trPr>
        <w:tc>
          <w:tcPr>
            <w:tcW w:w="235" w:type="pct"/>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42" w:type="pct"/>
            <w:gridSpan w:val="3"/>
            <w:tcBorders>
              <w:top w:val="nil"/>
              <w:left w:val="nil"/>
              <w:bottom w:val="nil"/>
              <w:right w:val="single" w:sz="4" w:space="0" w:color="auto"/>
            </w:tcBorders>
            <w:shd w:val="clear" w:color="auto" w:fill="auto"/>
            <w:vAlign w:val="center"/>
          </w:tcPr>
          <w:p w:rsidR="00966E1E" w:rsidRDefault="00966E1E">
            <w:pPr>
              <w:rPr>
                <w:rFonts w:ascii="Calibri" w:hAnsi="Calibri"/>
                <w:szCs w:val="22"/>
              </w:rPr>
            </w:pPr>
          </w:p>
        </w:tc>
        <w:tc>
          <w:tcPr>
            <w:tcW w:w="405"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left"/>
              <w:rPr>
                <w:rFonts w:ascii="宋体" w:hAnsi="宋体" w:cs="宋体"/>
                <w:color w:val="000000"/>
                <w:kern w:val="0"/>
                <w:sz w:val="20"/>
                <w:szCs w:val="20"/>
              </w:rPr>
            </w:pPr>
            <w:r>
              <w:rPr>
                <w:rFonts w:ascii="宋体" w:hAnsi="宋体" w:cs="宋体" w:hint="eastAsia"/>
                <w:color w:val="000000"/>
                <w:kern w:val="0"/>
                <w:sz w:val="20"/>
                <w:szCs w:val="20"/>
              </w:rPr>
              <w:t>群众满意度（文字）</w:t>
            </w:r>
          </w:p>
        </w:tc>
        <w:tc>
          <w:tcPr>
            <w:tcW w:w="547" w:type="pct"/>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基本满意</w:t>
            </w:r>
          </w:p>
        </w:tc>
        <w:tc>
          <w:tcPr>
            <w:tcW w:w="486"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基本满意</w:t>
            </w:r>
          </w:p>
        </w:tc>
        <w:tc>
          <w:tcPr>
            <w:tcW w:w="258"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20"/>
                <w:szCs w:val="20"/>
              </w:rPr>
            </w:pPr>
            <w:r>
              <w:rPr>
                <w:rFonts w:ascii="宋体" w:hAnsi="宋体" w:cs="宋体" w:hint="eastAsia"/>
                <w:color w:val="000000"/>
                <w:kern w:val="0"/>
                <w:sz w:val="20"/>
                <w:szCs w:val="20"/>
              </w:rPr>
              <w:t>3</w:t>
            </w:r>
          </w:p>
        </w:tc>
        <w:tc>
          <w:tcPr>
            <w:tcW w:w="244" w:type="pct"/>
            <w:gridSpan w:val="3"/>
            <w:tcBorders>
              <w:top w:val="nil"/>
              <w:left w:val="nil"/>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1300" w:type="pct"/>
            <w:gridSpan w:val="3"/>
            <w:tcBorders>
              <w:top w:val="nil"/>
              <w:left w:val="single" w:sz="4" w:space="0" w:color="auto"/>
              <w:bottom w:val="single" w:sz="4" w:space="0" w:color="auto"/>
              <w:right w:val="single" w:sz="4" w:space="0" w:color="auto"/>
            </w:tcBorders>
            <w:shd w:val="clear" w:color="auto" w:fill="auto"/>
            <w:vAlign w:val="center"/>
          </w:tcPr>
          <w:p w:rsidR="00966E1E" w:rsidRDefault="00966E1E">
            <w:pPr>
              <w:widowControl/>
              <w:jc w:val="left"/>
              <w:rPr>
                <w:rFonts w:ascii="宋体" w:hAnsi="宋体" w:cs="宋体"/>
                <w:color w:val="000000"/>
                <w:kern w:val="0"/>
                <w:sz w:val="18"/>
                <w:szCs w:val="18"/>
              </w:rPr>
            </w:pPr>
          </w:p>
        </w:tc>
        <w:tc>
          <w:tcPr>
            <w:tcW w:w="1283" w:type="pct"/>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r>
      <w:tr w:rsidR="00966E1E">
        <w:trPr>
          <w:trHeight w:val="699"/>
        </w:trPr>
        <w:tc>
          <w:tcPr>
            <w:tcW w:w="243" w:type="pct"/>
            <w:gridSpan w:val="2"/>
            <w:tcBorders>
              <w:top w:val="single" w:sz="4" w:space="0" w:color="auto"/>
              <w:left w:val="single" w:sz="4" w:space="0" w:color="auto"/>
              <w:bottom w:val="single" w:sz="4" w:space="0" w:color="auto"/>
              <w:right w:val="single" w:sz="4" w:space="0" w:color="auto"/>
            </w:tcBorders>
            <w:shd w:val="clear" w:color="auto" w:fill="auto"/>
          </w:tcPr>
          <w:p w:rsidR="00966E1E" w:rsidRDefault="00966E1E">
            <w:pPr>
              <w:widowControl/>
              <w:jc w:val="left"/>
              <w:rPr>
                <w:rFonts w:ascii="宋体" w:hAnsi="宋体" w:cs="宋体"/>
                <w:color w:val="000000"/>
                <w:kern w:val="0"/>
                <w:sz w:val="18"/>
                <w:szCs w:val="18"/>
              </w:rPr>
            </w:pPr>
          </w:p>
        </w:tc>
        <w:tc>
          <w:tcPr>
            <w:tcW w:w="4753" w:type="pct"/>
            <w:gridSpan w:val="18"/>
            <w:tcBorders>
              <w:top w:val="single" w:sz="4" w:space="0" w:color="auto"/>
              <w:left w:val="single" w:sz="4" w:space="0" w:color="auto"/>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三、</w:t>
            </w:r>
            <w:r>
              <w:rPr>
                <w:rFonts w:ascii="宋体" w:hAnsi="宋体" w:cs="宋体" w:hint="eastAsia"/>
                <w:color w:val="000000"/>
                <w:kern w:val="0"/>
                <w:sz w:val="20"/>
                <w:szCs w:val="20"/>
              </w:rPr>
              <w:t>预算管理情况（20分）</w:t>
            </w:r>
          </w:p>
        </w:tc>
      </w:tr>
      <w:tr w:rsidR="00966E1E">
        <w:trPr>
          <w:trHeight w:val="702"/>
        </w:trPr>
        <w:tc>
          <w:tcPr>
            <w:tcW w:w="2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一级指标</w:t>
            </w:r>
          </w:p>
        </w:tc>
        <w:tc>
          <w:tcPr>
            <w:tcW w:w="287"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二级指标</w:t>
            </w:r>
          </w:p>
        </w:tc>
        <w:tc>
          <w:tcPr>
            <w:tcW w:w="310" w:type="pct"/>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三级指标</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347"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209" w:type="pct"/>
            <w:gridSpan w:val="2"/>
            <w:tcBorders>
              <w:top w:val="single" w:sz="4" w:space="0" w:color="auto"/>
              <w:left w:val="nil"/>
              <w:bottom w:val="single" w:sz="4" w:space="0" w:color="auto"/>
              <w:right w:val="single" w:sz="4" w:space="0" w:color="auto"/>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92" w:type="pct"/>
            <w:gridSpan w:val="3"/>
            <w:tcBorders>
              <w:top w:val="single" w:sz="4" w:space="0" w:color="auto"/>
              <w:left w:val="nil"/>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b/>
                <w:bCs/>
                <w:color w:val="000000"/>
                <w:kern w:val="0"/>
                <w:sz w:val="18"/>
                <w:szCs w:val="18"/>
              </w:rPr>
            </w:pPr>
            <w:r>
              <w:rPr>
                <w:rFonts w:ascii="宋体" w:hAnsi="宋体" w:cs="宋体" w:hint="eastAsia"/>
                <w:bCs/>
                <w:color w:val="000000"/>
                <w:kern w:val="0"/>
                <w:sz w:val="18"/>
                <w:szCs w:val="18"/>
              </w:rPr>
              <w:t>指标解释</w:t>
            </w:r>
          </w:p>
        </w:tc>
        <w:tc>
          <w:tcPr>
            <w:tcW w:w="1462"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18"/>
                <w:szCs w:val="18"/>
              </w:rPr>
            </w:pPr>
            <w:r>
              <w:rPr>
                <w:rFonts w:ascii="宋体" w:hAnsi="宋体" w:cs="宋体" w:hint="eastAsia"/>
                <w:color w:val="000000"/>
                <w:kern w:val="0"/>
                <w:sz w:val="18"/>
                <w:szCs w:val="18"/>
              </w:rPr>
              <w:t>评分标准</w:t>
            </w:r>
          </w:p>
        </w:tc>
      </w:tr>
      <w:tr w:rsidR="00966E1E">
        <w:trPr>
          <w:trHeight w:val="1230"/>
        </w:trPr>
        <w:tc>
          <w:tcPr>
            <w:tcW w:w="284" w:type="pct"/>
            <w:gridSpan w:val="3"/>
            <w:vMerge w:val="restart"/>
            <w:tcBorders>
              <w:top w:val="nil"/>
              <w:left w:val="single" w:sz="4" w:space="0" w:color="auto"/>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预算管理情况（20）</w:t>
            </w:r>
          </w:p>
        </w:tc>
        <w:tc>
          <w:tcPr>
            <w:tcW w:w="287" w:type="pct"/>
            <w:gridSpan w:val="2"/>
            <w:vMerge w:val="restart"/>
            <w:tcBorders>
              <w:top w:val="nil"/>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财务管理（4）</w:t>
            </w:r>
          </w:p>
        </w:tc>
        <w:tc>
          <w:tcPr>
            <w:tcW w:w="310" w:type="pct"/>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18"/>
                <w:szCs w:val="18"/>
              </w:rPr>
              <w:t>预算资金管理办法、绩效跟踪管理办法、资产管理办法等各项制度健全；部门内部财务管理制度完整、合规；会计核算制度完整、合规</w:t>
            </w:r>
          </w:p>
        </w:tc>
        <w:tc>
          <w:tcPr>
            <w:tcW w:w="347"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制度健全　</w:t>
            </w:r>
          </w:p>
        </w:tc>
        <w:tc>
          <w:tcPr>
            <w:tcW w:w="209" w:type="pct"/>
            <w:gridSpan w:val="2"/>
            <w:tcBorders>
              <w:top w:val="single" w:sz="4" w:space="0" w:color="auto"/>
              <w:left w:val="nil"/>
              <w:bottom w:val="single" w:sz="4" w:space="0" w:color="auto"/>
              <w:right w:val="single" w:sz="4" w:space="0" w:color="auto"/>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92" w:type="pct"/>
            <w:gridSpan w:val="3"/>
            <w:tcBorders>
              <w:top w:val="single" w:sz="4" w:space="0" w:color="auto"/>
              <w:left w:val="nil"/>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0.5　</w:t>
            </w:r>
          </w:p>
        </w:tc>
        <w:tc>
          <w:tcPr>
            <w:tcW w:w="11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color w:val="000000"/>
                <w:kern w:val="0"/>
                <w:sz w:val="18"/>
                <w:szCs w:val="18"/>
              </w:rPr>
              <w:t>部门（单位）为加强财务管理、规范财务行为而制定的管理制度。</w:t>
            </w:r>
          </w:p>
        </w:tc>
        <w:tc>
          <w:tcPr>
            <w:tcW w:w="1462"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rsidR="00966E1E">
        <w:trPr>
          <w:trHeight w:val="2220"/>
        </w:trPr>
        <w:tc>
          <w:tcPr>
            <w:tcW w:w="284" w:type="pct"/>
            <w:gridSpan w:val="3"/>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87" w:type="pct"/>
            <w:gridSpan w:val="2"/>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310" w:type="pct"/>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资金使用合规性和安全性</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18"/>
                <w:szCs w:val="18"/>
              </w:rPr>
              <w:t>符合国家财经法规和财务管理制度规定以及有关专项资金管理办法的规定；资金的拨付有完整的审批程序和手续；项目的重大开支经过评估论证；符合部门预算批复的用途；无截留、挤占、挪用情况；资金使用符合政府采购的程序和流程；资金使用符合公务卡结算相关制度和规定。</w:t>
            </w:r>
          </w:p>
        </w:tc>
        <w:tc>
          <w:tcPr>
            <w:tcW w:w="347"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符合规定　</w:t>
            </w:r>
          </w:p>
        </w:tc>
        <w:tc>
          <w:tcPr>
            <w:tcW w:w="209" w:type="pct"/>
            <w:gridSpan w:val="2"/>
            <w:tcBorders>
              <w:top w:val="single" w:sz="4" w:space="0" w:color="auto"/>
              <w:left w:val="nil"/>
              <w:bottom w:val="single" w:sz="4" w:space="0" w:color="auto"/>
              <w:right w:val="single" w:sz="4" w:space="0" w:color="auto"/>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92" w:type="pct"/>
            <w:gridSpan w:val="3"/>
            <w:tcBorders>
              <w:top w:val="single" w:sz="4" w:space="0" w:color="auto"/>
              <w:left w:val="nil"/>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2</w:t>
            </w:r>
          </w:p>
        </w:tc>
        <w:tc>
          <w:tcPr>
            <w:tcW w:w="11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资金使用合规性和安全性:</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462"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966E1E">
        <w:trPr>
          <w:trHeight w:val="2389"/>
        </w:trPr>
        <w:tc>
          <w:tcPr>
            <w:tcW w:w="284" w:type="pct"/>
            <w:gridSpan w:val="3"/>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87" w:type="pct"/>
            <w:gridSpan w:val="2"/>
            <w:vMerge/>
            <w:tcBorders>
              <w:top w:val="nil"/>
              <w:left w:val="nil"/>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310" w:type="pct"/>
            <w:tcBorders>
              <w:top w:val="nil"/>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684"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18"/>
                <w:szCs w:val="18"/>
              </w:rPr>
              <w:t>基础数据信息和会计信息资料真实；基础数据信息和会计信息资料完整；基础数据信息和会计信息资料准确</w:t>
            </w:r>
          </w:p>
        </w:tc>
        <w:tc>
          <w:tcPr>
            <w:tcW w:w="347"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资料真实完整准确　</w:t>
            </w:r>
          </w:p>
        </w:tc>
        <w:tc>
          <w:tcPr>
            <w:tcW w:w="209" w:type="pct"/>
            <w:gridSpan w:val="2"/>
            <w:tcBorders>
              <w:top w:val="nil"/>
              <w:left w:val="nil"/>
              <w:bottom w:val="single" w:sz="4" w:space="0" w:color="auto"/>
              <w:right w:val="single" w:sz="4" w:space="0" w:color="auto"/>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92" w:type="pct"/>
            <w:gridSpan w:val="3"/>
            <w:tcBorders>
              <w:top w:val="nil"/>
              <w:left w:val="nil"/>
              <w:bottom w:val="single" w:sz="4" w:space="0" w:color="auto"/>
              <w:right w:val="nil"/>
            </w:tcBorders>
            <w:shd w:val="clear" w:color="auto" w:fill="auto"/>
            <w:noWrap/>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1</w:t>
            </w:r>
          </w:p>
        </w:tc>
        <w:tc>
          <w:tcPr>
            <w:tcW w:w="1120" w:type="pct"/>
            <w:gridSpan w:val="2"/>
            <w:tcBorders>
              <w:top w:val="nil"/>
              <w:left w:val="single" w:sz="4" w:space="0" w:color="auto"/>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color w:val="000000"/>
                <w:kern w:val="0"/>
                <w:sz w:val="18"/>
                <w:szCs w:val="18"/>
              </w:rPr>
              <w:t>部门（单位）会计基础信息情况。</w:t>
            </w:r>
          </w:p>
        </w:tc>
        <w:tc>
          <w:tcPr>
            <w:tcW w:w="1462"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rsidR="00966E1E">
        <w:trPr>
          <w:trHeight w:val="3415"/>
        </w:trPr>
        <w:tc>
          <w:tcPr>
            <w:tcW w:w="284" w:type="pct"/>
            <w:gridSpan w:val="3"/>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87"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资产管理（4）</w:t>
            </w:r>
          </w:p>
        </w:tc>
        <w:tc>
          <w:tcPr>
            <w:tcW w:w="310" w:type="pct"/>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20"/>
                <w:szCs w:val="20"/>
              </w:rPr>
            </w:pPr>
            <w:r>
              <w:rPr>
                <w:rFonts w:ascii="宋体" w:hAnsi="宋体" w:cs="宋体" w:hint="eastAsia"/>
                <w:color w:val="000000"/>
                <w:kern w:val="0"/>
                <w:sz w:val="18"/>
                <w:szCs w:val="18"/>
              </w:rPr>
              <w:t>资产使用规范，不存在未经批准擅自出租、出借资产行为；资产处置规范，不存在未按要求进行报批或资产不公开处置行为；</w:t>
            </w:r>
            <w:r>
              <w:rPr>
                <w:rFonts w:ascii="宋体" w:hAnsi="宋体" w:cs="宋体" w:hint="eastAsia"/>
                <w:color w:val="000000"/>
                <w:kern w:val="0"/>
                <w:sz w:val="20"/>
                <w:szCs w:val="20"/>
              </w:rPr>
              <w:t>不</w:t>
            </w:r>
            <w:r>
              <w:rPr>
                <w:rFonts w:ascii="宋体" w:hAnsi="宋体" w:cs="宋体" w:hint="eastAsia"/>
                <w:color w:val="000000"/>
                <w:kern w:val="0"/>
                <w:sz w:val="18"/>
                <w:szCs w:val="18"/>
              </w:rPr>
              <w:t>存在因管理不当发生严重资产损失和丢失情况</w:t>
            </w:r>
          </w:p>
        </w:tc>
        <w:tc>
          <w:tcPr>
            <w:tcW w:w="347"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18"/>
                <w:szCs w:val="18"/>
              </w:rPr>
              <w:t>资产使用规范资产处置规范</w:t>
            </w: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2"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4　</w:t>
            </w:r>
          </w:p>
        </w:tc>
        <w:tc>
          <w:tcPr>
            <w:tcW w:w="1120"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1462"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966E1E">
        <w:trPr>
          <w:trHeight w:val="1750"/>
        </w:trPr>
        <w:tc>
          <w:tcPr>
            <w:tcW w:w="284" w:type="pct"/>
            <w:gridSpan w:val="3"/>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87"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绩效管理（4）</w:t>
            </w:r>
          </w:p>
        </w:tc>
        <w:tc>
          <w:tcPr>
            <w:tcW w:w="310" w:type="pct"/>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18"/>
                <w:szCs w:val="18"/>
              </w:rPr>
              <w:t>及时对绩效信息进行汇总分析整理；对绩效目标偏离情况及时进行矫正</w:t>
            </w:r>
          </w:p>
        </w:tc>
        <w:tc>
          <w:tcPr>
            <w:tcW w:w="347"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及时分析整理及时矫正</w:t>
            </w: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2" w:type="pct"/>
            <w:gridSpan w:val="3"/>
            <w:tcBorders>
              <w:top w:val="single" w:sz="4" w:space="0" w:color="auto"/>
              <w:left w:val="nil"/>
              <w:bottom w:val="single" w:sz="4" w:space="0" w:color="auto"/>
              <w:right w:val="nil"/>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4　</w:t>
            </w:r>
          </w:p>
        </w:tc>
        <w:tc>
          <w:tcPr>
            <w:tcW w:w="11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color w:val="000000"/>
                <w:kern w:val="0"/>
                <w:sz w:val="18"/>
                <w:szCs w:val="18"/>
              </w:rPr>
              <w:t>考核部门（单位）在绩效管理信息的汇总和应用情况。</w:t>
            </w:r>
          </w:p>
        </w:tc>
        <w:tc>
          <w:tcPr>
            <w:tcW w:w="1462"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966E1E">
            <w:pPr>
              <w:pStyle w:val="a8"/>
              <w:widowControl/>
              <w:ind w:left="360" w:firstLineChars="0" w:firstLine="0"/>
              <w:jc w:val="left"/>
              <w:rPr>
                <w:rFonts w:ascii="宋体" w:hAnsi="宋体" w:cs="宋体"/>
                <w:color w:val="000000"/>
                <w:kern w:val="0"/>
                <w:sz w:val="18"/>
                <w:szCs w:val="18"/>
              </w:rPr>
            </w:pPr>
          </w:p>
          <w:p w:rsidR="00966E1E" w:rsidRDefault="00A643BD">
            <w:pPr>
              <w:widowControl/>
              <w:ind w:firstLine="360"/>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w:t>
            </w:r>
          </w:p>
          <w:p w:rsidR="00966E1E" w:rsidRDefault="00A643BD">
            <w:pPr>
              <w:pStyle w:val="a8"/>
              <w:widowControl/>
              <w:ind w:left="360" w:firstLineChars="0" w:firstLine="0"/>
              <w:jc w:val="left"/>
              <w:rPr>
                <w:rFonts w:ascii="宋体" w:hAnsi="宋体" w:cs="宋体"/>
                <w:color w:val="000000"/>
                <w:kern w:val="0"/>
                <w:sz w:val="18"/>
                <w:szCs w:val="18"/>
              </w:rPr>
            </w:pPr>
            <w:r>
              <w:rPr>
                <w:rFonts w:ascii="宋体" w:hAnsi="宋体" w:cs="宋体" w:hint="eastAsia"/>
                <w:color w:val="000000"/>
                <w:kern w:val="0"/>
                <w:sz w:val="18"/>
                <w:szCs w:val="18"/>
              </w:rPr>
              <w:t>②部门（单位）是否对绩效目标偏离情况及时进行矫正。每有一项不合格扣2分。</w:t>
            </w:r>
          </w:p>
          <w:p w:rsidR="00966E1E" w:rsidRDefault="00966E1E">
            <w:pPr>
              <w:widowControl/>
              <w:jc w:val="left"/>
              <w:rPr>
                <w:rFonts w:ascii="宋体" w:hAnsi="宋体" w:cs="宋体"/>
                <w:color w:val="000000"/>
                <w:kern w:val="0"/>
                <w:sz w:val="18"/>
                <w:szCs w:val="18"/>
              </w:rPr>
            </w:pPr>
          </w:p>
          <w:p w:rsidR="00966E1E" w:rsidRDefault="00966E1E">
            <w:pPr>
              <w:widowControl/>
              <w:jc w:val="left"/>
              <w:rPr>
                <w:rFonts w:ascii="宋体" w:hAnsi="宋体" w:cs="宋体"/>
                <w:color w:val="000000"/>
                <w:kern w:val="0"/>
                <w:sz w:val="18"/>
                <w:szCs w:val="18"/>
              </w:rPr>
            </w:pPr>
          </w:p>
        </w:tc>
      </w:tr>
      <w:tr w:rsidR="00966E1E">
        <w:trPr>
          <w:trHeight w:val="394"/>
        </w:trPr>
        <w:tc>
          <w:tcPr>
            <w:tcW w:w="284" w:type="pct"/>
            <w:gridSpan w:val="3"/>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87"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994" w:type="pct"/>
            <w:gridSpan w:val="3"/>
            <w:tcBorders>
              <w:top w:val="single" w:sz="4" w:space="0" w:color="auto"/>
              <w:left w:val="nil"/>
              <w:bottom w:val="single" w:sz="4" w:space="0" w:color="auto"/>
              <w:right w:val="single" w:sz="4" w:space="0" w:color="000000"/>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2021年</w:t>
            </w:r>
          </w:p>
        </w:tc>
        <w:tc>
          <w:tcPr>
            <w:tcW w:w="347"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2022年</w:t>
            </w: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92"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20" w:type="pct"/>
            <w:gridSpan w:val="2"/>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bCs/>
                <w:color w:val="000000"/>
                <w:kern w:val="0"/>
                <w:sz w:val="18"/>
                <w:szCs w:val="18"/>
              </w:rPr>
              <w:t>指标解释</w:t>
            </w:r>
          </w:p>
        </w:tc>
        <w:tc>
          <w:tcPr>
            <w:tcW w:w="1462"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center"/>
              <w:rPr>
                <w:kern w:val="0"/>
                <w:sz w:val="20"/>
                <w:szCs w:val="20"/>
              </w:rPr>
            </w:pPr>
            <w:r>
              <w:rPr>
                <w:rFonts w:ascii="宋体" w:hAnsi="宋体" w:cs="宋体" w:hint="eastAsia"/>
                <w:color w:val="000000"/>
                <w:kern w:val="0"/>
                <w:sz w:val="18"/>
                <w:szCs w:val="18"/>
              </w:rPr>
              <w:t>评分标准</w:t>
            </w:r>
          </w:p>
        </w:tc>
      </w:tr>
      <w:tr w:rsidR="00966E1E">
        <w:trPr>
          <w:trHeight w:val="1365"/>
        </w:trPr>
        <w:tc>
          <w:tcPr>
            <w:tcW w:w="284" w:type="pct"/>
            <w:gridSpan w:val="3"/>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87"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rPr>
                <w:rFonts w:ascii="宋体" w:hAnsi="宋体" w:cs="宋体"/>
                <w:color w:val="000000"/>
                <w:kern w:val="0"/>
                <w:sz w:val="20"/>
                <w:szCs w:val="20"/>
              </w:rPr>
            </w:pPr>
            <w:r>
              <w:rPr>
                <w:rFonts w:ascii="宋体" w:hAnsi="宋体" w:cs="宋体" w:hint="eastAsia"/>
                <w:color w:val="000000"/>
                <w:kern w:val="0"/>
                <w:sz w:val="20"/>
                <w:szCs w:val="20"/>
              </w:rPr>
              <w:t>结转结余率（4）</w:t>
            </w:r>
          </w:p>
        </w:tc>
        <w:tc>
          <w:tcPr>
            <w:tcW w:w="994" w:type="pct"/>
            <w:gridSpan w:val="3"/>
            <w:tcBorders>
              <w:top w:val="single" w:sz="4" w:space="0" w:color="auto"/>
              <w:left w:val="nil"/>
              <w:bottom w:val="single" w:sz="4" w:space="0" w:color="auto"/>
              <w:right w:val="single" w:sz="4" w:space="0" w:color="000000"/>
            </w:tcBorders>
            <w:shd w:val="clear" w:color="auto" w:fill="auto"/>
            <w:vAlign w:val="center"/>
          </w:tcPr>
          <w:p w:rsidR="00966E1E" w:rsidRDefault="00A643BD">
            <w:pPr>
              <w:jc w:val="center"/>
              <w:rPr>
                <w:rFonts w:ascii="宋体" w:hAnsi="宋体" w:cs="宋体"/>
                <w:color w:val="000000"/>
                <w:kern w:val="0"/>
                <w:sz w:val="20"/>
                <w:szCs w:val="20"/>
              </w:rPr>
            </w:pPr>
            <w:r>
              <w:rPr>
                <w:rFonts w:ascii="宋体" w:hAnsi="宋体" w:cs="宋体" w:hint="eastAsia"/>
                <w:color w:val="000000"/>
                <w:kern w:val="0"/>
                <w:sz w:val="20"/>
                <w:szCs w:val="20"/>
              </w:rPr>
              <w:t>3.31%</w:t>
            </w:r>
          </w:p>
        </w:tc>
        <w:tc>
          <w:tcPr>
            <w:tcW w:w="347" w:type="pct"/>
            <w:gridSpan w:val="2"/>
            <w:tcBorders>
              <w:top w:val="nil"/>
              <w:left w:val="nil"/>
              <w:bottom w:val="single" w:sz="4" w:space="0" w:color="auto"/>
              <w:right w:val="single" w:sz="4" w:space="0" w:color="auto"/>
            </w:tcBorders>
            <w:shd w:val="clear" w:color="auto" w:fill="auto"/>
            <w:vAlign w:val="center"/>
          </w:tcPr>
          <w:p w:rsidR="00966E1E" w:rsidRDefault="00966E1E">
            <w:pPr>
              <w:jc w:val="center"/>
              <w:rPr>
                <w:rFonts w:ascii="宋体" w:hAnsi="宋体" w:cs="宋体"/>
                <w:color w:val="000000"/>
                <w:kern w:val="0"/>
                <w:sz w:val="20"/>
                <w:szCs w:val="20"/>
              </w:rPr>
            </w:pPr>
          </w:p>
          <w:p w:rsidR="00966E1E" w:rsidRDefault="00A643BD">
            <w:pPr>
              <w:jc w:val="center"/>
              <w:rPr>
                <w:rFonts w:ascii="宋体" w:hAnsi="宋体" w:cs="宋体"/>
                <w:color w:val="000000"/>
                <w:kern w:val="0"/>
                <w:sz w:val="20"/>
                <w:szCs w:val="20"/>
              </w:rPr>
            </w:pPr>
            <w:r>
              <w:rPr>
                <w:rFonts w:ascii="宋体" w:hAnsi="宋体" w:cs="宋体" w:hint="eastAsia"/>
                <w:color w:val="000000"/>
                <w:kern w:val="0"/>
                <w:sz w:val="20"/>
                <w:szCs w:val="20"/>
              </w:rPr>
              <w:t>2.35%</w:t>
            </w:r>
          </w:p>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09"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92" w:type="pct"/>
            <w:gridSpan w:val="3"/>
            <w:tcBorders>
              <w:top w:val="nil"/>
              <w:left w:val="nil"/>
              <w:bottom w:val="single" w:sz="4" w:space="0" w:color="auto"/>
              <w:right w:val="nil"/>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1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结转结余率=结转结余总额/支出预算数×100%。</w:t>
            </w:r>
            <w:r>
              <w:rPr>
                <w:rFonts w:ascii="宋体" w:hAnsi="宋体" w:cs="宋体" w:hint="eastAsia"/>
                <w:color w:val="000000"/>
                <w:kern w:val="0"/>
                <w:sz w:val="18"/>
                <w:szCs w:val="18"/>
              </w:rPr>
              <w:br/>
              <w:t>结转结余总额：部门（单位）本年度的结转资金与结余资金之和。</w:t>
            </w:r>
          </w:p>
        </w:tc>
        <w:tc>
          <w:tcPr>
            <w:tcW w:w="1462" w:type="pct"/>
            <w:gridSpan w:val="3"/>
            <w:tcBorders>
              <w:top w:val="single" w:sz="4" w:space="0" w:color="auto"/>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rsidR="00966E1E">
        <w:trPr>
          <w:trHeight w:val="90"/>
        </w:trPr>
        <w:tc>
          <w:tcPr>
            <w:tcW w:w="284" w:type="pct"/>
            <w:gridSpan w:val="3"/>
            <w:vMerge/>
            <w:tcBorders>
              <w:top w:val="nil"/>
              <w:left w:val="single" w:sz="4" w:space="0" w:color="auto"/>
              <w:bottom w:val="single" w:sz="4" w:space="0" w:color="auto"/>
              <w:right w:val="single" w:sz="4" w:space="0" w:color="auto"/>
            </w:tcBorders>
            <w:shd w:val="clear" w:color="auto" w:fill="auto"/>
            <w:vAlign w:val="center"/>
          </w:tcPr>
          <w:p w:rsidR="00966E1E" w:rsidRDefault="00966E1E">
            <w:pPr>
              <w:rPr>
                <w:rFonts w:ascii="Calibri" w:hAnsi="Calibri"/>
                <w:szCs w:val="22"/>
              </w:rPr>
            </w:pPr>
          </w:p>
        </w:tc>
        <w:tc>
          <w:tcPr>
            <w:tcW w:w="287"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rPr>
                <w:rFonts w:ascii="宋体" w:hAnsi="宋体" w:cs="宋体"/>
                <w:color w:val="000000"/>
                <w:kern w:val="0"/>
                <w:sz w:val="20"/>
                <w:szCs w:val="20"/>
              </w:rPr>
            </w:pPr>
            <w:r>
              <w:rPr>
                <w:rFonts w:ascii="宋体" w:hAnsi="宋体" w:cs="宋体" w:hint="eastAsia"/>
                <w:color w:val="000000"/>
                <w:kern w:val="0"/>
                <w:sz w:val="20"/>
                <w:szCs w:val="20"/>
              </w:rPr>
              <w:t>部门预决算差异率（4）</w:t>
            </w:r>
          </w:p>
        </w:tc>
        <w:tc>
          <w:tcPr>
            <w:tcW w:w="994" w:type="pct"/>
            <w:gridSpan w:val="3"/>
            <w:tcBorders>
              <w:top w:val="single" w:sz="4" w:space="0" w:color="auto"/>
              <w:left w:val="nil"/>
              <w:bottom w:val="single" w:sz="4" w:space="0" w:color="auto"/>
              <w:right w:val="nil"/>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347" w:type="pct"/>
            <w:gridSpan w:val="2"/>
            <w:tcBorders>
              <w:top w:val="nil"/>
              <w:left w:val="single" w:sz="4" w:space="0" w:color="auto"/>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7.86%</w:t>
            </w:r>
          </w:p>
        </w:tc>
        <w:tc>
          <w:tcPr>
            <w:tcW w:w="209" w:type="pct"/>
            <w:gridSpan w:val="2"/>
            <w:tcBorders>
              <w:top w:val="nil"/>
              <w:left w:val="nil"/>
              <w:bottom w:val="single" w:sz="4" w:space="0" w:color="auto"/>
              <w:right w:val="single" w:sz="4" w:space="0" w:color="auto"/>
            </w:tcBorders>
            <w:shd w:val="clear" w:color="auto" w:fill="auto"/>
            <w:vAlign w:val="center"/>
          </w:tcPr>
          <w:p w:rsidR="00966E1E" w:rsidRDefault="00966E1E">
            <w:pPr>
              <w:widowControl/>
              <w:rPr>
                <w:rFonts w:ascii="宋体" w:hAnsi="宋体" w:cs="宋体"/>
                <w:color w:val="000000"/>
                <w:kern w:val="0"/>
                <w:sz w:val="20"/>
                <w:szCs w:val="20"/>
              </w:rPr>
            </w:pPr>
          </w:p>
          <w:p w:rsidR="00966E1E" w:rsidRDefault="00A643BD">
            <w:pPr>
              <w:widowControl/>
              <w:ind w:firstLineChars="100" w:firstLine="200"/>
              <w:rPr>
                <w:rFonts w:ascii="宋体" w:hAnsi="宋体" w:cs="宋体"/>
                <w:color w:val="000000"/>
                <w:kern w:val="0"/>
                <w:sz w:val="20"/>
                <w:szCs w:val="20"/>
              </w:rPr>
            </w:pPr>
            <w:r>
              <w:rPr>
                <w:rFonts w:ascii="宋体" w:hAnsi="宋体" w:cs="宋体" w:hint="eastAsia"/>
                <w:color w:val="000000"/>
                <w:kern w:val="0"/>
                <w:sz w:val="20"/>
                <w:szCs w:val="20"/>
              </w:rPr>
              <w:t>4</w:t>
            </w:r>
          </w:p>
        </w:tc>
        <w:tc>
          <w:tcPr>
            <w:tcW w:w="292" w:type="pct"/>
            <w:gridSpan w:val="3"/>
            <w:tcBorders>
              <w:top w:val="nil"/>
              <w:left w:val="nil"/>
              <w:bottom w:val="single" w:sz="4" w:space="0" w:color="auto"/>
              <w:right w:val="nil"/>
            </w:tcBorders>
            <w:shd w:val="clear" w:color="auto" w:fill="auto"/>
            <w:vAlign w:val="center"/>
          </w:tcPr>
          <w:p w:rsidR="00966E1E" w:rsidRDefault="00966E1E">
            <w:pPr>
              <w:widowControl/>
              <w:rPr>
                <w:rFonts w:ascii="宋体" w:hAnsi="宋体" w:cs="宋体"/>
                <w:color w:val="000000"/>
                <w:kern w:val="0"/>
                <w:sz w:val="20"/>
                <w:szCs w:val="20"/>
              </w:rPr>
            </w:pPr>
          </w:p>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120" w:type="pct"/>
            <w:gridSpan w:val="2"/>
            <w:tcBorders>
              <w:top w:val="nil"/>
              <w:left w:val="single" w:sz="4" w:space="0" w:color="auto"/>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1462" w:type="pct"/>
            <w:gridSpan w:val="3"/>
            <w:tcBorders>
              <w:top w:val="nil"/>
              <w:left w:val="nil"/>
              <w:bottom w:val="single" w:sz="4" w:space="0" w:color="auto"/>
              <w:right w:val="single" w:sz="4" w:space="0" w:color="auto"/>
            </w:tcBorders>
            <w:shd w:val="clear" w:color="auto" w:fill="auto"/>
            <w:vAlign w:val="center"/>
          </w:tcPr>
          <w:p w:rsidR="00966E1E" w:rsidRDefault="00A643BD">
            <w:pPr>
              <w:widowControl/>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部门预决算差异率高于市级平均差异率（28.3%）的，每高出10%（含），扣0.4分，扣完为止。</w:t>
            </w:r>
          </w:p>
        </w:tc>
      </w:tr>
      <w:tr w:rsidR="00966E1E">
        <w:trPr>
          <w:trHeight w:val="404"/>
        </w:trPr>
        <w:tc>
          <w:tcPr>
            <w:tcW w:w="1913"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209" w:type="pct"/>
            <w:gridSpan w:val="2"/>
            <w:tcBorders>
              <w:top w:val="nil"/>
              <w:left w:val="nil"/>
              <w:bottom w:val="single" w:sz="4" w:space="0" w:color="auto"/>
              <w:right w:val="single" w:sz="4" w:space="0" w:color="auto"/>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292" w:type="pct"/>
            <w:gridSpan w:val="3"/>
            <w:tcBorders>
              <w:top w:val="nil"/>
              <w:left w:val="nil"/>
              <w:bottom w:val="single" w:sz="4" w:space="0" w:color="auto"/>
              <w:right w:val="nil"/>
            </w:tcBorders>
            <w:shd w:val="clear" w:color="auto" w:fill="auto"/>
            <w:vAlign w:val="center"/>
          </w:tcPr>
          <w:p w:rsidR="00966E1E" w:rsidRDefault="00A643BD">
            <w:pPr>
              <w:widowControl/>
              <w:jc w:val="center"/>
              <w:rPr>
                <w:rFonts w:ascii="宋体" w:hAnsi="宋体" w:cs="宋体"/>
                <w:color w:val="000000"/>
                <w:kern w:val="0"/>
                <w:sz w:val="20"/>
                <w:szCs w:val="20"/>
              </w:rPr>
            </w:pPr>
            <w:r>
              <w:rPr>
                <w:rFonts w:ascii="宋体" w:hAnsi="宋体" w:cs="宋体" w:hint="eastAsia"/>
                <w:color w:val="000000"/>
                <w:kern w:val="0"/>
                <w:sz w:val="20"/>
                <w:szCs w:val="20"/>
              </w:rPr>
              <w:t>99.00</w:t>
            </w:r>
          </w:p>
        </w:tc>
        <w:tc>
          <w:tcPr>
            <w:tcW w:w="2582"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rsidR="00966E1E" w:rsidRDefault="00966E1E">
            <w:pPr>
              <w:widowControl/>
              <w:jc w:val="center"/>
              <w:rPr>
                <w:rFonts w:ascii="宋体" w:hAnsi="宋体" w:cs="宋体"/>
                <w:color w:val="000000"/>
                <w:kern w:val="0"/>
                <w:sz w:val="18"/>
                <w:szCs w:val="18"/>
              </w:rPr>
            </w:pPr>
          </w:p>
        </w:tc>
      </w:tr>
    </w:tbl>
    <w:p w:rsidR="00966E1E" w:rsidRDefault="00966E1E"/>
    <w:p w:rsidR="00966E1E" w:rsidRDefault="00966E1E">
      <w:pPr>
        <w:spacing w:line="560" w:lineRule="exact"/>
        <w:jc w:val="left"/>
        <w:rPr>
          <w:rFonts w:ascii="方正黑体_GBK" w:eastAsia="方正黑体_GBK" w:hAnsi="方正黑体_GBK" w:cs="方正黑体_GBK"/>
          <w:sz w:val="32"/>
        </w:rPr>
      </w:pPr>
    </w:p>
    <w:sectPr w:rsidR="00966E1E" w:rsidSect="00966E1E">
      <w:footerReference w:type="default" r:id="rId9"/>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5A33" w:rsidRDefault="00CF5A33" w:rsidP="00966E1E">
      <w:r>
        <w:separator/>
      </w:r>
    </w:p>
  </w:endnote>
  <w:endnote w:type="continuationSeparator" w:id="1">
    <w:p w:rsidR="00CF5A33" w:rsidRDefault="00CF5A33" w:rsidP="00966E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panose1 w:val="02000000000000000000"/>
    <w:charset w:val="86"/>
    <w:family w:val="auto"/>
    <w:pitch w:val="variable"/>
    <w:sig w:usb0="A00002BF"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仿宋_GBK">
    <w:altName w:val="Arial Unicode MS"/>
    <w:charset w:val="86"/>
    <w:family w:val="auto"/>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Droid Sans">
    <w:altName w:val="AMGDT"/>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方正黑体_GBK">
    <w:altName w:val="Arial Unicode MS"/>
    <w:charset w:val="86"/>
    <w:family w:val="auto"/>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E1E" w:rsidRDefault="00BC678B">
    <w:pPr>
      <w:pStyle w:val="a4"/>
      <w:ind w:firstLine="360"/>
      <w:jc w:val="center"/>
      <w:rPr>
        <w:sz w:val="21"/>
        <w:szCs w:val="21"/>
      </w:rPr>
    </w:pPr>
    <w:r w:rsidRPr="00BC678B">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966E1E" w:rsidRDefault="00BC678B">
                <w:pPr>
                  <w:pStyle w:val="a4"/>
                </w:pPr>
                <w:r>
                  <w:fldChar w:fldCharType="begin"/>
                </w:r>
                <w:r w:rsidR="00A643BD">
                  <w:instrText xml:space="preserve"> PAGE  \* MERGEFORMAT </w:instrText>
                </w:r>
                <w:r>
                  <w:fldChar w:fldCharType="separate"/>
                </w:r>
                <w:r w:rsidR="00690F63">
                  <w:rPr>
                    <w:noProof/>
                  </w:rPr>
                  <w:t>9</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E1E" w:rsidRDefault="00BC678B">
    <w:pPr>
      <w:pStyle w:val="a4"/>
      <w:jc w:val="right"/>
    </w:pPr>
    <w:r w:rsidRPr="00BC678B">
      <w:rPr>
        <w:sz w:val="28"/>
      </w:rP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filled="f" stroked="f" strokeweight=".5pt">
          <v:textbox style="mso-fit-shape-to-text:t" inset="0,0,0,0">
            <w:txbxContent>
              <w:p w:rsidR="00966E1E" w:rsidRDefault="00BC678B">
                <w:pPr>
                  <w:pStyle w:val="a4"/>
                </w:pPr>
                <w:r>
                  <w:fldChar w:fldCharType="begin"/>
                </w:r>
                <w:r w:rsidR="00A643BD">
                  <w:instrText xml:space="preserve"> PAGE  \* MERGEFORMAT </w:instrText>
                </w:r>
                <w:r>
                  <w:fldChar w:fldCharType="separate"/>
                </w:r>
                <w:r w:rsidR="002F5008">
                  <w:rPr>
                    <w:noProof/>
                  </w:rPr>
                  <w:t>13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5A33" w:rsidRDefault="00CF5A33" w:rsidP="00966E1E">
      <w:r>
        <w:separator/>
      </w:r>
    </w:p>
  </w:footnote>
  <w:footnote w:type="continuationSeparator" w:id="1">
    <w:p w:rsidR="00CF5A33" w:rsidRDefault="00CF5A33" w:rsidP="00966E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44404"/>
    <w:multiLevelType w:val="multilevel"/>
    <w:tmpl w:val="2C044404"/>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U0Y2ZlMjZlMDJiOWE1Y2NiYmViYzU5YmMxNmY5MWEifQ=="/>
  </w:docVars>
  <w:rsids>
    <w:rsidRoot w:val="F77F09F4"/>
    <w:rsid w:val="8716660E"/>
    <w:rsid w:val="A3AA735E"/>
    <w:rsid w:val="A75D4892"/>
    <w:rsid w:val="AFFFCE02"/>
    <w:rsid w:val="CEFD3F3D"/>
    <w:rsid w:val="D6B22E60"/>
    <w:rsid w:val="EA3F77F2"/>
    <w:rsid w:val="EEFE5989"/>
    <w:rsid w:val="EFCF3EAE"/>
    <w:rsid w:val="F4FDEB06"/>
    <w:rsid w:val="F5B764A2"/>
    <w:rsid w:val="F77F09F4"/>
    <w:rsid w:val="FBFF6E65"/>
    <w:rsid w:val="FEEF6AA0"/>
    <w:rsid w:val="FFB792B8"/>
    <w:rsid w:val="FFD7BFFC"/>
    <w:rsid w:val="FFFA6B0F"/>
    <w:rsid w:val="FFFFB6E6"/>
    <w:rsid w:val="0001709F"/>
    <w:rsid w:val="000F21AB"/>
    <w:rsid w:val="00162408"/>
    <w:rsid w:val="001628A4"/>
    <w:rsid w:val="001A1BCE"/>
    <w:rsid w:val="001B26AE"/>
    <w:rsid w:val="00214E08"/>
    <w:rsid w:val="00243197"/>
    <w:rsid w:val="002F5008"/>
    <w:rsid w:val="003661C4"/>
    <w:rsid w:val="0037168C"/>
    <w:rsid w:val="003C7820"/>
    <w:rsid w:val="00455009"/>
    <w:rsid w:val="005A3D68"/>
    <w:rsid w:val="005D3E7E"/>
    <w:rsid w:val="005D6639"/>
    <w:rsid w:val="005F3B41"/>
    <w:rsid w:val="00625A5A"/>
    <w:rsid w:val="006273B5"/>
    <w:rsid w:val="00655BA5"/>
    <w:rsid w:val="00690F63"/>
    <w:rsid w:val="00693B8B"/>
    <w:rsid w:val="006B4707"/>
    <w:rsid w:val="00747618"/>
    <w:rsid w:val="00747B8E"/>
    <w:rsid w:val="00966E1E"/>
    <w:rsid w:val="00A04F58"/>
    <w:rsid w:val="00A1076B"/>
    <w:rsid w:val="00A643BD"/>
    <w:rsid w:val="00AB383B"/>
    <w:rsid w:val="00B5555B"/>
    <w:rsid w:val="00BC678B"/>
    <w:rsid w:val="00BF58EA"/>
    <w:rsid w:val="00C22028"/>
    <w:rsid w:val="00C320F1"/>
    <w:rsid w:val="00C34E9B"/>
    <w:rsid w:val="00CA41DF"/>
    <w:rsid w:val="00CF5A33"/>
    <w:rsid w:val="00D46A87"/>
    <w:rsid w:val="00E36309"/>
    <w:rsid w:val="00EF474C"/>
    <w:rsid w:val="00FA5ADC"/>
    <w:rsid w:val="04D636AB"/>
    <w:rsid w:val="085C588F"/>
    <w:rsid w:val="10791C91"/>
    <w:rsid w:val="12BD6D47"/>
    <w:rsid w:val="175F53D8"/>
    <w:rsid w:val="19B636AD"/>
    <w:rsid w:val="1DCF01A4"/>
    <w:rsid w:val="25472F44"/>
    <w:rsid w:val="2E3C19C9"/>
    <w:rsid w:val="37173543"/>
    <w:rsid w:val="37F945DD"/>
    <w:rsid w:val="3F27550F"/>
    <w:rsid w:val="3FDBA076"/>
    <w:rsid w:val="3FDFB3F0"/>
    <w:rsid w:val="3FDFC9A6"/>
    <w:rsid w:val="3FF76880"/>
    <w:rsid w:val="457A6B98"/>
    <w:rsid w:val="4EF07226"/>
    <w:rsid w:val="54A03833"/>
    <w:rsid w:val="5BFD4AC2"/>
    <w:rsid w:val="5FF61656"/>
    <w:rsid w:val="63EF7C14"/>
    <w:rsid w:val="661D0277"/>
    <w:rsid w:val="67759716"/>
    <w:rsid w:val="6F7ED27B"/>
    <w:rsid w:val="75B17A7C"/>
    <w:rsid w:val="774911D3"/>
    <w:rsid w:val="7AB7FF50"/>
    <w:rsid w:val="7AEAF641"/>
    <w:rsid w:val="7BAD2729"/>
    <w:rsid w:val="7BFEB0DB"/>
    <w:rsid w:val="7D907539"/>
    <w:rsid w:val="7FFF4E81"/>
    <w:rsid w:val="7FFFD0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Title" w:uiPriority="99"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6E1E"/>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rsid w:val="00966E1E"/>
    <w:pPr>
      <w:spacing w:line="600" w:lineRule="exact"/>
      <w:ind w:firstLine="640"/>
      <w:outlineLvl w:val="0"/>
    </w:pPr>
    <w:rPr>
      <w:rFonts w:ascii="黑体" w:eastAsia="黑体" w:hAnsi="黑体" w:cs="宋体"/>
      <w:color w:val="000000"/>
      <w:kern w:val="0"/>
    </w:rPr>
  </w:style>
  <w:style w:type="paragraph" w:styleId="2">
    <w:name w:val="heading 2"/>
    <w:basedOn w:val="a"/>
    <w:next w:val="a"/>
    <w:qFormat/>
    <w:rsid w:val="00966E1E"/>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966E1E"/>
    <w:pPr>
      <w:ind w:firstLineChars="200" w:firstLine="200"/>
    </w:pPr>
  </w:style>
  <w:style w:type="paragraph" w:styleId="a4">
    <w:name w:val="footer"/>
    <w:basedOn w:val="a"/>
    <w:uiPriority w:val="99"/>
    <w:qFormat/>
    <w:rsid w:val="00966E1E"/>
    <w:pPr>
      <w:tabs>
        <w:tab w:val="center" w:pos="4153"/>
        <w:tab w:val="right" w:pos="8306"/>
      </w:tabs>
      <w:snapToGrid w:val="0"/>
      <w:jc w:val="left"/>
    </w:pPr>
    <w:rPr>
      <w:sz w:val="18"/>
      <w:szCs w:val="20"/>
    </w:rPr>
  </w:style>
  <w:style w:type="paragraph" w:styleId="a5">
    <w:name w:val="header"/>
    <w:basedOn w:val="a"/>
    <w:qFormat/>
    <w:rsid w:val="00966E1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Title"/>
    <w:basedOn w:val="a"/>
    <w:next w:val="a"/>
    <w:link w:val="Char"/>
    <w:uiPriority w:val="99"/>
    <w:qFormat/>
    <w:rsid w:val="00966E1E"/>
    <w:pPr>
      <w:spacing w:line="560" w:lineRule="exact"/>
      <w:jc w:val="center"/>
    </w:pPr>
    <w:rPr>
      <w:rFonts w:ascii="方正小标宋简体" w:eastAsia="方正小标宋简体" w:hAnsi="Calibri" w:cs="宋体"/>
      <w:sz w:val="44"/>
      <w:szCs w:val="44"/>
    </w:rPr>
  </w:style>
  <w:style w:type="paragraph" w:customStyle="1" w:styleId="10">
    <w:name w:val="列出段落1"/>
    <w:basedOn w:val="a"/>
    <w:uiPriority w:val="34"/>
    <w:qFormat/>
    <w:rsid w:val="00966E1E"/>
    <w:pPr>
      <w:ind w:firstLineChars="200" w:firstLine="420"/>
    </w:pPr>
    <w:rPr>
      <w:rFonts w:ascii="Calibri" w:hAnsi="Calibri" w:cs="黑体"/>
      <w:szCs w:val="22"/>
    </w:rPr>
  </w:style>
  <w:style w:type="character" w:customStyle="1" w:styleId="Char">
    <w:name w:val="标题 Char"/>
    <w:basedOn w:val="a0"/>
    <w:link w:val="a6"/>
    <w:uiPriority w:val="99"/>
    <w:qFormat/>
    <w:rsid w:val="00966E1E"/>
    <w:rPr>
      <w:rFonts w:ascii="方正小标宋简体" w:eastAsia="方正小标宋简体" w:hAnsi="Calibri" w:cs="宋体"/>
      <w:kern w:val="2"/>
      <w:sz w:val="44"/>
      <w:szCs w:val="44"/>
    </w:rPr>
  </w:style>
  <w:style w:type="character" w:customStyle="1" w:styleId="15">
    <w:name w:val="15"/>
    <w:basedOn w:val="a0"/>
    <w:qFormat/>
    <w:rsid w:val="00966E1E"/>
    <w:rPr>
      <w:rFonts w:ascii="楷体" w:eastAsia="楷体" w:hAnsi="楷体" w:cs="仿宋_GB2312" w:hint="eastAsia"/>
      <w:bCs/>
      <w:sz w:val="32"/>
      <w:szCs w:val="32"/>
    </w:rPr>
  </w:style>
  <w:style w:type="character" w:customStyle="1" w:styleId="font11">
    <w:name w:val="font11"/>
    <w:basedOn w:val="a0"/>
    <w:qFormat/>
    <w:rsid w:val="00966E1E"/>
    <w:rPr>
      <w:rFonts w:ascii="宋体" w:eastAsia="宋体" w:hAnsi="宋体" w:hint="eastAsia"/>
      <w:color w:val="000000"/>
      <w:sz w:val="18"/>
      <w:szCs w:val="18"/>
      <w:u w:val="none"/>
    </w:rPr>
  </w:style>
  <w:style w:type="paragraph" w:customStyle="1" w:styleId="11">
    <w:name w:val="正文1"/>
    <w:qFormat/>
    <w:rsid w:val="00966E1E"/>
    <w:pPr>
      <w:jc w:val="both"/>
    </w:pPr>
    <w:rPr>
      <w:rFonts w:ascii="Times New Roman" w:eastAsia="宋体" w:hAnsi="Times New Roman" w:cs="Times New Roman"/>
      <w:kern w:val="2"/>
      <w:sz w:val="21"/>
      <w:szCs w:val="21"/>
    </w:rPr>
  </w:style>
  <w:style w:type="paragraph" w:customStyle="1" w:styleId="a7">
    <w:name w:val="附件栏"/>
    <w:basedOn w:val="a"/>
    <w:qFormat/>
    <w:rsid w:val="00966E1E"/>
    <w:pPr>
      <w:suppressAutoHyphens/>
      <w:autoSpaceDE w:val="0"/>
      <w:autoSpaceDN w:val="0"/>
      <w:snapToGrid w:val="0"/>
      <w:spacing w:line="590" w:lineRule="atLeast"/>
      <w:ind w:firstLine="624"/>
    </w:pPr>
    <w:rPr>
      <w:rFonts w:ascii="Calibri" w:eastAsia="方正仿宋_GBK" w:hAnsi="Calibri" w:cs="Calibri"/>
      <w:kern w:val="0"/>
      <w:sz w:val="32"/>
      <w:szCs w:val="32"/>
    </w:rPr>
  </w:style>
  <w:style w:type="paragraph" w:styleId="a8">
    <w:name w:val="List Paragraph"/>
    <w:basedOn w:val="a"/>
    <w:uiPriority w:val="99"/>
    <w:unhideWhenUsed/>
    <w:qFormat/>
    <w:rsid w:val="00966E1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16</Pages>
  <Words>1181</Words>
  <Characters>6735</Characters>
  <Application>Microsoft Office Word</Application>
  <DocSecurity>0</DocSecurity>
  <Lines>56</Lines>
  <Paragraphs>15</Paragraphs>
  <ScaleCrop>false</ScaleCrop>
  <Company>Lenovo</Company>
  <LinksUpToDate>false</LinksUpToDate>
  <CharactersWithSpaces>7901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33</cp:revision>
  <cp:lastPrinted>2023-08-23T05:53:00Z</cp:lastPrinted>
  <dcterms:created xsi:type="dcterms:W3CDTF">2022-03-14T19:16:00Z</dcterms:created>
  <dcterms:modified xsi:type="dcterms:W3CDTF">2023-08-23T07:24:00Z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62F483E351D842E5A32434ABDD37ECF6_13</vt:lpwstr>
  </property>
</Properties>
</file>