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0FC" w:rsidRDefault="002756E0">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270FC" w:rsidRDefault="002756E0" w:rsidP="000A74A8">
      <w:pPr>
        <w:spacing w:line="480" w:lineRule="exact"/>
        <w:jc w:val="center"/>
        <w:rPr>
          <w:rFonts w:ascii="仿宋_GB2312" w:eastAsia="仿宋_GB2312" w:hAnsi="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2022 </w:t>
      </w:r>
      <w:r>
        <w:rPr>
          <w:rFonts w:ascii="宋体" w:eastAsia="宋体" w:hAnsi="宋体" w:cs="宋体" w:hint="eastAsia"/>
          <w:sz w:val="28"/>
          <w:szCs w:val="28"/>
        </w:rPr>
        <w:t>年度）</w:t>
      </w:r>
    </w:p>
    <w:p w:rsidR="00B270FC" w:rsidRDefault="00B270FC" w:rsidP="000A74A8">
      <w:pPr>
        <w:spacing w:line="240" w:lineRule="exact"/>
        <w:jc w:val="center"/>
        <w:rPr>
          <w:rFonts w:ascii="仿宋_GB2312" w:eastAsia="仿宋_GB2312" w:hAnsi="宋体"/>
          <w:sz w:val="30"/>
          <w:szCs w:val="30"/>
        </w:rPr>
      </w:pPr>
    </w:p>
    <w:tbl>
      <w:tblPr>
        <w:tblW w:w="10036" w:type="dxa"/>
        <w:jc w:val="center"/>
        <w:tblLayout w:type="fixed"/>
        <w:tblLook w:val="04A0"/>
      </w:tblPr>
      <w:tblGrid>
        <w:gridCol w:w="680"/>
        <w:gridCol w:w="1134"/>
        <w:gridCol w:w="1134"/>
        <w:gridCol w:w="1036"/>
        <w:gridCol w:w="807"/>
        <w:gridCol w:w="327"/>
        <w:gridCol w:w="949"/>
        <w:gridCol w:w="1177"/>
        <w:gridCol w:w="161"/>
        <w:gridCol w:w="548"/>
        <w:gridCol w:w="156"/>
        <w:gridCol w:w="404"/>
        <w:gridCol w:w="442"/>
        <w:gridCol w:w="1081"/>
      </w:tblGrid>
      <w:tr w:rsidR="00B270FC">
        <w:trPr>
          <w:trHeight w:hRule="exact" w:val="306"/>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项目名称</w:t>
            </w:r>
          </w:p>
        </w:tc>
        <w:tc>
          <w:tcPr>
            <w:tcW w:w="8222" w:type="dxa"/>
            <w:gridSpan w:val="1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北京市长期护理保险制度风险评估研究项目</w:t>
            </w:r>
          </w:p>
        </w:tc>
      </w:tr>
      <w:tr w:rsidR="00B270FC">
        <w:trPr>
          <w:trHeight w:hRule="exact" w:val="306"/>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主管部门</w:t>
            </w:r>
          </w:p>
        </w:tc>
        <w:tc>
          <w:tcPr>
            <w:tcW w:w="4253" w:type="dxa"/>
            <w:gridSpan w:val="5"/>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北京市医疗保障局</w:t>
            </w:r>
          </w:p>
        </w:tc>
        <w:tc>
          <w:tcPr>
            <w:tcW w:w="1338"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实施单位</w:t>
            </w:r>
          </w:p>
        </w:tc>
        <w:tc>
          <w:tcPr>
            <w:tcW w:w="2631" w:type="dxa"/>
            <w:gridSpan w:val="5"/>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待遇保障处</w:t>
            </w:r>
          </w:p>
        </w:tc>
      </w:tr>
      <w:tr w:rsidR="00B270FC">
        <w:trPr>
          <w:trHeight w:hRule="exact" w:val="306"/>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项目负责人</w:t>
            </w:r>
          </w:p>
        </w:tc>
        <w:tc>
          <w:tcPr>
            <w:tcW w:w="4253" w:type="dxa"/>
            <w:gridSpan w:val="5"/>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杨菁</w:t>
            </w:r>
          </w:p>
        </w:tc>
        <w:tc>
          <w:tcPr>
            <w:tcW w:w="1338"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联系电话</w:t>
            </w:r>
          </w:p>
        </w:tc>
        <w:tc>
          <w:tcPr>
            <w:tcW w:w="2631" w:type="dxa"/>
            <w:gridSpan w:val="5"/>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89152546</w:t>
            </w:r>
          </w:p>
        </w:tc>
      </w:tr>
      <w:tr w:rsidR="00B270FC">
        <w:trPr>
          <w:trHeight w:hRule="exact" w:val="567"/>
          <w:jc w:val="center"/>
        </w:trPr>
        <w:tc>
          <w:tcPr>
            <w:tcW w:w="1814" w:type="dxa"/>
            <w:gridSpan w:val="2"/>
            <w:vMerge w:val="restart"/>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项目资金</w:t>
            </w:r>
            <w:r>
              <w:rPr>
                <w:rFonts w:ascii="宋体" w:eastAsia="宋体" w:hAnsi="宋体" w:cs="宋体" w:hint="eastAsia"/>
                <w:color w:val="000000" w:themeColor="text1"/>
                <w:kern w:val="0"/>
                <w:szCs w:val="21"/>
              </w:rPr>
              <w:br/>
            </w:r>
            <w:r>
              <w:rPr>
                <w:rFonts w:ascii="宋体" w:eastAsia="宋体" w:hAnsi="宋体" w:cs="宋体" w:hint="eastAsia"/>
                <w:color w:val="000000" w:themeColor="text1"/>
                <w:kern w:val="0"/>
                <w:szCs w:val="21"/>
              </w:rPr>
              <w:t>（万元）</w:t>
            </w:r>
          </w:p>
        </w:tc>
        <w:tc>
          <w:tcPr>
            <w:tcW w:w="2170"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年初预</w:t>
            </w:r>
          </w:p>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算数</w:t>
            </w:r>
          </w:p>
        </w:tc>
        <w:tc>
          <w:tcPr>
            <w:tcW w:w="949" w:type="dxa"/>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全年预</w:t>
            </w:r>
          </w:p>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算数</w:t>
            </w:r>
          </w:p>
        </w:tc>
        <w:tc>
          <w:tcPr>
            <w:tcW w:w="1338"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全年</w:t>
            </w:r>
          </w:p>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执行数</w:t>
            </w:r>
          </w:p>
        </w:tc>
        <w:tc>
          <w:tcPr>
            <w:tcW w:w="704"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执行率</w:t>
            </w:r>
          </w:p>
        </w:tc>
        <w:tc>
          <w:tcPr>
            <w:tcW w:w="1081" w:type="dxa"/>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得分</w:t>
            </w:r>
          </w:p>
        </w:tc>
      </w:tr>
      <w:tr w:rsidR="00B270FC">
        <w:trPr>
          <w:trHeight w:hRule="exact" w:val="368"/>
          <w:jc w:val="center"/>
        </w:trPr>
        <w:tc>
          <w:tcPr>
            <w:tcW w:w="1814" w:type="dxa"/>
            <w:gridSpan w:val="2"/>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217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年度资金总额</w:t>
            </w:r>
          </w:p>
        </w:tc>
        <w:tc>
          <w:tcPr>
            <w:tcW w:w="1134"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10</w:t>
            </w:r>
            <w:r>
              <w:rPr>
                <w:rFonts w:ascii="宋体" w:eastAsia="宋体" w:hAnsi="宋体" w:cs="宋体" w:hint="eastAsia"/>
                <w:color w:val="000000" w:themeColor="text1"/>
                <w:kern w:val="0"/>
                <w:szCs w:val="21"/>
              </w:rPr>
              <w:t>万</w:t>
            </w:r>
          </w:p>
        </w:tc>
        <w:tc>
          <w:tcPr>
            <w:tcW w:w="949" w:type="dxa"/>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9.8</w:t>
            </w:r>
            <w:r>
              <w:rPr>
                <w:rFonts w:ascii="宋体" w:eastAsia="宋体" w:hAnsi="宋体" w:cs="宋体" w:hint="eastAsia"/>
                <w:color w:val="000000" w:themeColor="text1"/>
                <w:kern w:val="0"/>
                <w:szCs w:val="21"/>
              </w:rPr>
              <w:t>万</w:t>
            </w:r>
          </w:p>
        </w:tc>
        <w:tc>
          <w:tcPr>
            <w:tcW w:w="1338"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9.8</w:t>
            </w:r>
            <w:r>
              <w:rPr>
                <w:rFonts w:ascii="宋体" w:eastAsia="宋体" w:hAnsi="宋体" w:cs="宋体" w:hint="eastAsia"/>
                <w:color w:val="000000" w:themeColor="text1"/>
                <w:kern w:val="0"/>
                <w:szCs w:val="21"/>
              </w:rPr>
              <w:t>万</w:t>
            </w:r>
          </w:p>
        </w:tc>
        <w:tc>
          <w:tcPr>
            <w:tcW w:w="704"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100%</w:t>
            </w:r>
          </w:p>
        </w:tc>
        <w:tc>
          <w:tcPr>
            <w:tcW w:w="1081" w:type="dxa"/>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10</w:t>
            </w:r>
          </w:p>
        </w:tc>
      </w:tr>
      <w:tr w:rsidR="00B270FC">
        <w:trPr>
          <w:trHeight w:hRule="exact" w:val="459"/>
          <w:jc w:val="center"/>
        </w:trPr>
        <w:tc>
          <w:tcPr>
            <w:tcW w:w="1814" w:type="dxa"/>
            <w:gridSpan w:val="2"/>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217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其中：当年财政拨款</w:t>
            </w:r>
          </w:p>
        </w:tc>
        <w:tc>
          <w:tcPr>
            <w:tcW w:w="1134" w:type="dxa"/>
            <w:gridSpan w:val="2"/>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949" w:type="dxa"/>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338" w:type="dxa"/>
            <w:gridSpan w:val="2"/>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704"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081" w:type="dxa"/>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w:t>
            </w:r>
          </w:p>
        </w:tc>
      </w:tr>
      <w:tr w:rsidR="00B270FC">
        <w:trPr>
          <w:trHeight w:hRule="exact" w:val="413"/>
          <w:jc w:val="center"/>
        </w:trPr>
        <w:tc>
          <w:tcPr>
            <w:tcW w:w="1814" w:type="dxa"/>
            <w:gridSpan w:val="2"/>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217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 xml:space="preserve">   </w:t>
            </w:r>
            <w:r>
              <w:rPr>
                <w:rFonts w:ascii="宋体" w:eastAsia="宋体" w:hAnsi="宋体" w:cs="宋体" w:hint="eastAsia"/>
                <w:color w:val="000000" w:themeColor="text1"/>
                <w:kern w:val="0"/>
                <w:szCs w:val="21"/>
              </w:rPr>
              <w:t>上年结转资金</w:t>
            </w:r>
          </w:p>
        </w:tc>
        <w:tc>
          <w:tcPr>
            <w:tcW w:w="1134" w:type="dxa"/>
            <w:gridSpan w:val="2"/>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949" w:type="dxa"/>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338" w:type="dxa"/>
            <w:gridSpan w:val="2"/>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704"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081" w:type="dxa"/>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w:t>
            </w:r>
          </w:p>
        </w:tc>
      </w:tr>
      <w:tr w:rsidR="00B270FC">
        <w:trPr>
          <w:trHeight w:hRule="exact" w:val="306"/>
          <w:jc w:val="center"/>
        </w:trPr>
        <w:tc>
          <w:tcPr>
            <w:tcW w:w="1814" w:type="dxa"/>
            <w:gridSpan w:val="2"/>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217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 xml:space="preserve">  </w:t>
            </w:r>
            <w:r>
              <w:rPr>
                <w:rFonts w:ascii="宋体" w:eastAsia="宋体" w:hAnsi="宋体" w:cs="宋体" w:hint="eastAsia"/>
                <w:color w:val="000000" w:themeColor="text1"/>
                <w:kern w:val="0"/>
                <w:szCs w:val="21"/>
              </w:rPr>
              <w:t>其他资金</w:t>
            </w:r>
          </w:p>
        </w:tc>
        <w:tc>
          <w:tcPr>
            <w:tcW w:w="1134" w:type="dxa"/>
            <w:gridSpan w:val="2"/>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949" w:type="dxa"/>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338" w:type="dxa"/>
            <w:gridSpan w:val="2"/>
            <w:tcBorders>
              <w:top w:val="nil"/>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704" w:type="dxa"/>
            <w:gridSpan w:val="2"/>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081" w:type="dxa"/>
            <w:tcBorders>
              <w:top w:val="nil"/>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w:t>
            </w:r>
          </w:p>
        </w:tc>
      </w:tr>
      <w:tr w:rsidR="00B270FC">
        <w:trPr>
          <w:trHeight w:hRule="exact" w:val="548"/>
          <w:jc w:val="center"/>
        </w:trPr>
        <w:tc>
          <w:tcPr>
            <w:tcW w:w="680" w:type="dxa"/>
            <w:vMerge w:val="restart"/>
            <w:tcBorders>
              <w:top w:val="nil"/>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年度总体目标</w:t>
            </w:r>
          </w:p>
        </w:tc>
        <w:tc>
          <w:tcPr>
            <w:tcW w:w="5387" w:type="dxa"/>
            <w:gridSpan w:val="6"/>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预期目标</w:t>
            </w:r>
          </w:p>
        </w:tc>
        <w:tc>
          <w:tcPr>
            <w:tcW w:w="3969" w:type="dxa"/>
            <w:gridSpan w:val="7"/>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实际完成情况</w:t>
            </w:r>
          </w:p>
        </w:tc>
      </w:tr>
      <w:tr w:rsidR="00B270FC">
        <w:trPr>
          <w:trHeight w:hRule="exact" w:val="1097"/>
          <w:jc w:val="center"/>
        </w:trPr>
        <w:tc>
          <w:tcPr>
            <w:tcW w:w="680" w:type="dxa"/>
            <w:vMerge/>
            <w:tcBorders>
              <w:top w:val="nil"/>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5387" w:type="dxa"/>
            <w:gridSpan w:val="6"/>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完成北京市长期护理保险制度风险评估，为筹资政策调整提供支持</w:t>
            </w:r>
          </w:p>
        </w:tc>
        <w:tc>
          <w:tcPr>
            <w:tcW w:w="3969" w:type="dxa"/>
            <w:gridSpan w:val="7"/>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完成</w:t>
            </w:r>
          </w:p>
        </w:tc>
      </w:tr>
      <w:tr w:rsidR="00B270FC">
        <w:trPr>
          <w:trHeight w:hRule="exact" w:val="830"/>
          <w:jc w:val="center"/>
        </w:trPr>
        <w:tc>
          <w:tcPr>
            <w:tcW w:w="680" w:type="dxa"/>
            <w:vMerge w:val="restart"/>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绩</w:t>
            </w:r>
            <w:r>
              <w:rPr>
                <w:rFonts w:ascii="宋体" w:eastAsia="宋体" w:hAnsi="宋体" w:cs="宋体" w:hint="eastAsia"/>
                <w:color w:val="000000" w:themeColor="text1"/>
                <w:kern w:val="0"/>
                <w:szCs w:val="21"/>
              </w:rPr>
              <w:br/>
            </w:r>
            <w:r>
              <w:rPr>
                <w:rFonts w:ascii="宋体" w:eastAsia="宋体" w:hAnsi="宋体" w:cs="宋体" w:hint="eastAsia"/>
                <w:color w:val="000000" w:themeColor="text1"/>
                <w:kern w:val="0"/>
                <w:szCs w:val="21"/>
              </w:rPr>
              <w:t>效</w:t>
            </w:r>
            <w:r>
              <w:rPr>
                <w:rFonts w:ascii="宋体" w:eastAsia="宋体" w:hAnsi="宋体" w:cs="宋体" w:hint="eastAsia"/>
                <w:color w:val="000000" w:themeColor="text1"/>
                <w:kern w:val="0"/>
                <w:szCs w:val="21"/>
              </w:rPr>
              <w:br/>
            </w:r>
            <w:r>
              <w:rPr>
                <w:rFonts w:ascii="宋体" w:eastAsia="宋体" w:hAnsi="宋体" w:cs="宋体" w:hint="eastAsia"/>
                <w:color w:val="000000" w:themeColor="text1"/>
                <w:kern w:val="0"/>
                <w:szCs w:val="21"/>
              </w:rPr>
              <w:t>指</w:t>
            </w:r>
            <w:r>
              <w:rPr>
                <w:rFonts w:ascii="宋体" w:eastAsia="宋体" w:hAnsi="宋体" w:cs="宋体" w:hint="eastAsia"/>
                <w:color w:val="000000" w:themeColor="text1"/>
                <w:kern w:val="0"/>
                <w:szCs w:val="21"/>
              </w:rPr>
              <w:br/>
            </w:r>
            <w:r>
              <w:rPr>
                <w:rFonts w:ascii="宋体" w:eastAsia="宋体" w:hAnsi="宋体" w:cs="宋体" w:hint="eastAsia"/>
                <w:color w:val="000000" w:themeColor="text1"/>
                <w:kern w:val="0"/>
                <w:szCs w:val="21"/>
              </w:rPr>
              <w:t>标</w:t>
            </w:r>
          </w:p>
        </w:tc>
        <w:tc>
          <w:tcPr>
            <w:tcW w:w="1134" w:type="dxa"/>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一级指标</w:t>
            </w:r>
          </w:p>
        </w:tc>
        <w:tc>
          <w:tcPr>
            <w:tcW w:w="1134" w:type="dxa"/>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二级指标</w:t>
            </w:r>
          </w:p>
        </w:tc>
        <w:tc>
          <w:tcPr>
            <w:tcW w:w="1843"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三级指标</w:t>
            </w:r>
          </w:p>
        </w:tc>
        <w:tc>
          <w:tcPr>
            <w:tcW w:w="1276"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年度</w:t>
            </w:r>
          </w:p>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指标值</w:t>
            </w:r>
          </w:p>
        </w:tc>
        <w:tc>
          <w:tcPr>
            <w:tcW w:w="1177" w:type="dxa"/>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实际</w:t>
            </w:r>
          </w:p>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完成值</w:t>
            </w:r>
          </w:p>
        </w:tc>
        <w:tc>
          <w:tcPr>
            <w:tcW w:w="709"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分值</w:t>
            </w:r>
          </w:p>
        </w:tc>
        <w:tc>
          <w:tcPr>
            <w:tcW w:w="56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得分</w:t>
            </w:r>
          </w:p>
        </w:tc>
        <w:tc>
          <w:tcPr>
            <w:tcW w:w="1523"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偏差原因分析及改进</w:t>
            </w:r>
          </w:p>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措施</w:t>
            </w:r>
          </w:p>
        </w:tc>
      </w:tr>
      <w:tr w:rsidR="00B270FC">
        <w:trPr>
          <w:trHeight w:hRule="exact" w:val="593"/>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产出指标</w:t>
            </w:r>
          </w:p>
        </w:tc>
        <w:tc>
          <w:tcPr>
            <w:tcW w:w="1134" w:type="dxa"/>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数量指标</w:t>
            </w:r>
          </w:p>
        </w:tc>
        <w:tc>
          <w:tcPr>
            <w:tcW w:w="1843"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筹资政策调整风险评估报告</w:t>
            </w:r>
          </w:p>
        </w:tc>
        <w:tc>
          <w:tcPr>
            <w:tcW w:w="1276"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w:t>
            </w:r>
            <w:r>
              <w:rPr>
                <w:rFonts w:ascii="宋体" w:eastAsia="宋体" w:hAnsi="宋体" w:cs="宋体" w:hint="eastAsia"/>
                <w:color w:val="000000" w:themeColor="text1"/>
                <w:kern w:val="0"/>
                <w:szCs w:val="21"/>
              </w:rPr>
              <w:t>份</w:t>
            </w:r>
          </w:p>
        </w:tc>
        <w:tc>
          <w:tcPr>
            <w:tcW w:w="1177" w:type="dxa"/>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w:t>
            </w:r>
            <w:r>
              <w:rPr>
                <w:rFonts w:ascii="宋体" w:eastAsia="宋体" w:hAnsi="宋体" w:cs="宋体" w:hint="eastAsia"/>
                <w:color w:val="000000" w:themeColor="text1"/>
                <w:kern w:val="0"/>
                <w:szCs w:val="21"/>
              </w:rPr>
              <w:t>份</w:t>
            </w:r>
          </w:p>
        </w:tc>
        <w:tc>
          <w:tcPr>
            <w:tcW w:w="709"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30</w:t>
            </w:r>
          </w:p>
        </w:tc>
        <w:tc>
          <w:tcPr>
            <w:tcW w:w="56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30</w:t>
            </w:r>
          </w:p>
        </w:tc>
        <w:tc>
          <w:tcPr>
            <w:tcW w:w="1523"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r>
      <w:tr w:rsidR="00B270FC">
        <w:trPr>
          <w:trHeight w:hRule="exact" w:val="702"/>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质量指标</w:t>
            </w:r>
          </w:p>
        </w:tc>
        <w:tc>
          <w:tcPr>
            <w:tcW w:w="1843"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评估报告设计合理、内容真实</w:t>
            </w:r>
          </w:p>
        </w:tc>
        <w:tc>
          <w:tcPr>
            <w:tcW w:w="1276"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达成年度指标</w:t>
            </w:r>
          </w:p>
        </w:tc>
        <w:tc>
          <w:tcPr>
            <w:tcW w:w="1177" w:type="dxa"/>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完成</w:t>
            </w:r>
          </w:p>
        </w:tc>
        <w:tc>
          <w:tcPr>
            <w:tcW w:w="709"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30</w:t>
            </w:r>
          </w:p>
        </w:tc>
        <w:tc>
          <w:tcPr>
            <w:tcW w:w="56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30</w:t>
            </w:r>
          </w:p>
        </w:tc>
        <w:tc>
          <w:tcPr>
            <w:tcW w:w="1523"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r>
      <w:tr w:rsidR="00B270FC">
        <w:trPr>
          <w:trHeight w:hRule="exact" w:val="2208"/>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时效指标</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B270FC" w:rsidRDefault="002756E0">
            <w:pPr>
              <w:widowControl/>
              <w:spacing w:line="240" w:lineRule="exac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完成评估报告</w:t>
            </w:r>
            <w:r>
              <w:rPr>
                <w:rFonts w:ascii="宋体" w:eastAsia="宋体" w:hAnsi="宋体" w:cs="宋体" w:hint="eastAsia"/>
                <w:color w:val="000000" w:themeColor="text1"/>
                <w:kern w:val="0"/>
                <w:szCs w:val="21"/>
              </w:rPr>
              <w:t>2022</w:t>
            </w:r>
            <w:r>
              <w:rPr>
                <w:rFonts w:ascii="宋体" w:eastAsia="宋体" w:hAnsi="宋体" w:cs="宋体" w:hint="eastAsia"/>
                <w:color w:val="000000" w:themeColor="text1"/>
                <w:kern w:val="0"/>
                <w:szCs w:val="21"/>
              </w:rPr>
              <w:t>年</w:t>
            </w:r>
            <w:r>
              <w:rPr>
                <w:rFonts w:ascii="宋体" w:eastAsia="宋体" w:hAnsi="宋体" w:cs="宋体"/>
                <w:color w:val="000000" w:themeColor="text1"/>
                <w:kern w:val="0"/>
                <w:szCs w:val="21"/>
              </w:rPr>
              <w:t>8</w:t>
            </w:r>
            <w:r>
              <w:rPr>
                <w:rFonts w:ascii="宋体" w:eastAsia="宋体" w:hAnsi="宋体" w:cs="宋体" w:hint="eastAsia"/>
                <w:color w:val="000000" w:themeColor="text1"/>
                <w:kern w:val="0"/>
                <w:szCs w:val="21"/>
              </w:rPr>
              <w:t>月底</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完成</w:t>
            </w:r>
          </w:p>
        </w:tc>
        <w:tc>
          <w:tcPr>
            <w:tcW w:w="1177" w:type="dxa"/>
            <w:tcBorders>
              <w:top w:val="single" w:sz="4" w:space="0" w:color="auto"/>
              <w:left w:val="nil"/>
              <w:bottom w:val="single" w:sz="4" w:space="0" w:color="auto"/>
              <w:right w:val="single" w:sz="4" w:space="0" w:color="auto"/>
            </w:tcBorders>
            <w:shd w:val="clear" w:color="auto" w:fill="auto"/>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2</w:t>
            </w:r>
            <w:r>
              <w:rPr>
                <w:rFonts w:ascii="宋体" w:eastAsia="宋体" w:hAnsi="宋体" w:cs="宋体"/>
                <w:color w:val="000000" w:themeColor="text1"/>
                <w:kern w:val="0"/>
                <w:szCs w:val="21"/>
              </w:rPr>
              <w:t>022</w:t>
            </w:r>
            <w:r>
              <w:rPr>
                <w:rFonts w:ascii="宋体" w:eastAsia="宋体" w:hAnsi="宋体" w:cs="宋体" w:hint="eastAsia"/>
                <w:color w:val="000000" w:themeColor="text1"/>
                <w:kern w:val="0"/>
                <w:szCs w:val="21"/>
              </w:rPr>
              <w:t>年</w:t>
            </w:r>
            <w:r>
              <w:rPr>
                <w:rFonts w:ascii="宋体" w:eastAsia="宋体" w:hAnsi="宋体" w:cs="宋体" w:hint="eastAsia"/>
                <w:color w:val="000000" w:themeColor="text1"/>
                <w:kern w:val="0"/>
                <w:szCs w:val="21"/>
              </w:rPr>
              <w:t>1</w:t>
            </w:r>
            <w:r>
              <w:rPr>
                <w:rFonts w:ascii="宋体" w:eastAsia="宋体" w:hAnsi="宋体" w:cs="宋体"/>
                <w:color w:val="000000" w:themeColor="text1"/>
                <w:kern w:val="0"/>
                <w:szCs w:val="21"/>
              </w:rPr>
              <w:t>1</w:t>
            </w:r>
            <w:r>
              <w:rPr>
                <w:rFonts w:ascii="宋体" w:eastAsia="宋体" w:hAnsi="宋体" w:cs="宋体" w:hint="eastAsia"/>
                <w:color w:val="000000" w:themeColor="text1"/>
                <w:kern w:val="0"/>
                <w:szCs w:val="21"/>
              </w:rPr>
              <w:t>月底完成</w:t>
            </w:r>
          </w:p>
        </w:tc>
        <w:tc>
          <w:tcPr>
            <w:tcW w:w="709"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20</w:t>
            </w:r>
          </w:p>
        </w:tc>
        <w:tc>
          <w:tcPr>
            <w:tcW w:w="560" w:type="dxa"/>
            <w:gridSpan w:val="2"/>
            <w:tcBorders>
              <w:top w:val="single" w:sz="4" w:space="0" w:color="auto"/>
              <w:left w:val="nil"/>
              <w:bottom w:val="single" w:sz="4" w:space="0" w:color="auto"/>
              <w:right w:val="single" w:sz="4" w:space="0" w:color="auto"/>
            </w:tcBorders>
            <w:vAlign w:val="center"/>
          </w:tcPr>
          <w:p w:rsidR="00B270FC" w:rsidRPr="00BB0C3D" w:rsidRDefault="002756E0">
            <w:pPr>
              <w:widowControl/>
              <w:spacing w:line="240" w:lineRule="exact"/>
              <w:jc w:val="center"/>
              <w:rPr>
                <w:rFonts w:ascii="宋体" w:eastAsia="宋体" w:hAnsi="宋体" w:cs="宋体"/>
                <w:color w:val="000000" w:themeColor="text1"/>
                <w:kern w:val="0"/>
                <w:szCs w:val="21"/>
              </w:rPr>
            </w:pPr>
            <w:r w:rsidRPr="00BB0C3D">
              <w:rPr>
                <w:rFonts w:ascii="宋体" w:eastAsia="宋体" w:hAnsi="宋体" w:cs="宋体"/>
                <w:color w:val="000000" w:themeColor="text1"/>
                <w:kern w:val="0"/>
                <w:szCs w:val="21"/>
              </w:rPr>
              <w:t>19</w:t>
            </w:r>
          </w:p>
        </w:tc>
        <w:tc>
          <w:tcPr>
            <w:tcW w:w="1523"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left"/>
              <w:rPr>
                <w:rFonts w:ascii="宋体" w:eastAsia="宋体" w:hAnsi="宋体" w:cs="宋体"/>
                <w:color w:val="000000" w:themeColor="text1"/>
                <w:kern w:val="0"/>
                <w:szCs w:val="21"/>
                <w:highlight w:val="yellow"/>
                <w:lang/>
              </w:rPr>
            </w:pPr>
            <w:r>
              <w:rPr>
                <w:rFonts w:ascii="宋体" w:hAnsi="宋体" w:hint="eastAsia"/>
                <w:szCs w:val="21"/>
                <w:lang/>
              </w:rPr>
              <w:t>详见附件</w:t>
            </w:r>
          </w:p>
        </w:tc>
      </w:tr>
      <w:tr w:rsidR="00B270FC">
        <w:trPr>
          <w:trHeight w:hRule="exact" w:val="530"/>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成本指标</w:t>
            </w:r>
          </w:p>
        </w:tc>
        <w:tc>
          <w:tcPr>
            <w:tcW w:w="1843"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项目预算控制数</w:t>
            </w:r>
          </w:p>
        </w:tc>
        <w:tc>
          <w:tcPr>
            <w:tcW w:w="1276"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10</w:t>
            </w:r>
            <w:r>
              <w:rPr>
                <w:rFonts w:ascii="宋体" w:eastAsia="宋体" w:hAnsi="宋体" w:cs="宋体" w:hint="eastAsia"/>
                <w:color w:val="000000" w:themeColor="text1"/>
                <w:kern w:val="0"/>
                <w:szCs w:val="21"/>
              </w:rPr>
              <w:t>万</w:t>
            </w:r>
          </w:p>
        </w:tc>
        <w:tc>
          <w:tcPr>
            <w:tcW w:w="1177" w:type="dxa"/>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9.8</w:t>
            </w:r>
            <w:r>
              <w:rPr>
                <w:rFonts w:ascii="宋体" w:eastAsia="宋体" w:hAnsi="宋体" w:cs="宋体" w:hint="eastAsia"/>
                <w:color w:val="000000" w:themeColor="text1"/>
                <w:kern w:val="0"/>
                <w:szCs w:val="21"/>
              </w:rPr>
              <w:t>万</w:t>
            </w:r>
          </w:p>
        </w:tc>
        <w:tc>
          <w:tcPr>
            <w:tcW w:w="709"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5</w:t>
            </w:r>
          </w:p>
        </w:tc>
        <w:tc>
          <w:tcPr>
            <w:tcW w:w="56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5</w:t>
            </w:r>
          </w:p>
        </w:tc>
        <w:tc>
          <w:tcPr>
            <w:tcW w:w="1523"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r>
      <w:tr w:rsidR="00B270FC">
        <w:trPr>
          <w:trHeight w:hRule="exact" w:val="854"/>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经济效益</w:t>
            </w:r>
          </w:p>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指标</w:t>
            </w:r>
          </w:p>
        </w:tc>
        <w:tc>
          <w:tcPr>
            <w:tcW w:w="1843"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通过风险评估，为筹资政策调整提供支持</w:t>
            </w:r>
          </w:p>
        </w:tc>
        <w:tc>
          <w:tcPr>
            <w:tcW w:w="1276"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显著</w:t>
            </w:r>
          </w:p>
        </w:tc>
        <w:tc>
          <w:tcPr>
            <w:tcW w:w="1177" w:type="dxa"/>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较显著</w:t>
            </w:r>
          </w:p>
        </w:tc>
        <w:tc>
          <w:tcPr>
            <w:tcW w:w="709"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5</w:t>
            </w:r>
          </w:p>
        </w:tc>
        <w:tc>
          <w:tcPr>
            <w:tcW w:w="56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5</w:t>
            </w:r>
          </w:p>
        </w:tc>
        <w:tc>
          <w:tcPr>
            <w:tcW w:w="1523"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r>
      <w:tr w:rsidR="00B270FC">
        <w:trPr>
          <w:trHeight w:hRule="exact" w:val="477"/>
          <w:jc w:val="center"/>
        </w:trPr>
        <w:tc>
          <w:tcPr>
            <w:tcW w:w="7244" w:type="dxa"/>
            <w:gridSpan w:val="8"/>
            <w:tcBorders>
              <w:top w:val="single" w:sz="4" w:space="0" w:color="auto"/>
              <w:left w:val="single" w:sz="4" w:space="0" w:color="auto"/>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总分</w:t>
            </w:r>
          </w:p>
        </w:tc>
        <w:tc>
          <w:tcPr>
            <w:tcW w:w="709"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100</w:t>
            </w:r>
          </w:p>
        </w:tc>
        <w:tc>
          <w:tcPr>
            <w:tcW w:w="560" w:type="dxa"/>
            <w:gridSpan w:val="2"/>
            <w:tcBorders>
              <w:top w:val="single" w:sz="4" w:space="0" w:color="auto"/>
              <w:left w:val="nil"/>
              <w:bottom w:val="single" w:sz="4" w:space="0" w:color="auto"/>
              <w:right w:val="single" w:sz="4" w:space="0" w:color="auto"/>
            </w:tcBorders>
            <w:vAlign w:val="center"/>
          </w:tcPr>
          <w:p w:rsidR="00B270FC" w:rsidRDefault="002756E0">
            <w:pPr>
              <w:widowControl/>
              <w:spacing w:line="240" w:lineRule="exact"/>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99</w:t>
            </w:r>
          </w:p>
        </w:tc>
        <w:tc>
          <w:tcPr>
            <w:tcW w:w="1523" w:type="dxa"/>
            <w:gridSpan w:val="2"/>
            <w:tcBorders>
              <w:top w:val="single" w:sz="4" w:space="0" w:color="auto"/>
              <w:left w:val="nil"/>
              <w:bottom w:val="single" w:sz="4" w:space="0" w:color="auto"/>
              <w:right w:val="single" w:sz="4" w:space="0" w:color="auto"/>
            </w:tcBorders>
            <w:vAlign w:val="center"/>
          </w:tcPr>
          <w:p w:rsidR="00B270FC" w:rsidRDefault="00B270FC">
            <w:pPr>
              <w:widowControl/>
              <w:spacing w:line="240" w:lineRule="exact"/>
              <w:jc w:val="center"/>
              <w:rPr>
                <w:rFonts w:ascii="宋体" w:eastAsia="宋体" w:hAnsi="宋体" w:cs="宋体"/>
                <w:color w:val="000000" w:themeColor="text1"/>
                <w:kern w:val="0"/>
                <w:szCs w:val="21"/>
              </w:rPr>
            </w:pPr>
          </w:p>
        </w:tc>
      </w:tr>
    </w:tbl>
    <w:p w:rsidR="00B270FC" w:rsidRDefault="00B270FC">
      <w:pPr>
        <w:rPr>
          <w:rFonts w:ascii="仿宋_GB2312" w:eastAsia="仿宋_GB2312"/>
          <w:vanish/>
          <w:sz w:val="32"/>
          <w:szCs w:val="32"/>
        </w:rPr>
      </w:pPr>
    </w:p>
    <w:p w:rsidR="00B270FC" w:rsidRDefault="00B270FC">
      <w:pPr>
        <w:spacing w:line="560" w:lineRule="exact"/>
        <w:ind w:firstLineChars="200" w:firstLine="640"/>
        <w:rPr>
          <w:rFonts w:ascii="仿宋_GB2312" w:eastAsia="仿宋_GB2312" w:hAnsi="仿宋_GB2312" w:cs="仿宋_GB2312"/>
          <w:sz w:val="32"/>
          <w:szCs w:val="32"/>
          <w:lang/>
        </w:rPr>
        <w:sectPr w:rsidR="00B270FC">
          <w:footerReference w:type="default" r:id="rId7"/>
          <w:pgSz w:w="11906" w:h="16838"/>
          <w:pgMar w:top="1440" w:right="1800" w:bottom="1440" w:left="1800" w:header="851" w:footer="992" w:gutter="0"/>
          <w:cols w:space="425"/>
          <w:docGrid w:type="lines" w:linePitch="312"/>
        </w:sectPr>
      </w:pPr>
    </w:p>
    <w:p w:rsidR="00B270FC" w:rsidRDefault="002756E0">
      <w:pPr>
        <w:pStyle w:val="a6"/>
        <w:spacing w:line="560" w:lineRule="exact"/>
        <w:ind w:firstLineChars="0" w:firstLine="0"/>
        <w:rPr>
          <w:rFonts w:ascii="仿宋_GB2312" w:eastAsia="仿宋_GB2312" w:hAnsi="仿宋_GB2312" w:cs="仿宋_GB2312"/>
          <w:sz w:val="32"/>
          <w:szCs w:val="32"/>
          <w:lang/>
        </w:rPr>
      </w:pPr>
      <w:r>
        <w:rPr>
          <w:rFonts w:ascii="仿宋_GB2312" w:eastAsia="仿宋_GB2312" w:hAnsi="仿宋_GB2312" w:cs="仿宋_GB2312" w:hint="eastAsia"/>
          <w:sz w:val="32"/>
          <w:szCs w:val="32"/>
          <w:lang/>
        </w:rPr>
        <w:lastRenderedPageBreak/>
        <w:t>附件</w:t>
      </w:r>
    </w:p>
    <w:p w:rsidR="00B270FC" w:rsidRDefault="002756E0">
      <w:pPr>
        <w:pStyle w:val="a6"/>
        <w:spacing w:line="560" w:lineRule="exact"/>
        <w:ind w:firstLineChars="0" w:firstLine="0"/>
        <w:rPr>
          <w:rFonts w:ascii="仿宋_GB2312" w:eastAsia="仿宋_GB2312" w:hAnsi="仿宋_GB2312" w:cs="仿宋_GB2312"/>
          <w:sz w:val="30"/>
          <w:szCs w:val="30"/>
          <w:lang/>
        </w:rPr>
      </w:pPr>
      <w:r>
        <w:rPr>
          <w:rFonts w:ascii="仿宋_GB2312" w:eastAsia="仿宋_GB2312" w:hAnsi="仿宋_GB2312" w:cs="仿宋_GB2312" w:hint="eastAsia"/>
          <w:sz w:val="30"/>
          <w:szCs w:val="30"/>
          <w:lang/>
        </w:rPr>
        <w:t>原因：</w:t>
      </w:r>
    </w:p>
    <w:p w:rsidR="00B270FC" w:rsidRDefault="002756E0">
      <w:pPr>
        <w:spacing w:line="560" w:lineRule="exact"/>
        <w:ind w:firstLineChars="200" w:firstLine="600"/>
        <w:rPr>
          <w:rFonts w:ascii="宋体" w:eastAsia="宋体" w:hAnsi="宋体" w:cs="Times New Roman"/>
          <w:szCs w:val="21"/>
          <w:lang/>
        </w:rPr>
      </w:pPr>
      <w:r>
        <w:rPr>
          <w:rFonts w:ascii="仿宋_GB2312" w:eastAsia="仿宋_GB2312" w:hAnsi="仿宋_GB2312" w:cs="仿宋_GB2312" w:hint="eastAsia"/>
          <w:sz w:val="30"/>
          <w:szCs w:val="30"/>
          <w:lang/>
        </w:rPr>
        <w:t>由于疫情原因，中标单位中国劳动和社会保障科学研究院相关负责人居家隔离，合同签订时间晚于预期时间。同时根据</w:t>
      </w:r>
      <w:r>
        <w:rPr>
          <w:rFonts w:ascii="仿宋_GB2312" w:eastAsia="仿宋_GB2312" w:hAnsi="仿宋_GB2312" w:cs="仿宋_GB2312" w:hint="eastAsia"/>
          <w:sz w:val="30"/>
          <w:szCs w:val="30"/>
          <w:lang/>
        </w:rPr>
        <w:t>2022</w:t>
      </w:r>
      <w:r>
        <w:rPr>
          <w:rFonts w:ascii="仿宋_GB2312" w:eastAsia="仿宋_GB2312" w:hAnsi="仿宋_GB2312" w:cs="仿宋_GB2312" w:hint="eastAsia"/>
          <w:sz w:val="30"/>
          <w:szCs w:val="30"/>
          <w:lang/>
        </w:rPr>
        <w:t>年</w:t>
      </w:r>
      <w:r>
        <w:rPr>
          <w:rFonts w:ascii="仿宋_GB2312" w:eastAsia="仿宋_GB2312" w:hAnsi="仿宋_GB2312" w:cs="仿宋_GB2312" w:hint="eastAsia"/>
          <w:sz w:val="30"/>
          <w:szCs w:val="30"/>
          <w:lang/>
        </w:rPr>
        <w:t>10</w:t>
      </w:r>
      <w:r>
        <w:rPr>
          <w:rFonts w:ascii="仿宋_GB2312" w:eastAsia="仿宋_GB2312" w:hAnsi="仿宋_GB2312" w:cs="仿宋_GB2312" w:hint="eastAsia"/>
          <w:sz w:val="30"/>
          <w:szCs w:val="30"/>
          <w:lang/>
        </w:rPr>
        <w:t>月中共北京市委办公厅</w:t>
      </w:r>
      <w:r>
        <w:rPr>
          <w:rFonts w:ascii="仿宋_GB2312" w:eastAsia="仿宋_GB2312" w:hAnsi="仿宋_GB2312" w:cs="仿宋_GB2312" w:hint="eastAsia"/>
          <w:sz w:val="30"/>
          <w:szCs w:val="30"/>
          <w:lang/>
        </w:rPr>
        <w:t xml:space="preserve"> </w:t>
      </w:r>
      <w:r>
        <w:rPr>
          <w:rFonts w:ascii="仿宋_GB2312" w:eastAsia="仿宋_GB2312" w:hAnsi="仿宋_GB2312" w:cs="仿宋_GB2312" w:hint="eastAsia"/>
          <w:sz w:val="30"/>
          <w:szCs w:val="30"/>
          <w:lang/>
        </w:rPr>
        <w:t>北京市人民政府办公厅联合印发的《北京市关于加强新形势下重大决策社会稳定风险评估工作的实施办法》（京办发</w:t>
      </w:r>
      <w:r>
        <w:rPr>
          <w:rFonts w:ascii="仿宋_GB2312" w:eastAsia="仿宋_GB2312" w:hAnsi="仿宋_GB2312" w:cs="仿宋_GB2312" w:hint="eastAsia"/>
          <w:sz w:val="30"/>
          <w:szCs w:val="30"/>
          <w:lang/>
        </w:rPr>
        <w:t>[2022]27</w:t>
      </w:r>
      <w:r>
        <w:rPr>
          <w:rFonts w:ascii="仿宋_GB2312" w:eastAsia="仿宋_GB2312" w:hAnsi="仿宋_GB2312" w:cs="仿宋_GB2312" w:hint="eastAsia"/>
          <w:sz w:val="30"/>
          <w:szCs w:val="30"/>
          <w:lang/>
        </w:rPr>
        <w:t>号）（以下简称《实施办法》）的要求，评估报告需要进行行政部门联审。中国劳动和社会保障科学研究院于</w:t>
      </w:r>
      <w:r>
        <w:rPr>
          <w:rFonts w:ascii="仿宋_GB2312" w:eastAsia="仿宋_GB2312" w:hAnsi="仿宋_GB2312" w:cs="仿宋_GB2312" w:hint="eastAsia"/>
          <w:sz w:val="30"/>
          <w:szCs w:val="30"/>
          <w:lang/>
        </w:rPr>
        <w:t>2022</w:t>
      </w:r>
      <w:r>
        <w:rPr>
          <w:rFonts w:ascii="仿宋_GB2312" w:eastAsia="仿宋_GB2312" w:hAnsi="仿宋_GB2312" w:cs="仿宋_GB2312" w:hint="eastAsia"/>
          <w:sz w:val="30"/>
          <w:szCs w:val="30"/>
          <w:lang/>
        </w:rPr>
        <w:t>年</w:t>
      </w:r>
      <w:r>
        <w:rPr>
          <w:rFonts w:ascii="仿宋_GB2312" w:eastAsia="仿宋_GB2312" w:hAnsi="仿宋_GB2312" w:cs="仿宋_GB2312" w:hint="eastAsia"/>
          <w:sz w:val="30"/>
          <w:szCs w:val="30"/>
          <w:lang/>
        </w:rPr>
        <w:t>11</w:t>
      </w:r>
      <w:r>
        <w:rPr>
          <w:rFonts w:ascii="仿宋_GB2312" w:eastAsia="仿宋_GB2312" w:hAnsi="仿宋_GB2312" w:cs="仿宋_GB2312" w:hint="eastAsia"/>
          <w:sz w:val="30"/>
          <w:szCs w:val="30"/>
          <w:lang/>
        </w:rPr>
        <w:t>月初提交了报告，按照《实施办法》的要求，我处于</w:t>
      </w:r>
      <w:r>
        <w:rPr>
          <w:rFonts w:ascii="仿宋_GB2312" w:eastAsia="仿宋_GB2312" w:hAnsi="仿宋_GB2312" w:cs="仿宋_GB2312" w:hint="eastAsia"/>
          <w:sz w:val="30"/>
          <w:szCs w:val="30"/>
          <w:lang/>
        </w:rPr>
        <w:t>2022</w:t>
      </w:r>
      <w:r>
        <w:rPr>
          <w:rFonts w:ascii="仿宋_GB2312" w:eastAsia="仿宋_GB2312" w:hAnsi="仿宋_GB2312" w:cs="仿宋_GB2312" w:hint="eastAsia"/>
          <w:sz w:val="30"/>
          <w:szCs w:val="30"/>
          <w:lang/>
        </w:rPr>
        <w:t>年</w:t>
      </w:r>
      <w:r>
        <w:rPr>
          <w:rFonts w:ascii="仿宋_GB2312" w:eastAsia="仿宋_GB2312" w:hAnsi="仿宋_GB2312" w:cs="仿宋_GB2312" w:hint="eastAsia"/>
          <w:sz w:val="30"/>
          <w:szCs w:val="30"/>
          <w:lang/>
        </w:rPr>
        <w:t>11</w:t>
      </w:r>
      <w:r>
        <w:rPr>
          <w:rFonts w:ascii="仿宋_GB2312" w:eastAsia="仿宋_GB2312" w:hAnsi="仿宋_GB2312" w:cs="仿宋_GB2312" w:hint="eastAsia"/>
          <w:sz w:val="30"/>
          <w:szCs w:val="30"/>
          <w:lang/>
        </w:rPr>
        <w:t>月</w:t>
      </w:r>
      <w:r>
        <w:rPr>
          <w:rFonts w:ascii="仿宋_GB2312" w:eastAsia="仿宋_GB2312" w:hAnsi="仿宋_GB2312" w:cs="仿宋_GB2312" w:hint="eastAsia"/>
          <w:sz w:val="30"/>
          <w:szCs w:val="30"/>
          <w:lang/>
        </w:rPr>
        <w:t>17</w:t>
      </w:r>
      <w:r>
        <w:rPr>
          <w:rFonts w:ascii="仿宋_GB2312" w:eastAsia="仿宋_GB2312" w:hAnsi="仿宋_GB2312" w:cs="仿宋_GB2312" w:hint="eastAsia"/>
          <w:sz w:val="30"/>
          <w:szCs w:val="30"/>
          <w:lang/>
        </w:rPr>
        <w:t>日邀请了市政法委、市网信办和市政务服务局相关负责同志召开“北京市长期护理保险制度风险评估行政部门联审会”，由于疫情原因，行政部门联审会取消。为了保障该项工作的稳妥推进，经过与市政法委相关部门请示，将报告评审的形式由联审</w:t>
      </w:r>
      <w:r>
        <w:rPr>
          <w:rFonts w:ascii="仿宋_GB2312" w:eastAsia="仿宋_GB2312" w:hAnsi="仿宋_GB2312" w:cs="仿宋_GB2312" w:hint="eastAsia"/>
          <w:sz w:val="30"/>
          <w:szCs w:val="30"/>
          <w:lang/>
        </w:rPr>
        <w:t>会改为征求意见，我处就《北京市长期护理保险制度风险评估研究》征求了相关部门意见，中国劳动和社会保障科学研究院根据各部门反馈的意见修改了研究报告，形成终稿。由于疫情的原因和《实施办法》的要求，报告出具的时间是</w:t>
      </w:r>
      <w:r>
        <w:rPr>
          <w:rFonts w:ascii="仿宋_GB2312" w:eastAsia="仿宋_GB2312" w:hAnsi="仿宋_GB2312" w:cs="仿宋_GB2312" w:hint="eastAsia"/>
          <w:sz w:val="30"/>
          <w:szCs w:val="30"/>
          <w:lang/>
        </w:rPr>
        <w:t>2022</w:t>
      </w:r>
      <w:r>
        <w:rPr>
          <w:rFonts w:ascii="仿宋_GB2312" w:eastAsia="仿宋_GB2312" w:hAnsi="仿宋_GB2312" w:cs="仿宋_GB2312" w:hint="eastAsia"/>
          <w:sz w:val="30"/>
          <w:szCs w:val="30"/>
          <w:lang/>
        </w:rPr>
        <w:t>年</w:t>
      </w:r>
      <w:r>
        <w:rPr>
          <w:rFonts w:ascii="仿宋_GB2312" w:eastAsia="仿宋_GB2312" w:hAnsi="仿宋_GB2312" w:cs="仿宋_GB2312" w:hint="eastAsia"/>
          <w:sz w:val="30"/>
          <w:szCs w:val="30"/>
          <w:lang/>
        </w:rPr>
        <w:t>12</w:t>
      </w:r>
      <w:r>
        <w:rPr>
          <w:rFonts w:ascii="仿宋_GB2312" w:eastAsia="仿宋_GB2312" w:hAnsi="仿宋_GB2312" w:cs="仿宋_GB2312" w:hint="eastAsia"/>
          <w:sz w:val="30"/>
          <w:szCs w:val="30"/>
          <w:lang/>
        </w:rPr>
        <w:t>月。</w:t>
      </w:r>
    </w:p>
    <w:p w:rsidR="00B270FC" w:rsidRDefault="00B270FC">
      <w:pPr>
        <w:pStyle w:val="a6"/>
        <w:spacing w:line="480" w:lineRule="auto"/>
        <w:ind w:firstLineChars="0" w:firstLine="0"/>
        <w:rPr>
          <w:rFonts w:ascii="仿宋_GB2312" w:eastAsia="仿宋_GB2312" w:hAnsi="仿宋_GB2312" w:cs="仿宋_GB2312"/>
          <w:sz w:val="32"/>
          <w:szCs w:val="32"/>
          <w:lang/>
        </w:rPr>
      </w:pPr>
    </w:p>
    <w:sectPr w:rsidR="00B270FC" w:rsidSect="00750C53">
      <w:footerReference w:type="default" r:id="rId8"/>
      <w:footerReference w:type="first" r:id="rId9"/>
      <w:pgSz w:w="11906" w:h="16838"/>
      <w:pgMar w:top="1701" w:right="1474" w:bottom="1134" w:left="1474"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6E0" w:rsidRDefault="002756E0">
      <w:r>
        <w:separator/>
      </w:r>
    </w:p>
  </w:endnote>
  <w:endnote w:type="continuationSeparator" w:id="1">
    <w:p w:rsidR="002756E0" w:rsidRDefault="002756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0FC" w:rsidRDefault="00750C53">
    <w:pPr>
      <w:pStyle w:val="a4"/>
    </w:pPr>
    <w:r>
      <w:rPr>
        <w:noProof/>
      </w:rPr>
      <w:pict>
        <v:shapetype id="_x0000_t202" coordsize="21600,21600" o:spt="202" path="m,l,21600r21600,l21600,xe">
          <v:stroke joinstyle="miter"/>
          <v:path gradientshapeok="t" o:connecttype="rect"/>
        </v:shapetype>
        <v:shape id="文本框 3" o:spid="_x0000_s2051" type="#_x0000_t202" style="position:absolute;margin-left:0;margin-top:0;width:2in;height:2in;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B270FC" w:rsidRDefault="00750C53">
                <w:pPr>
                  <w:pStyle w:val="a4"/>
                  <w:rPr>
                    <w:rFonts w:ascii="宋体" w:eastAsia="宋体" w:hAnsi="宋体" w:cs="宋体"/>
                    <w:sz w:val="24"/>
                  </w:rPr>
                </w:pPr>
                <w:r>
                  <w:rPr>
                    <w:rFonts w:ascii="宋体" w:eastAsia="宋体" w:hAnsi="宋体" w:cs="宋体" w:hint="eastAsia"/>
                    <w:sz w:val="24"/>
                  </w:rPr>
                  <w:fldChar w:fldCharType="begin"/>
                </w:r>
                <w:r w:rsidR="002756E0">
                  <w:rPr>
                    <w:rFonts w:ascii="宋体" w:eastAsia="宋体" w:hAnsi="宋体" w:cs="宋体" w:hint="eastAsia"/>
                    <w:sz w:val="24"/>
                  </w:rPr>
                  <w:instrText xml:space="preserve"> PAGE  \* MERGEFORMAT </w:instrText>
                </w:r>
                <w:r>
                  <w:rPr>
                    <w:rFonts w:ascii="宋体" w:eastAsia="宋体" w:hAnsi="宋体" w:cs="宋体" w:hint="eastAsia"/>
                    <w:sz w:val="24"/>
                  </w:rPr>
                  <w:fldChar w:fldCharType="separate"/>
                </w:r>
                <w:r w:rsidR="000A74A8">
                  <w:rPr>
                    <w:rFonts w:ascii="宋体" w:eastAsia="宋体" w:hAnsi="宋体" w:cs="宋体"/>
                    <w:noProof/>
                    <w:sz w:val="24"/>
                  </w:rPr>
                  <w:t>1</w:t>
                </w:r>
                <w:r>
                  <w:rPr>
                    <w:rFonts w:ascii="宋体" w:eastAsia="宋体" w:hAnsi="宋体" w:cs="宋体" w:hint="eastAsia"/>
                    <w:sz w:val="24"/>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0FC" w:rsidRDefault="00750C53">
    <w:pPr>
      <w:pStyle w:val="a4"/>
    </w:pPr>
    <w:r>
      <w:rPr>
        <w:noProof/>
      </w:rPr>
      <w:pict>
        <v:shapetype id="_x0000_t202" coordsize="21600,21600" o:spt="202" path="m,l,21600r21600,l21600,xe">
          <v:stroke joinstyle="miter"/>
          <v:path gradientshapeok="t" o:connecttype="rect"/>
        </v:shapetype>
        <v:shape id="文本框 29" o:spid="_x0000_s2050"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rsidR="00B270FC" w:rsidRDefault="00750C53">
                <w:pPr>
                  <w:pStyle w:val="a4"/>
                  <w:rPr>
                    <w:sz w:val="24"/>
                  </w:rPr>
                </w:pPr>
                <w:r>
                  <w:rPr>
                    <w:rFonts w:ascii="仿宋" w:eastAsia="仿宋" w:hAnsi="仿宋" w:cs="仿宋" w:hint="eastAsia"/>
                    <w:sz w:val="24"/>
                  </w:rPr>
                  <w:fldChar w:fldCharType="begin"/>
                </w:r>
                <w:r w:rsidR="002756E0">
                  <w:rPr>
                    <w:rFonts w:ascii="仿宋" w:eastAsia="仿宋" w:hAnsi="仿宋" w:cs="仿宋" w:hint="eastAsia"/>
                    <w:sz w:val="24"/>
                  </w:rPr>
                  <w:instrText xml:space="preserve"> PAGE  \* MERGEFORMAT </w:instrText>
                </w:r>
                <w:r>
                  <w:rPr>
                    <w:rFonts w:ascii="仿宋" w:eastAsia="仿宋" w:hAnsi="仿宋" w:cs="仿宋" w:hint="eastAsia"/>
                    <w:sz w:val="24"/>
                  </w:rPr>
                  <w:fldChar w:fldCharType="separate"/>
                </w:r>
                <w:r w:rsidR="002756E0">
                  <w:rPr>
                    <w:rFonts w:ascii="仿宋" w:eastAsia="仿宋" w:hAnsi="仿宋" w:cs="仿宋" w:hint="eastAsia"/>
                    <w:sz w:val="24"/>
                  </w:rPr>
                  <w:t>1</w:t>
                </w:r>
                <w:r>
                  <w:rPr>
                    <w:rFonts w:ascii="仿宋" w:eastAsia="仿宋" w:hAnsi="仿宋" w:cs="仿宋" w:hint="eastAsia"/>
                    <w:sz w:val="24"/>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0FC" w:rsidRDefault="00750C53">
    <w:pPr>
      <w:pStyle w:val="a4"/>
    </w:pPr>
    <w:r>
      <w:rPr>
        <w:noProof/>
      </w:rPr>
      <w:pict>
        <v:shapetype id="_x0000_t202" coordsize="21600,21600" o:spt="202" path="m,l,21600r21600,l21600,xe">
          <v:stroke joinstyle="miter"/>
          <v:path gradientshapeok="t" o:connecttype="rect"/>
        </v:shapetype>
        <v:shape id="文本框 30" o:spid="_x0000_s2049" type="#_x0000_t202" style="position:absolute;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rsidR="00B270FC" w:rsidRDefault="00B270FC">
                <w:pPr>
                  <w:pStyle w:val="a4"/>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6E0" w:rsidRDefault="002756E0">
      <w:r>
        <w:separator/>
      </w:r>
    </w:p>
  </w:footnote>
  <w:footnote w:type="continuationSeparator" w:id="1">
    <w:p w:rsidR="002756E0" w:rsidRDefault="002756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2D9E"/>
    <w:rsid w:val="DC37E72D"/>
    <w:rsid w:val="DEFBD86F"/>
    <w:rsid w:val="DEFD8428"/>
    <w:rsid w:val="E6E525AF"/>
    <w:rsid w:val="E7FEEFF3"/>
    <w:rsid w:val="EFAF54AB"/>
    <w:rsid w:val="EFBFBDCF"/>
    <w:rsid w:val="F3FDFEA8"/>
    <w:rsid w:val="F538DCE7"/>
    <w:rsid w:val="F7D7418A"/>
    <w:rsid w:val="F7F35F69"/>
    <w:rsid w:val="FBEA792F"/>
    <w:rsid w:val="FE794C3E"/>
    <w:rsid w:val="FF399032"/>
    <w:rsid w:val="FF783AD1"/>
    <w:rsid w:val="000775F2"/>
    <w:rsid w:val="000A2D9E"/>
    <w:rsid w:val="000A74A8"/>
    <w:rsid w:val="000D74BD"/>
    <w:rsid w:val="000F00B6"/>
    <w:rsid w:val="001B427B"/>
    <w:rsid w:val="00260C57"/>
    <w:rsid w:val="002756E0"/>
    <w:rsid w:val="00361E38"/>
    <w:rsid w:val="004F6F05"/>
    <w:rsid w:val="00587661"/>
    <w:rsid w:val="00664213"/>
    <w:rsid w:val="00750C53"/>
    <w:rsid w:val="00793EED"/>
    <w:rsid w:val="00843974"/>
    <w:rsid w:val="009F3F4C"/>
    <w:rsid w:val="00B270FC"/>
    <w:rsid w:val="00BB0C3D"/>
    <w:rsid w:val="00D04DC3"/>
    <w:rsid w:val="00D75736"/>
    <w:rsid w:val="17DD1E2F"/>
    <w:rsid w:val="21E27D5B"/>
    <w:rsid w:val="3537D635"/>
    <w:rsid w:val="37FF6850"/>
    <w:rsid w:val="3EFEA0D5"/>
    <w:rsid w:val="4DFFDE36"/>
    <w:rsid w:val="55C845DA"/>
    <w:rsid w:val="579FC9B3"/>
    <w:rsid w:val="5D760808"/>
    <w:rsid w:val="5F5CD534"/>
    <w:rsid w:val="5F7FB086"/>
    <w:rsid w:val="5FEFCAB5"/>
    <w:rsid w:val="5FFF4234"/>
    <w:rsid w:val="65736BA6"/>
    <w:rsid w:val="6B8B1113"/>
    <w:rsid w:val="6DFB221F"/>
    <w:rsid w:val="6EEBE936"/>
    <w:rsid w:val="6F190D49"/>
    <w:rsid w:val="6F6FC577"/>
    <w:rsid w:val="6FE78C22"/>
    <w:rsid w:val="6FFD501D"/>
    <w:rsid w:val="733BD504"/>
    <w:rsid w:val="76F68220"/>
    <w:rsid w:val="78B97659"/>
    <w:rsid w:val="79AF0BFE"/>
    <w:rsid w:val="7AAF6C22"/>
    <w:rsid w:val="7AFF3BE2"/>
    <w:rsid w:val="7EEB2FEA"/>
    <w:rsid w:val="7FB680AE"/>
    <w:rsid w:val="7FBB60F9"/>
    <w:rsid w:val="7FEF8405"/>
    <w:rsid w:val="7FF22199"/>
    <w:rsid w:val="7FFE8EFB"/>
    <w:rsid w:val="7FFFFC84"/>
    <w:rsid w:val="9ADD9AA0"/>
    <w:rsid w:val="ABDE22F6"/>
    <w:rsid w:val="AF7458B4"/>
    <w:rsid w:val="B93AFE88"/>
    <w:rsid w:val="BA7B23C6"/>
    <w:rsid w:val="BD777447"/>
    <w:rsid w:val="BEDFD2E3"/>
    <w:rsid w:val="CCB782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0C5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750C53"/>
    <w:pPr>
      <w:spacing w:after="120"/>
    </w:pPr>
    <w:rPr>
      <w:rFonts w:ascii="Calibri" w:eastAsia="宋体" w:hAnsi="Calibri"/>
    </w:rPr>
  </w:style>
  <w:style w:type="paragraph" w:styleId="a4">
    <w:name w:val="footer"/>
    <w:basedOn w:val="a"/>
    <w:qFormat/>
    <w:rsid w:val="00750C53"/>
    <w:pPr>
      <w:tabs>
        <w:tab w:val="center" w:pos="4153"/>
        <w:tab w:val="right" w:pos="8306"/>
      </w:tabs>
      <w:snapToGrid w:val="0"/>
      <w:jc w:val="left"/>
    </w:pPr>
    <w:rPr>
      <w:sz w:val="18"/>
    </w:rPr>
  </w:style>
  <w:style w:type="paragraph" w:styleId="a5">
    <w:name w:val="header"/>
    <w:basedOn w:val="a"/>
    <w:qFormat/>
    <w:rsid w:val="00750C5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34"/>
    <w:qFormat/>
    <w:rsid w:val="00750C5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北京市医疗保障局 承办单位</dc:title>
  <dc:creator>tmh</dc:creator>
  <cp:lastModifiedBy>kjq</cp:lastModifiedBy>
  <cp:revision>14</cp:revision>
  <dcterms:created xsi:type="dcterms:W3CDTF">2021-09-09T22:11:00Z</dcterms:created>
  <dcterms:modified xsi:type="dcterms:W3CDTF">2023-04-24T07:01:00Z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4501981D146F4A890400456415A8C972_42</vt:lpwstr>
  </property>
</Properties>
</file>