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keepNext/>
        <w:keepLines/>
        <w:spacing w:line="312" w:lineRule="auto"/>
        <w:jc w:val="center"/>
        <w:outlineLvl w:val="9"/>
        <w:rPr>
          <w:rFonts w:ascii="方正小标宋简体" w:hAnsi="Cambria" w:eastAsia="方正小标宋简体" w:cs="Times New Roman"/>
          <w:bCs/>
          <w:sz w:val="44"/>
          <w:szCs w:val="44"/>
        </w:rPr>
      </w:pPr>
      <w:r>
        <w:rPr>
          <w:rFonts w:hint="eastAsia" w:ascii="方正小标宋简体" w:hAnsi="Cambria" w:eastAsia="方正小标宋简体" w:cs="Times New Roman"/>
          <w:bCs/>
          <w:sz w:val="44"/>
          <w:szCs w:val="44"/>
        </w:rPr>
        <w:t>北京市市级财政支出项目</w:t>
      </w:r>
    </w:p>
    <w:p>
      <w:pPr>
        <w:keepNext/>
        <w:keepLines/>
        <w:spacing w:line="312" w:lineRule="auto"/>
        <w:jc w:val="center"/>
        <w:outlineLvl w:val="9"/>
        <w:rPr>
          <w:rFonts w:hint="eastAsia" w:ascii="方正小标宋简体" w:hAnsi="Cambria" w:eastAsia="方正小标宋简体" w:cs="Times New Roman"/>
          <w:bCs/>
          <w:sz w:val="44"/>
          <w:szCs w:val="44"/>
          <w:lang w:val="en-US" w:eastAsia="zh-CN"/>
        </w:rPr>
      </w:pPr>
      <w:r>
        <w:rPr>
          <w:rFonts w:hint="eastAsia" w:ascii="方正小标宋简体" w:hAnsi="Cambria" w:eastAsia="方正小标宋简体" w:cs="Times New Roman"/>
          <w:bCs/>
          <w:sz w:val="44"/>
          <w:szCs w:val="44"/>
        </w:rPr>
        <w:t>绩效评价报告</w:t>
      </w:r>
      <w:r>
        <w:rPr>
          <w:rFonts w:hint="eastAsia" w:ascii="方正小标宋简体" w:hAnsi="Cambria" w:eastAsia="方正小标宋简体" w:cs="Times New Roman"/>
          <w:bCs/>
          <w:sz w:val="44"/>
          <w:szCs w:val="44"/>
          <w:lang w:val="en-US" w:eastAsia="zh-CN"/>
        </w:rPr>
        <w:t xml:space="preserve"> </w:t>
      </w: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ind w:firstLine="480"/>
        <w:outlineLvl w:val="9"/>
        <w:rPr>
          <w:rFonts w:ascii="Times New Roman" w:hAnsi="Times New Roman" w:eastAsia="宋体" w:cs="Times New Roman"/>
          <w:szCs w:val="24"/>
        </w:rPr>
      </w:pPr>
    </w:p>
    <w:p>
      <w:pPr>
        <w:keepNext/>
        <w:keepLines/>
        <w:pageBreakBefore w:val="0"/>
        <w:widowControl w:val="0"/>
        <w:kinsoku/>
        <w:wordWrap/>
        <w:overflowPunct/>
        <w:topLinePunct w:val="0"/>
        <w:autoSpaceDE/>
        <w:autoSpaceDN/>
        <w:bidi w:val="0"/>
        <w:adjustRightInd/>
        <w:snapToGrid/>
        <w:spacing w:line="700" w:lineRule="exact"/>
        <w:ind w:right="368" w:rightChars="175" w:firstLine="300" w:firstLineChars="100"/>
        <w:textAlignment w:val="auto"/>
        <w:outlineLvl w:val="9"/>
        <w:rPr>
          <w:rFonts w:ascii="方正小标宋简体" w:hAnsi="Cambria" w:eastAsia="方正小标宋简体" w:cs="Times New Roman"/>
          <w:bCs/>
          <w:sz w:val="30"/>
          <w:szCs w:val="30"/>
        </w:rPr>
      </w:pPr>
      <w:r>
        <w:rPr>
          <w:rFonts w:ascii="方正小标宋简体" w:hAnsi="Cambria" w:eastAsia="方正小标宋简体" w:cs="Times New Roman"/>
          <w:bCs/>
          <w:sz w:val="30"/>
          <w:szCs w:val="30"/>
        </w:rPr>
        <w:pict>
          <v:line id="直接连接符 8" o:spid="_x0000_s1026" o:spt="20" style="position:absolute;left:0pt;margin-left:91.65pt;margin-top:33.05pt;height:0pt;width:306pt;z-index:25166131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">
            <v:path arrowok="t"/>
            <v:fill focussize="0,0"/>
            <v:stroke/>
            <v:imagedata o:title=""/>
            <o:lock v:ext="edit"/>
          </v:line>
        </w:pict>
      </w:r>
      <w:r>
        <w:rPr>
          <w:rFonts w:hint="eastAsia" w:ascii="方正小标宋简体" w:hAnsi="Cambria" w:eastAsia="方正小标宋简体" w:cs="Times New Roman"/>
          <w:bCs/>
          <w:sz w:val="30"/>
          <w:szCs w:val="30"/>
        </w:rPr>
        <w:t xml:space="preserve">主管部门：   </w:t>
      </w:r>
      <w:r>
        <w:rPr>
          <w:rFonts w:ascii="方正小标宋简体" w:hAnsi="Cambria" w:eastAsia="方正小标宋简体" w:cs="Times New Roman"/>
          <w:bCs/>
          <w:sz w:val="30"/>
          <w:szCs w:val="30"/>
        </w:rPr>
        <w:t xml:space="preserve">         </w:t>
      </w:r>
      <w:r>
        <w:rPr>
          <w:rFonts w:hint="eastAsia" w:ascii="方正小标宋简体" w:hAnsi="Cambria" w:eastAsia="方正小标宋简体" w:cs="Times New Roman"/>
          <w:bCs/>
          <w:sz w:val="30"/>
          <w:szCs w:val="30"/>
        </w:rPr>
        <w:t>北京市医疗保障局</w:t>
      </w:r>
    </w:p>
    <w:p>
      <w:pPr>
        <w:keepNext/>
        <w:keepLines/>
        <w:pageBreakBefore w:val="0"/>
        <w:widowControl w:val="0"/>
        <w:kinsoku/>
        <w:wordWrap/>
        <w:overflowPunct/>
        <w:topLinePunct w:val="0"/>
        <w:autoSpaceDE/>
        <w:autoSpaceDN/>
        <w:bidi w:val="0"/>
        <w:adjustRightInd/>
        <w:snapToGrid/>
        <w:spacing w:line="700" w:lineRule="exact"/>
        <w:ind w:right="368" w:rightChars="175" w:firstLine="300" w:firstLineChars="100"/>
        <w:textAlignment w:val="auto"/>
        <w:outlineLvl w:val="9"/>
        <w:rPr>
          <w:rFonts w:ascii="方正小标宋简体" w:hAnsi="Cambria" w:eastAsia="方正小标宋简体" w:cs="Times New Roman"/>
          <w:bCs/>
          <w:sz w:val="30"/>
          <w:szCs w:val="30"/>
        </w:rPr>
      </w:pPr>
      <w:r>
        <w:rPr>
          <w:rFonts w:ascii="方正小标宋简体" w:hAnsi="Cambria" w:eastAsia="方正小标宋简体" w:cs="Times New Roman"/>
          <w:bCs/>
          <w:sz w:val="30"/>
          <w:szCs w:val="30"/>
        </w:rPr>
        <w:pict>
          <v:line id="直接连接符 9" o:spid="_x0000_s1030" o:spt="20" style="position:absolute;left:0pt;margin-left:90.35pt;margin-top:31.65pt;height:0pt;width:306pt;z-index:25166233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">
            <v:path arrowok="t"/>
            <v:fill focussize="0,0"/>
            <v:stroke/>
            <v:imagedata o:title=""/>
            <o:lock v:ext="edit"/>
          </v:line>
        </w:pict>
      </w:r>
      <w:r>
        <w:rPr>
          <w:rFonts w:hint="eastAsia" w:ascii="方正小标宋简体" w:hAnsi="Cambria" w:eastAsia="方正小标宋简体" w:cs="Times New Roman"/>
          <w:bCs/>
          <w:sz w:val="30"/>
          <w:szCs w:val="30"/>
        </w:rPr>
        <w:t xml:space="preserve">项目单位： </w:t>
      </w:r>
      <w:r>
        <w:rPr>
          <w:rFonts w:ascii="方正小标宋简体" w:hAnsi="Cambria" w:eastAsia="方正小标宋简体" w:cs="Times New Roman"/>
          <w:bCs/>
          <w:sz w:val="30"/>
          <w:szCs w:val="30"/>
        </w:rPr>
        <w:t xml:space="preserve">        </w:t>
      </w:r>
      <w:r>
        <w:rPr>
          <w:rFonts w:hint="eastAsia" w:ascii="方正小标宋简体" w:hAnsi="Cambria" w:eastAsia="方正小标宋简体" w:cs="Times New Roman"/>
          <w:bCs/>
          <w:sz w:val="30"/>
          <w:szCs w:val="30"/>
        </w:rPr>
        <w:t xml:space="preserve">   北京市医疗保障局</w:t>
      </w:r>
    </w:p>
    <w:p>
      <w:pPr>
        <w:keepNext/>
        <w:keepLines/>
        <w:pageBreakBefore w:val="0"/>
        <w:widowControl w:val="0"/>
        <w:kinsoku/>
        <w:wordWrap/>
        <w:overflowPunct/>
        <w:topLinePunct w:val="0"/>
        <w:autoSpaceDE/>
        <w:autoSpaceDN/>
        <w:bidi w:val="0"/>
        <w:adjustRightInd/>
        <w:snapToGrid/>
        <w:spacing w:line="700" w:lineRule="exact"/>
        <w:ind w:right="368" w:rightChars="175" w:firstLine="300" w:firstLineChars="100"/>
        <w:textAlignment w:val="auto"/>
        <w:outlineLvl w:val="9"/>
        <w:rPr>
          <w:rFonts w:ascii="方正小标宋简体" w:hAnsi="Cambria" w:eastAsia="方正小标宋简体" w:cs="Times New Roman"/>
          <w:bCs/>
          <w:sz w:val="30"/>
          <w:szCs w:val="30"/>
        </w:rPr>
      </w:pPr>
      <w:r>
        <w:rPr>
          <w:rFonts w:ascii="方正小标宋简体" w:hAnsi="Cambria" w:eastAsia="方正小标宋简体" w:cs="Times New Roman"/>
          <w:bCs/>
          <w:sz w:val="30"/>
          <w:szCs w:val="30"/>
        </w:rPr>
        <w:pict>
          <v:line id="直接连接符 10" o:spid="_x0000_s1029" o:spt="20" style="position:absolute;left:0pt;margin-left:91.1pt;margin-top:32.2pt;height:0pt;width:306pt;z-index:25165926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">
            <v:path arrowok="t"/>
            <v:fill focussize="0,0"/>
            <v:stroke/>
            <v:imagedata o:title=""/>
            <o:lock v:ext="edit"/>
          </v:line>
        </w:pict>
      </w:r>
      <w:r>
        <w:rPr>
          <w:rFonts w:hint="eastAsia" w:ascii="方正小标宋简体" w:hAnsi="Cambria" w:eastAsia="方正小标宋简体" w:cs="Times New Roman"/>
          <w:bCs/>
          <w:sz w:val="30"/>
          <w:szCs w:val="30"/>
        </w:rPr>
        <w:t xml:space="preserve">项目名称： </w:t>
      </w:r>
      <w:r>
        <w:rPr>
          <w:rFonts w:ascii="方正小标宋简体" w:hAnsi="Cambria" w:eastAsia="方正小标宋简体" w:cs="Times New Roman"/>
          <w:bCs/>
          <w:sz w:val="30"/>
          <w:szCs w:val="30"/>
        </w:rPr>
        <w:t xml:space="preserve">     </w:t>
      </w:r>
      <w:r>
        <w:rPr>
          <w:rFonts w:hint="eastAsia" w:ascii="方正小标宋简体" w:hAnsi="Cambria" w:eastAsia="方正小标宋简体" w:cs="Times New Roman"/>
          <w:bCs/>
          <w:sz w:val="30"/>
          <w:szCs w:val="30"/>
        </w:rPr>
        <w:t>医疗保险信息系统升级改造项目</w:t>
      </w:r>
    </w:p>
    <w:p>
      <w:pPr>
        <w:keepNext/>
        <w:keepLines/>
        <w:pageBreakBefore w:val="0"/>
        <w:widowControl w:val="0"/>
        <w:kinsoku/>
        <w:wordWrap/>
        <w:overflowPunct/>
        <w:topLinePunct w:val="0"/>
        <w:autoSpaceDE/>
        <w:autoSpaceDN/>
        <w:bidi w:val="0"/>
        <w:adjustRightInd/>
        <w:snapToGrid/>
        <w:spacing w:line="700" w:lineRule="exact"/>
        <w:ind w:right="368" w:rightChars="175" w:firstLine="300" w:firstLineChars="100"/>
        <w:textAlignment w:val="auto"/>
        <w:outlineLvl w:val="9"/>
        <w:rPr>
          <w:rFonts w:ascii="方正小标宋简体" w:hAnsi="Cambria" w:eastAsia="方正小标宋简体" w:cs="Times New Roman"/>
          <w:bCs/>
          <w:sz w:val="30"/>
          <w:szCs w:val="30"/>
        </w:rPr>
      </w:pPr>
      <w:r>
        <w:rPr>
          <w:rFonts w:ascii="方正小标宋简体" w:hAnsi="Cambria" w:eastAsia="方正小标宋简体" w:cs="Times New Roman"/>
          <w:bCs/>
          <w:sz w:val="30"/>
          <w:szCs w:val="30"/>
        </w:rPr>
        <w:pict>
          <v:line id="_x0000_s1028" o:spid="_x0000_s1028" o:spt="20" style="position:absolute;left:0pt;margin-left:93pt;margin-top:33.05pt;height:0pt;width:306pt;z-index:251663360;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">
            <v:path arrowok="t"/>
            <v:fill focussize="0,0"/>
            <v:stroke/>
            <v:imagedata o:title=""/>
            <o:lock v:ext="edit"/>
          </v:line>
        </w:pict>
      </w:r>
      <w:r>
        <w:rPr>
          <w:rFonts w:hint="eastAsia" w:ascii="方正小标宋简体" w:hAnsi="Cambria" w:eastAsia="方正小标宋简体" w:cs="Times New Roman"/>
          <w:bCs/>
          <w:sz w:val="30"/>
          <w:szCs w:val="30"/>
        </w:rPr>
        <w:t xml:space="preserve">评价机构： </w:t>
      </w:r>
      <w:r>
        <w:rPr>
          <w:rFonts w:ascii="方正小标宋简体" w:hAnsi="Cambria" w:eastAsia="方正小标宋简体" w:cs="Times New Roman"/>
          <w:bCs/>
          <w:sz w:val="30"/>
          <w:szCs w:val="30"/>
        </w:rPr>
        <w:t xml:space="preserve">           </w:t>
      </w:r>
      <w:r>
        <w:rPr>
          <w:rFonts w:hint="eastAsia" w:ascii="方正小标宋简体" w:hAnsi="Cambria" w:eastAsia="方正小标宋简体" w:cs="Times New Roman"/>
          <w:bCs/>
          <w:sz w:val="30"/>
          <w:szCs w:val="30"/>
        </w:rPr>
        <w:t>北京市医疗保障局</w:t>
      </w:r>
    </w:p>
    <w:p>
      <w:pPr>
        <w:pageBreakBefore w:val="0"/>
        <w:widowControl w:val="0"/>
        <w:kinsoku/>
        <w:wordWrap/>
        <w:overflowPunct/>
        <w:topLinePunct w:val="0"/>
        <w:autoSpaceDE/>
        <w:autoSpaceDN/>
        <w:bidi w:val="0"/>
        <w:adjustRightInd/>
        <w:snapToGrid/>
        <w:spacing w:line="360" w:lineRule="exact"/>
        <w:ind w:firstLine="300" w:firstLineChars="100"/>
        <w:textAlignment w:val="auto"/>
        <w:outlineLvl w:val="9"/>
        <w:rPr>
          <w:rFonts w:ascii="方正小标宋简体" w:hAnsi="Cambria" w:eastAsia="方正小标宋简体" w:cs="Times New Roman"/>
          <w:bCs/>
          <w:sz w:val="30"/>
          <w:szCs w:val="30"/>
        </w:rPr>
      </w:pPr>
      <w:r>
        <w:rPr>
          <w:rFonts w:hint="eastAsia" w:ascii="方正小标宋简体" w:hAnsi="Cambria" w:eastAsia="方正小标宋简体" w:cs="Times New Roman"/>
          <w:bCs/>
          <w:sz w:val="30"/>
          <w:szCs w:val="30"/>
        </w:rPr>
        <w:t>参与评价</w:t>
      </w:r>
    </w:p>
    <w:p>
      <w:pPr>
        <w:keepNext/>
        <w:keepLines/>
        <w:pageBreakBefore w:val="0"/>
        <w:widowControl w:val="0"/>
        <w:kinsoku/>
        <w:wordWrap/>
        <w:overflowPunct/>
        <w:topLinePunct w:val="0"/>
        <w:autoSpaceDE/>
        <w:autoSpaceDN/>
        <w:bidi w:val="0"/>
        <w:adjustRightInd/>
        <w:snapToGrid/>
        <w:spacing w:line="360" w:lineRule="exact"/>
        <w:ind w:right="368" w:rightChars="175" w:firstLine="300" w:firstLineChars="100"/>
        <w:textAlignment w:val="auto"/>
        <w:outlineLvl w:val="9"/>
        <w:rPr>
          <w:rFonts w:ascii="方正小标宋简体" w:hAnsi="Cambria" w:eastAsia="方正小标宋简体" w:cs="Times New Roman"/>
          <w:bCs/>
          <w:sz w:val="30"/>
          <w:szCs w:val="30"/>
        </w:rPr>
      </w:pPr>
      <w:r>
        <w:rPr>
          <w:rFonts w:hint="eastAsia" w:ascii="方正小标宋简体" w:hAnsi="Cambria" w:eastAsia="方正小标宋简体" w:cs="Times New Roman"/>
          <w:bCs/>
          <w:sz w:val="30"/>
          <w:szCs w:val="30"/>
        </w:rPr>
        <w:t>中介机构:</w:t>
      </w:r>
      <w:r>
        <w:rPr>
          <w:rFonts w:ascii="方正小标宋简体" w:hAnsi="Cambria" w:eastAsia="方正小标宋简体" w:cs="Times New Roman"/>
          <w:bCs/>
          <w:sz w:val="30"/>
          <w:szCs w:val="30"/>
        </w:rPr>
        <w:t xml:space="preserve">    </w:t>
      </w:r>
      <w:r>
        <w:rPr>
          <w:rFonts w:hint="eastAsia" w:ascii="方正小标宋简体" w:hAnsi="Cambria" w:eastAsia="方正小标宋简体" w:cs="Times New Roman"/>
          <w:bCs/>
          <w:sz w:val="30"/>
          <w:szCs w:val="30"/>
        </w:rPr>
        <w:t xml:space="preserve">北京凌峰会计师事务所有限公司（盖章） </w:t>
      </w:r>
    </w:p>
    <w:p>
      <w:pPr>
        <w:spacing w:line="420" w:lineRule="auto"/>
        <w:ind w:left="482"/>
        <w:outlineLvl w:val="9"/>
        <w:rPr>
          <w:rFonts w:ascii="方正小标宋简体" w:hAnsi="Times New Roman" w:eastAsia="方正小标宋简体" w:cs="Times New Roman"/>
          <w:sz w:val="30"/>
          <w:szCs w:val="30"/>
        </w:rPr>
      </w:pPr>
      <w:r>
        <w:rPr>
          <w:rFonts w:ascii="方正小标宋简体" w:hAnsi="Cambria" w:eastAsia="方正小标宋简体" w:cs="Times New Roman"/>
          <w:bCs/>
          <w:sz w:val="30"/>
          <w:szCs w:val="30"/>
        </w:rPr>
        <w:pict>
          <v:line id="直接连接符 7" o:spid="_x0000_s1027" o:spt="20" style="position:absolute;left:0pt;margin-left:91pt;margin-top:3.1pt;height:0pt;width:311pt;z-index:25166028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">
            <v:path arrowok="t"/>
            <v:fill focussize="0,0"/>
            <v:stroke/>
            <v:imagedata o:title=""/>
            <o:lock v:ext="edit"/>
          </v:line>
        </w:pict>
      </w:r>
    </w:p>
    <w:p>
      <w:pPr>
        <w:spacing w:line="420" w:lineRule="auto"/>
        <w:ind w:left="482"/>
        <w:outlineLvl w:val="9"/>
        <w:rPr>
          <w:rFonts w:ascii="方正小标宋简体" w:hAnsi="Times New Roman" w:eastAsia="方正小标宋简体" w:cs="Times New Roman"/>
          <w:sz w:val="30"/>
          <w:szCs w:val="30"/>
        </w:rPr>
      </w:pPr>
    </w:p>
    <w:p>
      <w:pPr>
        <w:spacing w:line="420" w:lineRule="auto"/>
        <w:ind w:left="482"/>
        <w:outlineLvl w:val="9"/>
        <w:rPr>
          <w:rFonts w:hint="eastAsia" w:ascii="方正小标宋简体" w:hAnsi="Times New Roman" w:eastAsia="方正小标宋简体" w:cs="Times New Roman"/>
          <w:sz w:val="30"/>
          <w:szCs w:val="30"/>
        </w:rPr>
      </w:pPr>
    </w:p>
    <w:p>
      <w:pPr>
        <w:spacing w:line="420" w:lineRule="auto"/>
        <w:ind w:left="482"/>
        <w:outlineLvl w:val="9"/>
        <w:rPr>
          <w:rFonts w:hint="eastAsia" w:ascii="方正小标宋简体" w:hAnsi="Times New Roman" w:eastAsia="方正小标宋简体" w:cs="Times New Roman"/>
          <w:sz w:val="30"/>
          <w:szCs w:val="30"/>
        </w:rPr>
      </w:pPr>
    </w:p>
    <w:p>
      <w:pPr>
        <w:spacing w:line="420" w:lineRule="auto"/>
        <w:jc w:val="center"/>
        <w:outlineLvl w:val="9"/>
        <w:rPr>
          <w:rFonts w:ascii="方正小标宋简体" w:hAnsi="Times New Roman" w:eastAsia="方正小标宋简体" w:cs="Times New Roman"/>
          <w:sz w:val="30"/>
          <w:szCs w:val="30"/>
        </w:rPr>
      </w:pPr>
      <w:r>
        <w:rPr>
          <w:rFonts w:hint="eastAsia" w:ascii="方正小标宋简体" w:hAnsi="Times New Roman" w:eastAsia="方正小标宋简体" w:cs="Times New Roman"/>
          <w:sz w:val="30"/>
          <w:szCs w:val="30"/>
        </w:rPr>
        <w:t>北京市医疗保障局</w:t>
      </w:r>
    </w:p>
    <w:p>
      <w:pPr>
        <w:spacing w:line="420" w:lineRule="auto"/>
        <w:jc w:val="center"/>
        <w:outlineLvl w:val="9"/>
        <w:rPr>
          <w:rFonts w:ascii="方正小标宋简体" w:hAnsi="Times New Roman" w:eastAsia="方正小标宋简体" w:cs="Times New Roman"/>
          <w:sz w:val="30"/>
          <w:szCs w:val="30"/>
        </w:rPr>
      </w:pPr>
      <w:r>
        <w:rPr>
          <w:rFonts w:hint="eastAsia" w:ascii="方正小标宋简体" w:hAnsi="Times New Roman" w:eastAsia="方正小标宋简体" w:cs="Times New Roman"/>
          <w:sz w:val="30"/>
          <w:szCs w:val="30"/>
        </w:rPr>
        <w:t>2</w:t>
      </w:r>
      <w:r>
        <w:rPr>
          <w:rFonts w:ascii="方正小标宋简体" w:hAnsi="Times New Roman" w:eastAsia="方正小标宋简体" w:cs="Times New Roman"/>
          <w:sz w:val="30"/>
          <w:szCs w:val="30"/>
        </w:rPr>
        <w:t>02</w:t>
      </w:r>
      <w:r>
        <w:rPr>
          <w:rFonts w:hint="eastAsia" w:ascii="方正小标宋简体" w:hAnsi="Times New Roman" w:eastAsia="方正小标宋简体" w:cs="Times New Roman"/>
          <w:sz w:val="30"/>
          <w:szCs w:val="30"/>
          <w:lang w:val="en-US" w:eastAsia="zh-CN"/>
        </w:rPr>
        <w:t>3</w:t>
      </w:r>
      <w:r>
        <w:rPr>
          <w:rFonts w:hint="eastAsia" w:ascii="方正小标宋简体" w:hAnsi="Times New Roman" w:eastAsia="方正小标宋简体" w:cs="Times New Roman"/>
          <w:sz w:val="30"/>
          <w:szCs w:val="30"/>
        </w:rPr>
        <w:t>年</w:t>
      </w:r>
      <w:r>
        <w:rPr>
          <w:rFonts w:hint="eastAsia" w:ascii="方正小标宋简体" w:hAnsi="Times New Roman" w:eastAsia="方正小标宋简体" w:cs="Times New Roman"/>
          <w:sz w:val="30"/>
          <w:szCs w:val="30"/>
          <w:lang w:val="en-US" w:eastAsia="zh-CN"/>
        </w:rPr>
        <w:t>5</w:t>
      </w:r>
      <w:r>
        <w:rPr>
          <w:rFonts w:hint="eastAsia" w:ascii="方正小标宋简体" w:hAnsi="Times New Roman" w:eastAsia="方正小标宋简体" w:cs="Times New Roman"/>
          <w:sz w:val="30"/>
          <w:szCs w:val="30"/>
        </w:rPr>
        <w:t>月</w:t>
      </w:r>
    </w:p>
    <w:p>
      <w:pPr>
        <w:ind w:firstLine="480"/>
        <w:rPr>
          <w:rFonts w:ascii="仿宋" w:hAnsi="仿宋" w:eastAsia="仿宋" w:cs="仿宋"/>
          <w:sz w:val="30"/>
          <w:szCs w:val="30"/>
        </w:rPr>
        <w:sectPr>
          <w:pgSz w:w="11906" w:h="16838"/>
          <w:pgMar w:top="1440" w:right="1800" w:bottom="1440" w:left="1800" w:header="851" w:footer="992" w:gutter="0"/>
          <w:cols w:space="425" w:num="1"/>
          <w:docGrid w:type="lines" w:linePitch="312" w:charSpace="0"/>
        </w:sectPr>
      </w:pPr>
    </w:p>
    <w:sdt>
      <w:sdtPr>
        <w:rPr>
          <w:rFonts w:hint="eastAsia" w:ascii="宋体" w:hAnsi="宋体" w:eastAsia="宋体" w:cs="宋体"/>
          <w:b/>
          <w:bCs/>
          <w:sz w:val="32"/>
          <w:szCs w:val="32"/>
          <w:highlight w:val="yellow"/>
        </w:rPr>
        <w:id w:val="147460574"/>
        <w:docPartObj>
          <w:docPartGallery w:val="Table of Contents"/>
          <w:docPartUnique/>
        </w:docPartObj>
      </w:sdtPr>
      <w:sdtEndPr>
        <w:rPr>
          <w:rFonts w:hint="eastAsia" w:ascii="仿宋" w:hAnsi="仿宋" w:eastAsia="仿宋" w:cs="仿宋"/>
          <w:b/>
          <w:bCs/>
          <w:sz w:val="21"/>
          <w:szCs w:val="44"/>
          <w:highlight w:val="none"/>
        </w:rPr>
      </w:sdtEndPr>
      <w:sdtContent>
        <w:p>
          <w:pPr>
            <w:jc w:val="center"/>
            <w:rPr>
              <w:rFonts w:ascii="宋体" w:hAnsi="宋体" w:eastAsia="宋体" w:cs="宋体"/>
              <w:b/>
              <w:bCs/>
              <w:sz w:val="32"/>
              <w:szCs w:val="32"/>
            </w:rPr>
          </w:pPr>
          <w:r>
            <w:rPr>
              <w:rFonts w:hint="eastAsia" w:ascii="宋体" w:hAnsi="宋体" w:eastAsia="宋体" w:cs="宋体"/>
              <w:b/>
              <w:bCs/>
              <w:sz w:val="32"/>
              <w:szCs w:val="32"/>
            </w:rPr>
            <w:t>目 录</w:t>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TOC \o "1-2" \h \u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_Toc4409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一、基本情况</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_Toc4409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1</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_Toc1123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（一）项目概况</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_Toc1123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_Toc11218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（二）项目绩效目标</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_Toc11218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3</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_Toc5233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二、绩效评价工作开展情况</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_Toc5233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4</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_Toc22726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（一）绩效评价目的、对象和范围</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_Toc22726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4</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_Toc96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（二）绩效评价原则、评价指标体系、评价方法、评价标准等</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_Toc96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5</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_Toc7732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（三）绩效评价工作过程</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_Toc7732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6</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_Toc28544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三、综合评价情况及评价结论</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_Toc28544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8</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_Toc306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四、绩效评价指标分析</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_Toc306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8</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_Toc27019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（一）项目决策情况</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_Toc27019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8</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_Toc3493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（二）项目</w:t>
          </w:r>
          <w:r>
            <w:rPr>
              <w:rFonts w:hint="eastAsia" w:ascii="仿宋_GB2312" w:hAnsi="仿宋_GB2312" w:eastAsia="仿宋_GB2312" w:cs="仿宋_GB2312"/>
              <w:sz w:val="28"/>
              <w:szCs w:val="28"/>
              <w:lang w:val="en-US" w:eastAsia="zh-CN"/>
            </w:rPr>
            <w:t>管理</w:t>
          </w:r>
          <w:r>
            <w:rPr>
              <w:rFonts w:hint="eastAsia" w:ascii="仿宋_GB2312" w:hAnsi="仿宋_GB2312" w:eastAsia="仿宋_GB2312" w:cs="仿宋_GB2312"/>
              <w:sz w:val="28"/>
              <w:szCs w:val="28"/>
            </w:rPr>
            <w:t>情况</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_Toc3493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10</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_Toc10650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（三）项目产出情况</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_Toc10650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11</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_Toc7647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（四）项目效益情况</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_Toc7647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12</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_Toc1490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五、主要经验及做法、存在的问题及原因分析</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_Toc1490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13</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_Toc26666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（一）主要经验及做法</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_Toc26666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13</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8"/>
            <w:tabs>
              <w:tab w:val="right" w:leader="dot" w:pos="8306"/>
            </w:tabs>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fldChar w:fldCharType="begin"/>
          </w:r>
          <w:r>
            <w:rPr>
              <w:rFonts w:hint="eastAsia" w:ascii="仿宋_GB2312" w:hAnsi="仿宋_GB2312" w:eastAsia="仿宋_GB2312" w:cs="仿宋_GB2312"/>
              <w:kern w:val="2"/>
              <w:sz w:val="28"/>
              <w:szCs w:val="28"/>
              <w:lang w:val="en-US" w:eastAsia="zh-CN" w:bidi="ar-SA"/>
            </w:rPr>
            <w:instrText xml:space="preserve"> HYPERLINK \l _Toc31035 </w:instrText>
          </w:r>
          <w:r>
            <w:rPr>
              <w:rFonts w:hint="eastAsia" w:ascii="仿宋_GB2312" w:hAnsi="仿宋_GB2312" w:eastAsia="仿宋_GB2312" w:cs="仿宋_GB2312"/>
              <w:kern w:val="2"/>
              <w:sz w:val="28"/>
              <w:szCs w:val="28"/>
              <w:lang w:val="en-US" w:eastAsia="zh-CN" w:bidi="ar-SA"/>
            </w:rPr>
            <w:fldChar w:fldCharType="separate"/>
          </w:r>
          <w:r>
            <w:rPr>
              <w:rFonts w:hint="eastAsia" w:ascii="仿宋_GB2312" w:hAnsi="仿宋_GB2312" w:eastAsia="仿宋_GB2312" w:cs="仿宋_GB2312"/>
              <w:sz w:val="28"/>
              <w:szCs w:val="28"/>
            </w:rPr>
            <w:t>（二）存在的问题及原因分析</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PAGEREF _Toc31035 \h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14</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_Toc18857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六、有关建议</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_Toc18857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15</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_Toc2475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七、其他需要说明的问题</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_Toc2475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15</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pStyle w:val="7"/>
            <w:tabs>
              <w:tab w:val="right" w:leader="dot" w:pos="8306"/>
            </w:tabs>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fldChar w:fldCharType="begin"/>
          </w:r>
          <w:r>
            <w:rPr>
              <w:rFonts w:hint="eastAsia" w:ascii="仿宋_GB2312" w:hAnsi="仿宋_GB2312" w:eastAsia="仿宋_GB2312" w:cs="仿宋_GB2312"/>
              <w:b/>
              <w:bCs/>
              <w:kern w:val="2"/>
              <w:sz w:val="28"/>
              <w:szCs w:val="28"/>
              <w:lang w:val="en-US" w:eastAsia="zh-CN" w:bidi="ar-SA"/>
            </w:rPr>
            <w:instrText xml:space="preserve"> HYPERLINK \l _Toc16691 </w:instrText>
          </w:r>
          <w:r>
            <w:rPr>
              <w:rFonts w:hint="eastAsia" w:ascii="仿宋_GB2312" w:hAnsi="仿宋_GB2312" w:eastAsia="仿宋_GB2312" w:cs="仿宋_GB2312"/>
              <w:b/>
              <w:bCs/>
              <w:kern w:val="2"/>
              <w:sz w:val="28"/>
              <w:szCs w:val="28"/>
              <w:lang w:val="en-US" w:eastAsia="zh-CN" w:bidi="ar-SA"/>
            </w:rPr>
            <w:fldChar w:fldCharType="separate"/>
          </w:r>
          <w:r>
            <w:rPr>
              <w:rFonts w:hint="eastAsia" w:ascii="仿宋_GB2312" w:hAnsi="仿宋_GB2312" w:eastAsia="仿宋_GB2312" w:cs="仿宋_GB2312"/>
              <w:b/>
              <w:bCs/>
              <w:sz w:val="28"/>
              <w:szCs w:val="28"/>
            </w:rPr>
            <w:t>八、附件</w:t>
          </w:r>
          <w:r>
            <w:rPr>
              <w:rFonts w:hint="eastAsia" w:ascii="仿宋_GB2312" w:hAnsi="仿宋_GB2312" w:eastAsia="仿宋_GB2312" w:cs="仿宋_GB2312"/>
              <w:b/>
              <w:bCs/>
              <w:sz w:val="28"/>
              <w:szCs w:val="28"/>
            </w:rPr>
            <w:tab/>
          </w:r>
          <w:r>
            <w:rPr>
              <w:rFonts w:hint="eastAsia" w:ascii="仿宋_GB2312" w:hAnsi="仿宋_GB2312" w:eastAsia="仿宋_GB2312" w:cs="仿宋_GB2312"/>
              <w:b/>
              <w:bCs/>
              <w:sz w:val="28"/>
              <w:szCs w:val="28"/>
            </w:rPr>
            <w:fldChar w:fldCharType="begin"/>
          </w:r>
          <w:r>
            <w:rPr>
              <w:rFonts w:hint="eastAsia" w:ascii="仿宋_GB2312" w:hAnsi="仿宋_GB2312" w:eastAsia="仿宋_GB2312" w:cs="仿宋_GB2312"/>
              <w:b/>
              <w:bCs/>
              <w:sz w:val="28"/>
              <w:szCs w:val="28"/>
            </w:rPr>
            <w:instrText xml:space="preserve"> PAGEREF _Toc16691 \h </w:instrText>
          </w:r>
          <w:r>
            <w:rPr>
              <w:rFonts w:hint="eastAsia" w:ascii="仿宋_GB2312" w:hAnsi="仿宋_GB2312" w:eastAsia="仿宋_GB2312" w:cs="仿宋_GB2312"/>
              <w:b/>
              <w:bCs/>
              <w:sz w:val="28"/>
              <w:szCs w:val="28"/>
            </w:rPr>
            <w:fldChar w:fldCharType="separate"/>
          </w:r>
          <w:r>
            <w:rPr>
              <w:rFonts w:hint="eastAsia" w:ascii="仿宋_GB2312" w:hAnsi="仿宋_GB2312" w:eastAsia="仿宋_GB2312" w:cs="仿宋_GB2312"/>
              <w:b/>
              <w:bCs/>
              <w:sz w:val="28"/>
              <w:szCs w:val="28"/>
            </w:rPr>
            <w:t>16</w:t>
          </w:r>
          <w:r>
            <w:rPr>
              <w:rFonts w:hint="eastAsia" w:ascii="仿宋_GB2312" w:hAnsi="仿宋_GB2312" w:eastAsia="仿宋_GB2312" w:cs="仿宋_GB2312"/>
              <w:b/>
              <w:bCs/>
              <w:sz w:val="28"/>
              <w:szCs w:val="28"/>
            </w:rPr>
            <w:fldChar w:fldCharType="end"/>
          </w:r>
          <w:r>
            <w:rPr>
              <w:rFonts w:hint="eastAsia" w:ascii="仿宋_GB2312" w:hAnsi="仿宋_GB2312" w:eastAsia="仿宋_GB2312" w:cs="仿宋_GB2312"/>
              <w:b/>
              <w:bCs/>
              <w:kern w:val="2"/>
              <w:sz w:val="28"/>
              <w:szCs w:val="28"/>
              <w:lang w:val="en-US" w:eastAsia="zh-CN" w:bidi="ar-SA"/>
            </w:rPr>
            <w:fldChar w:fldCharType="end"/>
          </w:r>
        </w:p>
        <w:p>
          <w:pPr>
            <w:ind w:firstLine="480"/>
            <w:rPr>
              <w:rFonts w:ascii="仿宋" w:hAnsi="仿宋" w:eastAsia="仿宋" w:cs="仿宋"/>
              <w:sz w:val="44"/>
              <w:szCs w:val="44"/>
            </w:rPr>
          </w:pPr>
          <w:r>
            <w:rPr>
              <w:rFonts w:hint="eastAsia" w:ascii="仿宋_GB2312" w:hAnsi="仿宋_GB2312" w:eastAsia="仿宋_GB2312" w:cs="仿宋_GB2312"/>
              <w:kern w:val="2"/>
              <w:sz w:val="28"/>
              <w:szCs w:val="28"/>
              <w:lang w:val="en-US" w:eastAsia="zh-CN" w:bidi="ar-SA"/>
            </w:rPr>
            <w:fldChar w:fldCharType="end"/>
          </w:r>
        </w:p>
      </w:sdtContent>
    </w:sdt>
    <w:p>
      <w:pPr>
        <w:keepNext/>
        <w:keepLines/>
        <w:spacing w:line="312" w:lineRule="auto"/>
        <w:rPr>
          <w:rFonts w:cs="Times New Roman" w:asciiTheme="minorEastAsia" w:hAnsiTheme="minorEastAsia"/>
          <w:b/>
          <w:sz w:val="52"/>
          <w:szCs w:val="52"/>
        </w:rPr>
        <w:sectPr>
          <w:footerReference r:id="rId3" w:type="default"/>
          <w:pgSz w:w="11906" w:h="16838"/>
          <w:pgMar w:top="1440" w:right="1800" w:bottom="1440" w:left="1800" w:header="851" w:footer="992" w:gutter="0"/>
          <w:pgNumType w:start="1"/>
          <w:cols w:space="425" w:num="1"/>
          <w:docGrid w:type="lines" w:linePitch="312" w:charSpace="0"/>
        </w:sectPr>
      </w:pPr>
    </w:p>
    <w:p>
      <w:pPr>
        <w:keepNext/>
        <w:keepLines/>
        <w:spacing w:line="312" w:lineRule="auto"/>
        <w:jc w:val="center"/>
        <w:outlineLvl w:val="9"/>
        <w:rPr>
          <w:rFonts w:hint="eastAsia" w:ascii="方正小标宋简体" w:hAnsi="Cambria" w:eastAsia="方正小标宋简体"/>
          <w:bCs/>
          <w:sz w:val="44"/>
          <w:szCs w:val="44"/>
          <w:highlight w:val="cyan"/>
          <w:lang w:eastAsia="zh-CN"/>
        </w:rPr>
      </w:pPr>
      <w:r>
        <w:rPr>
          <w:rFonts w:hint="eastAsia" w:ascii="方正小标宋简体" w:hAnsi="Cambria" w:eastAsia="方正小标宋简体"/>
          <w:bCs/>
          <w:sz w:val="44"/>
          <w:szCs w:val="44"/>
          <w:lang w:eastAsia="zh-CN"/>
        </w:rPr>
        <w:t>医疗保险信息系统升级改造项目</w:t>
      </w:r>
    </w:p>
    <w:p>
      <w:pPr>
        <w:keepNext/>
        <w:keepLines/>
        <w:spacing w:line="800" w:lineRule="exact"/>
        <w:jc w:val="center"/>
        <w:outlineLvl w:val="9"/>
        <w:rPr>
          <w:rFonts w:ascii="方正小标宋简体" w:hAnsi="Cambria" w:eastAsia="方正小标宋简体"/>
          <w:bCs/>
          <w:sz w:val="44"/>
          <w:szCs w:val="44"/>
        </w:rPr>
      </w:pPr>
      <w:r>
        <w:rPr>
          <w:rFonts w:hint="eastAsia" w:ascii="方正小标宋简体" w:hAnsi="Cambria" w:eastAsia="方正小标宋简体"/>
          <w:bCs/>
          <w:sz w:val="44"/>
          <w:szCs w:val="44"/>
        </w:rPr>
        <w:t>绩效评价报告</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0" w:name="_Toc4409"/>
      <w:bookmarkStart w:id="1" w:name="_Hlk68806383"/>
      <w:r>
        <w:rPr>
          <w:rFonts w:hint="eastAsia" w:ascii="黑体" w:hAnsi="黑体" w:eastAsia="黑体" w:cs="Times New Roman"/>
          <w:b w:val="0"/>
          <w:bCs w:val="0"/>
          <w:sz w:val="32"/>
          <w:szCs w:val="32"/>
        </w:rPr>
        <w:t>一、基本情况</w:t>
      </w:r>
      <w:bookmarkEnd w:id="0"/>
    </w:p>
    <w:p>
      <w:pPr>
        <w:ind w:firstLine="640" w:firstLineChars="200"/>
        <w:outlineLvl w:val="1"/>
        <w:rPr>
          <w:rFonts w:ascii="仿宋_GB2312" w:hAnsi="Times New Roman" w:eastAsia="仿宋_GB2312" w:cs="Times New Roman"/>
          <w:sz w:val="32"/>
          <w:szCs w:val="32"/>
        </w:rPr>
      </w:pPr>
      <w:bookmarkStart w:id="2" w:name="_Toc1123"/>
      <w:r>
        <w:rPr>
          <w:rFonts w:hint="eastAsia" w:ascii="仿宋_GB2312" w:hAnsi="Times New Roman" w:eastAsia="仿宋_GB2312" w:cs="Times New Roman"/>
          <w:sz w:val="32"/>
          <w:szCs w:val="32"/>
        </w:rPr>
        <w:t>（一）项目概况</w:t>
      </w:r>
      <w:bookmarkEnd w:id="2"/>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1.</w:t>
      </w:r>
      <w:r>
        <w:rPr>
          <w:rFonts w:hint="eastAsia" w:ascii="仿宋_GB2312" w:hAnsi="Times New Roman" w:eastAsia="仿宋_GB2312" w:cs="Times New Roman"/>
          <w:sz w:val="32"/>
          <w:szCs w:val="32"/>
        </w:rPr>
        <w:t>项目背景</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为满足群众对异地就医门诊直接结算的迫切需求，北京市、天津市、河北省经过深入沟通协调推进京津冀异地就医向更大范围拓展延伸，签署了京津冀医疗保障协同发展合作协议。北京市医疗保障局为落实上述</w:t>
      </w:r>
      <w:r>
        <w:rPr>
          <w:rFonts w:hint="eastAsia" w:ascii="仿宋_GB2312" w:hAnsi="Times New Roman" w:eastAsia="仿宋_GB2312" w:cs="Times New Roman"/>
          <w:sz w:val="32"/>
          <w:szCs w:val="32"/>
          <w:lang w:val="en-US" w:eastAsia="zh-CN"/>
        </w:rPr>
        <w:t>工作</w:t>
      </w:r>
      <w:r>
        <w:rPr>
          <w:rFonts w:hint="eastAsia" w:ascii="仿宋_GB2312" w:hAnsi="Times New Roman" w:eastAsia="仿宋_GB2312" w:cs="Times New Roman"/>
          <w:sz w:val="32"/>
          <w:szCs w:val="32"/>
        </w:rPr>
        <w:t>，对现有医疗保险信息系统进行升级改造，建设京津冀门诊异地就医实时结算系统，实现京津冀异地人员门诊医疗费用直接结算、规范异地就医流程、加强异地就医管理服务、强化异地就医资金管理。</w:t>
      </w:r>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2.</w:t>
      </w:r>
      <w:r>
        <w:rPr>
          <w:rFonts w:hint="eastAsia" w:ascii="仿宋_GB2312" w:hAnsi="Times New Roman" w:eastAsia="仿宋_GB2312" w:cs="Times New Roman"/>
          <w:sz w:val="32"/>
          <w:szCs w:val="32"/>
        </w:rPr>
        <w:t>项目主要内容</w:t>
      </w:r>
    </w:p>
    <w:p>
      <w:pPr>
        <w:ind w:firstLine="640" w:firstLineChars="200"/>
        <w:outlineLvl w:val="9"/>
        <w:rPr>
          <w:rFonts w:ascii="仿宋_GB2312" w:eastAsia="仿宋_GB2312"/>
          <w:sz w:val="32"/>
          <w:szCs w:val="32"/>
        </w:rPr>
      </w:pPr>
      <w:r>
        <w:rPr>
          <w:rFonts w:hint="eastAsia" w:ascii="仿宋_GB2312" w:hAnsi="Times New Roman" w:eastAsia="仿宋_GB2312" w:cs="Times New Roman"/>
          <w:sz w:val="32"/>
          <w:szCs w:val="32"/>
        </w:rPr>
        <w:t>北京市医疗保障局（以下简称“市医保局”）</w:t>
      </w:r>
      <w:r>
        <w:rPr>
          <w:rFonts w:hint="eastAsia" w:ascii="仿宋_GB2312" w:hAnsi="Times New Roman" w:eastAsia="仿宋_GB2312" w:cs="Times New Roman"/>
          <w:sz w:val="32"/>
          <w:szCs w:val="32"/>
          <w:lang w:eastAsia="zh-CN"/>
        </w:rPr>
        <w:t>医疗保险信息系统升级改造项目</w:t>
      </w:r>
      <w:r>
        <w:rPr>
          <w:rFonts w:hint="eastAsia" w:ascii="仿宋_GB2312" w:hAnsi="Times New Roman" w:eastAsia="仿宋_GB2312" w:cs="Times New Roman"/>
          <w:sz w:val="32"/>
          <w:szCs w:val="32"/>
        </w:rPr>
        <w:t>为</w:t>
      </w:r>
      <w:r>
        <w:rPr>
          <w:rFonts w:hint="eastAsia" w:ascii="仿宋_GB2312" w:hAnsi="Times New Roman" w:eastAsia="仿宋_GB2312" w:cs="Times New Roman"/>
          <w:sz w:val="32"/>
          <w:szCs w:val="32"/>
          <w:lang w:val="en-US" w:eastAsia="zh-CN"/>
        </w:rPr>
        <w:t>跨年</w:t>
      </w:r>
      <w:r>
        <w:rPr>
          <w:rFonts w:hint="eastAsia" w:ascii="仿宋_GB2312" w:hAnsi="Times New Roman" w:eastAsia="仿宋_GB2312" w:cs="Times New Roman"/>
          <w:sz w:val="32"/>
          <w:szCs w:val="32"/>
        </w:rPr>
        <w:t>项目</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2020至2022年</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。项目内容主要为：进一步完善医疗保险服务体系，升级改造现有医保信息系统</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具体</w:t>
      </w:r>
      <w:r>
        <w:rPr>
          <w:rFonts w:hint="eastAsia" w:ascii="仿宋_GB2312" w:hAnsi="Times New Roman" w:eastAsia="仿宋_GB2312" w:cs="Times New Roman"/>
          <w:sz w:val="32"/>
          <w:szCs w:val="32"/>
        </w:rPr>
        <w:t>包括：医院端门诊子系统、药店端门诊子系统、门诊审核结算子系统、财务子系统的新建与改造；医院端、经办端、中心端应用系统部署实施；实验室环境及真实环境系统联调工作；软件测试及安全测试等第三方测评工作</w:t>
      </w:r>
      <w:r>
        <w:rPr>
          <w:rFonts w:hint="eastAsia" w:ascii="仿宋_GB2312" w:hAnsi="Times New Roman" w:eastAsia="仿宋_GB2312" w:cs="Times New Roman"/>
          <w:sz w:val="32"/>
          <w:szCs w:val="32"/>
          <w:lang w:val="en-US" w:eastAsia="zh-CN"/>
        </w:rPr>
        <w:t>等</w:t>
      </w:r>
      <w:r>
        <w:rPr>
          <w:rFonts w:hint="eastAsia" w:ascii="仿宋_GB2312" w:hAnsi="Times New Roman" w:eastAsia="仿宋_GB2312" w:cs="Times New Roman"/>
          <w:sz w:val="32"/>
          <w:szCs w:val="32"/>
        </w:rPr>
        <w:t>。</w:t>
      </w:r>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3.</w:t>
      </w:r>
      <w:r>
        <w:rPr>
          <w:rFonts w:hint="eastAsia" w:ascii="仿宋_GB2312" w:hAnsi="Times New Roman" w:eastAsia="仿宋_GB2312" w:cs="Times New Roman"/>
          <w:sz w:val="32"/>
          <w:szCs w:val="32"/>
        </w:rPr>
        <w:t>项目实施情况</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市医保局制定了工作方案，对项目总体要求、工作任务、职责分工、实施进度、监督管理等进行了较为全面的规划，并据此开展具体的工作。</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2020年11月市医保局通过</w:t>
      </w:r>
      <w:r>
        <w:rPr>
          <w:rFonts w:hint="eastAsia" w:ascii="仿宋_GB2312" w:hAnsi="Times New Roman" w:eastAsia="仿宋_GB2312" w:cs="Times New Roman"/>
          <w:sz w:val="32"/>
          <w:szCs w:val="32"/>
          <w:lang w:val="en-US" w:eastAsia="zh-CN"/>
        </w:rPr>
        <w:t>公开招标</w:t>
      </w:r>
      <w:r>
        <w:rPr>
          <w:rFonts w:hint="eastAsia" w:ascii="仿宋_GB2312" w:hAnsi="Times New Roman" w:eastAsia="仿宋_GB2312" w:cs="Times New Roman"/>
          <w:sz w:val="32"/>
          <w:szCs w:val="32"/>
        </w:rPr>
        <w:t>，确定首都信息发展股份有限公司为服务供应商。并于2020年12月21日与该公司签订</w:t>
      </w:r>
      <w:r>
        <w:rPr>
          <w:rFonts w:hint="eastAsia" w:ascii="仿宋_GB2312" w:eastAsia="仿宋_GB2312"/>
          <w:sz w:val="32"/>
          <w:szCs w:val="32"/>
        </w:rPr>
        <w:t>《升级改造服务合同》</w:t>
      </w:r>
      <w:r>
        <w:rPr>
          <w:rFonts w:hint="eastAsia" w:ascii="仿宋_GB2312" w:eastAsia="仿宋_GB2312"/>
          <w:sz w:val="32"/>
          <w:szCs w:val="32"/>
          <w:lang w:eastAsia="zh-CN"/>
        </w:rPr>
        <w:t>，</w:t>
      </w:r>
      <w:r>
        <w:rPr>
          <w:rFonts w:hint="eastAsia" w:ascii="仿宋_GB2312" w:eastAsia="仿宋_GB2312"/>
          <w:sz w:val="32"/>
          <w:szCs w:val="32"/>
          <w:lang w:val="en-US" w:eastAsia="zh-CN"/>
        </w:rPr>
        <w:t>合同总金额1920.9665万元，</w:t>
      </w:r>
      <w:r>
        <w:rPr>
          <w:rFonts w:hint="eastAsia" w:ascii="仿宋_GB2312" w:hAnsi="Times New Roman" w:eastAsia="仿宋_GB2312" w:cs="Times New Roman"/>
          <w:sz w:val="32"/>
          <w:szCs w:val="32"/>
        </w:rPr>
        <w:t>合同服务期限1年，售后服务期限自项目通过最终验收之日起计算</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为期2年</w:t>
      </w:r>
      <w:r>
        <w:rPr>
          <w:rFonts w:hint="eastAsia" w:ascii="仿宋_GB2312" w:hAnsi="Times New Roman" w:eastAsia="仿宋_GB2312" w:cs="Times New Roman"/>
          <w:sz w:val="32"/>
          <w:szCs w:val="32"/>
        </w:rPr>
        <w:t>。</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2021年12月市医保局组织召开了“《医疗保险信息系统升级改造服务合同》补充协议”评审会，因按照国家医疗保障局要求，拟于2022年实现药店异地直接结算，</w:t>
      </w:r>
      <w:r>
        <w:rPr>
          <w:rFonts w:hint="eastAsia" w:ascii="仿宋_GB2312" w:hAnsi="Times New Roman" w:eastAsia="仿宋_GB2312" w:cs="Times New Roman"/>
          <w:sz w:val="32"/>
          <w:szCs w:val="32"/>
          <w:lang w:val="en-US" w:eastAsia="zh-CN"/>
        </w:rPr>
        <w:t>经</w:t>
      </w:r>
      <w:r>
        <w:rPr>
          <w:rFonts w:hint="eastAsia" w:ascii="仿宋_GB2312" w:hAnsi="Times New Roman" w:eastAsia="仿宋_GB2312" w:cs="Times New Roman"/>
          <w:sz w:val="32"/>
          <w:szCs w:val="32"/>
        </w:rPr>
        <w:t>评审组同意，市医保局于2022年1月与受托方签订补充协议，对原合同中服务期限及尾款付款等条款进行了补充修改，服务期限延期至2022年11月22日。</w:t>
      </w:r>
    </w:p>
    <w:p>
      <w:pPr>
        <w:ind w:firstLine="640" w:firstLineChars="200"/>
        <w:outlineLvl w:val="9"/>
        <w:rPr>
          <w:rFonts w:ascii="仿宋_GB2312" w:eastAsia="仿宋_GB2312"/>
          <w:sz w:val="32"/>
          <w:szCs w:val="32"/>
        </w:rPr>
      </w:pPr>
      <w:r>
        <w:rPr>
          <w:rFonts w:hint="eastAsia" w:ascii="仿宋_GB2312" w:eastAsia="仿宋_GB2312"/>
          <w:sz w:val="32"/>
          <w:szCs w:val="32"/>
        </w:rPr>
        <w:t>项目</w:t>
      </w:r>
      <w:r>
        <w:rPr>
          <w:rFonts w:hint="eastAsia" w:ascii="仿宋_GB2312" w:eastAsia="仿宋_GB2312"/>
          <w:sz w:val="32"/>
          <w:szCs w:val="32"/>
          <w:lang w:val="en-US" w:eastAsia="zh-CN"/>
        </w:rPr>
        <w:t>按照双方协议约定，完成了</w:t>
      </w:r>
      <w:r>
        <w:rPr>
          <w:rFonts w:hint="eastAsia" w:ascii="仿宋_GB2312" w:eastAsia="仿宋_GB2312"/>
          <w:sz w:val="32"/>
          <w:szCs w:val="32"/>
        </w:rPr>
        <w:t>系统的新建与改造</w:t>
      </w:r>
      <w:r>
        <w:rPr>
          <w:rFonts w:hint="eastAsia" w:ascii="仿宋_GB2312" w:eastAsia="仿宋_GB2312"/>
          <w:sz w:val="32"/>
          <w:szCs w:val="32"/>
          <w:lang w:eastAsia="zh-CN"/>
        </w:rPr>
        <w:t>、应用系统部署实施、实验室及真实环境系统联调、第三方测评</w:t>
      </w:r>
      <w:r>
        <w:rPr>
          <w:rFonts w:hint="eastAsia" w:ascii="仿宋_GB2312" w:eastAsia="仿宋_GB2312"/>
          <w:sz w:val="32"/>
          <w:szCs w:val="32"/>
        </w:rPr>
        <w:t>等</w:t>
      </w:r>
      <w:r>
        <w:rPr>
          <w:rFonts w:hint="eastAsia" w:ascii="仿宋_GB2312" w:eastAsia="仿宋_GB2312"/>
          <w:sz w:val="32"/>
          <w:szCs w:val="32"/>
          <w:lang w:val="en-US" w:eastAsia="zh-CN"/>
        </w:rPr>
        <w:t>各项工作内容</w:t>
      </w:r>
      <w:r>
        <w:rPr>
          <w:rFonts w:hint="eastAsia" w:ascii="仿宋_GB2312" w:eastAsia="仿宋_GB2312"/>
          <w:sz w:val="32"/>
          <w:szCs w:val="32"/>
        </w:rPr>
        <w:t>，</w:t>
      </w:r>
      <w:r>
        <w:rPr>
          <w:rFonts w:hint="eastAsia" w:ascii="仿宋_GB2312" w:eastAsia="仿宋_GB2312"/>
          <w:sz w:val="32"/>
          <w:szCs w:val="32"/>
          <w:lang w:val="en-US" w:eastAsia="zh-CN"/>
        </w:rPr>
        <w:t>并于</w:t>
      </w:r>
      <w:r>
        <w:rPr>
          <w:rFonts w:hint="eastAsia" w:ascii="仿宋_GB2312" w:eastAsia="仿宋_GB2312"/>
          <w:sz w:val="32"/>
          <w:szCs w:val="32"/>
        </w:rPr>
        <w:t>2022年11月</w:t>
      </w:r>
      <w:r>
        <w:rPr>
          <w:rFonts w:hint="eastAsia" w:ascii="仿宋_GB2312" w:eastAsia="仿宋_GB2312"/>
          <w:sz w:val="32"/>
          <w:szCs w:val="32"/>
          <w:lang w:val="en-US" w:eastAsia="zh-CN"/>
        </w:rPr>
        <w:t>由</w:t>
      </w:r>
      <w:r>
        <w:rPr>
          <w:rFonts w:hint="eastAsia" w:ascii="仿宋_GB2312" w:eastAsia="仿宋_GB2312"/>
          <w:sz w:val="32"/>
          <w:szCs w:val="32"/>
        </w:rPr>
        <w:t>市医保局</w:t>
      </w:r>
      <w:r>
        <w:rPr>
          <w:rFonts w:hint="eastAsia" w:ascii="仿宋_GB2312" w:eastAsia="仿宋_GB2312"/>
          <w:sz w:val="32"/>
          <w:szCs w:val="32"/>
          <w:lang w:val="en-US" w:eastAsia="zh-CN"/>
        </w:rPr>
        <w:t>组织专家对项目进行了终验</w:t>
      </w:r>
      <w:r>
        <w:rPr>
          <w:rFonts w:hint="eastAsia" w:ascii="仿宋_GB2312" w:eastAsia="仿宋_GB2312"/>
          <w:sz w:val="32"/>
          <w:szCs w:val="32"/>
        </w:rPr>
        <w:t>。</w:t>
      </w:r>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4.</w:t>
      </w:r>
      <w:r>
        <w:rPr>
          <w:rFonts w:hint="eastAsia" w:ascii="仿宋_GB2312" w:hAnsi="Times New Roman" w:eastAsia="仿宋_GB2312" w:cs="Times New Roman"/>
          <w:sz w:val="32"/>
          <w:szCs w:val="32"/>
        </w:rPr>
        <w:t>资金投入和使用情况</w:t>
      </w:r>
    </w:p>
    <w:p>
      <w:pPr>
        <w:ind w:firstLine="640" w:firstLineChars="200"/>
        <w:outlineLvl w:val="9"/>
        <w:rPr>
          <w:rFonts w:ascii="仿宋_GB2312" w:hAnsi="Times New Roman" w:eastAsia="仿宋_GB2312" w:cs="Times New Roman"/>
          <w:sz w:val="32"/>
          <w:szCs w:val="32"/>
          <w:highlight w:val="none"/>
        </w:rPr>
      </w:pPr>
      <w:r>
        <w:rPr>
          <w:rFonts w:hint="eastAsia" w:ascii="仿宋_GB2312" w:hAnsi="Times New Roman" w:eastAsia="仿宋_GB2312" w:cs="Times New Roman"/>
          <w:sz w:val="32"/>
          <w:szCs w:val="32"/>
          <w:highlight w:val="none"/>
        </w:rPr>
        <w:t>项目</w:t>
      </w:r>
      <w:r>
        <w:rPr>
          <w:rFonts w:hint="eastAsia" w:ascii="仿宋_GB2312" w:hAnsi="Times New Roman" w:eastAsia="仿宋_GB2312" w:cs="Times New Roman"/>
          <w:sz w:val="32"/>
          <w:szCs w:val="32"/>
          <w:highlight w:val="none"/>
          <w:lang w:val="en-US" w:eastAsia="zh-CN"/>
        </w:rPr>
        <w:t>2022</w:t>
      </w:r>
      <w:r>
        <w:rPr>
          <w:rFonts w:hint="eastAsia" w:ascii="仿宋_GB2312" w:hAnsi="Times New Roman" w:eastAsia="仿宋_GB2312" w:cs="Times New Roman"/>
          <w:sz w:val="32"/>
          <w:szCs w:val="32"/>
          <w:highlight w:val="none"/>
        </w:rPr>
        <w:t>年初批复预算373.750805万元，</w:t>
      </w:r>
      <w:r>
        <w:rPr>
          <w:rFonts w:hint="eastAsia" w:ascii="仿宋_GB2312" w:eastAsia="仿宋_GB2312"/>
          <w:sz w:val="32"/>
          <w:szCs w:val="32"/>
          <w:highlight w:val="none"/>
        </w:rPr>
        <w:t>资金来源为市级财政拨款</w:t>
      </w:r>
      <w:r>
        <w:rPr>
          <w:rFonts w:hint="eastAsia" w:ascii="仿宋_GB2312" w:eastAsia="仿宋_GB2312"/>
          <w:sz w:val="32"/>
          <w:szCs w:val="32"/>
          <w:highlight w:val="none"/>
          <w:lang w:eastAsia="zh-CN"/>
        </w:rPr>
        <w:t>，</w:t>
      </w:r>
      <w:r>
        <w:rPr>
          <w:rFonts w:hint="eastAsia" w:ascii="仿宋_GB2312" w:eastAsia="仿宋_GB2312"/>
          <w:sz w:val="32"/>
          <w:szCs w:val="32"/>
          <w:highlight w:val="none"/>
          <w:lang w:val="en-US" w:eastAsia="zh-CN"/>
        </w:rPr>
        <w:t>资金用途为支付与首都信息发展股份有限公司签订的《升级改造服务合同》尾款</w:t>
      </w:r>
      <w:r>
        <w:rPr>
          <w:rFonts w:hint="eastAsia" w:ascii="仿宋_GB2312" w:hAnsi="Times New Roman" w:eastAsia="仿宋_GB2312" w:cs="Times New Roman"/>
          <w:sz w:val="32"/>
          <w:szCs w:val="32"/>
          <w:highlight w:val="none"/>
        </w:rPr>
        <w:t>。项目实际支出373.750805万元，结余资金0</w:t>
      </w:r>
      <w:r>
        <w:rPr>
          <w:rFonts w:ascii="仿宋_GB2312" w:hAnsi="Times New Roman" w:eastAsia="仿宋_GB2312" w:cs="Times New Roman"/>
          <w:sz w:val="32"/>
          <w:szCs w:val="32"/>
          <w:highlight w:val="none"/>
        </w:rPr>
        <w:t>.00</w:t>
      </w:r>
      <w:r>
        <w:rPr>
          <w:rFonts w:hint="eastAsia" w:ascii="仿宋_GB2312" w:hAnsi="Times New Roman" w:eastAsia="仿宋_GB2312" w:cs="Times New Roman"/>
          <w:sz w:val="32"/>
          <w:szCs w:val="32"/>
          <w:highlight w:val="none"/>
        </w:rPr>
        <w:t>万元。项目预算执行率</w:t>
      </w:r>
      <w:r>
        <w:rPr>
          <w:rFonts w:ascii="仿宋_GB2312" w:hAnsi="Times New Roman" w:eastAsia="仿宋_GB2312" w:cs="Times New Roman"/>
          <w:sz w:val="32"/>
          <w:szCs w:val="32"/>
          <w:highlight w:val="none"/>
        </w:rPr>
        <w:t>100%</w:t>
      </w:r>
      <w:r>
        <w:rPr>
          <w:rFonts w:hint="eastAsia" w:ascii="仿宋_GB2312" w:hAnsi="Times New Roman" w:eastAsia="仿宋_GB2312" w:cs="Times New Roman"/>
          <w:sz w:val="32"/>
          <w:szCs w:val="32"/>
          <w:highlight w:val="none"/>
        </w:rPr>
        <w:t>。</w:t>
      </w:r>
    </w:p>
    <w:p>
      <w:pPr>
        <w:ind w:firstLine="640" w:firstLineChars="200"/>
        <w:outlineLvl w:val="1"/>
        <w:rPr>
          <w:rFonts w:ascii="仿宋_GB2312" w:hAnsi="Times New Roman" w:eastAsia="仿宋_GB2312" w:cs="Times New Roman"/>
          <w:sz w:val="32"/>
          <w:szCs w:val="32"/>
        </w:rPr>
      </w:pPr>
      <w:bookmarkStart w:id="3" w:name="_Toc11218"/>
      <w:r>
        <w:rPr>
          <w:rFonts w:hint="eastAsia" w:ascii="仿宋_GB2312" w:hAnsi="Times New Roman" w:eastAsia="仿宋_GB2312" w:cs="Times New Roman"/>
          <w:sz w:val="32"/>
          <w:szCs w:val="32"/>
        </w:rPr>
        <w:t>（二）项目绩效目标</w:t>
      </w:r>
      <w:bookmarkEnd w:id="3"/>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总体绩效目标：通过运维服务、信息安全服务及专家论证等，加强设备维护、技术培训、故障处理、安全措施，保障医疗保障信息系统在2022年（或项目期内）安全、平稳、连续运行，满足经办人员业务需要，提高效率，保证全市医疗保障工作正常开展，保障参保人员、医疗救助人员权益，提升人民群众办理医疗保障有关事务的满意度和获得感。</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数量指标：涉及新建子系统数量4个；</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 xml:space="preserve">          涉及改造子系统数量5个；</w:t>
      </w:r>
    </w:p>
    <w:p>
      <w:pPr>
        <w:ind w:firstLine="2240" w:firstLineChars="7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完成二级以上医疗机构数量≥200家；</w:t>
      </w:r>
    </w:p>
    <w:p>
      <w:pPr>
        <w:ind w:firstLine="2240" w:firstLineChars="7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实施部署医疗机构数量≥2700家。</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质量指标：系统正常运行率≥95%；</w:t>
      </w:r>
    </w:p>
    <w:p>
      <w:pPr>
        <w:ind w:firstLine="2240" w:firstLineChars="7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系统验收合格率100%；</w:t>
      </w:r>
    </w:p>
    <w:p>
      <w:pPr>
        <w:ind w:firstLine="2240" w:firstLineChars="7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服务请求响应率≥98%；</w:t>
      </w:r>
    </w:p>
    <w:p>
      <w:pPr>
        <w:ind w:firstLine="2240" w:firstLineChars="7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故障排除率≥95%。</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进度指标：验收时间2022年12月前；</w:t>
      </w:r>
    </w:p>
    <w:p>
      <w:pPr>
        <w:ind w:firstLine="2240" w:firstLineChars="7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二级以上医疗机构完成时间2022年2月前。</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成本指标：2022年预算项目尾款373.750805万元。</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社会效益指标：加快京津冀医疗保障同城化、信息化、一体化进程，让三地群众享受更多获得感、幸福感，切实解决三省市群众看病垫资和跑腿报销问题，提高医保基金使用效率，有效减轻群众医疗负担。</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可持续影响指标：可持续影响指标：推动三地医疗卫生数据共享，在三地医疗保障协同发展过程中提升医疗服务能力和水平，建设京津冀门诊异地结算项目，使得各地医疗机构的门诊数据对接。</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服务对象满意度指标：使用人员满意度≥90%。</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4" w:name="_Toc5233"/>
      <w:r>
        <w:rPr>
          <w:rFonts w:hint="eastAsia" w:ascii="黑体" w:hAnsi="黑体" w:eastAsia="黑体" w:cs="Times New Roman"/>
          <w:b w:val="0"/>
          <w:bCs w:val="0"/>
          <w:sz w:val="32"/>
          <w:szCs w:val="32"/>
        </w:rPr>
        <w:t>二、绩效评价工作开展情况</w:t>
      </w:r>
      <w:bookmarkEnd w:id="4"/>
    </w:p>
    <w:p>
      <w:pPr>
        <w:ind w:firstLine="640" w:firstLineChars="200"/>
        <w:outlineLvl w:val="1"/>
        <w:rPr>
          <w:rFonts w:ascii="仿宋_GB2312" w:hAnsi="Times New Roman" w:eastAsia="仿宋_GB2312" w:cs="Times New Roman"/>
          <w:sz w:val="32"/>
          <w:szCs w:val="32"/>
        </w:rPr>
      </w:pPr>
      <w:bookmarkStart w:id="5" w:name="_Toc57363095"/>
      <w:bookmarkStart w:id="6" w:name="_Toc22726"/>
      <w:r>
        <w:rPr>
          <w:rFonts w:hint="eastAsia" w:ascii="仿宋_GB2312" w:hAnsi="Times New Roman" w:eastAsia="仿宋_GB2312" w:cs="Times New Roman"/>
          <w:sz w:val="32"/>
          <w:szCs w:val="32"/>
        </w:rPr>
        <w:t>（一）</w:t>
      </w:r>
      <w:bookmarkEnd w:id="5"/>
      <w:r>
        <w:rPr>
          <w:rFonts w:hint="eastAsia" w:ascii="仿宋_GB2312" w:hAnsi="Times New Roman" w:eastAsia="仿宋_GB2312" w:cs="Times New Roman"/>
          <w:sz w:val="32"/>
          <w:szCs w:val="32"/>
        </w:rPr>
        <w:t>绩效评价目的、对象和范围</w:t>
      </w:r>
      <w:bookmarkEnd w:id="6"/>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1.</w:t>
      </w:r>
      <w:r>
        <w:rPr>
          <w:rFonts w:hint="eastAsia" w:ascii="仿宋_GB2312" w:hAnsi="Times New Roman" w:eastAsia="仿宋_GB2312" w:cs="Times New Roman"/>
          <w:sz w:val="32"/>
          <w:szCs w:val="32"/>
        </w:rPr>
        <w:t>绩效评价目的</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通过运用科学合理的绩效评价指标、评价标准和评价方法，对项目经济性、效率性和效益性进行客观、公正的评价，同时查找项目决策、管理以及效果中存在的问题，分析根源所在，提出具有可操作性的建议，有效促进提升项目监管水平，增强项目支出责任和意识，提高财政资金使用效率。</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2</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绩效评价对象和范围</w:t>
      </w:r>
    </w:p>
    <w:p>
      <w:pPr>
        <w:ind w:firstLine="640" w:firstLineChars="200"/>
        <w:outlineLvl w:val="9"/>
        <w:rPr>
          <w:rFonts w:ascii="仿宋_GB2312" w:hAnsi="Times New Roman" w:eastAsia="仿宋_GB2312" w:cs="Times New Roman"/>
          <w:sz w:val="32"/>
          <w:szCs w:val="32"/>
          <w:highlight w:val="cyan"/>
        </w:rPr>
      </w:pPr>
      <w:r>
        <w:rPr>
          <w:rFonts w:hint="eastAsia" w:ascii="仿宋_GB2312" w:hAnsi="Times New Roman" w:eastAsia="仿宋_GB2312" w:cs="Times New Roman"/>
          <w:sz w:val="32"/>
          <w:szCs w:val="32"/>
        </w:rPr>
        <w:t>评价对象为2</w:t>
      </w:r>
      <w:r>
        <w:rPr>
          <w:rFonts w:ascii="仿宋_GB2312" w:hAnsi="Times New Roman" w:eastAsia="仿宋_GB2312" w:cs="Times New Roman"/>
          <w:sz w:val="32"/>
          <w:szCs w:val="32"/>
        </w:rPr>
        <w:t>02</w:t>
      </w: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rPr>
        <w:t>年市级财政安排的</w:t>
      </w:r>
      <w:r>
        <w:rPr>
          <w:rFonts w:hint="eastAsia" w:ascii="仿宋_GB2312" w:hAnsi="Times New Roman" w:eastAsia="仿宋_GB2312" w:cs="Times New Roman"/>
          <w:sz w:val="32"/>
          <w:szCs w:val="32"/>
          <w:lang w:eastAsia="zh-CN"/>
        </w:rPr>
        <w:t>医疗保险信息系统升级改造项目</w:t>
      </w:r>
      <w:r>
        <w:rPr>
          <w:rFonts w:hint="eastAsia" w:ascii="仿宋_GB2312" w:hAnsi="Times New Roman" w:eastAsia="仿宋_GB2312" w:cs="Times New Roman"/>
          <w:sz w:val="32"/>
          <w:szCs w:val="32"/>
        </w:rPr>
        <w:t>预算资金373.750805万元；评价范围为该项目决策、管理以及效果情况。</w:t>
      </w:r>
    </w:p>
    <w:p>
      <w:pPr>
        <w:ind w:firstLine="640" w:firstLineChars="200"/>
        <w:outlineLvl w:val="1"/>
        <w:rPr>
          <w:rFonts w:ascii="仿宋_GB2312" w:hAnsi="Times New Roman" w:eastAsia="仿宋_GB2312" w:cs="Times New Roman"/>
          <w:sz w:val="32"/>
          <w:szCs w:val="32"/>
          <w:highlight w:val="cyan"/>
        </w:rPr>
      </w:pPr>
      <w:bookmarkStart w:id="7" w:name="_Toc96"/>
      <w:r>
        <w:rPr>
          <w:rFonts w:hint="eastAsia" w:ascii="仿宋_GB2312" w:hAnsi="Times New Roman" w:eastAsia="仿宋_GB2312" w:cs="Times New Roman"/>
          <w:sz w:val="32"/>
          <w:szCs w:val="32"/>
        </w:rPr>
        <w:t>（二）绩效评价原则、评价指标体系、评价方法、评价标准等</w:t>
      </w:r>
      <w:bookmarkEnd w:id="7"/>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1</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绩效评价原则</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科学公正。本次绩效评价我们运用科学合理的方法，按照规范的程序，对项目绩效进行客观、公正的反映。</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统筹兼顾。项目自评、部门评价应各有侧重，相互衔接，部门评价在项目自评的基础上开展。</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激励约束。本次绩效评价的评价结果应用与预算安排、政策调整、改进管理实质性挂钩，体现奖优罚劣和激励相容导向，有效要安排、低效要减压、无效要问责。</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公开透明。本次绩效评价结果应依法依规公开，并自觉接受监督。</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2</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评价指标体系</w:t>
      </w:r>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依据《北京市项目支出绩效评价管理办法》[京财绩效〔2020〕2146号]的要求，</w:t>
      </w:r>
      <w:r>
        <w:rPr>
          <w:rFonts w:hint="eastAsia" w:ascii="仿宋_GB2312" w:hAnsi="Times New Roman" w:eastAsia="仿宋_GB2312" w:cs="Times New Roman"/>
          <w:sz w:val="32"/>
          <w:szCs w:val="32"/>
        </w:rPr>
        <w:t>本项目评价指标</w:t>
      </w:r>
      <w:r>
        <w:rPr>
          <w:rFonts w:ascii="仿宋_GB2312" w:hAnsi="Times New Roman" w:eastAsia="仿宋_GB2312" w:cs="Times New Roman"/>
          <w:sz w:val="32"/>
          <w:szCs w:val="32"/>
        </w:rPr>
        <w:t>包括项目的产出数量、质量、时效、成本，以及社会效益、可持续影响、服务对象满意度等。</w:t>
      </w:r>
      <w:r>
        <w:rPr>
          <w:rFonts w:hint="eastAsia" w:ascii="仿宋_GB2312" w:hAnsi="Times New Roman" w:eastAsia="仿宋_GB2312" w:cs="Times New Roman"/>
          <w:sz w:val="32"/>
          <w:szCs w:val="32"/>
        </w:rPr>
        <w:t>评价指标权重为项目决策占10%，项目管理占</w:t>
      </w:r>
      <w:r>
        <w:rPr>
          <w:rFonts w:hint="eastAsia" w:ascii="仿宋_GB2312" w:hAnsi="Times New Roman" w:eastAsia="仿宋_GB2312" w:cs="Times New Roman"/>
          <w:sz w:val="32"/>
          <w:szCs w:val="32"/>
          <w:lang w:val="en-US" w:eastAsia="zh-CN"/>
        </w:rPr>
        <w:t>3</w:t>
      </w:r>
      <w:r>
        <w:rPr>
          <w:rFonts w:hint="eastAsia" w:ascii="仿宋_GB2312" w:hAnsi="Times New Roman" w:eastAsia="仿宋_GB2312" w:cs="Times New Roman"/>
          <w:sz w:val="32"/>
          <w:szCs w:val="32"/>
        </w:rPr>
        <w:t>0%，项目产出占40%，项目效益占</w:t>
      </w: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rPr>
        <w:t>0%，并结合评价要点和项目实际情况，设定了二、三级指标的内容和分值，同时细化了指标体系中的四级</w:t>
      </w:r>
      <w:r>
        <w:rPr>
          <w:rFonts w:hint="eastAsia" w:ascii="仿宋_GB2312" w:hAnsi="Times New Roman" w:eastAsia="仿宋_GB2312" w:cs="Times New Roman"/>
          <w:sz w:val="32"/>
          <w:szCs w:val="32"/>
          <w:lang w:val="en-US" w:eastAsia="zh-CN"/>
        </w:rPr>
        <w:t>评分</w:t>
      </w:r>
      <w:r>
        <w:rPr>
          <w:rFonts w:hint="eastAsia" w:ascii="仿宋_GB2312" w:hAnsi="Times New Roman" w:eastAsia="仿宋_GB2312" w:cs="Times New Roman"/>
          <w:sz w:val="32"/>
          <w:szCs w:val="32"/>
        </w:rPr>
        <w:t>指标。</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3</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评价方法</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评价工作组遵循“客观、公正、科学、规范”的原则，综合运用成本效益分析法、公众评判法和因素分析法相结合的绩效评价方法，对项目支出的经济性、效率性、效益性实施了评价，并以资金使用的结果为导向，按照“相关性、重要性、可比性、系统性”原则，结合项目特点，聘请专家确定了该项目的绩效评价指标体系，对项目决策、项目管理及项目效果进行了评分和评级。</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4.评价标准</w:t>
      </w:r>
    </w:p>
    <w:p>
      <w:pPr>
        <w:ind w:firstLine="640" w:firstLineChars="200"/>
        <w:outlineLvl w:val="9"/>
        <w:rPr>
          <w:rFonts w:ascii="仿宋_GB2312" w:hAnsi="Times New Roman" w:eastAsia="仿宋_GB2312" w:cs="Times New Roman"/>
          <w:sz w:val="32"/>
          <w:szCs w:val="32"/>
          <w:highlight w:val="none"/>
        </w:rPr>
      </w:pPr>
      <w:r>
        <w:rPr>
          <w:rFonts w:hint="eastAsia" w:ascii="仿宋_GB2312" w:hAnsi="Times New Roman" w:eastAsia="仿宋_GB2312" w:cs="Times New Roman"/>
          <w:sz w:val="32"/>
          <w:szCs w:val="32"/>
          <w:highlight w:val="none"/>
        </w:rPr>
        <w:t>本项目绩效</w:t>
      </w:r>
      <w:r>
        <w:rPr>
          <w:rFonts w:ascii="仿宋_GB2312" w:hAnsi="Times New Roman" w:eastAsia="仿宋_GB2312" w:cs="Times New Roman"/>
          <w:sz w:val="32"/>
          <w:szCs w:val="32"/>
          <w:highlight w:val="none"/>
        </w:rPr>
        <w:t>评价主要参考计划标准</w:t>
      </w:r>
      <w:r>
        <w:rPr>
          <w:rFonts w:hint="eastAsia" w:ascii="仿宋_GB2312" w:hAnsi="Times New Roman" w:eastAsia="仿宋_GB2312" w:cs="Times New Roman"/>
          <w:sz w:val="32"/>
          <w:szCs w:val="32"/>
          <w:highlight w:val="none"/>
        </w:rPr>
        <w:t>、</w:t>
      </w:r>
      <w:r>
        <w:rPr>
          <w:rFonts w:hint="eastAsia" w:ascii="仿宋_GB2312" w:hAnsi="Times New Roman" w:eastAsia="仿宋_GB2312" w:cs="Times New Roman"/>
          <w:sz w:val="32"/>
          <w:szCs w:val="32"/>
          <w:highlight w:val="none"/>
          <w:lang w:val="en-US" w:eastAsia="zh-CN"/>
        </w:rPr>
        <w:t>行业标准、</w:t>
      </w:r>
      <w:r>
        <w:rPr>
          <w:rFonts w:hint="eastAsia" w:ascii="仿宋_GB2312" w:hAnsi="Times New Roman" w:eastAsia="仿宋_GB2312" w:cs="Times New Roman"/>
          <w:sz w:val="32"/>
          <w:szCs w:val="32"/>
          <w:highlight w:val="none"/>
        </w:rPr>
        <w:t>历史标准对项目绩效目标完成情况实施评判</w:t>
      </w:r>
      <w:r>
        <w:rPr>
          <w:rFonts w:ascii="仿宋_GB2312" w:hAnsi="Times New Roman" w:eastAsia="仿宋_GB2312" w:cs="Times New Roman"/>
          <w:sz w:val="32"/>
          <w:szCs w:val="32"/>
          <w:highlight w:val="none"/>
        </w:rPr>
        <w:t>。</w:t>
      </w:r>
    </w:p>
    <w:p>
      <w:pPr>
        <w:ind w:firstLine="640" w:firstLineChars="200"/>
        <w:outlineLvl w:val="1"/>
        <w:rPr>
          <w:rFonts w:ascii="仿宋_GB2312" w:hAnsi="Times New Roman" w:eastAsia="仿宋_GB2312" w:cs="Times New Roman"/>
          <w:sz w:val="32"/>
          <w:szCs w:val="32"/>
        </w:rPr>
      </w:pPr>
      <w:bookmarkStart w:id="8" w:name="_Toc7732"/>
      <w:r>
        <w:rPr>
          <w:rFonts w:hint="eastAsia" w:ascii="仿宋_GB2312" w:hAnsi="Times New Roman" w:eastAsia="仿宋_GB2312" w:cs="Times New Roman"/>
          <w:sz w:val="32"/>
          <w:szCs w:val="32"/>
        </w:rPr>
        <w:t>（三）绩效评价工作过程</w:t>
      </w:r>
      <w:bookmarkEnd w:id="8"/>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1.前期准备工作</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组建绩效评价工作组，制定了评价工作方案，邀请符合财政绩效管理要求的专家成立专家组，并向实施评价项目的项目负责人布置了资料清单。</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2.收集、复核了评价资料</w:t>
      </w:r>
    </w:p>
    <w:p>
      <w:pPr>
        <w:spacing w:line="660" w:lineRule="exact"/>
        <w:ind w:firstLine="640" w:firstLineChars="200"/>
        <w:outlineLvl w:val="9"/>
        <w:rPr>
          <w:rFonts w:ascii="仿宋_GB2312" w:hAnsi="Times New Roman" w:eastAsia="仿宋_GB2312" w:cs="Times New Roman"/>
          <w:sz w:val="32"/>
          <w:szCs w:val="32"/>
          <w:highlight w:val="yellow"/>
        </w:rPr>
      </w:pPr>
      <w:r>
        <w:rPr>
          <w:rFonts w:hint="eastAsia" w:ascii="仿宋_GB2312" w:hAnsi="Times New Roman" w:eastAsia="仿宋_GB2312" w:cs="Times New Roman"/>
          <w:sz w:val="32"/>
          <w:szCs w:val="32"/>
        </w:rPr>
        <w:t>评价工作组对本项目预算申报、执行，项目申报、项目实施管理、项目验收等资料进行了收集、复核。对项目资料不完整之处与项目负责人进行了沟通，并要求其进行补充。</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3.现场核查情况</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评价工作组对项目资金的使用情况、项目实施情况、项目完成情况以及项目的绩效成果进行调查，并对项目资料进行了总结和归类整理，同时将发现的问题与项目负责人进行了沟通；将现场核查情况及收集的资料进行了归集整理，并编制了专家资料手册递交专家组成员审阅。</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4.评价分析</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评价工作组根据项目负责人所提供的资料，分析了绩效目标完成情况及绩效实现情况，形成了中期报告。在此基础上召开专家预备会，在财政部门制定的绩效评价指标体系的基础上，针对该项目特点，对指标值权重以及评价指标进行了初步设计、制定和完善。</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5.沟通反馈</w:t>
      </w:r>
    </w:p>
    <w:p>
      <w:pPr>
        <w:spacing w:line="660" w:lineRule="exact"/>
        <w:ind w:firstLine="640" w:firstLineChars="200"/>
        <w:outlineLvl w:val="9"/>
        <w:rPr>
          <w:rFonts w:hint="eastAsia" w:ascii="仿宋_GB2312" w:hAnsi="Times New Roman" w:eastAsia="仿宋_GB2312" w:cs="Times New Roman"/>
          <w:sz w:val="32"/>
          <w:szCs w:val="32"/>
          <w:lang w:eastAsia="zh-CN"/>
        </w:rPr>
      </w:pPr>
      <w:r>
        <w:rPr>
          <w:rFonts w:hint="eastAsia" w:ascii="仿宋_GB2312" w:hAnsi="Times New Roman" w:eastAsia="仿宋_GB2312" w:cs="Times New Roman"/>
          <w:sz w:val="32"/>
          <w:szCs w:val="32"/>
        </w:rPr>
        <w:t>评价工作组组织召开了专家正式评审会，听取了项目负责人关于项目实施情况的汇报；并由专家组组长主持会议，组织专家对项目相关问题进行了质询；评价专家根据项目组提供的资料及项目答辩情况进行内部讨论后，对照该项目绩效评价指标体系对项目绩效情况进行了评分，出具了独立的专家评价意见，汇总形成专家组意见，并在现场进行了宣读</w:t>
      </w:r>
      <w:r>
        <w:rPr>
          <w:rFonts w:hint="eastAsia" w:ascii="仿宋_GB2312" w:hAnsi="Times New Roman" w:eastAsia="仿宋_GB2312" w:cs="Times New Roman"/>
          <w:sz w:val="32"/>
          <w:szCs w:val="32"/>
          <w:lang w:eastAsia="zh-CN"/>
        </w:rPr>
        <w:t>。</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6.出具报告</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评价工作组以“依据充分、真实完整、数据准确、分析透彻、逻辑清晰、客观公正”为标准，结合专家评审意见以及财政部门关于绩效评价报告的披露要求撰写了项目绩效评价报告。</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9" w:name="_Toc28544"/>
      <w:r>
        <w:rPr>
          <w:rFonts w:hint="eastAsia" w:ascii="黑体" w:hAnsi="黑体" w:eastAsia="黑体" w:cs="Times New Roman"/>
          <w:b w:val="0"/>
          <w:bCs w:val="0"/>
          <w:sz w:val="32"/>
          <w:szCs w:val="32"/>
        </w:rPr>
        <w:t>三、综合评价情况及评价结论</w:t>
      </w:r>
      <w:bookmarkEnd w:id="9"/>
    </w:p>
    <w:p>
      <w:pPr>
        <w:spacing w:line="660" w:lineRule="exact"/>
        <w:ind w:firstLine="640" w:firstLineChars="200"/>
        <w:outlineLvl w:val="9"/>
        <w:rPr>
          <w:rFonts w:ascii="仿宋_GB2312" w:hAnsi="Times New Roman" w:eastAsia="仿宋_GB2312" w:cs="Times New Roman"/>
          <w:sz w:val="32"/>
          <w:szCs w:val="32"/>
          <w:highlight w:val="none"/>
        </w:rPr>
      </w:pPr>
      <w:r>
        <w:rPr>
          <w:rFonts w:hint="eastAsia" w:ascii="仿宋_GB2312" w:hAnsi="Times New Roman" w:eastAsia="仿宋_GB2312" w:cs="Times New Roman"/>
          <w:sz w:val="32"/>
          <w:szCs w:val="32"/>
          <w:highlight w:val="none"/>
        </w:rPr>
        <w:t>项目立项依据充分，与部门职责范围相符；预算资金支</w:t>
      </w:r>
      <w:r>
        <w:rPr>
          <w:rFonts w:hint="eastAsia" w:ascii="仿宋_GB2312" w:hAnsi="Times New Roman" w:eastAsia="仿宋_GB2312" w:cs="Times New Roman"/>
          <w:sz w:val="32"/>
          <w:szCs w:val="32"/>
          <w:highlight w:val="none"/>
          <w:lang w:val="en-US" w:eastAsia="zh-CN"/>
        </w:rPr>
        <w:t>出</w:t>
      </w:r>
      <w:r>
        <w:rPr>
          <w:rFonts w:hint="eastAsia" w:ascii="仿宋_GB2312" w:hAnsi="Times New Roman" w:eastAsia="仿宋_GB2312" w:cs="Times New Roman"/>
          <w:sz w:val="32"/>
          <w:szCs w:val="32"/>
          <w:highlight w:val="none"/>
        </w:rPr>
        <w:t>合规；绩效产出符合绩效目标的设定。项目实施提高</w:t>
      </w:r>
      <w:r>
        <w:rPr>
          <w:rFonts w:hint="eastAsia" w:ascii="仿宋_GB2312" w:hAnsi="Times New Roman" w:eastAsia="仿宋_GB2312" w:cs="Times New Roman"/>
          <w:sz w:val="32"/>
          <w:szCs w:val="32"/>
          <w:highlight w:val="none"/>
          <w:lang w:val="en-US" w:eastAsia="zh-CN"/>
        </w:rPr>
        <w:t>了</w:t>
      </w:r>
      <w:r>
        <w:rPr>
          <w:rFonts w:hint="eastAsia" w:ascii="仿宋_GB2312" w:hAnsi="Times New Roman" w:eastAsia="仿宋_GB2312" w:cs="Times New Roman"/>
          <w:sz w:val="32"/>
          <w:szCs w:val="32"/>
          <w:highlight w:val="none"/>
        </w:rPr>
        <w:t>门诊异地就医报销时效</w:t>
      </w:r>
      <w:r>
        <w:rPr>
          <w:rFonts w:hint="eastAsia" w:ascii="仿宋_GB2312" w:hAnsi="Times New Roman" w:eastAsia="仿宋_GB2312" w:cs="Times New Roman"/>
          <w:sz w:val="32"/>
          <w:szCs w:val="32"/>
          <w:highlight w:val="none"/>
          <w:lang w:val="en-US" w:eastAsia="zh-CN"/>
        </w:rPr>
        <w:t>以及便捷性</w:t>
      </w:r>
      <w:r>
        <w:rPr>
          <w:rFonts w:hint="eastAsia" w:ascii="仿宋_GB2312" w:hAnsi="Times New Roman" w:eastAsia="仿宋_GB2312" w:cs="Times New Roman"/>
          <w:sz w:val="32"/>
          <w:szCs w:val="32"/>
          <w:highlight w:val="none"/>
        </w:rPr>
        <w:t>，有效减轻患者经济压力，提升</w:t>
      </w:r>
      <w:r>
        <w:rPr>
          <w:rFonts w:hint="eastAsia" w:ascii="仿宋_GB2312" w:hAnsi="Times New Roman" w:eastAsia="仿宋_GB2312" w:cs="Times New Roman"/>
          <w:sz w:val="32"/>
          <w:szCs w:val="32"/>
          <w:highlight w:val="none"/>
          <w:lang w:val="en-US" w:eastAsia="zh-CN"/>
        </w:rPr>
        <w:t>了</w:t>
      </w:r>
      <w:r>
        <w:rPr>
          <w:rFonts w:hint="eastAsia" w:ascii="仿宋_GB2312" w:hAnsi="Times New Roman" w:eastAsia="仿宋_GB2312" w:cs="Times New Roman"/>
          <w:sz w:val="32"/>
          <w:szCs w:val="32"/>
          <w:highlight w:val="none"/>
        </w:rPr>
        <w:t>医保基金使用效率</w:t>
      </w:r>
      <w:r>
        <w:rPr>
          <w:rFonts w:hint="eastAsia" w:ascii="仿宋_GB2312" w:hAnsi="Times New Roman" w:eastAsia="仿宋_GB2312" w:cs="Times New Roman"/>
          <w:sz w:val="32"/>
          <w:szCs w:val="32"/>
          <w:highlight w:val="none"/>
          <w:lang w:val="en-US" w:eastAsia="zh-CN"/>
        </w:rPr>
        <w:t>以及</w:t>
      </w:r>
      <w:r>
        <w:rPr>
          <w:rFonts w:hint="eastAsia" w:ascii="仿宋_GB2312" w:hAnsi="Times New Roman" w:eastAsia="仿宋_GB2312" w:cs="Times New Roman"/>
          <w:sz w:val="32"/>
          <w:szCs w:val="32"/>
          <w:highlight w:val="none"/>
          <w:lang w:eastAsia="zh-CN"/>
        </w:rPr>
        <w:t>群众的幸福感、获得感和安全感</w:t>
      </w:r>
      <w:r>
        <w:rPr>
          <w:rFonts w:hint="eastAsia" w:ascii="仿宋_GB2312" w:hAnsi="Times New Roman" w:eastAsia="仿宋_GB2312" w:cs="Times New Roman"/>
          <w:sz w:val="32"/>
          <w:szCs w:val="32"/>
          <w:highlight w:val="none"/>
        </w:rPr>
        <w:t>。但存在部分绩效指标设定不够</w:t>
      </w:r>
      <w:r>
        <w:rPr>
          <w:rFonts w:hint="eastAsia" w:ascii="仿宋_GB2312" w:hAnsi="Times New Roman" w:eastAsia="仿宋_GB2312" w:cs="Times New Roman"/>
          <w:sz w:val="32"/>
          <w:szCs w:val="32"/>
          <w:highlight w:val="none"/>
          <w:lang w:val="en-US" w:eastAsia="zh-CN"/>
        </w:rPr>
        <w:t>细化</w:t>
      </w:r>
      <w:r>
        <w:rPr>
          <w:rFonts w:hint="eastAsia" w:ascii="仿宋_GB2312" w:hAnsi="Times New Roman" w:eastAsia="仿宋_GB2312" w:cs="Times New Roman"/>
          <w:sz w:val="32"/>
          <w:szCs w:val="32"/>
          <w:highlight w:val="none"/>
        </w:rPr>
        <w:t>，</w:t>
      </w:r>
      <w:r>
        <w:rPr>
          <w:rFonts w:hint="eastAsia" w:ascii="仿宋_GB2312" w:hAnsi="Times New Roman" w:eastAsia="仿宋_GB2312" w:cs="Times New Roman"/>
          <w:sz w:val="32"/>
          <w:szCs w:val="32"/>
          <w:highlight w:val="none"/>
          <w:lang w:val="en-US" w:eastAsia="zh-CN"/>
        </w:rPr>
        <w:t>工作实施方案及合同内容不够完善，服务对象满意度调查结果未加以利用</w:t>
      </w:r>
      <w:r>
        <w:rPr>
          <w:rFonts w:hint="eastAsia" w:ascii="仿宋_GB2312" w:hAnsi="Times New Roman" w:eastAsia="仿宋_GB2312" w:cs="Times New Roman"/>
          <w:sz w:val="32"/>
          <w:szCs w:val="32"/>
          <w:highlight w:val="none"/>
        </w:rPr>
        <w:t>等情况。</w:t>
      </w:r>
    </w:p>
    <w:p>
      <w:pPr>
        <w:spacing w:line="660" w:lineRule="exact"/>
        <w:ind w:firstLine="640" w:firstLineChars="200"/>
        <w:outlineLvl w:val="9"/>
        <w:rPr>
          <w:rFonts w:ascii="仿宋_GB2312" w:hAnsi="Times New Roman" w:eastAsia="仿宋_GB2312" w:cs="Times New Roman"/>
          <w:sz w:val="32"/>
          <w:szCs w:val="32"/>
          <w:highlight w:val="none"/>
        </w:rPr>
      </w:pPr>
      <w:r>
        <w:rPr>
          <w:rFonts w:hint="eastAsia" w:ascii="仿宋_GB2312" w:hAnsi="Times New Roman" w:eastAsia="仿宋_GB2312" w:cs="Times New Roman"/>
          <w:sz w:val="32"/>
          <w:szCs w:val="32"/>
          <w:highlight w:val="none"/>
        </w:rPr>
        <w:t>经评价，</w:t>
      </w:r>
      <w:r>
        <w:rPr>
          <w:rFonts w:hint="eastAsia" w:ascii="仿宋_GB2312" w:hAnsi="Times New Roman" w:eastAsia="仿宋_GB2312" w:cs="Times New Roman"/>
          <w:sz w:val="32"/>
          <w:szCs w:val="32"/>
          <w:highlight w:val="none"/>
          <w:lang w:eastAsia="zh-CN"/>
        </w:rPr>
        <w:t>医疗保险信息系统升级改造项目</w:t>
      </w:r>
      <w:r>
        <w:rPr>
          <w:rFonts w:hint="eastAsia" w:ascii="仿宋_GB2312" w:hAnsi="Times New Roman" w:eastAsia="仿宋_GB2312" w:cs="Times New Roman"/>
          <w:sz w:val="32"/>
          <w:szCs w:val="32"/>
          <w:highlight w:val="none"/>
        </w:rPr>
        <w:t>绩效评价综合得分</w:t>
      </w:r>
      <w:r>
        <w:rPr>
          <w:rFonts w:hint="eastAsia" w:ascii="仿宋_GB2312" w:hAnsi="Times New Roman" w:eastAsia="仿宋_GB2312" w:cs="Times New Roman"/>
          <w:sz w:val="32"/>
          <w:szCs w:val="32"/>
          <w:highlight w:val="none"/>
          <w:lang w:val="en-US" w:eastAsia="zh-CN"/>
        </w:rPr>
        <w:t>90.90</w:t>
      </w:r>
      <w:r>
        <w:rPr>
          <w:rFonts w:hint="eastAsia" w:ascii="仿宋_GB2312" w:hAnsi="Times New Roman" w:eastAsia="仿宋_GB2312" w:cs="Times New Roman"/>
          <w:sz w:val="32"/>
          <w:szCs w:val="32"/>
          <w:highlight w:val="none"/>
        </w:rPr>
        <w:t>分，其中：项目决策</w:t>
      </w:r>
      <w:r>
        <w:rPr>
          <w:rFonts w:hint="eastAsia" w:ascii="仿宋_GB2312" w:hAnsi="Times New Roman" w:eastAsia="仿宋_GB2312" w:cs="Times New Roman"/>
          <w:sz w:val="32"/>
          <w:szCs w:val="32"/>
          <w:highlight w:val="none"/>
          <w:lang w:val="en-US" w:eastAsia="zh-CN"/>
        </w:rPr>
        <w:t>8.70</w:t>
      </w:r>
      <w:r>
        <w:rPr>
          <w:rFonts w:hint="eastAsia" w:ascii="仿宋_GB2312" w:hAnsi="Times New Roman" w:eastAsia="仿宋_GB2312" w:cs="Times New Roman"/>
          <w:sz w:val="32"/>
          <w:szCs w:val="32"/>
          <w:highlight w:val="none"/>
        </w:rPr>
        <w:t>分，项目</w:t>
      </w:r>
      <w:r>
        <w:rPr>
          <w:rFonts w:hint="eastAsia" w:ascii="仿宋_GB2312" w:hAnsi="Times New Roman" w:eastAsia="仿宋_GB2312" w:cs="Times New Roman"/>
          <w:sz w:val="32"/>
          <w:szCs w:val="32"/>
          <w:highlight w:val="none"/>
          <w:lang w:val="en-US" w:eastAsia="zh-CN"/>
        </w:rPr>
        <w:t>管理26.20</w:t>
      </w:r>
      <w:r>
        <w:rPr>
          <w:rFonts w:hint="eastAsia" w:ascii="仿宋_GB2312" w:hAnsi="Times New Roman" w:eastAsia="仿宋_GB2312" w:cs="Times New Roman"/>
          <w:sz w:val="32"/>
          <w:szCs w:val="32"/>
          <w:highlight w:val="none"/>
        </w:rPr>
        <w:t>分，项目产出</w:t>
      </w:r>
      <w:r>
        <w:rPr>
          <w:rFonts w:hint="eastAsia" w:ascii="仿宋_GB2312" w:hAnsi="Times New Roman" w:eastAsia="仿宋_GB2312" w:cs="Times New Roman"/>
          <w:sz w:val="32"/>
          <w:szCs w:val="32"/>
          <w:highlight w:val="none"/>
          <w:lang w:val="en-US" w:eastAsia="zh-CN"/>
        </w:rPr>
        <w:t>37.20</w:t>
      </w:r>
      <w:r>
        <w:rPr>
          <w:rFonts w:hint="eastAsia" w:ascii="仿宋_GB2312" w:hAnsi="Times New Roman" w:eastAsia="仿宋_GB2312" w:cs="Times New Roman"/>
          <w:sz w:val="32"/>
          <w:szCs w:val="32"/>
          <w:highlight w:val="none"/>
        </w:rPr>
        <w:t>分，项目绩效</w:t>
      </w:r>
      <w:r>
        <w:rPr>
          <w:rFonts w:hint="eastAsia" w:ascii="仿宋_GB2312" w:hAnsi="Times New Roman" w:eastAsia="仿宋_GB2312" w:cs="Times New Roman"/>
          <w:sz w:val="32"/>
          <w:szCs w:val="32"/>
          <w:highlight w:val="none"/>
          <w:lang w:val="en-US" w:eastAsia="zh-CN"/>
        </w:rPr>
        <w:t>18.80</w:t>
      </w:r>
      <w:r>
        <w:rPr>
          <w:rFonts w:hint="eastAsia" w:ascii="仿宋_GB2312" w:hAnsi="Times New Roman" w:eastAsia="仿宋_GB2312" w:cs="Times New Roman"/>
          <w:sz w:val="32"/>
          <w:szCs w:val="32"/>
          <w:highlight w:val="none"/>
        </w:rPr>
        <w:t>分，绩效评价级别为“优秀”。</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10" w:name="_Toc306"/>
      <w:r>
        <w:rPr>
          <w:rFonts w:hint="eastAsia" w:ascii="黑体" w:hAnsi="黑体" w:eastAsia="黑体" w:cs="Times New Roman"/>
          <w:b w:val="0"/>
          <w:bCs w:val="0"/>
          <w:sz w:val="32"/>
          <w:szCs w:val="32"/>
        </w:rPr>
        <w:t>四、绩效评价指标分析</w:t>
      </w:r>
      <w:bookmarkEnd w:id="10"/>
    </w:p>
    <w:p>
      <w:pPr>
        <w:ind w:firstLine="640" w:firstLineChars="200"/>
        <w:outlineLvl w:val="1"/>
        <w:rPr>
          <w:rFonts w:ascii="仿宋_GB2312" w:hAnsi="Times New Roman" w:eastAsia="仿宋_GB2312" w:cs="Times New Roman"/>
          <w:sz w:val="32"/>
          <w:szCs w:val="32"/>
        </w:rPr>
      </w:pPr>
      <w:bookmarkStart w:id="11" w:name="_Toc27019"/>
      <w:r>
        <w:rPr>
          <w:rFonts w:hint="eastAsia" w:ascii="仿宋_GB2312" w:hAnsi="Times New Roman" w:eastAsia="仿宋_GB2312" w:cs="Times New Roman"/>
          <w:sz w:val="32"/>
          <w:szCs w:val="32"/>
        </w:rPr>
        <w:t>（一）项目决策情况</w:t>
      </w:r>
      <w:bookmarkEnd w:id="11"/>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项目立项符合国家医保局联合财政部下发《关于切实做好2019年跨省异地就医住院费用直接结算工作的通知》“京津冀等有条件的区域可以探索开展跨省异地就医门诊费用直接结算试点工作”等政策精神，与市医保局职能职责及年度工作计划契合，项目立项程序规范，项目绩效目标设定与工作内容具有相关性。但存在以下不足：</w:t>
      </w:r>
    </w:p>
    <w:p>
      <w:pPr>
        <w:ind w:firstLine="640" w:firstLineChars="200"/>
        <w:outlineLvl w:val="9"/>
        <w:rPr>
          <w:rFonts w:hint="eastAsia" w:ascii="仿宋_GB2312" w:hAnsi="Times New Roman" w:eastAsia="仿宋_GB2312" w:cs="Times New Roman"/>
          <w:sz w:val="32"/>
          <w:szCs w:val="32"/>
          <w:lang w:val="en-US" w:eastAsia="zh-CN"/>
        </w:rPr>
      </w:pPr>
      <w:bookmarkStart w:id="12" w:name="_Toc71642657"/>
      <w:bookmarkStart w:id="13" w:name="_Toc71641751"/>
      <w:r>
        <w:rPr>
          <w:rFonts w:hint="eastAsia" w:ascii="仿宋_GB2312" w:hAnsi="Times New Roman" w:eastAsia="仿宋_GB2312" w:cs="Times New Roman"/>
          <w:sz w:val="32"/>
          <w:szCs w:val="32"/>
          <w:lang w:val="en-US" w:eastAsia="zh-CN"/>
        </w:rPr>
        <w:t>1.项目总体目标内容设定不够全面</w:t>
      </w:r>
    </w:p>
    <w:p>
      <w:pPr>
        <w:ind w:firstLine="640" w:firstLineChars="200"/>
        <w:outlineLvl w:val="9"/>
        <w:rPr>
          <w:rFonts w:hint="default" w:ascii="仿宋_GB2312" w:hAnsi="Times New Roman" w:eastAsia="仿宋_GB2312" w:cs="Times New Roman"/>
          <w:sz w:val="32"/>
          <w:szCs w:val="32"/>
          <w:lang w:val="en-US" w:eastAsia="zh-CN"/>
        </w:rPr>
      </w:pPr>
      <w:r>
        <w:rPr>
          <w:rFonts w:hint="default" w:ascii="仿宋_GB2312" w:hAnsi="Times New Roman" w:eastAsia="仿宋_GB2312" w:cs="Times New Roman"/>
          <w:sz w:val="32"/>
          <w:szCs w:val="32"/>
          <w:lang w:val="en-US" w:eastAsia="zh-CN"/>
        </w:rPr>
        <w:t>项目总体目标设定为“通过运维服务、信息安全服务及专家论证等，加强设备维护、技术培训、故障处理、安全措施，保障医疗保障信息系统在2022年（或项目期内）安全、平稳、连续运行，满足经办人员业务需要，提高效率，保证全市医疗保障工作正常开展，保障参保人员、医疗救助人员权益，提升人民群众办理医疗保障有关事务的满意度和获得感”，</w:t>
      </w:r>
      <w:r>
        <w:rPr>
          <w:rFonts w:hint="eastAsia" w:ascii="仿宋_GB2312" w:hAnsi="Times New Roman" w:eastAsia="仿宋_GB2312" w:cs="Times New Roman"/>
          <w:sz w:val="32"/>
          <w:szCs w:val="32"/>
          <w:lang w:val="en-US" w:eastAsia="zh-CN"/>
        </w:rPr>
        <w:t>总体目标内容</w:t>
      </w:r>
      <w:r>
        <w:rPr>
          <w:rFonts w:hint="default" w:ascii="仿宋_GB2312" w:hAnsi="Times New Roman" w:eastAsia="仿宋_GB2312" w:cs="Times New Roman"/>
          <w:sz w:val="32"/>
          <w:szCs w:val="32"/>
          <w:lang w:val="en-US" w:eastAsia="zh-CN"/>
        </w:rPr>
        <w:t>与建立京津冀异地门诊就医直接结算机制，加强异地就医管理服务水平等项目实际内容</w:t>
      </w:r>
      <w:r>
        <w:rPr>
          <w:rFonts w:hint="eastAsia" w:ascii="仿宋_GB2312" w:hAnsi="Times New Roman" w:eastAsia="仿宋_GB2312" w:cs="Times New Roman"/>
          <w:sz w:val="32"/>
          <w:szCs w:val="32"/>
          <w:lang w:val="en-US" w:eastAsia="zh-CN"/>
        </w:rPr>
        <w:t>的</w:t>
      </w:r>
      <w:r>
        <w:rPr>
          <w:rFonts w:hint="default" w:ascii="仿宋_GB2312" w:hAnsi="Times New Roman" w:eastAsia="仿宋_GB2312" w:cs="Times New Roman"/>
          <w:sz w:val="32"/>
          <w:szCs w:val="32"/>
          <w:lang w:val="en-US" w:eastAsia="zh-CN"/>
        </w:rPr>
        <w:t>关联不够紧密。</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lang w:val="en-US" w:eastAsia="zh-CN"/>
        </w:rPr>
        <w:t>2</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项目绩效指标设定需进一步完善</w:t>
      </w:r>
    </w:p>
    <w:bookmarkEnd w:id="12"/>
    <w:bookmarkEnd w:id="13"/>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项目产出数量指标设定为“涉及新建子系统数量4个</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涉及改造子系统数量5个；完成二级以上医疗机构数量≥200家；实施部署医疗机构数量≥2700家”，指标设定未涵盖项目</w:t>
      </w:r>
      <w:r>
        <w:rPr>
          <w:rFonts w:hint="eastAsia" w:ascii="仿宋_GB2312" w:hAnsi="Times New Roman" w:eastAsia="仿宋_GB2312" w:cs="Times New Roman"/>
          <w:sz w:val="32"/>
          <w:szCs w:val="32"/>
          <w:lang w:val="en-US" w:eastAsia="zh-CN"/>
        </w:rPr>
        <w:t>本年度需完成药店端门诊子系统开发的药店数量</w:t>
      </w:r>
      <w:r>
        <w:rPr>
          <w:rFonts w:hint="eastAsia" w:ascii="仿宋_GB2312" w:hAnsi="Times New Roman" w:eastAsia="仿宋_GB2312" w:cs="Times New Roman"/>
          <w:sz w:val="32"/>
          <w:szCs w:val="32"/>
        </w:rPr>
        <w:t>。</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项目产出质量指标设定为“系统正常运行率≥95%；系统验收合格率100%；服务请求响应率≥98%；故障排除率≥95%”，</w:t>
      </w:r>
      <w:r>
        <w:rPr>
          <w:rFonts w:hint="eastAsia" w:ascii="仿宋_GB2312" w:hAnsi="Times New Roman" w:eastAsia="仿宋_GB2312" w:cs="Times New Roman"/>
          <w:sz w:val="32"/>
          <w:szCs w:val="32"/>
          <w:lang w:val="en-US" w:eastAsia="zh-CN"/>
        </w:rPr>
        <w:t>其中</w:t>
      </w:r>
      <w:r>
        <w:rPr>
          <w:rFonts w:hint="eastAsia" w:ascii="仿宋_GB2312" w:hAnsi="Times New Roman" w:eastAsia="仿宋_GB2312" w:cs="Times New Roman"/>
          <w:sz w:val="32"/>
          <w:szCs w:val="32"/>
        </w:rPr>
        <w:t>服务请求响应率设定偏低，应达到100%</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故障排除率应细化故障等级</w:t>
      </w:r>
      <w:r>
        <w:rPr>
          <w:rFonts w:hint="eastAsia" w:ascii="仿宋_GB2312" w:hAnsi="Times New Roman" w:eastAsia="仿宋_GB2312" w:cs="Times New Roman"/>
          <w:sz w:val="32"/>
          <w:szCs w:val="32"/>
        </w:rPr>
        <w:t>。</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项目产出进度指标设定为“验收时间2022年12月前；二级以上医疗机构完成时间2022年2月前”，未反映2022年度项目资金支付、项目初验、终验等重要工作环节的时间节点。</w:t>
      </w:r>
    </w:p>
    <w:p>
      <w:pPr>
        <w:ind w:firstLine="640" w:firstLineChars="200"/>
        <w:outlineLvl w:val="1"/>
        <w:rPr>
          <w:rFonts w:ascii="仿宋_GB2312" w:hAnsi="Times New Roman" w:eastAsia="仿宋_GB2312" w:cs="Times New Roman"/>
          <w:sz w:val="32"/>
          <w:szCs w:val="32"/>
        </w:rPr>
      </w:pPr>
      <w:bookmarkStart w:id="14" w:name="_Toc3493"/>
      <w:r>
        <w:rPr>
          <w:rFonts w:hint="eastAsia" w:ascii="仿宋_GB2312" w:hAnsi="Times New Roman" w:eastAsia="仿宋_GB2312" w:cs="Times New Roman"/>
          <w:sz w:val="32"/>
          <w:szCs w:val="32"/>
        </w:rPr>
        <w:t>（二）项目</w:t>
      </w:r>
      <w:r>
        <w:rPr>
          <w:rFonts w:hint="eastAsia" w:ascii="仿宋_GB2312" w:hAnsi="Times New Roman" w:eastAsia="仿宋_GB2312" w:cs="Times New Roman"/>
          <w:sz w:val="32"/>
          <w:szCs w:val="32"/>
          <w:lang w:val="en-US" w:eastAsia="zh-CN"/>
        </w:rPr>
        <w:t>过程</w:t>
      </w:r>
      <w:r>
        <w:rPr>
          <w:rFonts w:hint="eastAsia" w:ascii="仿宋_GB2312" w:hAnsi="Times New Roman" w:eastAsia="仿宋_GB2312" w:cs="Times New Roman"/>
          <w:sz w:val="32"/>
          <w:szCs w:val="32"/>
        </w:rPr>
        <w:t>情况</w:t>
      </w:r>
      <w:bookmarkEnd w:id="14"/>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1</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资金管理情况</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项目预算资金373.750805万元，由北京市财政局拨付到位。202</w:t>
      </w: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rPr>
        <w:t>年度支付373.750805万元，项目预算执行率1</w:t>
      </w:r>
      <w:r>
        <w:rPr>
          <w:rFonts w:ascii="仿宋_GB2312" w:hAnsi="Times New Roman" w:eastAsia="仿宋_GB2312" w:cs="Times New Roman"/>
          <w:sz w:val="32"/>
          <w:szCs w:val="32"/>
        </w:rPr>
        <w:t>00</w:t>
      </w:r>
      <w:r>
        <w:rPr>
          <w:rFonts w:hint="eastAsia" w:ascii="仿宋_GB2312" w:hAnsi="Times New Roman" w:eastAsia="仿宋_GB2312" w:cs="Times New Roman"/>
          <w:sz w:val="32"/>
          <w:szCs w:val="32"/>
        </w:rPr>
        <w:t>%。</w:t>
      </w:r>
      <w:r>
        <w:rPr>
          <w:rFonts w:hint="eastAsia" w:ascii="仿宋_GB2312" w:hAnsi="Times New Roman" w:eastAsia="仿宋_GB2312" w:cs="Times New Roman"/>
          <w:sz w:val="32"/>
          <w:szCs w:val="32"/>
          <w:lang w:val="en-US" w:eastAsia="zh-CN"/>
        </w:rPr>
        <w:t>资金依据合同约定的支付条件，在项目验收合格后予以支付，并</w:t>
      </w:r>
      <w:r>
        <w:rPr>
          <w:rFonts w:hint="eastAsia" w:ascii="仿宋_GB2312" w:hAnsi="Times New Roman" w:eastAsia="仿宋_GB2312" w:cs="Times New Roman"/>
          <w:sz w:val="32"/>
          <w:szCs w:val="32"/>
        </w:rPr>
        <w:t>严格按照本单位资金支出管理制度履行了审批程序，</w:t>
      </w:r>
      <w:r>
        <w:rPr>
          <w:rFonts w:hint="eastAsia" w:ascii="仿宋_GB2312" w:hAnsi="Times New Roman" w:eastAsia="仿宋_GB2312" w:cs="Times New Roman"/>
          <w:sz w:val="32"/>
          <w:szCs w:val="32"/>
          <w:lang w:val="en-US" w:eastAsia="zh-CN"/>
        </w:rPr>
        <w:t>资金</w:t>
      </w:r>
      <w:r>
        <w:rPr>
          <w:rFonts w:hint="eastAsia" w:ascii="仿宋_GB2312" w:hAnsi="Times New Roman" w:eastAsia="仿宋_GB2312" w:cs="Times New Roman"/>
          <w:sz w:val="32"/>
          <w:szCs w:val="32"/>
        </w:rPr>
        <w:t>用途与预算批复用途一致。</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2</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rPr>
        <w:t>组织实施情况</w:t>
      </w:r>
    </w:p>
    <w:p>
      <w:pPr>
        <w:ind w:firstLine="640" w:firstLineChars="200"/>
        <w:outlineLvl w:val="9"/>
        <w:rPr>
          <w:rFonts w:ascii="仿宋_GB2312" w:hAnsi="Times New Roman" w:eastAsia="仿宋_GB2312" w:cs="Times New Roman"/>
          <w:sz w:val="32"/>
          <w:szCs w:val="32"/>
        </w:rPr>
      </w:pPr>
      <w:bookmarkStart w:id="15" w:name="_Toc71641755"/>
      <w:bookmarkStart w:id="16" w:name="_Toc71642661"/>
      <w:r>
        <w:rPr>
          <w:rFonts w:hint="eastAsia" w:ascii="仿宋_GB2312" w:hAnsi="Times New Roman" w:eastAsia="仿宋_GB2312" w:cs="Times New Roman"/>
          <w:sz w:val="32"/>
          <w:szCs w:val="32"/>
        </w:rPr>
        <w:t>该项目</w:t>
      </w:r>
      <w:r>
        <w:rPr>
          <w:rFonts w:hint="eastAsia" w:ascii="仿宋_GB2312" w:hAnsi="Times New Roman" w:eastAsia="仿宋_GB2312" w:cs="Times New Roman"/>
          <w:sz w:val="32"/>
          <w:szCs w:val="32"/>
          <w:lang w:val="en-US" w:eastAsia="zh-CN"/>
        </w:rPr>
        <w:t>立项、</w:t>
      </w:r>
      <w:r>
        <w:rPr>
          <w:rFonts w:hint="eastAsia" w:ascii="仿宋_GB2312" w:hAnsi="Times New Roman" w:eastAsia="仿宋_GB2312" w:cs="Times New Roman"/>
          <w:sz w:val="32"/>
          <w:szCs w:val="32"/>
        </w:rPr>
        <w:t>预算编制、</w:t>
      </w:r>
      <w:r>
        <w:rPr>
          <w:rFonts w:hint="eastAsia" w:ascii="仿宋_GB2312" w:hAnsi="Times New Roman" w:eastAsia="仿宋_GB2312" w:cs="Times New Roman"/>
          <w:sz w:val="32"/>
          <w:szCs w:val="32"/>
          <w:lang w:val="en-US" w:eastAsia="zh-CN"/>
        </w:rPr>
        <w:t>招标</w:t>
      </w:r>
      <w:r>
        <w:rPr>
          <w:rFonts w:hint="eastAsia" w:ascii="仿宋_GB2312" w:hAnsi="Times New Roman" w:eastAsia="仿宋_GB2312" w:cs="Times New Roman"/>
          <w:sz w:val="32"/>
          <w:szCs w:val="32"/>
        </w:rPr>
        <w:t>、合同签订、</w:t>
      </w:r>
      <w:r>
        <w:rPr>
          <w:rFonts w:hint="eastAsia" w:ascii="仿宋_GB2312" w:hAnsi="Times New Roman" w:eastAsia="仿宋_GB2312" w:cs="Times New Roman"/>
          <w:sz w:val="32"/>
          <w:szCs w:val="32"/>
          <w:lang w:val="en-US" w:eastAsia="zh-CN"/>
        </w:rPr>
        <w:t>项目验收、</w:t>
      </w:r>
      <w:r>
        <w:rPr>
          <w:rFonts w:hint="eastAsia" w:ascii="仿宋_GB2312" w:hAnsi="Times New Roman" w:eastAsia="仿宋_GB2312" w:cs="Times New Roman"/>
          <w:sz w:val="32"/>
          <w:szCs w:val="32"/>
        </w:rPr>
        <w:t>资金支付等方面均严格按</w:t>
      </w:r>
      <w:r>
        <w:rPr>
          <w:rFonts w:hint="eastAsia" w:ascii="仿宋_GB2312" w:hAnsi="Times New Roman" w:eastAsia="仿宋_GB2312" w:cs="Times New Roman"/>
          <w:sz w:val="32"/>
          <w:szCs w:val="32"/>
          <w:lang w:val="en-US" w:eastAsia="zh-CN"/>
        </w:rPr>
        <w:t>政策要求及</w:t>
      </w:r>
      <w:r>
        <w:rPr>
          <w:rFonts w:hint="eastAsia" w:ascii="仿宋_GB2312" w:hAnsi="Times New Roman" w:eastAsia="仿宋_GB2312" w:cs="Times New Roman"/>
          <w:sz w:val="32"/>
          <w:szCs w:val="32"/>
        </w:rPr>
        <w:t>市医保局内控制度执行。</w:t>
      </w:r>
      <w:bookmarkEnd w:id="15"/>
      <w:bookmarkEnd w:id="16"/>
      <w:r>
        <w:rPr>
          <w:rFonts w:hint="eastAsia" w:ascii="仿宋_GB2312" w:hAnsi="Times New Roman" w:eastAsia="仿宋_GB2312" w:cs="Times New Roman"/>
          <w:sz w:val="32"/>
          <w:szCs w:val="32"/>
          <w:lang w:val="en-US" w:eastAsia="zh-CN"/>
        </w:rPr>
        <w:t>市医保局成立了项目工作组，</w:t>
      </w:r>
      <w:r>
        <w:rPr>
          <w:rFonts w:hint="eastAsia" w:ascii="仿宋_GB2312" w:hAnsi="Times New Roman" w:eastAsia="仿宋_GB2312" w:cs="Times New Roman"/>
          <w:sz w:val="32"/>
          <w:szCs w:val="32"/>
        </w:rPr>
        <w:t>制定了《医疗保险信息系统升级改造项目工作实施方案》，明确了项目的总体要求、工作任务、职责分工、实施进度、项目监督管理及风险控制措施等</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同时要求受托方做好项目工作记录，填写《现场服务工作任务单》，用于对受托方的服务结果及效率进行监督管理</w:t>
      </w:r>
      <w:r>
        <w:rPr>
          <w:rFonts w:hint="eastAsia" w:ascii="仿宋_GB2312" w:hAnsi="Times New Roman" w:eastAsia="仿宋_GB2312" w:cs="Times New Roman"/>
          <w:sz w:val="32"/>
          <w:szCs w:val="32"/>
        </w:rPr>
        <w:t>。</w:t>
      </w:r>
      <w:r>
        <w:rPr>
          <w:rFonts w:hint="eastAsia" w:ascii="仿宋_GB2312" w:hAnsi="Times New Roman" w:eastAsia="仿宋_GB2312" w:cs="Times New Roman"/>
          <w:sz w:val="32"/>
          <w:szCs w:val="32"/>
          <w:lang w:val="en-US" w:eastAsia="zh-CN"/>
        </w:rPr>
        <w:t>另外</w:t>
      </w:r>
      <w:r>
        <w:rPr>
          <w:rFonts w:hint="eastAsia" w:ascii="仿宋_GB2312" w:hAnsi="Times New Roman" w:eastAsia="仿宋_GB2312" w:cs="Times New Roman"/>
          <w:sz w:val="32"/>
          <w:szCs w:val="32"/>
        </w:rPr>
        <w:t>按照市医保局采购管理暂行办法、合同管理制度等规范履行了采购程序，签订了经济合同</w:t>
      </w:r>
      <w:r>
        <w:rPr>
          <w:rFonts w:hint="eastAsia" w:ascii="仿宋_GB2312" w:hAnsi="Times New Roman" w:eastAsia="仿宋_GB2312" w:cs="Times New Roman"/>
          <w:sz w:val="32"/>
          <w:szCs w:val="32"/>
          <w:lang w:val="en-US" w:eastAsia="zh-CN"/>
        </w:rPr>
        <w:t>等</w:t>
      </w:r>
      <w:r>
        <w:rPr>
          <w:rFonts w:hint="eastAsia" w:ascii="仿宋_GB2312" w:hAnsi="Times New Roman" w:eastAsia="仿宋_GB2312" w:cs="Times New Roman"/>
          <w:sz w:val="32"/>
          <w:szCs w:val="32"/>
        </w:rPr>
        <w:t>。但在</w:t>
      </w:r>
      <w:r>
        <w:rPr>
          <w:rFonts w:hint="eastAsia" w:ascii="仿宋_GB2312" w:hAnsi="Times New Roman" w:eastAsia="仿宋_GB2312" w:cs="Times New Roman"/>
          <w:sz w:val="32"/>
          <w:szCs w:val="32"/>
          <w:lang w:val="en-US" w:eastAsia="zh-CN"/>
        </w:rPr>
        <w:t>工作实施方案及</w:t>
      </w:r>
      <w:r>
        <w:rPr>
          <w:rFonts w:hint="eastAsia" w:ascii="仿宋_GB2312" w:hAnsi="Times New Roman" w:eastAsia="仿宋_GB2312" w:cs="Times New Roman"/>
          <w:sz w:val="32"/>
          <w:szCs w:val="32"/>
        </w:rPr>
        <w:t>合同</w:t>
      </w:r>
      <w:r>
        <w:rPr>
          <w:rFonts w:hint="eastAsia" w:ascii="仿宋_GB2312" w:hAnsi="Times New Roman" w:eastAsia="仿宋_GB2312" w:cs="Times New Roman"/>
          <w:sz w:val="32"/>
          <w:szCs w:val="32"/>
          <w:lang w:val="en-US" w:eastAsia="zh-CN"/>
        </w:rPr>
        <w:t>内容</w:t>
      </w:r>
      <w:r>
        <w:rPr>
          <w:rFonts w:hint="eastAsia" w:ascii="仿宋_GB2312" w:hAnsi="Times New Roman" w:eastAsia="仿宋_GB2312" w:cs="Times New Roman"/>
          <w:sz w:val="32"/>
          <w:szCs w:val="32"/>
        </w:rPr>
        <w:t>方面存在不足，具体如下：</w:t>
      </w:r>
    </w:p>
    <w:p>
      <w:pPr>
        <w:ind w:firstLine="640" w:firstLineChars="200"/>
        <w:outlineLvl w:val="9"/>
        <w:rPr>
          <w:rFonts w:hint="default" w:ascii="仿宋_GB2312" w:hAnsi="Times New Roman" w:eastAsia="仿宋_GB2312" w:cs="Times New Roman"/>
          <w:sz w:val="32"/>
          <w:szCs w:val="32"/>
          <w:lang w:val="en-US" w:eastAsia="zh-CN"/>
        </w:rPr>
      </w:pPr>
      <w:r>
        <w:rPr>
          <w:rFonts w:hint="eastAsia" w:ascii="仿宋_GB2312" w:hAnsi="Times New Roman" w:eastAsia="仿宋_GB2312" w:cs="Times New Roman"/>
          <w:sz w:val="32"/>
          <w:szCs w:val="32"/>
        </w:rPr>
        <w:t>1.</w:t>
      </w:r>
      <w:r>
        <w:rPr>
          <w:rFonts w:hint="eastAsia" w:ascii="仿宋_GB2312" w:hAnsi="Times New Roman" w:eastAsia="仿宋_GB2312" w:cs="Times New Roman"/>
          <w:sz w:val="32"/>
          <w:szCs w:val="32"/>
          <w:lang w:val="en-US" w:eastAsia="zh-CN"/>
        </w:rPr>
        <w:t>工作</w:t>
      </w:r>
      <w:r>
        <w:rPr>
          <w:rFonts w:hint="eastAsia" w:ascii="仿宋_GB2312" w:hAnsi="Times New Roman" w:eastAsia="仿宋_GB2312" w:cs="Times New Roman"/>
          <w:sz w:val="32"/>
          <w:szCs w:val="32"/>
        </w:rPr>
        <w:t>实施方案</w:t>
      </w:r>
      <w:r>
        <w:rPr>
          <w:rFonts w:hint="eastAsia" w:ascii="仿宋_GB2312" w:hAnsi="Times New Roman" w:eastAsia="仿宋_GB2312" w:cs="Times New Roman"/>
          <w:sz w:val="32"/>
          <w:szCs w:val="32"/>
          <w:lang w:val="en-US" w:eastAsia="zh-CN"/>
        </w:rPr>
        <w:t>内容不完善</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1</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项目实施方案未根据项目延期情况</w:t>
      </w:r>
      <w:r>
        <w:rPr>
          <w:rFonts w:hint="eastAsia" w:ascii="仿宋_GB2312" w:hAnsi="Times New Roman" w:eastAsia="仿宋_GB2312" w:cs="Times New Roman"/>
          <w:sz w:val="32"/>
          <w:szCs w:val="32"/>
          <w:lang w:val="en-US" w:eastAsia="zh-CN"/>
        </w:rPr>
        <w:t>及时</w:t>
      </w:r>
      <w:r>
        <w:rPr>
          <w:rFonts w:hint="eastAsia" w:ascii="仿宋_GB2312" w:hAnsi="Times New Roman" w:eastAsia="仿宋_GB2312" w:cs="Times New Roman"/>
          <w:sz w:val="32"/>
          <w:szCs w:val="32"/>
        </w:rPr>
        <w:t>进行调整。该项目2022年1月26日签订补充协议，对原合同中服务期限及尾款付款条件等条款进行了补充修</w:t>
      </w:r>
      <w:r>
        <w:rPr>
          <w:rFonts w:hint="eastAsia" w:ascii="仿宋_GB2312" w:hAnsi="Times New Roman" w:eastAsia="仿宋_GB2312" w:cs="Times New Roman"/>
          <w:sz w:val="32"/>
          <w:szCs w:val="32"/>
          <w:lang w:val="en-US" w:eastAsia="zh-CN"/>
        </w:rPr>
        <w:t>订</w:t>
      </w:r>
      <w:r>
        <w:rPr>
          <w:rFonts w:hint="eastAsia" w:ascii="仿宋_GB2312" w:hAnsi="Times New Roman" w:eastAsia="仿宋_GB2312" w:cs="Times New Roman"/>
          <w:sz w:val="32"/>
          <w:szCs w:val="32"/>
        </w:rPr>
        <w:t>，服务期限延期至2022年11月22日，但未针对项目延期事项调整、</w:t>
      </w:r>
      <w:r>
        <w:rPr>
          <w:rFonts w:hint="eastAsia" w:ascii="仿宋_GB2312" w:hAnsi="Times New Roman" w:eastAsia="仿宋_GB2312" w:cs="Times New Roman"/>
          <w:sz w:val="32"/>
          <w:szCs w:val="32"/>
          <w:lang w:val="en-US" w:eastAsia="zh-CN"/>
        </w:rPr>
        <w:t>修订</w:t>
      </w:r>
      <w:r>
        <w:rPr>
          <w:rFonts w:hint="eastAsia" w:ascii="仿宋_GB2312" w:hAnsi="Times New Roman" w:eastAsia="仿宋_GB2312" w:cs="Times New Roman"/>
          <w:sz w:val="32"/>
          <w:szCs w:val="32"/>
        </w:rPr>
        <w:t>项目实施方案。</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项目实施方案风险控制措施不完善。项目实施方案</w:t>
      </w:r>
      <w:r>
        <w:rPr>
          <w:rFonts w:hint="eastAsia" w:ascii="仿宋_GB2312" w:hAnsi="Times New Roman" w:eastAsia="仿宋_GB2312" w:cs="Times New Roman"/>
          <w:sz w:val="32"/>
          <w:szCs w:val="32"/>
          <w:lang w:val="en-US" w:eastAsia="zh-CN"/>
        </w:rPr>
        <w:t>的</w:t>
      </w:r>
      <w:r>
        <w:rPr>
          <w:rFonts w:hint="eastAsia" w:ascii="仿宋_GB2312" w:hAnsi="Times New Roman" w:eastAsia="仿宋_GB2312" w:cs="Times New Roman"/>
          <w:sz w:val="32"/>
          <w:szCs w:val="32"/>
        </w:rPr>
        <w:t>成本和风险控制措施中规定“严格把控项目进度，加强技术部门与业务部门沟通衔接，定期检查项目进展，计划外事宜及时沟通明确，避免出现工期延期”，但未明确针对项目出现延期</w:t>
      </w:r>
      <w:r>
        <w:rPr>
          <w:rFonts w:hint="eastAsia" w:ascii="仿宋_GB2312" w:hAnsi="Times New Roman" w:eastAsia="仿宋_GB2312" w:cs="Times New Roman"/>
          <w:sz w:val="32"/>
          <w:szCs w:val="32"/>
          <w:lang w:val="en-US" w:eastAsia="zh-CN"/>
        </w:rPr>
        <w:t>等</w:t>
      </w:r>
      <w:r>
        <w:rPr>
          <w:rFonts w:hint="eastAsia" w:ascii="仿宋_GB2312" w:hAnsi="Times New Roman" w:eastAsia="仿宋_GB2312" w:cs="Times New Roman"/>
          <w:sz w:val="32"/>
          <w:szCs w:val="32"/>
        </w:rPr>
        <w:t>情况的应对措施。</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rPr>
        <w:t>合同方面存在的问题</w:t>
      </w:r>
    </w:p>
    <w:p>
      <w:pPr>
        <w:ind w:firstLine="640" w:firstLineChars="200"/>
        <w:outlineLvl w:val="9"/>
        <w:rPr>
          <w:rFonts w:hint="eastAsia" w:ascii="仿宋_GB2312" w:hAnsi="Times New Roman" w:eastAsia="仿宋_GB2312" w:cs="Times New Roman"/>
          <w:sz w:val="32"/>
          <w:szCs w:val="32"/>
          <w:lang w:eastAsia="zh-CN"/>
        </w:rPr>
      </w:pP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1</w:t>
      </w:r>
      <w:r>
        <w:rPr>
          <w:rFonts w:hint="eastAsia" w:ascii="仿宋_GB2312" w:hAnsi="Times New Roman" w:eastAsia="仿宋_GB2312" w:cs="Times New Roman"/>
          <w:sz w:val="32"/>
          <w:szCs w:val="32"/>
          <w:lang w:eastAsia="zh-CN"/>
        </w:rPr>
        <w:t>）合同约定内容不全面。《升级改造服务合同》第二条约定“服务期自本合生效之日起1年。本项目售后服务期2年，自本项目通过最终验收之日起计算”。双方未约定扣留质保金，不利于市医保局在项目售后服务期内</w:t>
      </w:r>
      <w:r>
        <w:rPr>
          <w:rFonts w:hint="eastAsia" w:ascii="仿宋_GB2312" w:hAnsi="Times New Roman" w:eastAsia="仿宋_GB2312" w:cs="Times New Roman"/>
          <w:sz w:val="32"/>
          <w:szCs w:val="32"/>
          <w:lang w:val="en-US" w:eastAsia="zh-CN"/>
        </w:rPr>
        <w:t>对受托方的服务质量</w:t>
      </w:r>
      <w:r>
        <w:rPr>
          <w:rFonts w:hint="eastAsia" w:ascii="仿宋_GB2312" w:hAnsi="Times New Roman" w:eastAsia="仿宋_GB2312" w:cs="Times New Roman"/>
          <w:sz w:val="32"/>
          <w:szCs w:val="32"/>
          <w:lang w:eastAsia="zh-CN"/>
        </w:rPr>
        <w:t>实施监管和考核。</w:t>
      </w:r>
    </w:p>
    <w:p>
      <w:pPr>
        <w:ind w:firstLine="640" w:firstLineChars="200"/>
        <w:outlineLvl w:val="9"/>
        <w:rPr>
          <w:rFonts w:hint="eastAsia" w:ascii="仿宋_GB2312" w:hAnsi="Times New Roman" w:eastAsia="仿宋_GB2312" w:cs="Times New Roman"/>
          <w:sz w:val="32"/>
          <w:szCs w:val="32"/>
          <w:lang w:eastAsia="zh-CN"/>
        </w:rPr>
      </w:pP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2</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合</w:t>
      </w:r>
      <w:r>
        <w:rPr>
          <w:rFonts w:hint="eastAsia" w:ascii="仿宋_GB2312" w:hAnsi="Times New Roman" w:eastAsia="仿宋_GB2312" w:cs="Times New Roman"/>
          <w:sz w:val="32"/>
          <w:szCs w:val="32"/>
          <w:lang w:eastAsia="zh-CN"/>
        </w:rPr>
        <w:t>同首付款比例过高。</w:t>
      </w:r>
      <w:r>
        <w:rPr>
          <w:rFonts w:hint="eastAsia" w:ascii="仿宋_GB2312" w:hAnsi="Times New Roman" w:eastAsia="仿宋_GB2312" w:cs="Times New Roman"/>
          <w:sz w:val="32"/>
          <w:szCs w:val="32"/>
          <w:lang w:val="en-US" w:eastAsia="zh-CN"/>
        </w:rPr>
        <w:t>市医保局与</w:t>
      </w:r>
      <w:r>
        <w:rPr>
          <w:rFonts w:hint="eastAsia" w:ascii="仿宋_GB2312" w:hAnsi="Times New Roman" w:eastAsia="仿宋_GB2312" w:cs="Times New Roman"/>
          <w:sz w:val="32"/>
          <w:szCs w:val="32"/>
          <w:lang w:eastAsia="zh-CN"/>
        </w:rPr>
        <w:t>首都信息发展股份有限公司</w:t>
      </w:r>
      <w:r>
        <w:rPr>
          <w:rFonts w:hint="eastAsia" w:ascii="仿宋_GB2312" w:hAnsi="Times New Roman" w:eastAsia="仿宋_GB2312" w:cs="Times New Roman"/>
          <w:sz w:val="32"/>
          <w:szCs w:val="32"/>
          <w:lang w:val="en-US" w:eastAsia="zh-CN"/>
        </w:rPr>
        <w:t>于</w:t>
      </w:r>
      <w:r>
        <w:rPr>
          <w:rFonts w:hint="eastAsia" w:ascii="仿宋_GB2312" w:hAnsi="Times New Roman" w:eastAsia="仿宋_GB2312" w:cs="Times New Roman"/>
          <w:sz w:val="32"/>
          <w:szCs w:val="32"/>
          <w:lang w:eastAsia="zh-CN"/>
        </w:rPr>
        <w:t>2020年12月21日签订</w:t>
      </w:r>
      <w:r>
        <w:rPr>
          <w:rFonts w:hint="eastAsia" w:ascii="仿宋_GB2312" w:hAnsi="Times New Roman" w:eastAsia="仿宋_GB2312" w:cs="Times New Roman"/>
          <w:sz w:val="32"/>
          <w:szCs w:val="32"/>
          <w:lang w:val="en-US" w:eastAsia="zh-CN"/>
        </w:rPr>
        <w:t>了</w:t>
      </w:r>
      <w:r>
        <w:rPr>
          <w:rFonts w:hint="eastAsia" w:ascii="仿宋_GB2312" w:hAnsi="Times New Roman" w:eastAsia="仿宋_GB2312" w:cs="Times New Roman"/>
          <w:sz w:val="32"/>
          <w:szCs w:val="32"/>
          <w:lang w:eastAsia="zh-CN"/>
        </w:rPr>
        <w:t>《升级改造服务合同》，</w:t>
      </w:r>
      <w:r>
        <w:rPr>
          <w:rFonts w:hint="eastAsia" w:ascii="仿宋_GB2312" w:hAnsi="Times New Roman" w:eastAsia="仿宋_GB2312" w:cs="Times New Roman"/>
          <w:sz w:val="32"/>
          <w:szCs w:val="32"/>
          <w:lang w:val="en-US" w:eastAsia="zh-CN"/>
        </w:rPr>
        <w:t>合同</w:t>
      </w:r>
      <w:r>
        <w:rPr>
          <w:rFonts w:hint="eastAsia" w:ascii="仿宋_GB2312" w:hAnsi="Times New Roman" w:eastAsia="仿宋_GB2312" w:cs="Times New Roman"/>
          <w:sz w:val="32"/>
          <w:szCs w:val="32"/>
          <w:lang w:eastAsia="zh-CN"/>
        </w:rPr>
        <w:t>总金额为1920.9665万元，合同约定2020年内支付合同首付款1547.215695万元，合同首付款比例约为80.54%，</w:t>
      </w:r>
      <w:r>
        <w:rPr>
          <w:rFonts w:hint="eastAsia" w:ascii="仿宋_GB2312" w:hAnsi="Times New Roman" w:eastAsia="仿宋_GB2312" w:cs="Times New Roman"/>
          <w:sz w:val="32"/>
          <w:szCs w:val="32"/>
          <w:lang w:val="en-US" w:eastAsia="zh-CN"/>
        </w:rPr>
        <w:t>与合同实施进度不匹配</w:t>
      </w:r>
      <w:r>
        <w:rPr>
          <w:rFonts w:hint="eastAsia" w:ascii="仿宋_GB2312" w:hAnsi="Times New Roman" w:eastAsia="仿宋_GB2312" w:cs="Times New Roman"/>
          <w:sz w:val="32"/>
          <w:szCs w:val="32"/>
          <w:lang w:eastAsia="zh-CN"/>
        </w:rPr>
        <w:t>。</w:t>
      </w:r>
    </w:p>
    <w:p>
      <w:pPr>
        <w:ind w:firstLine="640" w:firstLineChars="200"/>
        <w:outlineLvl w:val="1"/>
        <w:rPr>
          <w:rFonts w:ascii="仿宋_GB2312" w:hAnsi="Times New Roman" w:eastAsia="仿宋_GB2312" w:cs="Times New Roman"/>
          <w:sz w:val="32"/>
          <w:szCs w:val="32"/>
        </w:rPr>
      </w:pPr>
      <w:bookmarkStart w:id="17" w:name="_Toc10650"/>
      <w:r>
        <w:rPr>
          <w:rFonts w:hint="eastAsia" w:ascii="仿宋_GB2312" w:hAnsi="Times New Roman" w:eastAsia="仿宋_GB2312" w:cs="Times New Roman"/>
          <w:sz w:val="32"/>
          <w:szCs w:val="32"/>
        </w:rPr>
        <w:t>（三）项目产出情况</w:t>
      </w:r>
      <w:bookmarkEnd w:id="17"/>
    </w:p>
    <w:p>
      <w:pPr>
        <w:ind w:firstLine="640" w:firstLineChars="200"/>
        <w:outlineLvl w:val="9"/>
        <w:rPr>
          <w:rFonts w:ascii="仿宋_GB2312" w:hAnsi="Times New Roman" w:eastAsia="仿宋_GB2312" w:cs="Times New Roman"/>
          <w:sz w:val="32"/>
          <w:szCs w:val="32"/>
        </w:rPr>
      </w:pPr>
      <w:bookmarkStart w:id="18" w:name="_Toc71642663"/>
      <w:bookmarkStart w:id="19" w:name="_Toc71641757"/>
      <w:r>
        <w:rPr>
          <w:rFonts w:hint="eastAsia" w:ascii="仿宋_GB2312" w:hAnsi="Times New Roman" w:eastAsia="仿宋_GB2312" w:cs="Times New Roman"/>
          <w:sz w:val="32"/>
          <w:szCs w:val="32"/>
        </w:rPr>
        <w:t>1.产出数量指标情况：</w:t>
      </w:r>
      <w:bookmarkEnd w:id="18"/>
      <w:bookmarkEnd w:id="19"/>
      <w:r>
        <w:rPr>
          <w:rFonts w:hint="eastAsia" w:ascii="仿宋_GB2312" w:hAnsi="Times New Roman" w:eastAsia="仿宋_GB2312" w:cs="Times New Roman"/>
          <w:sz w:val="32"/>
          <w:szCs w:val="32"/>
        </w:rPr>
        <w:t>截止2022年12月31日，完成新建子系统数量4个，改造子系统数量5个，完成二级以上医疗机构数量261家，实施部署医疗机构数量3492家，已按照计划的工作进度完成当年工作。</w:t>
      </w:r>
    </w:p>
    <w:p>
      <w:pPr>
        <w:ind w:firstLine="640" w:firstLineChars="200"/>
        <w:outlineLvl w:val="9"/>
        <w:rPr>
          <w:rFonts w:ascii="仿宋_GB2312" w:hAnsi="Times New Roman" w:eastAsia="仿宋_GB2312" w:cs="Times New Roman"/>
          <w:sz w:val="32"/>
          <w:szCs w:val="32"/>
        </w:rPr>
      </w:pPr>
      <w:bookmarkStart w:id="20" w:name="_Toc71642664"/>
      <w:bookmarkStart w:id="21" w:name="_Toc71641758"/>
      <w:r>
        <w:rPr>
          <w:rFonts w:hint="eastAsia" w:ascii="仿宋_GB2312" w:hAnsi="Times New Roman" w:eastAsia="仿宋_GB2312" w:cs="Times New Roman"/>
          <w:sz w:val="32"/>
          <w:szCs w:val="32"/>
        </w:rPr>
        <w:t>2.产出质量指标情况：</w:t>
      </w:r>
      <w:bookmarkEnd w:id="20"/>
      <w:bookmarkEnd w:id="21"/>
      <w:r>
        <w:rPr>
          <w:rFonts w:hint="eastAsia" w:ascii="仿宋_GB2312" w:hAnsi="Times New Roman" w:eastAsia="仿宋_GB2312" w:cs="Times New Roman"/>
          <w:sz w:val="32"/>
          <w:szCs w:val="32"/>
        </w:rPr>
        <w:t>项目单位在合同签订后，对</w:t>
      </w:r>
      <w:r>
        <w:rPr>
          <w:rFonts w:hint="eastAsia" w:ascii="仿宋_GB2312" w:hAnsi="Times New Roman" w:eastAsia="仿宋_GB2312" w:cs="Times New Roman"/>
          <w:sz w:val="32"/>
          <w:szCs w:val="32"/>
          <w:lang w:val="en-US" w:eastAsia="zh-CN"/>
        </w:rPr>
        <w:t>受托方服务</w:t>
      </w:r>
      <w:r>
        <w:rPr>
          <w:rFonts w:hint="eastAsia" w:ascii="仿宋_GB2312" w:hAnsi="Times New Roman" w:eastAsia="仿宋_GB2312" w:cs="Times New Roman"/>
          <w:sz w:val="32"/>
          <w:szCs w:val="32"/>
        </w:rPr>
        <w:t>情况进行了有效监督</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系统验收合格率100%，系统正常运行率100%，服务请求响应率98.64%，故障排除率100%</w:t>
      </w:r>
      <w:r>
        <w:rPr>
          <w:rFonts w:hint="eastAsia" w:ascii="仿宋_GB2312" w:hAnsi="Times New Roman" w:eastAsia="仿宋_GB2312" w:cs="Times New Roman"/>
          <w:sz w:val="32"/>
          <w:szCs w:val="32"/>
          <w:lang w:eastAsia="zh-CN"/>
        </w:rPr>
        <w:t>，质量指标均达到绩效目标</w:t>
      </w:r>
      <w:r>
        <w:rPr>
          <w:rFonts w:hint="eastAsia" w:ascii="仿宋_GB2312" w:hAnsi="Times New Roman" w:eastAsia="仿宋_GB2312" w:cs="Times New Roman"/>
          <w:sz w:val="32"/>
          <w:szCs w:val="32"/>
        </w:rPr>
        <w:t>。</w:t>
      </w:r>
    </w:p>
    <w:p>
      <w:pPr>
        <w:ind w:firstLine="640" w:firstLineChars="200"/>
        <w:outlineLvl w:val="9"/>
        <w:rPr>
          <w:rFonts w:ascii="仿宋_GB2312" w:hAnsi="Times New Roman" w:eastAsia="仿宋_GB2312" w:cs="Times New Roman"/>
          <w:sz w:val="32"/>
          <w:szCs w:val="32"/>
        </w:rPr>
      </w:pPr>
      <w:bookmarkStart w:id="22" w:name="_Toc71641759"/>
      <w:bookmarkStart w:id="23" w:name="_Toc71642665"/>
      <w:r>
        <w:rPr>
          <w:rFonts w:hint="eastAsia" w:ascii="仿宋_GB2312" w:hAnsi="Times New Roman" w:eastAsia="仿宋_GB2312" w:cs="Times New Roman"/>
          <w:sz w:val="32"/>
          <w:szCs w:val="32"/>
        </w:rPr>
        <w:t>3.产出时效指标情况：本项目于2022年9月16日通过项目初步验收，经过2个月的试运行，系统运行平稳，于2022年11月17日通过了项目终验。上述工作的完成时间符合进度指标的设定。</w:t>
      </w:r>
      <w:bookmarkEnd w:id="22"/>
      <w:bookmarkEnd w:id="23"/>
    </w:p>
    <w:p>
      <w:pPr>
        <w:ind w:firstLine="640" w:firstLineChars="200"/>
        <w:outlineLvl w:val="9"/>
        <w:rPr>
          <w:rFonts w:ascii="仿宋_GB2312" w:hAnsi="Times New Roman" w:eastAsia="仿宋_GB2312" w:cs="Times New Roman"/>
          <w:sz w:val="32"/>
          <w:szCs w:val="32"/>
        </w:rPr>
      </w:pPr>
      <w:bookmarkStart w:id="24" w:name="_Toc71641760"/>
      <w:bookmarkStart w:id="25" w:name="_Toc71642666"/>
      <w:r>
        <w:rPr>
          <w:rFonts w:hint="eastAsia" w:ascii="仿宋_GB2312" w:hAnsi="Times New Roman" w:eastAsia="仿宋_GB2312" w:cs="Times New Roman"/>
          <w:sz w:val="32"/>
          <w:szCs w:val="32"/>
        </w:rPr>
        <w:t>4.产出成本指标情况：</w:t>
      </w:r>
      <w:bookmarkEnd w:id="24"/>
      <w:bookmarkEnd w:id="25"/>
      <w:r>
        <w:rPr>
          <w:rFonts w:hint="eastAsia" w:ascii="仿宋_GB2312" w:hAnsi="Times New Roman" w:eastAsia="仿宋_GB2312" w:cs="Times New Roman"/>
          <w:sz w:val="32"/>
          <w:szCs w:val="32"/>
        </w:rPr>
        <w:t>项目预算资金373.750805万元，实际支付资金373.750805万元，成本支出未超出预算控制总额。</w:t>
      </w:r>
    </w:p>
    <w:p>
      <w:pPr>
        <w:ind w:firstLine="640" w:firstLineChars="200"/>
        <w:outlineLvl w:val="1"/>
        <w:rPr>
          <w:rFonts w:ascii="仿宋_GB2312" w:hAnsi="Times New Roman" w:eastAsia="仿宋_GB2312" w:cs="Times New Roman"/>
          <w:sz w:val="32"/>
          <w:szCs w:val="32"/>
        </w:rPr>
      </w:pPr>
      <w:bookmarkStart w:id="26" w:name="_Toc7647"/>
      <w:r>
        <w:rPr>
          <w:rFonts w:hint="eastAsia" w:ascii="仿宋_GB2312" w:hAnsi="Times New Roman" w:eastAsia="仿宋_GB2312" w:cs="Times New Roman"/>
          <w:sz w:val="32"/>
          <w:szCs w:val="32"/>
        </w:rPr>
        <w:t>（四）项目效益情况</w:t>
      </w:r>
      <w:bookmarkEnd w:id="26"/>
    </w:p>
    <w:p>
      <w:pPr>
        <w:ind w:firstLine="640" w:firstLineChars="200"/>
        <w:outlineLvl w:val="9"/>
        <w:rPr>
          <w:rFonts w:ascii="仿宋_GB2312" w:hAnsi="Times New Roman" w:eastAsia="仿宋_GB2312" w:cs="Times New Roman"/>
          <w:sz w:val="32"/>
          <w:szCs w:val="32"/>
        </w:rPr>
      </w:pPr>
      <w:bookmarkStart w:id="27" w:name="_Toc71641762"/>
      <w:bookmarkStart w:id="28" w:name="_Toc71642668"/>
      <w:r>
        <w:rPr>
          <w:rFonts w:hint="eastAsia" w:ascii="仿宋_GB2312" w:hAnsi="Times New Roman" w:eastAsia="仿宋_GB2312" w:cs="Times New Roman"/>
          <w:sz w:val="32"/>
          <w:szCs w:val="32"/>
        </w:rPr>
        <w:t>项目实施响应了国家政策，完成医疗保险信息系统升级改造，建设了京津冀门诊异地就医实时结算系统，实现京津冀异地人员门诊医疗费用直接结算，提高门诊异地就医报销时效，有效减轻患者经济压力，提升医保基金使用效率</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规范了异地就医流程，加强异地就医管理服务，强化异地就医资金管理，推动京津冀卫生数据共享，提升了医疗服务能力和水平</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以及</w:t>
      </w:r>
      <w:r>
        <w:rPr>
          <w:rFonts w:hint="eastAsia" w:ascii="仿宋_GB2312" w:hAnsi="Times New Roman" w:eastAsia="仿宋_GB2312" w:cs="Times New Roman"/>
          <w:sz w:val="32"/>
          <w:szCs w:val="32"/>
          <w:lang w:eastAsia="zh-CN"/>
        </w:rPr>
        <w:t>群众的幸福感、获得感和安全感</w:t>
      </w:r>
      <w:r>
        <w:rPr>
          <w:rFonts w:hint="eastAsia" w:ascii="仿宋_GB2312" w:hAnsi="Times New Roman" w:eastAsia="仿宋_GB2312" w:cs="Times New Roman"/>
          <w:sz w:val="32"/>
          <w:szCs w:val="32"/>
        </w:rPr>
        <w:t>。</w:t>
      </w:r>
    </w:p>
    <w:bookmarkEnd w:id="27"/>
    <w:bookmarkEnd w:id="28"/>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项目单位同时对项目的服务对象进行了满意度调查，并进行</w:t>
      </w:r>
      <w:r>
        <w:rPr>
          <w:rFonts w:hint="eastAsia" w:ascii="仿宋_GB2312" w:hAnsi="Times New Roman" w:eastAsia="仿宋_GB2312" w:cs="Times New Roman"/>
          <w:sz w:val="32"/>
          <w:szCs w:val="32"/>
          <w:lang w:val="en-US" w:eastAsia="zh-CN"/>
        </w:rPr>
        <w:t>了</w:t>
      </w:r>
      <w:r>
        <w:rPr>
          <w:rFonts w:hint="eastAsia" w:ascii="仿宋_GB2312" w:hAnsi="Times New Roman" w:eastAsia="仿宋_GB2312" w:cs="Times New Roman"/>
          <w:sz w:val="32"/>
          <w:szCs w:val="32"/>
        </w:rPr>
        <w:t>汇总，服务对象满意度为98.62%，</w:t>
      </w:r>
      <w:r>
        <w:rPr>
          <w:rFonts w:hint="eastAsia" w:ascii="仿宋_GB2312" w:hAnsi="Times New Roman" w:eastAsia="仿宋_GB2312" w:cs="Times New Roman"/>
          <w:sz w:val="32"/>
          <w:szCs w:val="32"/>
          <w:lang w:val="en-US" w:eastAsia="zh-CN"/>
        </w:rPr>
        <w:t>达到</w:t>
      </w:r>
      <w:r>
        <w:rPr>
          <w:rFonts w:hint="eastAsia" w:ascii="仿宋_GB2312" w:hAnsi="Times New Roman" w:eastAsia="仿宋_GB2312" w:cs="Times New Roman"/>
          <w:sz w:val="32"/>
          <w:szCs w:val="32"/>
        </w:rPr>
        <w:t>满意度指标设定标准，但未针对未达到非常满意的情况及反馈意见进行整理、汇总、分析，并及时提出</w:t>
      </w:r>
      <w:r>
        <w:rPr>
          <w:rFonts w:hint="eastAsia" w:ascii="仿宋_GB2312" w:hAnsi="Times New Roman" w:eastAsia="仿宋_GB2312" w:cs="Times New Roman"/>
          <w:sz w:val="32"/>
          <w:szCs w:val="32"/>
          <w:lang w:val="en-US" w:eastAsia="zh-CN"/>
        </w:rPr>
        <w:t>改进措施</w:t>
      </w:r>
      <w:r>
        <w:rPr>
          <w:rFonts w:hint="eastAsia" w:ascii="仿宋_GB2312" w:hAnsi="Times New Roman" w:eastAsia="仿宋_GB2312" w:cs="Times New Roman"/>
          <w:sz w:val="32"/>
          <w:szCs w:val="32"/>
        </w:rPr>
        <w:t>。</w:t>
      </w:r>
    </w:p>
    <w:p>
      <w:pPr>
        <w:pStyle w:val="2"/>
        <w:spacing w:before="240" w:after="240" w:line="360" w:lineRule="auto"/>
        <w:ind w:firstLine="640" w:firstLineChars="200"/>
        <w:outlineLvl w:val="0"/>
        <w:rPr>
          <w:rFonts w:hint="eastAsia" w:ascii="黑体" w:hAnsi="黑体" w:eastAsia="黑体" w:cs="Times New Roman"/>
          <w:b w:val="0"/>
          <w:bCs w:val="0"/>
          <w:sz w:val="32"/>
          <w:szCs w:val="32"/>
        </w:rPr>
      </w:pPr>
      <w:bookmarkStart w:id="29" w:name="_Toc1490"/>
      <w:r>
        <w:rPr>
          <w:rFonts w:hint="eastAsia" w:ascii="黑体" w:hAnsi="黑体" w:eastAsia="黑体" w:cs="Times New Roman"/>
          <w:b w:val="0"/>
          <w:bCs w:val="0"/>
          <w:sz w:val="32"/>
          <w:szCs w:val="32"/>
        </w:rPr>
        <w:t>五、主要经验及做法、存在的问题及原因分析</w:t>
      </w:r>
      <w:bookmarkEnd w:id="29"/>
    </w:p>
    <w:p>
      <w:pPr>
        <w:ind w:firstLine="640" w:firstLineChars="200"/>
        <w:outlineLvl w:val="1"/>
        <w:rPr>
          <w:rFonts w:ascii="仿宋_GB2312" w:hAnsi="Times New Roman" w:eastAsia="仿宋_GB2312" w:cs="Times New Roman"/>
          <w:sz w:val="32"/>
          <w:szCs w:val="32"/>
        </w:rPr>
      </w:pPr>
      <w:bookmarkStart w:id="30" w:name="_Toc26666"/>
      <w:r>
        <w:rPr>
          <w:rFonts w:hint="eastAsia" w:ascii="仿宋_GB2312" w:hAnsi="Times New Roman" w:eastAsia="仿宋_GB2312" w:cs="Times New Roman"/>
          <w:sz w:val="32"/>
          <w:szCs w:val="32"/>
        </w:rPr>
        <w:t>（一）主要经验及做法</w:t>
      </w:r>
      <w:bookmarkEnd w:id="30"/>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实现京津冀异地人员门诊医疗费用直接结算</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支撑北京市范围内门诊异地就医直接结算机制的建立，支撑本市人员异地就医、外省市人员来京就医以及本市异地安置人员异地备案后回北京就医三条业务线，在北京市范围内通过参保地与就医地协作，方便群众结算，减少群众“跑腿”、“垫资”。推进北京市定点医疗机构与天津、河北定点医疗机构门诊异地结算业务对接，基本实现京津冀范围内符合转诊规定的异地就医门诊费用直接结算。</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规范异地就医流程</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严格按照国家“京津冀跨省异地门诊实施方案”的要求，规范转出、结算以及跨省综合协调等业务流程，并通过信息化手段固化流程支撑业务工作的开展。</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加强异地就医管理服务</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实行就医地统一管理。就医地经办机构应将异地就医人员纳入本地统一管理，在定点医疗机构确定、医疗信息记录、医疗行为监控、医疗费用审核和稽核等方面提供与本地参保人相同的服务和管理，并在与定点医疗机构协议管理中予以明确。探索实行与就医地付费方式改革相一致的异地就医费用结算办法。</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规范待遇政策。按照国家要求，跨省异地就医原则上执行就医地支付范围及有关规定（基本医疗保险药品目录、诊疗项目和医疗服务设施标准）。基本医疗保险统筹基金的起付标准、支付比例和最高支付限额原则上执行参保地政策。</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明确传输信息内容。参保人员直接结算时，就医地经办机构通过国家异地就医结算系统按照统一格式向参保地经办机构传输大类费用信息，医疗费用明细信息延后传输。</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强化异地就医资金管理</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跨省异地就医费用医保基金支付部分在地区间实行先预付后清算，各省（区、市）通过预收省内各统筹地区异地就医资金等方式实现资金的预付，预付金原则上来源于各统筹地区医疗保险基金。</w:t>
      </w:r>
    </w:p>
    <w:p>
      <w:pPr>
        <w:ind w:firstLine="640" w:firstLineChars="200"/>
        <w:outlineLvl w:val="1"/>
        <w:rPr>
          <w:rFonts w:ascii="仿宋_GB2312" w:hAnsi="Times New Roman" w:eastAsia="仿宋_GB2312" w:cs="Times New Roman"/>
          <w:sz w:val="32"/>
          <w:szCs w:val="32"/>
        </w:rPr>
      </w:pPr>
      <w:bookmarkStart w:id="31" w:name="_Toc31035"/>
      <w:r>
        <w:rPr>
          <w:rFonts w:hint="eastAsia" w:ascii="仿宋_GB2312" w:hAnsi="Times New Roman" w:eastAsia="仿宋_GB2312" w:cs="Times New Roman"/>
          <w:sz w:val="32"/>
          <w:szCs w:val="32"/>
        </w:rPr>
        <w:t>（二）存在的问题及原因分析</w:t>
      </w:r>
      <w:bookmarkEnd w:id="31"/>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1</w:t>
      </w:r>
      <w:r>
        <w:rPr>
          <w:rFonts w:hint="eastAsia" w:ascii="仿宋_GB2312" w:hAnsi="Times New Roman" w:eastAsia="仿宋_GB2312" w:cs="Times New Roman"/>
          <w:sz w:val="32"/>
          <w:szCs w:val="32"/>
        </w:rPr>
        <w:t>.绩效指标设定合理性不足。主要原因为对绩效目标填报经验不足，项目产出数量指标、质量指标和进度指标不够完善和细化。</w:t>
      </w:r>
    </w:p>
    <w:p>
      <w:pPr>
        <w:ind w:firstLine="640" w:firstLineChars="200"/>
        <w:outlineLvl w:val="9"/>
        <w:rPr>
          <w:rFonts w:ascii="仿宋_GB2312" w:hAnsi="Times New Roman" w:eastAsia="仿宋_GB2312" w:cs="Times New Roman"/>
          <w:sz w:val="32"/>
          <w:szCs w:val="32"/>
        </w:rPr>
      </w:pPr>
      <w:r>
        <w:rPr>
          <w:rFonts w:ascii="仿宋_GB2312" w:hAnsi="Times New Roman" w:eastAsia="仿宋_GB2312" w:cs="Times New Roman"/>
          <w:sz w:val="32"/>
          <w:szCs w:val="32"/>
        </w:rPr>
        <w:t>2</w:t>
      </w:r>
      <w:r>
        <w:rPr>
          <w:rFonts w:hint="eastAsia" w:ascii="仿宋_GB2312" w:hAnsi="Times New Roman" w:eastAsia="仿宋_GB2312" w:cs="Times New Roman"/>
          <w:sz w:val="32"/>
          <w:szCs w:val="32"/>
        </w:rPr>
        <w:t>.</w:t>
      </w:r>
      <w:r>
        <w:rPr>
          <w:rFonts w:hint="eastAsia" w:ascii="仿宋_GB2312" w:hAnsi="Times New Roman" w:eastAsia="仿宋_GB2312" w:cs="Times New Roman"/>
          <w:sz w:val="32"/>
          <w:szCs w:val="32"/>
          <w:lang w:val="en-US" w:eastAsia="zh-CN"/>
        </w:rPr>
        <w:t>实施方案内容不够全面</w:t>
      </w:r>
      <w:r>
        <w:rPr>
          <w:rFonts w:hint="eastAsia" w:ascii="仿宋_GB2312" w:hAnsi="Times New Roman" w:eastAsia="仿宋_GB2312" w:cs="Times New Roman"/>
          <w:sz w:val="32"/>
          <w:szCs w:val="32"/>
        </w:rPr>
        <w:t>。主要原因为</w:t>
      </w:r>
      <w:r>
        <w:rPr>
          <w:rFonts w:hint="eastAsia" w:ascii="仿宋_GB2312" w:hAnsi="Times New Roman" w:eastAsia="仿宋_GB2312" w:cs="Times New Roman"/>
          <w:sz w:val="32"/>
          <w:szCs w:val="32"/>
          <w:lang w:val="en-US" w:eastAsia="zh-CN"/>
        </w:rPr>
        <w:t>项目管理经验不足</w:t>
      </w:r>
      <w:r>
        <w:rPr>
          <w:rFonts w:hint="eastAsia" w:ascii="仿宋_GB2312" w:hAnsi="Times New Roman" w:eastAsia="仿宋_GB2312" w:cs="Times New Roman"/>
          <w:sz w:val="32"/>
          <w:szCs w:val="32"/>
        </w:rPr>
        <w:t>，</w:t>
      </w:r>
      <w:r>
        <w:rPr>
          <w:rFonts w:hint="eastAsia" w:ascii="仿宋_GB2312" w:hAnsi="Times New Roman" w:eastAsia="仿宋_GB2312" w:cs="Times New Roman"/>
          <w:sz w:val="32"/>
          <w:szCs w:val="32"/>
          <w:lang w:val="en-US" w:eastAsia="zh-CN"/>
        </w:rPr>
        <w:t>项目延期未及时对项目实施方案内容进行调整，也未充分考虑项目风险的应对措施</w:t>
      </w:r>
      <w:r>
        <w:rPr>
          <w:rFonts w:hint="eastAsia" w:ascii="仿宋_GB2312" w:hAnsi="Times New Roman" w:eastAsia="仿宋_GB2312" w:cs="Times New Roman"/>
          <w:sz w:val="32"/>
          <w:szCs w:val="32"/>
        </w:rPr>
        <w:t>。</w:t>
      </w:r>
    </w:p>
    <w:p>
      <w:pPr>
        <w:ind w:firstLine="640" w:firstLineChars="200"/>
        <w:outlineLvl w:val="9"/>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3</w:t>
      </w:r>
      <w:r>
        <w:rPr>
          <w:rFonts w:ascii="仿宋_GB2312" w:hAnsi="Times New Roman" w:eastAsia="仿宋_GB2312" w:cs="Times New Roman"/>
          <w:sz w:val="32"/>
          <w:szCs w:val="32"/>
        </w:rPr>
        <w:t>.</w:t>
      </w:r>
      <w:r>
        <w:rPr>
          <w:rFonts w:hint="eastAsia" w:ascii="仿宋_GB2312" w:hAnsi="Times New Roman" w:eastAsia="仿宋_GB2312" w:cs="Times New Roman"/>
          <w:sz w:val="32"/>
          <w:szCs w:val="32"/>
          <w:lang w:val="en-US" w:eastAsia="zh-CN"/>
        </w:rPr>
        <w:t>合同内容不完善</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主要原因为</w:t>
      </w:r>
      <w:r>
        <w:rPr>
          <w:rFonts w:hint="eastAsia" w:ascii="仿宋_GB2312" w:hAnsi="Times New Roman" w:eastAsia="仿宋_GB2312" w:cs="Times New Roman"/>
          <w:sz w:val="32"/>
          <w:szCs w:val="32"/>
          <w:lang w:val="en-US" w:eastAsia="zh-CN"/>
        </w:rPr>
        <w:t>项目风险控制意识尚需加强，未充分考虑售后服务及资金支付比例过高产生的服务质量管控和资金安全方面的风险。</w:t>
      </w:r>
    </w:p>
    <w:p>
      <w:pPr>
        <w:ind w:firstLine="640" w:firstLineChars="200"/>
        <w:outlineLvl w:val="9"/>
        <w:rPr>
          <w:rFonts w:hint="default" w:ascii="仿宋_GB2312" w:hAnsi="Times New Roman" w:eastAsia="仿宋_GB2312" w:cs="Times New Roman"/>
          <w:sz w:val="32"/>
          <w:szCs w:val="32"/>
          <w:lang w:val="en-US" w:eastAsia="zh-CN"/>
        </w:rPr>
      </w:pPr>
      <w:r>
        <w:rPr>
          <w:rFonts w:hint="eastAsia" w:ascii="仿宋_GB2312" w:hAnsi="Times New Roman" w:eastAsia="仿宋_GB2312" w:cs="Times New Roman"/>
          <w:sz w:val="32"/>
          <w:szCs w:val="32"/>
          <w:lang w:val="en-US" w:eastAsia="zh-CN"/>
        </w:rPr>
        <w:t>4.满意度调查未加以充分利用。主要原因是未对满意度调查结果进行汇总、分析，结合调查中了解到的不足和群众意见及时提出改进措施，提升项目的服务质量水平。</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32" w:name="_Toc18857"/>
      <w:r>
        <w:rPr>
          <w:rFonts w:hint="eastAsia" w:ascii="黑体" w:hAnsi="黑体" w:eastAsia="黑体" w:cs="Times New Roman"/>
          <w:b w:val="0"/>
          <w:bCs w:val="0"/>
          <w:sz w:val="32"/>
          <w:szCs w:val="32"/>
        </w:rPr>
        <w:t>六、有关建议</w:t>
      </w:r>
      <w:bookmarkEnd w:id="32"/>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1.完善、细化项目的绩效目标</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rPr>
        <w:t>产出数量指标应覆盖项目的主要服务内容；产出质量指标服务请求响应率应达到100%；产出进度指标应结合工作实施方案，细化重要工作的时间节点。通过设定完善、可考核的绩效目标，加强目标管理，使财政资金效益发挥最大化。</w:t>
      </w:r>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2.提升项目管理的风险意识</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充分估计项目可能存在的风险，完</w:t>
      </w:r>
      <w:r>
        <w:rPr>
          <w:rFonts w:hint="eastAsia" w:ascii="仿宋_GB2312" w:hAnsi="Times New Roman" w:eastAsia="仿宋_GB2312" w:cs="Times New Roman"/>
          <w:sz w:val="32"/>
          <w:szCs w:val="32"/>
        </w:rPr>
        <w:t>善实施方案的风险</w:t>
      </w:r>
      <w:r>
        <w:rPr>
          <w:rFonts w:hint="eastAsia" w:ascii="仿宋_GB2312" w:hAnsi="Times New Roman" w:eastAsia="仿宋_GB2312" w:cs="Times New Roman"/>
          <w:sz w:val="32"/>
          <w:szCs w:val="32"/>
          <w:lang w:val="en-US" w:eastAsia="zh-CN"/>
        </w:rPr>
        <w:t>应对</w:t>
      </w:r>
      <w:r>
        <w:rPr>
          <w:rFonts w:hint="eastAsia" w:ascii="仿宋_GB2312" w:hAnsi="Times New Roman" w:eastAsia="仿宋_GB2312" w:cs="Times New Roman"/>
          <w:sz w:val="32"/>
          <w:szCs w:val="32"/>
        </w:rPr>
        <w:t>措施</w:t>
      </w:r>
      <w:r>
        <w:rPr>
          <w:rFonts w:hint="eastAsia" w:ascii="仿宋_GB2312" w:hAnsi="Times New Roman" w:eastAsia="仿宋_GB2312" w:cs="Times New Roman"/>
          <w:sz w:val="32"/>
          <w:szCs w:val="32"/>
          <w:lang w:eastAsia="zh-CN"/>
        </w:rPr>
        <w:t>，根据项目</w:t>
      </w:r>
      <w:r>
        <w:rPr>
          <w:rFonts w:hint="eastAsia" w:ascii="仿宋_GB2312" w:hAnsi="Times New Roman" w:eastAsia="仿宋_GB2312" w:cs="Times New Roman"/>
          <w:sz w:val="32"/>
          <w:szCs w:val="32"/>
          <w:lang w:val="en-US" w:eastAsia="zh-CN"/>
        </w:rPr>
        <w:t>调整</w:t>
      </w:r>
      <w:r>
        <w:rPr>
          <w:rFonts w:hint="eastAsia" w:ascii="仿宋_GB2312" w:hAnsi="Times New Roman" w:eastAsia="仿宋_GB2312" w:cs="Times New Roman"/>
          <w:sz w:val="32"/>
          <w:szCs w:val="32"/>
          <w:lang w:eastAsia="zh-CN"/>
        </w:rPr>
        <w:t>情况及时</w:t>
      </w:r>
      <w:r>
        <w:rPr>
          <w:rFonts w:hint="eastAsia" w:ascii="仿宋_GB2312" w:hAnsi="Times New Roman" w:eastAsia="仿宋_GB2312" w:cs="Times New Roman"/>
          <w:sz w:val="32"/>
          <w:szCs w:val="32"/>
          <w:lang w:val="en-US" w:eastAsia="zh-CN"/>
        </w:rPr>
        <w:t>修订</w:t>
      </w:r>
      <w:r>
        <w:rPr>
          <w:rFonts w:hint="eastAsia" w:ascii="仿宋_GB2312" w:hAnsi="Times New Roman" w:eastAsia="仿宋_GB2312" w:cs="Times New Roman"/>
          <w:sz w:val="32"/>
          <w:szCs w:val="32"/>
          <w:lang w:eastAsia="zh-CN"/>
        </w:rPr>
        <w:t>和完善相关内容，</w:t>
      </w:r>
      <w:r>
        <w:rPr>
          <w:rFonts w:hint="eastAsia" w:ascii="仿宋_GB2312" w:hAnsi="Times New Roman" w:eastAsia="仿宋_GB2312" w:cs="Times New Roman"/>
          <w:sz w:val="32"/>
          <w:szCs w:val="32"/>
          <w:lang w:val="en-US" w:eastAsia="zh-CN"/>
        </w:rPr>
        <w:t>以保障项目绩效目标按期实现</w:t>
      </w:r>
      <w:r>
        <w:rPr>
          <w:rFonts w:hint="eastAsia" w:ascii="仿宋_GB2312" w:hAnsi="Times New Roman" w:eastAsia="仿宋_GB2312" w:cs="Times New Roman"/>
          <w:sz w:val="32"/>
          <w:szCs w:val="32"/>
        </w:rPr>
        <w:t>。</w:t>
      </w:r>
    </w:p>
    <w:p>
      <w:pPr>
        <w:ind w:firstLine="640" w:firstLineChars="200"/>
        <w:outlineLvl w:val="9"/>
        <w:rPr>
          <w:rFonts w:hint="eastAsia" w:ascii="仿宋_GB2312" w:hAnsi="Times New Roman" w:eastAsia="仿宋_GB2312" w:cs="Times New Roman"/>
          <w:sz w:val="32"/>
          <w:szCs w:val="32"/>
          <w:lang w:eastAsia="zh-CN"/>
        </w:rPr>
      </w:pPr>
      <w:r>
        <w:rPr>
          <w:rFonts w:hint="eastAsia" w:ascii="仿宋_GB2312" w:hAnsi="Times New Roman" w:eastAsia="仿宋_GB2312" w:cs="Times New Roman"/>
          <w:sz w:val="32"/>
          <w:szCs w:val="32"/>
        </w:rPr>
        <w:t>3.完善合同内容</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保障自身权益。</w:t>
      </w:r>
      <w:r>
        <w:rPr>
          <w:rFonts w:hint="eastAsia" w:ascii="仿宋_GB2312" w:hAnsi="Times New Roman" w:eastAsia="仿宋_GB2312" w:cs="Times New Roman"/>
          <w:sz w:val="32"/>
          <w:szCs w:val="32"/>
        </w:rPr>
        <w:t>合理设定项目首付款支付比例，将合同款的结算与项目执行进度</w:t>
      </w:r>
      <w:r>
        <w:rPr>
          <w:rFonts w:hint="eastAsia" w:ascii="仿宋_GB2312" w:hAnsi="Times New Roman" w:eastAsia="仿宋_GB2312" w:cs="Times New Roman"/>
          <w:sz w:val="32"/>
          <w:szCs w:val="32"/>
          <w:lang w:val="en-US" w:eastAsia="zh-CN"/>
        </w:rPr>
        <w:t>和服务质量</w:t>
      </w:r>
      <w:r>
        <w:rPr>
          <w:rFonts w:hint="eastAsia" w:ascii="仿宋_GB2312" w:hAnsi="Times New Roman" w:eastAsia="仿宋_GB2312" w:cs="Times New Roman"/>
          <w:sz w:val="32"/>
          <w:szCs w:val="32"/>
        </w:rPr>
        <w:t>挂钩，提高服务供应商主动服务的积极性，以提升整体项目的服务水平</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并针对售后服务期</w:t>
      </w:r>
      <w:r>
        <w:rPr>
          <w:rFonts w:hint="eastAsia" w:ascii="仿宋_GB2312" w:hAnsi="Times New Roman" w:eastAsia="仿宋_GB2312" w:cs="Times New Roman"/>
          <w:sz w:val="32"/>
          <w:szCs w:val="32"/>
        </w:rPr>
        <w:t>约定扣留</w:t>
      </w:r>
      <w:r>
        <w:rPr>
          <w:rFonts w:hint="eastAsia" w:ascii="仿宋_GB2312" w:hAnsi="Times New Roman" w:eastAsia="仿宋_GB2312" w:cs="Times New Roman"/>
          <w:sz w:val="32"/>
          <w:szCs w:val="32"/>
          <w:lang w:val="en-US" w:eastAsia="zh-CN"/>
        </w:rPr>
        <w:t>适当的</w:t>
      </w:r>
      <w:bookmarkStart w:id="37" w:name="_GoBack"/>
      <w:bookmarkEnd w:id="37"/>
      <w:r>
        <w:rPr>
          <w:rFonts w:hint="eastAsia" w:ascii="仿宋_GB2312" w:hAnsi="Times New Roman" w:eastAsia="仿宋_GB2312" w:cs="Times New Roman"/>
          <w:sz w:val="32"/>
          <w:szCs w:val="32"/>
        </w:rPr>
        <w:t>质保金，</w:t>
      </w:r>
      <w:r>
        <w:rPr>
          <w:rFonts w:hint="eastAsia" w:ascii="仿宋_GB2312" w:hAnsi="Times New Roman" w:eastAsia="仿宋_GB2312" w:cs="Times New Roman"/>
          <w:sz w:val="32"/>
          <w:szCs w:val="32"/>
          <w:lang w:val="en-US" w:eastAsia="zh-CN"/>
        </w:rPr>
        <w:t>便于对服务商的售后</w:t>
      </w:r>
      <w:r>
        <w:rPr>
          <w:rFonts w:hint="eastAsia" w:ascii="仿宋_GB2312" w:hAnsi="Times New Roman" w:eastAsia="仿宋_GB2312" w:cs="Times New Roman"/>
          <w:sz w:val="32"/>
          <w:szCs w:val="32"/>
        </w:rPr>
        <w:t>服务</w:t>
      </w:r>
      <w:r>
        <w:rPr>
          <w:rFonts w:hint="eastAsia" w:ascii="仿宋_GB2312" w:hAnsi="Times New Roman" w:eastAsia="仿宋_GB2312" w:cs="Times New Roman"/>
          <w:sz w:val="32"/>
          <w:szCs w:val="32"/>
          <w:lang w:val="en-US" w:eastAsia="zh-CN"/>
        </w:rPr>
        <w:t>质量</w:t>
      </w:r>
      <w:r>
        <w:rPr>
          <w:rFonts w:hint="eastAsia" w:ascii="仿宋_GB2312" w:hAnsi="Times New Roman" w:eastAsia="仿宋_GB2312" w:cs="Times New Roman"/>
          <w:sz w:val="32"/>
          <w:szCs w:val="32"/>
        </w:rPr>
        <w:t>实施监管</w:t>
      </w:r>
      <w:r>
        <w:rPr>
          <w:rFonts w:hint="eastAsia" w:ascii="仿宋_GB2312" w:hAnsi="Times New Roman" w:eastAsia="仿宋_GB2312" w:cs="Times New Roman"/>
          <w:sz w:val="32"/>
          <w:szCs w:val="32"/>
          <w:lang w:eastAsia="zh-CN"/>
        </w:rPr>
        <w:t>，</w:t>
      </w:r>
      <w:r>
        <w:rPr>
          <w:rFonts w:hint="eastAsia" w:ascii="仿宋_GB2312" w:hAnsi="Times New Roman" w:eastAsia="仿宋_GB2312" w:cs="Times New Roman"/>
          <w:sz w:val="32"/>
          <w:szCs w:val="32"/>
          <w:lang w:val="en-US" w:eastAsia="zh-CN"/>
        </w:rPr>
        <w:t>维护自身权益</w:t>
      </w:r>
      <w:r>
        <w:rPr>
          <w:rFonts w:hint="eastAsia" w:ascii="仿宋_GB2312" w:hAnsi="Times New Roman" w:eastAsia="仿宋_GB2312" w:cs="Times New Roman"/>
          <w:sz w:val="32"/>
          <w:szCs w:val="32"/>
          <w:lang w:eastAsia="zh-CN"/>
        </w:rPr>
        <w:t>。</w:t>
      </w:r>
    </w:p>
    <w:p>
      <w:pPr>
        <w:ind w:firstLine="640" w:firstLineChars="200"/>
        <w:outlineLvl w:val="9"/>
        <w:rPr>
          <w:rFonts w:hint="default" w:ascii="仿宋_GB2312" w:hAnsi="Times New Roman" w:eastAsia="仿宋_GB2312" w:cs="Times New Roman"/>
          <w:sz w:val="32"/>
          <w:szCs w:val="32"/>
          <w:lang w:val="en-US" w:eastAsia="zh-CN"/>
        </w:rPr>
      </w:pPr>
      <w:r>
        <w:rPr>
          <w:rFonts w:hint="eastAsia" w:ascii="仿宋_GB2312" w:hAnsi="Times New Roman" w:eastAsia="仿宋_GB2312" w:cs="Times New Roman"/>
          <w:sz w:val="32"/>
          <w:szCs w:val="32"/>
          <w:lang w:val="en-US" w:eastAsia="zh-CN"/>
        </w:rPr>
        <w:t>4.及时对满意度调查结果进行汇总分析，加强调查结果应用，提高项目管理和服务水平。</w:t>
      </w:r>
    </w:p>
    <w:p>
      <w:pPr>
        <w:pStyle w:val="2"/>
        <w:spacing w:before="240" w:after="240" w:line="360" w:lineRule="auto"/>
        <w:ind w:firstLine="640" w:firstLineChars="200"/>
        <w:outlineLvl w:val="0"/>
        <w:rPr>
          <w:rFonts w:ascii="黑体" w:hAnsi="黑体" w:eastAsia="黑体" w:cs="Times New Roman"/>
          <w:b w:val="0"/>
          <w:bCs w:val="0"/>
          <w:sz w:val="32"/>
          <w:szCs w:val="32"/>
        </w:rPr>
      </w:pPr>
      <w:bookmarkStart w:id="33" w:name="_Toc2475"/>
      <w:r>
        <w:rPr>
          <w:rFonts w:hint="eastAsia" w:ascii="黑体" w:hAnsi="黑体" w:eastAsia="黑体" w:cs="Times New Roman"/>
          <w:b w:val="0"/>
          <w:bCs w:val="0"/>
          <w:sz w:val="32"/>
          <w:szCs w:val="32"/>
        </w:rPr>
        <w:t>七、其他需要说明的问题</w:t>
      </w:r>
      <w:bookmarkEnd w:id="33"/>
    </w:p>
    <w:p>
      <w:pPr>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无。</w:t>
      </w:r>
    </w:p>
    <w:bookmarkEnd w:id="1"/>
    <w:p>
      <w:pPr>
        <w:pStyle w:val="2"/>
        <w:spacing w:before="240" w:after="240" w:line="360" w:lineRule="auto"/>
        <w:ind w:firstLine="640" w:firstLineChars="200"/>
        <w:outlineLvl w:val="0"/>
        <w:rPr>
          <w:rFonts w:ascii="黑体" w:hAnsi="黑体" w:eastAsia="黑体" w:cs="Times New Roman"/>
          <w:b w:val="0"/>
          <w:bCs w:val="0"/>
          <w:sz w:val="32"/>
          <w:szCs w:val="32"/>
        </w:rPr>
      </w:pPr>
      <w:bookmarkStart w:id="34" w:name="_Toc16691"/>
      <w:r>
        <w:rPr>
          <w:rFonts w:hint="eastAsia" w:ascii="黑体" w:hAnsi="黑体" w:eastAsia="黑体" w:cs="Times New Roman"/>
          <w:b w:val="0"/>
          <w:bCs w:val="0"/>
          <w:sz w:val="32"/>
          <w:szCs w:val="32"/>
        </w:rPr>
        <w:t>八、附件</w:t>
      </w:r>
      <w:bookmarkEnd w:id="34"/>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（一）《评分表》</w:t>
      </w:r>
    </w:p>
    <w:p>
      <w:pPr>
        <w:spacing w:line="660" w:lineRule="exact"/>
        <w:ind w:firstLine="640" w:firstLineChars="200"/>
        <w:outlineLvl w:val="9"/>
        <w:rPr>
          <w:rFonts w:ascii="仿宋_GB2312" w:hAnsi="Times New Roman" w:eastAsia="仿宋_GB2312" w:cs="Times New Roman"/>
          <w:sz w:val="32"/>
          <w:szCs w:val="32"/>
        </w:rPr>
      </w:pPr>
      <w:r>
        <w:rPr>
          <w:rFonts w:hint="eastAsia" w:ascii="仿宋_GB2312" w:hAnsi="Times New Roman" w:eastAsia="仿宋_GB2312" w:cs="Times New Roman"/>
          <w:sz w:val="32"/>
          <w:szCs w:val="32"/>
        </w:rPr>
        <w:t>（二）专家意见汇总书</w:t>
      </w:r>
    </w:p>
    <w:p>
      <w:pPr>
        <w:widowControl/>
        <w:jc w:val="left"/>
      </w:pPr>
      <w:r>
        <w:br w:type="page"/>
      </w:r>
    </w:p>
    <w:p>
      <w:pPr>
        <w:spacing w:line="660" w:lineRule="exact"/>
        <w:outlineLvl w:val="9"/>
        <w:rPr>
          <w:rFonts w:ascii="仿宋" w:hAnsi="仿宋" w:eastAsia="仿宋" w:cs="仿宋"/>
          <w:sz w:val="32"/>
          <w:szCs w:val="32"/>
        </w:rPr>
      </w:pPr>
      <w:r>
        <w:rPr>
          <w:rFonts w:hint="eastAsia" w:ascii="仿宋" w:hAnsi="仿宋" w:eastAsia="仿宋" w:cs="仿宋"/>
          <w:sz w:val="32"/>
          <w:szCs w:val="32"/>
        </w:rPr>
        <w:t>附件（一）</w:t>
      </w:r>
    </w:p>
    <w:p>
      <w:pPr>
        <w:pStyle w:val="19"/>
        <w:spacing w:before="100" w:beforeAutospacing="1" w:after="100" w:afterAutospacing="1" w:line="400" w:lineRule="exact"/>
        <w:ind w:firstLine="0" w:firstLineChars="0"/>
        <w:jc w:val="center"/>
        <w:outlineLvl w:val="9"/>
        <w:rPr>
          <w:rFonts w:ascii="宋体" w:hAnsi="宋体" w:eastAsia="宋体" w:cs="宋体"/>
          <w:b/>
          <w:bCs/>
          <w:sz w:val="32"/>
          <w:szCs w:val="32"/>
        </w:rPr>
      </w:pPr>
    </w:p>
    <w:p>
      <w:pPr>
        <w:tabs>
          <w:tab w:val="left" w:pos="8222"/>
        </w:tabs>
        <w:ind w:right="67" w:rightChars="32"/>
        <w:jc w:val="center"/>
        <w:outlineLvl w:val="9"/>
        <w:rPr>
          <w:sz w:val="52"/>
          <w:szCs w:val="52"/>
        </w:rPr>
      </w:pPr>
      <w:bookmarkStart w:id="35" w:name="_Toc390680633"/>
      <w:r>
        <w:rPr>
          <w:rFonts w:hint="eastAsia" w:cs="宋体"/>
          <w:sz w:val="52"/>
          <w:szCs w:val="52"/>
        </w:rPr>
        <w:t>北京市预算部门项目支出绩效评价</w:t>
      </w:r>
      <w:r>
        <w:rPr>
          <w:rStyle w:val="16"/>
          <w:b w:val="0"/>
          <w:bCs w:val="0"/>
          <w:sz w:val="52"/>
          <w:szCs w:val="52"/>
        </w:rPr>
        <w:br w:type="textWrapping"/>
      </w:r>
      <w:r>
        <w:rPr>
          <w:rFonts w:hint="eastAsia" w:cs="宋体"/>
          <w:sz w:val="52"/>
          <w:szCs w:val="52"/>
        </w:rPr>
        <w:t>专家评价书</w:t>
      </w:r>
      <w:bookmarkEnd w:id="35"/>
    </w:p>
    <w:p>
      <w:pPr>
        <w:spacing w:before="100" w:beforeAutospacing="1" w:after="100" w:afterAutospacing="1" w:line="312" w:lineRule="auto"/>
        <w:ind w:firstLine="680"/>
        <w:jc w:val="center"/>
        <w:outlineLvl w:val="9"/>
        <w:rPr>
          <w:rFonts w:ascii="宋体"/>
          <w:spacing w:val="50"/>
          <w:sz w:val="24"/>
        </w:rPr>
      </w:pPr>
    </w:p>
    <w:p>
      <w:pPr>
        <w:snapToGrid w:val="0"/>
        <w:spacing w:before="100" w:beforeAutospacing="1" w:after="100" w:afterAutospacing="1" w:line="312" w:lineRule="auto"/>
        <w:ind w:firstLine="482"/>
        <w:outlineLvl w:val="9"/>
        <w:rPr>
          <w:rFonts w:ascii="宋体"/>
          <w:b/>
          <w:bCs/>
          <w:sz w:val="24"/>
        </w:rPr>
      </w:pPr>
    </w:p>
    <w:p>
      <w:pPr>
        <w:snapToGrid w:val="0"/>
        <w:spacing w:before="100" w:beforeAutospacing="1" w:after="100" w:afterAutospacing="1" w:line="312" w:lineRule="auto"/>
        <w:ind w:firstLine="199" w:firstLineChars="83"/>
        <w:outlineLvl w:val="9"/>
        <w:rPr>
          <w:rFonts w:ascii="宋体" w:hAnsi="宋体"/>
          <w:sz w:val="24"/>
        </w:rPr>
      </w:pP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部门名称</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医疗保险信息系统升级改造项目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主管部门（单位）</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北京市医疗保障局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p>
    <w:p>
      <w:pPr>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专家姓名</w:t>
      </w:r>
      <w:r>
        <w:rPr>
          <w:rFonts w:ascii="宋体" w:hAnsi="宋体" w:cs="宋体"/>
          <w:sz w:val="24"/>
          <w:u w:val="single"/>
        </w:rPr>
        <w:t xml:space="preserve"> </w:t>
      </w:r>
      <w:r>
        <w:rPr>
          <w:rFonts w:hint="eastAsia" w:ascii="宋体" w:hAnsi="宋体" w:cs="宋体"/>
          <w:sz w:val="24"/>
          <w:u w:val="single"/>
        </w:rPr>
        <w:t xml:space="preserve">  杜红平</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专</w:t>
      </w:r>
      <w:r>
        <w:rPr>
          <w:rFonts w:ascii="宋体" w:hAnsi="宋体" w:cs="宋体"/>
          <w:sz w:val="24"/>
        </w:rPr>
        <w:t xml:space="preserve">    </w:t>
      </w:r>
      <w:r>
        <w:rPr>
          <w:rFonts w:hint="eastAsia" w:ascii="宋体" w:hAnsi="宋体" w:cs="宋体"/>
          <w:sz w:val="24"/>
        </w:rPr>
        <w:t>业</w:t>
      </w:r>
      <w:r>
        <w:rPr>
          <w:rFonts w:ascii="宋体" w:hAnsi="宋体" w:cs="宋体"/>
          <w:sz w:val="24"/>
          <w:u w:val="single"/>
        </w:rPr>
        <w:t xml:space="preserve"> </w:t>
      </w:r>
      <w:r>
        <w:rPr>
          <w:rFonts w:hint="eastAsia" w:ascii="宋体" w:hAnsi="宋体" w:cs="宋体"/>
          <w:sz w:val="24"/>
          <w:u w:val="single"/>
        </w:rPr>
        <w:t xml:space="preserve">  工商管理</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职</w:t>
      </w:r>
      <w:r>
        <w:rPr>
          <w:rFonts w:ascii="宋体" w:hAnsi="宋体" w:cs="宋体"/>
          <w:sz w:val="24"/>
        </w:rPr>
        <w:t xml:space="preserve">    </w:t>
      </w:r>
      <w:r>
        <w:rPr>
          <w:rFonts w:hint="eastAsia" w:ascii="宋体" w:hAnsi="宋体" w:cs="宋体"/>
          <w:sz w:val="24"/>
        </w:rPr>
        <w:t>称</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副教授</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联系方式</w:t>
      </w:r>
      <w:r>
        <w:rPr>
          <w:rFonts w:ascii="宋体" w:hAnsi="宋体" w:cs="宋体"/>
          <w:sz w:val="24"/>
          <w:u w:val="single"/>
        </w:rPr>
        <w:t xml:space="preserve"> </w:t>
      </w:r>
      <w:r>
        <w:rPr>
          <w:rFonts w:hint="eastAsia" w:ascii="宋体" w:hAnsi="宋体" w:cs="宋体"/>
          <w:sz w:val="24"/>
          <w:u w:val="single"/>
        </w:rPr>
        <w:t>18010028205</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工作单位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北京物资学院</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评价时间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202</w:t>
      </w:r>
      <w:r>
        <w:rPr>
          <w:rFonts w:hint="eastAsia" w:ascii="宋体" w:hAnsi="宋体" w:cs="宋体"/>
          <w:sz w:val="24"/>
          <w:u w:val="single"/>
          <w:lang w:val="en-US" w:eastAsia="zh-CN"/>
        </w:rPr>
        <w:t>3</w:t>
      </w:r>
      <w:r>
        <w:rPr>
          <w:rFonts w:ascii="宋体" w:hAnsi="宋体" w:cs="宋体"/>
          <w:sz w:val="24"/>
          <w:u w:val="single"/>
        </w:rPr>
        <w:t xml:space="preserve">    </w:t>
      </w:r>
      <w:r>
        <w:rPr>
          <w:rFonts w:hint="eastAsia" w:ascii="宋体" w:hAnsi="宋体" w:cs="宋体"/>
          <w:sz w:val="24"/>
        </w:rPr>
        <w:t>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5</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rPr>
        <w:t>月</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11</w:t>
      </w:r>
      <w:r>
        <w:rPr>
          <w:rFonts w:ascii="宋体" w:hAnsi="宋体" w:cs="宋体"/>
          <w:sz w:val="24"/>
          <w:u w:val="single"/>
        </w:rPr>
        <w:t xml:space="preserve">   </w:t>
      </w:r>
      <w:r>
        <w:rPr>
          <w:rFonts w:hint="eastAsia" w:ascii="宋体" w:hAnsi="宋体" w:cs="宋体"/>
          <w:sz w:val="24"/>
        </w:rPr>
        <w:t>日</w:t>
      </w: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jc w:val="center"/>
        <w:outlineLvl w:val="9"/>
        <w:rPr>
          <w:rFonts w:ascii="宋体"/>
          <w:b/>
          <w:bCs/>
          <w:sz w:val="24"/>
        </w:rPr>
      </w:pPr>
      <w:r>
        <w:rPr>
          <w:rFonts w:hint="eastAsia" w:ascii="宋体" w:hAnsi="宋体" w:cs="仿宋_GB2312"/>
          <w:b/>
          <w:bCs/>
          <w:sz w:val="24"/>
        </w:rPr>
        <w:t>北京市财政局</w:t>
      </w:r>
      <w:r>
        <w:rPr>
          <w:rFonts w:ascii="宋体" w:hAnsi="宋体" w:cs="宋体"/>
          <w:b/>
          <w:bCs/>
          <w:sz w:val="24"/>
        </w:rPr>
        <w:t xml:space="preserve">   </w:t>
      </w:r>
      <w:r>
        <w:rPr>
          <w:rFonts w:hint="eastAsia" w:ascii="宋体" w:hAnsi="宋体" w:cs="仿宋_GB2312"/>
          <w:b/>
          <w:bCs/>
          <w:sz w:val="24"/>
        </w:rPr>
        <w:t>制</w:t>
      </w:r>
    </w:p>
    <w:p>
      <w:pPr>
        <w:spacing w:line="660" w:lineRule="exact"/>
        <w:outlineLvl w:val="9"/>
        <w:rPr>
          <w:rFonts w:ascii="仿宋" w:hAnsi="仿宋" w:eastAsia="仿宋" w:cs="仿宋"/>
          <w:sz w:val="32"/>
          <w:szCs w:val="32"/>
        </w:rPr>
      </w:pPr>
    </w:p>
    <w:p>
      <w:pPr>
        <w:widowControl/>
        <w:jc w:val="left"/>
        <w:outlineLvl w:val="9"/>
      </w:pPr>
      <w:r>
        <w:br w:type="page"/>
      </w:r>
    </w:p>
    <w:p>
      <w:pPr>
        <w:pStyle w:val="19"/>
        <w:spacing w:before="100" w:beforeAutospacing="1" w:after="100" w:afterAutospacing="1" w:line="240" w:lineRule="auto"/>
        <w:ind w:firstLine="0" w:firstLineChars="0"/>
        <w:jc w:val="center"/>
        <w:outlineLvl w:val="9"/>
        <w:rPr>
          <w:rFonts w:hint="eastAsia" w:ascii="宋体" w:hAnsi="宋体" w:eastAsia="宋体" w:cs="宋体"/>
          <w:b/>
          <w:bCs/>
          <w:sz w:val="32"/>
          <w:szCs w:val="32"/>
          <w:lang w:eastAsia="zh-CN"/>
        </w:rPr>
      </w:pPr>
      <w:r>
        <w:rPr>
          <w:rFonts w:hint="eastAsia" w:ascii="宋体" w:hAnsi="宋体" w:eastAsia="宋体" w:cs="宋体"/>
          <w:b/>
          <w:bCs/>
          <w:sz w:val="32"/>
          <w:szCs w:val="32"/>
          <w:lang w:eastAsia="zh-CN"/>
        </w:rPr>
        <w:drawing>
          <wp:inline distT="0" distB="0" distL="114300" distR="114300">
            <wp:extent cx="5268595" cy="7452360"/>
            <wp:effectExtent l="0" t="0" r="4445" b="0"/>
            <wp:docPr id="3" name="图片 3" descr="签字页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签字页_3-11"/>
                    <pic:cNvPicPr>
                      <a:picLocks noChangeAspect="1"/>
                    </pic:cNvPicPr>
                  </pic:nvPicPr>
                  <pic:blipFill>
                    <a:blip r:embed="rId6"/>
                    <a:stretch>
                      <a:fillRect/>
                    </a:stretch>
                  </pic:blipFill>
                  <pic:spPr>
                    <a:xfrm rot="10800000">
                      <a:off x="0" y="0"/>
                      <a:ext cx="5268595" cy="7452360"/>
                    </a:xfrm>
                    <a:prstGeom prst="rect">
                      <a:avLst/>
                    </a:prstGeom>
                  </pic:spPr>
                </pic:pic>
              </a:graphicData>
            </a:graphic>
          </wp:inline>
        </w:drawing>
      </w:r>
    </w:p>
    <w:p>
      <w:pPr>
        <w:pStyle w:val="19"/>
        <w:spacing w:before="100" w:beforeAutospacing="1" w:after="100" w:afterAutospacing="1" w:line="400" w:lineRule="exact"/>
        <w:ind w:firstLine="0" w:firstLineChars="0"/>
        <w:jc w:val="center"/>
        <w:outlineLvl w:val="9"/>
        <w:rPr>
          <w:rFonts w:hint="eastAsia" w:ascii="宋体" w:hAnsi="宋体" w:eastAsia="宋体" w:cs="宋体"/>
          <w:b/>
          <w:bCs/>
          <w:sz w:val="32"/>
          <w:szCs w:val="3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4" name="图片 4" descr="签字页_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签字页_4-11"/>
                    <pic:cNvPicPr>
                      <a:picLocks noChangeAspect="1"/>
                    </pic:cNvPicPr>
                  </pic:nvPicPr>
                  <pic:blipFill>
                    <a:blip r:embed="rId7"/>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sz w:val="52"/>
          <w:szCs w:val="52"/>
        </w:rPr>
      </w:pPr>
      <w:r>
        <w:rPr>
          <w:rFonts w:hint="eastAsia" w:cs="宋体"/>
          <w:sz w:val="52"/>
          <w:szCs w:val="52"/>
        </w:rPr>
        <w:t>北京市预算部门项目支出绩效评价</w:t>
      </w:r>
      <w:r>
        <w:rPr>
          <w:rStyle w:val="16"/>
          <w:b w:val="0"/>
          <w:bCs w:val="0"/>
          <w:sz w:val="52"/>
          <w:szCs w:val="52"/>
        </w:rPr>
        <w:br w:type="textWrapping"/>
      </w:r>
      <w:r>
        <w:rPr>
          <w:rFonts w:hint="eastAsia" w:cs="宋体"/>
          <w:sz w:val="52"/>
          <w:szCs w:val="52"/>
        </w:rPr>
        <w:t>专家评价书</w:t>
      </w:r>
    </w:p>
    <w:p>
      <w:pPr>
        <w:spacing w:before="100" w:beforeAutospacing="1" w:after="100" w:afterAutospacing="1" w:line="312" w:lineRule="auto"/>
        <w:ind w:firstLine="680"/>
        <w:jc w:val="center"/>
        <w:outlineLvl w:val="9"/>
        <w:rPr>
          <w:rFonts w:ascii="宋体"/>
          <w:spacing w:val="50"/>
          <w:sz w:val="24"/>
        </w:rPr>
      </w:pPr>
    </w:p>
    <w:p>
      <w:pPr>
        <w:snapToGrid w:val="0"/>
        <w:spacing w:before="100" w:beforeAutospacing="1" w:after="100" w:afterAutospacing="1" w:line="312" w:lineRule="auto"/>
        <w:ind w:firstLine="482"/>
        <w:outlineLvl w:val="9"/>
        <w:rPr>
          <w:rFonts w:ascii="宋体"/>
          <w:b/>
          <w:bCs/>
          <w:sz w:val="24"/>
        </w:rPr>
      </w:pPr>
    </w:p>
    <w:p>
      <w:pPr>
        <w:snapToGrid w:val="0"/>
        <w:spacing w:before="100" w:beforeAutospacing="1" w:after="100" w:afterAutospacing="1" w:line="312" w:lineRule="auto"/>
        <w:ind w:firstLine="199" w:firstLineChars="83"/>
        <w:outlineLvl w:val="9"/>
        <w:rPr>
          <w:rFonts w:ascii="宋体" w:hAnsi="宋体"/>
          <w:sz w:val="24"/>
        </w:rPr>
      </w:pP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部门名称</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 xml:space="preserve">医疗保险信息系统升级改造项目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主管部门（单位）</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北京市医疗保障局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p>
    <w:p>
      <w:pPr>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专家姓名</w:t>
      </w:r>
      <w:r>
        <w:rPr>
          <w:rFonts w:ascii="宋体" w:hAnsi="宋体" w:cs="宋体"/>
          <w:sz w:val="24"/>
          <w:u w:val="single"/>
        </w:rPr>
        <w:t xml:space="preserve"> </w:t>
      </w:r>
      <w:r>
        <w:rPr>
          <w:rFonts w:hint="eastAsia" w:ascii="宋体" w:hAnsi="宋体" w:cs="宋体"/>
          <w:sz w:val="24"/>
          <w:u w:val="single"/>
        </w:rPr>
        <w:t>宋玉卿</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专</w:t>
      </w:r>
      <w:r>
        <w:rPr>
          <w:rFonts w:ascii="宋体" w:hAnsi="宋体" w:cs="宋体"/>
          <w:sz w:val="24"/>
        </w:rPr>
        <w:t xml:space="preserve">    </w:t>
      </w:r>
      <w:r>
        <w:rPr>
          <w:rFonts w:hint="eastAsia" w:ascii="宋体" w:hAnsi="宋体" w:cs="宋体"/>
          <w:sz w:val="24"/>
        </w:rPr>
        <w:t>业</w:t>
      </w:r>
      <w:r>
        <w:rPr>
          <w:rFonts w:ascii="宋体" w:hAnsi="宋体" w:cs="宋体"/>
          <w:sz w:val="24"/>
          <w:u w:val="single"/>
        </w:rPr>
        <w:t xml:space="preserve"> </w:t>
      </w:r>
      <w:r>
        <w:rPr>
          <w:rFonts w:hint="eastAsia" w:ascii="宋体" w:hAnsi="宋体" w:cs="宋体"/>
          <w:sz w:val="24"/>
          <w:u w:val="single"/>
        </w:rPr>
        <w:t xml:space="preserve">  </w:t>
      </w:r>
      <w:r>
        <w:rPr>
          <w:rFonts w:hint="eastAsia" w:ascii="宋体" w:hAnsi="宋体" w:cs="宋体"/>
          <w:sz w:val="24"/>
          <w:u w:val="single"/>
          <w:lang w:val="en-US" w:eastAsia="zh-CN"/>
        </w:rPr>
        <w:t xml:space="preserve"> 工商管理</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职</w:t>
      </w:r>
      <w:r>
        <w:rPr>
          <w:rFonts w:ascii="宋体" w:hAnsi="宋体" w:cs="宋体"/>
          <w:sz w:val="24"/>
        </w:rPr>
        <w:t xml:space="preserve">    </w:t>
      </w:r>
      <w:r>
        <w:rPr>
          <w:rFonts w:hint="eastAsia" w:ascii="宋体" w:hAnsi="宋体" w:cs="宋体"/>
          <w:sz w:val="24"/>
        </w:rPr>
        <w:t>称</w:t>
      </w:r>
      <w:r>
        <w:rPr>
          <w:rFonts w:ascii="宋体" w:hAnsi="宋体" w:cs="宋体"/>
          <w:sz w:val="24"/>
          <w:u w:val="single"/>
        </w:rPr>
        <w:t xml:space="preserve">  </w:t>
      </w:r>
      <w:r>
        <w:rPr>
          <w:rFonts w:hint="eastAsia" w:ascii="宋体" w:hAnsi="宋体" w:cs="宋体"/>
          <w:sz w:val="24"/>
          <w:u w:val="single"/>
        </w:rPr>
        <w:t>副教授</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lang w:val="en-US" w:eastAsia="zh-CN"/>
        </w:rPr>
        <w:t xml:space="preserve">   </w:t>
      </w:r>
      <w:r>
        <w:rPr>
          <w:rFonts w:hint="eastAsia" w:ascii="宋体" w:hAnsi="宋体" w:cs="宋体"/>
          <w:sz w:val="24"/>
        </w:rPr>
        <w:t>联系方式</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13910066465</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工作单位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北京物资学院</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评价时间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202</w:t>
      </w:r>
      <w:r>
        <w:rPr>
          <w:rFonts w:hint="eastAsia" w:ascii="宋体" w:hAnsi="宋体" w:cs="宋体"/>
          <w:sz w:val="24"/>
          <w:u w:val="single"/>
          <w:lang w:val="en-US" w:eastAsia="zh-CN"/>
        </w:rPr>
        <w:t>3</w:t>
      </w:r>
      <w:r>
        <w:rPr>
          <w:rFonts w:ascii="宋体" w:hAnsi="宋体" w:cs="宋体"/>
          <w:sz w:val="24"/>
          <w:u w:val="single"/>
        </w:rPr>
        <w:t xml:space="preserve">    </w:t>
      </w:r>
      <w:r>
        <w:rPr>
          <w:rFonts w:hint="eastAsia" w:ascii="宋体" w:hAnsi="宋体" w:cs="宋体"/>
          <w:sz w:val="24"/>
        </w:rPr>
        <w:t>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5</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rPr>
        <w:t>月</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11</w:t>
      </w:r>
      <w:r>
        <w:rPr>
          <w:rFonts w:ascii="宋体" w:hAnsi="宋体" w:cs="宋体"/>
          <w:sz w:val="24"/>
          <w:u w:val="single"/>
        </w:rPr>
        <w:t xml:space="preserve">   </w:t>
      </w:r>
      <w:r>
        <w:rPr>
          <w:rFonts w:hint="eastAsia" w:ascii="宋体" w:hAnsi="宋体" w:cs="宋体"/>
          <w:sz w:val="24"/>
        </w:rPr>
        <w:t>日</w:t>
      </w: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jc w:val="center"/>
        <w:outlineLvl w:val="9"/>
        <w:rPr>
          <w:rFonts w:ascii="宋体"/>
          <w:b/>
          <w:bCs/>
          <w:sz w:val="24"/>
        </w:rPr>
      </w:pPr>
      <w:r>
        <w:rPr>
          <w:rFonts w:hint="eastAsia" w:ascii="宋体" w:hAnsi="宋体" w:cs="仿宋_GB2312"/>
          <w:b/>
          <w:bCs/>
          <w:sz w:val="24"/>
        </w:rPr>
        <w:t>北京市财政局</w:t>
      </w:r>
      <w:r>
        <w:rPr>
          <w:rFonts w:ascii="宋体" w:hAnsi="宋体" w:cs="宋体"/>
          <w:b/>
          <w:bCs/>
          <w:sz w:val="24"/>
        </w:rPr>
        <w:t xml:space="preserve">   </w:t>
      </w:r>
      <w:r>
        <w:rPr>
          <w:rFonts w:hint="eastAsia" w:ascii="宋体" w:hAnsi="宋体" w:cs="仿宋_GB2312"/>
          <w:b/>
          <w:bCs/>
          <w:sz w:val="24"/>
        </w:rPr>
        <w:t>制</w:t>
      </w:r>
    </w:p>
    <w:p>
      <w:pPr>
        <w:widowControl/>
        <w:ind w:left="-630" w:leftChars="-300" w:right="-630" w:rightChars="-300"/>
        <w:jc w:val="left"/>
        <w:outlineLvl w:val="9"/>
      </w:pPr>
    </w:p>
    <w:p>
      <w:pPr>
        <w:spacing w:line="660" w:lineRule="exact"/>
        <w:outlineLvl w:val="9"/>
        <w:rPr>
          <w:rFonts w:hint="eastAsia" w:ascii="仿宋" w:hAnsi="仿宋" w:eastAsia="仿宋" w:cs="仿宋"/>
          <w:sz w:val="32"/>
          <w:szCs w:val="3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7" name="图片 7" descr="签字页_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签字页_1-11"/>
                    <pic:cNvPicPr>
                      <a:picLocks noChangeAspect="1"/>
                    </pic:cNvPicPr>
                  </pic:nvPicPr>
                  <pic:blipFill>
                    <a:blip r:embed="rId8"/>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8" name="图片 8" descr="签字页_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签字页_2-11"/>
                    <pic:cNvPicPr>
                      <a:picLocks noChangeAspect="1"/>
                    </pic:cNvPicPr>
                  </pic:nvPicPr>
                  <pic:blipFill>
                    <a:blip r:embed="rId9"/>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sz w:val="52"/>
          <w:szCs w:val="52"/>
        </w:rPr>
      </w:pPr>
      <w:r>
        <w:rPr>
          <w:rFonts w:hint="eastAsia" w:cs="宋体"/>
          <w:sz w:val="52"/>
          <w:szCs w:val="52"/>
        </w:rPr>
        <w:t>北京市预算部门项目支出绩效评价</w:t>
      </w:r>
      <w:r>
        <w:rPr>
          <w:rStyle w:val="16"/>
          <w:b w:val="0"/>
          <w:bCs w:val="0"/>
          <w:sz w:val="52"/>
          <w:szCs w:val="52"/>
        </w:rPr>
        <w:br w:type="textWrapping"/>
      </w:r>
      <w:r>
        <w:rPr>
          <w:rFonts w:hint="eastAsia" w:cs="宋体"/>
          <w:sz w:val="52"/>
          <w:szCs w:val="52"/>
        </w:rPr>
        <w:t>专家评价书</w:t>
      </w:r>
    </w:p>
    <w:p>
      <w:pPr>
        <w:spacing w:before="100" w:beforeAutospacing="1" w:after="100" w:afterAutospacing="1" w:line="312" w:lineRule="auto"/>
        <w:ind w:firstLine="680"/>
        <w:jc w:val="center"/>
        <w:outlineLvl w:val="9"/>
        <w:rPr>
          <w:rFonts w:ascii="宋体"/>
          <w:spacing w:val="50"/>
          <w:sz w:val="24"/>
        </w:rPr>
      </w:pPr>
    </w:p>
    <w:p>
      <w:pPr>
        <w:snapToGrid w:val="0"/>
        <w:spacing w:before="100" w:beforeAutospacing="1" w:after="100" w:afterAutospacing="1" w:line="312" w:lineRule="auto"/>
        <w:ind w:firstLine="482"/>
        <w:outlineLvl w:val="9"/>
        <w:rPr>
          <w:rFonts w:ascii="宋体"/>
          <w:b/>
          <w:bCs/>
          <w:sz w:val="24"/>
        </w:rPr>
      </w:pPr>
    </w:p>
    <w:p>
      <w:pPr>
        <w:snapToGrid w:val="0"/>
        <w:spacing w:before="100" w:beforeAutospacing="1" w:after="100" w:afterAutospacing="1" w:line="312" w:lineRule="auto"/>
        <w:ind w:firstLine="199" w:firstLineChars="83"/>
        <w:outlineLvl w:val="9"/>
        <w:rPr>
          <w:rFonts w:ascii="宋体" w:hAnsi="宋体"/>
          <w:sz w:val="24"/>
        </w:rPr>
      </w:pP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部门名称</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医疗保险信息系统升级改造项目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主管部门（单位）</w:t>
      </w:r>
      <w:r>
        <w:rPr>
          <w:rFonts w:ascii="宋体" w:hAnsi="宋体" w:cs="宋体"/>
          <w:sz w:val="24"/>
          <w:u w:val="single"/>
        </w:rPr>
        <w:t xml:space="preserve">      </w:t>
      </w:r>
      <w:r>
        <w:rPr>
          <w:rFonts w:hint="eastAsia" w:ascii="宋体" w:hAnsi="宋体" w:cs="宋体"/>
          <w:sz w:val="24"/>
          <w:u w:val="single"/>
        </w:rPr>
        <w:t xml:space="preserve"> 北京市医疗保障局  </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ascii="宋体" w:hAnsi="宋体" w:cs="宋体"/>
          <w:sz w:val="24"/>
          <w:u w:val="single"/>
        </w:rPr>
        <w:t xml:space="preserve">  </w:t>
      </w:r>
      <w:r>
        <w:rPr>
          <w:rFonts w:hint="eastAsia" w:ascii="宋体" w:hAnsi="宋体" w:cs="宋体"/>
          <w:sz w:val="24"/>
          <w:u w:val="single"/>
        </w:rPr>
        <w:t xml:space="preserve"> </w:t>
      </w:r>
    </w:p>
    <w:p>
      <w:pPr>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专家姓名</w:t>
      </w:r>
      <w:r>
        <w:rPr>
          <w:rFonts w:ascii="宋体" w:hAnsi="宋体" w:cs="宋体"/>
          <w:sz w:val="24"/>
          <w:u w:val="single"/>
        </w:rPr>
        <w:t xml:space="preserve">   </w:t>
      </w:r>
      <w:r>
        <w:rPr>
          <w:rFonts w:hint="eastAsia" w:ascii="宋体" w:hAnsi="宋体" w:cs="宋体"/>
          <w:sz w:val="24"/>
          <w:u w:val="single"/>
        </w:rPr>
        <w:t>兰凤云</w:t>
      </w:r>
      <w:r>
        <w:rPr>
          <w:rFonts w:hint="eastAsia" w:ascii="宋体" w:hAnsi="宋体" w:cs="宋体"/>
          <w:sz w:val="24"/>
          <w:u w:val="single"/>
          <w:lang w:val="en-US" w:eastAsia="zh-CN"/>
        </w:rPr>
        <w:t xml:space="preserve"> </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专</w:t>
      </w:r>
      <w:r>
        <w:rPr>
          <w:rFonts w:ascii="宋体" w:hAnsi="宋体" w:cs="宋体"/>
          <w:sz w:val="24"/>
        </w:rPr>
        <w:t xml:space="preserve">    </w:t>
      </w:r>
      <w:r>
        <w:rPr>
          <w:rFonts w:hint="eastAsia" w:ascii="宋体" w:hAnsi="宋体" w:cs="宋体"/>
          <w:sz w:val="24"/>
        </w:rPr>
        <w:t>业</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物资会计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职</w:t>
      </w:r>
      <w:r>
        <w:rPr>
          <w:rFonts w:ascii="宋体" w:hAnsi="宋体" w:cs="宋体"/>
          <w:sz w:val="24"/>
        </w:rPr>
        <w:t xml:space="preserve">    </w:t>
      </w:r>
      <w:r>
        <w:rPr>
          <w:rFonts w:hint="eastAsia" w:ascii="宋体" w:hAnsi="宋体" w:cs="宋体"/>
          <w:sz w:val="24"/>
        </w:rPr>
        <w:t>称</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ascii="宋体" w:hAnsi="宋体" w:cs="宋体"/>
          <w:sz w:val="24"/>
          <w:u w:val="single"/>
        </w:rPr>
        <w:t xml:space="preserve"> </w:t>
      </w:r>
      <w:r>
        <w:rPr>
          <w:rFonts w:hint="eastAsia" w:ascii="宋体" w:hAnsi="宋体" w:cs="宋体"/>
          <w:sz w:val="24"/>
          <w:u w:val="single"/>
        </w:rPr>
        <w:t>副教授</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联系方式</w:t>
      </w:r>
      <w:r>
        <w:rPr>
          <w:rFonts w:ascii="宋体" w:hAnsi="宋体" w:cs="宋体"/>
          <w:sz w:val="24"/>
          <w:u w:val="single"/>
        </w:rPr>
        <w:t xml:space="preserve"> </w:t>
      </w:r>
      <w:r>
        <w:rPr>
          <w:rFonts w:hint="eastAsia" w:ascii="宋体" w:hAnsi="宋体" w:cs="宋体"/>
          <w:sz w:val="24"/>
          <w:u w:val="single"/>
        </w:rPr>
        <w:t xml:space="preserve">  13910298670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工作单位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北京物资学院</w:t>
      </w:r>
      <w:r>
        <w:rPr>
          <w:rFonts w:ascii="宋体" w:hAnsi="宋体" w:cs="宋体"/>
          <w:sz w:val="24"/>
          <w:u w:val="single"/>
        </w:rPr>
        <w:t xml:space="preserve">          </w:t>
      </w:r>
      <w:r>
        <w:rPr>
          <w:rFonts w:hint="eastAsia"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评价时间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202</w:t>
      </w:r>
      <w:r>
        <w:rPr>
          <w:rFonts w:hint="eastAsia" w:ascii="宋体" w:hAnsi="宋体" w:cs="宋体"/>
          <w:sz w:val="24"/>
          <w:u w:val="single"/>
          <w:lang w:val="en-US" w:eastAsia="zh-CN"/>
        </w:rPr>
        <w:t>3</w:t>
      </w:r>
      <w:r>
        <w:rPr>
          <w:rFonts w:ascii="宋体" w:hAnsi="宋体" w:cs="宋体"/>
          <w:sz w:val="24"/>
          <w:u w:val="single"/>
        </w:rPr>
        <w:t xml:space="preserve">    </w:t>
      </w:r>
      <w:r>
        <w:rPr>
          <w:rFonts w:hint="eastAsia" w:ascii="宋体" w:hAnsi="宋体" w:cs="宋体"/>
          <w:sz w:val="24"/>
        </w:rPr>
        <w:t>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5</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rPr>
        <w:t>月</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11</w:t>
      </w:r>
      <w:r>
        <w:rPr>
          <w:rFonts w:ascii="宋体" w:hAnsi="宋体" w:cs="宋体"/>
          <w:sz w:val="24"/>
          <w:u w:val="single"/>
        </w:rPr>
        <w:t xml:space="preserve">   </w:t>
      </w:r>
      <w:r>
        <w:rPr>
          <w:rFonts w:hint="eastAsia" w:ascii="宋体" w:hAnsi="宋体" w:cs="宋体"/>
          <w:sz w:val="24"/>
        </w:rPr>
        <w:t>日</w:t>
      </w: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jc w:val="center"/>
        <w:outlineLvl w:val="9"/>
        <w:rPr>
          <w:rFonts w:ascii="宋体"/>
          <w:b/>
          <w:bCs/>
          <w:sz w:val="24"/>
        </w:rPr>
      </w:pPr>
      <w:r>
        <w:rPr>
          <w:rFonts w:hint="eastAsia" w:ascii="宋体" w:hAnsi="宋体" w:cs="仿宋_GB2312"/>
          <w:b/>
          <w:bCs/>
          <w:sz w:val="24"/>
        </w:rPr>
        <w:t>北京市财政局</w:t>
      </w:r>
      <w:r>
        <w:rPr>
          <w:rFonts w:ascii="宋体" w:hAnsi="宋体" w:cs="宋体"/>
          <w:b/>
          <w:bCs/>
          <w:sz w:val="24"/>
        </w:rPr>
        <w:t xml:space="preserve">   </w:t>
      </w:r>
      <w:r>
        <w:rPr>
          <w:rFonts w:hint="eastAsia" w:ascii="宋体" w:hAnsi="宋体" w:cs="仿宋_GB2312"/>
          <w:b/>
          <w:bCs/>
          <w:sz w:val="24"/>
        </w:rPr>
        <w:t>制</w:t>
      </w:r>
    </w:p>
    <w:p>
      <w:pPr>
        <w:spacing w:line="660" w:lineRule="exact"/>
        <w:outlineLvl w:val="9"/>
        <w:rPr>
          <w:rFonts w:hint="eastAsia" w:ascii="仿宋" w:hAnsi="仿宋" w:eastAsia="仿宋" w:cs="仿宋"/>
          <w:sz w:val="32"/>
          <w:szCs w:val="3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9" name="图片 9" descr="签字页_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签字页_5-11"/>
                    <pic:cNvPicPr>
                      <a:picLocks noChangeAspect="1"/>
                    </pic:cNvPicPr>
                  </pic:nvPicPr>
                  <pic:blipFill>
                    <a:blip r:embed="rId10"/>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10" name="图片 10" descr="签字页_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签字页_6-11"/>
                    <pic:cNvPicPr>
                      <a:picLocks noChangeAspect="1"/>
                    </pic:cNvPicPr>
                  </pic:nvPicPr>
                  <pic:blipFill>
                    <a:blip r:embed="rId11"/>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sz w:val="52"/>
          <w:szCs w:val="52"/>
        </w:rPr>
      </w:pPr>
      <w:r>
        <w:rPr>
          <w:rFonts w:hint="eastAsia" w:cs="宋体"/>
          <w:sz w:val="52"/>
          <w:szCs w:val="52"/>
        </w:rPr>
        <w:t>北京市预算部门项目支出绩效评价</w:t>
      </w:r>
      <w:r>
        <w:rPr>
          <w:rStyle w:val="16"/>
          <w:b w:val="0"/>
          <w:bCs w:val="0"/>
          <w:sz w:val="52"/>
          <w:szCs w:val="52"/>
        </w:rPr>
        <w:br w:type="textWrapping"/>
      </w:r>
      <w:r>
        <w:rPr>
          <w:rFonts w:hint="eastAsia" w:cs="宋体"/>
          <w:sz w:val="52"/>
          <w:szCs w:val="52"/>
        </w:rPr>
        <w:t>专家评价书</w:t>
      </w:r>
    </w:p>
    <w:p>
      <w:pPr>
        <w:spacing w:before="100" w:beforeAutospacing="1" w:after="100" w:afterAutospacing="1" w:line="312" w:lineRule="auto"/>
        <w:ind w:firstLine="680"/>
        <w:jc w:val="center"/>
        <w:outlineLvl w:val="9"/>
        <w:rPr>
          <w:rFonts w:ascii="宋体"/>
          <w:spacing w:val="50"/>
          <w:sz w:val="24"/>
        </w:rPr>
      </w:pPr>
    </w:p>
    <w:p>
      <w:pPr>
        <w:snapToGrid w:val="0"/>
        <w:spacing w:before="100" w:beforeAutospacing="1" w:after="100" w:afterAutospacing="1" w:line="312" w:lineRule="auto"/>
        <w:ind w:firstLine="482"/>
        <w:outlineLvl w:val="9"/>
        <w:rPr>
          <w:rFonts w:ascii="宋体"/>
          <w:b/>
          <w:bCs/>
          <w:sz w:val="24"/>
        </w:rPr>
      </w:pPr>
    </w:p>
    <w:p>
      <w:pPr>
        <w:snapToGrid w:val="0"/>
        <w:spacing w:before="100" w:beforeAutospacing="1" w:after="100" w:afterAutospacing="1" w:line="312" w:lineRule="auto"/>
        <w:ind w:firstLine="199" w:firstLineChars="83"/>
        <w:outlineLvl w:val="9"/>
        <w:rPr>
          <w:rFonts w:ascii="宋体" w:hAnsi="宋体"/>
          <w:sz w:val="24"/>
        </w:rPr>
      </w:pP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部门名称</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 xml:space="preserve">医疗保险信息系统升级改造项目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主管部门（单位）</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北京市医疗保障局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p>
    <w:p>
      <w:pPr>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专家姓名</w:t>
      </w:r>
      <w:r>
        <w:rPr>
          <w:rFonts w:ascii="宋体" w:hAnsi="宋体" w:cs="宋体"/>
          <w:sz w:val="24"/>
          <w:u w:val="single"/>
        </w:rPr>
        <w:t xml:space="preserve"> </w:t>
      </w:r>
      <w:r>
        <w:rPr>
          <w:rFonts w:hint="eastAsia" w:ascii="宋体" w:hAnsi="宋体" w:cs="宋体"/>
          <w:sz w:val="24"/>
          <w:u w:val="single"/>
        </w:rPr>
        <w:t xml:space="preserve">  张书颖</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专</w:t>
      </w:r>
      <w:r>
        <w:rPr>
          <w:rFonts w:ascii="宋体" w:hAnsi="宋体" w:cs="宋体"/>
          <w:sz w:val="24"/>
        </w:rPr>
        <w:t xml:space="preserve">    </w:t>
      </w:r>
      <w:r>
        <w:rPr>
          <w:rFonts w:hint="eastAsia" w:ascii="宋体" w:hAnsi="宋体" w:cs="宋体"/>
          <w:sz w:val="24"/>
        </w:rPr>
        <w:t>业</w:t>
      </w:r>
      <w:r>
        <w:rPr>
          <w:rFonts w:ascii="宋体" w:hAnsi="宋体" w:cs="宋体"/>
          <w:sz w:val="24"/>
          <w:u w:val="single"/>
        </w:rPr>
        <w:t xml:space="preserve"> </w:t>
      </w:r>
      <w:r>
        <w:rPr>
          <w:rFonts w:hint="eastAsia" w:ascii="宋体" w:hAnsi="宋体" w:cs="宋体"/>
          <w:sz w:val="24"/>
          <w:u w:val="single"/>
        </w:rPr>
        <w:t xml:space="preserve">  社会学</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职</w:t>
      </w:r>
      <w:r>
        <w:rPr>
          <w:rFonts w:ascii="宋体" w:hAnsi="宋体" w:cs="宋体"/>
          <w:sz w:val="24"/>
        </w:rPr>
        <w:t xml:space="preserve">    </w:t>
      </w:r>
      <w:r>
        <w:rPr>
          <w:rFonts w:hint="eastAsia" w:ascii="宋体" w:hAnsi="宋体" w:cs="宋体"/>
          <w:sz w:val="24"/>
        </w:rPr>
        <w:t>称</w:t>
      </w:r>
      <w:r>
        <w:rPr>
          <w:rFonts w:ascii="宋体" w:hAnsi="宋体" w:cs="宋体"/>
          <w:sz w:val="24"/>
          <w:u w:val="single"/>
        </w:rPr>
        <w:t xml:space="preserve">  </w:t>
      </w:r>
      <w:r>
        <w:rPr>
          <w:rFonts w:hint="eastAsia" w:ascii="宋体" w:hAnsi="宋体" w:cs="宋体"/>
          <w:sz w:val="24"/>
          <w:u w:val="single"/>
        </w:rPr>
        <w:t xml:space="preserve">  教授</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联系方式</w:t>
      </w:r>
      <w:r>
        <w:rPr>
          <w:rFonts w:ascii="宋体" w:hAnsi="宋体" w:cs="宋体"/>
          <w:sz w:val="24"/>
          <w:u w:val="single"/>
        </w:rPr>
        <w:t xml:space="preserve"> </w:t>
      </w:r>
      <w:r>
        <w:rPr>
          <w:rFonts w:hint="eastAsia" w:ascii="宋体" w:hAnsi="宋体" w:cs="宋体"/>
          <w:sz w:val="24"/>
          <w:u w:val="single"/>
        </w:rPr>
        <w:t xml:space="preserve">  13810663950</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工作单位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北京政法职业学院</w:t>
      </w:r>
      <w:r>
        <w:rPr>
          <w:rFonts w:hint="eastAsia" w:ascii="宋体" w:hAnsi="宋体" w:cs="宋体"/>
          <w:sz w:val="24"/>
          <w:u w:val="single"/>
          <w:lang w:val="en-US" w:eastAsia="zh-CN"/>
        </w:rPr>
        <w:t xml:space="preserve">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评价时间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202</w:t>
      </w:r>
      <w:r>
        <w:rPr>
          <w:rFonts w:hint="eastAsia" w:ascii="宋体" w:hAnsi="宋体" w:cs="宋体"/>
          <w:sz w:val="24"/>
          <w:u w:val="single"/>
          <w:lang w:val="en-US" w:eastAsia="zh-CN"/>
        </w:rPr>
        <w:t>3</w:t>
      </w:r>
      <w:r>
        <w:rPr>
          <w:rFonts w:ascii="宋体" w:hAnsi="宋体" w:cs="宋体"/>
          <w:sz w:val="24"/>
          <w:u w:val="single"/>
        </w:rPr>
        <w:t xml:space="preserve">    </w:t>
      </w:r>
      <w:r>
        <w:rPr>
          <w:rFonts w:hint="eastAsia" w:ascii="宋体" w:hAnsi="宋体" w:cs="宋体"/>
          <w:sz w:val="24"/>
        </w:rPr>
        <w:t>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5</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rPr>
        <w:t>月</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11</w:t>
      </w:r>
      <w:r>
        <w:rPr>
          <w:rFonts w:ascii="宋体" w:hAnsi="宋体" w:cs="宋体"/>
          <w:sz w:val="24"/>
          <w:u w:val="single"/>
        </w:rPr>
        <w:t xml:space="preserve">   </w:t>
      </w:r>
      <w:r>
        <w:rPr>
          <w:rFonts w:hint="eastAsia" w:ascii="宋体" w:hAnsi="宋体" w:cs="宋体"/>
          <w:sz w:val="24"/>
        </w:rPr>
        <w:t>日</w:t>
      </w: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jc w:val="center"/>
        <w:outlineLvl w:val="9"/>
        <w:rPr>
          <w:rFonts w:ascii="宋体"/>
          <w:b/>
          <w:bCs/>
          <w:sz w:val="24"/>
        </w:rPr>
      </w:pPr>
      <w:r>
        <w:rPr>
          <w:rFonts w:hint="eastAsia" w:ascii="宋体" w:hAnsi="宋体" w:cs="仿宋_GB2312"/>
          <w:b/>
          <w:bCs/>
          <w:sz w:val="24"/>
        </w:rPr>
        <w:t>北京市财政局</w:t>
      </w:r>
      <w:r>
        <w:rPr>
          <w:rFonts w:ascii="宋体" w:hAnsi="宋体" w:cs="宋体"/>
          <w:b/>
          <w:bCs/>
          <w:sz w:val="24"/>
        </w:rPr>
        <w:t xml:space="preserve">   </w:t>
      </w:r>
      <w:r>
        <w:rPr>
          <w:rFonts w:hint="eastAsia" w:ascii="宋体" w:hAnsi="宋体" w:cs="仿宋_GB2312"/>
          <w:b/>
          <w:bCs/>
          <w:sz w:val="24"/>
        </w:rPr>
        <w:t>制</w:t>
      </w:r>
    </w:p>
    <w:p>
      <w:pPr>
        <w:spacing w:line="660" w:lineRule="exact"/>
        <w:outlineLvl w:val="9"/>
        <w:rPr>
          <w:rFonts w:hint="eastAsia" w:ascii="仿宋" w:hAnsi="仿宋" w:eastAsia="仿宋" w:cs="仿宋"/>
          <w:sz w:val="32"/>
          <w:szCs w:val="3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11" name="图片 11" descr="签字页_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签字页_9-11"/>
                    <pic:cNvPicPr>
                      <a:picLocks noChangeAspect="1"/>
                    </pic:cNvPicPr>
                  </pic:nvPicPr>
                  <pic:blipFill>
                    <a:blip r:embed="rId12"/>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13" name="图片 13" descr="签字页_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签字页_10-11"/>
                    <pic:cNvPicPr>
                      <a:picLocks noChangeAspect="1"/>
                    </pic:cNvPicPr>
                  </pic:nvPicPr>
                  <pic:blipFill>
                    <a:blip r:embed="rId13"/>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r>
        <w:rPr>
          <w:rFonts w:hint="eastAsia" w:cs="宋体"/>
          <w:sz w:val="52"/>
          <w:szCs w:val="52"/>
        </w:rPr>
        <w:drawing>
          <wp:inline distT="0" distB="0" distL="114300" distR="114300">
            <wp:extent cx="5268595" cy="7452360"/>
            <wp:effectExtent l="0" t="0" r="4445" b="0"/>
            <wp:docPr id="14" name="图片 14" descr="签字页_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签字页_11-11"/>
                    <pic:cNvPicPr>
                      <a:picLocks noChangeAspect="1"/>
                    </pic:cNvPicPr>
                  </pic:nvPicPr>
                  <pic:blipFill>
                    <a:blip r:embed="rId14"/>
                    <a:stretch>
                      <a:fillRect/>
                    </a:stretch>
                  </pic:blipFill>
                  <pic:spPr>
                    <a:xfrm rot="10800000">
                      <a:off x="0" y="0"/>
                      <a:ext cx="5268595" cy="7452360"/>
                    </a:xfrm>
                    <a:prstGeom prst="rect">
                      <a:avLst/>
                    </a:prstGeom>
                  </pic:spPr>
                </pic:pic>
              </a:graphicData>
            </a:graphic>
          </wp:inline>
        </w:drawing>
      </w: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rFonts w:hint="eastAsia" w:cs="宋体"/>
          <w:sz w:val="52"/>
          <w:szCs w:val="52"/>
        </w:rPr>
      </w:pPr>
    </w:p>
    <w:p>
      <w:pPr>
        <w:tabs>
          <w:tab w:val="left" w:pos="8222"/>
        </w:tabs>
        <w:ind w:right="67" w:rightChars="32"/>
        <w:jc w:val="center"/>
        <w:outlineLvl w:val="9"/>
        <w:rPr>
          <w:sz w:val="52"/>
          <w:szCs w:val="52"/>
        </w:rPr>
      </w:pPr>
      <w:r>
        <w:rPr>
          <w:rFonts w:hint="eastAsia" w:cs="宋体"/>
          <w:sz w:val="52"/>
          <w:szCs w:val="52"/>
        </w:rPr>
        <w:t>北京市预算部门项目支出绩效评价</w:t>
      </w:r>
      <w:r>
        <w:rPr>
          <w:rStyle w:val="16"/>
          <w:b w:val="0"/>
          <w:bCs w:val="0"/>
          <w:sz w:val="52"/>
          <w:szCs w:val="52"/>
        </w:rPr>
        <w:br w:type="textWrapping"/>
      </w:r>
      <w:r>
        <w:rPr>
          <w:rFonts w:hint="eastAsia" w:cs="宋体"/>
          <w:sz w:val="52"/>
          <w:szCs w:val="52"/>
        </w:rPr>
        <w:t>专家评价书</w:t>
      </w:r>
    </w:p>
    <w:p>
      <w:pPr>
        <w:spacing w:before="100" w:beforeAutospacing="1" w:after="100" w:afterAutospacing="1" w:line="312" w:lineRule="auto"/>
        <w:ind w:firstLine="680"/>
        <w:jc w:val="center"/>
        <w:outlineLvl w:val="9"/>
        <w:rPr>
          <w:rFonts w:ascii="宋体"/>
          <w:spacing w:val="50"/>
          <w:sz w:val="24"/>
        </w:rPr>
      </w:pPr>
    </w:p>
    <w:p>
      <w:pPr>
        <w:snapToGrid w:val="0"/>
        <w:spacing w:before="100" w:beforeAutospacing="1" w:after="100" w:afterAutospacing="1" w:line="312" w:lineRule="auto"/>
        <w:ind w:firstLine="482"/>
        <w:outlineLvl w:val="9"/>
        <w:rPr>
          <w:rFonts w:ascii="宋体"/>
          <w:b/>
          <w:bCs/>
          <w:sz w:val="24"/>
        </w:rPr>
      </w:pPr>
    </w:p>
    <w:p>
      <w:pPr>
        <w:snapToGrid w:val="0"/>
        <w:spacing w:before="100" w:beforeAutospacing="1" w:after="100" w:afterAutospacing="1" w:line="312" w:lineRule="auto"/>
        <w:ind w:firstLine="199" w:firstLineChars="83"/>
        <w:outlineLvl w:val="9"/>
        <w:rPr>
          <w:rFonts w:ascii="宋体" w:hAnsi="宋体"/>
          <w:sz w:val="24"/>
        </w:rPr>
      </w:pP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部门名称</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医疗保险信息系统升级改造项目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主管部门（单位）</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u w:val="single"/>
        </w:rPr>
        <w:t xml:space="preserve">北京市医疗保障局  </w:t>
      </w:r>
      <w:r>
        <w:rPr>
          <w:rFonts w:ascii="宋体" w:hAnsi="宋体" w:cs="宋体"/>
          <w:sz w:val="24"/>
          <w:u w:val="single"/>
        </w:rPr>
        <w:t xml:space="preserve">    </w:t>
      </w:r>
      <w:r>
        <w:rPr>
          <w:rFonts w:hint="eastAsia" w:ascii="宋体" w:hAnsi="宋体" w:cs="宋体"/>
          <w:sz w:val="24"/>
          <w:u w:val="single"/>
        </w:rPr>
        <w:t xml:space="preserve"> </w:t>
      </w:r>
      <w:r>
        <w:rPr>
          <w:rFonts w:ascii="宋体" w:hAnsi="宋体" w:cs="宋体"/>
          <w:sz w:val="24"/>
          <w:u w:val="single"/>
        </w:rPr>
        <w:t xml:space="preserve">   </w:t>
      </w:r>
    </w:p>
    <w:p>
      <w:pPr>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专家姓名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常霞</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专</w:t>
      </w:r>
      <w:r>
        <w:rPr>
          <w:rFonts w:ascii="宋体" w:hAnsi="宋体" w:cs="宋体"/>
          <w:sz w:val="24"/>
        </w:rPr>
        <w:t xml:space="preserve">    </w:t>
      </w:r>
      <w:r>
        <w:rPr>
          <w:rFonts w:hint="eastAsia" w:ascii="宋体" w:hAnsi="宋体" w:cs="宋体"/>
          <w:sz w:val="24"/>
        </w:rPr>
        <w:t>业</w:t>
      </w:r>
      <w:r>
        <w:rPr>
          <w:rFonts w:ascii="宋体" w:hAnsi="宋体" w:cs="宋体"/>
          <w:sz w:val="24"/>
          <w:u w:val="single"/>
        </w:rPr>
        <w:t xml:space="preserve"> </w:t>
      </w:r>
      <w:r>
        <w:rPr>
          <w:rFonts w:hint="eastAsia"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计算机软件</w:t>
      </w:r>
      <w:r>
        <w:rPr>
          <w:rFonts w:hint="eastAsia" w:ascii="宋体" w:hAnsi="宋体" w:cs="宋体"/>
          <w:sz w:val="24"/>
          <w:u w:val="single"/>
          <w:lang w:val="en-US" w:eastAsia="zh-CN"/>
        </w:rPr>
        <w:t xml:space="preserve"> </w:t>
      </w:r>
      <w:r>
        <w:rPr>
          <w:rFonts w:hint="eastAsia"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职</w:t>
      </w:r>
      <w:r>
        <w:rPr>
          <w:rFonts w:ascii="宋体" w:hAnsi="宋体" w:cs="宋体"/>
          <w:sz w:val="24"/>
        </w:rPr>
        <w:t xml:space="preserve">    </w:t>
      </w:r>
      <w:r>
        <w:rPr>
          <w:rFonts w:hint="eastAsia" w:ascii="宋体" w:hAnsi="宋体" w:cs="宋体"/>
          <w:sz w:val="24"/>
        </w:rPr>
        <w:t>称</w:t>
      </w:r>
      <w:r>
        <w:rPr>
          <w:rFonts w:ascii="宋体" w:hAnsi="宋体" w:cs="宋体"/>
          <w:sz w:val="24"/>
          <w:u w:val="single"/>
        </w:rPr>
        <w:t xml:space="preserve"> </w:t>
      </w:r>
      <w:r>
        <w:rPr>
          <w:rFonts w:hint="eastAsia" w:ascii="宋体" w:hAnsi="宋体" w:cs="宋体"/>
          <w:sz w:val="24"/>
          <w:u w:val="single"/>
        </w:rPr>
        <w:t>高级工程师</w:t>
      </w:r>
      <w:r>
        <w:rPr>
          <w:rFonts w:ascii="宋体" w:hAnsi="宋体" w:cs="宋体"/>
          <w:sz w:val="24"/>
          <w:u w:val="single"/>
        </w:rPr>
        <w:t xml:space="preserve">  </w:t>
      </w:r>
      <w:r>
        <w:rPr>
          <w:rFonts w:ascii="宋体" w:hAnsi="宋体" w:cs="宋体"/>
          <w:sz w:val="24"/>
        </w:rPr>
        <w:t xml:space="preserve">  </w:t>
      </w:r>
      <w:r>
        <w:rPr>
          <w:rFonts w:hint="eastAsia" w:ascii="宋体" w:hAnsi="宋体" w:cs="宋体"/>
          <w:sz w:val="24"/>
        </w:rPr>
        <w:t>联系方式</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 xml:space="preserve"> 13601026162</w:t>
      </w:r>
      <w:r>
        <w:rPr>
          <w:rFonts w:hint="eastAsia" w:ascii="宋体" w:hAnsi="宋体" w:cs="宋体"/>
          <w:sz w:val="24"/>
          <w:u w:val="single"/>
          <w:lang w:val="en-US" w:eastAsia="zh-CN"/>
        </w:rPr>
        <w:t xml:space="preserve">  </w:t>
      </w:r>
      <w:r>
        <w:rPr>
          <w:rFonts w:hint="eastAsia"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hint="eastAsia" w:ascii="宋体" w:hAnsi="宋体" w:cs="宋体"/>
          <w:sz w:val="24"/>
          <w:u w:val="single"/>
        </w:rPr>
      </w:pPr>
      <w:r>
        <w:rPr>
          <w:rFonts w:hint="eastAsia" w:ascii="宋体" w:hAnsi="宋体" w:cs="宋体"/>
          <w:sz w:val="24"/>
        </w:rPr>
        <w:t>工作单位</w:t>
      </w:r>
      <w:r>
        <w:rPr>
          <w:rFonts w:ascii="宋体" w:hAnsi="宋体" w:cs="宋体"/>
          <w:sz w:val="24"/>
          <w:u w:val="single"/>
        </w:rPr>
        <w:t xml:space="preserve">    </w:t>
      </w:r>
      <w:r>
        <w:rPr>
          <w:rFonts w:hint="eastAsia" w:ascii="宋体" w:hAnsi="宋体" w:cs="宋体"/>
          <w:sz w:val="24"/>
          <w:u w:val="single"/>
          <w:lang w:val="en-US" w:eastAsia="zh-CN"/>
        </w:rPr>
        <w:t xml:space="preserve"> </w:t>
      </w:r>
      <w:r>
        <w:rPr>
          <w:rFonts w:hint="eastAsia" w:ascii="宋体" w:hAnsi="宋体" w:cs="宋体"/>
          <w:sz w:val="24"/>
          <w:u w:val="single"/>
        </w:rPr>
        <w:t xml:space="preserve">国家计算机网络与信息安全管理中心  </w:t>
      </w:r>
      <w:r>
        <w:rPr>
          <w:rFonts w:ascii="宋体" w:hAnsi="宋体" w:cs="宋体"/>
          <w:sz w:val="24"/>
          <w:u w:val="single"/>
        </w:rPr>
        <w:t xml:space="preserve">  </w:t>
      </w:r>
    </w:p>
    <w:p>
      <w:pPr>
        <w:snapToGrid w:val="0"/>
        <w:spacing w:before="100" w:beforeAutospacing="1" w:after="100" w:afterAutospacing="1" w:line="312" w:lineRule="auto"/>
        <w:ind w:firstLine="1200" w:firstLineChars="500"/>
        <w:outlineLvl w:val="9"/>
        <w:rPr>
          <w:rFonts w:ascii="宋体" w:hAnsi="宋体"/>
          <w:sz w:val="24"/>
        </w:rPr>
      </w:pPr>
      <w:r>
        <w:rPr>
          <w:rFonts w:hint="eastAsia" w:ascii="宋体" w:hAnsi="宋体" w:cs="宋体"/>
          <w:sz w:val="24"/>
        </w:rPr>
        <w:t>评价时间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rPr>
        <w:t>202</w:t>
      </w:r>
      <w:r>
        <w:rPr>
          <w:rFonts w:hint="eastAsia" w:ascii="宋体" w:hAnsi="宋体" w:cs="宋体"/>
          <w:sz w:val="24"/>
          <w:u w:val="single"/>
          <w:lang w:val="en-US" w:eastAsia="zh-CN"/>
        </w:rPr>
        <w:t>3</w:t>
      </w:r>
      <w:r>
        <w:rPr>
          <w:rFonts w:ascii="宋体" w:hAnsi="宋体" w:cs="宋体"/>
          <w:sz w:val="24"/>
          <w:u w:val="single"/>
        </w:rPr>
        <w:t xml:space="preserve">    </w:t>
      </w:r>
      <w:r>
        <w:rPr>
          <w:rFonts w:hint="eastAsia" w:ascii="宋体" w:hAnsi="宋体" w:cs="宋体"/>
          <w:sz w:val="24"/>
        </w:rPr>
        <w:t>年</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5</w:t>
      </w:r>
      <w:r>
        <w:rPr>
          <w:rFonts w:hint="eastAsia" w:ascii="宋体" w:hAnsi="宋体" w:cs="宋体"/>
          <w:sz w:val="24"/>
          <w:u w:val="single"/>
        </w:rPr>
        <w:t xml:space="preserve">  </w:t>
      </w:r>
      <w:r>
        <w:rPr>
          <w:rFonts w:ascii="宋体" w:hAnsi="宋体" w:cs="宋体"/>
          <w:sz w:val="24"/>
          <w:u w:val="single"/>
        </w:rPr>
        <w:t xml:space="preserve">   </w:t>
      </w:r>
      <w:r>
        <w:rPr>
          <w:rFonts w:hint="eastAsia" w:ascii="宋体" w:hAnsi="宋体" w:cs="宋体"/>
          <w:sz w:val="24"/>
        </w:rPr>
        <w:t>月</w:t>
      </w:r>
      <w:r>
        <w:rPr>
          <w:rFonts w:ascii="宋体" w:hAnsi="宋体" w:cs="宋体"/>
          <w:sz w:val="24"/>
        </w:rPr>
        <w:t xml:space="preserve"> </w:t>
      </w:r>
      <w:r>
        <w:rPr>
          <w:rFonts w:ascii="宋体" w:hAnsi="宋体" w:cs="宋体"/>
          <w:sz w:val="24"/>
          <w:u w:val="single"/>
        </w:rPr>
        <w:t xml:space="preserve">    </w:t>
      </w:r>
      <w:r>
        <w:rPr>
          <w:rFonts w:hint="eastAsia" w:ascii="宋体" w:hAnsi="宋体" w:cs="宋体"/>
          <w:sz w:val="24"/>
          <w:u w:val="single"/>
          <w:lang w:val="en-US" w:eastAsia="zh-CN"/>
        </w:rPr>
        <w:t>11</w:t>
      </w:r>
      <w:r>
        <w:rPr>
          <w:rFonts w:ascii="宋体" w:hAnsi="宋体" w:cs="宋体"/>
          <w:sz w:val="24"/>
          <w:u w:val="single"/>
        </w:rPr>
        <w:t xml:space="preserve">   </w:t>
      </w:r>
      <w:r>
        <w:rPr>
          <w:rFonts w:hint="eastAsia" w:ascii="宋体" w:hAnsi="宋体" w:cs="宋体"/>
          <w:sz w:val="24"/>
        </w:rPr>
        <w:t>日</w:t>
      </w: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outlineLvl w:val="9"/>
        <w:rPr>
          <w:rFonts w:ascii="宋体"/>
          <w:sz w:val="24"/>
        </w:rPr>
      </w:pPr>
    </w:p>
    <w:p>
      <w:pPr>
        <w:spacing w:before="100" w:beforeAutospacing="1" w:after="100" w:afterAutospacing="1" w:line="312" w:lineRule="auto"/>
        <w:ind w:right="437" w:firstLine="480"/>
        <w:jc w:val="center"/>
        <w:outlineLvl w:val="9"/>
        <w:rPr>
          <w:rFonts w:ascii="宋体"/>
          <w:b/>
          <w:bCs/>
          <w:sz w:val="24"/>
        </w:rPr>
      </w:pPr>
      <w:r>
        <w:rPr>
          <w:rFonts w:hint="eastAsia" w:ascii="宋体" w:hAnsi="宋体" w:cs="仿宋_GB2312"/>
          <w:b/>
          <w:bCs/>
          <w:sz w:val="24"/>
        </w:rPr>
        <w:t>北京市财政局</w:t>
      </w:r>
      <w:r>
        <w:rPr>
          <w:rFonts w:ascii="宋体" w:hAnsi="宋体" w:cs="宋体"/>
          <w:b/>
          <w:bCs/>
          <w:sz w:val="24"/>
        </w:rPr>
        <w:t xml:space="preserve">   </w:t>
      </w:r>
      <w:r>
        <w:rPr>
          <w:rFonts w:hint="eastAsia" w:ascii="宋体" w:hAnsi="宋体" w:cs="仿宋_GB2312"/>
          <w:b/>
          <w:bCs/>
          <w:sz w:val="24"/>
        </w:rPr>
        <w:t>制</w:t>
      </w:r>
    </w:p>
    <w:p>
      <w:pPr>
        <w:spacing w:line="660" w:lineRule="exact"/>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268595" cy="7452360"/>
            <wp:effectExtent l="0" t="0" r="4445" b="0"/>
            <wp:docPr id="18" name="图片 18" descr="签字页_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签字页_7-11"/>
                    <pic:cNvPicPr>
                      <a:picLocks noChangeAspect="1"/>
                    </pic:cNvPicPr>
                  </pic:nvPicPr>
                  <pic:blipFill>
                    <a:blip r:embed="rId15"/>
                    <a:stretch>
                      <a:fillRect/>
                    </a:stretch>
                  </pic:blipFill>
                  <pic:spPr>
                    <a:xfrm rot="10800000">
                      <a:off x="0" y="0"/>
                      <a:ext cx="5268595" cy="7452360"/>
                    </a:xfrm>
                    <a:prstGeom prst="rect">
                      <a:avLst/>
                    </a:prstGeom>
                  </pic:spPr>
                </pic:pic>
              </a:graphicData>
            </a:graphic>
          </wp:inline>
        </w:drawing>
      </w:r>
    </w:p>
    <w:p>
      <w:pPr>
        <w:spacing w:line="240" w:lineRule="auto"/>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268595" cy="7452360"/>
            <wp:effectExtent l="0" t="0" r="4445" b="0"/>
            <wp:docPr id="19" name="图片 19" descr="签字页_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签字页_8-11"/>
                    <pic:cNvPicPr>
                      <a:picLocks noChangeAspect="1"/>
                    </pic:cNvPicPr>
                  </pic:nvPicPr>
                  <pic:blipFill>
                    <a:blip r:embed="rId16"/>
                    <a:stretch>
                      <a:fillRect/>
                    </a:stretch>
                  </pic:blipFill>
                  <pic:spPr>
                    <a:xfrm rot="10800000">
                      <a:off x="0" y="0"/>
                      <a:ext cx="5268595" cy="7452360"/>
                    </a:xfrm>
                    <a:prstGeom prst="rect">
                      <a:avLst/>
                    </a:prstGeom>
                  </pic:spPr>
                </pic:pic>
              </a:graphicData>
            </a:graphic>
          </wp:inline>
        </w:drawing>
      </w:r>
    </w:p>
    <w:p>
      <w:pPr>
        <w:spacing w:line="240" w:lineRule="auto"/>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p>
    <w:p>
      <w:pPr>
        <w:spacing w:line="240" w:lineRule="auto"/>
        <w:outlineLvl w:val="9"/>
        <w:rPr>
          <w:rFonts w:hint="eastAsia" w:ascii="仿宋" w:hAnsi="仿宋" w:eastAsia="仿宋" w:cs="仿宋"/>
          <w:sz w:val="32"/>
          <w:szCs w:val="32"/>
        </w:rPr>
      </w:pPr>
    </w:p>
    <w:p>
      <w:pPr>
        <w:spacing w:line="240" w:lineRule="auto"/>
        <w:outlineLvl w:val="9"/>
        <w:rPr>
          <w:rFonts w:ascii="仿宋" w:hAnsi="仿宋" w:eastAsia="仿宋" w:cs="仿宋"/>
          <w:sz w:val="32"/>
          <w:szCs w:val="32"/>
        </w:rPr>
      </w:pPr>
      <w:r>
        <w:rPr>
          <w:rFonts w:hint="eastAsia" w:ascii="仿宋" w:hAnsi="仿宋" w:eastAsia="仿宋" w:cs="仿宋"/>
          <w:sz w:val="32"/>
          <w:szCs w:val="32"/>
        </w:rPr>
        <w:t>附件（二）</w:t>
      </w:r>
    </w:p>
    <w:p>
      <w:pPr>
        <w:spacing w:line="360" w:lineRule="auto"/>
        <w:jc w:val="center"/>
        <w:outlineLvl w:val="9"/>
        <w:rPr>
          <w:rFonts w:ascii="仿宋_GB2312" w:eastAsia="黑体"/>
          <w:b/>
          <w:bCs/>
          <w:sz w:val="36"/>
          <w:szCs w:val="36"/>
        </w:rPr>
      </w:pPr>
    </w:p>
    <w:p>
      <w:pPr>
        <w:spacing w:line="360" w:lineRule="auto"/>
        <w:jc w:val="center"/>
        <w:outlineLvl w:val="9"/>
        <w:rPr>
          <w:rFonts w:ascii="仿宋_GB2312" w:eastAsia="黑体"/>
          <w:b/>
          <w:bCs/>
          <w:sz w:val="36"/>
          <w:szCs w:val="36"/>
        </w:rPr>
      </w:pPr>
    </w:p>
    <w:p>
      <w:pPr>
        <w:spacing w:line="360" w:lineRule="auto"/>
        <w:jc w:val="center"/>
        <w:outlineLvl w:val="9"/>
        <w:rPr>
          <w:rFonts w:ascii="仿宋_GB2312" w:eastAsia="黑体"/>
          <w:b/>
          <w:bCs/>
          <w:sz w:val="36"/>
          <w:szCs w:val="36"/>
        </w:rPr>
      </w:pPr>
    </w:p>
    <w:p>
      <w:pPr>
        <w:spacing w:line="360" w:lineRule="auto"/>
        <w:jc w:val="center"/>
        <w:outlineLvl w:val="9"/>
        <w:rPr>
          <w:rFonts w:ascii="黑体" w:eastAsia="黑体"/>
          <w:bCs/>
          <w:sz w:val="36"/>
          <w:szCs w:val="36"/>
        </w:rPr>
      </w:pPr>
      <w:r>
        <w:rPr>
          <w:rFonts w:hint="eastAsia" w:ascii="仿宋_GB2312" w:eastAsia="黑体"/>
          <w:b/>
          <w:bCs/>
          <w:sz w:val="36"/>
          <w:szCs w:val="36"/>
        </w:rPr>
        <w:t>北京市项目支出绩效评价</w:t>
      </w:r>
      <w:r>
        <w:rPr>
          <w:rFonts w:ascii="仿宋_GB2312" w:eastAsia="黑体"/>
          <w:b/>
          <w:bCs/>
          <w:sz w:val="36"/>
          <w:szCs w:val="36"/>
        </w:rPr>
        <w:br w:type="textWrapping" w:clear="all"/>
      </w:r>
      <w:bookmarkStart w:id="36" w:name="_Hlk71623121"/>
      <w:r>
        <w:rPr>
          <w:rFonts w:hint="eastAsia" w:ascii="黑体" w:eastAsia="黑体"/>
          <w:b/>
          <w:spacing w:val="20"/>
          <w:sz w:val="36"/>
          <w:szCs w:val="36"/>
        </w:rPr>
        <w:t>专家意见汇总书</w:t>
      </w:r>
      <w:bookmarkEnd w:id="36"/>
      <w:r>
        <w:rPr>
          <w:rFonts w:ascii="黑体" w:eastAsia="黑体"/>
          <w:b/>
          <w:spacing w:val="20"/>
          <w:sz w:val="36"/>
          <w:szCs w:val="36"/>
        </w:rPr>
        <w:br w:type="textWrapping" w:clear="all"/>
      </w:r>
    </w:p>
    <w:p>
      <w:pPr>
        <w:spacing w:line="360" w:lineRule="auto"/>
        <w:ind w:firstLine="960"/>
        <w:jc w:val="center"/>
        <w:outlineLvl w:val="9"/>
        <w:rPr>
          <w:rFonts w:ascii="黑体" w:eastAsia="黑体"/>
          <w:sz w:val="48"/>
          <w:szCs w:val="48"/>
        </w:rPr>
      </w:pPr>
    </w:p>
    <w:p>
      <w:pPr>
        <w:spacing w:line="360" w:lineRule="auto"/>
        <w:ind w:firstLine="960"/>
        <w:jc w:val="center"/>
        <w:outlineLvl w:val="9"/>
        <w:rPr>
          <w:rFonts w:ascii="黑体" w:eastAsia="黑体"/>
          <w:sz w:val="48"/>
          <w:szCs w:val="48"/>
        </w:rPr>
      </w:pPr>
    </w:p>
    <w:p>
      <w:pPr>
        <w:spacing w:line="360" w:lineRule="auto"/>
        <w:ind w:firstLine="960"/>
        <w:jc w:val="center"/>
        <w:outlineLvl w:val="9"/>
        <w:rPr>
          <w:rFonts w:ascii="黑体" w:eastAsia="黑体"/>
          <w:sz w:val="48"/>
          <w:szCs w:val="48"/>
        </w:rPr>
      </w:pPr>
    </w:p>
    <w:p>
      <w:pPr>
        <w:spacing w:line="360" w:lineRule="auto"/>
        <w:ind w:firstLine="960"/>
        <w:jc w:val="center"/>
        <w:outlineLvl w:val="9"/>
        <w:rPr>
          <w:rFonts w:ascii="黑体" w:eastAsia="黑体"/>
          <w:sz w:val="48"/>
          <w:szCs w:val="48"/>
        </w:rPr>
      </w:pPr>
    </w:p>
    <w:p>
      <w:pPr>
        <w:spacing w:line="360" w:lineRule="auto"/>
        <w:ind w:firstLine="960"/>
        <w:jc w:val="center"/>
        <w:outlineLvl w:val="9"/>
        <w:rPr>
          <w:rFonts w:ascii="黑体" w:eastAsia="黑体"/>
          <w:sz w:val="48"/>
          <w:szCs w:val="48"/>
        </w:rPr>
      </w:pPr>
    </w:p>
    <w:p>
      <w:pPr>
        <w:spacing w:line="360" w:lineRule="auto"/>
        <w:ind w:firstLine="960"/>
        <w:jc w:val="center"/>
        <w:outlineLvl w:val="9"/>
        <w:rPr>
          <w:rFonts w:ascii="黑体" w:eastAsia="黑体"/>
          <w:sz w:val="48"/>
          <w:szCs w:val="48"/>
        </w:rPr>
      </w:pPr>
    </w:p>
    <w:p>
      <w:pPr>
        <w:snapToGrid w:val="0"/>
        <w:spacing w:line="420" w:lineRule="auto"/>
        <w:ind w:right="120" w:firstLine="1420" w:firstLineChars="592"/>
        <w:outlineLvl w:val="9"/>
        <w:rPr>
          <w:rFonts w:hint="eastAsia" w:ascii="宋体" w:hAnsi="宋体" w:eastAsiaTheme="minorEastAsia"/>
          <w:sz w:val="24"/>
          <w:u w:val="single"/>
          <w:lang w:eastAsia="zh-CN"/>
        </w:rPr>
      </w:pPr>
      <w:r>
        <w:rPr>
          <w:rFonts w:hint="eastAsia" w:ascii="宋体" w:hAnsi="宋体"/>
          <w:sz w:val="24"/>
        </w:rPr>
        <w:t>项目名称：</w:t>
      </w:r>
      <w:r>
        <w:rPr>
          <w:rFonts w:hint="eastAsia" w:ascii="宋体" w:hAnsi="宋体"/>
          <w:sz w:val="24"/>
          <w:u w:val="single"/>
          <w:lang w:eastAsia="zh-CN"/>
        </w:rPr>
        <w:t>医疗保险信息系统升级改造项目</w:t>
      </w:r>
    </w:p>
    <w:p>
      <w:pPr>
        <w:snapToGrid w:val="0"/>
        <w:spacing w:line="420" w:lineRule="auto"/>
        <w:ind w:right="120" w:firstLine="1420" w:firstLineChars="592"/>
        <w:outlineLvl w:val="9"/>
        <w:rPr>
          <w:rFonts w:hint="default" w:ascii="宋体" w:hAnsi="宋体" w:eastAsiaTheme="minorEastAsia"/>
          <w:sz w:val="24"/>
          <w:lang w:val="en-US" w:eastAsia="zh-CN"/>
        </w:rPr>
      </w:pPr>
      <w:r>
        <w:rPr>
          <w:rFonts w:hint="eastAsia" w:ascii="宋体" w:hAnsi="宋体"/>
          <w:sz w:val="24"/>
        </w:rPr>
        <w:t>项目单位：</w:t>
      </w:r>
      <w:r>
        <w:rPr>
          <w:rFonts w:hint="eastAsia" w:ascii="宋体" w:hAnsi="宋体"/>
          <w:sz w:val="24"/>
          <w:u w:val="single"/>
          <w:lang w:val="en-US" w:eastAsia="zh-CN"/>
        </w:rPr>
        <w:t xml:space="preserve">      </w:t>
      </w:r>
      <w:r>
        <w:rPr>
          <w:rFonts w:hint="eastAsia" w:ascii="宋体" w:hAnsi="宋体"/>
          <w:sz w:val="24"/>
          <w:u w:val="single"/>
        </w:rPr>
        <w:t>北京市医疗保障局</w:t>
      </w:r>
      <w:r>
        <w:rPr>
          <w:rFonts w:hint="eastAsia" w:ascii="宋体" w:hAnsi="宋体"/>
          <w:sz w:val="24"/>
          <w:u w:val="single"/>
          <w:lang w:val="en-US" w:eastAsia="zh-CN"/>
        </w:rPr>
        <w:t xml:space="preserve">      </w:t>
      </w:r>
    </w:p>
    <w:p>
      <w:pPr>
        <w:snapToGrid w:val="0"/>
        <w:spacing w:line="420" w:lineRule="auto"/>
        <w:ind w:right="120" w:firstLine="1420" w:firstLineChars="592"/>
        <w:outlineLvl w:val="9"/>
        <w:rPr>
          <w:rFonts w:hint="default" w:ascii="宋体" w:hAnsi="宋体" w:eastAsiaTheme="minorEastAsia"/>
          <w:sz w:val="24"/>
          <w:u w:val="single"/>
          <w:lang w:val="en-US" w:eastAsia="zh-CN"/>
        </w:rPr>
      </w:pPr>
      <w:r>
        <w:rPr>
          <w:rFonts w:hint="eastAsia" w:ascii="宋体" w:hAnsi="宋体"/>
          <w:sz w:val="24"/>
        </w:rPr>
        <w:t>主管部门：</w:t>
      </w:r>
      <w:r>
        <w:rPr>
          <w:rFonts w:hint="eastAsia" w:ascii="宋体" w:hAnsi="宋体"/>
          <w:sz w:val="24"/>
          <w:u w:val="single"/>
          <w:lang w:val="en-US" w:eastAsia="zh-CN"/>
        </w:rPr>
        <w:t xml:space="preserve">      </w:t>
      </w:r>
      <w:r>
        <w:rPr>
          <w:rFonts w:hint="eastAsia" w:ascii="宋体" w:hAnsi="宋体"/>
          <w:sz w:val="24"/>
          <w:u w:val="single"/>
        </w:rPr>
        <w:t>北京市医疗保障局</w:t>
      </w:r>
      <w:r>
        <w:rPr>
          <w:rFonts w:hint="eastAsia" w:ascii="宋体" w:hAnsi="宋体"/>
          <w:sz w:val="24"/>
          <w:u w:val="single"/>
          <w:lang w:val="en-US" w:eastAsia="zh-CN"/>
        </w:rPr>
        <w:t xml:space="preserve">      </w:t>
      </w:r>
    </w:p>
    <w:p>
      <w:pPr>
        <w:snapToGrid w:val="0"/>
        <w:spacing w:line="420" w:lineRule="auto"/>
        <w:ind w:firstLine="1440" w:firstLineChars="600"/>
        <w:outlineLvl w:val="9"/>
        <w:rPr>
          <w:rFonts w:hint="default" w:ascii="宋体" w:hAnsi="宋体" w:eastAsiaTheme="minorEastAsia"/>
          <w:sz w:val="24"/>
          <w:lang w:val="en-US" w:eastAsia="zh-CN"/>
        </w:rPr>
      </w:pPr>
      <w:r>
        <w:rPr>
          <w:rFonts w:hint="eastAsia" w:ascii="宋体" w:hAnsi="宋体"/>
          <w:sz w:val="24"/>
        </w:rPr>
        <w:t>评价时间：</w:t>
      </w:r>
      <w:r>
        <w:rPr>
          <w:rFonts w:hint="eastAsia" w:ascii="宋体" w:hAnsi="宋体"/>
          <w:sz w:val="24"/>
          <w:u w:val="single"/>
          <w:lang w:val="en-US" w:eastAsia="zh-CN"/>
        </w:rPr>
        <w:t xml:space="preserve">      </w:t>
      </w:r>
      <w:r>
        <w:rPr>
          <w:rFonts w:hint="eastAsia" w:ascii="宋体" w:hAnsi="宋体"/>
          <w:sz w:val="24"/>
          <w:u w:val="single"/>
        </w:rPr>
        <w:t>202</w:t>
      </w:r>
      <w:r>
        <w:rPr>
          <w:rFonts w:hint="eastAsia" w:ascii="宋体" w:hAnsi="宋体"/>
          <w:sz w:val="24"/>
          <w:u w:val="single"/>
          <w:lang w:val="en-US" w:eastAsia="zh-CN"/>
        </w:rPr>
        <w:t>3</w:t>
      </w:r>
      <w:r>
        <w:rPr>
          <w:rFonts w:hint="eastAsia" w:ascii="宋体" w:hAnsi="宋体"/>
          <w:sz w:val="24"/>
          <w:u w:val="single"/>
        </w:rPr>
        <w:t>年</w:t>
      </w:r>
      <w:r>
        <w:rPr>
          <w:rFonts w:ascii="宋体" w:hAnsi="宋体"/>
          <w:sz w:val="24"/>
          <w:u w:val="single"/>
        </w:rPr>
        <w:t>5</w:t>
      </w:r>
      <w:r>
        <w:rPr>
          <w:rFonts w:hint="eastAsia" w:ascii="宋体" w:hAnsi="宋体"/>
          <w:sz w:val="24"/>
          <w:u w:val="single"/>
        </w:rPr>
        <w:t>月</w:t>
      </w:r>
      <w:r>
        <w:rPr>
          <w:rFonts w:hint="eastAsia" w:ascii="宋体" w:hAnsi="宋体"/>
          <w:sz w:val="24"/>
          <w:u w:val="single"/>
          <w:lang w:val="en-US" w:eastAsia="zh-CN"/>
        </w:rPr>
        <w:t>11</w:t>
      </w:r>
      <w:r>
        <w:rPr>
          <w:rFonts w:hint="eastAsia" w:ascii="宋体" w:hAnsi="宋体"/>
          <w:sz w:val="24"/>
          <w:u w:val="single"/>
        </w:rPr>
        <w:t>日</w:t>
      </w:r>
      <w:r>
        <w:rPr>
          <w:rFonts w:hint="eastAsia" w:ascii="宋体" w:hAnsi="宋体"/>
          <w:sz w:val="24"/>
          <w:u w:val="single"/>
          <w:lang w:val="en-US" w:eastAsia="zh-CN"/>
        </w:rPr>
        <w:t xml:space="preserve">      </w:t>
      </w:r>
    </w:p>
    <w:p>
      <w:pPr>
        <w:widowControl/>
        <w:jc w:val="left"/>
        <w:outlineLvl w:val="9"/>
      </w:pPr>
      <w:r>
        <w:br w:type="page"/>
      </w:r>
    </w:p>
    <w:p>
      <w:pPr>
        <w:spacing w:before="156" w:beforeLines="50" w:after="156" w:afterLines="50"/>
        <w:ind w:left="105" w:leftChars="50" w:right="105" w:rightChars="50"/>
        <w:outlineLvl w:val="9"/>
        <w:rPr>
          <w:vanish/>
        </w:rPr>
      </w:pPr>
    </w:p>
    <w:p>
      <w:pPr>
        <w:spacing w:before="156" w:beforeLines="50" w:after="156" w:afterLines="50"/>
        <w:ind w:left="105" w:leftChars="50" w:right="105" w:rightChars="50"/>
        <w:outlineLvl w:val="9"/>
        <w:rPr>
          <w:rFonts w:ascii="黑体" w:hAnsi="黑体"/>
          <w:b/>
          <w:sz w:val="24"/>
        </w:rPr>
      </w:pPr>
      <w:r>
        <w:rPr>
          <w:rFonts w:hint="eastAsia" w:ascii="黑体" w:hAnsi="黑体"/>
          <w:b/>
          <w:sz w:val="24"/>
        </w:rPr>
        <w:t>一、专家评分汇总表</w:t>
      </w:r>
    </w:p>
    <w:tbl>
      <w:tblPr>
        <w:tblStyle w:val="9"/>
        <w:tblW w:w="5000" w:type="pct"/>
        <w:tblInd w:w="0" w:type="dxa"/>
        <w:tblLayout w:type="autofit"/>
        <w:tblCellMar>
          <w:top w:w="0" w:type="dxa"/>
          <w:left w:w="108" w:type="dxa"/>
          <w:bottom w:w="0" w:type="dxa"/>
          <w:right w:w="108" w:type="dxa"/>
        </w:tblCellMar>
      </w:tblPr>
      <w:tblGrid>
        <w:gridCol w:w="693"/>
        <w:gridCol w:w="1925"/>
        <w:gridCol w:w="777"/>
        <w:gridCol w:w="865"/>
        <w:gridCol w:w="865"/>
        <w:gridCol w:w="865"/>
        <w:gridCol w:w="865"/>
        <w:gridCol w:w="865"/>
        <w:gridCol w:w="802"/>
      </w:tblGrid>
      <w:tr>
        <w:tblPrEx>
          <w:tblCellMar>
            <w:top w:w="0" w:type="dxa"/>
            <w:left w:w="108" w:type="dxa"/>
            <w:bottom w:w="0" w:type="dxa"/>
            <w:right w:w="108" w:type="dxa"/>
          </w:tblCellMar>
        </w:tblPrEx>
        <w:trPr>
          <w:trHeight w:val="290" w:hRule="atLeast"/>
        </w:trPr>
        <w:tc>
          <w:tcPr>
            <w:tcW w:w="1959" w:type="pct"/>
            <w:gridSpan w:val="3"/>
            <w:tcBorders>
              <w:top w:val="single" w:color="auto" w:sz="8" w:space="0"/>
              <w:left w:val="single" w:color="auto" w:sz="8" w:space="0"/>
              <w:bottom w:val="single" w:color="auto" w:sz="8" w:space="0"/>
              <w:right w:val="single" w:color="000000"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宋体" w:hAnsi="宋体" w:eastAsia="宋体" w:cs="宋体"/>
                <w:b/>
                <w:bCs/>
                <w:color w:val="000000"/>
                <w:kern w:val="0"/>
                <w:sz w:val="20"/>
                <w:szCs w:val="20"/>
              </w:rPr>
              <w:t>　</w:t>
            </w:r>
            <w:r>
              <w:rPr>
                <w:rFonts w:hint="eastAsia" w:ascii="等线" w:hAnsi="等线" w:eastAsia="等线" w:cs="宋体"/>
                <w:b/>
                <w:bCs/>
                <w:color w:val="000000"/>
                <w:kern w:val="0"/>
                <w:sz w:val="20"/>
                <w:szCs w:val="20"/>
              </w:rPr>
              <w:t>评价指标及分值</w:t>
            </w:r>
          </w:p>
        </w:tc>
        <w:tc>
          <w:tcPr>
            <w:tcW w:w="3041" w:type="pct"/>
            <w:gridSpan w:val="6"/>
            <w:tcBorders>
              <w:top w:val="single" w:color="auto" w:sz="8" w:space="0"/>
              <w:left w:val="nil"/>
              <w:bottom w:val="single" w:color="auto" w:sz="8" w:space="0"/>
              <w:right w:val="single" w:color="000000"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专家评分汇总</w:t>
            </w:r>
          </w:p>
        </w:tc>
      </w:tr>
      <w:tr>
        <w:tblPrEx>
          <w:tblCellMar>
            <w:top w:w="0" w:type="dxa"/>
            <w:left w:w="108" w:type="dxa"/>
            <w:bottom w:w="0" w:type="dxa"/>
            <w:right w:w="108" w:type="dxa"/>
          </w:tblCellMar>
        </w:tblPrEx>
        <w:trPr>
          <w:trHeight w:val="290" w:hRule="atLeast"/>
        </w:trPr>
        <w:tc>
          <w:tcPr>
            <w:tcW w:w="1547" w:type="pct"/>
            <w:gridSpan w:val="2"/>
            <w:tcBorders>
              <w:top w:val="nil"/>
              <w:left w:val="single" w:color="auto" w:sz="8" w:space="0"/>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宋体" w:hAnsi="宋体" w:eastAsia="宋体" w:cs="宋体"/>
                <w:b/>
                <w:bCs/>
                <w:color w:val="000000"/>
                <w:kern w:val="0"/>
                <w:sz w:val="20"/>
                <w:szCs w:val="20"/>
              </w:rPr>
              <w:t>　</w:t>
            </w:r>
            <w:r>
              <w:rPr>
                <w:rFonts w:hint="eastAsia" w:ascii="等线" w:hAnsi="等线" w:eastAsia="等线" w:cs="宋体"/>
                <w:b/>
                <w:bCs/>
                <w:color w:val="000000"/>
                <w:kern w:val="0"/>
                <w:sz w:val="20"/>
                <w:szCs w:val="20"/>
              </w:rPr>
              <w:t>评价指标</w:t>
            </w:r>
          </w:p>
        </w:tc>
        <w:tc>
          <w:tcPr>
            <w:tcW w:w="412"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分值</w:t>
            </w:r>
          </w:p>
        </w:tc>
        <w:tc>
          <w:tcPr>
            <w:tcW w:w="513"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w:t>
            </w:r>
            <w:r>
              <w:rPr>
                <w:rFonts w:hint="eastAsia" w:ascii="宋体" w:hAnsi="宋体" w:eastAsia="宋体" w:cs="宋体"/>
                <w:b/>
                <w:bCs/>
                <w:color w:val="000000"/>
                <w:kern w:val="0"/>
                <w:sz w:val="20"/>
                <w:szCs w:val="20"/>
              </w:rPr>
              <w:t>1</w:t>
            </w:r>
          </w:p>
        </w:tc>
        <w:tc>
          <w:tcPr>
            <w:tcW w:w="513"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w:t>
            </w:r>
            <w:r>
              <w:rPr>
                <w:rFonts w:hint="eastAsia" w:ascii="宋体" w:hAnsi="宋体" w:eastAsia="宋体" w:cs="宋体"/>
                <w:b/>
                <w:bCs/>
                <w:color w:val="000000"/>
                <w:kern w:val="0"/>
                <w:sz w:val="20"/>
                <w:szCs w:val="20"/>
              </w:rPr>
              <w:t>2</w:t>
            </w:r>
          </w:p>
        </w:tc>
        <w:tc>
          <w:tcPr>
            <w:tcW w:w="513"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w:t>
            </w:r>
            <w:r>
              <w:rPr>
                <w:rFonts w:hint="eastAsia" w:ascii="宋体" w:hAnsi="宋体" w:eastAsia="宋体" w:cs="宋体"/>
                <w:b/>
                <w:bCs/>
                <w:color w:val="000000"/>
                <w:kern w:val="0"/>
                <w:sz w:val="20"/>
                <w:szCs w:val="20"/>
              </w:rPr>
              <w:t>3</w:t>
            </w:r>
          </w:p>
        </w:tc>
        <w:tc>
          <w:tcPr>
            <w:tcW w:w="513"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w:t>
            </w:r>
            <w:r>
              <w:rPr>
                <w:rFonts w:hint="eastAsia" w:ascii="宋体" w:hAnsi="宋体" w:eastAsia="宋体" w:cs="宋体"/>
                <w:b/>
                <w:bCs/>
                <w:color w:val="000000"/>
                <w:kern w:val="0"/>
                <w:sz w:val="20"/>
                <w:szCs w:val="20"/>
              </w:rPr>
              <w:t>4</w:t>
            </w:r>
          </w:p>
        </w:tc>
        <w:tc>
          <w:tcPr>
            <w:tcW w:w="513"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专家</w:t>
            </w:r>
            <w:r>
              <w:rPr>
                <w:rFonts w:hint="eastAsia" w:ascii="宋体" w:hAnsi="宋体" w:eastAsia="宋体" w:cs="宋体"/>
                <w:b/>
                <w:bCs/>
                <w:color w:val="000000"/>
                <w:kern w:val="0"/>
                <w:sz w:val="20"/>
                <w:szCs w:val="20"/>
              </w:rPr>
              <w:t>5</w:t>
            </w:r>
          </w:p>
        </w:tc>
        <w:tc>
          <w:tcPr>
            <w:tcW w:w="477"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平均</w:t>
            </w:r>
          </w:p>
        </w:tc>
      </w:tr>
      <w:tr>
        <w:tblPrEx>
          <w:tblCellMar>
            <w:top w:w="0" w:type="dxa"/>
            <w:left w:w="108" w:type="dxa"/>
            <w:bottom w:w="0" w:type="dxa"/>
            <w:right w:w="108" w:type="dxa"/>
          </w:tblCellMar>
        </w:tblPrEx>
        <w:trPr>
          <w:trHeight w:val="290" w:hRule="atLeast"/>
        </w:trPr>
        <w:tc>
          <w:tcPr>
            <w:tcW w:w="412" w:type="pct"/>
            <w:vMerge w:val="restart"/>
            <w:tcBorders>
              <w:top w:val="nil"/>
              <w:left w:val="single" w:color="auto" w:sz="8" w:space="0"/>
              <w:bottom w:val="single" w:color="000000"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决策</w:t>
            </w: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项目立项</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3.00 </w:t>
            </w:r>
          </w:p>
        </w:tc>
      </w:tr>
      <w:tr>
        <w:tblPrEx>
          <w:tblCellMar>
            <w:top w:w="0" w:type="dxa"/>
            <w:left w:w="108" w:type="dxa"/>
            <w:bottom w:w="0" w:type="dxa"/>
            <w:right w:w="108" w:type="dxa"/>
          </w:tblCellMar>
        </w:tblPrEx>
        <w:trPr>
          <w:trHeight w:val="446"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Cs w:val="21"/>
              </w:rPr>
            </w:pPr>
            <w:r>
              <w:rPr>
                <w:rFonts w:hint="eastAsia" w:ascii="等线" w:hAnsi="等线" w:eastAsia="等线" w:cs="宋体"/>
                <w:color w:val="000000"/>
                <w:kern w:val="0"/>
                <w:szCs w:val="21"/>
              </w:rPr>
              <w:t>立项依据充分性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default"/>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r>
      <w:tr>
        <w:tblPrEx>
          <w:tblCellMar>
            <w:top w:w="0" w:type="dxa"/>
            <w:left w:w="108" w:type="dxa"/>
            <w:bottom w:w="0" w:type="dxa"/>
            <w:right w:w="108" w:type="dxa"/>
          </w:tblCellMar>
        </w:tblPrEx>
        <w:trPr>
          <w:trHeight w:val="41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Cs w:val="21"/>
              </w:rPr>
            </w:pPr>
            <w:r>
              <w:rPr>
                <w:rFonts w:hint="eastAsia" w:ascii="等线" w:hAnsi="等线" w:eastAsia="等线" w:cs="宋体"/>
                <w:color w:val="000000"/>
                <w:kern w:val="0"/>
                <w:szCs w:val="21"/>
              </w:rPr>
              <w:t>立项程序规范性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default"/>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绩效目标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b/>
                <w:bCs/>
                <w:color w:val="000000"/>
                <w:sz w:val="20"/>
                <w:szCs w:val="20"/>
                <w:lang w:val="en-US" w:eastAsia="zh-CN"/>
              </w:rPr>
            </w:pPr>
            <w:r>
              <w:rPr>
                <w:rFonts w:hint="default"/>
                <w:b/>
                <w:bCs/>
                <w:color w:val="000000"/>
                <w:sz w:val="20"/>
                <w:szCs w:val="20"/>
                <w:lang w:val="en-US" w:eastAsia="zh-CN"/>
              </w:rPr>
              <w:t xml:space="preserve">3.50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2.10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2.30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2.10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2.50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2.20 </w:t>
            </w:r>
          </w:p>
        </w:tc>
      </w:tr>
      <w:tr>
        <w:tblPrEx>
          <w:tblCellMar>
            <w:top w:w="0" w:type="dxa"/>
            <w:left w:w="108" w:type="dxa"/>
            <w:bottom w:w="0" w:type="dxa"/>
            <w:right w:w="108" w:type="dxa"/>
          </w:tblCellMar>
        </w:tblPrEx>
        <w:trPr>
          <w:trHeight w:val="365"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绩效目标合理性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default"/>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1.10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1.30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1.10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1.20 </w:t>
            </w:r>
          </w:p>
        </w:tc>
      </w:tr>
      <w:tr>
        <w:tblPrEx>
          <w:tblCellMar>
            <w:top w:w="0" w:type="dxa"/>
            <w:left w:w="108" w:type="dxa"/>
            <w:bottom w:w="0" w:type="dxa"/>
            <w:right w:w="108" w:type="dxa"/>
          </w:tblCellMar>
        </w:tblPrEx>
        <w:trPr>
          <w:trHeight w:val="398"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绩效指标明确性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资金投入</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b/>
                <w:bCs/>
                <w:color w:val="000000"/>
                <w:sz w:val="20"/>
                <w:szCs w:val="20"/>
                <w:lang w:val="en-US" w:eastAsia="zh-CN"/>
              </w:rPr>
            </w:pPr>
            <w:r>
              <w:rPr>
                <w:rFonts w:hint="default"/>
                <w:b/>
                <w:bCs/>
                <w:color w:val="000000"/>
                <w:sz w:val="20"/>
                <w:szCs w:val="20"/>
                <w:lang w:val="en-US" w:eastAsia="zh-CN"/>
              </w:rPr>
              <w:t xml:space="preserve">3.50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3.50 </w:t>
            </w:r>
          </w:p>
        </w:tc>
      </w:tr>
      <w:tr>
        <w:tblPrEx>
          <w:tblCellMar>
            <w:top w:w="0" w:type="dxa"/>
            <w:left w:w="108" w:type="dxa"/>
            <w:bottom w:w="0" w:type="dxa"/>
            <w:right w:w="108" w:type="dxa"/>
          </w:tblCellMar>
        </w:tblPrEx>
        <w:trPr>
          <w:trHeight w:val="353"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预算编制科学性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r>
      <w:tr>
        <w:tblPrEx>
          <w:tblCellMar>
            <w:top w:w="0" w:type="dxa"/>
            <w:left w:w="108" w:type="dxa"/>
            <w:bottom w:w="0" w:type="dxa"/>
            <w:right w:w="108" w:type="dxa"/>
          </w:tblCellMar>
        </w:tblPrEx>
        <w:trPr>
          <w:trHeight w:val="415"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资金分配合理性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default"/>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1.50 </w:t>
            </w:r>
          </w:p>
        </w:tc>
      </w:tr>
      <w:tr>
        <w:tblPrEx>
          <w:tblCellMar>
            <w:top w:w="0" w:type="dxa"/>
            <w:left w:w="108" w:type="dxa"/>
            <w:bottom w:w="0" w:type="dxa"/>
            <w:right w:w="108" w:type="dxa"/>
          </w:tblCellMar>
        </w:tblPrEx>
        <w:trPr>
          <w:trHeight w:val="290" w:hRule="atLeast"/>
        </w:trPr>
        <w:tc>
          <w:tcPr>
            <w:tcW w:w="412" w:type="pct"/>
            <w:vMerge w:val="restart"/>
            <w:tcBorders>
              <w:top w:val="nil"/>
              <w:left w:val="single" w:color="auto" w:sz="8" w:space="0"/>
              <w:bottom w:val="single" w:color="000000"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过程</w:t>
            </w: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资金管理</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b/>
                <w:bCs/>
                <w:color w:val="000000"/>
                <w:sz w:val="20"/>
                <w:szCs w:val="20"/>
                <w:lang w:val="en-US" w:eastAsia="zh-CN"/>
              </w:rPr>
            </w:pPr>
            <w:r>
              <w:rPr>
                <w:rFonts w:hint="default"/>
                <w:b/>
                <w:bCs/>
                <w:color w:val="000000"/>
                <w:sz w:val="20"/>
                <w:szCs w:val="20"/>
                <w:lang w:val="en-US" w:eastAsia="zh-CN"/>
              </w:rPr>
              <w:t xml:space="preserve">12.00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12.00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12.00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11.00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12.00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11.00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11.60 </w:t>
            </w:r>
          </w:p>
        </w:tc>
      </w:tr>
      <w:tr>
        <w:tblPrEx>
          <w:tblCellMar>
            <w:top w:w="0" w:type="dxa"/>
            <w:left w:w="108" w:type="dxa"/>
            <w:bottom w:w="0" w:type="dxa"/>
            <w:right w:w="108" w:type="dxa"/>
          </w:tblCellMar>
        </w:tblPrEx>
        <w:trPr>
          <w:trHeight w:val="355"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资金到位率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2.00 </w:t>
            </w:r>
          </w:p>
        </w:tc>
      </w:tr>
      <w:tr>
        <w:tblPrEx>
          <w:tblCellMar>
            <w:top w:w="0" w:type="dxa"/>
            <w:left w:w="108" w:type="dxa"/>
            <w:bottom w:w="0" w:type="dxa"/>
            <w:right w:w="108" w:type="dxa"/>
          </w:tblCellMar>
        </w:tblPrEx>
        <w:trPr>
          <w:trHeight w:val="403"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预算执行率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3.00 </w:t>
            </w:r>
          </w:p>
        </w:tc>
      </w:tr>
      <w:tr>
        <w:tblPrEx>
          <w:tblCellMar>
            <w:top w:w="0" w:type="dxa"/>
            <w:left w:w="108" w:type="dxa"/>
            <w:bottom w:w="0" w:type="dxa"/>
            <w:right w:w="108" w:type="dxa"/>
          </w:tblCellMar>
        </w:tblPrEx>
        <w:trPr>
          <w:trHeight w:val="409"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资金使用合规性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6.00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6.00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6.60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组织实施</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b/>
                <w:bCs/>
                <w:color w:val="000000"/>
                <w:sz w:val="20"/>
                <w:szCs w:val="20"/>
                <w:lang w:val="en-US" w:eastAsia="zh-CN"/>
              </w:rPr>
            </w:pPr>
            <w:r>
              <w:rPr>
                <w:rFonts w:hint="default"/>
                <w:b/>
                <w:bCs/>
                <w:color w:val="000000"/>
                <w:sz w:val="20"/>
                <w:szCs w:val="20"/>
                <w:lang w:val="en-US" w:eastAsia="zh-CN"/>
              </w:rPr>
              <w:t xml:space="preserve">18.00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14.00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14.50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14.50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14.60 </w:t>
            </w:r>
          </w:p>
        </w:tc>
      </w:tr>
      <w:tr>
        <w:tblPrEx>
          <w:tblCellMar>
            <w:top w:w="0" w:type="dxa"/>
            <w:left w:w="108" w:type="dxa"/>
            <w:bottom w:w="0" w:type="dxa"/>
            <w:right w:w="108" w:type="dxa"/>
          </w:tblCellMar>
        </w:tblPrEx>
        <w:trPr>
          <w:trHeight w:val="4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管理制度健全性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9.00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8.00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7.40 </w:t>
            </w:r>
          </w:p>
        </w:tc>
      </w:tr>
      <w:tr>
        <w:tblPrEx>
          <w:tblCellMar>
            <w:top w:w="0" w:type="dxa"/>
            <w:left w:w="108" w:type="dxa"/>
            <w:bottom w:w="0" w:type="dxa"/>
            <w:right w:w="108" w:type="dxa"/>
          </w:tblCellMar>
        </w:tblPrEx>
        <w:trPr>
          <w:trHeight w:val="413"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center"/>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制度执行有效性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9.00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7.50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7.20 </w:t>
            </w:r>
          </w:p>
        </w:tc>
      </w:tr>
      <w:tr>
        <w:tblPrEx>
          <w:tblCellMar>
            <w:top w:w="0" w:type="dxa"/>
            <w:left w:w="108" w:type="dxa"/>
            <w:bottom w:w="0" w:type="dxa"/>
            <w:right w:w="108" w:type="dxa"/>
          </w:tblCellMar>
        </w:tblPrEx>
        <w:trPr>
          <w:trHeight w:val="290" w:hRule="atLeast"/>
        </w:trPr>
        <w:tc>
          <w:tcPr>
            <w:tcW w:w="412" w:type="pct"/>
            <w:vMerge w:val="restart"/>
            <w:tcBorders>
              <w:top w:val="nil"/>
              <w:left w:val="single" w:color="auto" w:sz="8" w:space="0"/>
              <w:bottom w:val="single" w:color="000000"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产出</w:t>
            </w: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产出数量</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r>
      <w:tr>
        <w:tblPrEx>
          <w:tblCellMar>
            <w:top w:w="0" w:type="dxa"/>
            <w:left w:w="108" w:type="dxa"/>
            <w:bottom w:w="0" w:type="dxa"/>
            <w:right w:w="108" w:type="dxa"/>
          </w:tblCellMar>
        </w:tblPrEx>
        <w:trPr>
          <w:trHeight w:val="353"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实际完成率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产出质量</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r>
      <w:tr>
        <w:tblPrEx>
          <w:tblCellMar>
            <w:top w:w="0" w:type="dxa"/>
            <w:left w:w="108" w:type="dxa"/>
            <w:bottom w:w="0" w:type="dxa"/>
            <w:right w:w="108" w:type="dxa"/>
          </w:tblCellMar>
        </w:tblPrEx>
        <w:trPr>
          <w:trHeight w:val="349"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质量达标率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left"/>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产出时效</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8.00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7.00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7.00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7.20 </w:t>
            </w:r>
          </w:p>
        </w:tc>
      </w:tr>
      <w:tr>
        <w:tblPrEx>
          <w:tblCellMar>
            <w:top w:w="0" w:type="dxa"/>
            <w:left w:w="108" w:type="dxa"/>
            <w:bottom w:w="0" w:type="dxa"/>
            <w:right w:w="108" w:type="dxa"/>
          </w:tblCellMar>
        </w:tblPrEx>
        <w:trPr>
          <w:trHeight w:val="359"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完成及时性</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8.00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7.20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left"/>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产出成本</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10.00 </w:t>
            </w:r>
          </w:p>
        </w:tc>
      </w:tr>
      <w:tr>
        <w:tblPrEx>
          <w:tblCellMar>
            <w:top w:w="0" w:type="dxa"/>
            <w:left w:w="108" w:type="dxa"/>
            <w:bottom w:w="0" w:type="dxa"/>
            <w:right w:w="108" w:type="dxa"/>
          </w:tblCellMar>
        </w:tblPrEx>
        <w:trPr>
          <w:trHeight w:val="368"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rPr>
              <w:t>成本节约率</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r>
      <w:tr>
        <w:tblPrEx>
          <w:tblCellMar>
            <w:top w:w="0" w:type="dxa"/>
            <w:left w:w="108" w:type="dxa"/>
            <w:bottom w:w="0" w:type="dxa"/>
            <w:right w:w="108" w:type="dxa"/>
          </w:tblCellMar>
        </w:tblPrEx>
        <w:trPr>
          <w:trHeight w:val="290" w:hRule="atLeast"/>
        </w:trPr>
        <w:tc>
          <w:tcPr>
            <w:tcW w:w="412" w:type="pct"/>
            <w:vMerge w:val="restart"/>
            <w:tcBorders>
              <w:top w:val="nil"/>
              <w:left w:val="single" w:color="auto" w:sz="8" w:space="0"/>
              <w:bottom w:val="single" w:color="000000" w:sz="8" w:space="0"/>
              <w:right w:val="single" w:color="auto"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效益</w:t>
            </w:r>
          </w:p>
        </w:tc>
        <w:tc>
          <w:tcPr>
            <w:tcW w:w="1135" w:type="pct"/>
            <w:tcBorders>
              <w:top w:val="nil"/>
              <w:left w:val="nil"/>
              <w:bottom w:val="single" w:color="auto" w:sz="8" w:space="0"/>
              <w:right w:val="single" w:color="auto" w:sz="8" w:space="0"/>
            </w:tcBorders>
            <w:shd w:val="clear" w:color="auto" w:fill="auto"/>
            <w:vAlign w:val="center"/>
          </w:tcPr>
          <w:p>
            <w:pPr>
              <w:widowControl/>
              <w:jc w:val="left"/>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项目效益</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b/>
                <w:bCs/>
                <w:color w:val="000000"/>
                <w:sz w:val="20"/>
                <w:szCs w:val="20"/>
                <w:lang w:val="en-US" w:eastAsia="zh-CN"/>
              </w:rPr>
            </w:pPr>
            <w:r>
              <w:rPr>
                <w:rFonts w:hint="default"/>
                <w:b/>
                <w:bCs/>
                <w:color w:val="000000"/>
                <w:sz w:val="20"/>
                <w:szCs w:val="20"/>
                <w:lang w:val="en-US" w:eastAsia="zh-CN"/>
              </w:rPr>
              <w:t xml:space="preserve">15.00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74"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75"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c>
          <w:tcPr>
            <w:tcW w:w="81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15.00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ascii="等线" w:hAnsi="等线" w:eastAsia="等线" w:cs="宋体"/>
                <w:color w:val="000000"/>
                <w:kern w:val="0"/>
                <w:sz w:val="20"/>
                <w:szCs w:val="20"/>
              </w:rPr>
            </w:pPr>
            <w:r>
              <w:rPr>
                <w:rFonts w:hint="eastAsia" w:ascii="等线" w:hAnsi="等线" w:eastAsia="等线" w:cs="宋体"/>
                <w:color w:val="000000"/>
                <w:kern w:val="0"/>
                <w:sz w:val="20"/>
                <w:szCs w:val="20"/>
                <w:lang w:val="en-US" w:eastAsia="zh-CN"/>
              </w:rPr>
              <w:t>社会</w:t>
            </w:r>
            <w:r>
              <w:rPr>
                <w:rFonts w:hint="eastAsia" w:ascii="等线" w:hAnsi="等线" w:eastAsia="等线" w:cs="宋体"/>
                <w:color w:val="000000"/>
                <w:kern w:val="0"/>
                <w:sz w:val="20"/>
                <w:szCs w:val="20"/>
              </w:rPr>
              <w:t>效益</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default"/>
                <w:color w:val="000000"/>
                <w:sz w:val="20"/>
                <w:szCs w:val="20"/>
                <w:lang w:val="en-US" w:eastAsia="zh-CN"/>
              </w:rPr>
            </w:pPr>
            <w:r>
              <w:rPr>
                <w:rFonts w:hint="default"/>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10.00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ind w:firstLine="200" w:firstLineChars="100"/>
              <w:jc w:val="both"/>
              <w:outlineLvl w:val="9"/>
              <w:rPr>
                <w:rFonts w:hint="default" w:ascii="等线" w:hAnsi="等线" w:eastAsia="等线" w:cs="宋体"/>
                <w:color w:val="000000"/>
                <w:kern w:val="0"/>
                <w:sz w:val="20"/>
                <w:szCs w:val="20"/>
                <w:lang w:val="en-US" w:eastAsia="zh-CN"/>
              </w:rPr>
            </w:pPr>
            <w:r>
              <w:rPr>
                <w:rFonts w:hint="eastAsia" w:ascii="等线" w:hAnsi="等线" w:eastAsia="等线" w:cs="宋体"/>
                <w:color w:val="000000"/>
                <w:kern w:val="0"/>
                <w:sz w:val="20"/>
                <w:szCs w:val="20"/>
                <w:lang w:val="en-US" w:eastAsia="zh-CN"/>
              </w:rPr>
              <w:t>可持续影响</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color w:val="000000"/>
                <w:sz w:val="20"/>
                <w:szCs w:val="20"/>
                <w:lang w:val="en-US" w:eastAsia="zh-CN"/>
              </w:rPr>
            </w:pPr>
            <w:r>
              <w:rPr>
                <w:rFonts w:hint="default"/>
                <w:color w:val="000000"/>
                <w:sz w:val="20"/>
                <w:szCs w:val="20"/>
                <w:lang w:val="en-US" w:eastAsia="zh-CN"/>
              </w:rPr>
              <w:t xml:space="preserve">5.00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color w:val="000000"/>
                <w:sz w:val="20"/>
                <w:szCs w:val="20"/>
                <w:lang w:val="en-US" w:eastAsia="zh-CN"/>
              </w:rPr>
            </w:pPr>
            <w:r>
              <w:rPr>
                <w:rFonts w:hint="eastAsia"/>
                <w:color w:val="000000"/>
                <w:sz w:val="20"/>
                <w:szCs w:val="20"/>
                <w:lang w:val="en-US" w:eastAsia="zh-CN"/>
              </w:rPr>
              <w:t xml:space="preserve">5.00 </w:t>
            </w:r>
          </w:p>
        </w:tc>
      </w:tr>
      <w:tr>
        <w:tblPrEx>
          <w:tblCellMar>
            <w:top w:w="0" w:type="dxa"/>
            <w:left w:w="108" w:type="dxa"/>
            <w:bottom w:w="0" w:type="dxa"/>
            <w:right w:w="108" w:type="dxa"/>
          </w:tblCellMar>
        </w:tblPrEx>
        <w:trPr>
          <w:trHeight w:val="290" w:hRule="atLeast"/>
        </w:trPr>
        <w:tc>
          <w:tcPr>
            <w:tcW w:w="412" w:type="pct"/>
            <w:vMerge w:val="continue"/>
            <w:tcBorders>
              <w:top w:val="nil"/>
              <w:left w:val="single" w:color="auto" w:sz="8" w:space="0"/>
              <w:bottom w:val="single" w:color="000000" w:sz="8" w:space="0"/>
              <w:right w:val="single" w:color="auto" w:sz="8" w:space="0"/>
            </w:tcBorders>
            <w:vAlign w:val="center"/>
          </w:tcPr>
          <w:p>
            <w:pPr>
              <w:widowControl/>
              <w:jc w:val="left"/>
              <w:outlineLvl w:val="9"/>
              <w:rPr>
                <w:rFonts w:ascii="等线" w:hAnsi="等线" w:eastAsia="等线" w:cs="宋体"/>
                <w:b/>
                <w:bCs/>
                <w:color w:val="000000"/>
                <w:kern w:val="0"/>
                <w:sz w:val="20"/>
                <w:szCs w:val="20"/>
              </w:rPr>
            </w:pPr>
          </w:p>
        </w:tc>
        <w:tc>
          <w:tcPr>
            <w:tcW w:w="1135" w:type="pct"/>
            <w:tcBorders>
              <w:top w:val="nil"/>
              <w:left w:val="nil"/>
              <w:bottom w:val="single" w:color="auto" w:sz="8" w:space="0"/>
              <w:right w:val="single" w:color="auto" w:sz="8" w:space="0"/>
            </w:tcBorders>
            <w:shd w:val="clear" w:color="auto" w:fill="auto"/>
            <w:vAlign w:val="center"/>
          </w:tcPr>
          <w:p>
            <w:pPr>
              <w:widowControl/>
              <w:jc w:val="left"/>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满意度</w:t>
            </w:r>
          </w:p>
        </w:tc>
        <w:tc>
          <w:tcPr>
            <w:tcW w:w="702" w:type="dxa"/>
            <w:tcBorders>
              <w:top w:val="nil"/>
              <w:left w:val="nil"/>
              <w:bottom w:val="single" w:color="auto" w:sz="8" w:space="0"/>
              <w:right w:val="single" w:color="auto" w:sz="8" w:space="0"/>
            </w:tcBorders>
            <w:shd w:val="clear" w:color="auto" w:fill="auto"/>
            <w:vAlign w:val="bottom"/>
          </w:tcPr>
          <w:p>
            <w:pPr>
              <w:widowControl/>
              <w:jc w:val="center"/>
              <w:outlineLvl w:val="9"/>
              <w:rPr>
                <w:rFonts w:hint="eastAsia"/>
                <w:b/>
                <w:bCs/>
                <w:color w:val="000000"/>
                <w:sz w:val="20"/>
                <w:szCs w:val="20"/>
                <w:lang w:val="en-US" w:eastAsia="zh-CN"/>
              </w:rPr>
            </w:pPr>
            <w:r>
              <w:rPr>
                <w:rFonts w:hint="default"/>
                <w:b/>
                <w:bCs/>
                <w:color w:val="000000"/>
                <w:sz w:val="20"/>
                <w:szCs w:val="20"/>
                <w:lang w:val="en-US" w:eastAsia="zh-CN"/>
              </w:rPr>
              <w:t xml:space="preserve">5.00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4.00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4.00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3.00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4.00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4.00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3.80 </w:t>
            </w:r>
          </w:p>
        </w:tc>
      </w:tr>
      <w:tr>
        <w:tblPrEx>
          <w:tblCellMar>
            <w:top w:w="0" w:type="dxa"/>
            <w:left w:w="108" w:type="dxa"/>
            <w:bottom w:w="0" w:type="dxa"/>
            <w:right w:w="108" w:type="dxa"/>
          </w:tblCellMar>
        </w:tblPrEx>
        <w:trPr>
          <w:trHeight w:val="290" w:hRule="atLeast"/>
        </w:trPr>
        <w:tc>
          <w:tcPr>
            <w:tcW w:w="1547" w:type="pct"/>
            <w:gridSpan w:val="2"/>
            <w:tcBorders>
              <w:top w:val="single" w:color="auto" w:sz="8" w:space="0"/>
              <w:left w:val="single" w:color="auto" w:sz="8" w:space="0"/>
              <w:bottom w:val="single" w:color="auto" w:sz="8" w:space="0"/>
              <w:right w:val="single" w:color="000000" w:sz="8" w:space="0"/>
            </w:tcBorders>
            <w:shd w:val="clear" w:color="auto" w:fill="auto"/>
            <w:vAlign w:val="center"/>
          </w:tcPr>
          <w:p>
            <w:pPr>
              <w:widowControl/>
              <w:jc w:val="center"/>
              <w:outlineLvl w:val="9"/>
              <w:rPr>
                <w:rFonts w:ascii="等线" w:hAnsi="等线" w:eastAsia="等线" w:cs="宋体"/>
                <w:b/>
                <w:bCs/>
                <w:color w:val="000000"/>
                <w:kern w:val="0"/>
                <w:sz w:val="20"/>
                <w:szCs w:val="20"/>
              </w:rPr>
            </w:pPr>
            <w:r>
              <w:rPr>
                <w:rFonts w:hint="eastAsia" w:ascii="等线" w:hAnsi="等线" w:eastAsia="等线" w:cs="宋体"/>
                <w:b/>
                <w:bCs/>
                <w:color w:val="000000"/>
                <w:kern w:val="0"/>
                <w:sz w:val="20"/>
                <w:szCs w:val="20"/>
              </w:rPr>
              <w:t>合计</w:t>
            </w:r>
          </w:p>
        </w:tc>
        <w:tc>
          <w:tcPr>
            <w:tcW w:w="412" w:type="pct"/>
            <w:tcBorders>
              <w:top w:val="nil"/>
              <w:left w:val="nil"/>
              <w:bottom w:val="single" w:color="auto" w:sz="8" w:space="0"/>
              <w:right w:val="single" w:color="auto" w:sz="8" w:space="0"/>
            </w:tcBorders>
            <w:shd w:val="clear" w:color="auto" w:fill="auto"/>
            <w:vAlign w:val="center"/>
          </w:tcPr>
          <w:p>
            <w:pPr>
              <w:widowControl/>
              <w:jc w:val="center"/>
              <w:outlineLvl w:val="9"/>
              <w:rPr>
                <w:rFonts w:hint="default" w:ascii="宋体" w:hAnsi="宋体" w:cs="宋体" w:eastAsiaTheme="minorEastAsia"/>
                <w:color w:val="000000"/>
                <w:kern w:val="0"/>
                <w:sz w:val="20"/>
                <w:szCs w:val="20"/>
                <w:lang w:val="en-US" w:eastAsia="zh-CN"/>
              </w:rPr>
            </w:pPr>
            <w:r>
              <w:rPr>
                <w:rFonts w:hint="eastAsia"/>
                <w:b/>
                <w:bCs/>
                <w:color w:val="000000"/>
                <w:sz w:val="20"/>
                <w:szCs w:val="20"/>
              </w:rPr>
              <w:t>100</w:t>
            </w:r>
            <w:r>
              <w:rPr>
                <w:rFonts w:hint="eastAsia"/>
                <w:b/>
                <w:bCs/>
                <w:color w:val="000000"/>
                <w:sz w:val="20"/>
                <w:szCs w:val="20"/>
                <w:lang w:val="en-US" w:eastAsia="zh-CN"/>
              </w:rPr>
              <w:t>.00</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90.60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91.30 </w:t>
            </w:r>
          </w:p>
        </w:tc>
        <w:tc>
          <w:tcPr>
            <w:tcW w:w="874"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90.50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91.10 </w:t>
            </w:r>
          </w:p>
        </w:tc>
        <w:tc>
          <w:tcPr>
            <w:tcW w:w="875"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91.00 </w:t>
            </w:r>
          </w:p>
        </w:tc>
        <w:tc>
          <w:tcPr>
            <w:tcW w:w="812" w:type="dxa"/>
            <w:tcBorders>
              <w:top w:val="nil"/>
              <w:left w:val="nil"/>
              <w:bottom w:val="single" w:color="auto" w:sz="8" w:space="0"/>
              <w:right w:val="single" w:color="auto" w:sz="8" w:space="0"/>
            </w:tcBorders>
            <w:shd w:val="clear" w:color="auto" w:fill="auto"/>
            <w:vAlign w:val="center"/>
          </w:tcPr>
          <w:p>
            <w:pPr>
              <w:widowControl/>
              <w:jc w:val="center"/>
              <w:outlineLvl w:val="9"/>
              <w:rPr>
                <w:rFonts w:hint="eastAsia"/>
                <w:b/>
                <w:bCs/>
                <w:color w:val="000000"/>
                <w:sz w:val="20"/>
                <w:szCs w:val="20"/>
                <w:lang w:val="en-US" w:eastAsia="zh-CN"/>
              </w:rPr>
            </w:pPr>
            <w:r>
              <w:rPr>
                <w:rFonts w:hint="eastAsia"/>
                <w:b/>
                <w:bCs/>
                <w:color w:val="000000"/>
                <w:sz w:val="20"/>
                <w:szCs w:val="20"/>
                <w:lang w:val="en-US" w:eastAsia="zh-CN"/>
              </w:rPr>
              <w:t xml:space="preserve">90.90 </w:t>
            </w:r>
          </w:p>
        </w:tc>
      </w:tr>
    </w:tbl>
    <w:p>
      <w:pPr>
        <w:outlineLvl w:val="9"/>
      </w:pPr>
    </w:p>
    <w:p>
      <w:pPr>
        <w:widowControl/>
        <w:jc w:val="left"/>
        <w:outlineLvl w:val="9"/>
      </w:pPr>
      <w:r>
        <w:br w:type="page"/>
      </w:r>
    </w:p>
    <w:p>
      <w:pPr>
        <w:outlineLvl w:val="9"/>
      </w:pPr>
      <w:r>
        <w:rPr>
          <w:rFonts w:hint="eastAsia" w:ascii="黑体" w:hAnsi="黑体"/>
          <w:b/>
          <w:sz w:val="24"/>
        </w:rPr>
        <w:t>二、专家评价综合意见</w:t>
      </w:r>
    </w:p>
    <w:tbl>
      <w:tblPr>
        <w:tblStyle w:val="9"/>
        <w:tblW w:w="492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68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923" w:type="pct"/>
            <w:vAlign w:val="center"/>
          </w:tcPr>
          <w:p>
            <w:pPr>
              <w:snapToGrid w:val="0"/>
              <w:jc w:val="center"/>
              <w:outlineLvl w:val="9"/>
              <w:rPr>
                <w:rFonts w:ascii="宋体" w:hAnsi="宋体"/>
                <w:szCs w:val="21"/>
              </w:rPr>
            </w:pPr>
            <w:r>
              <w:rPr>
                <w:rFonts w:hint="eastAsia" w:ascii="宋体" w:hAnsi="宋体"/>
                <w:szCs w:val="21"/>
              </w:rPr>
              <w:t>评价得分</w:t>
            </w:r>
          </w:p>
        </w:tc>
        <w:tc>
          <w:tcPr>
            <w:tcW w:w="4077" w:type="pct"/>
            <w:vAlign w:val="center"/>
          </w:tcPr>
          <w:p>
            <w:pPr>
              <w:snapToGrid w:val="0"/>
              <w:jc w:val="center"/>
              <w:outlineLvl w:val="9"/>
              <w:rPr>
                <w:rFonts w:hint="default" w:ascii="宋体" w:hAnsi="宋体" w:eastAsia="宋体"/>
                <w:szCs w:val="21"/>
                <w:lang w:val="en-US" w:eastAsia="zh-CN"/>
              </w:rPr>
            </w:pPr>
            <w:r>
              <w:rPr>
                <w:rFonts w:hint="eastAsia" w:ascii="宋体" w:hAnsi="宋体" w:eastAsia="宋体"/>
                <w:szCs w:val="21"/>
                <w:lang w:val="en-US" w:eastAsia="zh-CN"/>
              </w:rPr>
              <w:t>90.90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923" w:type="pct"/>
            <w:vAlign w:val="center"/>
          </w:tcPr>
          <w:p>
            <w:pPr>
              <w:snapToGrid w:val="0"/>
              <w:jc w:val="center"/>
              <w:outlineLvl w:val="9"/>
              <w:rPr>
                <w:rFonts w:ascii="宋体" w:hAnsi="宋体"/>
                <w:szCs w:val="21"/>
              </w:rPr>
            </w:pPr>
            <w:r>
              <w:rPr>
                <w:rFonts w:hint="eastAsia" w:ascii="宋体" w:hAnsi="宋体"/>
                <w:szCs w:val="21"/>
              </w:rPr>
              <w:t>绩效级别</w:t>
            </w:r>
          </w:p>
        </w:tc>
        <w:tc>
          <w:tcPr>
            <w:tcW w:w="4077" w:type="pct"/>
            <w:vAlign w:val="center"/>
          </w:tcPr>
          <w:p>
            <w:pPr>
              <w:ind w:firstLine="619" w:firstLineChars="295"/>
              <w:outlineLvl w:val="9"/>
              <w:rPr>
                <w:rFonts w:ascii="宋体" w:hAnsi="宋体" w:cs="宋体"/>
                <w:szCs w:val="21"/>
              </w:rPr>
            </w:pPr>
            <w:r>
              <w:rPr>
                <w:rFonts w:hint="eastAsia" w:ascii="宋体" w:hAnsi="宋体" w:cs="宋体"/>
                <w:szCs w:val="21"/>
              </w:rPr>
              <w:t>优（90分以上）</w:t>
            </w:r>
            <w:r>
              <w:rPr>
                <w:rFonts w:ascii="宋体" w:hAnsi="宋体" w:cs="宋体"/>
                <w:szCs w:val="21"/>
              </w:rPr>
              <w:t xml:space="preserve"> </w:t>
            </w:r>
            <w:r>
              <w:rPr>
                <w:rFonts w:hint="eastAsia" w:ascii="宋体" w:hAnsi="宋体" w:cs="宋体"/>
                <w:sz w:val="24"/>
                <w:szCs w:val="21"/>
              </w:rPr>
              <w:t>☑</w:t>
            </w:r>
            <w:r>
              <w:rPr>
                <w:rFonts w:hint="eastAsia" w:ascii="宋体" w:hAnsi="宋体" w:cs="宋体"/>
                <w:szCs w:val="21"/>
              </w:rPr>
              <w:t xml:space="preserve">       </w:t>
            </w:r>
            <w:r>
              <w:rPr>
                <w:rFonts w:ascii="宋体" w:hAnsi="宋体" w:cs="宋体"/>
                <w:szCs w:val="21"/>
              </w:rPr>
              <w:t xml:space="preserve">   </w:t>
            </w:r>
            <w:r>
              <w:rPr>
                <w:rFonts w:hint="eastAsia" w:ascii="宋体" w:hAnsi="宋体" w:cs="宋体"/>
                <w:szCs w:val="21"/>
              </w:rPr>
              <w:t xml:space="preserve">   良（80-90分）</w:t>
            </w:r>
            <w:r>
              <w:rPr>
                <w:rFonts w:ascii="宋体" w:hAnsi="宋体" w:cs="宋体"/>
                <w:szCs w:val="21"/>
              </w:rPr>
              <w:t xml:space="preserve">   </w:t>
            </w:r>
            <w:r>
              <w:rPr>
                <w:rFonts w:hint="eastAsia" w:ascii="宋体" w:hAnsi="宋体" w:cs="宋体"/>
                <w:szCs w:val="21"/>
              </w:rPr>
              <w:t xml:space="preserve">□       </w:t>
            </w:r>
          </w:p>
          <w:p>
            <w:pPr>
              <w:ind w:firstLine="630" w:firstLineChars="300"/>
              <w:outlineLvl w:val="9"/>
              <w:rPr>
                <w:rFonts w:ascii="宋体" w:hAnsi="宋体" w:cs="宋体"/>
                <w:szCs w:val="21"/>
              </w:rPr>
            </w:pPr>
            <w:r>
              <w:rPr>
                <w:rFonts w:hint="eastAsia" w:ascii="宋体" w:hAnsi="宋体" w:cs="宋体"/>
                <w:szCs w:val="21"/>
              </w:rPr>
              <w:t>中（60</w:t>
            </w:r>
            <w:r>
              <w:rPr>
                <w:rFonts w:ascii="宋体" w:hAnsi="宋体" w:cs="宋体"/>
                <w:szCs w:val="21"/>
              </w:rPr>
              <w:t>-</w:t>
            </w:r>
            <w:r>
              <w:rPr>
                <w:rFonts w:hint="eastAsia" w:ascii="宋体" w:hAnsi="宋体" w:cs="宋体"/>
                <w:szCs w:val="21"/>
              </w:rPr>
              <w:t xml:space="preserve">80分）  □     </w:t>
            </w:r>
            <w:r>
              <w:rPr>
                <w:rFonts w:ascii="宋体" w:hAnsi="宋体" w:cs="宋体"/>
                <w:szCs w:val="21"/>
              </w:rPr>
              <w:t xml:space="preserve">   </w:t>
            </w:r>
            <w:r>
              <w:rPr>
                <w:rFonts w:hint="eastAsia" w:ascii="宋体" w:hAnsi="宋体" w:cs="宋体"/>
                <w:szCs w:val="21"/>
              </w:rPr>
              <w:t xml:space="preserve">     差（60分以下）  □</w:t>
            </w:r>
          </w:p>
        </w:tc>
      </w:tr>
    </w:tbl>
    <w:p>
      <w:pPr>
        <w:widowControl/>
        <w:jc w:val="left"/>
        <w:outlineLvl w:val="9"/>
        <w:rPr>
          <w:rFonts w:ascii="仿宋" w:hAnsi="仿宋" w:eastAsia="仿宋" w:cs="仿宋"/>
          <w:sz w:val="32"/>
          <w:szCs w:val="32"/>
        </w:rPr>
      </w:pP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51538256"/>
    </w:sdtPr>
    <w:sdtContent>
      <w:p>
        <w:pPr>
          <w:pStyle w:val="5"/>
          <w:jc w:val="center"/>
        </w:pPr>
        <w:r>
          <w:fldChar w:fldCharType="begin"/>
        </w:r>
        <w:r>
          <w:instrText xml:space="preserve">PAGE   \* MERGEFORMAT</w:instrText>
        </w:r>
        <w:r>
          <w:fldChar w:fldCharType="separate"/>
        </w:r>
        <w:r>
          <w:rPr>
            <w:lang w:val="zh-CN"/>
          </w:rPr>
          <w:t>2</w:t>
        </w:r>
        <w:r>
          <w:rPr>
            <w:lang w:val="zh-CN"/>
          </w:rPr>
          <w:fldChar w:fldCharType="end"/>
        </w:r>
      </w:p>
    </w:sdtContent>
  </w:sdt>
  <w:p>
    <w:pPr>
      <w:pStyle w:val="5"/>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OTE2NTQzZDdiNTBmZGNkMjJkNzMyZjgyN2U4MTg0NTgifQ=="/>
  </w:docVars>
  <w:rsids>
    <w:rsidRoot w:val="00BE5EC3"/>
    <w:rsid w:val="00000D63"/>
    <w:rsid w:val="000030F2"/>
    <w:rsid w:val="00004D66"/>
    <w:rsid w:val="00004D7F"/>
    <w:rsid w:val="000068BF"/>
    <w:rsid w:val="000112D5"/>
    <w:rsid w:val="00014070"/>
    <w:rsid w:val="0001416A"/>
    <w:rsid w:val="00014D2E"/>
    <w:rsid w:val="0002485B"/>
    <w:rsid w:val="00025F48"/>
    <w:rsid w:val="00034F5F"/>
    <w:rsid w:val="00035523"/>
    <w:rsid w:val="0003757E"/>
    <w:rsid w:val="00042476"/>
    <w:rsid w:val="0005133C"/>
    <w:rsid w:val="00052080"/>
    <w:rsid w:val="00053E60"/>
    <w:rsid w:val="00054189"/>
    <w:rsid w:val="00054307"/>
    <w:rsid w:val="00057D77"/>
    <w:rsid w:val="00063878"/>
    <w:rsid w:val="000640EC"/>
    <w:rsid w:val="000662D8"/>
    <w:rsid w:val="000676DB"/>
    <w:rsid w:val="00070CD2"/>
    <w:rsid w:val="0007185C"/>
    <w:rsid w:val="0007300A"/>
    <w:rsid w:val="0007443E"/>
    <w:rsid w:val="000747E2"/>
    <w:rsid w:val="00074E89"/>
    <w:rsid w:val="0007521A"/>
    <w:rsid w:val="00076A96"/>
    <w:rsid w:val="000808A9"/>
    <w:rsid w:val="00082029"/>
    <w:rsid w:val="0008218D"/>
    <w:rsid w:val="00086E91"/>
    <w:rsid w:val="00086EA4"/>
    <w:rsid w:val="00095252"/>
    <w:rsid w:val="00096AD1"/>
    <w:rsid w:val="00097B7A"/>
    <w:rsid w:val="000A4833"/>
    <w:rsid w:val="000A70C0"/>
    <w:rsid w:val="000B053F"/>
    <w:rsid w:val="000B0A85"/>
    <w:rsid w:val="000B2714"/>
    <w:rsid w:val="000B2E80"/>
    <w:rsid w:val="000B4826"/>
    <w:rsid w:val="000B4DD3"/>
    <w:rsid w:val="000B7566"/>
    <w:rsid w:val="000C0855"/>
    <w:rsid w:val="000C105A"/>
    <w:rsid w:val="000C6C5B"/>
    <w:rsid w:val="000D1DC6"/>
    <w:rsid w:val="000D1EF7"/>
    <w:rsid w:val="000D3F81"/>
    <w:rsid w:val="000E1A01"/>
    <w:rsid w:val="000E277F"/>
    <w:rsid w:val="000E364F"/>
    <w:rsid w:val="000E512A"/>
    <w:rsid w:val="000F3122"/>
    <w:rsid w:val="001016A0"/>
    <w:rsid w:val="001051A5"/>
    <w:rsid w:val="0011052C"/>
    <w:rsid w:val="001148B0"/>
    <w:rsid w:val="001163F5"/>
    <w:rsid w:val="00116E93"/>
    <w:rsid w:val="00117608"/>
    <w:rsid w:val="00117872"/>
    <w:rsid w:val="00130163"/>
    <w:rsid w:val="00130249"/>
    <w:rsid w:val="00134ACE"/>
    <w:rsid w:val="00134F56"/>
    <w:rsid w:val="00134F87"/>
    <w:rsid w:val="00135F46"/>
    <w:rsid w:val="00137101"/>
    <w:rsid w:val="00137DB8"/>
    <w:rsid w:val="001415D6"/>
    <w:rsid w:val="001435BA"/>
    <w:rsid w:val="001435C9"/>
    <w:rsid w:val="00147509"/>
    <w:rsid w:val="001507D7"/>
    <w:rsid w:val="00157D66"/>
    <w:rsid w:val="00165129"/>
    <w:rsid w:val="00167600"/>
    <w:rsid w:val="0017062D"/>
    <w:rsid w:val="00176B79"/>
    <w:rsid w:val="00184962"/>
    <w:rsid w:val="00185C33"/>
    <w:rsid w:val="00192E15"/>
    <w:rsid w:val="00192FD5"/>
    <w:rsid w:val="0019776F"/>
    <w:rsid w:val="001A33BA"/>
    <w:rsid w:val="001B5126"/>
    <w:rsid w:val="001C1988"/>
    <w:rsid w:val="001C23FA"/>
    <w:rsid w:val="001C29A1"/>
    <w:rsid w:val="001C4239"/>
    <w:rsid w:val="001C461D"/>
    <w:rsid w:val="001C76CF"/>
    <w:rsid w:val="001D1BAE"/>
    <w:rsid w:val="001D1EB3"/>
    <w:rsid w:val="001D34C2"/>
    <w:rsid w:val="001D42FB"/>
    <w:rsid w:val="001D5F71"/>
    <w:rsid w:val="001E1585"/>
    <w:rsid w:val="001E17FE"/>
    <w:rsid w:val="001E64E3"/>
    <w:rsid w:val="001E6822"/>
    <w:rsid w:val="001F1C12"/>
    <w:rsid w:val="001F3680"/>
    <w:rsid w:val="00200DA9"/>
    <w:rsid w:val="00204E97"/>
    <w:rsid w:val="002074A9"/>
    <w:rsid w:val="002139AA"/>
    <w:rsid w:val="00214E75"/>
    <w:rsid w:val="00215694"/>
    <w:rsid w:val="00215BCF"/>
    <w:rsid w:val="00216DE3"/>
    <w:rsid w:val="0021751A"/>
    <w:rsid w:val="002217A3"/>
    <w:rsid w:val="00224EE7"/>
    <w:rsid w:val="00231243"/>
    <w:rsid w:val="0023255C"/>
    <w:rsid w:val="00235DFB"/>
    <w:rsid w:val="00242E0A"/>
    <w:rsid w:val="002441E8"/>
    <w:rsid w:val="00254054"/>
    <w:rsid w:val="00255385"/>
    <w:rsid w:val="00255554"/>
    <w:rsid w:val="00255A57"/>
    <w:rsid w:val="0025640E"/>
    <w:rsid w:val="00256CE0"/>
    <w:rsid w:val="00257CA8"/>
    <w:rsid w:val="00261248"/>
    <w:rsid w:val="00266618"/>
    <w:rsid w:val="00266E31"/>
    <w:rsid w:val="00271F7F"/>
    <w:rsid w:val="002765E3"/>
    <w:rsid w:val="00276CE3"/>
    <w:rsid w:val="00281CC9"/>
    <w:rsid w:val="00283364"/>
    <w:rsid w:val="00284C5C"/>
    <w:rsid w:val="002854C5"/>
    <w:rsid w:val="00287D27"/>
    <w:rsid w:val="002920B8"/>
    <w:rsid w:val="0029386D"/>
    <w:rsid w:val="002938F5"/>
    <w:rsid w:val="00295478"/>
    <w:rsid w:val="002968FF"/>
    <w:rsid w:val="002A3D79"/>
    <w:rsid w:val="002A5424"/>
    <w:rsid w:val="002A6AB1"/>
    <w:rsid w:val="002B0555"/>
    <w:rsid w:val="002B1107"/>
    <w:rsid w:val="002B28C6"/>
    <w:rsid w:val="002B5B0D"/>
    <w:rsid w:val="002B73F7"/>
    <w:rsid w:val="002C3118"/>
    <w:rsid w:val="002C3BC7"/>
    <w:rsid w:val="002C71D1"/>
    <w:rsid w:val="002C729C"/>
    <w:rsid w:val="002D0C00"/>
    <w:rsid w:val="002D2C57"/>
    <w:rsid w:val="002D547A"/>
    <w:rsid w:val="002D6199"/>
    <w:rsid w:val="002E126B"/>
    <w:rsid w:val="002E542E"/>
    <w:rsid w:val="002F054B"/>
    <w:rsid w:val="002F0BBF"/>
    <w:rsid w:val="002F0DBB"/>
    <w:rsid w:val="002F6FF7"/>
    <w:rsid w:val="002F7CBE"/>
    <w:rsid w:val="0030142B"/>
    <w:rsid w:val="00307E1C"/>
    <w:rsid w:val="0031106F"/>
    <w:rsid w:val="0031132B"/>
    <w:rsid w:val="00320FA0"/>
    <w:rsid w:val="0032314C"/>
    <w:rsid w:val="00324CB8"/>
    <w:rsid w:val="00325ECE"/>
    <w:rsid w:val="00325FC9"/>
    <w:rsid w:val="00331595"/>
    <w:rsid w:val="003325D4"/>
    <w:rsid w:val="00342521"/>
    <w:rsid w:val="003469E5"/>
    <w:rsid w:val="003478A3"/>
    <w:rsid w:val="003512F1"/>
    <w:rsid w:val="003528C1"/>
    <w:rsid w:val="0035394C"/>
    <w:rsid w:val="00355B81"/>
    <w:rsid w:val="00355FDF"/>
    <w:rsid w:val="003618B9"/>
    <w:rsid w:val="00364B07"/>
    <w:rsid w:val="00366B3F"/>
    <w:rsid w:val="00370911"/>
    <w:rsid w:val="00375EA4"/>
    <w:rsid w:val="003821BB"/>
    <w:rsid w:val="003826DA"/>
    <w:rsid w:val="00383912"/>
    <w:rsid w:val="00385EF8"/>
    <w:rsid w:val="0038638D"/>
    <w:rsid w:val="00395F9B"/>
    <w:rsid w:val="003960E5"/>
    <w:rsid w:val="00396276"/>
    <w:rsid w:val="003A1D8A"/>
    <w:rsid w:val="003A3DF5"/>
    <w:rsid w:val="003A53A9"/>
    <w:rsid w:val="003B0B5E"/>
    <w:rsid w:val="003B2F8C"/>
    <w:rsid w:val="003B3C99"/>
    <w:rsid w:val="003B75D9"/>
    <w:rsid w:val="003C02C6"/>
    <w:rsid w:val="003C2272"/>
    <w:rsid w:val="003C5ED9"/>
    <w:rsid w:val="003C7CA4"/>
    <w:rsid w:val="003D5C06"/>
    <w:rsid w:val="003D65EC"/>
    <w:rsid w:val="003D79FA"/>
    <w:rsid w:val="003E063A"/>
    <w:rsid w:val="003E3712"/>
    <w:rsid w:val="003E5EC4"/>
    <w:rsid w:val="003F1354"/>
    <w:rsid w:val="003F42F0"/>
    <w:rsid w:val="00403C93"/>
    <w:rsid w:val="00405CC0"/>
    <w:rsid w:val="00412ED3"/>
    <w:rsid w:val="004147A7"/>
    <w:rsid w:val="0041483D"/>
    <w:rsid w:val="0042087C"/>
    <w:rsid w:val="00421122"/>
    <w:rsid w:val="0042265D"/>
    <w:rsid w:val="004412D8"/>
    <w:rsid w:val="004425D1"/>
    <w:rsid w:val="00444018"/>
    <w:rsid w:val="00445C45"/>
    <w:rsid w:val="00454954"/>
    <w:rsid w:val="0045635F"/>
    <w:rsid w:val="00461D57"/>
    <w:rsid w:val="00462DBA"/>
    <w:rsid w:val="004637F1"/>
    <w:rsid w:val="0046779C"/>
    <w:rsid w:val="00467B71"/>
    <w:rsid w:val="00470142"/>
    <w:rsid w:val="00470748"/>
    <w:rsid w:val="00471297"/>
    <w:rsid w:val="00473C57"/>
    <w:rsid w:val="00474D4F"/>
    <w:rsid w:val="00475536"/>
    <w:rsid w:val="00475682"/>
    <w:rsid w:val="00475F02"/>
    <w:rsid w:val="004775D4"/>
    <w:rsid w:val="00482E84"/>
    <w:rsid w:val="004835C2"/>
    <w:rsid w:val="00483CD7"/>
    <w:rsid w:val="004900AE"/>
    <w:rsid w:val="004908E7"/>
    <w:rsid w:val="00491D04"/>
    <w:rsid w:val="004934C0"/>
    <w:rsid w:val="004945CF"/>
    <w:rsid w:val="00495369"/>
    <w:rsid w:val="004A1426"/>
    <w:rsid w:val="004A2827"/>
    <w:rsid w:val="004A36CF"/>
    <w:rsid w:val="004A5C30"/>
    <w:rsid w:val="004B0336"/>
    <w:rsid w:val="004B47F6"/>
    <w:rsid w:val="004B564A"/>
    <w:rsid w:val="004C0EEA"/>
    <w:rsid w:val="004C43DC"/>
    <w:rsid w:val="004D11D2"/>
    <w:rsid w:val="004D2290"/>
    <w:rsid w:val="004D5C1D"/>
    <w:rsid w:val="004D7723"/>
    <w:rsid w:val="004E19D9"/>
    <w:rsid w:val="004E393A"/>
    <w:rsid w:val="004E3D57"/>
    <w:rsid w:val="004E7313"/>
    <w:rsid w:val="004F0019"/>
    <w:rsid w:val="004F195C"/>
    <w:rsid w:val="004F2B12"/>
    <w:rsid w:val="004F3566"/>
    <w:rsid w:val="004F3A02"/>
    <w:rsid w:val="004F6998"/>
    <w:rsid w:val="004F7210"/>
    <w:rsid w:val="004F7862"/>
    <w:rsid w:val="004F7CBC"/>
    <w:rsid w:val="0050029E"/>
    <w:rsid w:val="00505944"/>
    <w:rsid w:val="0050733C"/>
    <w:rsid w:val="00514563"/>
    <w:rsid w:val="00516A8F"/>
    <w:rsid w:val="00517B61"/>
    <w:rsid w:val="005201B8"/>
    <w:rsid w:val="00526B14"/>
    <w:rsid w:val="005275BF"/>
    <w:rsid w:val="00531AB3"/>
    <w:rsid w:val="005434EB"/>
    <w:rsid w:val="005436C4"/>
    <w:rsid w:val="005503AE"/>
    <w:rsid w:val="00550B26"/>
    <w:rsid w:val="005559EB"/>
    <w:rsid w:val="00556069"/>
    <w:rsid w:val="00556F29"/>
    <w:rsid w:val="0056018D"/>
    <w:rsid w:val="005603A4"/>
    <w:rsid w:val="00560A98"/>
    <w:rsid w:val="00560E80"/>
    <w:rsid w:val="00563B40"/>
    <w:rsid w:val="00563CFA"/>
    <w:rsid w:val="00563E66"/>
    <w:rsid w:val="00565A2D"/>
    <w:rsid w:val="00567A2F"/>
    <w:rsid w:val="005779BE"/>
    <w:rsid w:val="00577E07"/>
    <w:rsid w:val="00580E7E"/>
    <w:rsid w:val="005814F0"/>
    <w:rsid w:val="0058291D"/>
    <w:rsid w:val="005832EA"/>
    <w:rsid w:val="005859EA"/>
    <w:rsid w:val="00596169"/>
    <w:rsid w:val="00596C35"/>
    <w:rsid w:val="005A204B"/>
    <w:rsid w:val="005A2951"/>
    <w:rsid w:val="005A471C"/>
    <w:rsid w:val="005A5A95"/>
    <w:rsid w:val="005A646C"/>
    <w:rsid w:val="005B203D"/>
    <w:rsid w:val="005B26EC"/>
    <w:rsid w:val="005B31A2"/>
    <w:rsid w:val="005B351A"/>
    <w:rsid w:val="005B3CCD"/>
    <w:rsid w:val="005B635F"/>
    <w:rsid w:val="005C0081"/>
    <w:rsid w:val="005D3065"/>
    <w:rsid w:val="005D52A2"/>
    <w:rsid w:val="005D76CC"/>
    <w:rsid w:val="005E0FB1"/>
    <w:rsid w:val="005E2DE5"/>
    <w:rsid w:val="005E3C1B"/>
    <w:rsid w:val="005E40E6"/>
    <w:rsid w:val="005E76A8"/>
    <w:rsid w:val="005F2325"/>
    <w:rsid w:val="005F242D"/>
    <w:rsid w:val="005F3545"/>
    <w:rsid w:val="005F6AAB"/>
    <w:rsid w:val="00604988"/>
    <w:rsid w:val="006060E5"/>
    <w:rsid w:val="006147CE"/>
    <w:rsid w:val="00614C8A"/>
    <w:rsid w:val="00615E99"/>
    <w:rsid w:val="00615F3B"/>
    <w:rsid w:val="00616650"/>
    <w:rsid w:val="00621D7E"/>
    <w:rsid w:val="00623952"/>
    <w:rsid w:val="0063083D"/>
    <w:rsid w:val="006317D8"/>
    <w:rsid w:val="00631BC6"/>
    <w:rsid w:val="00632BAC"/>
    <w:rsid w:val="0064395B"/>
    <w:rsid w:val="00646D5F"/>
    <w:rsid w:val="00646E8F"/>
    <w:rsid w:val="006501BB"/>
    <w:rsid w:val="006503AF"/>
    <w:rsid w:val="00650EFB"/>
    <w:rsid w:val="006520EA"/>
    <w:rsid w:val="00653B8C"/>
    <w:rsid w:val="00655F2C"/>
    <w:rsid w:val="00661B5D"/>
    <w:rsid w:val="00663C32"/>
    <w:rsid w:val="0066550A"/>
    <w:rsid w:val="00671A09"/>
    <w:rsid w:val="00672D0D"/>
    <w:rsid w:val="0067648D"/>
    <w:rsid w:val="006771B1"/>
    <w:rsid w:val="00680BFD"/>
    <w:rsid w:val="00682130"/>
    <w:rsid w:val="00684098"/>
    <w:rsid w:val="006849E1"/>
    <w:rsid w:val="00686058"/>
    <w:rsid w:val="006860CA"/>
    <w:rsid w:val="0069052D"/>
    <w:rsid w:val="00696820"/>
    <w:rsid w:val="006A5080"/>
    <w:rsid w:val="006B027B"/>
    <w:rsid w:val="006B0885"/>
    <w:rsid w:val="006B0BCF"/>
    <w:rsid w:val="006B27F0"/>
    <w:rsid w:val="006C03BC"/>
    <w:rsid w:val="006C0511"/>
    <w:rsid w:val="006C39C2"/>
    <w:rsid w:val="006C54EA"/>
    <w:rsid w:val="006C7B39"/>
    <w:rsid w:val="006C7DB2"/>
    <w:rsid w:val="006D16B5"/>
    <w:rsid w:val="006D481C"/>
    <w:rsid w:val="006D6FE3"/>
    <w:rsid w:val="006E0E86"/>
    <w:rsid w:val="006E4972"/>
    <w:rsid w:val="006E7965"/>
    <w:rsid w:val="006F3E9E"/>
    <w:rsid w:val="006F484C"/>
    <w:rsid w:val="006F6D17"/>
    <w:rsid w:val="0070593C"/>
    <w:rsid w:val="00710A37"/>
    <w:rsid w:val="00710B74"/>
    <w:rsid w:val="00714321"/>
    <w:rsid w:val="00716335"/>
    <w:rsid w:val="00716CB1"/>
    <w:rsid w:val="00720C25"/>
    <w:rsid w:val="00721BD4"/>
    <w:rsid w:val="0072387C"/>
    <w:rsid w:val="00725A5B"/>
    <w:rsid w:val="0073036C"/>
    <w:rsid w:val="007363FC"/>
    <w:rsid w:val="00743812"/>
    <w:rsid w:val="00744ECD"/>
    <w:rsid w:val="007455C0"/>
    <w:rsid w:val="00755995"/>
    <w:rsid w:val="0076110A"/>
    <w:rsid w:val="007613C4"/>
    <w:rsid w:val="00761A52"/>
    <w:rsid w:val="00765ACE"/>
    <w:rsid w:val="0076799C"/>
    <w:rsid w:val="007701EE"/>
    <w:rsid w:val="00773CC9"/>
    <w:rsid w:val="00776062"/>
    <w:rsid w:val="00781774"/>
    <w:rsid w:val="00782EC3"/>
    <w:rsid w:val="00785BFD"/>
    <w:rsid w:val="00790701"/>
    <w:rsid w:val="00790BF2"/>
    <w:rsid w:val="00791855"/>
    <w:rsid w:val="00792397"/>
    <w:rsid w:val="007923BC"/>
    <w:rsid w:val="00792DE1"/>
    <w:rsid w:val="007949DD"/>
    <w:rsid w:val="00797CF9"/>
    <w:rsid w:val="007A37B1"/>
    <w:rsid w:val="007B10D7"/>
    <w:rsid w:val="007B1DF9"/>
    <w:rsid w:val="007B1F6C"/>
    <w:rsid w:val="007B72F5"/>
    <w:rsid w:val="007C1187"/>
    <w:rsid w:val="007C32C0"/>
    <w:rsid w:val="007C76B9"/>
    <w:rsid w:val="007D532B"/>
    <w:rsid w:val="007D6A9D"/>
    <w:rsid w:val="007E2406"/>
    <w:rsid w:val="007E2F24"/>
    <w:rsid w:val="007E32F3"/>
    <w:rsid w:val="007E63DC"/>
    <w:rsid w:val="007F2C28"/>
    <w:rsid w:val="00810217"/>
    <w:rsid w:val="008140C2"/>
    <w:rsid w:val="00814F21"/>
    <w:rsid w:val="008160E4"/>
    <w:rsid w:val="008260F3"/>
    <w:rsid w:val="00827BA3"/>
    <w:rsid w:val="00840318"/>
    <w:rsid w:val="008434C5"/>
    <w:rsid w:val="00846942"/>
    <w:rsid w:val="0085590A"/>
    <w:rsid w:val="0086013E"/>
    <w:rsid w:val="008617BC"/>
    <w:rsid w:val="00864167"/>
    <w:rsid w:val="00865268"/>
    <w:rsid w:val="0087052A"/>
    <w:rsid w:val="008766C7"/>
    <w:rsid w:val="00885BEF"/>
    <w:rsid w:val="008862BF"/>
    <w:rsid w:val="0089076F"/>
    <w:rsid w:val="008957CF"/>
    <w:rsid w:val="008A06A9"/>
    <w:rsid w:val="008A3592"/>
    <w:rsid w:val="008A7022"/>
    <w:rsid w:val="008A7621"/>
    <w:rsid w:val="008A7E95"/>
    <w:rsid w:val="008B39D7"/>
    <w:rsid w:val="008B4CBD"/>
    <w:rsid w:val="008B5D71"/>
    <w:rsid w:val="008B7327"/>
    <w:rsid w:val="008C4E04"/>
    <w:rsid w:val="008C5046"/>
    <w:rsid w:val="008C753E"/>
    <w:rsid w:val="008C7E4C"/>
    <w:rsid w:val="008D006A"/>
    <w:rsid w:val="008D00A6"/>
    <w:rsid w:val="008D45FB"/>
    <w:rsid w:val="008E3153"/>
    <w:rsid w:val="008E3D0C"/>
    <w:rsid w:val="008E4C7C"/>
    <w:rsid w:val="008F2E3A"/>
    <w:rsid w:val="008F55DE"/>
    <w:rsid w:val="008F66E3"/>
    <w:rsid w:val="008F70DA"/>
    <w:rsid w:val="00900567"/>
    <w:rsid w:val="009008D5"/>
    <w:rsid w:val="009018B4"/>
    <w:rsid w:val="009032B9"/>
    <w:rsid w:val="009058B3"/>
    <w:rsid w:val="0090657B"/>
    <w:rsid w:val="00911358"/>
    <w:rsid w:val="009123EB"/>
    <w:rsid w:val="009156CC"/>
    <w:rsid w:val="00916345"/>
    <w:rsid w:val="00921D63"/>
    <w:rsid w:val="00922A82"/>
    <w:rsid w:val="00922C55"/>
    <w:rsid w:val="0092332B"/>
    <w:rsid w:val="009235FC"/>
    <w:rsid w:val="00933289"/>
    <w:rsid w:val="00935211"/>
    <w:rsid w:val="0094009E"/>
    <w:rsid w:val="0094029B"/>
    <w:rsid w:val="00942A3C"/>
    <w:rsid w:val="0095020D"/>
    <w:rsid w:val="00954868"/>
    <w:rsid w:val="00956F6B"/>
    <w:rsid w:val="0096061D"/>
    <w:rsid w:val="009607CB"/>
    <w:rsid w:val="009611A3"/>
    <w:rsid w:val="009651FF"/>
    <w:rsid w:val="009656ED"/>
    <w:rsid w:val="00965D50"/>
    <w:rsid w:val="009677F4"/>
    <w:rsid w:val="00967D14"/>
    <w:rsid w:val="00970812"/>
    <w:rsid w:val="00972458"/>
    <w:rsid w:val="00991172"/>
    <w:rsid w:val="009913A3"/>
    <w:rsid w:val="009934DC"/>
    <w:rsid w:val="00995A76"/>
    <w:rsid w:val="00996ED2"/>
    <w:rsid w:val="009A0C8A"/>
    <w:rsid w:val="009A1A65"/>
    <w:rsid w:val="009A3E86"/>
    <w:rsid w:val="009A4FBE"/>
    <w:rsid w:val="009A7A18"/>
    <w:rsid w:val="009B2203"/>
    <w:rsid w:val="009B3CFA"/>
    <w:rsid w:val="009B45B2"/>
    <w:rsid w:val="009B4CAE"/>
    <w:rsid w:val="009B7D6F"/>
    <w:rsid w:val="009C0120"/>
    <w:rsid w:val="009C35E5"/>
    <w:rsid w:val="009C46E4"/>
    <w:rsid w:val="009C651E"/>
    <w:rsid w:val="009C6ED8"/>
    <w:rsid w:val="009C7416"/>
    <w:rsid w:val="009D12FC"/>
    <w:rsid w:val="009D1EEE"/>
    <w:rsid w:val="009D2A54"/>
    <w:rsid w:val="009D5D23"/>
    <w:rsid w:val="009D6C87"/>
    <w:rsid w:val="009E4B34"/>
    <w:rsid w:val="009E5842"/>
    <w:rsid w:val="009F0867"/>
    <w:rsid w:val="009F1CF9"/>
    <w:rsid w:val="009F3791"/>
    <w:rsid w:val="009F65BF"/>
    <w:rsid w:val="009F794C"/>
    <w:rsid w:val="00A0076C"/>
    <w:rsid w:val="00A013DD"/>
    <w:rsid w:val="00A022E6"/>
    <w:rsid w:val="00A07809"/>
    <w:rsid w:val="00A111E9"/>
    <w:rsid w:val="00A16400"/>
    <w:rsid w:val="00A230AE"/>
    <w:rsid w:val="00A23315"/>
    <w:rsid w:val="00A2469C"/>
    <w:rsid w:val="00A27676"/>
    <w:rsid w:val="00A305E4"/>
    <w:rsid w:val="00A32E33"/>
    <w:rsid w:val="00A36A8B"/>
    <w:rsid w:val="00A37808"/>
    <w:rsid w:val="00A417B4"/>
    <w:rsid w:val="00A46027"/>
    <w:rsid w:val="00A57737"/>
    <w:rsid w:val="00A6109A"/>
    <w:rsid w:val="00A62444"/>
    <w:rsid w:val="00A7043F"/>
    <w:rsid w:val="00A759DA"/>
    <w:rsid w:val="00A760AB"/>
    <w:rsid w:val="00A82E36"/>
    <w:rsid w:val="00A90554"/>
    <w:rsid w:val="00A90714"/>
    <w:rsid w:val="00A90BC8"/>
    <w:rsid w:val="00A9328B"/>
    <w:rsid w:val="00A9736C"/>
    <w:rsid w:val="00A97B18"/>
    <w:rsid w:val="00A97B55"/>
    <w:rsid w:val="00AA1794"/>
    <w:rsid w:val="00AA47D2"/>
    <w:rsid w:val="00AA566A"/>
    <w:rsid w:val="00AA6D8B"/>
    <w:rsid w:val="00AB1726"/>
    <w:rsid w:val="00AB2946"/>
    <w:rsid w:val="00AB41B9"/>
    <w:rsid w:val="00AB6788"/>
    <w:rsid w:val="00AC0468"/>
    <w:rsid w:val="00AC40EB"/>
    <w:rsid w:val="00AC7ADE"/>
    <w:rsid w:val="00AC7B35"/>
    <w:rsid w:val="00AD6E6E"/>
    <w:rsid w:val="00AD7829"/>
    <w:rsid w:val="00AE1852"/>
    <w:rsid w:val="00AE2AA3"/>
    <w:rsid w:val="00AE36F2"/>
    <w:rsid w:val="00AE4CC1"/>
    <w:rsid w:val="00AF0D71"/>
    <w:rsid w:val="00AF2E13"/>
    <w:rsid w:val="00AF401E"/>
    <w:rsid w:val="00AF75C4"/>
    <w:rsid w:val="00AF785B"/>
    <w:rsid w:val="00B07676"/>
    <w:rsid w:val="00B1089D"/>
    <w:rsid w:val="00B112BD"/>
    <w:rsid w:val="00B11568"/>
    <w:rsid w:val="00B1408B"/>
    <w:rsid w:val="00B14449"/>
    <w:rsid w:val="00B15985"/>
    <w:rsid w:val="00B24E4A"/>
    <w:rsid w:val="00B25032"/>
    <w:rsid w:val="00B277EC"/>
    <w:rsid w:val="00B35E6E"/>
    <w:rsid w:val="00B43172"/>
    <w:rsid w:val="00B43AB0"/>
    <w:rsid w:val="00B4540D"/>
    <w:rsid w:val="00B45B67"/>
    <w:rsid w:val="00B46272"/>
    <w:rsid w:val="00B50F81"/>
    <w:rsid w:val="00B5359C"/>
    <w:rsid w:val="00B55DCA"/>
    <w:rsid w:val="00B60FB9"/>
    <w:rsid w:val="00B62336"/>
    <w:rsid w:val="00B65662"/>
    <w:rsid w:val="00B71317"/>
    <w:rsid w:val="00B71BAB"/>
    <w:rsid w:val="00B73543"/>
    <w:rsid w:val="00B7459E"/>
    <w:rsid w:val="00B75837"/>
    <w:rsid w:val="00B77C14"/>
    <w:rsid w:val="00B77D0D"/>
    <w:rsid w:val="00B80EB1"/>
    <w:rsid w:val="00B814C8"/>
    <w:rsid w:val="00B84480"/>
    <w:rsid w:val="00B84B7E"/>
    <w:rsid w:val="00B86CAA"/>
    <w:rsid w:val="00B908BB"/>
    <w:rsid w:val="00B945AE"/>
    <w:rsid w:val="00BA07D8"/>
    <w:rsid w:val="00BA4584"/>
    <w:rsid w:val="00BA7091"/>
    <w:rsid w:val="00BB5E05"/>
    <w:rsid w:val="00BC112E"/>
    <w:rsid w:val="00BC4032"/>
    <w:rsid w:val="00BE124C"/>
    <w:rsid w:val="00BE1618"/>
    <w:rsid w:val="00BE1994"/>
    <w:rsid w:val="00BE31BD"/>
    <w:rsid w:val="00BE5EC3"/>
    <w:rsid w:val="00BE701E"/>
    <w:rsid w:val="00BE7073"/>
    <w:rsid w:val="00BF0150"/>
    <w:rsid w:val="00BF3410"/>
    <w:rsid w:val="00BF4898"/>
    <w:rsid w:val="00BF4DB5"/>
    <w:rsid w:val="00BF603D"/>
    <w:rsid w:val="00BF6851"/>
    <w:rsid w:val="00BF6BAB"/>
    <w:rsid w:val="00BF6D98"/>
    <w:rsid w:val="00C042F1"/>
    <w:rsid w:val="00C12F6F"/>
    <w:rsid w:val="00C13CF1"/>
    <w:rsid w:val="00C14957"/>
    <w:rsid w:val="00C17EC2"/>
    <w:rsid w:val="00C17F35"/>
    <w:rsid w:val="00C20364"/>
    <w:rsid w:val="00C246C9"/>
    <w:rsid w:val="00C2571B"/>
    <w:rsid w:val="00C32AAA"/>
    <w:rsid w:val="00C34352"/>
    <w:rsid w:val="00C42810"/>
    <w:rsid w:val="00C43372"/>
    <w:rsid w:val="00C43E5F"/>
    <w:rsid w:val="00C44FA8"/>
    <w:rsid w:val="00C460A4"/>
    <w:rsid w:val="00C47BFF"/>
    <w:rsid w:val="00C51DA5"/>
    <w:rsid w:val="00C53C8C"/>
    <w:rsid w:val="00C61083"/>
    <w:rsid w:val="00C62024"/>
    <w:rsid w:val="00C63350"/>
    <w:rsid w:val="00C65E57"/>
    <w:rsid w:val="00C65F3D"/>
    <w:rsid w:val="00C660F7"/>
    <w:rsid w:val="00C704C9"/>
    <w:rsid w:val="00C7070D"/>
    <w:rsid w:val="00C72E3D"/>
    <w:rsid w:val="00C75546"/>
    <w:rsid w:val="00C769F3"/>
    <w:rsid w:val="00C8140D"/>
    <w:rsid w:val="00C8219D"/>
    <w:rsid w:val="00C83FC8"/>
    <w:rsid w:val="00C8451F"/>
    <w:rsid w:val="00C91206"/>
    <w:rsid w:val="00C94E64"/>
    <w:rsid w:val="00C96359"/>
    <w:rsid w:val="00CA1534"/>
    <w:rsid w:val="00CA1CCC"/>
    <w:rsid w:val="00CB1D2E"/>
    <w:rsid w:val="00CB4810"/>
    <w:rsid w:val="00CB523C"/>
    <w:rsid w:val="00CC005D"/>
    <w:rsid w:val="00CC081D"/>
    <w:rsid w:val="00CC1BFC"/>
    <w:rsid w:val="00CC2CEF"/>
    <w:rsid w:val="00CC32F3"/>
    <w:rsid w:val="00CC4693"/>
    <w:rsid w:val="00CD4D96"/>
    <w:rsid w:val="00CE146F"/>
    <w:rsid w:val="00CE18F7"/>
    <w:rsid w:val="00CE4813"/>
    <w:rsid w:val="00CF1775"/>
    <w:rsid w:val="00CF32E3"/>
    <w:rsid w:val="00CF6F78"/>
    <w:rsid w:val="00D02546"/>
    <w:rsid w:val="00D0266C"/>
    <w:rsid w:val="00D04EB6"/>
    <w:rsid w:val="00D04FAF"/>
    <w:rsid w:val="00D13B02"/>
    <w:rsid w:val="00D15892"/>
    <w:rsid w:val="00D26DA7"/>
    <w:rsid w:val="00D2762A"/>
    <w:rsid w:val="00D31426"/>
    <w:rsid w:val="00D32158"/>
    <w:rsid w:val="00D360CF"/>
    <w:rsid w:val="00D41B5C"/>
    <w:rsid w:val="00D42D79"/>
    <w:rsid w:val="00D5122F"/>
    <w:rsid w:val="00D57072"/>
    <w:rsid w:val="00D60550"/>
    <w:rsid w:val="00D615AA"/>
    <w:rsid w:val="00D6331D"/>
    <w:rsid w:val="00D666CE"/>
    <w:rsid w:val="00D71BDD"/>
    <w:rsid w:val="00D73A66"/>
    <w:rsid w:val="00D740FE"/>
    <w:rsid w:val="00D75598"/>
    <w:rsid w:val="00D83A26"/>
    <w:rsid w:val="00D84202"/>
    <w:rsid w:val="00D95789"/>
    <w:rsid w:val="00D9608A"/>
    <w:rsid w:val="00D9665C"/>
    <w:rsid w:val="00DA0DC6"/>
    <w:rsid w:val="00DA330E"/>
    <w:rsid w:val="00DA4B1D"/>
    <w:rsid w:val="00DA4D48"/>
    <w:rsid w:val="00DB0162"/>
    <w:rsid w:val="00DB104D"/>
    <w:rsid w:val="00DB236C"/>
    <w:rsid w:val="00DB352D"/>
    <w:rsid w:val="00DC045A"/>
    <w:rsid w:val="00DC11A4"/>
    <w:rsid w:val="00DC33D4"/>
    <w:rsid w:val="00DC4019"/>
    <w:rsid w:val="00DC5D69"/>
    <w:rsid w:val="00DC6847"/>
    <w:rsid w:val="00DC78E9"/>
    <w:rsid w:val="00DD2ECB"/>
    <w:rsid w:val="00DD32E8"/>
    <w:rsid w:val="00DD3A55"/>
    <w:rsid w:val="00DD6490"/>
    <w:rsid w:val="00DD7EC8"/>
    <w:rsid w:val="00DE2174"/>
    <w:rsid w:val="00DE22DD"/>
    <w:rsid w:val="00DE5A58"/>
    <w:rsid w:val="00DE70CA"/>
    <w:rsid w:val="00DF1FA2"/>
    <w:rsid w:val="00DF2887"/>
    <w:rsid w:val="00DF403F"/>
    <w:rsid w:val="00DF4640"/>
    <w:rsid w:val="00DF7B62"/>
    <w:rsid w:val="00E0794A"/>
    <w:rsid w:val="00E10294"/>
    <w:rsid w:val="00E10DBF"/>
    <w:rsid w:val="00E13B3D"/>
    <w:rsid w:val="00E165D3"/>
    <w:rsid w:val="00E211F3"/>
    <w:rsid w:val="00E21CD9"/>
    <w:rsid w:val="00E22A64"/>
    <w:rsid w:val="00E309B0"/>
    <w:rsid w:val="00E3279A"/>
    <w:rsid w:val="00E435AE"/>
    <w:rsid w:val="00E43F56"/>
    <w:rsid w:val="00E47167"/>
    <w:rsid w:val="00E4764E"/>
    <w:rsid w:val="00E51B52"/>
    <w:rsid w:val="00E52BFC"/>
    <w:rsid w:val="00E52D1F"/>
    <w:rsid w:val="00E55CAA"/>
    <w:rsid w:val="00E57A22"/>
    <w:rsid w:val="00E62FF6"/>
    <w:rsid w:val="00E7099D"/>
    <w:rsid w:val="00E7622B"/>
    <w:rsid w:val="00E862EA"/>
    <w:rsid w:val="00E86A32"/>
    <w:rsid w:val="00E92040"/>
    <w:rsid w:val="00E9488B"/>
    <w:rsid w:val="00EA1080"/>
    <w:rsid w:val="00EA3460"/>
    <w:rsid w:val="00EA3739"/>
    <w:rsid w:val="00EA5AA3"/>
    <w:rsid w:val="00EB4EE4"/>
    <w:rsid w:val="00EC6066"/>
    <w:rsid w:val="00EC6C24"/>
    <w:rsid w:val="00ED113E"/>
    <w:rsid w:val="00ED3611"/>
    <w:rsid w:val="00ED5F22"/>
    <w:rsid w:val="00ED6D93"/>
    <w:rsid w:val="00EE21E1"/>
    <w:rsid w:val="00EE2A1F"/>
    <w:rsid w:val="00EE6D9C"/>
    <w:rsid w:val="00EF10C7"/>
    <w:rsid w:val="00F010CE"/>
    <w:rsid w:val="00F01722"/>
    <w:rsid w:val="00F021BC"/>
    <w:rsid w:val="00F04944"/>
    <w:rsid w:val="00F07C07"/>
    <w:rsid w:val="00F07FFE"/>
    <w:rsid w:val="00F1364D"/>
    <w:rsid w:val="00F24BBF"/>
    <w:rsid w:val="00F24EF0"/>
    <w:rsid w:val="00F30B3E"/>
    <w:rsid w:val="00F31737"/>
    <w:rsid w:val="00F35DDE"/>
    <w:rsid w:val="00F420FB"/>
    <w:rsid w:val="00F42386"/>
    <w:rsid w:val="00F47B93"/>
    <w:rsid w:val="00F47E50"/>
    <w:rsid w:val="00F5154C"/>
    <w:rsid w:val="00F516CC"/>
    <w:rsid w:val="00F6493C"/>
    <w:rsid w:val="00F679C0"/>
    <w:rsid w:val="00F71596"/>
    <w:rsid w:val="00F74D00"/>
    <w:rsid w:val="00F74D01"/>
    <w:rsid w:val="00F758E4"/>
    <w:rsid w:val="00F8054D"/>
    <w:rsid w:val="00F815DD"/>
    <w:rsid w:val="00F81859"/>
    <w:rsid w:val="00F818E0"/>
    <w:rsid w:val="00F82640"/>
    <w:rsid w:val="00F82F79"/>
    <w:rsid w:val="00F8547F"/>
    <w:rsid w:val="00F945A8"/>
    <w:rsid w:val="00FB05E5"/>
    <w:rsid w:val="00FB3AD9"/>
    <w:rsid w:val="00FB7C58"/>
    <w:rsid w:val="00FC13E0"/>
    <w:rsid w:val="00FC6EA0"/>
    <w:rsid w:val="00FD0B58"/>
    <w:rsid w:val="00FD5E2C"/>
    <w:rsid w:val="00FE0013"/>
    <w:rsid w:val="00FE20BB"/>
    <w:rsid w:val="00FE21B9"/>
    <w:rsid w:val="00FE741E"/>
    <w:rsid w:val="00FF0A2C"/>
    <w:rsid w:val="00FF0FBA"/>
    <w:rsid w:val="00FF6B72"/>
    <w:rsid w:val="00FF6F69"/>
    <w:rsid w:val="019E2D20"/>
    <w:rsid w:val="01E70628"/>
    <w:rsid w:val="037D27CF"/>
    <w:rsid w:val="04802C31"/>
    <w:rsid w:val="05077CD2"/>
    <w:rsid w:val="052D7872"/>
    <w:rsid w:val="0817777E"/>
    <w:rsid w:val="08D17C54"/>
    <w:rsid w:val="0A4F2D42"/>
    <w:rsid w:val="0B3A0863"/>
    <w:rsid w:val="0BDC3238"/>
    <w:rsid w:val="0CE32A99"/>
    <w:rsid w:val="0DE40C30"/>
    <w:rsid w:val="0EE3263F"/>
    <w:rsid w:val="0F0466EA"/>
    <w:rsid w:val="0F3D28B6"/>
    <w:rsid w:val="1013001F"/>
    <w:rsid w:val="10246D4A"/>
    <w:rsid w:val="1044745B"/>
    <w:rsid w:val="132E7614"/>
    <w:rsid w:val="13325F6D"/>
    <w:rsid w:val="142807FE"/>
    <w:rsid w:val="15971620"/>
    <w:rsid w:val="159C20E6"/>
    <w:rsid w:val="16E909EF"/>
    <w:rsid w:val="18615AD2"/>
    <w:rsid w:val="18903FBA"/>
    <w:rsid w:val="19397A39"/>
    <w:rsid w:val="1997471A"/>
    <w:rsid w:val="1AF366F0"/>
    <w:rsid w:val="1D3169F1"/>
    <w:rsid w:val="1DB32949"/>
    <w:rsid w:val="1E90222D"/>
    <w:rsid w:val="1EB222C0"/>
    <w:rsid w:val="21B77E13"/>
    <w:rsid w:val="21BC11EA"/>
    <w:rsid w:val="21FA267B"/>
    <w:rsid w:val="22845ECD"/>
    <w:rsid w:val="23001A22"/>
    <w:rsid w:val="23BC3F8F"/>
    <w:rsid w:val="24087A34"/>
    <w:rsid w:val="2460498C"/>
    <w:rsid w:val="259C07CA"/>
    <w:rsid w:val="267D428B"/>
    <w:rsid w:val="27330F91"/>
    <w:rsid w:val="278946FF"/>
    <w:rsid w:val="2C734387"/>
    <w:rsid w:val="2D1F1F91"/>
    <w:rsid w:val="2ED33240"/>
    <w:rsid w:val="304A621D"/>
    <w:rsid w:val="32B17182"/>
    <w:rsid w:val="32F83CFF"/>
    <w:rsid w:val="330B00F5"/>
    <w:rsid w:val="347E129C"/>
    <w:rsid w:val="35806A30"/>
    <w:rsid w:val="35943125"/>
    <w:rsid w:val="36902F14"/>
    <w:rsid w:val="371A2788"/>
    <w:rsid w:val="38C84798"/>
    <w:rsid w:val="38FE6807"/>
    <w:rsid w:val="396252A3"/>
    <w:rsid w:val="396B48C7"/>
    <w:rsid w:val="3CC666AD"/>
    <w:rsid w:val="3CFC02AA"/>
    <w:rsid w:val="3D501447"/>
    <w:rsid w:val="3DF837AB"/>
    <w:rsid w:val="3E303356"/>
    <w:rsid w:val="3FFE17A7"/>
    <w:rsid w:val="401A1382"/>
    <w:rsid w:val="41823ACD"/>
    <w:rsid w:val="4188573A"/>
    <w:rsid w:val="420E66B0"/>
    <w:rsid w:val="428E24EF"/>
    <w:rsid w:val="44344B9F"/>
    <w:rsid w:val="44F20AFB"/>
    <w:rsid w:val="45BF2153"/>
    <w:rsid w:val="46070D27"/>
    <w:rsid w:val="46213C90"/>
    <w:rsid w:val="47845D6B"/>
    <w:rsid w:val="47DC1460"/>
    <w:rsid w:val="47FC79BC"/>
    <w:rsid w:val="48F17ED6"/>
    <w:rsid w:val="4A4B7317"/>
    <w:rsid w:val="4AA95F4D"/>
    <w:rsid w:val="4B76594D"/>
    <w:rsid w:val="4CE76FB5"/>
    <w:rsid w:val="4E4769A2"/>
    <w:rsid w:val="50F97D45"/>
    <w:rsid w:val="51640E60"/>
    <w:rsid w:val="52DD7C5E"/>
    <w:rsid w:val="540C31E5"/>
    <w:rsid w:val="54C90343"/>
    <w:rsid w:val="54C964D3"/>
    <w:rsid w:val="55A33641"/>
    <w:rsid w:val="569F0E93"/>
    <w:rsid w:val="570507AE"/>
    <w:rsid w:val="5938126A"/>
    <w:rsid w:val="593D338C"/>
    <w:rsid w:val="5A1B5A45"/>
    <w:rsid w:val="5AF10CFB"/>
    <w:rsid w:val="5C191B18"/>
    <w:rsid w:val="5C7919D4"/>
    <w:rsid w:val="5C842574"/>
    <w:rsid w:val="5EDF5236"/>
    <w:rsid w:val="5F9667AB"/>
    <w:rsid w:val="61CA641E"/>
    <w:rsid w:val="61DF0956"/>
    <w:rsid w:val="61F2035C"/>
    <w:rsid w:val="6237575E"/>
    <w:rsid w:val="64CE6DE6"/>
    <w:rsid w:val="65522F23"/>
    <w:rsid w:val="65FB31EA"/>
    <w:rsid w:val="67511E97"/>
    <w:rsid w:val="67B06B35"/>
    <w:rsid w:val="68CD377D"/>
    <w:rsid w:val="68D55A41"/>
    <w:rsid w:val="6976209F"/>
    <w:rsid w:val="6A971CE1"/>
    <w:rsid w:val="6ADF2402"/>
    <w:rsid w:val="6B060AFA"/>
    <w:rsid w:val="6BA12226"/>
    <w:rsid w:val="6CCF1CB8"/>
    <w:rsid w:val="6D682D50"/>
    <w:rsid w:val="6E5E34AC"/>
    <w:rsid w:val="6E67218A"/>
    <w:rsid w:val="6E8D5184"/>
    <w:rsid w:val="6EBF494A"/>
    <w:rsid w:val="6F6360B4"/>
    <w:rsid w:val="6F6F5DCD"/>
    <w:rsid w:val="70D96716"/>
    <w:rsid w:val="721B4013"/>
    <w:rsid w:val="72A80958"/>
    <w:rsid w:val="76C52039"/>
    <w:rsid w:val="773C309C"/>
    <w:rsid w:val="77706F1D"/>
    <w:rsid w:val="788D022D"/>
    <w:rsid w:val="79114A12"/>
    <w:rsid w:val="7947240E"/>
    <w:rsid w:val="79686D24"/>
    <w:rsid w:val="798E32A0"/>
    <w:rsid w:val="7A0A78F0"/>
    <w:rsid w:val="7BC2058A"/>
    <w:rsid w:val="7C2C60D6"/>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6"/>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1">
    <w:name w:val="Default Paragraph Font"/>
    <w:unhideWhenUsed/>
    <w:qFormat/>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4">
    <w:name w:val="Body Text Indent"/>
    <w:basedOn w:val="1"/>
    <w:link w:val="18"/>
    <w:qFormat/>
    <w:uiPriority w:val="0"/>
    <w:pPr>
      <w:ind w:firstLine="645"/>
    </w:pPr>
    <w:rPr>
      <w:rFonts w:ascii="仿宋_GB2312" w:hAnsi="Times New Roman" w:eastAsia="仿宋_GB2312" w:cs="Times New Roman"/>
      <w:kern w:val="0"/>
      <w:sz w:val="32"/>
      <w:szCs w:val="32"/>
    </w:rPr>
  </w:style>
  <w:style w:type="paragraph" w:styleId="5">
    <w:name w:val="footer"/>
    <w:basedOn w:val="1"/>
    <w:link w:val="15"/>
    <w:unhideWhenUsed/>
    <w:qFormat/>
    <w:uiPriority w:val="99"/>
    <w:pPr>
      <w:tabs>
        <w:tab w:val="center" w:pos="4153"/>
        <w:tab w:val="right" w:pos="8306"/>
      </w:tabs>
      <w:snapToGrid w:val="0"/>
      <w:jc w:val="left"/>
    </w:pPr>
    <w:rPr>
      <w:sz w:val="18"/>
    </w:rPr>
  </w:style>
  <w:style w:type="paragraph" w:styleId="6">
    <w:name w:val="header"/>
    <w:basedOn w:val="1"/>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toc 1"/>
    <w:basedOn w:val="1"/>
    <w:next w:val="1"/>
    <w:unhideWhenUsed/>
    <w:qFormat/>
    <w:uiPriority w:val="39"/>
  </w:style>
  <w:style w:type="paragraph" w:styleId="8">
    <w:name w:val="toc 2"/>
    <w:basedOn w:val="1"/>
    <w:next w:val="1"/>
    <w:unhideWhenUsed/>
    <w:qFormat/>
    <w:uiPriority w:val="39"/>
    <w:pPr>
      <w:ind w:left="420" w:leftChars="200"/>
    </w:p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unhideWhenUsed/>
    <w:qFormat/>
    <w:uiPriority w:val="99"/>
    <w:rPr>
      <w:color w:val="0000FF" w:themeColor="hyperlink"/>
      <w:u w:val="single"/>
    </w:rPr>
  </w:style>
  <w:style w:type="paragraph" w:customStyle="1" w:styleId="13">
    <w:name w:val="WPSOffice手动目录 1"/>
    <w:qFormat/>
    <w:uiPriority w:val="0"/>
    <w:rPr>
      <w:rFonts w:asciiTheme="minorHAnsi" w:hAnsiTheme="minorHAnsi" w:eastAsiaTheme="minorEastAsia" w:cstheme="minorBidi"/>
      <w:lang w:val="en-US" w:eastAsia="zh-CN" w:bidi="ar-SA"/>
    </w:rPr>
  </w:style>
  <w:style w:type="paragraph" w:customStyle="1" w:styleId="14">
    <w:name w:val="WPSOffice手动目录 2"/>
    <w:qFormat/>
    <w:uiPriority w:val="0"/>
    <w:pPr>
      <w:ind w:left="200" w:leftChars="200"/>
    </w:pPr>
    <w:rPr>
      <w:rFonts w:asciiTheme="minorHAnsi" w:hAnsiTheme="minorHAnsi" w:eastAsiaTheme="minorEastAsia" w:cstheme="minorBidi"/>
      <w:lang w:val="en-US" w:eastAsia="zh-CN" w:bidi="ar-SA"/>
    </w:rPr>
  </w:style>
  <w:style w:type="character" w:customStyle="1" w:styleId="15">
    <w:name w:val="页脚 字符"/>
    <w:basedOn w:val="11"/>
    <w:link w:val="5"/>
    <w:qFormat/>
    <w:uiPriority w:val="99"/>
    <w:rPr>
      <w:kern w:val="2"/>
      <w:sz w:val="18"/>
      <w:szCs w:val="22"/>
    </w:rPr>
  </w:style>
  <w:style w:type="character" w:customStyle="1" w:styleId="16">
    <w:name w:val="标题 2 字符"/>
    <w:basedOn w:val="11"/>
    <w:link w:val="3"/>
    <w:qFormat/>
    <w:uiPriority w:val="0"/>
    <w:rPr>
      <w:rFonts w:asciiTheme="majorHAnsi" w:hAnsiTheme="majorHAnsi" w:eastAsiaTheme="majorEastAsia" w:cstheme="majorBidi"/>
      <w:b/>
      <w:bCs/>
      <w:kern w:val="2"/>
      <w:sz w:val="32"/>
      <w:szCs w:val="32"/>
    </w:rPr>
  </w:style>
  <w:style w:type="character" w:customStyle="1" w:styleId="17">
    <w:name w:val="标题 1 字符"/>
    <w:link w:val="2"/>
    <w:qFormat/>
    <w:uiPriority w:val="9"/>
    <w:rPr>
      <w:b/>
      <w:bCs/>
      <w:kern w:val="44"/>
      <w:sz w:val="44"/>
      <w:szCs w:val="44"/>
    </w:rPr>
  </w:style>
  <w:style w:type="character" w:customStyle="1" w:styleId="18">
    <w:name w:val="正文文本缩进 字符"/>
    <w:basedOn w:val="11"/>
    <w:link w:val="4"/>
    <w:qFormat/>
    <w:uiPriority w:val="0"/>
    <w:rPr>
      <w:rFonts w:ascii="仿宋_GB2312" w:hAnsi="Times New Roman" w:eastAsia="仿宋_GB2312" w:cs="Times New Roman"/>
      <w:sz w:val="32"/>
      <w:szCs w:val="32"/>
    </w:rPr>
  </w:style>
  <w:style w:type="paragraph" w:customStyle="1" w:styleId="19">
    <w:name w:val="列出段落1"/>
    <w:basedOn w:val="1"/>
    <w:qFormat/>
    <w:uiPriority w:val="0"/>
    <w:pPr>
      <w:ind w:firstLine="420" w:firstLineChars="200"/>
    </w:pPr>
    <w:rPr>
      <w:rFonts w:ascii="Calibri" w:hAnsi="Calibri" w:eastAsia="仿宋_GB2312" w:cs="Times New Roman"/>
      <w:sz w:val="28"/>
    </w:rPr>
  </w:style>
  <w:style w:type="paragraph" w:styleId="20">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30"/>
    <customShpInfo spid="_x0000_s1029"/>
    <customShpInfo spid="_x0000_s1028"/>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0519C98-AD6C-4BC8-A755-DFEC81B07FD5}">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37</Pages>
  <Words>8009</Words>
  <Characters>9140</Characters>
  <Lines>74</Lines>
  <Paragraphs>21</Paragraphs>
  <TotalTime>0</TotalTime>
  <ScaleCrop>false</ScaleCrop>
  <LinksUpToDate>false</LinksUpToDate>
  <CharactersWithSpaces>10150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2021-05-12T07:09:00Z</dcterms:created>
  <dc:creator>kjq</dc:creator>
  <cp:lastModifiedBy>Sen-男</cp:lastModifiedBy>
  <cp:lastPrinted>2021-04-13T02:33:00Z</cp:lastPrinted>
  <dcterms:modified xsi:type="dcterms:W3CDTF">2023-05-17T06:41:44Z</dcterms:modified>
  <cp:revision>804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16A718C0670940F9ADDB0E06361CE6A5</vt:lpwstr>
  </property>
</Properties>
</file>