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DA" w:rsidRDefault="00E1232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958DA" w:rsidRDefault="00E1232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（2022 年度）</w:t>
      </w:r>
    </w:p>
    <w:tbl>
      <w:tblPr>
        <w:tblW w:w="5000" w:type="pct"/>
        <w:tblLayout w:type="fixed"/>
        <w:tblLook w:val="04A0"/>
      </w:tblPr>
      <w:tblGrid>
        <w:gridCol w:w="443"/>
        <w:gridCol w:w="694"/>
        <w:gridCol w:w="735"/>
        <w:gridCol w:w="658"/>
        <w:gridCol w:w="433"/>
        <w:gridCol w:w="727"/>
        <w:gridCol w:w="1549"/>
        <w:gridCol w:w="765"/>
        <w:gridCol w:w="2097"/>
        <w:gridCol w:w="549"/>
        <w:gridCol w:w="549"/>
        <w:gridCol w:w="265"/>
        <w:gridCol w:w="658"/>
      </w:tblGrid>
      <w:tr w:rsidR="00B958DA" w:rsidRPr="00C3340C" w:rsidTr="00C3340C">
        <w:trPr>
          <w:trHeight w:hRule="exact" w:val="510"/>
        </w:trPr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43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医疗保险信息系统</w:t>
            </w:r>
            <w:r w:rsidRPr="00C3340C">
              <w:rPr>
                <w:rFonts w:ascii="宋体" w:hAnsi="宋体" w:cs="宋体" w:hint="eastAsia"/>
                <w:color w:val="000000"/>
                <w:sz w:val="18"/>
                <w:szCs w:val="18"/>
              </w:rPr>
              <w:t>运行维护经费</w:t>
            </w:r>
          </w:p>
        </w:tc>
      </w:tr>
      <w:tr w:rsidR="00B958DA" w:rsidRPr="00C3340C" w:rsidTr="00C3340C">
        <w:trPr>
          <w:trHeight w:hRule="exact" w:val="510"/>
        </w:trPr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北京市医疗保障局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hAnsi="宋体" w:cs="宋体" w:hint="eastAsia"/>
                <w:color w:val="000000"/>
                <w:sz w:val="18"/>
                <w:szCs w:val="18"/>
              </w:rPr>
              <w:t>网信专班</w:t>
            </w:r>
          </w:p>
        </w:tc>
      </w:tr>
      <w:tr w:rsidR="00B958DA" w:rsidRPr="00C3340C" w:rsidTr="00C3340C">
        <w:trPr>
          <w:trHeight w:hRule="exact" w:val="510"/>
        </w:trPr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0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王立刚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9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891525</w:t>
            </w: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58</w:t>
            </w:r>
          </w:p>
        </w:tc>
      </w:tr>
      <w:tr w:rsidR="00B958DA" w:rsidRPr="00C3340C" w:rsidTr="00C3340C">
        <w:trPr>
          <w:trHeight w:hRule="exact" w:val="567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958DA" w:rsidRPr="00C3340C" w:rsidTr="00C3340C">
        <w:trPr>
          <w:trHeight w:hRule="exact" w:val="1453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hAnsi="宋体" w:cs="宋体"/>
                <w:color w:val="000000"/>
                <w:sz w:val="18"/>
                <w:szCs w:val="18"/>
              </w:rPr>
              <w:t>4800.549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 w:rsidP="007F0E4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4441.210429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4441.070429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10.00</w:t>
            </w:r>
          </w:p>
        </w:tc>
      </w:tr>
      <w:tr w:rsidR="00B958DA" w:rsidRPr="00C3340C" w:rsidTr="00C3340C">
        <w:trPr>
          <w:trHeight w:hRule="exact" w:val="1414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hAnsi="宋体" w:cs="宋体"/>
                <w:color w:val="000000"/>
                <w:sz w:val="18"/>
                <w:szCs w:val="18"/>
              </w:rPr>
              <w:t>4800.549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 w:rsidP="007F0E4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4441.210429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4441.070429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958DA" w:rsidRPr="00C3340C" w:rsidTr="00C3340C">
        <w:trPr>
          <w:trHeight w:hRule="exact" w:val="454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958DA" w:rsidRPr="00C3340C" w:rsidTr="00C3340C">
        <w:trPr>
          <w:trHeight w:hRule="exact" w:val="454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958DA" w:rsidRPr="00C3340C" w:rsidTr="00C3340C">
        <w:trPr>
          <w:trHeight w:hRule="exact" w:val="510"/>
        </w:trPr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3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4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958DA" w:rsidRPr="00C3340C" w:rsidTr="00C3340C">
        <w:trPr>
          <w:trHeight w:hRule="exact" w:val="2429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年度目标：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目标1：根据政策要求及时调整软件应用系统功能，以保证为参保用户创造更便捷的医保信息服务。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目标2：通过现场技术服务和呼叫热线服务等方式，提供设备维护、技术培训、故障处理服务。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目标3：加强对医保系统主机服务器及数据库处理能力的性能提升和优化，保证医保业务数据处理速度，保障医保系统的稳定运行，形成在线系统与容灾系统双保险机制。</w:t>
            </w:r>
          </w:p>
        </w:tc>
        <w:tc>
          <w:tcPr>
            <w:tcW w:w="24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根据政策要求及时调整了软件应用系统功能，以保证为参保用户创造更便捷的医保信息服务。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通过现场技术服务和呼叫热线服务等方式，提供设备维护、技术培训、故障处理服务。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加强了对医保系统主机服务器及数据库处理能力的性能提升和优化，保证医保业务数据处理速度，保障医保系统的稳定运行，形成在线系统与容灾系统双保险机制。</w:t>
            </w:r>
          </w:p>
        </w:tc>
      </w:tr>
      <w:tr w:rsidR="00B958DA" w:rsidRPr="00C3340C" w:rsidTr="00C3340C">
        <w:trPr>
          <w:cantSplit/>
          <w:trHeight w:hRule="exact" w:val="777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硬件采维护数量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≥2400台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2457台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（首信2444台；中远海运13台）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软件维护数量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≥2400套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2432套</w:t>
            </w:r>
          </w:p>
          <w:p w:rsidR="00B958DA" w:rsidRPr="00C3340C" w:rsidRDefault="00E1232B">
            <w:pPr>
              <w:widowControl/>
              <w:spacing w:line="240" w:lineRule="exac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（首信2431套；中远海运1套）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运维系统数量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8个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8个</w:t>
            </w:r>
          </w:p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（首信8个；中远海运1个）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系统验收合格率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100%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系统正常运行率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≥95%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服务请求响应率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≥98%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98.64%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故障排除率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≥95%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最大月故障中断时间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≤175分钟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0分钟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trike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2021年度项目验收时间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2022年3月前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2022年1月25日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85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2023年度项目采购时间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jc w:val="left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2022年12月前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kern w:val="0"/>
                <w:sz w:val="18"/>
                <w:szCs w:val="18"/>
              </w:rPr>
              <w:t>2022年10月27日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111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项目成本控制在4441.210429万元以内，其中2021医保系统运维项目尾款468.97万元，2023医保系统运维项目首款3972.240429万元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4441.070429万元，其中2021医保系统运维项目尾款468.83万元，2023医保系统运维项目首款3972.240429万元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2084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社会效益及可持续影响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通过项目实施，保障项目基础设施、软件硬件正常运转，为业务开展提供支撑，提高工作效率，提升北京市医疗保障局对外服务能力、声誉及影响力。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789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系统使用人员满意度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C3340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≥</w:t>
            </w:r>
            <w:r w:rsidRPr="00C3340C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90%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Theme="minorEastAsia" w:hAnsiTheme="minorEastAsia" w:cstheme="minorEastAsia" w:hint="eastAsia"/>
                <w:sz w:val="18"/>
                <w:szCs w:val="18"/>
              </w:rPr>
              <w:t>96.14%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958DA" w:rsidRPr="00C3340C" w:rsidTr="00C3340C">
        <w:trPr>
          <w:trHeight w:hRule="exact" w:val="477"/>
        </w:trPr>
        <w:tc>
          <w:tcPr>
            <w:tcW w:w="40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E12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334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100.00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8DA" w:rsidRPr="00C3340C" w:rsidRDefault="00B958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B958DA" w:rsidRDefault="00B958D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B958DA" w:rsidRDefault="00B958DA">
      <w:pPr>
        <w:rPr>
          <w:rFonts w:ascii="仿宋_GB2312" w:eastAsia="仿宋_GB2312"/>
          <w:vanish/>
          <w:sz w:val="32"/>
          <w:szCs w:val="32"/>
        </w:rPr>
      </w:pPr>
    </w:p>
    <w:p w:rsidR="00B958DA" w:rsidRDefault="00B958DA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958DA" w:rsidSect="00B958DA">
      <w:pgSz w:w="11906" w:h="16838"/>
      <w:pgMar w:top="1440" w:right="1040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81B" w:rsidRDefault="0057781B" w:rsidP="00C3340C">
      <w:r>
        <w:separator/>
      </w:r>
    </w:p>
  </w:endnote>
  <w:endnote w:type="continuationSeparator" w:id="1">
    <w:p w:rsidR="0057781B" w:rsidRDefault="0057781B" w:rsidP="00C33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81B" w:rsidRDefault="0057781B" w:rsidP="00C3340C">
      <w:r>
        <w:separator/>
      </w:r>
    </w:p>
  </w:footnote>
  <w:footnote w:type="continuationSeparator" w:id="1">
    <w:p w:rsidR="0057781B" w:rsidRDefault="0057781B" w:rsidP="00C334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E2NTQzZDdiNTBmZGNkMjJkNzMyZjgyN2U4MTg0NTgifQ=="/>
  </w:docVars>
  <w:rsids>
    <w:rsidRoot w:val="00B958DA"/>
    <w:rsid w:val="003B6D23"/>
    <w:rsid w:val="004347F5"/>
    <w:rsid w:val="0045368A"/>
    <w:rsid w:val="0057781B"/>
    <w:rsid w:val="0069516E"/>
    <w:rsid w:val="007F0E41"/>
    <w:rsid w:val="00B958DA"/>
    <w:rsid w:val="00C3340C"/>
    <w:rsid w:val="00E1232B"/>
    <w:rsid w:val="01623A12"/>
    <w:rsid w:val="045768E7"/>
    <w:rsid w:val="04E376A2"/>
    <w:rsid w:val="07A024F9"/>
    <w:rsid w:val="099F7A3A"/>
    <w:rsid w:val="0E4271D1"/>
    <w:rsid w:val="11FB1926"/>
    <w:rsid w:val="122358D1"/>
    <w:rsid w:val="133B3709"/>
    <w:rsid w:val="15C24C52"/>
    <w:rsid w:val="1774760B"/>
    <w:rsid w:val="186757FF"/>
    <w:rsid w:val="1B1E2A01"/>
    <w:rsid w:val="1D2B65CE"/>
    <w:rsid w:val="1EAE625C"/>
    <w:rsid w:val="20AA122E"/>
    <w:rsid w:val="20C45C06"/>
    <w:rsid w:val="22A73F6E"/>
    <w:rsid w:val="274E68CF"/>
    <w:rsid w:val="28621E35"/>
    <w:rsid w:val="2A2658E2"/>
    <w:rsid w:val="31BB74DA"/>
    <w:rsid w:val="31CE5713"/>
    <w:rsid w:val="360F7B72"/>
    <w:rsid w:val="381C54BD"/>
    <w:rsid w:val="3D0D77A4"/>
    <w:rsid w:val="43954618"/>
    <w:rsid w:val="46242FDD"/>
    <w:rsid w:val="475C623E"/>
    <w:rsid w:val="4A036E24"/>
    <w:rsid w:val="4B403F34"/>
    <w:rsid w:val="4E1F4272"/>
    <w:rsid w:val="4EDF237F"/>
    <w:rsid w:val="527C2485"/>
    <w:rsid w:val="527F4BC1"/>
    <w:rsid w:val="53DC6131"/>
    <w:rsid w:val="541C45DB"/>
    <w:rsid w:val="54F947B1"/>
    <w:rsid w:val="5FFE1F39"/>
    <w:rsid w:val="601A5712"/>
    <w:rsid w:val="608B58E7"/>
    <w:rsid w:val="64A21774"/>
    <w:rsid w:val="66CD561A"/>
    <w:rsid w:val="68E40C6F"/>
    <w:rsid w:val="6D5A137B"/>
    <w:rsid w:val="6FC05BA7"/>
    <w:rsid w:val="749A4364"/>
    <w:rsid w:val="75412B9C"/>
    <w:rsid w:val="755B470C"/>
    <w:rsid w:val="768537A4"/>
    <w:rsid w:val="76D33CC8"/>
    <w:rsid w:val="78765B8F"/>
    <w:rsid w:val="7A3C29EF"/>
    <w:rsid w:val="7C013B46"/>
    <w:rsid w:val="7C3569D8"/>
    <w:rsid w:val="7CE86B63"/>
    <w:rsid w:val="7DBD4DB2"/>
    <w:rsid w:val="7E803C11"/>
    <w:rsid w:val="9ABFD80D"/>
    <w:rsid w:val="BF7A6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958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B958DA"/>
    <w:pPr>
      <w:spacing w:after="120"/>
    </w:pPr>
    <w:rPr>
      <w:rFonts w:ascii="Calibri" w:eastAsia="宋体" w:hAnsi="Calibri"/>
    </w:rPr>
  </w:style>
  <w:style w:type="paragraph" w:styleId="a4">
    <w:name w:val="annotation text"/>
    <w:basedOn w:val="a"/>
    <w:uiPriority w:val="99"/>
    <w:semiHidden/>
    <w:unhideWhenUsed/>
    <w:qFormat/>
    <w:rsid w:val="00B958DA"/>
    <w:pPr>
      <w:jc w:val="left"/>
    </w:pPr>
  </w:style>
  <w:style w:type="paragraph" w:styleId="a5">
    <w:name w:val="footer"/>
    <w:basedOn w:val="a"/>
    <w:qFormat/>
    <w:rsid w:val="00B958D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annotation reference"/>
    <w:basedOn w:val="a1"/>
    <w:uiPriority w:val="99"/>
    <w:semiHidden/>
    <w:unhideWhenUsed/>
    <w:qFormat/>
    <w:rsid w:val="00B958DA"/>
    <w:rPr>
      <w:sz w:val="21"/>
      <w:szCs w:val="21"/>
    </w:rPr>
  </w:style>
  <w:style w:type="paragraph" w:styleId="a7">
    <w:name w:val="header"/>
    <w:basedOn w:val="a"/>
    <w:link w:val="Char"/>
    <w:rsid w:val="00C33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C3340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1210</Characters>
  <Application>Microsoft Office Word</Application>
  <DocSecurity>0</DocSecurity>
  <Lines>10</Lines>
  <Paragraphs>2</Paragraphs>
  <ScaleCrop>false</ScaleCrop>
  <Company>Lenovo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</dc:creator>
  <cp:lastModifiedBy>kjq</cp:lastModifiedBy>
  <cp:revision>4</cp:revision>
  <dcterms:created xsi:type="dcterms:W3CDTF">2023-04-18T08:25:00Z</dcterms:created>
  <dcterms:modified xsi:type="dcterms:W3CDTF">2023-04-24T10:01:00Z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07E34BA6602D4246AF130D9EE745540A</vt:lpwstr>
  </property>
</Properties>
</file>