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A6" w:rsidRDefault="00AE468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768A6" w:rsidRDefault="00AE4688" w:rsidP="0016117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tbl>
      <w:tblPr>
        <w:tblpPr w:leftFromText="180" w:rightFromText="180" w:vertAnchor="text" w:horzAnchor="page" w:tblpX="1530" w:tblpY="654"/>
        <w:tblOverlap w:val="never"/>
        <w:tblW w:w="9038" w:type="dxa"/>
        <w:tblLayout w:type="fixed"/>
        <w:tblLook w:val="04A0"/>
      </w:tblPr>
      <w:tblGrid>
        <w:gridCol w:w="585"/>
        <w:gridCol w:w="717"/>
        <w:gridCol w:w="1110"/>
        <w:gridCol w:w="375"/>
        <w:gridCol w:w="1275"/>
        <w:gridCol w:w="165"/>
        <w:gridCol w:w="1136"/>
        <w:gridCol w:w="1136"/>
        <w:gridCol w:w="279"/>
        <w:gridCol w:w="284"/>
        <w:gridCol w:w="420"/>
        <w:gridCol w:w="328"/>
        <w:gridCol w:w="518"/>
        <w:gridCol w:w="710"/>
      </w:tblGrid>
      <w:tr w:rsidR="00D768A6">
        <w:trPr>
          <w:trHeight w:hRule="exact" w:val="306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《医疗保障基金使用监督管理条例》暨执法案例培训服务经费</w:t>
            </w:r>
          </w:p>
        </w:tc>
      </w:tr>
      <w:tr w:rsidR="00D768A6">
        <w:trPr>
          <w:trHeight w:hRule="exact" w:val="306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医保执法总队</w:t>
            </w:r>
          </w:p>
        </w:tc>
      </w:tr>
      <w:tr w:rsidR="00D768A6">
        <w:trPr>
          <w:trHeight w:hRule="exact" w:val="306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康敬然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59904865</w:t>
            </w:r>
          </w:p>
        </w:tc>
      </w:tr>
      <w:tr w:rsidR="00D768A6">
        <w:trPr>
          <w:trHeight w:hRule="exact" w:val="567"/>
        </w:trPr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D768A6">
        <w:trPr>
          <w:trHeight w:hRule="exact" w:val="628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55.812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5.812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0.105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1.81%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0.18</w:t>
            </w:r>
          </w:p>
        </w:tc>
      </w:tr>
      <w:tr w:rsidR="00D768A6">
        <w:trPr>
          <w:trHeight w:hRule="exact" w:val="674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55.812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5.812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0.105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768A6">
        <w:trPr>
          <w:trHeight w:hRule="exact" w:val="378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768A6">
        <w:trPr>
          <w:trHeight w:hRule="exact" w:val="326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D768A6">
        <w:trPr>
          <w:trHeight w:hRule="exact" w:val="363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768A6">
        <w:trPr>
          <w:trHeight w:hRule="exact" w:val="151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通过组织开展相关培训，提高全市定点医疗机构对医保基金的安全使用认识，增强行政执法人员的业务能力及综合素养。</w:t>
            </w:r>
          </w:p>
        </w:tc>
        <w:tc>
          <w:tcPr>
            <w:tcW w:w="36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4C4627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为落实防疫政策</w:t>
            </w:r>
            <w:r w:rsidR="00AE4688">
              <w:rPr>
                <w:rFonts w:ascii="宋体" w:eastAsia="宋体" w:hAnsi="宋体" w:cs="宋体" w:hint="eastAsia"/>
                <w:kern w:val="0"/>
                <w:szCs w:val="21"/>
              </w:rPr>
              <w:t>，无法开展线下培训，于22年4月针对全市二、三级定点医疗机构开展线上培训一次，支出讲课费0.105万元，并通知全市17个区针对辖区内一级及以下定点医疗机构开展线上培训。共调减预算50万元。</w:t>
            </w:r>
          </w:p>
        </w:tc>
      </w:tr>
      <w:tr w:rsidR="00D768A6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768A6">
        <w:trPr>
          <w:trHeight w:hRule="exact" w:val="55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指标1：培训班次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18次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44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指标2：培训人数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≥7200人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8000余人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44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指标3：培训天数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9天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43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指标4：课程数量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≥2门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585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指标1：制定培训计划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9月底前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56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指标2：确定培训时间、地点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9月底前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44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指标3：开展培训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10月底前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65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指标1：预算项目控制数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≤55.812万元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0.105万元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82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指标1：行政执法综合能力得到提升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891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指标1：参训人员满意度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768A6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AE46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highlight w:val="yellow"/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90.18</w:t>
            </w:r>
            <w:bookmarkEnd w:id="0"/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68A6" w:rsidRDefault="00D768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D768A6" w:rsidRDefault="00D768A6" w:rsidP="00161173">
      <w:pPr>
        <w:spacing w:line="560" w:lineRule="exact"/>
        <w:jc w:val="center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D768A6" w:rsidSect="00D76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EC8" w:rsidRDefault="00CB3EC8" w:rsidP="00D768A6">
      <w:r>
        <w:separator/>
      </w:r>
    </w:p>
  </w:endnote>
  <w:endnote w:type="continuationSeparator" w:id="1">
    <w:p w:rsidR="00CB3EC8" w:rsidRDefault="00CB3EC8" w:rsidP="00D76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3" w:rsidRDefault="0016117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A6" w:rsidRDefault="00FF409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 filled="f" stroked="f" strokeweight=".5pt">
          <v:textbox style="mso-fit-shape-to-text:t" inset="0,0,0,0">
            <w:txbxContent>
              <w:p w:rsidR="00D768A6" w:rsidRDefault="00FF4098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AE4688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AE4688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A6" w:rsidRDefault="00FF409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 filled="f" stroked="f" strokeweight=".5pt">
          <v:textbox style="mso-fit-shape-to-text:t" inset="0,0,0,0">
            <w:txbxContent>
              <w:p w:rsidR="00D768A6" w:rsidRDefault="00D768A6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EC8" w:rsidRDefault="00CB3EC8" w:rsidP="00D768A6">
      <w:r>
        <w:separator/>
      </w:r>
    </w:p>
  </w:footnote>
  <w:footnote w:type="continuationSeparator" w:id="1">
    <w:p w:rsidR="00CB3EC8" w:rsidRDefault="00CB3EC8" w:rsidP="00D76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3" w:rsidRDefault="001611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3" w:rsidRDefault="0016117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3" w:rsidRDefault="0016117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YzYTgxNjAwMDgyZTVmOWFiNjZiNTA0ZjFlYjI4Y2EifQ=="/>
  </w:docVars>
  <w:rsids>
    <w:rsidRoot w:val="00D768A6"/>
    <w:rsid w:val="EC7EBF3A"/>
    <w:rsid w:val="EFAF54AB"/>
    <w:rsid w:val="EFBFBDCF"/>
    <w:rsid w:val="F3FDFEA8"/>
    <w:rsid w:val="F538DCE7"/>
    <w:rsid w:val="F7D7418A"/>
    <w:rsid w:val="F7F35F69"/>
    <w:rsid w:val="F7FFECA3"/>
    <w:rsid w:val="FBEA792F"/>
    <w:rsid w:val="FDAB66E2"/>
    <w:rsid w:val="FE794C3E"/>
    <w:rsid w:val="FEF55D3E"/>
    <w:rsid w:val="FF399032"/>
    <w:rsid w:val="FF783AD1"/>
    <w:rsid w:val="00161173"/>
    <w:rsid w:val="004C4627"/>
    <w:rsid w:val="00AE4688"/>
    <w:rsid w:val="00CB3EC8"/>
    <w:rsid w:val="00D768A6"/>
    <w:rsid w:val="00FF4098"/>
    <w:rsid w:val="17DD1E2F"/>
    <w:rsid w:val="1F3C3CA9"/>
    <w:rsid w:val="21E27D5B"/>
    <w:rsid w:val="3537D635"/>
    <w:rsid w:val="37FF6850"/>
    <w:rsid w:val="3EFEA0D5"/>
    <w:rsid w:val="4DFFDE36"/>
    <w:rsid w:val="55C845DA"/>
    <w:rsid w:val="579FC9B3"/>
    <w:rsid w:val="5AFBED47"/>
    <w:rsid w:val="5D760808"/>
    <w:rsid w:val="5E67250F"/>
    <w:rsid w:val="5F5CD534"/>
    <w:rsid w:val="5F7FB086"/>
    <w:rsid w:val="5FEFCAB5"/>
    <w:rsid w:val="5FFF4234"/>
    <w:rsid w:val="65736BA6"/>
    <w:rsid w:val="67FF563A"/>
    <w:rsid w:val="6AEE0389"/>
    <w:rsid w:val="6B8B1113"/>
    <w:rsid w:val="6D6C557B"/>
    <w:rsid w:val="6DFB221F"/>
    <w:rsid w:val="6E8FA381"/>
    <w:rsid w:val="6EE27DFC"/>
    <w:rsid w:val="6EEBE936"/>
    <w:rsid w:val="6F190D49"/>
    <w:rsid w:val="6F5D18A7"/>
    <w:rsid w:val="6F6FC577"/>
    <w:rsid w:val="6FE78C22"/>
    <w:rsid w:val="6FFD501D"/>
    <w:rsid w:val="77DEAF8D"/>
    <w:rsid w:val="77FF8016"/>
    <w:rsid w:val="78B97659"/>
    <w:rsid w:val="7AEB8DCB"/>
    <w:rsid w:val="7EEB2FEA"/>
    <w:rsid w:val="7FB680AE"/>
    <w:rsid w:val="7FBB60F9"/>
    <w:rsid w:val="7FEF8405"/>
    <w:rsid w:val="7FF22199"/>
    <w:rsid w:val="7FFE8EFB"/>
    <w:rsid w:val="7FFFFC84"/>
    <w:rsid w:val="9ADD9AA0"/>
    <w:rsid w:val="ABDE22F6"/>
    <w:rsid w:val="AF7458B4"/>
    <w:rsid w:val="B93AFE88"/>
    <w:rsid w:val="BA7B23C6"/>
    <w:rsid w:val="BD777447"/>
    <w:rsid w:val="BEDFD2E3"/>
    <w:rsid w:val="CCB78206"/>
    <w:rsid w:val="DC37E72D"/>
    <w:rsid w:val="DEFBD86F"/>
    <w:rsid w:val="E6E525AF"/>
    <w:rsid w:val="E7FEE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768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D768A6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D768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768A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D768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741</Characters>
  <Application>Microsoft Office Word</Application>
  <DocSecurity>0</DocSecurity>
  <Lines>6</Lines>
  <Paragraphs>1</Paragraphs>
  <ScaleCrop>false</ScaleCrop>
  <Company>Lenovo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3</cp:revision>
  <dcterms:created xsi:type="dcterms:W3CDTF">2021-09-09T14:11:00Z</dcterms:created>
  <dcterms:modified xsi:type="dcterms:W3CDTF">2023-05-17T08:26:00Z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6DB9506786E848969C3ACCCEFF24F352_12</vt:lpwstr>
  </property>
</Properties>
</file>