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152" w:rsidRDefault="00072C78">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A21152" w:rsidRDefault="00072C78">
      <w:pPr>
        <w:spacing w:line="480" w:lineRule="exact"/>
        <w:jc w:val="center"/>
        <w:rPr>
          <w:rFonts w:ascii="仿宋_GB2312" w:eastAsia="仿宋_GB2312" w:hAnsi="宋体"/>
          <w:sz w:val="28"/>
          <w:szCs w:val="28"/>
        </w:rPr>
      </w:pPr>
      <w:r>
        <w:rPr>
          <w:rFonts w:ascii="宋体" w:eastAsia="宋体" w:hAnsi="宋体" w:cs="宋体" w:hint="eastAsia"/>
          <w:sz w:val="28"/>
          <w:szCs w:val="28"/>
        </w:rPr>
        <w:t>（2022 年度）</w:t>
      </w:r>
    </w:p>
    <w:tbl>
      <w:tblPr>
        <w:tblW w:w="5000" w:type="pct"/>
        <w:tblLayout w:type="fixed"/>
        <w:tblLook w:val="04A0"/>
      </w:tblPr>
      <w:tblGrid>
        <w:gridCol w:w="416"/>
        <w:gridCol w:w="445"/>
        <w:gridCol w:w="482"/>
        <w:gridCol w:w="476"/>
        <w:gridCol w:w="338"/>
        <w:gridCol w:w="1192"/>
        <w:gridCol w:w="870"/>
        <w:gridCol w:w="709"/>
        <w:gridCol w:w="1844"/>
        <w:gridCol w:w="1273"/>
        <w:gridCol w:w="994"/>
        <w:gridCol w:w="1083"/>
      </w:tblGrid>
      <w:tr w:rsidR="00A21152" w:rsidRPr="00DC7118" w:rsidTr="00DC7118">
        <w:trPr>
          <w:trHeight w:hRule="exact" w:val="510"/>
        </w:trPr>
        <w:tc>
          <w:tcPr>
            <w:tcW w:w="425" w:type="pct"/>
            <w:gridSpan w:val="2"/>
            <w:tcBorders>
              <w:top w:val="single" w:sz="4" w:space="0" w:color="auto"/>
              <w:left w:val="single" w:sz="4" w:space="0" w:color="auto"/>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bookmarkStart w:id="0" w:name="_GoBack"/>
            <w:r w:rsidRPr="00DC7118">
              <w:rPr>
                <w:rFonts w:asciiTheme="minorEastAsia" w:hAnsiTheme="minorEastAsia" w:cstheme="minorEastAsia" w:hint="eastAsia"/>
                <w:kern w:val="0"/>
                <w:sz w:val="18"/>
                <w:szCs w:val="18"/>
              </w:rPr>
              <w:t>项目名称</w:t>
            </w:r>
          </w:p>
        </w:tc>
        <w:tc>
          <w:tcPr>
            <w:tcW w:w="4575" w:type="pct"/>
            <w:gridSpan w:val="10"/>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医疗保险门诊结算运行维护服务</w:t>
            </w:r>
          </w:p>
        </w:tc>
      </w:tr>
      <w:tr w:rsidR="00A21152" w:rsidRPr="00DC7118" w:rsidTr="00DC7118">
        <w:trPr>
          <w:trHeight w:hRule="exact" w:val="510"/>
        </w:trPr>
        <w:tc>
          <w:tcPr>
            <w:tcW w:w="425" w:type="pct"/>
            <w:gridSpan w:val="2"/>
            <w:tcBorders>
              <w:top w:val="single" w:sz="4" w:space="0" w:color="auto"/>
              <w:left w:val="single" w:sz="4" w:space="0" w:color="auto"/>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主管部门</w:t>
            </w:r>
          </w:p>
        </w:tc>
        <w:tc>
          <w:tcPr>
            <w:tcW w:w="1659" w:type="pct"/>
            <w:gridSpan w:val="5"/>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北京市医疗保障局</w:t>
            </w:r>
          </w:p>
        </w:tc>
        <w:tc>
          <w:tcPr>
            <w:tcW w:w="1261" w:type="pct"/>
            <w:gridSpan w:val="2"/>
            <w:tcBorders>
              <w:top w:val="nil"/>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实施单位</w:t>
            </w:r>
          </w:p>
        </w:tc>
        <w:tc>
          <w:tcPr>
            <w:tcW w:w="1655" w:type="pct"/>
            <w:gridSpan w:val="3"/>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color w:val="000000"/>
                <w:sz w:val="18"/>
                <w:szCs w:val="18"/>
              </w:rPr>
              <w:t>网信专班</w:t>
            </w:r>
          </w:p>
        </w:tc>
      </w:tr>
      <w:tr w:rsidR="00A21152" w:rsidRPr="00DC7118" w:rsidTr="00DC7118">
        <w:trPr>
          <w:trHeight w:hRule="exact" w:val="510"/>
        </w:trPr>
        <w:tc>
          <w:tcPr>
            <w:tcW w:w="425" w:type="pct"/>
            <w:gridSpan w:val="2"/>
            <w:tcBorders>
              <w:top w:val="single" w:sz="4" w:space="0" w:color="auto"/>
              <w:left w:val="single" w:sz="4" w:space="0" w:color="auto"/>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项目负责人</w:t>
            </w:r>
          </w:p>
        </w:tc>
        <w:tc>
          <w:tcPr>
            <w:tcW w:w="1659" w:type="pct"/>
            <w:gridSpan w:val="5"/>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王立刚</w:t>
            </w:r>
          </w:p>
        </w:tc>
        <w:tc>
          <w:tcPr>
            <w:tcW w:w="1261" w:type="pct"/>
            <w:gridSpan w:val="2"/>
            <w:tcBorders>
              <w:top w:val="nil"/>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联系电话</w:t>
            </w:r>
          </w:p>
        </w:tc>
        <w:tc>
          <w:tcPr>
            <w:tcW w:w="1655" w:type="pct"/>
            <w:gridSpan w:val="3"/>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89152558</w:t>
            </w:r>
          </w:p>
        </w:tc>
      </w:tr>
      <w:tr w:rsidR="00A21152" w:rsidRPr="00DC7118" w:rsidTr="00DC7118">
        <w:trPr>
          <w:trHeight w:hRule="exact" w:val="567"/>
        </w:trPr>
        <w:tc>
          <w:tcPr>
            <w:tcW w:w="425" w:type="pct"/>
            <w:gridSpan w:val="2"/>
            <w:vMerge w:val="restart"/>
            <w:tcBorders>
              <w:top w:val="single" w:sz="4" w:space="0" w:color="auto"/>
              <w:left w:val="single" w:sz="4" w:space="0" w:color="auto"/>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项目资金</w:t>
            </w:r>
            <w:r w:rsidRPr="00DC7118">
              <w:rPr>
                <w:rFonts w:asciiTheme="minorEastAsia" w:hAnsiTheme="minorEastAsia" w:cstheme="minorEastAsia" w:hint="eastAsia"/>
                <w:kern w:val="0"/>
                <w:sz w:val="18"/>
                <w:szCs w:val="18"/>
              </w:rPr>
              <w:br/>
              <w:t>（万元）</w:t>
            </w:r>
          </w:p>
        </w:tc>
        <w:tc>
          <w:tcPr>
            <w:tcW w:w="473" w:type="pct"/>
            <w:gridSpan w:val="2"/>
            <w:tcBorders>
              <w:top w:val="single" w:sz="4" w:space="0" w:color="auto"/>
              <w:left w:val="nil"/>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756" w:type="pct"/>
            <w:gridSpan w:val="2"/>
            <w:tcBorders>
              <w:top w:val="nil"/>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年初预</w:t>
            </w:r>
          </w:p>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算数</w:t>
            </w:r>
          </w:p>
        </w:tc>
        <w:tc>
          <w:tcPr>
            <w:tcW w:w="430" w:type="pct"/>
            <w:tcBorders>
              <w:top w:val="nil"/>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全年预</w:t>
            </w:r>
          </w:p>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算数</w:t>
            </w:r>
          </w:p>
        </w:tc>
        <w:tc>
          <w:tcPr>
            <w:tcW w:w="1261" w:type="pct"/>
            <w:gridSpan w:val="2"/>
            <w:tcBorders>
              <w:top w:val="nil"/>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全年</w:t>
            </w:r>
          </w:p>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执行数</w:t>
            </w:r>
          </w:p>
        </w:tc>
        <w:tc>
          <w:tcPr>
            <w:tcW w:w="629" w:type="pct"/>
            <w:tcBorders>
              <w:top w:val="nil"/>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分值</w:t>
            </w:r>
          </w:p>
        </w:tc>
        <w:tc>
          <w:tcPr>
            <w:tcW w:w="49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执行率</w:t>
            </w:r>
          </w:p>
        </w:tc>
        <w:tc>
          <w:tcPr>
            <w:tcW w:w="535" w:type="pct"/>
            <w:tcBorders>
              <w:top w:val="nil"/>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得分</w:t>
            </w:r>
          </w:p>
        </w:tc>
      </w:tr>
      <w:tr w:rsidR="00A21152" w:rsidRPr="00DC7118" w:rsidTr="00DC7118">
        <w:trPr>
          <w:trHeight w:hRule="exact" w:val="1453"/>
        </w:trPr>
        <w:tc>
          <w:tcPr>
            <w:tcW w:w="425" w:type="pct"/>
            <w:gridSpan w:val="2"/>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473" w:type="pct"/>
            <w:gridSpan w:val="2"/>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年度资金总额</w:t>
            </w:r>
          </w:p>
        </w:tc>
        <w:tc>
          <w:tcPr>
            <w:tcW w:w="756" w:type="pct"/>
            <w:gridSpan w:val="2"/>
            <w:tcBorders>
              <w:top w:val="nil"/>
              <w:left w:val="nil"/>
              <w:bottom w:val="single" w:sz="4" w:space="0" w:color="auto"/>
              <w:right w:val="single" w:sz="4" w:space="0" w:color="auto"/>
            </w:tcBorders>
            <w:noWrap/>
            <w:vAlign w:val="center"/>
          </w:tcPr>
          <w:p w:rsidR="00A21152" w:rsidRPr="00DC7118" w:rsidRDefault="00072C78">
            <w:pPr>
              <w:widowControl/>
              <w:spacing w:line="200" w:lineRule="atLeast"/>
              <w:jc w:val="center"/>
              <w:rPr>
                <w:rFonts w:asciiTheme="minorEastAsia" w:hAnsiTheme="minorEastAsia" w:cstheme="minorEastAsia"/>
                <w:kern w:val="0"/>
                <w:sz w:val="18"/>
                <w:szCs w:val="18"/>
              </w:rPr>
            </w:pPr>
            <w:r w:rsidRPr="00DC7118">
              <w:rPr>
                <w:rFonts w:asciiTheme="minorEastAsia" w:hAnsiTheme="minorEastAsia" w:cstheme="minorEastAsia" w:hint="eastAsia"/>
                <w:color w:val="000000"/>
                <w:kern w:val="0"/>
                <w:sz w:val="18"/>
                <w:szCs w:val="18"/>
              </w:rPr>
              <w:t>2000</w:t>
            </w:r>
          </w:p>
        </w:tc>
        <w:tc>
          <w:tcPr>
            <w:tcW w:w="430" w:type="pct"/>
            <w:tcBorders>
              <w:top w:val="nil"/>
              <w:left w:val="nil"/>
              <w:bottom w:val="single" w:sz="4" w:space="0" w:color="auto"/>
              <w:right w:val="single" w:sz="4" w:space="0" w:color="auto"/>
            </w:tcBorders>
            <w:shd w:val="clear" w:color="auto" w:fill="auto"/>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color w:val="000000" w:themeColor="text1"/>
                <w:kern w:val="0"/>
                <w:sz w:val="18"/>
                <w:szCs w:val="18"/>
              </w:rPr>
              <w:t>2000</w:t>
            </w:r>
          </w:p>
        </w:tc>
        <w:tc>
          <w:tcPr>
            <w:tcW w:w="1261" w:type="pct"/>
            <w:gridSpan w:val="2"/>
            <w:tcBorders>
              <w:top w:val="nil"/>
              <w:left w:val="nil"/>
              <w:bottom w:val="single" w:sz="4" w:space="0" w:color="auto"/>
              <w:right w:val="single" w:sz="4" w:space="0" w:color="auto"/>
            </w:tcBorders>
            <w:shd w:val="clear" w:color="auto" w:fill="auto"/>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1049.148507</w:t>
            </w:r>
          </w:p>
        </w:tc>
        <w:tc>
          <w:tcPr>
            <w:tcW w:w="629" w:type="pct"/>
            <w:tcBorders>
              <w:top w:val="nil"/>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10</w:t>
            </w:r>
          </w:p>
        </w:tc>
        <w:tc>
          <w:tcPr>
            <w:tcW w:w="49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52.46%</w:t>
            </w:r>
          </w:p>
        </w:tc>
        <w:tc>
          <w:tcPr>
            <w:tcW w:w="535" w:type="pct"/>
            <w:tcBorders>
              <w:top w:val="nil"/>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5.25</w:t>
            </w:r>
          </w:p>
        </w:tc>
      </w:tr>
      <w:tr w:rsidR="00A21152" w:rsidRPr="00DC7118" w:rsidTr="00DC7118">
        <w:trPr>
          <w:trHeight w:hRule="exact" w:val="1024"/>
        </w:trPr>
        <w:tc>
          <w:tcPr>
            <w:tcW w:w="425" w:type="pct"/>
            <w:gridSpan w:val="2"/>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473" w:type="pct"/>
            <w:gridSpan w:val="2"/>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其中：当年财政拨款</w:t>
            </w:r>
          </w:p>
        </w:tc>
        <w:tc>
          <w:tcPr>
            <w:tcW w:w="756" w:type="pct"/>
            <w:gridSpan w:val="2"/>
            <w:tcBorders>
              <w:top w:val="nil"/>
              <w:left w:val="nil"/>
              <w:bottom w:val="single" w:sz="4" w:space="0" w:color="auto"/>
              <w:right w:val="single" w:sz="4" w:space="0" w:color="auto"/>
            </w:tcBorders>
            <w:noWrap/>
            <w:vAlign w:val="center"/>
          </w:tcPr>
          <w:p w:rsidR="00A21152" w:rsidRPr="00DC7118" w:rsidRDefault="00072C78">
            <w:pPr>
              <w:widowControl/>
              <w:spacing w:line="200" w:lineRule="atLeast"/>
              <w:jc w:val="center"/>
              <w:rPr>
                <w:rFonts w:asciiTheme="minorEastAsia" w:hAnsiTheme="minorEastAsia" w:cstheme="minorEastAsia"/>
                <w:kern w:val="0"/>
                <w:sz w:val="18"/>
                <w:szCs w:val="18"/>
              </w:rPr>
            </w:pPr>
            <w:r w:rsidRPr="00DC7118">
              <w:rPr>
                <w:rFonts w:asciiTheme="minorEastAsia" w:hAnsiTheme="minorEastAsia" w:cstheme="minorEastAsia" w:hint="eastAsia"/>
                <w:color w:val="000000"/>
                <w:kern w:val="0"/>
                <w:sz w:val="18"/>
                <w:szCs w:val="18"/>
              </w:rPr>
              <w:t>2000</w:t>
            </w:r>
          </w:p>
        </w:tc>
        <w:tc>
          <w:tcPr>
            <w:tcW w:w="430" w:type="pct"/>
            <w:tcBorders>
              <w:top w:val="nil"/>
              <w:left w:val="nil"/>
              <w:bottom w:val="single" w:sz="4" w:space="0" w:color="auto"/>
              <w:right w:val="single" w:sz="4" w:space="0" w:color="auto"/>
            </w:tcBorders>
            <w:shd w:val="clear" w:color="auto" w:fill="auto"/>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color w:val="000000" w:themeColor="text1"/>
                <w:kern w:val="0"/>
                <w:sz w:val="18"/>
                <w:szCs w:val="18"/>
              </w:rPr>
              <w:t>2000</w:t>
            </w:r>
          </w:p>
        </w:tc>
        <w:tc>
          <w:tcPr>
            <w:tcW w:w="1261" w:type="pct"/>
            <w:gridSpan w:val="2"/>
            <w:tcBorders>
              <w:top w:val="nil"/>
              <w:left w:val="nil"/>
              <w:bottom w:val="single" w:sz="4" w:space="0" w:color="auto"/>
              <w:right w:val="single" w:sz="4" w:space="0" w:color="auto"/>
            </w:tcBorders>
            <w:shd w:val="clear" w:color="auto" w:fill="auto"/>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1049.148507</w:t>
            </w:r>
          </w:p>
        </w:tc>
        <w:tc>
          <w:tcPr>
            <w:tcW w:w="629" w:type="pct"/>
            <w:tcBorders>
              <w:top w:val="nil"/>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w:t>
            </w:r>
          </w:p>
        </w:tc>
        <w:tc>
          <w:tcPr>
            <w:tcW w:w="491" w:type="pct"/>
            <w:tcBorders>
              <w:top w:val="single" w:sz="4" w:space="0" w:color="auto"/>
              <w:left w:val="nil"/>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535" w:type="pct"/>
            <w:tcBorders>
              <w:top w:val="nil"/>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w:t>
            </w:r>
          </w:p>
        </w:tc>
      </w:tr>
      <w:tr w:rsidR="00A21152" w:rsidRPr="00DC7118" w:rsidTr="00DC7118">
        <w:trPr>
          <w:trHeight w:hRule="exact" w:val="454"/>
        </w:trPr>
        <w:tc>
          <w:tcPr>
            <w:tcW w:w="425" w:type="pct"/>
            <w:gridSpan w:val="2"/>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473" w:type="pct"/>
            <w:gridSpan w:val="2"/>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 xml:space="preserve">   上年结转资金</w:t>
            </w:r>
          </w:p>
        </w:tc>
        <w:tc>
          <w:tcPr>
            <w:tcW w:w="756" w:type="pct"/>
            <w:gridSpan w:val="2"/>
            <w:tcBorders>
              <w:top w:val="nil"/>
              <w:left w:val="nil"/>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430" w:type="pct"/>
            <w:tcBorders>
              <w:top w:val="nil"/>
              <w:left w:val="nil"/>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1261" w:type="pct"/>
            <w:gridSpan w:val="2"/>
            <w:tcBorders>
              <w:top w:val="nil"/>
              <w:left w:val="nil"/>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629" w:type="pct"/>
            <w:tcBorders>
              <w:top w:val="nil"/>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w:t>
            </w:r>
          </w:p>
        </w:tc>
        <w:tc>
          <w:tcPr>
            <w:tcW w:w="491" w:type="pct"/>
            <w:tcBorders>
              <w:top w:val="single" w:sz="4" w:space="0" w:color="auto"/>
              <w:left w:val="nil"/>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535" w:type="pct"/>
            <w:tcBorders>
              <w:top w:val="nil"/>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w:t>
            </w:r>
          </w:p>
        </w:tc>
      </w:tr>
      <w:tr w:rsidR="00A21152" w:rsidRPr="00DC7118" w:rsidTr="00DC7118">
        <w:trPr>
          <w:trHeight w:hRule="exact" w:val="454"/>
        </w:trPr>
        <w:tc>
          <w:tcPr>
            <w:tcW w:w="425" w:type="pct"/>
            <w:gridSpan w:val="2"/>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473" w:type="pct"/>
            <w:gridSpan w:val="2"/>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 xml:space="preserve">  其他资金</w:t>
            </w:r>
          </w:p>
        </w:tc>
        <w:tc>
          <w:tcPr>
            <w:tcW w:w="756" w:type="pct"/>
            <w:gridSpan w:val="2"/>
            <w:tcBorders>
              <w:top w:val="nil"/>
              <w:left w:val="nil"/>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430" w:type="pct"/>
            <w:tcBorders>
              <w:top w:val="nil"/>
              <w:left w:val="nil"/>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1261" w:type="pct"/>
            <w:gridSpan w:val="2"/>
            <w:tcBorders>
              <w:top w:val="nil"/>
              <w:left w:val="nil"/>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629" w:type="pct"/>
            <w:tcBorders>
              <w:top w:val="nil"/>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w:t>
            </w:r>
          </w:p>
        </w:tc>
        <w:tc>
          <w:tcPr>
            <w:tcW w:w="491" w:type="pct"/>
            <w:tcBorders>
              <w:top w:val="single" w:sz="4" w:space="0" w:color="auto"/>
              <w:left w:val="nil"/>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535" w:type="pct"/>
            <w:tcBorders>
              <w:top w:val="nil"/>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w:t>
            </w:r>
          </w:p>
        </w:tc>
      </w:tr>
      <w:tr w:rsidR="00A21152" w:rsidRPr="00DC7118" w:rsidTr="00DC7118">
        <w:trPr>
          <w:trHeight w:hRule="exact" w:val="510"/>
        </w:trPr>
        <w:tc>
          <w:tcPr>
            <w:tcW w:w="205" w:type="pct"/>
            <w:vMerge w:val="restart"/>
            <w:tcBorders>
              <w:top w:val="nil"/>
              <w:left w:val="single" w:sz="4" w:space="0" w:color="auto"/>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年度总体目标</w:t>
            </w:r>
          </w:p>
        </w:tc>
        <w:tc>
          <w:tcPr>
            <w:tcW w:w="1879" w:type="pct"/>
            <w:gridSpan w:val="6"/>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预期目标</w:t>
            </w:r>
          </w:p>
        </w:tc>
        <w:tc>
          <w:tcPr>
            <w:tcW w:w="2916" w:type="pct"/>
            <w:gridSpan w:val="5"/>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实际完成情况</w:t>
            </w:r>
          </w:p>
        </w:tc>
      </w:tr>
      <w:tr w:rsidR="00A21152" w:rsidRPr="00DC7118" w:rsidTr="00DC7118">
        <w:trPr>
          <w:trHeight w:hRule="exact" w:val="1427"/>
        </w:trPr>
        <w:tc>
          <w:tcPr>
            <w:tcW w:w="205" w:type="pct"/>
            <w:vMerge/>
            <w:tcBorders>
              <w:top w:val="nil"/>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1879" w:type="pct"/>
            <w:gridSpan w:val="6"/>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即时响应、快速解决医院端的服务请求和故障，提供优质、快捷的现场服务和远程实时监控服务。</w:t>
            </w:r>
          </w:p>
        </w:tc>
        <w:tc>
          <w:tcPr>
            <w:tcW w:w="2916" w:type="pct"/>
            <w:gridSpan w:val="5"/>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达到预期目标。</w:t>
            </w:r>
          </w:p>
        </w:tc>
      </w:tr>
      <w:tr w:rsidR="00A21152" w:rsidRPr="00DC7118" w:rsidTr="00DC7118">
        <w:trPr>
          <w:cantSplit/>
          <w:trHeight w:hRule="exact" w:val="777"/>
        </w:trPr>
        <w:tc>
          <w:tcPr>
            <w:tcW w:w="205" w:type="pct"/>
            <w:vMerge w:val="restart"/>
            <w:tcBorders>
              <w:top w:val="single" w:sz="4" w:space="0" w:color="auto"/>
              <w:left w:val="single" w:sz="4" w:space="0" w:color="auto"/>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绩</w:t>
            </w:r>
            <w:r w:rsidRPr="00DC7118">
              <w:rPr>
                <w:rFonts w:asciiTheme="minorEastAsia" w:hAnsiTheme="minorEastAsia" w:cstheme="minorEastAsia" w:hint="eastAsia"/>
                <w:kern w:val="0"/>
                <w:sz w:val="18"/>
                <w:szCs w:val="18"/>
              </w:rPr>
              <w:br/>
              <w:t>效</w:t>
            </w:r>
            <w:r w:rsidRPr="00DC7118">
              <w:rPr>
                <w:rFonts w:asciiTheme="minorEastAsia" w:hAnsiTheme="minorEastAsia" w:cstheme="minorEastAsia" w:hint="eastAsia"/>
                <w:kern w:val="0"/>
                <w:sz w:val="18"/>
                <w:szCs w:val="18"/>
              </w:rPr>
              <w:br/>
              <w:t>指</w:t>
            </w:r>
            <w:r w:rsidRPr="00DC7118">
              <w:rPr>
                <w:rFonts w:asciiTheme="minorEastAsia" w:hAnsiTheme="minorEastAsia" w:cstheme="minorEastAsia" w:hint="eastAsia"/>
                <w:kern w:val="0"/>
                <w:sz w:val="18"/>
                <w:szCs w:val="18"/>
              </w:rPr>
              <w:br/>
              <w:t>标</w:t>
            </w:r>
          </w:p>
        </w:tc>
        <w:tc>
          <w:tcPr>
            <w:tcW w:w="220"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一级指标</w:t>
            </w:r>
          </w:p>
        </w:tc>
        <w:tc>
          <w:tcPr>
            <w:tcW w:w="238"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二级指标</w:t>
            </w:r>
          </w:p>
        </w:tc>
        <w:tc>
          <w:tcPr>
            <w:tcW w:w="402" w:type="pct"/>
            <w:gridSpan w:val="2"/>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三级指标</w:t>
            </w:r>
          </w:p>
        </w:tc>
        <w:tc>
          <w:tcPr>
            <w:tcW w:w="1369" w:type="pct"/>
            <w:gridSpan w:val="3"/>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年度</w:t>
            </w:r>
          </w:p>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指标值</w:t>
            </w:r>
          </w:p>
        </w:tc>
        <w:tc>
          <w:tcPr>
            <w:tcW w:w="91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实际</w:t>
            </w:r>
          </w:p>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完成值</w:t>
            </w:r>
          </w:p>
        </w:tc>
        <w:tc>
          <w:tcPr>
            <w:tcW w:w="629"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分值</w:t>
            </w:r>
          </w:p>
        </w:tc>
        <w:tc>
          <w:tcPr>
            <w:tcW w:w="49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得分</w:t>
            </w:r>
          </w:p>
        </w:tc>
        <w:tc>
          <w:tcPr>
            <w:tcW w:w="535"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偏差原因分析及改进措施</w:t>
            </w:r>
          </w:p>
        </w:tc>
      </w:tr>
      <w:tr w:rsidR="00A21152" w:rsidRPr="00DC7118" w:rsidTr="00DC7118">
        <w:trPr>
          <w:trHeight w:hRule="exact" w:val="850"/>
        </w:trPr>
        <w:tc>
          <w:tcPr>
            <w:tcW w:w="205"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220" w:type="pct"/>
            <w:vMerge w:val="restart"/>
            <w:tcBorders>
              <w:top w:val="single" w:sz="4" w:space="0" w:color="auto"/>
              <w:left w:val="single" w:sz="4" w:space="0" w:color="auto"/>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产出指标</w:t>
            </w:r>
          </w:p>
        </w:tc>
        <w:tc>
          <w:tcPr>
            <w:tcW w:w="238" w:type="pct"/>
            <w:vMerge w:val="restart"/>
            <w:tcBorders>
              <w:top w:val="single" w:sz="4" w:space="0" w:color="auto"/>
              <w:left w:val="single" w:sz="4" w:space="0" w:color="auto"/>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数量指标</w:t>
            </w:r>
          </w:p>
        </w:tc>
        <w:tc>
          <w:tcPr>
            <w:tcW w:w="402" w:type="pct"/>
            <w:gridSpan w:val="2"/>
            <w:tcBorders>
              <w:top w:val="single" w:sz="4" w:space="0" w:color="auto"/>
              <w:left w:val="nil"/>
              <w:bottom w:val="single" w:sz="4" w:space="0" w:color="auto"/>
              <w:right w:val="single" w:sz="4" w:space="0" w:color="auto"/>
            </w:tcBorders>
            <w:noWrap/>
          </w:tcPr>
          <w:p w:rsidR="00A21152" w:rsidRPr="00DC7118" w:rsidRDefault="00072C78">
            <w:pPr>
              <w:widowControl/>
              <w:spacing w:line="240" w:lineRule="exact"/>
              <w:jc w:val="left"/>
              <w:rPr>
                <w:rFonts w:asciiTheme="minorEastAsia" w:hAnsiTheme="minorEastAsia" w:cstheme="minorEastAsia"/>
                <w:color w:val="000000"/>
                <w:kern w:val="0"/>
                <w:sz w:val="18"/>
                <w:szCs w:val="18"/>
              </w:rPr>
            </w:pPr>
            <w:r w:rsidRPr="00DC7118">
              <w:rPr>
                <w:rFonts w:asciiTheme="minorEastAsia" w:hAnsiTheme="minorEastAsia" w:cstheme="minorEastAsia" w:hint="eastAsia"/>
                <w:sz w:val="18"/>
                <w:szCs w:val="18"/>
              </w:rPr>
              <w:t>现场服务覆盖医疗机构数量</w:t>
            </w:r>
          </w:p>
        </w:tc>
        <w:tc>
          <w:tcPr>
            <w:tcW w:w="1369" w:type="pct"/>
            <w:gridSpan w:val="3"/>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ind w:leftChars="-70" w:left="-147" w:rightChars="-32" w:right="-67"/>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≥2800家</w:t>
            </w:r>
          </w:p>
        </w:tc>
        <w:tc>
          <w:tcPr>
            <w:tcW w:w="911" w:type="pct"/>
            <w:tcBorders>
              <w:top w:val="single" w:sz="4" w:space="0" w:color="auto"/>
              <w:left w:val="nil"/>
              <w:bottom w:val="single" w:sz="4" w:space="0" w:color="auto"/>
              <w:right w:val="single" w:sz="4" w:space="0" w:color="auto"/>
            </w:tcBorders>
            <w:shd w:val="clear" w:color="auto" w:fill="auto"/>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4292</w:t>
            </w:r>
          </w:p>
        </w:tc>
        <w:tc>
          <w:tcPr>
            <w:tcW w:w="629" w:type="pct"/>
            <w:tcBorders>
              <w:top w:val="single" w:sz="4" w:space="0" w:color="auto"/>
              <w:left w:val="nil"/>
              <w:bottom w:val="single" w:sz="4" w:space="0" w:color="auto"/>
              <w:right w:val="single" w:sz="4" w:space="0" w:color="auto"/>
            </w:tcBorders>
            <w:shd w:val="clear" w:color="auto" w:fill="auto"/>
            <w:noWrap/>
            <w:vAlign w:val="center"/>
          </w:tcPr>
          <w:p w:rsidR="00A21152" w:rsidRPr="00DC7118" w:rsidRDefault="00072C78">
            <w:pPr>
              <w:widowControl/>
              <w:spacing w:line="240" w:lineRule="exact"/>
              <w:jc w:val="center"/>
              <w:rPr>
                <w:rFonts w:asciiTheme="minorEastAsia" w:hAnsiTheme="minorEastAsia" w:cstheme="minorEastAsia"/>
                <w:color w:val="000000"/>
                <w:kern w:val="0"/>
                <w:sz w:val="18"/>
                <w:szCs w:val="18"/>
              </w:rPr>
            </w:pPr>
            <w:r w:rsidRPr="00DC7118">
              <w:rPr>
                <w:rFonts w:asciiTheme="minorEastAsia" w:hAnsiTheme="minorEastAsia" w:cstheme="minorEastAsia" w:hint="eastAsia"/>
                <w:color w:val="000000"/>
                <w:kern w:val="0"/>
                <w:sz w:val="18"/>
                <w:szCs w:val="18"/>
              </w:rPr>
              <w:t>15</w:t>
            </w:r>
          </w:p>
        </w:tc>
        <w:tc>
          <w:tcPr>
            <w:tcW w:w="49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color w:val="000000"/>
                <w:kern w:val="0"/>
                <w:sz w:val="18"/>
                <w:szCs w:val="18"/>
              </w:rPr>
            </w:pPr>
            <w:r w:rsidRPr="00DC7118">
              <w:rPr>
                <w:rFonts w:asciiTheme="minorEastAsia" w:hAnsiTheme="minorEastAsia" w:cstheme="minorEastAsia" w:hint="eastAsia"/>
                <w:color w:val="000000"/>
                <w:kern w:val="0"/>
                <w:sz w:val="18"/>
                <w:szCs w:val="18"/>
              </w:rPr>
              <w:t>15.00</w:t>
            </w:r>
          </w:p>
        </w:tc>
        <w:tc>
          <w:tcPr>
            <w:tcW w:w="535" w:type="pct"/>
            <w:tcBorders>
              <w:top w:val="single" w:sz="4" w:space="0" w:color="auto"/>
              <w:left w:val="nil"/>
              <w:bottom w:val="single" w:sz="4" w:space="0" w:color="auto"/>
              <w:right w:val="single" w:sz="4" w:space="0" w:color="auto"/>
            </w:tcBorders>
            <w:noWrap/>
            <w:vAlign w:val="center"/>
          </w:tcPr>
          <w:p w:rsidR="00A21152" w:rsidRPr="00DC7118" w:rsidRDefault="00A21152">
            <w:pPr>
              <w:widowControl/>
              <w:spacing w:line="240" w:lineRule="exact"/>
              <w:rPr>
                <w:rFonts w:asciiTheme="minorEastAsia" w:hAnsiTheme="minorEastAsia" w:cstheme="minorEastAsia"/>
                <w:color w:val="000000"/>
                <w:kern w:val="0"/>
                <w:sz w:val="18"/>
                <w:szCs w:val="18"/>
              </w:rPr>
            </w:pPr>
          </w:p>
        </w:tc>
      </w:tr>
      <w:tr w:rsidR="00A21152" w:rsidRPr="00DC7118" w:rsidTr="00DC7118">
        <w:trPr>
          <w:trHeight w:hRule="exact" w:val="850"/>
        </w:trPr>
        <w:tc>
          <w:tcPr>
            <w:tcW w:w="205"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220"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238"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402" w:type="pct"/>
            <w:gridSpan w:val="2"/>
            <w:tcBorders>
              <w:top w:val="single" w:sz="4" w:space="0" w:color="auto"/>
              <w:left w:val="nil"/>
              <w:bottom w:val="single" w:sz="4" w:space="0" w:color="auto"/>
              <w:right w:val="single" w:sz="4" w:space="0" w:color="auto"/>
            </w:tcBorders>
            <w:noWrap/>
          </w:tcPr>
          <w:p w:rsidR="00A21152" w:rsidRPr="00DC7118" w:rsidRDefault="00072C78">
            <w:pPr>
              <w:widowControl/>
              <w:spacing w:line="240" w:lineRule="exact"/>
              <w:jc w:val="left"/>
              <w:rPr>
                <w:rFonts w:asciiTheme="minorEastAsia" w:hAnsiTheme="minorEastAsia" w:cstheme="minorEastAsia"/>
                <w:color w:val="000000"/>
                <w:kern w:val="0"/>
                <w:sz w:val="18"/>
                <w:szCs w:val="18"/>
              </w:rPr>
            </w:pPr>
            <w:r w:rsidRPr="00DC7118">
              <w:rPr>
                <w:rFonts w:asciiTheme="minorEastAsia" w:hAnsiTheme="minorEastAsia" w:cstheme="minorEastAsia" w:hint="eastAsia"/>
                <w:sz w:val="18"/>
                <w:szCs w:val="18"/>
              </w:rPr>
              <w:t>远程监控覆盖医疗机构数量</w:t>
            </w:r>
          </w:p>
        </w:tc>
        <w:tc>
          <w:tcPr>
            <w:tcW w:w="1369" w:type="pct"/>
            <w:gridSpan w:val="3"/>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≥200家</w:t>
            </w:r>
          </w:p>
        </w:tc>
        <w:tc>
          <w:tcPr>
            <w:tcW w:w="911" w:type="pct"/>
            <w:tcBorders>
              <w:top w:val="single" w:sz="4" w:space="0" w:color="auto"/>
              <w:left w:val="nil"/>
              <w:bottom w:val="single" w:sz="4" w:space="0" w:color="auto"/>
              <w:right w:val="single" w:sz="4" w:space="0" w:color="auto"/>
            </w:tcBorders>
            <w:shd w:val="clear" w:color="auto" w:fill="auto"/>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245</w:t>
            </w:r>
          </w:p>
        </w:tc>
        <w:tc>
          <w:tcPr>
            <w:tcW w:w="629" w:type="pct"/>
            <w:tcBorders>
              <w:top w:val="single" w:sz="4" w:space="0" w:color="auto"/>
              <w:left w:val="nil"/>
              <w:bottom w:val="single" w:sz="4" w:space="0" w:color="auto"/>
              <w:right w:val="single" w:sz="4" w:space="0" w:color="auto"/>
            </w:tcBorders>
            <w:shd w:val="clear" w:color="auto" w:fill="auto"/>
            <w:noWrap/>
            <w:vAlign w:val="center"/>
          </w:tcPr>
          <w:p w:rsidR="00A21152" w:rsidRPr="00DC7118" w:rsidRDefault="00072C78">
            <w:pPr>
              <w:widowControl/>
              <w:spacing w:line="240" w:lineRule="exact"/>
              <w:jc w:val="center"/>
              <w:rPr>
                <w:rFonts w:asciiTheme="minorEastAsia" w:hAnsiTheme="minorEastAsia" w:cstheme="minorEastAsia"/>
                <w:color w:val="000000"/>
                <w:kern w:val="0"/>
                <w:sz w:val="18"/>
                <w:szCs w:val="18"/>
              </w:rPr>
            </w:pPr>
            <w:r w:rsidRPr="00DC7118">
              <w:rPr>
                <w:rFonts w:asciiTheme="minorEastAsia" w:hAnsiTheme="minorEastAsia" w:cstheme="minorEastAsia" w:hint="eastAsia"/>
                <w:color w:val="000000"/>
                <w:kern w:val="0"/>
                <w:sz w:val="18"/>
                <w:szCs w:val="18"/>
              </w:rPr>
              <w:t>15</w:t>
            </w:r>
          </w:p>
        </w:tc>
        <w:tc>
          <w:tcPr>
            <w:tcW w:w="49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color w:val="000000"/>
                <w:kern w:val="0"/>
                <w:sz w:val="18"/>
                <w:szCs w:val="18"/>
              </w:rPr>
            </w:pPr>
            <w:r w:rsidRPr="00DC7118">
              <w:rPr>
                <w:rFonts w:asciiTheme="minorEastAsia" w:hAnsiTheme="minorEastAsia" w:cstheme="minorEastAsia" w:hint="eastAsia"/>
                <w:color w:val="000000"/>
                <w:kern w:val="0"/>
                <w:sz w:val="18"/>
                <w:szCs w:val="18"/>
              </w:rPr>
              <w:t>15.00</w:t>
            </w:r>
          </w:p>
        </w:tc>
        <w:tc>
          <w:tcPr>
            <w:tcW w:w="535" w:type="pct"/>
            <w:tcBorders>
              <w:top w:val="single" w:sz="4" w:space="0" w:color="auto"/>
              <w:left w:val="nil"/>
              <w:bottom w:val="single" w:sz="4" w:space="0" w:color="auto"/>
              <w:right w:val="single" w:sz="4" w:space="0" w:color="auto"/>
            </w:tcBorders>
            <w:noWrap/>
            <w:vAlign w:val="center"/>
          </w:tcPr>
          <w:p w:rsidR="00A21152" w:rsidRPr="00DC7118" w:rsidRDefault="00A21152">
            <w:pPr>
              <w:widowControl/>
              <w:spacing w:line="240" w:lineRule="exact"/>
              <w:rPr>
                <w:rFonts w:asciiTheme="minorEastAsia" w:hAnsiTheme="minorEastAsia" w:cstheme="minorEastAsia"/>
                <w:color w:val="000000"/>
                <w:kern w:val="0"/>
                <w:sz w:val="18"/>
                <w:szCs w:val="18"/>
              </w:rPr>
            </w:pPr>
          </w:p>
        </w:tc>
      </w:tr>
      <w:tr w:rsidR="00A21152" w:rsidRPr="00DC7118" w:rsidTr="00DC7118">
        <w:trPr>
          <w:trHeight w:hRule="exact" w:val="850"/>
        </w:trPr>
        <w:tc>
          <w:tcPr>
            <w:tcW w:w="205"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220"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238" w:type="pct"/>
            <w:vMerge w:val="restart"/>
            <w:tcBorders>
              <w:top w:val="single" w:sz="4" w:space="0" w:color="auto"/>
              <w:left w:val="single" w:sz="4" w:space="0" w:color="auto"/>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质量指标</w:t>
            </w:r>
          </w:p>
        </w:tc>
        <w:tc>
          <w:tcPr>
            <w:tcW w:w="402" w:type="pct"/>
            <w:gridSpan w:val="2"/>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left"/>
              <w:rPr>
                <w:rFonts w:asciiTheme="minorEastAsia" w:hAnsiTheme="minorEastAsia" w:cstheme="minorEastAsia"/>
                <w:color w:val="000000"/>
                <w:kern w:val="0"/>
                <w:sz w:val="18"/>
                <w:szCs w:val="18"/>
              </w:rPr>
            </w:pPr>
            <w:r w:rsidRPr="00DC7118">
              <w:rPr>
                <w:rFonts w:asciiTheme="minorEastAsia" w:hAnsiTheme="minorEastAsia" w:cstheme="minorEastAsia" w:hint="eastAsia"/>
                <w:color w:val="000000"/>
                <w:kern w:val="0"/>
                <w:sz w:val="18"/>
                <w:szCs w:val="18"/>
              </w:rPr>
              <w:t>项目验收合格率</w:t>
            </w:r>
          </w:p>
        </w:tc>
        <w:tc>
          <w:tcPr>
            <w:tcW w:w="1369" w:type="pct"/>
            <w:gridSpan w:val="3"/>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100%</w:t>
            </w:r>
          </w:p>
        </w:tc>
        <w:tc>
          <w:tcPr>
            <w:tcW w:w="91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100%</w:t>
            </w:r>
          </w:p>
        </w:tc>
        <w:tc>
          <w:tcPr>
            <w:tcW w:w="629"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8</w:t>
            </w:r>
          </w:p>
        </w:tc>
        <w:tc>
          <w:tcPr>
            <w:tcW w:w="49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8.00</w:t>
            </w:r>
          </w:p>
        </w:tc>
        <w:tc>
          <w:tcPr>
            <w:tcW w:w="535" w:type="pct"/>
            <w:tcBorders>
              <w:top w:val="single" w:sz="4" w:space="0" w:color="auto"/>
              <w:left w:val="nil"/>
              <w:bottom w:val="single" w:sz="4" w:space="0" w:color="auto"/>
              <w:right w:val="single" w:sz="4" w:space="0" w:color="auto"/>
            </w:tcBorders>
            <w:noWrap/>
            <w:vAlign w:val="center"/>
          </w:tcPr>
          <w:p w:rsidR="00A21152" w:rsidRPr="00DC7118" w:rsidRDefault="00A21152">
            <w:pPr>
              <w:widowControl/>
              <w:spacing w:line="240" w:lineRule="exact"/>
              <w:rPr>
                <w:rFonts w:asciiTheme="minorEastAsia" w:hAnsiTheme="minorEastAsia" w:cstheme="minorEastAsia"/>
                <w:kern w:val="0"/>
                <w:sz w:val="18"/>
                <w:szCs w:val="18"/>
              </w:rPr>
            </w:pPr>
          </w:p>
        </w:tc>
      </w:tr>
      <w:tr w:rsidR="00A21152" w:rsidRPr="00DC7118" w:rsidTr="00DC7118">
        <w:trPr>
          <w:trHeight w:hRule="exact" w:val="850"/>
        </w:trPr>
        <w:tc>
          <w:tcPr>
            <w:tcW w:w="205"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220"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238"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402" w:type="pct"/>
            <w:gridSpan w:val="2"/>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left"/>
              <w:rPr>
                <w:rFonts w:asciiTheme="minorEastAsia" w:hAnsiTheme="minorEastAsia" w:cstheme="minorEastAsia"/>
                <w:color w:val="000000"/>
                <w:kern w:val="0"/>
                <w:sz w:val="18"/>
                <w:szCs w:val="18"/>
              </w:rPr>
            </w:pPr>
            <w:r w:rsidRPr="00DC7118">
              <w:rPr>
                <w:rFonts w:asciiTheme="minorEastAsia" w:hAnsiTheme="minorEastAsia" w:cstheme="minorEastAsia" w:hint="eastAsia"/>
                <w:color w:val="000000"/>
                <w:kern w:val="0"/>
                <w:sz w:val="18"/>
                <w:szCs w:val="18"/>
              </w:rPr>
              <w:t>服务请求响应率</w:t>
            </w:r>
          </w:p>
        </w:tc>
        <w:tc>
          <w:tcPr>
            <w:tcW w:w="1369" w:type="pct"/>
            <w:gridSpan w:val="3"/>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≥98%</w:t>
            </w:r>
          </w:p>
        </w:tc>
        <w:tc>
          <w:tcPr>
            <w:tcW w:w="91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98.64%</w:t>
            </w:r>
          </w:p>
        </w:tc>
        <w:tc>
          <w:tcPr>
            <w:tcW w:w="629"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8</w:t>
            </w:r>
          </w:p>
        </w:tc>
        <w:tc>
          <w:tcPr>
            <w:tcW w:w="49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8.00</w:t>
            </w:r>
          </w:p>
        </w:tc>
        <w:tc>
          <w:tcPr>
            <w:tcW w:w="535" w:type="pct"/>
            <w:tcBorders>
              <w:top w:val="single" w:sz="4" w:space="0" w:color="auto"/>
              <w:left w:val="nil"/>
              <w:bottom w:val="single" w:sz="4" w:space="0" w:color="auto"/>
              <w:right w:val="single" w:sz="4" w:space="0" w:color="auto"/>
            </w:tcBorders>
            <w:noWrap/>
            <w:vAlign w:val="center"/>
          </w:tcPr>
          <w:p w:rsidR="00A21152" w:rsidRPr="00DC7118" w:rsidRDefault="00A21152">
            <w:pPr>
              <w:widowControl/>
              <w:spacing w:line="240" w:lineRule="exact"/>
              <w:rPr>
                <w:rFonts w:asciiTheme="minorEastAsia" w:hAnsiTheme="minorEastAsia" w:cstheme="minorEastAsia"/>
                <w:sz w:val="18"/>
                <w:szCs w:val="18"/>
              </w:rPr>
            </w:pPr>
          </w:p>
        </w:tc>
      </w:tr>
      <w:tr w:rsidR="00A21152" w:rsidRPr="00DC7118" w:rsidTr="00DC7118">
        <w:trPr>
          <w:trHeight w:hRule="exact" w:val="850"/>
        </w:trPr>
        <w:tc>
          <w:tcPr>
            <w:tcW w:w="205"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220"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238"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402" w:type="pct"/>
            <w:gridSpan w:val="2"/>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left"/>
              <w:rPr>
                <w:rFonts w:asciiTheme="minorEastAsia" w:hAnsiTheme="minorEastAsia" w:cstheme="minorEastAsia"/>
                <w:color w:val="000000"/>
                <w:kern w:val="0"/>
                <w:sz w:val="18"/>
                <w:szCs w:val="18"/>
              </w:rPr>
            </w:pPr>
            <w:r w:rsidRPr="00DC7118">
              <w:rPr>
                <w:rFonts w:asciiTheme="minorEastAsia" w:hAnsiTheme="minorEastAsia" w:cstheme="minorEastAsia" w:hint="eastAsia"/>
                <w:color w:val="000000"/>
                <w:kern w:val="0"/>
                <w:sz w:val="18"/>
                <w:szCs w:val="18"/>
              </w:rPr>
              <w:t>服务请求解决率</w:t>
            </w:r>
          </w:p>
        </w:tc>
        <w:tc>
          <w:tcPr>
            <w:tcW w:w="1369" w:type="pct"/>
            <w:gridSpan w:val="3"/>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≥94%</w:t>
            </w:r>
          </w:p>
        </w:tc>
        <w:tc>
          <w:tcPr>
            <w:tcW w:w="91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95.58%</w:t>
            </w:r>
          </w:p>
        </w:tc>
        <w:tc>
          <w:tcPr>
            <w:tcW w:w="629"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8</w:t>
            </w:r>
          </w:p>
        </w:tc>
        <w:tc>
          <w:tcPr>
            <w:tcW w:w="49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8.00</w:t>
            </w:r>
          </w:p>
        </w:tc>
        <w:tc>
          <w:tcPr>
            <w:tcW w:w="535" w:type="pct"/>
            <w:tcBorders>
              <w:top w:val="single" w:sz="4" w:space="0" w:color="auto"/>
              <w:left w:val="nil"/>
              <w:bottom w:val="single" w:sz="4" w:space="0" w:color="auto"/>
              <w:right w:val="single" w:sz="4" w:space="0" w:color="auto"/>
            </w:tcBorders>
            <w:noWrap/>
            <w:vAlign w:val="center"/>
          </w:tcPr>
          <w:p w:rsidR="00A21152" w:rsidRPr="00DC7118" w:rsidRDefault="00A21152">
            <w:pPr>
              <w:widowControl/>
              <w:spacing w:line="240" w:lineRule="exact"/>
              <w:rPr>
                <w:rFonts w:asciiTheme="minorEastAsia" w:hAnsiTheme="minorEastAsia" w:cstheme="minorEastAsia"/>
                <w:kern w:val="0"/>
                <w:sz w:val="18"/>
                <w:szCs w:val="18"/>
              </w:rPr>
            </w:pPr>
          </w:p>
        </w:tc>
      </w:tr>
      <w:tr w:rsidR="00A21152" w:rsidRPr="00DC7118" w:rsidTr="00DC7118">
        <w:trPr>
          <w:trHeight w:hRule="exact" w:val="850"/>
        </w:trPr>
        <w:tc>
          <w:tcPr>
            <w:tcW w:w="205"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220"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238" w:type="pct"/>
            <w:vMerge w:val="restart"/>
            <w:tcBorders>
              <w:top w:val="single" w:sz="4" w:space="0" w:color="auto"/>
              <w:left w:val="single" w:sz="4" w:space="0" w:color="auto"/>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strike/>
                <w:kern w:val="0"/>
                <w:sz w:val="18"/>
                <w:szCs w:val="18"/>
              </w:rPr>
            </w:pPr>
            <w:r w:rsidRPr="00DC7118">
              <w:rPr>
                <w:rFonts w:asciiTheme="minorEastAsia" w:hAnsiTheme="minorEastAsia" w:cstheme="minorEastAsia" w:hint="eastAsia"/>
                <w:kern w:val="0"/>
                <w:sz w:val="18"/>
                <w:szCs w:val="18"/>
              </w:rPr>
              <w:t>时效指标</w:t>
            </w:r>
          </w:p>
        </w:tc>
        <w:tc>
          <w:tcPr>
            <w:tcW w:w="402" w:type="pct"/>
            <w:gridSpan w:val="2"/>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left"/>
              <w:rPr>
                <w:rFonts w:asciiTheme="minorEastAsia" w:hAnsiTheme="minorEastAsia" w:cstheme="minorEastAsia"/>
                <w:color w:val="000000"/>
                <w:kern w:val="0"/>
                <w:sz w:val="18"/>
                <w:szCs w:val="18"/>
              </w:rPr>
            </w:pPr>
            <w:r w:rsidRPr="00DC7118">
              <w:rPr>
                <w:rFonts w:asciiTheme="minorEastAsia" w:hAnsiTheme="minorEastAsia" w:cstheme="minorEastAsia" w:hint="eastAsia"/>
                <w:color w:val="000000"/>
                <w:kern w:val="0"/>
                <w:sz w:val="18"/>
                <w:szCs w:val="18"/>
              </w:rPr>
              <w:t>2021-2022年度项目验收时间</w:t>
            </w:r>
          </w:p>
        </w:tc>
        <w:tc>
          <w:tcPr>
            <w:tcW w:w="1369" w:type="pct"/>
            <w:gridSpan w:val="3"/>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2022年12月前</w:t>
            </w:r>
          </w:p>
        </w:tc>
        <w:tc>
          <w:tcPr>
            <w:tcW w:w="91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2022年12月8日</w:t>
            </w:r>
          </w:p>
        </w:tc>
        <w:tc>
          <w:tcPr>
            <w:tcW w:w="629"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8</w:t>
            </w:r>
          </w:p>
        </w:tc>
        <w:tc>
          <w:tcPr>
            <w:tcW w:w="49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8.00</w:t>
            </w:r>
          </w:p>
        </w:tc>
        <w:tc>
          <w:tcPr>
            <w:tcW w:w="535" w:type="pct"/>
            <w:tcBorders>
              <w:top w:val="single" w:sz="4" w:space="0" w:color="auto"/>
              <w:left w:val="nil"/>
              <w:bottom w:val="single" w:sz="4" w:space="0" w:color="auto"/>
              <w:right w:val="single" w:sz="4" w:space="0" w:color="auto"/>
            </w:tcBorders>
            <w:noWrap/>
            <w:vAlign w:val="center"/>
          </w:tcPr>
          <w:p w:rsidR="00A21152" w:rsidRPr="00DC7118" w:rsidRDefault="00A21152">
            <w:pPr>
              <w:widowControl/>
              <w:spacing w:line="240" w:lineRule="exact"/>
              <w:rPr>
                <w:rFonts w:asciiTheme="minorEastAsia" w:hAnsiTheme="minorEastAsia" w:cstheme="minorEastAsia"/>
                <w:kern w:val="0"/>
                <w:sz w:val="18"/>
                <w:szCs w:val="18"/>
              </w:rPr>
            </w:pPr>
          </w:p>
        </w:tc>
      </w:tr>
      <w:tr w:rsidR="00A21152" w:rsidRPr="00DC7118" w:rsidTr="00DC7118">
        <w:trPr>
          <w:trHeight w:hRule="exact" w:val="850"/>
        </w:trPr>
        <w:tc>
          <w:tcPr>
            <w:tcW w:w="205"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220"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238"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402" w:type="pct"/>
            <w:gridSpan w:val="2"/>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left"/>
              <w:rPr>
                <w:rFonts w:asciiTheme="minorEastAsia" w:hAnsiTheme="minorEastAsia" w:cstheme="minorEastAsia"/>
                <w:color w:val="000000"/>
                <w:kern w:val="0"/>
                <w:sz w:val="18"/>
                <w:szCs w:val="18"/>
              </w:rPr>
            </w:pPr>
            <w:r w:rsidRPr="00DC7118">
              <w:rPr>
                <w:rFonts w:asciiTheme="minorEastAsia" w:hAnsiTheme="minorEastAsia" w:cstheme="minorEastAsia" w:hint="eastAsia"/>
                <w:color w:val="000000"/>
                <w:kern w:val="0"/>
                <w:sz w:val="18"/>
                <w:szCs w:val="18"/>
              </w:rPr>
              <w:t>2022-2023年度项目采购时间</w:t>
            </w:r>
          </w:p>
        </w:tc>
        <w:tc>
          <w:tcPr>
            <w:tcW w:w="1369" w:type="pct"/>
            <w:gridSpan w:val="3"/>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2022年10月前</w:t>
            </w:r>
          </w:p>
        </w:tc>
        <w:tc>
          <w:tcPr>
            <w:tcW w:w="911" w:type="pct"/>
            <w:tcBorders>
              <w:top w:val="single" w:sz="4" w:space="0" w:color="auto"/>
              <w:left w:val="nil"/>
              <w:bottom w:val="single" w:sz="4" w:space="0" w:color="auto"/>
              <w:right w:val="single" w:sz="4" w:space="0" w:color="auto"/>
            </w:tcBorders>
            <w:shd w:val="clear" w:color="auto" w:fill="auto"/>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2022年9月1日</w:t>
            </w:r>
          </w:p>
        </w:tc>
        <w:tc>
          <w:tcPr>
            <w:tcW w:w="629" w:type="pct"/>
            <w:tcBorders>
              <w:top w:val="single" w:sz="4" w:space="0" w:color="auto"/>
              <w:left w:val="nil"/>
              <w:bottom w:val="single" w:sz="4" w:space="0" w:color="auto"/>
              <w:right w:val="single" w:sz="4" w:space="0" w:color="auto"/>
            </w:tcBorders>
            <w:shd w:val="clear" w:color="auto" w:fill="auto"/>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8</w:t>
            </w:r>
          </w:p>
        </w:tc>
        <w:tc>
          <w:tcPr>
            <w:tcW w:w="491" w:type="pct"/>
            <w:tcBorders>
              <w:top w:val="single" w:sz="4" w:space="0" w:color="auto"/>
              <w:left w:val="nil"/>
              <w:bottom w:val="single" w:sz="4" w:space="0" w:color="auto"/>
              <w:right w:val="single" w:sz="4" w:space="0" w:color="auto"/>
            </w:tcBorders>
            <w:shd w:val="clear" w:color="auto" w:fill="auto"/>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8.00</w:t>
            </w:r>
          </w:p>
        </w:tc>
        <w:tc>
          <w:tcPr>
            <w:tcW w:w="535" w:type="pct"/>
            <w:tcBorders>
              <w:top w:val="single" w:sz="4" w:space="0" w:color="auto"/>
              <w:left w:val="nil"/>
              <w:bottom w:val="single" w:sz="4" w:space="0" w:color="auto"/>
              <w:right w:val="single" w:sz="4" w:space="0" w:color="auto"/>
            </w:tcBorders>
            <w:noWrap/>
            <w:vAlign w:val="center"/>
          </w:tcPr>
          <w:p w:rsidR="00A21152" w:rsidRPr="00DC7118" w:rsidRDefault="00A21152">
            <w:pPr>
              <w:widowControl/>
              <w:spacing w:line="240" w:lineRule="exact"/>
              <w:rPr>
                <w:rFonts w:asciiTheme="minorEastAsia" w:hAnsiTheme="minorEastAsia" w:cstheme="minorEastAsia"/>
                <w:kern w:val="0"/>
                <w:sz w:val="18"/>
                <w:szCs w:val="18"/>
              </w:rPr>
            </w:pPr>
          </w:p>
        </w:tc>
      </w:tr>
      <w:tr w:rsidR="00A21152" w:rsidRPr="00DC7118" w:rsidTr="00DC7118">
        <w:trPr>
          <w:trHeight w:hRule="exact" w:val="2271"/>
        </w:trPr>
        <w:tc>
          <w:tcPr>
            <w:tcW w:w="205"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220"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238" w:type="pct"/>
            <w:tcBorders>
              <w:top w:val="single" w:sz="4" w:space="0" w:color="auto"/>
              <w:left w:val="single" w:sz="4" w:space="0" w:color="auto"/>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成本指标</w:t>
            </w:r>
          </w:p>
        </w:tc>
        <w:tc>
          <w:tcPr>
            <w:tcW w:w="402" w:type="pct"/>
            <w:gridSpan w:val="2"/>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left"/>
              <w:rPr>
                <w:rFonts w:asciiTheme="minorEastAsia" w:hAnsiTheme="minorEastAsia" w:cstheme="minorEastAsia"/>
                <w:color w:val="000000" w:themeColor="text1"/>
                <w:kern w:val="0"/>
                <w:sz w:val="18"/>
                <w:szCs w:val="18"/>
              </w:rPr>
            </w:pPr>
            <w:r w:rsidRPr="00DC7118">
              <w:rPr>
                <w:rFonts w:asciiTheme="minorEastAsia" w:hAnsiTheme="minorEastAsia" w:cstheme="minorEastAsia" w:hint="eastAsia"/>
                <w:color w:val="000000"/>
                <w:kern w:val="0"/>
                <w:sz w:val="18"/>
                <w:szCs w:val="18"/>
              </w:rPr>
              <w:t>项目预算控制数</w:t>
            </w:r>
          </w:p>
        </w:tc>
        <w:tc>
          <w:tcPr>
            <w:tcW w:w="1369" w:type="pct"/>
            <w:gridSpan w:val="3"/>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rPr>
                <w:rFonts w:asciiTheme="minorEastAsia" w:hAnsiTheme="minorEastAsia" w:cstheme="minorEastAsia"/>
                <w:color w:val="000000" w:themeColor="text1"/>
                <w:kern w:val="0"/>
                <w:sz w:val="18"/>
                <w:szCs w:val="18"/>
              </w:rPr>
            </w:pPr>
            <w:r w:rsidRPr="00DC7118">
              <w:rPr>
                <w:rFonts w:asciiTheme="minorEastAsia" w:hAnsiTheme="minorEastAsia" w:cstheme="minorEastAsia" w:hint="eastAsia"/>
                <w:kern w:val="0"/>
                <w:sz w:val="18"/>
                <w:szCs w:val="18"/>
              </w:rPr>
              <w:t>2022年项目成本控制在2000万元以内，其中2021年尾款660.739万元，2022年首付款控制在1339.261万元以内。</w:t>
            </w:r>
          </w:p>
        </w:tc>
        <w:tc>
          <w:tcPr>
            <w:tcW w:w="91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2022年成本1049.148507万元，其中2021年尾款660.739万元，2022年首款388.409507万元。</w:t>
            </w:r>
          </w:p>
        </w:tc>
        <w:tc>
          <w:tcPr>
            <w:tcW w:w="629"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10</w:t>
            </w:r>
          </w:p>
        </w:tc>
        <w:tc>
          <w:tcPr>
            <w:tcW w:w="49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10.00</w:t>
            </w:r>
          </w:p>
        </w:tc>
        <w:tc>
          <w:tcPr>
            <w:tcW w:w="535" w:type="pct"/>
            <w:tcBorders>
              <w:top w:val="single" w:sz="4" w:space="0" w:color="auto"/>
              <w:left w:val="nil"/>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r>
      <w:tr w:rsidR="00A21152" w:rsidRPr="00DC7118" w:rsidTr="00DC7118">
        <w:trPr>
          <w:trHeight w:hRule="exact" w:val="2972"/>
        </w:trPr>
        <w:tc>
          <w:tcPr>
            <w:tcW w:w="205"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220" w:type="pct"/>
            <w:tcBorders>
              <w:top w:val="single" w:sz="4" w:space="0" w:color="auto"/>
              <w:left w:val="single" w:sz="4" w:space="0" w:color="auto"/>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效益指标</w:t>
            </w:r>
          </w:p>
        </w:tc>
        <w:tc>
          <w:tcPr>
            <w:tcW w:w="238" w:type="pct"/>
            <w:tcBorders>
              <w:top w:val="single" w:sz="4" w:space="0" w:color="auto"/>
              <w:left w:val="single" w:sz="4" w:space="0" w:color="auto"/>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社会效益</w:t>
            </w:r>
          </w:p>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指标</w:t>
            </w:r>
          </w:p>
          <w:p w:rsidR="00A21152" w:rsidRPr="00DC7118" w:rsidRDefault="00A21152">
            <w:pPr>
              <w:widowControl/>
              <w:spacing w:line="240" w:lineRule="exact"/>
              <w:jc w:val="center"/>
              <w:rPr>
                <w:rFonts w:asciiTheme="minorEastAsia" w:hAnsiTheme="minorEastAsia" w:cstheme="minorEastAsia"/>
                <w:kern w:val="0"/>
                <w:sz w:val="18"/>
                <w:szCs w:val="18"/>
                <w:highlight w:val="yellow"/>
              </w:rPr>
            </w:pPr>
          </w:p>
        </w:tc>
        <w:tc>
          <w:tcPr>
            <w:tcW w:w="402" w:type="pct"/>
            <w:gridSpan w:val="2"/>
            <w:tcBorders>
              <w:top w:val="single" w:sz="4" w:space="0" w:color="auto"/>
              <w:left w:val="nil"/>
              <w:bottom w:val="single" w:sz="4" w:space="0" w:color="auto"/>
              <w:right w:val="single" w:sz="4" w:space="0" w:color="auto"/>
            </w:tcBorders>
            <w:noWrap/>
            <w:vAlign w:val="center"/>
          </w:tcPr>
          <w:p w:rsidR="00A21152" w:rsidRPr="00DC7118" w:rsidRDefault="00072C78">
            <w:pPr>
              <w:widowControl/>
              <w:jc w:val="left"/>
              <w:textAlignment w:val="center"/>
              <w:rPr>
                <w:rFonts w:asciiTheme="minorEastAsia" w:hAnsiTheme="minorEastAsia" w:cstheme="minorEastAsia"/>
                <w:color w:val="000000" w:themeColor="text1"/>
                <w:kern w:val="0"/>
                <w:sz w:val="18"/>
                <w:szCs w:val="18"/>
              </w:rPr>
            </w:pPr>
            <w:r w:rsidRPr="00DC7118">
              <w:rPr>
                <w:rFonts w:asciiTheme="minorEastAsia" w:hAnsiTheme="minorEastAsia" w:cstheme="minorEastAsia" w:hint="eastAsia"/>
                <w:color w:val="000000" w:themeColor="text1"/>
                <w:kern w:val="0"/>
                <w:sz w:val="18"/>
                <w:szCs w:val="18"/>
              </w:rPr>
              <w:t>社会效益及可持续影响</w:t>
            </w:r>
          </w:p>
        </w:tc>
        <w:tc>
          <w:tcPr>
            <w:tcW w:w="1369" w:type="pct"/>
            <w:gridSpan w:val="3"/>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left"/>
              <w:rPr>
                <w:rFonts w:asciiTheme="minorEastAsia" w:hAnsiTheme="minorEastAsia" w:cstheme="minorEastAsia"/>
                <w:color w:val="000000" w:themeColor="text1"/>
                <w:kern w:val="0"/>
                <w:sz w:val="18"/>
                <w:szCs w:val="18"/>
              </w:rPr>
            </w:pPr>
            <w:r w:rsidRPr="00DC7118">
              <w:rPr>
                <w:rFonts w:asciiTheme="minorEastAsia" w:hAnsiTheme="minorEastAsia" w:cstheme="minorEastAsia" w:hint="eastAsia"/>
                <w:color w:val="000000"/>
                <w:kern w:val="0"/>
                <w:sz w:val="18"/>
                <w:szCs w:val="18"/>
              </w:rPr>
              <w:t>门诊实时结算使参保人员门诊医疗费报销周期由过去的几个月缩短为几十秒，门诊费用实现了“零垫付”，彻底解决了医疗费报销周期长、群众负担重的问题，每年减轻个人负担400亿元。杜绝利用交易数据骗保行为，避免基金损失。做到了交易场景的真实再现，节省了基金审核人员对交易数据校验、核差的工作。</w:t>
            </w:r>
          </w:p>
        </w:tc>
        <w:tc>
          <w:tcPr>
            <w:tcW w:w="91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100%</w:t>
            </w:r>
          </w:p>
        </w:tc>
        <w:tc>
          <w:tcPr>
            <w:tcW w:w="629"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5</w:t>
            </w:r>
          </w:p>
        </w:tc>
        <w:tc>
          <w:tcPr>
            <w:tcW w:w="49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5.00</w:t>
            </w:r>
          </w:p>
        </w:tc>
        <w:tc>
          <w:tcPr>
            <w:tcW w:w="535" w:type="pct"/>
            <w:tcBorders>
              <w:top w:val="single" w:sz="4" w:space="0" w:color="auto"/>
              <w:left w:val="nil"/>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r>
      <w:tr w:rsidR="00A21152" w:rsidRPr="00DC7118" w:rsidTr="00DC7118">
        <w:trPr>
          <w:trHeight w:hRule="exact" w:val="789"/>
        </w:trPr>
        <w:tc>
          <w:tcPr>
            <w:tcW w:w="205" w:type="pct"/>
            <w:vMerge/>
            <w:tcBorders>
              <w:top w:val="single" w:sz="4" w:space="0" w:color="auto"/>
              <w:left w:val="single" w:sz="4" w:space="0" w:color="auto"/>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c>
          <w:tcPr>
            <w:tcW w:w="220" w:type="pct"/>
            <w:tcBorders>
              <w:top w:val="single" w:sz="4" w:space="0" w:color="auto"/>
              <w:left w:val="single" w:sz="4" w:space="0" w:color="auto"/>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满意度</w:t>
            </w:r>
          </w:p>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指标</w:t>
            </w:r>
          </w:p>
        </w:tc>
        <w:tc>
          <w:tcPr>
            <w:tcW w:w="238" w:type="pct"/>
            <w:tcBorders>
              <w:top w:val="single" w:sz="4" w:space="0" w:color="auto"/>
              <w:left w:val="single" w:sz="4" w:space="0" w:color="auto"/>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color w:val="000000" w:themeColor="text1"/>
                <w:kern w:val="0"/>
                <w:sz w:val="18"/>
                <w:szCs w:val="18"/>
              </w:rPr>
            </w:pPr>
            <w:r w:rsidRPr="00DC7118">
              <w:rPr>
                <w:rFonts w:asciiTheme="minorEastAsia" w:hAnsiTheme="minorEastAsia" w:cstheme="minorEastAsia" w:hint="eastAsia"/>
                <w:color w:val="000000" w:themeColor="text1"/>
                <w:kern w:val="0"/>
                <w:sz w:val="18"/>
                <w:szCs w:val="18"/>
              </w:rPr>
              <w:t>服务对象满意度标</w:t>
            </w:r>
          </w:p>
        </w:tc>
        <w:tc>
          <w:tcPr>
            <w:tcW w:w="402" w:type="pct"/>
            <w:gridSpan w:val="2"/>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left"/>
              <w:rPr>
                <w:rFonts w:asciiTheme="minorEastAsia" w:hAnsiTheme="minorEastAsia" w:cstheme="minorEastAsia"/>
                <w:color w:val="000000" w:themeColor="text1"/>
                <w:kern w:val="0"/>
                <w:sz w:val="18"/>
                <w:szCs w:val="18"/>
              </w:rPr>
            </w:pPr>
            <w:r w:rsidRPr="00DC7118">
              <w:rPr>
                <w:rFonts w:asciiTheme="minorEastAsia" w:hAnsiTheme="minorEastAsia" w:cstheme="minorEastAsia" w:hint="eastAsia"/>
                <w:color w:val="000000" w:themeColor="text1"/>
                <w:kern w:val="0"/>
                <w:sz w:val="18"/>
                <w:szCs w:val="18"/>
              </w:rPr>
              <w:t>系统使用人员满意度</w:t>
            </w:r>
          </w:p>
        </w:tc>
        <w:tc>
          <w:tcPr>
            <w:tcW w:w="1369" w:type="pct"/>
            <w:gridSpan w:val="3"/>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color w:val="000000" w:themeColor="text1"/>
                <w:kern w:val="0"/>
                <w:sz w:val="18"/>
                <w:szCs w:val="18"/>
              </w:rPr>
            </w:pPr>
            <w:r w:rsidRPr="00DC7118">
              <w:rPr>
                <w:rFonts w:asciiTheme="minorEastAsia" w:hAnsiTheme="minorEastAsia" w:cstheme="minorEastAsia" w:hint="eastAsia"/>
                <w:color w:val="000000" w:themeColor="text1"/>
                <w:kern w:val="0"/>
                <w:sz w:val="18"/>
                <w:szCs w:val="18"/>
              </w:rPr>
              <w:t>≥90%</w:t>
            </w:r>
          </w:p>
        </w:tc>
        <w:tc>
          <w:tcPr>
            <w:tcW w:w="91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96.14%</w:t>
            </w:r>
          </w:p>
        </w:tc>
        <w:tc>
          <w:tcPr>
            <w:tcW w:w="629"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5</w:t>
            </w:r>
          </w:p>
        </w:tc>
        <w:tc>
          <w:tcPr>
            <w:tcW w:w="49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5.00</w:t>
            </w:r>
          </w:p>
        </w:tc>
        <w:tc>
          <w:tcPr>
            <w:tcW w:w="535" w:type="pct"/>
            <w:tcBorders>
              <w:top w:val="single" w:sz="4" w:space="0" w:color="auto"/>
              <w:left w:val="nil"/>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r>
      <w:tr w:rsidR="00A21152" w:rsidRPr="00DC7118" w:rsidTr="00DC7118">
        <w:trPr>
          <w:trHeight w:hRule="exact" w:val="477"/>
        </w:trPr>
        <w:tc>
          <w:tcPr>
            <w:tcW w:w="3345" w:type="pct"/>
            <w:gridSpan w:val="9"/>
            <w:tcBorders>
              <w:top w:val="single" w:sz="4" w:space="0" w:color="auto"/>
              <w:left w:val="single" w:sz="4" w:space="0" w:color="auto"/>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color w:val="000000"/>
                <w:kern w:val="0"/>
                <w:sz w:val="18"/>
                <w:szCs w:val="18"/>
              </w:rPr>
            </w:pPr>
            <w:r w:rsidRPr="00DC7118">
              <w:rPr>
                <w:rFonts w:asciiTheme="minorEastAsia" w:hAnsiTheme="minorEastAsia" w:cstheme="minorEastAsia" w:hint="eastAsia"/>
                <w:color w:val="000000"/>
                <w:kern w:val="0"/>
                <w:sz w:val="18"/>
                <w:szCs w:val="18"/>
              </w:rPr>
              <w:t>总分</w:t>
            </w:r>
          </w:p>
        </w:tc>
        <w:tc>
          <w:tcPr>
            <w:tcW w:w="629"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100</w:t>
            </w:r>
          </w:p>
        </w:tc>
        <w:tc>
          <w:tcPr>
            <w:tcW w:w="491" w:type="pct"/>
            <w:tcBorders>
              <w:top w:val="single" w:sz="4" w:space="0" w:color="auto"/>
              <w:left w:val="nil"/>
              <w:bottom w:val="single" w:sz="4" w:space="0" w:color="auto"/>
              <w:right w:val="single" w:sz="4" w:space="0" w:color="auto"/>
            </w:tcBorders>
            <w:noWrap/>
            <w:vAlign w:val="center"/>
          </w:tcPr>
          <w:p w:rsidR="00A21152" w:rsidRPr="00DC7118" w:rsidRDefault="00072C78">
            <w:pPr>
              <w:widowControl/>
              <w:spacing w:line="240" w:lineRule="exact"/>
              <w:jc w:val="center"/>
              <w:rPr>
                <w:rFonts w:asciiTheme="minorEastAsia" w:hAnsiTheme="minorEastAsia" w:cstheme="minorEastAsia"/>
                <w:kern w:val="0"/>
                <w:sz w:val="18"/>
                <w:szCs w:val="18"/>
              </w:rPr>
            </w:pPr>
            <w:r w:rsidRPr="00DC7118">
              <w:rPr>
                <w:rFonts w:asciiTheme="minorEastAsia" w:hAnsiTheme="minorEastAsia" w:cstheme="minorEastAsia" w:hint="eastAsia"/>
                <w:kern w:val="0"/>
                <w:sz w:val="18"/>
                <w:szCs w:val="18"/>
              </w:rPr>
              <w:t>95.25</w:t>
            </w:r>
          </w:p>
        </w:tc>
        <w:tc>
          <w:tcPr>
            <w:tcW w:w="535" w:type="pct"/>
            <w:tcBorders>
              <w:top w:val="single" w:sz="4" w:space="0" w:color="auto"/>
              <w:left w:val="nil"/>
              <w:bottom w:val="single" w:sz="4" w:space="0" w:color="auto"/>
              <w:right w:val="single" w:sz="4" w:space="0" w:color="auto"/>
            </w:tcBorders>
            <w:noWrap/>
            <w:vAlign w:val="center"/>
          </w:tcPr>
          <w:p w:rsidR="00A21152" w:rsidRPr="00DC7118" w:rsidRDefault="00A21152">
            <w:pPr>
              <w:widowControl/>
              <w:spacing w:line="240" w:lineRule="exact"/>
              <w:jc w:val="center"/>
              <w:rPr>
                <w:rFonts w:asciiTheme="minorEastAsia" w:hAnsiTheme="minorEastAsia" w:cstheme="minorEastAsia"/>
                <w:kern w:val="0"/>
                <w:sz w:val="18"/>
                <w:szCs w:val="18"/>
              </w:rPr>
            </w:pPr>
          </w:p>
        </w:tc>
      </w:tr>
      <w:bookmarkEnd w:id="0"/>
    </w:tbl>
    <w:p w:rsidR="00A21152" w:rsidRDefault="00A21152">
      <w:pPr>
        <w:spacing w:line="240" w:lineRule="exact"/>
        <w:rPr>
          <w:rFonts w:ascii="仿宋_GB2312" w:eastAsia="仿宋_GB2312" w:hAnsi="宋体"/>
          <w:sz w:val="30"/>
          <w:szCs w:val="30"/>
        </w:rPr>
      </w:pPr>
    </w:p>
    <w:p w:rsidR="00A21152" w:rsidRDefault="00A21152">
      <w:pPr>
        <w:rPr>
          <w:rFonts w:ascii="仿宋_GB2312" w:eastAsia="仿宋_GB2312"/>
          <w:vanish/>
          <w:sz w:val="32"/>
          <w:szCs w:val="32"/>
        </w:rPr>
      </w:pPr>
    </w:p>
    <w:p w:rsidR="00A21152" w:rsidRDefault="00A21152">
      <w:pPr>
        <w:rPr>
          <w:rFonts w:ascii="仿宋_GB2312" w:eastAsia="仿宋_GB2312" w:hAnsi="宋体" w:cs="宋体"/>
          <w:color w:val="000000"/>
          <w:kern w:val="0"/>
          <w:sz w:val="32"/>
          <w:szCs w:val="32"/>
        </w:rPr>
      </w:pPr>
    </w:p>
    <w:sectPr w:rsidR="00A21152" w:rsidSect="00A21152">
      <w:pgSz w:w="11906" w:h="16838"/>
      <w:pgMar w:top="1440" w:right="1040" w:bottom="1440" w:left="9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5C6E" w:rsidRDefault="009D5C6E" w:rsidP="00DC7118">
      <w:r>
        <w:separator/>
      </w:r>
    </w:p>
  </w:endnote>
  <w:endnote w:type="continuationSeparator" w:id="1">
    <w:p w:rsidR="009D5C6E" w:rsidRDefault="009D5C6E" w:rsidP="00DC71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5C6E" w:rsidRDefault="009D5C6E" w:rsidP="00DC7118">
      <w:r>
        <w:separator/>
      </w:r>
    </w:p>
  </w:footnote>
  <w:footnote w:type="continuationSeparator" w:id="1">
    <w:p w:rsidR="009D5C6E" w:rsidRDefault="009D5C6E" w:rsidP="00DC711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TE2NTQzZDdiNTBmZGNkMjJkNzMyZjgyN2U4MTg0NTgifQ=="/>
  </w:docVars>
  <w:rsids>
    <w:rsidRoot w:val="00A21152"/>
    <w:rsid w:val="C77F01CC"/>
    <w:rsid w:val="00072C78"/>
    <w:rsid w:val="00630278"/>
    <w:rsid w:val="0085606B"/>
    <w:rsid w:val="009D5C6E"/>
    <w:rsid w:val="00A21152"/>
    <w:rsid w:val="00DC7118"/>
    <w:rsid w:val="01623A12"/>
    <w:rsid w:val="045768E7"/>
    <w:rsid w:val="04E376A2"/>
    <w:rsid w:val="07A024F9"/>
    <w:rsid w:val="099F7A3A"/>
    <w:rsid w:val="0E4271D1"/>
    <w:rsid w:val="11FB1926"/>
    <w:rsid w:val="122358D1"/>
    <w:rsid w:val="133B3709"/>
    <w:rsid w:val="15C24C52"/>
    <w:rsid w:val="1774760B"/>
    <w:rsid w:val="186757FF"/>
    <w:rsid w:val="1B1E2A01"/>
    <w:rsid w:val="1D2B65CE"/>
    <w:rsid w:val="1EAE625C"/>
    <w:rsid w:val="20AA122E"/>
    <w:rsid w:val="22A73F6E"/>
    <w:rsid w:val="274E68CF"/>
    <w:rsid w:val="28621E35"/>
    <w:rsid w:val="2A2658E2"/>
    <w:rsid w:val="31BB74DA"/>
    <w:rsid w:val="31CE5713"/>
    <w:rsid w:val="360F7B72"/>
    <w:rsid w:val="381C54BD"/>
    <w:rsid w:val="3C9875D7"/>
    <w:rsid w:val="3D0D77A4"/>
    <w:rsid w:val="412832C3"/>
    <w:rsid w:val="43954618"/>
    <w:rsid w:val="46242FDD"/>
    <w:rsid w:val="46586CE9"/>
    <w:rsid w:val="475C623E"/>
    <w:rsid w:val="4A036E24"/>
    <w:rsid w:val="4B403F34"/>
    <w:rsid w:val="4E1F4272"/>
    <w:rsid w:val="4EDF237F"/>
    <w:rsid w:val="527C2485"/>
    <w:rsid w:val="527F4BC1"/>
    <w:rsid w:val="53DC6131"/>
    <w:rsid w:val="541C45DB"/>
    <w:rsid w:val="54F947B1"/>
    <w:rsid w:val="57FF5E77"/>
    <w:rsid w:val="5FFE1F39"/>
    <w:rsid w:val="608B58E7"/>
    <w:rsid w:val="64A21774"/>
    <w:rsid w:val="66CD561A"/>
    <w:rsid w:val="68E40C6F"/>
    <w:rsid w:val="6D5A137B"/>
    <w:rsid w:val="6FC05BA7"/>
    <w:rsid w:val="73E5D70F"/>
    <w:rsid w:val="749A4364"/>
    <w:rsid w:val="75412B9C"/>
    <w:rsid w:val="755B470C"/>
    <w:rsid w:val="768537A4"/>
    <w:rsid w:val="76D33CC8"/>
    <w:rsid w:val="77F63D07"/>
    <w:rsid w:val="78765B8F"/>
    <w:rsid w:val="7A3C29EF"/>
    <w:rsid w:val="7C013B46"/>
    <w:rsid w:val="7C3569D8"/>
    <w:rsid w:val="7CE86B63"/>
    <w:rsid w:val="7DBD4DB2"/>
    <w:rsid w:val="7E803C11"/>
    <w:rsid w:val="9ABFD8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iPriority="99" w:unhideWhenUsed="1" w:qFormat="1"/>
    <w:lsdException w:name="footer" w:qFormat="1"/>
    <w:lsdException w:name="caption" w:semiHidden="1" w:unhideWhenUsed="1" w:qFormat="1"/>
    <w:lsdException w:name="annotation reference" w:semiHidden="1" w:uiPriority="99"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A21152"/>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A21152"/>
    <w:pPr>
      <w:spacing w:after="120"/>
    </w:pPr>
    <w:rPr>
      <w:rFonts w:ascii="Calibri" w:eastAsia="宋体" w:hAnsi="Calibri"/>
    </w:rPr>
  </w:style>
  <w:style w:type="paragraph" w:styleId="a4">
    <w:name w:val="annotation text"/>
    <w:basedOn w:val="a"/>
    <w:uiPriority w:val="99"/>
    <w:semiHidden/>
    <w:unhideWhenUsed/>
    <w:qFormat/>
    <w:rsid w:val="00A21152"/>
    <w:pPr>
      <w:jc w:val="left"/>
    </w:pPr>
  </w:style>
  <w:style w:type="paragraph" w:styleId="a5">
    <w:name w:val="footer"/>
    <w:basedOn w:val="a"/>
    <w:qFormat/>
    <w:rsid w:val="00A21152"/>
    <w:pPr>
      <w:tabs>
        <w:tab w:val="center" w:pos="4153"/>
        <w:tab w:val="right" w:pos="8306"/>
      </w:tabs>
      <w:snapToGrid w:val="0"/>
      <w:jc w:val="left"/>
    </w:pPr>
    <w:rPr>
      <w:sz w:val="18"/>
    </w:rPr>
  </w:style>
  <w:style w:type="character" w:styleId="a6">
    <w:name w:val="annotation reference"/>
    <w:basedOn w:val="a1"/>
    <w:uiPriority w:val="99"/>
    <w:semiHidden/>
    <w:unhideWhenUsed/>
    <w:qFormat/>
    <w:rsid w:val="00A21152"/>
    <w:rPr>
      <w:sz w:val="21"/>
      <w:szCs w:val="21"/>
    </w:rPr>
  </w:style>
  <w:style w:type="paragraph" w:styleId="a7">
    <w:name w:val="header"/>
    <w:basedOn w:val="a"/>
    <w:link w:val="Char"/>
    <w:rsid w:val="00DC71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7"/>
    <w:rsid w:val="00DC7118"/>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160</Words>
  <Characters>912</Characters>
  <Application>Microsoft Office Word</Application>
  <DocSecurity>0</DocSecurity>
  <Lines>7</Lines>
  <Paragraphs>2</Paragraphs>
  <ScaleCrop>false</ScaleCrop>
  <Company>Lenovo</Company>
  <LinksUpToDate>false</LinksUpToDate>
  <CharactersWithSpaces>1070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Molly</dc:creator>
  <cp:lastModifiedBy>kjq</cp:lastModifiedBy>
  <cp:revision>3</cp:revision>
  <dcterms:created xsi:type="dcterms:W3CDTF">2023-04-19T00:25:00Z</dcterms:created>
  <dcterms:modified xsi:type="dcterms:W3CDTF">2023-04-24T10:02:00Z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07E34BA6602D4246AF130D9EE745540A</vt:lpwstr>
  </property>
</Properties>
</file>