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2B6" w:rsidRDefault="00941ECC">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0A52B6" w:rsidRDefault="00941ECC" w:rsidP="00953BFD">
      <w:pPr>
        <w:spacing w:line="480" w:lineRule="exact"/>
        <w:jc w:val="center"/>
        <w:rPr>
          <w:rFonts w:ascii="仿宋_GB2312" w:eastAsia="仿宋_GB2312" w:hAnsi="宋体"/>
          <w:sz w:val="28"/>
          <w:szCs w:val="28"/>
        </w:rPr>
      </w:pPr>
      <w:r>
        <w:rPr>
          <w:rFonts w:ascii="宋体" w:eastAsia="宋体" w:hAnsi="宋体" w:cs="宋体" w:hint="eastAsia"/>
          <w:sz w:val="28"/>
          <w:szCs w:val="28"/>
        </w:rPr>
        <w:t>（2022 年度）</w:t>
      </w:r>
    </w:p>
    <w:p w:rsidR="000A52B6" w:rsidRDefault="000A52B6">
      <w:pPr>
        <w:spacing w:line="240" w:lineRule="exact"/>
        <w:rPr>
          <w:rFonts w:ascii="仿宋_GB2312" w:eastAsia="仿宋_GB2312" w:hAnsi="宋体"/>
          <w:sz w:val="30"/>
          <w:szCs w:val="30"/>
        </w:rPr>
      </w:pPr>
    </w:p>
    <w:tbl>
      <w:tblPr>
        <w:tblW w:w="9178" w:type="dxa"/>
        <w:jc w:val="center"/>
        <w:tblLayout w:type="fixed"/>
        <w:tblLook w:val="04A0"/>
      </w:tblPr>
      <w:tblGrid>
        <w:gridCol w:w="585"/>
        <w:gridCol w:w="709"/>
        <w:gridCol w:w="1017"/>
        <w:gridCol w:w="1483"/>
        <w:gridCol w:w="700"/>
        <w:gridCol w:w="1384"/>
        <w:gridCol w:w="1150"/>
        <w:gridCol w:w="454"/>
        <w:gridCol w:w="96"/>
        <w:gridCol w:w="683"/>
        <w:gridCol w:w="67"/>
        <w:gridCol w:w="850"/>
      </w:tblGrid>
      <w:tr w:rsidR="000A52B6">
        <w:trPr>
          <w:trHeight w:hRule="exact" w:val="306"/>
          <w:jc w:val="center"/>
        </w:trPr>
        <w:tc>
          <w:tcPr>
            <w:tcW w:w="1294" w:type="dxa"/>
            <w:gridSpan w:val="2"/>
            <w:tcBorders>
              <w:top w:val="single" w:sz="4" w:space="0" w:color="auto"/>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项目名称</w:t>
            </w:r>
          </w:p>
        </w:tc>
        <w:tc>
          <w:tcPr>
            <w:tcW w:w="7884" w:type="dxa"/>
            <w:gridSpan w:val="10"/>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医药卫生领域价格管理工作经费</w:t>
            </w:r>
          </w:p>
        </w:tc>
      </w:tr>
      <w:tr w:rsidR="000A52B6">
        <w:trPr>
          <w:trHeight w:hRule="exact" w:val="306"/>
          <w:jc w:val="center"/>
        </w:trPr>
        <w:tc>
          <w:tcPr>
            <w:tcW w:w="1294" w:type="dxa"/>
            <w:gridSpan w:val="2"/>
            <w:tcBorders>
              <w:top w:val="single" w:sz="4" w:space="0" w:color="auto"/>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主管部门</w:t>
            </w:r>
          </w:p>
        </w:tc>
        <w:tc>
          <w:tcPr>
            <w:tcW w:w="4584" w:type="dxa"/>
            <w:gridSpan w:val="4"/>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北京市医疗保障局</w:t>
            </w:r>
          </w:p>
        </w:tc>
        <w:tc>
          <w:tcPr>
            <w:tcW w:w="115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实施单位</w:t>
            </w:r>
          </w:p>
        </w:tc>
        <w:tc>
          <w:tcPr>
            <w:tcW w:w="2150" w:type="dxa"/>
            <w:gridSpan w:val="5"/>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价格招采处</w:t>
            </w:r>
          </w:p>
        </w:tc>
      </w:tr>
      <w:tr w:rsidR="000A52B6">
        <w:trPr>
          <w:trHeight w:hRule="exact" w:val="306"/>
          <w:jc w:val="center"/>
        </w:trPr>
        <w:tc>
          <w:tcPr>
            <w:tcW w:w="1294" w:type="dxa"/>
            <w:gridSpan w:val="2"/>
            <w:tcBorders>
              <w:top w:val="single" w:sz="4" w:space="0" w:color="auto"/>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项目负责人</w:t>
            </w:r>
          </w:p>
        </w:tc>
        <w:tc>
          <w:tcPr>
            <w:tcW w:w="4584" w:type="dxa"/>
            <w:gridSpan w:val="4"/>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王阿帅</w:t>
            </w:r>
          </w:p>
        </w:tc>
        <w:tc>
          <w:tcPr>
            <w:tcW w:w="115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联系电话</w:t>
            </w:r>
          </w:p>
        </w:tc>
        <w:tc>
          <w:tcPr>
            <w:tcW w:w="2150" w:type="dxa"/>
            <w:gridSpan w:val="5"/>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89152560</w:t>
            </w:r>
          </w:p>
        </w:tc>
      </w:tr>
      <w:tr w:rsidR="000A52B6">
        <w:trPr>
          <w:trHeight w:hRule="exact" w:val="923"/>
          <w:jc w:val="center"/>
        </w:trPr>
        <w:tc>
          <w:tcPr>
            <w:tcW w:w="1294" w:type="dxa"/>
            <w:gridSpan w:val="2"/>
            <w:vMerge w:val="restart"/>
            <w:tcBorders>
              <w:top w:val="single" w:sz="4" w:space="0" w:color="auto"/>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项目资金</w:t>
            </w:r>
            <w:r>
              <w:rPr>
                <w:rFonts w:ascii="宋体" w:eastAsia="宋体" w:hAnsi="宋体" w:cs="宋体" w:hint="eastAsia"/>
                <w:kern w:val="0"/>
                <w:szCs w:val="21"/>
              </w:rPr>
              <w:br/>
              <w:t>（万元）</w:t>
            </w:r>
          </w:p>
        </w:tc>
        <w:tc>
          <w:tcPr>
            <w:tcW w:w="2500" w:type="dxa"/>
            <w:gridSpan w:val="2"/>
            <w:tcBorders>
              <w:top w:val="single" w:sz="4" w:space="0" w:color="auto"/>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70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年初预</w:t>
            </w:r>
          </w:p>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算数</w:t>
            </w:r>
          </w:p>
        </w:tc>
        <w:tc>
          <w:tcPr>
            <w:tcW w:w="1384"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全年预</w:t>
            </w:r>
          </w:p>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算数</w:t>
            </w:r>
          </w:p>
        </w:tc>
        <w:tc>
          <w:tcPr>
            <w:tcW w:w="115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全年</w:t>
            </w:r>
          </w:p>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执行数</w:t>
            </w:r>
          </w:p>
        </w:tc>
        <w:tc>
          <w:tcPr>
            <w:tcW w:w="454"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分值</w:t>
            </w:r>
          </w:p>
        </w:tc>
        <w:tc>
          <w:tcPr>
            <w:tcW w:w="846" w:type="dxa"/>
            <w:gridSpan w:val="3"/>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执行率</w:t>
            </w:r>
          </w:p>
        </w:tc>
        <w:tc>
          <w:tcPr>
            <w:tcW w:w="85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得分</w:t>
            </w:r>
          </w:p>
        </w:tc>
      </w:tr>
      <w:tr w:rsidR="000A52B6">
        <w:trPr>
          <w:trHeight w:hRule="exact" w:val="368"/>
          <w:jc w:val="center"/>
        </w:trPr>
        <w:tc>
          <w:tcPr>
            <w:tcW w:w="1294" w:type="dxa"/>
            <w:gridSpan w:val="2"/>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2500"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rPr>
                <w:rFonts w:ascii="宋体" w:eastAsia="宋体" w:hAnsi="宋体" w:cs="宋体"/>
                <w:kern w:val="0"/>
                <w:szCs w:val="21"/>
              </w:rPr>
            </w:pPr>
            <w:r>
              <w:rPr>
                <w:rFonts w:ascii="宋体" w:eastAsia="宋体" w:hAnsi="宋体" w:cs="宋体" w:hint="eastAsia"/>
                <w:kern w:val="0"/>
                <w:szCs w:val="21"/>
              </w:rPr>
              <w:t>年度资金总额</w:t>
            </w:r>
          </w:p>
        </w:tc>
        <w:tc>
          <w:tcPr>
            <w:tcW w:w="70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1384"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115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8.33</w:t>
            </w:r>
          </w:p>
        </w:tc>
        <w:tc>
          <w:tcPr>
            <w:tcW w:w="454"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846" w:type="dxa"/>
            <w:gridSpan w:val="3"/>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83.3%</w:t>
            </w:r>
          </w:p>
        </w:tc>
        <w:tc>
          <w:tcPr>
            <w:tcW w:w="85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8.33</w:t>
            </w:r>
          </w:p>
        </w:tc>
      </w:tr>
      <w:tr w:rsidR="000A52B6">
        <w:trPr>
          <w:trHeight w:hRule="exact" w:val="389"/>
          <w:jc w:val="center"/>
        </w:trPr>
        <w:tc>
          <w:tcPr>
            <w:tcW w:w="1294" w:type="dxa"/>
            <w:gridSpan w:val="2"/>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2500"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rPr>
                <w:rFonts w:ascii="宋体" w:eastAsia="宋体" w:hAnsi="宋体" w:cs="宋体"/>
                <w:kern w:val="0"/>
                <w:szCs w:val="21"/>
              </w:rPr>
            </w:pPr>
            <w:r>
              <w:rPr>
                <w:rFonts w:ascii="宋体" w:eastAsia="宋体" w:hAnsi="宋体" w:cs="宋体" w:hint="eastAsia"/>
                <w:kern w:val="0"/>
                <w:szCs w:val="21"/>
              </w:rPr>
              <w:t>其中：当年财政拨款</w:t>
            </w:r>
          </w:p>
        </w:tc>
        <w:tc>
          <w:tcPr>
            <w:tcW w:w="70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1384"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115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8.33</w:t>
            </w:r>
          </w:p>
        </w:tc>
        <w:tc>
          <w:tcPr>
            <w:tcW w:w="454"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c>
          <w:tcPr>
            <w:tcW w:w="846" w:type="dxa"/>
            <w:gridSpan w:val="3"/>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83.3%</w:t>
            </w:r>
          </w:p>
        </w:tc>
        <w:tc>
          <w:tcPr>
            <w:tcW w:w="85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r>
      <w:tr w:rsidR="000A52B6">
        <w:trPr>
          <w:trHeight w:hRule="exact" w:val="413"/>
          <w:jc w:val="center"/>
        </w:trPr>
        <w:tc>
          <w:tcPr>
            <w:tcW w:w="1294" w:type="dxa"/>
            <w:gridSpan w:val="2"/>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2500"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 xml:space="preserve">   上年结转资金</w:t>
            </w:r>
          </w:p>
        </w:tc>
        <w:tc>
          <w:tcPr>
            <w:tcW w:w="700" w:type="dxa"/>
            <w:tcBorders>
              <w:top w:val="nil"/>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1384" w:type="dxa"/>
            <w:tcBorders>
              <w:top w:val="nil"/>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1150" w:type="dxa"/>
            <w:tcBorders>
              <w:top w:val="nil"/>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454"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c>
          <w:tcPr>
            <w:tcW w:w="846" w:type="dxa"/>
            <w:gridSpan w:val="3"/>
            <w:tcBorders>
              <w:top w:val="single" w:sz="4" w:space="0" w:color="auto"/>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85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r>
      <w:tr w:rsidR="000A52B6">
        <w:trPr>
          <w:trHeight w:hRule="exact" w:val="306"/>
          <w:jc w:val="center"/>
        </w:trPr>
        <w:tc>
          <w:tcPr>
            <w:tcW w:w="1294" w:type="dxa"/>
            <w:gridSpan w:val="2"/>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2500"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 xml:space="preserve">  其他资金</w:t>
            </w:r>
          </w:p>
        </w:tc>
        <w:tc>
          <w:tcPr>
            <w:tcW w:w="700" w:type="dxa"/>
            <w:tcBorders>
              <w:top w:val="nil"/>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1384" w:type="dxa"/>
            <w:tcBorders>
              <w:top w:val="nil"/>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1150" w:type="dxa"/>
            <w:tcBorders>
              <w:top w:val="nil"/>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454"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c>
          <w:tcPr>
            <w:tcW w:w="846" w:type="dxa"/>
            <w:gridSpan w:val="3"/>
            <w:tcBorders>
              <w:top w:val="single" w:sz="4" w:space="0" w:color="auto"/>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850" w:type="dxa"/>
            <w:tcBorders>
              <w:top w:val="nil"/>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r>
      <w:tr w:rsidR="000A52B6">
        <w:trPr>
          <w:trHeight w:hRule="exact" w:val="548"/>
          <w:jc w:val="center"/>
        </w:trPr>
        <w:tc>
          <w:tcPr>
            <w:tcW w:w="585" w:type="dxa"/>
            <w:vMerge w:val="restart"/>
            <w:tcBorders>
              <w:top w:val="nil"/>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年度总体目标</w:t>
            </w:r>
          </w:p>
        </w:tc>
        <w:tc>
          <w:tcPr>
            <w:tcW w:w="5293" w:type="dxa"/>
            <w:gridSpan w:val="5"/>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预期目标</w:t>
            </w:r>
          </w:p>
        </w:tc>
        <w:tc>
          <w:tcPr>
            <w:tcW w:w="3300" w:type="dxa"/>
            <w:gridSpan w:val="6"/>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实际完成情况</w:t>
            </w:r>
          </w:p>
        </w:tc>
      </w:tr>
      <w:tr w:rsidR="000A52B6">
        <w:trPr>
          <w:trHeight w:hRule="exact" w:val="2271"/>
          <w:jc w:val="center"/>
        </w:trPr>
        <w:tc>
          <w:tcPr>
            <w:tcW w:w="585" w:type="dxa"/>
            <w:vMerge/>
            <w:tcBorders>
              <w:top w:val="nil"/>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5293" w:type="dxa"/>
            <w:gridSpan w:val="5"/>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按照国家及本市要求，研究制定医药卫生领域价格政策措施，建立和完善医药价格形成机制，深入推进医药价格改革，促进医疗资源合理配置，规范医疗行为，维护医患双方合法权益。</w:t>
            </w:r>
          </w:p>
        </w:tc>
        <w:tc>
          <w:tcPr>
            <w:tcW w:w="3300" w:type="dxa"/>
            <w:gridSpan w:val="6"/>
            <w:tcBorders>
              <w:top w:val="single" w:sz="4" w:space="0" w:color="auto"/>
              <w:left w:val="nil"/>
              <w:bottom w:val="single" w:sz="4" w:space="0" w:color="auto"/>
              <w:right w:val="single" w:sz="4" w:space="0" w:color="auto"/>
            </w:tcBorders>
            <w:noWrap/>
            <w:vAlign w:val="center"/>
          </w:tcPr>
          <w:p w:rsidR="000A52B6" w:rsidRDefault="00941ECC" w:rsidP="002B2A45">
            <w:pPr>
              <w:widowControl/>
              <w:spacing w:line="240" w:lineRule="exact"/>
              <w:jc w:val="left"/>
              <w:rPr>
                <w:rFonts w:ascii="宋体" w:eastAsia="宋体" w:hAnsi="宋体" w:cs="宋体"/>
                <w:kern w:val="0"/>
                <w:szCs w:val="21"/>
              </w:rPr>
            </w:pPr>
            <w:r>
              <w:rPr>
                <w:rFonts w:ascii="宋体" w:eastAsia="宋体" w:hAnsi="宋体" w:cs="宋体" w:hint="eastAsia"/>
                <w:kern w:val="0"/>
                <w:szCs w:val="21"/>
              </w:rPr>
              <w:t>组织125人次的各领域专家召开医疗服务动态调整及新增医疗服务价格管理论证会，并初步形成规范调整方案，按程序报国家局审核。</w:t>
            </w:r>
          </w:p>
        </w:tc>
      </w:tr>
      <w:tr w:rsidR="000A52B6">
        <w:trPr>
          <w:trHeight w:hRule="exact" w:val="1077"/>
          <w:jc w:val="center"/>
        </w:trPr>
        <w:tc>
          <w:tcPr>
            <w:tcW w:w="585" w:type="dxa"/>
            <w:vMerge w:val="restart"/>
            <w:tcBorders>
              <w:top w:val="single" w:sz="4" w:space="0" w:color="auto"/>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绩</w:t>
            </w:r>
            <w:r>
              <w:rPr>
                <w:rFonts w:ascii="宋体" w:eastAsia="宋体" w:hAnsi="宋体" w:cs="宋体" w:hint="eastAsia"/>
                <w:kern w:val="0"/>
                <w:szCs w:val="21"/>
              </w:rPr>
              <w:br/>
              <w:t>效</w:t>
            </w:r>
            <w:r>
              <w:rPr>
                <w:rFonts w:ascii="宋体" w:eastAsia="宋体" w:hAnsi="宋体" w:cs="宋体" w:hint="eastAsia"/>
                <w:kern w:val="0"/>
                <w:szCs w:val="21"/>
              </w:rPr>
              <w:br/>
              <w:t>指</w:t>
            </w:r>
            <w:r>
              <w:rPr>
                <w:rFonts w:ascii="宋体" w:eastAsia="宋体" w:hAnsi="宋体" w:cs="宋体" w:hint="eastAsia"/>
                <w:kern w:val="0"/>
                <w:szCs w:val="21"/>
              </w:rPr>
              <w:br/>
              <w:t>标</w:t>
            </w:r>
          </w:p>
        </w:tc>
        <w:tc>
          <w:tcPr>
            <w:tcW w:w="709"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一级指标</w:t>
            </w:r>
          </w:p>
        </w:tc>
        <w:tc>
          <w:tcPr>
            <w:tcW w:w="1017"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二级指标</w:t>
            </w:r>
          </w:p>
        </w:tc>
        <w:tc>
          <w:tcPr>
            <w:tcW w:w="2183"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三级指标</w:t>
            </w:r>
          </w:p>
        </w:tc>
        <w:tc>
          <w:tcPr>
            <w:tcW w:w="1384"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年度</w:t>
            </w:r>
          </w:p>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指标值</w:t>
            </w:r>
          </w:p>
        </w:tc>
        <w:tc>
          <w:tcPr>
            <w:tcW w:w="1150"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实际</w:t>
            </w:r>
          </w:p>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完成值</w:t>
            </w:r>
          </w:p>
        </w:tc>
        <w:tc>
          <w:tcPr>
            <w:tcW w:w="550"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分值</w:t>
            </w:r>
          </w:p>
        </w:tc>
        <w:tc>
          <w:tcPr>
            <w:tcW w:w="683"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得分</w:t>
            </w:r>
          </w:p>
        </w:tc>
        <w:tc>
          <w:tcPr>
            <w:tcW w:w="917"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偏差原因分析及改进</w:t>
            </w:r>
          </w:p>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措施</w:t>
            </w:r>
          </w:p>
        </w:tc>
      </w:tr>
      <w:tr w:rsidR="000A52B6">
        <w:trPr>
          <w:trHeight w:hRule="exact" w:val="767"/>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产出指标</w:t>
            </w:r>
          </w:p>
        </w:tc>
        <w:tc>
          <w:tcPr>
            <w:tcW w:w="1017" w:type="dxa"/>
            <w:tcBorders>
              <w:top w:val="single" w:sz="4" w:space="0" w:color="auto"/>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数量指标</w:t>
            </w:r>
          </w:p>
        </w:tc>
        <w:tc>
          <w:tcPr>
            <w:tcW w:w="2183"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专家论证会</w:t>
            </w:r>
          </w:p>
        </w:tc>
        <w:tc>
          <w:tcPr>
            <w:tcW w:w="1384"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≥10次</w:t>
            </w:r>
          </w:p>
        </w:tc>
        <w:tc>
          <w:tcPr>
            <w:tcW w:w="1150"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25</w:t>
            </w:r>
          </w:p>
        </w:tc>
        <w:tc>
          <w:tcPr>
            <w:tcW w:w="550"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683"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917" w:type="dxa"/>
            <w:gridSpan w:val="2"/>
            <w:tcBorders>
              <w:top w:val="single" w:sz="4" w:space="0" w:color="auto"/>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r>
      <w:tr w:rsidR="000A52B6">
        <w:trPr>
          <w:trHeight w:hRule="exact" w:val="1610"/>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1017" w:type="dxa"/>
            <w:tcBorders>
              <w:top w:val="single" w:sz="4" w:space="0" w:color="auto"/>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质量指标</w:t>
            </w:r>
          </w:p>
        </w:tc>
        <w:tc>
          <w:tcPr>
            <w:tcW w:w="2183"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通过组织专家，召开医药价格管理方面的论证会，为下一步医药价格改革深化提出具体建议。</w:t>
            </w:r>
          </w:p>
        </w:tc>
        <w:tc>
          <w:tcPr>
            <w:tcW w:w="1384"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初步形成专家意见</w:t>
            </w:r>
          </w:p>
        </w:tc>
        <w:tc>
          <w:tcPr>
            <w:tcW w:w="1150"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根据专家意见，形成本市规范调整方案。</w:t>
            </w:r>
          </w:p>
        </w:tc>
        <w:tc>
          <w:tcPr>
            <w:tcW w:w="550"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683"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917" w:type="dxa"/>
            <w:gridSpan w:val="2"/>
            <w:tcBorders>
              <w:top w:val="single" w:sz="4" w:space="0" w:color="auto"/>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r>
      <w:tr w:rsidR="000A52B6">
        <w:trPr>
          <w:trHeight w:hRule="exact" w:val="2537"/>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1017" w:type="dxa"/>
            <w:tcBorders>
              <w:top w:val="single" w:sz="4" w:space="0" w:color="auto"/>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进度指标</w:t>
            </w:r>
          </w:p>
        </w:tc>
        <w:tc>
          <w:tcPr>
            <w:tcW w:w="2183"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年底前完成医药卫生领域价格改革和管理相关论证工作</w:t>
            </w:r>
          </w:p>
        </w:tc>
        <w:tc>
          <w:tcPr>
            <w:tcW w:w="1384"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根据国家及市委市政府的工作部署，按照医疗服务价格动态调整机制，在2022年适时开展相关论证工作。</w:t>
            </w:r>
          </w:p>
        </w:tc>
        <w:tc>
          <w:tcPr>
            <w:tcW w:w="1150"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组织125人次的各领域专家召开论证会</w:t>
            </w:r>
          </w:p>
        </w:tc>
        <w:tc>
          <w:tcPr>
            <w:tcW w:w="550"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683"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917" w:type="dxa"/>
            <w:gridSpan w:val="2"/>
            <w:tcBorders>
              <w:top w:val="single" w:sz="4" w:space="0" w:color="auto"/>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r>
      <w:tr w:rsidR="000A52B6">
        <w:trPr>
          <w:trHeight w:hRule="exact" w:val="203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1017" w:type="dxa"/>
            <w:tcBorders>
              <w:top w:val="single" w:sz="4" w:space="0" w:color="auto"/>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成本指标</w:t>
            </w:r>
          </w:p>
        </w:tc>
        <w:tc>
          <w:tcPr>
            <w:tcW w:w="2183"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工作经费共计10万元</w:t>
            </w:r>
          </w:p>
        </w:tc>
        <w:tc>
          <w:tcPr>
            <w:tcW w:w="1384"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10万</w:t>
            </w:r>
          </w:p>
        </w:tc>
        <w:tc>
          <w:tcPr>
            <w:tcW w:w="1150"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8.33</w:t>
            </w:r>
          </w:p>
        </w:tc>
        <w:tc>
          <w:tcPr>
            <w:tcW w:w="550"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683"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16.6</w:t>
            </w:r>
          </w:p>
        </w:tc>
        <w:tc>
          <w:tcPr>
            <w:tcW w:w="917" w:type="dxa"/>
            <w:gridSpan w:val="2"/>
            <w:tcBorders>
              <w:top w:val="single" w:sz="4" w:space="0" w:color="auto"/>
              <w:left w:val="nil"/>
              <w:bottom w:val="single" w:sz="4" w:space="0" w:color="auto"/>
              <w:right w:val="single" w:sz="4" w:space="0" w:color="auto"/>
            </w:tcBorders>
            <w:noWrap/>
            <w:vAlign w:val="center"/>
          </w:tcPr>
          <w:p w:rsidR="000A52B6" w:rsidRDefault="00941ECC" w:rsidP="002B2A45">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主要原因为</w:t>
            </w:r>
            <w:r w:rsidR="002B2A45">
              <w:rPr>
                <w:rFonts w:ascii="宋体" w:eastAsia="宋体" w:hAnsi="宋体" w:cs="宋体" w:hint="eastAsia"/>
                <w:kern w:val="0"/>
                <w:szCs w:val="21"/>
              </w:rPr>
              <w:t>落实防疫政策</w:t>
            </w:r>
            <w:r>
              <w:rPr>
                <w:rFonts w:ascii="宋体" w:eastAsia="宋体" w:hAnsi="宋体" w:cs="宋体" w:hint="eastAsia"/>
                <w:kern w:val="0"/>
                <w:szCs w:val="21"/>
              </w:rPr>
              <w:t>，专家会数量不及预期。</w:t>
            </w:r>
          </w:p>
        </w:tc>
      </w:tr>
      <w:tr w:rsidR="000A52B6" w:rsidTr="00953BFD">
        <w:trPr>
          <w:trHeight w:hRule="exact" w:val="3488"/>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c>
          <w:tcPr>
            <w:tcW w:w="1017" w:type="dxa"/>
            <w:tcBorders>
              <w:top w:val="single" w:sz="4" w:space="0" w:color="auto"/>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可持续影响指标</w:t>
            </w:r>
          </w:p>
        </w:tc>
        <w:tc>
          <w:tcPr>
            <w:tcW w:w="2183"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可持续影响</w:t>
            </w:r>
          </w:p>
        </w:tc>
        <w:tc>
          <w:tcPr>
            <w:tcW w:w="1384"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进一步深化本市医药卫生体制改革，推进价格形成机制不断完善，巩固公立医院补偿新机制，促进行业有序健康发展。</w:t>
            </w:r>
          </w:p>
        </w:tc>
        <w:tc>
          <w:tcPr>
            <w:tcW w:w="1150"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完成医疗服务动态调整及新增医疗服务价格管理论证，进一步完善本市医疗服务价格政策.</w:t>
            </w:r>
          </w:p>
        </w:tc>
        <w:tc>
          <w:tcPr>
            <w:tcW w:w="550"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683"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917" w:type="dxa"/>
            <w:gridSpan w:val="2"/>
            <w:tcBorders>
              <w:top w:val="single" w:sz="4" w:space="0" w:color="auto"/>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r>
      <w:tr w:rsidR="000A52B6">
        <w:trPr>
          <w:trHeight w:hRule="exact" w:val="477"/>
          <w:jc w:val="center"/>
        </w:trPr>
        <w:tc>
          <w:tcPr>
            <w:tcW w:w="7028" w:type="dxa"/>
            <w:gridSpan w:val="7"/>
            <w:tcBorders>
              <w:top w:val="single" w:sz="4" w:space="0" w:color="auto"/>
              <w:left w:val="single" w:sz="4" w:space="0" w:color="auto"/>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总分</w:t>
            </w:r>
          </w:p>
        </w:tc>
        <w:tc>
          <w:tcPr>
            <w:tcW w:w="550" w:type="dxa"/>
            <w:gridSpan w:val="2"/>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100</w:t>
            </w:r>
          </w:p>
        </w:tc>
        <w:tc>
          <w:tcPr>
            <w:tcW w:w="683" w:type="dxa"/>
            <w:tcBorders>
              <w:top w:val="single" w:sz="4" w:space="0" w:color="auto"/>
              <w:left w:val="nil"/>
              <w:bottom w:val="single" w:sz="4" w:space="0" w:color="auto"/>
              <w:right w:val="single" w:sz="4" w:space="0" w:color="auto"/>
            </w:tcBorders>
            <w:noWrap/>
            <w:vAlign w:val="center"/>
          </w:tcPr>
          <w:p w:rsidR="000A52B6" w:rsidRDefault="00941ECC">
            <w:pPr>
              <w:widowControl/>
              <w:spacing w:line="2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96.6</w:t>
            </w:r>
          </w:p>
        </w:tc>
        <w:tc>
          <w:tcPr>
            <w:tcW w:w="917" w:type="dxa"/>
            <w:gridSpan w:val="2"/>
            <w:tcBorders>
              <w:top w:val="single" w:sz="4" w:space="0" w:color="auto"/>
              <w:left w:val="nil"/>
              <w:bottom w:val="single" w:sz="4" w:space="0" w:color="auto"/>
              <w:right w:val="single" w:sz="4" w:space="0" w:color="auto"/>
            </w:tcBorders>
            <w:noWrap/>
            <w:vAlign w:val="center"/>
          </w:tcPr>
          <w:p w:rsidR="000A52B6" w:rsidRDefault="000A52B6">
            <w:pPr>
              <w:widowControl/>
              <w:spacing w:line="240" w:lineRule="exact"/>
              <w:jc w:val="center"/>
              <w:rPr>
                <w:rFonts w:ascii="宋体" w:eastAsia="宋体" w:hAnsi="宋体" w:cs="宋体"/>
                <w:kern w:val="0"/>
                <w:szCs w:val="21"/>
              </w:rPr>
            </w:pPr>
          </w:p>
        </w:tc>
      </w:tr>
    </w:tbl>
    <w:p w:rsidR="000A52B6" w:rsidRDefault="000A52B6">
      <w:pPr>
        <w:rPr>
          <w:rFonts w:ascii="仿宋_GB2312" w:eastAsia="仿宋_GB2312"/>
          <w:vanish/>
          <w:sz w:val="32"/>
          <w:szCs w:val="32"/>
        </w:rPr>
      </w:pPr>
    </w:p>
    <w:sectPr w:rsidR="000A52B6" w:rsidSect="000A52B6">
      <w:footerReference w:type="default" r:id="rId7"/>
      <w:footerReference w:type="first" r:id="rId8"/>
      <w:pgSz w:w="11906" w:h="16838"/>
      <w:pgMar w:top="1701" w:right="1474" w:bottom="1134" w:left="1474"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36DC" w:rsidRDefault="006436DC" w:rsidP="000A52B6">
      <w:r>
        <w:separator/>
      </w:r>
    </w:p>
  </w:endnote>
  <w:endnote w:type="continuationSeparator" w:id="1">
    <w:p w:rsidR="006436DC" w:rsidRDefault="006436DC" w:rsidP="000A52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B6" w:rsidRDefault="00815F9B">
    <w:pPr>
      <w:pStyle w:val="a4"/>
    </w:pPr>
    <w:r>
      <w:pict>
        <v:shapetype id="_x0000_t202" coordsize="21600,21600" o:spt="202" path="m,l,21600r21600,l21600,xe">
          <v:stroke joinstyle="miter"/>
          <v:path gradientshapeok="t" o:connecttype="rect"/>
        </v:shapetype>
        <v:shape id="_x0000_s1027" type="#_x0000_t202" style="position:absolute;margin-left:0;margin-top:0;width:2in;height:2in;z-index:251659264;mso-wrap-style:none;mso-position-horizontal:center;mso-position-horizontal-relative:margin"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HTBAHQIAACsEAAAOAAAAZHJz&#10;L2Uyb0RvYy54bWytU82O0zAQviPxDpbvNGkRq1I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AQdMEAdAgAAKwQAAA4AAAAAAAAAAQAgAAAANQEAAGRycy9lMm9Eb2MueG1sUEsF&#10;BgAAAAAGAAYAWQEAAMQFAAAAAA==&#10;" filled="f" stroked="f" strokeweight=".5pt">
          <v:textbox style="mso-fit-shape-to-text:t" inset="0,0,0,0">
            <w:txbxContent>
              <w:p w:rsidR="000A52B6" w:rsidRDefault="00815F9B">
                <w:pPr>
                  <w:pStyle w:val="a4"/>
                  <w:rPr>
                    <w:sz w:val="24"/>
                  </w:rPr>
                </w:pPr>
                <w:r>
                  <w:rPr>
                    <w:rFonts w:ascii="仿宋" w:eastAsia="仿宋" w:hAnsi="仿宋" w:cs="仿宋" w:hint="eastAsia"/>
                    <w:sz w:val="24"/>
                  </w:rPr>
                  <w:fldChar w:fldCharType="begin"/>
                </w:r>
                <w:r w:rsidR="00941ECC">
                  <w:rPr>
                    <w:rFonts w:ascii="仿宋" w:eastAsia="仿宋" w:hAnsi="仿宋" w:cs="仿宋" w:hint="eastAsia"/>
                    <w:sz w:val="24"/>
                  </w:rPr>
                  <w:instrText xml:space="preserve"> PAGE  \* MERGEFORMAT </w:instrText>
                </w:r>
                <w:r>
                  <w:rPr>
                    <w:rFonts w:ascii="仿宋" w:eastAsia="仿宋" w:hAnsi="仿宋" w:cs="仿宋" w:hint="eastAsia"/>
                    <w:sz w:val="24"/>
                  </w:rPr>
                  <w:fldChar w:fldCharType="separate"/>
                </w:r>
                <w:r w:rsidR="002B2A45">
                  <w:rPr>
                    <w:rFonts w:ascii="仿宋" w:eastAsia="仿宋" w:hAnsi="仿宋" w:cs="仿宋"/>
                    <w:noProof/>
                    <w:sz w:val="24"/>
                  </w:rPr>
                  <w:t>- 2 -</w:t>
                </w:r>
                <w:r>
                  <w:rPr>
                    <w:rFonts w:ascii="仿宋" w:eastAsia="仿宋" w:hAnsi="仿宋" w:cs="仿宋" w:hint="eastAsia"/>
                    <w:sz w:val="24"/>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B6" w:rsidRDefault="00815F9B">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MpAKUdAgAAKwQAAA4AAAAAAAAAAQAgAAAANQEAAGRycy9lMm9Eb2MueG1sUEsF&#10;BgAAAAAGAAYAWQEAAMQFAAAAAA==&#10;" filled="f" stroked="f" strokeweight=".5pt">
          <v:textbox style="mso-fit-shape-to-text:t" inset="0,0,0,0">
            <w:txbxContent>
              <w:p w:rsidR="000A52B6" w:rsidRDefault="000A52B6">
                <w:pPr>
                  <w:pStyle w:val="a4"/>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36DC" w:rsidRDefault="006436DC" w:rsidP="000A52B6">
      <w:r>
        <w:separator/>
      </w:r>
    </w:p>
  </w:footnote>
  <w:footnote w:type="continuationSeparator" w:id="1">
    <w:p w:rsidR="006436DC" w:rsidRDefault="006436DC" w:rsidP="000A52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52B6"/>
    <w:rsid w:val="FB9F10BD"/>
    <w:rsid w:val="FBEA792F"/>
    <w:rsid w:val="FD7BBD2C"/>
    <w:rsid w:val="FE794C3E"/>
    <w:rsid w:val="FF399032"/>
    <w:rsid w:val="FF783AD1"/>
    <w:rsid w:val="000A52B6"/>
    <w:rsid w:val="002B2A45"/>
    <w:rsid w:val="006436DC"/>
    <w:rsid w:val="00815F9B"/>
    <w:rsid w:val="00941ECC"/>
    <w:rsid w:val="00953BFD"/>
    <w:rsid w:val="17DD1E2F"/>
    <w:rsid w:val="21E27D5B"/>
    <w:rsid w:val="3537D635"/>
    <w:rsid w:val="37FF6850"/>
    <w:rsid w:val="3EFEA0D5"/>
    <w:rsid w:val="4DFFDE36"/>
    <w:rsid w:val="55C845DA"/>
    <w:rsid w:val="579FC9B3"/>
    <w:rsid w:val="5D760808"/>
    <w:rsid w:val="5F5CD534"/>
    <w:rsid w:val="5F7FB086"/>
    <w:rsid w:val="5FEFCAB5"/>
    <w:rsid w:val="5FFF4234"/>
    <w:rsid w:val="65736BA6"/>
    <w:rsid w:val="66FB565B"/>
    <w:rsid w:val="6B8B1113"/>
    <w:rsid w:val="6DFB221F"/>
    <w:rsid w:val="6EEBE936"/>
    <w:rsid w:val="6F190D49"/>
    <w:rsid w:val="6F6FC577"/>
    <w:rsid w:val="6FE78C22"/>
    <w:rsid w:val="6FFD501D"/>
    <w:rsid w:val="78B97659"/>
    <w:rsid w:val="79AF0BFE"/>
    <w:rsid w:val="7AFF3BE2"/>
    <w:rsid w:val="7EEB2FEA"/>
    <w:rsid w:val="7FB680AE"/>
    <w:rsid w:val="7FBB60F9"/>
    <w:rsid w:val="7FEF8405"/>
    <w:rsid w:val="7FF22199"/>
    <w:rsid w:val="7FFE8EFB"/>
    <w:rsid w:val="7FFFFC84"/>
    <w:rsid w:val="9ADD9AA0"/>
    <w:rsid w:val="ABDE22F6"/>
    <w:rsid w:val="AF7458B4"/>
    <w:rsid w:val="B7FB7B7C"/>
    <w:rsid w:val="B93AFE88"/>
    <w:rsid w:val="BA7B23C6"/>
    <w:rsid w:val="BD777447"/>
    <w:rsid w:val="BEDFD2E3"/>
    <w:rsid w:val="C98798E5"/>
    <w:rsid w:val="CCB78206"/>
    <w:rsid w:val="DC37E72D"/>
    <w:rsid w:val="DEFBD86F"/>
    <w:rsid w:val="E6E525AF"/>
    <w:rsid w:val="E7FEEFF3"/>
    <w:rsid w:val="EFAF54AB"/>
    <w:rsid w:val="EFBFBDCF"/>
    <w:rsid w:val="F3FDFEA8"/>
    <w:rsid w:val="F538DCE7"/>
    <w:rsid w:val="F7D7418A"/>
    <w:rsid w:val="F7F35F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52B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0A52B6"/>
    <w:pPr>
      <w:spacing w:after="120"/>
    </w:pPr>
    <w:rPr>
      <w:rFonts w:ascii="Calibri" w:eastAsia="宋体" w:hAnsi="Calibri"/>
    </w:rPr>
  </w:style>
  <w:style w:type="paragraph" w:styleId="a4">
    <w:name w:val="footer"/>
    <w:basedOn w:val="a"/>
    <w:qFormat/>
    <w:rsid w:val="000A52B6"/>
    <w:pPr>
      <w:tabs>
        <w:tab w:val="center" w:pos="4153"/>
        <w:tab w:val="right" w:pos="8306"/>
      </w:tabs>
      <w:snapToGrid w:val="0"/>
      <w:jc w:val="left"/>
    </w:pPr>
    <w:rPr>
      <w:sz w:val="18"/>
    </w:rPr>
  </w:style>
  <w:style w:type="paragraph" w:styleId="a5">
    <w:name w:val="header"/>
    <w:basedOn w:val="a"/>
    <w:qFormat/>
    <w:rsid w:val="000A52B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List Paragraph"/>
    <w:basedOn w:val="a"/>
    <w:uiPriority w:val="34"/>
    <w:qFormat/>
    <w:rsid w:val="000A52B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131</Words>
  <Characters>749</Characters>
  <Application>Microsoft Office Word</Application>
  <DocSecurity>0</DocSecurity>
  <Lines>6</Lines>
  <Paragraphs>1</Paragraphs>
  <ScaleCrop>false</ScaleCrop>
  <Company>Lenovo</Company>
  <LinksUpToDate>false</LinksUpToDate>
  <CharactersWithSpaces>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北京市医疗保障局 承办单位</dc:title>
  <dc:creator>tmh</dc:creator>
  <cp:lastModifiedBy>kjq</cp:lastModifiedBy>
  <cp:revision>3</cp:revision>
  <dcterms:created xsi:type="dcterms:W3CDTF">2021-09-09T22:11:00Z</dcterms:created>
  <dcterms:modified xsi:type="dcterms:W3CDTF">2023-05-17T08:28:00Z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