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bookmarkStart w:id="0" w:name="_GoBack"/>
      <w:bookmarkEnd w:id="0"/>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hint="eastAsia" w:ascii="宋体" w:hAnsi="宋体" w:cs="宋体"/>
          <w:sz w:val="28"/>
          <w:szCs w:val="28"/>
        </w:rPr>
        <w:t xml:space="preserve">  （2022 年度）</w:t>
      </w:r>
    </w:p>
    <w:p>
      <w:pPr>
        <w:spacing w:line="240" w:lineRule="exact"/>
        <w:rPr>
          <w:rFonts w:hint="eastAsia" w:ascii="仿宋_GB2312" w:hAnsi="宋体" w:eastAsia="仿宋_GB2312"/>
          <w:sz w:val="30"/>
          <w:szCs w:val="30"/>
        </w:rPr>
      </w:pPr>
    </w:p>
    <w:tbl>
      <w:tblPr>
        <w:tblStyle w:val="4"/>
        <w:tblW w:w="9297" w:type="dxa"/>
        <w:jc w:val="center"/>
        <w:tblLayout w:type="fixed"/>
        <w:tblCellMar>
          <w:top w:w="0" w:type="dxa"/>
          <w:left w:w="108" w:type="dxa"/>
          <w:bottom w:w="0" w:type="dxa"/>
          <w:right w:w="108" w:type="dxa"/>
        </w:tblCellMar>
      </w:tblPr>
      <w:tblGrid>
        <w:gridCol w:w="585"/>
        <w:gridCol w:w="975"/>
        <w:gridCol w:w="1105"/>
        <w:gridCol w:w="1129"/>
        <w:gridCol w:w="852"/>
        <w:gridCol w:w="156"/>
        <w:gridCol w:w="849"/>
        <w:gridCol w:w="848"/>
        <w:gridCol w:w="279"/>
        <w:gridCol w:w="284"/>
        <w:gridCol w:w="420"/>
        <w:gridCol w:w="603"/>
        <w:gridCol w:w="243"/>
        <w:gridCol w:w="969"/>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项目名称</w:t>
            </w:r>
          </w:p>
        </w:tc>
        <w:tc>
          <w:tcPr>
            <w:tcW w:w="7737"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医疗保障基金监管经费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北京市医疗保障局</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实施单位</w:t>
            </w:r>
          </w:p>
        </w:tc>
        <w:tc>
          <w:tcPr>
            <w:tcW w:w="251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基金监管处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范样改</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联系电话</w:t>
            </w:r>
          </w:p>
        </w:tc>
        <w:tc>
          <w:tcPr>
            <w:tcW w:w="251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89152552</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项目资金</w:t>
            </w:r>
            <w:r>
              <w:rPr>
                <w:rFonts w:hint="eastAsia" w:ascii="宋体" w:hAnsi="宋体" w:cs="宋体"/>
                <w:kern w:val="0"/>
                <w:szCs w:val="21"/>
              </w:rPr>
              <w:br w:type="textWrapping"/>
            </w:r>
            <w:r>
              <w:rPr>
                <w:rFonts w:hint="eastAsia" w:ascii="宋体" w:hAnsi="宋体" w:cs="宋体"/>
                <w:kern w:val="0"/>
                <w:szCs w:val="21"/>
              </w:rPr>
              <w:t>（万元）</w:t>
            </w:r>
          </w:p>
        </w:tc>
        <w:tc>
          <w:tcPr>
            <w:tcW w:w="22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85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年初预</w:t>
            </w:r>
          </w:p>
          <w:p>
            <w:pPr>
              <w:widowControl/>
              <w:spacing w:line="240" w:lineRule="exact"/>
              <w:jc w:val="center"/>
              <w:rPr>
                <w:rFonts w:hint="eastAsia" w:ascii="宋体" w:hAnsi="宋体" w:cs="宋体"/>
                <w:kern w:val="0"/>
                <w:szCs w:val="21"/>
              </w:rPr>
            </w:pPr>
            <w:r>
              <w:rPr>
                <w:rFonts w:hint="eastAsia" w:ascii="宋体" w:hAnsi="宋体" w:cs="宋体"/>
                <w:kern w:val="0"/>
                <w:szCs w:val="21"/>
              </w:rPr>
              <w:t>算数</w:t>
            </w:r>
          </w:p>
        </w:tc>
        <w:tc>
          <w:tcPr>
            <w:tcW w:w="10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全年预</w:t>
            </w:r>
          </w:p>
          <w:p>
            <w:pPr>
              <w:widowControl/>
              <w:spacing w:line="240" w:lineRule="exact"/>
              <w:jc w:val="center"/>
              <w:rPr>
                <w:rFonts w:hint="eastAsia" w:ascii="宋体" w:hAnsi="宋体" w:cs="宋体"/>
                <w:kern w:val="0"/>
                <w:szCs w:val="21"/>
              </w:rPr>
            </w:pPr>
            <w:r>
              <w:rPr>
                <w:rFonts w:hint="eastAsia" w:ascii="宋体" w:hAnsi="宋体"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全年</w:t>
            </w:r>
          </w:p>
          <w:p>
            <w:pPr>
              <w:widowControl/>
              <w:spacing w:line="240" w:lineRule="exact"/>
              <w:jc w:val="center"/>
              <w:rPr>
                <w:rFonts w:hint="eastAsia" w:ascii="宋体" w:hAnsi="宋体" w:cs="宋体"/>
                <w:kern w:val="0"/>
                <w:szCs w:val="21"/>
              </w:rPr>
            </w:pPr>
            <w:r>
              <w:rPr>
                <w:rFonts w:hint="eastAsia" w:ascii="宋体" w:hAnsi="宋体"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执行率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得分</w:t>
            </w:r>
          </w:p>
        </w:tc>
      </w:tr>
      <w:tr>
        <w:tblPrEx>
          <w:tblCellMar>
            <w:top w:w="0" w:type="dxa"/>
            <w:left w:w="108" w:type="dxa"/>
            <w:bottom w:w="0" w:type="dxa"/>
            <w:right w:w="108" w:type="dxa"/>
          </w:tblCellMar>
        </w:tblPrEx>
        <w:trPr>
          <w:trHeight w:val="36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22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宋体" w:hAnsi="宋体" w:cs="宋体"/>
                <w:kern w:val="0"/>
                <w:szCs w:val="21"/>
              </w:rPr>
            </w:pPr>
            <w:r>
              <w:rPr>
                <w:rFonts w:hint="eastAsia" w:ascii="宋体" w:hAnsi="宋体" w:cs="宋体"/>
                <w:kern w:val="0"/>
                <w:szCs w:val="21"/>
              </w:rPr>
              <w:t>年度资金总额</w:t>
            </w:r>
          </w:p>
        </w:tc>
        <w:tc>
          <w:tcPr>
            <w:tcW w:w="85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0</w:t>
            </w:r>
          </w:p>
        </w:tc>
        <w:tc>
          <w:tcPr>
            <w:tcW w:w="10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9.22</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ascii="宋体" w:hAnsi="宋体" w:cs="宋体"/>
                <w:kern w:val="0"/>
                <w:szCs w:val="21"/>
              </w:rPr>
              <w:t>3.02</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ascii="宋体" w:hAnsi="宋体" w:cs="宋体"/>
                <w:kern w:val="0"/>
                <w:szCs w:val="21"/>
              </w:rPr>
              <w:t>32.75</w:t>
            </w:r>
            <w:r>
              <w:rPr>
                <w:rFonts w:hint="eastAsia" w:ascii="宋体" w:hAnsi="宋体" w:cs="宋体"/>
                <w:kern w:val="0"/>
                <w:szCs w:val="21"/>
              </w:rPr>
              <w:t>%</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ascii="宋体" w:hAnsi="宋体" w:cs="宋体"/>
                <w:kern w:val="0"/>
                <w:szCs w:val="21"/>
              </w:rPr>
              <w:t>3.28</w:t>
            </w:r>
          </w:p>
        </w:tc>
      </w:tr>
      <w:tr>
        <w:tblPrEx>
          <w:tblCellMar>
            <w:top w:w="0" w:type="dxa"/>
            <w:left w:w="108" w:type="dxa"/>
            <w:bottom w:w="0" w:type="dxa"/>
            <w:right w:w="108" w:type="dxa"/>
          </w:tblCellMar>
        </w:tblPrEx>
        <w:trPr>
          <w:trHeight w:val="45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22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宋体" w:hAnsi="宋体" w:cs="宋体"/>
                <w:kern w:val="0"/>
                <w:szCs w:val="21"/>
              </w:rPr>
            </w:pPr>
            <w:r>
              <w:rPr>
                <w:rFonts w:hint="eastAsia" w:ascii="宋体" w:hAnsi="宋体" w:cs="宋体"/>
                <w:kern w:val="0"/>
                <w:szCs w:val="21"/>
              </w:rPr>
              <w:t>其中：当年财政拨款</w:t>
            </w:r>
          </w:p>
        </w:tc>
        <w:tc>
          <w:tcPr>
            <w:tcW w:w="85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0</w:t>
            </w:r>
          </w:p>
        </w:tc>
        <w:tc>
          <w:tcPr>
            <w:tcW w:w="10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9.22</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ascii="宋体" w:hAnsi="宋体" w:cs="宋体"/>
                <w:kern w:val="0"/>
                <w:szCs w:val="21"/>
              </w:rPr>
              <w:t>3.02</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41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22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 xml:space="preserve">   上年结转资金</w:t>
            </w:r>
          </w:p>
        </w:tc>
        <w:tc>
          <w:tcPr>
            <w:tcW w:w="85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0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223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 xml:space="preserve">  其他资金</w:t>
            </w:r>
          </w:p>
        </w:tc>
        <w:tc>
          <w:tcPr>
            <w:tcW w:w="85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0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预期目标</w:t>
            </w:r>
          </w:p>
        </w:tc>
        <w:tc>
          <w:tcPr>
            <w:tcW w:w="364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实际完成情况</w:t>
            </w:r>
          </w:p>
        </w:tc>
      </w:tr>
      <w:tr>
        <w:tblPrEx>
          <w:tblCellMar>
            <w:top w:w="0" w:type="dxa"/>
            <w:left w:w="108" w:type="dxa"/>
            <w:bottom w:w="0" w:type="dxa"/>
            <w:right w:w="108" w:type="dxa"/>
          </w:tblCellMar>
        </w:tblPrEx>
        <w:trPr>
          <w:trHeight w:val="1953"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widowControl/>
              <w:numPr>
                <w:ilvl w:val="0"/>
                <w:numId w:val="1"/>
              </w:numPr>
              <w:spacing w:line="240" w:lineRule="exact"/>
              <w:jc w:val="left"/>
              <w:rPr>
                <w:rFonts w:hint="eastAsia" w:ascii="宋体" w:hAnsi="宋体" w:cs="宋体"/>
                <w:kern w:val="0"/>
                <w:sz w:val="15"/>
                <w:szCs w:val="15"/>
              </w:rPr>
            </w:pPr>
            <w:r>
              <w:rPr>
                <w:rFonts w:hint="eastAsia" w:ascii="宋体" w:hAnsi="宋体" w:cs="宋体"/>
                <w:kern w:val="0"/>
                <w:sz w:val="15"/>
                <w:szCs w:val="15"/>
              </w:rPr>
              <w:t>聘请会计师事务所等第三方机构的专业人员，协助开展对北京市医保中心的监督检查，支付专家劳务费。</w:t>
            </w:r>
          </w:p>
          <w:p>
            <w:pPr>
              <w:widowControl/>
              <w:spacing w:line="240" w:lineRule="exact"/>
              <w:jc w:val="left"/>
              <w:rPr>
                <w:rFonts w:hint="eastAsia" w:ascii="宋体" w:hAnsi="宋体" w:cs="宋体"/>
                <w:kern w:val="0"/>
                <w:sz w:val="15"/>
                <w:szCs w:val="15"/>
              </w:rPr>
            </w:pPr>
            <w:r>
              <w:rPr>
                <w:rFonts w:hint="eastAsia" w:ascii="宋体" w:hAnsi="宋体" w:cs="宋体"/>
                <w:kern w:val="0"/>
                <w:sz w:val="15"/>
                <w:szCs w:val="15"/>
              </w:rPr>
              <w:t>2.鼓励社会各界举报欺诈骗取医保基金行为，对提供相关线索并查证属实的举报人予以奖励。</w:t>
            </w:r>
          </w:p>
          <w:p>
            <w:pPr>
              <w:widowControl/>
              <w:spacing w:line="240" w:lineRule="exact"/>
              <w:jc w:val="left"/>
              <w:rPr>
                <w:rFonts w:hint="eastAsia" w:ascii="宋体" w:hAnsi="宋体" w:cs="宋体"/>
                <w:kern w:val="0"/>
                <w:szCs w:val="21"/>
              </w:rPr>
            </w:pPr>
            <w:r>
              <w:rPr>
                <w:rFonts w:hint="eastAsia" w:ascii="宋体" w:hAnsi="宋体" w:cs="宋体"/>
                <w:kern w:val="0"/>
                <w:sz w:val="15"/>
                <w:szCs w:val="15"/>
              </w:rPr>
              <w:t>3.邀请专家的总数不少于15人，费用控制不超过1.2万元，专家们对基金监管政策制定、基金监管争议问题处理、基金监管检查开展等基金监管工作提出有参考价值的意见建议。</w:t>
            </w:r>
          </w:p>
        </w:tc>
        <w:tc>
          <w:tcPr>
            <w:tcW w:w="364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1.聘请14名专家协助对北京市医保中心进行了监督检查，支付专家劳务费3.02万元。</w:t>
            </w:r>
          </w:p>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2.对符合奖励条件的举报人应奖尽奖，奖励2人，共支付奖励金700元。</w:t>
            </w:r>
          </w:p>
          <w:p>
            <w:pPr>
              <w:widowControl/>
              <w:spacing w:line="240" w:lineRule="exact"/>
              <w:jc w:val="left"/>
              <w:rPr>
                <w:rFonts w:ascii="宋体" w:hAnsi="宋体" w:cs="宋体"/>
                <w:kern w:val="0"/>
                <w:szCs w:val="21"/>
              </w:rPr>
            </w:pPr>
            <w:r>
              <w:rPr>
                <w:rFonts w:hint="eastAsia" w:ascii="宋体" w:hAnsi="宋体" w:cs="宋体"/>
                <w:kern w:val="0"/>
                <w:sz w:val="18"/>
                <w:szCs w:val="18"/>
              </w:rPr>
              <w:t>3.邀请专家16人，支付专家费1.13万元，专家对基金监管有关工作提出了有参考价值的意见建议。</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绩</w:t>
            </w:r>
            <w:r>
              <w:rPr>
                <w:rFonts w:hint="eastAsia" w:ascii="宋体" w:hAnsi="宋体" w:cs="宋体"/>
                <w:kern w:val="0"/>
                <w:szCs w:val="21"/>
              </w:rPr>
              <w:br w:type="textWrapping"/>
            </w:r>
            <w:r>
              <w:rPr>
                <w:rFonts w:hint="eastAsia" w:ascii="宋体" w:hAnsi="宋体" w:cs="宋体"/>
                <w:kern w:val="0"/>
                <w:szCs w:val="21"/>
              </w:rPr>
              <w:t>效</w:t>
            </w:r>
            <w:r>
              <w:rPr>
                <w:rFonts w:hint="eastAsia" w:ascii="宋体" w:hAnsi="宋体" w:cs="宋体"/>
                <w:kern w:val="0"/>
                <w:szCs w:val="21"/>
              </w:rPr>
              <w:br w:type="textWrapping"/>
            </w:r>
            <w:r>
              <w:rPr>
                <w:rFonts w:hint="eastAsia" w:ascii="宋体" w:hAnsi="宋体" w:cs="宋体"/>
                <w:kern w:val="0"/>
                <w:szCs w:val="21"/>
              </w:rPr>
              <w:t>指</w:t>
            </w:r>
            <w:r>
              <w:rPr>
                <w:rFonts w:hint="eastAsia" w:ascii="宋体" w:hAnsi="宋体" w:cs="宋体"/>
                <w:kern w:val="0"/>
                <w:szCs w:val="21"/>
              </w:rPr>
              <w:br w:type="textWrapping"/>
            </w:r>
            <w:r>
              <w:rPr>
                <w:rFonts w:hint="eastAsia" w:ascii="宋体" w:hAnsi="宋体"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年度</w:t>
            </w:r>
          </w:p>
          <w:p>
            <w:pPr>
              <w:widowControl/>
              <w:spacing w:line="240" w:lineRule="exact"/>
              <w:jc w:val="center"/>
              <w:rPr>
                <w:rFonts w:hint="eastAsia" w:ascii="宋体" w:hAnsi="宋体" w:cs="宋体"/>
                <w:kern w:val="0"/>
                <w:szCs w:val="21"/>
              </w:rPr>
            </w:pPr>
            <w:r>
              <w:rPr>
                <w:rFonts w:hint="eastAsia" w:ascii="宋体" w:hAnsi="宋体" w:cs="宋体"/>
                <w:kern w:val="0"/>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实际</w:t>
            </w:r>
          </w:p>
          <w:p>
            <w:pPr>
              <w:widowControl/>
              <w:spacing w:line="240" w:lineRule="exact"/>
              <w:jc w:val="center"/>
              <w:rPr>
                <w:rFonts w:hint="eastAsia" w:ascii="宋体" w:hAnsi="宋体" w:cs="宋体"/>
                <w:kern w:val="0"/>
                <w:szCs w:val="21"/>
              </w:rPr>
            </w:pPr>
            <w:r>
              <w:rPr>
                <w:rFonts w:hint="eastAsia" w:ascii="宋体" w:hAnsi="宋体"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分值</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得分</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偏差原因分析及改进措施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奖励率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7.5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7.5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64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邀请专家数</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大于15</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30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7.5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7.5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51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意见建议质量</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提出有参考价值的意见建议</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提出有参考价值的意见建议</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奖励标准执行率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73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专家劳务费标准执行率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100%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63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奖励款及专家劳务费发放</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及时</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及时</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166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成本控制</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Cs w:val="21"/>
              </w:rPr>
            </w:pPr>
            <w:r>
              <w:rPr>
                <w:rFonts w:hint="eastAsia" w:ascii="宋体" w:hAnsi="宋体" w:cs="宋体"/>
                <w:kern w:val="0"/>
                <w:sz w:val="18"/>
                <w:szCs w:val="18"/>
              </w:rPr>
              <w:t>小于等于9.22万</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4.22万</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15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15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 w:val="18"/>
                <w:szCs w:val="18"/>
              </w:rPr>
              <w:t>举报奖励款追加预算为5万元，按照实际情况发放了700元。</w:t>
            </w:r>
          </w:p>
        </w:tc>
      </w:tr>
      <w:tr>
        <w:tblPrEx>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经济效益</w:t>
            </w:r>
          </w:p>
          <w:p>
            <w:pPr>
              <w:widowControl/>
              <w:spacing w:line="240" w:lineRule="exact"/>
              <w:jc w:val="center"/>
              <w:rPr>
                <w:rFonts w:hint="eastAsia" w:ascii="宋体" w:hAnsi="宋体" w:cs="宋体"/>
                <w:kern w:val="0"/>
                <w:szCs w:val="21"/>
              </w:rPr>
            </w:pPr>
            <w:r>
              <w:rPr>
                <w:rFonts w:hint="eastAsia" w:ascii="宋体" w:hAnsi="宋体"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挽回医保基金损失</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优</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优</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161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社会效益</w:t>
            </w:r>
          </w:p>
          <w:p>
            <w:pPr>
              <w:widowControl/>
              <w:spacing w:line="240" w:lineRule="exact"/>
              <w:jc w:val="center"/>
              <w:rPr>
                <w:rFonts w:hint="eastAsia" w:ascii="宋体" w:hAnsi="宋体" w:cs="宋体"/>
                <w:kern w:val="0"/>
                <w:szCs w:val="21"/>
              </w:rPr>
            </w:pPr>
            <w:r>
              <w:rPr>
                <w:rFonts w:hint="eastAsia" w:ascii="宋体" w:hAnsi="宋体"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通过举报奖励、鼓励各方面提供欺诈骗保线索，有效防止和严厉打击欺诈骗取医疗保障基金行为。</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优</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优</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53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对经办机构工作进行规范</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优</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优</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51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畅通举报投诉渠道，鼓励社会监督</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优</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优</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134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通过揭示医保基金管理和相关政策制度执行中的突出问题和风险隐患，促进医保基金高效运行。</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优</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优</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满意度</w:t>
            </w:r>
          </w:p>
          <w:p>
            <w:pPr>
              <w:widowControl/>
              <w:spacing w:line="240" w:lineRule="exact"/>
              <w:jc w:val="center"/>
              <w:rPr>
                <w:rFonts w:hint="eastAsia" w:ascii="宋体" w:hAnsi="宋体" w:cs="宋体"/>
                <w:kern w:val="0"/>
                <w:szCs w:val="21"/>
              </w:rPr>
            </w:pPr>
            <w:r>
              <w:rPr>
                <w:rFonts w:hint="eastAsia" w:ascii="宋体" w:hAnsi="宋体"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领取奖励满意度</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90%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Cs w:val="21"/>
              </w:rPr>
            </w:pPr>
            <w:r>
              <w:rPr>
                <w:rFonts w:hint="eastAsia" w:ascii="宋体" w:hAnsi="宋体" w:cs="宋体"/>
                <w:color w:val="000000"/>
                <w:kern w:val="0"/>
                <w:szCs w:val="21"/>
              </w:rPr>
              <w:t>专家工作满意度</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90%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r>
              <w:rPr>
                <w:rFonts w:hint="eastAsia" w:ascii="宋体" w:hAnsi="宋体" w:cs="宋体"/>
                <w:kern w:val="0"/>
                <w:szCs w:val="21"/>
              </w:rPr>
              <w:t>5</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000000"/>
                <w:kern w:val="0"/>
                <w:szCs w:val="21"/>
              </w:rPr>
            </w:pPr>
            <w:r>
              <w:rPr>
                <w:rFonts w:hint="eastAsia" w:ascii="宋体" w:hAnsi="宋体"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000000"/>
                <w:kern w:val="0"/>
                <w:szCs w:val="21"/>
              </w:rPr>
            </w:pPr>
            <w:r>
              <w:rPr>
                <w:rFonts w:hint="eastAsia" w:ascii="宋体" w:hAnsi="宋体" w:cs="宋体"/>
                <w:color w:val="000000"/>
                <w:kern w:val="0"/>
                <w:szCs w:val="21"/>
              </w:rPr>
              <w:t>100</w:t>
            </w:r>
          </w:p>
        </w:tc>
        <w:tc>
          <w:tcPr>
            <w:tcW w:w="10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Cs w:val="21"/>
              </w:rPr>
            </w:pPr>
            <w:r>
              <w:rPr>
                <w:rFonts w:ascii="宋体" w:hAnsi="宋体" w:cs="宋体"/>
                <w:kern w:val="0"/>
                <w:szCs w:val="21"/>
              </w:rPr>
              <w:t>93.28</w:t>
            </w:r>
          </w:p>
        </w:tc>
        <w:tc>
          <w:tcPr>
            <w:tcW w:w="12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Cs w:val="21"/>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E58F0"/>
    <w:multiLevelType w:val="singleLevel"/>
    <w:tmpl w:val="96FE58F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D0718"/>
    <w:rsid w:val="00087247"/>
    <w:rsid w:val="004F1352"/>
    <w:rsid w:val="00632CC1"/>
    <w:rsid w:val="007F3E57"/>
    <w:rsid w:val="00BF7025"/>
    <w:rsid w:val="07FF3139"/>
    <w:rsid w:val="0BFE0B23"/>
    <w:rsid w:val="0FFF59A1"/>
    <w:rsid w:val="11BECE0E"/>
    <w:rsid w:val="139B46E3"/>
    <w:rsid w:val="163F61C5"/>
    <w:rsid w:val="17DB052F"/>
    <w:rsid w:val="1B7634FB"/>
    <w:rsid w:val="1CFCE47E"/>
    <w:rsid w:val="1F5F9C0D"/>
    <w:rsid w:val="1F7FCC22"/>
    <w:rsid w:val="1FCB278F"/>
    <w:rsid w:val="1FDF670F"/>
    <w:rsid w:val="21C66DE0"/>
    <w:rsid w:val="239A6007"/>
    <w:rsid w:val="2677C44B"/>
    <w:rsid w:val="27F71C8E"/>
    <w:rsid w:val="2CFD4403"/>
    <w:rsid w:val="2F7EA005"/>
    <w:rsid w:val="2FA38B16"/>
    <w:rsid w:val="2FFFDEB0"/>
    <w:rsid w:val="318F6124"/>
    <w:rsid w:val="34DFF45F"/>
    <w:rsid w:val="3AAB4407"/>
    <w:rsid w:val="3AFAD016"/>
    <w:rsid w:val="3B89C51C"/>
    <w:rsid w:val="3DB9BE3E"/>
    <w:rsid w:val="3DF75AF5"/>
    <w:rsid w:val="3EA7C9C6"/>
    <w:rsid w:val="3EEAB010"/>
    <w:rsid w:val="3EFA3F97"/>
    <w:rsid w:val="3F97EFA8"/>
    <w:rsid w:val="3FED7F3E"/>
    <w:rsid w:val="3FFB8D84"/>
    <w:rsid w:val="3FFEC861"/>
    <w:rsid w:val="49E7A10E"/>
    <w:rsid w:val="49F32FAD"/>
    <w:rsid w:val="4FB7201A"/>
    <w:rsid w:val="4FDF2C2F"/>
    <w:rsid w:val="4FDF7FC1"/>
    <w:rsid w:val="4FFF2E33"/>
    <w:rsid w:val="55BD1ADB"/>
    <w:rsid w:val="55F7CA37"/>
    <w:rsid w:val="595F85C2"/>
    <w:rsid w:val="59FFA9DE"/>
    <w:rsid w:val="5ABFE96A"/>
    <w:rsid w:val="5AED11BF"/>
    <w:rsid w:val="5B3517AE"/>
    <w:rsid w:val="5BDDA6B0"/>
    <w:rsid w:val="5BE9DDB2"/>
    <w:rsid w:val="5CA90959"/>
    <w:rsid w:val="5CD7BE5D"/>
    <w:rsid w:val="5D7F0609"/>
    <w:rsid w:val="5DEB5253"/>
    <w:rsid w:val="5DFF4A06"/>
    <w:rsid w:val="5EBA8AD3"/>
    <w:rsid w:val="5EFD3ADD"/>
    <w:rsid w:val="5F3EF470"/>
    <w:rsid w:val="5F7EDF3F"/>
    <w:rsid w:val="5FB9251A"/>
    <w:rsid w:val="5FBBDBC1"/>
    <w:rsid w:val="5FE6D1F1"/>
    <w:rsid w:val="5FEF0823"/>
    <w:rsid w:val="5FF9FF81"/>
    <w:rsid w:val="5FFA5CE4"/>
    <w:rsid w:val="5FFD62B9"/>
    <w:rsid w:val="5FFF7AE5"/>
    <w:rsid w:val="5FFF7C50"/>
    <w:rsid w:val="5FFF8EC3"/>
    <w:rsid w:val="618431E7"/>
    <w:rsid w:val="655FEA1E"/>
    <w:rsid w:val="66756A1A"/>
    <w:rsid w:val="66CF043B"/>
    <w:rsid w:val="677E928C"/>
    <w:rsid w:val="67DDC511"/>
    <w:rsid w:val="69FE4BF4"/>
    <w:rsid w:val="6B9F9B23"/>
    <w:rsid w:val="6BCEFBD5"/>
    <w:rsid w:val="6BD68B73"/>
    <w:rsid w:val="6BF790CB"/>
    <w:rsid w:val="6BFB02FF"/>
    <w:rsid w:val="6BFB2116"/>
    <w:rsid w:val="6CBFBA5B"/>
    <w:rsid w:val="6CCD2AAA"/>
    <w:rsid w:val="6DD3873E"/>
    <w:rsid w:val="6EECE51C"/>
    <w:rsid w:val="6F5FB325"/>
    <w:rsid w:val="6FB864D7"/>
    <w:rsid w:val="6FBB0ABC"/>
    <w:rsid w:val="6FEBF8F2"/>
    <w:rsid w:val="6FED1681"/>
    <w:rsid w:val="6FEECFFB"/>
    <w:rsid w:val="6FFFCE89"/>
    <w:rsid w:val="716F8DE7"/>
    <w:rsid w:val="739BAF16"/>
    <w:rsid w:val="749F17F4"/>
    <w:rsid w:val="763926FE"/>
    <w:rsid w:val="76FF0302"/>
    <w:rsid w:val="776F7EB9"/>
    <w:rsid w:val="77875E63"/>
    <w:rsid w:val="779F1D44"/>
    <w:rsid w:val="77B7C666"/>
    <w:rsid w:val="77E72E00"/>
    <w:rsid w:val="77EF4373"/>
    <w:rsid w:val="77EFD8DA"/>
    <w:rsid w:val="77FF6DEF"/>
    <w:rsid w:val="77FF8825"/>
    <w:rsid w:val="786F35B4"/>
    <w:rsid w:val="78DA98E4"/>
    <w:rsid w:val="7975C8FE"/>
    <w:rsid w:val="797FED37"/>
    <w:rsid w:val="79F24A6C"/>
    <w:rsid w:val="79FB05D2"/>
    <w:rsid w:val="79FF3F12"/>
    <w:rsid w:val="7A555A55"/>
    <w:rsid w:val="7A7B9E8E"/>
    <w:rsid w:val="7A9FF098"/>
    <w:rsid w:val="7AF3BB1B"/>
    <w:rsid w:val="7AF9AE8D"/>
    <w:rsid w:val="7AFB74D5"/>
    <w:rsid w:val="7B4F03D0"/>
    <w:rsid w:val="7BB32702"/>
    <w:rsid w:val="7BCBD2DA"/>
    <w:rsid w:val="7BF536AC"/>
    <w:rsid w:val="7BFFA45D"/>
    <w:rsid w:val="7CEFDA4F"/>
    <w:rsid w:val="7DB49E39"/>
    <w:rsid w:val="7DBF5CCE"/>
    <w:rsid w:val="7DBFDC59"/>
    <w:rsid w:val="7DCF31FD"/>
    <w:rsid w:val="7DD3F923"/>
    <w:rsid w:val="7DDF5B57"/>
    <w:rsid w:val="7DF9ADB1"/>
    <w:rsid w:val="7DFAA5B8"/>
    <w:rsid w:val="7DFF9145"/>
    <w:rsid w:val="7E7FFC88"/>
    <w:rsid w:val="7EED9F5E"/>
    <w:rsid w:val="7F3EE174"/>
    <w:rsid w:val="7F3F1B25"/>
    <w:rsid w:val="7F531B29"/>
    <w:rsid w:val="7F672A8C"/>
    <w:rsid w:val="7F6A3D4E"/>
    <w:rsid w:val="7F9BB3FA"/>
    <w:rsid w:val="7F9F4878"/>
    <w:rsid w:val="7FAC89B5"/>
    <w:rsid w:val="7FB696DC"/>
    <w:rsid w:val="7FDEF1B1"/>
    <w:rsid w:val="7FDF7DEA"/>
    <w:rsid w:val="7FDFB8C8"/>
    <w:rsid w:val="7FE34708"/>
    <w:rsid w:val="7FEA7E96"/>
    <w:rsid w:val="7FF7635C"/>
    <w:rsid w:val="7FFBB771"/>
    <w:rsid w:val="7FFCA39E"/>
    <w:rsid w:val="7FFF3EE8"/>
    <w:rsid w:val="8D4F8BBB"/>
    <w:rsid w:val="91FD1E2E"/>
    <w:rsid w:val="93BB6EBC"/>
    <w:rsid w:val="9D7B99A6"/>
    <w:rsid w:val="9D9FDAC6"/>
    <w:rsid w:val="9EA2E405"/>
    <w:rsid w:val="9EDF9727"/>
    <w:rsid w:val="9F7DD8BF"/>
    <w:rsid w:val="9F9C969A"/>
    <w:rsid w:val="9F9E9B47"/>
    <w:rsid w:val="9FB9ECD6"/>
    <w:rsid w:val="9FF8DB00"/>
    <w:rsid w:val="A73E8DAC"/>
    <w:rsid w:val="A74BE93B"/>
    <w:rsid w:val="AB73E595"/>
    <w:rsid w:val="AB7FC087"/>
    <w:rsid w:val="AD7F75F8"/>
    <w:rsid w:val="AFD5461C"/>
    <w:rsid w:val="B5FF2FAD"/>
    <w:rsid w:val="B79F7B39"/>
    <w:rsid w:val="B7A7406E"/>
    <w:rsid w:val="B7FF0646"/>
    <w:rsid w:val="BBBC87B6"/>
    <w:rsid w:val="BBF4AED8"/>
    <w:rsid w:val="BD565E99"/>
    <w:rsid w:val="BDB47ED7"/>
    <w:rsid w:val="BDBF5E12"/>
    <w:rsid w:val="BDDE3B8D"/>
    <w:rsid w:val="BEECCAF9"/>
    <w:rsid w:val="BEF37A07"/>
    <w:rsid w:val="BF0F6487"/>
    <w:rsid w:val="BF274F60"/>
    <w:rsid w:val="BFF7A5DE"/>
    <w:rsid w:val="BFFF4EC5"/>
    <w:rsid w:val="C7F70457"/>
    <w:rsid w:val="C7FF9B25"/>
    <w:rsid w:val="CBF21262"/>
    <w:rsid w:val="CF738B74"/>
    <w:rsid w:val="CFBE9C1E"/>
    <w:rsid w:val="CFDD8BAC"/>
    <w:rsid w:val="CFDF4ED7"/>
    <w:rsid w:val="D2BA4E7A"/>
    <w:rsid w:val="D2DD81E4"/>
    <w:rsid w:val="D37EBF19"/>
    <w:rsid w:val="D5FFE318"/>
    <w:rsid w:val="D7ED8440"/>
    <w:rsid w:val="D96B3E47"/>
    <w:rsid w:val="D9FFF12C"/>
    <w:rsid w:val="DA67EB0D"/>
    <w:rsid w:val="DA6C5D85"/>
    <w:rsid w:val="DA6F5B8E"/>
    <w:rsid w:val="DB98561F"/>
    <w:rsid w:val="DCFF5E1F"/>
    <w:rsid w:val="DCFFA422"/>
    <w:rsid w:val="DD7D5E4C"/>
    <w:rsid w:val="DDEF9DB1"/>
    <w:rsid w:val="DDFA4A13"/>
    <w:rsid w:val="DDFAD971"/>
    <w:rsid w:val="DDFBD0E2"/>
    <w:rsid w:val="DE9E3F98"/>
    <w:rsid w:val="DEBF8A34"/>
    <w:rsid w:val="DEFFA256"/>
    <w:rsid w:val="DF59003E"/>
    <w:rsid w:val="DF6FEE40"/>
    <w:rsid w:val="DFAD1C69"/>
    <w:rsid w:val="DFB94371"/>
    <w:rsid w:val="DFDF80E5"/>
    <w:rsid w:val="DFEB746D"/>
    <w:rsid w:val="DFF7213A"/>
    <w:rsid w:val="DFF891C7"/>
    <w:rsid w:val="DFFD1DA8"/>
    <w:rsid w:val="E3B37642"/>
    <w:rsid w:val="E3F3C057"/>
    <w:rsid w:val="E5FCB20A"/>
    <w:rsid w:val="E77F8AFC"/>
    <w:rsid w:val="E7BF1929"/>
    <w:rsid w:val="E7EEA06C"/>
    <w:rsid w:val="E7FABF74"/>
    <w:rsid w:val="E977F2B3"/>
    <w:rsid w:val="EA7E161A"/>
    <w:rsid w:val="EAECB990"/>
    <w:rsid w:val="EBDE907E"/>
    <w:rsid w:val="EBFF1D83"/>
    <w:rsid w:val="EC7E0EEC"/>
    <w:rsid w:val="ECF5215C"/>
    <w:rsid w:val="EDD70569"/>
    <w:rsid w:val="EDFBEEC0"/>
    <w:rsid w:val="EE66A910"/>
    <w:rsid w:val="EEEFC1F0"/>
    <w:rsid w:val="EEEFF634"/>
    <w:rsid w:val="EEFEE3E5"/>
    <w:rsid w:val="EEFF7C15"/>
    <w:rsid w:val="EF610B3E"/>
    <w:rsid w:val="EF77E93B"/>
    <w:rsid w:val="EFCF4DDB"/>
    <w:rsid w:val="EFF393CD"/>
    <w:rsid w:val="F1EBC76B"/>
    <w:rsid w:val="F1FAD13A"/>
    <w:rsid w:val="F1FF262A"/>
    <w:rsid w:val="F34EDC11"/>
    <w:rsid w:val="F36F57FE"/>
    <w:rsid w:val="F37248D2"/>
    <w:rsid w:val="F3F73AA7"/>
    <w:rsid w:val="F3FF3464"/>
    <w:rsid w:val="F3FF4319"/>
    <w:rsid w:val="F4F030CA"/>
    <w:rsid w:val="F5618807"/>
    <w:rsid w:val="F57E9137"/>
    <w:rsid w:val="F5D7F115"/>
    <w:rsid w:val="F5FD68AE"/>
    <w:rsid w:val="F6AE99F2"/>
    <w:rsid w:val="F6FF3741"/>
    <w:rsid w:val="F76F9050"/>
    <w:rsid w:val="F77DA442"/>
    <w:rsid w:val="F7A5644A"/>
    <w:rsid w:val="F7AE3260"/>
    <w:rsid w:val="F7CC93F6"/>
    <w:rsid w:val="F7EDDD1D"/>
    <w:rsid w:val="F7FAF936"/>
    <w:rsid w:val="F7FD11C6"/>
    <w:rsid w:val="F7FF4B86"/>
    <w:rsid w:val="F87CA196"/>
    <w:rsid w:val="F8FD3E9F"/>
    <w:rsid w:val="F95F0D68"/>
    <w:rsid w:val="F9D9ED09"/>
    <w:rsid w:val="F9F5270B"/>
    <w:rsid w:val="F9FDAB7C"/>
    <w:rsid w:val="FABB621C"/>
    <w:rsid w:val="FACAD65D"/>
    <w:rsid w:val="FBCCF72B"/>
    <w:rsid w:val="FBD744AA"/>
    <w:rsid w:val="FBEEFB6A"/>
    <w:rsid w:val="FBEF5EED"/>
    <w:rsid w:val="FBF913F5"/>
    <w:rsid w:val="FBFB0CA0"/>
    <w:rsid w:val="FD1DC315"/>
    <w:rsid w:val="FD6B11C1"/>
    <w:rsid w:val="FDBB7BC7"/>
    <w:rsid w:val="FDEA263F"/>
    <w:rsid w:val="FE73782F"/>
    <w:rsid w:val="FE7DDA28"/>
    <w:rsid w:val="FE873519"/>
    <w:rsid w:val="FEBF47D8"/>
    <w:rsid w:val="FEEF62D0"/>
    <w:rsid w:val="FEF22006"/>
    <w:rsid w:val="FEF3333E"/>
    <w:rsid w:val="FEF70088"/>
    <w:rsid w:val="FEFF9E3B"/>
    <w:rsid w:val="FF2CA449"/>
    <w:rsid w:val="FF7022BD"/>
    <w:rsid w:val="FF779814"/>
    <w:rsid w:val="FF79F9A7"/>
    <w:rsid w:val="FF7FB093"/>
    <w:rsid w:val="FFB7B3BF"/>
    <w:rsid w:val="FFCD0041"/>
    <w:rsid w:val="FFEAA908"/>
    <w:rsid w:val="FFEDA4A6"/>
    <w:rsid w:val="FFEF13BA"/>
    <w:rsid w:val="FFF5AFC6"/>
    <w:rsid w:val="FFF6D776"/>
    <w:rsid w:val="FFFBBA6F"/>
    <w:rsid w:val="FFFD0718"/>
    <w:rsid w:val="FFFE9736"/>
    <w:rsid w:val="FFFFB47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uiPriority w:val="0"/>
    <w:rPr>
      <w:kern w:val="2"/>
      <w:sz w:val="18"/>
      <w:szCs w:val="18"/>
    </w:rPr>
  </w:style>
  <w:style w:type="character" w:customStyle="1" w:styleId="7">
    <w:name w:val="页脚 字符"/>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815</Words>
  <Characters>920</Characters>
  <Lines>8</Lines>
  <Paragraphs>2</Paragraphs>
  <TotalTime>0</TotalTime>
  <ScaleCrop>false</ScaleCrop>
  <LinksUpToDate>false</LinksUpToDate>
  <CharactersWithSpaces>950</CharactersWithSpaces>
  <Application>WPS Office_11.1.0.14305_F1E327BC-269C-435d-A152-05C5408002CA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2023-04-21T00:18:00Z</dcterms:created>
  <dc:creator>赵敬华</dc:creator>
  <cp:lastModifiedBy>就是喜欢猫</cp:lastModifiedBy>
  <dcterms:modified xsi:type="dcterms:W3CDTF">2023-04-24T08:41:20Z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DD8CB3EBDD914642A75090C3ED425EFD_13</vt:lpwstr>
  </property>
</Properties>
</file>