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955" w:rsidRDefault="00F703C8">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6E0955" w:rsidRDefault="00F703C8" w:rsidP="004D4CBF">
      <w:pPr>
        <w:spacing w:line="480" w:lineRule="exact"/>
        <w:jc w:val="center"/>
        <w:rPr>
          <w:rFonts w:ascii="仿宋_GB2312" w:eastAsia="仿宋_GB2312" w:hAnsi="宋体"/>
          <w:sz w:val="28"/>
          <w:szCs w:val="28"/>
        </w:rPr>
      </w:pPr>
      <w:r>
        <w:rPr>
          <w:rFonts w:ascii="宋体" w:eastAsia="宋体" w:hAnsi="宋体" w:cs="宋体" w:hint="eastAsia"/>
          <w:sz w:val="28"/>
          <w:szCs w:val="28"/>
        </w:rPr>
        <w:t>（2022 年度）</w:t>
      </w:r>
    </w:p>
    <w:p w:rsidR="006E0955" w:rsidRDefault="006E0955">
      <w:pPr>
        <w:spacing w:line="240" w:lineRule="exact"/>
        <w:rPr>
          <w:rFonts w:ascii="仿宋_GB2312" w:eastAsia="仿宋_GB2312" w:hAnsi="宋体"/>
          <w:sz w:val="30"/>
          <w:szCs w:val="30"/>
        </w:rPr>
      </w:pPr>
    </w:p>
    <w:tbl>
      <w:tblPr>
        <w:tblW w:w="9327" w:type="dxa"/>
        <w:jc w:val="center"/>
        <w:tblLayout w:type="fixed"/>
        <w:tblLook w:val="04A0"/>
      </w:tblPr>
      <w:tblGrid>
        <w:gridCol w:w="585"/>
        <w:gridCol w:w="717"/>
        <w:gridCol w:w="1110"/>
        <w:gridCol w:w="375"/>
        <w:gridCol w:w="1275"/>
        <w:gridCol w:w="300"/>
        <w:gridCol w:w="1080"/>
        <w:gridCol w:w="1057"/>
        <w:gridCol w:w="279"/>
        <w:gridCol w:w="284"/>
        <w:gridCol w:w="420"/>
        <w:gridCol w:w="407"/>
        <w:gridCol w:w="439"/>
        <w:gridCol w:w="999"/>
      </w:tblGrid>
      <w:tr w:rsidR="006E0955">
        <w:trPr>
          <w:trHeight w:hRule="exact" w:val="306"/>
          <w:jc w:val="center"/>
        </w:trPr>
        <w:tc>
          <w:tcPr>
            <w:tcW w:w="1302" w:type="dxa"/>
            <w:gridSpan w:val="2"/>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8025" w:type="dxa"/>
            <w:gridSpan w:val="1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执法总队医疗保障培训</w:t>
            </w:r>
          </w:p>
        </w:tc>
      </w:tr>
      <w:tr w:rsidR="006E0955">
        <w:trPr>
          <w:trHeight w:hRule="exact" w:val="306"/>
          <w:jc w:val="center"/>
        </w:trPr>
        <w:tc>
          <w:tcPr>
            <w:tcW w:w="1302" w:type="dxa"/>
            <w:gridSpan w:val="2"/>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主管部门</w:t>
            </w:r>
          </w:p>
        </w:tc>
        <w:tc>
          <w:tcPr>
            <w:tcW w:w="4140" w:type="dxa"/>
            <w:gridSpan w:val="5"/>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北京市医疗保障局</w:t>
            </w:r>
          </w:p>
        </w:tc>
        <w:tc>
          <w:tcPr>
            <w:tcW w:w="1336"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实施单位</w:t>
            </w:r>
          </w:p>
        </w:tc>
        <w:tc>
          <w:tcPr>
            <w:tcW w:w="2549" w:type="dxa"/>
            <w:gridSpan w:val="5"/>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医保执法总队</w:t>
            </w:r>
          </w:p>
        </w:tc>
      </w:tr>
      <w:tr w:rsidR="006E0955">
        <w:trPr>
          <w:trHeight w:hRule="exact" w:val="306"/>
          <w:jc w:val="center"/>
        </w:trPr>
        <w:tc>
          <w:tcPr>
            <w:tcW w:w="1302" w:type="dxa"/>
            <w:gridSpan w:val="2"/>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项目负责人</w:t>
            </w:r>
          </w:p>
        </w:tc>
        <w:tc>
          <w:tcPr>
            <w:tcW w:w="4140" w:type="dxa"/>
            <w:gridSpan w:val="5"/>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康敬然</w:t>
            </w:r>
          </w:p>
        </w:tc>
        <w:tc>
          <w:tcPr>
            <w:tcW w:w="1336"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联系电话</w:t>
            </w:r>
          </w:p>
        </w:tc>
        <w:tc>
          <w:tcPr>
            <w:tcW w:w="2549" w:type="dxa"/>
            <w:gridSpan w:val="5"/>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59904865</w:t>
            </w:r>
          </w:p>
        </w:tc>
      </w:tr>
      <w:tr w:rsidR="006E0955">
        <w:trPr>
          <w:trHeight w:hRule="exact" w:val="567"/>
          <w:jc w:val="center"/>
        </w:trPr>
        <w:tc>
          <w:tcPr>
            <w:tcW w:w="1302" w:type="dxa"/>
            <w:gridSpan w:val="2"/>
            <w:vMerge w:val="restart"/>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项目资金</w:t>
            </w:r>
            <w:r>
              <w:rPr>
                <w:rFonts w:ascii="宋体" w:eastAsia="宋体" w:hAnsi="宋体" w:cs="宋体" w:hint="eastAsia"/>
                <w:kern w:val="0"/>
                <w:szCs w:val="21"/>
              </w:rPr>
              <w:br/>
              <w:t>（万元）</w:t>
            </w:r>
          </w:p>
        </w:tc>
        <w:tc>
          <w:tcPr>
            <w:tcW w:w="1485" w:type="dxa"/>
            <w:gridSpan w:val="2"/>
            <w:tcBorders>
              <w:top w:val="single" w:sz="4" w:space="0" w:color="auto"/>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1275" w:type="dxa"/>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年初预</w:t>
            </w:r>
          </w:p>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算数</w:t>
            </w:r>
          </w:p>
        </w:tc>
        <w:tc>
          <w:tcPr>
            <w:tcW w:w="1380"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全年预</w:t>
            </w:r>
          </w:p>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算数</w:t>
            </w:r>
          </w:p>
        </w:tc>
        <w:tc>
          <w:tcPr>
            <w:tcW w:w="1336"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全年</w:t>
            </w:r>
          </w:p>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执行率</w:t>
            </w:r>
          </w:p>
        </w:tc>
        <w:tc>
          <w:tcPr>
            <w:tcW w:w="999" w:type="dxa"/>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得分</w:t>
            </w:r>
          </w:p>
        </w:tc>
      </w:tr>
      <w:tr w:rsidR="006E0955">
        <w:trPr>
          <w:trHeight w:hRule="exact" w:val="628"/>
          <w:jc w:val="center"/>
        </w:trPr>
        <w:tc>
          <w:tcPr>
            <w:tcW w:w="1302" w:type="dxa"/>
            <w:gridSpan w:val="2"/>
            <w:vMerge/>
            <w:tcBorders>
              <w:top w:val="single" w:sz="4" w:space="0" w:color="auto"/>
              <w:left w:val="single" w:sz="4" w:space="0" w:color="auto"/>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1485"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rPr>
                <w:rFonts w:ascii="宋体" w:eastAsia="宋体" w:hAnsi="宋体" w:cs="宋体"/>
                <w:kern w:val="0"/>
                <w:szCs w:val="21"/>
              </w:rPr>
            </w:pPr>
            <w:r>
              <w:rPr>
                <w:rFonts w:ascii="宋体" w:eastAsia="宋体" w:hAnsi="宋体" w:cs="宋体" w:hint="eastAsia"/>
                <w:kern w:val="0"/>
                <w:szCs w:val="21"/>
              </w:rPr>
              <w:t>年度资金总额</w:t>
            </w:r>
          </w:p>
        </w:tc>
        <w:tc>
          <w:tcPr>
            <w:tcW w:w="1275" w:type="dxa"/>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12.85</w:t>
            </w:r>
          </w:p>
        </w:tc>
        <w:tc>
          <w:tcPr>
            <w:tcW w:w="1380"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8.0607</w:t>
            </w:r>
          </w:p>
        </w:tc>
        <w:tc>
          <w:tcPr>
            <w:tcW w:w="1336"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8.0607</w:t>
            </w:r>
          </w:p>
        </w:tc>
        <w:tc>
          <w:tcPr>
            <w:tcW w:w="704"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100%</w:t>
            </w:r>
          </w:p>
        </w:tc>
        <w:tc>
          <w:tcPr>
            <w:tcW w:w="999" w:type="dxa"/>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r>
      <w:tr w:rsidR="006E0955">
        <w:trPr>
          <w:trHeight w:hRule="exact" w:val="674"/>
          <w:jc w:val="center"/>
        </w:trPr>
        <w:tc>
          <w:tcPr>
            <w:tcW w:w="1302" w:type="dxa"/>
            <w:gridSpan w:val="2"/>
            <w:vMerge/>
            <w:tcBorders>
              <w:top w:val="single" w:sz="4" w:space="0" w:color="auto"/>
              <w:left w:val="single" w:sz="4" w:space="0" w:color="auto"/>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1485"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rPr>
                <w:rFonts w:ascii="宋体" w:eastAsia="宋体" w:hAnsi="宋体" w:cs="宋体"/>
                <w:kern w:val="0"/>
                <w:szCs w:val="21"/>
              </w:rPr>
            </w:pPr>
            <w:r>
              <w:rPr>
                <w:rFonts w:ascii="宋体" w:eastAsia="宋体" w:hAnsi="宋体" w:cs="宋体" w:hint="eastAsia"/>
                <w:kern w:val="0"/>
                <w:szCs w:val="21"/>
              </w:rPr>
              <w:t>其中：当年财政拨款</w:t>
            </w:r>
          </w:p>
        </w:tc>
        <w:tc>
          <w:tcPr>
            <w:tcW w:w="1275" w:type="dxa"/>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12.85</w:t>
            </w:r>
          </w:p>
        </w:tc>
        <w:tc>
          <w:tcPr>
            <w:tcW w:w="1380"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8.0607</w:t>
            </w:r>
          </w:p>
        </w:tc>
        <w:tc>
          <w:tcPr>
            <w:tcW w:w="1336"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8.0607</w:t>
            </w:r>
          </w:p>
        </w:tc>
        <w:tc>
          <w:tcPr>
            <w:tcW w:w="704"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999" w:type="dxa"/>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6E0955">
        <w:trPr>
          <w:trHeight w:hRule="exact" w:val="433"/>
          <w:jc w:val="center"/>
        </w:trPr>
        <w:tc>
          <w:tcPr>
            <w:tcW w:w="1302" w:type="dxa"/>
            <w:gridSpan w:val="2"/>
            <w:vMerge/>
            <w:tcBorders>
              <w:top w:val="single" w:sz="4" w:space="0" w:color="auto"/>
              <w:left w:val="single" w:sz="4" w:space="0" w:color="auto"/>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1485"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上年结转资金</w:t>
            </w:r>
          </w:p>
        </w:tc>
        <w:tc>
          <w:tcPr>
            <w:tcW w:w="1275" w:type="dxa"/>
            <w:tcBorders>
              <w:top w:val="nil"/>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1380" w:type="dxa"/>
            <w:gridSpan w:val="2"/>
            <w:tcBorders>
              <w:top w:val="nil"/>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1336" w:type="dxa"/>
            <w:gridSpan w:val="2"/>
            <w:tcBorders>
              <w:top w:val="nil"/>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999" w:type="dxa"/>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6E0955">
        <w:trPr>
          <w:trHeight w:hRule="exact" w:val="436"/>
          <w:jc w:val="center"/>
        </w:trPr>
        <w:tc>
          <w:tcPr>
            <w:tcW w:w="1302" w:type="dxa"/>
            <w:gridSpan w:val="2"/>
            <w:vMerge/>
            <w:tcBorders>
              <w:top w:val="single" w:sz="4" w:space="0" w:color="auto"/>
              <w:left w:val="single" w:sz="4" w:space="0" w:color="auto"/>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1485"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 xml:space="preserve">  其他资金</w:t>
            </w:r>
          </w:p>
        </w:tc>
        <w:tc>
          <w:tcPr>
            <w:tcW w:w="1275" w:type="dxa"/>
            <w:tcBorders>
              <w:top w:val="nil"/>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1380" w:type="dxa"/>
            <w:gridSpan w:val="2"/>
            <w:tcBorders>
              <w:top w:val="nil"/>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1336" w:type="dxa"/>
            <w:gridSpan w:val="2"/>
            <w:tcBorders>
              <w:top w:val="nil"/>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999" w:type="dxa"/>
            <w:tcBorders>
              <w:top w:val="nil"/>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6E0955">
        <w:trPr>
          <w:trHeight w:hRule="exact" w:val="548"/>
          <w:jc w:val="center"/>
        </w:trPr>
        <w:tc>
          <w:tcPr>
            <w:tcW w:w="585" w:type="dxa"/>
            <w:vMerge w:val="restart"/>
            <w:tcBorders>
              <w:top w:val="nil"/>
              <w:left w:val="single" w:sz="4" w:space="0" w:color="auto"/>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年度总体目标</w:t>
            </w:r>
          </w:p>
        </w:tc>
        <w:tc>
          <w:tcPr>
            <w:tcW w:w="4857" w:type="dxa"/>
            <w:gridSpan w:val="6"/>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预期目标</w:t>
            </w:r>
          </w:p>
        </w:tc>
        <w:tc>
          <w:tcPr>
            <w:tcW w:w="3885" w:type="dxa"/>
            <w:gridSpan w:val="7"/>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实际完成情况</w:t>
            </w:r>
          </w:p>
        </w:tc>
      </w:tr>
      <w:tr w:rsidR="006E0955">
        <w:trPr>
          <w:trHeight w:hRule="exact" w:val="1722"/>
          <w:jc w:val="center"/>
        </w:trPr>
        <w:tc>
          <w:tcPr>
            <w:tcW w:w="585" w:type="dxa"/>
            <w:vMerge/>
            <w:tcBorders>
              <w:top w:val="nil"/>
              <w:left w:val="single" w:sz="4" w:space="0" w:color="auto"/>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4857" w:type="dxa"/>
            <w:gridSpan w:val="6"/>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为落实《北京市人民政府关于全面推进依法行政的实施意见》(京政发[2004]36号)等有关规定，对全市各区从事医疗保障行政执法和医疗保障行政检查人员开展行政执法教育培训，旨在通过法制教育、业务培训、案例教学等多种形式，提高全市医疗保障执法人员、检查人员的综合素质。</w:t>
            </w:r>
          </w:p>
        </w:tc>
        <w:tc>
          <w:tcPr>
            <w:tcW w:w="3885" w:type="dxa"/>
            <w:gridSpan w:val="7"/>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rPr>
                <w:rFonts w:ascii="宋体" w:eastAsia="宋体" w:hAnsi="宋体" w:cs="宋体"/>
                <w:kern w:val="0"/>
                <w:szCs w:val="21"/>
              </w:rPr>
            </w:pPr>
            <w:r>
              <w:rPr>
                <w:rFonts w:ascii="宋体" w:eastAsia="宋体" w:hAnsi="宋体" w:cs="宋体" w:hint="eastAsia"/>
                <w:kern w:val="0"/>
                <w:szCs w:val="21"/>
              </w:rPr>
              <w:t>组织各区医保局相关工作人员开展</w:t>
            </w:r>
            <w:r>
              <w:rPr>
                <w:rFonts w:ascii="宋体" w:eastAsia="宋体" w:hAnsi="宋体" w:cs="宋体" w:hint="eastAsia"/>
                <w:kern w:val="0"/>
                <w:szCs w:val="21"/>
                <w:lang w:val="zh-CN"/>
              </w:rPr>
              <w:t>202</w:t>
            </w:r>
            <w:r>
              <w:rPr>
                <w:rFonts w:ascii="宋体" w:eastAsia="宋体" w:hAnsi="宋体" w:cs="宋体" w:hint="eastAsia"/>
                <w:kern w:val="0"/>
                <w:szCs w:val="21"/>
              </w:rPr>
              <w:t>2</w:t>
            </w:r>
            <w:r>
              <w:rPr>
                <w:rFonts w:ascii="宋体" w:eastAsia="宋体" w:hAnsi="宋体" w:cs="宋体" w:hint="eastAsia"/>
                <w:kern w:val="0"/>
                <w:szCs w:val="21"/>
                <w:lang w:val="zh-CN"/>
              </w:rPr>
              <w:t>年医疗保障行政执法能力提升培训会，进一步增强行政执法人员的业务能力及综合素养、提升行政执法效能。</w:t>
            </w:r>
          </w:p>
        </w:tc>
      </w:tr>
      <w:tr w:rsidR="006E0955">
        <w:trPr>
          <w:trHeight w:hRule="exact" w:val="830"/>
          <w:jc w:val="center"/>
        </w:trPr>
        <w:tc>
          <w:tcPr>
            <w:tcW w:w="585" w:type="dxa"/>
            <w:vMerge w:val="restart"/>
            <w:tcBorders>
              <w:top w:val="single" w:sz="4" w:space="0" w:color="auto"/>
              <w:left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绩</w:t>
            </w:r>
            <w:r>
              <w:rPr>
                <w:rFonts w:ascii="宋体" w:eastAsia="宋体" w:hAnsi="宋体" w:cs="宋体" w:hint="eastAsia"/>
                <w:kern w:val="0"/>
                <w:szCs w:val="21"/>
              </w:rPr>
              <w:br/>
              <w:t>效</w:t>
            </w:r>
            <w:r>
              <w:rPr>
                <w:rFonts w:ascii="宋体" w:eastAsia="宋体" w:hAnsi="宋体" w:cs="宋体" w:hint="eastAsia"/>
                <w:kern w:val="0"/>
                <w:szCs w:val="21"/>
              </w:rPr>
              <w:br/>
              <w:t>指</w:t>
            </w:r>
            <w:r>
              <w:rPr>
                <w:rFonts w:ascii="宋体" w:eastAsia="宋体" w:hAnsi="宋体" w:cs="宋体" w:hint="eastAsia"/>
                <w:kern w:val="0"/>
                <w:szCs w:val="21"/>
              </w:rPr>
              <w:br/>
              <w:t>标</w:t>
            </w:r>
          </w:p>
        </w:tc>
        <w:tc>
          <w:tcPr>
            <w:tcW w:w="717"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一级指标</w:t>
            </w:r>
          </w:p>
        </w:tc>
        <w:tc>
          <w:tcPr>
            <w:tcW w:w="1110"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二级指标</w:t>
            </w:r>
          </w:p>
        </w:tc>
        <w:tc>
          <w:tcPr>
            <w:tcW w:w="1950" w:type="dxa"/>
            <w:gridSpan w:val="3"/>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三级指标</w:t>
            </w:r>
          </w:p>
        </w:tc>
        <w:tc>
          <w:tcPr>
            <w:tcW w:w="1080"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年度</w:t>
            </w:r>
          </w:p>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指标值</w:t>
            </w:r>
          </w:p>
        </w:tc>
        <w:tc>
          <w:tcPr>
            <w:tcW w:w="1057"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实际</w:t>
            </w:r>
          </w:p>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分值</w:t>
            </w:r>
          </w:p>
        </w:tc>
        <w:tc>
          <w:tcPr>
            <w:tcW w:w="827"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得分</w:t>
            </w:r>
          </w:p>
        </w:tc>
        <w:tc>
          <w:tcPr>
            <w:tcW w:w="1438"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偏差原因分析及改进</w:t>
            </w:r>
          </w:p>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措施</w:t>
            </w:r>
          </w:p>
        </w:tc>
      </w:tr>
      <w:tr w:rsidR="006E0955">
        <w:trPr>
          <w:trHeight w:hRule="exact" w:val="821"/>
          <w:jc w:val="center"/>
        </w:trPr>
        <w:tc>
          <w:tcPr>
            <w:tcW w:w="585" w:type="dxa"/>
            <w:vMerge/>
            <w:tcBorders>
              <w:left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717" w:type="dxa"/>
            <w:vMerge w:val="restart"/>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产出指标</w:t>
            </w:r>
          </w:p>
        </w:tc>
        <w:tc>
          <w:tcPr>
            <w:tcW w:w="1110" w:type="dxa"/>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数量指标</w:t>
            </w:r>
          </w:p>
        </w:tc>
        <w:tc>
          <w:tcPr>
            <w:tcW w:w="1950" w:type="dxa"/>
            <w:gridSpan w:val="3"/>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指标1：培训人数</w:t>
            </w:r>
          </w:p>
        </w:tc>
        <w:tc>
          <w:tcPr>
            <w:tcW w:w="1080"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≥80人</w:t>
            </w:r>
          </w:p>
        </w:tc>
        <w:tc>
          <w:tcPr>
            <w:tcW w:w="1057"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72人</w:t>
            </w:r>
          </w:p>
        </w:tc>
        <w:tc>
          <w:tcPr>
            <w:tcW w:w="563"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827"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18</w:t>
            </w:r>
          </w:p>
        </w:tc>
        <w:tc>
          <w:tcPr>
            <w:tcW w:w="1438" w:type="dxa"/>
            <w:gridSpan w:val="2"/>
            <w:tcBorders>
              <w:top w:val="single" w:sz="4" w:space="0" w:color="auto"/>
              <w:left w:val="nil"/>
              <w:bottom w:val="single" w:sz="4" w:space="0" w:color="auto"/>
              <w:right w:val="single" w:sz="4" w:space="0" w:color="auto"/>
            </w:tcBorders>
            <w:noWrap/>
            <w:vAlign w:val="center"/>
          </w:tcPr>
          <w:p w:rsidR="006E0955" w:rsidRDefault="00D22D55">
            <w:pPr>
              <w:widowControl/>
              <w:spacing w:line="240" w:lineRule="exact"/>
              <w:rPr>
                <w:rFonts w:ascii="宋体" w:eastAsia="宋体" w:hAnsi="宋体" w:cs="宋体"/>
                <w:kern w:val="0"/>
                <w:szCs w:val="21"/>
              </w:rPr>
            </w:pPr>
            <w:r>
              <w:rPr>
                <w:rFonts w:ascii="宋体" w:eastAsia="宋体" w:hAnsi="宋体" w:cs="宋体" w:hint="eastAsia"/>
                <w:kern w:val="0"/>
                <w:szCs w:val="21"/>
              </w:rPr>
              <w:t>为落实防疫政策</w:t>
            </w:r>
            <w:r w:rsidR="00F703C8">
              <w:rPr>
                <w:rFonts w:ascii="宋体" w:eastAsia="宋体" w:hAnsi="宋体" w:cs="宋体" w:hint="eastAsia"/>
                <w:kern w:val="0"/>
                <w:szCs w:val="21"/>
              </w:rPr>
              <w:t>，控制参训人员人数。</w:t>
            </w:r>
          </w:p>
        </w:tc>
      </w:tr>
      <w:tr w:rsidR="006E0955">
        <w:trPr>
          <w:trHeight w:hRule="exact" w:val="646"/>
          <w:jc w:val="center"/>
        </w:trPr>
        <w:tc>
          <w:tcPr>
            <w:tcW w:w="585" w:type="dxa"/>
            <w:vMerge/>
            <w:tcBorders>
              <w:left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717" w:type="dxa"/>
            <w:vMerge/>
            <w:tcBorders>
              <w:top w:val="single" w:sz="4" w:space="0" w:color="auto"/>
              <w:left w:val="single" w:sz="4" w:space="0" w:color="auto"/>
              <w:bottom w:val="single" w:sz="4" w:space="0" w:color="auto"/>
              <w:right w:val="single" w:sz="4" w:space="0" w:color="auto"/>
            </w:tcBorders>
            <w:noWrap/>
            <w:vAlign w:val="center"/>
          </w:tcPr>
          <w:p w:rsidR="006E0955" w:rsidRDefault="006E0955">
            <w:pPr>
              <w:widowControl/>
              <w:spacing w:line="240" w:lineRule="exact"/>
              <w:jc w:val="left"/>
              <w:rPr>
                <w:rFonts w:ascii="宋体" w:eastAsia="宋体" w:hAnsi="宋体" w:cs="宋体"/>
                <w:color w:val="000000"/>
                <w:kern w:val="0"/>
                <w:szCs w:val="21"/>
              </w:rPr>
            </w:pPr>
          </w:p>
        </w:tc>
        <w:tc>
          <w:tcPr>
            <w:tcW w:w="1110" w:type="dxa"/>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质量指标</w:t>
            </w:r>
          </w:p>
        </w:tc>
        <w:tc>
          <w:tcPr>
            <w:tcW w:w="1950" w:type="dxa"/>
            <w:gridSpan w:val="3"/>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指标1：培训合格率</w:t>
            </w:r>
          </w:p>
        </w:tc>
        <w:tc>
          <w:tcPr>
            <w:tcW w:w="1080"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≥90%</w:t>
            </w:r>
          </w:p>
        </w:tc>
        <w:tc>
          <w:tcPr>
            <w:tcW w:w="1057"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827"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1438" w:type="dxa"/>
            <w:gridSpan w:val="2"/>
            <w:tcBorders>
              <w:top w:val="single" w:sz="4" w:space="0" w:color="auto"/>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r>
      <w:tr w:rsidR="006E0955">
        <w:trPr>
          <w:trHeight w:hRule="exact" w:val="921"/>
          <w:jc w:val="center"/>
        </w:trPr>
        <w:tc>
          <w:tcPr>
            <w:tcW w:w="585" w:type="dxa"/>
            <w:vMerge/>
            <w:tcBorders>
              <w:left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717" w:type="dxa"/>
            <w:vMerge/>
            <w:tcBorders>
              <w:top w:val="single" w:sz="4" w:space="0" w:color="auto"/>
              <w:left w:val="single" w:sz="4" w:space="0" w:color="auto"/>
              <w:bottom w:val="single" w:sz="4" w:space="0" w:color="auto"/>
              <w:right w:val="single" w:sz="4" w:space="0" w:color="auto"/>
            </w:tcBorders>
            <w:noWrap/>
            <w:vAlign w:val="center"/>
          </w:tcPr>
          <w:p w:rsidR="006E0955" w:rsidRDefault="006E0955">
            <w:pPr>
              <w:widowControl/>
              <w:spacing w:line="240" w:lineRule="exact"/>
              <w:jc w:val="left"/>
              <w:rPr>
                <w:rFonts w:ascii="宋体" w:eastAsia="宋体" w:hAnsi="宋体" w:cs="宋体"/>
                <w:color w:val="000000"/>
                <w:kern w:val="0"/>
                <w:szCs w:val="21"/>
              </w:rPr>
            </w:pPr>
          </w:p>
        </w:tc>
        <w:tc>
          <w:tcPr>
            <w:tcW w:w="1110" w:type="dxa"/>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时效指标</w:t>
            </w:r>
          </w:p>
        </w:tc>
        <w:tc>
          <w:tcPr>
            <w:tcW w:w="1950" w:type="dxa"/>
            <w:gridSpan w:val="3"/>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指标1：2022年12月底前完成培训内容</w:t>
            </w:r>
          </w:p>
        </w:tc>
        <w:tc>
          <w:tcPr>
            <w:tcW w:w="1080"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rPr>
                <w:rFonts w:ascii="宋体" w:eastAsia="宋体" w:hAnsi="宋体" w:cs="宋体"/>
                <w:kern w:val="0"/>
                <w:szCs w:val="21"/>
              </w:rPr>
            </w:pPr>
            <w:r>
              <w:rPr>
                <w:rFonts w:ascii="宋体" w:eastAsia="宋体" w:hAnsi="宋体" w:cs="宋体" w:hint="eastAsia"/>
                <w:kern w:val="0"/>
                <w:szCs w:val="21"/>
              </w:rPr>
              <w:t>12月底前完成</w:t>
            </w:r>
          </w:p>
        </w:tc>
        <w:tc>
          <w:tcPr>
            <w:tcW w:w="1057"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9月完成</w:t>
            </w:r>
          </w:p>
        </w:tc>
        <w:tc>
          <w:tcPr>
            <w:tcW w:w="563"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25</w:t>
            </w:r>
          </w:p>
        </w:tc>
        <w:tc>
          <w:tcPr>
            <w:tcW w:w="827"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25</w:t>
            </w:r>
          </w:p>
        </w:tc>
        <w:tc>
          <w:tcPr>
            <w:tcW w:w="1438" w:type="dxa"/>
            <w:gridSpan w:val="2"/>
            <w:tcBorders>
              <w:top w:val="single" w:sz="4" w:space="0" w:color="auto"/>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bookmarkStart w:id="0" w:name="_GoBack"/>
            <w:bookmarkEnd w:id="0"/>
          </w:p>
        </w:tc>
      </w:tr>
      <w:tr w:rsidR="006E0955">
        <w:trPr>
          <w:trHeight w:hRule="exact" w:val="716"/>
          <w:jc w:val="center"/>
        </w:trPr>
        <w:tc>
          <w:tcPr>
            <w:tcW w:w="585" w:type="dxa"/>
            <w:vMerge/>
            <w:tcBorders>
              <w:left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717" w:type="dxa"/>
            <w:vMerge/>
            <w:tcBorders>
              <w:top w:val="single" w:sz="4" w:space="0" w:color="auto"/>
              <w:left w:val="single" w:sz="4" w:space="0" w:color="auto"/>
              <w:bottom w:val="single" w:sz="4" w:space="0" w:color="auto"/>
              <w:right w:val="single" w:sz="4" w:space="0" w:color="auto"/>
            </w:tcBorders>
            <w:noWrap/>
            <w:vAlign w:val="center"/>
          </w:tcPr>
          <w:p w:rsidR="006E0955" w:rsidRDefault="006E0955">
            <w:pPr>
              <w:widowControl/>
              <w:spacing w:line="240" w:lineRule="exact"/>
              <w:jc w:val="left"/>
              <w:rPr>
                <w:rFonts w:ascii="宋体" w:eastAsia="宋体" w:hAnsi="宋体" w:cs="宋体"/>
                <w:color w:val="000000"/>
                <w:kern w:val="0"/>
                <w:szCs w:val="21"/>
              </w:rPr>
            </w:pPr>
          </w:p>
        </w:tc>
        <w:tc>
          <w:tcPr>
            <w:tcW w:w="1110" w:type="dxa"/>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成本指标</w:t>
            </w:r>
          </w:p>
        </w:tc>
        <w:tc>
          <w:tcPr>
            <w:tcW w:w="1950" w:type="dxa"/>
            <w:gridSpan w:val="3"/>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指标1：预算项目控制数</w:t>
            </w:r>
          </w:p>
        </w:tc>
        <w:tc>
          <w:tcPr>
            <w:tcW w:w="1080"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≤12.85万元</w:t>
            </w:r>
          </w:p>
        </w:tc>
        <w:tc>
          <w:tcPr>
            <w:tcW w:w="1057"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8.0607万元</w:t>
            </w:r>
          </w:p>
        </w:tc>
        <w:tc>
          <w:tcPr>
            <w:tcW w:w="563"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827"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1438" w:type="dxa"/>
            <w:gridSpan w:val="2"/>
            <w:tcBorders>
              <w:top w:val="single" w:sz="4" w:space="0" w:color="auto"/>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r>
      <w:tr w:rsidR="006E0955">
        <w:trPr>
          <w:trHeight w:hRule="exact" w:val="1006"/>
          <w:jc w:val="center"/>
        </w:trPr>
        <w:tc>
          <w:tcPr>
            <w:tcW w:w="585" w:type="dxa"/>
            <w:vMerge/>
            <w:tcBorders>
              <w:left w:val="single" w:sz="4" w:space="0" w:color="auto"/>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c>
          <w:tcPr>
            <w:tcW w:w="717" w:type="dxa"/>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满意度指标</w:t>
            </w:r>
          </w:p>
        </w:tc>
        <w:tc>
          <w:tcPr>
            <w:tcW w:w="1110" w:type="dxa"/>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服务对象满意度指标</w:t>
            </w:r>
          </w:p>
        </w:tc>
        <w:tc>
          <w:tcPr>
            <w:tcW w:w="1950" w:type="dxa"/>
            <w:gridSpan w:val="3"/>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指标1：参加学员满意度</w:t>
            </w:r>
          </w:p>
        </w:tc>
        <w:tc>
          <w:tcPr>
            <w:tcW w:w="1080"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≥90%</w:t>
            </w:r>
          </w:p>
        </w:tc>
        <w:tc>
          <w:tcPr>
            <w:tcW w:w="1057" w:type="dxa"/>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827"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1438" w:type="dxa"/>
            <w:gridSpan w:val="2"/>
            <w:tcBorders>
              <w:top w:val="single" w:sz="4" w:space="0" w:color="auto"/>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r>
      <w:tr w:rsidR="006E0955">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100</w:t>
            </w:r>
          </w:p>
        </w:tc>
        <w:tc>
          <w:tcPr>
            <w:tcW w:w="827" w:type="dxa"/>
            <w:gridSpan w:val="2"/>
            <w:tcBorders>
              <w:top w:val="single" w:sz="4" w:space="0" w:color="auto"/>
              <w:left w:val="nil"/>
              <w:bottom w:val="single" w:sz="4" w:space="0" w:color="auto"/>
              <w:right w:val="single" w:sz="4" w:space="0" w:color="auto"/>
            </w:tcBorders>
            <w:noWrap/>
            <w:vAlign w:val="center"/>
          </w:tcPr>
          <w:p w:rsidR="006E0955" w:rsidRDefault="00F703C8">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98.00</w:t>
            </w:r>
          </w:p>
        </w:tc>
        <w:tc>
          <w:tcPr>
            <w:tcW w:w="1438" w:type="dxa"/>
            <w:gridSpan w:val="2"/>
            <w:tcBorders>
              <w:top w:val="single" w:sz="4" w:space="0" w:color="auto"/>
              <w:left w:val="nil"/>
              <w:bottom w:val="single" w:sz="4" w:space="0" w:color="auto"/>
              <w:right w:val="single" w:sz="4" w:space="0" w:color="auto"/>
            </w:tcBorders>
            <w:noWrap/>
            <w:vAlign w:val="center"/>
          </w:tcPr>
          <w:p w:rsidR="006E0955" w:rsidRDefault="006E0955">
            <w:pPr>
              <w:widowControl/>
              <w:spacing w:line="240" w:lineRule="exact"/>
              <w:jc w:val="center"/>
              <w:rPr>
                <w:rFonts w:ascii="宋体" w:eastAsia="宋体" w:hAnsi="宋体" w:cs="宋体"/>
                <w:kern w:val="0"/>
                <w:szCs w:val="21"/>
              </w:rPr>
            </w:pPr>
          </w:p>
        </w:tc>
      </w:tr>
    </w:tbl>
    <w:p w:rsidR="006E0955" w:rsidRDefault="006E0955">
      <w:pPr>
        <w:spacing w:line="560" w:lineRule="exact"/>
        <w:ind w:firstLineChars="200" w:firstLine="640"/>
        <w:outlineLvl w:val="0"/>
        <w:rPr>
          <w:rFonts w:ascii="仿宋_GB2312" w:eastAsia="仿宋_GB2312" w:hAnsi="仿宋_GB2312" w:cs="仿宋_GB2312"/>
          <w:sz w:val="32"/>
          <w:szCs w:val="32"/>
        </w:rPr>
      </w:pPr>
    </w:p>
    <w:sectPr w:rsidR="006E0955" w:rsidSect="006E0955">
      <w:headerReference w:type="even" r:id="rId7"/>
      <w:headerReference w:type="default" r:id="rId8"/>
      <w:footerReference w:type="even" r:id="rId9"/>
      <w:footerReference w:type="default" r:id="rId10"/>
      <w:headerReference w:type="first" r:id="rId11"/>
      <w:footerReference w:type="first" r:id="rId12"/>
      <w:pgSz w:w="11906" w:h="16838"/>
      <w:pgMar w:top="1701" w:right="1474" w:bottom="1134" w:left="1474"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196" w:rsidRDefault="00AC3196" w:rsidP="006E0955">
      <w:r>
        <w:separator/>
      </w:r>
    </w:p>
  </w:endnote>
  <w:endnote w:type="continuationSeparator" w:id="1">
    <w:p w:rsidR="00AC3196" w:rsidRDefault="00AC3196" w:rsidP="006E09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CBF" w:rsidRDefault="004D4CB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955" w:rsidRDefault="00286212">
    <w:pPr>
      <w:pStyle w:val="a4"/>
    </w:pPr>
    <w:r>
      <w:pict>
        <v:shapetype id="_x0000_t202" coordsize="21600,21600" o:spt="202" path="m,l,21600r21600,l21600,xe">
          <v:stroke joinstyle="miter"/>
          <v:path gradientshapeok="t" o:connecttype="rect"/>
        </v:shapetype>
        <v:shape id="_x0000_s1027"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filled="f" stroked="f" strokeweight=".5pt">
          <v:textbox style="mso-fit-shape-to-text:t" inset="0,0,0,0">
            <w:txbxContent>
              <w:p w:rsidR="006E0955" w:rsidRDefault="00286212">
                <w:pPr>
                  <w:pStyle w:val="a4"/>
                  <w:rPr>
                    <w:sz w:val="24"/>
                  </w:rPr>
                </w:pPr>
                <w:r>
                  <w:rPr>
                    <w:rFonts w:ascii="仿宋" w:eastAsia="仿宋" w:hAnsi="仿宋" w:cs="仿宋" w:hint="eastAsia"/>
                    <w:sz w:val="24"/>
                  </w:rPr>
                  <w:fldChar w:fldCharType="begin"/>
                </w:r>
                <w:r w:rsidR="00F703C8">
                  <w:rPr>
                    <w:rFonts w:ascii="仿宋" w:eastAsia="仿宋" w:hAnsi="仿宋" w:cs="仿宋" w:hint="eastAsia"/>
                    <w:sz w:val="24"/>
                  </w:rPr>
                  <w:instrText xml:space="preserve"> PAGE  \* MERGEFORMAT </w:instrText>
                </w:r>
                <w:r>
                  <w:rPr>
                    <w:rFonts w:ascii="仿宋" w:eastAsia="仿宋" w:hAnsi="仿宋" w:cs="仿宋" w:hint="eastAsia"/>
                    <w:sz w:val="24"/>
                  </w:rPr>
                  <w:fldChar w:fldCharType="separate"/>
                </w:r>
                <w:r w:rsidR="00F703C8">
                  <w:rPr>
                    <w:rFonts w:ascii="仿宋" w:eastAsia="仿宋" w:hAnsi="仿宋" w:cs="仿宋" w:hint="eastAsia"/>
                    <w:sz w:val="24"/>
                  </w:rPr>
                  <w:t>1</w:t>
                </w:r>
                <w:r>
                  <w:rPr>
                    <w:rFonts w:ascii="仿宋" w:eastAsia="仿宋" w:hAnsi="仿宋" w:cs="仿宋" w:hint="eastAsia"/>
                    <w:sz w:val="24"/>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955" w:rsidRDefault="00286212">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filled="f" stroked="f" strokeweight=".5pt">
          <v:textbox style="mso-fit-shape-to-text:t" inset="0,0,0,0">
            <w:txbxContent>
              <w:p w:rsidR="006E0955" w:rsidRDefault="006E0955">
                <w:pPr>
                  <w:pStyle w:val="a4"/>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196" w:rsidRDefault="00AC3196" w:rsidP="006E0955">
      <w:r>
        <w:separator/>
      </w:r>
    </w:p>
  </w:footnote>
  <w:footnote w:type="continuationSeparator" w:id="1">
    <w:p w:rsidR="00AC3196" w:rsidRDefault="00AC3196" w:rsidP="006E0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CBF" w:rsidRDefault="004D4CB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CBF" w:rsidRDefault="004D4CBF">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CBF" w:rsidRDefault="004D4CB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mYzYTgxNjAwMDgyZTVmOWFiNjZiNTA0ZjFlYjI4Y2EifQ=="/>
  </w:docVars>
  <w:rsids>
    <w:rsidRoot w:val="006E0955"/>
    <w:rsid w:val="EFAF54AB"/>
    <w:rsid w:val="EFBFBDCF"/>
    <w:rsid w:val="F3FDFEA8"/>
    <w:rsid w:val="F538DCE7"/>
    <w:rsid w:val="F7D7418A"/>
    <w:rsid w:val="F7F35F69"/>
    <w:rsid w:val="FBEA792F"/>
    <w:rsid w:val="FE794C3E"/>
    <w:rsid w:val="FF399032"/>
    <w:rsid w:val="FF783AD1"/>
    <w:rsid w:val="00286212"/>
    <w:rsid w:val="004D4CBF"/>
    <w:rsid w:val="006E0955"/>
    <w:rsid w:val="00AC3196"/>
    <w:rsid w:val="00D22D55"/>
    <w:rsid w:val="00F703C8"/>
    <w:rsid w:val="17DD1E2F"/>
    <w:rsid w:val="21E27D5B"/>
    <w:rsid w:val="3537D635"/>
    <w:rsid w:val="37FF6850"/>
    <w:rsid w:val="3EFEA0D5"/>
    <w:rsid w:val="4DFFDE36"/>
    <w:rsid w:val="55C845DA"/>
    <w:rsid w:val="579FC9B3"/>
    <w:rsid w:val="5AFBED47"/>
    <w:rsid w:val="5D760808"/>
    <w:rsid w:val="5E67250F"/>
    <w:rsid w:val="5F5CD534"/>
    <w:rsid w:val="5F7FB086"/>
    <w:rsid w:val="5FEFCAB5"/>
    <w:rsid w:val="5FFF4234"/>
    <w:rsid w:val="65736BA6"/>
    <w:rsid w:val="6AEE0389"/>
    <w:rsid w:val="6B8B1113"/>
    <w:rsid w:val="6DFB221F"/>
    <w:rsid w:val="6E8FA381"/>
    <w:rsid w:val="6EE27DFC"/>
    <w:rsid w:val="6EEBE936"/>
    <w:rsid w:val="6F190D49"/>
    <w:rsid w:val="6F6FC577"/>
    <w:rsid w:val="6FE78C22"/>
    <w:rsid w:val="6FFD501D"/>
    <w:rsid w:val="751C7310"/>
    <w:rsid w:val="77FF8016"/>
    <w:rsid w:val="78B97659"/>
    <w:rsid w:val="7AEB8DCB"/>
    <w:rsid w:val="7EEB2FEA"/>
    <w:rsid w:val="7FB680AE"/>
    <w:rsid w:val="7FBB60F9"/>
    <w:rsid w:val="7FEF8405"/>
    <w:rsid w:val="7FF22199"/>
    <w:rsid w:val="7FFE8EFB"/>
    <w:rsid w:val="7FFFFC84"/>
    <w:rsid w:val="9ADD9AA0"/>
    <w:rsid w:val="ABDE22F6"/>
    <w:rsid w:val="AF7458B4"/>
    <w:rsid w:val="B93AFE88"/>
    <w:rsid w:val="BA7B23C6"/>
    <w:rsid w:val="BD777447"/>
    <w:rsid w:val="BEDFD2E3"/>
    <w:rsid w:val="BF6FFB5A"/>
    <w:rsid w:val="CCB78206"/>
    <w:rsid w:val="DC37E72D"/>
    <w:rsid w:val="DEFBD86F"/>
    <w:rsid w:val="E6E525AF"/>
    <w:rsid w:val="E7FEEFF3"/>
    <w:rsid w:val="EC7EBF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E0955"/>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6E0955"/>
    <w:pPr>
      <w:spacing w:after="120"/>
    </w:pPr>
    <w:rPr>
      <w:rFonts w:ascii="Calibri" w:eastAsia="宋体" w:hAnsi="Calibri"/>
    </w:rPr>
  </w:style>
  <w:style w:type="paragraph" w:styleId="a4">
    <w:name w:val="footer"/>
    <w:basedOn w:val="a"/>
    <w:qFormat/>
    <w:rsid w:val="006E0955"/>
    <w:pPr>
      <w:tabs>
        <w:tab w:val="center" w:pos="4153"/>
        <w:tab w:val="right" w:pos="8306"/>
      </w:tabs>
      <w:snapToGrid w:val="0"/>
      <w:jc w:val="left"/>
    </w:pPr>
    <w:rPr>
      <w:sz w:val="18"/>
    </w:rPr>
  </w:style>
  <w:style w:type="paragraph" w:styleId="a5">
    <w:name w:val="header"/>
    <w:basedOn w:val="a"/>
    <w:qFormat/>
    <w:rsid w:val="006E095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34"/>
    <w:qFormat/>
    <w:rsid w:val="006E095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114</Words>
  <Characters>652</Characters>
  <Application>Microsoft Office Word</Application>
  <DocSecurity>0</DocSecurity>
  <Lines>5</Lines>
  <Paragraphs>1</Paragraphs>
  <ScaleCrop>false</ScaleCrop>
  <Company>Lenovo</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北京市医疗保障局 承办单位</dc:title>
  <dc:creator>tmh</dc:creator>
  <cp:lastModifiedBy>kjq</cp:lastModifiedBy>
  <cp:revision>3</cp:revision>
  <dcterms:created xsi:type="dcterms:W3CDTF">2021-09-09T06:11:00Z</dcterms:created>
  <dcterms:modified xsi:type="dcterms:W3CDTF">2023-05-17T08:25:00Z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5F3B86056A35465DB5E238BD81B132FB_12</vt:lpwstr>
  </property>
</Properties>
</file>