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DE2" w:rsidRDefault="00603C62" w:rsidP="005326C7">
      <w:pPr>
        <w:tabs>
          <w:tab w:val="left" w:pos="6090"/>
        </w:tabs>
        <w:spacing w:line="560" w:lineRule="exact"/>
        <w:jc w:val="center"/>
        <w:rPr>
          <w:rFonts w:ascii="方正小标宋简体" w:eastAsia="方正小标宋简体"/>
          <w:sz w:val="44"/>
          <w:szCs w:val="44"/>
        </w:rPr>
      </w:pPr>
      <w:bookmarkStart w:id="0" w:name="_Toc23400"/>
      <w:bookmarkStart w:id="1" w:name="_Toc30173"/>
      <w:bookmarkStart w:id="2" w:name="_Toc5316"/>
      <w:bookmarkStart w:id="3" w:name="_Toc25807"/>
      <w:r>
        <w:rPr>
          <w:rFonts w:ascii="方正小标宋简体" w:eastAsia="方正小标宋简体" w:hint="eastAsia"/>
          <w:sz w:val="44"/>
          <w:szCs w:val="44"/>
        </w:rPr>
        <w:t>部门整体绩效评价报告</w:t>
      </w:r>
      <w:bookmarkEnd w:id="0"/>
      <w:bookmarkEnd w:id="1"/>
      <w:bookmarkEnd w:id="2"/>
      <w:bookmarkEnd w:id="3"/>
    </w:p>
    <w:p w:rsidR="00D32040" w:rsidRDefault="00D32040" w:rsidP="002F040F">
      <w:pPr>
        <w:pStyle w:val="21"/>
        <w:tabs>
          <w:tab w:val="left" w:pos="6090"/>
        </w:tabs>
        <w:spacing w:after="0" w:line="560" w:lineRule="exact"/>
        <w:ind w:firstLine="640"/>
      </w:pPr>
    </w:p>
    <w:p w:rsidR="00D32040" w:rsidRDefault="00603C62" w:rsidP="002F040F">
      <w:pPr>
        <w:tabs>
          <w:tab w:val="left" w:pos="6090"/>
        </w:tabs>
        <w:spacing w:line="560" w:lineRule="exact"/>
        <w:ind w:firstLineChars="200" w:firstLine="640"/>
        <w:outlineLvl w:val="0"/>
        <w:rPr>
          <w:rFonts w:ascii="黑体" w:eastAsia="黑体" w:hAnsi="黑体" w:cs="宋体"/>
          <w:color w:val="000000"/>
          <w:kern w:val="0"/>
          <w:sz w:val="32"/>
          <w:szCs w:val="32"/>
        </w:rPr>
      </w:pPr>
      <w:bookmarkStart w:id="4" w:name="_Toc13052"/>
      <w:bookmarkStart w:id="5" w:name="_Toc20561"/>
      <w:bookmarkStart w:id="6" w:name="_Toc8942"/>
      <w:r>
        <w:rPr>
          <w:rFonts w:ascii="黑体" w:eastAsia="黑体" w:hAnsi="黑体" w:cs="宋体" w:hint="eastAsia"/>
          <w:color w:val="000000"/>
          <w:kern w:val="0"/>
          <w:sz w:val="32"/>
          <w:szCs w:val="32"/>
        </w:rPr>
        <w:t>一、部门概况</w:t>
      </w:r>
      <w:bookmarkEnd w:id="4"/>
      <w:bookmarkEnd w:id="5"/>
      <w:bookmarkEnd w:id="6"/>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7" w:name="_Toc26578"/>
      <w:bookmarkStart w:id="8" w:name="_Toc3082"/>
      <w:bookmarkStart w:id="9" w:name="_Toc15797"/>
      <w:r>
        <w:rPr>
          <w:rFonts w:ascii="楷体" w:eastAsia="楷体" w:hAnsi="楷体" w:cs="楷体" w:hint="eastAsia"/>
          <w:sz w:val="32"/>
          <w:szCs w:val="32"/>
        </w:rPr>
        <w:t>（一）机构设置及职责工作任务情况</w:t>
      </w:r>
      <w:bookmarkEnd w:id="7"/>
      <w:bookmarkEnd w:id="8"/>
      <w:bookmarkEnd w:id="9"/>
    </w:p>
    <w:p w:rsidR="00D32040" w:rsidRDefault="00603C62" w:rsidP="002F040F">
      <w:pPr>
        <w:tabs>
          <w:tab w:val="left" w:pos="6090"/>
        </w:tabs>
        <w:spacing w:line="560" w:lineRule="exact"/>
        <w:ind w:firstLineChars="200" w:firstLine="640"/>
        <w:rPr>
          <w:rFonts w:ascii="仿宋_GB2312" w:eastAsia="仿宋_GB2312"/>
          <w:sz w:val="32"/>
          <w:szCs w:val="32"/>
        </w:rPr>
      </w:pPr>
      <w:r>
        <w:rPr>
          <w:rFonts w:ascii="仿宋_GB2312" w:eastAsia="仿宋_GB2312" w:hint="eastAsia"/>
          <w:sz w:val="32"/>
          <w:szCs w:val="32"/>
        </w:rPr>
        <w:t>中国共产党北京市委员会市直属机关工作委员会（简称市直机关工委）是市委派出机构。内设办公室、研究室、组织部、宣传部、党建督查室、统战部、北京市直属机关工会（北京市直属机关妇女工作委员会）、共青团北京市直属机关工作委员会、机关党委（人事处）、离退休干部处。同时按规定设市直机关纪检监察工作委员会。</w:t>
      </w:r>
      <w:r>
        <w:rPr>
          <w:rFonts w:ascii="仿宋_GB2312" w:eastAsia="仿宋_GB2312" w:hAnsi="宋体" w:cs="宋体" w:hint="eastAsia"/>
          <w:color w:val="000000"/>
          <w:kern w:val="0"/>
          <w:sz w:val="32"/>
          <w:szCs w:val="32"/>
        </w:rPr>
        <w:t>主要职责是：</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1.统一组织、规划、部署市直机关党的工作，提出加强和改进机关党的建设的意见和建议,研究制定工作规划,并抓好组织实施。</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2.指导市直机关党的政治建设、思想建设、组织建设、作风建设、纪律建设，把制度建设贯穿其中，深入推进反腐败斗争。</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3.指导市直机关各级党组织和广大党员学习马克思列宁主义、毛泽东思想、邓小平理论、“三个代表”重要思想、科学发展观、习近平新时代中国特色社会主义思想。</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指导督促市直机关各部门党组（党委）（包括不设党组、党委的部门领导班子，下同）落实机关党建主体责任，定期对市直机关各部门党组（党委）、机关基层党组织、党员领导干部落实机关党建工作责任制、机关党建重点工作和重要制度情况进行</w:t>
      </w:r>
      <w:r>
        <w:rPr>
          <w:rFonts w:ascii="仿宋_GB2312" w:eastAsia="仿宋_GB2312" w:hAnsi="仿宋_GB2312" w:cs="仿宋_GB2312" w:hint="eastAsia"/>
          <w:sz w:val="32"/>
          <w:szCs w:val="32"/>
        </w:rPr>
        <w:lastRenderedPageBreak/>
        <w:t>督查，及时向市委报告有关情况。</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5.指导市直机关各级党组织实施对党员特别是党员领导干部的监督和管理,及时向市委反映各部门领导班子、领导干部的情况。</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6.配合市委有关部门抓好市直机关各部门领导班子思想政治建设,参与对党员领导干部民主生活会和各部门党组（党委）理论学习中心组学习的督促检查和指导，了解掌握情况,按规定报送情况报告。</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督促指导市直机关各部门机关党委（包括不设机关党委的党总支、党支部，下同）按期换届,审批关于召开党员大会或党员代表大会的请示,审批市直机关各部门机关党委和机关纪委领导班子的组成及书记、副书记的任免。</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8.指导市直机关各级党组织加强基层组织建设，做好党员发展、教育和管理等工作。</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9.领导市直机关各部门机关党的纪律检查工作。</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10.了解掌握市直机关工作人员的思想状况,指导市直机关各级党组织加强思想政治工作和精神文明建设。</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11.领导市直机关工会、共青团、妇联等群团组织的工作，指导市直机关各级党组织做好党的群众工作和统一战线工作。</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12.协同有关部门指导、规划、协调、监督、检查市直机关党员干部理论学习和教育培训工作，培训轮训市直机关党务干部。</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13.协助有关部门协调市直机关各部门做好维护稳定、离退休干部和老龄等工作。</w:t>
      </w:r>
    </w:p>
    <w:p w:rsidR="00D32040" w:rsidRDefault="00603C62" w:rsidP="002F040F">
      <w:pPr>
        <w:tabs>
          <w:tab w:val="left" w:pos="609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14.完成市委交办的其他任务。</w:t>
      </w:r>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10" w:name="_Toc14461"/>
      <w:bookmarkStart w:id="11" w:name="_Toc7539"/>
      <w:bookmarkStart w:id="12" w:name="_Toc24620"/>
      <w:r>
        <w:rPr>
          <w:rFonts w:ascii="楷体" w:eastAsia="楷体" w:hAnsi="楷体" w:cs="楷体" w:hint="eastAsia"/>
          <w:sz w:val="32"/>
          <w:szCs w:val="32"/>
        </w:rPr>
        <w:t>（二）部门整体绩效目标设立情况</w:t>
      </w:r>
      <w:bookmarkEnd w:id="10"/>
      <w:bookmarkEnd w:id="11"/>
      <w:bookmarkEnd w:id="12"/>
    </w:p>
    <w:p w:rsidR="00D32040" w:rsidRDefault="00603C62" w:rsidP="002F040F">
      <w:pPr>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直机关工委根据部门工作职责及2022年度工作任务，确定部门整体绩效目标为：深入学习贯彻习近平新时代中国特色社会主义思想，大力弘扬伟大建党精神，按照市委统一部署，带头落实“看北京首先要从政治上看”的要求，以机关党建高质量发展引领模范机关建设，组织引导各级党组织和机关党员干部全力服务保障冬奥会和冬残奥会，扎实做好迎接市第十三次党代会相关工作，以优异成绩迎接党的二十大胜利召开。</w:t>
      </w:r>
    </w:p>
    <w:p w:rsidR="00D32040" w:rsidRDefault="00603C62" w:rsidP="002F040F">
      <w:pPr>
        <w:tabs>
          <w:tab w:val="left" w:pos="6090"/>
        </w:tabs>
        <w:spacing w:line="560" w:lineRule="exact"/>
        <w:ind w:firstLineChars="200" w:firstLine="640"/>
        <w:rPr>
          <w:rFonts w:ascii="仿宋_GB2312" w:eastAsia="仿宋_GB2312" w:hAnsi="宋体" w:cs="宋体"/>
          <w:strike/>
          <w:color w:val="000000"/>
          <w:kern w:val="0"/>
          <w:sz w:val="32"/>
          <w:szCs w:val="32"/>
          <w:highlight w:val="yellow"/>
        </w:rPr>
      </w:pPr>
      <w:r>
        <w:rPr>
          <w:rFonts w:ascii="仿宋_GB2312" w:eastAsia="仿宋_GB2312" w:hAnsi="宋体" w:cs="宋体" w:hint="eastAsia"/>
          <w:color w:val="000000"/>
          <w:kern w:val="0"/>
          <w:sz w:val="32"/>
          <w:szCs w:val="32"/>
        </w:rPr>
        <w:t>依据上述部门整体绩效目标，市直机关工委结合部门职责和工作任务，细化设置了绩效指标。</w:t>
      </w:r>
      <w:r w:rsidR="00C035CD" w:rsidRPr="00C035CD">
        <w:rPr>
          <w:rFonts w:ascii="仿宋_GB2312" w:eastAsia="仿宋_GB2312" w:hAnsi="宋体" w:cs="宋体" w:hint="eastAsia"/>
          <w:color w:val="000000"/>
          <w:kern w:val="0"/>
          <w:sz w:val="32"/>
          <w:szCs w:val="32"/>
        </w:rPr>
        <w:t>绩效目标及指标设定与部门工作职责、工作任务匹配，绩效目标设定合理。</w:t>
      </w:r>
    </w:p>
    <w:p w:rsidR="00D32040" w:rsidRDefault="00603C62" w:rsidP="002F040F">
      <w:pPr>
        <w:tabs>
          <w:tab w:val="left" w:pos="6090"/>
        </w:tabs>
        <w:spacing w:line="560" w:lineRule="exact"/>
        <w:ind w:firstLineChars="200" w:firstLine="640"/>
        <w:outlineLvl w:val="0"/>
        <w:rPr>
          <w:rFonts w:ascii="黑体" w:eastAsia="黑体" w:hAnsi="黑体" w:cs="宋体"/>
          <w:color w:val="000000"/>
          <w:kern w:val="0"/>
          <w:sz w:val="32"/>
          <w:szCs w:val="32"/>
        </w:rPr>
      </w:pPr>
      <w:bookmarkStart w:id="13" w:name="_Toc18237"/>
      <w:bookmarkStart w:id="14" w:name="_Toc8109"/>
      <w:bookmarkStart w:id="15" w:name="_Toc8831"/>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bookmarkEnd w:id="13"/>
      <w:bookmarkEnd w:id="14"/>
      <w:bookmarkEnd w:id="15"/>
    </w:p>
    <w:p w:rsidR="00D32040" w:rsidRDefault="00603C62" w:rsidP="002F040F">
      <w:pPr>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2022年市直机关工委</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预算数5,417.22万元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4,429.26</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项目支出预算数987.96</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，其他支出预算数0万元。资金总体支出5,288.28</w:t>
      </w:r>
      <w:r>
        <w:rPr>
          <w:rFonts w:ascii="仿宋_GB2312" w:eastAsia="仿宋_GB2312" w:hAnsi="宋体" w:cs="宋体"/>
          <w:color w:val="000000"/>
          <w:kern w:val="0"/>
          <w:sz w:val="32"/>
          <w:szCs w:val="32"/>
        </w:rPr>
        <w:t>万元，其中，基本支出</w:t>
      </w:r>
      <w:r>
        <w:rPr>
          <w:rFonts w:ascii="仿宋_GB2312" w:eastAsia="仿宋_GB2312" w:hAnsi="宋体" w:cs="宋体" w:hint="eastAsia"/>
          <w:color w:val="000000"/>
          <w:kern w:val="0"/>
          <w:sz w:val="32"/>
          <w:szCs w:val="32"/>
        </w:rPr>
        <w:t>4,363.72</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支出924.5</w:t>
      </w:r>
      <w:r w:rsidR="00E806BF">
        <w:rPr>
          <w:rFonts w:ascii="仿宋_GB2312" w:eastAsia="仿宋_GB2312" w:hAnsi="宋体" w:cs="宋体" w:hint="eastAsia"/>
          <w:color w:val="000000"/>
          <w:kern w:val="0"/>
          <w:sz w:val="32"/>
          <w:szCs w:val="32"/>
        </w:rPr>
        <w:t>5</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，其他支出0万元。预算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97.62%。</w:t>
      </w:r>
    </w:p>
    <w:p w:rsidR="00D32040" w:rsidRDefault="00603C62" w:rsidP="002F040F">
      <w:pPr>
        <w:tabs>
          <w:tab w:val="left" w:pos="6090"/>
        </w:tabs>
        <w:spacing w:line="560" w:lineRule="exact"/>
        <w:ind w:firstLineChars="200" w:firstLine="640"/>
        <w:outlineLvl w:val="0"/>
        <w:rPr>
          <w:rFonts w:ascii="黑体" w:eastAsia="黑体" w:hAnsi="黑体" w:cs="宋体"/>
          <w:color w:val="000000"/>
          <w:kern w:val="0"/>
          <w:sz w:val="32"/>
          <w:szCs w:val="32"/>
        </w:rPr>
      </w:pPr>
      <w:bookmarkStart w:id="16" w:name="_Toc6166"/>
      <w:bookmarkStart w:id="17" w:name="_Toc28137"/>
      <w:bookmarkStart w:id="18" w:name="_Toc10510"/>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bookmarkEnd w:id="16"/>
      <w:bookmarkEnd w:id="17"/>
      <w:bookmarkEnd w:id="18"/>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19" w:name="_Toc625"/>
      <w:bookmarkStart w:id="20" w:name="_Toc20621"/>
      <w:bookmarkStart w:id="21" w:name="_Toc1424"/>
      <w:r>
        <w:rPr>
          <w:rFonts w:ascii="楷体" w:eastAsia="楷体" w:hAnsi="楷体" w:cs="楷体" w:hint="eastAsia"/>
          <w:sz w:val="32"/>
          <w:szCs w:val="32"/>
        </w:rPr>
        <w:t>（一）产出完成情况分析</w:t>
      </w:r>
      <w:bookmarkEnd w:id="19"/>
      <w:bookmarkEnd w:id="20"/>
      <w:bookmarkEnd w:id="21"/>
    </w:p>
    <w:p w:rsidR="00AF0797" w:rsidRDefault="00603C62" w:rsidP="002F040F">
      <w:pPr>
        <w:tabs>
          <w:tab w:val="left" w:pos="6090"/>
        </w:tabs>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color w:val="000000"/>
          <w:kern w:val="0"/>
          <w:sz w:val="32"/>
          <w:szCs w:val="32"/>
        </w:rPr>
        <w:lastRenderedPageBreak/>
        <w:t>1.产出数量</w:t>
      </w:r>
      <w:r w:rsidR="00090938">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该项指标分值10分，实际得分9分。</w:t>
      </w:r>
      <w:r w:rsidR="00090938">
        <w:rPr>
          <w:rFonts w:ascii="仿宋_GB2312" w:eastAsia="仿宋_GB2312" w:hAnsi="宋体" w:cs="宋体" w:hint="eastAsia"/>
          <w:color w:val="000000"/>
          <w:kern w:val="0"/>
          <w:sz w:val="32"/>
          <w:szCs w:val="32"/>
        </w:rPr>
        <w:t>市直机关工委2022年度全面落</w:t>
      </w:r>
      <w:r>
        <w:rPr>
          <w:rFonts w:ascii="仿宋_GB2312" w:eastAsia="仿宋_GB2312" w:hAnsi="仿宋_GB2312" w:cs="仿宋_GB2312" w:hint="eastAsia"/>
          <w:sz w:val="32"/>
          <w:szCs w:val="32"/>
        </w:rPr>
        <w:t>实</w:t>
      </w:r>
      <w:r w:rsidR="00090938">
        <w:rPr>
          <w:rFonts w:ascii="仿宋_GB2312" w:eastAsia="仿宋_GB2312" w:hAnsi="仿宋_GB2312" w:cs="仿宋_GB2312" w:hint="eastAsia"/>
          <w:sz w:val="32"/>
          <w:szCs w:val="32"/>
        </w:rPr>
        <w:t>市委各项决策部署，</w:t>
      </w:r>
      <w:r w:rsidR="00AF0797">
        <w:rPr>
          <w:rFonts w:ascii="仿宋_GB2312" w:eastAsia="仿宋_GB2312" w:hAnsi="仿宋_GB2312" w:cs="仿宋_GB2312" w:hint="eastAsia"/>
          <w:sz w:val="32"/>
          <w:szCs w:val="32"/>
        </w:rPr>
        <w:t>较好实现年度绩效任务和预期绩效目标。</w:t>
      </w:r>
      <w:r w:rsidR="00AF0797">
        <w:rPr>
          <w:rFonts w:ascii="仿宋_GB2312" w:eastAsia="仿宋_GB2312" w:hAnsi="宋体" w:cs="宋体" w:hint="eastAsia"/>
          <w:color w:val="000000"/>
          <w:kern w:val="0"/>
          <w:sz w:val="32"/>
          <w:szCs w:val="32"/>
        </w:rPr>
        <w:t>截至2022年12月31日，受疫情影响，“培训类项目”中</w:t>
      </w:r>
      <w:r w:rsidR="00CB362D">
        <w:rPr>
          <w:rFonts w:ascii="仿宋_GB2312" w:eastAsia="仿宋_GB2312" w:hAnsi="宋体" w:cs="宋体" w:hint="eastAsia"/>
          <w:color w:val="000000"/>
          <w:kern w:val="0"/>
          <w:sz w:val="32"/>
          <w:szCs w:val="32"/>
        </w:rPr>
        <w:t>个别</w:t>
      </w:r>
      <w:r w:rsidR="00AF0797">
        <w:rPr>
          <w:rFonts w:ascii="仿宋_GB2312" w:eastAsia="仿宋_GB2312" w:hAnsi="宋体" w:cs="宋体" w:hint="eastAsia"/>
          <w:color w:val="000000"/>
          <w:kern w:val="0"/>
          <w:sz w:val="32"/>
          <w:szCs w:val="32"/>
        </w:rPr>
        <w:t>场次未能如期开展。</w:t>
      </w:r>
    </w:p>
    <w:p w:rsidR="00D32040" w:rsidRDefault="00603C62" w:rsidP="002F040F">
      <w:pPr>
        <w:pStyle w:val="22"/>
        <w:spacing w:line="560" w:lineRule="exact"/>
        <w:ind w:firstLine="640"/>
        <w:outlineLvl w:val="2"/>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2.产出质量</w:t>
      </w:r>
      <w:r w:rsidR="003E5D13">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该项指标分值10分，实际得分10分。市直机关工委建立了项目日常监管管理机制，严格按照单位内部控制管理制度执行，监督管理机制和内控制度健全执行有效，产出质量达标率为</w:t>
      </w:r>
      <w:r>
        <w:rPr>
          <w:rFonts w:ascii="仿宋_GB2312" w:eastAsia="仿宋_GB2312" w:hAnsi="宋体" w:cs="宋体"/>
          <w:color w:val="000000"/>
          <w:kern w:val="0"/>
          <w:sz w:val="32"/>
          <w:szCs w:val="32"/>
        </w:rPr>
        <w:t>100.00</w:t>
      </w:r>
      <w:r>
        <w:rPr>
          <w:rFonts w:ascii="仿宋_GB2312" w:eastAsia="仿宋_GB2312" w:hAnsi="宋体" w:cs="宋体" w:hint="eastAsia"/>
          <w:color w:val="000000"/>
          <w:kern w:val="0"/>
          <w:sz w:val="32"/>
          <w:szCs w:val="32"/>
        </w:rPr>
        <w:t>%。</w:t>
      </w:r>
    </w:p>
    <w:p w:rsidR="00D32040" w:rsidRDefault="00603C62" w:rsidP="002F040F">
      <w:pPr>
        <w:pStyle w:val="22"/>
        <w:spacing w:line="560" w:lineRule="exact"/>
        <w:ind w:firstLine="640"/>
        <w:outlineLvl w:val="2"/>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3.产出进度</w:t>
      </w:r>
      <w:r w:rsidR="003E5D13">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该项指标分值5分，实际得分5分。2022年预算项目按工作计划开展，产出进度指标按时完成率为</w:t>
      </w:r>
      <w:r>
        <w:rPr>
          <w:rFonts w:ascii="仿宋_GB2312" w:eastAsia="仿宋_GB2312" w:hAnsi="宋体" w:cs="宋体"/>
          <w:color w:val="000000"/>
          <w:kern w:val="0"/>
          <w:sz w:val="32"/>
          <w:szCs w:val="32"/>
        </w:rPr>
        <w:t>100.00</w:t>
      </w:r>
      <w:r>
        <w:rPr>
          <w:rFonts w:ascii="仿宋_GB2312" w:eastAsia="仿宋_GB2312" w:hAnsi="宋体" w:cs="宋体" w:hint="eastAsia"/>
          <w:color w:val="000000"/>
          <w:kern w:val="0"/>
          <w:sz w:val="32"/>
          <w:szCs w:val="32"/>
        </w:rPr>
        <w:t>%。</w:t>
      </w:r>
    </w:p>
    <w:p w:rsidR="00D32040" w:rsidRDefault="00603C62" w:rsidP="002F040F">
      <w:pPr>
        <w:pStyle w:val="22"/>
        <w:spacing w:line="560" w:lineRule="exact"/>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4.产出成本</w:t>
      </w:r>
      <w:r w:rsidR="003E5D13">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该项指标分值5分，实际得分4.68分。2022年工作任务实施成本能够按照预期绩效目标进行控制，严格执行政府采购程序，严格成本控制</w:t>
      </w:r>
      <w:r w:rsidR="00E65461">
        <w:rPr>
          <w:rFonts w:ascii="仿宋_GB2312" w:eastAsia="仿宋_GB2312" w:hAnsi="宋体" w:cs="宋体" w:hint="eastAsia"/>
          <w:color w:val="000000"/>
          <w:kern w:val="0"/>
          <w:sz w:val="32"/>
          <w:szCs w:val="32"/>
        </w:rPr>
        <w:t>，</w:t>
      </w:r>
      <w:r w:rsidR="003E5D13">
        <w:rPr>
          <w:rFonts w:ascii="仿宋_GB2312" w:eastAsia="仿宋_GB2312" w:hAnsi="宋体" w:cs="宋体" w:hint="eastAsia"/>
          <w:color w:val="000000"/>
          <w:kern w:val="0"/>
          <w:sz w:val="32"/>
          <w:szCs w:val="32"/>
        </w:rPr>
        <w:t>公</w:t>
      </w:r>
      <w:r>
        <w:rPr>
          <w:rFonts w:ascii="仿宋_GB2312" w:eastAsia="仿宋_GB2312" w:hAnsi="宋体" w:cs="宋体" w:hint="eastAsia"/>
          <w:color w:val="000000"/>
          <w:kern w:val="0"/>
          <w:sz w:val="32"/>
          <w:szCs w:val="32"/>
        </w:rPr>
        <w:t>用经费执行率85%，</w:t>
      </w:r>
      <w:r w:rsidR="00E65461">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项目支出执行率9</w:t>
      </w:r>
      <w:r w:rsidR="00E34A89">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w:t>
      </w:r>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22" w:name="_Toc30296"/>
      <w:bookmarkStart w:id="23" w:name="_Toc25763"/>
      <w:bookmarkStart w:id="24" w:name="_Toc1684"/>
      <w:r>
        <w:rPr>
          <w:rFonts w:ascii="楷体" w:eastAsia="楷体" w:hAnsi="楷体" w:cs="楷体" w:hint="eastAsia"/>
          <w:sz w:val="32"/>
          <w:szCs w:val="32"/>
        </w:rPr>
        <w:t>（二）效果实现情况分析</w:t>
      </w:r>
      <w:bookmarkEnd w:id="22"/>
      <w:bookmarkEnd w:id="23"/>
      <w:bookmarkEnd w:id="24"/>
    </w:p>
    <w:p w:rsidR="00D32040" w:rsidRDefault="00603C62" w:rsidP="002F040F">
      <w:pPr>
        <w:pStyle w:val="22"/>
        <w:numPr>
          <w:ilvl w:val="255"/>
          <w:numId w:val="0"/>
        </w:numPr>
        <w:tabs>
          <w:tab w:val="left" w:pos="6090"/>
        </w:tabs>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1.经济效益</w:t>
      </w:r>
      <w:r w:rsidR="00E65461">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不涉及。</w:t>
      </w:r>
    </w:p>
    <w:p w:rsidR="00D32040" w:rsidRDefault="00603C62" w:rsidP="002F040F">
      <w:pPr>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r w:rsidR="00E65461">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该项指标分值10分，实际得分10分。一是保障了日常</w:t>
      </w:r>
      <w:r w:rsidR="005A6F79">
        <w:rPr>
          <w:rFonts w:ascii="仿宋_GB2312" w:eastAsia="仿宋_GB2312" w:hAnsi="宋体" w:cs="宋体" w:hint="eastAsia"/>
          <w:color w:val="000000"/>
          <w:kern w:val="0"/>
          <w:sz w:val="32"/>
          <w:szCs w:val="32"/>
        </w:rPr>
        <w:t>运转</w:t>
      </w:r>
      <w:r>
        <w:rPr>
          <w:rFonts w:ascii="仿宋_GB2312" w:eastAsia="仿宋_GB2312" w:hAnsi="宋体" w:cs="宋体" w:hint="eastAsia"/>
          <w:color w:val="000000"/>
          <w:kern w:val="0"/>
          <w:sz w:val="32"/>
          <w:szCs w:val="32"/>
        </w:rPr>
        <w:t>，通过“市直机关党建网运行维护（二期）”、“信息管理系统政务云租赁”、“市直机关工委网络维护” 、“办公设备更新”及“后勤综合保障经费</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等项目的实施，满足了在职人员日常办公需求，信息管理系统安全稳定运行。二是保障</w:t>
      </w:r>
      <w:r w:rsidR="005D35DF">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党建工作有序开展。通过“会议类项目”、“培训类项目”、“宣</w:t>
      </w:r>
      <w:r>
        <w:rPr>
          <w:rFonts w:ascii="仿宋_GB2312" w:eastAsia="仿宋_GB2312" w:hAnsi="宋体" w:cs="宋体" w:hint="eastAsia"/>
          <w:color w:val="000000"/>
          <w:kern w:val="0"/>
          <w:sz w:val="32"/>
          <w:szCs w:val="32"/>
        </w:rPr>
        <w:lastRenderedPageBreak/>
        <w:t>传工作经费”、“纪检监察工作经费”、“统战工作经费</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、“共青团工作经费”及“老干部工作经费</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等项目，</w:t>
      </w:r>
      <w:r w:rsidR="00B673DD" w:rsidRPr="00B673DD">
        <w:rPr>
          <w:rFonts w:ascii="仿宋_GB2312" w:eastAsia="仿宋_GB2312" w:hAnsi="宋体" w:cs="宋体" w:hint="eastAsia"/>
          <w:color w:val="000000"/>
          <w:kern w:val="0"/>
          <w:sz w:val="32"/>
          <w:szCs w:val="32"/>
        </w:rPr>
        <w:t>进一步建立了与各基层单位的联系和沟通，</w:t>
      </w:r>
      <w:r w:rsidR="00373914">
        <w:rPr>
          <w:rFonts w:ascii="仿宋_GB2312" w:eastAsia="仿宋_GB2312" w:hAnsi="宋体" w:cs="宋体" w:hint="eastAsia"/>
          <w:color w:val="000000"/>
          <w:kern w:val="0"/>
          <w:sz w:val="32"/>
          <w:szCs w:val="32"/>
        </w:rPr>
        <w:t>保障</w:t>
      </w:r>
      <w:r w:rsidR="00B673DD" w:rsidRPr="00B673DD">
        <w:rPr>
          <w:rFonts w:ascii="仿宋_GB2312" w:eastAsia="仿宋_GB2312" w:hAnsi="宋体" w:cs="宋体" w:hint="eastAsia"/>
          <w:color w:val="000000"/>
          <w:kern w:val="0"/>
          <w:sz w:val="32"/>
          <w:szCs w:val="32"/>
        </w:rPr>
        <w:t>了党建活动的高质量宣传，总结梳理了一批机关基层党组织的先进典型案例，开展了巡回宣讲和集中展示等主题活动。</w:t>
      </w:r>
      <w:r>
        <w:rPr>
          <w:rFonts w:ascii="仿宋_GB2312" w:eastAsia="仿宋_GB2312" w:hAnsi="宋体" w:cs="宋体" w:hint="eastAsia"/>
          <w:color w:val="000000"/>
          <w:kern w:val="0"/>
          <w:sz w:val="32"/>
          <w:szCs w:val="32"/>
        </w:rPr>
        <w:t>三是展示</w:t>
      </w:r>
      <w:r w:rsidR="005D35DF">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职工风采风貌。通过“市直机关第六届运动会”、“妇女工作经费”等项目，提高了干部职工健康素质、营造了和谐氛围、增强了机关活力，更好地丰富了职工业余文化生活，促进了家庭美德、家庭文明建设。</w:t>
      </w:r>
    </w:p>
    <w:p w:rsidR="00D32040" w:rsidRDefault="00603C62" w:rsidP="002F040F">
      <w:pPr>
        <w:pStyle w:val="22"/>
        <w:numPr>
          <w:ilvl w:val="255"/>
          <w:numId w:val="0"/>
        </w:numPr>
        <w:tabs>
          <w:tab w:val="left" w:pos="6090"/>
        </w:tabs>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不涉及。</w:t>
      </w:r>
    </w:p>
    <w:p w:rsidR="00D32040" w:rsidRDefault="00603C62" w:rsidP="002F040F">
      <w:pPr>
        <w:pStyle w:val="22"/>
        <w:numPr>
          <w:ilvl w:val="255"/>
          <w:numId w:val="0"/>
        </w:numPr>
        <w:tabs>
          <w:tab w:val="left" w:pos="6090"/>
        </w:tabs>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4.可持续性影响</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该项指标分值10分，实际得分10</w:t>
      </w:r>
      <w:r w:rsidR="0064699B">
        <w:rPr>
          <w:rFonts w:ascii="仿宋_GB2312" w:eastAsia="仿宋_GB2312" w:hAnsi="宋体" w:cs="宋体" w:hint="eastAsia"/>
          <w:color w:val="000000"/>
          <w:kern w:val="0"/>
          <w:sz w:val="32"/>
          <w:szCs w:val="32"/>
        </w:rPr>
        <w:t>分。市直机关工委履行</w:t>
      </w:r>
      <w:r>
        <w:rPr>
          <w:rFonts w:ascii="仿宋_GB2312" w:eastAsia="仿宋_GB2312" w:hAnsi="宋体" w:cs="宋体" w:hint="eastAsia"/>
          <w:color w:val="000000"/>
          <w:kern w:val="0"/>
          <w:sz w:val="32"/>
          <w:szCs w:val="32"/>
        </w:rPr>
        <w:t>单位职能，保障各项业务工作有序开展。以机关党建高质量发展引领模范机关建设，组织召开会议和专题培训，党建责任得到有效落实</w:t>
      </w:r>
      <w:r>
        <w:rPr>
          <w:rFonts w:ascii="仿宋_GB2312" w:eastAsia="仿宋_GB2312" w:hAnsi="仿宋" w:hint="eastAsia"/>
          <w:sz w:val="32"/>
          <w:szCs w:val="32"/>
        </w:rPr>
        <w:t>。在推动</w:t>
      </w:r>
      <w:r>
        <w:rPr>
          <w:rFonts w:ascii="仿宋_GB2312" w:eastAsia="仿宋_GB2312" w:hAnsi="宋体" w:cs="宋体" w:hint="eastAsia"/>
          <w:color w:val="000000"/>
          <w:kern w:val="0"/>
          <w:sz w:val="32"/>
          <w:szCs w:val="32"/>
        </w:rPr>
        <w:t>统战工作高质量发展、促进纪检工作质效提升、落实离退休干部生活待遇和政治待遇、提高干部职工健康素质、引导团员青年凝心聚力等方面较好实现了预期可持续影响。</w:t>
      </w:r>
    </w:p>
    <w:p w:rsidR="00D32040" w:rsidRDefault="00603C62" w:rsidP="002F040F">
      <w:pPr>
        <w:pStyle w:val="22"/>
        <w:numPr>
          <w:ilvl w:val="255"/>
          <w:numId w:val="0"/>
        </w:numPr>
        <w:tabs>
          <w:tab w:val="left" w:pos="6090"/>
        </w:tabs>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5.服务对象满意度</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该项指标分值10分，实际得分8分。市直机关工委2022年度依据各项目受众群体开展</w:t>
      </w:r>
      <w:r w:rsidR="0064699B">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服务对象满意度调查</w:t>
      </w:r>
      <w:r w:rsidR="0064699B">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但部分项目满意度调查资料不够完整，服务对象满意度调查工作有待加强。</w:t>
      </w:r>
    </w:p>
    <w:p w:rsidR="00D32040" w:rsidRDefault="00603C62" w:rsidP="002F040F">
      <w:pPr>
        <w:tabs>
          <w:tab w:val="left" w:pos="6090"/>
        </w:tabs>
        <w:spacing w:line="560" w:lineRule="exact"/>
        <w:ind w:firstLineChars="200" w:firstLine="640"/>
        <w:outlineLvl w:val="0"/>
        <w:rPr>
          <w:rFonts w:ascii="黑体" w:eastAsia="黑体" w:hAnsi="黑体" w:cs="宋体"/>
          <w:color w:val="000000"/>
          <w:kern w:val="0"/>
          <w:sz w:val="32"/>
          <w:szCs w:val="32"/>
        </w:rPr>
      </w:pPr>
      <w:bookmarkStart w:id="25" w:name="_Toc17963"/>
      <w:bookmarkStart w:id="26" w:name="_Toc19106"/>
      <w:bookmarkStart w:id="27" w:name="_Toc26309"/>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bookmarkEnd w:id="25"/>
      <w:bookmarkEnd w:id="26"/>
      <w:bookmarkEnd w:id="27"/>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28" w:name="_Toc20391"/>
      <w:bookmarkStart w:id="29" w:name="_Toc20293"/>
      <w:bookmarkStart w:id="30" w:name="_Toc32474"/>
      <w:r>
        <w:rPr>
          <w:rFonts w:ascii="楷体" w:eastAsia="楷体" w:hAnsi="楷体" w:cs="楷体" w:hint="eastAsia"/>
          <w:sz w:val="32"/>
          <w:szCs w:val="32"/>
        </w:rPr>
        <w:t>（一）财务管理</w:t>
      </w:r>
      <w:bookmarkEnd w:id="28"/>
      <w:bookmarkEnd w:id="29"/>
      <w:bookmarkEnd w:id="30"/>
    </w:p>
    <w:p w:rsidR="00D32040" w:rsidRDefault="00603C62" w:rsidP="002F040F">
      <w:pPr>
        <w:tabs>
          <w:tab w:val="left" w:pos="6090"/>
        </w:tabs>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1.财务管理制度健全性</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该项指标分值1分，实际得分1分。市直机关工委建立了《市直机关工委经费支出管理制度》</w:t>
      </w:r>
      <w:r w:rsidR="00433A4D">
        <w:rPr>
          <w:rFonts w:ascii="仿宋_GB2312" w:eastAsia="仿宋_GB2312" w:hAnsi="宋体" w:cs="宋体" w:hint="eastAsia"/>
          <w:color w:val="000000"/>
          <w:kern w:val="0"/>
          <w:sz w:val="32"/>
          <w:szCs w:val="32"/>
        </w:rPr>
        <w:t>、《市直机关工委预算管理制度》、《市直机关工委预算绩效管理办法》、</w:t>
      </w:r>
      <w:r>
        <w:rPr>
          <w:rFonts w:ascii="仿宋_GB2312" w:eastAsia="仿宋_GB2312" w:hAnsi="宋体" w:cs="宋体" w:hint="eastAsia"/>
          <w:color w:val="000000"/>
          <w:kern w:val="0"/>
          <w:sz w:val="32"/>
          <w:szCs w:val="32"/>
        </w:rPr>
        <w:t>《市直机关工委会计档案管理办法》</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《市直机关工委采购管理办法》等，财务</w:t>
      </w:r>
      <w:r>
        <w:rPr>
          <w:rFonts w:ascii="仿宋_GB2312" w:eastAsia="仿宋_GB2312" w:hAnsi="宋体" w:cs="宋体"/>
          <w:color w:val="000000"/>
          <w:kern w:val="0"/>
          <w:sz w:val="32"/>
          <w:szCs w:val="32"/>
        </w:rPr>
        <w:t>管理制度</w:t>
      </w:r>
      <w:r w:rsidR="00A200E6">
        <w:rPr>
          <w:rFonts w:ascii="仿宋_GB2312" w:eastAsia="仿宋_GB2312" w:hAnsi="宋体" w:cs="宋体" w:hint="eastAsia"/>
          <w:color w:val="000000"/>
          <w:kern w:val="0"/>
          <w:sz w:val="32"/>
          <w:szCs w:val="32"/>
        </w:rPr>
        <w:t>较为</w:t>
      </w:r>
      <w:r>
        <w:rPr>
          <w:rFonts w:ascii="仿宋_GB2312" w:eastAsia="仿宋_GB2312" w:hAnsi="宋体" w:cs="宋体"/>
          <w:color w:val="000000"/>
          <w:kern w:val="0"/>
          <w:sz w:val="32"/>
          <w:szCs w:val="32"/>
        </w:rPr>
        <w:t>健全</w:t>
      </w:r>
      <w:r>
        <w:rPr>
          <w:rFonts w:ascii="仿宋_GB2312" w:eastAsia="仿宋_GB2312" w:hAnsi="宋体" w:cs="宋体" w:hint="eastAsia"/>
          <w:color w:val="000000"/>
          <w:kern w:val="0"/>
          <w:sz w:val="32"/>
          <w:szCs w:val="32"/>
        </w:rPr>
        <w:t>。同时配合市财政局积极开展对项目执行情况监管检查、绩效评价等相关监督管理工作，加强资金使用效果的监督、落实。</w:t>
      </w:r>
    </w:p>
    <w:p w:rsidR="00D32040" w:rsidRDefault="00603C62" w:rsidP="002F040F">
      <w:pPr>
        <w:numPr>
          <w:ilvl w:val="255"/>
          <w:numId w:val="0"/>
        </w:numPr>
        <w:tabs>
          <w:tab w:val="left" w:pos="6090"/>
        </w:tabs>
        <w:spacing w:line="560" w:lineRule="exact"/>
        <w:ind w:firstLineChars="200" w:firstLine="640"/>
        <w:outlineLvl w:val="2"/>
        <w:rPr>
          <w:rFonts w:ascii="仿宋_GB2312" w:eastAsia="仿宋_GB2312" w:hAnsi="宋体" w:cs="宋体"/>
          <w:color w:val="000000"/>
          <w:kern w:val="0"/>
          <w:sz w:val="32"/>
          <w:szCs w:val="32"/>
        </w:rPr>
      </w:pPr>
      <w:bookmarkStart w:id="31" w:name="_Toc2787"/>
      <w:bookmarkStart w:id="32" w:name="_Toc5544"/>
      <w:bookmarkStart w:id="33" w:name="_Toc8185"/>
      <w:r>
        <w:rPr>
          <w:rFonts w:ascii="仿宋_GB2312" w:eastAsia="仿宋_GB2312" w:hAnsi="宋体" w:cs="宋体" w:hint="eastAsia"/>
          <w:color w:val="000000"/>
          <w:kern w:val="0"/>
          <w:sz w:val="32"/>
          <w:szCs w:val="32"/>
        </w:rPr>
        <w:t>2.资金使用合规性和安全性</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2分，实际得分2分。市直机关工委2022年度资金支出符合国家财经法规和财务管理制度规定以及有关专项资金管理办法的规定；资金的审批程序和手续齐全；各项支出均符合部门预算批复的用途；不存在截留、挤占、挪用情况。</w:t>
      </w:r>
    </w:p>
    <w:p w:rsidR="00D32040" w:rsidRDefault="00603C62" w:rsidP="002F040F">
      <w:pPr>
        <w:numPr>
          <w:ilvl w:val="255"/>
          <w:numId w:val="0"/>
        </w:numPr>
        <w:tabs>
          <w:tab w:val="left" w:pos="6090"/>
        </w:tabs>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3.会计基础信息完善性</w:t>
      </w:r>
      <w:r w:rsidR="00433A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该项指标分值1分，实际得分1分。市直机关工委2022年度资金支出的基础数据信息和会计信息资料真实、完整、准确。</w:t>
      </w:r>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（二）资产管理</w:t>
      </w:r>
      <w:bookmarkEnd w:id="31"/>
      <w:bookmarkEnd w:id="32"/>
      <w:bookmarkEnd w:id="33"/>
    </w:p>
    <w:p w:rsidR="00D32040" w:rsidRDefault="00603C62" w:rsidP="002F040F">
      <w:pPr>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该项指标分值4分，实际得分4分。市直机关工委建立了《市直机关工委固定资产管理办法》、《市直机关工委低值易耗品管理办法》等，资产</w:t>
      </w:r>
      <w:r>
        <w:rPr>
          <w:rFonts w:ascii="仿宋_GB2312" w:eastAsia="仿宋_GB2312" w:hAnsi="宋体" w:cs="宋体"/>
          <w:color w:val="000000"/>
          <w:kern w:val="0"/>
          <w:sz w:val="32"/>
          <w:szCs w:val="32"/>
        </w:rPr>
        <w:t>管理制度健全</w:t>
      </w:r>
      <w:r>
        <w:rPr>
          <w:rFonts w:ascii="仿宋_GB2312" w:eastAsia="仿宋_GB2312" w:hAnsi="宋体" w:cs="宋体" w:hint="eastAsia"/>
          <w:color w:val="000000"/>
          <w:kern w:val="0"/>
          <w:sz w:val="32"/>
          <w:szCs w:val="32"/>
        </w:rPr>
        <w:t>，能够按照现有制度执行，科学合理做好资产配置，加强资产日常使用管理和维护，规范执行资产处置手续，有效保证日常工作需要。</w:t>
      </w:r>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34" w:name="_Toc5684"/>
      <w:bookmarkStart w:id="35" w:name="_Toc1653"/>
      <w:bookmarkStart w:id="36" w:name="_Toc20828"/>
      <w:r>
        <w:rPr>
          <w:rFonts w:ascii="楷体" w:eastAsia="楷体" w:hAnsi="楷体" w:cs="楷体" w:hint="eastAsia"/>
          <w:sz w:val="32"/>
          <w:szCs w:val="32"/>
        </w:rPr>
        <w:t>（三）绩效管理</w:t>
      </w:r>
      <w:bookmarkEnd w:id="34"/>
      <w:bookmarkEnd w:id="35"/>
      <w:bookmarkEnd w:id="36"/>
    </w:p>
    <w:p w:rsidR="00D32040" w:rsidRDefault="00603C62" w:rsidP="002F040F">
      <w:pPr>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该项指标分值4分，实际得分4分。市直机关工委在部门预算绩效管理工作中，严格落实市财政局绩效管理有关规定，制定了《市直机关工委预算绩效管理办法》，注重加强对项目决策、执行、产出及效益等方面的绩效管理，强化各部门对项目绩效管理的意识，提高财政资金的使用效益。</w:t>
      </w:r>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37" w:name="_Toc18402"/>
      <w:bookmarkStart w:id="38" w:name="_Toc28435"/>
      <w:bookmarkStart w:id="39" w:name="_Toc11233"/>
      <w:r>
        <w:rPr>
          <w:rFonts w:ascii="楷体" w:eastAsia="楷体" w:hAnsi="楷体" w:cs="楷体" w:hint="eastAsia"/>
          <w:sz w:val="32"/>
          <w:szCs w:val="32"/>
        </w:rPr>
        <w:t>（四）结转结余率</w:t>
      </w:r>
      <w:bookmarkEnd w:id="37"/>
      <w:bookmarkEnd w:id="38"/>
      <w:bookmarkEnd w:id="39"/>
    </w:p>
    <w:p w:rsidR="00D32040" w:rsidRDefault="00603C62" w:rsidP="002F040F">
      <w:pPr>
        <w:pStyle w:val="1"/>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该项指标分值4分，实际得分4分。2022年支出预算金额5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288</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28万元，结转结余资金总额</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28.95万元，结转结余率2.38%。</w:t>
      </w:r>
    </w:p>
    <w:p w:rsidR="00D32040" w:rsidRDefault="00603C62"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40" w:name="_Toc19888"/>
      <w:bookmarkStart w:id="41" w:name="_Toc9387"/>
      <w:bookmarkStart w:id="42" w:name="_Toc7772"/>
      <w:r>
        <w:rPr>
          <w:rFonts w:ascii="楷体" w:eastAsia="楷体" w:hAnsi="楷体" w:cs="楷体" w:hint="eastAsia"/>
          <w:sz w:val="32"/>
          <w:szCs w:val="32"/>
        </w:rPr>
        <w:t>（五）部门预决算差异率</w:t>
      </w:r>
      <w:bookmarkEnd w:id="40"/>
      <w:bookmarkEnd w:id="41"/>
      <w:bookmarkEnd w:id="42"/>
    </w:p>
    <w:p w:rsidR="00D32040" w:rsidRDefault="00603C62" w:rsidP="002F040F">
      <w:pPr>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该项指标分值4分，实际得分4分。市直机关工委2022</w:t>
      </w:r>
      <w:r w:rsidR="00A200E6">
        <w:rPr>
          <w:rFonts w:ascii="仿宋_GB2312" w:eastAsia="仿宋_GB2312" w:hAnsi="宋体" w:cs="宋体" w:hint="eastAsia"/>
          <w:color w:val="000000"/>
          <w:kern w:val="0"/>
          <w:sz w:val="32"/>
          <w:szCs w:val="32"/>
        </w:rPr>
        <w:t>年</w:t>
      </w:r>
      <w:r w:rsidR="009867B8">
        <w:rPr>
          <w:rFonts w:ascii="仿宋_GB2312" w:eastAsia="仿宋_GB2312" w:hAnsi="宋体" w:cs="宋体" w:hint="eastAsia"/>
          <w:color w:val="000000"/>
          <w:kern w:val="0"/>
          <w:sz w:val="32"/>
          <w:szCs w:val="32"/>
        </w:rPr>
        <w:t>年初</w:t>
      </w:r>
      <w:r>
        <w:rPr>
          <w:rFonts w:ascii="仿宋_GB2312" w:eastAsia="仿宋_GB2312" w:hAnsi="宋体" w:cs="宋体" w:hint="eastAsia"/>
          <w:color w:val="000000"/>
          <w:kern w:val="0"/>
          <w:sz w:val="32"/>
          <w:szCs w:val="32"/>
        </w:rPr>
        <w:t>预算数5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061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79</w:t>
      </w:r>
      <w:r w:rsidR="00A200E6">
        <w:rPr>
          <w:rFonts w:ascii="仿宋_GB2312" w:eastAsia="仿宋_GB2312" w:hAnsi="宋体" w:cs="宋体" w:hint="eastAsia"/>
          <w:color w:val="000000"/>
          <w:kern w:val="0"/>
          <w:sz w:val="32"/>
          <w:szCs w:val="32"/>
        </w:rPr>
        <w:t>万元，</w:t>
      </w:r>
      <w:r>
        <w:rPr>
          <w:rFonts w:ascii="仿宋_GB2312" w:eastAsia="仿宋_GB2312" w:hAnsi="宋体" w:cs="宋体" w:hint="eastAsia"/>
          <w:color w:val="000000"/>
          <w:kern w:val="0"/>
          <w:sz w:val="32"/>
          <w:szCs w:val="32"/>
        </w:rPr>
        <w:t>决算数5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288</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28万元，预决算差异金额226.48万元，部门预决算差异率4.47%。</w:t>
      </w:r>
    </w:p>
    <w:p w:rsidR="00D32040" w:rsidRDefault="00603C62" w:rsidP="002F040F">
      <w:pPr>
        <w:tabs>
          <w:tab w:val="left" w:pos="6090"/>
        </w:tabs>
        <w:spacing w:line="560" w:lineRule="exact"/>
        <w:ind w:firstLineChars="200" w:firstLine="640"/>
        <w:outlineLvl w:val="0"/>
        <w:rPr>
          <w:rFonts w:ascii="黑体" w:eastAsia="黑体" w:hAnsi="黑体"/>
          <w:sz w:val="32"/>
          <w:szCs w:val="32"/>
        </w:rPr>
      </w:pPr>
      <w:bookmarkStart w:id="43" w:name="_Toc18052"/>
      <w:bookmarkStart w:id="44" w:name="_Toc12976"/>
      <w:bookmarkStart w:id="45" w:name="_Toc7165"/>
      <w:r>
        <w:rPr>
          <w:rFonts w:ascii="黑体" w:eastAsia="黑体" w:hAnsi="黑体" w:hint="eastAsia"/>
          <w:sz w:val="32"/>
          <w:szCs w:val="32"/>
        </w:rPr>
        <w:t>五、总体</w:t>
      </w:r>
      <w:r>
        <w:rPr>
          <w:rFonts w:ascii="黑体" w:eastAsia="黑体" w:hAnsi="黑体"/>
          <w:sz w:val="32"/>
          <w:szCs w:val="32"/>
        </w:rPr>
        <w:t>评价结论</w:t>
      </w:r>
      <w:bookmarkEnd w:id="43"/>
      <w:bookmarkEnd w:id="44"/>
      <w:bookmarkEnd w:id="45"/>
    </w:p>
    <w:p w:rsidR="00D32040" w:rsidRDefault="009867B8" w:rsidP="002F040F">
      <w:pPr>
        <w:numPr>
          <w:ilvl w:val="255"/>
          <w:numId w:val="0"/>
        </w:numPr>
        <w:tabs>
          <w:tab w:val="left" w:pos="6090"/>
        </w:tabs>
        <w:spacing w:line="560" w:lineRule="exact"/>
        <w:ind w:firstLineChars="200" w:firstLine="640"/>
        <w:outlineLvl w:val="1"/>
        <w:rPr>
          <w:rFonts w:ascii="楷体" w:eastAsia="楷体" w:hAnsi="楷体" w:cs="楷体"/>
          <w:sz w:val="32"/>
          <w:szCs w:val="32"/>
        </w:rPr>
      </w:pPr>
      <w:bookmarkStart w:id="46" w:name="_Toc11059"/>
      <w:bookmarkStart w:id="47" w:name="_Toc10302"/>
      <w:bookmarkStart w:id="48" w:name="_Toc16634"/>
      <w:r>
        <w:rPr>
          <w:rFonts w:ascii="仿宋_GB2312" w:eastAsia="仿宋_GB2312" w:hAnsi="宋体" w:cs="宋体" w:hint="eastAsia"/>
          <w:color w:val="000000"/>
          <w:kern w:val="0"/>
          <w:sz w:val="32"/>
          <w:szCs w:val="32"/>
        </w:rPr>
        <w:t>1.</w:t>
      </w:r>
      <w:r w:rsidR="00603C62">
        <w:rPr>
          <w:rFonts w:ascii="楷体" w:eastAsia="楷体" w:hAnsi="楷体" w:cs="楷体" w:hint="eastAsia"/>
          <w:sz w:val="32"/>
          <w:szCs w:val="32"/>
        </w:rPr>
        <w:t>评价得分情况</w:t>
      </w:r>
      <w:bookmarkEnd w:id="46"/>
      <w:bookmarkEnd w:id="47"/>
      <w:bookmarkEnd w:id="48"/>
    </w:p>
    <w:p w:rsidR="00D32040" w:rsidRDefault="00603C62" w:rsidP="002F040F">
      <w:pPr>
        <w:tabs>
          <w:tab w:val="left" w:pos="6090"/>
        </w:tabs>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市直机关工委2022年部门整体评价得分96.20分，其中当年预算执行情况得分19.52分、整体绩效目标实现情况得分56.68分、预算管理情况得分20.00分、部门整体评价等级为“优”。</w:t>
      </w:r>
    </w:p>
    <w:p w:rsidR="00D32040" w:rsidRDefault="00603C62" w:rsidP="002F040F">
      <w:pPr>
        <w:tabs>
          <w:tab w:val="left" w:pos="6090"/>
        </w:tabs>
        <w:spacing w:line="560" w:lineRule="exact"/>
        <w:ind w:firstLineChars="200" w:firstLine="640"/>
        <w:rPr>
          <w:rFonts w:ascii="楷体" w:eastAsia="楷体" w:hAnsi="楷体" w:cs="楷体"/>
          <w:sz w:val="32"/>
          <w:szCs w:val="32"/>
        </w:rPr>
      </w:pPr>
      <w:r>
        <w:rPr>
          <w:rFonts w:ascii="仿宋_GB2312" w:eastAsia="仿宋_GB2312" w:hAnsi="宋体" w:cs="宋体" w:hint="eastAsia"/>
          <w:color w:val="000000"/>
          <w:kern w:val="0"/>
          <w:sz w:val="32"/>
          <w:szCs w:val="32"/>
        </w:rPr>
        <w:t>2.</w:t>
      </w:r>
      <w:bookmarkStart w:id="49" w:name="_Toc31226"/>
      <w:bookmarkStart w:id="50" w:name="_Toc27370"/>
      <w:bookmarkStart w:id="51" w:name="_Toc32289"/>
      <w:r>
        <w:rPr>
          <w:rFonts w:ascii="楷体" w:eastAsia="楷体" w:hAnsi="楷体" w:cs="楷体" w:hint="eastAsia"/>
          <w:sz w:val="32"/>
          <w:szCs w:val="32"/>
        </w:rPr>
        <w:t>存在的问题及原因分析</w:t>
      </w:r>
      <w:bookmarkEnd w:id="49"/>
      <w:bookmarkEnd w:id="50"/>
      <w:bookmarkEnd w:id="51"/>
    </w:p>
    <w:p w:rsidR="00D32040" w:rsidRDefault="009867B8" w:rsidP="002F040F">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w:t>
      </w:r>
      <w:r w:rsidR="00603C62">
        <w:rPr>
          <w:rFonts w:ascii="仿宋_GB2312" w:eastAsia="仿宋_GB2312" w:hAnsi="宋体" w:cs="宋体" w:hint="eastAsia"/>
          <w:color w:val="000000"/>
          <w:kern w:val="0"/>
          <w:sz w:val="32"/>
          <w:szCs w:val="32"/>
        </w:rPr>
        <w:t>部分项目绩效目标不够明确，个别产出指标和效益指标设定较为笼统，不够细化。</w:t>
      </w:r>
      <w:r>
        <w:rPr>
          <w:rFonts w:ascii="仿宋_GB2312" w:eastAsia="仿宋_GB2312" w:hAnsi="宋体" w:cs="宋体" w:hint="eastAsia"/>
          <w:color w:val="000000"/>
          <w:kern w:val="0"/>
          <w:sz w:val="32"/>
          <w:szCs w:val="32"/>
        </w:rPr>
        <w:t>二是</w:t>
      </w:r>
      <w:bookmarkStart w:id="52" w:name="_Toc4669"/>
      <w:bookmarkStart w:id="53" w:name="_Toc15664"/>
      <w:bookmarkStart w:id="54" w:name="_Toc28243"/>
      <w:r w:rsidR="00603C62">
        <w:rPr>
          <w:rFonts w:ascii="仿宋_GB2312" w:eastAsia="仿宋_GB2312" w:hAnsi="仿宋_GB2312" w:cs="仿宋_GB2312" w:hint="eastAsia"/>
          <w:color w:val="000000"/>
          <w:kern w:val="0"/>
          <w:sz w:val="32"/>
          <w:szCs w:val="32"/>
        </w:rPr>
        <w:t>部分项目</w:t>
      </w:r>
      <w:r w:rsidR="00603C62">
        <w:rPr>
          <w:rFonts w:ascii="仿宋_GB2312" w:eastAsia="仿宋_GB2312" w:hAnsi="宋体" w:cs="宋体" w:hint="eastAsia"/>
          <w:color w:val="000000"/>
          <w:kern w:val="0"/>
          <w:sz w:val="32"/>
          <w:szCs w:val="32"/>
        </w:rPr>
        <w:t>服务对象或对社会公众</w:t>
      </w:r>
      <w:r w:rsidR="00603C62">
        <w:rPr>
          <w:rFonts w:ascii="仿宋_GB2312" w:eastAsia="仿宋_GB2312" w:hAnsi="宋体" w:cs="宋体" w:hint="eastAsia"/>
          <w:color w:val="000000"/>
          <w:kern w:val="0"/>
          <w:sz w:val="32"/>
          <w:szCs w:val="32"/>
        </w:rPr>
        <w:lastRenderedPageBreak/>
        <w:t>满意度调查绩效资料支撑性不足，服务对象满意程度不能充分体现。</w:t>
      </w:r>
    </w:p>
    <w:p w:rsidR="00D32040" w:rsidRDefault="00603C62" w:rsidP="002F040F">
      <w:pPr>
        <w:numPr>
          <w:ilvl w:val="255"/>
          <w:numId w:val="0"/>
        </w:numPr>
        <w:tabs>
          <w:tab w:val="left" w:pos="6090"/>
        </w:tabs>
        <w:spacing w:line="560" w:lineRule="exact"/>
        <w:ind w:firstLineChars="200" w:firstLine="640"/>
        <w:outlineLvl w:val="0"/>
        <w:rPr>
          <w:rFonts w:ascii="楷体" w:eastAsia="黑体" w:hAnsi="楷体" w:cs="楷体"/>
          <w:color w:val="000000"/>
          <w:kern w:val="0"/>
          <w:sz w:val="32"/>
          <w:szCs w:val="32"/>
        </w:rPr>
      </w:pPr>
      <w:r>
        <w:rPr>
          <w:rFonts w:ascii="黑体" w:eastAsia="黑体" w:hAnsi="黑体" w:cs="宋体" w:hint="eastAsia"/>
          <w:color w:val="000000"/>
          <w:kern w:val="0"/>
          <w:sz w:val="32"/>
          <w:szCs w:val="32"/>
        </w:rPr>
        <w:t>六、措施建议</w:t>
      </w:r>
      <w:bookmarkEnd w:id="52"/>
      <w:bookmarkEnd w:id="53"/>
      <w:bookmarkEnd w:id="54"/>
    </w:p>
    <w:p w:rsidR="00D32040" w:rsidRDefault="009867B8" w:rsidP="002F040F">
      <w:pPr>
        <w:tabs>
          <w:tab w:val="left" w:pos="6090"/>
        </w:tabs>
        <w:spacing w:line="560" w:lineRule="exact"/>
        <w:ind w:firstLineChars="200" w:firstLine="640"/>
        <w:outlineLvl w:val="1"/>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一是</w:t>
      </w:r>
      <w:r w:rsidR="00603C62">
        <w:rPr>
          <w:rFonts w:ascii="仿宋_GB2312" w:eastAsia="仿宋_GB2312" w:hAnsi="仿宋_GB2312" w:cs="仿宋_GB2312" w:hint="eastAsia"/>
          <w:color w:val="000000"/>
          <w:kern w:val="0"/>
          <w:sz w:val="32"/>
          <w:szCs w:val="32"/>
        </w:rPr>
        <w:t>按照绩效目标编报要求，结合工作任务，合理设置绩效目标，细化绩效指标，完整清晰反映项目绩效效果。</w:t>
      </w:r>
      <w:r>
        <w:rPr>
          <w:rFonts w:ascii="仿宋_GB2312" w:eastAsia="仿宋_GB2312" w:hAnsi="仿宋_GB2312" w:cs="仿宋_GB2312" w:hint="eastAsia"/>
          <w:color w:val="000000"/>
          <w:kern w:val="0"/>
          <w:sz w:val="32"/>
          <w:szCs w:val="32"/>
        </w:rPr>
        <w:t>二是</w:t>
      </w:r>
      <w:r w:rsidR="00603C62">
        <w:rPr>
          <w:rFonts w:ascii="仿宋_GB2312" w:eastAsia="仿宋_GB2312" w:hAnsi="仿宋_GB2312" w:cs="仿宋_GB2312" w:hint="eastAsia"/>
          <w:color w:val="000000"/>
          <w:kern w:val="0"/>
          <w:sz w:val="32"/>
          <w:szCs w:val="32"/>
        </w:rPr>
        <w:t>注重项目效益和效果资料归集，为项目成果提供更加全面的材料支撑。开展服务对象满意度调查工作，及时了解项目实施存在的问</w:t>
      </w:r>
      <w:r>
        <w:rPr>
          <w:rFonts w:ascii="仿宋_GB2312" w:eastAsia="仿宋_GB2312" w:hAnsi="仿宋_GB2312" w:cs="仿宋_GB2312" w:hint="eastAsia"/>
          <w:color w:val="000000"/>
          <w:kern w:val="0"/>
          <w:sz w:val="32"/>
          <w:szCs w:val="32"/>
        </w:rPr>
        <w:t>题和服务对象需求，为项目决策管理、过程管理和绩效管理提供参考</w:t>
      </w:r>
      <w:r w:rsidR="00603C62">
        <w:rPr>
          <w:rFonts w:ascii="仿宋_GB2312" w:eastAsia="仿宋_GB2312" w:hAnsi="仿宋_GB2312" w:cs="仿宋_GB2312" w:hint="eastAsia"/>
          <w:color w:val="000000"/>
          <w:kern w:val="0"/>
          <w:sz w:val="32"/>
          <w:szCs w:val="32"/>
        </w:rPr>
        <w:t>。</w:t>
      </w:r>
    </w:p>
    <w:p w:rsidR="00180AF4" w:rsidRDefault="00180AF4" w:rsidP="00180AF4">
      <w:pPr>
        <w:pStyle w:val="10"/>
        <w:tabs>
          <w:tab w:val="left" w:pos="6090"/>
        </w:tabs>
        <w:spacing w:line="560" w:lineRule="exact"/>
        <w:rPr>
          <w:sz w:val="32"/>
          <w:szCs w:val="32"/>
        </w:rPr>
      </w:pPr>
      <w:r>
        <w:rPr>
          <w:rFonts w:hint="eastAsia"/>
          <w:sz w:val="32"/>
          <w:szCs w:val="32"/>
        </w:rPr>
        <w:t>七、附件</w:t>
      </w:r>
    </w:p>
    <w:p w:rsidR="00180AF4" w:rsidRDefault="00180AF4" w:rsidP="00180AF4">
      <w:pPr>
        <w:tabs>
          <w:tab w:val="left" w:pos="6090"/>
        </w:tabs>
        <w:spacing w:line="560" w:lineRule="exact"/>
        <w:ind w:firstLine="641"/>
        <w:rPr>
          <w:rFonts w:ascii="仿宋_GB2312" w:eastAsia="仿宋_GB2312" w:hAnsi="仿宋_GB2312" w:cs="仿宋_GB2312"/>
          <w:sz w:val="32"/>
          <w:szCs w:val="32"/>
        </w:rPr>
        <w:sectPr w:rsidR="00180AF4">
          <w:footerReference w:type="default" r:id="rId9"/>
          <w:pgSz w:w="11906" w:h="16838"/>
          <w:pgMar w:top="2098" w:right="1474" w:bottom="1984" w:left="1587" w:header="851" w:footer="964" w:gutter="0"/>
          <w:pgNumType w:fmt="numberInDash" w:start="1"/>
          <w:cols w:space="0"/>
          <w:docGrid w:type="lines" w:linePitch="440"/>
        </w:sectPr>
      </w:pPr>
      <w:r>
        <w:rPr>
          <w:rFonts w:ascii="仿宋_GB2312" w:eastAsia="仿宋_GB2312" w:hAnsi="仿宋_GB2312" w:cs="仿宋_GB2312" w:hint="eastAsia"/>
          <w:sz w:val="32"/>
          <w:szCs w:val="32"/>
        </w:rPr>
        <w:t>2022年部门整体绩效评价指标体系评分表。</w:t>
      </w:r>
    </w:p>
    <w:tbl>
      <w:tblPr>
        <w:tblW w:w="12977" w:type="dxa"/>
        <w:tblLayout w:type="fixed"/>
        <w:tblLook w:val="04A0" w:firstRow="1" w:lastRow="0" w:firstColumn="1" w:lastColumn="0" w:noHBand="0" w:noVBand="1"/>
      </w:tblPr>
      <w:tblGrid>
        <w:gridCol w:w="534"/>
        <w:gridCol w:w="107"/>
        <w:gridCol w:w="460"/>
        <w:gridCol w:w="136"/>
        <w:gridCol w:w="572"/>
        <w:gridCol w:w="279"/>
        <w:gridCol w:w="855"/>
        <w:gridCol w:w="137"/>
        <w:gridCol w:w="905"/>
        <w:gridCol w:w="658"/>
        <w:gridCol w:w="285"/>
        <w:gridCol w:w="426"/>
        <w:gridCol w:w="283"/>
        <w:gridCol w:w="429"/>
        <w:gridCol w:w="279"/>
        <w:gridCol w:w="1700"/>
        <w:gridCol w:w="1419"/>
        <w:gridCol w:w="1134"/>
        <w:gridCol w:w="2379"/>
      </w:tblGrid>
      <w:tr w:rsidR="00180AF4" w:rsidTr="005B48B3">
        <w:trPr>
          <w:cantSplit/>
          <w:trHeight w:val="90"/>
        </w:trPr>
        <w:tc>
          <w:tcPr>
            <w:tcW w:w="12977" w:type="dxa"/>
            <w:gridSpan w:val="19"/>
            <w:tcBorders>
              <w:top w:val="nil"/>
              <w:left w:val="nil"/>
              <w:bottom w:val="single" w:sz="4" w:space="0" w:color="auto"/>
              <w:right w:val="nil"/>
            </w:tcBorders>
            <w:noWrap/>
            <w:vAlign w:val="bottom"/>
          </w:tcPr>
          <w:p w:rsidR="00180AF4" w:rsidRDefault="00180AF4" w:rsidP="005B48B3">
            <w:pPr>
              <w:widowControl/>
              <w:tabs>
                <w:tab w:val="left" w:pos="6090"/>
              </w:tabs>
              <w:spacing w:line="560" w:lineRule="exact"/>
              <w:rPr>
                <w:rFonts w:ascii="黑体" w:eastAsia="黑体" w:hAnsi="黑体" w:cs="黑体"/>
                <w:color w:val="000000"/>
                <w:kern w:val="0"/>
                <w:sz w:val="32"/>
                <w:szCs w:val="32"/>
              </w:rPr>
            </w:pPr>
            <w:r>
              <w:rPr>
                <w:rFonts w:ascii="黑体" w:eastAsia="黑体" w:hAnsi="黑体" w:cs="黑体" w:hint="eastAsia"/>
                <w:color w:val="000000"/>
                <w:kern w:val="0"/>
                <w:sz w:val="32"/>
                <w:szCs w:val="32"/>
              </w:rPr>
              <w:lastRenderedPageBreak/>
              <w:t>附件</w:t>
            </w:r>
          </w:p>
          <w:p w:rsidR="00180AF4" w:rsidRDefault="00180AF4" w:rsidP="005B48B3">
            <w:pPr>
              <w:widowControl/>
              <w:tabs>
                <w:tab w:val="left" w:pos="6090"/>
              </w:tabs>
              <w:spacing w:line="560" w:lineRule="exact"/>
              <w:jc w:val="center"/>
              <w:rPr>
                <w:rFonts w:ascii="方正小标宋简体" w:eastAsia="方正小标宋简体" w:hAnsi="黑体" w:cs="宋体"/>
                <w:color w:val="000000"/>
                <w:kern w:val="0"/>
                <w:sz w:val="44"/>
                <w:szCs w:val="44"/>
              </w:rPr>
            </w:pPr>
            <w:r>
              <w:rPr>
                <w:rFonts w:ascii="方正小标宋简体" w:eastAsia="方正小标宋简体" w:hAnsi="方正小标宋简体" w:cs="方正小标宋简体" w:hint="eastAsia"/>
                <w:color w:val="000000"/>
                <w:kern w:val="0"/>
                <w:sz w:val="44"/>
                <w:szCs w:val="44"/>
              </w:rPr>
              <w:t>2022年部门整体绩效评价指标体系评分表</w:t>
            </w:r>
          </w:p>
        </w:tc>
      </w:tr>
      <w:tr w:rsidR="00180AF4" w:rsidTr="005B48B3">
        <w:trPr>
          <w:cantSplit/>
          <w:trHeight w:val="362"/>
        </w:trPr>
        <w:tc>
          <w:tcPr>
            <w:tcW w:w="12977" w:type="dxa"/>
            <w:gridSpan w:val="19"/>
            <w:tcBorders>
              <w:top w:val="single" w:sz="4" w:space="0" w:color="auto"/>
              <w:left w:val="single" w:sz="4" w:space="0" w:color="auto"/>
              <w:bottom w:val="single" w:sz="4" w:space="0" w:color="000000"/>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一、当年预算执行情况（20分）</w:t>
            </w:r>
          </w:p>
        </w:tc>
      </w:tr>
      <w:tr w:rsidR="00180AF4" w:rsidTr="005B48B3">
        <w:trPr>
          <w:cantSplit/>
          <w:trHeight w:val="90"/>
        </w:trPr>
        <w:tc>
          <w:tcPr>
            <w:tcW w:w="64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一级指标　</w:t>
            </w:r>
          </w:p>
        </w:tc>
        <w:tc>
          <w:tcPr>
            <w:tcW w:w="596"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二级指标　</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预算数</w:t>
            </w:r>
          </w:p>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（万元）</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执行数</w:t>
            </w:r>
          </w:p>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（万元）</w:t>
            </w:r>
          </w:p>
        </w:tc>
        <w:tc>
          <w:tcPr>
            <w:tcW w:w="905" w:type="dxa"/>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预算执行率</w:t>
            </w:r>
          </w:p>
        </w:tc>
        <w:tc>
          <w:tcPr>
            <w:tcW w:w="658" w:type="dxa"/>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分值</w:t>
            </w:r>
          </w:p>
        </w:tc>
        <w:tc>
          <w:tcPr>
            <w:tcW w:w="71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得分</w:t>
            </w:r>
          </w:p>
        </w:tc>
        <w:tc>
          <w:tcPr>
            <w:tcW w:w="2691"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指标解释</w:t>
            </w:r>
          </w:p>
        </w:tc>
        <w:tc>
          <w:tcPr>
            <w:tcW w:w="4932" w:type="dxa"/>
            <w:gridSpan w:val="3"/>
            <w:tcBorders>
              <w:top w:val="single" w:sz="4" w:space="0" w:color="auto"/>
              <w:left w:val="nil"/>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评分标准</w:t>
            </w:r>
          </w:p>
        </w:tc>
      </w:tr>
      <w:tr w:rsidR="00180AF4" w:rsidTr="005B48B3">
        <w:trPr>
          <w:cantSplit/>
          <w:trHeight w:hRule="exact" w:val="567"/>
        </w:trPr>
        <w:tc>
          <w:tcPr>
            <w:tcW w:w="641"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当年预算执行情况（20）</w:t>
            </w:r>
          </w:p>
        </w:tc>
        <w:tc>
          <w:tcPr>
            <w:tcW w:w="596"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资金总体</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5,417.22</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5,288.28</w:t>
            </w:r>
          </w:p>
        </w:tc>
        <w:tc>
          <w:tcPr>
            <w:tcW w:w="905" w:type="dxa"/>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97.62%</w:t>
            </w:r>
          </w:p>
        </w:tc>
        <w:tc>
          <w:tcPr>
            <w:tcW w:w="658" w:type="dxa"/>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20</w:t>
            </w:r>
          </w:p>
        </w:tc>
        <w:tc>
          <w:tcPr>
            <w:tcW w:w="711"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19.52</w:t>
            </w:r>
          </w:p>
        </w:tc>
        <w:tc>
          <w:tcPr>
            <w:tcW w:w="2691" w:type="dxa"/>
            <w:gridSpan w:val="4"/>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部门全年执行数与全年预算数的比率。资金总体=基本支出+项目支出+其他</w:t>
            </w:r>
          </w:p>
        </w:tc>
        <w:tc>
          <w:tcPr>
            <w:tcW w:w="4932" w:type="dxa"/>
            <w:gridSpan w:val="3"/>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①得分一档最高不能超过该指标分值上限（20分）。</w:t>
            </w:r>
            <w:r>
              <w:rPr>
                <w:rFonts w:ascii="宋体" w:hAnsi="宋体" w:cs="宋体" w:hint="eastAsia"/>
                <w:color w:val="000000"/>
                <w:kern w:val="0"/>
                <w:sz w:val="15"/>
                <w:szCs w:val="15"/>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180AF4" w:rsidTr="005B48B3">
        <w:trPr>
          <w:cantSplit/>
          <w:trHeight w:hRule="exact" w:val="567"/>
        </w:trPr>
        <w:tc>
          <w:tcPr>
            <w:tcW w:w="64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96"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基本支出</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4,429.26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4,363.72</w:t>
            </w:r>
          </w:p>
        </w:tc>
        <w:tc>
          <w:tcPr>
            <w:tcW w:w="905" w:type="dxa"/>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w:t>
            </w:r>
          </w:p>
        </w:tc>
        <w:tc>
          <w:tcPr>
            <w:tcW w:w="658"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691"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4932" w:type="dxa"/>
            <w:gridSpan w:val="3"/>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5B48B3">
        <w:trPr>
          <w:cantSplit/>
          <w:trHeight w:hRule="exact" w:val="567"/>
        </w:trPr>
        <w:tc>
          <w:tcPr>
            <w:tcW w:w="64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596"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项目支出</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987.96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924.55</w:t>
            </w:r>
          </w:p>
        </w:tc>
        <w:tc>
          <w:tcPr>
            <w:tcW w:w="905"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658"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691"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4932" w:type="dxa"/>
            <w:gridSpan w:val="3"/>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5B48B3">
        <w:trPr>
          <w:cantSplit/>
          <w:trHeight w:hRule="exact" w:val="567"/>
        </w:trPr>
        <w:tc>
          <w:tcPr>
            <w:tcW w:w="64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596"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其他</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0.00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0.00</w:t>
            </w:r>
          </w:p>
        </w:tc>
        <w:tc>
          <w:tcPr>
            <w:tcW w:w="905"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658"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691"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4932" w:type="dxa"/>
            <w:gridSpan w:val="3"/>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5B48B3">
        <w:trPr>
          <w:cantSplit/>
          <w:trHeight w:val="365"/>
        </w:trPr>
        <w:tc>
          <w:tcPr>
            <w:tcW w:w="12977" w:type="dxa"/>
            <w:gridSpan w:val="19"/>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二、整体绩效目标实现情况（60分）</w:t>
            </w:r>
          </w:p>
        </w:tc>
      </w:tr>
      <w:tr w:rsidR="00180AF4" w:rsidTr="005B48B3">
        <w:trPr>
          <w:cantSplit/>
          <w:trHeight w:val="499"/>
        </w:trPr>
        <w:tc>
          <w:tcPr>
            <w:tcW w:w="534" w:type="dxa"/>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一级指标</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二级指标　</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三级</w:t>
            </w:r>
          </w:p>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指标　</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指标值</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完成值</w:t>
            </w:r>
          </w:p>
        </w:tc>
        <w:tc>
          <w:tcPr>
            <w:tcW w:w="711"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分值</w:t>
            </w: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得分</w:t>
            </w:r>
          </w:p>
        </w:tc>
        <w:tc>
          <w:tcPr>
            <w:tcW w:w="4532"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指标解释</w:t>
            </w:r>
          </w:p>
        </w:tc>
        <w:tc>
          <w:tcPr>
            <w:tcW w:w="2379" w:type="dxa"/>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评分标准</w:t>
            </w:r>
          </w:p>
        </w:tc>
      </w:tr>
      <w:tr w:rsidR="00180AF4" w:rsidTr="005B48B3">
        <w:trPr>
          <w:cantSplit/>
          <w:trHeight w:val="1077"/>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整体绩效目标实现情况（60）</w:t>
            </w:r>
          </w:p>
        </w:tc>
        <w:tc>
          <w:tcPr>
            <w:tcW w:w="567"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eastAsia="黑体" w:hAnsi="宋体" w:cs="宋体"/>
                <w:color w:val="000000"/>
                <w:kern w:val="0"/>
                <w:sz w:val="15"/>
                <w:szCs w:val="15"/>
              </w:rPr>
            </w:pPr>
          </w:p>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产出（30）</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指标1</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产出指标数量指标执行率</w:t>
            </w:r>
          </w:p>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98%</w:t>
            </w:r>
          </w:p>
        </w:tc>
        <w:tc>
          <w:tcPr>
            <w:tcW w:w="711"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30</w:t>
            </w: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9</w:t>
            </w:r>
          </w:p>
        </w:tc>
        <w:tc>
          <w:tcPr>
            <w:tcW w:w="4532" w:type="dxa"/>
            <w:gridSpan w:val="4"/>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2379" w:type="dxa"/>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部门根据本单位情况自行确定并选择产出指标，合理确定各项指标权重。可量化的指标按照比率*单项指标分值即为该指标得分。如果不能定量评价，则以定性的方式进行自评。</w:t>
            </w:r>
          </w:p>
        </w:tc>
      </w:tr>
      <w:tr w:rsidR="00180AF4" w:rsidTr="005B48B3">
        <w:trPr>
          <w:cantSplit/>
          <w:trHeight w:val="854"/>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指标2</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产出指标质量指标　</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好</w:t>
            </w: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10</w:t>
            </w:r>
          </w:p>
        </w:tc>
        <w:tc>
          <w:tcPr>
            <w:tcW w:w="4532"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379"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180AF4">
        <w:trPr>
          <w:cantSplit/>
          <w:trHeight w:val="1259"/>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指标3</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180AF4">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产出指标时效指标完成效率</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按时完成项目　</w:t>
            </w: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5</w:t>
            </w:r>
          </w:p>
        </w:tc>
        <w:tc>
          <w:tcPr>
            <w:tcW w:w="4532"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379"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5B48B3">
        <w:trPr>
          <w:cantSplit/>
          <w:trHeight w:val="848"/>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eastAsia="黑体" w:hAnsi="宋体" w:cs="宋体"/>
                <w:color w:val="00000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eastAsia="黑体" w:hAnsi="宋体" w:cs="宋体"/>
                <w:color w:val="00000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指标4</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产出指标成本指标</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项目支出预算数987.96万元，项目支出决算数924.55万元。</w:t>
            </w: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4.68</w:t>
            </w:r>
          </w:p>
        </w:tc>
        <w:tc>
          <w:tcPr>
            <w:tcW w:w="4532"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eastAsia="黑体" w:hAnsi="宋体" w:cs="宋体"/>
                <w:color w:val="000000"/>
                <w:kern w:val="0"/>
                <w:sz w:val="15"/>
                <w:szCs w:val="15"/>
              </w:rPr>
            </w:pPr>
          </w:p>
        </w:tc>
        <w:tc>
          <w:tcPr>
            <w:tcW w:w="2379"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eastAsia="黑体" w:hAnsi="宋体" w:cs="宋体"/>
                <w:color w:val="000000"/>
                <w:kern w:val="0"/>
                <w:sz w:val="15"/>
                <w:szCs w:val="15"/>
              </w:rPr>
            </w:pPr>
          </w:p>
        </w:tc>
      </w:tr>
      <w:tr w:rsidR="00180AF4" w:rsidTr="005B48B3">
        <w:trPr>
          <w:cantSplit/>
          <w:trHeight w:val="692"/>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567"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效果（30）</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指标1</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社会效益　</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 xml:space="preserve">保障了在职人员正常有序开展工作、党建工作有序开展、展示职工风采风貌。　</w:t>
            </w:r>
          </w:p>
        </w:tc>
        <w:tc>
          <w:tcPr>
            <w:tcW w:w="711"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30</w:t>
            </w: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10</w:t>
            </w:r>
          </w:p>
        </w:tc>
        <w:tc>
          <w:tcPr>
            <w:tcW w:w="4532" w:type="dxa"/>
            <w:gridSpan w:val="4"/>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2379" w:type="dxa"/>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部门根据实际情况选择指标进行填写，并将其细化为相应的个性化指标。对于效益类指标可从受益对象瞄准度、受益广度和受益深度上进行设计分析。</w:t>
            </w:r>
          </w:p>
        </w:tc>
      </w:tr>
      <w:tr w:rsidR="00180AF4" w:rsidTr="005B48B3">
        <w:trPr>
          <w:cantSplit/>
          <w:trHeight w:val="733"/>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指标2</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可持续影响</w:t>
            </w: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市直机关工委分发挥单位职能，保障各项业务工作有序开展。</w:t>
            </w: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10</w:t>
            </w:r>
          </w:p>
        </w:tc>
        <w:tc>
          <w:tcPr>
            <w:tcW w:w="4532"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379"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5B48B3">
        <w:trPr>
          <w:cantSplit/>
          <w:trHeight w:val="547"/>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指标3</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满意度指标</w:t>
            </w:r>
          </w:p>
          <w:p w:rsidR="00180AF4" w:rsidRDefault="00180AF4" w:rsidP="005B48B3">
            <w:pPr>
              <w:widowControl/>
              <w:tabs>
                <w:tab w:val="left" w:pos="6090"/>
              </w:tabs>
              <w:spacing w:line="240" w:lineRule="exact"/>
              <w:jc w:val="center"/>
              <w:rPr>
                <w:rFonts w:ascii="宋体" w:eastAsia="黑体" w:hAnsi="宋体" w:cs="宋体"/>
                <w:color w:val="000000"/>
                <w:kern w:val="0"/>
                <w:sz w:val="15"/>
                <w:szCs w:val="15"/>
              </w:rPr>
            </w:pPr>
          </w:p>
        </w:tc>
        <w:tc>
          <w:tcPr>
            <w:tcW w:w="1700" w:type="dxa"/>
            <w:gridSpan w:val="3"/>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依据各项目受众群体开展满意度调查。</w:t>
            </w:r>
          </w:p>
        </w:tc>
        <w:tc>
          <w:tcPr>
            <w:tcW w:w="711"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p>
        </w:tc>
        <w:tc>
          <w:tcPr>
            <w:tcW w:w="712"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8　</w:t>
            </w:r>
          </w:p>
        </w:tc>
        <w:tc>
          <w:tcPr>
            <w:tcW w:w="4532" w:type="dxa"/>
            <w:gridSpan w:val="4"/>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2379"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r>
      <w:tr w:rsidR="00180AF4" w:rsidTr="00180AF4">
        <w:trPr>
          <w:cantSplit/>
          <w:trHeight w:val="550"/>
        </w:trPr>
        <w:tc>
          <w:tcPr>
            <w:tcW w:w="12977" w:type="dxa"/>
            <w:gridSpan w:val="19"/>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三、预算管理情况（20分）</w:t>
            </w:r>
          </w:p>
        </w:tc>
      </w:tr>
      <w:tr w:rsidR="00180AF4" w:rsidTr="005B48B3">
        <w:trPr>
          <w:cantSplit/>
          <w:trHeight w:val="370"/>
        </w:trPr>
        <w:tc>
          <w:tcPr>
            <w:tcW w:w="534" w:type="dxa"/>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一级指标</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二级指标</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三级</w:t>
            </w:r>
          </w:p>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指标值</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完成值</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分值</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得分</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指标解释</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评分标准</w:t>
            </w:r>
          </w:p>
        </w:tc>
      </w:tr>
      <w:tr w:rsidR="00180AF4" w:rsidTr="005B48B3">
        <w:trPr>
          <w:cantSplit/>
          <w:trHeight w:val="1230"/>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预算管理情况（20）</w:t>
            </w:r>
          </w:p>
        </w:tc>
        <w:tc>
          <w:tcPr>
            <w:tcW w:w="567" w:type="dxa"/>
            <w:gridSpan w:val="2"/>
            <w:vMerge w:val="restart"/>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财务管理（4）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财务管理制度健全性</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各项制度健全、完整、合规；会计核算制度完整、合规</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市直机关工委资金管理办法、资产管理办法等各项制度健全；部门内部财务管理制度、会计核算制度完整、合规。</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1　</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财务管理制度健全性:部门（单位）为加强财务管理、规范财务行为而制定的管理制度。</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①预算资金管理办法、绩效跟踪管理办法、资产管理办法等各项制度是否健全；②部门内部财务管理制度是否完整、合规；③会计核算制度是否完整、合规。每有一项不合格扣0.5分，扣完为止。</w:t>
            </w:r>
          </w:p>
        </w:tc>
      </w:tr>
      <w:tr w:rsidR="00180AF4" w:rsidTr="005B48B3">
        <w:trPr>
          <w:cantSplit/>
          <w:trHeight w:val="2050"/>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资金使用合规性和安全性</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财政资金支出合规、安全</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市直机关工委2022年度资金支出符合国家财经法规和财务管理制度规定以及有关专项资金管理办法的规定；资金的拨付审批程序和手续齐全；各项支出均符合部门预算批复的用途；不存在截留、挤占、挪用情况。</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2</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2</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资金使用合规性和安全性:部门（单位）使用预算资金是否符合相关的预算财务管理制度的规定，是否符合相关规定的开支范围，用以反映考核部门（单位）预算资金的规范运行和安全运行情况。</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180AF4" w:rsidTr="005B48B3">
        <w:trPr>
          <w:cantSplit/>
          <w:trHeight w:val="410"/>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会计基础信息完善性</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会计基础信息完善程度　</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基础数据信息和会计信息资料真实、完整、准确。</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1　</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会计基础信息完善性:部门（单位）会计基础信息情况。</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①基础数据信息和会计信息资料是否真实；②基础数据信息和会计信息资料是否完整；③基础数据信息和会计信息资料是否准确。每有一项不合格扣0.5分，扣完为止。</w:t>
            </w:r>
          </w:p>
        </w:tc>
      </w:tr>
      <w:tr w:rsidR="00180AF4" w:rsidTr="005B48B3">
        <w:trPr>
          <w:cantSplit/>
          <w:trHeight w:val="1760"/>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资产管理（4）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资产管理规范性</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国有资产使用、保管、处置程序合规性</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rPr>
                <w:rFonts w:ascii="宋体" w:hAnsi="宋体" w:cs="宋体"/>
                <w:color w:val="000000"/>
                <w:kern w:val="0"/>
                <w:sz w:val="15"/>
                <w:szCs w:val="15"/>
              </w:rPr>
            </w:pPr>
            <w:r>
              <w:rPr>
                <w:rFonts w:ascii="宋体" w:hAnsi="宋体" w:cs="宋体" w:hint="eastAsia"/>
                <w:color w:val="000000"/>
                <w:kern w:val="0"/>
                <w:sz w:val="15"/>
                <w:szCs w:val="15"/>
              </w:rPr>
              <w:t>资产管理制度健全；各项资产使用规范，不存在未经批准擅自出租、出借资产行为；国有资产处置均按照北京市财政相关要求办理，不存在不按要求进行报批或资产不公开处置行为。</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资产管理规范性:部门（单位）的资产是否保持安全完整，资产配置是否合理，资产使用和资产处理是否规范，用以反映和考核部门（单位）资产管理的整体水平。</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180AF4" w:rsidTr="005B48B3">
        <w:trPr>
          <w:cantSplit/>
          <w:trHeight w:val="940"/>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绩效管理（4）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绩效管理情况</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绩效管理信息的汇总和应用情况。</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rPr>
                <w:rFonts w:ascii="宋体" w:hAnsi="宋体" w:cs="宋体"/>
                <w:color w:val="000000"/>
                <w:kern w:val="0"/>
                <w:sz w:val="15"/>
                <w:szCs w:val="15"/>
              </w:rPr>
            </w:pPr>
            <w:r>
              <w:rPr>
                <w:rFonts w:ascii="宋体" w:hAnsi="宋体" w:cs="宋体" w:hint="eastAsia"/>
                <w:color w:val="000000"/>
                <w:kern w:val="0"/>
                <w:sz w:val="15"/>
                <w:szCs w:val="15"/>
              </w:rPr>
              <w:t>市直机关工委对绩效信息及时进行了汇总分析整理，项目执行过程中不存在偏离绩效目标情况。</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4　</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绩效管理情况:考核部门（单位）在绩效管理信息的汇总和应用情况。</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①部门（单位）是否及时对绩效信息进行汇总分析整理；②部门（单位）是否对绩效目标偏离情况及时进行矫正。每有一项不合格扣2分。</w:t>
            </w:r>
          </w:p>
        </w:tc>
      </w:tr>
      <w:tr w:rsidR="00180AF4" w:rsidTr="005B48B3">
        <w:trPr>
          <w:cantSplit/>
          <w:trHeight w:val="347"/>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指标　</w:t>
            </w:r>
          </w:p>
        </w:tc>
        <w:tc>
          <w:tcPr>
            <w:tcW w:w="1842"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2021年</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2022年</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分值</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得分</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指标解释</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kern w:val="0"/>
                <w:sz w:val="15"/>
                <w:szCs w:val="15"/>
              </w:rPr>
            </w:pPr>
            <w:r>
              <w:rPr>
                <w:rFonts w:ascii="宋体" w:hAnsi="宋体" w:cs="宋体" w:hint="eastAsia"/>
                <w:color w:val="000000"/>
                <w:kern w:val="0"/>
                <w:sz w:val="15"/>
                <w:szCs w:val="15"/>
              </w:rPr>
              <w:t>评分标准</w:t>
            </w:r>
          </w:p>
        </w:tc>
      </w:tr>
      <w:tr w:rsidR="00180AF4" w:rsidTr="005B48B3">
        <w:trPr>
          <w:cantSplit/>
          <w:trHeight w:val="1049"/>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eastAsia="黑体" w:hAnsi="宋体" w:cs="宋体"/>
                <w:color w:val="000000"/>
                <w:kern w:val="0"/>
                <w:sz w:val="15"/>
                <w:szCs w:val="15"/>
              </w:rPr>
            </w:pP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结转结余率（4）</w:t>
            </w:r>
          </w:p>
        </w:tc>
        <w:tc>
          <w:tcPr>
            <w:tcW w:w="1842"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4.02%　</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2.38%　</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4　</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结转结余率=结转结余总额/支出预算数×100%。</w:t>
            </w:r>
            <w:r>
              <w:rPr>
                <w:rFonts w:ascii="宋体" w:hAnsi="宋体" w:cs="宋体" w:hint="eastAsia"/>
                <w:color w:val="000000"/>
                <w:kern w:val="0"/>
                <w:sz w:val="15"/>
                <w:szCs w:val="15"/>
              </w:rPr>
              <w:br/>
              <w:t>结转结余总额：部门（单位）本年度的结转资金与结余资金之和。</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180AF4" w:rsidTr="005B48B3">
        <w:trPr>
          <w:cantSplit/>
          <w:trHeight w:val="470"/>
        </w:trPr>
        <w:tc>
          <w:tcPr>
            <w:tcW w:w="534" w:type="dxa"/>
            <w:vMerge/>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rPr>
                <w:rFonts w:ascii="宋体" w:hAnsi="宋体" w:cs="宋体"/>
                <w:color w:val="000000"/>
                <w:kern w:val="0"/>
                <w:sz w:val="15"/>
                <w:szCs w:val="15"/>
              </w:rPr>
            </w:pPr>
            <w:r>
              <w:rPr>
                <w:rFonts w:ascii="宋体" w:hAnsi="宋体" w:cs="宋体" w:hint="eastAsia"/>
                <w:color w:val="000000"/>
                <w:kern w:val="0"/>
                <w:sz w:val="15"/>
                <w:szCs w:val="15"/>
              </w:rPr>
              <w:t>部门预决算差异率（4）</w:t>
            </w:r>
          </w:p>
        </w:tc>
        <w:tc>
          <w:tcPr>
            <w:tcW w:w="1842"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9.80%</w:t>
            </w:r>
          </w:p>
        </w:tc>
        <w:tc>
          <w:tcPr>
            <w:tcW w:w="1985"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4.47%</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4</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4　</w:t>
            </w:r>
          </w:p>
        </w:tc>
        <w:tc>
          <w:tcPr>
            <w:tcW w:w="311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通过年度部门决算与年初部门预算对比，对部门的年度支出情况进行考核，衡量部门预算的约束力。</w:t>
            </w:r>
          </w:p>
        </w:tc>
        <w:tc>
          <w:tcPr>
            <w:tcW w:w="3513"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left"/>
              <w:rPr>
                <w:rFonts w:ascii="宋体" w:hAnsi="宋体" w:cs="宋体"/>
                <w:color w:val="000000"/>
                <w:kern w:val="0"/>
                <w:sz w:val="15"/>
                <w:szCs w:val="15"/>
              </w:rPr>
            </w:pPr>
            <w:r>
              <w:rPr>
                <w:rFonts w:ascii="宋体" w:hAnsi="宋体" w:cs="宋体" w:hint="eastAsia"/>
                <w:color w:val="000000"/>
                <w:kern w:val="0"/>
                <w:sz w:val="15"/>
                <w:szCs w:val="15"/>
              </w:rPr>
              <w:t>部门预决算差异率高于市级平均差异率（28.3%）的，每高出10%（含），扣0.4分，扣完为止。</w:t>
            </w:r>
          </w:p>
        </w:tc>
      </w:tr>
      <w:tr w:rsidR="00180AF4" w:rsidTr="00180AF4">
        <w:trPr>
          <w:cantSplit/>
          <w:trHeight w:val="460"/>
        </w:trPr>
        <w:tc>
          <w:tcPr>
            <w:tcW w:w="4928" w:type="dxa"/>
            <w:gridSpan w:val="11"/>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合计</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100</w:t>
            </w:r>
          </w:p>
        </w:tc>
        <w:tc>
          <w:tcPr>
            <w:tcW w:w="708" w:type="dxa"/>
            <w:gridSpan w:val="2"/>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96.20　</w:t>
            </w:r>
          </w:p>
        </w:tc>
        <w:tc>
          <w:tcPr>
            <w:tcW w:w="6632" w:type="dxa"/>
            <w:gridSpan w:val="4"/>
            <w:tcBorders>
              <w:top w:val="single" w:sz="4" w:space="0" w:color="auto"/>
              <w:left w:val="single" w:sz="4" w:space="0" w:color="auto"/>
              <w:bottom w:val="single" w:sz="4" w:space="0" w:color="auto"/>
              <w:right w:val="single" w:sz="4" w:space="0" w:color="auto"/>
            </w:tcBorders>
            <w:noWrap/>
            <w:vAlign w:val="center"/>
          </w:tcPr>
          <w:p w:rsidR="00180AF4" w:rsidRDefault="00180AF4" w:rsidP="005B48B3">
            <w:pPr>
              <w:widowControl/>
              <w:tabs>
                <w:tab w:val="left" w:pos="6090"/>
              </w:tabs>
              <w:spacing w:line="240" w:lineRule="exact"/>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r>
    </w:tbl>
    <w:p w:rsidR="00180AF4" w:rsidRPr="00180AF4" w:rsidRDefault="00180AF4" w:rsidP="00180AF4">
      <w:pPr>
        <w:pStyle w:val="1"/>
        <w:rPr>
          <w:highlight w:val="yellow"/>
        </w:rPr>
      </w:pPr>
      <w:bookmarkStart w:id="55" w:name="_GoBack"/>
      <w:bookmarkEnd w:id="55"/>
    </w:p>
    <w:sectPr w:rsidR="00180AF4" w:rsidRPr="00180AF4" w:rsidSect="00180AF4">
      <w:footerReference w:type="default" r:id="rId10"/>
      <w:pgSz w:w="16838" w:h="11906" w:orient="landscape"/>
      <w:pgMar w:top="1588" w:right="2098" w:bottom="1474" w:left="1985" w:header="851" w:footer="964" w:gutter="0"/>
      <w:pgNumType w:fmt="numberInDash" w:start="1"/>
      <w:cols w:space="0"/>
      <w:docGrid w:type="lines" w:linePitch="4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EF1" w:rsidRDefault="001C6EF1" w:rsidP="00246DE2">
      <w:r>
        <w:separator/>
      </w:r>
    </w:p>
  </w:endnote>
  <w:endnote w:type="continuationSeparator" w:id="0">
    <w:p w:rsidR="001C6EF1" w:rsidRDefault="001C6EF1" w:rsidP="0024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F92CF292-A79D-459D-A004-DF3647384F76}"/>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2BED367D-A4A3-46FA-9722-4ACC7D91B589}"/>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embedRegular r:id="rId3" w:subsetted="1" w:fontKey="{ED2AE031-7050-4E6C-BD24-DF6FEEDF986C}"/>
  </w:font>
  <w:font w:name="楷体">
    <w:panose1 w:val="02010609060101010101"/>
    <w:charset w:val="86"/>
    <w:family w:val="modern"/>
    <w:pitch w:val="fixed"/>
    <w:sig w:usb0="800002BF" w:usb1="38CF7CFA" w:usb2="00000016" w:usb3="00000000" w:csb0="00040001" w:csb1="00000000"/>
    <w:embedRegular r:id="rId4" w:subsetted="1" w:fontKey="{73247FC5-1914-45CC-87D3-4A1BE32E8175}"/>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66742"/>
      <w:docPartObj>
        <w:docPartGallery w:val="Page Numbers (Bottom of Page)"/>
        <w:docPartUnique/>
      </w:docPartObj>
    </w:sdtPr>
    <w:sdtContent>
      <w:p w:rsidR="00180AF4" w:rsidRDefault="00180AF4">
        <w:pPr>
          <w:pStyle w:val="a5"/>
          <w:jc w:val="center"/>
        </w:pPr>
        <w:r w:rsidRPr="006C3A60">
          <w:rPr>
            <w:rFonts w:asciiTheme="minorEastAsia" w:eastAsiaTheme="minorEastAsia" w:hAnsiTheme="minorEastAsia"/>
            <w:sz w:val="28"/>
            <w:szCs w:val="28"/>
          </w:rPr>
          <w:fldChar w:fldCharType="begin"/>
        </w:r>
        <w:r w:rsidRPr="006C3A60">
          <w:rPr>
            <w:rFonts w:asciiTheme="minorEastAsia" w:eastAsiaTheme="minorEastAsia" w:hAnsiTheme="minorEastAsia"/>
            <w:sz w:val="28"/>
            <w:szCs w:val="28"/>
          </w:rPr>
          <w:instrText xml:space="preserve"> PAGE   \* MERGEFORMAT </w:instrText>
        </w:r>
        <w:r w:rsidRPr="006C3A60">
          <w:rPr>
            <w:rFonts w:asciiTheme="minorEastAsia" w:eastAsiaTheme="minorEastAsia" w:hAnsiTheme="minorEastAsia"/>
            <w:sz w:val="28"/>
            <w:szCs w:val="28"/>
          </w:rPr>
          <w:fldChar w:fldCharType="separate"/>
        </w:r>
        <w:r w:rsidR="000D0C47" w:rsidRPr="000D0C47">
          <w:rPr>
            <w:rFonts w:asciiTheme="minorEastAsia" w:eastAsiaTheme="minorEastAsia" w:hAnsiTheme="minorEastAsia"/>
            <w:noProof/>
            <w:sz w:val="28"/>
            <w:szCs w:val="28"/>
            <w:lang w:val="zh-CN"/>
          </w:rPr>
          <w:t>-</w:t>
        </w:r>
        <w:r w:rsidR="000D0C47">
          <w:rPr>
            <w:rFonts w:asciiTheme="minorEastAsia" w:eastAsiaTheme="minorEastAsia" w:hAnsiTheme="minorEastAsia"/>
            <w:noProof/>
            <w:sz w:val="28"/>
            <w:szCs w:val="28"/>
          </w:rPr>
          <w:t xml:space="preserve"> 8 -</w:t>
        </w:r>
        <w:r w:rsidRPr="006C3A60">
          <w:rPr>
            <w:rFonts w:asciiTheme="minorEastAsia" w:eastAsiaTheme="minorEastAsia" w:hAnsiTheme="minorEastAsia"/>
            <w:sz w:val="28"/>
            <w:szCs w:val="28"/>
          </w:rPr>
          <w:fldChar w:fldCharType="end"/>
        </w:r>
      </w:p>
    </w:sdtContent>
  </w:sdt>
  <w:p w:rsidR="00180AF4" w:rsidRDefault="00180AF4">
    <w:pPr>
      <w:pStyle w:val="a5"/>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2985"/>
      <w:docPartObj>
        <w:docPartGallery w:val="Page Numbers (Bottom of Page)"/>
        <w:docPartUnique/>
      </w:docPartObj>
    </w:sdtPr>
    <w:sdtEndPr/>
    <w:sdtContent>
      <w:p w:rsidR="00606D68" w:rsidRDefault="00606D68">
        <w:pPr>
          <w:pStyle w:val="a5"/>
          <w:jc w:val="center"/>
        </w:pPr>
        <w:r w:rsidRPr="00606D68">
          <w:rPr>
            <w:rFonts w:asciiTheme="minorEastAsia" w:eastAsiaTheme="minorEastAsia" w:hAnsiTheme="minorEastAsia"/>
            <w:sz w:val="28"/>
            <w:szCs w:val="28"/>
          </w:rPr>
          <w:fldChar w:fldCharType="begin"/>
        </w:r>
        <w:r w:rsidRPr="00606D68">
          <w:rPr>
            <w:rFonts w:asciiTheme="minorEastAsia" w:eastAsiaTheme="minorEastAsia" w:hAnsiTheme="minorEastAsia"/>
            <w:sz w:val="28"/>
            <w:szCs w:val="28"/>
          </w:rPr>
          <w:instrText xml:space="preserve"> PAGE   \* MERGEFORMAT </w:instrText>
        </w:r>
        <w:r w:rsidRPr="00606D68">
          <w:rPr>
            <w:rFonts w:asciiTheme="minorEastAsia" w:eastAsiaTheme="minorEastAsia" w:hAnsiTheme="minorEastAsia"/>
            <w:sz w:val="28"/>
            <w:szCs w:val="28"/>
          </w:rPr>
          <w:fldChar w:fldCharType="separate"/>
        </w:r>
        <w:r w:rsidR="000D0C47" w:rsidRPr="000D0C47">
          <w:rPr>
            <w:rFonts w:asciiTheme="minorEastAsia" w:eastAsiaTheme="minorEastAsia" w:hAnsiTheme="minorEastAsia"/>
            <w:noProof/>
            <w:sz w:val="28"/>
            <w:szCs w:val="28"/>
            <w:lang w:val="zh-CN"/>
          </w:rPr>
          <w:t>-</w:t>
        </w:r>
        <w:r w:rsidR="000D0C47">
          <w:rPr>
            <w:rFonts w:asciiTheme="minorEastAsia" w:eastAsiaTheme="minorEastAsia" w:hAnsiTheme="minorEastAsia"/>
            <w:noProof/>
            <w:sz w:val="28"/>
            <w:szCs w:val="28"/>
          </w:rPr>
          <w:t xml:space="preserve"> 3 -</w:t>
        </w:r>
        <w:r w:rsidRPr="00606D68">
          <w:rPr>
            <w:rFonts w:asciiTheme="minorEastAsia" w:eastAsiaTheme="minorEastAsia" w:hAnsiTheme="minorEastAsia"/>
            <w:sz w:val="28"/>
            <w:szCs w:val="28"/>
          </w:rPr>
          <w:fldChar w:fldCharType="end"/>
        </w:r>
      </w:p>
    </w:sdtContent>
  </w:sdt>
  <w:p w:rsidR="00606D68" w:rsidRDefault="00606D6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EF1" w:rsidRDefault="001C6EF1" w:rsidP="00246DE2">
      <w:r>
        <w:separator/>
      </w:r>
    </w:p>
  </w:footnote>
  <w:footnote w:type="continuationSeparator" w:id="0">
    <w:p w:rsidR="001C6EF1" w:rsidRDefault="001C6EF1" w:rsidP="00246D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6A426D"/>
    <w:multiLevelType w:val="singleLevel"/>
    <w:tmpl w:val="CE6A426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22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UxZDQ3MGViM2FjMjkzZTgxYWJmODg1ZGU5Y2RjOTkifQ=="/>
  </w:docVars>
  <w:rsids>
    <w:rsidRoot w:val="F77F09F4"/>
    <w:rsid w:val="CEFD3F3D"/>
    <w:rsid w:val="EA3F77F2"/>
    <w:rsid w:val="EEFE5989"/>
    <w:rsid w:val="EF1DBB48"/>
    <w:rsid w:val="EFCF3EAE"/>
    <w:rsid w:val="F5B764A2"/>
    <w:rsid w:val="F77F09F4"/>
    <w:rsid w:val="FFD7BFFC"/>
    <w:rsid w:val="0006379D"/>
    <w:rsid w:val="00090938"/>
    <w:rsid w:val="000D0C47"/>
    <w:rsid w:val="00180AF4"/>
    <w:rsid w:val="001B0914"/>
    <w:rsid w:val="001C6EF1"/>
    <w:rsid w:val="00246DE2"/>
    <w:rsid w:val="00251979"/>
    <w:rsid w:val="00271620"/>
    <w:rsid w:val="0028192B"/>
    <w:rsid w:val="002F040F"/>
    <w:rsid w:val="002F0658"/>
    <w:rsid w:val="00311B90"/>
    <w:rsid w:val="0035665B"/>
    <w:rsid w:val="00373914"/>
    <w:rsid w:val="00396EE8"/>
    <w:rsid w:val="003D25EB"/>
    <w:rsid w:val="003E5D13"/>
    <w:rsid w:val="00433A4D"/>
    <w:rsid w:val="00480C17"/>
    <w:rsid w:val="004A542F"/>
    <w:rsid w:val="004E0D42"/>
    <w:rsid w:val="004E5E50"/>
    <w:rsid w:val="004F3E74"/>
    <w:rsid w:val="004F592D"/>
    <w:rsid w:val="00522A0F"/>
    <w:rsid w:val="005326C7"/>
    <w:rsid w:val="005560E4"/>
    <w:rsid w:val="005A6F79"/>
    <w:rsid w:val="005D35DF"/>
    <w:rsid w:val="00603B99"/>
    <w:rsid w:val="00603C62"/>
    <w:rsid w:val="00606D68"/>
    <w:rsid w:val="0064699B"/>
    <w:rsid w:val="00654958"/>
    <w:rsid w:val="006C3A60"/>
    <w:rsid w:val="007877FE"/>
    <w:rsid w:val="00846572"/>
    <w:rsid w:val="008747C1"/>
    <w:rsid w:val="008D44FE"/>
    <w:rsid w:val="0092173A"/>
    <w:rsid w:val="00921A50"/>
    <w:rsid w:val="00955B40"/>
    <w:rsid w:val="009867B8"/>
    <w:rsid w:val="00993880"/>
    <w:rsid w:val="00A200E6"/>
    <w:rsid w:val="00A34D43"/>
    <w:rsid w:val="00A93970"/>
    <w:rsid w:val="00AC2633"/>
    <w:rsid w:val="00AF0797"/>
    <w:rsid w:val="00B16A0E"/>
    <w:rsid w:val="00B66A41"/>
    <w:rsid w:val="00B673DD"/>
    <w:rsid w:val="00BE48CC"/>
    <w:rsid w:val="00C035CD"/>
    <w:rsid w:val="00C202DD"/>
    <w:rsid w:val="00CB362D"/>
    <w:rsid w:val="00D14570"/>
    <w:rsid w:val="00D228EA"/>
    <w:rsid w:val="00D32040"/>
    <w:rsid w:val="00D32929"/>
    <w:rsid w:val="00E34A89"/>
    <w:rsid w:val="00E52311"/>
    <w:rsid w:val="00E65461"/>
    <w:rsid w:val="00E71DB9"/>
    <w:rsid w:val="00E806BF"/>
    <w:rsid w:val="00F87483"/>
    <w:rsid w:val="01082BD3"/>
    <w:rsid w:val="02100073"/>
    <w:rsid w:val="022C1902"/>
    <w:rsid w:val="025237A6"/>
    <w:rsid w:val="02794F82"/>
    <w:rsid w:val="029C5324"/>
    <w:rsid w:val="033D6B96"/>
    <w:rsid w:val="037B79CA"/>
    <w:rsid w:val="037D6AD3"/>
    <w:rsid w:val="040612A7"/>
    <w:rsid w:val="04122B60"/>
    <w:rsid w:val="04975E8D"/>
    <w:rsid w:val="04BA5469"/>
    <w:rsid w:val="050F7C41"/>
    <w:rsid w:val="05A30DC1"/>
    <w:rsid w:val="05A97E63"/>
    <w:rsid w:val="06411860"/>
    <w:rsid w:val="0656168C"/>
    <w:rsid w:val="066C0614"/>
    <w:rsid w:val="068226D3"/>
    <w:rsid w:val="06D47EB3"/>
    <w:rsid w:val="07061884"/>
    <w:rsid w:val="07125F5D"/>
    <w:rsid w:val="0714379F"/>
    <w:rsid w:val="07276BC9"/>
    <w:rsid w:val="07C80488"/>
    <w:rsid w:val="08184D1E"/>
    <w:rsid w:val="081A442A"/>
    <w:rsid w:val="08551798"/>
    <w:rsid w:val="088758B1"/>
    <w:rsid w:val="08A11F05"/>
    <w:rsid w:val="08C15C45"/>
    <w:rsid w:val="091C3857"/>
    <w:rsid w:val="097011B7"/>
    <w:rsid w:val="097E2C8B"/>
    <w:rsid w:val="09AB6FF0"/>
    <w:rsid w:val="09D34448"/>
    <w:rsid w:val="09E05076"/>
    <w:rsid w:val="0A3663E6"/>
    <w:rsid w:val="0A7E25C7"/>
    <w:rsid w:val="0AEE17FB"/>
    <w:rsid w:val="0B9044CB"/>
    <w:rsid w:val="0BD10BC8"/>
    <w:rsid w:val="0BFE7494"/>
    <w:rsid w:val="0C3205C9"/>
    <w:rsid w:val="0C72538C"/>
    <w:rsid w:val="0C970EB6"/>
    <w:rsid w:val="0CDC5FA5"/>
    <w:rsid w:val="0CE90919"/>
    <w:rsid w:val="0D1A56E1"/>
    <w:rsid w:val="0DA11C8E"/>
    <w:rsid w:val="0DDB6C49"/>
    <w:rsid w:val="0E1E5269"/>
    <w:rsid w:val="0E224131"/>
    <w:rsid w:val="0E9B4053"/>
    <w:rsid w:val="0ED36F89"/>
    <w:rsid w:val="0EEA6683"/>
    <w:rsid w:val="0F3B6D32"/>
    <w:rsid w:val="100A35B1"/>
    <w:rsid w:val="10A86123"/>
    <w:rsid w:val="10B353ED"/>
    <w:rsid w:val="10D63971"/>
    <w:rsid w:val="10DA1F09"/>
    <w:rsid w:val="1114796D"/>
    <w:rsid w:val="11283816"/>
    <w:rsid w:val="112C6057"/>
    <w:rsid w:val="11A66E59"/>
    <w:rsid w:val="11BE285A"/>
    <w:rsid w:val="123E548F"/>
    <w:rsid w:val="126E6453"/>
    <w:rsid w:val="12D12EE3"/>
    <w:rsid w:val="12E601BF"/>
    <w:rsid w:val="1381162F"/>
    <w:rsid w:val="13954263"/>
    <w:rsid w:val="13C44CA3"/>
    <w:rsid w:val="13D66799"/>
    <w:rsid w:val="14874B0C"/>
    <w:rsid w:val="14C57350"/>
    <w:rsid w:val="14C70818"/>
    <w:rsid w:val="14F0349B"/>
    <w:rsid w:val="14F24939"/>
    <w:rsid w:val="156E6254"/>
    <w:rsid w:val="15A81F54"/>
    <w:rsid w:val="16397FED"/>
    <w:rsid w:val="164F4559"/>
    <w:rsid w:val="16D21B70"/>
    <w:rsid w:val="170375D5"/>
    <w:rsid w:val="17065031"/>
    <w:rsid w:val="17437C1B"/>
    <w:rsid w:val="17AF08F5"/>
    <w:rsid w:val="181A0008"/>
    <w:rsid w:val="18801D16"/>
    <w:rsid w:val="18B51D43"/>
    <w:rsid w:val="18D00ADF"/>
    <w:rsid w:val="18E96656"/>
    <w:rsid w:val="194D7279"/>
    <w:rsid w:val="195C5CB6"/>
    <w:rsid w:val="19910578"/>
    <w:rsid w:val="19C10B6F"/>
    <w:rsid w:val="1A0965FD"/>
    <w:rsid w:val="1A747D1C"/>
    <w:rsid w:val="1A76369C"/>
    <w:rsid w:val="1AB42274"/>
    <w:rsid w:val="1B541017"/>
    <w:rsid w:val="1B5B0A88"/>
    <w:rsid w:val="1B8B3E46"/>
    <w:rsid w:val="1B91084B"/>
    <w:rsid w:val="1BFC0DC3"/>
    <w:rsid w:val="1C0B156A"/>
    <w:rsid w:val="1C9D605B"/>
    <w:rsid w:val="1CDD59EA"/>
    <w:rsid w:val="1CF535D1"/>
    <w:rsid w:val="1CFE0AD8"/>
    <w:rsid w:val="1D0B5184"/>
    <w:rsid w:val="1D1B1265"/>
    <w:rsid w:val="1D320E82"/>
    <w:rsid w:val="1D4B7B57"/>
    <w:rsid w:val="1DF85C76"/>
    <w:rsid w:val="1E1F0103"/>
    <w:rsid w:val="1E417053"/>
    <w:rsid w:val="1E546BED"/>
    <w:rsid w:val="1E697203"/>
    <w:rsid w:val="1E7873AD"/>
    <w:rsid w:val="1E927D94"/>
    <w:rsid w:val="200447AC"/>
    <w:rsid w:val="20810727"/>
    <w:rsid w:val="20A7682A"/>
    <w:rsid w:val="20B346A9"/>
    <w:rsid w:val="20B96B7B"/>
    <w:rsid w:val="21164E7E"/>
    <w:rsid w:val="21604CD6"/>
    <w:rsid w:val="21896246"/>
    <w:rsid w:val="21B22C97"/>
    <w:rsid w:val="21EC65A4"/>
    <w:rsid w:val="220C0816"/>
    <w:rsid w:val="2240669E"/>
    <w:rsid w:val="22657FE6"/>
    <w:rsid w:val="226A5FE8"/>
    <w:rsid w:val="22B97154"/>
    <w:rsid w:val="22C75FF7"/>
    <w:rsid w:val="23D777A8"/>
    <w:rsid w:val="240C3493"/>
    <w:rsid w:val="243B6627"/>
    <w:rsid w:val="247609CB"/>
    <w:rsid w:val="25B13416"/>
    <w:rsid w:val="262F3931"/>
    <w:rsid w:val="272445CF"/>
    <w:rsid w:val="27F665AD"/>
    <w:rsid w:val="283A33CE"/>
    <w:rsid w:val="28587274"/>
    <w:rsid w:val="28CA7A11"/>
    <w:rsid w:val="29F20115"/>
    <w:rsid w:val="29F45423"/>
    <w:rsid w:val="2A0C1533"/>
    <w:rsid w:val="2A635142"/>
    <w:rsid w:val="2A8E6FB0"/>
    <w:rsid w:val="2B25357D"/>
    <w:rsid w:val="2B444E62"/>
    <w:rsid w:val="2B481EB6"/>
    <w:rsid w:val="2B531080"/>
    <w:rsid w:val="2B956591"/>
    <w:rsid w:val="2BE4517A"/>
    <w:rsid w:val="2C1E21AC"/>
    <w:rsid w:val="2C2E541D"/>
    <w:rsid w:val="2C436805"/>
    <w:rsid w:val="2C4A0A97"/>
    <w:rsid w:val="2C5C6E56"/>
    <w:rsid w:val="2C5F1CC7"/>
    <w:rsid w:val="2CCD30F5"/>
    <w:rsid w:val="2CCE1182"/>
    <w:rsid w:val="2CF135E1"/>
    <w:rsid w:val="2D401F78"/>
    <w:rsid w:val="2D8A262B"/>
    <w:rsid w:val="2DAF6045"/>
    <w:rsid w:val="2DEC1561"/>
    <w:rsid w:val="2E321D4A"/>
    <w:rsid w:val="2E327C8C"/>
    <w:rsid w:val="2E4017C1"/>
    <w:rsid w:val="2E4C7261"/>
    <w:rsid w:val="2E5F508E"/>
    <w:rsid w:val="2E682889"/>
    <w:rsid w:val="2E993F05"/>
    <w:rsid w:val="2EDC3F2F"/>
    <w:rsid w:val="2F0A2ED1"/>
    <w:rsid w:val="2F544C9F"/>
    <w:rsid w:val="2F577988"/>
    <w:rsid w:val="30306EB7"/>
    <w:rsid w:val="3050058C"/>
    <w:rsid w:val="30E86C8B"/>
    <w:rsid w:val="31216563"/>
    <w:rsid w:val="316D5D5A"/>
    <w:rsid w:val="318F1443"/>
    <w:rsid w:val="31976C04"/>
    <w:rsid w:val="31B403D6"/>
    <w:rsid w:val="31B70338"/>
    <w:rsid w:val="31D56F30"/>
    <w:rsid w:val="3282060F"/>
    <w:rsid w:val="32B43E83"/>
    <w:rsid w:val="32D255A3"/>
    <w:rsid w:val="32F2234E"/>
    <w:rsid w:val="332C1DEA"/>
    <w:rsid w:val="337F6DD1"/>
    <w:rsid w:val="339A4C4A"/>
    <w:rsid w:val="33D91EE0"/>
    <w:rsid w:val="34823AD9"/>
    <w:rsid w:val="34E13388"/>
    <w:rsid w:val="35834422"/>
    <w:rsid w:val="36230BAA"/>
    <w:rsid w:val="365F701A"/>
    <w:rsid w:val="36F07702"/>
    <w:rsid w:val="37173543"/>
    <w:rsid w:val="376368BC"/>
    <w:rsid w:val="37641AE6"/>
    <w:rsid w:val="376A0BCB"/>
    <w:rsid w:val="37CA07D4"/>
    <w:rsid w:val="383A1E2B"/>
    <w:rsid w:val="38656DF1"/>
    <w:rsid w:val="387E4B3B"/>
    <w:rsid w:val="39AF198F"/>
    <w:rsid w:val="39B063EC"/>
    <w:rsid w:val="39CB3113"/>
    <w:rsid w:val="39FF0A14"/>
    <w:rsid w:val="3A3420A8"/>
    <w:rsid w:val="3A361246"/>
    <w:rsid w:val="3A4F197A"/>
    <w:rsid w:val="3A585EEB"/>
    <w:rsid w:val="3AD13600"/>
    <w:rsid w:val="3B3C1894"/>
    <w:rsid w:val="3B502A16"/>
    <w:rsid w:val="3B7E5DEC"/>
    <w:rsid w:val="3BDB4951"/>
    <w:rsid w:val="3BEC6B92"/>
    <w:rsid w:val="3BED59BE"/>
    <w:rsid w:val="3BF14866"/>
    <w:rsid w:val="3C775E39"/>
    <w:rsid w:val="3C7A1A67"/>
    <w:rsid w:val="3C806842"/>
    <w:rsid w:val="3CAC08C5"/>
    <w:rsid w:val="3CDF4856"/>
    <w:rsid w:val="3CE27EEC"/>
    <w:rsid w:val="3D1C4983"/>
    <w:rsid w:val="3D380D3D"/>
    <w:rsid w:val="3D47778D"/>
    <w:rsid w:val="3D533D38"/>
    <w:rsid w:val="3D561036"/>
    <w:rsid w:val="3D582862"/>
    <w:rsid w:val="3D763039"/>
    <w:rsid w:val="3DAB225F"/>
    <w:rsid w:val="3E1E22E8"/>
    <w:rsid w:val="3EC40B14"/>
    <w:rsid w:val="3EDB6CFC"/>
    <w:rsid w:val="3EFE6FA3"/>
    <w:rsid w:val="3FD27E12"/>
    <w:rsid w:val="3FE06AE5"/>
    <w:rsid w:val="3FF76880"/>
    <w:rsid w:val="3FFE3C89"/>
    <w:rsid w:val="40B968BB"/>
    <w:rsid w:val="40E34F85"/>
    <w:rsid w:val="410970A4"/>
    <w:rsid w:val="41112914"/>
    <w:rsid w:val="418F709D"/>
    <w:rsid w:val="419B050B"/>
    <w:rsid w:val="41AA0A8F"/>
    <w:rsid w:val="41BD6587"/>
    <w:rsid w:val="420A6BF0"/>
    <w:rsid w:val="4234303F"/>
    <w:rsid w:val="425637AF"/>
    <w:rsid w:val="42E462DF"/>
    <w:rsid w:val="433E1A96"/>
    <w:rsid w:val="4387550A"/>
    <w:rsid w:val="43AD055F"/>
    <w:rsid w:val="43E77AC3"/>
    <w:rsid w:val="44AC734B"/>
    <w:rsid w:val="44EA75AA"/>
    <w:rsid w:val="44F3240C"/>
    <w:rsid w:val="45365930"/>
    <w:rsid w:val="4538070D"/>
    <w:rsid w:val="456332E5"/>
    <w:rsid w:val="45724C63"/>
    <w:rsid w:val="459C6F06"/>
    <w:rsid w:val="45C1566A"/>
    <w:rsid w:val="466A28B2"/>
    <w:rsid w:val="46B75644"/>
    <w:rsid w:val="46D70465"/>
    <w:rsid w:val="46E411C2"/>
    <w:rsid w:val="46FF7D15"/>
    <w:rsid w:val="47AB676D"/>
    <w:rsid w:val="47C57F28"/>
    <w:rsid w:val="47D42FCE"/>
    <w:rsid w:val="482F25AD"/>
    <w:rsid w:val="483F15CD"/>
    <w:rsid w:val="48456D36"/>
    <w:rsid w:val="48767174"/>
    <w:rsid w:val="49494B10"/>
    <w:rsid w:val="495A5FEA"/>
    <w:rsid w:val="495B1F97"/>
    <w:rsid w:val="495E208F"/>
    <w:rsid w:val="49694874"/>
    <w:rsid w:val="496F18D6"/>
    <w:rsid w:val="49816F29"/>
    <w:rsid w:val="4A2D629B"/>
    <w:rsid w:val="4A530A99"/>
    <w:rsid w:val="4A920B26"/>
    <w:rsid w:val="4AE03D7C"/>
    <w:rsid w:val="4B3827E7"/>
    <w:rsid w:val="4B486A0B"/>
    <w:rsid w:val="4B5E79D5"/>
    <w:rsid w:val="4B62227A"/>
    <w:rsid w:val="4B8338AA"/>
    <w:rsid w:val="4BC0714A"/>
    <w:rsid w:val="4BC8712E"/>
    <w:rsid w:val="4C180061"/>
    <w:rsid w:val="4C322D61"/>
    <w:rsid w:val="4C417CA1"/>
    <w:rsid w:val="4C72710A"/>
    <w:rsid w:val="4C7E5967"/>
    <w:rsid w:val="4CDB0761"/>
    <w:rsid w:val="4D023786"/>
    <w:rsid w:val="4DB84D64"/>
    <w:rsid w:val="4DDA3C8B"/>
    <w:rsid w:val="4DEB740D"/>
    <w:rsid w:val="4E121DD0"/>
    <w:rsid w:val="4E2533DB"/>
    <w:rsid w:val="4E660E76"/>
    <w:rsid w:val="4E6F744F"/>
    <w:rsid w:val="4E9C686D"/>
    <w:rsid w:val="4EA602D6"/>
    <w:rsid w:val="4ED4081D"/>
    <w:rsid w:val="4F7B4353"/>
    <w:rsid w:val="4F914A45"/>
    <w:rsid w:val="4F957882"/>
    <w:rsid w:val="4FA44845"/>
    <w:rsid w:val="4FC960CC"/>
    <w:rsid w:val="50321CD9"/>
    <w:rsid w:val="504A7320"/>
    <w:rsid w:val="505A2296"/>
    <w:rsid w:val="5061704A"/>
    <w:rsid w:val="50703A1E"/>
    <w:rsid w:val="507E64CA"/>
    <w:rsid w:val="50B27620"/>
    <w:rsid w:val="518D1172"/>
    <w:rsid w:val="51922AAE"/>
    <w:rsid w:val="522C1A7E"/>
    <w:rsid w:val="52341821"/>
    <w:rsid w:val="524727A8"/>
    <w:rsid w:val="5260702E"/>
    <w:rsid w:val="52823AA7"/>
    <w:rsid w:val="52C66714"/>
    <w:rsid w:val="52DB175A"/>
    <w:rsid w:val="53C10ADC"/>
    <w:rsid w:val="54463FF4"/>
    <w:rsid w:val="54856AE3"/>
    <w:rsid w:val="548905A4"/>
    <w:rsid w:val="54E23ACC"/>
    <w:rsid w:val="55544781"/>
    <w:rsid w:val="55990927"/>
    <w:rsid w:val="562B4A16"/>
    <w:rsid w:val="564A5103"/>
    <w:rsid w:val="56522F27"/>
    <w:rsid w:val="56FA559D"/>
    <w:rsid w:val="571C2FAE"/>
    <w:rsid w:val="5758778F"/>
    <w:rsid w:val="577C5436"/>
    <w:rsid w:val="578C4726"/>
    <w:rsid w:val="57922892"/>
    <w:rsid w:val="57A801F9"/>
    <w:rsid w:val="57D64999"/>
    <w:rsid w:val="58531E75"/>
    <w:rsid w:val="5862780F"/>
    <w:rsid w:val="587A0B0E"/>
    <w:rsid w:val="58BB6F94"/>
    <w:rsid w:val="591C5B43"/>
    <w:rsid w:val="591C713E"/>
    <w:rsid w:val="597A5943"/>
    <w:rsid w:val="5992408D"/>
    <w:rsid w:val="5A0D685F"/>
    <w:rsid w:val="5A27389C"/>
    <w:rsid w:val="5AD84130"/>
    <w:rsid w:val="5AE95691"/>
    <w:rsid w:val="5B4A6B70"/>
    <w:rsid w:val="5C1C7CD1"/>
    <w:rsid w:val="5CC50F1C"/>
    <w:rsid w:val="5D5A4877"/>
    <w:rsid w:val="5D622C92"/>
    <w:rsid w:val="5DD3454E"/>
    <w:rsid w:val="5E612A9E"/>
    <w:rsid w:val="5E615A3F"/>
    <w:rsid w:val="5F245F13"/>
    <w:rsid w:val="5F4100C6"/>
    <w:rsid w:val="607A2838"/>
    <w:rsid w:val="608A77B2"/>
    <w:rsid w:val="60DB4427"/>
    <w:rsid w:val="619D6F1D"/>
    <w:rsid w:val="61A17D62"/>
    <w:rsid w:val="61AD5946"/>
    <w:rsid w:val="62727FC5"/>
    <w:rsid w:val="62810DF3"/>
    <w:rsid w:val="62936D42"/>
    <w:rsid w:val="62AE6985"/>
    <w:rsid w:val="62B80F5F"/>
    <w:rsid w:val="62D21B31"/>
    <w:rsid w:val="63DA4A6C"/>
    <w:rsid w:val="63F41090"/>
    <w:rsid w:val="642077AE"/>
    <w:rsid w:val="64720A81"/>
    <w:rsid w:val="647C42DD"/>
    <w:rsid w:val="64874BF3"/>
    <w:rsid w:val="64C32497"/>
    <w:rsid w:val="65577437"/>
    <w:rsid w:val="656041A9"/>
    <w:rsid w:val="657649F4"/>
    <w:rsid w:val="657D3722"/>
    <w:rsid w:val="66115D93"/>
    <w:rsid w:val="666F25EE"/>
    <w:rsid w:val="66986DE2"/>
    <w:rsid w:val="66BF70EC"/>
    <w:rsid w:val="66F573A6"/>
    <w:rsid w:val="67632201"/>
    <w:rsid w:val="677169AB"/>
    <w:rsid w:val="680C0D7C"/>
    <w:rsid w:val="6842726D"/>
    <w:rsid w:val="68D64A09"/>
    <w:rsid w:val="69154A7F"/>
    <w:rsid w:val="69F011E9"/>
    <w:rsid w:val="6A3B78CC"/>
    <w:rsid w:val="6A7F534A"/>
    <w:rsid w:val="6AFF5798"/>
    <w:rsid w:val="6B204BE1"/>
    <w:rsid w:val="6B405556"/>
    <w:rsid w:val="6BE06DE9"/>
    <w:rsid w:val="6BF24939"/>
    <w:rsid w:val="6CA05244"/>
    <w:rsid w:val="6CC06CF4"/>
    <w:rsid w:val="6D072DEE"/>
    <w:rsid w:val="6D131462"/>
    <w:rsid w:val="6D1D4BBA"/>
    <w:rsid w:val="6DB13F24"/>
    <w:rsid w:val="6DD72AE4"/>
    <w:rsid w:val="6E1E235C"/>
    <w:rsid w:val="6E2616BF"/>
    <w:rsid w:val="6E3D488F"/>
    <w:rsid w:val="6E3F3225"/>
    <w:rsid w:val="6EA0474E"/>
    <w:rsid w:val="6EA117C0"/>
    <w:rsid w:val="6EFA5A73"/>
    <w:rsid w:val="6F1E3C4E"/>
    <w:rsid w:val="6F286FD3"/>
    <w:rsid w:val="6F4023CE"/>
    <w:rsid w:val="6F7D36F1"/>
    <w:rsid w:val="7064053C"/>
    <w:rsid w:val="70C406BD"/>
    <w:rsid w:val="70D84D05"/>
    <w:rsid w:val="71027939"/>
    <w:rsid w:val="713C3C71"/>
    <w:rsid w:val="71484FAD"/>
    <w:rsid w:val="71576E93"/>
    <w:rsid w:val="7176676D"/>
    <w:rsid w:val="718A4547"/>
    <w:rsid w:val="71BE0C14"/>
    <w:rsid w:val="71E55946"/>
    <w:rsid w:val="71E55967"/>
    <w:rsid w:val="71F509F3"/>
    <w:rsid w:val="724647E3"/>
    <w:rsid w:val="72881782"/>
    <w:rsid w:val="735B6239"/>
    <w:rsid w:val="7427205D"/>
    <w:rsid w:val="74542A5B"/>
    <w:rsid w:val="74922FF7"/>
    <w:rsid w:val="74D67A4D"/>
    <w:rsid w:val="75587F75"/>
    <w:rsid w:val="75663347"/>
    <w:rsid w:val="75843F24"/>
    <w:rsid w:val="75950815"/>
    <w:rsid w:val="76B831D3"/>
    <w:rsid w:val="76DE05CB"/>
    <w:rsid w:val="76EB1019"/>
    <w:rsid w:val="775D7A36"/>
    <w:rsid w:val="77F90316"/>
    <w:rsid w:val="78045772"/>
    <w:rsid w:val="780E5167"/>
    <w:rsid w:val="783D7711"/>
    <w:rsid w:val="7861667C"/>
    <w:rsid w:val="787D6B06"/>
    <w:rsid w:val="78AD32CE"/>
    <w:rsid w:val="78B313CB"/>
    <w:rsid w:val="78D94FCB"/>
    <w:rsid w:val="78F73846"/>
    <w:rsid w:val="79E13D7A"/>
    <w:rsid w:val="79F15B6A"/>
    <w:rsid w:val="7A361C0C"/>
    <w:rsid w:val="7A6B31CB"/>
    <w:rsid w:val="7AB7FF50"/>
    <w:rsid w:val="7B044520"/>
    <w:rsid w:val="7BB0064E"/>
    <w:rsid w:val="7BFEB0DB"/>
    <w:rsid w:val="7C5A38E8"/>
    <w:rsid w:val="7CA56471"/>
    <w:rsid w:val="7CBB1D3F"/>
    <w:rsid w:val="7D495D5B"/>
    <w:rsid w:val="7D60750F"/>
    <w:rsid w:val="7D67534E"/>
    <w:rsid w:val="7DB47ADF"/>
    <w:rsid w:val="7E302D7E"/>
    <w:rsid w:val="7E760A0E"/>
    <w:rsid w:val="7E9207DF"/>
    <w:rsid w:val="7EA47CF8"/>
    <w:rsid w:val="7EED779A"/>
    <w:rsid w:val="7F2F04DC"/>
    <w:rsid w:val="7F88415D"/>
    <w:rsid w:val="7F8940C8"/>
    <w:rsid w:val="7FAD23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246DE2"/>
    <w:pPr>
      <w:widowControl w:val="0"/>
      <w:jc w:val="both"/>
    </w:pPr>
    <w:rPr>
      <w:kern w:val="2"/>
      <w:sz w:val="21"/>
      <w:szCs w:val="24"/>
    </w:rPr>
  </w:style>
  <w:style w:type="paragraph" w:styleId="10">
    <w:name w:val="heading 1"/>
    <w:basedOn w:val="a"/>
    <w:next w:val="a"/>
    <w:uiPriority w:val="9"/>
    <w:qFormat/>
    <w:rsid w:val="00246DE2"/>
    <w:pPr>
      <w:spacing w:line="600" w:lineRule="exact"/>
      <w:ind w:firstLine="640"/>
      <w:outlineLvl w:val="0"/>
    </w:pPr>
    <w:rPr>
      <w:rFonts w:ascii="黑体" w:eastAsia="黑体" w:hAnsi="黑体" w:cs="宋体"/>
      <w:color w:val="000000"/>
      <w:kern w:val="0"/>
    </w:rPr>
  </w:style>
  <w:style w:type="paragraph" w:styleId="2">
    <w:name w:val="heading 2"/>
    <w:basedOn w:val="a"/>
    <w:next w:val="a"/>
    <w:qFormat/>
    <w:rsid w:val="00246DE2"/>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1"/>
    <w:qFormat/>
    <w:rsid w:val="00246DE2"/>
    <w:pPr>
      <w:widowControl w:val="0"/>
      <w:jc w:val="both"/>
    </w:pPr>
    <w:rPr>
      <w:kern w:val="2"/>
      <w:sz w:val="21"/>
    </w:rPr>
  </w:style>
  <w:style w:type="paragraph" w:styleId="a3">
    <w:name w:val="annotation text"/>
    <w:basedOn w:val="a"/>
    <w:qFormat/>
    <w:rsid w:val="00246DE2"/>
    <w:pPr>
      <w:jc w:val="left"/>
    </w:pPr>
  </w:style>
  <w:style w:type="paragraph" w:styleId="a4">
    <w:name w:val="Body Text Indent"/>
    <w:basedOn w:val="a"/>
    <w:qFormat/>
    <w:rsid w:val="00246DE2"/>
    <w:pPr>
      <w:spacing w:after="360"/>
      <w:ind w:firstLine="840"/>
    </w:pPr>
    <w:rPr>
      <w:rFonts w:eastAsia="仿宋_GB2312"/>
      <w:kern w:val="1"/>
      <w:sz w:val="32"/>
      <w:szCs w:val="20"/>
    </w:rPr>
  </w:style>
  <w:style w:type="paragraph" w:styleId="3">
    <w:name w:val="toc 3"/>
    <w:basedOn w:val="a"/>
    <w:next w:val="a"/>
    <w:qFormat/>
    <w:rsid w:val="00246DE2"/>
    <w:pPr>
      <w:ind w:leftChars="400" w:left="840"/>
    </w:pPr>
  </w:style>
  <w:style w:type="paragraph" w:styleId="a5">
    <w:name w:val="footer"/>
    <w:basedOn w:val="a"/>
    <w:link w:val="Char"/>
    <w:uiPriority w:val="99"/>
    <w:qFormat/>
    <w:rsid w:val="00246DE2"/>
    <w:pPr>
      <w:tabs>
        <w:tab w:val="center" w:pos="4153"/>
        <w:tab w:val="right" w:pos="8306"/>
      </w:tabs>
      <w:snapToGrid w:val="0"/>
      <w:jc w:val="left"/>
    </w:pPr>
    <w:rPr>
      <w:sz w:val="18"/>
      <w:szCs w:val="20"/>
    </w:rPr>
  </w:style>
  <w:style w:type="paragraph" w:styleId="a6">
    <w:name w:val="header"/>
    <w:basedOn w:val="a"/>
    <w:link w:val="Char0"/>
    <w:uiPriority w:val="99"/>
    <w:qFormat/>
    <w:rsid w:val="00246DE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1">
    <w:name w:val="toc 1"/>
    <w:basedOn w:val="a"/>
    <w:next w:val="a"/>
    <w:qFormat/>
    <w:rsid w:val="00246DE2"/>
  </w:style>
  <w:style w:type="paragraph" w:styleId="20">
    <w:name w:val="toc 2"/>
    <w:basedOn w:val="a"/>
    <w:next w:val="a"/>
    <w:qFormat/>
    <w:rsid w:val="00246DE2"/>
    <w:pPr>
      <w:ind w:leftChars="200" w:left="420"/>
    </w:pPr>
  </w:style>
  <w:style w:type="paragraph" w:styleId="a7">
    <w:name w:val="Normal (Web)"/>
    <w:basedOn w:val="a"/>
    <w:qFormat/>
    <w:rsid w:val="00246DE2"/>
    <w:pPr>
      <w:spacing w:beforeAutospacing="1" w:afterAutospacing="1"/>
      <w:jc w:val="left"/>
    </w:pPr>
    <w:rPr>
      <w:kern w:val="0"/>
      <w:sz w:val="24"/>
    </w:rPr>
  </w:style>
  <w:style w:type="paragraph" w:styleId="21">
    <w:name w:val="Body Text First Indent 2"/>
    <w:basedOn w:val="a4"/>
    <w:uiPriority w:val="99"/>
    <w:qFormat/>
    <w:rsid w:val="00246DE2"/>
    <w:pPr>
      <w:ind w:firstLineChars="200" w:firstLine="420"/>
    </w:pPr>
  </w:style>
  <w:style w:type="paragraph" w:customStyle="1" w:styleId="12">
    <w:name w:val="列出段落1"/>
    <w:basedOn w:val="a"/>
    <w:uiPriority w:val="34"/>
    <w:qFormat/>
    <w:rsid w:val="00246DE2"/>
    <w:pPr>
      <w:ind w:firstLineChars="200" w:firstLine="420"/>
    </w:pPr>
    <w:rPr>
      <w:rFonts w:ascii="Calibri" w:hAnsi="Calibri" w:cs="黑体"/>
      <w:szCs w:val="22"/>
    </w:rPr>
  </w:style>
  <w:style w:type="paragraph" w:customStyle="1" w:styleId="22">
    <w:name w:val="列出段落2"/>
    <w:basedOn w:val="a"/>
    <w:uiPriority w:val="34"/>
    <w:qFormat/>
    <w:rsid w:val="00246DE2"/>
    <w:pPr>
      <w:ind w:firstLineChars="200" w:firstLine="420"/>
    </w:pPr>
  </w:style>
  <w:style w:type="paragraph" w:customStyle="1" w:styleId="WPSOffice1">
    <w:name w:val="WPSOffice手动目录 1"/>
    <w:qFormat/>
    <w:rsid w:val="00246DE2"/>
  </w:style>
  <w:style w:type="paragraph" w:customStyle="1" w:styleId="WPSOffice2">
    <w:name w:val="WPSOffice手动目录 2"/>
    <w:qFormat/>
    <w:rsid w:val="00246DE2"/>
    <w:pPr>
      <w:ind w:leftChars="200" w:left="200"/>
    </w:pPr>
  </w:style>
  <w:style w:type="paragraph" w:styleId="a8">
    <w:name w:val="Balloon Text"/>
    <w:basedOn w:val="a"/>
    <w:link w:val="Char1"/>
    <w:rsid w:val="00A34D43"/>
    <w:rPr>
      <w:sz w:val="18"/>
      <w:szCs w:val="18"/>
    </w:rPr>
  </w:style>
  <w:style w:type="character" w:customStyle="1" w:styleId="Char1">
    <w:name w:val="批注框文本 Char"/>
    <w:basedOn w:val="a0"/>
    <w:link w:val="a8"/>
    <w:rsid w:val="00A34D43"/>
    <w:rPr>
      <w:kern w:val="2"/>
      <w:sz w:val="18"/>
      <w:szCs w:val="18"/>
    </w:rPr>
  </w:style>
  <w:style w:type="character" w:customStyle="1" w:styleId="Char">
    <w:name w:val="页脚 Char"/>
    <w:basedOn w:val="a0"/>
    <w:link w:val="a5"/>
    <w:uiPriority w:val="99"/>
    <w:rsid w:val="00A34D43"/>
    <w:rPr>
      <w:kern w:val="2"/>
      <w:sz w:val="18"/>
    </w:rPr>
  </w:style>
  <w:style w:type="character" w:customStyle="1" w:styleId="Char0">
    <w:name w:val="页眉 Char"/>
    <w:basedOn w:val="a0"/>
    <w:link w:val="a6"/>
    <w:uiPriority w:val="99"/>
    <w:rsid w:val="00606D68"/>
    <w:rPr>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11</Pages>
  <Words>1055</Words>
  <Characters>6018</Characters>
  <Application>Microsoft Office Word</Application>
  <DocSecurity>0</DocSecurity>
  <Lines>50</Lines>
  <Paragraphs>14</Paragraphs>
  <ScaleCrop>false</ScaleCrop>
  <Company>Lenovo</Company>
  <LinksUpToDate>false</LinksUpToDate>
  <CharactersWithSpaces>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35</cp:revision>
  <cp:lastPrinted>2023-08-22T08:06:00Z</cp:lastPrinted>
  <dcterms:created xsi:type="dcterms:W3CDTF">2022-03-10T03:16:00Z</dcterms:created>
  <dcterms:modified xsi:type="dcterms:W3CDTF">2023-08-23T09:28:00Z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B20BF7617434459A8442574F9ADF31A2</vt:lpwstr>
  </property>
</Properties>
</file>