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bookmarkStart w:id="61" w:name="_GoBack"/>
      <w:bookmarkEnd w:id="61"/>
      <w:bookmarkStart w:id="0" w:name="_Toc21971"/>
      <w:r>
        <w:rPr>
          <w:rFonts w:hint="eastAsia" w:ascii="方正小标宋简体" w:eastAsia="方正小标宋简体"/>
          <w:sz w:val="36"/>
          <w:szCs w:val="36"/>
        </w:rPr>
        <w:t>北京知识产权法院诉讼指导外包服务项目支出</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绩效评价报告</w:t>
      </w:r>
      <w:bookmarkEnd w:id="0"/>
    </w:p>
    <w:p>
      <w:pPr>
        <w:spacing w:line="560" w:lineRule="exact"/>
        <w:jc w:val="center"/>
        <w:rPr>
          <w:rFonts w:ascii="方正小标宋简体" w:eastAsia="方正小标宋简体"/>
          <w:sz w:val="36"/>
          <w:szCs w:val="36"/>
        </w:rPr>
      </w:pP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为进一步规范政府购买服务项目实施，提高财政资金使用效益，根据《北京市项目支出绩效评价管理办法》（京财绩效〔2020〕2146号）和《北京市财政局关于开展政府购买服务项目绩效评价工作的通知》（京财综[2023]407号）以及《北京市财政局关于2023年推进全面实施预算绩效管理工作的预通知》等文件要求，北京知识产权法院成立绩效评价工作组，于2023年5月17日至5月31日对北京知识产权法院“诉讼指导外包服务项目”开展了绩效评价。具体情况如下：</w:t>
      </w:r>
    </w:p>
    <w:p>
      <w:pPr>
        <w:pStyle w:val="2"/>
        <w:spacing w:line="600" w:lineRule="exact"/>
        <w:ind w:firstLine="640" w:firstLineChars="200"/>
      </w:pPr>
      <w:bookmarkStart w:id="1" w:name="_Toc3800"/>
      <w:r>
        <w:rPr>
          <w:rFonts w:hint="eastAsia"/>
        </w:rPr>
        <w:t>一、基本情况</w:t>
      </w:r>
      <w:bookmarkEnd w:id="1"/>
    </w:p>
    <w:p>
      <w:pPr>
        <w:pStyle w:val="3"/>
        <w:spacing w:line="600" w:lineRule="exact"/>
        <w:ind w:firstLine="640" w:firstLineChars="200"/>
        <w:rPr>
          <w:rFonts w:ascii="楷体" w:hAnsi="楷体" w:eastAsia="楷体" w:cs="楷体"/>
          <w:b w:val="0"/>
          <w:bCs/>
        </w:rPr>
      </w:pPr>
      <w:bookmarkStart w:id="2" w:name="_Toc26764"/>
      <w:r>
        <w:rPr>
          <w:rFonts w:hint="eastAsia" w:ascii="楷体" w:hAnsi="楷体" w:eastAsia="楷体" w:cs="楷体"/>
          <w:b w:val="0"/>
          <w:bCs/>
        </w:rPr>
        <w:t>（一）项目概况</w:t>
      </w:r>
      <w:bookmarkEnd w:id="2"/>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楷体_GB2312" w:hAnsi="楷体_GB2312" w:eastAsia="楷体_GB2312" w:cs="楷体_GB2312"/>
          <w:sz w:val="32"/>
          <w:szCs w:val="32"/>
        </w:rPr>
        <w:t>项目背景</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为了落实司法改革精神，坚持司法为民，坚持以审判为中心，依据北京市人民检察院《关于印发&lt;全市法院检察院财物统一管理改革专项工作组第四次会议会议纪要&gt;的通知》（京财公检法[2018]362 号）“关于全市法院、检察院向社会力量购买司法辅助服务改革试点工作……原则同意在北京知识产权法院和西城区人民法院等单位开展购买服务试点工作”的精神，以及最高人民法院2019年8号文《最高人民法院关于深化人民法院司法体制综合配套改革的意见—人民法院第五个五年改革纲要（2019——2023）》“推动部分事务集约化、社会化管理”的规划，北京知识产权法院在高度扁平化管理、案件量逐年增长的背景下，积极探索向社会力量购买服务的工作机制，于2017年开展向社会力量购买诉讼指导外包服务，成立诉讼指导服务外包团队，至2022年底已实施5年。</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自诉讼指导外包服务项目启动以来，北京知识产权法院积极帮助指导外包团队开展相关工作，立案庭结合具体工作特点，专门安排本庭室相应人员对相应业务进行具体指导，并根据院方需求的变化对诉服工作进行动态调整，通过不断地探索实践，现在诉讼服务团队已从初始时的四大类细化至七个具体岗位。具体包括：导诉台接待、热线电话咨询、集约上诉送达、材料收转、立案辅助、案件信息录入、邮件管理等七个岗位。</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2.主要内容和实施情况</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（1）主要内容</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主要内容：提供入院登记、诉讼引导、立案导诉、立案录入、案件库录入、预登记扫描、网上立案辅助、热线电话咨询、材料收转、案卷移转、二审立案辅助、上诉集约移送等一系列诉讼服务业务，并结合立案、审判、诉讼服务等工作内容形式的发展趋势进行与之相适应的调整。</w:t>
      </w:r>
    </w:p>
    <w:p>
      <w:pPr>
        <w:numPr>
          <w:ilvl w:val="0"/>
          <w:numId w:val="1"/>
        </w:num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实施情况</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2021年11月29日，北京知识产权法院党组会（会议纪要[2021]60号）批准诉讼指导外包服务项目2022年招标及与2021年供应商动能转换（北京）人力资源科技有限公司签订2022年1月-3月的临时合同金额48.2万元。2022年3月结合自身对诉讼服务事务性、辅助性工作的实际需求，参照以往该项目预算资金规模，按照《市级法院项目管理办法》（试行）（京高法发（2014）112号）及北京知识产权法院的相关规定，通过公开招标的方式确定动能转换（北京）人力资源科技有限公司为该项目2022年供应商，合同期间2022年4月1日至2023年3月31日，合同金额192.5万元。</w:t>
      </w:r>
    </w:p>
    <w:p>
      <w:pPr>
        <w:spacing w:line="600" w:lineRule="exact"/>
        <w:rPr>
          <w:rFonts w:ascii="仿宋_GB2312" w:hAnsi="宋体" w:eastAsia="仿宋_GB2312" w:cs="宋体"/>
          <w:sz w:val="32"/>
          <w:szCs w:val="32"/>
        </w:rPr>
      </w:pPr>
      <w:r>
        <w:rPr>
          <w:rFonts w:hint="eastAsia" w:ascii="仿宋_GB2312" w:hAnsi="宋体" w:eastAsia="仿宋_GB2312" w:cs="宋体"/>
          <w:sz w:val="32"/>
          <w:szCs w:val="32"/>
        </w:rPr>
        <w:t xml:space="preserve">    2023年3月21日，知识产权法院与项目服务商“动能转换（北京）人力资源科技有限公司”双方组成验收组，依据《北京知识产权法院诉讼指导外包项目招标文件》、《北京知识产权法院诉讼指导外包项目投标文件》、《北京知识产权法院诉讼指导外包项目合同书》，对该项目进行验收，双方认可该项目基本达到合同要求的服务质量，完成情况整体良好，各项服务均基本符合院方实际要求。</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3.资金投入和使用情况</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（1）资金投入</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2022年度诉讼指导外包服务项目申报资金193.805760万元，依据《北京市财政局关于批复北京知识产权法院2022年预算的函》（京财公检法指﹝2022﹞136号）年初预算批复项目资金193.805760万元，实际到位资金193.805760万元。</w:t>
      </w:r>
    </w:p>
    <w:p>
      <w:pPr>
        <w:spacing w:line="600" w:lineRule="exact"/>
        <w:ind w:firstLine="320" w:firstLineChars="100"/>
        <w:jc w:val="both"/>
        <w:rPr>
          <w:rFonts w:ascii="仿宋_GB2312" w:hAnsi="宋体" w:eastAsia="仿宋_GB2312" w:cs="宋体"/>
          <w:sz w:val="32"/>
          <w:szCs w:val="32"/>
        </w:rPr>
      </w:pPr>
      <w:r>
        <w:rPr>
          <w:rFonts w:hint="eastAsia" w:ascii="仿宋_GB2312" w:hAnsi="宋体" w:eastAsia="仿宋_GB2312" w:cs="宋体"/>
          <w:sz w:val="32"/>
          <w:szCs w:val="32"/>
        </w:rPr>
        <w:t>（2）资金使用情况</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截止2022年12月31日，依据知识产权法院相关合同及资金审批流程，已实际支付资金192.5万元，结余资金1.30576万元，预算执行率99.33%。</w:t>
      </w:r>
    </w:p>
    <w:p>
      <w:pPr>
        <w:pStyle w:val="3"/>
        <w:numPr>
          <w:ilvl w:val="0"/>
          <w:numId w:val="2"/>
        </w:numPr>
        <w:spacing w:line="360" w:lineRule="auto"/>
        <w:ind w:firstLine="640" w:firstLineChars="200"/>
        <w:rPr>
          <w:rFonts w:ascii="楷体" w:hAnsi="楷体" w:eastAsia="楷体" w:cs="楷体"/>
          <w:b w:val="0"/>
          <w:bCs/>
        </w:rPr>
      </w:pPr>
      <w:bookmarkStart w:id="3" w:name="_Toc21449"/>
      <w:r>
        <w:rPr>
          <w:rFonts w:hint="eastAsia" w:ascii="楷体" w:hAnsi="楷体" w:eastAsia="楷体" w:cs="楷体"/>
          <w:b w:val="0"/>
          <w:bCs/>
        </w:rPr>
        <w:t>项目绩效目标</w:t>
      </w:r>
      <w:bookmarkEnd w:id="3"/>
    </w:p>
    <w:p>
      <w:pPr>
        <w:spacing w:line="360" w:lineRule="auto"/>
        <w:rPr>
          <w:rFonts w:ascii="仿宋_GB2312" w:hAnsi="宋体" w:eastAsia="仿宋_GB2312" w:cs="宋体"/>
          <w:sz w:val="32"/>
          <w:szCs w:val="32"/>
        </w:rPr>
      </w:pPr>
      <w:r>
        <w:rPr>
          <w:rFonts w:hint="eastAsia"/>
        </w:rPr>
        <w:t xml:space="preserve">    </w:t>
      </w:r>
      <w:r>
        <w:rPr>
          <w:rFonts w:hint="eastAsia" w:ascii="仿宋_GB2312" w:hAnsi="宋体" w:eastAsia="仿宋_GB2312" w:cs="宋体"/>
          <w:sz w:val="32"/>
          <w:szCs w:val="32"/>
        </w:rPr>
        <w:t xml:space="preserve"> （1）为当事人来法院诉讼提供舒适便捷服务，让当事人获得良好诉讼体验。（2）为立案工作提供服务保障，有效剥离立案事务性工作，提升法院立案工作质量效率。（3）为审判工作提供服务保障，有效剥离审判事务性工作，提升法院审判工作质量效率。</w:t>
      </w:r>
    </w:p>
    <w:p>
      <w:pPr>
        <w:pStyle w:val="2"/>
        <w:spacing w:line="600" w:lineRule="exact"/>
        <w:ind w:firstLine="640" w:firstLineChars="200"/>
      </w:pPr>
      <w:bookmarkStart w:id="4" w:name="_Toc23734"/>
      <w:r>
        <w:rPr>
          <w:rFonts w:hint="eastAsia"/>
        </w:rPr>
        <w:t>二、绩效评价工作开展情况</w:t>
      </w:r>
      <w:bookmarkEnd w:id="4"/>
    </w:p>
    <w:p>
      <w:pPr>
        <w:pStyle w:val="3"/>
        <w:spacing w:line="600" w:lineRule="exact"/>
        <w:ind w:firstLine="640" w:firstLineChars="200"/>
        <w:rPr>
          <w:rFonts w:ascii="楷体" w:hAnsi="楷体" w:eastAsia="楷体" w:cs="楷体"/>
          <w:b w:val="0"/>
          <w:bCs/>
        </w:rPr>
      </w:pPr>
      <w:bookmarkStart w:id="5" w:name="_Toc1777"/>
      <w:r>
        <w:rPr>
          <w:rFonts w:hint="eastAsia" w:ascii="楷体" w:hAnsi="楷体" w:eastAsia="楷体" w:cs="楷体"/>
          <w:b w:val="0"/>
          <w:bCs/>
        </w:rPr>
        <w:t>（一）绩效评价目的、对象和范围</w:t>
      </w:r>
      <w:bookmarkEnd w:id="5"/>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 xml:space="preserve"> </w:t>
      </w:r>
      <w:r>
        <w:rPr>
          <w:rFonts w:hint="eastAsia" w:ascii="楷体_GB2312" w:hAnsi="楷体_GB2312" w:eastAsia="楷体_GB2312" w:cs="楷体_GB2312"/>
          <w:sz w:val="32"/>
          <w:szCs w:val="32"/>
        </w:rPr>
        <w:t>1.评价目的</w:t>
      </w:r>
    </w:p>
    <w:p>
      <w:pPr>
        <w:spacing w:line="600" w:lineRule="exact"/>
        <w:ind w:firstLine="640"/>
        <w:jc w:val="both"/>
        <w:rPr>
          <w:rFonts w:ascii="仿宋_GB2312" w:hAnsi="宋体" w:eastAsia="仿宋_GB2312" w:cs="宋体"/>
          <w:sz w:val="32"/>
          <w:szCs w:val="32"/>
        </w:rPr>
      </w:pPr>
      <w:r>
        <w:rPr>
          <w:rFonts w:hint="eastAsia" w:ascii="仿宋_GB2312" w:hAnsi="宋体" w:eastAsia="仿宋_GB2312" w:cs="宋体"/>
          <w:sz w:val="32"/>
          <w:szCs w:val="32"/>
        </w:rPr>
        <w:t>根据《北京市财政局关于开展政府购买服务项目绩效评价工作的通知》（京财综[2023]407号），本次绩效评价，旨在进一步规范政府购买服务项目实施，实现“预算精细化、资金使用规范化”的目标，提升购买服务项目管理水平，促进预算单位提高绩效管理意识，提高财政资金使用效益。</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2.评价对象</w:t>
      </w:r>
    </w:p>
    <w:p>
      <w:pPr>
        <w:spacing w:line="600" w:lineRule="exact"/>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    </w:t>
      </w:r>
      <w:r>
        <w:rPr>
          <w:rFonts w:hint="eastAsia" w:ascii="仿宋_GB2312" w:hAnsi="宋体" w:eastAsia="仿宋_GB2312" w:cs="宋体"/>
          <w:sz w:val="32"/>
          <w:szCs w:val="32"/>
        </w:rPr>
        <w:t>评价对象为2022年诉讼指导外包服务项目。</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3.评价范围</w:t>
      </w:r>
    </w:p>
    <w:p>
      <w:pPr>
        <w:spacing w:line="600" w:lineRule="exact"/>
        <w:rPr>
          <w:rFonts w:ascii="仿宋_GB2312" w:hAnsi="宋体" w:eastAsia="仿宋_GB2312" w:cs="宋体"/>
          <w:sz w:val="32"/>
          <w:szCs w:val="32"/>
        </w:rPr>
      </w:pPr>
      <w:r>
        <w:rPr>
          <w:rFonts w:hint="eastAsia" w:ascii="楷体_GB2312" w:hAnsi="楷体_GB2312" w:eastAsia="楷体_GB2312" w:cs="楷体_GB2312"/>
          <w:sz w:val="32"/>
          <w:szCs w:val="32"/>
        </w:rPr>
        <w:t xml:space="preserve">  </w:t>
      </w:r>
      <w:r>
        <w:rPr>
          <w:rFonts w:hint="eastAsia" w:ascii="仿宋_GB2312" w:hAnsi="宋体" w:eastAsia="仿宋_GB2312" w:cs="宋体"/>
          <w:sz w:val="32"/>
          <w:szCs w:val="32"/>
        </w:rPr>
        <w:t xml:space="preserve">  包括项目决策、项目过程、项目产出、项目效益四个方面。具体为绩效目标的设定情况；资金投入和使用情况；为实现绩效目标制定的制度、采取的措施等；绩效目标的实现程度及效果；绩效评价的其他内容。</w:t>
      </w:r>
    </w:p>
    <w:p>
      <w:pPr>
        <w:pStyle w:val="3"/>
        <w:spacing w:line="600" w:lineRule="exact"/>
        <w:ind w:firstLine="640" w:firstLineChars="200"/>
        <w:rPr>
          <w:rFonts w:ascii="楷体" w:hAnsi="楷体" w:eastAsia="楷体" w:cs="楷体"/>
          <w:b w:val="0"/>
          <w:bCs/>
        </w:rPr>
      </w:pPr>
      <w:bookmarkStart w:id="6" w:name="_Toc2666"/>
      <w:r>
        <w:rPr>
          <w:rFonts w:hint="eastAsia" w:ascii="楷体" w:hAnsi="楷体" w:eastAsia="楷体" w:cs="楷体"/>
          <w:b w:val="0"/>
          <w:bCs/>
        </w:rPr>
        <w:t>（二）绩效评价原则、评价指标体系、评价方法、评价标准</w:t>
      </w:r>
      <w:bookmarkEnd w:id="6"/>
    </w:p>
    <w:p>
      <w:pPr>
        <w:spacing w:line="600" w:lineRule="exact"/>
        <w:ind w:left="580"/>
        <w:rPr>
          <w:rFonts w:ascii="楷体_GB2312" w:hAnsi="楷体_GB2312" w:eastAsia="楷体_GB2312" w:cs="楷体_GB2312"/>
          <w:sz w:val="32"/>
          <w:szCs w:val="32"/>
        </w:rPr>
      </w:pPr>
      <w:r>
        <w:rPr>
          <w:rFonts w:hint="eastAsia" w:ascii="楷体_GB2312" w:hAnsi="楷体_GB2312" w:eastAsia="楷体_GB2312" w:cs="楷体_GB2312"/>
          <w:sz w:val="32"/>
          <w:szCs w:val="32"/>
        </w:rPr>
        <w:t>1.评价原则</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科学规范原则。绩效评价</w:t>
      </w:r>
      <w:r>
        <w:rPr>
          <w:rFonts w:hint="eastAsia" w:ascii="仿宋_GB2312" w:hAnsi="宋体" w:eastAsia="仿宋_GB2312" w:cs="宋体"/>
          <w:sz w:val="32"/>
          <w:szCs w:val="32"/>
        </w:rPr>
        <w:t>应当严格按照</w:t>
      </w:r>
      <w:r>
        <w:rPr>
          <w:rFonts w:ascii="仿宋_GB2312" w:hAnsi="宋体" w:eastAsia="仿宋_GB2312" w:cs="宋体"/>
          <w:sz w:val="32"/>
          <w:szCs w:val="32"/>
        </w:rPr>
        <w:t>规定的程序</w:t>
      </w:r>
      <w:r>
        <w:rPr>
          <w:rFonts w:hint="eastAsia" w:ascii="仿宋_GB2312" w:hAnsi="宋体" w:eastAsia="仿宋_GB2312" w:cs="宋体"/>
          <w:sz w:val="32"/>
          <w:szCs w:val="32"/>
        </w:rPr>
        <w:t>和</w:t>
      </w:r>
      <w:r>
        <w:rPr>
          <w:rFonts w:ascii="仿宋_GB2312" w:hAnsi="宋体" w:eastAsia="仿宋_GB2312" w:cs="宋体"/>
          <w:sz w:val="32"/>
          <w:szCs w:val="32"/>
        </w:rPr>
        <w:t>科学可行的要求，采用定量与定性分析相结合的方法。</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ascii="仿宋_GB2312" w:hAnsi="宋体" w:eastAsia="仿宋_GB2312" w:cs="宋体"/>
          <w:sz w:val="32"/>
          <w:szCs w:val="32"/>
        </w:rPr>
        <w:t>公正公开原则。绩效评价应当符合真实、客观、公正的要求，依法公开并接受监督。</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r>
        <w:rPr>
          <w:rFonts w:ascii="仿宋_GB2312" w:hAnsi="宋体" w:eastAsia="仿宋_GB2312" w:cs="宋体"/>
          <w:sz w:val="32"/>
          <w:szCs w:val="32"/>
        </w:rPr>
        <w:t>绩效相关原则。绩效评价应当针对具体支出及其产出绩效进行，评价结果应当清晰反映支出和产出绩效之间的紧密对应关系。</w:t>
      </w:r>
    </w:p>
    <w:p>
      <w:pPr>
        <w:spacing w:line="60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2.评价指标体系</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本次绩效评价指标体系包括决策、过程、产出、效益4个一级指标。在各项指标权重设定方面，我们主要依据《北京市项目支出绩效评价管理办法》（京财绩效〔2020〕2146号）以及《北京市财政局关于开展政府购买服务项目绩效评价工作的通知》（京财综〔2023〕407号）文件中体现的绩效结果导向精神，更加注重产出和效益原则，产出、效益指标权重不低于60%，本项目产出、效益指标权重为60%。根据对各指标的重要性和影响力大小的理解给予相应的权重分值，并采取定性与定量分析相结合的方法分别记分。</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1.决策指标：主要评价项目立项依据、目标和资金情况。决策指标包括项目立项、绩效目标和资金投入3个二级指标，以及立项依据充分性、立项程序规范性、绩效目标合理性、绩效指标明确性、预算编制科学性5个三级指标。决策类指标权重共计20分。</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2.过程指标：主要评价项目资金在实施过程中的流程及监督管理情况。过程指标包括资金管理和业务管理2个二级指标，以及预算执行率、资金使用合规性、管理制度健全性、制度执行有效性4个三级指标。过程类指标权重共计20分。</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 xml:space="preserve"> 3.产出指标：主要评价项目实施的完成情况。产出指标均包括产出数量、产出质量、产出时效、产出成本4个二级指标，以及实际完成率、质量达标率、完成及时性、成本节约率4个三级指标。产出类指标权重共计30分。</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4.效益指标：主要评价项目实施所取得的效果。包括实施效益和满意度2个二级指标。实施效益从经济效益、社会效益、满意度3个方面进行评价。效益类指标权重共计30分。</w:t>
      </w:r>
    </w:p>
    <w:p>
      <w:pPr>
        <w:widowControl w:val="0"/>
        <w:kinsoku/>
        <w:autoSpaceDE/>
        <w:autoSpaceDN/>
        <w:adjustRightInd/>
        <w:snapToGrid/>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 xml:space="preserve">评价结果满分为100分，90（含）-100分为优、80（含）-90分为良、60（含）-80分为中、60分以下为差。 </w:t>
      </w:r>
    </w:p>
    <w:p>
      <w:pPr>
        <w:ind w:firstLine="640" w:firstLineChars="200"/>
        <w:textAlignment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3.评价方法</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（1）成本效益分析法。是指将一定时期内的支出与效益进行对比分析，以评价绩效目标实现程度。</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（2）比较法。是指通过对绩效目标与实施效果、历史与当期情况、不同部门和地区同类支出的比较，综合分析绩效目标实现程度。</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（3）因素分析法。是指通过综合分析影响绩效目标实现、实施效果的内外因素，评价绩效目标实现程度。</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（4）最低成本法。是指对效益确定却不易计量的多个同类对象的实施成本进行比较，评价绩效目标实现程度。</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（5）公众评判法。是指通过专家评估、公众问卷及抽样调查等对财政支出效果进行评判，评价绩效目标实现程度。</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（6）其他评价方法。</w:t>
      </w:r>
    </w:p>
    <w:p>
      <w:pPr>
        <w:ind w:firstLine="640" w:firstLineChars="200"/>
        <w:textAlignment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4.评价标准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（1）计划标准。是指以预先制定的目标、计划、预算、定额等数据作为评价的标准。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（2）行业标准。是指参照国家公布的行业指标数据制定的评价标准。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（3）历史标准。是指参照同类指标的历史数据制定的评价标准。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（4）其他经财政部门确认的标准。</w:t>
      </w:r>
    </w:p>
    <w:p>
      <w:pPr>
        <w:pStyle w:val="3"/>
        <w:spacing w:line="600" w:lineRule="exact"/>
        <w:ind w:firstLine="640" w:firstLineChars="200"/>
        <w:rPr>
          <w:rFonts w:ascii="楷体" w:hAnsi="楷体" w:eastAsia="楷体" w:cs="楷体"/>
          <w:b w:val="0"/>
          <w:bCs/>
        </w:rPr>
      </w:pPr>
      <w:bookmarkStart w:id="7" w:name="_Toc17909"/>
      <w:r>
        <w:rPr>
          <w:rFonts w:hint="eastAsia" w:ascii="楷体" w:hAnsi="楷体" w:eastAsia="楷体" w:cs="楷体"/>
          <w:b w:val="0"/>
          <w:bCs/>
        </w:rPr>
        <w:t>（三）绩效评价工作过程</w:t>
      </w:r>
      <w:bookmarkEnd w:id="7"/>
    </w:p>
    <w:p/>
    <w:p>
      <w:pPr>
        <w:pStyle w:val="4"/>
        <w:spacing w:line="360" w:lineRule="auto"/>
        <w:ind w:firstLine="640" w:firstLineChars="200"/>
        <w:rPr>
          <w:rFonts w:ascii="仿宋_GB2312" w:hAnsi="宋体" w:eastAsia="仿宋_GB2312" w:cs="宋体"/>
          <w:sz w:val="32"/>
          <w:szCs w:val="32"/>
        </w:rPr>
      </w:pPr>
      <w:bookmarkStart w:id="8" w:name="_Toc5141"/>
      <w:bookmarkStart w:id="9" w:name="_Toc24877"/>
      <w:bookmarkStart w:id="10" w:name="_Toc27215"/>
      <w:r>
        <w:rPr>
          <w:rFonts w:hint="eastAsia" w:ascii="仿宋_GB2312" w:hAnsi="宋体" w:eastAsia="仿宋_GB2312" w:cs="宋体"/>
          <w:sz w:val="32"/>
          <w:szCs w:val="32"/>
        </w:rPr>
        <w:t>1.前期调研</w:t>
      </w:r>
      <w:bookmarkEnd w:id="8"/>
      <w:bookmarkEnd w:id="9"/>
      <w:bookmarkEnd w:id="10"/>
      <w:r>
        <w:rPr>
          <w:rFonts w:hint="eastAsia" w:ascii="仿宋_GB2312" w:hAnsi="宋体" w:eastAsia="仿宋_GB2312" w:cs="宋体"/>
          <w:sz w:val="32"/>
          <w:szCs w:val="32"/>
        </w:rPr>
        <w:t>。评价组与项目实施单位进行沟通，并搜集相关政策文件、项目资料以及相关财务收支凭证、合同、管理制度等，进行分析、评估。</w:t>
      </w:r>
      <w:bookmarkStart w:id="11" w:name="_Toc10687"/>
      <w:bookmarkStart w:id="12" w:name="_Toc28449"/>
    </w:p>
    <w:p>
      <w:pPr>
        <w:pStyle w:val="4"/>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2.方案制定</w:t>
      </w:r>
      <w:bookmarkEnd w:id="11"/>
      <w:bookmarkEnd w:id="12"/>
      <w:r>
        <w:rPr>
          <w:rFonts w:hint="eastAsia" w:ascii="仿宋_GB2312" w:hAnsi="宋体" w:eastAsia="仿宋_GB2312" w:cs="宋体"/>
          <w:sz w:val="32"/>
          <w:szCs w:val="32"/>
        </w:rPr>
        <w:t>。了解年度项目实施内容、实施流程，根据项目资金实际情况和绩效管理要求制定工作方案。</w:t>
      </w:r>
    </w:p>
    <w:p>
      <w:pPr>
        <w:pStyle w:val="4"/>
        <w:spacing w:line="360" w:lineRule="auto"/>
        <w:ind w:firstLine="567"/>
        <w:rPr>
          <w:rFonts w:ascii="仿宋_GB2312" w:hAnsi="宋体" w:eastAsia="仿宋_GB2312" w:cs="宋体"/>
          <w:sz w:val="32"/>
          <w:szCs w:val="32"/>
        </w:rPr>
      </w:pPr>
      <w:bookmarkStart w:id="13" w:name="_Toc20872"/>
      <w:bookmarkStart w:id="14" w:name="_Toc16449"/>
      <w:bookmarkStart w:id="15" w:name="_Toc26043"/>
      <w:r>
        <w:rPr>
          <w:rFonts w:hint="eastAsia" w:ascii="仿宋_GB2312" w:hAnsi="宋体" w:eastAsia="仿宋_GB2312" w:cs="宋体"/>
          <w:sz w:val="32"/>
          <w:szCs w:val="32"/>
        </w:rPr>
        <w:t>3.数据采集</w:t>
      </w:r>
      <w:bookmarkEnd w:id="13"/>
      <w:bookmarkEnd w:id="14"/>
      <w:bookmarkEnd w:id="15"/>
      <w:r>
        <w:rPr>
          <w:rFonts w:hint="eastAsia" w:ascii="仿宋_GB2312" w:hAnsi="宋体" w:eastAsia="仿宋_GB2312" w:cs="宋体"/>
          <w:sz w:val="32"/>
          <w:szCs w:val="32"/>
        </w:rPr>
        <w:t>。按照现场评价通知中的现场调研时间安排，到项目单位进行调研访谈、核查资料和分析评价。</w:t>
      </w:r>
    </w:p>
    <w:p>
      <w:pPr>
        <w:pStyle w:val="4"/>
        <w:spacing w:after="0" w:line="360" w:lineRule="auto"/>
        <w:ind w:firstLine="640" w:firstLineChars="200"/>
        <w:jc w:val="both"/>
        <w:outlineLvl w:val="3"/>
        <w:rPr>
          <w:rFonts w:ascii="仿宋_GB2312" w:hAnsi="宋体" w:eastAsia="仿宋_GB2312" w:cs="宋体"/>
          <w:sz w:val="32"/>
          <w:szCs w:val="32"/>
        </w:rPr>
      </w:pPr>
      <w:bookmarkStart w:id="16" w:name="_Toc6779"/>
      <w:bookmarkStart w:id="17" w:name="_Toc4349"/>
      <w:bookmarkStart w:id="18" w:name="_Toc24237"/>
      <w:r>
        <w:rPr>
          <w:rFonts w:hint="eastAsia" w:ascii="仿宋_GB2312" w:hAnsi="宋体" w:eastAsia="仿宋_GB2312" w:cs="宋体"/>
          <w:sz w:val="32"/>
          <w:szCs w:val="32"/>
        </w:rPr>
        <w:t>4.召开专家评价会。遴选业务专家、管理专家和财务专家进行分析评价，向专家提供数据采集资料，组织召开专家评价会，形成专家意见。</w:t>
      </w:r>
    </w:p>
    <w:p>
      <w:pPr>
        <w:pStyle w:val="4"/>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5.综合分析及报告撰写</w:t>
      </w:r>
      <w:bookmarkEnd w:id="16"/>
      <w:bookmarkEnd w:id="17"/>
      <w:bookmarkEnd w:id="18"/>
      <w:r>
        <w:rPr>
          <w:rFonts w:hint="eastAsia" w:ascii="仿宋_GB2312" w:hAnsi="宋体" w:eastAsia="仿宋_GB2312" w:cs="宋体"/>
          <w:sz w:val="32"/>
          <w:szCs w:val="32"/>
        </w:rPr>
        <w:t>。</w:t>
      </w:r>
    </w:p>
    <w:p>
      <w:pPr>
        <w:pStyle w:val="2"/>
        <w:spacing w:line="600" w:lineRule="exact"/>
        <w:ind w:firstLine="640" w:firstLineChars="200"/>
      </w:pPr>
      <w:bookmarkStart w:id="19" w:name="_Toc7200"/>
      <w:r>
        <w:rPr>
          <w:rFonts w:hint="eastAsia"/>
        </w:rPr>
        <w:t>三、综合评价情况及评价结论</w:t>
      </w:r>
      <w:bookmarkEnd w:id="19"/>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经综合评价，本项目绩效评价得分84.54分。参考财政部《关于印发&lt;项目支出绩效评价管理办法&gt;的通知》（财预〔2020〕10号）文件的评价标准，项目评分90（含）-100分为优、80（含）-90分为良、60（含）-80分为中、60分以下为差，该项目综合绩效评价级别为 “良”。本项目得分情况汇总表如下：</w:t>
      </w:r>
    </w:p>
    <w:tbl>
      <w:tblPr>
        <w:tblStyle w:val="9"/>
        <w:tblW w:w="8095" w:type="dxa"/>
        <w:tblInd w:w="93" w:type="dxa"/>
        <w:tblLayout w:type="autofit"/>
        <w:tblCellMar>
          <w:top w:w="0" w:type="dxa"/>
          <w:left w:w="108" w:type="dxa"/>
          <w:bottom w:w="0" w:type="dxa"/>
          <w:right w:w="108" w:type="dxa"/>
        </w:tblCellMar>
      </w:tblPr>
      <w:tblGrid>
        <w:gridCol w:w="3134"/>
        <w:gridCol w:w="1701"/>
        <w:gridCol w:w="1559"/>
        <w:gridCol w:w="1701"/>
      </w:tblGrid>
      <w:tr>
        <w:tblPrEx>
          <w:tblCellMar>
            <w:top w:w="0" w:type="dxa"/>
            <w:left w:w="108" w:type="dxa"/>
            <w:bottom w:w="0" w:type="dxa"/>
            <w:right w:w="108" w:type="dxa"/>
          </w:tblCellMar>
        </w:tblPrEx>
        <w:trPr>
          <w:trHeight w:val="348" w:hRule="atLeast"/>
        </w:trPr>
        <w:tc>
          <w:tcPr>
            <w:tcW w:w="3134" w:type="dxa"/>
            <w:tcBorders>
              <w:top w:val="single" w:color="auto" w:sz="12" w:space="0"/>
              <w:left w:val="nil"/>
              <w:bottom w:val="single" w:color="auto" w:sz="8" w:space="0"/>
              <w:right w:val="dotted" w:color="auto" w:sz="4"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一级指标</w:t>
            </w:r>
          </w:p>
        </w:tc>
        <w:tc>
          <w:tcPr>
            <w:tcW w:w="1701" w:type="dxa"/>
            <w:tcBorders>
              <w:top w:val="single" w:color="auto" w:sz="12" w:space="0"/>
              <w:left w:val="nil"/>
              <w:bottom w:val="single" w:color="auto" w:sz="8" w:space="0"/>
              <w:right w:val="dotted" w:color="auto" w:sz="4"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分值</w:t>
            </w:r>
          </w:p>
        </w:tc>
        <w:tc>
          <w:tcPr>
            <w:tcW w:w="1559" w:type="dxa"/>
            <w:tcBorders>
              <w:top w:val="single" w:color="auto" w:sz="12" w:space="0"/>
              <w:left w:val="nil"/>
              <w:bottom w:val="single" w:color="auto" w:sz="8" w:space="0"/>
              <w:right w:val="dotted" w:color="auto" w:sz="4"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w:t>
            </w:r>
          </w:p>
        </w:tc>
        <w:tc>
          <w:tcPr>
            <w:tcW w:w="1701" w:type="dxa"/>
            <w:tcBorders>
              <w:top w:val="single" w:color="auto" w:sz="12" w:space="0"/>
              <w:left w:val="nil"/>
              <w:bottom w:val="single" w:color="auto" w:sz="8" w:space="0"/>
              <w:right w:val="nil"/>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得分率</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textAlignment w:val="center"/>
              <w:rPr>
                <w:rFonts w:ascii="仿宋" w:hAnsi="仿宋" w:eastAsia="仿宋" w:cs="宋体"/>
                <w:sz w:val="24"/>
                <w:szCs w:val="24"/>
              </w:rPr>
            </w:pPr>
            <w:r>
              <w:rPr>
                <w:rFonts w:hint="eastAsia" w:ascii="仿宋_GB2312" w:hAnsi="宋体" w:eastAsia="仿宋_GB2312" w:cs="仿宋_GB2312"/>
                <w:sz w:val="24"/>
                <w:szCs w:val="24"/>
              </w:rPr>
              <w:t>决策（20%）</w:t>
            </w:r>
          </w:p>
        </w:tc>
        <w:tc>
          <w:tcPr>
            <w:tcW w:w="1701"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20</w:t>
            </w:r>
          </w:p>
        </w:tc>
        <w:tc>
          <w:tcPr>
            <w:tcW w:w="1559"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16.24</w:t>
            </w:r>
          </w:p>
        </w:tc>
        <w:tc>
          <w:tcPr>
            <w:tcW w:w="1701" w:type="dxa"/>
            <w:tcBorders>
              <w:top w:val="nil"/>
              <w:left w:val="nil"/>
              <w:bottom w:val="dotted" w:color="auto" w:sz="4" w:space="0"/>
              <w:right w:val="nil"/>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81.20%</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textAlignment w:val="center"/>
              <w:rPr>
                <w:rFonts w:ascii="仿宋" w:hAnsi="仿宋" w:eastAsia="仿宋" w:cs="宋体"/>
                <w:sz w:val="24"/>
                <w:szCs w:val="24"/>
              </w:rPr>
            </w:pPr>
            <w:r>
              <w:rPr>
                <w:rFonts w:hint="eastAsia" w:ascii="仿宋_GB2312" w:hAnsi="宋体" w:eastAsia="仿宋_GB2312" w:cs="仿宋_GB2312"/>
                <w:sz w:val="24"/>
                <w:szCs w:val="24"/>
              </w:rPr>
              <w:t>过程（20%）</w:t>
            </w:r>
          </w:p>
        </w:tc>
        <w:tc>
          <w:tcPr>
            <w:tcW w:w="1701"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20</w:t>
            </w:r>
          </w:p>
        </w:tc>
        <w:tc>
          <w:tcPr>
            <w:tcW w:w="1559"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15.88</w:t>
            </w:r>
          </w:p>
        </w:tc>
        <w:tc>
          <w:tcPr>
            <w:tcW w:w="1701" w:type="dxa"/>
            <w:tcBorders>
              <w:top w:val="nil"/>
              <w:left w:val="nil"/>
              <w:bottom w:val="dotted" w:color="auto" w:sz="4" w:space="0"/>
              <w:right w:val="nil"/>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79.40%</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textAlignment w:val="center"/>
              <w:rPr>
                <w:rFonts w:ascii="仿宋" w:hAnsi="仿宋" w:eastAsia="仿宋" w:cs="宋体"/>
                <w:sz w:val="24"/>
                <w:szCs w:val="24"/>
              </w:rPr>
            </w:pPr>
            <w:r>
              <w:rPr>
                <w:rFonts w:hint="eastAsia" w:ascii="仿宋_GB2312" w:hAnsi="宋体" w:eastAsia="仿宋_GB2312" w:cs="仿宋_GB2312"/>
                <w:sz w:val="24"/>
                <w:szCs w:val="24"/>
              </w:rPr>
              <w:t>产出（30%）</w:t>
            </w:r>
          </w:p>
        </w:tc>
        <w:tc>
          <w:tcPr>
            <w:tcW w:w="1701"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30</w:t>
            </w:r>
          </w:p>
        </w:tc>
        <w:tc>
          <w:tcPr>
            <w:tcW w:w="1559"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26.72</w:t>
            </w:r>
          </w:p>
        </w:tc>
        <w:tc>
          <w:tcPr>
            <w:tcW w:w="1701" w:type="dxa"/>
            <w:tcBorders>
              <w:top w:val="nil"/>
              <w:left w:val="nil"/>
              <w:bottom w:val="dotted" w:color="auto" w:sz="4" w:space="0"/>
              <w:right w:val="nil"/>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89.07%</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textAlignment w:val="center"/>
              <w:rPr>
                <w:rFonts w:ascii="仿宋" w:hAnsi="仿宋" w:eastAsia="仿宋" w:cs="宋体"/>
                <w:sz w:val="24"/>
                <w:szCs w:val="24"/>
              </w:rPr>
            </w:pPr>
            <w:r>
              <w:rPr>
                <w:rFonts w:hint="eastAsia" w:ascii="仿宋_GB2312" w:hAnsi="宋体" w:eastAsia="仿宋_GB2312" w:cs="仿宋_GB2312"/>
                <w:sz w:val="24"/>
                <w:szCs w:val="24"/>
              </w:rPr>
              <w:t>效益（30%）</w:t>
            </w:r>
          </w:p>
        </w:tc>
        <w:tc>
          <w:tcPr>
            <w:tcW w:w="1701"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30</w:t>
            </w:r>
          </w:p>
        </w:tc>
        <w:tc>
          <w:tcPr>
            <w:tcW w:w="1559" w:type="dxa"/>
            <w:tcBorders>
              <w:top w:val="nil"/>
              <w:left w:val="nil"/>
              <w:bottom w:val="dotted" w:color="auto" w:sz="4" w:space="0"/>
              <w:right w:val="dotted" w:color="auto" w:sz="4" w:space="0"/>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25.70</w:t>
            </w:r>
          </w:p>
        </w:tc>
        <w:tc>
          <w:tcPr>
            <w:tcW w:w="1701" w:type="dxa"/>
            <w:tcBorders>
              <w:top w:val="nil"/>
              <w:left w:val="nil"/>
              <w:bottom w:val="dotted" w:color="auto" w:sz="4" w:space="0"/>
              <w:right w:val="nil"/>
            </w:tcBorders>
            <w:shd w:val="clear" w:color="auto" w:fill="auto"/>
            <w:noWrap/>
            <w:vAlign w:val="center"/>
          </w:tcPr>
          <w:p>
            <w:pPr>
              <w:jc w:val="center"/>
              <w:textAlignment w:val="center"/>
              <w:rPr>
                <w:rFonts w:ascii="仿宋" w:hAnsi="仿宋" w:eastAsia="仿宋" w:cs="宋体"/>
                <w:sz w:val="24"/>
                <w:szCs w:val="24"/>
              </w:rPr>
            </w:pPr>
            <w:r>
              <w:rPr>
                <w:rFonts w:hint="eastAsia" w:ascii="仿宋_GB2312" w:hAnsi="宋体" w:eastAsia="仿宋_GB2312" w:cs="仿宋_GB2312"/>
                <w:sz w:val="24"/>
                <w:szCs w:val="24"/>
              </w:rPr>
              <w:t>85.67%</w:t>
            </w:r>
          </w:p>
        </w:tc>
      </w:tr>
      <w:tr>
        <w:tblPrEx>
          <w:tblCellMar>
            <w:top w:w="0" w:type="dxa"/>
            <w:left w:w="108" w:type="dxa"/>
            <w:bottom w:w="0" w:type="dxa"/>
            <w:right w:w="108" w:type="dxa"/>
          </w:tblCellMar>
        </w:tblPrEx>
        <w:trPr>
          <w:trHeight w:val="300" w:hRule="atLeast"/>
        </w:trPr>
        <w:tc>
          <w:tcPr>
            <w:tcW w:w="3134" w:type="dxa"/>
            <w:tcBorders>
              <w:top w:val="nil"/>
              <w:left w:val="nil"/>
              <w:bottom w:val="single" w:color="auto" w:sz="12" w:space="0"/>
              <w:right w:val="dotted" w:color="auto" w:sz="4" w:space="0"/>
            </w:tcBorders>
            <w:shd w:val="clear" w:color="auto" w:fill="auto"/>
            <w:noWrap/>
            <w:vAlign w:val="center"/>
          </w:tcPr>
          <w:p>
            <w:pPr>
              <w:jc w:val="center"/>
              <w:textAlignment w:val="center"/>
              <w:rPr>
                <w:rFonts w:ascii="仿宋" w:hAnsi="仿宋" w:eastAsia="仿宋" w:cs="宋体"/>
                <w:b/>
                <w:sz w:val="24"/>
                <w:szCs w:val="24"/>
              </w:rPr>
            </w:pPr>
            <w:r>
              <w:rPr>
                <w:rFonts w:hint="eastAsia" w:ascii="仿宋_GB2312" w:hAnsi="宋体" w:eastAsia="仿宋_GB2312" w:cs="仿宋_GB2312"/>
                <w:b/>
                <w:bCs/>
                <w:sz w:val="24"/>
                <w:szCs w:val="24"/>
              </w:rPr>
              <w:t>合  计</w:t>
            </w:r>
          </w:p>
        </w:tc>
        <w:tc>
          <w:tcPr>
            <w:tcW w:w="1701" w:type="dxa"/>
            <w:tcBorders>
              <w:top w:val="nil"/>
              <w:left w:val="nil"/>
              <w:bottom w:val="single" w:color="auto" w:sz="12" w:space="0"/>
              <w:right w:val="dotted" w:color="auto" w:sz="4" w:space="0"/>
            </w:tcBorders>
            <w:shd w:val="clear" w:color="auto" w:fill="auto"/>
            <w:noWrap/>
            <w:vAlign w:val="center"/>
          </w:tcPr>
          <w:p>
            <w:pPr>
              <w:jc w:val="center"/>
              <w:textAlignment w:val="center"/>
              <w:rPr>
                <w:rFonts w:ascii="仿宋" w:hAnsi="仿宋" w:eastAsia="仿宋" w:cs="宋体"/>
                <w:b/>
                <w:sz w:val="24"/>
                <w:szCs w:val="24"/>
              </w:rPr>
            </w:pPr>
            <w:r>
              <w:rPr>
                <w:rFonts w:hint="eastAsia" w:ascii="仿宋_GB2312" w:hAnsi="宋体" w:eastAsia="仿宋_GB2312" w:cs="仿宋_GB2312"/>
                <w:b/>
                <w:bCs/>
                <w:sz w:val="24"/>
                <w:szCs w:val="24"/>
              </w:rPr>
              <w:t>100</w:t>
            </w:r>
          </w:p>
        </w:tc>
        <w:tc>
          <w:tcPr>
            <w:tcW w:w="1559" w:type="dxa"/>
            <w:tcBorders>
              <w:top w:val="nil"/>
              <w:left w:val="nil"/>
              <w:bottom w:val="single" w:color="auto" w:sz="12" w:space="0"/>
              <w:right w:val="dotted" w:color="auto" w:sz="4" w:space="0"/>
            </w:tcBorders>
            <w:shd w:val="clear" w:color="auto" w:fill="auto"/>
            <w:noWrap/>
            <w:vAlign w:val="center"/>
          </w:tcPr>
          <w:p>
            <w:pPr>
              <w:jc w:val="center"/>
              <w:textAlignment w:val="center"/>
              <w:rPr>
                <w:rFonts w:ascii="仿宋" w:hAnsi="仿宋" w:eastAsia="仿宋" w:cs="宋体"/>
                <w:b/>
                <w:sz w:val="24"/>
                <w:szCs w:val="24"/>
              </w:rPr>
            </w:pPr>
            <w:r>
              <w:rPr>
                <w:rFonts w:hint="eastAsia" w:ascii="仿宋_GB2312" w:hAnsi="宋体" w:eastAsia="仿宋_GB2312" w:cs="仿宋_GB2312"/>
                <w:b/>
                <w:bCs/>
                <w:sz w:val="24"/>
                <w:szCs w:val="24"/>
              </w:rPr>
              <w:t>84.54</w:t>
            </w:r>
          </w:p>
        </w:tc>
        <w:tc>
          <w:tcPr>
            <w:tcW w:w="1701" w:type="dxa"/>
            <w:tcBorders>
              <w:top w:val="nil"/>
              <w:left w:val="nil"/>
              <w:bottom w:val="single" w:color="auto" w:sz="12" w:space="0"/>
              <w:right w:val="nil"/>
            </w:tcBorders>
            <w:shd w:val="clear" w:color="auto" w:fill="auto"/>
            <w:noWrap/>
            <w:vAlign w:val="center"/>
          </w:tcPr>
          <w:p>
            <w:pPr>
              <w:jc w:val="center"/>
              <w:textAlignment w:val="center"/>
              <w:rPr>
                <w:rFonts w:ascii="仿宋" w:hAnsi="仿宋" w:eastAsia="仿宋" w:cs="宋体"/>
                <w:b/>
                <w:sz w:val="24"/>
                <w:szCs w:val="24"/>
              </w:rPr>
            </w:pPr>
            <w:r>
              <w:rPr>
                <w:rFonts w:hint="eastAsia" w:ascii="仿宋_GB2312" w:hAnsi="宋体" w:eastAsia="仿宋_GB2312" w:cs="仿宋_GB2312"/>
                <w:b/>
                <w:bCs/>
                <w:sz w:val="24"/>
                <w:szCs w:val="24"/>
              </w:rPr>
              <w:t>84.54%</w:t>
            </w:r>
          </w:p>
        </w:tc>
      </w:tr>
    </w:tbl>
    <w:p>
      <w:pPr>
        <w:spacing w:line="600" w:lineRule="exact"/>
        <w:rPr>
          <w:rFonts w:ascii="仿宋_GB2312" w:hAnsi="宋体" w:eastAsia="仿宋_GB2312" w:cs="宋体"/>
          <w:sz w:val="32"/>
          <w:szCs w:val="32"/>
        </w:rPr>
      </w:pPr>
    </w:p>
    <w:p>
      <w:pPr>
        <w:spacing w:line="600" w:lineRule="exact"/>
        <w:ind w:firstLine="640" w:firstLineChars="200"/>
        <w:outlineLvl w:val="0"/>
        <w:rPr>
          <w:rFonts w:ascii="Times New Roman" w:hAnsi="Times New Roman" w:eastAsia="黑体"/>
          <w:kern w:val="44"/>
          <w:sz w:val="32"/>
          <w:szCs w:val="24"/>
        </w:rPr>
      </w:pPr>
      <w:bookmarkStart w:id="20" w:name="_Toc12078"/>
      <w:r>
        <w:rPr>
          <w:rFonts w:hint="eastAsia" w:ascii="Times New Roman" w:hAnsi="Times New Roman" w:eastAsia="黑体"/>
          <w:kern w:val="44"/>
          <w:sz w:val="32"/>
          <w:szCs w:val="24"/>
        </w:rPr>
        <w:t>四、绩效评价指标分析</w:t>
      </w:r>
      <w:bookmarkEnd w:id="20"/>
    </w:p>
    <w:p>
      <w:pPr>
        <w:pStyle w:val="3"/>
        <w:spacing w:line="600" w:lineRule="exact"/>
        <w:ind w:firstLine="640" w:firstLineChars="200"/>
        <w:rPr>
          <w:rFonts w:ascii="楷体" w:hAnsi="楷体" w:eastAsia="楷体" w:cs="楷体"/>
          <w:b w:val="0"/>
          <w:bCs/>
        </w:rPr>
      </w:pPr>
      <w:bookmarkStart w:id="21" w:name="_Toc25992"/>
      <w:r>
        <w:rPr>
          <w:rFonts w:hint="eastAsia" w:ascii="楷体" w:hAnsi="楷体" w:eastAsia="楷体" w:cs="楷体"/>
          <w:b w:val="0"/>
          <w:bCs/>
        </w:rPr>
        <w:t>（一）项目决策情况</w:t>
      </w:r>
      <w:bookmarkEnd w:id="21"/>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决策评价分析从项目立项、绩效目标和资金投入三个方面五个三级指标对项目决策进行考察，决策指标分值共计20分，本项目实际得分16.24分，得分率为81.20%。具体情况如下表：</w:t>
      </w:r>
    </w:p>
    <w:tbl>
      <w:tblPr>
        <w:tblStyle w:val="9"/>
        <w:tblW w:w="8662"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3188"/>
        <w:gridCol w:w="1080"/>
        <w:gridCol w:w="1080"/>
        <w:gridCol w:w="1080"/>
        <w:gridCol w:w="1154"/>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序号</w:t>
            </w:r>
          </w:p>
        </w:tc>
        <w:tc>
          <w:tcPr>
            <w:tcW w:w="3188"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三级指标内容</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权重</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目标值</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w:t>
            </w:r>
          </w:p>
        </w:tc>
        <w:tc>
          <w:tcPr>
            <w:tcW w:w="1154"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 w:hRule="atLeast"/>
        </w:trPr>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w:t>
            </w:r>
          </w:p>
        </w:tc>
        <w:tc>
          <w:tcPr>
            <w:tcW w:w="3188"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立项依据充分性</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充分</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3.80 </w:t>
            </w:r>
          </w:p>
        </w:tc>
        <w:tc>
          <w:tcPr>
            <w:tcW w:w="1154"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95.00%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2</w:t>
            </w:r>
          </w:p>
        </w:tc>
        <w:tc>
          <w:tcPr>
            <w:tcW w:w="3188"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立项程序规范性</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规范</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3.00 </w:t>
            </w:r>
          </w:p>
        </w:tc>
        <w:tc>
          <w:tcPr>
            <w:tcW w:w="1154"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75.00%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270"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3</w:t>
            </w:r>
          </w:p>
        </w:tc>
        <w:tc>
          <w:tcPr>
            <w:tcW w:w="3188"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绩效目标合理性</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合理</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3.80 </w:t>
            </w:r>
          </w:p>
        </w:tc>
        <w:tc>
          <w:tcPr>
            <w:tcW w:w="1154"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95.00%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2"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3188"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绩效指标明确性</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明确</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2.94 </w:t>
            </w:r>
          </w:p>
        </w:tc>
        <w:tc>
          <w:tcPr>
            <w:tcW w:w="1154"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73.50%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5</w:t>
            </w:r>
          </w:p>
        </w:tc>
        <w:tc>
          <w:tcPr>
            <w:tcW w:w="3188"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预算编制科学性</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科学</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2.70 </w:t>
            </w:r>
          </w:p>
        </w:tc>
        <w:tc>
          <w:tcPr>
            <w:tcW w:w="1154"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67.50%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　</w:t>
            </w:r>
          </w:p>
        </w:tc>
        <w:tc>
          <w:tcPr>
            <w:tcW w:w="3188"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分值合计</w:t>
            </w:r>
          </w:p>
        </w:tc>
        <w:tc>
          <w:tcPr>
            <w:tcW w:w="1080"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20</w:t>
            </w:r>
          </w:p>
        </w:tc>
        <w:tc>
          <w:tcPr>
            <w:tcW w:w="1080" w:type="dxa"/>
            <w:shd w:val="clear" w:color="auto" w:fill="auto"/>
            <w:vAlign w:val="center"/>
          </w:tcPr>
          <w:p>
            <w:pPr>
              <w:jc w:val="center"/>
              <w:rPr>
                <w:rFonts w:ascii="仿宋" w:hAnsi="仿宋" w:eastAsia="仿宋" w:cs="宋体"/>
                <w:b/>
                <w:bCs/>
                <w:sz w:val="24"/>
                <w:szCs w:val="24"/>
              </w:rPr>
            </w:pPr>
          </w:p>
        </w:tc>
        <w:tc>
          <w:tcPr>
            <w:tcW w:w="1080"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 xml:space="preserve">16.24 </w:t>
            </w:r>
          </w:p>
        </w:tc>
        <w:tc>
          <w:tcPr>
            <w:tcW w:w="1154"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81.20%</w:t>
            </w:r>
          </w:p>
        </w:tc>
      </w:tr>
    </w:tbl>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1．项目立项分析</w:t>
      </w:r>
    </w:p>
    <w:p>
      <w:pPr>
        <w:spacing w:line="600" w:lineRule="exact"/>
        <w:ind w:firstLine="320" w:firstLineChars="100"/>
        <w:rPr>
          <w:rFonts w:ascii="仿宋_GB2312" w:hAnsi="宋体" w:eastAsia="仿宋_GB2312" w:cs="宋体"/>
          <w:sz w:val="32"/>
          <w:szCs w:val="32"/>
        </w:rPr>
      </w:pPr>
      <w:r>
        <w:rPr>
          <w:rFonts w:hint="eastAsia" w:ascii="仿宋_GB2312" w:hAnsi="宋体" w:eastAsia="仿宋_GB2312" w:cs="宋体"/>
          <w:sz w:val="32"/>
          <w:szCs w:val="32"/>
        </w:rPr>
        <w:t>（1）立项依据充分性分析</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项目依据北京市人民检察院《关于印发&lt;全市法院检察院财物统一管理改革专项工作组第四次会议会议纪要&gt;的通知》（京财公检法[2018]362 号）“关于全市法院、检察院向社会力量购买司法辅助服务改革试点工作……原则同意在北京知识产权法院和西城区人民法院等单位开展购买服务试点工作”，以及最高人民法院2019年8号文《最高人民法院关于深化人民法院司法体制综合配套改革的意见—人民法院第五个五年改革纲要（2019——2023）》“推动部分事务集约化、社会化管理”来设立，符合国家和北京市的相关规定，与项目单位职责密切相关，但顶层设计不够充分和明确，缺少部门服务外包项目的中长期计划和发展规划，繁简分流工作内容与本项目、与其他项目边界不清。</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该项指标权重分为4分，根据评分规则评价得3.8分。</w:t>
      </w:r>
    </w:p>
    <w:p>
      <w:pPr>
        <w:spacing w:line="600" w:lineRule="exact"/>
        <w:ind w:firstLine="320" w:firstLineChars="100"/>
        <w:rPr>
          <w:rFonts w:ascii="仿宋_GB2312" w:hAnsi="宋体" w:eastAsia="仿宋_GB2312" w:cs="宋体"/>
          <w:sz w:val="32"/>
          <w:szCs w:val="32"/>
        </w:rPr>
      </w:pPr>
      <w:r>
        <w:rPr>
          <w:rFonts w:hint="eastAsia" w:ascii="仿宋_GB2312" w:hAnsi="宋体" w:eastAsia="仿宋_GB2312" w:cs="宋体"/>
          <w:sz w:val="32"/>
          <w:szCs w:val="32"/>
        </w:rPr>
        <w:t>（2）立项程序规范性分析</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项目为延续性项目，项目申请、设立过程缺少可行性研究。</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该项指标权重分为4分，根据评分规则评价得3分。</w:t>
      </w:r>
    </w:p>
    <w:p>
      <w:pPr>
        <w:spacing w:line="600" w:lineRule="exact"/>
        <w:ind w:firstLine="640" w:firstLineChars="200"/>
        <w:rPr>
          <w:rFonts w:ascii="仿宋_GB2312" w:hAnsi="宋体" w:eastAsia="仿宋_GB2312" w:cs="宋体"/>
          <w:sz w:val="32"/>
          <w:szCs w:val="32"/>
        </w:rPr>
      </w:pPr>
      <w:bookmarkStart w:id="22" w:name="_Toc32625"/>
      <w:bookmarkStart w:id="23" w:name="_Toc30046"/>
      <w:bookmarkStart w:id="24" w:name="_Toc7603"/>
      <w:bookmarkStart w:id="25" w:name="_Toc77203356"/>
      <w:r>
        <w:rPr>
          <w:rFonts w:hint="eastAsia" w:ascii="仿宋_GB2312" w:hAnsi="宋体" w:eastAsia="仿宋_GB2312" w:cs="宋体"/>
          <w:sz w:val="32"/>
          <w:szCs w:val="32"/>
        </w:rPr>
        <w:t>2.绩效目标分析</w:t>
      </w:r>
      <w:bookmarkEnd w:id="22"/>
      <w:bookmarkEnd w:id="23"/>
      <w:bookmarkEnd w:id="24"/>
      <w:bookmarkEnd w:id="25"/>
    </w:p>
    <w:p>
      <w:pPr>
        <w:spacing w:line="600" w:lineRule="exact"/>
        <w:ind w:firstLine="320" w:firstLineChars="100"/>
        <w:rPr>
          <w:rFonts w:ascii="仿宋_GB2312" w:hAnsi="宋体" w:eastAsia="仿宋_GB2312" w:cs="宋体"/>
          <w:sz w:val="32"/>
          <w:szCs w:val="32"/>
        </w:rPr>
      </w:pPr>
      <w:r>
        <w:rPr>
          <w:rFonts w:hint="eastAsia" w:ascii="仿宋_GB2312" w:hAnsi="宋体" w:eastAsia="仿宋_GB2312" w:cs="宋体"/>
          <w:sz w:val="32"/>
          <w:szCs w:val="32"/>
        </w:rPr>
        <w:t>（1）绩效目标合理性分析</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绩效目标设定不够合理，数量指标与质量指标不对应。</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该项指标权重分为4分，根据评分规则评价得3.8分。</w:t>
      </w:r>
    </w:p>
    <w:p>
      <w:pPr>
        <w:spacing w:line="600" w:lineRule="exact"/>
        <w:ind w:firstLine="320" w:firstLineChars="100"/>
        <w:rPr>
          <w:rFonts w:ascii="仿宋_GB2312" w:hAnsi="宋体" w:eastAsia="仿宋_GB2312" w:cs="宋体"/>
          <w:sz w:val="32"/>
          <w:szCs w:val="32"/>
        </w:rPr>
      </w:pPr>
      <w:r>
        <w:rPr>
          <w:rFonts w:hint="eastAsia" w:ascii="仿宋_GB2312" w:hAnsi="宋体" w:eastAsia="仿宋_GB2312" w:cs="宋体"/>
          <w:sz w:val="32"/>
          <w:szCs w:val="32"/>
        </w:rPr>
        <w:t>（2）绩效指标明确性分析</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项目绩效指标明确性不足。个别绩效指标的设定不够准确和明确。</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该项指标权重分为4分，根据评分规则评价得2.94分。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3.预算编制科学性分析</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 预算编制内容和依据不明确，缺少预算申报明细表，预算编制科学性不足。</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该项指标权重分为4分，根据评分规则评价得2.7分。</w:t>
      </w:r>
    </w:p>
    <w:p>
      <w:pPr>
        <w:pStyle w:val="3"/>
        <w:spacing w:line="600" w:lineRule="exact"/>
        <w:ind w:firstLine="640" w:firstLineChars="200"/>
        <w:rPr>
          <w:rFonts w:ascii="楷体" w:hAnsi="楷体" w:eastAsia="楷体" w:cs="楷体"/>
          <w:b w:val="0"/>
          <w:bCs/>
        </w:rPr>
      </w:pPr>
      <w:bookmarkStart w:id="26" w:name="_Toc9052"/>
      <w:r>
        <w:rPr>
          <w:rFonts w:hint="eastAsia" w:ascii="楷体" w:hAnsi="楷体" w:eastAsia="楷体" w:cs="楷体"/>
          <w:b w:val="0"/>
          <w:bCs/>
        </w:rPr>
        <w:t>（二）项目过程情况</w:t>
      </w:r>
      <w:bookmarkEnd w:id="26"/>
    </w:p>
    <w:p>
      <w:pPr>
        <w:spacing w:line="600" w:lineRule="exact"/>
        <w:ind w:firstLine="640" w:firstLineChars="200"/>
        <w:rPr>
          <w:rFonts w:ascii="仿宋_GB2312" w:hAnsi="宋体" w:eastAsia="仿宋_GB2312" w:cs="宋体"/>
          <w:sz w:val="32"/>
          <w:szCs w:val="32"/>
        </w:rPr>
      </w:pPr>
      <w:bookmarkStart w:id="27" w:name="_Toc30255"/>
      <w:r>
        <w:rPr>
          <w:rFonts w:hint="eastAsia" w:ascii="仿宋_GB2312" w:hAnsi="宋体" w:eastAsia="仿宋_GB2312" w:cs="宋体"/>
          <w:sz w:val="32"/>
          <w:szCs w:val="32"/>
        </w:rPr>
        <w:t>过程部分从资金管理和组织实施两个方面四个三级指标对项目进行考察，过程类指标分值为20分，本项目实际得分15.88分，得分率79.40%。具体如下表：</w:t>
      </w:r>
    </w:p>
    <w:tbl>
      <w:tblPr>
        <w:tblStyle w:val="9"/>
        <w:tblW w:w="8517"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55"/>
        <w:gridCol w:w="3071"/>
        <w:gridCol w:w="1055"/>
        <w:gridCol w:w="1067"/>
        <w:gridCol w:w="1073"/>
        <w:gridCol w:w="119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1055"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序号</w:t>
            </w:r>
          </w:p>
        </w:tc>
        <w:tc>
          <w:tcPr>
            <w:tcW w:w="3071"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三级指标内容</w:t>
            </w:r>
          </w:p>
        </w:tc>
        <w:tc>
          <w:tcPr>
            <w:tcW w:w="1055"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权重</w:t>
            </w:r>
          </w:p>
        </w:tc>
        <w:tc>
          <w:tcPr>
            <w:tcW w:w="1067"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目标值</w:t>
            </w:r>
          </w:p>
        </w:tc>
        <w:tc>
          <w:tcPr>
            <w:tcW w:w="1073"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w:t>
            </w:r>
          </w:p>
        </w:tc>
        <w:tc>
          <w:tcPr>
            <w:tcW w:w="1196"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36" w:hRule="atLeast"/>
        </w:trPr>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w:t>
            </w:r>
          </w:p>
        </w:tc>
        <w:tc>
          <w:tcPr>
            <w:tcW w:w="3071"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预算执行率</w:t>
            </w:r>
          </w:p>
        </w:tc>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3</w:t>
            </w:r>
          </w:p>
        </w:tc>
        <w:tc>
          <w:tcPr>
            <w:tcW w:w="1067" w:type="dxa"/>
            <w:shd w:val="clear" w:color="auto" w:fill="auto"/>
            <w:vAlign w:val="center"/>
          </w:tcPr>
          <w:p>
            <w:pPr>
              <w:jc w:val="center"/>
              <w:rPr>
                <w:rFonts w:ascii="仿宋" w:hAnsi="仿宋" w:eastAsia="仿宋" w:cs="宋体"/>
                <w:sz w:val="24"/>
                <w:szCs w:val="24"/>
              </w:rPr>
            </w:pPr>
            <w:r>
              <w:rPr>
                <w:rFonts w:hint="eastAsia" w:ascii="微软雅黑" w:hAnsi="微软雅黑" w:eastAsia="微软雅黑" w:cs="微软雅黑"/>
                <w:sz w:val="24"/>
                <w:szCs w:val="24"/>
              </w:rPr>
              <w:t>≤</w:t>
            </w:r>
            <w:r>
              <w:rPr>
                <w:rFonts w:hint="eastAsia" w:ascii="仿宋" w:hAnsi="仿宋" w:eastAsia="仿宋" w:cs="宋体"/>
                <w:sz w:val="24"/>
                <w:szCs w:val="24"/>
              </w:rPr>
              <w:t>100%</w:t>
            </w:r>
          </w:p>
        </w:tc>
        <w:tc>
          <w:tcPr>
            <w:tcW w:w="1073"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3.00 </w:t>
            </w:r>
          </w:p>
        </w:tc>
        <w:tc>
          <w:tcPr>
            <w:tcW w:w="1196"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2</w:t>
            </w:r>
          </w:p>
        </w:tc>
        <w:tc>
          <w:tcPr>
            <w:tcW w:w="3071"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资金使用合规性</w:t>
            </w:r>
          </w:p>
        </w:tc>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1067"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规范</w:t>
            </w:r>
          </w:p>
        </w:tc>
        <w:tc>
          <w:tcPr>
            <w:tcW w:w="1073"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3.72 </w:t>
            </w:r>
          </w:p>
        </w:tc>
        <w:tc>
          <w:tcPr>
            <w:tcW w:w="1196"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93.00%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15" w:hRule="atLeast"/>
        </w:trPr>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3</w:t>
            </w:r>
          </w:p>
        </w:tc>
        <w:tc>
          <w:tcPr>
            <w:tcW w:w="3071"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管理制度健全性</w:t>
            </w:r>
          </w:p>
        </w:tc>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3</w:t>
            </w:r>
          </w:p>
        </w:tc>
        <w:tc>
          <w:tcPr>
            <w:tcW w:w="1067"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健全</w:t>
            </w:r>
          </w:p>
        </w:tc>
        <w:tc>
          <w:tcPr>
            <w:tcW w:w="1073"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2.30 </w:t>
            </w:r>
          </w:p>
        </w:tc>
        <w:tc>
          <w:tcPr>
            <w:tcW w:w="1196"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76.67%</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3071"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制度执行有效性</w:t>
            </w:r>
          </w:p>
        </w:tc>
        <w:tc>
          <w:tcPr>
            <w:tcW w:w="1055"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w:t>
            </w:r>
          </w:p>
        </w:tc>
        <w:tc>
          <w:tcPr>
            <w:tcW w:w="1067"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有效</w:t>
            </w:r>
          </w:p>
        </w:tc>
        <w:tc>
          <w:tcPr>
            <w:tcW w:w="1073"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6.86 </w:t>
            </w:r>
          </w:p>
        </w:tc>
        <w:tc>
          <w:tcPr>
            <w:tcW w:w="1196"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68.60%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rPr>
                <w:rFonts w:ascii="仿宋" w:hAnsi="仿宋" w:eastAsia="仿宋" w:cs="宋体"/>
                <w:sz w:val="24"/>
                <w:szCs w:val="24"/>
              </w:rPr>
            </w:pPr>
            <w:r>
              <w:rPr>
                <w:rFonts w:hint="eastAsia" w:ascii="仿宋" w:hAnsi="仿宋" w:eastAsia="仿宋" w:cs="宋体"/>
                <w:sz w:val="24"/>
                <w:szCs w:val="24"/>
              </w:rPr>
              <w:t>　</w:t>
            </w:r>
          </w:p>
        </w:tc>
        <w:tc>
          <w:tcPr>
            <w:tcW w:w="3071" w:type="dxa"/>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分值合计</w:t>
            </w:r>
          </w:p>
        </w:tc>
        <w:tc>
          <w:tcPr>
            <w:tcW w:w="1055"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20</w:t>
            </w:r>
          </w:p>
        </w:tc>
        <w:tc>
          <w:tcPr>
            <w:tcW w:w="1067" w:type="dxa"/>
            <w:shd w:val="clear" w:color="auto" w:fill="auto"/>
            <w:vAlign w:val="center"/>
          </w:tcPr>
          <w:p>
            <w:pPr>
              <w:jc w:val="center"/>
              <w:rPr>
                <w:rFonts w:ascii="仿宋" w:hAnsi="仿宋" w:eastAsia="仿宋" w:cs="宋体"/>
                <w:b/>
                <w:bCs/>
                <w:sz w:val="24"/>
                <w:szCs w:val="24"/>
              </w:rPr>
            </w:pPr>
          </w:p>
        </w:tc>
        <w:tc>
          <w:tcPr>
            <w:tcW w:w="1073"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 xml:space="preserve">15.88 </w:t>
            </w:r>
          </w:p>
        </w:tc>
        <w:tc>
          <w:tcPr>
            <w:tcW w:w="1196"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79.40%</w:t>
            </w:r>
          </w:p>
        </w:tc>
      </w:tr>
    </w:tbl>
    <w:p>
      <w:pPr>
        <w:spacing w:line="600" w:lineRule="exact"/>
        <w:rPr>
          <w:rFonts w:ascii="仿宋_GB2312" w:hAnsi="宋体" w:eastAsia="仿宋_GB2312" w:cs="宋体"/>
          <w:sz w:val="32"/>
          <w:szCs w:val="32"/>
        </w:rPr>
      </w:pPr>
    </w:p>
    <w:p>
      <w:pPr>
        <w:spacing w:line="600" w:lineRule="exact"/>
        <w:ind w:firstLine="640"/>
        <w:rPr>
          <w:rFonts w:ascii="仿宋_GB2312" w:hAnsi="宋体" w:eastAsia="仿宋_GB2312" w:cs="宋体"/>
          <w:sz w:val="32"/>
          <w:szCs w:val="32"/>
        </w:rPr>
      </w:pPr>
      <w:bookmarkStart w:id="28" w:name="_Toc77203359"/>
      <w:r>
        <w:rPr>
          <w:rFonts w:hint="eastAsia" w:ascii="仿宋_GB2312" w:hAnsi="宋体" w:eastAsia="仿宋_GB2312" w:cs="宋体"/>
          <w:sz w:val="32"/>
          <w:szCs w:val="32"/>
        </w:rPr>
        <w:t>1.资金使用及管理情况</w:t>
      </w:r>
      <w:bookmarkEnd w:id="28"/>
    </w:p>
    <w:p>
      <w:pPr>
        <w:spacing w:line="600" w:lineRule="exact"/>
        <w:ind w:firstLine="640"/>
        <w:rPr>
          <w:rFonts w:ascii="仿宋_GB2312" w:hAnsi="宋体" w:eastAsia="仿宋_GB2312" w:cs="宋体"/>
          <w:sz w:val="32"/>
          <w:szCs w:val="32"/>
        </w:rPr>
      </w:pPr>
      <w:bookmarkStart w:id="29" w:name="_Toc26175"/>
      <w:bookmarkStart w:id="30" w:name="_Toc19603"/>
      <w:bookmarkStart w:id="31" w:name="_Toc32425"/>
      <w:r>
        <w:rPr>
          <w:rFonts w:hint="eastAsia" w:ascii="仿宋_GB2312" w:hAnsi="宋体" w:eastAsia="仿宋_GB2312" w:cs="宋体"/>
          <w:sz w:val="32"/>
          <w:szCs w:val="32"/>
        </w:rPr>
        <w:t>（1）预算执行率</w:t>
      </w:r>
      <w:bookmarkEnd w:id="29"/>
      <w:bookmarkEnd w:id="30"/>
      <w:bookmarkEnd w:id="31"/>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项目2022年最终获批资金预算193.805760万元，截至2022年12月31日，已实际支付资金192.5万元，结余资金1.30576万元，预算执行率99.33%。</w:t>
      </w:r>
    </w:p>
    <w:p>
      <w:pPr>
        <w:spacing w:line="600" w:lineRule="exact"/>
        <w:ind w:firstLine="640"/>
        <w:rPr>
          <w:rFonts w:ascii="仿宋_GB2312" w:hAnsi="仿宋_GB2312" w:eastAsia="仿宋_GB2312" w:cs="仿宋_GB2312"/>
          <w:kern w:val="44"/>
          <w:sz w:val="28"/>
          <w:szCs w:val="28"/>
        </w:rPr>
      </w:pPr>
      <w:r>
        <w:rPr>
          <w:rFonts w:hint="eastAsia" w:ascii="仿宋_GB2312" w:hAnsi="宋体" w:eastAsia="仿宋_GB2312" w:cs="宋体"/>
          <w:sz w:val="32"/>
          <w:szCs w:val="32"/>
        </w:rPr>
        <w:t>该项指标权重分3分，根据评分规则评价得分3.00分。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（2）资金使用合规性</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项目专项经费使用基本符合国家和本市财经法规，符合知识产权法院财务内控规定；资金拨付有较完整的审批程序和手续，资金使用和项目规定的用途和内容相符。但资金支付所附的</w:t>
      </w:r>
      <w:r>
        <w:rPr>
          <w:rFonts w:ascii="仿宋_GB2312" w:hAnsi="宋体" w:eastAsia="仿宋_GB2312" w:cs="宋体"/>
          <w:sz w:val="32"/>
          <w:szCs w:val="32"/>
        </w:rPr>
        <w:t>各季度绩效考评缺少业务部门、综合办公室</w:t>
      </w:r>
      <w:r>
        <w:rPr>
          <w:rFonts w:hint="eastAsia" w:ascii="仿宋_GB2312" w:hAnsi="宋体" w:eastAsia="仿宋_GB2312" w:cs="宋体"/>
          <w:sz w:val="32"/>
          <w:szCs w:val="32"/>
        </w:rPr>
        <w:t>确认</w:t>
      </w:r>
      <w:r>
        <w:rPr>
          <w:rFonts w:ascii="仿宋_GB2312" w:hAnsi="宋体" w:eastAsia="仿宋_GB2312" w:cs="宋体"/>
          <w:sz w:val="32"/>
          <w:szCs w:val="32"/>
        </w:rPr>
        <w:t>的考核意见和结果。</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该项指标权重分4分，根据评分规则评价得分3.72分。</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2.业务管理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（1）管理制度健全性</w:t>
      </w:r>
    </w:p>
    <w:p>
      <w:pPr>
        <w:spacing w:line="600" w:lineRule="exact"/>
        <w:ind w:firstLine="640"/>
        <w:jc w:val="both"/>
        <w:rPr>
          <w:rFonts w:ascii="仿宋_GB2312" w:hAnsi="宋体" w:eastAsia="仿宋_GB2312" w:cs="宋体"/>
          <w:sz w:val="32"/>
          <w:szCs w:val="32"/>
        </w:rPr>
      </w:pPr>
      <w:r>
        <w:rPr>
          <w:rFonts w:hint="eastAsia" w:ascii="仿宋_GB2312" w:hAnsi="宋体" w:eastAsia="仿宋_GB2312" w:cs="宋体"/>
          <w:sz w:val="32"/>
          <w:szCs w:val="32"/>
        </w:rPr>
        <w:t>项目单位提供了《北京知识产权法院资金使用管理规定》《北京知识产权法院预算管理办法》等相关的内控管理制度，管理制度基本合法、合规、健全。但有关诉讼指导外包服务项目的相关管理制度呈现不够充分，未制定实施方案，缺少考核细则的制度制订及项目单位对服务项目的考核量化内容。</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该项指标权重分3分，根据评分规则评价得分2.3分。</w:t>
      </w:r>
    </w:p>
    <w:p>
      <w:pPr>
        <w:spacing w:line="600" w:lineRule="exact"/>
        <w:rPr>
          <w:rFonts w:ascii="仿宋_GB2312" w:hAnsi="宋体" w:eastAsia="仿宋_GB2312" w:cs="宋体"/>
          <w:sz w:val="32"/>
          <w:szCs w:val="32"/>
        </w:rPr>
      </w:pPr>
      <w:r>
        <w:rPr>
          <w:rFonts w:hint="eastAsia" w:ascii="仿宋_GB2312" w:hAnsi="宋体" w:eastAsia="仿宋_GB2312" w:cs="宋体"/>
          <w:sz w:val="32"/>
          <w:szCs w:val="32"/>
        </w:rPr>
        <w:t xml:space="preserve">   （2）制度执行有效性</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项目根据实际需求履行了采购审批和公开招标程序，并签订了合同，履行完验收手续。但合同执行的有效性、合同管理的规范性、项目过程管理的严谨性、规范性、绩效资料的完整性呈现的不够充分。</w:t>
      </w:r>
      <w:bookmarkEnd w:id="27"/>
      <w:r>
        <w:rPr>
          <w:rFonts w:hint="eastAsia" w:ascii="仿宋_GB2312" w:hAnsi="宋体" w:eastAsia="仿宋_GB2312" w:cs="宋体"/>
          <w:sz w:val="32"/>
          <w:szCs w:val="32"/>
        </w:rPr>
        <w:t>存在服务人员数量不达标，服务人员出现信息录入等一些差错等问题。</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该项指标权重分10分，根据评分规则评价得分6.86分。</w:t>
      </w:r>
    </w:p>
    <w:p>
      <w:pPr>
        <w:pStyle w:val="3"/>
        <w:spacing w:line="600" w:lineRule="exact"/>
        <w:ind w:firstLine="640" w:firstLineChars="200"/>
        <w:rPr>
          <w:rFonts w:ascii="楷体" w:hAnsi="楷体" w:eastAsia="楷体" w:cs="楷体"/>
          <w:b w:val="0"/>
          <w:bCs/>
        </w:rPr>
      </w:pPr>
      <w:bookmarkStart w:id="32" w:name="_Toc30957"/>
      <w:r>
        <w:rPr>
          <w:rFonts w:hint="eastAsia" w:ascii="楷体" w:hAnsi="楷体" w:eastAsia="楷体" w:cs="楷体"/>
          <w:b w:val="0"/>
          <w:bCs/>
        </w:rPr>
        <w:t>（三）项目产出情况</w:t>
      </w:r>
      <w:bookmarkEnd w:id="32"/>
    </w:p>
    <w:p>
      <w:pPr>
        <w:spacing w:line="600" w:lineRule="exact"/>
        <w:ind w:firstLine="640" w:firstLineChars="200"/>
        <w:rPr>
          <w:rFonts w:ascii="仿宋_GB2312" w:hAnsi="宋体" w:eastAsia="仿宋_GB2312" w:cs="宋体"/>
          <w:sz w:val="32"/>
          <w:szCs w:val="32"/>
        </w:rPr>
      </w:pPr>
      <w:bookmarkStart w:id="33" w:name="_Toc32337"/>
      <w:r>
        <w:rPr>
          <w:rFonts w:hint="eastAsia" w:ascii="仿宋_GB2312" w:hAnsi="宋体" w:eastAsia="仿宋_GB2312" w:cs="宋体"/>
          <w:sz w:val="32"/>
          <w:szCs w:val="32"/>
        </w:rPr>
        <w:t>产出部分从产出数量、产出质量、产出时效和产出成本四个方面共四个三级指标对项目进行考察，产出类指标分值共计30分，本项目得分26.72分，得分率为89.07% ，具体得分情况如下表：</w:t>
      </w:r>
    </w:p>
    <w:tbl>
      <w:tblPr>
        <w:tblStyle w:val="9"/>
        <w:tblW w:w="8698"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3188"/>
        <w:gridCol w:w="1080"/>
        <w:gridCol w:w="1080"/>
        <w:gridCol w:w="1080"/>
        <w:gridCol w:w="119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序号</w:t>
            </w:r>
          </w:p>
        </w:tc>
        <w:tc>
          <w:tcPr>
            <w:tcW w:w="3188"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三级指标内容</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权重</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目标值</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w:t>
            </w:r>
          </w:p>
        </w:tc>
        <w:tc>
          <w:tcPr>
            <w:tcW w:w="119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w:t>
            </w:r>
          </w:p>
        </w:tc>
        <w:tc>
          <w:tcPr>
            <w:tcW w:w="3188"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实际完成率</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100%</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8.84 </w:t>
            </w:r>
          </w:p>
        </w:tc>
        <w:tc>
          <w:tcPr>
            <w:tcW w:w="119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88.40%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2</w:t>
            </w:r>
          </w:p>
        </w:tc>
        <w:tc>
          <w:tcPr>
            <w:tcW w:w="3188"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质量达标率</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100%</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8.78 </w:t>
            </w:r>
          </w:p>
        </w:tc>
        <w:tc>
          <w:tcPr>
            <w:tcW w:w="119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87.80%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3</w:t>
            </w:r>
          </w:p>
        </w:tc>
        <w:tc>
          <w:tcPr>
            <w:tcW w:w="3188"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完成及时性</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5</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及时</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4.10 </w:t>
            </w:r>
          </w:p>
        </w:tc>
        <w:tc>
          <w:tcPr>
            <w:tcW w:w="119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82.00%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4</w:t>
            </w:r>
          </w:p>
        </w:tc>
        <w:tc>
          <w:tcPr>
            <w:tcW w:w="3188"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成本节约率</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5</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达标</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5.00 </w:t>
            </w:r>
          </w:p>
        </w:tc>
        <w:tc>
          <w:tcPr>
            <w:tcW w:w="119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　</w:t>
            </w:r>
          </w:p>
        </w:tc>
        <w:tc>
          <w:tcPr>
            <w:tcW w:w="3188" w:type="dxa"/>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分值合计</w:t>
            </w:r>
          </w:p>
        </w:tc>
        <w:tc>
          <w:tcPr>
            <w:tcW w:w="1080"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30</w:t>
            </w:r>
          </w:p>
        </w:tc>
        <w:tc>
          <w:tcPr>
            <w:tcW w:w="1080" w:type="dxa"/>
            <w:shd w:val="clear" w:color="auto" w:fill="auto"/>
            <w:vAlign w:val="center"/>
          </w:tcPr>
          <w:p>
            <w:pPr>
              <w:jc w:val="center"/>
              <w:rPr>
                <w:rFonts w:ascii="仿宋" w:hAnsi="仿宋" w:eastAsia="仿宋" w:cs="宋体"/>
                <w:b/>
                <w:bCs/>
                <w:sz w:val="24"/>
                <w:szCs w:val="24"/>
              </w:rPr>
            </w:pPr>
          </w:p>
        </w:tc>
        <w:tc>
          <w:tcPr>
            <w:tcW w:w="1080"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 xml:space="preserve">26.72 </w:t>
            </w:r>
          </w:p>
        </w:tc>
        <w:tc>
          <w:tcPr>
            <w:tcW w:w="1190"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89.07%</w:t>
            </w:r>
          </w:p>
        </w:tc>
      </w:tr>
    </w:tbl>
    <w:p>
      <w:pPr>
        <w:spacing w:line="600" w:lineRule="exact"/>
        <w:ind w:firstLine="640" w:firstLineChars="200"/>
        <w:rPr>
          <w:rFonts w:ascii="仿宋_GB2312" w:hAnsi="宋体" w:eastAsia="仿宋_GB2312" w:cs="宋体"/>
          <w:sz w:val="32"/>
          <w:szCs w:val="32"/>
        </w:rPr>
      </w:pPr>
      <w:bookmarkStart w:id="34" w:name="_Toc25502"/>
      <w:bookmarkStart w:id="35" w:name="_Toc77203362"/>
      <w:bookmarkStart w:id="36" w:name="_Toc23579"/>
      <w:bookmarkStart w:id="37" w:name="_Toc30363"/>
      <w:bookmarkStart w:id="38" w:name="_Toc371"/>
      <w:bookmarkStart w:id="39" w:name="_Toc12068"/>
      <w:bookmarkStart w:id="40" w:name="_Toc5885"/>
      <w:r>
        <w:rPr>
          <w:rFonts w:hint="eastAsia" w:ascii="仿宋_GB2312" w:hAnsi="宋体" w:eastAsia="仿宋_GB2312" w:cs="宋体"/>
          <w:sz w:val="32"/>
          <w:szCs w:val="32"/>
        </w:rPr>
        <w:t>1.项目完成数量</w:t>
      </w:r>
      <w:bookmarkEnd w:id="34"/>
      <w:bookmarkEnd w:id="35"/>
      <w:bookmarkEnd w:id="36"/>
      <w:bookmarkEnd w:id="37"/>
      <w:bookmarkEnd w:id="38"/>
      <w:bookmarkEnd w:id="39"/>
      <w:bookmarkEnd w:id="40"/>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的产出数量包含诉讼服务人员数量、岗位数量以及各项诉讼服务职能完成数量。合同约定服务人员数量总人数不低于22人，2022年实际年均到岗人数不到21人；合同未约定完成的工作量，按照2021年同样的资金规模以不低于2021年的工作量来看，2022年的实际完成的服务数量次数合计152010件次，同比2021年少了18.89%。</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该项指标权重10分，根据评分规则评价得分8.84分。</w:t>
      </w:r>
    </w:p>
    <w:p>
      <w:pPr>
        <w:spacing w:line="600" w:lineRule="exact"/>
        <w:ind w:firstLine="640" w:firstLineChars="200"/>
        <w:rPr>
          <w:rFonts w:ascii="仿宋_GB2312" w:hAnsi="宋体" w:eastAsia="仿宋_GB2312" w:cs="宋体"/>
          <w:sz w:val="32"/>
          <w:szCs w:val="32"/>
        </w:rPr>
      </w:pPr>
      <w:bookmarkStart w:id="41" w:name="_Toc7442"/>
      <w:bookmarkStart w:id="42" w:name="_Toc384"/>
      <w:bookmarkStart w:id="43" w:name="_Toc27027"/>
      <w:bookmarkStart w:id="44" w:name="_Toc77203363"/>
      <w:bookmarkStart w:id="45" w:name="_Toc29327"/>
      <w:r>
        <w:rPr>
          <w:rFonts w:hint="eastAsia" w:ascii="仿宋_GB2312" w:hAnsi="宋体" w:eastAsia="仿宋_GB2312" w:cs="宋体"/>
          <w:sz w:val="32"/>
          <w:szCs w:val="32"/>
        </w:rPr>
        <w:t>2.项目效率性分析</w:t>
      </w:r>
      <w:bookmarkEnd w:id="41"/>
      <w:bookmarkEnd w:id="42"/>
      <w:bookmarkEnd w:id="43"/>
      <w:bookmarkEnd w:id="44"/>
      <w:bookmarkEnd w:id="45"/>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（1）项目完成质量</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项目存在人员到岗数量不足，存在案件信息录入错误等情况，但整体差错率在合同约定范围内。</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该项指标权重10分，根据评分规则评价得分8.78分。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（2）项目的实施进度</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项目在年度内按计划完成。2022年3月21日验收结果认可项目完成情况整体良好，日常工作管理严格、有序，人员管理符合安全规范，各项服务均基本符合院方实际要求。但缺少资金支付进度。</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该项指标权重5分，根据评分规则评价得分4.1分。</w:t>
      </w:r>
    </w:p>
    <w:p>
      <w:pPr>
        <w:spacing w:line="600" w:lineRule="exact"/>
        <w:ind w:firstLine="640" w:firstLineChars="200"/>
        <w:rPr>
          <w:rFonts w:ascii="仿宋_GB2312" w:hAnsi="宋体" w:eastAsia="仿宋_GB2312" w:cs="宋体"/>
          <w:sz w:val="32"/>
          <w:szCs w:val="32"/>
        </w:rPr>
      </w:pPr>
      <w:bookmarkStart w:id="46" w:name="_Toc1484"/>
      <w:bookmarkStart w:id="47" w:name="_Toc18244"/>
      <w:bookmarkStart w:id="48" w:name="_Toc77203364"/>
      <w:bookmarkStart w:id="49" w:name="_Toc25211"/>
      <w:bookmarkStart w:id="50" w:name="_Toc4559"/>
      <w:bookmarkStart w:id="51" w:name="_Toc32143"/>
      <w:bookmarkStart w:id="52" w:name="_Toc14040"/>
      <w:r>
        <w:rPr>
          <w:rFonts w:hint="eastAsia" w:ascii="仿宋_GB2312" w:hAnsi="宋体" w:eastAsia="仿宋_GB2312" w:cs="宋体"/>
          <w:sz w:val="32"/>
          <w:szCs w:val="32"/>
        </w:rPr>
        <w:t>3.项目产出成本</w:t>
      </w:r>
      <w:bookmarkEnd w:id="46"/>
      <w:bookmarkEnd w:id="47"/>
      <w:r>
        <w:rPr>
          <w:rFonts w:hint="eastAsia" w:ascii="仿宋_GB2312" w:hAnsi="宋体" w:eastAsia="仿宋_GB2312" w:cs="宋体"/>
          <w:sz w:val="32"/>
          <w:szCs w:val="32"/>
        </w:rPr>
        <w:t>节约率</w:t>
      </w:r>
      <w:bookmarkEnd w:id="48"/>
      <w:bookmarkEnd w:id="49"/>
      <w:bookmarkEnd w:id="50"/>
      <w:bookmarkEnd w:id="51"/>
      <w:bookmarkEnd w:id="52"/>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2022年批复项目资金193.805760万万元，截至2022年12月31日已实际支付资金192.5万元，结余资金1.30576万元，资金节约率为0.67%。</w:t>
      </w:r>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该项指标权重分5分，根据评分规则评价得分5.00分。</w:t>
      </w:r>
      <w:bookmarkEnd w:id="33"/>
    </w:p>
    <w:p>
      <w:pPr>
        <w:pStyle w:val="3"/>
        <w:spacing w:line="600" w:lineRule="exact"/>
        <w:ind w:firstLine="640" w:firstLineChars="200"/>
        <w:rPr>
          <w:rFonts w:ascii="楷体" w:hAnsi="楷体" w:eastAsia="楷体" w:cs="楷体"/>
          <w:b w:val="0"/>
          <w:bCs/>
        </w:rPr>
      </w:pPr>
      <w:bookmarkStart w:id="53" w:name="_Toc30206"/>
      <w:r>
        <w:rPr>
          <w:rFonts w:hint="eastAsia" w:ascii="楷体" w:hAnsi="楷体" w:eastAsia="楷体" w:cs="楷体"/>
          <w:b w:val="0"/>
          <w:bCs/>
        </w:rPr>
        <w:t>（四）项目效益情况</w:t>
      </w:r>
      <w:bookmarkEnd w:id="53"/>
    </w:p>
    <w:p>
      <w:pPr>
        <w:spacing w:line="600" w:lineRule="exact"/>
        <w:ind w:firstLine="640" w:firstLineChars="200"/>
        <w:jc w:val="both"/>
        <w:rPr>
          <w:rFonts w:ascii="仿宋_GB2312" w:hAnsi="宋体" w:eastAsia="仿宋_GB2312" w:cs="宋体"/>
          <w:sz w:val="32"/>
          <w:szCs w:val="32"/>
        </w:rPr>
      </w:pPr>
      <w:bookmarkStart w:id="54" w:name="_Toc12795"/>
      <w:r>
        <w:rPr>
          <w:rFonts w:hint="eastAsia" w:ascii="仿宋_GB2312" w:hAnsi="宋体" w:eastAsia="仿宋_GB2312" w:cs="宋体"/>
          <w:sz w:val="32"/>
          <w:szCs w:val="32"/>
        </w:rPr>
        <w:t>效益部分从实施效益和服务对象满意度两个方面三个三级指标对项目进行考察，其中实施效益包括经济、社会效益，效益类指标共计30分，本项目实际得分25.70分，得分率85.67%。各指标的实际得分情况如下表：</w:t>
      </w:r>
    </w:p>
    <w:tbl>
      <w:tblPr>
        <w:tblStyle w:val="9"/>
        <w:tblW w:w="8379"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2763"/>
        <w:gridCol w:w="1080"/>
        <w:gridCol w:w="1080"/>
        <w:gridCol w:w="1080"/>
        <w:gridCol w:w="129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序号</w:t>
            </w:r>
          </w:p>
        </w:tc>
        <w:tc>
          <w:tcPr>
            <w:tcW w:w="2763"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三级指标内容</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权重</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目标值</w:t>
            </w:r>
          </w:p>
        </w:tc>
        <w:tc>
          <w:tcPr>
            <w:tcW w:w="1080"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w:t>
            </w:r>
          </w:p>
        </w:tc>
        <w:tc>
          <w:tcPr>
            <w:tcW w:w="1296" w:type="dxa"/>
            <w:tcBorders>
              <w:top w:val="single" w:color="auto" w:sz="12" w:space="0"/>
              <w:bottom w:val="single" w:color="auto" w:sz="6" w:space="0"/>
            </w:tcBorders>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w:t>
            </w:r>
          </w:p>
        </w:tc>
        <w:tc>
          <w:tcPr>
            <w:tcW w:w="2763"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实施效益</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100%</w:t>
            </w:r>
          </w:p>
        </w:tc>
        <w:tc>
          <w:tcPr>
            <w:tcW w:w="1080"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9.04 </w:t>
            </w:r>
          </w:p>
        </w:tc>
        <w:tc>
          <w:tcPr>
            <w:tcW w:w="1296" w:type="dxa"/>
            <w:tcBorders>
              <w:top w:val="single" w:color="auto" w:sz="6" w:space="0"/>
            </w:tcBorders>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90.40%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2</w:t>
            </w:r>
          </w:p>
        </w:tc>
        <w:tc>
          <w:tcPr>
            <w:tcW w:w="2763"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满意度</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20</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100%</w:t>
            </w:r>
          </w:p>
        </w:tc>
        <w:tc>
          <w:tcPr>
            <w:tcW w:w="1080"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 xml:space="preserve">16.66 </w:t>
            </w:r>
          </w:p>
        </w:tc>
        <w:tc>
          <w:tcPr>
            <w:tcW w:w="1296" w:type="dxa"/>
            <w:shd w:val="clear" w:color="auto" w:fill="auto"/>
            <w:vAlign w:val="center"/>
          </w:tcPr>
          <w:p>
            <w:pPr>
              <w:jc w:val="center"/>
              <w:rPr>
                <w:rFonts w:ascii="仿宋" w:hAnsi="仿宋" w:eastAsia="仿宋" w:cs="宋体"/>
                <w:sz w:val="24"/>
                <w:szCs w:val="24"/>
              </w:rPr>
            </w:pPr>
            <w:r>
              <w:rPr>
                <w:rFonts w:hint="eastAsia" w:ascii="仿宋" w:hAnsi="仿宋" w:eastAsia="仿宋" w:cs="宋体"/>
                <w:sz w:val="24"/>
                <w:szCs w:val="24"/>
              </w:rPr>
              <w:t>83.30%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　</w:t>
            </w:r>
          </w:p>
        </w:tc>
        <w:tc>
          <w:tcPr>
            <w:tcW w:w="2763" w:type="dxa"/>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分值合计</w:t>
            </w:r>
          </w:p>
        </w:tc>
        <w:tc>
          <w:tcPr>
            <w:tcW w:w="1080" w:type="dxa"/>
            <w:shd w:val="clear" w:color="auto" w:fill="auto"/>
            <w:vAlign w:val="center"/>
          </w:tcPr>
          <w:p>
            <w:pPr>
              <w:jc w:val="center"/>
              <w:rPr>
                <w:rFonts w:ascii="仿宋" w:hAnsi="仿宋" w:eastAsia="仿宋" w:cs="宋体"/>
                <w:b/>
                <w:sz w:val="24"/>
                <w:szCs w:val="24"/>
              </w:rPr>
            </w:pPr>
            <w:r>
              <w:rPr>
                <w:rFonts w:hint="eastAsia" w:ascii="仿宋" w:hAnsi="仿宋" w:eastAsia="仿宋" w:cs="宋体"/>
                <w:b/>
                <w:sz w:val="24"/>
                <w:szCs w:val="24"/>
              </w:rPr>
              <w:t>30</w:t>
            </w:r>
          </w:p>
        </w:tc>
        <w:tc>
          <w:tcPr>
            <w:tcW w:w="1080" w:type="dxa"/>
            <w:shd w:val="clear" w:color="auto" w:fill="auto"/>
            <w:vAlign w:val="center"/>
          </w:tcPr>
          <w:p>
            <w:pPr>
              <w:rPr>
                <w:rFonts w:ascii="仿宋" w:hAnsi="仿宋" w:eastAsia="仿宋" w:cs="宋体"/>
                <w:b/>
                <w:sz w:val="24"/>
                <w:szCs w:val="24"/>
              </w:rPr>
            </w:pPr>
            <w:r>
              <w:rPr>
                <w:rFonts w:hint="eastAsia" w:ascii="仿宋" w:hAnsi="仿宋" w:eastAsia="仿宋" w:cs="宋体"/>
                <w:b/>
                <w:sz w:val="24"/>
                <w:szCs w:val="24"/>
              </w:rPr>
              <w:t>　</w:t>
            </w:r>
          </w:p>
        </w:tc>
        <w:tc>
          <w:tcPr>
            <w:tcW w:w="1080"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 xml:space="preserve">25.70 </w:t>
            </w:r>
          </w:p>
        </w:tc>
        <w:tc>
          <w:tcPr>
            <w:tcW w:w="1296" w:type="dxa"/>
            <w:shd w:val="clear" w:color="auto" w:fill="auto"/>
            <w:vAlign w:val="center"/>
          </w:tcPr>
          <w:p>
            <w:pPr>
              <w:jc w:val="center"/>
              <w:rPr>
                <w:rFonts w:ascii="仿宋" w:hAnsi="仿宋" w:eastAsia="仿宋" w:cs="宋体"/>
                <w:b/>
                <w:bCs/>
                <w:sz w:val="24"/>
                <w:szCs w:val="24"/>
              </w:rPr>
            </w:pPr>
            <w:r>
              <w:rPr>
                <w:rFonts w:hint="eastAsia" w:ascii="仿宋" w:hAnsi="仿宋" w:eastAsia="仿宋" w:cs="宋体"/>
                <w:b/>
                <w:bCs/>
                <w:sz w:val="24"/>
                <w:szCs w:val="24"/>
              </w:rPr>
              <w:t>85.67%</w:t>
            </w:r>
          </w:p>
        </w:tc>
      </w:tr>
    </w:tbl>
    <w:p>
      <w:pPr>
        <w:spacing w:line="600" w:lineRule="exact"/>
        <w:jc w:val="both"/>
        <w:rPr>
          <w:rFonts w:ascii="仿宋_GB2312" w:hAnsi="宋体" w:eastAsia="仿宋_GB2312" w:cs="宋体"/>
          <w:sz w:val="32"/>
          <w:szCs w:val="32"/>
        </w:rPr>
      </w:pP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1.实施效益</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（1）经济效益</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本项目新增岗位集约上诉送达为2022年4月1日根据《北京知识产权法院2022年重点改革任务分解》在立案庭成立判后事务集约管理中心后新设立的岗位。该岗位的设立减轻了各法官团队上诉的工作量。随着北京知识产权法院的收案量逐年上升，但是法院并没有让当事人感受到诉讼渠道不畅通。正是由于诉讼服务团队将大量的诉讼服务工作承担起来，才使得法官团队有足够的精力专心投入到立案、审判工作当中，促进了立案效率、结案量的提升，有效应对了法院案多人少的突出问题，促进了法院审判质效的有效提升。从人力成本上来看，较好地实现了具备专业能力的人集中精力完成专业的事，实现了人力资源的优化配置，节约了司法资源，符合效益指标的要求。</w:t>
      </w:r>
      <w:bookmarkEnd w:id="54"/>
    </w:p>
    <w:p>
      <w:pPr>
        <w:spacing w:line="600" w:lineRule="exact"/>
        <w:ind w:firstLine="640" w:firstLineChars="200"/>
        <w:jc w:val="both"/>
        <w:rPr>
          <w:rFonts w:ascii="仿宋_GB2312" w:hAnsi="宋体" w:eastAsia="仿宋_GB2312" w:cs="宋体"/>
          <w:sz w:val="32"/>
          <w:szCs w:val="32"/>
        </w:rPr>
      </w:pPr>
      <w:r>
        <w:rPr>
          <w:rFonts w:hint="eastAsia" w:ascii="仿宋_GB2312" w:hAnsi="宋体" w:eastAsia="仿宋_GB2312" w:cs="宋体"/>
          <w:sz w:val="32"/>
          <w:szCs w:val="32"/>
        </w:rPr>
        <w:t>该项指标权重分6分，根据评分规则评价得分5.72分。</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（2）社会效益</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诉讼服务项目丰富的诉讼服务让当事人获得良好的诉讼体验，12368电话热线曾多次得到群众的来电表扬。</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该项指标权重分4分，根据评分规则评价得分3.32分。</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2.满意度方面</w:t>
      </w:r>
    </w:p>
    <w:p>
      <w:pPr>
        <w:spacing w:line="600" w:lineRule="exact"/>
        <w:ind w:firstLine="640"/>
        <w:jc w:val="both"/>
        <w:rPr>
          <w:rFonts w:ascii="仿宋_GB2312" w:hAnsi="宋体" w:eastAsia="仿宋_GB2312" w:cs="宋体"/>
          <w:sz w:val="32"/>
          <w:szCs w:val="32"/>
        </w:rPr>
      </w:pPr>
      <w:r>
        <w:rPr>
          <w:rFonts w:hint="eastAsia" w:ascii="仿宋_GB2312" w:hAnsi="宋体" w:eastAsia="仿宋_GB2312" w:cs="宋体"/>
          <w:sz w:val="32"/>
          <w:szCs w:val="32"/>
        </w:rPr>
        <w:t>2022年诉讼服务相关岗位人员获得了立案庭给予的表扬信；在日常的各项工作中，诉讼服务团队也获得了来自当事人、律师等的锦旗、表扬信等。但经济效益、社会效益指标缺少量化，满意度调查不够全面，缺少满意度分析。</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该项指标权重分20分，根据评分规则评价得分16.66分。</w:t>
      </w:r>
    </w:p>
    <w:p>
      <w:pPr>
        <w:spacing w:line="600" w:lineRule="exact"/>
        <w:ind w:firstLine="640" w:firstLineChars="200"/>
        <w:outlineLvl w:val="0"/>
        <w:rPr>
          <w:rFonts w:ascii="Times New Roman" w:hAnsi="Times New Roman" w:eastAsia="黑体"/>
          <w:kern w:val="44"/>
          <w:sz w:val="32"/>
          <w:szCs w:val="24"/>
        </w:rPr>
      </w:pPr>
      <w:bookmarkStart w:id="55" w:name="_Toc17578"/>
      <w:r>
        <w:rPr>
          <w:rFonts w:hint="eastAsia" w:ascii="Times New Roman" w:hAnsi="Times New Roman" w:eastAsia="黑体"/>
          <w:kern w:val="44"/>
          <w:sz w:val="32"/>
          <w:szCs w:val="24"/>
        </w:rPr>
        <w:t>五、主要经验及做法、存在的问题及原因分析</w:t>
      </w:r>
      <w:bookmarkEnd w:id="55"/>
    </w:p>
    <w:p>
      <w:pPr>
        <w:spacing w:line="600" w:lineRule="exact"/>
        <w:ind w:left="420" w:leftChars="200" w:firstLine="320" w:firstLineChars="100"/>
        <w:outlineLvl w:val="1"/>
        <w:rPr>
          <w:rFonts w:ascii="楷体" w:hAnsi="楷体" w:eastAsia="楷体" w:cs="楷体"/>
          <w:bCs/>
          <w:kern w:val="2"/>
          <w:sz w:val="32"/>
          <w:szCs w:val="24"/>
        </w:rPr>
      </w:pPr>
      <w:bookmarkStart w:id="56" w:name="_Toc2430"/>
      <w:r>
        <w:rPr>
          <w:rFonts w:hint="eastAsia" w:ascii="楷体" w:hAnsi="楷体" w:eastAsia="楷体" w:cs="楷体"/>
          <w:bCs/>
          <w:kern w:val="2"/>
          <w:sz w:val="32"/>
          <w:szCs w:val="24"/>
        </w:rPr>
        <w:t>（一）项目存在的问题</w:t>
      </w:r>
      <w:bookmarkEnd w:id="56"/>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1.决策方面</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1）项目的顶层设计不够充分和明确。缺少部门服务外包的中长期计划和发展规划。2022年作为延续性项目，相关部门年度工作思路、目标不够清晰，指导项目实施的顶层设计、规划不够明确。如：繁简分流工作内容与本项目、与其他项目边界不清，可能造成购买服务边界不清，增加成本投入，影响工作质量。</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2）项目绩效目标和指标明确性、准确性不足。如，数量指标缺少人员资质的要求；质量指标为“承接入院登记取票、来院咨询、立案引导、一审立案辅助录入等诉讼服务职能，以及达到诉讼服务工作标准”，指标主要为工作任务，未在质量指标中明确完成本项目的具体质量要求。绩效目标申报表中数量指标和质量指标不对应，数量指标设置不全， 质量指标应该设为：月均到岗率、岗位设置的合理性、服务准确率和及时性；经济效益指标和社会效益指标未量化，社会效益指标不够准确，应为提高知识法院立案率和结案率；产出时效指标缺少资金支出进度安排；指标设定不够准确和明确。</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（3）项目预算编制不够明晰。本项目未见预算申报细化内容以及预算编制的依据。</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2.过程方面</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（1）合同管理的规范性还需要进一步加强。如，合同订立时间及合同订立的内部审批信息。合同条款较为简单，没有7个岗位的具体要求及人数，不便于考核、分析岗位工作量饱和度，影响投入产出效益分析。</w:t>
      </w:r>
    </w:p>
    <w:p>
      <w:pPr>
        <w:spacing w:line="600" w:lineRule="exact"/>
        <w:ind w:firstLine="640"/>
        <w:rPr>
          <w:rFonts w:ascii="仿宋_GB2312" w:hAnsi="宋体" w:eastAsia="仿宋_GB2312" w:cs="宋体"/>
          <w:sz w:val="32"/>
          <w:szCs w:val="32"/>
        </w:rPr>
      </w:pPr>
      <w:r>
        <w:rPr>
          <w:rFonts w:hint="eastAsia" w:ascii="仿宋_GB2312" w:hAnsi="宋体" w:eastAsia="仿宋_GB2312" w:cs="宋体"/>
          <w:sz w:val="32"/>
          <w:szCs w:val="32"/>
        </w:rPr>
        <w:t>（2）项目过程管理的严谨性、规范性还需进一步加强。</w:t>
      </w:r>
      <w:r>
        <w:rPr>
          <w:rFonts w:hint="eastAsia" w:ascii="仿宋_GB2312" w:hAnsi="宋体" w:eastAsia="仿宋_GB2312" w:cs="宋体"/>
          <w:b/>
          <w:bCs/>
          <w:sz w:val="32"/>
          <w:szCs w:val="32"/>
        </w:rPr>
        <w:t>一是</w:t>
      </w:r>
      <w:r>
        <w:rPr>
          <w:rFonts w:hint="eastAsia" w:ascii="仿宋_GB2312" w:hAnsi="宋体" w:eastAsia="仿宋_GB2312" w:cs="宋体"/>
          <w:sz w:val="32"/>
          <w:szCs w:val="32"/>
        </w:rPr>
        <w:t>未见项目可行性论证报告、项目实施方案。</w:t>
      </w:r>
      <w:r>
        <w:rPr>
          <w:rFonts w:hint="eastAsia" w:ascii="仿宋_GB2312" w:hAnsi="宋体" w:eastAsia="仿宋_GB2312" w:cs="宋体"/>
          <w:b/>
          <w:bCs/>
          <w:sz w:val="32"/>
          <w:szCs w:val="32"/>
        </w:rPr>
        <w:t>二是</w:t>
      </w:r>
      <w:r>
        <w:rPr>
          <w:rFonts w:hint="eastAsia" w:ascii="仿宋_GB2312" w:hAnsi="宋体" w:eastAsia="仿宋_GB2312" w:cs="宋体"/>
          <w:sz w:val="32"/>
          <w:szCs w:val="32"/>
        </w:rPr>
        <w:t>招标文件不够规范明确。招标文件和外包服务合同中，没有明确对提供服务人员的专业、学历要求，招标文件中要求的诉服团队的工作架构与实际工作岗位的匹配性应当明确细化。</w:t>
      </w:r>
      <w:r>
        <w:rPr>
          <w:rFonts w:hint="eastAsia" w:ascii="仿宋_GB2312" w:hAnsi="宋体" w:eastAsia="仿宋_GB2312" w:cs="宋体"/>
          <w:b/>
          <w:bCs/>
          <w:sz w:val="32"/>
          <w:szCs w:val="32"/>
        </w:rPr>
        <w:t>三是</w:t>
      </w:r>
      <w:r>
        <w:rPr>
          <w:rFonts w:hint="eastAsia" w:ascii="仿宋_GB2312" w:hAnsi="宋体" w:eastAsia="仿宋_GB2312" w:cs="宋体"/>
          <w:sz w:val="32"/>
          <w:szCs w:val="32"/>
        </w:rPr>
        <w:t>缺少考核细则的制度制订及项目单位对服务项目的考核量化内容。提供的业务部门意见为程度描述“良好”，不够量化；项目各季度绩效考评缺少业务部门、综合办公室的考核意见和结果。</w:t>
      </w:r>
      <w:r>
        <w:rPr>
          <w:rFonts w:hint="eastAsia" w:ascii="仿宋_GB2312" w:hAnsi="宋体" w:eastAsia="仿宋_GB2312" w:cs="宋体"/>
          <w:b/>
          <w:bCs/>
          <w:sz w:val="32"/>
          <w:szCs w:val="32"/>
        </w:rPr>
        <w:t>四是</w:t>
      </w:r>
      <w:r>
        <w:rPr>
          <w:rFonts w:hint="eastAsia" w:ascii="仿宋_GB2312" w:hAnsi="宋体" w:eastAsia="仿宋_GB2312" w:cs="宋体"/>
          <w:sz w:val="32"/>
          <w:szCs w:val="32"/>
        </w:rPr>
        <w:t>缺少甲乙方的相关服务确认信息。依照合同，乙方应以书面方式提请甲方进行服务确认，但未见甲乙方的相关服务确认信息。</w:t>
      </w:r>
      <w:r>
        <w:rPr>
          <w:rFonts w:hint="eastAsia" w:ascii="仿宋_GB2312" w:hAnsi="宋体" w:eastAsia="仿宋_GB2312" w:cs="宋体"/>
          <w:b/>
          <w:bCs/>
          <w:sz w:val="32"/>
          <w:szCs w:val="32"/>
        </w:rPr>
        <w:t>五是</w:t>
      </w:r>
      <w:r>
        <w:rPr>
          <w:rFonts w:hint="eastAsia" w:ascii="仿宋_GB2312" w:hAnsi="宋体" w:eastAsia="仿宋_GB2312" w:cs="宋体"/>
          <w:sz w:val="32"/>
          <w:szCs w:val="32"/>
        </w:rPr>
        <w:t>验收不规范。验收报告缺少规范签字及签署时间。项目提前验收。本项目服务期为2022.4.1-2023.3.31，依照合同“服务项目按照合同规定完成后甲方应当及时进行验收”，实际验收时间为2023.3.21日，早于项目完成时间。</w:t>
      </w:r>
      <w:r>
        <w:rPr>
          <w:rFonts w:hint="eastAsia" w:ascii="宋体" w:hAnsi="宋体" w:eastAsia="宋体" w:cs="宋体"/>
          <w:b/>
          <w:bCs/>
          <w:sz w:val="32"/>
          <w:szCs w:val="32"/>
        </w:rPr>
        <w:t>六</w:t>
      </w:r>
      <w:r>
        <w:rPr>
          <w:rFonts w:hint="eastAsia" w:ascii="仿宋_GB2312" w:hAnsi="宋体" w:eastAsia="仿宋_GB2312" w:cs="宋体"/>
          <w:b/>
          <w:bCs/>
          <w:sz w:val="32"/>
          <w:szCs w:val="32"/>
        </w:rPr>
        <w:t>是</w:t>
      </w:r>
      <w:r>
        <w:rPr>
          <w:rFonts w:hint="eastAsia" w:ascii="仿宋_GB2312" w:hAnsi="宋体" w:eastAsia="仿宋_GB2312" w:cs="宋体"/>
          <w:sz w:val="32"/>
          <w:szCs w:val="32"/>
        </w:rPr>
        <w:t>相关过程资料不全，未见相关服务日志和相关培训资料。招投标资料不够完整，未见评标报告资料，无法确定外包劳务派遣人员不得超过10%规定。</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3.产出方面</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合同中明确了22名人员组成团队，在合同履行过程中，从2022年4月-2023年3月，均未达到22人的合同要求。项目从预算到实施效果分析，对于成本重要性关注不够，缺少必要的成本控制措施。</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4.效益方面</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满意度调查结果不够明晰，调查内容比较简单，缺少满意度分析。如提供的满意度调查问卷只有满意、基本满意、不满意，调查不够深入和细化。调查样本量只有20份，样本量偏低。</w:t>
      </w:r>
    </w:p>
    <w:p>
      <w:pPr>
        <w:spacing w:line="600" w:lineRule="exact"/>
        <w:ind w:left="420" w:leftChars="200" w:firstLine="320" w:firstLineChars="100"/>
        <w:outlineLvl w:val="1"/>
        <w:rPr>
          <w:rFonts w:ascii="楷体" w:hAnsi="楷体" w:eastAsia="楷体" w:cs="楷体"/>
          <w:bCs/>
          <w:kern w:val="2"/>
          <w:sz w:val="32"/>
          <w:szCs w:val="24"/>
        </w:rPr>
      </w:pPr>
      <w:bookmarkStart w:id="57" w:name="_Toc24879"/>
      <w:r>
        <w:rPr>
          <w:rFonts w:hint="eastAsia" w:ascii="楷体" w:hAnsi="楷体" w:eastAsia="楷体" w:cs="楷体"/>
          <w:bCs/>
          <w:kern w:val="2"/>
          <w:sz w:val="32"/>
          <w:szCs w:val="24"/>
        </w:rPr>
        <w:t>（二）原因分析</w:t>
      </w:r>
      <w:bookmarkEnd w:id="57"/>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w:t>
      </w:r>
      <w:r>
        <w:rPr>
          <w:rFonts w:hint="eastAsia" w:ascii="仿宋_GB2312" w:hAnsi="宋体" w:eastAsia="仿宋_GB2312" w:cs="宋体"/>
          <w:sz w:val="32"/>
          <w:szCs w:val="32"/>
        </w:rPr>
        <w:t>关于预算依据及细化不足的原因分析</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北京知识产权法院自2017年开展诉讼指导外包服务项目以来，每年按照193.805760万元向财政申请该项目资金。近几年北京知识产权法院的收案量逐年上升，与2017年相比已翻倍增长，但诉讼指导外包服务项目资金并未增加。关于预算细化问题确实存在，在今后的预算编制中尽可能做到预算内容细化、明确，预算有依据。</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2.关于满意度的原因分析</w:t>
      </w:r>
    </w:p>
    <w:p>
      <w:pPr>
        <w:spacing w:line="600" w:lineRule="exact"/>
        <w:rPr>
          <w:rFonts w:ascii="仿宋_GB2312" w:hAnsi="宋体" w:eastAsia="仿宋_GB2312" w:cs="宋体"/>
          <w:sz w:val="32"/>
          <w:szCs w:val="32"/>
        </w:rPr>
      </w:pPr>
      <w:r>
        <w:rPr>
          <w:rFonts w:hint="eastAsia" w:ascii="仿宋_GB2312" w:hAnsi="宋体" w:eastAsia="仿宋_GB2312" w:cs="宋体"/>
          <w:sz w:val="32"/>
          <w:szCs w:val="32"/>
        </w:rPr>
        <w:t xml:space="preserve">   满意度调查内容单一、问题不具有针对性、样本量低、调查对象不全面、缺少满意度分析等问题，诉讼指导外包服务过程中没有注意收集这方面的信息，今后要利用信息技术、发放调查问卷等手段加强对服务对象的满意度信息收集，细化调查问卷内容，以此作为改进工作的契机，更好促进诉讼指导外包服务工作。   </w:t>
      </w:r>
    </w:p>
    <w:p>
      <w:pPr>
        <w:spacing w:line="600" w:lineRule="exact"/>
        <w:ind w:firstLine="640" w:firstLineChars="200"/>
        <w:outlineLvl w:val="0"/>
        <w:rPr>
          <w:rFonts w:ascii="Times New Roman" w:hAnsi="Times New Roman" w:eastAsia="黑体"/>
          <w:kern w:val="44"/>
          <w:sz w:val="32"/>
          <w:szCs w:val="24"/>
        </w:rPr>
      </w:pPr>
      <w:bookmarkStart w:id="58" w:name="_Toc32133"/>
      <w:r>
        <w:rPr>
          <w:rFonts w:hint="eastAsia" w:ascii="Times New Roman" w:hAnsi="Times New Roman" w:eastAsia="黑体"/>
          <w:kern w:val="44"/>
          <w:sz w:val="32"/>
          <w:szCs w:val="24"/>
        </w:rPr>
        <w:t>六、有关建议</w:t>
      </w:r>
      <w:bookmarkEnd w:id="58"/>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1.注重项目的顶层设计，提高项目的整体统筹性和规划性。作为延续性项目，应明确项目的中长期计划和目标，提高项目的战略性筹划。如，随着网上立案的增多，如何有效改进，提升服务的针对性和有效性。</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进一步对购买服务的人员配置的合理性、科学性进行论证和分析，明确法院与第三方的职责划分，不断优化购买服务工作，做好政府购买服务的决策工作；明确知识产权法院与受托单位的职责权限和决策机制，保证法院在项目实施中的主导性和指引性。对购买服务人员的岗位、数量进行论证分析，提高人员配置的合理性、科学性，同时对聘用人员的资质要求在采购服务时予以明确。</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加强项目过程管理与控制。（1）强化对第三方的监管。本项目全部委托第三方实施，应重视项目日常监管和工作成效的评价，能够量化考核结果，保证评价信息的完整性和充分性，建议对人员资格要求并入招标文件打分项。（2）在合同中约定质量要求，并在支付服务款项时予以体现。如，本项目中高院抽检回复话术不标准，验收报告显示要扣款，但实际支付未予以扣款，应在合同中体现相关质量要求和处罚方式。（3）对项目进行可行性论证，制定项目实施方案，提高项目管理的规范性。（4）做好项目预算编制和细化工作，合理测算岗位，明确人员工作定额，提高项目预算内容的明确性等。</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4.进一步深化合同管理，保证合同文本的完整性。</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深化满意度调查。本项目延续实施，应深化调查问卷，将调查结果作为下年项目实施的需求分析依据之一，做好满意度调查和分析工作，避免满意度调查的形式化。加强对满意度的调查，并以此为契机，加强对第三服务质量的约束和要求，不断提高服务质量和水平。</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在绩效指标设定上应更加明确和准确。如，数量指标和质量指标应匹配；明确项目的质量要求，质量指标应该设为人员的月均到岗率、岗位设置的合理性、服务准确率和及时性等内容等，提高绩效指标的准确性和明确性。</w:t>
      </w:r>
    </w:p>
    <w:p>
      <w:pPr>
        <w:spacing w:line="600" w:lineRule="exact"/>
        <w:ind w:firstLine="640" w:firstLineChars="200"/>
        <w:outlineLvl w:val="0"/>
        <w:rPr>
          <w:rFonts w:ascii="Times New Roman" w:hAnsi="Times New Roman" w:eastAsia="黑体"/>
          <w:kern w:val="44"/>
          <w:sz w:val="32"/>
          <w:szCs w:val="24"/>
        </w:rPr>
      </w:pPr>
      <w:bookmarkStart w:id="59" w:name="_Toc15478"/>
      <w:r>
        <w:rPr>
          <w:rFonts w:hint="eastAsia" w:ascii="Times New Roman" w:hAnsi="Times New Roman" w:eastAsia="黑体"/>
          <w:kern w:val="44"/>
          <w:sz w:val="32"/>
          <w:szCs w:val="24"/>
        </w:rPr>
        <w:t>七、其他需要说明的问题</w:t>
      </w:r>
      <w:bookmarkEnd w:id="59"/>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无。</w:t>
      </w:r>
    </w:p>
    <w:p>
      <w:pPr>
        <w:spacing w:line="600" w:lineRule="exact"/>
        <w:ind w:firstLine="640" w:firstLineChars="200"/>
        <w:outlineLvl w:val="0"/>
        <w:rPr>
          <w:rFonts w:ascii="Times New Roman" w:hAnsi="Times New Roman" w:eastAsia="黑体"/>
          <w:kern w:val="44"/>
          <w:sz w:val="32"/>
          <w:szCs w:val="24"/>
        </w:rPr>
      </w:pPr>
      <w:bookmarkStart w:id="60" w:name="_Toc2362"/>
      <w:r>
        <w:rPr>
          <w:rFonts w:hint="eastAsia" w:ascii="Times New Roman" w:hAnsi="Times New Roman" w:eastAsia="黑体"/>
          <w:kern w:val="44"/>
          <w:sz w:val="32"/>
          <w:szCs w:val="24"/>
        </w:rPr>
        <w:t>八、附件</w:t>
      </w:r>
      <w:bookmarkEnd w:id="60"/>
    </w:p>
    <w:p>
      <w:pPr>
        <w:spacing w:line="600" w:lineRule="exact"/>
        <w:ind w:firstLine="320" w:firstLineChars="100"/>
        <w:rPr>
          <w:rFonts w:ascii="仿宋_GB2312" w:hAnsi="宋体" w:eastAsia="仿宋_GB2312" w:cs="宋体"/>
          <w:sz w:val="32"/>
          <w:szCs w:val="32"/>
        </w:rPr>
        <w:sectPr>
          <w:footerReference r:id="rId3" w:type="default"/>
          <w:footerReference r:id="rId4" w:type="even"/>
          <w:pgSz w:w="11906" w:h="16838"/>
          <w:pgMar w:top="1440" w:right="1800" w:bottom="1440" w:left="1800" w:header="851" w:footer="992" w:gutter="0"/>
          <w:pgNumType w:start="1"/>
          <w:cols w:space="720" w:num="1"/>
          <w:docGrid w:type="lines" w:linePitch="312" w:charSpace="0"/>
        </w:sectPr>
      </w:pPr>
      <w:r>
        <w:rPr>
          <w:rFonts w:hint="eastAsia" w:ascii="仿宋_GB2312" w:hAnsi="宋体" w:eastAsia="仿宋_GB2312" w:cs="宋体"/>
          <w:sz w:val="32"/>
          <w:szCs w:val="32"/>
        </w:rPr>
        <w:t xml:space="preserve"> 1.项目支出绩效评价指标体系评分表</w:t>
      </w:r>
    </w:p>
    <w:p>
      <w:r>
        <w:rPr>
          <w:rFonts w:hint="eastAsia"/>
        </w:rPr>
        <w:t xml:space="preserve">                                    </w:t>
      </w:r>
      <w:r>
        <w:rPr>
          <w:rFonts w:hint="eastAsia"/>
          <w:sz w:val="30"/>
          <w:szCs w:val="30"/>
        </w:rPr>
        <w:t xml:space="preserve">      </w:t>
      </w:r>
      <w:r>
        <w:rPr>
          <w:rFonts w:hint="eastAsia" w:ascii="仿宋_GB2312" w:hAnsi="宋体" w:eastAsia="仿宋_GB2312" w:cs="宋体"/>
          <w:b/>
          <w:bCs/>
          <w:sz w:val="32"/>
          <w:szCs w:val="32"/>
        </w:rPr>
        <w:t xml:space="preserve"> 项目支出绩效评价指标体系评分表</w:t>
      </w:r>
      <w:r>
        <w:rPr>
          <w:rFonts w:hint="eastAsia" w:ascii="仿宋_GB2312" w:hAnsi="宋体" w:eastAsia="仿宋_GB2312" w:cs="宋体"/>
          <w:sz w:val="32"/>
          <w:szCs w:val="32"/>
        </w:rPr>
        <w:t xml:space="preserve"> </w:t>
      </w:r>
      <w:r>
        <w:rPr>
          <w:rFonts w:hint="eastAsia"/>
        </w:rPr>
        <w:t xml:space="preserve">  </w:t>
      </w:r>
    </w:p>
    <w:p>
      <w:pPr>
        <w:rPr>
          <w:rFonts w:ascii="方正仿宋_GB2312" w:hAnsi="方正仿宋_GB2312" w:eastAsia="方正仿宋_GB2312" w:cs="方正仿宋_GB2312"/>
        </w:rPr>
      </w:pPr>
      <w:r>
        <w:rPr>
          <w:rFonts w:hint="eastAsia" w:ascii="方正仿宋_GB2312" w:hAnsi="方正仿宋_GB2312" w:eastAsia="方正仿宋_GB2312" w:cs="方正仿宋_GB2312"/>
        </w:rPr>
        <w:t>项目名称：北京知识产权法院2022年诉讼指导外包服务项目</w:t>
      </w:r>
    </w:p>
    <w:tbl>
      <w:tblPr>
        <w:tblStyle w:val="9"/>
        <w:tblW w:w="14109" w:type="dxa"/>
        <w:tblInd w:w="0" w:type="dxa"/>
        <w:tblLayout w:type="autofit"/>
        <w:tblCellMar>
          <w:top w:w="0" w:type="dxa"/>
          <w:left w:w="0" w:type="dxa"/>
          <w:bottom w:w="0" w:type="dxa"/>
          <w:right w:w="0" w:type="dxa"/>
        </w:tblCellMar>
      </w:tblPr>
      <w:tblGrid>
        <w:gridCol w:w="730"/>
        <w:gridCol w:w="786"/>
        <w:gridCol w:w="990"/>
        <w:gridCol w:w="1000"/>
        <w:gridCol w:w="2120"/>
        <w:gridCol w:w="990"/>
        <w:gridCol w:w="3070"/>
        <w:gridCol w:w="1744"/>
        <w:gridCol w:w="800"/>
        <w:gridCol w:w="1879"/>
      </w:tblGrid>
      <w:tr>
        <w:tblPrEx>
          <w:tblCellMar>
            <w:top w:w="0" w:type="dxa"/>
            <w:left w:w="0" w:type="dxa"/>
            <w:bottom w:w="0" w:type="dxa"/>
            <w:right w:w="0" w:type="dxa"/>
          </w:tblCellMar>
        </w:tblPrEx>
        <w:trPr>
          <w:trHeight w:val="300" w:hRule="atLeast"/>
        </w:trPr>
        <w:tc>
          <w:tcPr>
            <w:tcW w:w="73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一级指标</w:t>
            </w:r>
          </w:p>
        </w:tc>
        <w:tc>
          <w:tcPr>
            <w:tcW w:w="78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二级指标</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分值</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三级指标</w:t>
            </w: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四级</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分值</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评价要点</w:t>
            </w: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完成情况</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得分</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b/>
                <w:sz w:val="20"/>
                <w:szCs w:val="20"/>
              </w:rPr>
            </w:pPr>
            <w:r>
              <w:rPr>
                <w:rFonts w:hint="eastAsia" w:ascii="宋体" w:hAnsi="宋体" w:eastAsia="宋体" w:cs="宋体"/>
                <w:b/>
                <w:sz w:val="20"/>
                <w:szCs w:val="20"/>
              </w:rPr>
              <w:t>扣分理由</w:t>
            </w:r>
          </w:p>
        </w:tc>
      </w:tr>
      <w:tr>
        <w:tblPrEx>
          <w:tblCellMar>
            <w:top w:w="0" w:type="dxa"/>
            <w:left w:w="0" w:type="dxa"/>
            <w:bottom w:w="0" w:type="dxa"/>
            <w:right w:w="0" w:type="dxa"/>
          </w:tblCellMar>
        </w:tblPrEx>
        <w:trPr>
          <w:trHeight w:val="780" w:hRule="atLeast"/>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决策（20）　</w:t>
            </w: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项目立项　</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8</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立项依据充分性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立项依据充分性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①项目立项是否符合国家法律法规、符合国家及北京市相关发展规划、政策;</w:t>
            </w:r>
          </w:p>
        </w:tc>
        <w:tc>
          <w:tcPr>
            <w:tcW w:w="1744" w:type="dxa"/>
            <w:vMerge w:val="restart"/>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3.8</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繁简分流工作内容与本项目、与其他项目边界不清。可能造成购买服务边界不清，增加成本投入，以及影响工作质量；缺服务外包项目中长期规划</w:t>
            </w:r>
          </w:p>
        </w:tc>
      </w:tr>
      <w:tr>
        <w:tblPrEx>
          <w:tblCellMar>
            <w:top w:w="0" w:type="dxa"/>
            <w:left w:w="0" w:type="dxa"/>
            <w:bottom w:w="0" w:type="dxa"/>
            <w:right w:w="0" w:type="dxa"/>
          </w:tblCellMar>
        </w:tblPrEx>
        <w:trPr>
          <w:trHeight w:val="10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②项目是否属于“负面清单”范围内的事项;(一票否决项，如属于“负面清单”，则整个项目评价为不及格)；</w:t>
            </w:r>
          </w:p>
        </w:tc>
        <w:tc>
          <w:tcPr>
            <w:tcW w:w="1744"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0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③项目立项是否与部门职责范围相符，是否属于北京市公共财政支持范围，是否符合中央、地方事权支出责任划分原则；</w:t>
            </w:r>
          </w:p>
        </w:tc>
        <w:tc>
          <w:tcPr>
            <w:tcW w:w="1744"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0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④项目是否与其他部门同类项目或部门内部其他项目存在重复保障。(如:该服务事项是否同时通过编外用工申报预算)</w:t>
            </w:r>
          </w:p>
        </w:tc>
        <w:tc>
          <w:tcPr>
            <w:tcW w:w="1744"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7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立项程序规范性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立项程序规范性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①项目需求调研、可行性研究、专家论证、风险评估及管理等资料是否齐备；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无可行性研究</w:t>
            </w:r>
          </w:p>
        </w:tc>
      </w:tr>
      <w:tr>
        <w:tblPrEx>
          <w:tblCellMar>
            <w:top w:w="0" w:type="dxa"/>
            <w:left w:w="0" w:type="dxa"/>
            <w:bottom w:w="0" w:type="dxa"/>
            <w:right w:w="0" w:type="dxa"/>
          </w:tblCellMar>
        </w:tblPrEx>
        <w:trPr>
          <w:trHeight w:val="10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②立项报材料中政府购买服务的内容、服务标准和技术保障是否明确，采购实施计划是否完整、合规、合理；</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③立项前是否经过事前绩效评估，以及必要的集体决策程序；</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r>
      <w:tr>
        <w:tblPrEx>
          <w:tblCellMar>
            <w:top w:w="0" w:type="dxa"/>
            <w:left w:w="0" w:type="dxa"/>
            <w:bottom w:w="0" w:type="dxa"/>
            <w:right w:w="0" w:type="dxa"/>
          </w:tblCellMar>
        </w:tblPrEx>
        <w:trPr>
          <w:trHeight w:val="7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④项目内容是否列入部门政府购买服务指导性目录，部门政府购买服务指导性目录是否规范。</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r>
      <w:tr>
        <w:tblPrEx>
          <w:tblCellMar>
            <w:top w:w="0" w:type="dxa"/>
            <w:left w:w="0" w:type="dxa"/>
            <w:bottom w:w="0" w:type="dxa"/>
            <w:right w:w="0" w:type="dxa"/>
          </w:tblCellMar>
        </w:tblPrEx>
        <w:trPr>
          <w:trHeight w:val="6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绩效目标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8</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绩效目标合理性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绩效目标合理性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①项目是否有绩效目标；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3.8</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个别绩效指标的设定不够准确和明确。预期产出效益和效果没有量化</w:t>
            </w: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②项目绩效目标与政府购买服务的实际内容是否具有相关性；</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③项目预期产出效益和效果是否符合正常的业绩水平；</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7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④绩效目标及指标值是否与政府购买服务所申报的预算资金量相匹配。</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绩效指标明确性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绩效指标明确性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①是否将项目绩效目标细化分解为具体的绩效指标；</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2.94</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个别绩效指标的设定不够准确和明确。</w:t>
            </w: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②绩效指标是否全面，是否包括必要的成本指标以及满意度指标；</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③指标是否通过清晰、可衡量的指标值予以体现；</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④指标是否与项目目标任务数或计划数相对应。</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r>
      <w:tr>
        <w:tblPrEx>
          <w:tblCellMar>
            <w:top w:w="0" w:type="dxa"/>
            <w:left w:w="0" w:type="dxa"/>
            <w:bottom w:w="0" w:type="dxa"/>
            <w:right w:w="0" w:type="dxa"/>
          </w:tblCellMar>
        </w:tblPrEx>
        <w:trPr>
          <w:trHeight w:val="6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资金投入</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预算编制科学性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预算编制科学性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①预算编制是否经过科学论证；</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2.7</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预算编制依据不够明确，内容不够细化；缺少预算明细</w:t>
            </w:r>
          </w:p>
        </w:tc>
      </w:tr>
      <w:tr>
        <w:tblPrEx>
          <w:tblCellMar>
            <w:top w:w="0" w:type="dxa"/>
            <w:left w:w="0" w:type="dxa"/>
            <w:bottom w:w="0" w:type="dxa"/>
            <w:right w:w="0" w:type="dxa"/>
          </w:tblCellMar>
        </w:tblPrEx>
        <w:trPr>
          <w:trHeight w:val="2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②预算内容与项目内容是否匹配；</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0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③预算额度测算依据是否充分，是否按照标准编制，是否进行了成本定额</w:t>
            </w:r>
            <w:r>
              <w:rPr>
                <w:rFonts w:hint="eastAsia" w:ascii="宋体" w:hAnsi="宋体" w:eastAsia="宋体" w:cs="宋体"/>
                <w:sz w:val="20"/>
                <w:szCs w:val="20"/>
              </w:rPr>
              <w:br w:type="textWrapping"/>
            </w:r>
            <w:r>
              <w:rPr>
                <w:rFonts w:hint="eastAsia" w:ascii="宋体" w:hAnsi="宋体" w:eastAsia="宋体" w:cs="宋体"/>
                <w:sz w:val="20"/>
                <w:szCs w:val="20"/>
              </w:rPr>
              <w:t>测算；</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④预算资金量是否与工作任务相匹配。</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restart"/>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过程（20）</w:t>
            </w: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资金管理</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预算执行率</w:t>
            </w: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预算执行率</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预算执行率=（实际支出资金/实际到位资金）×100%。</w:t>
            </w: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100%</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78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资金使用合规性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资金使用合规性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①是否符合国家财经法规和财务管理制度以及有关专项资金管理办法的规定；</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3.72</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项目各季度绩效考评缺少业务部门、综合办公室的考核意见和结果。</w:t>
            </w:r>
          </w:p>
        </w:tc>
      </w:tr>
      <w:tr>
        <w:tblPrEx>
          <w:tblCellMar>
            <w:top w:w="0" w:type="dxa"/>
            <w:left w:w="0" w:type="dxa"/>
            <w:bottom w:w="0" w:type="dxa"/>
            <w:right w:w="0" w:type="dxa"/>
          </w:tblCellMar>
        </w:tblPrEx>
        <w:trPr>
          <w:trHeight w:val="78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②资金拨付是否有完整的程序和手续，拨付的时间节点及金额是否符合合司约定的时间及工作进度；</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③是否符合项目预算批复或合同规定的用途；</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52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④是否存在截留、挤占、挪用、虚列支出等情况。</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64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restart"/>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业务管理</w:t>
            </w:r>
          </w:p>
        </w:tc>
        <w:tc>
          <w:tcPr>
            <w:tcW w:w="990" w:type="dxa"/>
            <w:vMerge w:val="restart"/>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13</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管理制度健全性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管理制度健全性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①是否有完善的财务管理、采购管理、合同管理等制度；</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2.3</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缺少项目的可研报告、实施方案等；缺少项目管理制度；缺少考核细则的制度制订及项目单位对服务项目的考核量化内容。</w:t>
            </w:r>
          </w:p>
        </w:tc>
      </w:tr>
      <w:tr>
        <w:tblPrEx>
          <w:tblCellMar>
            <w:top w:w="0" w:type="dxa"/>
            <w:left w:w="0" w:type="dxa"/>
            <w:bottom w:w="0" w:type="dxa"/>
            <w:right w:w="0" w:type="dxa"/>
          </w:tblCellMar>
        </w:tblPrEx>
        <w:trPr>
          <w:trHeight w:val="64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②对所购买服务是否有明确的业务管理制度；</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64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③对所购买服务是否有明确的质量监控制度和验收办法。</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68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制度执行有效性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制度执行有效性</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10</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①是否履行了合法合规的采购程序；</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6.86</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服务人员数量不达标，服务人员出现信息录入等一些差错，甚至在北京高院检查发现错误时，再出现错误。缺少过程监管留痕；人员数量测算合理性不充分；验收工作提前，与合同约定范围存在偏差。季度绩效评价的服务确认和评价结果的完整性不足；验收和过程监管留痕不够完善；缺少合同签署日期；缺少合同签订的审批信息；不够规范</w:t>
            </w:r>
          </w:p>
        </w:tc>
      </w:tr>
      <w:tr>
        <w:tblPrEx>
          <w:tblCellMar>
            <w:top w:w="0" w:type="dxa"/>
            <w:left w:w="0" w:type="dxa"/>
            <w:bottom w:w="0" w:type="dxa"/>
            <w:right w:w="0" w:type="dxa"/>
          </w:tblCellMar>
        </w:tblPrEx>
        <w:trPr>
          <w:trHeight w:val="120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②政府购买服务承接主体是否符合政策规定，同等条件下是否优先考虑社会组织，是否执行“拨改买”政策要求；</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20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③政府购买服务合同是否有明确的服务内容、期限、数量、质量、价格资金结算方式、各方权利义务和违约责任等内容；</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30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④购买主体是否履行了对所购买服务实施过程的监督管理责任;是否对承接主体的工作有检查验收考核等质量监控;承接主体是否存在转包现象;</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140" w:hRule="atLeast"/>
        </w:trPr>
        <w:tc>
          <w:tcPr>
            <w:tcW w:w="730" w:type="dxa"/>
            <w:vMerge w:val="continue"/>
            <w:tcBorders>
              <w:top w:val="nil"/>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both"/>
              <w:textAlignment w:val="center"/>
              <w:rPr>
                <w:rFonts w:ascii="宋体" w:hAnsi="宋体" w:eastAsia="宋体" w:cs="宋体"/>
                <w:sz w:val="20"/>
                <w:szCs w:val="20"/>
              </w:rPr>
            </w:pPr>
            <w:r>
              <w:rPr>
                <w:rFonts w:hint="eastAsia" w:ascii="宋体" w:hAnsi="宋体" w:eastAsia="宋体" w:cs="宋体"/>
                <w:sz w:val="20"/>
                <w:szCs w:val="20"/>
              </w:rPr>
              <w:t>⑤项目验收报告、技术鉴定等资料是否齐全并及时归档。</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040" w:hRule="atLeast"/>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产出（30）</w:t>
            </w: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产出数量</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10</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实际完成率</w:t>
            </w: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指标1：服务人员数量：总人数不低于22人；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30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1.实际完成率=(实际产出数/计划产出数)100%。如产出为多项内容，则计算平均数</w:t>
            </w:r>
            <w:r>
              <w:rPr>
                <w:rFonts w:hint="eastAsia" w:ascii="宋体" w:hAnsi="宋体" w:eastAsia="宋体" w:cs="宋体"/>
                <w:sz w:val="20"/>
                <w:szCs w:val="20"/>
              </w:rPr>
              <w:br w:type="textWrapping"/>
            </w:r>
            <w:r>
              <w:rPr>
                <w:rFonts w:hint="eastAsia" w:ascii="宋体" w:hAnsi="宋体" w:eastAsia="宋体" w:cs="宋体"/>
                <w:sz w:val="20"/>
                <w:szCs w:val="20"/>
              </w:rPr>
              <w:t>2.实际产出数：一定时期（本年度或项目期）内项目实际产出的产品或提供的服务数量。</w:t>
            </w:r>
            <w:r>
              <w:rPr>
                <w:rFonts w:hint="eastAsia" w:ascii="宋体" w:hAnsi="宋体" w:eastAsia="宋体" w:cs="宋体"/>
                <w:sz w:val="20"/>
                <w:szCs w:val="20"/>
              </w:rPr>
              <w:br w:type="textWrapping"/>
            </w:r>
            <w:r>
              <w:rPr>
                <w:rFonts w:hint="eastAsia" w:ascii="宋体" w:hAnsi="宋体" w:eastAsia="宋体" w:cs="宋体"/>
                <w:sz w:val="20"/>
                <w:szCs w:val="20"/>
              </w:rPr>
              <w:t>3.计划产出数：项目绩效目标确定的在一定时期（本年度或项目期）内计划产出的产品或提供的服务数量。如产出为多项产品或服务，应分别计算后，按照资金占比或重要性加权合计。</w:t>
            </w:r>
            <w:r>
              <w:rPr>
                <w:rFonts w:hint="eastAsia" w:ascii="宋体" w:hAnsi="宋体" w:eastAsia="宋体" w:cs="宋体"/>
                <w:sz w:val="20"/>
                <w:szCs w:val="20"/>
              </w:rPr>
              <w:br w:type="textWrapping"/>
            </w:r>
            <w:r>
              <w:rPr>
                <w:rFonts w:hint="eastAsia" w:ascii="宋体" w:hAnsi="宋体" w:eastAsia="宋体" w:cs="宋体"/>
                <w:sz w:val="20"/>
                <w:szCs w:val="20"/>
              </w:rPr>
              <w:t>如未设定产出数量指标或指标值不合理，则计划产出数应由工作组和专家组综合考虑项目实际情况和行业情况确定。实际产出远高于计划产出数，偏离度过大，超出 20%，应酌情扣分</w:t>
            </w: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年均约21人；</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2.7</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人数未达到合同要求</w:t>
            </w:r>
          </w:p>
        </w:tc>
      </w:tr>
      <w:tr>
        <w:tblPrEx>
          <w:tblCellMar>
            <w:top w:w="0" w:type="dxa"/>
            <w:left w:w="0" w:type="dxa"/>
            <w:bottom w:w="0" w:type="dxa"/>
            <w:right w:w="0" w:type="dxa"/>
          </w:tblCellMar>
        </w:tblPrEx>
        <w:trPr>
          <w:trHeight w:val="18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指标2：岗位数共7个①导诉台接待组；②热线电话组；③集约上诉送达组；④材料收转组；⑤立案录入辅助岗；⑥案件库录入岗；⑦邮件管理岗</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w:t>
            </w:r>
          </w:p>
        </w:tc>
        <w:tc>
          <w:tcPr>
            <w:tcW w:w="30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实际岗位7个</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r>
      <w:tr>
        <w:tblPrEx>
          <w:tblCellMar>
            <w:top w:w="0" w:type="dxa"/>
            <w:left w:w="0" w:type="dxa"/>
            <w:bottom w:w="0" w:type="dxa"/>
            <w:right w:w="0" w:type="dxa"/>
          </w:tblCellMar>
        </w:tblPrEx>
        <w:trPr>
          <w:trHeight w:val="36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指标:3：服务数量：不少于2021年的服务数量合计187417。其中2021年服务群众诉讼数10511次；热线电话接听数24000次；诉讼材料收转数29011份；立案辅助数量101518件；案件移转数量11918件；</w:t>
            </w:r>
            <w:r>
              <w:rPr>
                <w:rFonts w:hint="eastAsia" w:ascii="宋体" w:hAnsi="宋体" w:eastAsia="宋体" w:cs="宋体"/>
                <w:sz w:val="20"/>
                <w:szCs w:val="20"/>
              </w:rPr>
              <w:br w:type="textWrapping"/>
            </w:r>
            <w:r>
              <w:rPr>
                <w:rFonts w:hint="eastAsia" w:ascii="宋体" w:hAnsi="宋体" w:eastAsia="宋体" w:cs="宋体"/>
                <w:sz w:val="20"/>
                <w:szCs w:val="20"/>
              </w:rPr>
              <w:t>二审立案辅助10459件。</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w:t>
            </w:r>
          </w:p>
        </w:tc>
        <w:tc>
          <w:tcPr>
            <w:tcW w:w="30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2022年的服务数量合计152010。其中:</w:t>
            </w:r>
            <w:r>
              <w:rPr>
                <w:rFonts w:hint="eastAsia" w:ascii="宋体" w:hAnsi="宋体" w:eastAsia="宋体" w:cs="宋体"/>
                <w:sz w:val="20"/>
                <w:szCs w:val="20"/>
              </w:rPr>
              <w:br w:type="textWrapping"/>
            </w:r>
            <w:r>
              <w:rPr>
                <w:rFonts w:hint="eastAsia" w:ascii="宋体" w:hAnsi="宋体" w:eastAsia="宋体" w:cs="宋体"/>
                <w:sz w:val="20"/>
                <w:szCs w:val="20"/>
              </w:rPr>
              <w:t>服务群众诉讼数9789次；</w:t>
            </w:r>
            <w:r>
              <w:rPr>
                <w:rFonts w:hint="eastAsia" w:ascii="宋体" w:hAnsi="宋体" w:eastAsia="宋体" w:cs="宋体"/>
                <w:sz w:val="20"/>
                <w:szCs w:val="20"/>
              </w:rPr>
              <w:br w:type="textWrapping"/>
            </w:r>
            <w:r>
              <w:rPr>
                <w:rFonts w:hint="eastAsia" w:ascii="宋体" w:hAnsi="宋体" w:eastAsia="宋体" w:cs="宋体"/>
                <w:sz w:val="20"/>
                <w:szCs w:val="20"/>
              </w:rPr>
              <w:t>热线电话接听数20102次；诉讼材料收转数25969份；立案辅助数量81190件；</w:t>
            </w:r>
            <w:r>
              <w:rPr>
                <w:rFonts w:hint="eastAsia" w:ascii="宋体" w:hAnsi="宋体" w:eastAsia="宋体" w:cs="宋体"/>
                <w:sz w:val="20"/>
                <w:szCs w:val="20"/>
              </w:rPr>
              <w:br w:type="textWrapping"/>
            </w:r>
            <w:r>
              <w:rPr>
                <w:rFonts w:hint="eastAsia" w:ascii="宋体" w:hAnsi="宋体" w:eastAsia="宋体" w:cs="宋体"/>
                <w:sz w:val="20"/>
                <w:szCs w:val="20"/>
              </w:rPr>
              <w:t>案件移转数量5363件；</w:t>
            </w:r>
            <w:r>
              <w:rPr>
                <w:rFonts w:hint="eastAsia" w:ascii="宋体" w:hAnsi="宋体" w:eastAsia="宋体" w:cs="宋体"/>
                <w:sz w:val="20"/>
                <w:szCs w:val="20"/>
              </w:rPr>
              <w:br w:type="textWrapping"/>
            </w:r>
            <w:r>
              <w:rPr>
                <w:rFonts w:hint="eastAsia" w:ascii="宋体" w:hAnsi="宋体" w:eastAsia="宋体" w:cs="宋体"/>
                <w:sz w:val="20"/>
                <w:szCs w:val="20"/>
              </w:rPr>
              <w:t>二审立案辅助9597件。</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4.14</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服务人员出现重大差错；少于预计数量</w:t>
            </w:r>
          </w:p>
        </w:tc>
      </w:tr>
      <w:tr>
        <w:tblPrEx>
          <w:tblCellMar>
            <w:top w:w="0" w:type="dxa"/>
            <w:left w:w="0" w:type="dxa"/>
            <w:bottom w:w="0" w:type="dxa"/>
            <w:right w:w="0" w:type="dxa"/>
          </w:tblCellMar>
        </w:tblPrEx>
        <w:trPr>
          <w:trHeight w:val="52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产出质量</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10</w:t>
            </w:r>
          </w:p>
        </w:tc>
        <w:tc>
          <w:tcPr>
            <w:tcW w:w="1000" w:type="dxa"/>
            <w:vMerge w:val="restart"/>
            <w:tcBorders>
              <w:top w:val="nil"/>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质量达标率(验收合格率）</w:t>
            </w: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指标1：人员到岗率：100%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3070" w:type="dxa"/>
            <w:vMerge w:val="restart"/>
            <w:tcBorders>
              <w:top w:val="nil"/>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质量达标率=（质量达标产出数/实际产出数）×100%。</w:t>
            </w:r>
            <w:r>
              <w:rPr>
                <w:rFonts w:hint="eastAsia" w:ascii="宋体" w:hAnsi="宋体" w:eastAsia="宋体" w:cs="宋体"/>
                <w:sz w:val="20"/>
                <w:szCs w:val="20"/>
              </w:rPr>
              <w:br w:type="textWrapping"/>
            </w:r>
            <w:r>
              <w:rPr>
                <w:rFonts w:hint="eastAsia" w:ascii="宋体" w:hAnsi="宋体" w:eastAsia="宋体" w:cs="宋体"/>
                <w:sz w:val="20"/>
                <w:szCs w:val="20"/>
              </w:rPr>
              <w:t>质量达标产出数:一定时期(本年度或项目期)内实际达到既定质量标准的产品或服务数量。既定质量标准是指项目实施单位设立绩效目标时依据计划标准、行业标准、历史标准或其他标准而设定的产出质量指标值。若项目单位未设定质量指标或设定不合理，应采用行业公认标准或国家有关标准</w:t>
            </w: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实际到岗率95.45%</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2.86</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存在长期孕、病假人员，以及人员流动情况。</w:t>
            </w:r>
          </w:p>
        </w:tc>
      </w:tr>
      <w:tr>
        <w:tblPrEx>
          <w:tblCellMar>
            <w:top w:w="0" w:type="dxa"/>
            <w:left w:w="0" w:type="dxa"/>
            <w:bottom w:w="0" w:type="dxa"/>
            <w:right w:w="0" w:type="dxa"/>
          </w:tblCellMar>
        </w:tblPrEx>
        <w:trPr>
          <w:trHeight w:val="7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nil"/>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指标1：在岗人员变更率：单季度不超过20%，全年不超过50%</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3070" w:type="dxa"/>
            <w:vMerge w:val="continue"/>
            <w:tcBorders>
              <w:top w:val="nil"/>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单季度未超过7%，年均变更率为7.14%</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2.28</w:t>
            </w: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56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nil"/>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指标3：服务的准确率≥99%；未超期办结率100%</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vMerge w:val="continue"/>
            <w:tcBorders>
              <w:top w:val="nil"/>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服务的准确率≥99%；未超期办结率100%</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3.64</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存在案件信息录入错误的情况。整体差错率在合同约定范围内。日常对错误进行总结并建立检查机制。</w:t>
            </w:r>
          </w:p>
        </w:tc>
      </w:tr>
      <w:tr>
        <w:tblPrEx>
          <w:tblCellMar>
            <w:top w:w="0" w:type="dxa"/>
            <w:left w:w="0" w:type="dxa"/>
            <w:bottom w:w="0" w:type="dxa"/>
            <w:right w:w="0" w:type="dxa"/>
          </w:tblCellMar>
        </w:tblPrEx>
        <w:trPr>
          <w:trHeight w:val="5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产出时效</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完成及时性</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2022年4-2023年3月完成100%</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实际完成时间是否符合合同要求，在计划完成时间之内。</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按期完成</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4.1</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缺少资金支付进度；与预算期间不匹配</w:t>
            </w:r>
          </w:p>
        </w:tc>
      </w:tr>
      <w:tr>
        <w:tblPrEx>
          <w:tblCellMar>
            <w:top w:w="0" w:type="dxa"/>
            <w:left w:w="0" w:type="dxa"/>
            <w:bottom w:w="0" w:type="dxa"/>
            <w:right w:w="0" w:type="dxa"/>
          </w:tblCellMar>
        </w:tblPrEx>
        <w:trPr>
          <w:trHeight w:val="10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实际完成时间:项目实施单位完成该项目实际所耗用的时间。计划完成时间:按照项目实施计划或相关规定完成该项目所需的时间</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2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产出成本</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成本节约率</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项目预算控制数≤193.80576万元，节约率5%</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w:t>
            </w:r>
          </w:p>
        </w:tc>
        <w:tc>
          <w:tcPr>
            <w:tcW w:w="30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成本节约率=[（计划成本-实际成本）/计划成本]×100%。</w:t>
            </w:r>
          </w:p>
        </w:tc>
        <w:tc>
          <w:tcPr>
            <w:tcW w:w="17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实际成本192.5万元；节约率0.67%</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w:t>
            </w:r>
          </w:p>
        </w:tc>
        <w:tc>
          <w:tcPr>
            <w:tcW w:w="187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2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28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eastAsia="宋体" w:cs="宋体"/>
                <w:sz w:val="20"/>
                <w:szCs w:val="20"/>
              </w:rPr>
            </w:pP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56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实际成本：项目实施单位如期、保质、保量完成既定工作目标实际所耗费的支出。</w:t>
            </w:r>
            <w:r>
              <w:rPr>
                <w:rFonts w:hint="eastAsia" w:ascii="宋体" w:hAnsi="宋体" w:eastAsia="宋体" w:cs="宋体"/>
                <w:sz w:val="20"/>
                <w:szCs w:val="20"/>
              </w:rPr>
              <w:br w:type="textWrapping"/>
            </w:r>
            <w:r>
              <w:rPr>
                <w:rFonts w:hint="eastAsia" w:ascii="宋体" w:hAnsi="宋体" w:eastAsia="宋体" w:cs="宋体"/>
                <w:sz w:val="20"/>
                <w:szCs w:val="20"/>
              </w:rPr>
              <w:t>计划成本：项目实施单位为完成工作目标计划安排的支出，一般以项目预算为参考。</w:t>
            </w:r>
          </w:p>
        </w:tc>
        <w:tc>
          <w:tcPr>
            <w:tcW w:w="17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87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r>
      <w:tr>
        <w:tblPrEx>
          <w:tblCellMar>
            <w:top w:w="0" w:type="dxa"/>
            <w:left w:w="0" w:type="dxa"/>
            <w:bottom w:w="0" w:type="dxa"/>
            <w:right w:w="0" w:type="dxa"/>
          </w:tblCellMar>
        </w:tblPrEx>
        <w:trPr>
          <w:trHeight w:val="1300" w:hRule="atLeast"/>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效益（30）　</w:t>
            </w:r>
          </w:p>
        </w:tc>
        <w:tc>
          <w:tcPr>
            <w:tcW w:w="786" w:type="dxa"/>
            <w:vMerge w:val="restart"/>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项目效益</w:t>
            </w:r>
          </w:p>
        </w:tc>
        <w:tc>
          <w:tcPr>
            <w:tcW w:w="990" w:type="dxa"/>
            <w:vMerge w:val="restart"/>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（10分）　</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经济效益</w:t>
            </w: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指标1：材料转接、速审辅助、案件移转、电子扫描送达、速裁辅助等诉讼服务有效缓解审判人员工作压力，节约人力成本</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3070" w:type="dxa"/>
            <w:vMerge w:val="restart"/>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项目预期所产生的社会效益、经济效益、生态效益、可持续影响等的实现程度。如绩效目标中的效益指标设定不具体不量化，评价中可根据项目实际情况有选择地设置和细化。</w:t>
            </w: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较2021年新增集约上诉送达岗位，减轻各法官团队上诉工作压力</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2.72</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支撑资料不够完备</w:t>
            </w:r>
          </w:p>
        </w:tc>
      </w:tr>
      <w:tr>
        <w:tblPrEx>
          <w:tblCellMar>
            <w:top w:w="0" w:type="dxa"/>
            <w:left w:w="0" w:type="dxa"/>
            <w:bottom w:w="0" w:type="dxa"/>
            <w:right w:w="0" w:type="dxa"/>
          </w:tblCellMar>
        </w:tblPrEx>
        <w:trPr>
          <w:trHeight w:val="31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指标2：一审立案辅助录入、案件信息录入、二审立案辅助录入、二审立案分案、邮寄起诉及网上立案辅助、预登记扫描等诉讼服务有效缓解立案工作压力，节约人力成本</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307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2022年案件数量、12368电话接听数量等均高于2021年同期数据，其中立案数量21366件，比2021年上升17%，除去疫情影响等不可抗因素外，各项工作基本都在规定时限内完成</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支撑不足</w:t>
            </w:r>
          </w:p>
        </w:tc>
      </w:tr>
      <w:tr>
        <w:tblPrEx>
          <w:tblCellMar>
            <w:top w:w="0" w:type="dxa"/>
            <w:left w:w="0" w:type="dxa"/>
            <w:bottom w:w="0" w:type="dxa"/>
            <w:right w:w="0" w:type="dxa"/>
          </w:tblCellMar>
        </w:tblPrEx>
        <w:trPr>
          <w:trHeight w:val="17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社会效益</w:t>
            </w: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eastAsia="宋体" w:cs="宋体"/>
                <w:sz w:val="20"/>
                <w:szCs w:val="20"/>
              </w:rPr>
            </w:pPr>
            <w:r>
              <w:rPr>
                <w:rFonts w:hint="eastAsia" w:ascii="宋体" w:hAnsi="宋体" w:eastAsia="宋体" w:cs="宋体"/>
                <w:sz w:val="20"/>
                <w:szCs w:val="20"/>
              </w:rPr>
              <w:t>入院登记取票、来院咨询、立案引导、来访咨询、热线电话等诉讼服务 让当事人获得良好的诉讼体验</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w:t>
            </w:r>
          </w:p>
        </w:tc>
        <w:tc>
          <w:tcPr>
            <w:tcW w:w="3070" w:type="dxa"/>
            <w:vMerge w:val="continue"/>
            <w:tcBorders>
              <w:top w:val="single" w:color="000000" w:sz="4" w:space="0"/>
              <w:left w:val="single" w:color="000000" w:sz="4" w:space="0"/>
              <w:bottom w:val="nil"/>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当事人已获得良好体验。其中诉讼服务团队12368热线岗收到一次到群众表扬。其他岗位未收到相关表扬。</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3.32</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支撑信息不够充分</w:t>
            </w:r>
          </w:p>
        </w:tc>
      </w:tr>
      <w:tr>
        <w:tblPrEx>
          <w:tblCellMar>
            <w:top w:w="0" w:type="dxa"/>
            <w:left w:w="0" w:type="dxa"/>
            <w:bottom w:w="0" w:type="dxa"/>
            <w:right w:w="0" w:type="dxa"/>
          </w:tblCellMar>
        </w:tblPrEx>
        <w:trPr>
          <w:trHeight w:val="156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满意度</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（20分）　</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服务对象满意度</w:t>
            </w: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当事人对诉讼服务的满意度≥90%</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6</w:t>
            </w:r>
          </w:p>
        </w:tc>
        <w:tc>
          <w:tcPr>
            <w:tcW w:w="30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社会公众或服务对象是指因该项目实施而受到影响的部门(单位)、群体或个人。一般采取社会调查的方式，将服务对象的满意度与预期指标进行比较。如项目单位未进行满意度评价，或设置的预期绩效指标值过低，评价中可酌情扣分。。</w:t>
            </w: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90%以上</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4.88</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人民法院在线平台因本年度满意度评价功能使普及率较低故相关满意度评价指标不具参考性。</w:t>
            </w:r>
          </w:p>
        </w:tc>
      </w:tr>
      <w:tr>
        <w:tblPrEx>
          <w:tblCellMar>
            <w:top w:w="0" w:type="dxa"/>
            <w:left w:w="0" w:type="dxa"/>
            <w:bottom w:w="0" w:type="dxa"/>
            <w:right w:w="0" w:type="dxa"/>
          </w:tblCellMar>
        </w:tblPrEx>
        <w:trPr>
          <w:trHeight w:val="9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立案工作人员对诉讼服务的满意度≥90%</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6</w:t>
            </w:r>
          </w:p>
        </w:tc>
        <w:tc>
          <w:tcPr>
            <w:tcW w:w="30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90%以上</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5.4</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存在录入错误。错误率不到99%，在合同控制范围内</w:t>
            </w:r>
          </w:p>
        </w:tc>
      </w:tr>
      <w:tr>
        <w:tblPrEx>
          <w:tblCellMar>
            <w:top w:w="0" w:type="dxa"/>
            <w:left w:w="0" w:type="dxa"/>
            <w:bottom w:w="0" w:type="dxa"/>
            <w:right w:w="0" w:type="dxa"/>
          </w:tblCellMar>
        </w:tblPrEx>
        <w:trPr>
          <w:trHeight w:val="104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审判工作人员对诉讼服务的满意度≥90%</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6</w:t>
            </w:r>
          </w:p>
        </w:tc>
        <w:tc>
          <w:tcPr>
            <w:tcW w:w="30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90%以上</w:t>
            </w: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5.38</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调查不够充分，调查内容比较简单；缺少调查样本量说明</w:t>
            </w:r>
          </w:p>
        </w:tc>
      </w:tr>
      <w:tr>
        <w:tblPrEx>
          <w:tblCellMar>
            <w:top w:w="0" w:type="dxa"/>
            <w:left w:w="0" w:type="dxa"/>
            <w:bottom w:w="0" w:type="dxa"/>
            <w:right w:w="0" w:type="dxa"/>
          </w:tblCellMar>
        </w:tblPrEx>
        <w:trPr>
          <w:trHeight w:val="36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满意度分析</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2</w:t>
            </w:r>
          </w:p>
        </w:tc>
        <w:tc>
          <w:tcPr>
            <w:tcW w:w="30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0"/>
                <w:szCs w:val="20"/>
              </w:rPr>
            </w:pPr>
          </w:p>
        </w:tc>
        <w:tc>
          <w:tcPr>
            <w:tcW w:w="8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w:t>
            </w:r>
          </w:p>
        </w:tc>
        <w:tc>
          <w:tcPr>
            <w:tcW w:w="187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缺少满意度分析</w:t>
            </w:r>
          </w:p>
        </w:tc>
      </w:tr>
      <w:tr>
        <w:tblPrEx>
          <w:tblCellMar>
            <w:top w:w="0" w:type="dxa"/>
            <w:left w:w="0" w:type="dxa"/>
            <w:bottom w:w="0" w:type="dxa"/>
            <w:right w:w="0" w:type="dxa"/>
          </w:tblCellMar>
        </w:tblPrEx>
        <w:trPr>
          <w:trHeight w:val="300" w:hRule="atLeast"/>
        </w:trPr>
        <w:tc>
          <w:tcPr>
            <w:tcW w:w="1516"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合计</w:t>
            </w:r>
          </w:p>
        </w:tc>
        <w:tc>
          <w:tcPr>
            <w:tcW w:w="99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right"/>
              <w:textAlignment w:val="center"/>
              <w:rPr>
                <w:rFonts w:ascii="宋体" w:hAnsi="宋体" w:eastAsia="宋体" w:cs="宋体"/>
                <w:sz w:val="20"/>
                <w:szCs w:val="20"/>
              </w:rPr>
            </w:pPr>
            <w:r>
              <w:rPr>
                <w:rFonts w:hint="eastAsia" w:ascii="宋体" w:hAnsi="宋体" w:eastAsia="宋体" w:cs="宋体"/>
                <w:sz w:val="20"/>
                <w:szCs w:val="20"/>
              </w:rPr>
              <w:t>100</w:t>
            </w:r>
          </w:p>
        </w:tc>
        <w:tc>
          <w:tcPr>
            <w:tcW w:w="10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宋体" w:hAnsi="宋体" w:eastAsia="宋体" w:cs="宋体"/>
                <w:sz w:val="20"/>
                <w:szCs w:val="20"/>
              </w:rPr>
            </w:pPr>
          </w:p>
        </w:tc>
        <w:tc>
          <w:tcPr>
            <w:tcW w:w="212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宋体" w:hAnsi="宋体" w:eastAsia="宋体" w:cs="宋体"/>
                <w:sz w:val="20"/>
                <w:szCs w:val="20"/>
              </w:rPr>
            </w:pPr>
          </w:p>
        </w:tc>
        <w:tc>
          <w:tcPr>
            <w:tcW w:w="99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100</w:t>
            </w:r>
          </w:p>
        </w:tc>
        <w:tc>
          <w:tcPr>
            <w:tcW w:w="307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宋体" w:hAnsi="宋体" w:eastAsia="宋体" w:cs="宋体"/>
                <w:sz w:val="20"/>
                <w:szCs w:val="20"/>
              </w:rPr>
            </w:pPr>
          </w:p>
        </w:tc>
        <w:tc>
          <w:tcPr>
            <w:tcW w:w="1744"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rPr>
                <w:rFonts w:ascii="宋体" w:hAnsi="宋体" w:eastAsia="宋体" w:cs="宋体"/>
                <w:sz w:val="20"/>
                <w:szCs w:val="20"/>
              </w:rPr>
            </w:pPr>
          </w:p>
        </w:tc>
        <w:tc>
          <w:tcPr>
            <w:tcW w:w="800"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jc w:val="center"/>
              <w:textAlignment w:val="center"/>
              <w:rPr>
                <w:rFonts w:ascii="宋体" w:hAnsi="宋体" w:eastAsia="宋体" w:cs="宋体"/>
                <w:sz w:val="20"/>
                <w:szCs w:val="20"/>
              </w:rPr>
            </w:pPr>
            <w:r>
              <w:rPr>
                <w:rFonts w:hint="eastAsia" w:ascii="宋体" w:hAnsi="宋体" w:eastAsia="宋体" w:cs="宋体"/>
                <w:sz w:val="20"/>
                <w:szCs w:val="20"/>
              </w:rPr>
              <w:t>84.54</w:t>
            </w:r>
          </w:p>
        </w:tc>
        <w:tc>
          <w:tcPr>
            <w:tcW w:w="1879" w:type="dxa"/>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center"/>
          </w:tcPr>
          <w:p>
            <w:pPr>
              <w:rPr>
                <w:rFonts w:ascii="宋体" w:hAnsi="宋体" w:eastAsia="宋体" w:cs="宋体"/>
                <w:sz w:val="20"/>
                <w:szCs w:val="20"/>
              </w:rPr>
            </w:pPr>
          </w:p>
        </w:tc>
      </w:tr>
    </w:tbl>
    <w:p/>
    <w:sectPr>
      <w:footerReference r:id="rId5"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2" w:usb2="00000016" w:usb3="00000000" w:csb0="0004001F" w:csb1="00000000"/>
  </w:font>
  <w:font w:name="方正仿宋_GB2312">
    <w:altName w:val="方正仿宋_GBK"/>
    <w:panose1 w:val="00000000000000000000"/>
    <w:charset w:val="86"/>
    <w:family w:val="auto"/>
    <w:pitch w:val="default"/>
    <w:sig w:usb0="00000000" w:usb1="00000000" w:usb2="00000012"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19</w:t>
                          </w:r>
                          <w:r>
                            <w:fldChar w:fldCharType="end"/>
                          </w:r>
                        </w:p>
                      </w:txbxContent>
                    </wps:txbx>
                    <wps:bodyPr rot="0" vert="horz" wrap="none" lIns="0" tIns="0" rIns="0" bIns="0" anchor="t" anchorCtr="false" upright="true">
                      <a:spAutoFit/>
                    </wps:bodyPr>
                  </wps:wsp>
                </a:graphicData>
              </a:graphic>
            </wp:anchor>
          </w:drawing>
        </mc:Choice>
        <mc:Fallback>
          <w:pict>
            <v:shape id="Text Box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zql5uc8AAAAFAQAADwAAAAAAAAABACAAAAA4AAAAZHJzL2Rvd25yZXYueG1sUEsBAhQAFAAAAAgA&#10;h07iQMKPfOnfAQAAwgMAAA4AAAAAAAAAAQAgAAAANAEAAGRycy9lMm9Eb2MueG1sUEsFBgAAAAAG&#10;AAYAWQEAAIU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true">
                      <a:spLocks noChangeArrowheads="true"/>
                    </wps:cNvSpPr>
                    <wps:spPr bwMode="auto">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２</w:t>
                          </w:r>
                          <w:r>
                            <w:rPr>
                              <w:rFonts w:hint="eastAsia"/>
                            </w:rPr>
                            <w:fldChar w:fldCharType="end"/>
                          </w:r>
                        </w:p>
                      </w:txbxContent>
                    </wps:txbx>
                    <wps:bodyPr rot="0" vert="horz" wrap="none" lIns="0" tIns="0" rIns="0" bIns="0" anchor="t" anchorCtr="false" upright="true">
                      <a:spAutoFit/>
                    </wps:bodyPr>
                  </wps:wsp>
                </a:graphicData>
              </a:graphic>
            </wp:anchor>
          </w:drawing>
        </mc:Choice>
        <mc:Fallback>
          <w:pict>
            <v:shape id="文本框 5"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M6pebnPAAAABQEAAA8AAAAAAAAAAQAgAAAAOAAAAGRycy9kb3ducmV2&#10;LnhtbFBLAQIUABQAAAAIAIdO4kDRpwSq7wEAAMMDAAAOAAAAAAAAAAEAIAAAADQBAABkcnMvZTJv&#10;RG9jLnhtbFBLBQYAAAAABgAGAFkBAACV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２</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4" w:lineRule="exact"/>
      <w:ind w:firstLine="4051"/>
      <w:rPr>
        <w:rFonts w:ascii="Times New Roman" w:hAnsi="Times New Roman" w:eastAsia="Times New Roman" w:cs="Times New Roman"/>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30D086"/>
    <w:multiLevelType w:val="singleLevel"/>
    <w:tmpl w:val="D630D086"/>
    <w:lvl w:ilvl="0" w:tentative="0">
      <w:start w:val="2"/>
      <w:numFmt w:val="chineseCounting"/>
      <w:suff w:val="nothing"/>
      <w:lvlText w:val="（%1）"/>
      <w:lvlJc w:val="left"/>
      <w:rPr>
        <w:rFonts w:hint="eastAsia"/>
      </w:rPr>
    </w:lvl>
  </w:abstractNum>
  <w:abstractNum w:abstractNumId="1">
    <w:nsid w:val="36E70851"/>
    <w:multiLevelType w:val="singleLevel"/>
    <w:tmpl w:val="36E70851"/>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0MWViMThkMWYyODVlNzE3ODhiMzA4ZDUxYTAxZDQifQ=="/>
  </w:docVars>
  <w:rsids>
    <w:rsidRoot w:val="00FD4620"/>
    <w:rsid w:val="00022ED3"/>
    <w:rsid w:val="00032AA4"/>
    <w:rsid w:val="000568B6"/>
    <w:rsid w:val="000728CB"/>
    <w:rsid w:val="000D4097"/>
    <w:rsid w:val="00262198"/>
    <w:rsid w:val="00287389"/>
    <w:rsid w:val="002935CE"/>
    <w:rsid w:val="002F73B0"/>
    <w:rsid w:val="00441EE0"/>
    <w:rsid w:val="00452DAC"/>
    <w:rsid w:val="00575C8F"/>
    <w:rsid w:val="005E7E44"/>
    <w:rsid w:val="00666584"/>
    <w:rsid w:val="0070197C"/>
    <w:rsid w:val="00705A5B"/>
    <w:rsid w:val="007251EF"/>
    <w:rsid w:val="0076131B"/>
    <w:rsid w:val="0080473E"/>
    <w:rsid w:val="00815A48"/>
    <w:rsid w:val="00891E2A"/>
    <w:rsid w:val="00902B58"/>
    <w:rsid w:val="009335C2"/>
    <w:rsid w:val="00AE3484"/>
    <w:rsid w:val="00B027E1"/>
    <w:rsid w:val="00B47CC5"/>
    <w:rsid w:val="00B77F68"/>
    <w:rsid w:val="00D4511B"/>
    <w:rsid w:val="00D62597"/>
    <w:rsid w:val="00E15865"/>
    <w:rsid w:val="00EA73DE"/>
    <w:rsid w:val="00F439CC"/>
    <w:rsid w:val="00FD4620"/>
    <w:rsid w:val="010540EB"/>
    <w:rsid w:val="01144597"/>
    <w:rsid w:val="012D0479"/>
    <w:rsid w:val="015B4FE6"/>
    <w:rsid w:val="01F62F61"/>
    <w:rsid w:val="022B3571"/>
    <w:rsid w:val="02842793"/>
    <w:rsid w:val="029B1FB9"/>
    <w:rsid w:val="02BF2B94"/>
    <w:rsid w:val="03506456"/>
    <w:rsid w:val="035B751F"/>
    <w:rsid w:val="037F6180"/>
    <w:rsid w:val="03CE5F43"/>
    <w:rsid w:val="03DE36BA"/>
    <w:rsid w:val="03FC2775"/>
    <w:rsid w:val="040000C7"/>
    <w:rsid w:val="041871BE"/>
    <w:rsid w:val="046D3D0D"/>
    <w:rsid w:val="047D281B"/>
    <w:rsid w:val="04893782"/>
    <w:rsid w:val="04C358B8"/>
    <w:rsid w:val="04C56D40"/>
    <w:rsid w:val="04DF5C8D"/>
    <w:rsid w:val="04EF53D6"/>
    <w:rsid w:val="052508C3"/>
    <w:rsid w:val="05265A5F"/>
    <w:rsid w:val="059D5FA3"/>
    <w:rsid w:val="05D259CE"/>
    <w:rsid w:val="05E76E48"/>
    <w:rsid w:val="060D6A17"/>
    <w:rsid w:val="06170CBC"/>
    <w:rsid w:val="06173E88"/>
    <w:rsid w:val="0668088B"/>
    <w:rsid w:val="067F7EC9"/>
    <w:rsid w:val="07036F81"/>
    <w:rsid w:val="071038F9"/>
    <w:rsid w:val="0767339E"/>
    <w:rsid w:val="0773272F"/>
    <w:rsid w:val="08411AD2"/>
    <w:rsid w:val="085E6A12"/>
    <w:rsid w:val="086E1B1D"/>
    <w:rsid w:val="09722ECD"/>
    <w:rsid w:val="09890463"/>
    <w:rsid w:val="098D483B"/>
    <w:rsid w:val="09995992"/>
    <w:rsid w:val="09E05FC1"/>
    <w:rsid w:val="09F14AFC"/>
    <w:rsid w:val="0A34470F"/>
    <w:rsid w:val="0A620A23"/>
    <w:rsid w:val="0AA51080"/>
    <w:rsid w:val="0B246C54"/>
    <w:rsid w:val="0B3D3995"/>
    <w:rsid w:val="0B683274"/>
    <w:rsid w:val="0BE172E1"/>
    <w:rsid w:val="0C140B52"/>
    <w:rsid w:val="0C89421E"/>
    <w:rsid w:val="0CBC64F0"/>
    <w:rsid w:val="0CFA4995"/>
    <w:rsid w:val="0DDD7B8C"/>
    <w:rsid w:val="0DFF319D"/>
    <w:rsid w:val="0E2665CC"/>
    <w:rsid w:val="0E981D4C"/>
    <w:rsid w:val="0EC12F65"/>
    <w:rsid w:val="0ECF43E4"/>
    <w:rsid w:val="0EF72CD9"/>
    <w:rsid w:val="0F766A21"/>
    <w:rsid w:val="0FB35260"/>
    <w:rsid w:val="0FD67878"/>
    <w:rsid w:val="106C43E8"/>
    <w:rsid w:val="10806817"/>
    <w:rsid w:val="10C92312"/>
    <w:rsid w:val="10DA0579"/>
    <w:rsid w:val="11101261"/>
    <w:rsid w:val="113948A0"/>
    <w:rsid w:val="114420F0"/>
    <w:rsid w:val="11C2064E"/>
    <w:rsid w:val="127A530E"/>
    <w:rsid w:val="1286002B"/>
    <w:rsid w:val="12E62705"/>
    <w:rsid w:val="138161D5"/>
    <w:rsid w:val="13C65FB8"/>
    <w:rsid w:val="13D21250"/>
    <w:rsid w:val="14067545"/>
    <w:rsid w:val="1408006A"/>
    <w:rsid w:val="144A3269"/>
    <w:rsid w:val="147547BA"/>
    <w:rsid w:val="14BA0618"/>
    <w:rsid w:val="14D76DE3"/>
    <w:rsid w:val="15786550"/>
    <w:rsid w:val="161847D1"/>
    <w:rsid w:val="1631326B"/>
    <w:rsid w:val="16C667B9"/>
    <w:rsid w:val="16CC5925"/>
    <w:rsid w:val="174B375D"/>
    <w:rsid w:val="17634CAE"/>
    <w:rsid w:val="17FF6EC3"/>
    <w:rsid w:val="1840798C"/>
    <w:rsid w:val="185F7A24"/>
    <w:rsid w:val="189A12EB"/>
    <w:rsid w:val="190B1BEE"/>
    <w:rsid w:val="19566815"/>
    <w:rsid w:val="197E141A"/>
    <w:rsid w:val="1A4F231D"/>
    <w:rsid w:val="1AE91AF7"/>
    <w:rsid w:val="1AFB2F3F"/>
    <w:rsid w:val="1B1A33C4"/>
    <w:rsid w:val="1B605CA9"/>
    <w:rsid w:val="1B8371BB"/>
    <w:rsid w:val="1BD27EE3"/>
    <w:rsid w:val="1C412D36"/>
    <w:rsid w:val="1C422BD3"/>
    <w:rsid w:val="1C811FB6"/>
    <w:rsid w:val="1C9B5D51"/>
    <w:rsid w:val="1CD034C4"/>
    <w:rsid w:val="1CDA5DDD"/>
    <w:rsid w:val="1D1E7B6A"/>
    <w:rsid w:val="1D5F0D01"/>
    <w:rsid w:val="1D681973"/>
    <w:rsid w:val="1D6F7B8D"/>
    <w:rsid w:val="1D710888"/>
    <w:rsid w:val="1E92221F"/>
    <w:rsid w:val="1EDD4E34"/>
    <w:rsid w:val="1EFA5674"/>
    <w:rsid w:val="1F875BC4"/>
    <w:rsid w:val="1FFF1C0E"/>
    <w:rsid w:val="1FFF5D2A"/>
    <w:rsid w:val="202655C4"/>
    <w:rsid w:val="20270A5D"/>
    <w:rsid w:val="203D067B"/>
    <w:rsid w:val="205E04E8"/>
    <w:rsid w:val="20AE3A57"/>
    <w:rsid w:val="214F3105"/>
    <w:rsid w:val="21505A9C"/>
    <w:rsid w:val="215C1EAB"/>
    <w:rsid w:val="21771643"/>
    <w:rsid w:val="21840AEC"/>
    <w:rsid w:val="21A64071"/>
    <w:rsid w:val="21F462DF"/>
    <w:rsid w:val="22156F08"/>
    <w:rsid w:val="222C202B"/>
    <w:rsid w:val="227E692E"/>
    <w:rsid w:val="229C4156"/>
    <w:rsid w:val="230E72DC"/>
    <w:rsid w:val="232E369E"/>
    <w:rsid w:val="23582CDC"/>
    <w:rsid w:val="236F4231"/>
    <w:rsid w:val="23746834"/>
    <w:rsid w:val="23863CED"/>
    <w:rsid w:val="24140636"/>
    <w:rsid w:val="2451290B"/>
    <w:rsid w:val="251C3103"/>
    <w:rsid w:val="254A6BC8"/>
    <w:rsid w:val="25567215"/>
    <w:rsid w:val="25D376E6"/>
    <w:rsid w:val="25F2519F"/>
    <w:rsid w:val="266473C0"/>
    <w:rsid w:val="26840989"/>
    <w:rsid w:val="26A450DA"/>
    <w:rsid w:val="26CB5281"/>
    <w:rsid w:val="270F224B"/>
    <w:rsid w:val="273D4164"/>
    <w:rsid w:val="27547F6A"/>
    <w:rsid w:val="27781D7E"/>
    <w:rsid w:val="2781513A"/>
    <w:rsid w:val="27FF6A5E"/>
    <w:rsid w:val="28E64F76"/>
    <w:rsid w:val="29B358C9"/>
    <w:rsid w:val="29DE65B1"/>
    <w:rsid w:val="29E86C2F"/>
    <w:rsid w:val="2A092F82"/>
    <w:rsid w:val="2A511AEE"/>
    <w:rsid w:val="2A6423D0"/>
    <w:rsid w:val="2AAB4C62"/>
    <w:rsid w:val="2B327E86"/>
    <w:rsid w:val="2B524E33"/>
    <w:rsid w:val="2B9C3591"/>
    <w:rsid w:val="2C156DC8"/>
    <w:rsid w:val="2C1B7415"/>
    <w:rsid w:val="2C1B760D"/>
    <w:rsid w:val="2C347DB3"/>
    <w:rsid w:val="2C474247"/>
    <w:rsid w:val="2C731026"/>
    <w:rsid w:val="2C840054"/>
    <w:rsid w:val="2CB52E8B"/>
    <w:rsid w:val="2D4717EE"/>
    <w:rsid w:val="2D684463"/>
    <w:rsid w:val="2D7035AD"/>
    <w:rsid w:val="2DBF7206"/>
    <w:rsid w:val="2E575F17"/>
    <w:rsid w:val="2E593EBC"/>
    <w:rsid w:val="2E6375E1"/>
    <w:rsid w:val="2E6A453A"/>
    <w:rsid w:val="2E840B59"/>
    <w:rsid w:val="2EA06A0C"/>
    <w:rsid w:val="2F5C7FF7"/>
    <w:rsid w:val="2F786719"/>
    <w:rsid w:val="2F981172"/>
    <w:rsid w:val="2FDB2C37"/>
    <w:rsid w:val="3005729F"/>
    <w:rsid w:val="30267762"/>
    <w:rsid w:val="30A60F94"/>
    <w:rsid w:val="30B55449"/>
    <w:rsid w:val="30DE65B0"/>
    <w:rsid w:val="3175201B"/>
    <w:rsid w:val="31760099"/>
    <w:rsid w:val="31C47B44"/>
    <w:rsid w:val="31E95901"/>
    <w:rsid w:val="321F1E2E"/>
    <w:rsid w:val="32411AAF"/>
    <w:rsid w:val="324350F5"/>
    <w:rsid w:val="325D75B7"/>
    <w:rsid w:val="32911D66"/>
    <w:rsid w:val="32B14B65"/>
    <w:rsid w:val="335C4612"/>
    <w:rsid w:val="33BF38F6"/>
    <w:rsid w:val="33C7359B"/>
    <w:rsid w:val="33CF20E1"/>
    <w:rsid w:val="34050C5E"/>
    <w:rsid w:val="342D0BA2"/>
    <w:rsid w:val="34326617"/>
    <w:rsid w:val="34370E4F"/>
    <w:rsid w:val="344A041F"/>
    <w:rsid w:val="34A145AC"/>
    <w:rsid w:val="34A5288B"/>
    <w:rsid w:val="34E26531"/>
    <w:rsid w:val="34FF745B"/>
    <w:rsid w:val="35CF5207"/>
    <w:rsid w:val="35F01AE8"/>
    <w:rsid w:val="36050AA1"/>
    <w:rsid w:val="36231561"/>
    <w:rsid w:val="3641719B"/>
    <w:rsid w:val="364E5008"/>
    <w:rsid w:val="367050A6"/>
    <w:rsid w:val="367242E1"/>
    <w:rsid w:val="36A202B9"/>
    <w:rsid w:val="36BA2B7C"/>
    <w:rsid w:val="371C7A56"/>
    <w:rsid w:val="371E4853"/>
    <w:rsid w:val="373D24BC"/>
    <w:rsid w:val="37B445BF"/>
    <w:rsid w:val="37E0030E"/>
    <w:rsid w:val="3861123D"/>
    <w:rsid w:val="38701833"/>
    <w:rsid w:val="38894EE8"/>
    <w:rsid w:val="39244FB7"/>
    <w:rsid w:val="39614DA4"/>
    <w:rsid w:val="39683691"/>
    <w:rsid w:val="3A4054C3"/>
    <w:rsid w:val="3A8231C3"/>
    <w:rsid w:val="3AA70C32"/>
    <w:rsid w:val="3AC1463F"/>
    <w:rsid w:val="3AD859ED"/>
    <w:rsid w:val="3AE01ADD"/>
    <w:rsid w:val="3AFC56D5"/>
    <w:rsid w:val="3B6D6769"/>
    <w:rsid w:val="3B7570F3"/>
    <w:rsid w:val="3B98549A"/>
    <w:rsid w:val="3BA9564D"/>
    <w:rsid w:val="3BCE6993"/>
    <w:rsid w:val="3C8C5A84"/>
    <w:rsid w:val="3CDA565B"/>
    <w:rsid w:val="3CDD29C1"/>
    <w:rsid w:val="3D3F3F7F"/>
    <w:rsid w:val="3D5719D3"/>
    <w:rsid w:val="3D5E18A5"/>
    <w:rsid w:val="3D9F4BE4"/>
    <w:rsid w:val="3DFE365A"/>
    <w:rsid w:val="3E130B31"/>
    <w:rsid w:val="3E2216AC"/>
    <w:rsid w:val="3E9230EE"/>
    <w:rsid w:val="3EC03128"/>
    <w:rsid w:val="3ED00DE5"/>
    <w:rsid w:val="3EED3706"/>
    <w:rsid w:val="3F95703D"/>
    <w:rsid w:val="3FB51199"/>
    <w:rsid w:val="3FD71F83"/>
    <w:rsid w:val="40280169"/>
    <w:rsid w:val="40E10003"/>
    <w:rsid w:val="412853A8"/>
    <w:rsid w:val="416C793F"/>
    <w:rsid w:val="41C550CA"/>
    <w:rsid w:val="42092CD9"/>
    <w:rsid w:val="425D1E08"/>
    <w:rsid w:val="42AF2A0D"/>
    <w:rsid w:val="431343C9"/>
    <w:rsid w:val="43506F55"/>
    <w:rsid w:val="43E73EDC"/>
    <w:rsid w:val="441F6B78"/>
    <w:rsid w:val="44406040"/>
    <w:rsid w:val="44410D96"/>
    <w:rsid w:val="44990FA0"/>
    <w:rsid w:val="44995889"/>
    <w:rsid w:val="44B25EF4"/>
    <w:rsid w:val="453821B0"/>
    <w:rsid w:val="4538696C"/>
    <w:rsid w:val="455776A4"/>
    <w:rsid w:val="4558626A"/>
    <w:rsid w:val="45861388"/>
    <w:rsid w:val="45C53268"/>
    <w:rsid w:val="461F4CCB"/>
    <w:rsid w:val="46941456"/>
    <w:rsid w:val="46D92B01"/>
    <w:rsid w:val="46F679D0"/>
    <w:rsid w:val="46FE765B"/>
    <w:rsid w:val="47146532"/>
    <w:rsid w:val="47214898"/>
    <w:rsid w:val="472C2566"/>
    <w:rsid w:val="472D6A0F"/>
    <w:rsid w:val="474E7DCE"/>
    <w:rsid w:val="476F66C2"/>
    <w:rsid w:val="47A46F27"/>
    <w:rsid w:val="48D03190"/>
    <w:rsid w:val="49240872"/>
    <w:rsid w:val="49436A40"/>
    <w:rsid w:val="49731A9A"/>
    <w:rsid w:val="49D65677"/>
    <w:rsid w:val="4AAF1213"/>
    <w:rsid w:val="4ABF1076"/>
    <w:rsid w:val="4ADA6548"/>
    <w:rsid w:val="4B06733D"/>
    <w:rsid w:val="4B18204F"/>
    <w:rsid w:val="4B2D1C74"/>
    <w:rsid w:val="4B40445C"/>
    <w:rsid w:val="4BB9443B"/>
    <w:rsid w:val="4BEC729F"/>
    <w:rsid w:val="4C3102C2"/>
    <w:rsid w:val="4C602A7D"/>
    <w:rsid w:val="4CEF7D92"/>
    <w:rsid w:val="4D0141AC"/>
    <w:rsid w:val="4D575FDD"/>
    <w:rsid w:val="4D5F758C"/>
    <w:rsid w:val="4D670558"/>
    <w:rsid w:val="4D9714B3"/>
    <w:rsid w:val="4DA04C48"/>
    <w:rsid w:val="4DC13C60"/>
    <w:rsid w:val="4DCE57D9"/>
    <w:rsid w:val="4E240622"/>
    <w:rsid w:val="4E663163"/>
    <w:rsid w:val="4E686288"/>
    <w:rsid w:val="4E823815"/>
    <w:rsid w:val="4E9308D2"/>
    <w:rsid w:val="4EA92E89"/>
    <w:rsid w:val="4EB96BFE"/>
    <w:rsid w:val="4EBB0D6F"/>
    <w:rsid w:val="4EBF104B"/>
    <w:rsid w:val="4EFB083B"/>
    <w:rsid w:val="4F9670A9"/>
    <w:rsid w:val="4FC13393"/>
    <w:rsid w:val="50040E37"/>
    <w:rsid w:val="504011DB"/>
    <w:rsid w:val="51586365"/>
    <w:rsid w:val="515B3813"/>
    <w:rsid w:val="51702654"/>
    <w:rsid w:val="51AB5AD3"/>
    <w:rsid w:val="51B71039"/>
    <w:rsid w:val="520E3552"/>
    <w:rsid w:val="525849B8"/>
    <w:rsid w:val="52616038"/>
    <w:rsid w:val="52630BD1"/>
    <w:rsid w:val="52AE05D0"/>
    <w:rsid w:val="52C06171"/>
    <w:rsid w:val="52C53D8A"/>
    <w:rsid w:val="53232755"/>
    <w:rsid w:val="533D1847"/>
    <w:rsid w:val="53471C7D"/>
    <w:rsid w:val="53507BBB"/>
    <w:rsid w:val="535350EA"/>
    <w:rsid w:val="5396048D"/>
    <w:rsid w:val="53C60EE0"/>
    <w:rsid w:val="544635D9"/>
    <w:rsid w:val="54B94AEC"/>
    <w:rsid w:val="54F0598E"/>
    <w:rsid w:val="54F46B9E"/>
    <w:rsid w:val="550B64CF"/>
    <w:rsid w:val="55281A3E"/>
    <w:rsid w:val="55587B3B"/>
    <w:rsid w:val="56A311AE"/>
    <w:rsid w:val="56BA5808"/>
    <w:rsid w:val="56F6302C"/>
    <w:rsid w:val="5715703C"/>
    <w:rsid w:val="57160908"/>
    <w:rsid w:val="57433F22"/>
    <w:rsid w:val="57636D0B"/>
    <w:rsid w:val="57A31AED"/>
    <w:rsid w:val="589F6F4C"/>
    <w:rsid w:val="59061D3A"/>
    <w:rsid w:val="590C1A18"/>
    <w:rsid w:val="593F5180"/>
    <w:rsid w:val="59537200"/>
    <w:rsid w:val="59C15707"/>
    <w:rsid w:val="59E9398B"/>
    <w:rsid w:val="5A0231BD"/>
    <w:rsid w:val="5A0407DB"/>
    <w:rsid w:val="5A0802B0"/>
    <w:rsid w:val="5B906B75"/>
    <w:rsid w:val="5B933B9A"/>
    <w:rsid w:val="5BAB2C3A"/>
    <w:rsid w:val="5BD54F5E"/>
    <w:rsid w:val="5BD66A68"/>
    <w:rsid w:val="5BF058F0"/>
    <w:rsid w:val="5C4E7563"/>
    <w:rsid w:val="5D283143"/>
    <w:rsid w:val="5D57238D"/>
    <w:rsid w:val="5D5854FF"/>
    <w:rsid w:val="5D887403"/>
    <w:rsid w:val="5E0C6A73"/>
    <w:rsid w:val="5E37085C"/>
    <w:rsid w:val="5E43177A"/>
    <w:rsid w:val="5E4F64AE"/>
    <w:rsid w:val="5E6E5AF4"/>
    <w:rsid w:val="5E964DB8"/>
    <w:rsid w:val="5EA872C6"/>
    <w:rsid w:val="5EAF5F88"/>
    <w:rsid w:val="5EBA786C"/>
    <w:rsid w:val="5EC83EE4"/>
    <w:rsid w:val="5EED2D1F"/>
    <w:rsid w:val="5F4723AF"/>
    <w:rsid w:val="5F4F2D45"/>
    <w:rsid w:val="5F717DB0"/>
    <w:rsid w:val="5F870159"/>
    <w:rsid w:val="5FA03155"/>
    <w:rsid w:val="5FDA624B"/>
    <w:rsid w:val="5FE5356E"/>
    <w:rsid w:val="615D620D"/>
    <w:rsid w:val="6212795C"/>
    <w:rsid w:val="622B4990"/>
    <w:rsid w:val="63B35731"/>
    <w:rsid w:val="63E661CC"/>
    <w:rsid w:val="63FA5BD2"/>
    <w:rsid w:val="640C11F9"/>
    <w:rsid w:val="64664551"/>
    <w:rsid w:val="6522587A"/>
    <w:rsid w:val="6534348B"/>
    <w:rsid w:val="653603C7"/>
    <w:rsid w:val="65474F7E"/>
    <w:rsid w:val="65E530E5"/>
    <w:rsid w:val="65FD3F88"/>
    <w:rsid w:val="660427F2"/>
    <w:rsid w:val="662D69E6"/>
    <w:rsid w:val="669B3FDE"/>
    <w:rsid w:val="66CF31D5"/>
    <w:rsid w:val="67165294"/>
    <w:rsid w:val="67171224"/>
    <w:rsid w:val="67447F1A"/>
    <w:rsid w:val="67550FD9"/>
    <w:rsid w:val="679A7B2F"/>
    <w:rsid w:val="67FB0AC9"/>
    <w:rsid w:val="68502E31"/>
    <w:rsid w:val="68581AAE"/>
    <w:rsid w:val="68FE10B1"/>
    <w:rsid w:val="695266C0"/>
    <w:rsid w:val="6959083E"/>
    <w:rsid w:val="697A7431"/>
    <w:rsid w:val="698A2A90"/>
    <w:rsid w:val="69D847A3"/>
    <w:rsid w:val="69E00539"/>
    <w:rsid w:val="69F1044F"/>
    <w:rsid w:val="6A034B6C"/>
    <w:rsid w:val="6A355DD2"/>
    <w:rsid w:val="6A7D0DBF"/>
    <w:rsid w:val="6A836A1F"/>
    <w:rsid w:val="6AA5788F"/>
    <w:rsid w:val="6AAA7FB9"/>
    <w:rsid w:val="6AD9782B"/>
    <w:rsid w:val="6AFD0C95"/>
    <w:rsid w:val="6BBA225C"/>
    <w:rsid w:val="6BC20220"/>
    <w:rsid w:val="6BF560C9"/>
    <w:rsid w:val="6C7960EF"/>
    <w:rsid w:val="6CBD1ABA"/>
    <w:rsid w:val="6CDE3D88"/>
    <w:rsid w:val="6D234F5F"/>
    <w:rsid w:val="6D2A0A99"/>
    <w:rsid w:val="6D7871C6"/>
    <w:rsid w:val="6D95184A"/>
    <w:rsid w:val="6D9E040B"/>
    <w:rsid w:val="6DAB05B3"/>
    <w:rsid w:val="6DC92E6F"/>
    <w:rsid w:val="6DD938C7"/>
    <w:rsid w:val="6E47236C"/>
    <w:rsid w:val="6EE24EE2"/>
    <w:rsid w:val="6F201566"/>
    <w:rsid w:val="6F5B6D86"/>
    <w:rsid w:val="6F616041"/>
    <w:rsid w:val="6F683B8E"/>
    <w:rsid w:val="6F8A37EA"/>
    <w:rsid w:val="6FDB438A"/>
    <w:rsid w:val="70052F7C"/>
    <w:rsid w:val="70716758"/>
    <w:rsid w:val="708B7819"/>
    <w:rsid w:val="709E4F80"/>
    <w:rsid w:val="716472F6"/>
    <w:rsid w:val="717C3606"/>
    <w:rsid w:val="71D84668"/>
    <w:rsid w:val="71F51C4A"/>
    <w:rsid w:val="7242063E"/>
    <w:rsid w:val="7251652F"/>
    <w:rsid w:val="726C4F2B"/>
    <w:rsid w:val="727A7B45"/>
    <w:rsid w:val="72BB7AF8"/>
    <w:rsid w:val="72CA36C3"/>
    <w:rsid w:val="73080A93"/>
    <w:rsid w:val="73840550"/>
    <w:rsid w:val="7451372C"/>
    <w:rsid w:val="747732CB"/>
    <w:rsid w:val="74827185"/>
    <w:rsid w:val="74D62BB8"/>
    <w:rsid w:val="756E372B"/>
    <w:rsid w:val="75723B19"/>
    <w:rsid w:val="75A14901"/>
    <w:rsid w:val="7615456C"/>
    <w:rsid w:val="76206D49"/>
    <w:rsid w:val="762E45D2"/>
    <w:rsid w:val="768852C2"/>
    <w:rsid w:val="768A0F6F"/>
    <w:rsid w:val="76A83C0A"/>
    <w:rsid w:val="76A921ED"/>
    <w:rsid w:val="76A96DF0"/>
    <w:rsid w:val="76B23C71"/>
    <w:rsid w:val="7732017F"/>
    <w:rsid w:val="775D7383"/>
    <w:rsid w:val="776A55B2"/>
    <w:rsid w:val="777F7AE7"/>
    <w:rsid w:val="77A66726"/>
    <w:rsid w:val="77A92A74"/>
    <w:rsid w:val="77B03419"/>
    <w:rsid w:val="77C21B57"/>
    <w:rsid w:val="78127B67"/>
    <w:rsid w:val="78213333"/>
    <w:rsid w:val="78213844"/>
    <w:rsid w:val="78BB00A6"/>
    <w:rsid w:val="791D6B1E"/>
    <w:rsid w:val="79497EA1"/>
    <w:rsid w:val="796E1C5B"/>
    <w:rsid w:val="79882B42"/>
    <w:rsid w:val="7A067F11"/>
    <w:rsid w:val="7A351ECF"/>
    <w:rsid w:val="7A3526F3"/>
    <w:rsid w:val="7A3B22B0"/>
    <w:rsid w:val="7B067E6C"/>
    <w:rsid w:val="7B333058"/>
    <w:rsid w:val="7B6A2721"/>
    <w:rsid w:val="7B783508"/>
    <w:rsid w:val="7B8F17F0"/>
    <w:rsid w:val="7BA75326"/>
    <w:rsid w:val="7BC65BA9"/>
    <w:rsid w:val="7C036B11"/>
    <w:rsid w:val="7C5F5AAB"/>
    <w:rsid w:val="7C8E296E"/>
    <w:rsid w:val="7D3A2F04"/>
    <w:rsid w:val="7E3215A1"/>
    <w:rsid w:val="7E3B4D6A"/>
    <w:rsid w:val="7EA838EA"/>
    <w:rsid w:val="7F4703DD"/>
    <w:rsid w:val="7F7C5144"/>
    <w:rsid w:val="7FED524F"/>
    <w:rsid w:val="BE7C38A9"/>
    <w:rsid w:val="F7AFECDF"/>
    <w:rsid w:val="FEFD3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widowControl w:val="0"/>
      <w:kinsoku/>
      <w:autoSpaceDE/>
      <w:autoSpaceDN/>
      <w:adjustRightInd/>
      <w:snapToGrid/>
      <w:spacing w:line="576" w:lineRule="auto"/>
      <w:jc w:val="both"/>
      <w:textAlignment w:val="auto"/>
      <w:outlineLvl w:val="0"/>
    </w:pPr>
    <w:rPr>
      <w:rFonts w:ascii="Times New Roman" w:hAnsi="Times New Roman" w:eastAsia="黑体" w:cs="Times New Roman"/>
      <w:snapToGrid/>
      <w:kern w:val="44"/>
      <w:sz w:val="32"/>
      <w:szCs w:val="24"/>
    </w:rPr>
  </w:style>
  <w:style w:type="paragraph" w:styleId="3">
    <w:name w:val="heading 2"/>
    <w:basedOn w:val="1"/>
    <w:next w:val="1"/>
    <w:unhideWhenUsed/>
    <w:qFormat/>
    <w:uiPriority w:val="0"/>
    <w:pPr>
      <w:keepNext/>
      <w:keepLines/>
      <w:widowControl w:val="0"/>
      <w:kinsoku/>
      <w:autoSpaceDE/>
      <w:autoSpaceDN/>
      <w:adjustRightInd/>
      <w:snapToGrid/>
      <w:spacing w:line="413" w:lineRule="auto"/>
      <w:jc w:val="both"/>
      <w:textAlignment w:val="auto"/>
      <w:outlineLvl w:val="1"/>
    </w:pPr>
    <w:rPr>
      <w:rFonts w:eastAsia="黑体" w:cs="Times New Roman"/>
      <w:b/>
      <w:snapToGrid/>
      <w:kern w:val="2"/>
      <w:sz w:val="32"/>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after="200" w:line="360" w:lineRule="atLeast"/>
      <w:ind w:firstLine="420"/>
    </w:pPr>
    <w:rPr>
      <w:rFonts w:ascii="宋体" w:eastAsia="宋体"/>
      <w:sz w:val="24"/>
    </w:rPr>
  </w:style>
  <w:style w:type="paragraph" w:styleId="5">
    <w:name w:val="footer"/>
    <w:basedOn w:val="1"/>
    <w:qFormat/>
    <w:uiPriority w:val="99"/>
    <w:pPr>
      <w:widowControl w:val="0"/>
      <w:tabs>
        <w:tab w:val="center" w:pos="4153"/>
        <w:tab w:val="right" w:pos="8306"/>
      </w:tabs>
      <w:kinsoku/>
      <w:autoSpaceDE/>
      <w:autoSpaceDN/>
      <w:adjustRightInd/>
      <w:textAlignment w:val="auto"/>
    </w:pPr>
    <w:rPr>
      <w:rFonts w:ascii="Times New Roman" w:hAnsi="Times New Roman" w:eastAsia="宋体" w:cs="Times New Roman"/>
      <w:snapToGrid/>
      <w:kern w:val="2"/>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toc 1"/>
    <w:basedOn w:val="1"/>
    <w:next w:val="1"/>
    <w:qFormat/>
    <w:uiPriority w:val="0"/>
    <w:pPr>
      <w:widowControl w:val="0"/>
      <w:kinsoku/>
      <w:autoSpaceDE/>
      <w:autoSpaceDN/>
      <w:adjustRightInd/>
      <w:snapToGrid/>
      <w:jc w:val="both"/>
      <w:textAlignment w:val="auto"/>
    </w:pPr>
    <w:rPr>
      <w:rFonts w:ascii="Times New Roman" w:hAnsi="Times New Roman" w:eastAsia="宋体" w:cs="Times New Roman"/>
      <w:snapToGrid/>
      <w:kern w:val="2"/>
      <w:szCs w:val="24"/>
    </w:rPr>
  </w:style>
  <w:style w:type="paragraph" w:styleId="8">
    <w:name w:val="toc 2"/>
    <w:basedOn w:val="1"/>
    <w:next w:val="1"/>
    <w:qFormat/>
    <w:uiPriority w:val="0"/>
    <w:pPr>
      <w:widowControl w:val="0"/>
      <w:kinsoku/>
      <w:autoSpaceDE/>
      <w:autoSpaceDN/>
      <w:adjustRightInd/>
      <w:snapToGrid/>
      <w:ind w:left="420" w:leftChars="200"/>
      <w:jc w:val="both"/>
      <w:textAlignment w:val="auto"/>
    </w:pPr>
    <w:rPr>
      <w:rFonts w:ascii="Times New Roman" w:hAnsi="Times New Roman" w:eastAsia="宋体" w:cs="Times New Roman"/>
      <w:snapToGrid/>
      <w:kern w:val="2"/>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
    <w:name w:val="WPSOffice手动目录 1"/>
    <w:qFormat/>
    <w:uiPriority w:val="0"/>
    <w:rPr>
      <w:rFonts w:ascii="Times New Roman" w:hAnsi="Times New Roman" w:eastAsia="宋体" w:cs="Times New Roman"/>
      <w:lang w:val="en-US" w:eastAsia="zh-CN" w:bidi="ar-SA"/>
    </w:rPr>
  </w:style>
  <w:style w:type="character" w:customStyle="1" w:styleId="14">
    <w:name w:val="font51"/>
    <w:qFormat/>
    <w:uiPriority w:val="0"/>
    <w:rPr>
      <w:rFonts w:hint="default" w:ascii="Arial Narrow" w:hAnsi="Arial Narrow" w:eastAsia="Arial Narrow" w:cs="Arial Narrow"/>
      <w:b/>
      <w:bCs/>
      <w:color w:val="000000"/>
      <w:sz w:val="18"/>
      <w:szCs w:val="18"/>
      <w:u w:val="none"/>
    </w:rPr>
  </w:style>
  <w:style w:type="character" w:customStyle="1" w:styleId="15">
    <w:name w:val="font41"/>
    <w:basedOn w:val="11"/>
    <w:qFormat/>
    <w:uiPriority w:val="0"/>
    <w:rPr>
      <w:rFonts w:ascii="Arial Narrow" w:hAnsi="Arial Narrow" w:eastAsia="Arial Narrow" w:cs="Arial Narrow"/>
      <w:b/>
      <w:color w:val="000000"/>
      <w:sz w:val="18"/>
      <w:szCs w:val="18"/>
      <w:u w:val="none"/>
    </w:rPr>
  </w:style>
  <w:style w:type="character" w:customStyle="1" w:styleId="16">
    <w:name w:val="font31"/>
    <w:qFormat/>
    <w:uiPriority w:val="0"/>
    <w:rPr>
      <w:rFonts w:hint="eastAsia" w:ascii="宋体" w:hAnsi="宋体" w:eastAsia="宋体" w:cs="宋体"/>
      <w:b/>
      <w:bCs/>
      <w:color w:val="000000"/>
      <w:sz w:val="18"/>
      <w:szCs w:val="18"/>
      <w:u w:val="none"/>
    </w:rPr>
  </w:style>
  <w:style w:type="character" w:customStyle="1" w:styleId="17">
    <w:name w:val="font61"/>
    <w:qFormat/>
    <w:uiPriority w:val="0"/>
    <w:rPr>
      <w:rFonts w:hint="eastAsia" w:ascii="宋体" w:hAnsi="宋体" w:eastAsia="宋体" w:cs="宋体"/>
      <w:color w:val="000000"/>
      <w:sz w:val="18"/>
      <w:szCs w:val="18"/>
      <w:u w:val="none"/>
    </w:rPr>
  </w:style>
  <w:style w:type="character" w:customStyle="1" w:styleId="18">
    <w:name w:val="font21"/>
    <w:basedOn w:val="11"/>
    <w:qFormat/>
    <w:uiPriority w:val="0"/>
    <w:rPr>
      <w:rFonts w:hint="eastAsia" w:ascii="宋体" w:hAnsi="宋体" w:eastAsia="宋体" w:cs="宋体"/>
      <w:b/>
      <w:color w:val="000000"/>
      <w:sz w:val="18"/>
      <w:szCs w:val="18"/>
      <w:u w:val="none"/>
    </w:rPr>
  </w:style>
  <w:style w:type="character" w:customStyle="1" w:styleId="19">
    <w:name w:val="font01"/>
    <w:basedOn w:val="11"/>
    <w:qFormat/>
    <w:uiPriority w:val="0"/>
    <w:rPr>
      <w:rFonts w:hint="default" w:ascii="Arial Narrow" w:hAnsi="Arial Narrow" w:eastAsia="Arial Narrow" w:cs="Arial Narrow"/>
      <w:b/>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2335</Words>
  <Characters>13314</Characters>
  <Lines>110</Lines>
  <Paragraphs>31</Paragraphs>
  <TotalTime>3</TotalTime>
  <ScaleCrop>false</ScaleCrop>
  <LinksUpToDate>false</LinksUpToDate>
  <CharactersWithSpaces>15618</CharactersWithSpaces>
  <Application>WPS Office_11.8.2.10534_F1E327BC-269C-435d-A152-05C5408002CA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2023-06-09T02:04:00Z</dcterms:created>
  <dc:creator>Administrator.X02AZ1PPVZHJ4RC</dc:creator>
  <cp:lastModifiedBy>user</cp:lastModifiedBy>
  <dcterms:modified xsi:type="dcterms:W3CDTF">2023-06-09T10:28:39Z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3BFA4A83E6054C369FFE68BCB6328CF7</vt:lpwstr>
  </property>
  <property fmtid="{D5CDD505-2E9C-101B-9397-08002B2CF9AE}" pid="4" name="KSOSaveFontToCloudKey">
    <vt:lpwstr>385843251_btnclosed</vt:lpwstr>
  </property>
</Properties>
</file>