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tabs>
          <w:tab w:val="left" w:pos="1137"/>
          <w:tab w:val="left" w:pos="1343"/>
        </w:tabs>
        <w:spacing w:line="500" w:lineRule="exact"/>
        <w:ind w:firstLine="0"/>
        <w:jc w:val="center"/>
        <w:rPr>
          <w:rFonts w:ascii="方正小标宋简体" w:hAnsi="方正小标宋简体" w:eastAsia="方正小标宋简体" w:cs="方正小标宋简体"/>
          <w:bCs/>
          <w:sz w:val="44"/>
          <w:szCs w:val="44"/>
          <w:lang w:eastAsia="zh-CN"/>
        </w:rPr>
      </w:pPr>
      <w:bookmarkStart w:id="170" w:name="_GoBack"/>
      <w:bookmarkEnd w:id="170"/>
      <w:r>
        <w:rPr>
          <w:rFonts w:hint="eastAsia" w:ascii="方正小标宋简体" w:hAnsi="方正小标宋简体" w:eastAsia="方正小标宋简体" w:cs="方正小标宋简体"/>
          <w:bCs/>
          <w:sz w:val="44"/>
          <w:szCs w:val="44"/>
          <w:lang w:eastAsia="zh-CN"/>
        </w:rPr>
        <w:t>北京知识产权法院司法送达外包服务项目</w:t>
      </w:r>
    </w:p>
    <w:p>
      <w:pPr>
        <w:pStyle w:val="7"/>
        <w:tabs>
          <w:tab w:val="left" w:pos="1137"/>
          <w:tab w:val="left" w:pos="1343"/>
        </w:tabs>
        <w:spacing w:line="500" w:lineRule="exact"/>
        <w:ind w:firstLine="0"/>
        <w:jc w:val="center"/>
        <w:rPr>
          <w:rFonts w:ascii="黑体" w:hAnsi="黑体" w:eastAsia="黑体"/>
          <w:b/>
          <w:sz w:val="44"/>
          <w:szCs w:val="44"/>
          <w:lang w:eastAsia="zh-CN"/>
        </w:rPr>
      </w:pPr>
      <w:bookmarkStart w:id="0" w:name="_Toc15113"/>
      <w:bookmarkStart w:id="1" w:name="_Toc11438"/>
      <w:bookmarkStart w:id="2" w:name="_Toc13892"/>
      <w:r>
        <w:rPr>
          <w:rFonts w:hint="eastAsia" w:ascii="方正小标宋简体" w:hAnsi="方正小标宋简体" w:eastAsia="方正小标宋简体" w:cs="方正小标宋简体"/>
          <w:bCs/>
          <w:sz w:val="44"/>
          <w:szCs w:val="44"/>
          <w:lang w:eastAsia="zh-CN"/>
        </w:rPr>
        <w:t>绩效评价报告</w:t>
      </w:r>
      <w:bookmarkEnd w:id="0"/>
      <w:bookmarkEnd w:id="1"/>
      <w:bookmarkEnd w:id="2"/>
    </w:p>
    <w:p>
      <w:pPr>
        <w:spacing w:line="520" w:lineRule="atLeast"/>
        <w:ind w:firstLine="640" w:firstLineChars="200"/>
        <w:rPr>
          <w:rFonts w:ascii="仿宋_GB2312" w:hAnsi="仿宋" w:eastAsia="仿宋_GB2312" w:cs="Times New Roman"/>
          <w:kern w:val="0"/>
          <w:sz w:val="32"/>
          <w:szCs w:val="32"/>
          <w:lang w:bidi="en-US"/>
        </w:rPr>
      </w:pPr>
      <w:bookmarkStart w:id="3" w:name="_Toc508205329"/>
      <w:r>
        <w:rPr>
          <w:rFonts w:hint="eastAsia" w:ascii="仿宋_GB2312" w:hAnsi="宋体" w:eastAsia="仿宋_GB2312"/>
          <w:sz w:val="32"/>
          <w:szCs w:val="32"/>
        </w:rPr>
        <w:t>为不断推进财政绩效管理科学化、精细化水平，增强各部门绩效观念和责任意识，提高财政资金使用效益，根据《北京市项目支出绩效评价管理办法》（京财绩效〔2020〕2146号）和《北京市财政局关于开展政府购买服务项目绩效评价工作的通知》（京财综〔2023〕407号）以及《北京市财政局关于2023年推进全面实施预算绩效管理工作的预通知》等</w:t>
      </w:r>
      <w:r>
        <w:rPr>
          <w:rFonts w:hint="eastAsia" w:ascii="仿宋_GB2312" w:eastAsia="仿宋_GB2312"/>
          <w:sz w:val="32"/>
          <w:szCs w:val="32"/>
        </w:rPr>
        <w:t>文件要求</w:t>
      </w:r>
      <w:r>
        <w:rPr>
          <w:rFonts w:hint="eastAsia" w:ascii="仿宋_GB2312" w:hAnsi="仿宋" w:eastAsia="仿宋_GB2312" w:cs="Times New Roman"/>
          <w:kern w:val="0"/>
          <w:sz w:val="32"/>
          <w:szCs w:val="32"/>
          <w:lang w:bidi="en-US"/>
        </w:rPr>
        <w:t>，北京知识产权法院成立了绩效评价工作组，于2023年5月对“2022年度司法送达</w:t>
      </w:r>
      <w:r>
        <w:rPr>
          <w:rFonts w:hint="eastAsia" w:ascii="仿宋_GB2312" w:hAnsi="仿宋" w:eastAsia="仿宋_GB2312" w:cs="Times New Roman"/>
          <w:kern w:val="0"/>
          <w:sz w:val="32"/>
          <w:szCs w:val="32"/>
          <w:lang w:eastAsia="zh-CN" w:bidi="en-US"/>
        </w:rPr>
        <w:t>外包</w:t>
      </w:r>
      <w:r>
        <w:rPr>
          <w:rFonts w:hint="eastAsia" w:ascii="仿宋_GB2312" w:hAnsi="仿宋" w:eastAsia="仿宋_GB2312" w:cs="Times New Roman"/>
          <w:kern w:val="0"/>
          <w:sz w:val="32"/>
          <w:szCs w:val="32"/>
          <w:lang w:bidi="en-US"/>
        </w:rPr>
        <w:t>服务项目”（以下简称“项目”）开展了绩效评价。具体情况如下：</w:t>
      </w:r>
    </w:p>
    <w:bookmarkEnd w:id="3"/>
    <w:p>
      <w:pPr>
        <w:pStyle w:val="2"/>
        <w:keepNext w:val="0"/>
        <w:keepLines w:val="0"/>
        <w:widowControl/>
        <w:numPr>
          <w:ilvl w:val="0"/>
          <w:numId w:val="1"/>
        </w:numPr>
        <w:spacing w:before="0" w:after="0" w:line="520" w:lineRule="atLeast"/>
        <w:contextualSpacing/>
        <w:jc w:val="left"/>
        <w:rPr>
          <w:rFonts w:ascii="黑体" w:hAnsi="黑体" w:eastAsia="黑体" w:cs="黑体"/>
          <w:b w:val="0"/>
          <w:kern w:val="0"/>
          <w:sz w:val="32"/>
          <w:szCs w:val="32"/>
          <w:lang w:bidi="en-US"/>
        </w:rPr>
      </w:pPr>
      <w:bookmarkStart w:id="4" w:name="_Toc6006"/>
      <w:bookmarkStart w:id="5" w:name="_Toc10582"/>
      <w:bookmarkStart w:id="6" w:name="_Toc8074"/>
      <w:bookmarkStart w:id="7" w:name="_Toc19521"/>
      <w:bookmarkStart w:id="8" w:name="_Toc8864"/>
      <w:bookmarkStart w:id="9" w:name="_Toc516663569"/>
      <w:r>
        <w:rPr>
          <w:rFonts w:hint="eastAsia" w:ascii="黑体" w:hAnsi="黑体" w:eastAsia="黑体" w:cs="黑体"/>
          <w:b w:val="0"/>
          <w:kern w:val="0"/>
          <w:sz w:val="32"/>
          <w:szCs w:val="32"/>
          <w:lang w:bidi="en-US"/>
        </w:rPr>
        <w:t>基本情况</w:t>
      </w:r>
      <w:bookmarkEnd w:id="4"/>
      <w:bookmarkEnd w:id="5"/>
      <w:bookmarkEnd w:id="6"/>
      <w:bookmarkEnd w:id="7"/>
      <w:bookmarkEnd w:id="8"/>
    </w:p>
    <w:bookmarkEnd w:id="9"/>
    <w:p>
      <w:pPr>
        <w:numPr>
          <w:ilvl w:val="0"/>
          <w:numId w:val="2"/>
        </w:numPr>
        <w:spacing w:line="560" w:lineRule="exact"/>
        <w:outlineLvl w:val="1"/>
        <w:rPr>
          <w:rFonts w:ascii="楷体_GB2312" w:hAnsi="楷体" w:eastAsia="楷体_GB2312" w:cs="仿宋_GB2312"/>
          <w:bCs/>
          <w:sz w:val="32"/>
          <w:szCs w:val="32"/>
        </w:rPr>
      </w:pPr>
      <w:bookmarkStart w:id="10" w:name="_Toc24756"/>
      <w:bookmarkStart w:id="11" w:name="_Toc1076"/>
      <w:bookmarkStart w:id="12" w:name="_Toc21450"/>
      <w:bookmarkStart w:id="13" w:name="_Toc8611"/>
      <w:bookmarkStart w:id="14" w:name="_Toc29587"/>
      <w:bookmarkStart w:id="15" w:name="_Toc508205330"/>
      <w:bookmarkStart w:id="16" w:name="_Toc516663571"/>
      <w:r>
        <w:rPr>
          <w:rFonts w:hint="eastAsia" w:ascii="楷体_GB2312" w:hAnsi="楷体" w:eastAsia="楷体_GB2312" w:cs="仿宋_GB2312"/>
          <w:bCs/>
          <w:sz w:val="32"/>
          <w:szCs w:val="32"/>
        </w:rPr>
        <w:t>项目</w:t>
      </w:r>
      <w:bookmarkEnd w:id="10"/>
      <w:bookmarkEnd w:id="11"/>
      <w:bookmarkEnd w:id="12"/>
      <w:bookmarkEnd w:id="13"/>
      <w:r>
        <w:rPr>
          <w:rFonts w:hint="eastAsia" w:ascii="楷体_GB2312" w:hAnsi="楷体" w:eastAsia="楷体_GB2312" w:cs="仿宋_GB2312"/>
          <w:bCs/>
          <w:sz w:val="32"/>
          <w:szCs w:val="32"/>
        </w:rPr>
        <w:t>概况</w:t>
      </w:r>
      <w:bookmarkEnd w:id="14"/>
    </w:p>
    <w:p>
      <w:pPr>
        <w:spacing w:line="520" w:lineRule="atLeast"/>
        <w:ind w:firstLine="640" w:firstLineChars="200"/>
        <w:rPr>
          <w:rFonts w:ascii="仿宋_GB2312" w:hAnsi="仿宋" w:eastAsia="仿宋_GB2312" w:cs="Times New Roman"/>
          <w:kern w:val="0"/>
          <w:sz w:val="32"/>
          <w:szCs w:val="32"/>
          <w:lang w:bidi="en-US"/>
        </w:rPr>
      </w:pPr>
      <w:r>
        <w:rPr>
          <w:rFonts w:hint="eastAsia" w:ascii="仿宋_GB2312" w:hAnsi="仿宋" w:eastAsia="仿宋_GB2312" w:cs="Times New Roman"/>
          <w:kern w:val="0"/>
          <w:sz w:val="32"/>
          <w:szCs w:val="32"/>
          <w:lang w:bidi="en-US"/>
        </w:rPr>
        <w:t>1</w:t>
      </w:r>
      <w:r>
        <w:rPr>
          <w:rFonts w:hint="eastAsia" w:ascii="仿宋_GB2312" w:hAnsi="仿宋_GB2312" w:eastAsia="仿宋_GB2312" w:cs="仿宋_GB2312"/>
          <w:kern w:val="44"/>
          <w:sz w:val="32"/>
          <w:szCs w:val="32"/>
        </w:rPr>
        <w:t>.</w:t>
      </w:r>
      <w:r>
        <w:rPr>
          <w:rFonts w:hint="eastAsia" w:ascii="仿宋_GB2312" w:hAnsi="仿宋" w:eastAsia="仿宋_GB2312" w:cs="Times New Roman"/>
          <w:kern w:val="0"/>
          <w:sz w:val="32"/>
          <w:szCs w:val="32"/>
          <w:lang w:bidi="en-US"/>
        </w:rPr>
        <w:t>项目背景</w:t>
      </w:r>
    </w:p>
    <w:p>
      <w:pPr>
        <w:spacing w:line="520" w:lineRule="atLeast"/>
        <w:ind w:firstLine="640" w:firstLineChars="200"/>
        <w:rPr>
          <w:rFonts w:ascii="仿宋_GB2312" w:hAnsi="仿宋" w:eastAsia="仿宋_GB2312" w:cs="Times New Roman"/>
          <w:kern w:val="0"/>
          <w:sz w:val="32"/>
          <w:szCs w:val="32"/>
          <w:lang w:bidi="en-US"/>
        </w:rPr>
      </w:pPr>
      <w:r>
        <w:rPr>
          <w:rFonts w:hint="eastAsia" w:ascii="仿宋_GB2312" w:hAnsi="仿宋" w:eastAsia="仿宋_GB2312" w:cs="Times New Roman"/>
          <w:kern w:val="0"/>
          <w:sz w:val="32"/>
          <w:szCs w:val="32"/>
          <w:lang w:bidi="en-US"/>
        </w:rPr>
        <w:t>北京知识产权法院（以下简称“知识产权法院”）是全国首家知识产权审判专业机构，成立于2014年11月，集中管辖原由北京市各个中级人民法院管辖的知识产权民事和行政案件。</w:t>
      </w:r>
    </w:p>
    <w:p>
      <w:pPr>
        <w:spacing w:line="520" w:lineRule="atLeast"/>
        <w:ind w:firstLine="640" w:firstLineChars="200"/>
        <w:rPr>
          <w:rFonts w:ascii="仿宋_GB2312" w:hAnsi="仿宋" w:eastAsia="仿宋_GB2312" w:cs="Times New Roman"/>
          <w:kern w:val="0"/>
          <w:sz w:val="32"/>
          <w:szCs w:val="32"/>
          <w:lang w:bidi="en-US"/>
        </w:rPr>
      </w:pPr>
      <w:r>
        <w:rPr>
          <w:rFonts w:hint="eastAsia" w:ascii="仿宋_GB2312" w:hAnsi="仿宋" w:eastAsia="仿宋_GB2312" w:cs="Times New Roman"/>
          <w:kern w:val="0"/>
          <w:sz w:val="32"/>
          <w:szCs w:val="32"/>
          <w:lang w:bidi="en-US"/>
        </w:rPr>
        <w:t>知识产权法院案件来源全国且涉外埠案件比例较大，因此送达工作量较大、成本较高。此外，知识产权法院每年上诉、退卷约近万次，而受“案多人少”、工作量和精力的限制，在案件量和送达量持续增长的情况下，送达的效率跟不上发展的步伐，因此，开展购买送达服务势在必行。</w:t>
      </w:r>
    </w:p>
    <w:p>
      <w:pPr>
        <w:spacing w:line="520" w:lineRule="atLeast"/>
        <w:ind w:firstLine="640" w:firstLineChars="200"/>
        <w:rPr>
          <w:rFonts w:ascii="仿宋_GB2312" w:hAnsi="仿宋" w:eastAsia="仿宋_GB2312" w:cs="Times New Roman"/>
          <w:kern w:val="0"/>
          <w:sz w:val="32"/>
          <w:szCs w:val="32"/>
          <w:lang w:bidi="en-US"/>
        </w:rPr>
      </w:pPr>
      <w:r>
        <w:rPr>
          <w:rFonts w:hint="eastAsia" w:ascii="仿宋_GB2312" w:hAnsi="仿宋" w:eastAsia="仿宋_GB2312" w:cs="Times New Roman"/>
          <w:kern w:val="0"/>
          <w:sz w:val="32"/>
          <w:szCs w:val="32"/>
          <w:lang w:bidi="en-US"/>
        </w:rPr>
        <w:t>2</w:t>
      </w:r>
      <w:r>
        <w:rPr>
          <w:rFonts w:hint="eastAsia" w:ascii="仿宋_GB2312" w:hAnsi="仿宋_GB2312" w:eastAsia="仿宋_GB2312" w:cs="仿宋_GB2312"/>
          <w:kern w:val="44"/>
          <w:sz w:val="32"/>
          <w:szCs w:val="32"/>
        </w:rPr>
        <w:t>.</w:t>
      </w:r>
      <w:r>
        <w:rPr>
          <w:rFonts w:hint="eastAsia" w:ascii="仿宋_GB2312" w:hAnsi="仿宋" w:eastAsia="仿宋_GB2312" w:cs="Times New Roman"/>
          <w:kern w:val="0"/>
          <w:sz w:val="32"/>
          <w:szCs w:val="32"/>
          <w:lang w:bidi="en-US"/>
        </w:rPr>
        <w:t>主要内容及实施情况</w:t>
      </w:r>
    </w:p>
    <w:p>
      <w:pPr>
        <w:spacing w:line="520" w:lineRule="atLeast"/>
        <w:ind w:firstLine="640" w:firstLineChars="200"/>
        <w:rPr>
          <w:rFonts w:ascii="仿宋_GB2312" w:hAnsi="仿宋" w:eastAsia="仿宋_GB2312" w:cs="Times New Roman"/>
          <w:kern w:val="0"/>
          <w:sz w:val="32"/>
          <w:szCs w:val="32"/>
          <w:lang w:bidi="en-US"/>
        </w:rPr>
      </w:pPr>
      <w:r>
        <w:rPr>
          <w:rFonts w:hint="eastAsia" w:ascii="仿宋_GB2312" w:hAnsi="仿宋" w:eastAsia="仿宋_GB2312" w:cs="Times New Roman"/>
          <w:kern w:val="0"/>
          <w:sz w:val="32"/>
          <w:szCs w:val="32"/>
          <w:lang w:bidi="en-US"/>
        </w:rPr>
        <w:t>（1）主要内容</w:t>
      </w:r>
    </w:p>
    <w:p>
      <w:pPr>
        <w:spacing w:line="520" w:lineRule="atLeast"/>
        <w:ind w:firstLine="640" w:firstLineChars="200"/>
        <w:rPr>
          <w:rFonts w:ascii="仿宋_GB2312" w:hAnsi="仿宋" w:eastAsia="仿宋_GB2312" w:cs="Times New Roman"/>
          <w:kern w:val="0"/>
          <w:sz w:val="32"/>
          <w:szCs w:val="32"/>
          <w:lang w:bidi="en-US"/>
        </w:rPr>
      </w:pPr>
      <w:r>
        <w:rPr>
          <w:rFonts w:ascii="仿宋_GB2312" w:hAnsi="仿宋" w:eastAsia="仿宋_GB2312" w:cs="Times New Roman"/>
          <w:kern w:val="0"/>
          <w:sz w:val="32"/>
          <w:szCs w:val="32"/>
          <w:lang w:bidi="en-US"/>
        </w:rPr>
        <w:t>根据司法送达服务的相关需求，</w:t>
      </w:r>
      <w:r>
        <w:rPr>
          <w:rFonts w:hint="eastAsia" w:ascii="仿宋_GB2312" w:hAnsi="仿宋" w:eastAsia="仿宋_GB2312" w:cs="Times New Roman"/>
          <w:kern w:val="0"/>
          <w:sz w:val="32"/>
          <w:szCs w:val="32"/>
          <w:lang w:bidi="en-US"/>
        </w:rPr>
        <w:t>本项目</w:t>
      </w:r>
      <w:r>
        <w:rPr>
          <w:rFonts w:ascii="仿宋_GB2312" w:hAnsi="仿宋" w:eastAsia="仿宋_GB2312" w:cs="Times New Roman"/>
          <w:kern w:val="0"/>
          <w:sz w:val="32"/>
          <w:szCs w:val="32"/>
          <w:lang w:bidi="en-US"/>
        </w:rPr>
        <w:t>主要承担知识产权法院受理的普通商标行政案件的司法专邮、公告送达、涉外案件送达等送达服务，具体包括卷宗整理、应诉送达、证据交换送达等工作。</w:t>
      </w:r>
    </w:p>
    <w:p>
      <w:pPr>
        <w:spacing w:line="520" w:lineRule="atLeast"/>
        <w:ind w:firstLine="640" w:firstLineChars="200"/>
        <w:rPr>
          <w:rFonts w:ascii="仿宋_GB2312" w:hAnsi="仿宋" w:eastAsia="仿宋_GB2312" w:cs="Times New Roman"/>
          <w:kern w:val="0"/>
          <w:sz w:val="32"/>
          <w:szCs w:val="32"/>
          <w:lang w:bidi="en-US"/>
        </w:rPr>
      </w:pPr>
      <w:r>
        <w:rPr>
          <w:rFonts w:hint="eastAsia" w:ascii="仿宋_GB2312" w:hAnsi="仿宋" w:eastAsia="仿宋_GB2312" w:cs="Times New Roman"/>
          <w:kern w:val="0"/>
          <w:sz w:val="32"/>
          <w:szCs w:val="32"/>
          <w:lang w:bidi="en-US"/>
        </w:rPr>
        <w:t>（2）实施情况</w:t>
      </w:r>
    </w:p>
    <w:p>
      <w:pPr>
        <w:spacing w:line="520" w:lineRule="atLeast"/>
        <w:ind w:firstLine="640" w:firstLineChars="200"/>
        <w:rPr>
          <w:rFonts w:ascii="仿宋_GB2312" w:hAnsi="仿宋" w:eastAsia="仿宋_GB2312" w:cs="Times New Roman"/>
          <w:kern w:val="0"/>
          <w:sz w:val="32"/>
          <w:szCs w:val="32"/>
          <w:lang w:bidi="en-US"/>
        </w:rPr>
      </w:pPr>
      <w:r>
        <w:rPr>
          <w:rFonts w:ascii="仿宋_GB2312" w:hAnsi="仿宋" w:eastAsia="仿宋_GB2312" w:cs="Times New Roman"/>
          <w:kern w:val="0"/>
          <w:sz w:val="32"/>
          <w:szCs w:val="32"/>
          <w:lang w:bidi="en-US"/>
        </w:rPr>
        <w:t>2022年，知识产权法院受理案件27697件，其中商标行政案件18591件，此外还有诉前调解案件6000余件，总收案数达到3.3万余件。平均每个案件约需送达11次左右的诉讼材料，</w:t>
      </w:r>
      <w:r>
        <w:rPr>
          <w:rFonts w:hint="eastAsia" w:ascii="仿宋_GB2312" w:hAnsi="仿宋" w:eastAsia="仿宋_GB2312" w:cs="Times New Roman"/>
          <w:kern w:val="0"/>
          <w:sz w:val="32"/>
          <w:szCs w:val="32"/>
          <w:lang w:bidi="en-US"/>
        </w:rPr>
        <w:t>全</w:t>
      </w:r>
      <w:r>
        <w:rPr>
          <w:rFonts w:ascii="仿宋_GB2312" w:hAnsi="仿宋" w:eastAsia="仿宋_GB2312" w:cs="Times New Roman"/>
          <w:kern w:val="0"/>
          <w:sz w:val="32"/>
          <w:szCs w:val="32"/>
          <w:lang w:bidi="en-US"/>
        </w:rPr>
        <w:t>年需送达诉讼材料近10万件次，日均350-400件次。</w:t>
      </w:r>
    </w:p>
    <w:p>
      <w:pPr>
        <w:spacing w:line="520" w:lineRule="atLeast"/>
        <w:ind w:firstLine="640" w:firstLineChars="200"/>
        <w:rPr>
          <w:rFonts w:ascii="仿宋_GB2312" w:hAnsi="仿宋" w:eastAsia="仿宋_GB2312" w:cs="Times New Roman"/>
          <w:kern w:val="0"/>
          <w:sz w:val="32"/>
          <w:szCs w:val="32"/>
          <w:lang w:bidi="en-US"/>
        </w:rPr>
      </w:pPr>
      <w:r>
        <w:rPr>
          <w:rFonts w:ascii="仿宋_GB2312" w:hAnsi="仿宋" w:eastAsia="仿宋_GB2312" w:cs="Times New Roman"/>
          <w:kern w:val="0"/>
          <w:sz w:val="32"/>
          <w:szCs w:val="32"/>
          <w:lang w:bidi="en-US"/>
        </w:rPr>
        <w:t>2023年3月21日，知识产权法院</w:t>
      </w:r>
      <w:r>
        <w:rPr>
          <w:rFonts w:hint="eastAsia" w:ascii="仿宋_GB2312" w:hAnsi="仿宋" w:eastAsia="仿宋_GB2312" w:cs="Times New Roman"/>
          <w:kern w:val="0"/>
          <w:sz w:val="32"/>
          <w:szCs w:val="32"/>
          <w:lang w:bidi="en-US"/>
        </w:rPr>
        <w:t>与项目服务商“北京首邮实业有限公司”双方组成的验收组</w:t>
      </w:r>
      <w:r>
        <w:rPr>
          <w:rFonts w:ascii="仿宋_GB2312" w:hAnsi="仿宋" w:eastAsia="仿宋_GB2312" w:cs="Times New Roman"/>
          <w:kern w:val="0"/>
          <w:sz w:val="32"/>
          <w:szCs w:val="32"/>
          <w:lang w:bidi="en-US"/>
        </w:rPr>
        <w:t>，依据《北京知识产权法院送达服务项目招标文件》、《北京知识产权法院送达服务项目合同书》，对该送达服务项目进行项目验收</w:t>
      </w:r>
      <w:r>
        <w:rPr>
          <w:rFonts w:hint="eastAsia" w:ascii="仿宋_GB2312" w:hAnsi="仿宋" w:eastAsia="仿宋_GB2312" w:cs="Times New Roman"/>
          <w:kern w:val="0"/>
          <w:sz w:val="32"/>
          <w:szCs w:val="32"/>
          <w:lang w:bidi="en-US"/>
        </w:rPr>
        <w:t>，</w:t>
      </w:r>
      <w:r>
        <w:rPr>
          <w:rFonts w:ascii="仿宋_GB2312" w:hAnsi="仿宋" w:eastAsia="仿宋_GB2312" w:cs="Times New Roman"/>
          <w:kern w:val="0"/>
          <w:sz w:val="32"/>
          <w:szCs w:val="32"/>
          <w:lang w:bidi="en-US"/>
        </w:rPr>
        <w:t>认可项目已达到合同要求。</w:t>
      </w:r>
    </w:p>
    <w:p>
      <w:pPr>
        <w:spacing w:line="520" w:lineRule="atLeast"/>
        <w:ind w:firstLine="640" w:firstLineChars="200"/>
        <w:rPr>
          <w:rFonts w:ascii="仿宋_GB2312" w:hAnsi="仿宋" w:eastAsia="仿宋_GB2312" w:cs="Times New Roman"/>
          <w:kern w:val="0"/>
          <w:sz w:val="32"/>
          <w:szCs w:val="32"/>
          <w:lang w:bidi="en-US"/>
        </w:rPr>
      </w:pPr>
      <w:r>
        <w:rPr>
          <w:rFonts w:hint="eastAsia" w:ascii="仿宋_GB2312" w:hAnsi="仿宋" w:eastAsia="仿宋_GB2312" w:cs="Times New Roman"/>
          <w:kern w:val="0"/>
          <w:sz w:val="32"/>
          <w:szCs w:val="32"/>
          <w:lang w:bidi="en-US"/>
        </w:rPr>
        <w:t>3</w:t>
      </w:r>
      <w:r>
        <w:rPr>
          <w:rFonts w:hint="eastAsia" w:ascii="仿宋_GB2312" w:hAnsi="仿宋_GB2312" w:eastAsia="仿宋_GB2312" w:cs="仿宋_GB2312"/>
          <w:kern w:val="44"/>
          <w:sz w:val="32"/>
          <w:szCs w:val="32"/>
        </w:rPr>
        <w:t>.</w:t>
      </w:r>
      <w:r>
        <w:rPr>
          <w:rFonts w:hint="eastAsia" w:ascii="仿宋_GB2312" w:hAnsi="仿宋" w:eastAsia="仿宋_GB2312" w:cs="Times New Roman"/>
          <w:kern w:val="0"/>
          <w:sz w:val="32"/>
          <w:szCs w:val="32"/>
          <w:lang w:bidi="en-US"/>
        </w:rPr>
        <w:t>资金投入和使用情况</w:t>
      </w:r>
    </w:p>
    <w:p>
      <w:pPr>
        <w:spacing w:line="520" w:lineRule="atLeast"/>
        <w:ind w:firstLine="640" w:firstLineChars="200"/>
        <w:rPr>
          <w:rFonts w:ascii="仿宋_GB2312" w:hAnsi="仿宋" w:eastAsia="仿宋_GB2312" w:cs="Times New Roman"/>
          <w:kern w:val="0"/>
          <w:sz w:val="32"/>
          <w:szCs w:val="32"/>
          <w:lang w:bidi="en-US"/>
        </w:rPr>
      </w:pPr>
      <w:r>
        <w:rPr>
          <w:rFonts w:hint="eastAsia" w:ascii="仿宋_GB2312" w:hAnsi="仿宋" w:eastAsia="仿宋_GB2312" w:cs="Times New Roman"/>
          <w:kern w:val="0"/>
          <w:sz w:val="32"/>
          <w:szCs w:val="32"/>
          <w:lang w:bidi="en-US"/>
        </w:rPr>
        <w:t>（1）资金投入</w:t>
      </w:r>
    </w:p>
    <w:p>
      <w:pPr>
        <w:ind w:firstLine="640" w:firstLineChars="200"/>
        <w:rPr>
          <w:rFonts w:ascii="仿宋_GB2312" w:hAnsi="仿宋" w:eastAsia="仿宋_GB2312" w:cs="Times New Roman"/>
          <w:kern w:val="0"/>
          <w:sz w:val="32"/>
          <w:szCs w:val="32"/>
          <w:lang w:bidi="en-US"/>
        </w:rPr>
      </w:pPr>
      <w:r>
        <w:rPr>
          <w:rFonts w:hint="eastAsia" w:ascii="仿宋_GB2312" w:hAnsi="仿宋" w:eastAsia="仿宋_GB2312" w:cs="Times New Roman"/>
          <w:kern w:val="0"/>
          <w:sz w:val="32"/>
          <w:szCs w:val="32"/>
          <w:lang w:bidi="en-US"/>
        </w:rPr>
        <w:t>依据《北京市财政局关于批复北京知识产权法院2022年预算的函》（京财公检法指﹝2022﹞136号），年初预算批复项目资金192万元，实际到位资金192万元。</w:t>
      </w:r>
    </w:p>
    <w:p>
      <w:pPr>
        <w:spacing w:line="520" w:lineRule="atLeast"/>
        <w:ind w:firstLine="640" w:firstLineChars="200"/>
        <w:rPr>
          <w:rFonts w:ascii="仿宋_GB2312" w:hAnsi="仿宋" w:eastAsia="仿宋_GB2312" w:cs="Times New Roman"/>
          <w:kern w:val="0"/>
          <w:sz w:val="32"/>
          <w:szCs w:val="32"/>
          <w:lang w:bidi="en-US"/>
        </w:rPr>
      </w:pPr>
      <w:r>
        <w:rPr>
          <w:rFonts w:hint="eastAsia" w:ascii="仿宋_GB2312" w:hAnsi="仿宋" w:eastAsia="仿宋_GB2312" w:cs="Times New Roman"/>
          <w:kern w:val="0"/>
          <w:sz w:val="32"/>
          <w:szCs w:val="32"/>
          <w:lang w:bidi="en-US"/>
        </w:rPr>
        <w:t>（2）使用情况</w:t>
      </w:r>
    </w:p>
    <w:p>
      <w:pPr>
        <w:spacing w:line="520" w:lineRule="atLeast"/>
        <w:ind w:firstLine="640" w:firstLineChars="200"/>
        <w:rPr>
          <w:rFonts w:ascii="仿宋_GB2312" w:hAnsi="仿宋" w:eastAsia="仿宋_GB2312" w:cs="Times New Roman"/>
          <w:kern w:val="0"/>
          <w:sz w:val="32"/>
          <w:szCs w:val="32"/>
          <w:lang w:bidi="en-US"/>
        </w:rPr>
      </w:pPr>
      <w:r>
        <w:rPr>
          <w:rFonts w:hint="eastAsia" w:ascii="仿宋_GB2312" w:hAnsi="仿宋" w:eastAsia="仿宋_GB2312" w:cs="Times New Roman"/>
          <w:kern w:val="0"/>
          <w:sz w:val="32"/>
          <w:szCs w:val="32"/>
          <w:lang w:bidi="en-US"/>
        </w:rPr>
        <w:t>截至2022年12月31日，依据知识产权法院相关合同及资金审批流程，已实际支付资金191.52万元，结余资金0.48万元，预算资金执行率为99.75%。</w:t>
      </w:r>
    </w:p>
    <w:p>
      <w:pPr>
        <w:numPr>
          <w:ilvl w:val="0"/>
          <w:numId w:val="2"/>
        </w:numPr>
        <w:spacing w:line="560" w:lineRule="exact"/>
        <w:outlineLvl w:val="1"/>
        <w:rPr>
          <w:rFonts w:ascii="楷体_GB2312" w:hAnsi="楷体" w:eastAsia="楷体_GB2312" w:cs="仿宋_GB2312"/>
          <w:bCs/>
          <w:sz w:val="32"/>
          <w:szCs w:val="32"/>
        </w:rPr>
      </w:pPr>
      <w:bookmarkStart w:id="17" w:name="_Toc9423"/>
      <w:bookmarkStart w:id="18" w:name="_Toc23047"/>
      <w:bookmarkStart w:id="19" w:name="_Toc20164"/>
      <w:bookmarkStart w:id="20" w:name="_Toc11266"/>
      <w:bookmarkStart w:id="21" w:name="_Toc27184"/>
      <w:r>
        <w:rPr>
          <w:rFonts w:hint="eastAsia" w:ascii="楷体_GB2312" w:hAnsi="楷体" w:eastAsia="楷体_GB2312" w:cs="仿宋_GB2312"/>
          <w:bCs/>
          <w:sz w:val="32"/>
          <w:szCs w:val="32"/>
        </w:rPr>
        <w:t>项目绩效目标</w:t>
      </w:r>
      <w:bookmarkEnd w:id="17"/>
      <w:bookmarkEnd w:id="18"/>
      <w:bookmarkEnd w:id="19"/>
      <w:bookmarkEnd w:id="20"/>
      <w:bookmarkEnd w:id="21"/>
    </w:p>
    <w:p>
      <w:pPr>
        <w:spacing w:line="560" w:lineRule="exact"/>
        <w:ind w:firstLine="640" w:firstLineChars="200"/>
        <w:rPr>
          <w:rFonts w:ascii="仿宋_GB2312" w:hAnsi="仿宋_GB2312" w:eastAsia="仿宋_GB2312" w:cs="仿宋_GB2312"/>
          <w:bCs/>
          <w:sz w:val="32"/>
          <w:szCs w:val="32"/>
        </w:rPr>
      </w:pPr>
      <w:bookmarkStart w:id="22" w:name="_Toc27840"/>
      <w:bookmarkStart w:id="23" w:name="_Toc2200"/>
      <w:bookmarkStart w:id="24" w:name="_Toc3189"/>
      <w:bookmarkStart w:id="25" w:name="_Toc12601"/>
      <w:bookmarkStart w:id="26" w:name="_Toc23154"/>
      <w:r>
        <w:rPr>
          <w:rFonts w:hint="eastAsia" w:ascii="仿宋_GB2312" w:hAnsi="仿宋_GB2312" w:eastAsia="仿宋_GB2312" w:cs="仿宋_GB2312"/>
          <w:bCs/>
          <w:sz w:val="32"/>
          <w:szCs w:val="32"/>
        </w:rPr>
        <w:t>1</w:t>
      </w:r>
      <w:r>
        <w:rPr>
          <w:rFonts w:hint="eastAsia" w:ascii="仿宋_GB2312" w:hAnsi="仿宋_GB2312" w:eastAsia="仿宋_GB2312" w:cs="仿宋_GB2312"/>
          <w:kern w:val="44"/>
          <w:sz w:val="32"/>
          <w:szCs w:val="32"/>
        </w:rPr>
        <w:t>.</w:t>
      </w:r>
      <w:r>
        <w:rPr>
          <w:rFonts w:hint="eastAsia" w:ascii="仿宋_GB2312" w:hAnsi="仿宋_GB2312" w:eastAsia="仿宋_GB2312" w:cs="仿宋_GB2312"/>
          <w:bCs/>
          <w:sz w:val="32"/>
          <w:szCs w:val="32"/>
        </w:rPr>
        <w:t>总体目标</w:t>
      </w:r>
      <w:bookmarkEnd w:id="22"/>
      <w:bookmarkEnd w:id="23"/>
      <w:bookmarkEnd w:id="24"/>
      <w:bookmarkEnd w:id="25"/>
      <w:bookmarkEnd w:id="26"/>
    </w:p>
    <w:p>
      <w:pPr>
        <w:pStyle w:val="39"/>
        <w:ind w:firstLine="640" w:firstLineChars="200"/>
        <w:jc w:val="left"/>
        <w:rPr>
          <w:rFonts w:ascii="仿宋_GB2312" w:hAnsi="仿宋"/>
          <w:kern w:val="0"/>
          <w:sz w:val="32"/>
          <w:szCs w:val="32"/>
          <w:lang w:eastAsia="zh-CN" w:bidi="en-US"/>
        </w:rPr>
      </w:pPr>
      <w:r>
        <w:rPr>
          <w:rFonts w:hint="eastAsia" w:ascii="仿宋_GB2312" w:hAnsi="仿宋"/>
          <w:kern w:val="0"/>
          <w:sz w:val="32"/>
          <w:szCs w:val="32"/>
          <w:lang w:eastAsia="zh-CN" w:bidi="en-US"/>
        </w:rPr>
        <w:t>规范司法专邮、公告送达工作流程，保障送达工作的高效性、有效性、准确性。完善通过外交途径送达案件的流程，将涉外案件送达工作规范化。按计划推进开展行政案件证据交换送达工作，有效地缓解了审判团队的审判压力。</w:t>
      </w:r>
    </w:p>
    <w:p>
      <w:pPr>
        <w:pStyle w:val="39"/>
        <w:ind w:firstLine="640" w:firstLineChars="200"/>
        <w:jc w:val="left"/>
        <w:rPr>
          <w:rFonts w:ascii="仿宋_GB2312" w:hAnsi="仿宋"/>
          <w:kern w:val="0"/>
          <w:sz w:val="32"/>
          <w:szCs w:val="32"/>
          <w:lang w:eastAsia="zh-CN" w:bidi="en-US"/>
        </w:rPr>
      </w:pPr>
      <w:r>
        <w:rPr>
          <w:rFonts w:hint="eastAsia" w:ascii="仿宋_GB2312" w:hAnsi="仿宋"/>
          <w:kern w:val="0"/>
          <w:sz w:val="32"/>
          <w:szCs w:val="32"/>
          <w:lang w:eastAsia="zh-CN" w:bidi="en-US"/>
        </w:rPr>
        <w:t>2</w:t>
      </w:r>
      <w:r>
        <w:rPr>
          <w:rFonts w:hint="eastAsia" w:ascii="仿宋_GB2312" w:hAnsi="仿宋_GB2312" w:cs="仿宋_GB2312"/>
          <w:kern w:val="44"/>
          <w:sz w:val="32"/>
          <w:szCs w:val="32"/>
          <w:lang w:eastAsia="zh-CN"/>
        </w:rPr>
        <w:t>.</w:t>
      </w:r>
      <w:r>
        <w:rPr>
          <w:rFonts w:hint="eastAsia" w:ascii="仿宋_GB2312" w:hAnsi="仿宋"/>
          <w:kern w:val="0"/>
          <w:sz w:val="32"/>
          <w:szCs w:val="32"/>
          <w:lang w:eastAsia="zh-CN" w:bidi="en-US"/>
        </w:rPr>
        <w:t>年度目标</w:t>
      </w:r>
    </w:p>
    <w:p>
      <w:pPr>
        <w:pStyle w:val="39"/>
        <w:ind w:firstLine="640" w:firstLineChars="200"/>
        <w:jc w:val="left"/>
        <w:rPr>
          <w:rFonts w:ascii="仿宋_GB2312" w:hAnsi="仿宋"/>
          <w:kern w:val="0"/>
          <w:sz w:val="32"/>
          <w:szCs w:val="32"/>
          <w:lang w:eastAsia="zh-CN" w:bidi="en-US"/>
        </w:rPr>
      </w:pPr>
      <w:r>
        <w:rPr>
          <w:rFonts w:hint="eastAsia" w:ascii="仿宋_GB2312" w:hAnsi="仿宋"/>
          <w:kern w:val="0"/>
          <w:sz w:val="32"/>
          <w:szCs w:val="32"/>
          <w:lang w:eastAsia="zh-CN" w:bidi="en-US"/>
        </w:rPr>
        <w:t>在本年度内完成案件送达的各项既定任务，规范送达工作，减轻法院“案多人少”的压力，提升案件送达效率和质量。</w:t>
      </w:r>
    </w:p>
    <w:bookmarkEnd w:id="15"/>
    <w:bookmarkEnd w:id="16"/>
    <w:p>
      <w:pPr>
        <w:pStyle w:val="2"/>
        <w:keepNext w:val="0"/>
        <w:keepLines w:val="0"/>
        <w:widowControl/>
        <w:numPr>
          <w:ilvl w:val="0"/>
          <w:numId w:val="1"/>
        </w:numPr>
        <w:spacing w:before="0" w:after="0" w:line="520" w:lineRule="atLeast"/>
        <w:contextualSpacing/>
        <w:jc w:val="left"/>
        <w:rPr>
          <w:rFonts w:ascii="黑体" w:hAnsi="黑体" w:eastAsia="黑体" w:cs="黑体"/>
          <w:b w:val="0"/>
          <w:kern w:val="0"/>
          <w:sz w:val="32"/>
          <w:szCs w:val="32"/>
          <w:lang w:bidi="en-US"/>
        </w:rPr>
      </w:pPr>
      <w:bookmarkStart w:id="27" w:name="_Toc20080"/>
      <w:bookmarkStart w:id="28" w:name="_Toc14759"/>
      <w:bookmarkStart w:id="29" w:name="_Toc10472"/>
      <w:bookmarkStart w:id="30" w:name="_Toc26593"/>
      <w:bookmarkStart w:id="31" w:name="_Toc28943"/>
      <w:bookmarkStart w:id="32" w:name="_Toc516663573"/>
      <w:r>
        <w:rPr>
          <w:rFonts w:hint="eastAsia" w:ascii="黑体" w:hAnsi="黑体" w:eastAsia="黑体" w:cs="黑体"/>
          <w:b w:val="0"/>
          <w:kern w:val="0"/>
          <w:sz w:val="32"/>
          <w:szCs w:val="32"/>
          <w:lang w:bidi="en-US"/>
        </w:rPr>
        <w:t>绩效评价工作</w:t>
      </w:r>
      <w:bookmarkEnd w:id="27"/>
      <w:bookmarkEnd w:id="28"/>
      <w:bookmarkEnd w:id="29"/>
      <w:bookmarkEnd w:id="30"/>
      <w:r>
        <w:rPr>
          <w:rFonts w:hint="eastAsia" w:ascii="黑体" w:hAnsi="黑体" w:eastAsia="黑体" w:cs="黑体"/>
          <w:b w:val="0"/>
          <w:kern w:val="0"/>
          <w:sz w:val="32"/>
          <w:szCs w:val="32"/>
          <w:lang w:bidi="en-US"/>
        </w:rPr>
        <w:t>开展情况</w:t>
      </w:r>
      <w:bookmarkEnd w:id="31"/>
    </w:p>
    <w:bookmarkEnd w:id="32"/>
    <w:p>
      <w:pPr>
        <w:pStyle w:val="27"/>
        <w:numPr>
          <w:ilvl w:val="0"/>
          <w:numId w:val="3"/>
        </w:numPr>
        <w:spacing w:line="560" w:lineRule="exact"/>
        <w:ind w:firstLineChars="0"/>
        <w:outlineLvl w:val="2"/>
        <w:rPr>
          <w:rFonts w:ascii="楷体_GB2312" w:hAnsi="楷体_GB2312" w:eastAsia="楷体_GB2312" w:cs="楷体_GB2312"/>
          <w:bCs/>
          <w:sz w:val="32"/>
          <w:szCs w:val="32"/>
        </w:rPr>
      </w:pPr>
      <w:bookmarkStart w:id="33" w:name="_Toc15183"/>
      <w:bookmarkStart w:id="34" w:name="_Toc6758"/>
      <w:bookmarkStart w:id="35" w:name="_Toc28297"/>
      <w:bookmarkStart w:id="36" w:name="_Toc21515"/>
      <w:bookmarkStart w:id="37" w:name="_Toc26854"/>
      <w:r>
        <w:rPr>
          <w:rFonts w:hint="eastAsia" w:ascii="楷体_GB2312" w:hAnsi="楷体_GB2312" w:eastAsia="楷体_GB2312" w:cs="楷体_GB2312"/>
          <w:bCs/>
          <w:sz w:val="32"/>
          <w:szCs w:val="32"/>
        </w:rPr>
        <w:t>绩效评价目的、对象和范围</w:t>
      </w:r>
      <w:bookmarkEnd w:id="33"/>
      <w:bookmarkEnd w:id="34"/>
      <w:bookmarkEnd w:id="35"/>
      <w:bookmarkEnd w:id="36"/>
      <w:bookmarkEnd w:id="37"/>
    </w:p>
    <w:p>
      <w:pPr>
        <w:ind w:firstLine="640" w:firstLineChars="200"/>
        <w:rPr>
          <w:rFonts w:ascii="仿宋_GB2312" w:hAnsi="仿宋" w:eastAsia="仿宋_GB2312" w:cs="Times New Roman"/>
          <w:kern w:val="0"/>
          <w:sz w:val="32"/>
          <w:szCs w:val="32"/>
          <w:lang w:bidi="en-US"/>
        </w:rPr>
      </w:pPr>
      <w:r>
        <w:rPr>
          <w:rFonts w:hint="eastAsia" w:ascii="仿宋_GB2312" w:hAnsi="仿宋" w:eastAsia="仿宋_GB2312" w:cs="Times New Roman"/>
          <w:kern w:val="0"/>
          <w:sz w:val="32"/>
          <w:szCs w:val="32"/>
          <w:lang w:bidi="en-US"/>
        </w:rPr>
        <w:t>本次绩效评价旨在进一步规范政府购买服务项目实施，实现“预算精细化、资金使用规范化”的目标，提升购买服务项目管理水平，促进预算单位提高绩效管理意识，提高财政资金使用效益。</w:t>
      </w:r>
    </w:p>
    <w:p>
      <w:pPr>
        <w:ind w:firstLine="640" w:firstLineChars="200"/>
        <w:rPr>
          <w:rFonts w:ascii="仿宋_GB2312" w:hAnsi="仿宋" w:eastAsia="仿宋_GB2312" w:cs="Times New Roman"/>
          <w:kern w:val="0"/>
          <w:sz w:val="28"/>
          <w:szCs w:val="28"/>
          <w:lang w:bidi="en-US"/>
        </w:rPr>
      </w:pPr>
      <w:r>
        <w:rPr>
          <w:rFonts w:hint="eastAsia" w:ascii="仿宋_GB2312" w:hAnsi="仿宋" w:eastAsia="仿宋_GB2312" w:cs="Times New Roman"/>
          <w:kern w:val="0"/>
          <w:sz w:val="32"/>
          <w:szCs w:val="32"/>
          <w:lang w:bidi="en-US"/>
        </w:rPr>
        <w:t xml:space="preserve"> 评价对象和范围为2022年司法送达服务项目。评价内容包括项目决策、项目过程、项目产出、项目效益四个方面。</w:t>
      </w:r>
    </w:p>
    <w:p>
      <w:pPr>
        <w:pStyle w:val="27"/>
        <w:numPr>
          <w:ilvl w:val="0"/>
          <w:numId w:val="4"/>
        </w:numPr>
        <w:spacing w:line="560" w:lineRule="exact"/>
        <w:ind w:firstLineChars="0"/>
        <w:outlineLvl w:val="2"/>
        <w:rPr>
          <w:rFonts w:ascii="楷体_GB2312" w:hAnsi="楷体_GB2312" w:eastAsia="楷体_GB2312" w:cs="楷体_GB2312"/>
          <w:bCs/>
          <w:sz w:val="32"/>
          <w:szCs w:val="32"/>
        </w:rPr>
      </w:pPr>
      <w:bookmarkStart w:id="38" w:name="_Toc10825"/>
      <w:bookmarkStart w:id="39" w:name="_Toc15141"/>
      <w:bookmarkStart w:id="40" w:name="_Toc27040"/>
      <w:bookmarkStart w:id="41" w:name="_Toc168"/>
      <w:bookmarkStart w:id="42" w:name="_Toc516663575"/>
      <w:r>
        <w:rPr>
          <w:rFonts w:hint="eastAsia" w:ascii="楷体_GB2312" w:hAnsi="楷体_GB2312" w:eastAsia="楷体_GB2312" w:cs="楷体_GB2312"/>
          <w:bCs/>
          <w:sz w:val="32"/>
          <w:szCs w:val="32"/>
        </w:rPr>
        <w:t>绩效评价方法以及指标体系设定</w:t>
      </w:r>
      <w:bookmarkEnd w:id="38"/>
      <w:bookmarkEnd w:id="39"/>
      <w:bookmarkEnd w:id="40"/>
      <w:bookmarkEnd w:id="41"/>
    </w:p>
    <w:p>
      <w:pPr>
        <w:ind w:firstLine="640"/>
        <w:rPr>
          <w:rFonts w:ascii="仿宋_GB2312" w:hAnsi="仿宋" w:eastAsia="仿宋_GB2312" w:cs="Times New Roman"/>
          <w:kern w:val="0"/>
          <w:sz w:val="32"/>
          <w:szCs w:val="32"/>
          <w:lang w:bidi="en-US"/>
        </w:rPr>
      </w:pPr>
      <w:r>
        <w:rPr>
          <w:rFonts w:hint="eastAsia" w:ascii="仿宋_GB2312" w:hAnsi="仿宋" w:eastAsia="仿宋_GB2312" w:cs="Times New Roman"/>
          <w:kern w:val="0"/>
          <w:sz w:val="32"/>
          <w:szCs w:val="32"/>
          <w:lang w:bidi="en-US"/>
        </w:rPr>
        <w:t>本次评价运用成本效益法、比较法、因素分析法、调查评判法等方法，同时通过文献资料搜索、多因素分析来支撑评价的逻辑紧密性与客观性。本次评价坚持定量优先、定量与定性相结合的方式，遵循科学规范、公正公开、分级分类、绩效相关的基本原则。</w:t>
      </w:r>
    </w:p>
    <w:p>
      <w:pPr>
        <w:ind w:firstLine="640"/>
        <w:rPr>
          <w:rFonts w:ascii="仿宋_GB2312" w:hAnsi="仿宋" w:eastAsia="仿宋_GB2312" w:cs="Times New Roman"/>
          <w:kern w:val="0"/>
          <w:sz w:val="32"/>
          <w:szCs w:val="32"/>
          <w:lang w:bidi="en-US"/>
        </w:rPr>
      </w:pPr>
      <w:r>
        <w:rPr>
          <w:rFonts w:hint="eastAsia" w:ascii="仿宋_GB2312" w:hAnsi="仿宋" w:eastAsia="仿宋_GB2312" w:cs="Times New Roman"/>
          <w:kern w:val="0"/>
          <w:sz w:val="32"/>
          <w:szCs w:val="32"/>
          <w:lang w:bidi="en-US"/>
        </w:rPr>
        <w:t>本次绩效评价指标体系包括决策、过程、产出、效益4个一级指标。在各项指标权重设定方面，我们主要依据《北京市项目支出绩效评价管理办法》（京财绩效〔2020〕2146号）</w:t>
      </w:r>
      <w:r>
        <w:rPr>
          <w:rFonts w:hint="eastAsia" w:ascii="仿宋_GB2312" w:hAnsi="宋体" w:eastAsia="仿宋_GB2312"/>
          <w:sz w:val="32"/>
          <w:szCs w:val="32"/>
        </w:rPr>
        <w:t>以及《北京市财政局关于开展政府购买服务项目绩效评价工作的通知》（京财综〔2023〕407号）文件</w:t>
      </w:r>
      <w:r>
        <w:rPr>
          <w:rFonts w:hint="eastAsia" w:ascii="仿宋_GB2312" w:hAnsi="仿宋" w:eastAsia="仿宋_GB2312" w:cs="Times New Roman"/>
          <w:kern w:val="0"/>
          <w:sz w:val="32"/>
          <w:szCs w:val="32"/>
          <w:lang w:bidi="en-US"/>
        </w:rPr>
        <w:t>中体现的绩效结果导向精神，更加注重产出和效益原则，产出、效益指标权重不低于60%，本项目产出、效益指标权重为60%。根据对各指标的重要性和影响力大小的理解给予相应的权重分值，并采取定性与定量分析相结合的方法分别记分。</w:t>
      </w:r>
    </w:p>
    <w:p>
      <w:pPr>
        <w:pStyle w:val="4"/>
        <w:ind w:firstLine="709"/>
        <w:rPr>
          <w:rFonts w:ascii="仿宋_GB2312" w:hAnsi="仿宋" w:eastAsia="仿宋_GB2312" w:cs="Times New Roman"/>
          <w:kern w:val="0"/>
          <w:sz w:val="32"/>
          <w:szCs w:val="32"/>
          <w:lang w:bidi="en-US"/>
        </w:rPr>
      </w:pPr>
      <w:r>
        <w:rPr>
          <w:rFonts w:hint="eastAsia" w:ascii="仿宋_GB2312" w:hAnsi="仿宋" w:eastAsia="仿宋_GB2312" w:cs="Times New Roman"/>
          <w:kern w:val="0"/>
          <w:sz w:val="32"/>
          <w:szCs w:val="32"/>
          <w:lang w:bidi="en-US"/>
        </w:rPr>
        <w:t>1</w:t>
      </w:r>
      <w:r>
        <w:rPr>
          <w:rFonts w:hint="eastAsia" w:ascii="仿宋_GB2312" w:hAnsi="仿宋_GB2312" w:eastAsia="仿宋_GB2312" w:cs="仿宋_GB2312"/>
          <w:kern w:val="44"/>
          <w:sz w:val="32"/>
          <w:szCs w:val="32"/>
        </w:rPr>
        <w:t>.</w:t>
      </w:r>
      <w:r>
        <w:rPr>
          <w:rFonts w:hint="eastAsia" w:ascii="仿宋_GB2312" w:hAnsi="仿宋" w:eastAsia="仿宋_GB2312" w:cs="Times New Roman"/>
          <w:kern w:val="0"/>
          <w:sz w:val="32"/>
          <w:szCs w:val="32"/>
          <w:lang w:bidi="en-US"/>
        </w:rPr>
        <w:t>决策指标：主要评价项目立项依据、目标和资金情况。决策指标包括项目立项、绩效目标和资金投入3个二级指标，以及立项依据充分性、立项程序规范性、绩效目标合理性、绩效指标明确性、预算编制科学性</w:t>
      </w:r>
      <w:bookmarkStart w:id="43" w:name="_Hlk73315744"/>
      <w:r>
        <w:rPr>
          <w:rFonts w:hint="eastAsia" w:ascii="仿宋_GB2312" w:hAnsi="仿宋" w:eastAsia="仿宋_GB2312" w:cs="Times New Roman"/>
          <w:kern w:val="0"/>
          <w:sz w:val="32"/>
          <w:szCs w:val="32"/>
          <w:lang w:bidi="en-US"/>
        </w:rPr>
        <w:t>5个三级指标。</w:t>
      </w:r>
      <w:bookmarkEnd w:id="43"/>
      <w:r>
        <w:rPr>
          <w:rFonts w:hint="eastAsia" w:ascii="仿宋_GB2312" w:hAnsi="仿宋" w:eastAsia="仿宋_GB2312" w:cs="Times New Roman"/>
          <w:kern w:val="0"/>
          <w:sz w:val="32"/>
          <w:szCs w:val="32"/>
          <w:lang w:bidi="en-US"/>
        </w:rPr>
        <w:t>决策类指标权重共计20分。</w:t>
      </w:r>
    </w:p>
    <w:p>
      <w:pPr>
        <w:pStyle w:val="4"/>
        <w:ind w:firstLine="709"/>
        <w:rPr>
          <w:rFonts w:ascii="仿宋_GB2312" w:hAnsi="仿宋" w:eastAsia="仿宋_GB2312" w:cs="Times New Roman"/>
          <w:kern w:val="0"/>
          <w:sz w:val="32"/>
          <w:szCs w:val="32"/>
          <w:lang w:bidi="en-US"/>
        </w:rPr>
      </w:pPr>
      <w:r>
        <w:rPr>
          <w:rFonts w:hint="eastAsia" w:ascii="仿宋_GB2312" w:hAnsi="仿宋" w:eastAsia="仿宋_GB2312" w:cs="Times New Roman"/>
          <w:kern w:val="0"/>
          <w:sz w:val="32"/>
          <w:szCs w:val="32"/>
          <w:lang w:bidi="en-US"/>
        </w:rPr>
        <w:t>2</w:t>
      </w:r>
      <w:r>
        <w:rPr>
          <w:rFonts w:hint="eastAsia" w:ascii="仿宋_GB2312" w:hAnsi="仿宋_GB2312" w:eastAsia="仿宋_GB2312" w:cs="仿宋_GB2312"/>
          <w:kern w:val="44"/>
          <w:sz w:val="32"/>
          <w:szCs w:val="32"/>
        </w:rPr>
        <w:t>.</w:t>
      </w:r>
      <w:r>
        <w:rPr>
          <w:rFonts w:hint="eastAsia" w:ascii="仿宋_GB2312" w:hAnsi="仿宋" w:eastAsia="仿宋_GB2312" w:cs="Times New Roman"/>
          <w:kern w:val="0"/>
          <w:sz w:val="32"/>
          <w:szCs w:val="32"/>
          <w:lang w:bidi="en-US"/>
        </w:rPr>
        <w:t>过程指标：主要评价项目资金在实施过程中的流程及监督管理情况。过程指标包括资金管理和组织实施2个二级指标，以及预算执行率、资金使用合规性、管理制度健全性、制度执行有效性4个三级指标。过程类指标权重共计20分。</w:t>
      </w:r>
    </w:p>
    <w:p>
      <w:pPr>
        <w:pStyle w:val="4"/>
        <w:ind w:firstLine="419" w:firstLineChars="131"/>
        <w:rPr>
          <w:rFonts w:ascii="仿宋_GB2312" w:hAnsi="仿宋" w:eastAsia="仿宋_GB2312" w:cs="Times New Roman"/>
          <w:kern w:val="0"/>
          <w:sz w:val="32"/>
          <w:szCs w:val="32"/>
          <w:lang w:bidi="en-US"/>
        </w:rPr>
      </w:pPr>
      <w:r>
        <w:rPr>
          <w:rFonts w:hint="eastAsia" w:ascii="仿宋_GB2312" w:hAnsi="仿宋" w:eastAsia="仿宋_GB2312" w:cs="Times New Roman"/>
          <w:kern w:val="0"/>
          <w:sz w:val="32"/>
          <w:szCs w:val="32"/>
          <w:lang w:bidi="en-US"/>
        </w:rPr>
        <w:t xml:space="preserve"> 3</w:t>
      </w:r>
      <w:r>
        <w:rPr>
          <w:rFonts w:hint="eastAsia" w:ascii="仿宋_GB2312" w:hAnsi="仿宋_GB2312" w:eastAsia="仿宋_GB2312" w:cs="仿宋_GB2312"/>
          <w:kern w:val="44"/>
          <w:sz w:val="32"/>
          <w:szCs w:val="32"/>
        </w:rPr>
        <w:t>.</w:t>
      </w:r>
      <w:r>
        <w:rPr>
          <w:rFonts w:hint="eastAsia" w:ascii="仿宋_GB2312" w:hAnsi="仿宋" w:eastAsia="仿宋_GB2312" w:cs="Times New Roman"/>
          <w:kern w:val="0"/>
          <w:sz w:val="32"/>
          <w:szCs w:val="32"/>
          <w:lang w:bidi="en-US"/>
        </w:rPr>
        <w:t>产出指标：主要评价项目实施的完成情况。产出指标均包括产出数量、产出质量、产出时效、产出成本4个二级指标，以及实际完成率、质量达标率、完成及时性、成本节约率4个三级指标。产出类指标权重共计30分。</w:t>
      </w:r>
    </w:p>
    <w:p>
      <w:pPr>
        <w:pStyle w:val="4"/>
        <w:ind w:firstLine="566" w:firstLineChars="177"/>
        <w:rPr>
          <w:rFonts w:ascii="仿宋_GB2312" w:hAnsi="仿宋" w:eastAsia="仿宋_GB2312" w:cs="Times New Roman"/>
          <w:kern w:val="0"/>
          <w:sz w:val="32"/>
          <w:szCs w:val="32"/>
          <w:lang w:bidi="en-US"/>
        </w:rPr>
      </w:pPr>
      <w:r>
        <w:rPr>
          <w:rFonts w:hint="eastAsia" w:ascii="仿宋_GB2312" w:hAnsi="仿宋" w:eastAsia="仿宋_GB2312" w:cs="Times New Roman"/>
          <w:kern w:val="0"/>
          <w:sz w:val="32"/>
          <w:szCs w:val="32"/>
          <w:lang w:bidi="en-US"/>
        </w:rPr>
        <w:t>4</w:t>
      </w:r>
      <w:r>
        <w:rPr>
          <w:rFonts w:hint="eastAsia" w:ascii="仿宋_GB2312" w:hAnsi="仿宋_GB2312" w:eastAsia="仿宋_GB2312" w:cs="仿宋_GB2312"/>
          <w:kern w:val="44"/>
          <w:sz w:val="32"/>
          <w:szCs w:val="32"/>
        </w:rPr>
        <w:t>.</w:t>
      </w:r>
      <w:r>
        <w:rPr>
          <w:rFonts w:hint="eastAsia" w:ascii="仿宋_GB2312" w:hAnsi="仿宋" w:eastAsia="仿宋_GB2312" w:cs="Times New Roman"/>
          <w:kern w:val="0"/>
          <w:sz w:val="32"/>
          <w:szCs w:val="32"/>
          <w:lang w:bidi="en-US"/>
        </w:rPr>
        <w:t>效益指标：主要评价项目实施所取得的效果。包括实施效益和满意度2个三级指标。实施效益从社会效益、经济效益、可持续影响、满意度4个方面进行评价。效益类指标权重共计30分。</w:t>
      </w:r>
    </w:p>
    <w:p>
      <w:pPr>
        <w:pStyle w:val="27"/>
        <w:numPr>
          <w:ilvl w:val="0"/>
          <w:numId w:val="4"/>
        </w:numPr>
        <w:spacing w:line="560" w:lineRule="exact"/>
        <w:ind w:firstLineChars="0"/>
        <w:outlineLvl w:val="2"/>
        <w:rPr>
          <w:rFonts w:ascii="楷体_GB2312" w:hAnsi="楷体_GB2312" w:eastAsia="楷体_GB2312" w:cs="楷体_GB2312"/>
          <w:bCs/>
          <w:sz w:val="32"/>
          <w:szCs w:val="32"/>
        </w:rPr>
      </w:pPr>
      <w:bookmarkStart w:id="44" w:name="_Toc22673"/>
      <w:bookmarkStart w:id="45" w:name="_Toc18090"/>
      <w:bookmarkStart w:id="46" w:name="_Toc29783"/>
      <w:bookmarkStart w:id="47" w:name="_Toc1742"/>
      <w:r>
        <w:rPr>
          <w:rFonts w:hint="eastAsia" w:ascii="楷体_GB2312" w:hAnsi="楷体_GB2312" w:eastAsia="楷体_GB2312" w:cs="楷体_GB2312"/>
          <w:bCs/>
          <w:sz w:val="32"/>
          <w:szCs w:val="32"/>
        </w:rPr>
        <w:t>绩效评价工作过程</w:t>
      </w:r>
      <w:bookmarkEnd w:id="44"/>
      <w:bookmarkEnd w:id="45"/>
      <w:bookmarkEnd w:id="46"/>
      <w:bookmarkEnd w:id="47"/>
    </w:p>
    <w:p>
      <w:pPr>
        <w:pStyle w:val="4"/>
        <w:ind w:firstLine="567"/>
        <w:rPr>
          <w:rFonts w:ascii="仿宋_GB2312" w:hAnsi="仿宋" w:eastAsia="仿宋_GB2312" w:cs="Times New Roman"/>
          <w:kern w:val="0"/>
          <w:sz w:val="32"/>
          <w:szCs w:val="32"/>
          <w:lang w:bidi="en-US"/>
        </w:rPr>
      </w:pPr>
      <w:bookmarkStart w:id="48" w:name="_Toc24877"/>
      <w:bookmarkStart w:id="49" w:name="_Toc5141"/>
      <w:bookmarkStart w:id="50" w:name="_Toc27215"/>
      <w:r>
        <w:rPr>
          <w:rFonts w:hint="eastAsia" w:ascii="仿宋_GB2312" w:hAnsi="仿宋" w:eastAsia="仿宋_GB2312" w:cs="Times New Roman"/>
          <w:kern w:val="0"/>
          <w:sz w:val="32"/>
          <w:szCs w:val="32"/>
          <w:lang w:bidi="en-US"/>
        </w:rPr>
        <w:t>1</w:t>
      </w:r>
      <w:r>
        <w:rPr>
          <w:rFonts w:hint="eastAsia" w:ascii="仿宋_GB2312" w:hAnsi="仿宋_GB2312" w:eastAsia="仿宋_GB2312" w:cs="仿宋_GB2312"/>
          <w:kern w:val="44"/>
          <w:sz w:val="32"/>
          <w:szCs w:val="32"/>
        </w:rPr>
        <w:t>.</w:t>
      </w:r>
      <w:r>
        <w:rPr>
          <w:rFonts w:hint="eastAsia" w:ascii="仿宋_GB2312" w:hAnsi="仿宋" w:eastAsia="仿宋_GB2312" w:cs="Times New Roman"/>
          <w:kern w:val="0"/>
          <w:sz w:val="32"/>
          <w:szCs w:val="32"/>
          <w:lang w:bidi="en-US"/>
        </w:rPr>
        <w:t>前期调研</w:t>
      </w:r>
      <w:bookmarkEnd w:id="48"/>
      <w:bookmarkEnd w:id="49"/>
      <w:bookmarkEnd w:id="50"/>
      <w:r>
        <w:rPr>
          <w:rFonts w:hint="eastAsia" w:ascii="仿宋_GB2312" w:hAnsi="仿宋" w:eastAsia="仿宋_GB2312" w:cs="Times New Roman"/>
          <w:kern w:val="0"/>
          <w:sz w:val="32"/>
          <w:szCs w:val="32"/>
          <w:lang w:bidi="en-US"/>
        </w:rPr>
        <w:t>。评价组与项目实施单位进行沟通，并搜集相关政策文件、项目资料以及相关财务收支凭证、合同、管理制度等，进行分析、评估。</w:t>
      </w:r>
    </w:p>
    <w:p>
      <w:pPr>
        <w:pStyle w:val="4"/>
        <w:ind w:firstLine="567"/>
        <w:rPr>
          <w:rFonts w:ascii="仿宋_GB2312" w:hAnsi="仿宋" w:eastAsia="仿宋_GB2312" w:cs="Times New Roman"/>
          <w:kern w:val="0"/>
          <w:sz w:val="32"/>
          <w:szCs w:val="32"/>
          <w:lang w:bidi="en-US"/>
        </w:rPr>
      </w:pPr>
      <w:bookmarkStart w:id="51" w:name="_Toc10687"/>
      <w:bookmarkStart w:id="52" w:name="_Toc2438"/>
      <w:bookmarkStart w:id="53" w:name="_Toc28449"/>
      <w:r>
        <w:rPr>
          <w:rFonts w:hint="eastAsia" w:ascii="仿宋_GB2312" w:hAnsi="仿宋" w:eastAsia="仿宋_GB2312" w:cs="Times New Roman"/>
          <w:kern w:val="0"/>
          <w:sz w:val="32"/>
          <w:szCs w:val="32"/>
          <w:lang w:bidi="en-US"/>
        </w:rPr>
        <w:t>2</w:t>
      </w:r>
      <w:r>
        <w:rPr>
          <w:rFonts w:hint="eastAsia" w:ascii="仿宋_GB2312" w:hAnsi="仿宋_GB2312" w:eastAsia="仿宋_GB2312" w:cs="仿宋_GB2312"/>
          <w:kern w:val="44"/>
          <w:sz w:val="32"/>
          <w:szCs w:val="32"/>
        </w:rPr>
        <w:t>.</w:t>
      </w:r>
      <w:r>
        <w:rPr>
          <w:rFonts w:hint="eastAsia" w:ascii="仿宋_GB2312" w:hAnsi="仿宋" w:eastAsia="仿宋_GB2312" w:cs="Times New Roman"/>
          <w:kern w:val="0"/>
          <w:sz w:val="32"/>
          <w:szCs w:val="32"/>
          <w:lang w:bidi="en-US"/>
        </w:rPr>
        <w:t>方案制定</w:t>
      </w:r>
      <w:bookmarkEnd w:id="51"/>
      <w:bookmarkEnd w:id="52"/>
      <w:bookmarkEnd w:id="53"/>
      <w:r>
        <w:rPr>
          <w:rFonts w:hint="eastAsia" w:ascii="仿宋_GB2312" w:hAnsi="仿宋" w:eastAsia="仿宋_GB2312" w:cs="Times New Roman"/>
          <w:kern w:val="0"/>
          <w:sz w:val="32"/>
          <w:szCs w:val="32"/>
          <w:lang w:bidi="en-US"/>
        </w:rPr>
        <w:t>。了解年度项目实施内容、实施流程，根据项目资金实际情况和绩效管理要求制定工作方案。</w:t>
      </w:r>
    </w:p>
    <w:p>
      <w:pPr>
        <w:pStyle w:val="4"/>
        <w:ind w:firstLine="567"/>
        <w:rPr>
          <w:rFonts w:ascii="仿宋_GB2312" w:hAnsi="仿宋" w:eastAsia="仿宋_GB2312" w:cs="Times New Roman"/>
          <w:kern w:val="0"/>
          <w:sz w:val="32"/>
          <w:szCs w:val="32"/>
          <w:lang w:bidi="en-US"/>
        </w:rPr>
      </w:pPr>
      <w:bookmarkStart w:id="54" w:name="_Toc16449"/>
      <w:bookmarkStart w:id="55" w:name="_Toc26043"/>
      <w:bookmarkStart w:id="56" w:name="_Toc20872"/>
      <w:r>
        <w:rPr>
          <w:rFonts w:hint="eastAsia" w:ascii="仿宋_GB2312" w:hAnsi="仿宋" w:eastAsia="仿宋_GB2312" w:cs="Times New Roman"/>
          <w:kern w:val="0"/>
          <w:sz w:val="32"/>
          <w:szCs w:val="32"/>
          <w:lang w:bidi="en-US"/>
        </w:rPr>
        <w:t>3</w:t>
      </w:r>
      <w:r>
        <w:rPr>
          <w:rFonts w:hint="eastAsia" w:ascii="仿宋_GB2312" w:hAnsi="仿宋_GB2312" w:eastAsia="仿宋_GB2312" w:cs="仿宋_GB2312"/>
          <w:kern w:val="44"/>
          <w:sz w:val="32"/>
          <w:szCs w:val="32"/>
        </w:rPr>
        <w:t>.</w:t>
      </w:r>
      <w:r>
        <w:rPr>
          <w:rFonts w:hint="eastAsia" w:ascii="仿宋_GB2312" w:hAnsi="仿宋" w:eastAsia="仿宋_GB2312" w:cs="Times New Roman"/>
          <w:kern w:val="0"/>
          <w:sz w:val="32"/>
          <w:szCs w:val="32"/>
          <w:lang w:bidi="en-US"/>
        </w:rPr>
        <w:t>数据采集</w:t>
      </w:r>
      <w:bookmarkEnd w:id="54"/>
      <w:bookmarkEnd w:id="55"/>
      <w:bookmarkEnd w:id="56"/>
      <w:r>
        <w:rPr>
          <w:rFonts w:hint="eastAsia" w:ascii="仿宋_GB2312" w:hAnsi="仿宋" w:eastAsia="仿宋_GB2312" w:cs="Times New Roman"/>
          <w:kern w:val="0"/>
          <w:sz w:val="32"/>
          <w:szCs w:val="32"/>
          <w:lang w:bidi="en-US"/>
        </w:rPr>
        <w:t>。按照现场评价通知中的现场调研时间安排，到项目单位进行调研访谈、核查资料和分析评价。</w:t>
      </w:r>
    </w:p>
    <w:p>
      <w:pPr>
        <w:pStyle w:val="4"/>
        <w:spacing w:after="0" w:line="240" w:lineRule="auto"/>
        <w:ind w:firstLine="640" w:firstLineChars="200"/>
        <w:jc w:val="both"/>
        <w:outlineLvl w:val="3"/>
        <w:rPr>
          <w:rFonts w:ascii="仿宋_GB2312" w:hAnsi="仿宋" w:eastAsia="仿宋_GB2312" w:cs="Times New Roman"/>
          <w:b/>
          <w:bCs/>
          <w:kern w:val="0"/>
          <w:sz w:val="32"/>
          <w:szCs w:val="32"/>
          <w:lang w:bidi="en-US"/>
        </w:rPr>
      </w:pPr>
      <w:bookmarkStart w:id="57" w:name="_Toc24237"/>
      <w:bookmarkStart w:id="58" w:name="_Toc6779"/>
      <w:bookmarkStart w:id="59" w:name="_Toc4349"/>
      <w:r>
        <w:rPr>
          <w:rFonts w:hint="eastAsia" w:ascii="仿宋_GB2312" w:hAnsi="仿宋" w:eastAsia="仿宋_GB2312" w:cs="Times New Roman"/>
          <w:kern w:val="0"/>
          <w:sz w:val="32"/>
          <w:szCs w:val="32"/>
          <w:lang w:bidi="en-US"/>
        </w:rPr>
        <w:t>4</w:t>
      </w:r>
      <w:r>
        <w:rPr>
          <w:rFonts w:hint="eastAsia" w:ascii="仿宋_GB2312" w:hAnsi="仿宋_GB2312" w:eastAsia="仿宋_GB2312" w:cs="仿宋_GB2312"/>
          <w:kern w:val="44"/>
          <w:sz w:val="32"/>
          <w:szCs w:val="32"/>
        </w:rPr>
        <w:t>.</w:t>
      </w:r>
      <w:r>
        <w:rPr>
          <w:rFonts w:hint="eastAsia" w:ascii="仿宋_GB2312" w:hAnsi="仿宋" w:eastAsia="仿宋_GB2312" w:cs="Times New Roman"/>
          <w:kern w:val="0"/>
          <w:sz w:val="32"/>
          <w:szCs w:val="32"/>
          <w:lang w:bidi="en-US"/>
        </w:rPr>
        <w:t>召开专家评价会</w:t>
      </w:r>
      <w:r>
        <w:rPr>
          <w:rFonts w:hint="eastAsia" w:ascii="仿宋_GB2312" w:hAnsi="仿宋" w:eastAsia="仿宋_GB2312" w:cs="Times New Roman"/>
          <w:b/>
          <w:bCs/>
          <w:kern w:val="0"/>
          <w:sz w:val="32"/>
          <w:szCs w:val="32"/>
          <w:lang w:bidi="en-US"/>
        </w:rPr>
        <w:t>。</w:t>
      </w:r>
      <w:r>
        <w:rPr>
          <w:rFonts w:hint="eastAsia" w:ascii="仿宋_GB2312" w:hAnsi="仿宋" w:eastAsia="仿宋_GB2312" w:cs="Times New Roman"/>
          <w:kern w:val="0"/>
          <w:sz w:val="32"/>
          <w:szCs w:val="32"/>
          <w:lang w:bidi="en-US"/>
        </w:rPr>
        <w:t>遴选业务专家、管理专家和财务专家进行分析评价，向专家提供数据采集资料，组织召开专家评价会，形成专家意见。</w:t>
      </w:r>
    </w:p>
    <w:p>
      <w:pPr>
        <w:pStyle w:val="4"/>
        <w:ind w:firstLine="640" w:firstLineChars="200"/>
        <w:rPr>
          <w:rFonts w:ascii="仿宋_GB2312" w:hAnsi="仿宋" w:eastAsia="仿宋_GB2312" w:cs="Times New Roman"/>
          <w:kern w:val="0"/>
          <w:sz w:val="30"/>
          <w:szCs w:val="30"/>
          <w:lang w:bidi="en-US"/>
        </w:rPr>
      </w:pPr>
      <w:r>
        <w:rPr>
          <w:rFonts w:hint="eastAsia" w:ascii="仿宋_GB2312" w:hAnsi="仿宋" w:eastAsia="仿宋_GB2312" w:cs="Times New Roman"/>
          <w:kern w:val="0"/>
          <w:sz w:val="32"/>
          <w:szCs w:val="32"/>
          <w:lang w:bidi="en-US"/>
        </w:rPr>
        <w:t>5</w:t>
      </w:r>
      <w:r>
        <w:rPr>
          <w:rFonts w:hint="eastAsia" w:ascii="仿宋_GB2312" w:hAnsi="仿宋_GB2312" w:eastAsia="仿宋_GB2312" w:cs="仿宋_GB2312"/>
          <w:kern w:val="44"/>
          <w:sz w:val="32"/>
          <w:szCs w:val="32"/>
        </w:rPr>
        <w:t>.</w:t>
      </w:r>
      <w:r>
        <w:rPr>
          <w:rFonts w:hint="eastAsia" w:ascii="仿宋_GB2312" w:hAnsi="仿宋" w:eastAsia="仿宋_GB2312" w:cs="Times New Roman"/>
          <w:kern w:val="0"/>
          <w:sz w:val="32"/>
          <w:szCs w:val="32"/>
          <w:lang w:bidi="en-US"/>
        </w:rPr>
        <w:t>综合分析及报告撰写</w:t>
      </w:r>
      <w:bookmarkEnd w:id="57"/>
      <w:bookmarkEnd w:id="58"/>
      <w:bookmarkEnd w:id="59"/>
      <w:r>
        <w:rPr>
          <w:rFonts w:hint="eastAsia" w:ascii="仿宋_GB2312" w:hAnsi="仿宋" w:eastAsia="仿宋_GB2312" w:cs="Times New Roman"/>
          <w:kern w:val="0"/>
          <w:sz w:val="32"/>
          <w:szCs w:val="32"/>
          <w:lang w:bidi="en-US"/>
        </w:rPr>
        <w:t>。</w:t>
      </w:r>
    </w:p>
    <w:bookmarkEnd w:id="42"/>
    <w:p>
      <w:pPr>
        <w:pStyle w:val="2"/>
        <w:keepNext w:val="0"/>
        <w:keepLines w:val="0"/>
        <w:widowControl/>
        <w:numPr>
          <w:ilvl w:val="0"/>
          <w:numId w:val="1"/>
        </w:numPr>
        <w:spacing w:before="0" w:after="0" w:line="520" w:lineRule="atLeast"/>
        <w:ind w:firstLine="709"/>
        <w:contextualSpacing/>
        <w:jc w:val="left"/>
        <w:rPr>
          <w:rFonts w:ascii="黑体" w:hAnsi="黑体" w:eastAsia="黑体" w:cs="黑体"/>
          <w:b w:val="0"/>
          <w:kern w:val="0"/>
          <w:sz w:val="32"/>
          <w:szCs w:val="32"/>
          <w:lang w:bidi="en-US"/>
        </w:rPr>
      </w:pPr>
      <w:bookmarkStart w:id="60" w:name="_Toc4283"/>
      <w:bookmarkStart w:id="61" w:name="_Toc25668"/>
      <w:bookmarkStart w:id="62" w:name="_Toc13026"/>
      <w:bookmarkStart w:id="63" w:name="_Toc9623"/>
      <w:bookmarkStart w:id="64" w:name="_Toc1216"/>
      <w:bookmarkStart w:id="65" w:name="_Toc516663576"/>
      <w:r>
        <w:rPr>
          <w:rFonts w:hint="eastAsia" w:ascii="黑体" w:hAnsi="黑体" w:eastAsia="黑体" w:cs="黑体"/>
          <w:b w:val="0"/>
          <w:kern w:val="0"/>
          <w:sz w:val="32"/>
          <w:szCs w:val="32"/>
          <w:lang w:bidi="en-US"/>
        </w:rPr>
        <w:t>综合评价情况及评价结论</w:t>
      </w:r>
      <w:bookmarkEnd w:id="60"/>
    </w:p>
    <w:p>
      <w:pPr>
        <w:spacing w:line="520" w:lineRule="atLeast"/>
        <w:ind w:firstLine="707" w:firstLineChars="221"/>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经综合评价，本项目绩效评价得分88.95分。参考财政部《关于印发&lt;项目支出绩效评价管理办法&gt;的通知》（财预〔2020〕10号）文件的评价标准，项目评分90（含）-100分为优、80（含）-90分为良、60（含）-80分为中、60分以下为差，该项目综合绩效评价级别为 “良”。本项目得分情况汇总表如下：</w:t>
      </w:r>
    </w:p>
    <w:tbl>
      <w:tblPr>
        <w:tblStyle w:val="18"/>
        <w:tblW w:w="8095" w:type="dxa"/>
        <w:tblInd w:w="93" w:type="dxa"/>
        <w:tblLayout w:type="autofit"/>
        <w:tblCellMar>
          <w:top w:w="0" w:type="dxa"/>
          <w:left w:w="108" w:type="dxa"/>
          <w:bottom w:w="0" w:type="dxa"/>
          <w:right w:w="108" w:type="dxa"/>
        </w:tblCellMar>
      </w:tblPr>
      <w:tblGrid>
        <w:gridCol w:w="3134"/>
        <w:gridCol w:w="1701"/>
        <w:gridCol w:w="1559"/>
        <w:gridCol w:w="1701"/>
      </w:tblGrid>
      <w:tr>
        <w:tblPrEx>
          <w:tblCellMar>
            <w:top w:w="0" w:type="dxa"/>
            <w:left w:w="108" w:type="dxa"/>
            <w:bottom w:w="0" w:type="dxa"/>
            <w:right w:w="108" w:type="dxa"/>
          </w:tblCellMar>
        </w:tblPrEx>
        <w:trPr>
          <w:trHeight w:val="348" w:hRule="atLeast"/>
        </w:trPr>
        <w:tc>
          <w:tcPr>
            <w:tcW w:w="3134" w:type="dxa"/>
            <w:tcBorders>
              <w:top w:val="single" w:color="auto" w:sz="12" w:space="0"/>
              <w:left w:val="nil"/>
              <w:bottom w:val="single" w:color="auto" w:sz="8" w:space="0"/>
              <w:right w:val="dotted" w:color="auto" w:sz="4"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一级指标</w:t>
            </w:r>
          </w:p>
        </w:tc>
        <w:tc>
          <w:tcPr>
            <w:tcW w:w="1701" w:type="dxa"/>
            <w:tcBorders>
              <w:top w:val="single" w:color="auto" w:sz="12" w:space="0"/>
              <w:left w:val="nil"/>
              <w:bottom w:val="single" w:color="auto" w:sz="8" w:space="0"/>
              <w:right w:val="dotted" w:color="auto" w:sz="4"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分值</w:t>
            </w:r>
          </w:p>
        </w:tc>
        <w:tc>
          <w:tcPr>
            <w:tcW w:w="1559" w:type="dxa"/>
            <w:tcBorders>
              <w:top w:val="single" w:color="auto" w:sz="12" w:space="0"/>
              <w:left w:val="nil"/>
              <w:bottom w:val="single" w:color="auto" w:sz="8" w:space="0"/>
              <w:right w:val="dotted" w:color="auto" w:sz="4"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得分</w:t>
            </w:r>
          </w:p>
        </w:tc>
        <w:tc>
          <w:tcPr>
            <w:tcW w:w="1701" w:type="dxa"/>
            <w:tcBorders>
              <w:top w:val="single" w:color="auto" w:sz="12" w:space="0"/>
              <w:left w:val="nil"/>
              <w:bottom w:val="single" w:color="auto" w:sz="8" w:space="0"/>
              <w:right w:val="nil"/>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得分率</w:t>
            </w:r>
          </w:p>
        </w:tc>
      </w:tr>
      <w:tr>
        <w:tblPrEx>
          <w:tblCellMar>
            <w:top w:w="0" w:type="dxa"/>
            <w:left w:w="108" w:type="dxa"/>
            <w:bottom w:w="0" w:type="dxa"/>
            <w:right w:w="108" w:type="dxa"/>
          </w:tblCellMar>
        </w:tblPrEx>
        <w:trPr>
          <w:trHeight w:val="285" w:hRule="atLeast"/>
        </w:trPr>
        <w:tc>
          <w:tcPr>
            <w:tcW w:w="3134" w:type="dxa"/>
            <w:tcBorders>
              <w:top w:val="nil"/>
              <w:left w:val="nil"/>
              <w:bottom w:val="dotted" w:color="auto" w:sz="4" w:space="0"/>
              <w:right w:val="dotted" w:color="auto" w:sz="4" w:space="0"/>
            </w:tcBorders>
            <w:shd w:val="clear" w:color="auto" w:fill="auto"/>
            <w:noWrap/>
            <w:vAlign w:val="center"/>
          </w:tcPr>
          <w:p>
            <w:pPr>
              <w:widowControl/>
              <w:jc w:val="left"/>
              <w:textAlignment w:val="center"/>
              <w:rPr>
                <w:rFonts w:ascii="仿宋" w:hAnsi="仿宋" w:eastAsia="仿宋" w:cs="宋体"/>
                <w:color w:val="000000"/>
                <w:kern w:val="0"/>
                <w:sz w:val="24"/>
                <w:szCs w:val="24"/>
              </w:rPr>
            </w:pPr>
            <w:r>
              <w:rPr>
                <w:rFonts w:hint="eastAsia" w:ascii="仿宋_GB2312" w:hAnsi="宋体" w:eastAsia="仿宋_GB2312" w:cs="仿宋_GB2312"/>
                <w:color w:val="000000"/>
                <w:kern w:val="0"/>
                <w:sz w:val="24"/>
                <w:szCs w:val="24"/>
              </w:rPr>
              <w:t>决策（20%）</w:t>
            </w:r>
          </w:p>
        </w:tc>
        <w:tc>
          <w:tcPr>
            <w:tcW w:w="1701" w:type="dxa"/>
            <w:tcBorders>
              <w:top w:val="nil"/>
              <w:left w:val="nil"/>
              <w:bottom w:val="dotted" w:color="auto" w:sz="4" w:space="0"/>
              <w:right w:val="dotted" w:color="auto" w:sz="4" w:space="0"/>
            </w:tcBorders>
            <w:shd w:val="clear" w:color="auto" w:fill="auto"/>
            <w:noWrap/>
            <w:vAlign w:val="center"/>
          </w:tcPr>
          <w:p>
            <w:pPr>
              <w:widowControl/>
              <w:jc w:val="center"/>
              <w:textAlignment w:val="center"/>
              <w:rPr>
                <w:rFonts w:ascii="仿宋" w:hAnsi="仿宋" w:eastAsia="仿宋" w:cs="宋体"/>
                <w:color w:val="000000"/>
                <w:kern w:val="0"/>
                <w:sz w:val="24"/>
                <w:szCs w:val="24"/>
              </w:rPr>
            </w:pPr>
            <w:r>
              <w:rPr>
                <w:rFonts w:hint="eastAsia" w:ascii="仿宋_GB2312" w:hAnsi="宋体" w:eastAsia="仿宋_GB2312" w:cs="仿宋_GB2312"/>
                <w:color w:val="000000"/>
                <w:kern w:val="0"/>
                <w:sz w:val="24"/>
                <w:szCs w:val="24"/>
              </w:rPr>
              <w:t>20</w:t>
            </w:r>
          </w:p>
        </w:tc>
        <w:tc>
          <w:tcPr>
            <w:tcW w:w="1559" w:type="dxa"/>
            <w:tcBorders>
              <w:top w:val="nil"/>
              <w:left w:val="nil"/>
              <w:bottom w:val="dotted" w:color="auto" w:sz="4" w:space="0"/>
              <w:right w:val="dotted" w:color="auto" w:sz="4" w:space="0"/>
            </w:tcBorders>
            <w:shd w:val="clear" w:color="auto" w:fill="auto"/>
            <w:noWrap/>
            <w:vAlign w:val="center"/>
          </w:tcPr>
          <w:p>
            <w:pPr>
              <w:widowControl/>
              <w:jc w:val="center"/>
              <w:textAlignment w:val="center"/>
              <w:rPr>
                <w:rFonts w:ascii="仿宋" w:hAnsi="仿宋" w:eastAsia="仿宋" w:cs="宋体"/>
                <w:color w:val="000000"/>
                <w:kern w:val="0"/>
                <w:sz w:val="24"/>
                <w:szCs w:val="24"/>
              </w:rPr>
            </w:pPr>
            <w:r>
              <w:rPr>
                <w:rFonts w:hint="eastAsia" w:ascii="仿宋_GB2312" w:hAnsi="宋体" w:eastAsia="仿宋_GB2312" w:cs="仿宋_GB2312"/>
                <w:color w:val="000000"/>
                <w:kern w:val="0"/>
                <w:sz w:val="24"/>
                <w:szCs w:val="24"/>
              </w:rPr>
              <w:t>15.70</w:t>
            </w:r>
          </w:p>
        </w:tc>
        <w:tc>
          <w:tcPr>
            <w:tcW w:w="1701" w:type="dxa"/>
            <w:tcBorders>
              <w:top w:val="nil"/>
              <w:left w:val="nil"/>
              <w:bottom w:val="dotted" w:color="auto" w:sz="4" w:space="0"/>
              <w:right w:val="nil"/>
            </w:tcBorders>
            <w:shd w:val="clear" w:color="auto" w:fill="auto"/>
            <w:noWrap/>
            <w:vAlign w:val="center"/>
          </w:tcPr>
          <w:p>
            <w:pPr>
              <w:widowControl/>
              <w:jc w:val="center"/>
              <w:textAlignment w:val="center"/>
              <w:rPr>
                <w:rFonts w:ascii="仿宋" w:hAnsi="仿宋" w:eastAsia="仿宋" w:cs="宋体"/>
                <w:color w:val="000000"/>
                <w:kern w:val="0"/>
                <w:sz w:val="24"/>
                <w:szCs w:val="24"/>
              </w:rPr>
            </w:pPr>
            <w:r>
              <w:rPr>
                <w:rFonts w:hint="eastAsia" w:ascii="仿宋_GB2312" w:hAnsi="宋体" w:eastAsia="仿宋_GB2312" w:cs="仿宋_GB2312"/>
                <w:color w:val="000000"/>
                <w:kern w:val="0"/>
                <w:sz w:val="24"/>
                <w:szCs w:val="24"/>
              </w:rPr>
              <w:t>78.50%</w:t>
            </w:r>
          </w:p>
        </w:tc>
      </w:tr>
      <w:tr>
        <w:tblPrEx>
          <w:tblCellMar>
            <w:top w:w="0" w:type="dxa"/>
            <w:left w:w="108" w:type="dxa"/>
            <w:bottom w:w="0" w:type="dxa"/>
            <w:right w:w="108" w:type="dxa"/>
          </w:tblCellMar>
        </w:tblPrEx>
        <w:trPr>
          <w:trHeight w:val="285" w:hRule="atLeast"/>
        </w:trPr>
        <w:tc>
          <w:tcPr>
            <w:tcW w:w="3134" w:type="dxa"/>
            <w:tcBorders>
              <w:top w:val="nil"/>
              <w:left w:val="nil"/>
              <w:bottom w:val="dotted" w:color="auto" w:sz="4" w:space="0"/>
              <w:right w:val="dotted" w:color="auto" w:sz="4" w:space="0"/>
            </w:tcBorders>
            <w:shd w:val="clear" w:color="auto" w:fill="auto"/>
            <w:noWrap/>
            <w:vAlign w:val="center"/>
          </w:tcPr>
          <w:p>
            <w:pPr>
              <w:widowControl/>
              <w:jc w:val="left"/>
              <w:textAlignment w:val="center"/>
              <w:rPr>
                <w:rFonts w:ascii="仿宋" w:hAnsi="仿宋" w:eastAsia="仿宋" w:cs="宋体"/>
                <w:color w:val="000000"/>
                <w:kern w:val="0"/>
                <w:sz w:val="24"/>
                <w:szCs w:val="24"/>
              </w:rPr>
            </w:pPr>
            <w:r>
              <w:rPr>
                <w:rFonts w:hint="eastAsia" w:ascii="仿宋_GB2312" w:hAnsi="宋体" w:eastAsia="仿宋_GB2312" w:cs="仿宋_GB2312"/>
                <w:color w:val="000000"/>
                <w:kern w:val="0"/>
                <w:sz w:val="24"/>
                <w:szCs w:val="24"/>
              </w:rPr>
              <w:t>过程（20%）</w:t>
            </w:r>
          </w:p>
        </w:tc>
        <w:tc>
          <w:tcPr>
            <w:tcW w:w="1701" w:type="dxa"/>
            <w:tcBorders>
              <w:top w:val="nil"/>
              <w:left w:val="nil"/>
              <w:bottom w:val="dotted" w:color="auto" w:sz="4" w:space="0"/>
              <w:right w:val="dotted" w:color="auto" w:sz="4" w:space="0"/>
            </w:tcBorders>
            <w:shd w:val="clear" w:color="auto" w:fill="auto"/>
            <w:noWrap/>
            <w:vAlign w:val="center"/>
          </w:tcPr>
          <w:p>
            <w:pPr>
              <w:widowControl/>
              <w:jc w:val="center"/>
              <w:textAlignment w:val="center"/>
              <w:rPr>
                <w:rFonts w:ascii="仿宋" w:hAnsi="仿宋" w:eastAsia="仿宋" w:cs="宋体"/>
                <w:color w:val="000000"/>
                <w:kern w:val="0"/>
                <w:sz w:val="24"/>
                <w:szCs w:val="24"/>
              </w:rPr>
            </w:pPr>
            <w:r>
              <w:rPr>
                <w:rFonts w:hint="eastAsia" w:ascii="仿宋_GB2312" w:hAnsi="宋体" w:eastAsia="仿宋_GB2312" w:cs="仿宋_GB2312"/>
                <w:color w:val="000000"/>
                <w:kern w:val="0"/>
                <w:sz w:val="24"/>
                <w:szCs w:val="24"/>
              </w:rPr>
              <w:t>20</w:t>
            </w:r>
          </w:p>
        </w:tc>
        <w:tc>
          <w:tcPr>
            <w:tcW w:w="1559" w:type="dxa"/>
            <w:tcBorders>
              <w:top w:val="nil"/>
              <w:left w:val="nil"/>
              <w:bottom w:val="dotted" w:color="auto" w:sz="4" w:space="0"/>
              <w:right w:val="dotted" w:color="auto" w:sz="4" w:space="0"/>
            </w:tcBorders>
            <w:shd w:val="clear" w:color="auto" w:fill="auto"/>
            <w:noWrap/>
            <w:vAlign w:val="center"/>
          </w:tcPr>
          <w:p>
            <w:pPr>
              <w:widowControl/>
              <w:jc w:val="center"/>
              <w:textAlignment w:val="center"/>
              <w:rPr>
                <w:rFonts w:ascii="仿宋" w:hAnsi="仿宋" w:eastAsia="仿宋" w:cs="宋体"/>
                <w:color w:val="000000"/>
                <w:kern w:val="0"/>
                <w:sz w:val="24"/>
                <w:szCs w:val="24"/>
              </w:rPr>
            </w:pPr>
            <w:r>
              <w:rPr>
                <w:rFonts w:hint="eastAsia" w:ascii="仿宋_GB2312" w:hAnsi="宋体" w:eastAsia="仿宋_GB2312" w:cs="仿宋_GB2312"/>
                <w:color w:val="000000"/>
                <w:kern w:val="0"/>
                <w:sz w:val="24"/>
                <w:szCs w:val="24"/>
              </w:rPr>
              <w:t>18.63</w:t>
            </w:r>
          </w:p>
        </w:tc>
        <w:tc>
          <w:tcPr>
            <w:tcW w:w="1701" w:type="dxa"/>
            <w:tcBorders>
              <w:top w:val="nil"/>
              <w:left w:val="nil"/>
              <w:bottom w:val="dotted" w:color="auto" w:sz="4" w:space="0"/>
              <w:right w:val="nil"/>
            </w:tcBorders>
            <w:shd w:val="clear" w:color="auto" w:fill="auto"/>
            <w:noWrap/>
            <w:vAlign w:val="center"/>
          </w:tcPr>
          <w:p>
            <w:pPr>
              <w:widowControl/>
              <w:jc w:val="center"/>
              <w:textAlignment w:val="center"/>
              <w:rPr>
                <w:rFonts w:ascii="仿宋" w:hAnsi="仿宋" w:eastAsia="仿宋" w:cs="宋体"/>
                <w:color w:val="000000"/>
                <w:kern w:val="0"/>
                <w:sz w:val="24"/>
                <w:szCs w:val="24"/>
              </w:rPr>
            </w:pPr>
            <w:r>
              <w:rPr>
                <w:rFonts w:hint="eastAsia" w:ascii="仿宋_GB2312" w:hAnsi="宋体" w:eastAsia="仿宋_GB2312" w:cs="仿宋_GB2312"/>
                <w:color w:val="000000"/>
                <w:kern w:val="0"/>
                <w:sz w:val="24"/>
                <w:szCs w:val="24"/>
              </w:rPr>
              <w:t>93.13%</w:t>
            </w:r>
          </w:p>
        </w:tc>
      </w:tr>
      <w:tr>
        <w:tblPrEx>
          <w:tblCellMar>
            <w:top w:w="0" w:type="dxa"/>
            <w:left w:w="108" w:type="dxa"/>
            <w:bottom w:w="0" w:type="dxa"/>
            <w:right w:w="108" w:type="dxa"/>
          </w:tblCellMar>
        </w:tblPrEx>
        <w:trPr>
          <w:trHeight w:val="285" w:hRule="atLeast"/>
        </w:trPr>
        <w:tc>
          <w:tcPr>
            <w:tcW w:w="3134" w:type="dxa"/>
            <w:tcBorders>
              <w:top w:val="nil"/>
              <w:left w:val="nil"/>
              <w:bottom w:val="dotted" w:color="auto" w:sz="4" w:space="0"/>
              <w:right w:val="dotted" w:color="auto" w:sz="4" w:space="0"/>
            </w:tcBorders>
            <w:shd w:val="clear" w:color="auto" w:fill="auto"/>
            <w:noWrap/>
            <w:vAlign w:val="center"/>
          </w:tcPr>
          <w:p>
            <w:pPr>
              <w:widowControl/>
              <w:jc w:val="left"/>
              <w:textAlignment w:val="center"/>
              <w:rPr>
                <w:rFonts w:ascii="仿宋" w:hAnsi="仿宋" w:eastAsia="仿宋" w:cs="宋体"/>
                <w:color w:val="000000"/>
                <w:kern w:val="0"/>
                <w:sz w:val="24"/>
                <w:szCs w:val="24"/>
              </w:rPr>
            </w:pPr>
            <w:r>
              <w:rPr>
                <w:rFonts w:hint="eastAsia" w:ascii="仿宋_GB2312" w:hAnsi="宋体" w:eastAsia="仿宋_GB2312" w:cs="仿宋_GB2312"/>
                <w:color w:val="000000"/>
                <w:kern w:val="0"/>
                <w:sz w:val="24"/>
                <w:szCs w:val="24"/>
              </w:rPr>
              <w:t>产出（30%）</w:t>
            </w:r>
          </w:p>
        </w:tc>
        <w:tc>
          <w:tcPr>
            <w:tcW w:w="1701" w:type="dxa"/>
            <w:tcBorders>
              <w:top w:val="nil"/>
              <w:left w:val="nil"/>
              <w:bottom w:val="dotted" w:color="auto" w:sz="4" w:space="0"/>
              <w:right w:val="dotted" w:color="auto" w:sz="4" w:space="0"/>
            </w:tcBorders>
            <w:shd w:val="clear" w:color="auto" w:fill="auto"/>
            <w:noWrap/>
            <w:vAlign w:val="center"/>
          </w:tcPr>
          <w:p>
            <w:pPr>
              <w:widowControl/>
              <w:jc w:val="center"/>
              <w:textAlignment w:val="center"/>
              <w:rPr>
                <w:rFonts w:ascii="仿宋" w:hAnsi="仿宋" w:eastAsia="仿宋" w:cs="宋体"/>
                <w:color w:val="000000"/>
                <w:kern w:val="0"/>
                <w:sz w:val="24"/>
                <w:szCs w:val="24"/>
              </w:rPr>
            </w:pPr>
            <w:r>
              <w:rPr>
                <w:rFonts w:hint="eastAsia" w:ascii="仿宋_GB2312" w:hAnsi="宋体" w:eastAsia="仿宋_GB2312" w:cs="仿宋_GB2312"/>
                <w:color w:val="000000"/>
                <w:kern w:val="0"/>
                <w:sz w:val="24"/>
                <w:szCs w:val="24"/>
              </w:rPr>
              <w:t>30</w:t>
            </w:r>
          </w:p>
        </w:tc>
        <w:tc>
          <w:tcPr>
            <w:tcW w:w="1559" w:type="dxa"/>
            <w:tcBorders>
              <w:top w:val="nil"/>
              <w:left w:val="nil"/>
              <w:bottom w:val="dotted" w:color="auto" w:sz="4" w:space="0"/>
              <w:right w:val="dotted" w:color="auto" w:sz="4" w:space="0"/>
            </w:tcBorders>
            <w:shd w:val="clear" w:color="auto" w:fill="auto"/>
            <w:noWrap/>
            <w:vAlign w:val="center"/>
          </w:tcPr>
          <w:p>
            <w:pPr>
              <w:widowControl/>
              <w:jc w:val="center"/>
              <w:textAlignment w:val="center"/>
              <w:rPr>
                <w:rFonts w:ascii="仿宋" w:hAnsi="仿宋" w:eastAsia="仿宋" w:cs="宋体"/>
                <w:color w:val="000000"/>
                <w:kern w:val="0"/>
                <w:sz w:val="24"/>
                <w:szCs w:val="24"/>
              </w:rPr>
            </w:pPr>
            <w:r>
              <w:rPr>
                <w:rFonts w:hint="eastAsia" w:ascii="仿宋_GB2312" w:hAnsi="宋体" w:eastAsia="仿宋_GB2312" w:cs="仿宋_GB2312"/>
                <w:color w:val="000000"/>
                <w:kern w:val="0"/>
                <w:sz w:val="24"/>
                <w:szCs w:val="24"/>
              </w:rPr>
              <w:t>28.88</w:t>
            </w:r>
          </w:p>
        </w:tc>
        <w:tc>
          <w:tcPr>
            <w:tcW w:w="1701" w:type="dxa"/>
            <w:tcBorders>
              <w:top w:val="nil"/>
              <w:left w:val="nil"/>
              <w:bottom w:val="dotted" w:color="auto" w:sz="4" w:space="0"/>
              <w:right w:val="nil"/>
            </w:tcBorders>
            <w:shd w:val="clear" w:color="auto" w:fill="auto"/>
            <w:noWrap/>
            <w:vAlign w:val="center"/>
          </w:tcPr>
          <w:p>
            <w:pPr>
              <w:widowControl/>
              <w:jc w:val="center"/>
              <w:textAlignment w:val="center"/>
              <w:rPr>
                <w:rFonts w:ascii="仿宋" w:hAnsi="仿宋" w:eastAsia="仿宋" w:cs="宋体"/>
                <w:color w:val="000000"/>
                <w:kern w:val="0"/>
                <w:sz w:val="24"/>
                <w:szCs w:val="24"/>
              </w:rPr>
            </w:pPr>
            <w:r>
              <w:rPr>
                <w:rFonts w:hint="eastAsia" w:ascii="仿宋_GB2312" w:hAnsi="宋体" w:eastAsia="仿宋_GB2312" w:cs="仿宋_GB2312"/>
                <w:color w:val="000000"/>
                <w:kern w:val="0"/>
                <w:sz w:val="24"/>
                <w:szCs w:val="24"/>
              </w:rPr>
              <w:t>96.25%</w:t>
            </w:r>
          </w:p>
        </w:tc>
      </w:tr>
      <w:tr>
        <w:tblPrEx>
          <w:tblCellMar>
            <w:top w:w="0" w:type="dxa"/>
            <w:left w:w="108" w:type="dxa"/>
            <w:bottom w:w="0" w:type="dxa"/>
            <w:right w:w="108" w:type="dxa"/>
          </w:tblCellMar>
        </w:tblPrEx>
        <w:trPr>
          <w:trHeight w:val="285" w:hRule="atLeast"/>
        </w:trPr>
        <w:tc>
          <w:tcPr>
            <w:tcW w:w="3134" w:type="dxa"/>
            <w:tcBorders>
              <w:top w:val="nil"/>
              <w:left w:val="nil"/>
              <w:bottom w:val="dotted" w:color="auto" w:sz="4" w:space="0"/>
              <w:right w:val="dotted" w:color="auto" w:sz="4" w:space="0"/>
            </w:tcBorders>
            <w:shd w:val="clear" w:color="auto" w:fill="auto"/>
            <w:noWrap/>
            <w:vAlign w:val="center"/>
          </w:tcPr>
          <w:p>
            <w:pPr>
              <w:widowControl/>
              <w:jc w:val="left"/>
              <w:textAlignment w:val="center"/>
              <w:rPr>
                <w:rFonts w:ascii="仿宋" w:hAnsi="仿宋" w:eastAsia="仿宋" w:cs="宋体"/>
                <w:color w:val="000000"/>
                <w:kern w:val="0"/>
                <w:sz w:val="24"/>
                <w:szCs w:val="24"/>
              </w:rPr>
            </w:pPr>
            <w:r>
              <w:rPr>
                <w:rFonts w:hint="eastAsia" w:ascii="仿宋_GB2312" w:hAnsi="宋体" w:eastAsia="仿宋_GB2312" w:cs="仿宋_GB2312"/>
                <w:color w:val="000000"/>
                <w:kern w:val="0"/>
                <w:sz w:val="24"/>
                <w:szCs w:val="24"/>
              </w:rPr>
              <w:t>效益（30%）</w:t>
            </w:r>
          </w:p>
        </w:tc>
        <w:tc>
          <w:tcPr>
            <w:tcW w:w="1701" w:type="dxa"/>
            <w:tcBorders>
              <w:top w:val="nil"/>
              <w:left w:val="nil"/>
              <w:bottom w:val="dotted" w:color="auto" w:sz="4" w:space="0"/>
              <w:right w:val="dotted" w:color="auto" w:sz="4" w:space="0"/>
            </w:tcBorders>
            <w:shd w:val="clear" w:color="auto" w:fill="auto"/>
            <w:noWrap/>
            <w:vAlign w:val="center"/>
          </w:tcPr>
          <w:p>
            <w:pPr>
              <w:widowControl/>
              <w:jc w:val="center"/>
              <w:textAlignment w:val="center"/>
              <w:rPr>
                <w:rFonts w:ascii="仿宋" w:hAnsi="仿宋" w:eastAsia="仿宋" w:cs="宋体"/>
                <w:color w:val="000000"/>
                <w:kern w:val="0"/>
                <w:sz w:val="24"/>
                <w:szCs w:val="24"/>
              </w:rPr>
            </w:pPr>
            <w:r>
              <w:rPr>
                <w:rFonts w:hint="eastAsia" w:ascii="仿宋_GB2312" w:hAnsi="宋体" w:eastAsia="仿宋_GB2312" w:cs="仿宋_GB2312"/>
                <w:color w:val="000000"/>
                <w:kern w:val="0"/>
                <w:sz w:val="24"/>
                <w:szCs w:val="24"/>
              </w:rPr>
              <w:t>30</w:t>
            </w:r>
          </w:p>
        </w:tc>
        <w:tc>
          <w:tcPr>
            <w:tcW w:w="1559" w:type="dxa"/>
            <w:tcBorders>
              <w:top w:val="nil"/>
              <w:left w:val="nil"/>
              <w:bottom w:val="dotted" w:color="auto" w:sz="4" w:space="0"/>
              <w:right w:val="dotted" w:color="auto" w:sz="4" w:space="0"/>
            </w:tcBorders>
            <w:shd w:val="clear" w:color="auto" w:fill="auto"/>
            <w:noWrap/>
            <w:vAlign w:val="center"/>
          </w:tcPr>
          <w:p>
            <w:pPr>
              <w:widowControl/>
              <w:jc w:val="center"/>
              <w:textAlignment w:val="center"/>
              <w:rPr>
                <w:rFonts w:ascii="仿宋" w:hAnsi="仿宋" w:eastAsia="仿宋" w:cs="宋体"/>
                <w:color w:val="000000"/>
                <w:kern w:val="0"/>
                <w:sz w:val="24"/>
                <w:szCs w:val="24"/>
              </w:rPr>
            </w:pPr>
            <w:r>
              <w:rPr>
                <w:rFonts w:hint="eastAsia" w:ascii="仿宋_GB2312" w:hAnsi="宋体" w:eastAsia="仿宋_GB2312" w:cs="仿宋_GB2312"/>
                <w:color w:val="000000"/>
                <w:kern w:val="0"/>
                <w:sz w:val="24"/>
                <w:szCs w:val="24"/>
              </w:rPr>
              <w:t>25.75</w:t>
            </w:r>
          </w:p>
        </w:tc>
        <w:tc>
          <w:tcPr>
            <w:tcW w:w="1701" w:type="dxa"/>
            <w:tcBorders>
              <w:top w:val="nil"/>
              <w:left w:val="nil"/>
              <w:bottom w:val="dotted" w:color="auto" w:sz="4" w:space="0"/>
              <w:right w:val="nil"/>
            </w:tcBorders>
            <w:shd w:val="clear" w:color="auto" w:fill="auto"/>
            <w:noWrap/>
            <w:vAlign w:val="center"/>
          </w:tcPr>
          <w:p>
            <w:pPr>
              <w:widowControl/>
              <w:jc w:val="center"/>
              <w:textAlignment w:val="center"/>
              <w:rPr>
                <w:rFonts w:ascii="仿宋" w:hAnsi="仿宋" w:eastAsia="仿宋" w:cs="宋体"/>
                <w:color w:val="000000"/>
                <w:kern w:val="0"/>
                <w:sz w:val="24"/>
                <w:szCs w:val="24"/>
              </w:rPr>
            </w:pPr>
            <w:r>
              <w:rPr>
                <w:rFonts w:hint="eastAsia" w:ascii="仿宋_GB2312" w:hAnsi="宋体" w:eastAsia="仿宋_GB2312" w:cs="仿宋_GB2312"/>
                <w:color w:val="000000"/>
                <w:kern w:val="0"/>
                <w:sz w:val="24"/>
                <w:szCs w:val="24"/>
              </w:rPr>
              <w:t>85.83%</w:t>
            </w:r>
          </w:p>
        </w:tc>
      </w:tr>
      <w:tr>
        <w:tblPrEx>
          <w:tblCellMar>
            <w:top w:w="0" w:type="dxa"/>
            <w:left w:w="108" w:type="dxa"/>
            <w:bottom w:w="0" w:type="dxa"/>
            <w:right w:w="108" w:type="dxa"/>
          </w:tblCellMar>
        </w:tblPrEx>
        <w:trPr>
          <w:trHeight w:val="300" w:hRule="atLeast"/>
        </w:trPr>
        <w:tc>
          <w:tcPr>
            <w:tcW w:w="3134" w:type="dxa"/>
            <w:tcBorders>
              <w:top w:val="nil"/>
              <w:left w:val="nil"/>
              <w:bottom w:val="single" w:color="auto" w:sz="12" w:space="0"/>
              <w:right w:val="dotted" w:color="auto" w:sz="4" w:space="0"/>
            </w:tcBorders>
            <w:shd w:val="clear" w:color="auto" w:fill="auto"/>
            <w:noWrap/>
            <w:vAlign w:val="center"/>
          </w:tcPr>
          <w:p>
            <w:pPr>
              <w:widowControl/>
              <w:jc w:val="center"/>
              <w:textAlignment w:val="center"/>
              <w:rPr>
                <w:rFonts w:ascii="仿宋" w:hAnsi="仿宋" w:eastAsia="仿宋" w:cs="宋体"/>
                <w:b/>
                <w:color w:val="000000"/>
                <w:kern w:val="0"/>
                <w:sz w:val="24"/>
                <w:szCs w:val="24"/>
              </w:rPr>
            </w:pPr>
            <w:r>
              <w:rPr>
                <w:rFonts w:hint="eastAsia" w:ascii="仿宋_GB2312" w:hAnsi="宋体" w:eastAsia="仿宋_GB2312" w:cs="仿宋_GB2312"/>
                <w:b/>
                <w:bCs/>
                <w:color w:val="000000"/>
                <w:kern w:val="0"/>
                <w:sz w:val="24"/>
                <w:szCs w:val="24"/>
              </w:rPr>
              <w:t>合  计</w:t>
            </w:r>
          </w:p>
        </w:tc>
        <w:tc>
          <w:tcPr>
            <w:tcW w:w="1701" w:type="dxa"/>
            <w:tcBorders>
              <w:top w:val="nil"/>
              <w:left w:val="nil"/>
              <w:bottom w:val="single" w:color="auto" w:sz="12" w:space="0"/>
              <w:right w:val="dotted" w:color="auto" w:sz="4" w:space="0"/>
            </w:tcBorders>
            <w:shd w:val="clear" w:color="auto" w:fill="auto"/>
            <w:noWrap/>
            <w:vAlign w:val="center"/>
          </w:tcPr>
          <w:p>
            <w:pPr>
              <w:widowControl/>
              <w:jc w:val="center"/>
              <w:textAlignment w:val="center"/>
              <w:rPr>
                <w:rFonts w:ascii="仿宋" w:hAnsi="仿宋" w:eastAsia="仿宋" w:cs="宋体"/>
                <w:b/>
                <w:color w:val="000000"/>
                <w:kern w:val="0"/>
                <w:sz w:val="24"/>
                <w:szCs w:val="24"/>
              </w:rPr>
            </w:pPr>
            <w:r>
              <w:rPr>
                <w:rFonts w:hint="eastAsia" w:ascii="仿宋_GB2312" w:hAnsi="宋体" w:eastAsia="仿宋_GB2312" w:cs="仿宋_GB2312"/>
                <w:b/>
                <w:bCs/>
                <w:color w:val="000000"/>
                <w:kern w:val="0"/>
                <w:sz w:val="24"/>
                <w:szCs w:val="24"/>
              </w:rPr>
              <w:t>100</w:t>
            </w:r>
          </w:p>
        </w:tc>
        <w:tc>
          <w:tcPr>
            <w:tcW w:w="1559" w:type="dxa"/>
            <w:tcBorders>
              <w:top w:val="nil"/>
              <w:left w:val="nil"/>
              <w:bottom w:val="single" w:color="auto" w:sz="12" w:space="0"/>
              <w:right w:val="dotted" w:color="auto" w:sz="4" w:space="0"/>
            </w:tcBorders>
            <w:shd w:val="clear" w:color="auto" w:fill="auto"/>
            <w:noWrap/>
            <w:vAlign w:val="center"/>
          </w:tcPr>
          <w:p>
            <w:pPr>
              <w:widowControl/>
              <w:jc w:val="center"/>
              <w:textAlignment w:val="center"/>
              <w:rPr>
                <w:rFonts w:ascii="仿宋" w:hAnsi="仿宋" w:eastAsia="仿宋" w:cs="宋体"/>
                <w:b/>
                <w:color w:val="000000"/>
                <w:kern w:val="0"/>
                <w:sz w:val="24"/>
                <w:szCs w:val="24"/>
              </w:rPr>
            </w:pPr>
            <w:r>
              <w:rPr>
                <w:rFonts w:hint="eastAsia" w:ascii="仿宋_GB2312" w:hAnsi="宋体" w:eastAsia="仿宋_GB2312" w:cs="仿宋_GB2312"/>
                <w:b/>
                <w:bCs/>
                <w:color w:val="000000"/>
                <w:kern w:val="0"/>
                <w:sz w:val="24"/>
                <w:szCs w:val="24"/>
              </w:rPr>
              <w:t>88.95</w:t>
            </w:r>
          </w:p>
        </w:tc>
        <w:tc>
          <w:tcPr>
            <w:tcW w:w="1701" w:type="dxa"/>
            <w:tcBorders>
              <w:top w:val="nil"/>
              <w:left w:val="nil"/>
              <w:bottom w:val="single" w:color="auto" w:sz="12" w:space="0"/>
              <w:right w:val="nil"/>
            </w:tcBorders>
            <w:shd w:val="clear" w:color="auto" w:fill="auto"/>
            <w:noWrap/>
            <w:vAlign w:val="center"/>
          </w:tcPr>
          <w:p>
            <w:pPr>
              <w:widowControl/>
              <w:jc w:val="center"/>
              <w:textAlignment w:val="center"/>
              <w:rPr>
                <w:rFonts w:ascii="仿宋" w:hAnsi="仿宋" w:eastAsia="仿宋" w:cs="宋体"/>
                <w:b/>
                <w:color w:val="000000"/>
                <w:kern w:val="0"/>
                <w:sz w:val="24"/>
                <w:szCs w:val="24"/>
              </w:rPr>
            </w:pPr>
            <w:r>
              <w:rPr>
                <w:rFonts w:hint="eastAsia" w:ascii="仿宋_GB2312" w:hAnsi="宋体" w:eastAsia="仿宋_GB2312" w:cs="仿宋_GB2312"/>
                <w:b/>
                <w:bCs/>
                <w:color w:val="000000"/>
                <w:kern w:val="0"/>
                <w:sz w:val="24"/>
                <w:szCs w:val="24"/>
              </w:rPr>
              <w:t>88.95%</w:t>
            </w:r>
          </w:p>
        </w:tc>
      </w:tr>
    </w:tbl>
    <w:p/>
    <w:p>
      <w:pPr>
        <w:pStyle w:val="2"/>
        <w:keepNext w:val="0"/>
        <w:keepLines w:val="0"/>
        <w:widowControl/>
        <w:numPr>
          <w:ilvl w:val="0"/>
          <w:numId w:val="1"/>
        </w:numPr>
        <w:spacing w:before="0" w:after="0" w:line="520" w:lineRule="atLeast"/>
        <w:ind w:firstLine="709"/>
        <w:contextualSpacing/>
        <w:jc w:val="left"/>
        <w:rPr>
          <w:rFonts w:ascii="黑体" w:hAnsi="黑体" w:eastAsia="黑体" w:cs="黑体"/>
          <w:b w:val="0"/>
          <w:kern w:val="0"/>
          <w:sz w:val="32"/>
          <w:szCs w:val="32"/>
          <w:lang w:bidi="en-US"/>
        </w:rPr>
      </w:pPr>
      <w:bookmarkStart w:id="66" w:name="_Toc21719"/>
      <w:r>
        <w:rPr>
          <w:rFonts w:hint="eastAsia" w:ascii="黑体" w:hAnsi="黑体" w:eastAsia="黑体" w:cs="黑体"/>
          <w:b w:val="0"/>
          <w:kern w:val="0"/>
          <w:sz w:val="32"/>
          <w:szCs w:val="32"/>
          <w:lang w:bidi="en-US"/>
        </w:rPr>
        <w:t>绩效评价指标分析</w:t>
      </w:r>
      <w:bookmarkEnd w:id="61"/>
      <w:bookmarkEnd w:id="62"/>
      <w:bookmarkEnd w:id="63"/>
      <w:bookmarkEnd w:id="64"/>
      <w:bookmarkEnd w:id="66"/>
    </w:p>
    <w:p>
      <w:pPr>
        <w:numPr>
          <w:ilvl w:val="0"/>
          <w:numId w:val="5"/>
        </w:numPr>
        <w:spacing w:line="560" w:lineRule="exact"/>
        <w:ind w:firstLine="567"/>
        <w:outlineLvl w:val="1"/>
        <w:rPr>
          <w:rFonts w:ascii="楷体_GB2312" w:hAnsi="楷体_GB2312" w:eastAsia="楷体_GB2312" w:cs="楷体_GB2312"/>
          <w:bCs/>
          <w:sz w:val="32"/>
          <w:szCs w:val="32"/>
        </w:rPr>
      </w:pPr>
      <w:bookmarkStart w:id="67" w:name="_Toc23775"/>
      <w:bookmarkStart w:id="68" w:name="_Toc30811"/>
      <w:bookmarkStart w:id="69" w:name="_Toc30167"/>
      <w:bookmarkStart w:id="70" w:name="_Toc4274"/>
      <w:bookmarkStart w:id="71" w:name="_Toc25051"/>
      <w:r>
        <w:rPr>
          <w:rFonts w:hint="eastAsia" w:ascii="楷体_GB2312" w:hAnsi="楷体_GB2312" w:eastAsia="楷体_GB2312" w:cs="楷体_GB2312"/>
          <w:bCs/>
          <w:sz w:val="32"/>
          <w:szCs w:val="32"/>
        </w:rPr>
        <w:t>项目</w:t>
      </w:r>
      <w:bookmarkEnd w:id="67"/>
      <w:bookmarkEnd w:id="68"/>
      <w:bookmarkEnd w:id="69"/>
      <w:bookmarkEnd w:id="70"/>
      <w:r>
        <w:rPr>
          <w:rFonts w:hint="eastAsia" w:ascii="楷体_GB2312" w:hAnsi="楷体_GB2312" w:eastAsia="楷体_GB2312" w:cs="楷体_GB2312"/>
          <w:bCs/>
          <w:sz w:val="32"/>
          <w:szCs w:val="32"/>
        </w:rPr>
        <w:t>决策情况</w:t>
      </w:r>
      <w:bookmarkEnd w:id="71"/>
    </w:p>
    <w:p>
      <w:pPr>
        <w:ind w:firstLine="640" w:firstLineChars="20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决策评价分析从项目立项、绩效目标和资金投入三个方面五个三级指标对项目决策进行考察，决策指标分值共计20分，本项目实际得分15.70分，得分率为78.50%。具体情况如下表</w:t>
      </w:r>
      <w:r>
        <w:rPr>
          <w:rFonts w:hint="eastAsia" w:ascii="仿宋_GB2312" w:hAnsi="仿宋_GB2312" w:eastAsia="仿宋_GB2312" w:cs="仿宋_GB2312"/>
          <w:kern w:val="44"/>
          <w:sz w:val="28"/>
          <w:szCs w:val="28"/>
        </w:rPr>
        <w:t>：</w:t>
      </w:r>
    </w:p>
    <w:tbl>
      <w:tblPr>
        <w:tblStyle w:val="18"/>
        <w:tblW w:w="8662" w:type="dxa"/>
        <w:tblInd w:w="93"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080"/>
        <w:gridCol w:w="3188"/>
        <w:gridCol w:w="1080"/>
        <w:gridCol w:w="1080"/>
        <w:gridCol w:w="1080"/>
        <w:gridCol w:w="1154"/>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0" w:hRule="atLeast"/>
        </w:trPr>
        <w:tc>
          <w:tcPr>
            <w:tcW w:w="1080"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序号</w:t>
            </w:r>
          </w:p>
        </w:tc>
        <w:tc>
          <w:tcPr>
            <w:tcW w:w="3188"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三级指标内容</w:t>
            </w:r>
          </w:p>
        </w:tc>
        <w:tc>
          <w:tcPr>
            <w:tcW w:w="1080"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权重</w:t>
            </w:r>
          </w:p>
        </w:tc>
        <w:tc>
          <w:tcPr>
            <w:tcW w:w="1080"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目标值</w:t>
            </w:r>
          </w:p>
        </w:tc>
        <w:tc>
          <w:tcPr>
            <w:tcW w:w="1080"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得分</w:t>
            </w:r>
          </w:p>
        </w:tc>
        <w:tc>
          <w:tcPr>
            <w:tcW w:w="1154"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得分率</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90" w:hRule="atLeast"/>
        </w:trPr>
        <w:tc>
          <w:tcPr>
            <w:tcW w:w="1080"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w:t>
            </w:r>
          </w:p>
        </w:tc>
        <w:tc>
          <w:tcPr>
            <w:tcW w:w="3188"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立项依据充分性</w:t>
            </w:r>
          </w:p>
        </w:tc>
        <w:tc>
          <w:tcPr>
            <w:tcW w:w="1080"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4</w:t>
            </w:r>
          </w:p>
        </w:tc>
        <w:tc>
          <w:tcPr>
            <w:tcW w:w="1080"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充分</w:t>
            </w:r>
          </w:p>
        </w:tc>
        <w:tc>
          <w:tcPr>
            <w:tcW w:w="1080"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4.00 </w:t>
            </w:r>
          </w:p>
        </w:tc>
        <w:tc>
          <w:tcPr>
            <w:tcW w:w="1154"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100.00%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0" w:hRule="atLeast"/>
        </w:trPr>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2</w:t>
            </w:r>
          </w:p>
        </w:tc>
        <w:tc>
          <w:tcPr>
            <w:tcW w:w="3188"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立项程序规范性</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4</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规范</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4.00 </w:t>
            </w:r>
          </w:p>
        </w:tc>
        <w:tc>
          <w:tcPr>
            <w:tcW w:w="1154"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100.00%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0" w:hRule="atLeast"/>
        </w:trPr>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3</w:t>
            </w:r>
          </w:p>
        </w:tc>
        <w:tc>
          <w:tcPr>
            <w:tcW w:w="3188"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绩效目标合理性</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4</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合理</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2.88 </w:t>
            </w:r>
          </w:p>
        </w:tc>
        <w:tc>
          <w:tcPr>
            <w:tcW w:w="1154"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71.88%</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12" w:hRule="atLeast"/>
        </w:trPr>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4</w:t>
            </w:r>
          </w:p>
        </w:tc>
        <w:tc>
          <w:tcPr>
            <w:tcW w:w="3188"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绩效指标明确性</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4</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明确</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2.58 </w:t>
            </w:r>
          </w:p>
        </w:tc>
        <w:tc>
          <w:tcPr>
            <w:tcW w:w="1154"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64.38%</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0" w:hRule="atLeast"/>
        </w:trPr>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5</w:t>
            </w:r>
          </w:p>
        </w:tc>
        <w:tc>
          <w:tcPr>
            <w:tcW w:w="3188"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预算编制科学性</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4</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科学</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2.25 </w:t>
            </w:r>
          </w:p>
        </w:tc>
        <w:tc>
          <w:tcPr>
            <w:tcW w:w="1154"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56.25%</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5" w:hRule="atLeast"/>
        </w:trPr>
        <w:tc>
          <w:tcPr>
            <w:tcW w:w="1080" w:type="dxa"/>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　</w:t>
            </w:r>
          </w:p>
        </w:tc>
        <w:tc>
          <w:tcPr>
            <w:tcW w:w="3188" w:type="dxa"/>
            <w:shd w:val="clear" w:color="auto" w:fill="auto"/>
            <w:vAlign w:val="center"/>
          </w:tcPr>
          <w:p>
            <w:pPr>
              <w:widowControl/>
              <w:jc w:val="center"/>
              <w:rPr>
                <w:rFonts w:ascii="仿宋" w:hAnsi="仿宋" w:eastAsia="仿宋" w:cs="宋体"/>
                <w:b/>
                <w:bCs/>
                <w:color w:val="000000"/>
                <w:kern w:val="0"/>
                <w:sz w:val="24"/>
                <w:szCs w:val="24"/>
              </w:rPr>
            </w:pPr>
            <w:r>
              <w:rPr>
                <w:rFonts w:hint="eastAsia" w:ascii="仿宋" w:hAnsi="仿宋" w:eastAsia="仿宋" w:cs="宋体"/>
                <w:b/>
                <w:bCs/>
                <w:color w:val="000000"/>
                <w:kern w:val="0"/>
                <w:sz w:val="24"/>
                <w:szCs w:val="24"/>
              </w:rPr>
              <w:t>分值合计</w:t>
            </w:r>
          </w:p>
        </w:tc>
        <w:tc>
          <w:tcPr>
            <w:tcW w:w="1080" w:type="dxa"/>
            <w:shd w:val="clear" w:color="auto" w:fill="auto"/>
            <w:vAlign w:val="center"/>
          </w:tcPr>
          <w:p>
            <w:pPr>
              <w:widowControl/>
              <w:jc w:val="center"/>
              <w:rPr>
                <w:rFonts w:ascii="仿宋" w:hAnsi="仿宋" w:eastAsia="仿宋" w:cs="宋体"/>
                <w:b/>
                <w:bCs/>
                <w:color w:val="000000"/>
                <w:kern w:val="0"/>
                <w:sz w:val="24"/>
                <w:szCs w:val="24"/>
              </w:rPr>
            </w:pPr>
            <w:r>
              <w:rPr>
                <w:rFonts w:hint="eastAsia" w:ascii="仿宋" w:hAnsi="仿宋" w:eastAsia="仿宋" w:cs="宋体"/>
                <w:b/>
                <w:bCs/>
                <w:color w:val="000000"/>
                <w:kern w:val="0"/>
                <w:sz w:val="24"/>
                <w:szCs w:val="24"/>
              </w:rPr>
              <w:t>20</w:t>
            </w:r>
          </w:p>
        </w:tc>
        <w:tc>
          <w:tcPr>
            <w:tcW w:w="1080" w:type="dxa"/>
            <w:shd w:val="clear" w:color="auto" w:fill="auto"/>
            <w:vAlign w:val="center"/>
          </w:tcPr>
          <w:p>
            <w:pPr>
              <w:widowControl/>
              <w:jc w:val="center"/>
              <w:rPr>
                <w:rFonts w:ascii="仿宋" w:hAnsi="仿宋" w:eastAsia="仿宋" w:cs="宋体"/>
                <w:b/>
                <w:bCs/>
                <w:color w:val="000000"/>
                <w:kern w:val="0"/>
                <w:sz w:val="24"/>
                <w:szCs w:val="24"/>
              </w:rPr>
            </w:pPr>
          </w:p>
        </w:tc>
        <w:tc>
          <w:tcPr>
            <w:tcW w:w="1080" w:type="dxa"/>
            <w:shd w:val="clear" w:color="auto" w:fill="auto"/>
            <w:vAlign w:val="center"/>
          </w:tcPr>
          <w:p>
            <w:pPr>
              <w:widowControl/>
              <w:jc w:val="center"/>
              <w:rPr>
                <w:rFonts w:ascii="仿宋" w:hAnsi="仿宋" w:eastAsia="仿宋" w:cs="宋体"/>
                <w:b/>
                <w:bCs/>
                <w:color w:val="000000"/>
                <w:kern w:val="0"/>
                <w:sz w:val="24"/>
                <w:szCs w:val="24"/>
              </w:rPr>
            </w:pPr>
            <w:r>
              <w:rPr>
                <w:rFonts w:hint="eastAsia" w:ascii="仿宋" w:hAnsi="仿宋" w:eastAsia="仿宋" w:cs="宋体"/>
                <w:b/>
                <w:bCs/>
                <w:color w:val="000000"/>
                <w:kern w:val="0"/>
                <w:sz w:val="24"/>
                <w:szCs w:val="24"/>
              </w:rPr>
              <w:t xml:space="preserve">15.70 </w:t>
            </w:r>
          </w:p>
        </w:tc>
        <w:tc>
          <w:tcPr>
            <w:tcW w:w="1154" w:type="dxa"/>
            <w:shd w:val="clear" w:color="auto" w:fill="auto"/>
            <w:vAlign w:val="center"/>
          </w:tcPr>
          <w:p>
            <w:pPr>
              <w:widowControl/>
              <w:jc w:val="center"/>
              <w:rPr>
                <w:rFonts w:ascii="仿宋" w:hAnsi="仿宋" w:eastAsia="仿宋" w:cs="宋体"/>
                <w:b/>
                <w:bCs/>
                <w:color w:val="000000"/>
                <w:kern w:val="0"/>
                <w:sz w:val="24"/>
                <w:szCs w:val="24"/>
              </w:rPr>
            </w:pPr>
            <w:r>
              <w:rPr>
                <w:rFonts w:hint="eastAsia" w:ascii="仿宋" w:hAnsi="仿宋" w:eastAsia="仿宋" w:cs="宋体"/>
                <w:b/>
                <w:bCs/>
                <w:color w:val="000000"/>
                <w:kern w:val="0"/>
                <w:sz w:val="24"/>
                <w:szCs w:val="24"/>
              </w:rPr>
              <w:t>78.50%</w:t>
            </w:r>
          </w:p>
        </w:tc>
      </w:tr>
    </w:tbl>
    <w:p>
      <w:pPr>
        <w:numPr>
          <w:ilvl w:val="0"/>
          <w:numId w:val="6"/>
        </w:numPr>
        <w:spacing w:line="560" w:lineRule="exact"/>
        <w:ind w:firstLine="640" w:firstLineChars="200"/>
        <w:rPr>
          <w:rFonts w:ascii="仿宋_GB2312" w:hAnsi="仿宋_GB2312" w:eastAsia="仿宋_GB2312" w:cs="仿宋_GB2312"/>
          <w:bCs/>
          <w:sz w:val="32"/>
          <w:szCs w:val="32"/>
        </w:rPr>
      </w:pPr>
      <w:bookmarkStart w:id="72" w:name="_Toc32544"/>
      <w:bookmarkStart w:id="73" w:name="_Toc7092"/>
      <w:bookmarkStart w:id="74" w:name="_Toc3411"/>
      <w:r>
        <w:rPr>
          <w:rFonts w:hint="eastAsia" w:ascii="仿宋_GB2312" w:hAnsi="仿宋_GB2312" w:eastAsia="仿宋_GB2312" w:cs="仿宋_GB2312"/>
          <w:bCs/>
          <w:sz w:val="32"/>
          <w:szCs w:val="32"/>
        </w:rPr>
        <w:t>项目立项分析</w:t>
      </w:r>
      <w:bookmarkEnd w:id="72"/>
      <w:bookmarkEnd w:id="73"/>
      <w:bookmarkEnd w:id="74"/>
    </w:p>
    <w:p>
      <w:pPr>
        <w:ind w:firstLine="707" w:firstLineChars="221"/>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（1）立项依据充分性分析</w:t>
      </w:r>
    </w:p>
    <w:p>
      <w:pPr>
        <w:ind w:firstLine="640" w:firstLineChars="200"/>
        <w:rPr>
          <w:rFonts w:ascii="仿宋_GB2312" w:hAnsi="仿宋_GB2312" w:eastAsia="仿宋_GB2312" w:cs="仿宋_GB2312"/>
          <w:kern w:val="44"/>
          <w:sz w:val="32"/>
          <w:szCs w:val="32"/>
        </w:rPr>
      </w:pPr>
      <w:r>
        <w:rPr>
          <w:rFonts w:hint="eastAsia" w:ascii="仿宋_GB2312" w:eastAsia="仿宋_GB2312" w:cs="仿宋_GB2312"/>
          <w:sz w:val="32"/>
          <w:szCs w:val="32"/>
        </w:rPr>
        <w:t>项目</w:t>
      </w:r>
      <w:r>
        <w:rPr>
          <w:rFonts w:hint="eastAsia" w:ascii="仿宋_GB2312" w:hAnsi="仿宋_GB2312" w:eastAsia="仿宋_GB2312" w:cs="仿宋_GB2312"/>
          <w:kern w:val="44"/>
          <w:sz w:val="32"/>
          <w:szCs w:val="32"/>
        </w:rPr>
        <w:t>立项依据符合国家和北京市的相关规定，与项目单位职责密切相关，立项依据充分。该项指标权重分为4分，根据评分规则评价得4分。</w:t>
      </w:r>
    </w:p>
    <w:p>
      <w:pPr>
        <w:ind w:firstLine="707" w:firstLineChars="221"/>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（2）立项程序规范性分析</w:t>
      </w:r>
    </w:p>
    <w:p>
      <w:pPr>
        <w:ind w:firstLine="640" w:firstLineChars="20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项目为延续性项目，项目申请、设立过程符合相关要求，程序规范。</w:t>
      </w:r>
      <w:r>
        <w:rPr>
          <w:rFonts w:ascii="仿宋_GB2312" w:hAnsi="仿宋_GB2312" w:eastAsia="仿宋_GB2312" w:cs="仿宋_GB2312"/>
          <w:kern w:val="44"/>
          <w:sz w:val="32"/>
          <w:szCs w:val="32"/>
        </w:rPr>
        <w:t>该项指标权重分为</w:t>
      </w:r>
      <w:r>
        <w:rPr>
          <w:rFonts w:hint="eastAsia" w:ascii="仿宋_GB2312" w:hAnsi="仿宋_GB2312" w:eastAsia="仿宋_GB2312" w:cs="仿宋_GB2312"/>
          <w:kern w:val="44"/>
          <w:sz w:val="32"/>
          <w:szCs w:val="32"/>
        </w:rPr>
        <w:t>4</w:t>
      </w:r>
      <w:r>
        <w:rPr>
          <w:rFonts w:ascii="仿宋_GB2312" w:hAnsi="仿宋_GB2312" w:eastAsia="仿宋_GB2312" w:cs="仿宋_GB2312"/>
          <w:kern w:val="44"/>
          <w:sz w:val="32"/>
          <w:szCs w:val="32"/>
        </w:rPr>
        <w:t>分，根据评分规则评价得</w:t>
      </w:r>
      <w:r>
        <w:rPr>
          <w:rFonts w:hint="eastAsia" w:ascii="仿宋_GB2312" w:hAnsi="仿宋_GB2312" w:eastAsia="仿宋_GB2312" w:cs="仿宋_GB2312"/>
          <w:kern w:val="44"/>
          <w:sz w:val="32"/>
          <w:szCs w:val="32"/>
        </w:rPr>
        <w:t>4</w:t>
      </w:r>
      <w:r>
        <w:rPr>
          <w:rFonts w:ascii="仿宋_GB2312" w:hAnsi="仿宋_GB2312" w:eastAsia="仿宋_GB2312" w:cs="仿宋_GB2312"/>
          <w:kern w:val="44"/>
          <w:sz w:val="32"/>
          <w:szCs w:val="32"/>
        </w:rPr>
        <w:t>分。</w:t>
      </w:r>
    </w:p>
    <w:p>
      <w:pPr>
        <w:numPr>
          <w:ilvl w:val="0"/>
          <w:numId w:val="6"/>
        </w:numPr>
        <w:spacing w:line="560" w:lineRule="exact"/>
        <w:ind w:firstLine="640" w:firstLineChars="200"/>
        <w:rPr>
          <w:rFonts w:ascii="仿宋_GB2312" w:hAnsi="仿宋_GB2312" w:eastAsia="仿宋_GB2312" w:cs="仿宋_GB2312"/>
          <w:bCs/>
          <w:sz w:val="32"/>
          <w:szCs w:val="32"/>
        </w:rPr>
      </w:pPr>
      <w:bookmarkStart w:id="75" w:name="_Toc32625"/>
      <w:bookmarkStart w:id="76" w:name="_Toc7603"/>
      <w:bookmarkStart w:id="77" w:name="_Toc30046"/>
      <w:r>
        <w:rPr>
          <w:rFonts w:hint="eastAsia" w:ascii="仿宋_GB2312" w:hAnsi="仿宋_GB2312" w:eastAsia="仿宋_GB2312" w:cs="仿宋_GB2312"/>
          <w:bCs/>
          <w:sz w:val="32"/>
          <w:szCs w:val="32"/>
        </w:rPr>
        <w:t>绩效目标分析</w:t>
      </w:r>
      <w:bookmarkEnd w:id="75"/>
      <w:bookmarkEnd w:id="76"/>
      <w:bookmarkEnd w:id="77"/>
    </w:p>
    <w:p>
      <w:pPr>
        <w:ind w:firstLine="640" w:firstLineChars="20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（1）绩效目标合理性分析</w:t>
      </w:r>
    </w:p>
    <w:p>
      <w:pPr>
        <w:ind w:firstLine="640" w:firstLineChars="20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 xml:space="preserve">绩效目标设定比较宏观，不够具体、明确。该项指标权重分为4分，根据评分规则评价得2.88分。                                                                                          </w:t>
      </w:r>
    </w:p>
    <w:p>
      <w:pPr>
        <w:ind w:firstLine="640" w:firstLineChars="20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（2）绩效指标明确性分析</w:t>
      </w:r>
    </w:p>
    <w:p>
      <w:pPr>
        <w:ind w:firstLine="640" w:firstLineChars="20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绩效指标不够明确，数量、标准不够细化、明确，指标可量化性、可衡量性不足。该项指标权重分4分，根据评分规则评价得2.58分。</w:t>
      </w:r>
    </w:p>
    <w:p>
      <w:pPr>
        <w:numPr>
          <w:ilvl w:val="0"/>
          <w:numId w:val="6"/>
        </w:numPr>
        <w:spacing w:line="560" w:lineRule="exact"/>
        <w:ind w:firstLine="640" w:firstLineChars="200"/>
        <w:rPr>
          <w:rFonts w:ascii="仿宋_GB2312" w:hAnsi="仿宋_GB2312" w:eastAsia="仿宋_GB2312" w:cs="仿宋_GB2312"/>
          <w:bCs/>
          <w:sz w:val="32"/>
          <w:szCs w:val="32"/>
        </w:rPr>
      </w:pPr>
      <w:bookmarkStart w:id="78" w:name="_Toc22133"/>
      <w:bookmarkStart w:id="79" w:name="_Toc11073"/>
      <w:bookmarkStart w:id="80" w:name="_Toc16986"/>
      <w:r>
        <w:rPr>
          <w:rFonts w:hint="eastAsia" w:ascii="仿宋_GB2312" w:hAnsi="仿宋_GB2312" w:eastAsia="仿宋_GB2312" w:cs="仿宋_GB2312"/>
          <w:bCs/>
          <w:sz w:val="32"/>
          <w:szCs w:val="32"/>
        </w:rPr>
        <w:t>资金投入分析</w:t>
      </w:r>
      <w:bookmarkEnd w:id="78"/>
      <w:bookmarkEnd w:id="79"/>
      <w:bookmarkEnd w:id="80"/>
    </w:p>
    <w:p>
      <w:pPr>
        <w:ind w:firstLine="640" w:firstLineChars="20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项目预算缺少预算测算依据和细化预算内容，预算编制科学性不足。该项指标权重分4分，根据评分规则评价得2.25分。</w:t>
      </w:r>
    </w:p>
    <w:p>
      <w:pPr>
        <w:numPr>
          <w:ilvl w:val="0"/>
          <w:numId w:val="5"/>
        </w:numPr>
        <w:spacing w:line="560" w:lineRule="exact"/>
        <w:outlineLvl w:val="1"/>
        <w:rPr>
          <w:rFonts w:ascii="楷体_GB2312" w:hAnsi="楷体_GB2312" w:eastAsia="楷体_GB2312" w:cs="楷体_GB2312"/>
          <w:bCs/>
          <w:sz w:val="32"/>
          <w:szCs w:val="32"/>
        </w:rPr>
      </w:pPr>
      <w:bookmarkStart w:id="81" w:name="_Toc4843"/>
      <w:bookmarkStart w:id="82" w:name="_Toc9756"/>
      <w:bookmarkStart w:id="83" w:name="_Toc21291"/>
      <w:bookmarkStart w:id="84" w:name="_Toc14468"/>
      <w:bookmarkStart w:id="85" w:name="_Toc32563"/>
      <w:r>
        <w:rPr>
          <w:rFonts w:hint="eastAsia" w:ascii="楷体_GB2312" w:hAnsi="楷体_GB2312" w:eastAsia="楷体_GB2312" w:cs="楷体_GB2312"/>
          <w:bCs/>
          <w:sz w:val="32"/>
          <w:szCs w:val="32"/>
        </w:rPr>
        <w:t>项目</w:t>
      </w:r>
      <w:bookmarkEnd w:id="81"/>
      <w:bookmarkEnd w:id="82"/>
      <w:bookmarkEnd w:id="83"/>
      <w:bookmarkEnd w:id="84"/>
      <w:r>
        <w:rPr>
          <w:rFonts w:hint="eastAsia" w:ascii="楷体_GB2312" w:hAnsi="楷体_GB2312" w:eastAsia="楷体_GB2312" w:cs="楷体_GB2312"/>
          <w:bCs/>
          <w:sz w:val="32"/>
          <w:szCs w:val="32"/>
        </w:rPr>
        <w:t>过程情况</w:t>
      </w:r>
      <w:bookmarkEnd w:id="85"/>
    </w:p>
    <w:p>
      <w:pPr>
        <w:ind w:firstLine="640" w:firstLineChars="20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过程部分从资金管理和组织实施两个方面四个三级指标对项目进行考察，过程类指标分值为20分，本项目实际得分18.63分，得分率93.13%。具体如下表：</w:t>
      </w:r>
    </w:p>
    <w:tbl>
      <w:tblPr>
        <w:tblStyle w:val="18"/>
        <w:tblW w:w="8517" w:type="dxa"/>
        <w:tblInd w:w="93"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055"/>
        <w:gridCol w:w="3071"/>
        <w:gridCol w:w="1055"/>
        <w:gridCol w:w="1067"/>
        <w:gridCol w:w="1073"/>
        <w:gridCol w:w="1196"/>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0" w:hRule="atLeast"/>
        </w:trPr>
        <w:tc>
          <w:tcPr>
            <w:tcW w:w="1055"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序号</w:t>
            </w:r>
          </w:p>
        </w:tc>
        <w:tc>
          <w:tcPr>
            <w:tcW w:w="3071"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三级指标内容</w:t>
            </w:r>
          </w:p>
        </w:tc>
        <w:tc>
          <w:tcPr>
            <w:tcW w:w="1055"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权重</w:t>
            </w:r>
          </w:p>
        </w:tc>
        <w:tc>
          <w:tcPr>
            <w:tcW w:w="1067"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目标值</w:t>
            </w:r>
          </w:p>
        </w:tc>
        <w:tc>
          <w:tcPr>
            <w:tcW w:w="1073"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得分</w:t>
            </w:r>
          </w:p>
        </w:tc>
        <w:tc>
          <w:tcPr>
            <w:tcW w:w="1196"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得分率</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9" w:hRule="atLeast"/>
        </w:trPr>
        <w:tc>
          <w:tcPr>
            <w:tcW w:w="1055"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w:t>
            </w:r>
          </w:p>
        </w:tc>
        <w:tc>
          <w:tcPr>
            <w:tcW w:w="3071"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预算执行率</w:t>
            </w:r>
          </w:p>
        </w:tc>
        <w:tc>
          <w:tcPr>
            <w:tcW w:w="1055"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3</w:t>
            </w:r>
          </w:p>
        </w:tc>
        <w:tc>
          <w:tcPr>
            <w:tcW w:w="1067" w:type="dxa"/>
            <w:shd w:val="clear" w:color="auto" w:fill="auto"/>
            <w:vAlign w:val="center"/>
          </w:tcPr>
          <w:p>
            <w:pPr>
              <w:widowControl/>
              <w:jc w:val="center"/>
              <w:rPr>
                <w:rFonts w:ascii="仿宋" w:hAnsi="仿宋" w:eastAsia="仿宋" w:cs="宋体"/>
                <w:color w:val="000000"/>
                <w:kern w:val="0"/>
                <w:sz w:val="24"/>
                <w:szCs w:val="24"/>
              </w:rPr>
            </w:pPr>
            <w:r>
              <w:rPr>
                <w:rFonts w:hint="eastAsia" w:ascii="微软雅黑" w:hAnsi="微软雅黑" w:eastAsia="微软雅黑" w:cs="微软雅黑"/>
                <w:color w:val="000000"/>
                <w:kern w:val="0"/>
                <w:sz w:val="24"/>
                <w:szCs w:val="24"/>
              </w:rPr>
              <w:t>≤</w:t>
            </w:r>
            <w:r>
              <w:rPr>
                <w:rFonts w:hint="eastAsia" w:ascii="仿宋" w:hAnsi="仿宋" w:eastAsia="仿宋" w:cs="宋体"/>
                <w:color w:val="000000"/>
                <w:kern w:val="0"/>
                <w:sz w:val="24"/>
                <w:szCs w:val="24"/>
              </w:rPr>
              <w:t>100%</w:t>
            </w:r>
          </w:p>
        </w:tc>
        <w:tc>
          <w:tcPr>
            <w:tcW w:w="1073"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3.00 </w:t>
            </w:r>
          </w:p>
        </w:tc>
        <w:tc>
          <w:tcPr>
            <w:tcW w:w="1196"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100.00%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15" w:hRule="atLeast"/>
        </w:trPr>
        <w:tc>
          <w:tcPr>
            <w:tcW w:w="1055"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2</w:t>
            </w:r>
          </w:p>
        </w:tc>
        <w:tc>
          <w:tcPr>
            <w:tcW w:w="3071"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资金使用合规性</w:t>
            </w:r>
          </w:p>
        </w:tc>
        <w:tc>
          <w:tcPr>
            <w:tcW w:w="1055"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4</w:t>
            </w:r>
          </w:p>
        </w:tc>
        <w:tc>
          <w:tcPr>
            <w:tcW w:w="1067"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规范</w:t>
            </w:r>
          </w:p>
        </w:tc>
        <w:tc>
          <w:tcPr>
            <w:tcW w:w="1073"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4.00 </w:t>
            </w:r>
          </w:p>
        </w:tc>
        <w:tc>
          <w:tcPr>
            <w:tcW w:w="1196"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100.00%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15" w:hRule="atLeast"/>
        </w:trPr>
        <w:tc>
          <w:tcPr>
            <w:tcW w:w="1055"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3</w:t>
            </w:r>
          </w:p>
        </w:tc>
        <w:tc>
          <w:tcPr>
            <w:tcW w:w="3071"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管理制度健全性</w:t>
            </w:r>
          </w:p>
        </w:tc>
        <w:tc>
          <w:tcPr>
            <w:tcW w:w="1055"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3</w:t>
            </w:r>
          </w:p>
        </w:tc>
        <w:tc>
          <w:tcPr>
            <w:tcW w:w="1067"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健全</w:t>
            </w:r>
          </w:p>
        </w:tc>
        <w:tc>
          <w:tcPr>
            <w:tcW w:w="1073"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2.88 </w:t>
            </w:r>
          </w:p>
        </w:tc>
        <w:tc>
          <w:tcPr>
            <w:tcW w:w="1196"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95.83%</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15" w:hRule="atLeast"/>
        </w:trPr>
        <w:tc>
          <w:tcPr>
            <w:tcW w:w="1055"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4</w:t>
            </w:r>
          </w:p>
        </w:tc>
        <w:tc>
          <w:tcPr>
            <w:tcW w:w="3071"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制度执行有效性</w:t>
            </w:r>
          </w:p>
        </w:tc>
        <w:tc>
          <w:tcPr>
            <w:tcW w:w="1055"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10</w:t>
            </w:r>
          </w:p>
        </w:tc>
        <w:tc>
          <w:tcPr>
            <w:tcW w:w="1067"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有效</w:t>
            </w:r>
          </w:p>
        </w:tc>
        <w:tc>
          <w:tcPr>
            <w:tcW w:w="1073"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8.75 </w:t>
            </w:r>
          </w:p>
        </w:tc>
        <w:tc>
          <w:tcPr>
            <w:tcW w:w="1196"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87.50%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15" w:hRule="atLeast"/>
        </w:trPr>
        <w:tc>
          <w:tcPr>
            <w:tcW w:w="1055" w:type="dxa"/>
            <w:shd w:val="clear" w:color="auto" w:fill="auto"/>
            <w:vAlign w:val="center"/>
          </w:tcPr>
          <w:p>
            <w:pPr>
              <w:widowControl/>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3071" w:type="dxa"/>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分值合计</w:t>
            </w:r>
          </w:p>
        </w:tc>
        <w:tc>
          <w:tcPr>
            <w:tcW w:w="1055" w:type="dxa"/>
            <w:shd w:val="clear" w:color="auto" w:fill="auto"/>
            <w:vAlign w:val="center"/>
          </w:tcPr>
          <w:p>
            <w:pPr>
              <w:widowControl/>
              <w:jc w:val="center"/>
              <w:rPr>
                <w:rFonts w:ascii="仿宋" w:hAnsi="仿宋" w:eastAsia="仿宋" w:cs="宋体"/>
                <w:b/>
                <w:bCs/>
                <w:color w:val="000000"/>
                <w:kern w:val="0"/>
                <w:sz w:val="24"/>
                <w:szCs w:val="24"/>
              </w:rPr>
            </w:pPr>
            <w:r>
              <w:rPr>
                <w:rFonts w:hint="eastAsia" w:ascii="仿宋" w:hAnsi="仿宋" w:eastAsia="仿宋" w:cs="宋体"/>
                <w:b/>
                <w:bCs/>
                <w:color w:val="000000"/>
                <w:kern w:val="0"/>
                <w:sz w:val="24"/>
                <w:szCs w:val="24"/>
              </w:rPr>
              <w:t>20</w:t>
            </w:r>
          </w:p>
        </w:tc>
        <w:tc>
          <w:tcPr>
            <w:tcW w:w="1067" w:type="dxa"/>
            <w:shd w:val="clear" w:color="auto" w:fill="auto"/>
            <w:vAlign w:val="center"/>
          </w:tcPr>
          <w:p>
            <w:pPr>
              <w:widowControl/>
              <w:jc w:val="center"/>
              <w:rPr>
                <w:rFonts w:ascii="仿宋" w:hAnsi="仿宋" w:eastAsia="仿宋" w:cs="宋体"/>
                <w:b/>
                <w:bCs/>
                <w:color w:val="000000"/>
                <w:kern w:val="0"/>
                <w:sz w:val="24"/>
                <w:szCs w:val="24"/>
              </w:rPr>
            </w:pPr>
          </w:p>
        </w:tc>
        <w:tc>
          <w:tcPr>
            <w:tcW w:w="1073" w:type="dxa"/>
            <w:shd w:val="clear" w:color="auto" w:fill="auto"/>
            <w:vAlign w:val="center"/>
          </w:tcPr>
          <w:p>
            <w:pPr>
              <w:widowControl/>
              <w:jc w:val="center"/>
              <w:rPr>
                <w:rFonts w:ascii="仿宋" w:hAnsi="仿宋" w:eastAsia="仿宋" w:cs="宋体"/>
                <w:b/>
                <w:bCs/>
                <w:color w:val="000000"/>
                <w:kern w:val="0"/>
                <w:sz w:val="24"/>
                <w:szCs w:val="24"/>
              </w:rPr>
            </w:pPr>
            <w:r>
              <w:rPr>
                <w:rFonts w:hint="eastAsia" w:ascii="仿宋" w:hAnsi="仿宋" w:eastAsia="仿宋" w:cs="宋体"/>
                <w:b/>
                <w:bCs/>
                <w:color w:val="000000"/>
                <w:kern w:val="0"/>
                <w:sz w:val="24"/>
                <w:szCs w:val="24"/>
              </w:rPr>
              <w:t xml:space="preserve">18.63 </w:t>
            </w:r>
          </w:p>
        </w:tc>
        <w:tc>
          <w:tcPr>
            <w:tcW w:w="1196" w:type="dxa"/>
            <w:shd w:val="clear" w:color="auto" w:fill="auto"/>
            <w:vAlign w:val="center"/>
          </w:tcPr>
          <w:p>
            <w:pPr>
              <w:widowControl/>
              <w:jc w:val="center"/>
              <w:rPr>
                <w:rFonts w:ascii="仿宋" w:hAnsi="仿宋" w:eastAsia="仿宋" w:cs="宋体"/>
                <w:b/>
                <w:bCs/>
                <w:color w:val="000000"/>
                <w:kern w:val="0"/>
                <w:sz w:val="24"/>
                <w:szCs w:val="24"/>
              </w:rPr>
            </w:pPr>
            <w:r>
              <w:rPr>
                <w:rFonts w:hint="eastAsia" w:ascii="仿宋" w:hAnsi="仿宋" w:eastAsia="仿宋" w:cs="宋体"/>
                <w:b/>
                <w:bCs/>
                <w:color w:val="000000"/>
                <w:kern w:val="0"/>
                <w:sz w:val="24"/>
                <w:szCs w:val="24"/>
              </w:rPr>
              <w:t>93.13%</w:t>
            </w:r>
          </w:p>
        </w:tc>
      </w:tr>
    </w:tbl>
    <w:p>
      <w:pPr>
        <w:rPr>
          <w:rFonts w:ascii="宋体" w:hAnsi="宋体" w:eastAsia="宋体" w:cs="仿宋_GB2312"/>
          <w:kern w:val="44"/>
          <w:szCs w:val="21"/>
        </w:rPr>
      </w:pPr>
    </w:p>
    <w:p>
      <w:pPr>
        <w:numPr>
          <w:ilvl w:val="0"/>
          <w:numId w:val="7"/>
        </w:numPr>
        <w:spacing w:line="560" w:lineRule="exact"/>
        <w:ind w:firstLine="640" w:firstLineChars="200"/>
        <w:rPr>
          <w:rFonts w:ascii="仿宋_GB2312" w:hAnsi="仿宋_GB2312" w:eastAsia="仿宋_GB2312" w:cs="仿宋_GB2312"/>
          <w:kern w:val="44"/>
          <w:sz w:val="32"/>
          <w:szCs w:val="32"/>
        </w:rPr>
      </w:pPr>
      <w:r>
        <w:rPr>
          <w:rFonts w:hint="eastAsia" w:ascii="仿宋_GB2312" w:hAnsi="仿宋_GB2312" w:eastAsia="仿宋_GB2312" w:cs="仿宋_GB2312"/>
          <w:bCs/>
          <w:sz w:val="32"/>
          <w:szCs w:val="32"/>
        </w:rPr>
        <w:t>资金使用及管理情况</w:t>
      </w:r>
    </w:p>
    <w:p>
      <w:pPr>
        <w:numPr>
          <w:ilvl w:val="0"/>
          <w:numId w:val="8"/>
        </w:numPr>
        <w:rPr>
          <w:rFonts w:ascii="仿宋_GB2312" w:hAnsi="仿宋_GB2312" w:eastAsia="仿宋_GB2312" w:cs="仿宋_GB2312"/>
          <w:bCs/>
          <w:kern w:val="0"/>
          <w:sz w:val="32"/>
          <w:szCs w:val="32"/>
        </w:rPr>
      </w:pPr>
      <w:bookmarkStart w:id="86" w:name="_Toc32425"/>
      <w:bookmarkStart w:id="87" w:name="_Toc26175"/>
      <w:bookmarkStart w:id="88" w:name="_Toc19603"/>
      <w:r>
        <w:rPr>
          <w:rFonts w:hint="eastAsia" w:ascii="仿宋_GB2312" w:hAnsi="仿宋_GB2312" w:eastAsia="仿宋_GB2312" w:cs="仿宋_GB2312"/>
          <w:bCs/>
          <w:kern w:val="0"/>
          <w:sz w:val="32"/>
          <w:szCs w:val="32"/>
        </w:rPr>
        <w:t>预算执行率</w:t>
      </w:r>
      <w:bookmarkEnd w:id="86"/>
      <w:bookmarkEnd w:id="87"/>
      <w:bookmarkEnd w:id="88"/>
    </w:p>
    <w:p>
      <w:pPr>
        <w:ind w:firstLine="640" w:firstLineChars="20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项目2022年最终获批资金预算</w:t>
      </w:r>
      <w:r>
        <w:rPr>
          <w:rFonts w:hint="eastAsia" w:ascii="仿宋_GB2312" w:hAnsi="仿宋" w:eastAsia="仿宋_GB2312" w:cs="Times New Roman"/>
          <w:kern w:val="0"/>
          <w:sz w:val="32"/>
          <w:szCs w:val="32"/>
          <w:lang w:bidi="en-US"/>
        </w:rPr>
        <w:t>192万</w:t>
      </w:r>
      <w:r>
        <w:rPr>
          <w:rFonts w:hint="eastAsia" w:ascii="仿宋_GB2312" w:hAnsi="仿宋_GB2312" w:eastAsia="仿宋_GB2312" w:cs="仿宋_GB2312"/>
          <w:kern w:val="44"/>
          <w:sz w:val="32"/>
          <w:szCs w:val="32"/>
        </w:rPr>
        <w:t>元，截至2022年12月31日，</w:t>
      </w:r>
      <w:r>
        <w:rPr>
          <w:rFonts w:hint="eastAsia" w:ascii="仿宋_GB2312" w:hAnsi="仿宋" w:eastAsia="仿宋_GB2312" w:cs="Times New Roman"/>
          <w:kern w:val="0"/>
          <w:sz w:val="32"/>
          <w:szCs w:val="32"/>
          <w:lang w:bidi="en-US"/>
        </w:rPr>
        <w:t>已实际支付资金191.52万元，结余资金0.48万元，预算资金执行率为99.75%。</w:t>
      </w:r>
      <w:r>
        <w:rPr>
          <w:rFonts w:ascii="仿宋_GB2312" w:hAnsi="仿宋_GB2312" w:eastAsia="仿宋_GB2312" w:cs="仿宋_GB2312"/>
          <w:kern w:val="44"/>
          <w:sz w:val="32"/>
          <w:szCs w:val="32"/>
        </w:rPr>
        <w:t>该项指标权重分</w:t>
      </w:r>
      <w:r>
        <w:rPr>
          <w:rFonts w:hint="eastAsia" w:ascii="仿宋_GB2312" w:hAnsi="仿宋_GB2312" w:eastAsia="仿宋_GB2312" w:cs="仿宋_GB2312"/>
          <w:kern w:val="44"/>
          <w:sz w:val="32"/>
          <w:szCs w:val="32"/>
        </w:rPr>
        <w:t>3</w:t>
      </w:r>
      <w:r>
        <w:rPr>
          <w:rFonts w:ascii="仿宋_GB2312" w:hAnsi="仿宋_GB2312" w:eastAsia="仿宋_GB2312" w:cs="仿宋_GB2312"/>
          <w:kern w:val="44"/>
          <w:sz w:val="32"/>
          <w:szCs w:val="32"/>
        </w:rPr>
        <w:t>分，根据评分规则评价得分</w:t>
      </w:r>
      <w:r>
        <w:rPr>
          <w:rFonts w:hint="eastAsia" w:ascii="仿宋_GB2312" w:hAnsi="仿宋_GB2312" w:eastAsia="仿宋_GB2312" w:cs="仿宋_GB2312"/>
          <w:kern w:val="44"/>
          <w:sz w:val="32"/>
          <w:szCs w:val="32"/>
        </w:rPr>
        <w:t>3.00</w:t>
      </w:r>
      <w:r>
        <w:rPr>
          <w:rFonts w:ascii="仿宋_GB2312" w:hAnsi="仿宋_GB2312" w:eastAsia="仿宋_GB2312" w:cs="仿宋_GB2312"/>
          <w:kern w:val="44"/>
          <w:sz w:val="32"/>
          <w:szCs w:val="32"/>
        </w:rPr>
        <w:t>分。</w:t>
      </w:r>
    </w:p>
    <w:p>
      <w:pPr>
        <w:numPr>
          <w:ilvl w:val="0"/>
          <w:numId w:val="8"/>
        </w:numPr>
        <w:rPr>
          <w:rFonts w:ascii="仿宋_GB2312" w:hAnsi="仿宋_GB2312" w:eastAsia="仿宋_GB2312" w:cs="仿宋_GB2312"/>
          <w:bCs/>
          <w:kern w:val="44"/>
          <w:sz w:val="32"/>
          <w:szCs w:val="32"/>
        </w:rPr>
      </w:pPr>
      <w:bookmarkStart w:id="89" w:name="_Toc26289"/>
      <w:bookmarkStart w:id="90" w:name="_Toc567"/>
      <w:bookmarkStart w:id="91" w:name="_Toc7531"/>
      <w:r>
        <w:rPr>
          <w:rFonts w:hint="eastAsia" w:ascii="仿宋_GB2312" w:hAnsi="仿宋_GB2312" w:eastAsia="仿宋_GB2312" w:cs="仿宋_GB2312"/>
          <w:bCs/>
          <w:kern w:val="44"/>
          <w:sz w:val="32"/>
          <w:szCs w:val="32"/>
        </w:rPr>
        <w:t>资金使用合规性</w:t>
      </w:r>
      <w:bookmarkEnd w:id="89"/>
      <w:bookmarkEnd w:id="90"/>
      <w:bookmarkEnd w:id="91"/>
    </w:p>
    <w:p>
      <w:pPr>
        <w:ind w:firstLine="640" w:firstLineChars="200"/>
        <w:rPr>
          <w:rFonts w:ascii="仿宋_GB2312" w:hAnsi="仿宋_GB2312" w:eastAsia="仿宋_GB2312" w:cs="仿宋_GB2312"/>
          <w:kern w:val="44"/>
          <w:sz w:val="32"/>
          <w:szCs w:val="32"/>
        </w:rPr>
      </w:pPr>
      <w:r>
        <w:rPr>
          <w:rFonts w:ascii="仿宋_GB2312" w:hAnsi="仿宋_GB2312" w:eastAsia="仿宋_GB2312" w:cs="仿宋_GB2312"/>
          <w:kern w:val="44"/>
          <w:sz w:val="32"/>
          <w:szCs w:val="32"/>
        </w:rPr>
        <w:t>项目专项经费使用基本符合国家和本市财经法规，符合</w:t>
      </w:r>
      <w:r>
        <w:rPr>
          <w:rFonts w:hint="eastAsia" w:ascii="仿宋_GB2312" w:hAnsi="仿宋_GB2312" w:eastAsia="仿宋_GB2312" w:cs="仿宋_GB2312"/>
          <w:kern w:val="44"/>
          <w:sz w:val="32"/>
          <w:szCs w:val="32"/>
        </w:rPr>
        <w:t>知识产权法院</w:t>
      </w:r>
      <w:r>
        <w:rPr>
          <w:rFonts w:ascii="仿宋_GB2312" w:hAnsi="仿宋_GB2312" w:eastAsia="仿宋_GB2312" w:cs="仿宋_GB2312"/>
          <w:kern w:val="44"/>
          <w:sz w:val="32"/>
          <w:szCs w:val="32"/>
        </w:rPr>
        <w:t>财务内控规定；资金拨付有较完整的审批程序和手续，资金使用和项目规定的用途和内容相符</w:t>
      </w:r>
      <w:r>
        <w:rPr>
          <w:rFonts w:hint="eastAsia" w:ascii="仿宋_GB2312" w:hAnsi="仿宋_GB2312" w:eastAsia="仿宋_GB2312" w:cs="仿宋_GB2312"/>
          <w:kern w:val="44"/>
          <w:sz w:val="32"/>
          <w:szCs w:val="32"/>
        </w:rPr>
        <w:t>。该项指标权重分4分，根据评分规则评价得分4.00分。</w:t>
      </w:r>
      <w:r>
        <w:rPr>
          <w:rFonts w:ascii="仿宋_GB2312" w:hAnsi="仿宋_GB2312" w:eastAsia="仿宋_GB2312" w:cs="仿宋_GB2312"/>
          <w:kern w:val="44"/>
          <w:sz w:val="32"/>
          <w:szCs w:val="32"/>
        </w:rPr>
        <w:t xml:space="preserve">                                 </w:t>
      </w:r>
    </w:p>
    <w:p>
      <w:pPr>
        <w:numPr>
          <w:ilvl w:val="0"/>
          <w:numId w:val="7"/>
        </w:num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业务管理情况</w:t>
      </w:r>
    </w:p>
    <w:p>
      <w:pPr>
        <w:numPr>
          <w:ilvl w:val="2"/>
          <w:numId w:val="9"/>
        </w:numPr>
        <w:rPr>
          <w:rFonts w:ascii="仿宋_GB2312" w:hAnsi="仿宋_GB2312" w:eastAsia="仿宋_GB2312" w:cs="仿宋_GB2312"/>
          <w:bCs/>
          <w:kern w:val="0"/>
          <w:sz w:val="32"/>
          <w:szCs w:val="32"/>
        </w:rPr>
      </w:pPr>
      <w:bookmarkStart w:id="92" w:name="_Toc22748"/>
      <w:bookmarkStart w:id="93" w:name="_Toc31766"/>
      <w:bookmarkStart w:id="94" w:name="_Toc8558"/>
      <w:r>
        <w:rPr>
          <w:rFonts w:hint="eastAsia" w:ascii="仿宋_GB2312" w:hAnsi="仿宋_GB2312" w:eastAsia="仿宋_GB2312" w:cs="仿宋_GB2312"/>
          <w:bCs/>
          <w:kern w:val="0"/>
          <w:sz w:val="32"/>
          <w:szCs w:val="32"/>
        </w:rPr>
        <w:t>管理制度健全性</w:t>
      </w:r>
      <w:bookmarkEnd w:id="92"/>
      <w:bookmarkEnd w:id="93"/>
      <w:bookmarkEnd w:id="94"/>
    </w:p>
    <w:p>
      <w:pPr>
        <w:ind w:firstLine="640" w:firstLineChars="20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项目单位提供了《北京知识产权法院资金使用管理规定》、《北京知识产权法院预算管理办法》等相关的内控管理制度，管理制度基本合法、合规、健全。但有关司法送达服务项目的相关管理制度呈现不够充分。</w:t>
      </w:r>
      <w:r>
        <w:rPr>
          <w:rFonts w:ascii="仿宋_GB2312" w:hAnsi="仿宋_GB2312" w:eastAsia="仿宋_GB2312" w:cs="仿宋_GB2312"/>
          <w:kern w:val="44"/>
          <w:sz w:val="32"/>
          <w:szCs w:val="32"/>
        </w:rPr>
        <w:t>该项指标权重分</w:t>
      </w:r>
      <w:r>
        <w:rPr>
          <w:rFonts w:hint="eastAsia" w:ascii="仿宋_GB2312" w:hAnsi="仿宋_GB2312" w:eastAsia="仿宋_GB2312" w:cs="仿宋_GB2312"/>
          <w:kern w:val="44"/>
          <w:sz w:val="32"/>
          <w:szCs w:val="32"/>
        </w:rPr>
        <w:t>3</w:t>
      </w:r>
      <w:r>
        <w:rPr>
          <w:rFonts w:ascii="仿宋_GB2312" w:hAnsi="仿宋_GB2312" w:eastAsia="仿宋_GB2312" w:cs="仿宋_GB2312"/>
          <w:kern w:val="44"/>
          <w:sz w:val="32"/>
          <w:szCs w:val="32"/>
        </w:rPr>
        <w:t>分，根据评分规则评价得分</w:t>
      </w:r>
      <w:r>
        <w:rPr>
          <w:rFonts w:hint="eastAsia" w:ascii="仿宋_GB2312" w:hAnsi="仿宋_GB2312" w:eastAsia="仿宋_GB2312" w:cs="仿宋_GB2312"/>
          <w:kern w:val="44"/>
          <w:sz w:val="32"/>
          <w:szCs w:val="32"/>
        </w:rPr>
        <w:t>2.88</w:t>
      </w:r>
      <w:r>
        <w:rPr>
          <w:rFonts w:ascii="仿宋_GB2312" w:hAnsi="仿宋_GB2312" w:eastAsia="仿宋_GB2312" w:cs="仿宋_GB2312"/>
          <w:kern w:val="44"/>
          <w:sz w:val="32"/>
          <w:szCs w:val="32"/>
        </w:rPr>
        <w:t>分。</w:t>
      </w:r>
    </w:p>
    <w:p>
      <w:pPr>
        <w:numPr>
          <w:ilvl w:val="2"/>
          <w:numId w:val="9"/>
        </w:numPr>
        <w:rPr>
          <w:rFonts w:ascii="仿宋_GB2312" w:hAnsi="仿宋_GB2312" w:eastAsia="仿宋_GB2312" w:cs="仿宋_GB2312"/>
          <w:bCs/>
          <w:kern w:val="0"/>
          <w:sz w:val="32"/>
          <w:szCs w:val="32"/>
        </w:rPr>
      </w:pPr>
      <w:bookmarkStart w:id="95" w:name="_Toc8657"/>
      <w:bookmarkStart w:id="96" w:name="_Toc26951"/>
      <w:bookmarkStart w:id="97" w:name="_Toc23471"/>
      <w:r>
        <w:rPr>
          <w:rFonts w:hint="eastAsia" w:ascii="仿宋_GB2312" w:hAnsi="仿宋_GB2312" w:eastAsia="仿宋_GB2312" w:cs="仿宋_GB2312"/>
          <w:bCs/>
          <w:kern w:val="0"/>
          <w:sz w:val="32"/>
          <w:szCs w:val="32"/>
        </w:rPr>
        <w:t>制度执行有效性</w:t>
      </w:r>
      <w:bookmarkEnd w:id="95"/>
      <w:bookmarkEnd w:id="96"/>
      <w:bookmarkEnd w:id="97"/>
    </w:p>
    <w:p>
      <w:pPr>
        <w:ind w:firstLine="640" w:firstLineChars="20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项目的相关管理制度呈现的不够充分，合同的规范性不足。</w:t>
      </w:r>
      <w:r>
        <w:rPr>
          <w:rFonts w:hint="eastAsia" w:ascii="仿宋_GB2312" w:hAnsi="仿宋_GB2312" w:eastAsia="仿宋_GB2312" w:cs="仿宋_GB2312"/>
          <w:bCs/>
          <w:kern w:val="0"/>
          <w:sz w:val="32"/>
          <w:szCs w:val="32"/>
        </w:rPr>
        <w:t>未制定实施方案，管理程序未能完全</w:t>
      </w:r>
      <w:r>
        <w:rPr>
          <w:rFonts w:hint="eastAsia" w:ascii="仿宋_GB2312" w:hAnsi="仿宋_GB2312" w:eastAsia="仿宋_GB2312" w:cs="仿宋_GB2312"/>
          <w:kern w:val="44"/>
          <w:sz w:val="32"/>
          <w:szCs w:val="32"/>
        </w:rPr>
        <w:t>体现出项目实施主体对项目实施全过程进行有效管理。</w:t>
      </w:r>
      <w:r>
        <w:rPr>
          <w:rFonts w:ascii="仿宋_GB2312" w:hAnsi="仿宋_GB2312" w:eastAsia="仿宋_GB2312" w:cs="仿宋_GB2312"/>
          <w:kern w:val="44"/>
          <w:sz w:val="32"/>
          <w:szCs w:val="32"/>
        </w:rPr>
        <w:t>该项指标权重分</w:t>
      </w:r>
      <w:r>
        <w:rPr>
          <w:rFonts w:hint="eastAsia" w:ascii="仿宋_GB2312" w:hAnsi="仿宋_GB2312" w:eastAsia="仿宋_GB2312" w:cs="仿宋_GB2312"/>
          <w:kern w:val="44"/>
          <w:sz w:val="32"/>
          <w:szCs w:val="32"/>
        </w:rPr>
        <w:t>10</w:t>
      </w:r>
      <w:r>
        <w:rPr>
          <w:rFonts w:ascii="仿宋_GB2312" w:hAnsi="仿宋_GB2312" w:eastAsia="仿宋_GB2312" w:cs="仿宋_GB2312"/>
          <w:kern w:val="44"/>
          <w:sz w:val="32"/>
          <w:szCs w:val="32"/>
        </w:rPr>
        <w:t>分，根据评分规则评价得分</w:t>
      </w:r>
      <w:r>
        <w:rPr>
          <w:rFonts w:hint="eastAsia" w:ascii="仿宋_GB2312" w:hAnsi="仿宋_GB2312" w:eastAsia="仿宋_GB2312" w:cs="仿宋_GB2312"/>
          <w:kern w:val="44"/>
          <w:sz w:val="32"/>
          <w:szCs w:val="32"/>
        </w:rPr>
        <w:t>8.75</w:t>
      </w:r>
      <w:r>
        <w:rPr>
          <w:rFonts w:ascii="仿宋_GB2312" w:hAnsi="仿宋_GB2312" w:eastAsia="仿宋_GB2312" w:cs="仿宋_GB2312"/>
          <w:kern w:val="44"/>
          <w:sz w:val="32"/>
          <w:szCs w:val="32"/>
        </w:rPr>
        <w:t>分。</w:t>
      </w:r>
    </w:p>
    <w:p>
      <w:pPr>
        <w:numPr>
          <w:ilvl w:val="0"/>
          <w:numId w:val="5"/>
        </w:numPr>
        <w:spacing w:line="560" w:lineRule="exact"/>
        <w:outlineLvl w:val="1"/>
        <w:rPr>
          <w:rFonts w:ascii="楷体_GB2312" w:hAnsi="楷体_GB2312" w:eastAsia="楷体_GB2312" w:cs="楷体_GB2312"/>
          <w:bCs/>
          <w:sz w:val="32"/>
          <w:szCs w:val="32"/>
        </w:rPr>
      </w:pPr>
      <w:bookmarkStart w:id="98" w:name="_Toc968"/>
      <w:bookmarkStart w:id="99" w:name="_Toc5531"/>
      <w:bookmarkStart w:id="100" w:name="_Toc10416"/>
      <w:bookmarkStart w:id="101" w:name="_Toc13844"/>
      <w:bookmarkStart w:id="102" w:name="_Toc32517"/>
      <w:r>
        <w:rPr>
          <w:rFonts w:hint="eastAsia" w:ascii="楷体_GB2312" w:hAnsi="楷体_GB2312" w:eastAsia="楷体_GB2312" w:cs="楷体_GB2312"/>
          <w:bCs/>
          <w:sz w:val="32"/>
          <w:szCs w:val="32"/>
        </w:rPr>
        <w:t>项目产出评价分析</w:t>
      </w:r>
      <w:bookmarkEnd w:id="98"/>
      <w:bookmarkEnd w:id="99"/>
      <w:bookmarkEnd w:id="100"/>
      <w:bookmarkEnd w:id="101"/>
      <w:bookmarkEnd w:id="102"/>
    </w:p>
    <w:p>
      <w:pPr>
        <w:ind w:firstLine="640" w:firstLineChars="20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产出部分从产出数量、产出质量、产出时效和产出成本四个方面共四个三级指标对项目进行考察，产出类指标分值共计30分，本项目得分28.88分，得分率为96.25% ，具体得分情况如下表：</w:t>
      </w:r>
    </w:p>
    <w:tbl>
      <w:tblPr>
        <w:tblStyle w:val="18"/>
        <w:tblW w:w="8698" w:type="dxa"/>
        <w:tblInd w:w="93"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080"/>
        <w:gridCol w:w="3188"/>
        <w:gridCol w:w="1080"/>
        <w:gridCol w:w="1080"/>
        <w:gridCol w:w="1080"/>
        <w:gridCol w:w="1190"/>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trPr>
        <w:tc>
          <w:tcPr>
            <w:tcW w:w="1080"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序号</w:t>
            </w:r>
          </w:p>
        </w:tc>
        <w:tc>
          <w:tcPr>
            <w:tcW w:w="3188"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三级指标内容</w:t>
            </w:r>
          </w:p>
        </w:tc>
        <w:tc>
          <w:tcPr>
            <w:tcW w:w="1080"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权重</w:t>
            </w:r>
          </w:p>
        </w:tc>
        <w:tc>
          <w:tcPr>
            <w:tcW w:w="1080"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目标值</w:t>
            </w:r>
          </w:p>
        </w:tc>
        <w:tc>
          <w:tcPr>
            <w:tcW w:w="1080"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得分</w:t>
            </w:r>
          </w:p>
        </w:tc>
        <w:tc>
          <w:tcPr>
            <w:tcW w:w="1190"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得分率</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0" w:hRule="atLeast"/>
        </w:trPr>
        <w:tc>
          <w:tcPr>
            <w:tcW w:w="1080"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w:t>
            </w:r>
          </w:p>
        </w:tc>
        <w:tc>
          <w:tcPr>
            <w:tcW w:w="3188"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实际完成率</w:t>
            </w:r>
          </w:p>
        </w:tc>
        <w:tc>
          <w:tcPr>
            <w:tcW w:w="1080"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10</w:t>
            </w:r>
          </w:p>
        </w:tc>
        <w:tc>
          <w:tcPr>
            <w:tcW w:w="1080"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100%</w:t>
            </w:r>
          </w:p>
        </w:tc>
        <w:tc>
          <w:tcPr>
            <w:tcW w:w="1080"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9.75 </w:t>
            </w:r>
          </w:p>
        </w:tc>
        <w:tc>
          <w:tcPr>
            <w:tcW w:w="1190"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97.50%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0" w:hRule="atLeast"/>
        </w:trPr>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2</w:t>
            </w:r>
          </w:p>
        </w:tc>
        <w:tc>
          <w:tcPr>
            <w:tcW w:w="3188"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质量达标率</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10</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100%</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9.50 </w:t>
            </w:r>
          </w:p>
        </w:tc>
        <w:tc>
          <w:tcPr>
            <w:tcW w:w="119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95.00%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0" w:hRule="atLeast"/>
        </w:trPr>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3</w:t>
            </w:r>
          </w:p>
        </w:tc>
        <w:tc>
          <w:tcPr>
            <w:tcW w:w="3188"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完成及时性</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5</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及时</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4.63 </w:t>
            </w:r>
          </w:p>
        </w:tc>
        <w:tc>
          <w:tcPr>
            <w:tcW w:w="119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92.50%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0" w:hRule="atLeast"/>
        </w:trPr>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4</w:t>
            </w:r>
          </w:p>
        </w:tc>
        <w:tc>
          <w:tcPr>
            <w:tcW w:w="3188"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成本节约率</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5</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达标</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5.00 </w:t>
            </w:r>
          </w:p>
        </w:tc>
        <w:tc>
          <w:tcPr>
            <w:tcW w:w="119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100.00%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5" w:hRule="atLeast"/>
        </w:trPr>
        <w:tc>
          <w:tcPr>
            <w:tcW w:w="1080" w:type="dxa"/>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　</w:t>
            </w:r>
          </w:p>
        </w:tc>
        <w:tc>
          <w:tcPr>
            <w:tcW w:w="3188" w:type="dxa"/>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分值合计</w:t>
            </w:r>
          </w:p>
        </w:tc>
        <w:tc>
          <w:tcPr>
            <w:tcW w:w="1080" w:type="dxa"/>
            <w:shd w:val="clear" w:color="auto" w:fill="auto"/>
            <w:vAlign w:val="center"/>
          </w:tcPr>
          <w:p>
            <w:pPr>
              <w:widowControl/>
              <w:jc w:val="center"/>
              <w:rPr>
                <w:rFonts w:ascii="仿宋" w:hAnsi="仿宋" w:eastAsia="仿宋" w:cs="宋体"/>
                <w:b/>
                <w:bCs/>
                <w:color w:val="000000"/>
                <w:kern w:val="0"/>
                <w:sz w:val="24"/>
                <w:szCs w:val="24"/>
              </w:rPr>
            </w:pPr>
            <w:r>
              <w:rPr>
                <w:rFonts w:hint="eastAsia" w:ascii="仿宋" w:hAnsi="仿宋" w:eastAsia="仿宋" w:cs="宋体"/>
                <w:b/>
                <w:bCs/>
                <w:color w:val="000000"/>
                <w:kern w:val="0"/>
                <w:sz w:val="24"/>
                <w:szCs w:val="24"/>
              </w:rPr>
              <w:t>30</w:t>
            </w:r>
          </w:p>
        </w:tc>
        <w:tc>
          <w:tcPr>
            <w:tcW w:w="1080" w:type="dxa"/>
            <w:shd w:val="clear" w:color="auto" w:fill="auto"/>
            <w:vAlign w:val="center"/>
          </w:tcPr>
          <w:p>
            <w:pPr>
              <w:widowControl/>
              <w:jc w:val="center"/>
              <w:rPr>
                <w:rFonts w:ascii="仿宋" w:hAnsi="仿宋" w:eastAsia="仿宋" w:cs="宋体"/>
                <w:b/>
                <w:bCs/>
                <w:color w:val="000000"/>
                <w:kern w:val="0"/>
                <w:sz w:val="24"/>
                <w:szCs w:val="24"/>
              </w:rPr>
            </w:pPr>
          </w:p>
        </w:tc>
        <w:tc>
          <w:tcPr>
            <w:tcW w:w="1080" w:type="dxa"/>
            <w:shd w:val="clear" w:color="auto" w:fill="auto"/>
            <w:vAlign w:val="center"/>
          </w:tcPr>
          <w:p>
            <w:pPr>
              <w:widowControl/>
              <w:jc w:val="center"/>
              <w:rPr>
                <w:rFonts w:ascii="仿宋" w:hAnsi="仿宋" w:eastAsia="仿宋" w:cs="宋体"/>
                <w:b/>
                <w:bCs/>
                <w:color w:val="000000"/>
                <w:kern w:val="0"/>
                <w:sz w:val="24"/>
                <w:szCs w:val="24"/>
              </w:rPr>
            </w:pPr>
            <w:r>
              <w:rPr>
                <w:rFonts w:hint="eastAsia" w:ascii="仿宋" w:hAnsi="仿宋" w:eastAsia="仿宋" w:cs="宋体"/>
                <w:b/>
                <w:bCs/>
                <w:color w:val="000000"/>
                <w:kern w:val="0"/>
                <w:sz w:val="24"/>
                <w:szCs w:val="24"/>
              </w:rPr>
              <w:t xml:space="preserve">28.88 </w:t>
            </w:r>
          </w:p>
        </w:tc>
        <w:tc>
          <w:tcPr>
            <w:tcW w:w="1190" w:type="dxa"/>
            <w:shd w:val="clear" w:color="auto" w:fill="auto"/>
            <w:vAlign w:val="center"/>
          </w:tcPr>
          <w:p>
            <w:pPr>
              <w:widowControl/>
              <w:jc w:val="center"/>
              <w:rPr>
                <w:rFonts w:ascii="仿宋" w:hAnsi="仿宋" w:eastAsia="仿宋" w:cs="宋体"/>
                <w:b/>
                <w:bCs/>
                <w:color w:val="000000"/>
                <w:kern w:val="0"/>
                <w:sz w:val="24"/>
                <w:szCs w:val="24"/>
              </w:rPr>
            </w:pPr>
            <w:r>
              <w:rPr>
                <w:rFonts w:hint="eastAsia" w:ascii="仿宋" w:hAnsi="仿宋" w:eastAsia="仿宋" w:cs="宋体"/>
                <w:b/>
                <w:bCs/>
                <w:color w:val="000000"/>
                <w:kern w:val="0"/>
                <w:sz w:val="24"/>
                <w:szCs w:val="24"/>
              </w:rPr>
              <w:t>96.25%</w:t>
            </w:r>
          </w:p>
        </w:tc>
      </w:tr>
    </w:tbl>
    <w:p>
      <w:pPr>
        <w:numPr>
          <w:ilvl w:val="0"/>
          <w:numId w:val="10"/>
        </w:numPr>
        <w:spacing w:line="560" w:lineRule="exact"/>
        <w:ind w:firstLine="640" w:firstLineChars="200"/>
        <w:rPr>
          <w:rFonts w:ascii="仿宋_GB2312" w:hAnsi="仿宋_GB2312" w:eastAsia="仿宋_GB2312" w:cs="仿宋_GB2312"/>
          <w:bCs/>
          <w:sz w:val="32"/>
          <w:szCs w:val="32"/>
        </w:rPr>
      </w:pPr>
      <w:bookmarkStart w:id="103" w:name="_Toc23579"/>
      <w:bookmarkStart w:id="104" w:name="_Toc30363"/>
      <w:bookmarkStart w:id="105" w:name="_Toc12068"/>
      <w:bookmarkStart w:id="106" w:name="_Toc5885"/>
      <w:bookmarkStart w:id="107" w:name="_Toc25502"/>
      <w:bookmarkStart w:id="108" w:name="_Toc371"/>
      <w:r>
        <w:rPr>
          <w:rFonts w:hint="eastAsia" w:ascii="仿宋_GB2312" w:hAnsi="仿宋_GB2312" w:eastAsia="仿宋_GB2312" w:cs="仿宋_GB2312"/>
          <w:bCs/>
          <w:sz w:val="32"/>
          <w:szCs w:val="32"/>
        </w:rPr>
        <w:t>项目完成数量</w:t>
      </w:r>
      <w:bookmarkEnd w:id="103"/>
      <w:bookmarkEnd w:id="104"/>
      <w:bookmarkEnd w:id="105"/>
      <w:bookmarkEnd w:id="106"/>
      <w:bookmarkEnd w:id="107"/>
      <w:bookmarkEnd w:id="108"/>
    </w:p>
    <w:p>
      <w:pPr>
        <w:ind w:firstLine="640" w:firstLineChars="20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项目绩效成果的呈现不够充分，实际完成量的统计和指标设定之间不够匹配。该项指标权重10分，根据评分规则评价得分9.75分。</w:t>
      </w:r>
    </w:p>
    <w:p>
      <w:pPr>
        <w:numPr>
          <w:ilvl w:val="0"/>
          <w:numId w:val="10"/>
        </w:numPr>
        <w:spacing w:line="560" w:lineRule="exact"/>
        <w:ind w:firstLine="640" w:firstLineChars="200"/>
        <w:rPr>
          <w:rFonts w:ascii="仿宋_GB2312" w:hAnsi="仿宋_GB2312" w:eastAsia="仿宋_GB2312" w:cs="仿宋_GB2312"/>
          <w:bCs/>
          <w:sz w:val="32"/>
          <w:szCs w:val="32"/>
        </w:rPr>
      </w:pPr>
      <w:bookmarkStart w:id="109" w:name="_Toc384"/>
      <w:bookmarkStart w:id="110" w:name="_Toc29327"/>
      <w:bookmarkStart w:id="111" w:name="_Toc7442"/>
      <w:bookmarkStart w:id="112" w:name="_Toc27027"/>
      <w:r>
        <w:rPr>
          <w:rFonts w:hint="eastAsia" w:ascii="仿宋_GB2312" w:hAnsi="仿宋_GB2312" w:eastAsia="仿宋_GB2312" w:cs="仿宋_GB2312"/>
          <w:bCs/>
          <w:sz w:val="32"/>
          <w:szCs w:val="32"/>
        </w:rPr>
        <w:t>项目效率性分析</w:t>
      </w:r>
      <w:bookmarkEnd w:id="109"/>
      <w:bookmarkEnd w:id="110"/>
      <w:bookmarkEnd w:id="111"/>
      <w:bookmarkEnd w:id="112"/>
    </w:p>
    <w:p>
      <w:pPr>
        <w:ind w:firstLine="640" w:firstLineChars="200"/>
        <w:rPr>
          <w:rFonts w:ascii="仿宋_GB2312" w:hAnsi="仿宋_GB2312" w:eastAsia="仿宋_GB2312" w:cs="仿宋_GB2312"/>
          <w:bCs/>
          <w:kern w:val="44"/>
          <w:sz w:val="32"/>
          <w:szCs w:val="32"/>
        </w:rPr>
      </w:pPr>
      <w:r>
        <w:rPr>
          <w:rFonts w:hint="eastAsia" w:ascii="仿宋_GB2312" w:hAnsi="仿宋_GB2312" w:eastAsia="仿宋_GB2312" w:cs="仿宋_GB2312"/>
          <w:bCs/>
          <w:kern w:val="44"/>
          <w:sz w:val="32"/>
          <w:szCs w:val="32"/>
        </w:rPr>
        <w:t>（1）项目完成质量</w:t>
      </w:r>
    </w:p>
    <w:p>
      <w:pPr>
        <w:ind w:firstLine="640" w:firstLineChars="20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质量标准不够明确，验收报告显示，司法送达的准确率为98%。该项指标权重10分，根据评分规则评价得分9.50分。</w:t>
      </w:r>
    </w:p>
    <w:p>
      <w:pPr>
        <w:ind w:firstLine="729" w:firstLineChars="228"/>
        <w:rPr>
          <w:rFonts w:ascii="仿宋_GB2312" w:hAnsi="仿宋_GB2312" w:eastAsia="仿宋_GB2312" w:cs="仿宋_GB2312"/>
          <w:bCs/>
          <w:kern w:val="44"/>
          <w:sz w:val="32"/>
          <w:szCs w:val="32"/>
        </w:rPr>
      </w:pPr>
      <w:r>
        <w:rPr>
          <w:rFonts w:hint="eastAsia" w:ascii="仿宋_GB2312" w:hAnsi="仿宋_GB2312" w:eastAsia="仿宋_GB2312" w:cs="仿宋_GB2312"/>
          <w:bCs/>
          <w:kern w:val="44"/>
          <w:sz w:val="32"/>
          <w:szCs w:val="32"/>
        </w:rPr>
        <w:t>（2）项目的实施进度</w:t>
      </w:r>
    </w:p>
    <w:p>
      <w:pPr>
        <w:ind w:firstLine="640" w:firstLineChars="20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项目在年度内按计划完成，统计表显示按时送达8075件，按时送达率为98%。</w:t>
      </w:r>
      <w:r>
        <w:rPr>
          <w:rFonts w:ascii="仿宋_GB2312" w:hAnsi="仿宋_GB2312" w:eastAsia="仿宋_GB2312" w:cs="仿宋_GB2312"/>
          <w:kern w:val="44"/>
          <w:sz w:val="32"/>
          <w:szCs w:val="32"/>
        </w:rPr>
        <w:t>该项指标权重5分，根据评分规则评价得分</w:t>
      </w:r>
      <w:r>
        <w:rPr>
          <w:rFonts w:hint="eastAsia" w:ascii="仿宋_GB2312" w:hAnsi="仿宋_GB2312" w:eastAsia="仿宋_GB2312" w:cs="仿宋_GB2312"/>
          <w:kern w:val="44"/>
          <w:sz w:val="32"/>
          <w:szCs w:val="32"/>
        </w:rPr>
        <w:t>4.63</w:t>
      </w:r>
      <w:r>
        <w:rPr>
          <w:rFonts w:ascii="仿宋_GB2312" w:hAnsi="仿宋_GB2312" w:eastAsia="仿宋_GB2312" w:cs="仿宋_GB2312"/>
          <w:kern w:val="44"/>
          <w:sz w:val="32"/>
          <w:szCs w:val="32"/>
        </w:rPr>
        <w:t>分。</w:t>
      </w:r>
    </w:p>
    <w:p>
      <w:pPr>
        <w:numPr>
          <w:ilvl w:val="0"/>
          <w:numId w:val="10"/>
        </w:numPr>
        <w:spacing w:line="560" w:lineRule="exact"/>
        <w:ind w:firstLine="640" w:firstLineChars="200"/>
        <w:rPr>
          <w:rFonts w:ascii="仿宋_GB2312" w:hAnsi="仿宋_GB2312" w:eastAsia="仿宋_GB2312" w:cs="仿宋_GB2312"/>
          <w:bCs/>
          <w:sz w:val="32"/>
          <w:szCs w:val="32"/>
        </w:rPr>
      </w:pPr>
      <w:bookmarkStart w:id="113" w:name="_Toc18244"/>
      <w:bookmarkStart w:id="114" w:name="_Toc1484"/>
      <w:bookmarkStart w:id="115" w:name="_Toc4559"/>
      <w:bookmarkStart w:id="116" w:name="_Toc32143"/>
      <w:bookmarkStart w:id="117" w:name="_Toc25211"/>
      <w:bookmarkStart w:id="118" w:name="_Toc14040"/>
      <w:r>
        <w:rPr>
          <w:rFonts w:hint="eastAsia" w:ascii="仿宋_GB2312" w:hAnsi="仿宋_GB2312" w:eastAsia="仿宋_GB2312" w:cs="仿宋_GB2312"/>
          <w:bCs/>
          <w:sz w:val="32"/>
          <w:szCs w:val="32"/>
        </w:rPr>
        <w:t>项目产出成本</w:t>
      </w:r>
      <w:bookmarkEnd w:id="113"/>
      <w:bookmarkEnd w:id="114"/>
      <w:r>
        <w:rPr>
          <w:rFonts w:hint="eastAsia" w:ascii="仿宋_GB2312" w:hAnsi="仿宋_GB2312" w:eastAsia="仿宋_GB2312" w:cs="仿宋_GB2312"/>
          <w:bCs/>
          <w:sz w:val="32"/>
          <w:szCs w:val="32"/>
        </w:rPr>
        <w:t>节约率</w:t>
      </w:r>
      <w:bookmarkEnd w:id="115"/>
      <w:bookmarkEnd w:id="116"/>
      <w:bookmarkEnd w:id="117"/>
      <w:bookmarkEnd w:id="118"/>
    </w:p>
    <w:p>
      <w:pPr>
        <w:ind w:firstLine="640" w:firstLineChars="200"/>
        <w:rPr>
          <w:rFonts w:ascii="仿宋_GB2312" w:hAnsi="仿宋_GB2312" w:eastAsia="仿宋_GB2312" w:cs="仿宋_GB2312"/>
          <w:kern w:val="44"/>
          <w:sz w:val="30"/>
          <w:szCs w:val="30"/>
        </w:rPr>
      </w:pPr>
      <w:r>
        <w:rPr>
          <w:rFonts w:hint="eastAsia" w:ascii="仿宋_GB2312" w:hAnsi="仿宋_GB2312" w:eastAsia="仿宋_GB2312" w:cs="仿宋_GB2312"/>
          <w:kern w:val="44"/>
          <w:sz w:val="32"/>
          <w:szCs w:val="32"/>
        </w:rPr>
        <w:t>2022年批复项目资金</w:t>
      </w:r>
      <w:r>
        <w:rPr>
          <w:rFonts w:hint="eastAsia" w:ascii="仿宋_GB2312" w:hAnsi="仿宋" w:eastAsia="仿宋_GB2312" w:cs="Times New Roman"/>
          <w:kern w:val="0"/>
          <w:sz w:val="32"/>
          <w:szCs w:val="32"/>
          <w:lang w:bidi="en-US"/>
        </w:rPr>
        <w:t>192万</w:t>
      </w:r>
      <w:r>
        <w:rPr>
          <w:rFonts w:hint="eastAsia" w:ascii="仿宋_GB2312" w:hAnsi="仿宋_GB2312" w:eastAsia="仿宋_GB2312" w:cs="仿宋_GB2312"/>
          <w:kern w:val="44"/>
          <w:sz w:val="32"/>
          <w:szCs w:val="32"/>
        </w:rPr>
        <w:t>元，截至2022年12月31日</w:t>
      </w:r>
      <w:r>
        <w:rPr>
          <w:rFonts w:hint="eastAsia" w:ascii="仿宋_GB2312" w:hAnsi="仿宋" w:eastAsia="仿宋_GB2312" w:cs="Times New Roman"/>
          <w:kern w:val="0"/>
          <w:sz w:val="32"/>
          <w:szCs w:val="32"/>
          <w:lang w:bidi="en-US"/>
        </w:rPr>
        <w:t>已实际支付资金191.52万元，结余资金0.48万元</w:t>
      </w:r>
      <w:r>
        <w:rPr>
          <w:rFonts w:hint="eastAsia" w:ascii="仿宋_GB2312" w:hAnsi="仿宋_GB2312" w:eastAsia="仿宋_GB2312" w:cs="仿宋_GB2312"/>
          <w:kern w:val="44"/>
          <w:sz w:val="32"/>
          <w:szCs w:val="32"/>
        </w:rPr>
        <w:t>，资金节约率为0.25%。该项指标权重分5分，根据评分规则评价得分5.00分。</w:t>
      </w:r>
    </w:p>
    <w:p>
      <w:pPr>
        <w:numPr>
          <w:ilvl w:val="0"/>
          <w:numId w:val="5"/>
        </w:numPr>
        <w:spacing w:line="560" w:lineRule="exact"/>
        <w:outlineLvl w:val="1"/>
        <w:rPr>
          <w:rFonts w:ascii="楷体_GB2312" w:hAnsi="楷体_GB2312" w:eastAsia="楷体_GB2312" w:cs="楷体_GB2312"/>
          <w:bCs/>
          <w:sz w:val="32"/>
          <w:szCs w:val="32"/>
        </w:rPr>
      </w:pPr>
      <w:bookmarkStart w:id="119" w:name="_Toc10930"/>
      <w:bookmarkStart w:id="120" w:name="_Toc24895"/>
      <w:bookmarkStart w:id="121" w:name="_Toc26692"/>
      <w:bookmarkStart w:id="122" w:name="_Toc27826"/>
      <w:bookmarkStart w:id="123" w:name="_Toc31644"/>
      <w:r>
        <w:rPr>
          <w:rFonts w:hint="eastAsia" w:ascii="楷体_GB2312" w:hAnsi="楷体_GB2312" w:eastAsia="楷体_GB2312" w:cs="楷体_GB2312"/>
          <w:bCs/>
          <w:sz w:val="32"/>
          <w:szCs w:val="32"/>
        </w:rPr>
        <w:t>项目效益性分析</w:t>
      </w:r>
      <w:bookmarkEnd w:id="119"/>
      <w:bookmarkEnd w:id="120"/>
      <w:bookmarkEnd w:id="121"/>
      <w:bookmarkEnd w:id="122"/>
      <w:bookmarkEnd w:id="123"/>
    </w:p>
    <w:p>
      <w:pPr>
        <w:ind w:firstLine="640" w:firstLineChars="20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效益部分从实施效益和服务对象满意度两个方面两个三级指标对项目进行考察，其中实施效益包括经济、社会和可持续影响，效益类指标共计30分，本项目实际得分25.75分，得分率85.83%。各指标的实际得分情况如下表：</w:t>
      </w:r>
    </w:p>
    <w:tbl>
      <w:tblPr>
        <w:tblStyle w:val="18"/>
        <w:tblW w:w="8379" w:type="dxa"/>
        <w:tblInd w:w="93"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080"/>
        <w:gridCol w:w="2763"/>
        <w:gridCol w:w="1080"/>
        <w:gridCol w:w="1080"/>
        <w:gridCol w:w="1080"/>
        <w:gridCol w:w="1296"/>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trPr>
        <w:tc>
          <w:tcPr>
            <w:tcW w:w="1080"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序号</w:t>
            </w:r>
          </w:p>
        </w:tc>
        <w:tc>
          <w:tcPr>
            <w:tcW w:w="2763"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三级指标内容</w:t>
            </w:r>
          </w:p>
        </w:tc>
        <w:tc>
          <w:tcPr>
            <w:tcW w:w="1080"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权重</w:t>
            </w:r>
          </w:p>
        </w:tc>
        <w:tc>
          <w:tcPr>
            <w:tcW w:w="1080"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目标值</w:t>
            </w:r>
          </w:p>
        </w:tc>
        <w:tc>
          <w:tcPr>
            <w:tcW w:w="1080"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得分</w:t>
            </w:r>
          </w:p>
        </w:tc>
        <w:tc>
          <w:tcPr>
            <w:tcW w:w="1296"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得分率</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0" w:hRule="atLeast"/>
        </w:trPr>
        <w:tc>
          <w:tcPr>
            <w:tcW w:w="1080"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w:t>
            </w:r>
          </w:p>
        </w:tc>
        <w:tc>
          <w:tcPr>
            <w:tcW w:w="2763"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实施效益</w:t>
            </w:r>
          </w:p>
        </w:tc>
        <w:tc>
          <w:tcPr>
            <w:tcW w:w="1080"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20</w:t>
            </w:r>
          </w:p>
        </w:tc>
        <w:tc>
          <w:tcPr>
            <w:tcW w:w="1080"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100%</w:t>
            </w:r>
          </w:p>
        </w:tc>
        <w:tc>
          <w:tcPr>
            <w:tcW w:w="1080"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17.63 </w:t>
            </w:r>
          </w:p>
        </w:tc>
        <w:tc>
          <w:tcPr>
            <w:tcW w:w="1296"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88.13%</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0" w:hRule="atLeast"/>
        </w:trPr>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2</w:t>
            </w:r>
          </w:p>
        </w:tc>
        <w:tc>
          <w:tcPr>
            <w:tcW w:w="2763"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满意度</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10</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100%</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8.13 </w:t>
            </w:r>
          </w:p>
        </w:tc>
        <w:tc>
          <w:tcPr>
            <w:tcW w:w="1296"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81.25%</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5" w:hRule="atLeast"/>
        </w:trPr>
        <w:tc>
          <w:tcPr>
            <w:tcW w:w="1080" w:type="dxa"/>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　</w:t>
            </w:r>
          </w:p>
        </w:tc>
        <w:tc>
          <w:tcPr>
            <w:tcW w:w="2763" w:type="dxa"/>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分值合计</w:t>
            </w:r>
          </w:p>
        </w:tc>
        <w:tc>
          <w:tcPr>
            <w:tcW w:w="1080" w:type="dxa"/>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30</w:t>
            </w:r>
          </w:p>
        </w:tc>
        <w:tc>
          <w:tcPr>
            <w:tcW w:w="1080" w:type="dxa"/>
            <w:shd w:val="clear" w:color="auto" w:fill="auto"/>
            <w:vAlign w:val="center"/>
          </w:tcPr>
          <w:p>
            <w:pPr>
              <w:widowControl/>
              <w:rPr>
                <w:rFonts w:ascii="仿宋" w:hAnsi="仿宋" w:eastAsia="仿宋" w:cs="宋体"/>
                <w:b/>
                <w:color w:val="000000"/>
                <w:kern w:val="0"/>
                <w:sz w:val="24"/>
                <w:szCs w:val="24"/>
              </w:rPr>
            </w:pPr>
            <w:r>
              <w:rPr>
                <w:rFonts w:hint="eastAsia" w:ascii="仿宋" w:hAnsi="仿宋" w:eastAsia="仿宋" w:cs="宋体"/>
                <w:b/>
                <w:color w:val="000000"/>
                <w:kern w:val="0"/>
                <w:sz w:val="24"/>
                <w:szCs w:val="24"/>
              </w:rPr>
              <w:t>　</w:t>
            </w:r>
          </w:p>
        </w:tc>
        <w:tc>
          <w:tcPr>
            <w:tcW w:w="1080" w:type="dxa"/>
            <w:shd w:val="clear" w:color="auto" w:fill="auto"/>
            <w:vAlign w:val="center"/>
          </w:tcPr>
          <w:p>
            <w:pPr>
              <w:widowControl/>
              <w:jc w:val="center"/>
              <w:rPr>
                <w:rFonts w:ascii="仿宋" w:hAnsi="仿宋" w:eastAsia="仿宋" w:cs="宋体"/>
                <w:b/>
                <w:bCs/>
                <w:color w:val="000000"/>
                <w:kern w:val="0"/>
                <w:sz w:val="24"/>
                <w:szCs w:val="24"/>
              </w:rPr>
            </w:pPr>
            <w:r>
              <w:rPr>
                <w:rFonts w:hint="eastAsia" w:ascii="仿宋" w:hAnsi="仿宋" w:eastAsia="仿宋" w:cs="宋体"/>
                <w:b/>
                <w:bCs/>
                <w:color w:val="000000"/>
                <w:kern w:val="0"/>
                <w:sz w:val="24"/>
                <w:szCs w:val="24"/>
              </w:rPr>
              <w:t xml:space="preserve">25.75 </w:t>
            </w:r>
          </w:p>
        </w:tc>
        <w:tc>
          <w:tcPr>
            <w:tcW w:w="1296" w:type="dxa"/>
            <w:shd w:val="clear" w:color="auto" w:fill="auto"/>
            <w:vAlign w:val="center"/>
          </w:tcPr>
          <w:p>
            <w:pPr>
              <w:widowControl/>
              <w:jc w:val="center"/>
              <w:rPr>
                <w:rFonts w:ascii="仿宋" w:hAnsi="仿宋" w:eastAsia="仿宋" w:cs="宋体"/>
                <w:b/>
                <w:bCs/>
                <w:color w:val="000000"/>
                <w:kern w:val="0"/>
                <w:sz w:val="24"/>
                <w:szCs w:val="24"/>
              </w:rPr>
            </w:pPr>
            <w:r>
              <w:rPr>
                <w:rFonts w:hint="eastAsia" w:ascii="仿宋" w:hAnsi="仿宋" w:eastAsia="仿宋" w:cs="宋体"/>
                <w:b/>
                <w:bCs/>
                <w:color w:val="000000"/>
                <w:kern w:val="0"/>
                <w:sz w:val="24"/>
                <w:szCs w:val="24"/>
              </w:rPr>
              <w:t>85.83%</w:t>
            </w:r>
          </w:p>
        </w:tc>
      </w:tr>
    </w:tbl>
    <w:p>
      <w:pPr>
        <w:rPr>
          <w:rFonts w:ascii="宋体" w:hAnsi="宋体" w:eastAsia="宋体" w:cs="仿宋_GB2312"/>
          <w:b/>
          <w:kern w:val="44"/>
          <w:szCs w:val="21"/>
        </w:rPr>
      </w:pPr>
    </w:p>
    <w:p>
      <w:pPr>
        <w:numPr>
          <w:ilvl w:val="0"/>
          <w:numId w:val="11"/>
        </w:numPr>
        <w:spacing w:line="560" w:lineRule="exact"/>
        <w:ind w:firstLine="640" w:firstLineChars="200"/>
        <w:rPr>
          <w:rFonts w:ascii="仿宋_GB2312" w:hAnsi="仿宋_GB2312" w:eastAsia="仿宋_GB2312" w:cs="仿宋_GB2312"/>
          <w:bCs/>
          <w:sz w:val="32"/>
          <w:szCs w:val="32"/>
        </w:rPr>
      </w:pPr>
      <w:bookmarkStart w:id="124" w:name="_Toc11656"/>
      <w:bookmarkStart w:id="125" w:name="_Toc8883"/>
      <w:bookmarkStart w:id="126" w:name="_Toc23857"/>
      <w:r>
        <w:rPr>
          <w:rFonts w:hint="eastAsia" w:ascii="仿宋_GB2312" w:hAnsi="仿宋_GB2312" w:eastAsia="仿宋_GB2312" w:cs="仿宋_GB2312"/>
          <w:bCs/>
          <w:sz w:val="32"/>
          <w:szCs w:val="32"/>
        </w:rPr>
        <w:t>实施效益</w:t>
      </w:r>
      <w:bookmarkEnd w:id="124"/>
      <w:bookmarkEnd w:id="125"/>
      <w:bookmarkEnd w:id="126"/>
    </w:p>
    <w:p>
      <w:pPr>
        <w:numPr>
          <w:ilvl w:val="0"/>
          <w:numId w:val="12"/>
        </w:numPr>
        <w:ind w:firstLine="640" w:firstLineChars="20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项目实施对经济和社会的影响</w:t>
      </w:r>
    </w:p>
    <w:p>
      <w:pPr>
        <w:ind w:firstLine="640" w:firstLineChars="20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提升案件送达效率和质量，规范证据交换、公告送达缓解审判团队压力，为公众提供更加专业优质的法律服务，但项目经济和社会效益支撑信息不够充分。该项指标权重分10分，根据评分规则评价得分8.63分。</w:t>
      </w:r>
    </w:p>
    <w:p>
      <w:pPr>
        <w:numPr>
          <w:ilvl w:val="0"/>
          <w:numId w:val="12"/>
        </w:numPr>
        <w:ind w:firstLine="640" w:firstLineChars="20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项目可持续影响</w:t>
      </w:r>
    </w:p>
    <w:p>
      <w:pPr>
        <w:ind w:firstLine="640" w:firstLineChars="20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项目为保障延续性项目，案件送达流程和案件信息库得到细化完善，对知识产权法院提高工作效率产生积极的可持续影响，但可持续影响指标设置不够明确，相关支撑信息不够充分。该项指标权重分10分，根据评分规则评价得分9.00分。</w:t>
      </w:r>
    </w:p>
    <w:p>
      <w:pPr>
        <w:numPr>
          <w:ilvl w:val="0"/>
          <w:numId w:val="11"/>
        </w:numPr>
        <w:spacing w:line="560" w:lineRule="exact"/>
        <w:ind w:firstLine="640" w:firstLineChars="200"/>
        <w:rPr>
          <w:rFonts w:ascii="仿宋_GB2312" w:hAnsi="仿宋_GB2312" w:eastAsia="仿宋_GB2312" w:cs="仿宋_GB2312"/>
          <w:bCs/>
          <w:sz w:val="32"/>
          <w:szCs w:val="32"/>
        </w:rPr>
      </w:pPr>
      <w:bookmarkStart w:id="127" w:name="_Toc5403"/>
      <w:bookmarkStart w:id="128" w:name="_Toc19554"/>
      <w:bookmarkStart w:id="129" w:name="_Toc22456"/>
      <w:r>
        <w:rPr>
          <w:rFonts w:hint="eastAsia" w:ascii="仿宋_GB2312" w:hAnsi="仿宋_GB2312" w:eastAsia="仿宋_GB2312" w:cs="仿宋_GB2312"/>
          <w:bCs/>
          <w:sz w:val="32"/>
          <w:szCs w:val="32"/>
        </w:rPr>
        <w:t>服务对象满意度</w:t>
      </w:r>
      <w:bookmarkEnd w:id="127"/>
      <w:bookmarkEnd w:id="128"/>
      <w:bookmarkEnd w:id="129"/>
    </w:p>
    <w:p>
      <w:pPr>
        <w:ind w:firstLine="56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调查问卷样本量为22个，数量较少，且满意度调查内容简单、空泛，满意度调查和分析不足。</w:t>
      </w:r>
      <w:r>
        <w:rPr>
          <w:rFonts w:ascii="仿宋_GB2312" w:hAnsi="仿宋_GB2312" w:eastAsia="仿宋_GB2312" w:cs="仿宋_GB2312"/>
          <w:kern w:val="44"/>
          <w:sz w:val="32"/>
          <w:szCs w:val="32"/>
        </w:rPr>
        <w:t>该项指标权重分</w:t>
      </w:r>
      <w:r>
        <w:rPr>
          <w:rFonts w:hint="eastAsia" w:ascii="仿宋_GB2312" w:hAnsi="仿宋_GB2312" w:eastAsia="仿宋_GB2312" w:cs="仿宋_GB2312"/>
          <w:kern w:val="44"/>
          <w:sz w:val="32"/>
          <w:szCs w:val="32"/>
        </w:rPr>
        <w:t>10</w:t>
      </w:r>
      <w:r>
        <w:rPr>
          <w:rFonts w:ascii="仿宋_GB2312" w:hAnsi="仿宋_GB2312" w:eastAsia="仿宋_GB2312" w:cs="仿宋_GB2312"/>
          <w:kern w:val="44"/>
          <w:sz w:val="32"/>
          <w:szCs w:val="32"/>
        </w:rPr>
        <w:t>分，根据评分规则评价得分</w:t>
      </w:r>
      <w:r>
        <w:rPr>
          <w:rFonts w:hint="eastAsia" w:ascii="仿宋_GB2312" w:hAnsi="仿宋_GB2312" w:eastAsia="仿宋_GB2312" w:cs="仿宋_GB2312"/>
          <w:kern w:val="44"/>
          <w:sz w:val="32"/>
          <w:szCs w:val="32"/>
        </w:rPr>
        <w:t>8.13</w:t>
      </w:r>
      <w:r>
        <w:rPr>
          <w:rFonts w:ascii="仿宋_GB2312" w:hAnsi="仿宋_GB2312" w:eastAsia="仿宋_GB2312" w:cs="仿宋_GB2312"/>
          <w:kern w:val="44"/>
          <w:sz w:val="32"/>
          <w:szCs w:val="32"/>
        </w:rPr>
        <w:t>分。</w:t>
      </w:r>
    </w:p>
    <w:bookmarkEnd w:id="65"/>
    <w:p>
      <w:pPr>
        <w:pStyle w:val="2"/>
        <w:keepNext w:val="0"/>
        <w:keepLines w:val="0"/>
        <w:widowControl/>
        <w:numPr>
          <w:ilvl w:val="0"/>
          <w:numId w:val="1"/>
        </w:numPr>
        <w:spacing w:before="0" w:after="0" w:line="520" w:lineRule="atLeast"/>
        <w:contextualSpacing/>
        <w:jc w:val="left"/>
        <w:rPr>
          <w:rFonts w:ascii="黑体" w:hAnsi="黑体" w:eastAsia="黑体" w:cs="黑体"/>
          <w:b w:val="0"/>
          <w:kern w:val="0"/>
          <w:sz w:val="32"/>
          <w:szCs w:val="32"/>
          <w:lang w:bidi="en-US"/>
        </w:rPr>
      </w:pPr>
      <w:bookmarkStart w:id="130" w:name="_Toc30795"/>
      <w:bookmarkStart w:id="131" w:name="_Toc22750"/>
      <w:bookmarkStart w:id="132" w:name="_Toc29005"/>
      <w:bookmarkStart w:id="133" w:name="_Toc15272"/>
      <w:bookmarkStart w:id="134" w:name="_Toc516663580"/>
      <w:bookmarkStart w:id="135" w:name="_Toc9678"/>
      <w:r>
        <w:rPr>
          <w:rFonts w:hint="eastAsia" w:ascii="黑体" w:hAnsi="黑体" w:eastAsia="黑体" w:cs="黑体"/>
          <w:b w:val="0"/>
          <w:kern w:val="0"/>
          <w:sz w:val="32"/>
          <w:szCs w:val="32"/>
          <w:lang w:bidi="en-US"/>
        </w:rPr>
        <w:t>存在的主要问题</w:t>
      </w:r>
      <w:bookmarkEnd w:id="130"/>
      <w:bookmarkEnd w:id="131"/>
      <w:bookmarkEnd w:id="132"/>
      <w:bookmarkEnd w:id="133"/>
      <w:bookmarkEnd w:id="134"/>
      <w:bookmarkEnd w:id="135"/>
    </w:p>
    <w:p>
      <w:pPr>
        <w:numPr>
          <w:ilvl w:val="0"/>
          <w:numId w:val="13"/>
        </w:numPr>
        <w:spacing w:line="560" w:lineRule="exact"/>
        <w:outlineLvl w:val="1"/>
        <w:rPr>
          <w:rFonts w:ascii="楷体_GB2312" w:hAnsi="楷体_GB2312" w:eastAsia="楷体_GB2312" w:cs="楷体_GB2312"/>
          <w:bCs/>
          <w:sz w:val="32"/>
          <w:szCs w:val="32"/>
        </w:rPr>
      </w:pPr>
      <w:bookmarkStart w:id="136" w:name="_Toc15285"/>
      <w:bookmarkStart w:id="137" w:name="_Toc14536"/>
      <w:bookmarkStart w:id="138" w:name="_Toc31070"/>
      <w:bookmarkStart w:id="139" w:name="_Toc12919"/>
      <w:r>
        <w:rPr>
          <w:rFonts w:hint="eastAsia" w:ascii="楷体_GB2312" w:hAnsi="楷体_GB2312" w:eastAsia="楷体_GB2312" w:cs="楷体_GB2312"/>
          <w:bCs/>
          <w:sz w:val="32"/>
          <w:szCs w:val="32"/>
        </w:rPr>
        <w:t>项目决策方面</w:t>
      </w:r>
      <w:bookmarkEnd w:id="136"/>
      <w:bookmarkEnd w:id="137"/>
      <w:bookmarkEnd w:id="138"/>
      <w:bookmarkEnd w:id="139"/>
    </w:p>
    <w:p>
      <w:pPr>
        <w:ind w:firstLine="56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1.项目的顶层设计不够充分和明确</w:t>
      </w:r>
    </w:p>
    <w:p>
      <w:pPr>
        <w:ind w:firstLine="56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本项目始于2017年，未见相关服务外包的中长期计划和发展规划；2022年作为延续性项目，部门年度工作思路、目标不够清晰，指导项目实施的顶层设计、规划不够明确。</w:t>
      </w:r>
    </w:p>
    <w:p>
      <w:pPr>
        <w:ind w:firstLine="56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2.项目绩效目标和指标设定不够准确和明确</w:t>
      </w:r>
    </w:p>
    <w:p>
      <w:pPr>
        <w:ind w:firstLine="56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绩效指标中质量指标为“达到案件送达标准大于等于98%”，对于完成本项目的具体质量要求如及时率、准确率等要求未在质量指标中予以明确，指标设定不够明确。未设定社会效益指标，项目的社会属性未以指标形式予以呈现。</w:t>
      </w:r>
    </w:p>
    <w:p>
      <w:pPr>
        <w:ind w:firstLine="56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3.预算编制科学性不足</w:t>
      </w:r>
    </w:p>
    <w:p>
      <w:pPr>
        <w:ind w:firstLine="56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预算编制不够细化，项目预算申报的192万元的编制依据不够明晰，预算测算信息不足，未明确各项工作量和标准的细化内容。</w:t>
      </w:r>
    </w:p>
    <w:p>
      <w:pPr>
        <w:numPr>
          <w:ilvl w:val="0"/>
          <w:numId w:val="13"/>
        </w:numPr>
        <w:spacing w:line="560" w:lineRule="exact"/>
        <w:outlineLvl w:val="1"/>
        <w:rPr>
          <w:rFonts w:ascii="楷体_GB2312" w:hAnsi="楷体_GB2312" w:eastAsia="楷体_GB2312" w:cs="楷体_GB2312"/>
          <w:bCs/>
          <w:sz w:val="32"/>
          <w:szCs w:val="32"/>
        </w:rPr>
      </w:pPr>
      <w:bookmarkStart w:id="140" w:name="_Toc3318"/>
      <w:bookmarkStart w:id="141" w:name="_Toc14146"/>
      <w:bookmarkStart w:id="142" w:name="_Toc4802"/>
      <w:bookmarkStart w:id="143" w:name="_Toc9417"/>
      <w:r>
        <w:rPr>
          <w:rFonts w:hint="eastAsia" w:ascii="楷体_GB2312" w:hAnsi="楷体_GB2312" w:eastAsia="楷体_GB2312" w:cs="楷体_GB2312"/>
          <w:bCs/>
          <w:sz w:val="32"/>
          <w:szCs w:val="32"/>
        </w:rPr>
        <w:t>项目过程管理方面</w:t>
      </w:r>
      <w:bookmarkEnd w:id="140"/>
      <w:bookmarkEnd w:id="141"/>
      <w:bookmarkEnd w:id="142"/>
      <w:bookmarkEnd w:id="143"/>
    </w:p>
    <w:p>
      <w:pPr>
        <w:ind w:firstLine="56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1.合同管理</w:t>
      </w:r>
    </w:p>
    <w:p>
      <w:pPr>
        <w:ind w:firstLine="56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 xml:space="preserve">合同管理的规范性还需要进一步加强。与第三方服务商签订的服务合同只有服务期限，未见合同订立时间。合同的有效期限为2022年4月1日至2023年3月31日，但知识产权法院内部的合同审批单批准时间为2022年4月11-19日，合同有效期在审批之前。 </w:t>
      </w:r>
    </w:p>
    <w:p>
      <w:pPr>
        <w:ind w:firstLine="56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2.项目过程管理</w:t>
      </w:r>
    </w:p>
    <w:p>
      <w:pPr>
        <w:ind w:firstLine="56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项目过程管理的严谨性、规范性存在不足，还需进一步加强。主要体现在以下方面：</w:t>
      </w:r>
    </w:p>
    <w:p>
      <w:pPr>
        <w:ind w:firstLine="56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第一，未见项目可行性论证报告、项目实施方案。</w:t>
      </w:r>
    </w:p>
    <w:p>
      <w:pPr>
        <w:ind w:firstLine="56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第二，项目各季度绩效考评结果与质量不够挂钩。</w:t>
      </w:r>
    </w:p>
    <w:p>
      <w:pPr>
        <w:ind w:firstLine="56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第三，缺少按季度支付的服务及服务确认信息。依照合同，乙方在每季度支付服务费用前，应提交季度服务日志、报告、总结、用户服务评价等信息，甲方确认后支付服务费，但未见乙方的相关服务信息。</w:t>
      </w:r>
    </w:p>
    <w:p>
      <w:pPr>
        <w:ind w:firstLine="56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第四，项目验收不规范，项目未完成提前验收。本项目服务期为2022年4月1日至2023年3月31日，依照合同“服务项目按照合同规定完成后甲方应当及时进行验收”，而项目的验收时间为2023年3月21日，早于项目完成时间。</w:t>
      </w:r>
    </w:p>
    <w:p>
      <w:pPr>
        <w:numPr>
          <w:ilvl w:val="0"/>
          <w:numId w:val="13"/>
        </w:numPr>
        <w:spacing w:line="560" w:lineRule="exact"/>
        <w:outlineLvl w:val="1"/>
        <w:rPr>
          <w:rFonts w:ascii="楷体_GB2312" w:hAnsi="楷体_GB2312" w:eastAsia="楷体_GB2312" w:cs="楷体_GB2312"/>
          <w:bCs/>
          <w:sz w:val="32"/>
          <w:szCs w:val="32"/>
        </w:rPr>
      </w:pPr>
      <w:bookmarkStart w:id="144" w:name="_Toc779"/>
      <w:r>
        <w:rPr>
          <w:rFonts w:hint="eastAsia" w:ascii="楷体_GB2312" w:hAnsi="楷体_GB2312" w:eastAsia="楷体_GB2312" w:cs="楷体_GB2312"/>
          <w:bCs/>
          <w:sz w:val="32"/>
          <w:szCs w:val="32"/>
        </w:rPr>
        <w:t>项目效益方面</w:t>
      </w:r>
      <w:bookmarkEnd w:id="144"/>
    </w:p>
    <w:p>
      <w:pPr>
        <w:ind w:firstLine="56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1.项目绩效成果呈现的不够充分，缺少相关支撑信息，项目的可持续性说明不够充分。</w:t>
      </w:r>
    </w:p>
    <w:p>
      <w:pPr>
        <w:ind w:firstLine="56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2.满意度调查结果不够明晰。满意度调查问卷22份，样本量较少，满意度调查问卷只有一个问题“满意还是不满意”过于笼统，调查不够深入和细化。</w:t>
      </w:r>
    </w:p>
    <w:p>
      <w:pPr>
        <w:pStyle w:val="2"/>
        <w:keepNext w:val="0"/>
        <w:keepLines w:val="0"/>
        <w:widowControl/>
        <w:numPr>
          <w:ilvl w:val="0"/>
          <w:numId w:val="1"/>
        </w:numPr>
        <w:spacing w:before="0" w:after="0" w:line="520" w:lineRule="atLeast"/>
        <w:contextualSpacing/>
        <w:jc w:val="left"/>
        <w:rPr>
          <w:rFonts w:ascii="黑体" w:hAnsi="黑体" w:eastAsia="黑体" w:cs="黑体"/>
          <w:b w:val="0"/>
          <w:kern w:val="0"/>
          <w:sz w:val="32"/>
          <w:szCs w:val="32"/>
          <w:lang w:bidi="en-US"/>
        </w:rPr>
      </w:pPr>
      <w:bookmarkStart w:id="145" w:name="_Toc16337"/>
      <w:bookmarkStart w:id="146" w:name="_Toc12454"/>
      <w:bookmarkStart w:id="147" w:name="_Toc8825"/>
      <w:bookmarkStart w:id="148" w:name="_Toc9313"/>
      <w:bookmarkStart w:id="149" w:name="_Toc13469"/>
      <w:bookmarkStart w:id="150" w:name="_Toc516663581"/>
      <w:r>
        <w:rPr>
          <w:rFonts w:hint="eastAsia" w:ascii="黑体" w:hAnsi="黑体" w:eastAsia="黑体" w:cs="黑体"/>
          <w:b w:val="0"/>
          <w:kern w:val="0"/>
          <w:sz w:val="32"/>
          <w:szCs w:val="32"/>
          <w:lang w:bidi="en-US"/>
        </w:rPr>
        <w:t>有关建议</w:t>
      </w:r>
      <w:bookmarkEnd w:id="145"/>
      <w:bookmarkEnd w:id="146"/>
      <w:bookmarkEnd w:id="147"/>
      <w:bookmarkEnd w:id="148"/>
      <w:bookmarkEnd w:id="149"/>
      <w:bookmarkEnd w:id="150"/>
    </w:p>
    <w:p>
      <w:pPr>
        <w:numPr>
          <w:ilvl w:val="0"/>
          <w:numId w:val="14"/>
        </w:numPr>
        <w:spacing w:line="560" w:lineRule="exact"/>
        <w:outlineLvl w:val="1"/>
        <w:rPr>
          <w:rFonts w:ascii="楷体_GB2312" w:hAnsi="楷体_GB2312" w:eastAsia="楷体_GB2312" w:cs="楷体_GB2312"/>
          <w:bCs/>
          <w:sz w:val="32"/>
          <w:szCs w:val="32"/>
        </w:rPr>
      </w:pPr>
      <w:bookmarkStart w:id="151" w:name="_Toc12160"/>
      <w:bookmarkStart w:id="152" w:name="_Toc14530"/>
      <w:bookmarkStart w:id="153" w:name="_Toc23802"/>
      <w:bookmarkStart w:id="154" w:name="_Toc10391"/>
      <w:bookmarkStart w:id="155" w:name="_Toc516663582"/>
      <w:r>
        <w:rPr>
          <w:rFonts w:hint="eastAsia" w:ascii="楷体_GB2312" w:hAnsi="楷体_GB2312" w:eastAsia="楷体_GB2312" w:cs="楷体_GB2312"/>
          <w:bCs/>
          <w:sz w:val="32"/>
          <w:szCs w:val="32"/>
        </w:rPr>
        <w:t>项目决策方面</w:t>
      </w:r>
      <w:bookmarkEnd w:id="151"/>
      <w:bookmarkEnd w:id="152"/>
      <w:bookmarkEnd w:id="153"/>
      <w:bookmarkEnd w:id="154"/>
    </w:p>
    <w:p>
      <w:pPr>
        <w:ind w:firstLine="56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1.注重项目的顶层设计，提高项目的整体统筹性和规划性。作为延续性项目，应明确项目的中长期计划和目标，提高项目的战略性筹划。随着电子送达增加，对相关购买服务的模式、途径等的合理性、科学性进行论证和分析。</w:t>
      </w:r>
    </w:p>
    <w:p>
      <w:pPr>
        <w:ind w:firstLine="56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2.深化、完善项目绩效目标和指标设定。本项目数量指标设定是按照“件次”还是按照“件”，应便于管理和与项目实际需求相符。目前实施中存在绩效数量指标为“件次”，而合同约定按照“件”，两者应保持一致，在绩效指标设定时应更加科学、合理。</w:t>
      </w:r>
    </w:p>
    <w:p>
      <w:pPr>
        <w:ind w:firstLine="56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3.合理测算项目预算。作为持续性项目，应根据历史数据，合理测算司法送达的工作量和相关标准，进一步做好预算编制和细化工作，随着环境变化科学测算项目预算，避免项目预算固化。</w:t>
      </w:r>
    </w:p>
    <w:p>
      <w:pPr>
        <w:numPr>
          <w:ilvl w:val="0"/>
          <w:numId w:val="14"/>
        </w:numPr>
        <w:spacing w:line="560" w:lineRule="exact"/>
        <w:outlineLvl w:val="1"/>
        <w:rPr>
          <w:rFonts w:ascii="楷体_GB2312" w:hAnsi="楷体_GB2312" w:eastAsia="楷体_GB2312" w:cs="楷体_GB2312"/>
          <w:bCs/>
          <w:sz w:val="32"/>
          <w:szCs w:val="32"/>
        </w:rPr>
      </w:pPr>
      <w:bookmarkStart w:id="156" w:name="_Toc16164"/>
      <w:bookmarkStart w:id="157" w:name="_Toc22545"/>
      <w:bookmarkStart w:id="158" w:name="_Toc4124"/>
      <w:bookmarkStart w:id="159" w:name="_Toc29302"/>
      <w:r>
        <w:rPr>
          <w:rFonts w:hint="eastAsia" w:ascii="楷体_GB2312" w:hAnsi="楷体_GB2312" w:eastAsia="楷体_GB2312" w:cs="楷体_GB2312"/>
          <w:bCs/>
          <w:sz w:val="32"/>
          <w:szCs w:val="32"/>
        </w:rPr>
        <w:t>项目管理方面</w:t>
      </w:r>
      <w:bookmarkEnd w:id="156"/>
      <w:bookmarkEnd w:id="157"/>
      <w:bookmarkEnd w:id="158"/>
      <w:bookmarkEnd w:id="159"/>
    </w:p>
    <w:p>
      <w:pPr>
        <w:ind w:firstLine="56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1.加强合同管理。规范合同审批、签订流程。完善合同条款，在合同中约定服务质量标准，并将服务费与服务质量挂钩。</w:t>
      </w:r>
    </w:p>
    <w:p>
      <w:pPr>
        <w:ind w:firstLine="56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2.提高项目管理水平，加强项目过程管理与控制，强化对第三方服务商的监管。本项目全部委托第三方服务商实施，应重视项目日常监管和工作成效的评价，保证项目的有效实施。</w:t>
      </w:r>
    </w:p>
    <w:p>
      <w:pPr>
        <w:ind w:firstLine="56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作为延续性项目，做好项目的年度衔接工作，保证年度申报预算与实际执行、支付的匹配性。制定项目实施方案，提高项目管理的规范性。</w:t>
      </w:r>
    </w:p>
    <w:p>
      <w:pPr>
        <w:numPr>
          <w:ilvl w:val="0"/>
          <w:numId w:val="14"/>
        </w:numPr>
        <w:spacing w:line="560" w:lineRule="exact"/>
        <w:outlineLvl w:val="1"/>
        <w:rPr>
          <w:rFonts w:ascii="楷体_GB2312" w:hAnsi="楷体_GB2312" w:eastAsia="楷体_GB2312" w:cs="楷体_GB2312"/>
          <w:bCs/>
          <w:sz w:val="32"/>
          <w:szCs w:val="32"/>
        </w:rPr>
      </w:pPr>
      <w:bookmarkStart w:id="160" w:name="_Toc7005"/>
      <w:bookmarkStart w:id="161" w:name="_Toc18925"/>
      <w:bookmarkStart w:id="162" w:name="_Toc16303"/>
      <w:bookmarkStart w:id="163" w:name="_Toc10175"/>
      <w:r>
        <w:rPr>
          <w:rFonts w:hint="eastAsia" w:ascii="楷体_GB2312" w:hAnsi="楷体_GB2312" w:eastAsia="楷体_GB2312" w:cs="楷体_GB2312"/>
          <w:bCs/>
          <w:sz w:val="32"/>
          <w:szCs w:val="32"/>
        </w:rPr>
        <w:t>项目效益方面</w:t>
      </w:r>
      <w:bookmarkEnd w:id="160"/>
      <w:bookmarkEnd w:id="161"/>
      <w:bookmarkEnd w:id="162"/>
      <w:bookmarkEnd w:id="163"/>
    </w:p>
    <w:p>
      <w:pPr>
        <w:ind w:firstLine="56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1.注重项目绩效成果的归集工作，体现财政资金使用的效益性。</w:t>
      </w:r>
    </w:p>
    <w:p>
      <w:pPr>
        <w:ind w:firstLine="560"/>
        <w:rPr>
          <w:rFonts w:ascii="仿宋_GB2312" w:hAnsi="仿宋_GB2312" w:eastAsia="仿宋_GB2312" w:cs="仿宋_GB2312"/>
          <w:kern w:val="44"/>
          <w:sz w:val="32"/>
          <w:szCs w:val="32"/>
        </w:rPr>
      </w:pPr>
      <w:r>
        <w:rPr>
          <w:rFonts w:hint="eastAsia" w:ascii="仿宋_GB2312" w:hAnsi="仿宋_GB2312" w:eastAsia="仿宋_GB2312" w:cs="仿宋_GB2312"/>
          <w:kern w:val="44"/>
          <w:sz w:val="32"/>
          <w:szCs w:val="32"/>
        </w:rPr>
        <w:t>2.重视服务对象满意度的分析与评估。深化满意度调查，将调查结果作为下年项目实施的需求分析，做好满意度调查和分析工作，避免满意度调查的形式化。并以此为契机，发现问题持续改进，加强对第三方服务质量的监管，不断提高服务质量和水平。</w:t>
      </w:r>
    </w:p>
    <w:p>
      <w:pPr>
        <w:pStyle w:val="2"/>
        <w:keepNext w:val="0"/>
        <w:keepLines w:val="0"/>
        <w:widowControl/>
        <w:numPr>
          <w:ilvl w:val="0"/>
          <w:numId w:val="1"/>
        </w:numPr>
        <w:spacing w:before="0" w:after="0" w:line="520" w:lineRule="atLeast"/>
        <w:contextualSpacing/>
        <w:jc w:val="left"/>
        <w:rPr>
          <w:rFonts w:ascii="黑体" w:hAnsi="黑体" w:eastAsia="黑体" w:cs="黑体"/>
          <w:b w:val="0"/>
          <w:kern w:val="0"/>
          <w:sz w:val="32"/>
          <w:szCs w:val="32"/>
          <w:lang w:bidi="en-US"/>
        </w:rPr>
      </w:pPr>
      <w:bookmarkStart w:id="164" w:name="_Toc19141"/>
      <w:bookmarkStart w:id="165" w:name="_Toc26739"/>
      <w:bookmarkStart w:id="166" w:name="_Toc969"/>
      <w:bookmarkStart w:id="167" w:name="_Toc25246"/>
      <w:bookmarkStart w:id="168" w:name="_Toc13431"/>
      <w:r>
        <w:rPr>
          <w:rFonts w:hint="eastAsia" w:ascii="黑体" w:hAnsi="黑体" w:eastAsia="黑体" w:cs="黑体"/>
          <w:b w:val="0"/>
          <w:kern w:val="0"/>
          <w:sz w:val="32"/>
          <w:szCs w:val="32"/>
          <w:lang w:bidi="en-US"/>
        </w:rPr>
        <w:t>其他需要说明的问题</w:t>
      </w:r>
      <w:bookmarkEnd w:id="164"/>
    </w:p>
    <w:p>
      <w:pPr>
        <w:ind w:firstLine="640" w:firstLineChars="200"/>
        <w:rPr>
          <w:rFonts w:ascii="仿宋_GB2312" w:hAnsi="仿宋_GB2312" w:eastAsia="仿宋_GB2312" w:cs="仿宋_GB2312"/>
          <w:kern w:val="44"/>
          <w:sz w:val="30"/>
          <w:szCs w:val="30"/>
        </w:rPr>
      </w:pPr>
      <w:r>
        <w:rPr>
          <w:rFonts w:hint="eastAsia" w:ascii="仿宋_GB2312" w:hAnsi="仿宋_GB2312" w:eastAsia="仿宋_GB2312" w:cs="仿宋_GB2312"/>
          <w:kern w:val="44"/>
          <w:sz w:val="32"/>
          <w:szCs w:val="32"/>
        </w:rPr>
        <w:t>无。</w:t>
      </w:r>
    </w:p>
    <w:p>
      <w:pPr>
        <w:pStyle w:val="2"/>
        <w:keepNext w:val="0"/>
        <w:keepLines w:val="0"/>
        <w:widowControl/>
        <w:numPr>
          <w:ilvl w:val="0"/>
          <w:numId w:val="1"/>
        </w:numPr>
        <w:spacing w:before="0" w:after="0" w:line="520" w:lineRule="atLeast"/>
        <w:contextualSpacing/>
        <w:jc w:val="left"/>
        <w:rPr>
          <w:rFonts w:ascii="黑体" w:hAnsi="黑体" w:eastAsia="黑体" w:cs="黑体"/>
          <w:b w:val="0"/>
          <w:kern w:val="0"/>
          <w:sz w:val="32"/>
          <w:szCs w:val="32"/>
          <w:lang w:bidi="en-US"/>
        </w:rPr>
      </w:pPr>
      <w:bookmarkStart w:id="169" w:name="_Toc31171"/>
      <w:r>
        <w:rPr>
          <w:rFonts w:hint="eastAsia" w:ascii="黑体" w:hAnsi="黑体" w:eastAsia="黑体" w:cs="黑体"/>
          <w:b w:val="0"/>
          <w:kern w:val="0"/>
          <w:sz w:val="32"/>
          <w:szCs w:val="32"/>
          <w:lang w:bidi="en-US"/>
        </w:rPr>
        <w:t>附件</w:t>
      </w:r>
      <w:bookmarkEnd w:id="155"/>
      <w:bookmarkEnd w:id="165"/>
      <w:bookmarkEnd w:id="166"/>
      <w:bookmarkEnd w:id="167"/>
      <w:bookmarkEnd w:id="168"/>
      <w:bookmarkEnd w:id="169"/>
    </w:p>
    <w:p>
      <w:pPr>
        <w:widowControl/>
        <w:spacing w:line="520" w:lineRule="atLeast"/>
        <w:jc w:val="left"/>
        <w:rPr>
          <w:rFonts w:ascii="仿宋_GB2312" w:hAnsi="仿宋" w:eastAsia="仿宋_GB2312" w:cs="Times New Roman"/>
          <w:kern w:val="0"/>
          <w:sz w:val="32"/>
          <w:szCs w:val="32"/>
          <w:lang w:bidi="en-US"/>
        </w:rPr>
      </w:pPr>
      <w:r>
        <w:rPr>
          <w:rFonts w:hint="eastAsia" w:ascii="仿宋_GB2312" w:hAnsi="仿宋" w:eastAsia="仿宋_GB2312" w:cs="Times New Roman"/>
          <w:kern w:val="0"/>
          <w:sz w:val="28"/>
          <w:szCs w:val="28"/>
          <w:lang w:bidi="en-US"/>
        </w:rPr>
        <w:t xml:space="preserve">  </w:t>
      </w:r>
      <w:r>
        <w:rPr>
          <w:rFonts w:hint="eastAsia" w:ascii="仿宋_GB2312" w:hAnsi="仿宋" w:eastAsia="仿宋_GB2312" w:cs="Times New Roman"/>
          <w:kern w:val="0"/>
          <w:sz w:val="30"/>
          <w:szCs w:val="30"/>
          <w:lang w:bidi="en-US"/>
        </w:rPr>
        <w:t xml:space="preserve"> </w:t>
      </w:r>
      <w:r>
        <w:rPr>
          <w:rFonts w:hint="eastAsia" w:ascii="仿宋_GB2312" w:hAnsi="仿宋" w:eastAsia="仿宋_GB2312" w:cs="Times New Roman"/>
          <w:kern w:val="0"/>
          <w:sz w:val="32"/>
          <w:szCs w:val="32"/>
          <w:lang w:bidi="en-US"/>
        </w:rPr>
        <w:t>1.项目支出绩效评价指标体系评分表</w:t>
      </w:r>
    </w:p>
    <w:p>
      <w:pPr>
        <w:widowControl/>
        <w:spacing w:line="520" w:lineRule="atLeast"/>
        <w:ind w:left="420" w:leftChars="200"/>
        <w:jc w:val="left"/>
        <w:rPr>
          <w:rFonts w:ascii="仿宋_GB2312" w:hAnsi="仿宋" w:eastAsia="仿宋_GB2312" w:cs="Times New Roman"/>
          <w:kern w:val="0"/>
          <w:sz w:val="32"/>
          <w:szCs w:val="32"/>
          <w:lang w:bidi="en-US"/>
        </w:rPr>
      </w:pPr>
    </w:p>
    <w:p>
      <w:pPr>
        <w:widowControl/>
        <w:spacing w:line="520" w:lineRule="atLeast"/>
        <w:ind w:left="420" w:leftChars="200"/>
        <w:jc w:val="left"/>
        <w:rPr>
          <w:rFonts w:ascii="仿宋_GB2312" w:hAnsi="仿宋" w:eastAsia="仿宋_GB2312" w:cs="Times New Roman"/>
          <w:kern w:val="0"/>
          <w:sz w:val="28"/>
          <w:szCs w:val="28"/>
          <w:lang w:bidi="en-US"/>
        </w:rPr>
      </w:pPr>
    </w:p>
    <w:p>
      <w:pPr>
        <w:widowControl/>
        <w:spacing w:line="520" w:lineRule="atLeast"/>
        <w:ind w:left="420" w:leftChars="200"/>
        <w:jc w:val="left"/>
        <w:rPr>
          <w:rFonts w:ascii="仿宋_GB2312" w:hAnsi="仿宋" w:eastAsia="仿宋_GB2312" w:cs="Times New Roman"/>
          <w:kern w:val="0"/>
          <w:sz w:val="28"/>
          <w:szCs w:val="28"/>
          <w:lang w:bidi="en-US"/>
        </w:rPr>
      </w:pPr>
    </w:p>
    <w:p>
      <w:pPr>
        <w:widowControl/>
        <w:spacing w:line="520" w:lineRule="atLeast"/>
        <w:ind w:left="420" w:leftChars="200" w:firstLine="3840" w:firstLineChars="1200"/>
        <w:jc w:val="left"/>
        <w:rPr>
          <w:rFonts w:ascii="仿宋_GB2312" w:hAnsi="仿宋" w:eastAsia="仿宋_GB2312" w:cs="Times New Roman"/>
          <w:kern w:val="0"/>
          <w:sz w:val="32"/>
          <w:szCs w:val="32"/>
          <w:lang w:bidi="en-US"/>
        </w:rPr>
        <w:sectPr>
          <w:footerReference r:id="rId3" w:type="default"/>
          <w:pgSz w:w="11906" w:h="16838"/>
          <w:pgMar w:top="1440" w:right="1800" w:bottom="1440" w:left="1800" w:header="851" w:footer="992" w:gutter="0"/>
          <w:pgNumType w:start="1"/>
          <w:cols w:space="425" w:num="1"/>
          <w:docGrid w:type="lines" w:linePitch="312" w:charSpace="0"/>
        </w:sectPr>
      </w:pPr>
    </w:p>
    <w:p>
      <w:pPr>
        <w:widowControl/>
        <w:spacing w:line="520" w:lineRule="atLeast"/>
        <w:ind w:left="420" w:leftChars="200" w:firstLine="3840" w:firstLineChars="1200"/>
        <w:jc w:val="left"/>
        <w:rPr>
          <w:rFonts w:ascii="仿宋_GB2312" w:hAnsi="仿宋" w:eastAsia="仿宋_GB2312" w:cs="Times New Roman"/>
          <w:b/>
          <w:bCs/>
          <w:kern w:val="0"/>
          <w:sz w:val="32"/>
          <w:szCs w:val="32"/>
          <w:lang w:bidi="en-US"/>
        </w:rPr>
      </w:pPr>
      <w:r>
        <w:rPr>
          <w:rFonts w:hint="eastAsia" w:ascii="仿宋_GB2312" w:hAnsi="仿宋" w:eastAsia="仿宋_GB2312" w:cs="Times New Roman"/>
          <w:kern w:val="0"/>
          <w:sz w:val="32"/>
          <w:szCs w:val="32"/>
          <w:lang w:bidi="en-US"/>
        </w:rPr>
        <w:t xml:space="preserve"> </w:t>
      </w:r>
      <w:r>
        <w:rPr>
          <w:rFonts w:hint="eastAsia" w:ascii="仿宋_GB2312" w:hAnsi="仿宋" w:eastAsia="仿宋_GB2312" w:cs="Times New Roman"/>
          <w:b/>
          <w:bCs/>
          <w:kern w:val="0"/>
          <w:sz w:val="32"/>
          <w:szCs w:val="32"/>
          <w:lang w:bidi="en-US"/>
        </w:rPr>
        <w:t>项目支出绩效评价指标体系评分表</w:t>
      </w:r>
    </w:p>
    <w:p>
      <w:pPr>
        <w:widowControl/>
        <w:spacing w:line="520" w:lineRule="atLeast"/>
        <w:jc w:val="left"/>
        <w:rPr>
          <w:rFonts w:ascii="仿宋_GB2312" w:hAnsi="仿宋" w:eastAsia="仿宋_GB2312" w:cs="Times New Roman"/>
          <w:kern w:val="0"/>
          <w:szCs w:val="21"/>
          <w:lang w:bidi="en-US"/>
        </w:rPr>
      </w:pPr>
      <w:r>
        <w:rPr>
          <w:rFonts w:hint="eastAsia" w:ascii="仿宋_GB2312" w:hAnsi="仿宋" w:eastAsia="仿宋_GB2312" w:cs="Times New Roman"/>
          <w:kern w:val="0"/>
          <w:szCs w:val="21"/>
          <w:lang w:bidi="en-US"/>
        </w:rPr>
        <w:t>项目名称：北京知识产权法院2022年度司法送达服务项目</w:t>
      </w:r>
    </w:p>
    <w:tbl>
      <w:tblPr>
        <w:tblStyle w:val="18"/>
        <w:tblW w:w="14098" w:type="dxa"/>
        <w:tblInd w:w="30" w:type="dxa"/>
        <w:tblLayout w:type="autofit"/>
        <w:tblCellMar>
          <w:top w:w="0" w:type="dxa"/>
          <w:left w:w="0" w:type="dxa"/>
          <w:bottom w:w="0" w:type="dxa"/>
          <w:right w:w="0" w:type="dxa"/>
        </w:tblCellMar>
      </w:tblPr>
      <w:tblGrid>
        <w:gridCol w:w="520"/>
        <w:gridCol w:w="875"/>
        <w:gridCol w:w="1005"/>
        <w:gridCol w:w="877"/>
        <w:gridCol w:w="877"/>
        <w:gridCol w:w="996"/>
        <w:gridCol w:w="1932"/>
        <w:gridCol w:w="4520"/>
        <w:gridCol w:w="534"/>
        <w:gridCol w:w="1962"/>
      </w:tblGrid>
      <w:tr>
        <w:tblPrEx>
          <w:tblCellMar>
            <w:top w:w="0" w:type="dxa"/>
            <w:left w:w="0" w:type="dxa"/>
            <w:bottom w:w="0" w:type="dxa"/>
            <w:right w:w="0" w:type="dxa"/>
          </w:tblCellMar>
        </w:tblPrEx>
        <w:trPr>
          <w:trHeight w:val="462" w:hRule="atLeast"/>
        </w:trPr>
        <w:tc>
          <w:tcPr>
            <w:tcW w:w="5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rPr>
              <w:t>一级指标</w:t>
            </w:r>
          </w:p>
        </w:tc>
        <w:tc>
          <w:tcPr>
            <w:tcW w:w="875"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rPr>
              <w:t>二级指标</w:t>
            </w:r>
          </w:p>
        </w:tc>
        <w:tc>
          <w:tcPr>
            <w:tcW w:w="1005"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rPr>
              <w:t>分值</w:t>
            </w:r>
          </w:p>
        </w:tc>
        <w:tc>
          <w:tcPr>
            <w:tcW w:w="877"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rPr>
              <w:t>三级指标</w:t>
            </w:r>
          </w:p>
        </w:tc>
        <w:tc>
          <w:tcPr>
            <w:tcW w:w="877"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rPr>
              <w:t>四级指标</w:t>
            </w:r>
          </w:p>
        </w:tc>
        <w:tc>
          <w:tcPr>
            <w:tcW w:w="996"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rPr>
              <w:t>分值</w:t>
            </w:r>
          </w:p>
        </w:tc>
        <w:tc>
          <w:tcPr>
            <w:tcW w:w="1932"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rPr>
              <w:t>指标解释</w:t>
            </w: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rPr>
              <w:t>评价要点</w:t>
            </w:r>
          </w:p>
        </w:tc>
        <w:tc>
          <w:tcPr>
            <w:tcW w:w="534"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rPr>
              <w:t>得分</w:t>
            </w:r>
          </w:p>
        </w:tc>
        <w:tc>
          <w:tcPr>
            <w:tcW w:w="1962"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rPr>
              <w:t>扣分理由</w:t>
            </w:r>
          </w:p>
        </w:tc>
      </w:tr>
      <w:tr>
        <w:tblPrEx>
          <w:tblCellMar>
            <w:top w:w="0" w:type="dxa"/>
            <w:left w:w="0" w:type="dxa"/>
            <w:bottom w:w="0" w:type="dxa"/>
            <w:right w:w="0" w:type="dxa"/>
          </w:tblCellMar>
        </w:tblPrEx>
        <w:trPr>
          <w:trHeight w:val="462" w:hRule="atLeast"/>
        </w:trPr>
        <w:tc>
          <w:tcPr>
            <w:tcW w:w="520" w:type="dxa"/>
            <w:vMerge w:val="restart"/>
            <w:tcBorders>
              <w:top w:val="nil"/>
              <w:left w:val="single" w:color="000000" w:sz="4" w:space="0"/>
              <w:bottom w:val="nil"/>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 xml:space="preserve">决策（20分） </w:t>
            </w:r>
          </w:p>
        </w:tc>
        <w:tc>
          <w:tcPr>
            <w:tcW w:w="875"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 xml:space="preserve">项目立项 </w:t>
            </w:r>
          </w:p>
        </w:tc>
        <w:tc>
          <w:tcPr>
            <w:tcW w:w="1005"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(8分)</w:t>
            </w:r>
          </w:p>
        </w:tc>
        <w:tc>
          <w:tcPr>
            <w:tcW w:w="877"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立项依据充分性</w:t>
            </w:r>
          </w:p>
        </w:tc>
        <w:tc>
          <w:tcPr>
            <w:tcW w:w="877"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立项依据充分性</w:t>
            </w:r>
          </w:p>
        </w:tc>
        <w:tc>
          <w:tcPr>
            <w:tcW w:w="996"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(4分）</w:t>
            </w:r>
          </w:p>
        </w:tc>
        <w:tc>
          <w:tcPr>
            <w:tcW w:w="1932"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项目立项是否符合法律法规、相关政策、发展规划以及部门职责，用以反映和考核项目立项依据情况。</w:t>
            </w: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①项目立项是否符合国家法律法规、国民经济发展规划和相关政策；</w:t>
            </w:r>
          </w:p>
        </w:tc>
        <w:tc>
          <w:tcPr>
            <w:tcW w:w="534"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 xml:space="preserve">4.00 </w:t>
            </w:r>
          </w:p>
        </w:tc>
        <w:tc>
          <w:tcPr>
            <w:tcW w:w="1962"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r>
      <w:tr>
        <w:tblPrEx>
          <w:tblCellMar>
            <w:top w:w="0" w:type="dxa"/>
            <w:left w:w="0" w:type="dxa"/>
            <w:bottom w:w="0" w:type="dxa"/>
            <w:right w:w="0" w:type="dxa"/>
          </w:tblCellMar>
        </w:tblPrEx>
        <w:trPr>
          <w:trHeight w:val="273" w:hRule="atLeast"/>
        </w:trPr>
        <w:tc>
          <w:tcPr>
            <w:tcW w:w="520" w:type="dxa"/>
            <w:vMerge w:val="continue"/>
            <w:tcBorders>
              <w:top w:val="nil"/>
              <w:left w:val="single" w:color="000000" w:sz="4" w:space="0"/>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996"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3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②项目立项是否符合行业发展规划和政策要求；</w:t>
            </w:r>
          </w:p>
        </w:tc>
        <w:tc>
          <w:tcPr>
            <w:tcW w:w="534"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6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r>
      <w:tr>
        <w:tblPrEx>
          <w:tblCellMar>
            <w:top w:w="0" w:type="dxa"/>
            <w:left w:w="0" w:type="dxa"/>
            <w:bottom w:w="0" w:type="dxa"/>
            <w:right w:w="0" w:type="dxa"/>
          </w:tblCellMar>
        </w:tblPrEx>
        <w:trPr>
          <w:trHeight w:val="359" w:hRule="atLeast"/>
        </w:trPr>
        <w:tc>
          <w:tcPr>
            <w:tcW w:w="520" w:type="dxa"/>
            <w:vMerge w:val="continue"/>
            <w:tcBorders>
              <w:top w:val="nil"/>
              <w:left w:val="single" w:color="000000" w:sz="4" w:space="0"/>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996"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3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③项目立项是否与部门职责范围相符，属于部门履职所需；</w:t>
            </w:r>
          </w:p>
        </w:tc>
        <w:tc>
          <w:tcPr>
            <w:tcW w:w="534"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6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r>
      <w:tr>
        <w:tblPrEx>
          <w:tblCellMar>
            <w:top w:w="0" w:type="dxa"/>
            <w:left w:w="0" w:type="dxa"/>
            <w:bottom w:w="0" w:type="dxa"/>
            <w:right w:w="0" w:type="dxa"/>
          </w:tblCellMar>
        </w:tblPrEx>
        <w:trPr>
          <w:trHeight w:val="462" w:hRule="atLeast"/>
        </w:trPr>
        <w:tc>
          <w:tcPr>
            <w:tcW w:w="520" w:type="dxa"/>
            <w:vMerge w:val="continue"/>
            <w:tcBorders>
              <w:top w:val="nil"/>
              <w:left w:val="single" w:color="000000" w:sz="4" w:space="0"/>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996"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3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④项目是否属于公共财政支持范围，是否符合中央、地方事权支出责任划分原则；</w:t>
            </w:r>
          </w:p>
        </w:tc>
        <w:tc>
          <w:tcPr>
            <w:tcW w:w="534"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6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r>
      <w:tr>
        <w:tblPrEx>
          <w:tblCellMar>
            <w:top w:w="0" w:type="dxa"/>
            <w:left w:w="0" w:type="dxa"/>
            <w:bottom w:w="0" w:type="dxa"/>
            <w:right w:w="0" w:type="dxa"/>
          </w:tblCellMar>
        </w:tblPrEx>
        <w:trPr>
          <w:trHeight w:val="334" w:hRule="atLeast"/>
        </w:trPr>
        <w:tc>
          <w:tcPr>
            <w:tcW w:w="520" w:type="dxa"/>
            <w:vMerge w:val="continue"/>
            <w:tcBorders>
              <w:top w:val="nil"/>
              <w:left w:val="single" w:color="000000" w:sz="4" w:space="0"/>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996"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3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⑤项目是否与相关部门同类项目或部门内部相关项目重复。</w:t>
            </w:r>
          </w:p>
        </w:tc>
        <w:tc>
          <w:tcPr>
            <w:tcW w:w="534"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6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r>
      <w:tr>
        <w:tblPrEx>
          <w:tblCellMar>
            <w:top w:w="0" w:type="dxa"/>
            <w:left w:w="0" w:type="dxa"/>
            <w:bottom w:w="0" w:type="dxa"/>
            <w:right w:w="0" w:type="dxa"/>
          </w:tblCellMar>
        </w:tblPrEx>
        <w:trPr>
          <w:trHeight w:val="261" w:hRule="atLeast"/>
        </w:trPr>
        <w:tc>
          <w:tcPr>
            <w:tcW w:w="520" w:type="dxa"/>
            <w:vMerge w:val="continue"/>
            <w:tcBorders>
              <w:top w:val="nil"/>
              <w:left w:val="single" w:color="000000" w:sz="4" w:space="0"/>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立项程序规范性</w:t>
            </w:r>
          </w:p>
        </w:tc>
        <w:tc>
          <w:tcPr>
            <w:tcW w:w="877"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立项程序规范性</w:t>
            </w:r>
          </w:p>
        </w:tc>
        <w:tc>
          <w:tcPr>
            <w:tcW w:w="996"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（4分）</w:t>
            </w:r>
          </w:p>
        </w:tc>
        <w:tc>
          <w:tcPr>
            <w:tcW w:w="1932"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项目申请、设立过程是否符合相关要求，用以反映和考核项目立项的规范情况。</w:t>
            </w: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①项目是否按照规定的程序申请设立；</w:t>
            </w:r>
          </w:p>
        </w:tc>
        <w:tc>
          <w:tcPr>
            <w:tcW w:w="534"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 xml:space="preserve">4.00 </w:t>
            </w:r>
          </w:p>
        </w:tc>
        <w:tc>
          <w:tcPr>
            <w:tcW w:w="1962"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r>
      <w:tr>
        <w:tblPrEx>
          <w:tblCellMar>
            <w:top w:w="0" w:type="dxa"/>
            <w:left w:w="0" w:type="dxa"/>
            <w:bottom w:w="0" w:type="dxa"/>
            <w:right w:w="0" w:type="dxa"/>
          </w:tblCellMar>
        </w:tblPrEx>
        <w:trPr>
          <w:trHeight w:val="323" w:hRule="atLeast"/>
        </w:trPr>
        <w:tc>
          <w:tcPr>
            <w:tcW w:w="520" w:type="dxa"/>
            <w:vMerge w:val="continue"/>
            <w:tcBorders>
              <w:top w:val="nil"/>
              <w:left w:val="single" w:color="000000" w:sz="4" w:space="0"/>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996"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3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②审批文件、材料是否符合相关要求；</w:t>
            </w:r>
          </w:p>
        </w:tc>
        <w:tc>
          <w:tcPr>
            <w:tcW w:w="534"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6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r>
      <w:tr>
        <w:tblPrEx>
          <w:tblCellMar>
            <w:top w:w="0" w:type="dxa"/>
            <w:left w:w="0" w:type="dxa"/>
            <w:bottom w:w="0" w:type="dxa"/>
            <w:right w:w="0" w:type="dxa"/>
          </w:tblCellMar>
        </w:tblPrEx>
        <w:trPr>
          <w:trHeight w:val="462" w:hRule="atLeast"/>
        </w:trPr>
        <w:tc>
          <w:tcPr>
            <w:tcW w:w="520" w:type="dxa"/>
            <w:vMerge w:val="continue"/>
            <w:tcBorders>
              <w:top w:val="nil"/>
              <w:left w:val="single" w:color="000000" w:sz="4" w:space="0"/>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996"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3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③事前是否已经过必要的可行性研究、专家论证、风险评估、绩效评估、集体决策。</w:t>
            </w:r>
          </w:p>
        </w:tc>
        <w:tc>
          <w:tcPr>
            <w:tcW w:w="534"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6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r>
      <w:tr>
        <w:tblPrEx>
          <w:tblCellMar>
            <w:top w:w="0" w:type="dxa"/>
            <w:left w:w="0" w:type="dxa"/>
            <w:bottom w:w="0" w:type="dxa"/>
            <w:right w:w="0" w:type="dxa"/>
          </w:tblCellMar>
        </w:tblPrEx>
        <w:trPr>
          <w:trHeight w:val="323" w:hRule="atLeast"/>
        </w:trPr>
        <w:tc>
          <w:tcPr>
            <w:tcW w:w="520" w:type="dxa"/>
            <w:vMerge w:val="continue"/>
            <w:tcBorders>
              <w:top w:val="nil"/>
              <w:left w:val="single" w:color="000000" w:sz="4" w:space="0"/>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 xml:space="preserve">绩效目标 </w:t>
            </w:r>
          </w:p>
        </w:tc>
        <w:tc>
          <w:tcPr>
            <w:tcW w:w="1005"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（8分）</w:t>
            </w:r>
          </w:p>
        </w:tc>
        <w:tc>
          <w:tcPr>
            <w:tcW w:w="877" w:type="dxa"/>
            <w:vMerge w:val="restart"/>
            <w:tcBorders>
              <w:top w:val="nil"/>
              <w:left w:val="nil"/>
              <w:bottom w:val="nil"/>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绩效目标合理性</w:t>
            </w:r>
          </w:p>
        </w:tc>
        <w:tc>
          <w:tcPr>
            <w:tcW w:w="877" w:type="dxa"/>
            <w:vMerge w:val="restart"/>
            <w:tcBorders>
              <w:top w:val="nil"/>
              <w:left w:val="nil"/>
              <w:bottom w:val="nil"/>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绩效目标合理性</w:t>
            </w:r>
          </w:p>
        </w:tc>
        <w:tc>
          <w:tcPr>
            <w:tcW w:w="996" w:type="dxa"/>
            <w:vMerge w:val="restart"/>
            <w:tcBorders>
              <w:top w:val="nil"/>
              <w:left w:val="nil"/>
              <w:bottom w:val="nil"/>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（4分）</w:t>
            </w:r>
          </w:p>
        </w:tc>
        <w:tc>
          <w:tcPr>
            <w:tcW w:w="1932" w:type="dxa"/>
            <w:vMerge w:val="restart"/>
            <w:tcBorders>
              <w:top w:val="nil"/>
              <w:left w:val="nil"/>
              <w:bottom w:val="nil"/>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项目所设定的绩效目标是否依据充分，是否符合客观实际，用以反映和考核项目绩效目标与项目实施的相符情况。</w:t>
            </w:r>
          </w:p>
        </w:tc>
        <w:tc>
          <w:tcPr>
            <w:tcW w:w="4520" w:type="dxa"/>
            <w:tcBorders>
              <w:top w:val="nil"/>
              <w:left w:val="nil"/>
              <w:bottom w:val="nil"/>
              <w:right w:val="nil"/>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①项目是否有绩效目标；</w:t>
            </w:r>
          </w:p>
        </w:tc>
        <w:tc>
          <w:tcPr>
            <w:tcW w:w="534" w:type="dxa"/>
            <w:vMerge w:val="restart"/>
            <w:tcBorders>
              <w:top w:val="nil"/>
              <w:left w:val="single" w:color="000000" w:sz="4" w:space="0"/>
              <w:bottom w:val="nil"/>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 xml:space="preserve">2.88 </w:t>
            </w:r>
          </w:p>
        </w:tc>
        <w:tc>
          <w:tcPr>
            <w:tcW w:w="1962" w:type="dxa"/>
            <w:vMerge w:val="restart"/>
            <w:tcBorders>
              <w:top w:val="nil"/>
              <w:left w:val="nil"/>
              <w:bottom w:val="nil"/>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指标设定的准确性不足</w:t>
            </w:r>
          </w:p>
        </w:tc>
      </w:tr>
      <w:tr>
        <w:tblPrEx>
          <w:tblCellMar>
            <w:top w:w="0" w:type="dxa"/>
            <w:left w:w="0" w:type="dxa"/>
            <w:bottom w:w="0" w:type="dxa"/>
            <w:right w:w="0" w:type="dxa"/>
          </w:tblCellMar>
        </w:tblPrEx>
        <w:trPr>
          <w:trHeight w:val="298" w:hRule="atLeast"/>
        </w:trPr>
        <w:tc>
          <w:tcPr>
            <w:tcW w:w="520" w:type="dxa"/>
            <w:vMerge w:val="continue"/>
            <w:tcBorders>
              <w:top w:val="nil"/>
              <w:left w:val="single" w:color="000000" w:sz="4" w:space="0"/>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996"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32"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②项目绩效目标与实际工作内容是否具有相关性；</w:t>
            </w:r>
          </w:p>
        </w:tc>
        <w:tc>
          <w:tcPr>
            <w:tcW w:w="534" w:type="dxa"/>
            <w:vMerge w:val="continue"/>
            <w:tcBorders>
              <w:top w:val="nil"/>
              <w:left w:val="single" w:color="000000" w:sz="4" w:space="0"/>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62"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r>
      <w:tr>
        <w:tblPrEx>
          <w:tblCellMar>
            <w:top w:w="0" w:type="dxa"/>
            <w:left w:w="0" w:type="dxa"/>
            <w:bottom w:w="0" w:type="dxa"/>
            <w:right w:w="0" w:type="dxa"/>
          </w:tblCellMar>
        </w:tblPrEx>
        <w:trPr>
          <w:trHeight w:val="323" w:hRule="atLeast"/>
        </w:trPr>
        <w:tc>
          <w:tcPr>
            <w:tcW w:w="520" w:type="dxa"/>
            <w:vMerge w:val="continue"/>
            <w:tcBorders>
              <w:top w:val="nil"/>
              <w:left w:val="single" w:color="000000" w:sz="4" w:space="0"/>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996"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32"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③项目预期产出效益和效果是否符合正常的业绩水平；</w:t>
            </w:r>
          </w:p>
        </w:tc>
        <w:tc>
          <w:tcPr>
            <w:tcW w:w="534" w:type="dxa"/>
            <w:vMerge w:val="continue"/>
            <w:tcBorders>
              <w:top w:val="nil"/>
              <w:left w:val="single" w:color="000000" w:sz="4" w:space="0"/>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62"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r>
      <w:tr>
        <w:tblPrEx>
          <w:tblCellMar>
            <w:top w:w="0" w:type="dxa"/>
            <w:left w:w="0" w:type="dxa"/>
            <w:bottom w:w="0" w:type="dxa"/>
            <w:right w:w="0" w:type="dxa"/>
          </w:tblCellMar>
        </w:tblPrEx>
        <w:trPr>
          <w:trHeight w:val="414" w:hRule="atLeast"/>
        </w:trPr>
        <w:tc>
          <w:tcPr>
            <w:tcW w:w="520" w:type="dxa"/>
            <w:vMerge w:val="continue"/>
            <w:tcBorders>
              <w:top w:val="nil"/>
              <w:left w:val="single" w:color="000000" w:sz="4" w:space="0"/>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996"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32"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④是否与预算确定的项目投资额或资金量相匹配。</w:t>
            </w:r>
          </w:p>
        </w:tc>
        <w:tc>
          <w:tcPr>
            <w:tcW w:w="534" w:type="dxa"/>
            <w:vMerge w:val="continue"/>
            <w:tcBorders>
              <w:top w:val="nil"/>
              <w:left w:val="single" w:color="000000" w:sz="4" w:space="0"/>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62"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r>
      <w:tr>
        <w:tblPrEx>
          <w:tblCellMar>
            <w:top w:w="0" w:type="dxa"/>
            <w:left w:w="0" w:type="dxa"/>
            <w:bottom w:w="0" w:type="dxa"/>
            <w:right w:w="0" w:type="dxa"/>
          </w:tblCellMar>
        </w:tblPrEx>
        <w:trPr>
          <w:trHeight w:val="334" w:hRule="atLeast"/>
        </w:trPr>
        <w:tc>
          <w:tcPr>
            <w:tcW w:w="520" w:type="dxa"/>
            <w:vMerge w:val="continue"/>
            <w:tcBorders>
              <w:top w:val="nil"/>
              <w:left w:val="single" w:color="000000" w:sz="4" w:space="0"/>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restart"/>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绩效指标明确性</w:t>
            </w:r>
          </w:p>
        </w:tc>
        <w:tc>
          <w:tcPr>
            <w:tcW w:w="877" w:type="dxa"/>
            <w:vMerge w:val="restart"/>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绩效指标明确性</w:t>
            </w:r>
          </w:p>
        </w:tc>
        <w:tc>
          <w:tcPr>
            <w:tcW w:w="996" w:type="dxa"/>
            <w:vMerge w:val="restart"/>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（4分）</w:t>
            </w:r>
          </w:p>
        </w:tc>
        <w:tc>
          <w:tcPr>
            <w:tcW w:w="1932" w:type="dxa"/>
            <w:vMerge w:val="restart"/>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依据绩效目标设定的绩效指标是否清晰、细化、可衡量等，用以反映和考核项目绩效目标的明细化情况。</w:t>
            </w: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①是否将项目绩效目标细化分解为具体的绩效指标；</w:t>
            </w:r>
          </w:p>
        </w:tc>
        <w:tc>
          <w:tcPr>
            <w:tcW w:w="534" w:type="dxa"/>
            <w:vMerge w:val="restart"/>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 xml:space="preserve">2.58 </w:t>
            </w:r>
          </w:p>
        </w:tc>
        <w:tc>
          <w:tcPr>
            <w:tcW w:w="1962" w:type="dxa"/>
            <w:vMerge w:val="restart"/>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指标设定的明确性不足</w:t>
            </w:r>
          </w:p>
        </w:tc>
      </w:tr>
      <w:tr>
        <w:tblPrEx>
          <w:tblCellMar>
            <w:top w:w="0" w:type="dxa"/>
            <w:left w:w="0" w:type="dxa"/>
            <w:bottom w:w="0" w:type="dxa"/>
            <w:right w:w="0" w:type="dxa"/>
          </w:tblCellMar>
        </w:tblPrEx>
        <w:trPr>
          <w:trHeight w:val="323" w:hRule="atLeast"/>
        </w:trPr>
        <w:tc>
          <w:tcPr>
            <w:tcW w:w="520" w:type="dxa"/>
            <w:vMerge w:val="continue"/>
            <w:tcBorders>
              <w:top w:val="nil"/>
              <w:left w:val="single" w:color="000000" w:sz="4" w:space="0"/>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996" w:type="dxa"/>
            <w:vMerge w:val="continue"/>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32" w:type="dxa"/>
            <w:vMerge w:val="continue"/>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②是否通过清晰、可衡量的指标值予以体现；</w:t>
            </w:r>
          </w:p>
        </w:tc>
        <w:tc>
          <w:tcPr>
            <w:tcW w:w="534" w:type="dxa"/>
            <w:vMerge w:val="continue"/>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62" w:type="dxa"/>
            <w:vMerge w:val="continue"/>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r>
      <w:tr>
        <w:tblPrEx>
          <w:tblCellMar>
            <w:top w:w="0" w:type="dxa"/>
            <w:left w:w="0" w:type="dxa"/>
            <w:bottom w:w="0" w:type="dxa"/>
            <w:right w:w="0" w:type="dxa"/>
          </w:tblCellMar>
        </w:tblPrEx>
        <w:trPr>
          <w:trHeight w:val="587" w:hRule="atLeast"/>
        </w:trPr>
        <w:tc>
          <w:tcPr>
            <w:tcW w:w="520" w:type="dxa"/>
            <w:vMerge w:val="continue"/>
            <w:tcBorders>
              <w:top w:val="nil"/>
              <w:left w:val="single" w:color="000000" w:sz="4" w:space="0"/>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996" w:type="dxa"/>
            <w:vMerge w:val="continue"/>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32" w:type="dxa"/>
            <w:vMerge w:val="continue"/>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③是否与项目目标任务数或计划数相对应。</w:t>
            </w:r>
          </w:p>
        </w:tc>
        <w:tc>
          <w:tcPr>
            <w:tcW w:w="534" w:type="dxa"/>
            <w:vMerge w:val="continue"/>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62" w:type="dxa"/>
            <w:vMerge w:val="continue"/>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r>
      <w:tr>
        <w:tblPrEx>
          <w:tblCellMar>
            <w:top w:w="0" w:type="dxa"/>
            <w:left w:w="0" w:type="dxa"/>
            <w:bottom w:w="0" w:type="dxa"/>
            <w:right w:w="0" w:type="dxa"/>
          </w:tblCellMar>
        </w:tblPrEx>
        <w:trPr>
          <w:trHeight w:val="298" w:hRule="atLeast"/>
        </w:trPr>
        <w:tc>
          <w:tcPr>
            <w:tcW w:w="520" w:type="dxa"/>
            <w:vMerge w:val="continue"/>
            <w:tcBorders>
              <w:top w:val="nil"/>
              <w:left w:val="single" w:color="000000" w:sz="4" w:space="0"/>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restart"/>
            <w:tcBorders>
              <w:top w:val="nil"/>
              <w:left w:val="nil"/>
              <w:bottom w:val="nil"/>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资金投入</w:t>
            </w:r>
          </w:p>
        </w:tc>
        <w:tc>
          <w:tcPr>
            <w:tcW w:w="1005" w:type="dxa"/>
            <w:vMerge w:val="restart"/>
            <w:tcBorders>
              <w:top w:val="nil"/>
              <w:left w:val="nil"/>
              <w:bottom w:val="nil"/>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（4分）</w:t>
            </w:r>
          </w:p>
        </w:tc>
        <w:tc>
          <w:tcPr>
            <w:tcW w:w="877" w:type="dxa"/>
            <w:vMerge w:val="restart"/>
            <w:tcBorders>
              <w:top w:val="nil"/>
              <w:left w:val="nil"/>
              <w:bottom w:val="nil"/>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预算编制科学性</w:t>
            </w:r>
          </w:p>
        </w:tc>
        <w:tc>
          <w:tcPr>
            <w:tcW w:w="877" w:type="dxa"/>
            <w:vMerge w:val="restart"/>
            <w:tcBorders>
              <w:top w:val="nil"/>
              <w:left w:val="nil"/>
              <w:bottom w:val="nil"/>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预算编制科学性</w:t>
            </w:r>
          </w:p>
        </w:tc>
        <w:tc>
          <w:tcPr>
            <w:tcW w:w="996" w:type="dxa"/>
            <w:vMerge w:val="restart"/>
            <w:tcBorders>
              <w:top w:val="nil"/>
              <w:left w:val="nil"/>
              <w:bottom w:val="nil"/>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（4分）</w:t>
            </w:r>
          </w:p>
        </w:tc>
        <w:tc>
          <w:tcPr>
            <w:tcW w:w="1932" w:type="dxa"/>
            <w:vMerge w:val="restart"/>
            <w:tcBorders>
              <w:top w:val="nil"/>
              <w:left w:val="nil"/>
              <w:bottom w:val="nil"/>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项目预算编制是否经过科学论证、有明确标准，资金额度与年度目标是否相适应，用以反映和考核项目预算编制的科学性、合理性情况。</w:t>
            </w: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①预算编制是否经过科学论证；</w:t>
            </w:r>
          </w:p>
        </w:tc>
        <w:tc>
          <w:tcPr>
            <w:tcW w:w="534"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 xml:space="preserve">2.25 </w:t>
            </w:r>
          </w:p>
        </w:tc>
        <w:tc>
          <w:tcPr>
            <w:tcW w:w="1962"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缺少预算测算依据和细化预算内容</w:t>
            </w:r>
          </w:p>
        </w:tc>
      </w:tr>
      <w:tr>
        <w:tblPrEx>
          <w:tblCellMar>
            <w:top w:w="0" w:type="dxa"/>
            <w:left w:w="0" w:type="dxa"/>
            <w:bottom w:w="0" w:type="dxa"/>
            <w:right w:w="0" w:type="dxa"/>
          </w:tblCellMar>
        </w:tblPrEx>
        <w:trPr>
          <w:trHeight w:val="298" w:hRule="atLeast"/>
        </w:trPr>
        <w:tc>
          <w:tcPr>
            <w:tcW w:w="520" w:type="dxa"/>
            <w:vMerge w:val="continue"/>
            <w:tcBorders>
              <w:top w:val="nil"/>
              <w:left w:val="single" w:color="000000" w:sz="4" w:space="0"/>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996"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32"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②预算内容与项目内容是否匹配；</w:t>
            </w:r>
          </w:p>
        </w:tc>
        <w:tc>
          <w:tcPr>
            <w:tcW w:w="534"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6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r>
      <w:tr>
        <w:tblPrEx>
          <w:tblCellMar>
            <w:top w:w="0" w:type="dxa"/>
            <w:left w:w="0" w:type="dxa"/>
            <w:bottom w:w="0" w:type="dxa"/>
            <w:right w:w="0" w:type="dxa"/>
          </w:tblCellMar>
        </w:tblPrEx>
        <w:trPr>
          <w:trHeight w:val="310" w:hRule="atLeast"/>
        </w:trPr>
        <w:tc>
          <w:tcPr>
            <w:tcW w:w="520" w:type="dxa"/>
            <w:vMerge w:val="continue"/>
            <w:tcBorders>
              <w:top w:val="nil"/>
              <w:left w:val="single" w:color="000000" w:sz="4" w:space="0"/>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996"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32"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③预算额度测算依据是否充分，是否按照标准编制；</w:t>
            </w:r>
          </w:p>
        </w:tc>
        <w:tc>
          <w:tcPr>
            <w:tcW w:w="534"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6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r>
      <w:tr>
        <w:tblPrEx>
          <w:tblCellMar>
            <w:top w:w="0" w:type="dxa"/>
            <w:left w:w="0" w:type="dxa"/>
            <w:bottom w:w="0" w:type="dxa"/>
            <w:right w:w="0" w:type="dxa"/>
          </w:tblCellMar>
        </w:tblPrEx>
        <w:trPr>
          <w:trHeight w:val="452" w:hRule="atLeast"/>
        </w:trPr>
        <w:tc>
          <w:tcPr>
            <w:tcW w:w="520" w:type="dxa"/>
            <w:vMerge w:val="continue"/>
            <w:tcBorders>
              <w:top w:val="nil"/>
              <w:left w:val="single" w:color="000000" w:sz="4" w:space="0"/>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996"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32"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④预算确定的项目投资额或资金量是否与工作任务相匹配。</w:t>
            </w:r>
          </w:p>
        </w:tc>
        <w:tc>
          <w:tcPr>
            <w:tcW w:w="534"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6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r>
      <w:tr>
        <w:tblPrEx>
          <w:tblCellMar>
            <w:top w:w="0" w:type="dxa"/>
            <w:left w:w="0" w:type="dxa"/>
            <w:bottom w:w="0" w:type="dxa"/>
            <w:right w:w="0" w:type="dxa"/>
          </w:tblCellMar>
        </w:tblPrEx>
        <w:trPr>
          <w:trHeight w:val="685" w:hRule="atLeast"/>
        </w:trPr>
        <w:tc>
          <w:tcPr>
            <w:tcW w:w="52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过程（20分）</w:t>
            </w:r>
          </w:p>
        </w:tc>
        <w:tc>
          <w:tcPr>
            <w:tcW w:w="875" w:type="dxa"/>
            <w:vMerge w:val="restart"/>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资金管理</w:t>
            </w:r>
          </w:p>
        </w:tc>
        <w:tc>
          <w:tcPr>
            <w:tcW w:w="1005" w:type="dxa"/>
            <w:vMerge w:val="restart"/>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（7分）</w:t>
            </w:r>
          </w:p>
        </w:tc>
        <w:tc>
          <w:tcPr>
            <w:tcW w:w="877"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预算执行率</w:t>
            </w:r>
          </w:p>
        </w:tc>
        <w:tc>
          <w:tcPr>
            <w:tcW w:w="877"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预算执行率</w:t>
            </w:r>
          </w:p>
        </w:tc>
        <w:tc>
          <w:tcPr>
            <w:tcW w:w="996"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（3分）</w:t>
            </w:r>
          </w:p>
        </w:tc>
        <w:tc>
          <w:tcPr>
            <w:tcW w:w="1932"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项目预算资金是否按照计划执行，用以反映或考核项目预算执行情况。</w:t>
            </w: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预算执行率=（实际支出资金/实际到位资金）×100%。</w:t>
            </w:r>
          </w:p>
        </w:tc>
        <w:tc>
          <w:tcPr>
            <w:tcW w:w="534"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 xml:space="preserve">3.00 </w:t>
            </w:r>
          </w:p>
        </w:tc>
        <w:tc>
          <w:tcPr>
            <w:tcW w:w="1962"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r>
      <w:tr>
        <w:tblPrEx>
          <w:tblCellMar>
            <w:top w:w="0" w:type="dxa"/>
            <w:left w:w="0" w:type="dxa"/>
            <w:bottom w:w="0" w:type="dxa"/>
            <w:right w:w="0" w:type="dxa"/>
          </w:tblCellMar>
        </w:tblPrEx>
        <w:trPr>
          <w:trHeight w:val="567" w:hRule="atLeast"/>
        </w:trPr>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资金使用合规性</w:t>
            </w:r>
          </w:p>
        </w:tc>
        <w:tc>
          <w:tcPr>
            <w:tcW w:w="877"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资金使用合规性</w:t>
            </w:r>
          </w:p>
        </w:tc>
        <w:tc>
          <w:tcPr>
            <w:tcW w:w="996"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（4分）</w:t>
            </w:r>
          </w:p>
        </w:tc>
        <w:tc>
          <w:tcPr>
            <w:tcW w:w="1932"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项目资金使用是否符合相关的财务管理制度规定，用以反映和考核项目资金的规范运行情况。</w:t>
            </w: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①是否符合国家财经法规和财务管理制度以及有关专项资金管理办法的规定；</w:t>
            </w:r>
          </w:p>
        </w:tc>
        <w:tc>
          <w:tcPr>
            <w:tcW w:w="534"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 xml:space="preserve">4.00 </w:t>
            </w:r>
          </w:p>
        </w:tc>
        <w:tc>
          <w:tcPr>
            <w:tcW w:w="1962"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r>
      <w:tr>
        <w:tblPrEx>
          <w:tblCellMar>
            <w:top w:w="0" w:type="dxa"/>
            <w:left w:w="0" w:type="dxa"/>
            <w:bottom w:w="0" w:type="dxa"/>
            <w:right w:w="0" w:type="dxa"/>
          </w:tblCellMar>
        </w:tblPrEx>
        <w:trPr>
          <w:trHeight w:val="433" w:hRule="atLeast"/>
        </w:trPr>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996"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3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②资金的拨付是否有完整的审批程序和手续；</w:t>
            </w:r>
          </w:p>
        </w:tc>
        <w:tc>
          <w:tcPr>
            <w:tcW w:w="534"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6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r>
      <w:tr>
        <w:tblPrEx>
          <w:tblCellMar>
            <w:top w:w="0" w:type="dxa"/>
            <w:left w:w="0" w:type="dxa"/>
            <w:bottom w:w="0" w:type="dxa"/>
            <w:right w:w="0" w:type="dxa"/>
          </w:tblCellMar>
        </w:tblPrEx>
        <w:trPr>
          <w:trHeight w:val="334" w:hRule="atLeast"/>
        </w:trPr>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996"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3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③是否符合项目预算批复或合同规定的用途；</w:t>
            </w:r>
          </w:p>
        </w:tc>
        <w:tc>
          <w:tcPr>
            <w:tcW w:w="534"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6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r>
      <w:tr>
        <w:tblPrEx>
          <w:tblCellMar>
            <w:top w:w="0" w:type="dxa"/>
            <w:left w:w="0" w:type="dxa"/>
            <w:bottom w:w="0" w:type="dxa"/>
            <w:right w:w="0" w:type="dxa"/>
          </w:tblCellMar>
        </w:tblPrEx>
        <w:trPr>
          <w:trHeight w:val="286" w:hRule="atLeast"/>
        </w:trPr>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996"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3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④是否存在截留、挤占、挪用、虚列支出等情况。</w:t>
            </w:r>
          </w:p>
        </w:tc>
        <w:tc>
          <w:tcPr>
            <w:tcW w:w="534"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6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r>
      <w:tr>
        <w:tblPrEx>
          <w:tblCellMar>
            <w:top w:w="0" w:type="dxa"/>
            <w:left w:w="0" w:type="dxa"/>
            <w:bottom w:w="0" w:type="dxa"/>
            <w:right w:w="0" w:type="dxa"/>
          </w:tblCellMar>
        </w:tblPrEx>
        <w:trPr>
          <w:trHeight w:val="506" w:hRule="atLeast"/>
        </w:trPr>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组织实施</w:t>
            </w:r>
          </w:p>
        </w:tc>
        <w:tc>
          <w:tcPr>
            <w:tcW w:w="1005" w:type="dxa"/>
            <w:vMerge w:val="restart"/>
            <w:tcBorders>
              <w:top w:val="nil"/>
              <w:left w:val="nil"/>
              <w:bottom w:val="nil"/>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（13分）</w:t>
            </w:r>
          </w:p>
        </w:tc>
        <w:tc>
          <w:tcPr>
            <w:tcW w:w="877"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管理制度健全性</w:t>
            </w:r>
          </w:p>
        </w:tc>
        <w:tc>
          <w:tcPr>
            <w:tcW w:w="877"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管理制度健全性</w:t>
            </w:r>
          </w:p>
        </w:tc>
        <w:tc>
          <w:tcPr>
            <w:tcW w:w="996"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（3分）</w:t>
            </w:r>
          </w:p>
        </w:tc>
        <w:tc>
          <w:tcPr>
            <w:tcW w:w="1932"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项目实施单位的财务和业务管理制度是否健全，用以反映和考核财务和业务管理制度对项目顺利实施的保障情况。</w:t>
            </w: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①是否有完善的财务管理、采购管理、合同管理等制度；</w:t>
            </w:r>
          </w:p>
        </w:tc>
        <w:tc>
          <w:tcPr>
            <w:tcW w:w="534"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 xml:space="preserve">2.88 </w:t>
            </w:r>
          </w:p>
        </w:tc>
        <w:tc>
          <w:tcPr>
            <w:tcW w:w="1962" w:type="dxa"/>
            <w:vMerge w:val="restart"/>
            <w:tcBorders>
              <w:top w:val="nil"/>
              <w:left w:val="nil"/>
              <w:bottom w:val="nil"/>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合同订立缺少时间，合同审批滞后于合同订立时间</w:t>
            </w:r>
          </w:p>
        </w:tc>
      </w:tr>
      <w:tr>
        <w:tblPrEx>
          <w:tblCellMar>
            <w:top w:w="0" w:type="dxa"/>
            <w:left w:w="0" w:type="dxa"/>
            <w:bottom w:w="0" w:type="dxa"/>
            <w:right w:w="0" w:type="dxa"/>
          </w:tblCellMar>
        </w:tblPrEx>
        <w:trPr>
          <w:trHeight w:val="396" w:hRule="atLeast"/>
        </w:trPr>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996"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3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②对所购买服务是否有明确的业务管理制度；</w:t>
            </w:r>
          </w:p>
        </w:tc>
        <w:tc>
          <w:tcPr>
            <w:tcW w:w="534"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62"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r>
      <w:tr>
        <w:tblPrEx>
          <w:tblCellMar>
            <w:top w:w="0" w:type="dxa"/>
            <w:left w:w="0" w:type="dxa"/>
            <w:bottom w:w="0" w:type="dxa"/>
            <w:right w:w="0" w:type="dxa"/>
          </w:tblCellMar>
        </w:tblPrEx>
        <w:trPr>
          <w:trHeight w:val="433" w:hRule="atLeast"/>
        </w:trPr>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996"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3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Style w:val="45"/>
                <w:rFonts w:hint="default"/>
              </w:rPr>
              <w:t>③对所购买服务是否有明确的质量监控制度和验收办法。</w:t>
            </w:r>
          </w:p>
        </w:tc>
        <w:tc>
          <w:tcPr>
            <w:tcW w:w="534"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62"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r>
      <w:tr>
        <w:tblPrEx>
          <w:tblCellMar>
            <w:top w:w="0" w:type="dxa"/>
            <w:left w:w="0" w:type="dxa"/>
            <w:bottom w:w="0" w:type="dxa"/>
            <w:right w:w="0" w:type="dxa"/>
          </w:tblCellMar>
        </w:tblPrEx>
        <w:trPr>
          <w:trHeight w:val="298" w:hRule="atLeast"/>
        </w:trPr>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制度执行有效性</w:t>
            </w:r>
          </w:p>
        </w:tc>
        <w:tc>
          <w:tcPr>
            <w:tcW w:w="877" w:type="dxa"/>
            <w:vMerge w:val="restart"/>
            <w:tcBorders>
              <w:top w:val="nil"/>
              <w:left w:val="nil"/>
              <w:bottom w:val="nil"/>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制度执行有效性</w:t>
            </w:r>
          </w:p>
        </w:tc>
        <w:tc>
          <w:tcPr>
            <w:tcW w:w="996"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（10分）</w:t>
            </w:r>
          </w:p>
        </w:tc>
        <w:tc>
          <w:tcPr>
            <w:tcW w:w="1932"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项目实施是否符合相关管理规定，用以反映和考核相关管理制度的有效执行情况。</w:t>
            </w: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①是否履行了合法合规的采购程序；</w:t>
            </w:r>
          </w:p>
        </w:tc>
        <w:tc>
          <w:tcPr>
            <w:tcW w:w="534"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 xml:space="preserve">8.75 </w:t>
            </w:r>
          </w:p>
        </w:tc>
        <w:tc>
          <w:tcPr>
            <w:tcW w:w="1962" w:type="dxa"/>
            <w:vMerge w:val="restart"/>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季度绩效评价结果信息不够完整；考核量化不足</w:t>
            </w:r>
          </w:p>
        </w:tc>
      </w:tr>
      <w:tr>
        <w:tblPrEx>
          <w:tblCellMar>
            <w:top w:w="0" w:type="dxa"/>
            <w:left w:w="0" w:type="dxa"/>
            <w:bottom w:w="0" w:type="dxa"/>
            <w:right w:w="0" w:type="dxa"/>
          </w:tblCellMar>
        </w:tblPrEx>
        <w:trPr>
          <w:trHeight w:val="462" w:hRule="atLeast"/>
        </w:trPr>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996"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3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②政府购买服务承接主体是否符合政策规定，同等条件下是否优先考虑社会组织，是否执行“拨改买”政策要求；</w:t>
            </w:r>
          </w:p>
        </w:tc>
        <w:tc>
          <w:tcPr>
            <w:tcW w:w="534"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62" w:type="dxa"/>
            <w:vMerge w:val="continue"/>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r>
      <w:tr>
        <w:tblPrEx>
          <w:tblCellMar>
            <w:top w:w="0" w:type="dxa"/>
            <w:left w:w="0" w:type="dxa"/>
            <w:bottom w:w="0" w:type="dxa"/>
            <w:right w:w="0" w:type="dxa"/>
          </w:tblCellMar>
        </w:tblPrEx>
        <w:trPr>
          <w:trHeight w:val="469" w:hRule="atLeast"/>
        </w:trPr>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996"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3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③政府购买服务合同是否有明确的服务内容、期限、数量、质量、价格资金结算方式、各方权利义务和违约责任等内容；</w:t>
            </w:r>
          </w:p>
        </w:tc>
        <w:tc>
          <w:tcPr>
            <w:tcW w:w="534"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62" w:type="dxa"/>
            <w:vMerge w:val="continue"/>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r>
      <w:tr>
        <w:tblPrEx>
          <w:tblCellMar>
            <w:top w:w="0" w:type="dxa"/>
            <w:left w:w="0" w:type="dxa"/>
            <w:bottom w:w="0" w:type="dxa"/>
            <w:right w:w="0" w:type="dxa"/>
          </w:tblCellMar>
        </w:tblPrEx>
        <w:trPr>
          <w:trHeight w:val="685" w:hRule="atLeast"/>
        </w:trPr>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996"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3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④购买主体是否履行了对所购买服务实施过程的监督管理责任;是否对承接主体的工作有检查验收考核等质量监控;承接主体是否存在转包现象;</w:t>
            </w:r>
          </w:p>
        </w:tc>
        <w:tc>
          <w:tcPr>
            <w:tcW w:w="534"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62" w:type="dxa"/>
            <w:vMerge w:val="continue"/>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r>
      <w:tr>
        <w:tblPrEx>
          <w:tblCellMar>
            <w:top w:w="0" w:type="dxa"/>
            <w:left w:w="0" w:type="dxa"/>
            <w:bottom w:w="0" w:type="dxa"/>
            <w:right w:w="0" w:type="dxa"/>
          </w:tblCellMar>
        </w:tblPrEx>
        <w:trPr>
          <w:trHeight w:val="298" w:hRule="atLeast"/>
        </w:trPr>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996"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3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⑤项目验收报告、技术鉴定等资料是否齐全并及时归档。</w:t>
            </w:r>
          </w:p>
        </w:tc>
        <w:tc>
          <w:tcPr>
            <w:tcW w:w="534"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62" w:type="dxa"/>
            <w:vMerge w:val="continue"/>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r>
      <w:tr>
        <w:tblPrEx>
          <w:tblCellMar>
            <w:top w:w="0" w:type="dxa"/>
            <w:left w:w="0" w:type="dxa"/>
            <w:bottom w:w="0" w:type="dxa"/>
            <w:right w:w="0" w:type="dxa"/>
          </w:tblCellMar>
        </w:tblPrEx>
        <w:trPr>
          <w:trHeight w:val="298" w:hRule="atLeast"/>
        </w:trPr>
        <w:tc>
          <w:tcPr>
            <w:tcW w:w="52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产出（30分）</w:t>
            </w:r>
          </w:p>
        </w:tc>
        <w:tc>
          <w:tcPr>
            <w:tcW w:w="875"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产出数量</w:t>
            </w:r>
          </w:p>
        </w:tc>
        <w:tc>
          <w:tcPr>
            <w:tcW w:w="1005" w:type="dxa"/>
            <w:vMerge w:val="restart"/>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（10分）</w:t>
            </w:r>
          </w:p>
        </w:tc>
        <w:tc>
          <w:tcPr>
            <w:tcW w:w="877"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实际完成率</w:t>
            </w:r>
          </w:p>
        </w:tc>
        <w:tc>
          <w:tcPr>
            <w:tcW w:w="877" w:type="dxa"/>
            <w:vMerge w:val="restart"/>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完成率100%</w:t>
            </w:r>
          </w:p>
        </w:tc>
        <w:tc>
          <w:tcPr>
            <w:tcW w:w="996"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（10分）</w:t>
            </w:r>
          </w:p>
        </w:tc>
        <w:tc>
          <w:tcPr>
            <w:tcW w:w="1932"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项目实施的实际完成的功能模块与计划的功能模块比率，用以反映和考核项目产出数量目标的实现程度。</w:t>
            </w: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实际完成率=（实际产出数/计划产出数）×100%。</w:t>
            </w:r>
          </w:p>
        </w:tc>
        <w:tc>
          <w:tcPr>
            <w:tcW w:w="534"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 xml:space="preserve">9.75 </w:t>
            </w:r>
          </w:p>
        </w:tc>
        <w:tc>
          <w:tcPr>
            <w:tcW w:w="1962"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绩效成果的呈现不够充分。绩效自评表及附件11合计送达8075件，汇报总结上8566件；统计表格为8075件，验收时为7638件，对于达到合同额的支撑信息不够充分。且数量指标设定为件次，实际完成量的统计和指标设定之间不够匹配。</w:t>
            </w:r>
          </w:p>
        </w:tc>
      </w:tr>
      <w:tr>
        <w:tblPrEx>
          <w:tblCellMar>
            <w:top w:w="0" w:type="dxa"/>
            <w:left w:w="0" w:type="dxa"/>
            <w:bottom w:w="0" w:type="dxa"/>
            <w:right w:w="0" w:type="dxa"/>
          </w:tblCellMar>
        </w:tblPrEx>
        <w:trPr>
          <w:trHeight w:val="531" w:hRule="atLeast"/>
        </w:trPr>
        <w:tc>
          <w:tcPr>
            <w:tcW w:w="52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996"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3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实际产出数：一定时期（本年度或项目期）内项目实际产出的产品或提供的服务数量。</w:t>
            </w:r>
          </w:p>
        </w:tc>
        <w:tc>
          <w:tcPr>
            <w:tcW w:w="534"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6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r>
      <w:tr>
        <w:tblPrEx>
          <w:tblCellMar>
            <w:top w:w="0" w:type="dxa"/>
            <w:left w:w="0" w:type="dxa"/>
            <w:bottom w:w="0" w:type="dxa"/>
            <w:right w:w="0" w:type="dxa"/>
          </w:tblCellMar>
        </w:tblPrEx>
        <w:trPr>
          <w:trHeight w:val="1423" w:hRule="atLeast"/>
        </w:trPr>
        <w:tc>
          <w:tcPr>
            <w:tcW w:w="52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996"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3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计划产出数：项目绩效目标确定的在一定时期（本年度或项目期）内计划产出的产品或提供的服务数量。如未设定产出数量指标或指标值不合理，则计划产出数应由工作组和专家组综合考虑项目实际情况和行业情况确定。实际产出远高于计划产出数，偏离度过大，超出 20%，应酌情扣分</w:t>
            </w:r>
          </w:p>
        </w:tc>
        <w:tc>
          <w:tcPr>
            <w:tcW w:w="534"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6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r>
      <w:tr>
        <w:tblPrEx>
          <w:tblCellMar>
            <w:top w:w="0" w:type="dxa"/>
            <w:left w:w="0" w:type="dxa"/>
            <w:bottom w:w="0" w:type="dxa"/>
            <w:right w:w="0" w:type="dxa"/>
          </w:tblCellMar>
        </w:tblPrEx>
        <w:trPr>
          <w:trHeight w:val="531" w:hRule="atLeast"/>
        </w:trPr>
        <w:tc>
          <w:tcPr>
            <w:tcW w:w="52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产出质量</w:t>
            </w:r>
          </w:p>
        </w:tc>
        <w:tc>
          <w:tcPr>
            <w:tcW w:w="1005"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（10分）</w:t>
            </w:r>
          </w:p>
        </w:tc>
        <w:tc>
          <w:tcPr>
            <w:tcW w:w="877"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质量达标率</w:t>
            </w:r>
          </w:p>
        </w:tc>
        <w:tc>
          <w:tcPr>
            <w:tcW w:w="877"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验收合格率100%</w:t>
            </w:r>
          </w:p>
        </w:tc>
        <w:tc>
          <w:tcPr>
            <w:tcW w:w="996"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（10分）</w:t>
            </w:r>
          </w:p>
        </w:tc>
        <w:tc>
          <w:tcPr>
            <w:tcW w:w="1932"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项目完成的质量达标产出数与实际产出数的比率，用以反映和考核项目产出质量目标的实现程度。</w:t>
            </w: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质量达标率=（质量达标产出数/实际产出数）×100%。</w:t>
            </w:r>
          </w:p>
        </w:tc>
        <w:tc>
          <w:tcPr>
            <w:tcW w:w="534"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 xml:space="preserve">9.50 </w:t>
            </w:r>
          </w:p>
        </w:tc>
        <w:tc>
          <w:tcPr>
            <w:tcW w:w="1962"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验收报告显示，准确率为98%</w:t>
            </w:r>
          </w:p>
        </w:tc>
      </w:tr>
      <w:tr>
        <w:tblPrEx>
          <w:tblCellMar>
            <w:top w:w="0" w:type="dxa"/>
            <w:left w:w="0" w:type="dxa"/>
            <w:bottom w:w="0" w:type="dxa"/>
            <w:right w:w="0" w:type="dxa"/>
          </w:tblCellMar>
        </w:tblPrEx>
        <w:trPr>
          <w:trHeight w:val="909" w:hRule="atLeast"/>
        </w:trPr>
        <w:tc>
          <w:tcPr>
            <w:tcW w:w="52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996"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3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34"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6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r>
      <w:tr>
        <w:tblPrEx>
          <w:tblCellMar>
            <w:top w:w="0" w:type="dxa"/>
            <w:left w:w="0" w:type="dxa"/>
            <w:bottom w:w="0" w:type="dxa"/>
            <w:right w:w="0" w:type="dxa"/>
          </w:tblCellMar>
        </w:tblPrEx>
        <w:trPr>
          <w:trHeight w:val="764" w:hRule="atLeast"/>
        </w:trPr>
        <w:tc>
          <w:tcPr>
            <w:tcW w:w="52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产出时效</w:t>
            </w:r>
          </w:p>
        </w:tc>
        <w:tc>
          <w:tcPr>
            <w:tcW w:w="1005"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（5分）</w:t>
            </w:r>
          </w:p>
        </w:tc>
        <w:tc>
          <w:tcPr>
            <w:tcW w:w="877"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完成及时性</w:t>
            </w:r>
          </w:p>
        </w:tc>
        <w:tc>
          <w:tcPr>
            <w:tcW w:w="877"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按时完成</w:t>
            </w:r>
          </w:p>
        </w:tc>
        <w:tc>
          <w:tcPr>
            <w:tcW w:w="996"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（5分）</w:t>
            </w:r>
          </w:p>
        </w:tc>
        <w:tc>
          <w:tcPr>
            <w:tcW w:w="1932"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项目实际完成时间与计划完成时间的比较，用以反映和考核项目产出时效目标的实现程度。</w:t>
            </w: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实际完成时间：项目实施单位完成该项目实际所耗用的时间。</w:t>
            </w:r>
          </w:p>
        </w:tc>
        <w:tc>
          <w:tcPr>
            <w:tcW w:w="534"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 xml:space="preserve">4.63 </w:t>
            </w:r>
          </w:p>
        </w:tc>
        <w:tc>
          <w:tcPr>
            <w:tcW w:w="1962"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统计表显示按时送达8075件，按时送达率为98%</w:t>
            </w:r>
          </w:p>
        </w:tc>
      </w:tr>
      <w:tr>
        <w:tblPrEx>
          <w:tblCellMar>
            <w:top w:w="0" w:type="dxa"/>
            <w:left w:w="0" w:type="dxa"/>
            <w:bottom w:w="0" w:type="dxa"/>
            <w:right w:w="0" w:type="dxa"/>
          </w:tblCellMar>
        </w:tblPrEx>
        <w:trPr>
          <w:trHeight w:val="604" w:hRule="atLeast"/>
        </w:trPr>
        <w:tc>
          <w:tcPr>
            <w:tcW w:w="52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996"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3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计划完成时间：按照项目实施计划或相关规定完成该项目所需的时间。</w:t>
            </w:r>
          </w:p>
        </w:tc>
        <w:tc>
          <w:tcPr>
            <w:tcW w:w="534"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6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r>
      <w:tr>
        <w:tblPrEx>
          <w:tblCellMar>
            <w:top w:w="0" w:type="dxa"/>
            <w:left w:w="0" w:type="dxa"/>
            <w:bottom w:w="0" w:type="dxa"/>
            <w:right w:w="0" w:type="dxa"/>
          </w:tblCellMar>
        </w:tblPrEx>
        <w:trPr>
          <w:trHeight w:val="518" w:hRule="atLeast"/>
        </w:trPr>
        <w:tc>
          <w:tcPr>
            <w:tcW w:w="52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产出成本</w:t>
            </w:r>
          </w:p>
        </w:tc>
        <w:tc>
          <w:tcPr>
            <w:tcW w:w="1005"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（5分）</w:t>
            </w:r>
          </w:p>
        </w:tc>
        <w:tc>
          <w:tcPr>
            <w:tcW w:w="877"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成本节约率</w:t>
            </w:r>
          </w:p>
        </w:tc>
        <w:tc>
          <w:tcPr>
            <w:tcW w:w="877"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≤192万元</w:t>
            </w:r>
          </w:p>
        </w:tc>
        <w:tc>
          <w:tcPr>
            <w:tcW w:w="996"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（5分）</w:t>
            </w:r>
          </w:p>
        </w:tc>
        <w:tc>
          <w:tcPr>
            <w:tcW w:w="1932"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完成项目计划工作目标的实际节约成本与计划成本的比率，用以反映和考核项目的成本节约程度。</w:t>
            </w: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成本节约率=[（计划成本-实际成本）/计划成本]×100%。</w:t>
            </w:r>
          </w:p>
        </w:tc>
        <w:tc>
          <w:tcPr>
            <w:tcW w:w="534"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 xml:space="preserve">5.00 </w:t>
            </w:r>
          </w:p>
        </w:tc>
        <w:tc>
          <w:tcPr>
            <w:tcW w:w="1962"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r>
      <w:tr>
        <w:tblPrEx>
          <w:tblCellMar>
            <w:top w:w="0" w:type="dxa"/>
            <w:left w:w="0" w:type="dxa"/>
            <w:bottom w:w="0" w:type="dxa"/>
            <w:right w:w="0" w:type="dxa"/>
          </w:tblCellMar>
        </w:tblPrEx>
        <w:trPr>
          <w:trHeight w:val="462" w:hRule="atLeast"/>
        </w:trPr>
        <w:tc>
          <w:tcPr>
            <w:tcW w:w="52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996"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3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实际成本：项目实施单位如期、保质、保量完成既定工作目标实际所耗费的支出。</w:t>
            </w:r>
          </w:p>
        </w:tc>
        <w:tc>
          <w:tcPr>
            <w:tcW w:w="534"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6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r>
      <w:tr>
        <w:tblPrEx>
          <w:tblCellMar>
            <w:top w:w="0" w:type="dxa"/>
            <w:left w:w="0" w:type="dxa"/>
            <w:bottom w:w="0" w:type="dxa"/>
            <w:right w:w="0" w:type="dxa"/>
          </w:tblCellMar>
        </w:tblPrEx>
        <w:trPr>
          <w:trHeight w:val="462" w:hRule="atLeast"/>
        </w:trPr>
        <w:tc>
          <w:tcPr>
            <w:tcW w:w="52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996"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3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计划成本：项目实施单位为完成工作目标计划安排的支出，一般以项目预算为参考。</w:t>
            </w:r>
          </w:p>
        </w:tc>
        <w:tc>
          <w:tcPr>
            <w:tcW w:w="534"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6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r>
      <w:tr>
        <w:tblPrEx>
          <w:tblCellMar>
            <w:top w:w="0" w:type="dxa"/>
            <w:left w:w="0" w:type="dxa"/>
            <w:bottom w:w="0" w:type="dxa"/>
            <w:right w:w="0" w:type="dxa"/>
          </w:tblCellMar>
        </w:tblPrEx>
        <w:trPr>
          <w:trHeight w:val="617" w:hRule="atLeast"/>
        </w:trPr>
        <w:tc>
          <w:tcPr>
            <w:tcW w:w="52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 xml:space="preserve">效益（30分） </w:t>
            </w:r>
          </w:p>
        </w:tc>
        <w:tc>
          <w:tcPr>
            <w:tcW w:w="875"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 xml:space="preserve">项目效益 </w:t>
            </w:r>
          </w:p>
        </w:tc>
        <w:tc>
          <w:tcPr>
            <w:tcW w:w="1005" w:type="dxa"/>
            <w:vMerge w:val="restart"/>
            <w:tcBorders>
              <w:top w:val="nil"/>
              <w:left w:val="nil"/>
              <w:bottom w:val="nil"/>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（20分）</w:t>
            </w:r>
          </w:p>
        </w:tc>
        <w:tc>
          <w:tcPr>
            <w:tcW w:w="877" w:type="dxa"/>
            <w:vMerge w:val="restart"/>
            <w:tcBorders>
              <w:top w:val="nil"/>
              <w:left w:val="nil"/>
              <w:bottom w:val="nil"/>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实施效益</w:t>
            </w:r>
          </w:p>
        </w:tc>
        <w:tc>
          <w:tcPr>
            <w:tcW w:w="877"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经济效益</w:t>
            </w:r>
          </w:p>
        </w:tc>
        <w:tc>
          <w:tcPr>
            <w:tcW w:w="996"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（2分）</w:t>
            </w:r>
          </w:p>
        </w:tc>
        <w:tc>
          <w:tcPr>
            <w:tcW w:w="1932"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提升案件送达效率和质量</w:t>
            </w: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规范送达工作，减轻法院“案多人少”的压力，提升案件送达效率和质量。</w:t>
            </w:r>
          </w:p>
        </w:tc>
        <w:tc>
          <w:tcPr>
            <w:tcW w:w="534"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 xml:space="preserve">2.00 </w:t>
            </w:r>
          </w:p>
        </w:tc>
        <w:tc>
          <w:tcPr>
            <w:tcW w:w="1962"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eastAsia="宋体" w:cs="宋体"/>
                <w:color w:val="000000"/>
                <w:sz w:val="18"/>
                <w:szCs w:val="18"/>
              </w:rPr>
            </w:pPr>
          </w:p>
        </w:tc>
      </w:tr>
      <w:tr>
        <w:tblPrEx>
          <w:tblCellMar>
            <w:top w:w="0" w:type="dxa"/>
            <w:left w:w="0" w:type="dxa"/>
            <w:bottom w:w="0" w:type="dxa"/>
            <w:right w:w="0" w:type="dxa"/>
          </w:tblCellMar>
        </w:tblPrEx>
        <w:trPr>
          <w:trHeight w:val="909" w:hRule="atLeast"/>
        </w:trPr>
        <w:tc>
          <w:tcPr>
            <w:tcW w:w="52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社会效益</w:t>
            </w:r>
          </w:p>
        </w:tc>
        <w:tc>
          <w:tcPr>
            <w:tcW w:w="996"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（8分）</w:t>
            </w:r>
          </w:p>
        </w:tc>
        <w:tc>
          <w:tcPr>
            <w:tcW w:w="1932"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规范证据交换、公告送达缓解审判团队压力，为公众提供更加专业优质的法律服务</w:t>
            </w: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规范证据交换、公告送达缓解审判团队压力，为公众提供更加专业优质的法律服务</w:t>
            </w:r>
          </w:p>
        </w:tc>
        <w:tc>
          <w:tcPr>
            <w:tcW w:w="534"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 xml:space="preserve">6.63 </w:t>
            </w:r>
          </w:p>
        </w:tc>
        <w:tc>
          <w:tcPr>
            <w:tcW w:w="1962"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支撑信息不够充分</w:t>
            </w:r>
          </w:p>
        </w:tc>
      </w:tr>
      <w:tr>
        <w:tblPrEx>
          <w:tblCellMar>
            <w:top w:w="0" w:type="dxa"/>
            <w:left w:w="0" w:type="dxa"/>
            <w:bottom w:w="0" w:type="dxa"/>
            <w:right w:w="0" w:type="dxa"/>
          </w:tblCellMar>
        </w:tblPrEx>
        <w:trPr>
          <w:trHeight w:val="617" w:hRule="atLeast"/>
        </w:trPr>
        <w:tc>
          <w:tcPr>
            <w:tcW w:w="52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nil"/>
              <w:left w:val="nil"/>
              <w:bottom w:val="nil"/>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可持续影响</w:t>
            </w:r>
          </w:p>
        </w:tc>
        <w:tc>
          <w:tcPr>
            <w:tcW w:w="996"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（10分）</w:t>
            </w:r>
          </w:p>
        </w:tc>
        <w:tc>
          <w:tcPr>
            <w:tcW w:w="1932"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案件送达流程和案件信息库得到细化完善</w:t>
            </w:r>
          </w:p>
        </w:tc>
        <w:tc>
          <w:tcPr>
            <w:tcW w:w="452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案件送达流程和案件信息库得到细化完善</w:t>
            </w:r>
          </w:p>
        </w:tc>
        <w:tc>
          <w:tcPr>
            <w:tcW w:w="534"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 xml:space="preserve">9.00 </w:t>
            </w:r>
          </w:p>
        </w:tc>
        <w:tc>
          <w:tcPr>
            <w:tcW w:w="1962"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支撑信息不够充分</w:t>
            </w:r>
          </w:p>
        </w:tc>
      </w:tr>
      <w:tr>
        <w:tblPrEx>
          <w:tblCellMar>
            <w:top w:w="0" w:type="dxa"/>
            <w:left w:w="0" w:type="dxa"/>
            <w:bottom w:w="0" w:type="dxa"/>
            <w:right w:w="0" w:type="dxa"/>
          </w:tblCellMar>
        </w:tblPrEx>
        <w:trPr>
          <w:trHeight w:val="592" w:hRule="atLeast"/>
        </w:trPr>
        <w:tc>
          <w:tcPr>
            <w:tcW w:w="52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restart"/>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（10分）</w:t>
            </w:r>
          </w:p>
        </w:tc>
        <w:tc>
          <w:tcPr>
            <w:tcW w:w="877" w:type="dxa"/>
            <w:vMerge w:val="restart"/>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满意度</w:t>
            </w:r>
          </w:p>
        </w:tc>
        <w:tc>
          <w:tcPr>
            <w:tcW w:w="877"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满意度调查</w:t>
            </w:r>
          </w:p>
        </w:tc>
        <w:tc>
          <w:tcPr>
            <w:tcW w:w="996"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（5分）</w:t>
            </w:r>
          </w:p>
        </w:tc>
        <w:tc>
          <w:tcPr>
            <w:tcW w:w="1932"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社会公众或服务对象对项目实施效果的满意程度。</w:t>
            </w:r>
          </w:p>
        </w:tc>
        <w:tc>
          <w:tcPr>
            <w:tcW w:w="4520"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当事人以及审判工作人员对司法送达服务的满意度。一般采取社会问卷调查的方式。</w:t>
            </w:r>
          </w:p>
        </w:tc>
        <w:tc>
          <w:tcPr>
            <w:tcW w:w="534"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 xml:space="preserve">8.13 </w:t>
            </w:r>
          </w:p>
        </w:tc>
        <w:tc>
          <w:tcPr>
            <w:tcW w:w="1962" w:type="dxa"/>
            <w:vMerge w:val="restart"/>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样本量为22个，较少，且满意度调查内容简单，满意度调查和分析不足。</w:t>
            </w:r>
          </w:p>
        </w:tc>
      </w:tr>
      <w:tr>
        <w:tblPrEx>
          <w:tblCellMar>
            <w:top w:w="0" w:type="dxa"/>
            <w:left w:w="0" w:type="dxa"/>
            <w:bottom w:w="0" w:type="dxa"/>
            <w:right w:w="0" w:type="dxa"/>
          </w:tblCellMar>
        </w:tblPrEx>
        <w:trPr>
          <w:trHeight w:val="592" w:hRule="atLeast"/>
        </w:trPr>
        <w:tc>
          <w:tcPr>
            <w:tcW w:w="52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5"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005" w:type="dxa"/>
            <w:vMerge w:val="continue"/>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vMerge w:val="continue"/>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877"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满意度调查分析</w:t>
            </w:r>
          </w:p>
        </w:tc>
        <w:tc>
          <w:tcPr>
            <w:tcW w:w="996"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（5分）</w:t>
            </w:r>
          </w:p>
        </w:tc>
        <w:tc>
          <w:tcPr>
            <w:tcW w:w="193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4520"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534"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c>
          <w:tcPr>
            <w:tcW w:w="1962" w:type="dxa"/>
            <w:vMerge w:val="continue"/>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rPr>
                <w:rFonts w:ascii="Times New Roman" w:hAnsi="Times New Roman" w:cs="Times New Roman"/>
                <w:sz w:val="20"/>
                <w:szCs w:val="20"/>
              </w:rPr>
            </w:pPr>
          </w:p>
        </w:tc>
      </w:tr>
      <w:tr>
        <w:tblPrEx>
          <w:tblCellMar>
            <w:top w:w="0" w:type="dxa"/>
            <w:left w:w="0" w:type="dxa"/>
            <w:bottom w:w="0" w:type="dxa"/>
            <w:right w:w="0" w:type="dxa"/>
          </w:tblCellMar>
        </w:tblPrEx>
        <w:trPr>
          <w:trHeight w:val="379" w:hRule="atLeast"/>
        </w:trPr>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合计</w:t>
            </w:r>
          </w:p>
        </w:tc>
        <w:tc>
          <w:tcPr>
            <w:tcW w:w="1005"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（100分）</w:t>
            </w:r>
          </w:p>
        </w:tc>
        <w:tc>
          <w:tcPr>
            <w:tcW w:w="877"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18"/>
                <w:szCs w:val="18"/>
              </w:rPr>
            </w:pPr>
          </w:p>
        </w:tc>
        <w:tc>
          <w:tcPr>
            <w:tcW w:w="877"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18"/>
                <w:szCs w:val="18"/>
              </w:rPr>
            </w:pPr>
          </w:p>
        </w:tc>
        <w:tc>
          <w:tcPr>
            <w:tcW w:w="996"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（100分）</w:t>
            </w:r>
          </w:p>
        </w:tc>
        <w:tc>
          <w:tcPr>
            <w:tcW w:w="6452"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18"/>
                <w:szCs w:val="18"/>
              </w:rPr>
            </w:pPr>
          </w:p>
        </w:tc>
        <w:tc>
          <w:tcPr>
            <w:tcW w:w="534"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88.95</w:t>
            </w:r>
          </w:p>
        </w:tc>
        <w:tc>
          <w:tcPr>
            <w:tcW w:w="1962"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eastAsia="宋体" w:cs="宋体"/>
                <w:color w:val="000000"/>
                <w:sz w:val="18"/>
                <w:szCs w:val="18"/>
              </w:rPr>
            </w:pPr>
          </w:p>
        </w:tc>
      </w:tr>
    </w:tbl>
    <w:p>
      <w:pPr>
        <w:widowControl/>
        <w:spacing w:line="520" w:lineRule="atLeast"/>
        <w:jc w:val="left"/>
        <w:rPr>
          <w:rFonts w:ascii="仿宋_GB2312" w:hAnsi="仿宋" w:eastAsia="仿宋_GB2312" w:cs="Times New Roman"/>
          <w:kern w:val="0"/>
          <w:szCs w:val="21"/>
          <w:lang w:bidi="en-US"/>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CF3C52" w:usb2="00000016" w:usb3="00000000" w:csb0="0004001F"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58420" cy="139700"/>
              <wp:effectExtent l="0" t="0" r="1270" b="12700"/>
              <wp:wrapNone/>
              <wp:docPr id="3" name="文本框 3"/>
              <wp:cNvGraphicFramePr/>
              <a:graphic xmlns:a="http://schemas.openxmlformats.org/drawingml/2006/main">
                <a:graphicData uri="http://schemas.microsoft.com/office/word/2010/wordprocessingShape">
                  <wps:wsp>
                    <wps:cNvSpPr txBox="true"/>
                    <wps:spPr>
                      <a:xfrm>
                        <a:off x="0" y="0"/>
                        <a:ext cx="58420" cy="139700"/>
                      </a:xfrm>
                      <a:prstGeom prst="rect">
                        <a:avLst/>
                      </a:prstGeom>
                      <a:noFill/>
                      <a:ln w="6350">
                        <a:noFill/>
                      </a:ln>
                    </wps:spPr>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1pt;width:4.6pt;mso-position-horizontal:right;mso-position-horizontal-relative:margin;mso-wrap-style:none;z-index:251659264;mso-width-relative:page;mso-height-relative:page;" filled="f" stroked="f" coordsize="21600,21600" o:gfxdata="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DvbGRr0QAAAAIBAAAPAAAAAAAAAAEAIAAAADgAAABkcnMvZG93bnJldi54bWxQSwECFAAUAAAA&#10;CACHTuJAALj05BgCAAAWBAAADgAAAAAAAAABACAAAAA2AQAAZHJzL2Uyb0RvYy54bWxQSwUGAAAA&#10;AAYABgBZAQAAwA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1003ED"/>
    <w:multiLevelType w:val="singleLevel"/>
    <w:tmpl w:val="801003ED"/>
    <w:lvl w:ilvl="0" w:tentative="0">
      <w:start w:val="1"/>
      <w:numFmt w:val="decimal"/>
      <w:suff w:val="nothing"/>
      <w:lvlText w:val="（%1）"/>
      <w:lvlJc w:val="left"/>
      <w:pPr>
        <w:ind w:left="640" w:firstLine="0"/>
      </w:pPr>
    </w:lvl>
  </w:abstractNum>
  <w:abstractNum w:abstractNumId="1">
    <w:nsid w:val="8320A65E"/>
    <w:multiLevelType w:val="singleLevel"/>
    <w:tmpl w:val="8320A65E"/>
    <w:lvl w:ilvl="0" w:tentative="0">
      <w:start w:val="1"/>
      <w:numFmt w:val="chineseCounting"/>
      <w:suff w:val="nothing"/>
      <w:lvlText w:val="%1、"/>
      <w:lvlJc w:val="left"/>
      <w:pPr>
        <w:ind w:left="0" w:firstLine="420"/>
      </w:pPr>
      <w:rPr>
        <w:rFonts w:hint="eastAsia"/>
      </w:rPr>
    </w:lvl>
  </w:abstractNum>
  <w:abstractNum w:abstractNumId="2">
    <w:nsid w:val="9750FE19"/>
    <w:multiLevelType w:val="singleLevel"/>
    <w:tmpl w:val="9750FE19"/>
    <w:lvl w:ilvl="0" w:tentative="0">
      <w:start w:val="1"/>
      <w:numFmt w:val="chineseCounting"/>
      <w:suff w:val="nothing"/>
      <w:lvlText w:val="（%1）"/>
      <w:lvlJc w:val="left"/>
      <w:pPr>
        <w:ind w:left="0" w:firstLine="420"/>
      </w:pPr>
      <w:rPr>
        <w:rFonts w:hint="eastAsia"/>
      </w:rPr>
    </w:lvl>
  </w:abstractNum>
  <w:abstractNum w:abstractNumId="3">
    <w:nsid w:val="B3B88104"/>
    <w:multiLevelType w:val="singleLevel"/>
    <w:tmpl w:val="B3B88104"/>
    <w:lvl w:ilvl="0" w:tentative="0">
      <w:start w:val="1"/>
      <w:numFmt w:val="decimal"/>
      <w:suff w:val="nothing"/>
      <w:lvlText w:val="（%1）"/>
      <w:lvlJc w:val="left"/>
    </w:lvl>
  </w:abstractNum>
  <w:abstractNum w:abstractNumId="4">
    <w:nsid w:val="B557A7DB"/>
    <w:multiLevelType w:val="singleLevel"/>
    <w:tmpl w:val="B557A7DB"/>
    <w:lvl w:ilvl="0" w:tentative="0">
      <w:start w:val="1"/>
      <w:numFmt w:val="chineseCounting"/>
      <w:suff w:val="nothing"/>
      <w:lvlText w:val="（%1）"/>
      <w:lvlJc w:val="left"/>
      <w:pPr>
        <w:ind w:left="0" w:firstLine="420"/>
      </w:pPr>
      <w:rPr>
        <w:rFonts w:hint="eastAsia"/>
      </w:rPr>
    </w:lvl>
  </w:abstractNum>
  <w:abstractNum w:abstractNumId="5">
    <w:nsid w:val="CD296E4C"/>
    <w:multiLevelType w:val="singleLevel"/>
    <w:tmpl w:val="CD296E4C"/>
    <w:lvl w:ilvl="0" w:tentative="0">
      <w:start w:val="1"/>
      <w:numFmt w:val="chineseCounting"/>
      <w:suff w:val="nothing"/>
      <w:lvlText w:val="（%1）"/>
      <w:lvlJc w:val="left"/>
      <w:pPr>
        <w:ind w:left="0" w:firstLine="420"/>
      </w:pPr>
      <w:rPr>
        <w:rFonts w:hint="eastAsia"/>
      </w:rPr>
    </w:lvl>
  </w:abstractNum>
  <w:abstractNum w:abstractNumId="6">
    <w:nsid w:val="CE30C9CC"/>
    <w:multiLevelType w:val="singleLevel"/>
    <w:tmpl w:val="CE30C9CC"/>
    <w:lvl w:ilvl="0" w:tentative="0">
      <w:start w:val="1"/>
      <w:numFmt w:val="chineseCounting"/>
      <w:suff w:val="nothing"/>
      <w:lvlText w:val="（%1）"/>
      <w:lvlJc w:val="left"/>
      <w:pPr>
        <w:ind w:left="0" w:firstLine="420"/>
      </w:pPr>
      <w:rPr>
        <w:rFonts w:hint="eastAsia"/>
      </w:rPr>
    </w:lvl>
  </w:abstractNum>
  <w:abstractNum w:abstractNumId="7">
    <w:nsid w:val="0F7AB233"/>
    <w:multiLevelType w:val="multilevel"/>
    <w:tmpl w:val="0F7AB233"/>
    <w:lvl w:ilvl="0" w:tentative="0">
      <w:start w:val="1"/>
      <w:numFmt w:val="chineseCounting"/>
      <w:suff w:val="nothing"/>
      <w:lvlText w:val="%1、"/>
      <w:lvlJc w:val="left"/>
      <w:pPr>
        <w:ind w:left="0" w:firstLine="400"/>
      </w:pPr>
      <w:rPr>
        <w:rFonts w:hint="eastAsia"/>
      </w:rPr>
    </w:lvl>
    <w:lvl w:ilvl="1" w:tentative="0">
      <w:start w:val="1"/>
      <w:numFmt w:val="decimal"/>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8">
    <w:nsid w:val="3DD6BE6C"/>
    <w:multiLevelType w:val="singleLevel"/>
    <w:tmpl w:val="3DD6BE6C"/>
    <w:lvl w:ilvl="0" w:tentative="0">
      <w:start w:val="1"/>
      <w:numFmt w:val="decimal"/>
      <w:suff w:val="nothing"/>
      <w:lvlText w:val="%1．"/>
      <w:lvlJc w:val="left"/>
      <w:pPr>
        <w:ind w:left="0" w:firstLine="400"/>
      </w:pPr>
      <w:rPr>
        <w:rFonts w:hint="default"/>
      </w:rPr>
    </w:lvl>
  </w:abstractNum>
  <w:abstractNum w:abstractNumId="9">
    <w:nsid w:val="44F120BD"/>
    <w:multiLevelType w:val="singleLevel"/>
    <w:tmpl w:val="44F120BD"/>
    <w:lvl w:ilvl="0" w:tentative="0">
      <w:start w:val="1"/>
      <w:numFmt w:val="decimal"/>
      <w:suff w:val="nothing"/>
      <w:lvlText w:val="%1．"/>
      <w:lvlJc w:val="left"/>
      <w:pPr>
        <w:ind w:left="0" w:firstLine="400"/>
      </w:pPr>
      <w:rPr>
        <w:rFonts w:hint="default"/>
      </w:rPr>
    </w:lvl>
  </w:abstractNum>
  <w:abstractNum w:abstractNumId="10">
    <w:nsid w:val="5D1403D9"/>
    <w:multiLevelType w:val="multilevel"/>
    <w:tmpl w:val="5D1403D9"/>
    <w:lvl w:ilvl="0" w:tentative="0">
      <w:start w:val="2"/>
      <w:numFmt w:val="japaneseCounting"/>
      <w:lvlText w:val="（%1）"/>
      <w:lvlJc w:val="left"/>
      <w:pPr>
        <w:ind w:left="1720" w:hanging="1080"/>
      </w:pPr>
      <w:rPr>
        <w:rFonts w:hint="default" w:ascii="楷体_GB2312" w:hAnsi="楷体_GB2312" w:eastAsia="楷体_GB2312" w:cs="楷体_GB2312"/>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1">
    <w:nsid w:val="68085586"/>
    <w:multiLevelType w:val="singleLevel"/>
    <w:tmpl w:val="68085586"/>
    <w:lvl w:ilvl="0" w:tentative="0">
      <w:start w:val="1"/>
      <w:numFmt w:val="decimal"/>
      <w:suff w:val="nothing"/>
      <w:lvlText w:val="%1．"/>
      <w:lvlJc w:val="left"/>
      <w:pPr>
        <w:ind w:left="0" w:firstLine="400"/>
      </w:pPr>
      <w:rPr>
        <w:rFonts w:hint="default"/>
      </w:rPr>
    </w:lvl>
  </w:abstractNum>
  <w:abstractNum w:abstractNumId="12">
    <w:nsid w:val="7760CF9C"/>
    <w:multiLevelType w:val="singleLevel"/>
    <w:tmpl w:val="7760CF9C"/>
    <w:lvl w:ilvl="0" w:tentative="0">
      <w:start w:val="1"/>
      <w:numFmt w:val="chineseCounting"/>
      <w:suff w:val="nothing"/>
      <w:lvlText w:val="（%1）"/>
      <w:lvlJc w:val="left"/>
      <w:pPr>
        <w:ind w:left="0" w:firstLine="420"/>
      </w:pPr>
      <w:rPr>
        <w:rFonts w:hint="eastAsia"/>
      </w:rPr>
    </w:lvl>
  </w:abstractNum>
  <w:abstractNum w:abstractNumId="13">
    <w:nsid w:val="7D465CD0"/>
    <w:multiLevelType w:val="singleLevel"/>
    <w:tmpl w:val="7D465CD0"/>
    <w:lvl w:ilvl="0" w:tentative="0">
      <w:start w:val="1"/>
      <w:numFmt w:val="decimal"/>
      <w:suff w:val="nothing"/>
      <w:lvlText w:val="%1．"/>
      <w:lvlJc w:val="left"/>
      <w:pPr>
        <w:ind w:left="0" w:firstLine="400"/>
      </w:pPr>
      <w:rPr>
        <w:rFonts w:hint="default"/>
      </w:rPr>
    </w:lvl>
  </w:abstractNum>
  <w:num w:numId="1">
    <w:abstractNumId w:val="1"/>
  </w:num>
  <w:num w:numId="2">
    <w:abstractNumId w:val="12"/>
  </w:num>
  <w:num w:numId="3">
    <w:abstractNumId w:val="4"/>
  </w:num>
  <w:num w:numId="4">
    <w:abstractNumId w:val="10"/>
  </w:num>
  <w:num w:numId="5">
    <w:abstractNumId w:val="2"/>
  </w:num>
  <w:num w:numId="6">
    <w:abstractNumId w:val="8"/>
  </w:num>
  <w:num w:numId="7">
    <w:abstractNumId w:val="9"/>
  </w:num>
  <w:num w:numId="8">
    <w:abstractNumId w:val="0"/>
  </w:num>
  <w:num w:numId="9">
    <w:abstractNumId w:val="7"/>
  </w:num>
  <w:num w:numId="10">
    <w:abstractNumId w:val="11"/>
  </w:num>
  <w:num w:numId="11">
    <w:abstractNumId w:val="13"/>
  </w:num>
  <w:num w:numId="12">
    <w:abstractNumId w:val="3"/>
  </w:num>
  <w:num w:numId="13">
    <w:abstractNumId w:val="6"/>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QxNDdhMjBiZmM4NmI4MGM0MzRlZTUwMDUyZjkxYzcifQ=="/>
  </w:docVars>
  <w:rsids>
    <w:rsidRoot w:val="004824CF"/>
    <w:rsid w:val="000113AD"/>
    <w:rsid w:val="000116E3"/>
    <w:rsid w:val="000120A3"/>
    <w:rsid w:val="00017A8A"/>
    <w:rsid w:val="00027EF1"/>
    <w:rsid w:val="00030E57"/>
    <w:rsid w:val="00031B71"/>
    <w:rsid w:val="000470B5"/>
    <w:rsid w:val="00047CA8"/>
    <w:rsid w:val="00051071"/>
    <w:rsid w:val="00061F38"/>
    <w:rsid w:val="00062C04"/>
    <w:rsid w:val="000847AF"/>
    <w:rsid w:val="000A4A46"/>
    <w:rsid w:val="000A7A1A"/>
    <w:rsid w:val="000B347C"/>
    <w:rsid w:val="000B777A"/>
    <w:rsid w:val="000C310D"/>
    <w:rsid w:val="000C3A23"/>
    <w:rsid w:val="000C662E"/>
    <w:rsid w:val="000D1468"/>
    <w:rsid w:val="000D3B57"/>
    <w:rsid w:val="000F0C0F"/>
    <w:rsid w:val="000F7E5D"/>
    <w:rsid w:val="001004C5"/>
    <w:rsid w:val="00101119"/>
    <w:rsid w:val="00106F7F"/>
    <w:rsid w:val="0011296F"/>
    <w:rsid w:val="001177C1"/>
    <w:rsid w:val="00124BFA"/>
    <w:rsid w:val="0014520C"/>
    <w:rsid w:val="00145727"/>
    <w:rsid w:val="00145AE8"/>
    <w:rsid w:val="00146E66"/>
    <w:rsid w:val="001519A9"/>
    <w:rsid w:val="00153BD5"/>
    <w:rsid w:val="00176EB8"/>
    <w:rsid w:val="001822CD"/>
    <w:rsid w:val="0018651E"/>
    <w:rsid w:val="001874E2"/>
    <w:rsid w:val="001919C2"/>
    <w:rsid w:val="001937DB"/>
    <w:rsid w:val="001A09D0"/>
    <w:rsid w:val="001A1752"/>
    <w:rsid w:val="001A3E81"/>
    <w:rsid w:val="001E02E7"/>
    <w:rsid w:val="001E6F98"/>
    <w:rsid w:val="001F5575"/>
    <w:rsid w:val="00200A7F"/>
    <w:rsid w:val="00211C70"/>
    <w:rsid w:val="002460B1"/>
    <w:rsid w:val="00246EE4"/>
    <w:rsid w:val="0025099B"/>
    <w:rsid w:val="00250B4B"/>
    <w:rsid w:val="002675C2"/>
    <w:rsid w:val="0027082C"/>
    <w:rsid w:val="00270D84"/>
    <w:rsid w:val="00275677"/>
    <w:rsid w:val="00287F7E"/>
    <w:rsid w:val="0029037F"/>
    <w:rsid w:val="002A1EA8"/>
    <w:rsid w:val="002A431A"/>
    <w:rsid w:val="002A63D3"/>
    <w:rsid w:val="002C06F4"/>
    <w:rsid w:val="002C27DF"/>
    <w:rsid w:val="002D0AAC"/>
    <w:rsid w:val="002D184A"/>
    <w:rsid w:val="002D2472"/>
    <w:rsid w:val="002D2D1C"/>
    <w:rsid w:val="002D782B"/>
    <w:rsid w:val="002E378B"/>
    <w:rsid w:val="002F35CA"/>
    <w:rsid w:val="00301EF3"/>
    <w:rsid w:val="00307088"/>
    <w:rsid w:val="0031046C"/>
    <w:rsid w:val="00312255"/>
    <w:rsid w:val="00313862"/>
    <w:rsid w:val="00320E2B"/>
    <w:rsid w:val="003268B4"/>
    <w:rsid w:val="00327B49"/>
    <w:rsid w:val="00336665"/>
    <w:rsid w:val="00347422"/>
    <w:rsid w:val="00354D5E"/>
    <w:rsid w:val="003556D5"/>
    <w:rsid w:val="00387403"/>
    <w:rsid w:val="00394A41"/>
    <w:rsid w:val="003A1BFB"/>
    <w:rsid w:val="003B64C0"/>
    <w:rsid w:val="003C06E3"/>
    <w:rsid w:val="003D27EC"/>
    <w:rsid w:val="003D64A6"/>
    <w:rsid w:val="003D6BAF"/>
    <w:rsid w:val="003D7214"/>
    <w:rsid w:val="003F6A00"/>
    <w:rsid w:val="00404407"/>
    <w:rsid w:val="00407005"/>
    <w:rsid w:val="0040755A"/>
    <w:rsid w:val="00424462"/>
    <w:rsid w:val="00425818"/>
    <w:rsid w:val="00427CD2"/>
    <w:rsid w:val="00431894"/>
    <w:rsid w:val="00434DFA"/>
    <w:rsid w:val="00453294"/>
    <w:rsid w:val="004603EC"/>
    <w:rsid w:val="004645C5"/>
    <w:rsid w:val="004824CF"/>
    <w:rsid w:val="004855E5"/>
    <w:rsid w:val="00486024"/>
    <w:rsid w:val="0048650A"/>
    <w:rsid w:val="00490CB0"/>
    <w:rsid w:val="004A3D6E"/>
    <w:rsid w:val="004A47D1"/>
    <w:rsid w:val="004B2099"/>
    <w:rsid w:val="004B25D3"/>
    <w:rsid w:val="004C3BA2"/>
    <w:rsid w:val="004D5207"/>
    <w:rsid w:val="004D66AB"/>
    <w:rsid w:val="004D6BFA"/>
    <w:rsid w:val="004E485B"/>
    <w:rsid w:val="004F4841"/>
    <w:rsid w:val="00510D33"/>
    <w:rsid w:val="005114F8"/>
    <w:rsid w:val="00512E92"/>
    <w:rsid w:val="00514C3D"/>
    <w:rsid w:val="00521DAE"/>
    <w:rsid w:val="005348FE"/>
    <w:rsid w:val="00534AAB"/>
    <w:rsid w:val="0054037B"/>
    <w:rsid w:val="00555466"/>
    <w:rsid w:val="0055753B"/>
    <w:rsid w:val="00571E86"/>
    <w:rsid w:val="00573425"/>
    <w:rsid w:val="0058068B"/>
    <w:rsid w:val="00584E12"/>
    <w:rsid w:val="005B097F"/>
    <w:rsid w:val="005C1710"/>
    <w:rsid w:val="005C1CD3"/>
    <w:rsid w:val="005C72DD"/>
    <w:rsid w:val="005D1606"/>
    <w:rsid w:val="005E318B"/>
    <w:rsid w:val="005E3E47"/>
    <w:rsid w:val="005E676A"/>
    <w:rsid w:val="005E7E34"/>
    <w:rsid w:val="005F6AAB"/>
    <w:rsid w:val="00600F0F"/>
    <w:rsid w:val="00601989"/>
    <w:rsid w:val="006231CB"/>
    <w:rsid w:val="006269B3"/>
    <w:rsid w:val="0063479D"/>
    <w:rsid w:val="006442D4"/>
    <w:rsid w:val="00647344"/>
    <w:rsid w:val="00652B6D"/>
    <w:rsid w:val="0065679B"/>
    <w:rsid w:val="00660792"/>
    <w:rsid w:val="00663C7C"/>
    <w:rsid w:val="00667E1D"/>
    <w:rsid w:val="006752CC"/>
    <w:rsid w:val="00675819"/>
    <w:rsid w:val="006771B1"/>
    <w:rsid w:val="006A2B3E"/>
    <w:rsid w:val="006A2DB3"/>
    <w:rsid w:val="006A38CE"/>
    <w:rsid w:val="006B3FCA"/>
    <w:rsid w:val="006B586A"/>
    <w:rsid w:val="006E1613"/>
    <w:rsid w:val="006E21A8"/>
    <w:rsid w:val="006E27F9"/>
    <w:rsid w:val="006F5DFD"/>
    <w:rsid w:val="006F6121"/>
    <w:rsid w:val="00706307"/>
    <w:rsid w:val="00715B01"/>
    <w:rsid w:val="00725074"/>
    <w:rsid w:val="00725C0C"/>
    <w:rsid w:val="00726133"/>
    <w:rsid w:val="00737F5E"/>
    <w:rsid w:val="007429DD"/>
    <w:rsid w:val="00754D59"/>
    <w:rsid w:val="0075567D"/>
    <w:rsid w:val="007600AB"/>
    <w:rsid w:val="007619A2"/>
    <w:rsid w:val="00762939"/>
    <w:rsid w:val="00765A5F"/>
    <w:rsid w:val="00770CBD"/>
    <w:rsid w:val="00783535"/>
    <w:rsid w:val="007A30B5"/>
    <w:rsid w:val="007A4706"/>
    <w:rsid w:val="007D210A"/>
    <w:rsid w:val="007E7F54"/>
    <w:rsid w:val="007F01D1"/>
    <w:rsid w:val="007F35C4"/>
    <w:rsid w:val="007F6CAF"/>
    <w:rsid w:val="00801E29"/>
    <w:rsid w:val="00802CF2"/>
    <w:rsid w:val="00804224"/>
    <w:rsid w:val="00806262"/>
    <w:rsid w:val="00821CB8"/>
    <w:rsid w:val="00834CB7"/>
    <w:rsid w:val="00834D9A"/>
    <w:rsid w:val="0084137F"/>
    <w:rsid w:val="00843285"/>
    <w:rsid w:val="00845193"/>
    <w:rsid w:val="008571B6"/>
    <w:rsid w:val="00865547"/>
    <w:rsid w:val="00872A62"/>
    <w:rsid w:val="00875EF9"/>
    <w:rsid w:val="0088255C"/>
    <w:rsid w:val="00883530"/>
    <w:rsid w:val="00890BFF"/>
    <w:rsid w:val="008948FF"/>
    <w:rsid w:val="008965BD"/>
    <w:rsid w:val="008A098E"/>
    <w:rsid w:val="008A6A01"/>
    <w:rsid w:val="008A6F04"/>
    <w:rsid w:val="008B3F87"/>
    <w:rsid w:val="008B5774"/>
    <w:rsid w:val="008C30F1"/>
    <w:rsid w:val="008D4501"/>
    <w:rsid w:val="008D6E8A"/>
    <w:rsid w:val="0090533F"/>
    <w:rsid w:val="00906A71"/>
    <w:rsid w:val="00907AA8"/>
    <w:rsid w:val="00913C84"/>
    <w:rsid w:val="0091722D"/>
    <w:rsid w:val="00934D3F"/>
    <w:rsid w:val="0093625A"/>
    <w:rsid w:val="00950AFB"/>
    <w:rsid w:val="00952DDA"/>
    <w:rsid w:val="00953181"/>
    <w:rsid w:val="00960F4F"/>
    <w:rsid w:val="0096650B"/>
    <w:rsid w:val="00970EBF"/>
    <w:rsid w:val="00973D11"/>
    <w:rsid w:val="009916FA"/>
    <w:rsid w:val="009C0F46"/>
    <w:rsid w:val="009C14CE"/>
    <w:rsid w:val="009C1D38"/>
    <w:rsid w:val="009D3760"/>
    <w:rsid w:val="009E5F9B"/>
    <w:rsid w:val="009E6674"/>
    <w:rsid w:val="009F3CA0"/>
    <w:rsid w:val="009F3FCC"/>
    <w:rsid w:val="00A04436"/>
    <w:rsid w:val="00A3553E"/>
    <w:rsid w:val="00A50C4D"/>
    <w:rsid w:val="00A80155"/>
    <w:rsid w:val="00A81C92"/>
    <w:rsid w:val="00A94314"/>
    <w:rsid w:val="00AB06FB"/>
    <w:rsid w:val="00AB4021"/>
    <w:rsid w:val="00AB40A2"/>
    <w:rsid w:val="00AB448A"/>
    <w:rsid w:val="00AC0B2B"/>
    <w:rsid w:val="00AC28E8"/>
    <w:rsid w:val="00AC2EB0"/>
    <w:rsid w:val="00AD5C2B"/>
    <w:rsid w:val="00AD61D0"/>
    <w:rsid w:val="00AE3FC8"/>
    <w:rsid w:val="00AE4D2B"/>
    <w:rsid w:val="00AF00F5"/>
    <w:rsid w:val="00AF5329"/>
    <w:rsid w:val="00B11274"/>
    <w:rsid w:val="00B12487"/>
    <w:rsid w:val="00B21DCE"/>
    <w:rsid w:val="00B25E00"/>
    <w:rsid w:val="00B30CE4"/>
    <w:rsid w:val="00B510E4"/>
    <w:rsid w:val="00B6486A"/>
    <w:rsid w:val="00B70470"/>
    <w:rsid w:val="00B706A4"/>
    <w:rsid w:val="00BA53CA"/>
    <w:rsid w:val="00BB202D"/>
    <w:rsid w:val="00BB3104"/>
    <w:rsid w:val="00BB3893"/>
    <w:rsid w:val="00BC17D3"/>
    <w:rsid w:val="00BD6C39"/>
    <w:rsid w:val="00BE2FE4"/>
    <w:rsid w:val="00C03A88"/>
    <w:rsid w:val="00C21B7A"/>
    <w:rsid w:val="00C3142F"/>
    <w:rsid w:val="00C34783"/>
    <w:rsid w:val="00C51E2C"/>
    <w:rsid w:val="00C520C7"/>
    <w:rsid w:val="00C547AC"/>
    <w:rsid w:val="00C55D3B"/>
    <w:rsid w:val="00C56D59"/>
    <w:rsid w:val="00C602E8"/>
    <w:rsid w:val="00C63D4D"/>
    <w:rsid w:val="00C818A7"/>
    <w:rsid w:val="00C903DA"/>
    <w:rsid w:val="00C90E81"/>
    <w:rsid w:val="00C91E18"/>
    <w:rsid w:val="00CA108C"/>
    <w:rsid w:val="00CA4754"/>
    <w:rsid w:val="00CA4CF0"/>
    <w:rsid w:val="00CA5946"/>
    <w:rsid w:val="00CB288E"/>
    <w:rsid w:val="00CB3363"/>
    <w:rsid w:val="00CC686D"/>
    <w:rsid w:val="00CF419C"/>
    <w:rsid w:val="00D022C8"/>
    <w:rsid w:val="00D11C9E"/>
    <w:rsid w:val="00D14279"/>
    <w:rsid w:val="00D14591"/>
    <w:rsid w:val="00D15B44"/>
    <w:rsid w:val="00D3539E"/>
    <w:rsid w:val="00D4594A"/>
    <w:rsid w:val="00D45A1C"/>
    <w:rsid w:val="00D5364D"/>
    <w:rsid w:val="00D53D26"/>
    <w:rsid w:val="00D57672"/>
    <w:rsid w:val="00D60609"/>
    <w:rsid w:val="00D6771A"/>
    <w:rsid w:val="00D67EE8"/>
    <w:rsid w:val="00D706A6"/>
    <w:rsid w:val="00D73044"/>
    <w:rsid w:val="00D7383E"/>
    <w:rsid w:val="00D75078"/>
    <w:rsid w:val="00D80E1B"/>
    <w:rsid w:val="00D95887"/>
    <w:rsid w:val="00DB2954"/>
    <w:rsid w:val="00DB7C74"/>
    <w:rsid w:val="00DC0E8A"/>
    <w:rsid w:val="00DC1120"/>
    <w:rsid w:val="00DC4CD2"/>
    <w:rsid w:val="00DC6AB1"/>
    <w:rsid w:val="00DC77E5"/>
    <w:rsid w:val="00DD0050"/>
    <w:rsid w:val="00DE504A"/>
    <w:rsid w:val="00DE632A"/>
    <w:rsid w:val="00E001D7"/>
    <w:rsid w:val="00E14EB6"/>
    <w:rsid w:val="00E304BF"/>
    <w:rsid w:val="00E34B43"/>
    <w:rsid w:val="00E36E71"/>
    <w:rsid w:val="00E55BC5"/>
    <w:rsid w:val="00E62AB4"/>
    <w:rsid w:val="00E839A4"/>
    <w:rsid w:val="00E87163"/>
    <w:rsid w:val="00EA037D"/>
    <w:rsid w:val="00EA0438"/>
    <w:rsid w:val="00EC7275"/>
    <w:rsid w:val="00ED22A3"/>
    <w:rsid w:val="00ED5DF2"/>
    <w:rsid w:val="00EE4EC8"/>
    <w:rsid w:val="00F00D3E"/>
    <w:rsid w:val="00F1307A"/>
    <w:rsid w:val="00F16848"/>
    <w:rsid w:val="00F21D69"/>
    <w:rsid w:val="00F3467A"/>
    <w:rsid w:val="00F41A1F"/>
    <w:rsid w:val="00F60299"/>
    <w:rsid w:val="00F60EFF"/>
    <w:rsid w:val="00F6301B"/>
    <w:rsid w:val="00F7225C"/>
    <w:rsid w:val="00F76046"/>
    <w:rsid w:val="00F87058"/>
    <w:rsid w:val="00FA021A"/>
    <w:rsid w:val="00FA3A47"/>
    <w:rsid w:val="00FA5E76"/>
    <w:rsid w:val="00FB31B4"/>
    <w:rsid w:val="00FB3728"/>
    <w:rsid w:val="00FB6632"/>
    <w:rsid w:val="00FD04AD"/>
    <w:rsid w:val="00FF0482"/>
    <w:rsid w:val="00FF0B06"/>
    <w:rsid w:val="00FF1B6C"/>
    <w:rsid w:val="00FF2926"/>
    <w:rsid w:val="01871852"/>
    <w:rsid w:val="019422A6"/>
    <w:rsid w:val="01C94C2E"/>
    <w:rsid w:val="01FA75C2"/>
    <w:rsid w:val="02151F5D"/>
    <w:rsid w:val="0233386D"/>
    <w:rsid w:val="02510197"/>
    <w:rsid w:val="027F6AB2"/>
    <w:rsid w:val="028B5457"/>
    <w:rsid w:val="02916500"/>
    <w:rsid w:val="02A91D81"/>
    <w:rsid w:val="02B9341E"/>
    <w:rsid w:val="02CB1CF7"/>
    <w:rsid w:val="02F02E93"/>
    <w:rsid w:val="02F42E5E"/>
    <w:rsid w:val="04180F6C"/>
    <w:rsid w:val="042876E7"/>
    <w:rsid w:val="04594368"/>
    <w:rsid w:val="048E7480"/>
    <w:rsid w:val="04B46E6D"/>
    <w:rsid w:val="052F2BF9"/>
    <w:rsid w:val="05704DD8"/>
    <w:rsid w:val="05876BD1"/>
    <w:rsid w:val="05BF7509"/>
    <w:rsid w:val="05C05B2C"/>
    <w:rsid w:val="05C83080"/>
    <w:rsid w:val="05CF3896"/>
    <w:rsid w:val="05D45367"/>
    <w:rsid w:val="062036DC"/>
    <w:rsid w:val="06431D1A"/>
    <w:rsid w:val="06485B93"/>
    <w:rsid w:val="065A3ABE"/>
    <w:rsid w:val="06C35A28"/>
    <w:rsid w:val="071F37E4"/>
    <w:rsid w:val="075F6EB2"/>
    <w:rsid w:val="07AB458E"/>
    <w:rsid w:val="07B65858"/>
    <w:rsid w:val="07E86406"/>
    <w:rsid w:val="08021F03"/>
    <w:rsid w:val="081F66DD"/>
    <w:rsid w:val="085963BE"/>
    <w:rsid w:val="08763A67"/>
    <w:rsid w:val="08AC4379"/>
    <w:rsid w:val="08C36EB5"/>
    <w:rsid w:val="090B5543"/>
    <w:rsid w:val="0917042E"/>
    <w:rsid w:val="09591C60"/>
    <w:rsid w:val="097A7FD3"/>
    <w:rsid w:val="0992356F"/>
    <w:rsid w:val="099F6326"/>
    <w:rsid w:val="09AC51F4"/>
    <w:rsid w:val="09DA6BC1"/>
    <w:rsid w:val="09DF1555"/>
    <w:rsid w:val="09F72B37"/>
    <w:rsid w:val="0A1827D7"/>
    <w:rsid w:val="0A197091"/>
    <w:rsid w:val="0AAE58EC"/>
    <w:rsid w:val="0AF055C0"/>
    <w:rsid w:val="0B056D1D"/>
    <w:rsid w:val="0B0C55A3"/>
    <w:rsid w:val="0B0F1055"/>
    <w:rsid w:val="0B646FD0"/>
    <w:rsid w:val="0BC11EE9"/>
    <w:rsid w:val="0BE64C7B"/>
    <w:rsid w:val="0BEF6A57"/>
    <w:rsid w:val="0C45061C"/>
    <w:rsid w:val="0C7A28A0"/>
    <w:rsid w:val="0C8108DC"/>
    <w:rsid w:val="0CAE01EE"/>
    <w:rsid w:val="0CDD56B7"/>
    <w:rsid w:val="0D0176CE"/>
    <w:rsid w:val="0D480AAD"/>
    <w:rsid w:val="0D8E2C6D"/>
    <w:rsid w:val="0DB1596D"/>
    <w:rsid w:val="0DB95D4F"/>
    <w:rsid w:val="0DE533FE"/>
    <w:rsid w:val="0DFE246D"/>
    <w:rsid w:val="0E012A71"/>
    <w:rsid w:val="0E1A3C41"/>
    <w:rsid w:val="0E1C5C8A"/>
    <w:rsid w:val="0E8C4A31"/>
    <w:rsid w:val="0E9235F2"/>
    <w:rsid w:val="0F2C6214"/>
    <w:rsid w:val="0F5B1A41"/>
    <w:rsid w:val="0F73140B"/>
    <w:rsid w:val="0F76123D"/>
    <w:rsid w:val="0F827BE2"/>
    <w:rsid w:val="0F8459E7"/>
    <w:rsid w:val="106F4679"/>
    <w:rsid w:val="107C0AC4"/>
    <w:rsid w:val="10A55AC5"/>
    <w:rsid w:val="10E76023"/>
    <w:rsid w:val="10EC02A4"/>
    <w:rsid w:val="113035A1"/>
    <w:rsid w:val="113911B0"/>
    <w:rsid w:val="114950F1"/>
    <w:rsid w:val="114A6B08"/>
    <w:rsid w:val="119F06B8"/>
    <w:rsid w:val="11AC051D"/>
    <w:rsid w:val="11C95F9C"/>
    <w:rsid w:val="11CF0642"/>
    <w:rsid w:val="11E90AE8"/>
    <w:rsid w:val="11FC13A8"/>
    <w:rsid w:val="122825AB"/>
    <w:rsid w:val="122A4C8C"/>
    <w:rsid w:val="123A47A4"/>
    <w:rsid w:val="12844B5F"/>
    <w:rsid w:val="12BE53D5"/>
    <w:rsid w:val="12F81301"/>
    <w:rsid w:val="137141F5"/>
    <w:rsid w:val="13841283"/>
    <w:rsid w:val="13B16CE7"/>
    <w:rsid w:val="13B87E82"/>
    <w:rsid w:val="13D824C6"/>
    <w:rsid w:val="13E175CD"/>
    <w:rsid w:val="14081F50"/>
    <w:rsid w:val="140F746A"/>
    <w:rsid w:val="14B92F7F"/>
    <w:rsid w:val="14C43166"/>
    <w:rsid w:val="14D82E04"/>
    <w:rsid w:val="150E4DA7"/>
    <w:rsid w:val="152D38D2"/>
    <w:rsid w:val="153616F9"/>
    <w:rsid w:val="15887D48"/>
    <w:rsid w:val="158C0FC4"/>
    <w:rsid w:val="159700A9"/>
    <w:rsid w:val="15C9656A"/>
    <w:rsid w:val="15CB2FC8"/>
    <w:rsid w:val="15DD0268"/>
    <w:rsid w:val="15FB517D"/>
    <w:rsid w:val="161C36A4"/>
    <w:rsid w:val="161E74F7"/>
    <w:rsid w:val="162F0A5F"/>
    <w:rsid w:val="16342FB8"/>
    <w:rsid w:val="165450C8"/>
    <w:rsid w:val="16955512"/>
    <w:rsid w:val="16A20B69"/>
    <w:rsid w:val="16D231FD"/>
    <w:rsid w:val="16F9596D"/>
    <w:rsid w:val="173E6AE4"/>
    <w:rsid w:val="17471444"/>
    <w:rsid w:val="175005C5"/>
    <w:rsid w:val="1752258F"/>
    <w:rsid w:val="1763654B"/>
    <w:rsid w:val="176606D1"/>
    <w:rsid w:val="1783551C"/>
    <w:rsid w:val="1787183D"/>
    <w:rsid w:val="17BA717E"/>
    <w:rsid w:val="17D411EF"/>
    <w:rsid w:val="18132663"/>
    <w:rsid w:val="186D4723"/>
    <w:rsid w:val="18B854A4"/>
    <w:rsid w:val="18D67438"/>
    <w:rsid w:val="18EB3F81"/>
    <w:rsid w:val="18F02060"/>
    <w:rsid w:val="191C404E"/>
    <w:rsid w:val="19353F17"/>
    <w:rsid w:val="198C70D4"/>
    <w:rsid w:val="1A4A39F2"/>
    <w:rsid w:val="1A4C59BC"/>
    <w:rsid w:val="1A7C004F"/>
    <w:rsid w:val="1AA337EE"/>
    <w:rsid w:val="1AA75E35"/>
    <w:rsid w:val="1AED4CEE"/>
    <w:rsid w:val="1AFA0BF0"/>
    <w:rsid w:val="1AFF47DC"/>
    <w:rsid w:val="1B1738D4"/>
    <w:rsid w:val="1B631DDD"/>
    <w:rsid w:val="1B733B75"/>
    <w:rsid w:val="1C01726E"/>
    <w:rsid w:val="1C502ABD"/>
    <w:rsid w:val="1C945D59"/>
    <w:rsid w:val="1C9A47BD"/>
    <w:rsid w:val="1CBB4733"/>
    <w:rsid w:val="1CEE616B"/>
    <w:rsid w:val="1D293CB5"/>
    <w:rsid w:val="1D6E5D93"/>
    <w:rsid w:val="1D794BDF"/>
    <w:rsid w:val="1D8036C3"/>
    <w:rsid w:val="1D9C0459"/>
    <w:rsid w:val="1DA02655"/>
    <w:rsid w:val="1DB536C5"/>
    <w:rsid w:val="1E193E07"/>
    <w:rsid w:val="1E1F39B9"/>
    <w:rsid w:val="1E2E630E"/>
    <w:rsid w:val="1E3B1FCF"/>
    <w:rsid w:val="1E5D0C3B"/>
    <w:rsid w:val="1E6D26F3"/>
    <w:rsid w:val="1EA506FE"/>
    <w:rsid w:val="1EC612D4"/>
    <w:rsid w:val="1EE82D37"/>
    <w:rsid w:val="1F356024"/>
    <w:rsid w:val="1F547D36"/>
    <w:rsid w:val="1F8C16F3"/>
    <w:rsid w:val="1FBD28F6"/>
    <w:rsid w:val="200E7F92"/>
    <w:rsid w:val="204964BA"/>
    <w:rsid w:val="20786BD9"/>
    <w:rsid w:val="208C6B12"/>
    <w:rsid w:val="20A72610"/>
    <w:rsid w:val="20C242E2"/>
    <w:rsid w:val="20FC73FD"/>
    <w:rsid w:val="21AD6D40"/>
    <w:rsid w:val="21BF2747"/>
    <w:rsid w:val="21E12424"/>
    <w:rsid w:val="22552843"/>
    <w:rsid w:val="22664960"/>
    <w:rsid w:val="226F0499"/>
    <w:rsid w:val="22A56D19"/>
    <w:rsid w:val="22B8577A"/>
    <w:rsid w:val="233A6B89"/>
    <w:rsid w:val="233D06CE"/>
    <w:rsid w:val="234436D4"/>
    <w:rsid w:val="23703CB9"/>
    <w:rsid w:val="237C054C"/>
    <w:rsid w:val="23A35F91"/>
    <w:rsid w:val="23C14A22"/>
    <w:rsid w:val="23C927A8"/>
    <w:rsid w:val="23CD6CF2"/>
    <w:rsid w:val="24133523"/>
    <w:rsid w:val="245C2091"/>
    <w:rsid w:val="24653902"/>
    <w:rsid w:val="24831FDA"/>
    <w:rsid w:val="25267D3D"/>
    <w:rsid w:val="254E4396"/>
    <w:rsid w:val="255274E3"/>
    <w:rsid w:val="25627E42"/>
    <w:rsid w:val="256F2C00"/>
    <w:rsid w:val="25733DFD"/>
    <w:rsid w:val="257C53A7"/>
    <w:rsid w:val="25983863"/>
    <w:rsid w:val="25B346C3"/>
    <w:rsid w:val="25F0369F"/>
    <w:rsid w:val="2699536E"/>
    <w:rsid w:val="26A24ACF"/>
    <w:rsid w:val="27AA1890"/>
    <w:rsid w:val="27BA5D13"/>
    <w:rsid w:val="27D43D1A"/>
    <w:rsid w:val="27FA0805"/>
    <w:rsid w:val="27FA25B3"/>
    <w:rsid w:val="280B2A12"/>
    <w:rsid w:val="280D3B8A"/>
    <w:rsid w:val="280F5E8D"/>
    <w:rsid w:val="285443B9"/>
    <w:rsid w:val="28A576A5"/>
    <w:rsid w:val="28D505A3"/>
    <w:rsid w:val="2924732A"/>
    <w:rsid w:val="292A5CD7"/>
    <w:rsid w:val="298E4C8F"/>
    <w:rsid w:val="29A12C44"/>
    <w:rsid w:val="29B82CB2"/>
    <w:rsid w:val="29DB01C2"/>
    <w:rsid w:val="29FB1394"/>
    <w:rsid w:val="2A3717E6"/>
    <w:rsid w:val="2A4622B9"/>
    <w:rsid w:val="2A9A7ECE"/>
    <w:rsid w:val="2A9D67A7"/>
    <w:rsid w:val="2ABE21FE"/>
    <w:rsid w:val="2B2A2FA5"/>
    <w:rsid w:val="2B55755F"/>
    <w:rsid w:val="2BEC74D1"/>
    <w:rsid w:val="2BF36EA8"/>
    <w:rsid w:val="2BFE204A"/>
    <w:rsid w:val="2C477D91"/>
    <w:rsid w:val="2C646B95"/>
    <w:rsid w:val="2C90730E"/>
    <w:rsid w:val="2CA13945"/>
    <w:rsid w:val="2CA7500E"/>
    <w:rsid w:val="2CAB47C4"/>
    <w:rsid w:val="2D283FDF"/>
    <w:rsid w:val="2D6A3D37"/>
    <w:rsid w:val="2D872CCF"/>
    <w:rsid w:val="2DEA7573"/>
    <w:rsid w:val="2E3B1F69"/>
    <w:rsid w:val="2E452049"/>
    <w:rsid w:val="2E47051C"/>
    <w:rsid w:val="2E626351"/>
    <w:rsid w:val="2E9458AA"/>
    <w:rsid w:val="2EAE40F8"/>
    <w:rsid w:val="2EDC0400"/>
    <w:rsid w:val="2EEA7A87"/>
    <w:rsid w:val="2EF91817"/>
    <w:rsid w:val="2F7155EC"/>
    <w:rsid w:val="2FA25366"/>
    <w:rsid w:val="2FAD1429"/>
    <w:rsid w:val="2FAD2601"/>
    <w:rsid w:val="2FCC0CD9"/>
    <w:rsid w:val="301A1FCC"/>
    <w:rsid w:val="301E0747"/>
    <w:rsid w:val="304A4F45"/>
    <w:rsid w:val="307B44AD"/>
    <w:rsid w:val="30C773D6"/>
    <w:rsid w:val="30D37E45"/>
    <w:rsid w:val="30D750F1"/>
    <w:rsid w:val="310224D9"/>
    <w:rsid w:val="311D6966"/>
    <w:rsid w:val="317C04DD"/>
    <w:rsid w:val="31886E82"/>
    <w:rsid w:val="318D0861"/>
    <w:rsid w:val="31EC01A1"/>
    <w:rsid w:val="32024E86"/>
    <w:rsid w:val="320317B2"/>
    <w:rsid w:val="3207424E"/>
    <w:rsid w:val="320E349A"/>
    <w:rsid w:val="325915B4"/>
    <w:rsid w:val="325F115A"/>
    <w:rsid w:val="3277B14F"/>
    <w:rsid w:val="328C0C95"/>
    <w:rsid w:val="328D5BA3"/>
    <w:rsid w:val="32FA388A"/>
    <w:rsid w:val="33216BD9"/>
    <w:rsid w:val="337F22D4"/>
    <w:rsid w:val="33957634"/>
    <w:rsid w:val="33D053DE"/>
    <w:rsid w:val="33D53F47"/>
    <w:rsid w:val="33E45440"/>
    <w:rsid w:val="342F7A89"/>
    <w:rsid w:val="34614C5E"/>
    <w:rsid w:val="348B0B67"/>
    <w:rsid w:val="34A41893"/>
    <w:rsid w:val="34D870ED"/>
    <w:rsid w:val="34DB550E"/>
    <w:rsid w:val="351F2835"/>
    <w:rsid w:val="35650230"/>
    <w:rsid w:val="369E0EF6"/>
    <w:rsid w:val="36A94F0A"/>
    <w:rsid w:val="36AD4E95"/>
    <w:rsid w:val="373C0FEE"/>
    <w:rsid w:val="37631D52"/>
    <w:rsid w:val="379003FF"/>
    <w:rsid w:val="37F1012E"/>
    <w:rsid w:val="380F2752"/>
    <w:rsid w:val="38543DC8"/>
    <w:rsid w:val="38550D30"/>
    <w:rsid w:val="38554E37"/>
    <w:rsid w:val="3861534B"/>
    <w:rsid w:val="38832151"/>
    <w:rsid w:val="38887767"/>
    <w:rsid w:val="3890595B"/>
    <w:rsid w:val="38BE2F41"/>
    <w:rsid w:val="38FA1F08"/>
    <w:rsid w:val="39131727"/>
    <w:rsid w:val="397F785A"/>
    <w:rsid w:val="39E4143D"/>
    <w:rsid w:val="3A3E27D3"/>
    <w:rsid w:val="3A663AD8"/>
    <w:rsid w:val="3A865B06"/>
    <w:rsid w:val="3A946897"/>
    <w:rsid w:val="3A95616C"/>
    <w:rsid w:val="3AA768DE"/>
    <w:rsid w:val="3AAA04B4"/>
    <w:rsid w:val="3ACB0B41"/>
    <w:rsid w:val="3AF137E3"/>
    <w:rsid w:val="3AF35CDF"/>
    <w:rsid w:val="3B417784"/>
    <w:rsid w:val="3B59615D"/>
    <w:rsid w:val="3B7B68ED"/>
    <w:rsid w:val="3B8D4E54"/>
    <w:rsid w:val="3BC728D0"/>
    <w:rsid w:val="3C1B6030"/>
    <w:rsid w:val="3C2A3A07"/>
    <w:rsid w:val="3CA34797"/>
    <w:rsid w:val="3CCA31C7"/>
    <w:rsid w:val="3D0243F7"/>
    <w:rsid w:val="3D10334B"/>
    <w:rsid w:val="3D712EC0"/>
    <w:rsid w:val="3D8449A1"/>
    <w:rsid w:val="3DA22991"/>
    <w:rsid w:val="3DAB52CC"/>
    <w:rsid w:val="3DEE4511"/>
    <w:rsid w:val="3E1508B5"/>
    <w:rsid w:val="3E90275C"/>
    <w:rsid w:val="3E9D3EC9"/>
    <w:rsid w:val="3EDA3DFC"/>
    <w:rsid w:val="3F877E48"/>
    <w:rsid w:val="3FE427A7"/>
    <w:rsid w:val="3FFC1167"/>
    <w:rsid w:val="40291570"/>
    <w:rsid w:val="40864651"/>
    <w:rsid w:val="40B10E42"/>
    <w:rsid w:val="40B36C44"/>
    <w:rsid w:val="40D52426"/>
    <w:rsid w:val="41723778"/>
    <w:rsid w:val="41CA01DE"/>
    <w:rsid w:val="41E37787"/>
    <w:rsid w:val="423C69EA"/>
    <w:rsid w:val="424E2033"/>
    <w:rsid w:val="427A213E"/>
    <w:rsid w:val="429A07C3"/>
    <w:rsid w:val="42BA6DF8"/>
    <w:rsid w:val="42EE6118"/>
    <w:rsid w:val="42F22A27"/>
    <w:rsid w:val="431F0359"/>
    <w:rsid w:val="434C41B3"/>
    <w:rsid w:val="43516107"/>
    <w:rsid w:val="435C019A"/>
    <w:rsid w:val="436C25BC"/>
    <w:rsid w:val="43776D56"/>
    <w:rsid w:val="437A3E83"/>
    <w:rsid w:val="43F37F35"/>
    <w:rsid w:val="43F67F43"/>
    <w:rsid w:val="441428A0"/>
    <w:rsid w:val="442073EE"/>
    <w:rsid w:val="44450C02"/>
    <w:rsid w:val="4454331F"/>
    <w:rsid w:val="453250A4"/>
    <w:rsid w:val="4554734F"/>
    <w:rsid w:val="458918DA"/>
    <w:rsid w:val="459E5A67"/>
    <w:rsid w:val="45C46415"/>
    <w:rsid w:val="45C9701F"/>
    <w:rsid w:val="45D466E2"/>
    <w:rsid w:val="45F428E0"/>
    <w:rsid w:val="46076AE9"/>
    <w:rsid w:val="46090F87"/>
    <w:rsid w:val="46613521"/>
    <w:rsid w:val="46B725E2"/>
    <w:rsid w:val="46C403FE"/>
    <w:rsid w:val="46E17EB6"/>
    <w:rsid w:val="46F04E55"/>
    <w:rsid w:val="46F54B62"/>
    <w:rsid w:val="47471AB7"/>
    <w:rsid w:val="475E3E72"/>
    <w:rsid w:val="478C25E5"/>
    <w:rsid w:val="47EE0A00"/>
    <w:rsid w:val="47FA1946"/>
    <w:rsid w:val="480929E4"/>
    <w:rsid w:val="48757D08"/>
    <w:rsid w:val="488050EA"/>
    <w:rsid w:val="48984FC5"/>
    <w:rsid w:val="48AB6F46"/>
    <w:rsid w:val="48C22822"/>
    <w:rsid w:val="49002852"/>
    <w:rsid w:val="490B5F77"/>
    <w:rsid w:val="491D3EFC"/>
    <w:rsid w:val="49225C15"/>
    <w:rsid w:val="49252F99"/>
    <w:rsid w:val="495F4514"/>
    <w:rsid w:val="49C622E4"/>
    <w:rsid w:val="49D96075"/>
    <w:rsid w:val="49F07BA6"/>
    <w:rsid w:val="4A253068"/>
    <w:rsid w:val="4A323552"/>
    <w:rsid w:val="4A4259CA"/>
    <w:rsid w:val="4A606796"/>
    <w:rsid w:val="4A82036E"/>
    <w:rsid w:val="4AEB4B7F"/>
    <w:rsid w:val="4AFA0812"/>
    <w:rsid w:val="4B0C49C6"/>
    <w:rsid w:val="4B0E33CA"/>
    <w:rsid w:val="4B141895"/>
    <w:rsid w:val="4B2801FD"/>
    <w:rsid w:val="4B285466"/>
    <w:rsid w:val="4B776719"/>
    <w:rsid w:val="4B846DFD"/>
    <w:rsid w:val="4B8F4302"/>
    <w:rsid w:val="4B9E7909"/>
    <w:rsid w:val="4BD4700F"/>
    <w:rsid w:val="4BEA0B92"/>
    <w:rsid w:val="4BEE22DF"/>
    <w:rsid w:val="4BF038AE"/>
    <w:rsid w:val="4BFD4E69"/>
    <w:rsid w:val="4BFE6267"/>
    <w:rsid w:val="4C8538EA"/>
    <w:rsid w:val="4C883D82"/>
    <w:rsid w:val="4CEC5B28"/>
    <w:rsid w:val="4CFC0FF6"/>
    <w:rsid w:val="4D0C4969"/>
    <w:rsid w:val="4D9D3829"/>
    <w:rsid w:val="4DC66910"/>
    <w:rsid w:val="4DDE1EAC"/>
    <w:rsid w:val="4DE1199C"/>
    <w:rsid w:val="4E0A269E"/>
    <w:rsid w:val="4E3B0634"/>
    <w:rsid w:val="4E4940E5"/>
    <w:rsid w:val="4E7740AE"/>
    <w:rsid w:val="4F134A42"/>
    <w:rsid w:val="4F5906D5"/>
    <w:rsid w:val="4F5A192F"/>
    <w:rsid w:val="4F76776A"/>
    <w:rsid w:val="4FA91166"/>
    <w:rsid w:val="4FAE1D52"/>
    <w:rsid w:val="4FB63597"/>
    <w:rsid w:val="4FBC5831"/>
    <w:rsid w:val="4FBD6EDF"/>
    <w:rsid w:val="4FD00ACF"/>
    <w:rsid w:val="4FDF0443"/>
    <w:rsid w:val="4FFC1D50"/>
    <w:rsid w:val="50393A9E"/>
    <w:rsid w:val="50493828"/>
    <w:rsid w:val="50B4107E"/>
    <w:rsid w:val="51446AA1"/>
    <w:rsid w:val="5147420C"/>
    <w:rsid w:val="514C35D0"/>
    <w:rsid w:val="515D29C1"/>
    <w:rsid w:val="51777DFD"/>
    <w:rsid w:val="517D7C2E"/>
    <w:rsid w:val="51A23E50"/>
    <w:rsid w:val="51E43733"/>
    <w:rsid w:val="51E72140"/>
    <w:rsid w:val="5219315D"/>
    <w:rsid w:val="52372B85"/>
    <w:rsid w:val="52C53E09"/>
    <w:rsid w:val="52D464CF"/>
    <w:rsid w:val="52E5233B"/>
    <w:rsid w:val="532E2075"/>
    <w:rsid w:val="533F5418"/>
    <w:rsid w:val="539E3E71"/>
    <w:rsid w:val="53A65B5F"/>
    <w:rsid w:val="53AC19CA"/>
    <w:rsid w:val="53F81EBC"/>
    <w:rsid w:val="544A3D1E"/>
    <w:rsid w:val="54640A90"/>
    <w:rsid w:val="54A92AE8"/>
    <w:rsid w:val="54AB2D04"/>
    <w:rsid w:val="54BB7994"/>
    <w:rsid w:val="54D566F1"/>
    <w:rsid w:val="54FE110E"/>
    <w:rsid w:val="55486565"/>
    <w:rsid w:val="55766E6E"/>
    <w:rsid w:val="557D644E"/>
    <w:rsid w:val="55854469"/>
    <w:rsid w:val="5587107B"/>
    <w:rsid w:val="55937A20"/>
    <w:rsid w:val="559636FD"/>
    <w:rsid w:val="559E3374"/>
    <w:rsid w:val="55A40F21"/>
    <w:rsid w:val="55E31E7D"/>
    <w:rsid w:val="56113D7B"/>
    <w:rsid w:val="566F20E8"/>
    <w:rsid w:val="56835CE6"/>
    <w:rsid w:val="56916F31"/>
    <w:rsid w:val="56A0282F"/>
    <w:rsid w:val="56F3111F"/>
    <w:rsid w:val="56FB2013"/>
    <w:rsid w:val="570B0B2B"/>
    <w:rsid w:val="577A63FD"/>
    <w:rsid w:val="57933D94"/>
    <w:rsid w:val="57B66DEA"/>
    <w:rsid w:val="57CA7EF8"/>
    <w:rsid w:val="57EC1669"/>
    <w:rsid w:val="58000950"/>
    <w:rsid w:val="58306174"/>
    <w:rsid w:val="58351027"/>
    <w:rsid w:val="58415292"/>
    <w:rsid w:val="584E1402"/>
    <w:rsid w:val="590E6880"/>
    <w:rsid w:val="598704B1"/>
    <w:rsid w:val="599B21FE"/>
    <w:rsid w:val="59B61F2F"/>
    <w:rsid w:val="59B63CDD"/>
    <w:rsid w:val="59D40607"/>
    <w:rsid w:val="5A23142E"/>
    <w:rsid w:val="5A32680C"/>
    <w:rsid w:val="5A3769F1"/>
    <w:rsid w:val="5A631883"/>
    <w:rsid w:val="5A751DEA"/>
    <w:rsid w:val="5A9912BD"/>
    <w:rsid w:val="5ABA77FD"/>
    <w:rsid w:val="5AC74793"/>
    <w:rsid w:val="5AE753D1"/>
    <w:rsid w:val="5AE96334"/>
    <w:rsid w:val="5B25059C"/>
    <w:rsid w:val="5B90055D"/>
    <w:rsid w:val="5BC30933"/>
    <w:rsid w:val="5C1C1FAB"/>
    <w:rsid w:val="5C6977DE"/>
    <w:rsid w:val="5C74228C"/>
    <w:rsid w:val="5C772F12"/>
    <w:rsid w:val="5CE70D7E"/>
    <w:rsid w:val="5D243653"/>
    <w:rsid w:val="5D287866"/>
    <w:rsid w:val="5D7874FB"/>
    <w:rsid w:val="5D7B346D"/>
    <w:rsid w:val="5DA84284"/>
    <w:rsid w:val="5E1060A2"/>
    <w:rsid w:val="5E2345E1"/>
    <w:rsid w:val="5E4C1698"/>
    <w:rsid w:val="5E592D62"/>
    <w:rsid w:val="5E6261E1"/>
    <w:rsid w:val="5E70058E"/>
    <w:rsid w:val="5E7B56A3"/>
    <w:rsid w:val="5E98670E"/>
    <w:rsid w:val="5EC469EA"/>
    <w:rsid w:val="5F052ABF"/>
    <w:rsid w:val="5F0D7FD9"/>
    <w:rsid w:val="5F235C5E"/>
    <w:rsid w:val="5F472550"/>
    <w:rsid w:val="5F4B2345"/>
    <w:rsid w:val="5F603322"/>
    <w:rsid w:val="5FA84E02"/>
    <w:rsid w:val="601B1346"/>
    <w:rsid w:val="603C3A0F"/>
    <w:rsid w:val="604068A7"/>
    <w:rsid w:val="60A9459B"/>
    <w:rsid w:val="60AB4119"/>
    <w:rsid w:val="60E20DDA"/>
    <w:rsid w:val="60E824E1"/>
    <w:rsid w:val="6118588C"/>
    <w:rsid w:val="612B44E5"/>
    <w:rsid w:val="6136410C"/>
    <w:rsid w:val="61601925"/>
    <w:rsid w:val="617A5F38"/>
    <w:rsid w:val="618B5A4F"/>
    <w:rsid w:val="621C2B4B"/>
    <w:rsid w:val="622F1809"/>
    <w:rsid w:val="62301725"/>
    <w:rsid w:val="625A0BFF"/>
    <w:rsid w:val="626764BC"/>
    <w:rsid w:val="62726741"/>
    <w:rsid w:val="62E55AA2"/>
    <w:rsid w:val="62E713AB"/>
    <w:rsid w:val="630769A2"/>
    <w:rsid w:val="631F3C4B"/>
    <w:rsid w:val="634F08A9"/>
    <w:rsid w:val="63860BC4"/>
    <w:rsid w:val="640F141E"/>
    <w:rsid w:val="642A7489"/>
    <w:rsid w:val="64553E02"/>
    <w:rsid w:val="645E6B2B"/>
    <w:rsid w:val="646B211F"/>
    <w:rsid w:val="648F335C"/>
    <w:rsid w:val="64B43692"/>
    <w:rsid w:val="64D127DF"/>
    <w:rsid w:val="64FA4A6C"/>
    <w:rsid w:val="65024186"/>
    <w:rsid w:val="65097BA0"/>
    <w:rsid w:val="6523360F"/>
    <w:rsid w:val="652553AF"/>
    <w:rsid w:val="65500148"/>
    <w:rsid w:val="65BC6026"/>
    <w:rsid w:val="65BD2897"/>
    <w:rsid w:val="65DD5A69"/>
    <w:rsid w:val="660B53B0"/>
    <w:rsid w:val="6615622F"/>
    <w:rsid w:val="66383CCB"/>
    <w:rsid w:val="66451F92"/>
    <w:rsid w:val="66540909"/>
    <w:rsid w:val="667E3A3F"/>
    <w:rsid w:val="66931603"/>
    <w:rsid w:val="66BD2D49"/>
    <w:rsid w:val="66D306CB"/>
    <w:rsid w:val="6711031F"/>
    <w:rsid w:val="67204E8B"/>
    <w:rsid w:val="673246DF"/>
    <w:rsid w:val="67492634"/>
    <w:rsid w:val="676324C3"/>
    <w:rsid w:val="677F6346"/>
    <w:rsid w:val="67B11913"/>
    <w:rsid w:val="67BF15D1"/>
    <w:rsid w:val="67F90CA0"/>
    <w:rsid w:val="681C3DB2"/>
    <w:rsid w:val="68250D23"/>
    <w:rsid w:val="682C3F7D"/>
    <w:rsid w:val="68367C0B"/>
    <w:rsid w:val="684C3601"/>
    <w:rsid w:val="68923B67"/>
    <w:rsid w:val="68AD2729"/>
    <w:rsid w:val="68ED3493"/>
    <w:rsid w:val="68FA753F"/>
    <w:rsid w:val="692F13B6"/>
    <w:rsid w:val="695B4A24"/>
    <w:rsid w:val="696738C0"/>
    <w:rsid w:val="69B875FD"/>
    <w:rsid w:val="6A5F216E"/>
    <w:rsid w:val="6A94371C"/>
    <w:rsid w:val="6A994DB4"/>
    <w:rsid w:val="6A9F242C"/>
    <w:rsid w:val="6ACE4BFE"/>
    <w:rsid w:val="6AE35B67"/>
    <w:rsid w:val="6AEB57B0"/>
    <w:rsid w:val="6B190D2E"/>
    <w:rsid w:val="6B43739A"/>
    <w:rsid w:val="6B9A098B"/>
    <w:rsid w:val="6BA719DB"/>
    <w:rsid w:val="6BAE4965"/>
    <w:rsid w:val="6BE242D3"/>
    <w:rsid w:val="6BEA59EE"/>
    <w:rsid w:val="6C2B055A"/>
    <w:rsid w:val="6C815A28"/>
    <w:rsid w:val="6C924135"/>
    <w:rsid w:val="6C932FC3"/>
    <w:rsid w:val="6CF472C9"/>
    <w:rsid w:val="6CF748E0"/>
    <w:rsid w:val="6D025E6E"/>
    <w:rsid w:val="6D3904DD"/>
    <w:rsid w:val="6D567A0A"/>
    <w:rsid w:val="6D6500DA"/>
    <w:rsid w:val="6E097153"/>
    <w:rsid w:val="6E6B7519"/>
    <w:rsid w:val="6E6C349F"/>
    <w:rsid w:val="6EB74327"/>
    <w:rsid w:val="6ED82C5C"/>
    <w:rsid w:val="6EE8472C"/>
    <w:rsid w:val="6F3F39FB"/>
    <w:rsid w:val="6F421F46"/>
    <w:rsid w:val="6F5D478C"/>
    <w:rsid w:val="6F97347C"/>
    <w:rsid w:val="6F9A7E28"/>
    <w:rsid w:val="6FBB0C95"/>
    <w:rsid w:val="6FC27788"/>
    <w:rsid w:val="701814CC"/>
    <w:rsid w:val="706A3949"/>
    <w:rsid w:val="70B93805"/>
    <w:rsid w:val="713D6905"/>
    <w:rsid w:val="71641E18"/>
    <w:rsid w:val="717E112C"/>
    <w:rsid w:val="71817DDF"/>
    <w:rsid w:val="718330AE"/>
    <w:rsid w:val="71836742"/>
    <w:rsid w:val="719D77B4"/>
    <w:rsid w:val="719E532A"/>
    <w:rsid w:val="71B62CB1"/>
    <w:rsid w:val="71CE6BCA"/>
    <w:rsid w:val="722F0678"/>
    <w:rsid w:val="723A1ED0"/>
    <w:rsid w:val="72477A52"/>
    <w:rsid w:val="7252121A"/>
    <w:rsid w:val="728C3ECF"/>
    <w:rsid w:val="73165394"/>
    <w:rsid w:val="733704AF"/>
    <w:rsid w:val="7352749C"/>
    <w:rsid w:val="73530396"/>
    <w:rsid w:val="73997999"/>
    <w:rsid w:val="73A41284"/>
    <w:rsid w:val="73BC23E0"/>
    <w:rsid w:val="73C4683B"/>
    <w:rsid w:val="73CD1EF7"/>
    <w:rsid w:val="73EC2E03"/>
    <w:rsid w:val="73FC037B"/>
    <w:rsid w:val="742F7C25"/>
    <w:rsid w:val="744D672D"/>
    <w:rsid w:val="748441E9"/>
    <w:rsid w:val="74B447DD"/>
    <w:rsid w:val="74DA0E50"/>
    <w:rsid w:val="74F27449"/>
    <w:rsid w:val="74FA4F6E"/>
    <w:rsid w:val="750D4C83"/>
    <w:rsid w:val="75207D73"/>
    <w:rsid w:val="754927CD"/>
    <w:rsid w:val="75D6158B"/>
    <w:rsid w:val="760D3698"/>
    <w:rsid w:val="76697C65"/>
    <w:rsid w:val="767321F3"/>
    <w:rsid w:val="768C42EB"/>
    <w:rsid w:val="769A4F57"/>
    <w:rsid w:val="76B16007"/>
    <w:rsid w:val="76F50AF3"/>
    <w:rsid w:val="76FF479B"/>
    <w:rsid w:val="77412296"/>
    <w:rsid w:val="77585F7B"/>
    <w:rsid w:val="7762452D"/>
    <w:rsid w:val="778E39B8"/>
    <w:rsid w:val="77B1060A"/>
    <w:rsid w:val="77B6520E"/>
    <w:rsid w:val="77C4682D"/>
    <w:rsid w:val="77E32918"/>
    <w:rsid w:val="783249FD"/>
    <w:rsid w:val="78565B21"/>
    <w:rsid w:val="78A34761"/>
    <w:rsid w:val="78A771BA"/>
    <w:rsid w:val="78EF6251"/>
    <w:rsid w:val="794D276D"/>
    <w:rsid w:val="7960471F"/>
    <w:rsid w:val="79913615"/>
    <w:rsid w:val="79927E6B"/>
    <w:rsid w:val="799405C8"/>
    <w:rsid w:val="79AC6640"/>
    <w:rsid w:val="7A124E7F"/>
    <w:rsid w:val="7A1D3082"/>
    <w:rsid w:val="7ACD0A2E"/>
    <w:rsid w:val="7B482534"/>
    <w:rsid w:val="7BB94FCC"/>
    <w:rsid w:val="7BC92AB9"/>
    <w:rsid w:val="7BE81CEF"/>
    <w:rsid w:val="7C2A65B5"/>
    <w:rsid w:val="7C9243D2"/>
    <w:rsid w:val="7CA0289E"/>
    <w:rsid w:val="7CEC0F0F"/>
    <w:rsid w:val="7CEC58EA"/>
    <w:rsid w:val="7CF94051"/>
    <w:rsid w:val="7D0A5583"/>
    <w:rsid w:val="7D175381"/>
    <w:rsid w:val="7D617936"/>
    <w:rsid w:val="7D6B5811"/>
    <w:rsid w:val="7D94748A"/>
    <w:rsid w:val="7D9A6AAF"/>
    <w:rsid w:val="7DC51861"/>
    <w:rsid w:val="7DD21995"/>
    <w:rsid w:val="7DE552DC"/>
    <w:rsid w:val="7DE6711F"/>
    <w:rsid w:val="7E422113"/>
    <w:rsid w:val="7E431733"/>
    <w:rsid w:val="7E4960BC"/>
    <w:rsid w:val="7EA076E5"/>
    <w:rsid w:val="7EE46585"/>
    <w:rsid w:val="7EF03B35"/>
    <w:rsid w:val="7EFC0778"/>
    <w:rsid w:val="7F6452A1"/>
    <w:rsid w:val="7F967E36"/>
    <w:rsid w:val="7FC3739A"/>
    <w:rsid w:val="7FE642B3"/>
    <w:rsid w:val="AF7EDBC5"/>
    <w:rsid w:val="DF8A39C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unhideWhenUsed/>
    <w:qFormat/>
    <w:uiPriority w:val="9"/>
    <w:pPr>
      <w:keepNext/>
      <w:keepLines/>
      <w:spacing w:line="520" w:lineRule="atLeast"/>
      <w:ind w:firstLine="200" w:firstLineChars="200"/>
      <w:outlineLvl w:val="1"/>
    </w:pPr>
    <w:rPr>
      <w:rFonts w:asciiTheme="majorHAnsi" w:hAnsiTheme="majorHAnsi" w:eastAsiaTheme="majorEastAsia" w:cstheme="majorBidi"/>
      <w:bCs/>
      <w:sz w:val="24"/>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32"/>
    <w:qFormat/>
    <w:uiPriority w:val="0"/>
    <w:pPr>
      <w:widowControl/>
      <w:autoSpaceDE w:val="0"/>
      <w:autoSpaceDN w:val="0"/>
      <w:adjustRightInd w:val="0"/>
      <w:spacing w:after="200" w:line="360" w:lineRule="atLeast"/>
      <w:ind w:firstLine="420"/>
      <w:jc w:val="left"/>
    </w:pPr>
    <w:rPr>
      <w:rFonts w:ascii="宋体" w:eastAsia="宋体"/>
      <w:sz w:val="24"/>
      <w:szCs w:val="21"/>
    </w:rPr>
  </w:style>
  <w:style w:type="paragraph" w:styleId="5">
    <w:name w:val="annotation text"/>
    <w:basedOn w:val="1"/>
    <w:link w:val="35"/>
    <w:semiHidden/>
    <w:unhideWhenUsed/>
    <w:qFormat/>
    <w:uiPriority w:val="99"/>
    <w:pPr>
      <w:jc w:val="left"/>
    </w:pPr>
  </w:style>
  <w:style w:type="paragraph" w:styleId="6">
    <w:name w:val="Body Text"/>
    <w:basedOn w:val="1"/>
    <w:link w:val="34"/>
    <w:qFormat/>
    <w:uiPriority w:val="0"/>
    <w:pPr>
      <w:widowControl/>
      <w:autoSpaceDE w:val="0"/>
      <w:autoSpaceDN w:val="0"/>
      <w:adjustRightInd w:val="0"/>
      <w:spacing w:after="200" w:line="400" w:lineRule="atLeast"/>
      <w:jc w:val="left"/>
    </w:pPr>
    <w:rPr>
      <w:rFonts w:ascii="宋体" w:hAnsi="Cambria" w:eastAsia="宋体" w:cs="Times New Roman"/>
      <w:color w:val="000000"/>
      <w:kern w:val="0"/>
      <w:sz w:val="24"/>
      <w:lang w:eastAsia="en-US" w:bidi="en-US"/>
    </w:rPr>
  </w:style>
  <w:style w:type="paragraph" w:styleId="7">
    <w:name w:val="Body Text Indent"/>
    <w:basedOn w:val="1"/>
    <w:link w:val="33"/>
    <w:qFormat/>
    <w:uiPriority w:val="0"/>
    <w:pPr>
      <w:widowControl/>
      <w:spacing w:after="200" w:line="276" w:lineRule="auto"/>
      <w:ind w:firstLine="420"/>
      <w:jc w:val="left"/>
    </w:pPr>
    <w:rPr>
      <w:rFonts w:ascii="Cambria" w:hAnsi="Cambria" w:eastAsia="宋体" w:cs="Times New Roman"/>
      <w:kern w:val="0"/>
      <w:sz w:val="22"/>
      <w:lang w:eastAsia="en-US" w:bidi="en-US"/>
    </w:rPr>
  </w:style>
  <w:style w:type="paragraph" w:styleId="8">
    <w:name w:val="toc 3"/>
    <w:basedOn w:val="1"/>
    <w:next w:val="1"/>
    <w:unhideWhenUsed/>
    <w:qFormat/>
    <w:uiPriority w:val="39"/>
    <w:pPr>
      <w:widowControl/>
      <w:spacing w:after="100" w:line="276" w:lineRule="auto"/>
      <w:ind w:left="440"/>
      <w:jc w:val="left"/>
    </w:pPr>
    <w:rPr>
      <w:kern w:val="0"/>
      <w:sz w:val="22"/>
    </w:rPr>
  </w:style>
  <w:style w:type="paragraph" w:styleId="9">
    <w:name w:val="Date"/>
    <w:basedOn w:val="1"/>
    <w:next w:val="1"/>
    <w:link w:val="37"/>
    <w:semiHidden/>
    <w:unhideWhenUsed/>
    <w:qFormat/>
    <w:uiPriority w:val="99"/>
    <w:pPr>
      <w:ind w:left="100" w:leftChars="2500"/>
    </w:pPr>
  </w:style>
  <w:style w:type="paragraph" w:styleId="10">
    <w:name w:val="Body Text Indent 2"/>
    <w:basedOn w:val="1"/>
    <w:link w:val="31"/>
    <w:qFormat/>
    <w:uiPriority w:val="0"/>
    <w:pPr>
      <w:widowControl/>
      <w:spacing w:after="200" w:line="420" w:lineRule="atLeast"/>
      <w:ind w:firstLine="480"/>
      <w:jc w:val="left"/>
    </w:pPr>
    <w:rPr>
      <w:rFonts w:ascii="Cambria" w:hAnsi="Cambria" w:eastAsia="宋体" w:cs="Times New Roman"/>
      <w:kern w:val="0"/>
      <w:sz w:val="24"/>
      <w:lang w:eastAsia="en-US" w:bidi="en-US"/>
    </w:rPr>
  </w:style>
  <w:style w:type="paragraph" w:styleId="11">
    <w:name w:val="Balloon Text"/>
    <w:basedOn w:val="1"/>
    <w:link w:val="28"/>
    <w:semiHidden/>
    <w:unhideWhenUsed/>
    <w:qFormat/>
    <w:uiPriority w:val="99"/>
    <w:rPr>
      <w:sz w:val="18"/>
      <w:szCs w:val="18"/>
    </w:rPr>
  </w:style>
  <w:style w:type="paragraph" w:styleId="12">
    <w:name w:val="footer"/>
    <w:basedOn w:val="1"/>
    <w:link w:val="25"/>
    <w:unhideWhenUsed/>
    <w:qFormat/>
    <w:uiPriority w:val="99"/>
    <w:pPr>
      <w:tabs>
        <w:tab w:val="center" w:pos="4153"/>
        <w:tab w:val="right" w:pos="8306"/>
      </w:tabs>
      <w:snapToGrid w:val="0"/>
      <w:jc w:val="left"/>
    </w:pPr>
    <w:rPr>
      <w:sz w:val="18"/>
      <w:szCs w:val="18"/>
    </w:rPr>
  </w:style>
  <w:style w:type="paragraph" w:styleId="13">
    <w:name w:val="header"/>
    <w:basedOn w:val="1"/>
    <w:link w:val="24"/>
    <w:unhideWhenUsed/>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widowControl/>
      <w:tabs>
        <w:tab w:val="right" w:leader="dot" w:pos="8296"/>
      </w:tabs>
      <w:spacing w:line="520" w:lineRule="atLeast"/>
      <w:jc w:val="left"/>
    </w:pPr>
    <w:rPr>
      <w:kern w:val="0"/>
      <w:sz w:val="28"/>
      <w:szCs w:val="28"/>
    </w:rPr>
  </w:style>
  <w:style w:type="paragraph" w:styleId="15">
    <w:name w:val="Subtitle"/>
    <w:basedOn w:val="1"/>
    <w:next w:val="1"/>
    <w:link w:val="38"/>
    <w:qFormat/>
    <w:uiPriority w:val="0"/>
    <w:pPr>
      <w:spacing w:line="312" w:lineRule="auto"/>
      <w:ind w:firstLine="200" w:firstLineChars="200"/>
      <w:jc w:val="left"/>
      <w:outlineLvl w:val="2"/>
    </w:pPr>
    <w:rPr>
      <w:rFonts w:eastAsia="黑体" w:asciiTheme="majorHAnsi" w:hAnsiTheme="majorHAnsi" w:cstheme="majorBidi"/>
      <w:bCs/>
      <w:kern w:val="28"/>
      <w:sz w:val="24"/>
      <w:szCs w:val="32"/>
    </w:rPr>
  </w:style>
  <w:style w:type="paragraph" w:styleId="16">
    <w:name w:val="toc 2"/>
    <w:basedOn w:val="1"/>
    <w:next w:val="1"/>
    <w:unhideWhenUsed/>
    <w:qFormat/>
    <w:uiPriority w:val="39"/>
    <w:pPr>
      <w:widowControl/>
      <w:spacing w:after="100" w:line="276" w:lineRule="auto"/>
      <w:ind w:left="220"/>
      <w:jc w:val="left"/>
    </w:pPr>
    <w:rPr>
      <w:kern w:val="0"/>
      <w:sz w:val="22"/>
    </w:rPr>
  </w:style>
  <w:style w:type="paragraph" w:styleId="17">
    <w:name w:val="annotation subject"/>
    <w:basedOn w:val="5"/>
    <w:next w:val="5"/>
    <w:link w:val="3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qFormat/>
    <w:uiPriority w:val="0"/>
  </w:style>
  <w:style w:type="character" w:styleId="22">
    <w:name w:val="Hyperlink"/>
    <w:basedOn w:val="20"/>
    <w:unhideWhenUsed/>
    <w:qFormat/>
    <w:uiPriority w:val="99"/>
    <w:rPr>
      <w:color w:val="0000FF" w:themeColor="hyperlink"/>
      <w:u w:val="single"/>
      <w14:textFill>
        <w14:solidFill>
          <w14:schemeClr w14:val="hlink"/>
        </w14:solidFill>
      </w14:textFill>
    </w:rPr>
  </w:style>
  <w:style w:type="character" w:styleId="23">
    <w:name w:val="annotation reference"/>
    <w:basedOn w:val="20"/>
    <w:semiHidden/>
    <w:unhideWhenUsed/>
    <w:qFormat/>
    <w:uiPriority w:val="99"/>
    <w:rPr>
      <w:sz w:val="21"/>
      <w:szCs w:val="21"/>
    </w:rPr>
  </w:style>
  <w:style w:type="character" w:customStyle="1" w:styleId="24">
    <w:name w:val="页眉 Char"/>
    <w:basedOn w:val="20"/>
    <w:link w:val="13"/>
    <w:semiHidden/>
    <w:qFormat/>
    <w:uiPriority w:val="99"/>
    <w:rPr>
      <w:sz w:val="18"/>
      <w:szCs w:val="18"/>
    </w:rPr>
  </w:style>
  <w:style w:type="character" w:customStyle="1" w:styleId="25">
    <w:name w:val="页脚 Char"/>
    <w:basedOn w:val="20"/>
    <w:link w:val="12"/>
    <w:qFormat/>
    <w:uiPriority w:val="99"/>
    <w:rPr>
      <w:sz w:val="18"/>
      <w:szCs w:val="18"/>
    </w:rPr>
  </w:style>
  <w:style w:type="character" w:customStyle="1" w:styleId="26">
    <w:name w:val="标题 1 Char"/>
    <w:basedOn w:val="20"/>
    <w:link w:val="2"/>
    <w:qFormat/>
    <w:uiPriority w:val="9"/>
    <w:rPr>
      <w:b/>
      <w:bCs/>
      <w:kern w:val="44"/>
      <w:sz w:val="44"/>
      <w:szCs w:val="44"/>
    </w:rPr>
  </w:style>
  <w:style w:type="paragraph" w:styleId="27">
    <w:name w:val="List Paragraph"/>
    <w:basedOn w:val="1"/>
    <w:qFormat/>
    <w:uiPriority w:val="34"/>
    <w:pPr>
      <w:ind w:firstLine="420" w:firstLineChars="200"/>
    </w:pPr>
  </w:style>
  <w:style w:type="character" w:customStyle="1" w:styleId="28">
    <w:name w:val="批注框文本 Char"/>
    <w:basedOn w:val="20"/>
    <w:link w:val="11"/>
    <w:semiHidden/>
    <w:qFormat/>
    <w:uiPriority w:val="99"/>
    <w:rPr>
      <w:sz w:val="18"/>
      <w:szCs w:val="18"/>
    </w:rPr>
  </w:style>
  <w:style w:type="paragraph" w:customStyle="1" w:styleId="29">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0">
    <w:name w:val="标题 2 Char"/>
    <w:basedOn w:val="20"/>
    <w:link w:val="3"/>
    <w:qFormat/>
    <w:uiPriority w:val="9"/>
    <w:rPr>
      <w:rFonts w:asciiTheme="majorHAnsi" w:hAnsiTheme="majorHAnsi" w:eastAsiaTheme="majorEastAsia" w:cstheme="majorBidi"/>
      <w:bCs/>
      <w:sz w:val="24"/>
      <w:szCs w:val="32"/>
    </w:rPr>
  </w:style>
  <w:style w:type="character" w:customStyle="1" w:styleId="31">
    <w:name w:val="正文文本缩进 2 Char"/>
    <w:basedOn w:val="20"/>
    <w:link w:val="10"/>
    <w:qFormat/>
    <w:uiPriority w:val="0"/>
    <w:rPr>
      <w:rFonts w:ascii="Cambria" w:hAnsi="Cambria" w:eastAsia="宋体" w:cs="Times New Roman"/>
      <w:kern w:val="0"/>
      <w:sz w:val="24"/>
      <w:lang w:eastAsia="en-US" w:bidi="en-US"/>
    </w:rPr>
  </w:style>
  <w:style w:type="character" w:customStyle="1" w:styleId="32">
    <w:name w:val="正文缩进 Char"/>
    <w:link w:val="4"/>
    <w:qFormat/>
    <w:uiPriority w:val="0"/>
    <w:rPr>
      <w:rFonts w:ascii="宋体" w:eastAsia="宋体"/>
      <w:sz w:val="24"/>
      <w:szCs w:val="21"/>
    </w:rPr>
  </w:style>
  <w:style w:type="character" w:customStyle="1" w:styleId="33">
    <w:name w:val="正文文本缩进 Char"/>
    <w:basedOn w:val="20"/>
    <w:link w:val="7"/>
    <w:qFormat/>
    <w:uiPriority w:val="0"/>
    <w:rPr>
      <w:rFonts w:ascii="Cambria" w:hAnsi="Cambria" w:eastAsia="宋体" w:cs="Times New Roman"/>
      <w:kern w:val="0"/>
      <w:sz w:val="22"/>
      <w:lang w:eastAsia="en-US" w:bidi="en-US"/>
    </w:rPr>
  </w:style>
  <w:style w:type="character" w:customStyle="1" w:styleId="34">
    <w:name w:val="正文文本 Char"/>
    <w:basedOn w:val="20"/>
    <w:link w:val="6"/>
    <w:qFormat/>
    <w:uiPriority w:val="0"/>
    <w:rPr>
      <w:rFonts w:ascii="宋体" w:hAnsi="Cambria" w:eastAsia="宋体" w:cs="Times New Roman"/>
      <w:color w:val="000000"/>
      <w:kern w:val="0"/>
      <w:sz w:val="24"/>
      <w:lang w:eastAsia="en-US" w:bidi="en-US"/>
    </w:rPr>
  </w:style>
  <w:style w:type="character" w:customStyle="1" w:styleId="35">
    <w:name w:val="批注文字 Char"/>
    <w:basedOn w:val="20"/>
    <w:link w:val="5"/>
    <w:semiHidden/>
    <w:qFormat/>
    <w:uiPriority w:val="99"/>
  </w:style>
  <w:style w:type="character" w:customStyle="1" w:styleId="36">
    <w:name w:val="批注主题 Char"/>
    <w:basedOn w:val="35"/>
    <w:link w:val="17"/>
    <w:semiHidden/>
    <w:qFormat/>
    <w:uiPriority w:val="99"/>
    <w:rPr>
      <w:b/>
      <w:bCs/>
    </w:rPr>
  </w:style>
  <w:style w:type="character" w:customStyle="1" w:styleId="37">
    <w:name w:val="日期 Char"/>
    <w:basedOn w:val="20"/>
    <w:link w:val="9"/>
    <w:semiHidden/>
    <w:qFormat/>
    <w:uiPriority w:val="99"/>
  </w:style>
  <w:style w:type="character" w:customStyle="1" w:styleId="38">
    <w:name w:val="副标题 Char"/>
    <w:basedOn w:val="20"/>
    <w:link w:val="15"/>
    <w:qFormat/>
    <w:uiPriority w:val="0"/>
    <w:rPr>
      <w:rFonts w:eastAsia="黑体" w:asciiTheme="majorHAnsi" w:hAnsiTheme="majorHAnsi" w:cstheme="majorBidi"/>
      <w:bCs/>
      <w:kern w:val="28"/>
      <w:sz w:val="24"/>
      <w:szCs w:val="32"/>
    </w:rPr>
  </w:style>
  <w:style w:type="paragraph" w:customStyle="1" w:styleId="39">
    <w:name w:val="表格"/>
    <w:basedOn w:val="1"/>
    <w:qFormat/>
    <w:uiPriority w:val="0"/>
    <w:pPr>
      <w:jc w:val="center"/>
    </w:pPr>
    <w:rPr>
      <w:rFonts w:ascii="Verdana" w:hAnsi="Verdana" w:eastAsia="仿宋_GB2312" w:cs="Times New Roman"/>
      <w:lang w:eastAsia="en-US"/>
    </w:rPr>
  </w:style>
  <w:style w:type="paragraph" w:customStyle="1" w:styleId="40">
    <w:name w:val="WPSOffice手动目录 1"/>
    <w:qFormat/>
    <w:uiPriority w:val="0"/>
    <w:rPr>
      <w:rFonts w:ascii="Times New Roman" w:hAnsi="Times New Roman" w:eastAsia="宋体" w:cs="Times New Roman"/>
      <w:lang w:val="en-US" w:eastAsia="zh-CN" w:bidi="ar-SA"/>
    </w:rPr>
  </w:style>
  <w:style w:type="paragraph" w:customStyle="1" w:styleId="4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42">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43">
    <w:name w:val="font01"/>
    <w:basedOn w:val="20"/>
    <w:qFormat/>
    <w:uiPriority w:val="0"/>
    <w:rPr>
      <w:rFonts w:hint="eastAsia" w:ascii="宋体" w:hAnsi="宋体" w:eastAsia="宋体" w:cs="宋体"/>
      <w:color w:val="000000"/>
      <w:sz w:val="18"/>
      <w:szCs w:val="18"/>
      <w:u w:val="none"/>
    </w:rPr>
  </w:style>
  <w:style w:type="character" w:customStyle="1" w:styleId="44">
    <w:name w:val="10"/>
    <w:basedOn w:val="20"/>
    <w:qFormat/>
    <w:uiPriority w:val="0"/>
    <w:rPr>
      <w:rFonts w:hint="default" w:ascii="Times New Roman" w:hAnsi="Times New Roman" w:cs="Times New Roman"/>
    </w:rPr>
  </w:style>
  <w:style w:type="character" w:customStyle="1" w:styleId="45">
    <w:name w:val="15"/>
    <w:basedOn w:val="20"/>
    <w:qFormat/>
    <w:uiPriority w:val="0"/>
    <w:rPr>
      <w:rFonts w:hint="eastAsia" w:ascii="宋体" w:hAnsi="宋体" w:eastAsia="宋体" w:cs="宋体"/>
      <w:color w:val="00000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30</Pages>
  <Words>1792</Words>
  <Characters>10217</Characters>
  <Lines>85</Lines>
  <Paragraphs>23</Paragraphs>
  <TotalTime>34</TotalTime>
  <ScaleCrop>false</ScaleCrop>
  <LinksUpToDate>false</LinksUpToDate>
  <CharactersWithSpaces>11986</CharactersWithSpaces>
  <Application>WPS Office_11.8.2.10534_F1E327BC-269C-435d-A152-05C5408002CA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2023-06-09T02:06:00Z</dcterms:created>
  <dc:creator>user</dc:creator>
  <cp:lastModifiedBy>user</cp:lastModifiedBy>
  <cp:lastPrinted>2020-08-20T18:36:00Z</cp:lastPrinted>
  <dcterms:modified xsi:type="dcterms:W3CDTF">2023-06-09T10:27:21Z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1EAC2A526C85435CB2ADF04681E7AAA9</vt:lpwstr>
  </property>
</Properties>
</file>