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eastAsia="方正小标宋简体"/>
          <w:sz w:val="36"/>
          <w:szCs w:val="36"/>
        </w:rPr>
      </w:pPr>
      <w:bookmarkStart w:id="2" w:name="_GoBack"/>
      <w:bookmarkEnd w:id="2"/>
    </w:p>
    <w:p>
      <w:pPr>
        <w:spacing w:line="560" w:lineRule="exact"/>
        <w:jc w:val="center"/>
        <w:rPr>
          <w:rFonts w:ascii="方正小标宋简体" w:eastAsia="方正小标宋简体"/>
          <w:sz w:val="36"/>
          <w:szCs w:val="36"/>
        </w:rPr>
      </w:pPr>
      <w:r>
        <w:rPr>
          <w:rFonts w:hint="eastAsia" w:ascii="方正小标宋简体" w:eastAsia="方正小标宋简体"/>
          <w:sz w:val="36"/>
          <w:szCs w:val="36"/>
        </w:rPr>
        <w:t>北京知识产权法院部门整体</w:t>
      </w:r>
    </w:p>
    <w:p>
      <w:pPr>
        <w:spacing w:line="560" w:lineRule="exact"/>
        <w:jc w:val="center"/>
        <w:rPr>
          <w:rFonts w:ascii="方正小标宋简体" w:eastAsia="方正小标宋简体"/>
          <w:sz w:val="36"/>
          <w:szCs w:val="36"/>
        </w:rPr>
      </w:pPr>
      <w:r>
        <w:rPr>
          <w:rFonts w:hint="eastAsia" w:ascii="方正小标宋简体" w:eastAsia="方正小标宋简体"/>
          <w:sz w:val="36"/>
          <w:szCs w:val="36"/>
        </w:rPr>
        <w:t>绩效评价报告</w:t>
      </w:r>
    </w:p>
    <w:p>
      <w:pPr>
        <w:spacing w:line="560" w:lineRule="exact"/>
        <w:jc w:val="center"/>
        <w:rPr>
          <w:rFonts w:ascii="方正小标宋简体" w:eastAsia="方正小标宋简体"/>
          <w:sz w:val="36"/>
          <w:szCs w:val="36"/>
        </w:rPr>
      </w:pPr>
    </w:p>
    <w:p>
      <w:pPr>
        <w:jc w:val="center"/>
        <w:rPr>
          <w:rFonts w:ascii="仿宋_GB2312"/>
          <w:szCs w:val="30"/>
        </w:rPr>
      </w:pPr>
    </w:p>
    <w:p>
      <w:pPr>
        <w:spacing w:line="60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一、部门概况</w:t>
      </w:r>
    </w:p>
    <w:p>
      <w:pPr>
        <w:spacing w:line="600" w:lineRule="exact"/>
        <w:ind w:firstLine="640" w:firstLineChars="200"/>
        <w:rPr>
          <w:rFonts w:ascii="楷体_GB2312" w:eastAsia="楷体_GB2312"/>
          <w:sz w:val="32"/>
          <w:szCs w:val="32"/>
        </w:rPr>
      </w:pPr>
      <w:r>
        <w:rPr>
          <w:rFonts w:hint="eastAsia" w:ascii="楷体_GB2312" w:eastAsia="楷体_GB2312"/>
          <w:sz w:val="32"/>
          <w:szCs w:val="32"/>
        </w:rPr>
        <w:t>（一）机构设置及职责工作任务情况</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1.机构设置</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北京知识产权法院2014年11月6日成立，是全国首家知识产权审判专门法院。根据京编委[2015]2号、京编办行[2015]196号、京编办行[2017]66号文，北京知识产权法院内设9个机构及部门，具体包括：立案庭、审判第一庭、审判第二庭、审判第三庭、审判第四庭、审判监督庭、技术调查室、司法警察支队及综合办公室。</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行政编制1</w:t>
      </w:r>
      <w:r>
        <w:rPr>
          <w:rFonts w:ascii="仿宋_GB2312" w:hAnsi="宋体" w:eastAsia="仿宋_GB2312" w:cs="宋体"/>
          <w:color w:val="000000"/>
          <w:kern w:val="0"/>
          <w:sz w:val="32"/>
          <w:szCs w:val="32"/>
        </w:rPr>
        <w:t>79</w:t>
      </w:r>
      <w:r>
        <w:rPr>
          <w:rFonts w:hint="eastAsia" w:ascii="仿宋_GB2312" w:hAnsi="宋体" w:eastAsia="仿宋_GB2312" w:cs="宋体"/>
          <w:color w:val="000000"/>
          <w:kern w:val="0"/>
          <w:sz w:val="32"/>
          <w:szCs w:val="32"/>
        </w:rPr>
        <w:t>人，实际176人；事业编制0人，实际0人；聘用人员（法院聘任书记员、聘用制司法警察、其他聘用人员--临时工）119人。</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2.主要职责</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负责各类知识产权案件的审判。管辖下列一审案件。具体为：</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w:t>
      </w:r>
      <w:r>
        <w:rPr>
          <w:rFonts w:ascii="仿宋_GB2312" w:hAnsi="宋体" w:eastAsia="仿宋_GB2312" w:cs="宋体"/>
          <w:color w:val="000000"/>
          <w:kern w:val="0"/>
          <w:sz w:val="32"/>
          <w:szCs w:val="32"/>
        </w:rPr>
        <w:t>知识产权民事案件。</w:t>
      </w:r>
      <w:r>
        <w:rPr>
          <w:rFonts w:hint="eastAsia" w:ascii="微软雅黑" w:hAnsi="微软雅黑" w:eastAsia="微软雅黑" w:cs="微软雅黑"/>
          <w:color w:val="000000"/>
          <w:kern w:val="0"/>
          <w:sz w:val="32"/>
          <w:szCs w:val="32"/>
        </w:rPr>
        <w:t>①</w:t>
      </w:r>
      <w:r>
        <w:rPr>
          <w:rFonts w:ascii="仿宋_GB2312" w:hAnsi="宋体" w:eastAsia="仿宋_GB2312" w:cs="宋体"/>
          <w:color w:val="000000"/>
          <w:kern w:val="0"/>
          <w:sz w:val="32"/>
          <w:szCs w:val="32"/>
        </w:rPr>
        <w:t>诉讼标的额在2亿元以下且当事人住所地均在本市的，以及诉讼标的额在1亿元以下且当事人一方住所地不在本市或者涉外、涉港澳台的专利、植物新品种、集成电路布图设计、技术秘密、计算机软件、垄断以及涉及驰名商标认定的一审民事案件。</w:t>
      </w:r>
      <w:r>
        <w:rPr>
          <w:rFonts w:hint="eastAsia" w:ascii="微软雅黑" w:hAnsi="微软雅黑" w:eastAsia="微软雅黑" w:cs="微软雅黑"/>
          <w:color w:val="000000"/>
          <w:kern w:val="0"/>
          <w:sz w:val="32"/>
          <w:szCs w:val="32"/>
        </w:rPr>
        <w:t>②</w:t>
      </w:r>
      <w:r>
        <w:rPr>
          <w:rFonts w:ascii="仿宋_GB2312" w:hAnsi="宋体" w:eastAsia="仿宋_GB2312" w:cs="宋体"/>
          <w:color w:val="000000"/>
          <w:kern w:val="0"/>
          <w:sz w:val="32"/>
          <w:szCs w:val="32"/>
        </w:rPr>
        <w:t>诉讼标的额在1亿元以上、2亿元以下且当事人住所地均在本市的，以及诉讼标的额在5000万元以上、1亿元以下且当事人一方住所地不在本市或者涉外、涉港澳台的著作权、商标、技术合同、不正当竞争、特许经营合同等一审民事案件。</w:t>
      </w:r>
      <w:r>
        <w:rPr>
          <w:rFonts w:hint="eastAsia" w:ascii="微软雅黑" w:hAnsi="微软雅黑" w:eastAsia="微软雅黑" w:cs="微软雅黑"/>
          <w:color w:val="000000"/>
          <w:kern w:val="0"/>
          <w:sz w:val="32"/>
          <w:szCs w:val="32"/>
        </w:rPr>
        <w:t>③</w:t>
      </w:r>
      <w:r>
        <w:rPr>
          <w:rFonts w:ascii="仿宋_GB2312" w:hAnsi="宋体" w:eastAsia="仿宋_GB2312" w:cs="宋体"/>
          <w:color w:val="000000"/>
          <w:kern w:val="0"/>
          <w:sz w:val="32"/>
          <w:szCs w:val="32"/>
        </w:rPr>
        <w:t>对各基层人民法院作出的一审知识产权民事判决、裁定提起上诉的案件；</w:t>
      </w:r>
      <w:r>
        <w:rPr>
          <w:rFonts w:hint="eastAsia" w:ascii="微软雅黑" w:hAnsi="微软雅黑" w:eastAsia="微软雅黑" w:cs="微软雅黑"/>
          <w:color w:val="000000"/>
          <w:kern w:val="0"/>
          <w:sz w:val="32"/>
          <w:szCs w:val="32"/>
        </w:rPr>
        <w:t>④</w:t>
      </w:r>
      <w:r>
        <w:rPr>
          <w:rFonts w:ascii="仿宋_GB2312" w:hAnsi="宋体" w:eastAsia="仿宋_GB2312" w:cs="宋体"/>
          <w:color w:val="000000"/>
          <w:kern w:val="0"/>
          <w:sz w:val="32"/>
          <w:szCs w:val="32"/>
        </w:rPr>
        <w:t>对各基层人民法院已经发生法律效力的知识产权民事判决、裁定、调解书申请再审的案件，但是当事人依法向各基层人民法院申请再审的除外。</w:t>
      </w:r>
      <w:r>
        <w:rPr>
          <w:rFonts w:hint="eastAsia" w:ascii="微软雅黑" w:hAnsi="微软雅黑" w:eastAsia="微软雅黑" w:cs="微软雅黑"/>
          <w:color w:val="000000"/>
          <w:kern w:val="0"/>
          <w:sz w:val="32"/>
          <w:szCs w:val="32"/>
        </w:rPr>
        <w:t>⑤</w:t>
      </w:r>
      <w:r>
        <w:rPr>
          <w:rFonts w:ascii="仿宋_GB2312" w:hAnsi="宋体" w:eastAsia="仿宋_GB2312" w:cs="宋体"/>
          <w:color w:val="000000"/>
          <w:kern w:val="0"/>
          <w:sz w:val="32"/>
          <w:szCs w:val="32"/>
        </w:rPr>
        <w:t>在本市有重大影响的其他第一审知识产权民事案件。</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w:t>
      </w:r>
      <w:r>
        <w:rPr>
          <w:rFonts w:ascii="仿宋_GB2312" w:hAnsi="宋体" w:eastAsia="仿宋_GB2312" w:cs="宋体"/>
          <w:color w:val="000000"/>
          <w:kern w:val="0"/>
          <w:sz w:val="32"/>
          <w:szCs w:val="32"/>
        </w:rPr>
        <w:t>知识产权行政案件。知识产权授权确权行政案件</w:t>
      </w:r>
      <w:r>
        <w:rPr>
          <w:rFonts w:hint="eastAsia" w:ascii="仿宋_GB2312" w:hAnsi="宋体" w:eastAsia="仿宋_GB2312" w:cs="宋体"/>
          <w:color w:val="000000"/>
          <w:kern w:val="0"/>
          <w:sz w:val="32"/>
          <w:szCs w:val="32"/>
        </w:rPr>
        <w:t>；</w:t>
      </w:r>
      <w:r>
        <w:rPr>
          <w:rFonts w:ascii="仿宋_GB2312" w:hAnsi="宋体" w:eastAsia="仿宋_GB2312" w:cs="宋体"/>
          <w:color w:val="000000"/>
          <w:kern w:val="0"/>
          <w:sz w:val="32"/>
          <w:szCs w:val="32"/>
        </w:rPr>
        <w:t>其他知识产权行政案件</w:t>
      </w:r>
      <w:r>
        <w:rPr>
          <w:rFonts w:hint="eastAsia" w:ascii="仿宋_GB2312" w:hAnsi="宋体" w:eastAsia="仿宋_GB2312" w:cs="宋体"/>
          <w:color w:val="000000"/>
          <w:kern w:val="0"/>
          <w:sz w:val="32"/>
          <w:szCs w:val="32"/>
        </w:rPr>
        <w:t>；</w:t>
      </w:r>
      <w:r>
        <w:rPr>
          <w:rFonts w:ascii="仿宋_GB2312" w:hAnsi="宋体" w:eastAsia="仿宋_GB2312" w:cs="宋体"/>
          <w:color w:val="000000"/>
          <w:kern w:val="0"/>
          <w:sz w:val="32"/>
          <w:szCs w:val="32"/>
        </w:rPr>
        <w:t>北京市各基层法院一审知识产权行政案件的上诉案件。</w:t>
      </w:r>
    </w:p>
    <w:p>
      <w:pPr>
        <w:numPr>
          <w:ilvl w:val="0"/>
          <w:numId w:val="1"/>
        </w:numPr>
        <w:spacing w:line="600" w:lineRule="exact"/>
        <w:ind w:firstLine="640" w:firstLineChars="200"/>
        <w:rPr>
          <w:rFonts w:ascii="楷体_GB2312" w:eastAsia="楷体_GB2312"/>
          <w:sz w:val="32"/>
          <w:szCs w:val="32"/>
        </w:rPr>
      </w:pPr>
      <w:r>
        <w:rPr>
          <w:rFonts w:hint="eastAsia" w:ascii="楷体_GB2312" w:eastAsia="楷体_GB2312"/>
          <w:sz w:val="32"/>
          <w:szCs w:val="32"/>
        </w:rPr>
        <w:t>部门整体绩效目标设立情况</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1.绩效目标设立依据</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根据《最高人民法院&lt;关于知识产权法院案件管辖等有关问题的通知&gt;》《关于加强知识产权审判领域改革创新的实施意见》，以及《北京市知识产权保护条例》《“两区”建设知识产权全环节改革行动方案》等，以及北京知识产权法院主要职责和2022部门年度工作计划设定部门整体绩效目标。</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2.部门整体绩效目标与职责任务匹配情况</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北京知识产权法院部门整体绩效目标：</w:t>
      </w:r>
      <w:r>
        <w:rPr>
          <w:rFonts w:ascii="仿宋_GB2312" w:hAnsi="宋体" w:eastAsia="仿宋_GB2312" w:cs="宋体"/>
          <w:kern w:val="0"/>
          <w:sz w:val="32"/>
          <w:szCs w:val="32"/>
        </w:rPr>
        <w:t>严格贯彻落实各项财经方针政策和法规制度，加强预算执行管理和绩效管理，科学合理管好用好各项经费，有力保障所属人员生活、机构正常运转和审判执行工作的顺利开展。牢固树立“过紧日子”思想，落实厉行节约要求，有效控制机关运行成本。</w:t>
      </w:r>
    </w:p>
    <w:p>
      <w:pPr>
        <w:spacing w:line="540" w:lineRule="exact"/>
        <w:ind w:firstLine="640" w:firstLineChars="200"/>
        <w:rPr>
          <w:rFonts w:ascii="仿宋_GB2312" w:hAnsi="宋体" w:eastAsia="仿宋_GB2312" w:cs="宋体"/>
          <w:kern w:val="0"/>
          <w:sz w:val="32"/>
          <w:szCs w:val="32"/>
        </w:rPr>
      </w:pPr>
      <w:r>
        <w:rPr>
          <w:rFonts w:hint="eastAsia" w:ascii="仿宋_GB2312" w:hAnsi="宋体" w:eastAsia="仿宋_GB2312" w:cs="宋体"/>
          <w:color w:val="000000"/>
          <w:kern w:val="0"/>
          <w:sz w:val="32"/>
          <w:szCs w:val="32"/>
        </w:rPr>
        <w:t>整体绩效目标与职责任务匹配情况如下</w:t>
      </w:r>
      <w:r>
        <w:rPr>
          <w:rFonts w:hint="eastAsia" w:ascii="仿宋_GB2312" w:eastAsia="仿宋_GB2312"/>
          <w:color w:val="000000"/>
          <w:sz w:val="32"/>
          <w:szCs w:val="32"/>
        </w:rPr>
        <w:t>：</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（1）抓党建、带队建、保廉洁，努力实现五个过硬，确保司法工作的政治效果。</w:t>
      </w:r>
    </w:p>
    <w:p>
      <w:pPr>
        <w:spacing w:line="600" w:lineRule="exact"/>
        <w:ind w:firstLine="640" w:firstLineChars="200"/>
      </w:pPr>
      <w:r>
        <w:rPr>
          <w:rFonts w:hint="eastAsia" w:ascii="仿宋_GB2312" w:hAnsi="宋体" w:eastAsia="仿宋_GB2312" w:cs="宋体"/>
          <w:kern w:val="0"/>
          <w:sz w:val="32"/>
          <w:szCs w:val="32"/>
        </w:rPr>
        <w:t>始终以党的政治建设为统领，贯彻落实习近平法治思想，党的二十大精神和习近平总书记对政法工作的重要指示精神，不断增强“四个意识”、坚定“四个自信”、捍卫“两个确立”、做到“两个维护”；坚持党对司法工作的绝对领导。巩固党史学习、巡视整改和队伍教育整顿成果。扎实推进专业队伍建设，抓好司法能力培养，增强责任担当。</w:t>
      </w:r>
      <w:r>
        <w:rPr>
          <w:rFonts w:ascii="仿宋_GB2312" w:hAnsi="宋体" w:eastAsia="仿宋_GB2312" w:cs="宋体"/>
          <w:kern w:val="0"/>
          <w:sz w:val="32"/>
          <w:szCs w:val="32"/>
        </w:rPr>
        <w:t>重点保证廉洁司法，营造风清气正司法生态。</w:t>
      </w:r>
    </w:p>
    <w:p>
      <w:pPr>
        <w:spacing w:line="600" w:lineRule="exact"/>
        <w:ind w:firstLine="608" w:firstLineChars="200"/>
        <w:rPr>
          <w:rFonts w:ascii="仿宋_GB2312" w:hAnsi="宋体" w:eastAsia="仿宋_GB2312" w:cs="宋体"/>
          <w:bCs/>
          <w:color w:val="000000"/>
          <w:spacing w:val="-8"/>
          <w:kern w:val="28"/>
          <w:sz w:val="32"/>
          <w:szCs w:val="32"/>
        </w:rPr>
      </w:pPr>
      <w:r>
        <w:rPr>
          <w:rFonts w:hint="eastAsia" w:ascii="仿宋_GB2312" w:hAnsi="宋体" w:eastAsia="仿宋_GB2312" w:cs="宋体"/>
          <w:bCs/>
          <w:color w:val="000000"/>
          <w:spacing w:val="-8"/>
          <w:kern w:val="28"/>
          <w:sz w:val="32"/>
          <w:szCs w:val="32"/>
        </w:rPr>
        <w:t>（2）保障机构的基本行政运行，完善审判、办公基础条件和环境建设，确保基本运行保障。</w:t>
      </w:r>
    </w:p>
    <w:p>
      <w:pPr>
        <w:spacing w:line="600" w:lineRule="exact"/>
        <w:ind w:firstLine="608" w:firstLineChars="200"/>
      </w:pPr>
      <w:r>
        <w:rPr>
          <w:rFonts w:hint="eastAsia" w:ascii="仿宋_GB2312" w:hAnsi="宋体" w:eastAsia="仿宋_GB2312" w:cs="宋体"/>
          <w:bCs/>
          <w:color w:val="000000"/>
          <w:spacing w:val="-8"/>
          <w:kern w:val="28"/>
          <w:sz w:val="32"/>
          <w:szCs w:val="32"/>
        </w:rPr>
        <w:t>（3）完善法院业务装备，保障审判工作的顺利进行。</w:t>
      </w:r>
    </w:p>
    <w:p>
      <w:pPr>
        <w:spacing w:line="600" w:lineRule="exact"/>
        <w:ind w:firstLine="608" w:firstLineChars="200"/>
        <w:rPr>
          <w:rFonts w:ascii="仿宋_GB2312" w:hAnsi="宋体" w:eastAsia="仿宋_GB2312" w:cs="宋体"/>
          <w:bCs/>
          <w:color w:val="000000"/>
          <w:spacing w:val="-8"/>
          <w:kern w:val="28"/>
          <w:sz w:val="32"/>
          <w:szCs w:val="32"/>
        </w:rPr>
      </w:pPr>
      <w:r>
        <w:rPr>
          <w:rFonts w:hint="eastAsia" w:ascii="仿宋_GB2312" w:hAnsi="宋体" w:eastAsia="仿宋_GB2312" w:cs="宋体"/>
          <w:bCs/>
          <w:color w:val="000000"/>
          <w:spacing w:val="-8"/>
          <w:kern w:val="28"/>
          <w:sz w:val="32"/>
          <w:szCs w:val="32"/>
        </w:rPr>
        <w:t>（4）以“结难案、清积案、压存案”为重点，持续提高审判质效，确保司法工作的法律效果。</w:t>
      </w:r>
    </w:p>
    <w:p>
      <w:pPr>
        <w:spacing w:line="600" w:lineRule="exact"/>
        <w:ind w:firstLine="640"/>
        <w:rPr>
          <w:rFonts w:ascii="仿宋_GB2312" w:hAnsi="宋体" w:eastAsia="仿宋_GB2312" w:cs="宋体"/>
          <w:bCs/>
          <w:color w:val="000000"/>
          <w:spacing w:val="-8"/>
          <w:kern w:val="28"/>
          <w:sz w:val="32"/>
          <w:szCs w:val="32"/>
        </w:rPr>
      </w:pPr>
      <w:r>
        <w:rPr>
          <w:rFonts w:hint="eastAsia" w:ascii="仿宋_GB2312" w:hAnsi="宋体" w:eastAsia="仿宋_GB2312" w:cs="宋体"/>
          <w:bCs/>
          <w:color w:val="000000"/>
          <w:spacing w:val="-8"/>
          <w:kern w:val="28"/>
          <w:sz w:val="32"/>
          <w:szCs w:val="32"/>
        </w:rPr>
        <w:t>将持续提高办案质量作为基本要求，努力实现有效终审、精准定分止争。不断提升办案效率，尽快实现收结案的良性循环。加强案件诉源治理，压低存案数量、改善存案结构。</w:t>
      </w:r>
    </w:p>
    <w:p>
      <w:pPr>
        <w:spacing w:line="600" w:lineRule="exact"/>
        <w:ind w:firstLine="608" w:firstLineChars="200"/>
        <w:rPr>
          <w:rFonts w:ascii="仿宋_GB2312" w:hAnsi="宋体" w:eastAsia="仿宋_GB2312" w:cs="宋体"/>
          <w:bCs/>
          <w:color w:val="000000"/>
          <w:spacing w:val="-8"/>
          <w:kern w:val="28"/>
          <w:sz w:val="32"/>
          <w:szCs w:val="32"/>
        </w:rPr>
      </w:pPr>
      <w:r>
        <w:rPr>
          <w:rFonts w:hint="eastAsia" w:ascii="仿宋_GB2312" w:hAnsi="宋体" w:eastAsia="仿宋_GB2312" w:cs="宋体"/>
          <w:bCs/>
          <w:color w:val="000000"/>
          <w:spacing w:val="-8"/>
          <w:kern w:val="28"/>
          <w:sz w:val="32"/>
          <w:szCs w:val="32"/>
        </w:rPr>
        <w:t>（5）以“树规则、促治理、助发展”为目标，主动参与社会治理，确保司法工作的社会效果。</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绩效目标设置符合</w:t>
      </w:r>
      <w:r>
        <w:rPr>
          <w:rFonts w:hint="eastAsia" w:ascii="仿宋_GB2312" w:hAnsi="宋体" w:eastAsia="仿宋_GB2312" w:cs="宋体"/>
          <w:kern w:val="0"/>
          <w:sz w:val="32"/>
          <w:szCs w:val="32"/>
        </w:rPr>
        <w:t>中央《知识产权强国建设纲要》</w:t>
      </w:r>
      <w:r>
        <w:rPr>
          <w:rFonts w:hint="eastAsia" w:ascii="仿宋_GB2312" w:eastAsia="仿宋_GB2312"/>
          <w:sz w:val="32"/>
          <w:szCs w:val="32"/>
        </w:rPr>
        <w:t>和部门职能，目标设立与职责高度匹配，设立依据比较充分。</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3.整体绩效目标的合理性</w:t>
      </w:r>
    </w:p>
    <w:p>
      <w:pPr>
        <w:spacing w:line="600" w:lineRule="exact"/>
        <w:ind w:firstLine="640"/>
        <w:rPr>
          <w:rFonts w:ascii="仿宋_GB2312" w:hAnsi="宋体" w:eastAsia="仿宋_GB2312" w:cs="宋体"/>
          <w:kern w:val="0"/>
          <w:sz w:val="32"/>
          <w:szCs w:val="32"/>
        </w:rPr>
      </w:pPr>
      <w:r>
        <w:rPr>
          <w:rFonts w:hint="eastAsia" w:ascii="仿宋_GB2312" w:hAnsi="宋体" w:eastAsia="仿宋_GB2312" w:cs="宋体"/>
          <w:kern w:val="0"/>
          <w:sz w:val="32"/>
          <w:szCs w:val="32"/>
        </w:rPr>
        <w:t>根据中央《知识产权强国建设纲要》提出的“建设中国特色、世界水平的知识产权强国”为目标，知识产权法院以“抓党建、带队建、保廉洁”为前提，以“结难案、清积案、压存案”为重点，以“树规则、促治理、助发展”为工作重点，设定部门整体支出绩效目标，根据绩效目标设置了五大类产出指标及效果指标，部门整体支出绩效目标客观实际、可实现，绩效目标具备合理性。</w:t>
      </w:r>
    </w:p>
    <w:p>
      <w:pPr>
        <w:spacing w:line="600" w:lineRule="exact"/>
        <w:ind w:firstLine="640"/>
        <w:rPr>
          <w:rFonts w:ascii="黑体" w:hAnsi="黑体" w:eastAsia="黑体" w:cs="宋体"/>
          <w:color w:val="000000"/>
          <w:kern w:val="0"/>
          <w:sz w:val="32"/>
          <w:szCs w:val="32"/>
        </w:rPr>
      </w:pPr>
      <w:r>
        <w:rPr>
          <w:rFonts w:hint="eastAsia" w:ascii="黑体" w:hAnsi="黑体" w:eastAsia="黑体" w:cs="宋体"/>
          <w:color w:val="000000"/>
          <w:kern w:val="0"/>
          <w:sz w:val="32"/>
          <w:szCs w:val="32"/>
        </w:rPr>
        <w:t>二</w:t>
      </w:r>
      <w:r>
        <w:rPr>
          <w:rFonts w:ascii="黑体" w:hAnsi="黑体" w:eastAsia="黑体" w:cs="宋体"/>
          <w:color w:val="000000"/>
          <w:kern w:val="0"/>
          <w:sz w:val="32"/>
          <w:szCs w:val="32"/>
        </w:rPr>
        <w:t>、</w:t>
      </w:r>
      <w:r>
        <w:rPr>
          <w:rFonts w:hint="eastAsia" w:ascii="黑体" w:hAnsi="黑体" w:eastAsia="黑体" w:cs="宋体"/>
          <w:color w:val="000000"/>
          <w:kern w:val="0"/>
          <w:sz w:val="32"/>
          <w:szCs w:val="32"/>
        </w:rPr>
        <w:t>当年</w:t>
      </w:r>
      <w:r>
        <w:rPr>
          <w:rFonts w:ascii="黑体" w:hAnsi="黑体" w:eastAsia="黑体" w:cs="宋体"/>
          <w:color w:val="000000"/>
          <w:kern w:val="0"/>
          <w:sz w:val="32"/>
          <w:szCs w:val="32"/>
        </w:rPr>
        <w:t>预算执行情况</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kern w:val="0"/>
          <w:sz w:val="32"/>
          <w:szCs w:val="32"/>
        </w:rPr>
        <w:t>2022</w:t>
      </w:r>
      <w:r>
        <w:rPr>
          <w:rFonts w:hint="eastAsia" w:ascii="仿宋_GB2312" w:hAnsi="宋体" w:eastAsia="仿宋_GB2312" w:cs="宋体"/>
          <w:color w:val="000000"/>
          <w:kern w:val="0"/>
          <w:sz w:val="32"/>
          <w:szCs w:val="32"/>
        </w:rPr>
        <w:t>年</w:t>
      </w:r>
      <w:r>
        <w:rPr>
          <w:rFonts w:ascii="仿宋_GB2312" w:hAnsi="宋体" w:eastAsia="仿宋_GB2312" w:cs="宋体"/>
          <w:color w:val="000000"/>
          <w:kern w:val="0"/>
          <w:sz w:val="32"/>
          <w:szCs w:val="32"/>
        </w:rPr>
        <w:t>全年</w:t>
      </w:r>
      <w:r>
        <w:rPr>
          <w:rFonts w:hint="eastAsia" w:ascii="仿宋_GB2312" w:hAnsi="宋体" w:eastAsia="仿宋_GB2312" w:cs="宋体"/>
          <w:color w:val="000000"/>
          <w:kern w:val="0"/>
          <w:sz w:val="32"/>
          <w:szCs w:val="32"/>
        </w:rPr>
        <w:t>预算数18,371.84737万元</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包括上年结转数22.00万元，年初预算批复17,781.636127万元，年中预算调整1,605.974900万元，其他收入30.00万元。2022年当年预算数18,319.847371万元（不含上年结转及其他支出预算），其中</w:t>
      </w:r>
      <w:r>
        <w:rPr>
          <w:rFonts w:ascii="仿宋_GB2312" w:hAnsi="宋体" w:eastAsia="仿宋_GB2312" w:cs="宋体"/>
          <w:color w:val="000000"/>
          <w:kern w:val="0"/>
          <w:sz w:val="32"/>
          <w:szCs w:val="32"/>
        </w:rPr>
        <w:t>，基本</w:t>
      </w:r>
      <w:r>
        <w:rPr>
          <w:rFonts w:hint="eastAsia" w:ascii="仿宋_GB2312" w:hAnsi="宋体" w:eastAsia="仿宋_GB2312" w:cs="宋体"/>
          <w:color w:val="000000"/>
          <w:kern w:val="0"/>
          <w:sz w:val="32"/>
          <w:szCs w:val="32"/>
        </w:rPr>
        <w:t>支出</w:t>
      </w:r>
      <w:r>
        <w:rPr>
          <w:rFonts w:ascii="仿宋_GB2312" w:hAnsi="宋体" w:eastAsia="仿宋_GB2312" w:cs="宋体"/>
          <w:color w:val="000000"/>
          <w:kern w:val="0"/>
          <w:sz w:val="32"/>
          <w:szCs w:val="32"/>
        </w:rPr>
        <w:t>预算数</w:t>
      </w:r>
      <w:r>
        <w:rPr>
          <w:rFonts w:hint="eastAsia" w:ascii="仿宋_GB2312" w:hAnsi="宋体" w:eastAsia="仿宋_GB2312" w:cs="宋体"/>
          <w:color w:val="000000"/>
          <w:kern w:val="0"/>
          <w:sz w:val="32"/>
          <w:szCs w:val="32"/>
        </w:rPr>
        <w:t>11,231.322186</w:t>
      </w:r>
      <w:r>
        <w:rPr>
          <w:rFonts w:ascii="仿宋_GB2312" w:hAnsi="宋体" w:eastAsia="仿宋_GB2312" w:cs="宋体"/>
          <w:color w:val="000000"/>
          <w:kern w:val="0"/>
          <w:sz w:val="32"/>
          <w:szCs w:val="32"/>
        </w:rPr>
        <w:t>万元</w:t>
      </w:r>
      <w:r>
        <w:rPr>
          <w:rFonts w:hint="eastAsia" w:ascii="仿宋_GB2312" w:hAnsi="宋体" w:eastAsia="仿宋_GB2312" w:cs="宋体"/>
          <w:color w:val="000000"/>
          <w:kern w:val="0"/>
          <w:sz w:val="32"/>
          <w:szCs w:val="32"/>
        </w:rPr>
        <w:t>（包括年初预算批复9,625.347286元，年中预算调增1,605.974900万元）</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项目支出预算数7,088.525185</w:t>
      </w:r>
      <w:r>
        <w:rPr>
          <w:rFonts w:ascii="仿宋_GB2312" w:hAnsi="宋体" w:eastAsia="仿宋_GB2312" w:cs="宋体"/>
          <w:color w:val="000000"/>
          <w:kern w:val="0"/>
          <w:sz w:val="32"/>
          <w:szCs w:val="32"/>
        </w:rPr>
        <w:t>万元</w:t>
      </w:r>
      <w:r>
        <w:rPr>
          <w:rFonts w:hint="eastAsia" w:ascii="仿宋_GB2312" w:hAnsi="宋体" w:eastAsia="仿宋_GB2312" w:cs="宋体"/>
          <w:color w:val="000000"/>
          <w:kern w:val="0"/>
          <w:sz w:val="32"/>
          <w:szCs w:val="32"/>
        </w:rPr>
        <w:t>。</w:t>
      </w:r>
      <w:r>
        <w:rPr>
          <w:rFonts w:ascii="仿宋_GB2312" w:hAnsi="宋体" w:eastAsia="仿宋_GB2312" w:cs="宋体"/>
          <w:color w:val="000000"/>
          <w:kern w:val="0"/>
          <w:sz w:val="32"/>
          <w:szCs w:val="32"/>
        </w:rPr>
        <w:t>资金总体</w:t>
      </w:r>
      <w:r>
        <w:rPr>
          <w:rFonts w:hint="eastAsia" w:ascii="仿宋_GB2312" w:hAnsi="宋体" w:eastAsia="仿宋_GB2312" w:cs="宋体"/>
          <w:color w:val="000000"/>
          <w:kern w:val="0"/>
          <w:sz w:val="32"/>
          <w:szCs w:val="32"/>
        </w:rPr>
        <w:t>支出17,811.636127</w:t>
      </w:r>
      <w:r>
        <w:rPr>
          <w:rFonts w:ascii="仿宋_GB2312" w:hAnsi="宋体" w:eastAsia="仿宋_GB2312" w:cs="宋体"/>
          <w:color w:val="000000"/>
          <w:kern w:val="0"/>
          <w:sz w:val="32"/>
          <w:szCs w:val="32"/>
        </w:rPr>
        <w:t>万元，</w:t>
      </w:r>
      <w:r>
        <w:rPr>
          <w:rFonts w:hint="eastAsia" w:ascii="仿宋_GB2312" w:hAnsi="宋体" w:eastAsia="仿宋_GB2312" w:cs="宋体"/>
          <w:color w:val="000000"/>
          <w:kern w:val="0"/>
          <w:sz w:val="32"/>
          <w:szCs w:val="32"/>
        </w:rPr>
        <w:t xml:space="preserve">包括上年结转支出20.929000万元， </w:t>
      </w:r>
      <w:r>
        <w:rPr>
          <w:rFonts w:ascii="仿宋_GB2312" w:hAnsi="宋体" w:eastAsia="仿宋_GB2312" w:cs="宋体"/>
          <w:color w:val="000000"/>
          <w:kern w:val="0"/>
          <w:sz w:val="32"/>
          <w:szCs w:val="32"/>
        </w:rPr>
        <w:t>其他支出</w:t>
      </w:r>
      <w:r>
        <w:rPr>
          <w:rFonts w:hint="eastAsia" w:ascii="仿宋_GB2312" w:hAnsi="宋体" w:eastAsia="仿宋_GB2312" w:cs="宋体"/>
          <w:color w:val="000000"/>
          <w:kern w:val="0"/>
          <w:sz w:val="32"/>
          <w:szCs w:val="32"/>
        </w:rPr>
        <w:t>30.00</w:t>
      </w:r>
      <w:r>
        <w:rPr>
          <w:rFonts w:ascii="仿宋_GB2312" w:hAnsi="宋体" w:eastAsia="仿宋_GB2312" w:cs="宋体"/>
          <w:color w:val="000000"/>
          <w:kern w:val="0"/>
          <w:sz w:val="32"/>
          <w:szCs w:val="32"/>
        </w:rPr>
        <w:t>万元</w:t>
      </w:r>
      <w:r>
        <w:rPr>
          <w:rFonts w:hint="eastAsia" w:ascii="仿宋_GB2312" w:hAnsi="宋体" w:eastAsia="仿宋_GB2312" w:cs="宋体"/>
          <w:color w:val="000000"/>
          <w:kern w:val="0"/>
          <w:sz w:val="32"/>
          <w:szCs w:val="32"/>
        </w:rPr>
        <w:t xml:space="preserve">，当年预算支出17,781.636127元。 </w:t>
      </w:r>
      <w:r>
        <w:rPr>
          <w:rFonts w:ascii="仿宋_GB2312" w:hAnsi="宋体" w:eastAsia="仿宋_GB2312" w:cs="宋体"/>
          <w:color w:val="000000"/>
          <w:kern w:val="0"/>
          <w:sz w:val="32"/>
          <w:szCs w:val="32"/>
        </w:rPr>
        <w:t>其中，基本支出</w:t>
      </w:r>
      <w:r>
        <w:rPr>
          <w:rFonts w:hint="eastAsia" w:ascii="仿宋_GB2312" w:hAnsi="宋体" w:eastAsia="仿宋_GB2312" w:cs="宋体"/>
          <w:color w:val="000000"/>
          <w:kern w:val="0"/>
          <w:sz w:val="32"/>
          <w:szCs w:val="32"/>
        </w:rPr>
        <w:t xml:space="preserve">10,707.570088 </w:t>
      </w:r>
      <w:r>
        <w:rPr>
          <w:rFonts w:ascii="仿宋_GB2312" w:hAnsi="宋体" w:eastAsia="仿宋_GB2312" w:cs="宋体"/>
          <w:color w:val="000000"/>
          <w:kern w:val="0"/>
          <w:sz w:val="32"/>
          <w:szCs w:val="32"/>
        </w:rPr>
        <w:t>万元，项目</w:t>
      </w:r>
      <w:r>
        <w:rPr>
          <w:rFonts w:hint="eastAsia" w:ascii="仿宋_GB2312" w:hAnsi="宋体" w:eastAsia="仿宋_GB2312" w:cs="宋体"/>
          <w:color w:val="000000"/>
          <w:kern w:val="0"/>
          <w:sz w:val="32"/>
          <w:szCs w:val="32"/>
        </w:rPr>
        <w:t>支出7,074.066039</w:t>
      </w:r>
      <w:r>
        <w:rPr>
          <w:rFonts w:ascii="仿宋_GB2312" w:hAnsi="宋体" w:eastAsia="仿宋_GB2312" w:cs="宋体"/>
          <w:color w:val="000000"/>
          <w:kern w:val="0"/>
          <w:sz w:val="32"/>
          <w:szCs w:val="32"/>
        </w:rPr>
        <w:t>万元</w:t>
      </w:r>
      <w:r>
        <w:rPr>
          <w:rFonts w:hint="eastAsia" w:ascii="仿宋_GB2312" w:hAnsi="宋体" w:eastAsia="仿宋_GB2312" w:cs="宋体"/>
          <w:color w:val="000000"/>
          <w:kern w:val="0"/>
          <w:sz w:val="32"/>
          <w:szCs w:val="32"/>
        </w:rPr>
        <w:t>（不含上年结转），当年预算</w:t>
      </w:r>
      <w:r>
        <w:rPr>
          <w:rFonts w:ascii="仿宋_GB2312" w:hAnsi="宋体" w:eastAsia="仿宋_GB2312" w:cs="宋体"/>
          <w:color w:val="000000"/>
          <w:kern w:val="0"/>
          <w:sz w:val="32"/>
          <w:szCs w:val="32"/>
        </w:rPr>
        <w:t>执行率为</w:t>
      </w:r>
      <w:r>
        <w:rPr>
          <w:rFonts w:hint="eastAsia" w:ascii="仿宋_GB2312" w:hAnsi="宋体" w:eastAsia="仿宋_GB2312" w:cs="宋体"/>
          <w:color w:val="000000"/>
          <w:kern w:val="0"/>
          <w:sz w:val="32"/>
          <w:szCs w:val="32"/>
        </w:rPr>
        <w:t>97.06%。</w:t>
      </w:r>
    </w:p>
    <w:p>
      <w:pPr>
        <w:spacing w:line="600" w:lineRule="exact"/>
        <w:ind w:left="105" w:leftChars="50" w:firstLine="480" w:firstLineChars="150"/>
        <w:rPr>
          <w:rFonts w:ascii="黑体" w:hAnsi="黑体" w:eastAsia="黑体" w:cs="宋体"/>
          <w:color w:val="000000"/>
          <w:kern w:val="0"/>
          <w:sz w:val="32"/>
          <w:szCs w:val="32"/>
        </w:rPr>
      </w:pPr>
      <w:r>
        <w:rPr>
          <w:rFonts w:hint="eastAsia" w:ascii="黑体" w:hAnsi="黑体" w:eastAsia="黑体" w:cs="宋体"/>
          <w:color w:val="000000"/>
          <w:kern w:val="0"/>
          <w:sz w:val="32"/>
          <w:szCs w:val="32"/>
        </w:rPr>
        <w:t>三</w:t>
      </w:r>
      <w:r>
        <w:rPr>
          <w:rFonts w:ascii="黑体" w:hAnsi="黑体" w:eastAsia="黑体" w:cs="宋体"/>
          <w:color w:val="000000"/>
          <w:kern w:val="0"/>
          <w:sz w:val="32"/>
          <w:szCs w:val="32"/>
        </w:rPr>
        <w:t>、整体绩效目标实现情况</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（一）产出完成情况分析</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1.产出数量</w:t>
      </w:r>
    </w:p>
    <w:p>
      <w:pPr>
        <w:spacing w:line="600" w:lineRule="exact"/>
        <w:ind w:firstLine="640" w:firstLineChars="200"/>
        <w:rPr>
          <w:rFonts w:ascii="仿宋_GB2312" w:hAnsi="仿宋_GB2312" w:eastAsia="仿宋_GB2312" w:cs="仿宋_GB2312"/>
          <w:bCs/>
          <w:sz w:val="32"/>
          <w:szCs w:val="32"/>
        </w:rPr>
      </w:pPr>
      <w:r>
        <w:rPr>
          <w:rFonts w:hint="eastAsia" w:ascii="仿宋_GB2312" w:hAnsi="宋体" w:eastAsia="仿宋_GB2312" w:cs="宋体"/>
          <w:color w:val="000000"/>
          <w:kern w:val="0"/>
          <w:sz w:val="32"/>
          <w:szCs w:val="32"/>
        </w:rPr>
        <w:t>围绕部门整体绩效目标，</w:t>
      </w:r>
      <w:r>
        <w:rPr>
          <w:rFonts w:hint="eastAsia" w:ascii="仿宋_GB2312" w:hAnsi="仿宋_GB2312" w:eastAsia="仿宋_GB2312" w:cs="仿宋_GB2312"/>
          <w:bCs/>
          <w:sz w:val="32"/>
          <w:szCs w:val="32"/>
        </w:rPr>
        <w:t>知识产权法院2022年</w:t>
      </w:r>
      <w:r>
        <w:rPr>
          <w:rFonts w:hint="eastAsia" w:ascii="仿宋_GB2312" w:hAnsi="宋体" w:eastAsia="仿宋_GB2312" w:cs="宋体"/>
          <w:color w:val="000000"/>
          <w:kern w:val="0"/>
          <w:sz w:val="32"/>
          <w:szCs w:val="32"/>
        </w:rPr>
        <w:t>各项工作稳步推进，总成本控制在财政预算批复总额内，各项产出情况较好。具体产出如下：</w:t>
      </w:r>
    </w:p>
    <w:p>
      <w:pPr>
        <w:numPr>
          <w:ilvl w:val="0"/>
          <w:numId w:val="2"/>
        </w:numPr>
        <w:spacing w:line="60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保证正常的行政支出和119名聘任制人员工资福利支出，保障机构正常运行。</w:t>
      </w:r>
    </w:p>
    <w:p>
      <w:pPr>
        <w:numPr>
          <w:ilvl w:val="0"/>
          <w:numId w:val="2"/>
        </w:numPr>
        <w:spacing w:line="60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完成设备购置。2022年完成137件设备购置。</w:t>
      </w:r>
    </w:p>
    <w:p>
      <w:pPr>
        <w:numPr>
          <w:ilvl w:val="0"/>
          <w:numId w:val="2"/>
        </w:numPr>
        <w:spacing w:line="60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案件审判</w:t>
      </w:r>
    </w:p>
    <w:p>
      <w:pPr>
        <w:spacing w:line="60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2022年全年实际收案33750件，同比上升12.0</w:t>
      </w:r>
      <w:r>
        <w:rPr>
          <w:rFonts w:ascii="仿宋_GB2312" w:hAnsi="仿宋_GB2312" w:eastAsia="仿宋_GB2312" w:cs="仿宋_GB2312"/>
          <w:bCs/>
          <w:sz w:val="32"/>
          <w:szCs w:val="32"/>
        </w:rPr>
        <w:t>%，</w:t>
      </w:r>
      <w:r>
        <w:rPr>
          <w:rFonts w:hint="eastAsia" w:ascii="仿宋_GB2312" w:hAnsi="仿宋_GB2312" w:eastAsia="仿宋_GB2312" w:cs="仿宋_GB2312"/>
          <w:bCs/>
          <w:sz w:val="32"/>
          <w:szCs w:val="32"/>
        </w:rPr>
        <w:t>虽然在疫情反复</w:t>
      </w:r>
      <w:r>
        <w:rPr>
          <w:rFonts w:ascii="仿宋_GB2312" w:hAnsi="仿宋_GB2312" w:eastAsia="仿宋_GB2312" w:cs="仿宋_GB2312"/>
          <w:bCs/>
          <w:sz w:val="32"/>
          <w:szCs w:val="32"/>
        </w:rPr>
        <w:t>影响</w:t>
      </w:r>
      <w:r>
        <w:rPr>
          <w:rFonts w:hint="eastAsia" w:ascii="仿宋_GB2312" w:hAnsi="仿宋_GB2312" w:eastAsia="仿宋_GB2312" w:cs="仿宋_GB2312"/>
          <w:bCs/>
          <w:sz w:val="32"/>
          <w:szCs w:val="32"/>
        </w:rPr>
        <w:t>办案节奏的艰难情况下，</w:t>
      </w:r>
      <w:r>
        <w:rPr>
          <w:rFonts w:ascii="仿宋_GB2312" w:hAnsi="仿宋_GB2312" w:eastAsia="仿宋_GB2312" w:cs="仿宋_GB2312"/>
          <w:bCs/>
          <w:sz w:val="32"/>
          <w:szCs w:val="32"/>
        </w:rPr>
        <w:t>在结案</w:t>
      </w:r>
      <w:r>
        <w:rPr>
          <w:rFonts w:hint="eastAsia" w:ascii="仿宋_GB2312" w:hAnsi="仿宋_GB2312" w:eastAsia="仿宋_GB2312" w:cs="仿宋_GB2312"/>
          <w:bCs/>
          <w:sz w:val="32"/>
          <w:szCs w:val="32"/>
        </w:rPr>
        <w:t>量</w:t>
      </w:r>
      <w:r>
        <w:rPr>
          <w:rFonts w:ascii="仿宋_GB2312" w:hAnsi="仿宋_GB2312" w:eastAsia="仿宋_GB2312" w:cs="仿宋_GB2312"/>
          <w:bCs/>
          <w:sz w:val="32"/>
          <w:szCs w:val="32"/>
        </w:rPr>
        <w:t>上同比下降</w:t>
      </w:r>
      <w:r>
        <w:rPr>
          <w:rFonts w:hint="eastAsia" w:ascii="仿宋_GB2312" w:hAnsi="仿宋_GB2312" w:eastAsia="仿宋_GB2312" w:cs="仿宋_GB2312"/>
          <w:bCs/>
          <w:sz w:val="32"/>
          <w:szCs w:val="32"/>
        </w:rPr>
        <w:t>了4.6</w:t>
      </w:r>
      <w:r>
        <w:rPr>
          <w:rFonts w:ascii="仿宋_GB2312" w:hAnsi="仿宋_GB2312" w:eastAsia="仿宋_GB2312" w:cs="仿宋_GB2312"/>
          <w:bCs/>
          <w:sz w:val="32"/>
          <w:szCs w:val="32"/>
        </w:rPr>
        <w:t>%，</w:t>
      </w:r>
      <w:r>
        <w:rPr>
          <w:rFonts w:hint="eastAsia" w:ascii="仿宋_GB2312" w:hAnsi="仿宋_GB2312" w:eastAsia="仿宋_GB2312" w:cs="仿宋_GB2312"/>
          <w:bCs/>
          <w:sz w:val="32"/>
          <w:szCs w:val="32"/>
        </w:rPr>
        <w:t>但结案总量</w:t>
      </w:r>
      <w:r>
        <w:rPr>
          <w:rFonts w:ascii="仿宋_GB2312" w:hAnsi="仿宋_GB2312" w:eastAsia="仿宋_GB2312" w:cs="仿宋_GB2312"/>
          <w:bCs/>
          <w:sz w:val="32"/>
          <w:szCs w:val="32"/>
        </w:rPr>
        <w:t>仍达</w:t>
      </w:r>
      <w:r>
        <w:rPr>
          <w:rFonts w:hint="eastAsia" w:ascii="仿宋_GB2312" w:hAnsi="仿宋_GB2312" w:eastAsia="仿宋_GB2312" w:cs="仿宋_GB2312"/>
          <w:bCs/>
          <w:sz w:val="32"/>
          <w:szCs w:val="32"/>
        </w:rPr>
        <w:t>23757件，法官人均结案360件，法官人均结案数量在全市中院中仍居首位。</w:t>
      </w:r>
    </w:p>
    <w:p>
      <w:pPr>
        <w:spacing w:line="60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（4）</w:t>
      </w:r>
      <w:r>
        <w:rPr>
          <w:rFonts w:hint="eastAsia" w:ascii="仿宋_GB2312" w:hAnsi="宋体" w:eastAsia="仿宋_GB2312" w:cs="宋体"/>
          <w:bCs/>
          <w:color w:val="000000"/>
          <w:spacing w:val="-8"/>
          <w:kern w:val="28"/>
          <w:sz w:val="32"/>
          <w:szCs w:val="32"/>
        </w:rPr>
        <w:t>以“树规则、促治理、助发展”为目标，主动参与社会治理</w:t>
      </w:r>
    </w:p>
    <w:p>
      <w:pPr>
        <w:spacing w:line="600" w:lineRule="exact"/>
        <w:ind w:firstLine="608" w:firstLineChars="200"/>
        <w:rPr>
          <w:rFonts w:ascii="仿宋_GB2312" w:hAnsi="仿宋_GB2312" w:eastAsia="仿宋_GB2312" w:cs="仿宋_GB2312"/>
          <w:bCs/>
          <w:kern w:val="0"/>
          <w:sz w:val="32"/>
          <w:szCs w:val="32"/>
        </w:rPr>
      </w:pPr>
      <w:r>
        <w:rPr>
          <w:rFonts w:hint="eastAsia" w:ascii="微软雅黑" w:hAnsi="微软雅黑" w:eastAsia="微软雅黑" w:cs="微软雅黑"/>
          <w:bCs/>
          <w:color w:val="000000"/>
          <w:spacing w:val="-8"/>
          <w:kern w:val="28"/>
          <w:sz w:val="32"/>
          <w:szCs w:val="32"/>
        </w:rPr>
        <w:t>①</w:t>
      </w:r>
      <w:r>
        <w:rPr>
          <w:rFonts w:hint="eastAsia" w:ascii="仿宋_GB2312" w:hAnsi="宋体" w:eastAsia="仿宋_GB2312" w:cs="宋体"/>
          <w:bCs/>
          <w:color w:val="000000"/>
          <w:spacing w:val="-8"/>
          <w:kern w:val="28"/>
          <w:sz w:val="32"/>
          <w:szCs w:val="32"/>
        </w:rPr>
        <w:t>2022年基本建成全面覆盖北京市重点科技园区的巡回审判庭和法官工作站，开展了一系列深受园区欢迎的普法、咨询和授课活动。</w:t>
      </w:r>
      <w:r>
        <w:rPr>
          <w:rFonts w:hint="eastAsia" w:ascii="微软雅黑" w:hAnsi="微软雅黑" w:eastAsia="微软雅黑" w:cs="微软雅黑"/>
          <w:bCs/>
          <w:color w:val="000000"/>
          <w:spacing w:val="-8"/>
          <w:kern w:val="28"/>
          <w:sz w:val="32"/>
          <w:szCs w:val="32"/>
        </w:rPr>
        <w:t>②</w:t>
      </w:r>
      <w:r>
        <w:rPr>
          <w:rFonts w:hint="eastAsia" w:ascii="仿宋" w:hAnsi="仿宋" w:eastAsia="仿宋" w:cs="仿宋"/>
          <w:kern w:val="0"/>
          <w:sz w:val="32"/>
          <w:szCs w:val="32"/>
        </w:rPr>
        <w:t>深度参与“三平台”建设，在北京国际服务贸易交易会上，</w:t>
      </w:r>
      <w:r>
        <w:rPr>
          <w:rFonts w:hint="eastAsia" w:ascii="仿宋" w:hAnsi="仿宋" w:eastAsia="仿宋" w:cs="仿宋"/>
          <w:sz w:val="32"/>
          <w:szCs w:val="32"/>
        </w:rPr>
        <w:t>与</w:t>
      </w:r>
      <w:r>
        <w:rPr>
          <w:rFonts w:hint="eastAsia" w:ascii="仿宋_GB2312" w:hAnsi="仿宋_GB2312" w:eastAsia="仿宋_GB2312" w:cs="仿宋_GB2312"/>
          <w:bCs/>
          <w:sz w:val="32"/>
          <w:szCs w:val="32"/>
        </w:rPr>
        <w:t>市知识产权局、世界知识产权组织（WIPO）中国办事处共同主办了“工业设计与知识产权保护论坛”，在服贸会主会场和分会场设立了司法服务站，知识产权法院法官在专业论坛发表了“外观设计”“数字经济”等领域高质量专业演讲，积极发出“京知”声音。</w:t>
      </w:r>
      <w:r>
        <w:rPr>
          <w:rFonts w:hint="eastAsia" w:ascii="微软雅黑" w:hAnsi="微软雅黑" w:eastAsia="微软雅黑" w:cs="微软雅黑"/>
          <w:bCs/>
          <w:sz w:val="32"/>
          <w:szCs w:val="32"/>
        </w:rPr>
        <w:t>③</w:t>
      </w:r>
      <w:r>
        <w:rPr>
          <w:rFonts w:hint="eastAsia" w:ascii="仿宋_GB2312" w:hAnsi="仿宋_GB2312" w:eastAsia="仿宋_GB2312" w:cs="仿宋_GB2312"/>
          <w:bCs/>
          <w:kern w:val="0"/>
          <w:sz w:val="32"/>
          <w:szCs w:val="32"/>
        </w:rPr>
        <w:t>对接北京冬奥会知识产权保护工作，</w:t>
      </w:r>
      <w:r>
        <w:rPr>
          <w:rFonts w:hint="eastAsia" w:ascii="仿宋_GB2312" w:hAnsi="仿宋_GB2312" w:eastAsia="仿宋_GB2312" w:cs="仿宋_GB2312"/>
          <w:bCs/>
          <w:sz w:val="32"/>
          <w:szCs w:val="32"/>
        </w:rPr>
        <w:t>为冬奥会知识产权保护提供了全力支持；</w:t>
      </w:r>
      <w:r>
        <w:rPr>
          <w:rFonts w:hint="eastAsia" w:ascii="微软雅黑" w:hAnsi="微软雅黑" w:eastAsia="微软雅黑" w:cs="微软雅黑"/>
          <w:bCs/>
          <w:sz w:val="32"/>
          <w:szCs w:val="32"/>
        </w:rPr>
        <w:t>④</w:t>
      </w:r>
      <w:r>
        <w:rPr>
          <w:rFonts w:hint="eastAsia" w:ascii="仿宋_GB2312" w:hAnsi="仿宋_GB2312" w:eastAsia="仿宋_GB2312" w:cs="仿宋_GB2312"/>
          <w:bCs/>
          <w:sz w:val="32"/>
          <w:szCs w:val="32"/>
        </w:rPr>
        <w:t>加强与国际知识产权组织对话，首次以中国地方法院身份</w:t>
      </w:r>
      <w:r>
        <w:rPr>
          <w:rFonts w:hint="eastAsia" w:ascii="仿宋_GB2312" w:hAnsi="仿宋_GB2312" w:eastAsia="仿宋_GB2312" w:cs="仿宋_GB2312"/>
          <w:bCs/>
          <w:kern w:val="0"/>
          <w:sz w:val="32"/>
          <w:szCs w:val="32"/>
        </w:rPr>
        <w:t>与国际商标协会（INTA）举办双边会议</w:t>
      </w:r>
      <w:r>
        <w:rPr>
          <w:rFonts w:hint="eastAsia" w:ascii="仿宋_GB2312" w:hAnsi="仿宋_GB2312" w:eastAsia="仿宋_GB2312" w:cs="仿宋_GB2312"/>
          <w:bCs/>
          <w:sz w:val="32"/>
          <w:szCs w:val="32"/>
        </w:rPr>
        <w:t>。</w:t>
      </w:r>
      <w:r>
        <w:rPr>
          <w:rFonts w:hint="eastAsia" w:ascii="微软雅黑" w:hAnsi="微软雅黑" w:eastAsia="微软雅黑" w:cs="微软雅黑"/>
          <w:bCs/>
          <w:sz w:val="32"/>
          <w:szCs w:val="32"/>
        </w:rPr>
        <w:t>⑤</w:t>
      </w:r>
      <w:r>
        <w:rPr>
          <w:rFonts w:hint="eastAsia" w:ascii="仿宋_GB2312" w:hAnsi="仿宋_GB2312" w:eastAsia="仿宋_GB2312" w:cs="仿宋_GB2312"/>
          <w:bCs/>
          <w:sz w:val="32"/>
          <w:szCs w:val="32"/>
        </w:rPr>
        <w:t>积极发送司法建议，促进社会治理，</w:t>
      </w:r>
      <w:r>
        <w:rPr>
          <w:rFonts w:hint="eastAsia" w:ascii="仿宋_GB2312" w:hAnsi="仿宋_GB2312" w:eastAsia="仿宋_GB2312" w:cs="仿宋_GB2312"/>
          <w:bCs/>
          <w:kern w:val="0"/>
          <w:sz w:val="32"/>
          <w:szCs w:val="32"/>
        </w:rPr>
        <w:t>审二庭、审监庭等部门发送关于完善作品登记制度、改进网络用户实名认证流程等司法建议，得到国家版权局等相关单位的积极回应。</w:t>
      </w:r>
    </w:p>
    <w:p>
      <w:pPr>
        <w:spacing w:line="60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5）人才培养方面，坚持党建引领，推动党建队建与审判深度融合，多项研究成果、学术论文斩获全国不同级别奖项，并直接用于指导实际案件审理，各类人才辈出，培养审判业务专家、标兵、“全国三八红旗手”等5人。</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2.产出</w:t>
      </w:r>
      <w:r>
        <w:rPr>
          <w:rFonts w:ascii="仿宋_GB2312" w:hAnsi="宋体" w:eastAsia="仿宋_GB2312" w:cs="宋体"/>
          <w:color w:val="000000"/>
          <w:kern w:val="0"/>
          <w:sz w:val="32"/>
          <w:szCs w:val="32"/>
        </w:rPr>
        <w:t>质量</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知识产权法院2022年</w:t>
      </w:r>
      <w:r>
        <w:rPr>
          <w:rFonts w:hint="eastAsia" w:ascii="仿宋_GB2312" w:hAnsi="仿宋_GB2312" w:eastAsia="仿宋_GB2312" w:cs="仿宋_GB2312"/>
          <w:bCs/>
          <w:sz w:val="32"/>
          <w:szCs w:val="32"/>
        </w:rPr>
        <w:t>保证正常的行政支出和119名聘任制人员工资福利支出</w:t>
      </w:r>
      <w:r>
        <w:rPr>
          <w:rFonts w:hint="eastAsia" w:ascii="仿宋_GB2312" w:hAnsi="宋体" w:eastAsia="仿宋_GB2312" w:cs="宋体"/>
          <w:color w:val="000000"/>
          <w:kern w:val="0"/>
          <w:sz w:val="32"/>
          <w:szCs w:val="32"/>
        </w:rPr>
        <w:t>，保障了法院各项工作的正常开展。15个项目根据各自的进度，按照政府采购法、以及已签订的合同执行，产出质量基本满足要求。</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3.产出</w:t>
      </w:r>
      <w:r>
        <w:rPr>
          <w:rFonts w:ascii="仿宋_GB2312" w:hAnsi="宋体" w:eastAsia="仿宋_GB2312" w:cs="宋体"/>
          <w:color w:val="000000"/>
          <w:kern w:val="0"/>
          <w:sz w:val="32"/>
          <w:szCs w:val="32"/>
        </w:rPr>
        <w:t>进度</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截止2022年12月31日，北京知识产权法院15个项目基本按照合同约定完成合同内容并按期付清款项，项目完成进度和支付进度较好。</w:t>
      </w:r>
    </w:p>
    <w:p>
      <w:pPr>
        <w:spacing w:line="600" w:lineRule="exact"/>
        <w:ind w:left="420" w:left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4.产出</w:t>
      </w:r>
      <w:r>
        <w:rPr>
          <w:rFonts w:ascii="仿宋_GB2312" w:hAnsi="宋体" w:eastAsia="仿宋_GB2312" w:cs="宋体"/>
          <w:color w:val="000000"/>
          <w:kern w:val="0"/>
          <w:sz w:val="32"/>
          <w:szCs w:val="32"/>
        </w:rPr>
        <w:t>成本</w:t>
      </w:r>
    </w:p>
    <w:p>
      <w:pPr>
        <w:spacing w:line="600" w:lineRule="exact"/>
        <w:ind w:firstLine="420" w:firstLineChars="200"/>
        <w:rPr>
          <w:rFonts w:ascii="仿宋_GB2312" w:hAnsi="宋体" w:eastAsia="仿宋_GB2312" w:cs="宋体"/>
          <w:color w:val="000000"/>
          <w:kern w:val="0"/>
          <w:sz w:val="32"/>
          <w:szCs w:val="32"/>
        </w:rPr>
      </w:pPr>
      <w:r>
        <w:rPr>
          <w:rFonts w:hint="eastAsia"/>
        </w:rPr>
        <w:t xml:space="preserve">   </w:t>
      </w:r>
      <w:r>
        <w:rPr>
          <w:rFonts w:hint="eastAsia" w:ascii="仿宋_GB2312" w:hAnsi="宋体" w:eastAsia="仿宋_GB2312" w:cs="宋体"/>
          <w:color w:val="000000"/>
          <w:kern w:val="0"/>
          <w:sz w:val="32"/>
          <w:szCs w:val="32"/>
        </w:rPr>
        <w:t xml:space="preserve">2022年部门整体产出成本17,811.636127 </w:t>
      </w:r>
      <w:r>
        <w:rPr>
          <w:rFonts w:ascii="仿宋_GB2312" w:hAnsi="宋体" w:eastAsia="仿宋_GB2312" w:cs="宋体"/>
          <w:color w:val="000000"/>
          <w:kern w:val="0"/>
          <w:sz w:val="32"/>
          <w:szCs w:val="32"/>
        </w:rPr>
        <w:t>万元，</w:t>
      </w:r>
      <w:r>
        <w:rPr>
          <w:rFonts w:hint="eastAsia" w:ascii="仿宋_GB2312" w:hAnsi="宋体" w:eastAsia="仿宋_GB2312" w:cs="宋体"/>
          <w:color w:val="000000"/>
          <w:kern w:val="0"/>
          <w:sz w:val="32"/>
          <w:szCs w:val="32"/>
        </w:rPr>
        <w:t>占财政预算拨款的96.95%。其中：</w:t>
      </w:r>
      <w:r>
        <w:rPr>
          <w:rFonts w:ascii="仿宋_GB2312" w:hAnsi="宋体" w:eastAsia="仿宋_GB2312" w:cs="宋体"/>
          <w:color w:val="000000"/>
          <w:kern w:val="0"/>
          <w:sz w:val="32"/>
          <w:szCs w:val="32"/>
        </w:rPr>
        <w:t>基本支出</w:t>
      </w:r>
      <w:r>
        <w:rPr>
          <w:rFonts w:hint="eastAsia" w:ascii="仿宋_GB2312" w:hAnsi="宋体" w:eastAsia="仿宋_GB2312" w:cs="宋体"/>
          <w:color w:val="000000"/>
          <w:kern w:val="0"/>
          <w:sz w:val="32"/>
          <w:szCs w:val="32"/>
        </w:rPr>
        <w:t>中公用经费支出1,701.331158 万元，占公用经费预算拨款的99.17%，人员经费支出9,006.238930万元，占人员经费预算拨款的94.65%；</w:t>
      </w:r>
      <w:r>
        <w:rPr>
          <w:rFonts w:ascii="仿宋_GB2312" w:hAnsi="宋体" w:eastAsia="仿宋_GB2312" w:cs="宋体"/>
          <w:color w:val="000000"/>
          <w:kern w:val="0"/>
          <w:sz w:val="32"/>
          <w:szCs w:val="32"/>
        </w:rPr>
        <w:t>项目</w:t>
      </w:r>
      <w:r>
        <w:rPr>
          <w:rFonts w:hint="eastAsia" w:ascii="仿宋_GB2312" w:hAnsi="宋体" w:eastAsia="仿宋_GB2312" w:cs="宋体"/>
          <w:color w:val="000000"/>
          <w:kern w:val="0"/>
          <w:sz w:val="32"/>
          <w:szCs w:val="32"/>
        </w:rPr>
        <w:t xml:space="preserve">支出7,124.995039 </w:t>
      </w:r>
      <w:r>
        <w:rPr>
          <w:rFonts w:ascii="仿宋_GB2312" w:hAnsi="宋体" w:eastAsia="仿宋_GB2312" w:cs="宋体"/>
          <w:color w:val="000000"/>
          <w:kern w:val="0"/>
          <w:sz w:val="32"/>
          <w:szCs w:val="32"/>
        </w:rPr>
        <w:t>万元</w:t>
      </w:r>
      <w:r>
        <w:rPr>
          <w:rFonts w:hint="eastAsia" w:ascii="仿宋_GB2312" w:hAnsi="宋体" w:eastAsia="仿宋_GB2312" w:cs="宋体"/>
          <w:color w:val="000000"/>
          <w:kern w:val="0"/>
          <w:sz w:val="32"/>
          <w:szCs w:val="32"/>
        </w:rPr>
        <w:t>（含上年结转支出和其他支出）</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占项目支出预算拨款（含上年结转和其他收入）的99.78%。基本支出和项目支出的产出成本均在预算控制之内。</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（二）效果</w:t>
      </w:r>
      <w:r>
        <w:rPr>
          <w:rFonts w:ascii="楷体_GB2312" w:eastAsia="楷体_GB2312"/>
          <w:sz w:val="32"/>
          <w:szCs w:val="32"/>
        </w:rPr>
        <w:t>实现情况分析</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1.经济</w:t>
      </w:r>
      <w:r>
        <w:rPr>
          <w:rFonts w:ascii="仿宋_GB2312" w:hAnsi="宋体" w:eastAsia="仿宋_GB2312" w:cs="宋体"/>
          <w:color w:val="000000"/>
          <w:kern w:val="0"/>
          <w:sz w:val="32"/>
          <w:szCs w:val="32"/>
        </w:rPr>
        <w:t>效益</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eastAsia="仿宋_GB2312"/>
          <w:sz w:val="32"/>
          <w:szCs w:val="32"/>
        </w:rPr>
        <w:t>2022年立案33750件，结案23757件。</w:t>
      </w:r>
      <w:r>
        <w:rPr>
          <w:rFonts w:hint="eastAsia" w:ascii="仿宋_GB2312" w:hAnsi="宋体" w:eastAsia="仿宋_GB2312" w:cs="宋体"/>
          <w:color w:val="000000"/>
          <w:kern w:val="0"/>
          <w:sz w:val="32"/>
          <w:szCs w:val="32"/>
        </w:rPr>
        <w:t>案件审判为服务实体经济、保护知识产权、规范市场秩序起到司法引领作用，同时增加财政收入3791万元。</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2.社会效益</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通过各种案件审判、打击商标恶意抢注和侵权行为、新闻宣传十大不正当竞争及垄断案件、提供数据经济信息专报等，更好的促进了知识产权保护，维护了商标注册和使用秩序，保护了全国文化中心的建设。</w:t>
      </w:r>
    </w:p>
    <w:p>
      <w:pPr>
        <w:spacing w:line="600" w:lineRule="exact"/>
        <w:ind w:firstLine="640" w:firstLineChars="200"/>
        <w:rPr>
          <w:rFonts w:ascii="仿宋_GB2312" w:hAnsi="仿宋_GB2312" w:eastAsia="仿宋_GB2312" w:cs="仿宋_GB2312"/>
          <w:sz w:val="32"/>
          <w:szCs w:val="32"/>
        </w:rPr>
      </w:pPr>
      <w:r>
        <w:rPr>
          <w:rFonts w:hint="eastAsia" w:ascii="仿宋_GB2312" w:eastAsia="仿宋_GB2312"/>
          <w:sz w:val="32"/>
          <w:szCs w:val="32"/>
        </w:rPr>
        <w:t>（1）通过对“龙芯处理器案”“全球十大抗肿瘤药物恩杂鲁胺专利案”“红羽蛋鸡品种技术秘密案”等一批高价值“卡脖子”关键核心技术案件审判，有力地促进了高水平科技企业自立自强；（2）2022年高效审结的“中外制药诉海鹤药业”药品专利链接案，作为全国首例药品专利链接案入选“新时代推动法治进程2022年度十大案例提名案件”。（3）通过打击商标恶意抢注和侵权行为，极大地维护了商标注册和使用秩序。其中“五常大米”案被写入2023年最高法院工作报告。（4）</w:t>
      </w:r>
      <w:r>
        <w:rPr>
          <w:rFonts w:hint="eastAsia" w:ascii="仿宋_GB2312" w:hAnsi="仿宋_GB2312" w:eastAsia="仿宋_GB2312" w:cs="仿宋_GB2312"/>
          <w:sz w:val="32"/>
          <w:szCs w:val="32"/>
        </w:rPr>
        <w:t>召开“厚大教育”“威睿公司数据中心虚拟化软件垄断案”等涉及新技术新业态下行业发展规则的不正当竞争和垄断案件十大典型案例新闻发布会，主动向社会释放了诚信守法的强烈信号。（5）在《数字经济下新业态新模式竞争行为司法规制研究》调研报告基础上形成的《数字经济市场竞争五大问题应予关注》信息专报，获时任市委副书记、市长陈吉宁同志批示，其中“数据赋权‘三步走”的建议获中央领导批示。（6）妥善审结的“《绝地求生》游戏案”等一批具有行业影响的著作权案件，助力促进我国传统文化创造性转化和创新性发展；《俏花旦》中国杂技作品著作权第一案，获评中国法院十大知识产权案件；音集协诉天合公司著作权许可使用合同纠纷案，是入选“2022年中国版权十大事件”中唯一的司法案件。对智力成果表达的著作权司法保护，有力的保障了全国文化中心的建设。</w:t>
      </w:r>
    </w:p>
    <w:p>
      <w:pPr>
        <w:numPr>
          <w:ilvl w:val="0"/>
          <w:numId w:val="3"/>
        </w:numPr>
        <w:spacing w:line="600" w:lineRule="exact"/>
        <w:ind w:left="420" w:left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可持续</w:t>
      </w:r>
      <w:r>
        <w:rPr>
          <w:rFonts w:ascii="仿宋_GB2312" w:hAnsi="宋体" w:eastAsia="仿宋_GB2312" w:cs="宋体"/>
          <w:color w:val="000000"/>
          <w:kern w:val="0"/>
          <w:sz w:val="32"/>
          <w:szCs w:val="32"/>
        </w:rPr>
        <w:t>性影响</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北京知识产权法院着眼于“专门法院”“改革法院”“首都法院”的职能定位，不断完善制度建院、人才兴院，狠抓深耕专业、精品战略，服务保障国家知识产权强国战略和北京国际科技创新中心建设，改革创新观念和方法，世界知识产权纠纷解决优选地正在逐步形成，“京知声音”正在成为世界知识产权保护舞台上越来越被重视和关注的“中国声音”。2022年共有43名法官报送了169篇参评案例，最终43件评为优秀，49件评为良好；向上级报送案例中，11篇案例入选《中国法院2022年度案例》等最高法院案例库，7篇案例和文书获得“全国法院系统优秀案例”和“百篇优秀裁判文书”等荣誉，2篇案例入选北京法院第二十五批参阅案例，有力的推动了知识产权的保护和审判标准的建立。</w:t>
      </w:r>
    </w:p>
    <w:p>
      <w:pPr>
        <w:numPr>
          <w:ilvl w:val="0"/>
          <w:numId w:val="3"/>
        </w:numPr>
        <w:spacing w:line="600" w:lineRule="exact"/>
        <w:ind w:left="420" w:left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服务对象</w:t>
      </w:r>
      <w:r>
        <w:rPr>
          <w:rFonts w:ascii="仿宋_GB2312" w:hAnsi="宋体" w:eastAsia="仿宋_GB2312" w:cs="宋体"/>
          <w:color w:val="000000"/>
          <w:kern w:val="0"/>
          <w:sz w:val="32"/>
          <w:szCs w:val="32"/>
        </w:rPr>
        <w:t>满意度</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2022年北京知识产权法院取得的工作成果，被中央、市委和上级法院高度关注、充分肯定，多个裁判案例以及创设的裁判规则日益受到国际社会广泛关注。对接北京冬奥会知识产权保护工作结束，北京知识产权法院收到冬奥组委特意赠送的一整套珍贵奖牌和火炬以示感谢。但具体到项目实施，只有电子卷宗随案生成、诉讼指导外包服务、司法送达外部项目做了满意度调查，其他大部分未做满意度调查及分析。</w:t>
      </w:r>
    </w:p>
    <w:p>
      <w:pPr>
        <w:spacing w:line="600" w:lineRule="exact"/>
        <w:ind w:left="105" w:leftChars="50" w:firstLine="480" w:firstLineChars="150"/>
        <w:rPr>
          <w:rFonts w:ascii="黑体" w:hAnsi="黑体" w:eastAsia="黑体" w:cs="宋体"/>
          <w:color w:val="000000"/>
          <w:kern w:val="0"/>
          <w:sz w:val="32"/>
          <w:szCs w:val="32"/>
        </w:rPr>
      </w:pPr>
      <w:r>
        <w:rPr>
          <w:rFonts w:hint="eastAsia" w:ascii="黑体" w:hAnsi="黑体" w:eastAsia="黑体" w:cs="宋体"/>
          <w:color w:val="000000"/>
          <w:kern w:val="0"/>
          <w:sz w:val="32"/>
          <w:szCs w:val="32"/>
        </w:rPr>
        <w:t>四</w:t>
      </w:r>
      <w:r>
        <w:rPr>
          <w:rFonts w:ascii="黑体" w:hAnsi="黑体" w:eastAsia="黑体" w:cs="宋体"/>
          <w:color w:val="000000"/>
          <w:kern w:val="0"/>
          <w:sz w:val="32"/>
          <w:szCs w:val="32"/>
        </w:rPr>
        <w:t>、预算管理</w:t>
      </w:r>
      <w:r>
        <w:rPr>
          <w:rFonts w:hint="eastAsia" w:ascii="黑体" w:hAnsi="黑体" w:eastAsia="黑体" w:cs="宋体"/>
          <w:color w:val="000000"/>
          <w:kern w:val="0"/>
          <w:sz w:val="32"/>
          <w:szCs w:val="32"/>
        </w:rPr>
        <w:t>情况分</w:t>
      </w:r>
      <w:r>
        <w:rPr>
          <w:rFonts w:ascii="黑体" w:hAnsi="黑体" w:eastAsia="黑体" w:cs="宋体"/>
          <w:color w:val="000000"/>
          <w:kern w:val="0"/>
          <w:sz w:val="32"/>
          <w:szCs w:val="32"/>
        </w:rPr>
        <w:t>析</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（一）财务管理</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1.财务</w:t>
      </w:r>
      <w:r>
        <w:rPr>
          <w:rFonts w:ascii="仿宋_GB2312" w:hAnsi="宋体" w:eastAsia="仿宋_GB2312" w:cs="宋体"/>
          <w:color w:val="000000"/>
          <w:kern w:val="0"/>
          <w:sz w:val="32"/>
          <w:szCs w:val="32"/>
        </w:rPr>
        <w:t>管理制度健全性</w:t>
      </w:r>
    </w:p>
    <w:p>
      <w:pPr>
        <w:spacing w:line="600" w:lineRule="exact"/>
        <w:ind w:left="105" w:leftChars="50" w:firstLine="800" w:firstLineChars="2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2022年北京知识产权法院根据单位业务情况，制定了《预算管理办法》、《政府采购管理办法》、《资金使用管理规定(试行)》《合同管理办法》、《诉讼费管理规定(试行)》、《案款财务管理规定(试行)》、《内控手册》《制度汇编》等制度，财务管理制度基本健全，但缺少绩效跟踪管理办法。</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2.资金使用合规性</w:t>
      </w:r>
      <w:r>
        <w:rPr>
          <w:rFonts w:ascii="仿宋_GB2312" w:hAnsi="宋体" w:eastAsia="仿宋_GB2312" w:cs="宋体"/>
          <w:color w:val="000000"/>
          <w:kern w:val="0"/>
          <w:sz w:val="32"/>
          <w:szCs w:val="32"/>
        </w:rPr>
        <w:t>和安全性</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预算资金使用符合法规和财务管理制度规定以及有关专项资金管理办法的规定，资金的拨付有较完整的审批程序和手续，项目的重大开支经过评估论证，符合部门预算批复的用途，不存在截留、挤占、挪用情况，资金使用比较符合政府采购的程序和流程、符合公务卡结算相关制度和规定。</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3.会计</w:t>
      </w:r>
      <w:r>
        <w:rPr>
          <w:rFonts w:ascii="仿宋_GB2312" w:hAnsi="宋体" w:eastAsia="仿宋_GB2312" w:cs="宋体"/>
          <w:color w:val="000000"/>
          <w:kern w:val="0"/>
          <w:sz w:val="32"/>
          <w:szCs w:val="32"/>
        </w:rPr>
        <w:t>基础信息完善性</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北京知识产权法院会计基础资料包括支付审批单、会议纪要、合同、银行回单等，基础数据信息和会计信息真实、准确，资料完整性较好。</w:t>
      </w:r>
    </w:p>
    <w:p>
      <w:pPr>
        <w:numPr>
          <w:ilvl w:val="0"/>
          <w:numId w:val="1"/>
        </w:numPr>
        <w:spacing w:line="600" w:lineRule="exact"/>
        <w:ind w:firstLine="640" w:firstLineChars="200"/>
        <w:rPr>
          <w:rFonts w:ascii="仿宋_GB2312" w:hAnsi="宋体" w:eastAsia="仿宋_GB2312" w:cs="宋体"/>
          <w:color w:val="000000"/>
          <w:kern w:val="0"/>
          <w:sz w:val="32"/>
          <w:szCs w:val="32"/>
        </w:rPr>
      </w:pPr>
      <w:r>
        <w:rPr>
          <w:rFonts w:hint="eastAsia" w:ascii="楷体_GB2312" w:eastAsia="楷体_GB2312"/>
          <w:sz w:val="32"/>
          <w:szCs w:val="32"/>
        </w:rPr>
        <w:t>资产管理</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部门资产保持安全完整，资产配置合理，资产使用和资产处理规范，无对外投资行为，不存在投资亏损；无因管理不当发生严重资产损失和丢失情况；不存在超标准配置资产；资产使用规范，不存在未经批准擅自出租、出借资产行为；资产处置规范，不存在不按要求进行报批或资产不公开处置行为。资产管理比较规范。</w:t>
      </w:r>
    </w:p>
    <w:p>
      <w:pPr>
        <w:numPr>
          <w:ilvl w:val="0"/>
          <w:numId w:val="1"/>
        </w:numPr>
        <w:spacing w:line="600" w:lineRule="exact"/>
        <w:ind w:firstLine="640" w:firstLineChars="200"/>
        <w:rPr>
          <w:rFonts w:ascii="仿宋_GB2312" w:hAnsi="宋体" w:eastAsia="仿宋_GB2312" w:cs="宋体"/>
          <w:color w:val="000000"/>
          <w:kern w:val="0"/>
          <w:sz w:val="32"/>
          <w:szCs w:val="32"/>
        </w:rPr>
      </w:pPr>
      <w:r>
        <w:rPr>
          <w:rFonts w:hint="eastAsia" w:ascii="楷体_GB2312" w:eastAsia="楷体_GB2312"/>
          <w:sz w:val="32"/>
          <w:szCs w:val="32"/>
        </w:rPr>
        <w:t>绩效</w:t>
      </w:r>
      <w:r>
        <w:rPr>
          <w:rFonts w:ascii="楷体_GB2312" w:eastAsia="楷体_GB2312"/>
          <w:sz w:val="32"/>
          <w:szCs w:val="32"/>
        </w:rPr>
        <w:t>管理</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北京知识产权法院对绩效目标实施过程做到了实时追踪管理，对偏离目标的情况及时进行了矫正，但对绩效目标执行信息进行汇总分析整理不够及时完整。</w:t>
      </w:r>
    </w:p>
    <w:p>
      <w:pPr>
        <w:numPr>
          <w:ilvl w:val="0"/>
          <w:numId w:val="1"/>
        </w:numPr>
        <w:spacing w:line="600" w:lineRule="exact"/>
        <w:ind w:firstLine="640" w:firstLineChars="200"/>
        <w:rPr>
          <w:rFonts w:ascii="仿宋_GB2312" w:hAnsi="宋体" w:eastAsia="仿宋_GB2312" w:cs="宋体"/>
          <w:color w:val="000000"/>
          <w:kern w:val="0"/>
          <w:sz w:val="32"/>
          <w:szCs w:val="32"/>
        </w:rPr>
      </w:pPr>
      <w:r>
        <w:rPr>
          <w:rFonts w:hint="eastAsia" w:ascii="楷体_GB2312" w:eastAsia="楷体_GB2312"/>
          <w:sz w:val="32"/>
          <w:szCs w:val="32"/>
        </w:rPr>
        <w:t>结转结余率</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北京知识产权法院2021年结转结余率为1.72%，2022年结转结余率为1.1%，结转结余率控制水平较好。</w:t>
      </w:r>
    </w:p>
    <w:p>
      <w:pPr>
        <w:numPr>
          <w:ilvl w:val="0"/>
          <w:numId w:val="1"/>
        </w:numPr>
        <w:spacing w:line="600" w:lineRule="exact"/>
        <w:ind w:firstLine="640" w:firstLineChars="200"/>
        <w:rPr>
          <w:rFonts w:ascii="楷体_GB2312" w:eastAsia="楷体_GB2312"/>
          <w:sz w:val="32"/>
          <w:szCs w:val="32"/>
        </w:rPr>
      </w:pPr>
      <w:r>
        <w:rPr>
          <w:rFonts w:hint="eastAsia" w:ascii="楷体_GB2312" w:eastAsia="楷体_GB2312"/>
          <w:sz w:val="32"/>
          <w:szCs w:val="32"/>
        </w:rPr>
        <w:t>部门</w:t>
      </w:r>
      <w:r>
        <w:rPr>
          <w:rFonts w:ascii="楷体_GB2312" w:eastAsia="楷体_GB2312"/>
          <w:sz w:val="32"/>
          <w:szCs w:val="32"/>
        </w:rPr>
        <w:t>预决算差异率</w:t>
      </w:r>
    </w:p>
    <w:p>
      <w:pPr>
        <w:spacing w:line="600" w:lineRule="exact"/>
        <w:ind w:left="105" w:leftChars="50" w:firstLine="480" w:firstLineChars="150"/>
        <w:rPr>
          <w:rFonts w:ascii="仿宋_GB2312" w:hAnsi="仿宋" w:eastAsia="仿宋_GB2312"/>
          <w:sz w:val="32"/>
          <w:szCs w:val="32"/>
        </w:rPr>
      </w:pPr>
      <w:r>
        <w:rPr>
          <w:rFonts w:hint="eastAsia" w:ascii="楷体_GB2312" w:eastAsia="楷体_GB2312"/>
          <w:sz w:val="32"/>
          <w:szCs w:val="32"/>
        </w:rPr>
        <w:t xml:space="preserve"> </w:t>
      </w:r>
      <w:r>
        <w:rPr>
          <w:rFonts w:hint="eastAsia" w:ascii="仿宋_GB2312" w:hAnsi="仿宋" w:eastAsia="仿宋_GB2312"/>
          <w:sz w:val="32"/>
          <w:szCs w:val="32"/>
        </w:rPr>
        <w:t>2022年预算申报</w:t>
      </w:r>
      <w:r>
        <w:rPr>
          <w:rFonts w:hint="eastAsia" w:ascii="仿宋_GB2312" w:hAnsi="仿宋" w:eastAsia="仿宋_GB2312"/>
          <w:color w:val="000000"/>
          <w:sz w:val="32"/>
          <w:szCs w:val="32"/>
        </w:rPr>
        <w:t xml:space="preserve">16,735.872471 万元（含上年结转22.00万元），其中基本支出预算申报9,625.347286 万元，项目支出预算申报7,110.525185 万元（含上年结转22.00万元）。年终决算17,781.636127 </w:t>
      </w:r>
      <w:r>
        <w:rPr>
          <w:rFonts w:hint="eastAsia" w:ascii="仿宋_GB2312" w:hAnsi="仿宋" w:eastAsia="仿宋_GB2312"/>
          <w:sz w:val="32"/>
          <w:szCs w:val="32"/>
        </w:rPr>
        <w:t>万元（含上年结转支出数20.929000万元），决算差异率6.25%，低于市级平均差异率（28.3%）。</w:t>
      </w:r>
    </w:p>
    <w:p>
      <w:pPr>
        <w:spacing w:line="600" w:lineRule="exact"/>
        <w:ind w:left="105" w:leftChars="50" w:firstLine="480" w:firstLineChars="150"/>
        <w:rPr>
          <w:rFonts w:ascii="黑体" w:hAnsi="黑体" w:eastAsia="黑体"/>
          <w:sz w:val="32"/>
          <w:szCs w:val="32"/>
        </w:rPr>
      </w:pPr>
      <w:r>
        <w:rPr>
          <w:rFonts w:hint="eastAsia" w:ascii="黑体" w:hAnsi="黑体" w:eastAsia="黑体"/>
          <w:sz w:val="32"/>
          <w:szCs w:val="32"/>
        </w:rPr>
        <w:t>五、总体</w:t>
      </w:r>
      <w:r>
        <w:rPr>
          <w:rFonts w:ascii="黑体" w:hAnsi="黑体" w:eastAsia="黑体"/>
          <w:sz w:val="32"/>
          <w:szCs w:val="32"/>
        </w:rPr>
        <w:t>评价结论</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（一）评价</w:t>
      </w:r>
      <w:r>
        <w:rPr>
          <w:rFonts w:ascii="楷体_GB2312" w:eastAsia="楷体_GB2312"/>
          <w:sz w:val="32"/>
          <w:szCs w:val="32"/>
        </w:rPr>
        <w:t>得分</w:t>
      </w:r>
      <w:r>
        <w:rPr>
          <w:rFonts w:hint="eastAsia" w:ascii="楷体_GB2312" w:eastAsia="楷体_GB2312"/>
          <w:sz w:val="32"/>
          <w:szCs w:val="32"/>
        </w:rPr>
        <w:t>情况</w:t>
      </w:r>
    </w:p>
    <w:p>
      <w:pPr>
        <w:spacing w:line="600" w:lineRule="exact"/>
        <w:ind w:left="105" w:leftChars="50" w:firstLine="480" w:firstLineChars="150"/>
        <w:rPr>
          <w:rFonts w:eastAsia="楷体_GB2312"/>
        </w:rPr>
      </w:pPr>
      <w:r>
        <w:rPr>
          <w:rFonts w:hint="eastAsia" w:ascii="楷体_GB2312" w:eastAsia="楷体_GB2312"/>
          <w:sz w:val="32"/>
          <w:szCs w:val="32"/>
        </w:rPr>
        <w:t xml:space="preserve"> </w:t>
      </w:r>
      <w:r>
        <w:rPr>
          <w:rFonts w:hint="eastAsia" w:ascii="仿宋_GB2312" w:hAnsi="仿宋" w:eastAsia="仿宋_GB2312"/>
          <w:sz w:val="32"/>
          <w:szCs w:val="32"/>
        </w:rPr>
        <w:t>部门整体绩效评价得分88.53分，评价等级为“良”。其中当年预算执行情况满分20分，预算执行率85.65%，得分17.13分；整体绩效目标实现情况满分60分，得分54.4分，得分率90.67%；</w:t>
      </w:r>
      <w:bookmarkStart w:id="0" w:name="OLE_LINK2"/>
      <w:r>
        <w:rPr>
          <w:rFonts w:hint="eastAsia" w:ascii="仿宋_GB2312" w:hAnsi="仿宋" w:eastAsia="仿宋_GB2312"/>
          <w:sz w:val="32"/>
          <w:szCs w:val="32"/>
        </w:rPr>
        <w:t>预算管理情况</w:t>
      </w:r>
      <w:bookmarkEnd w:id="0"/>
      <w:r>
        <w:rPr>
          <w:rFonts w:hint="eastAsia" w:ascii="仿宋_GB2312" w:hAnsi="仿宋" w:eastAsia="仿宋_GB2312"/>
          <w:sz w:val="32"/>
          <w:szCs w:val="32"/>
        </w:rPr>
        <w:t>满分20分，得分17分，得分率85%。具体评分情况见附表2022年部门整体绩效评价指标体系评分表。</w:t>
      </w:r>
    </w:p>
    <w:p>
      <w:pPr>
        <w:numPr>
          <w:ilvl w:val="0"/>
          <w:numId w:val="4"/>
        </w:numPr>
        <w:spacing w:line="600" w:lineRule="exact"/>
        <w:ind w:left="105" w:leftChars="50" w:firstLine="480" w:firstLineChars="150"/>
        <w:rPr>
          <w:rFonts w:ascii="仿宋_GB2312" w:hAnsi="仿宋" w:eastAsia="仿宋_GB2312"/>
          <w:sz w:val="32"/>
          <w:szCs w:val="32"/>
        </w:rPr>
      </w:pPr>
      <w:r>
        <w:rPr>
          <w:rFonts w:hint="eastAsia" w:ascii="楷体_GB2312" w:eastAsia="楷体_GB2312"/>
          <w:sz w:val="32"/>
          <w:szCs w:val="32"/>
        </w:rPr>
        <w:t>存在的问题及原因分析</w:t>
      </w:r>
    </w:p>
    <w:p>
      <w:pPr>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1.绩效指标设置不全、合理性、明确性有待提高。</w:t>
      </w:r>
    </w:p>
    <w:p>
      <w:pPr>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部门整体绩效指标设置不明确不完整，未设置产出数量指标、质量指标、成本及时效指标，仅有效益指标，且指标不规范，未将法院的2022年主要工作列入活动作为产出指标。</w:t>
      </w:r>
    </w:p>
    <w:p>
      <w:pPr>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 xml:space="preserve">项目绩效指标同样存在指标设置不全、不合理不明确问题。如，法院办案业务费项目，数量指标的三级指标为“充分使用预算资金”，数量指标应该为将要干的事的成果数量；不应设置经济效益指标，应该是社会效益指标；满意度指标两个都是审判人员满意度不合理，满意度90%，设置过低，应该为95%；如，（2）媒体数据服务费：服务时间不能作为数量指标，应作为时效指标；缺少质量指标和时效指标；不应设置经济效益指标，应该涉社会效益指标；其他如安检工作费用、业务维修（护）费等多个项目均存在指标设置问题。  </w:t>
      </w:r>
    </w:p>
    <w:p>
      <w:pPr>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2.预算编制不明确，不细化。缺少预算明细表、大额项目支出如网络运维费、业务装备费未见预算评审资料。</w:t>
      </w:r>
    </w:p>
    <w:p>
      <w:pPr>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3.项目管理过程及资料有待加强。如合同执行规范性、实施方案、细化的考核验收制度，过程监督考核资料、合同遴选及招投标及上会资料、成果资料等。</w:t>
      </w:r>
    </w:p>
    <w:p>
      <w:pPr>
        <w:spacing w:line="600" w:lineRule="exact"/>
        <w:ind w:firstLine="640" w:firstLineChars="200"/>
      </w:pPr>
      <w:r>
        <w:rPr>
          <w:rFonts w:hint="eastAsia" w:ascii="仿宋_GB2312" w:hAnsi="仿宋" w:eastAsia="仿宋_GB2312"/>
          <w:sz w:val="32"/>
          <w:szCs w:val="32"/>
        </w:rPr>
        <w:t>4.对满意度调查重视不够，多个项目未做满意度调查及分析。</w:t>
      </w:r>
    </w:p>
    <w:p>
      <w:pPr>
        <w:spacing w:line="600" w:lineRule="exact"/>
        <w:ind w:firstLine="640" w:firstLineChars="200"/>
        <w:rPr>
          <w:rFonts w:ascii="仿宋_GB2312" w:hAnsi="宋体" w:eastAsia="仿宋_GB2312" w:cs="宋体"/>
          <w:color w:val="000000"/>
          <w:kern w:val="0"/>
          <w:sz w:val="32"/>
          <w:szCs w:val="32"/>
        </w:rPr>
      </w:pPr>
      <w:r>
        <w:rPr>
          <w:rFonts w:hint="eastAsia" w:ascii="黑体" w:hAnsi="黑体" w:eastAsia="黑体" w:cs="宋体"/>
          <w:color w:val="000000"/>
          <w:kern w:val="0"/>
          <w:sz w:val="32"/>
          <w:szCs w:val="32"/>
        </w:rPr>
        <w:t>六、措施建议</w:t>
      </w:r>
    </w:p>
    <w:p>
      <w:pPr>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1.重视绩效评价指标设定，完善部门整体绩效绩效指标和项目绩效指标。根据部门整体年度重点工作任务将项目汇总分类到对应的活动中，每种活动都应有相应的数量、质量、时效、成本指标；针对项目，提炼出能反映项目成果、质量标准的指标作为产出数量、质量指标，可以参照以往的合同约定或实际数据来确定，注意指标设置的完整性。</w:t>
      </w:r>
    </w:p>
    <w:p>
      <w:pPr>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2.细化预算编制，大额项目应有专家论证或可行性研究报告或评审。</w:t>
      </w:r>
    </w:p>
    <w:p>
      <w:pPr>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3.重视项目资料管理，按照绩效评价的要求归集整理项目资料。项目管理过程中应制定实施方案，明确项目组织、管理机制、质量监管机制、经费使用，提高项目管理的规范性。深化合同管理，保证合同订立的规范性，严格按合同约定付款并执行验收程序。项目执行完毕应有总结。重视对成果的收集和反馈。</w:t>
      </w:r>
    </w:p>
    <w:p>
      <w:pPr>
        <w:spacing w:line="600" w:lineRule="exact"/>
        <w:ind w:firstLine="640" w:firstLineChars="200"/>
      </w:pPr>
      <w:r>
        <w:rPr>
          <w:rFonts w:hint="eastAsia" w:ascii="仿宋_GB2312" w:hAnsi="仿宋" w:eastAsia="仿宋_GB2312"/>
          <w:sz w:val="32"/>
          <w:szCs w:val="32"/>
        </w:rPr>
        <w:t>4.注重满意度调查和分析。做好满意度调查和分析工作，避免满意度调查的形式化。将满意度调查结果作为下年项目实施的需求分析，并以此为契机，加强对第三服务质量的约束和要求，不断提高服务质量和水平。</w:t>
      </w:r>
    </w:p>
    <w:p>
      <w:pPr>
        <w:pStyle w:val="3"/>
        <w:rPr>
          <w:sz w:val="32"/>
          <w:szCs w:val="32"/>
        </w:rPr>
      </w:pPr>
      <w:bookmarkStart w:id="1" w:name="_Toc103006301"/>
      <w:r>
        <w:rPr>
          <w:rFonts w:hint="eastAsia"/>
          <w:sz w:val="32"/>
          <w:szCs w:val="32"/>
        </w:rPr>
        <w:t>七、附件</w:t>
      </w:r>
      <w:bookmarkEnd w:id="1"/>
    </w:p>
    <w:p>
      <w:pPr>
        <w:spacing w:line="600" w:lineRule="exact"/>
        <w:ind w:firstLine="641"/>
        <w:rPr>
          <w:rFonts w:ascii="仿宋_GB2312" w:hAnsi="仿宋_GB2312" w:eastAsia="仿宋_GB2312" w:cs="仿宋_GB2312"/>
          <w:sz w:val="32"/>
          <w:szCs w:val="32"/>
        </w:rPr>
        <w:sectPr>
          <w:footerReference r:id="rId3" w:type="default"/>
          <w:pgSz w:w="11906" w:h="16838"/>
          <w:pgMar w:top="1440" w:right="1800" w:bottom="1440" w:left="1800" w:header="851" w:footer="964" w:gutter="0"/>
          <w:pgNumType w:start="1"/>
          <w:cols w:space="425" w:num="1"/>
          <w:docGrid w:type="lines" w:linePitch="435" w:charSpace="0"/>
        </w:sectPr>
      </w:pPr>
      <w:r>
        <w:rPr>
          <w:rFonts w:hint="eastAsia" w:ascii="仿宋_GB2312" w:hAnsi="仿宋_GB2312" w:eastAsia="仿宋_GB2312" w:cs="仿宋_GB2312"/>
          <w:sz w:val="32"/>
          <w:szCs w:val="32"/>
        </w:rPr>
        <w:t>2022年部门整体绩效评价指标体系评分表</w:t>
      </w:r>
    </w:p>
    <w:p>
      <w:pPr>
        <w:spacing w:line="560" w:lineRule="exact"/>
        <w:ind w:firstLine="5280" w:firstLineChars="2200"/>
        <w:jc w:val="left"/>
        <w:rPr>
          <w:rFonts w:ascii="方正黑体_GBK" w:hAnsi="方正黑体_GBK" w:eastAsia="方正黑体_GBK" w:cs="方正黑体_GBK"/>
          <w:sz w:val="24"/>
        </w:rPr>
      </w:pPr>
      <w:r>
        <w:rPr>
          <w:rFonts w:ascii="方正黑体_GBK" w:hAnsi="方正黑体_GBK" w:eastAsia="方正黑体_GBK" w:cs="方正黑体_GBK"/>
          <w:sz w:val="24"/>
        </w:rPr>
        <w:t>2022年部门整体绩效评价指标体系评分表</w:t>
      </w:r>
    </w:p>
    <w:tbl>
      <w:tblPr>
        <w:tblStyle w:val="7"/>
        <w:tblW w:w="13980" w:type="dxa"/>
        <w:tblInd w:w="0" w:type="dxa"/>
        <w:tblLayout w:type="fixed"/>
        <w:tblCellMar>
          <w:top w:w="0" w:type="dxa"/>
          <w:left w:w="0" w:type="dxa"/>
          <w:bottom w:w="0" w:type="dxa"/>
          <w:right w:w="0" w:type="dxa"/>
        </w:tblCellMar>
      </w:tblPr>
      <w:tblGrid>
        <w:gridCol w:w="854"/>
        <w:gridCol w:w="1017"/>
        <w:gridCol w:w="846"/>
        <w:gridCol w:w="2004"/>
        <w:gridCol w:w="1735"/>
        <w:gridCol w:w="621"/>
        <w:gridCol w:w="625"/>
        <w:gridCol w:w="2726"/>
        <w:gridCol w:w="3552"/>
      </w:tblGrid>
      <w:tr>
        <w:tblPrEx>
          <w:tblCellMar>
            <w:top w:w="0" w:type="dxa"/>
            <w:left w:w="0" w:type="dxa"/>
            <w:bottom w:w="0" w:type="dxa"/>
            <w:right w:w="0" w:type="dxa"/>
          </w:tblCellMar>
        </w:tblPrEx>
        <w:trPr>
          <w:trHeight w:val="90" w:hRule="atLeast"/>
        </w:trPr>
        <w:tc>
          <w:tcPr>
            <w:tcW w:w="13980" w:type="dxa"/>
            <w:gridSpan w:val="9"/>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一、当年预算执行情况（20分）</w:t>
            </w:r>
          </w:p>
        </w:tc>
      </w:tr>
      <w:tr>
        <w:tblPrEx>
          <w:tblCellMar>
            <w:top w:w="0" w:type="dxa"/>
            <w:left w:w="0" w:type="dxa"/>
            <w:bottom w:w="0" w:type="dxa"/>
            <w:right w:w="0" w:type="dxa"/>
          </w:tblCellMar>
        </w:tblPrEx>
        <w:trPr>
          <w:trHeight w:val="90" w:hRule="atLeast"/>
        </w:trPr>
        <w:tc>
          <w:tcPr>
            <w:tcW w:w="85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一级指标　</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二级指标　</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预算数（万元）</w:t>
            </w:r>
          </w:p>
        </w:tc>
        <w:tc>
          <w:tcPr>
            <w:tcW w:w="200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执行数（万元）</w:t>
            </w:r>
          </w:p>
        </w:tc>
        <w:tc>
          <w:tcPr>
            <w:tcW w:w="173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预算执行率</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6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c>
          <w:tcPr>
            <w:tcW w:w="27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指标解释</w:t>
            </w:r>
          </w:p>
        </w:tc>
        <w:tc>
          <w:tcPr>
            <w:tcW w:w="35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评分标准</w:t>
            </w:r>
          </w:p>
        </w:tc>
      </w:tr>
      <w:tr>
        <w:tblPrEx>
          <w:tblCellMar>
            <w:top w:w="0" w:type="dxa"/>
            <w:left w:w="0" w:type="dxa"/>
            <w:bottom w:w="0" w:type="dxa"/>
            <w:right w:w="0" w:type="dxa"/>
          </w:tblCellMar>
        </w:tblPrEx>
        <w:trPr>
          <w:trHeight w:val="90" w:hRule="atLeast"/>
        </w:trPr>
        <w:tc>
          <w:tcPr>
            <w:tcW w:w="85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当年预算执行情况（20）</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资金总体</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19,835.75</w:t>
            </w:r>
          </w:p>
        </w:tc>
        <w:tc>
          <w:tcPr>
            <w:tcW w:w="200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16,990.15</w:t>
            </w:r>
          </w:p>
        </w:tc>
        <w:tc>
          <w:tcPr>
            <w:tcW w:w="173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85.65%</w:t>
            </w:r>
          </w:p>
        </w:tc>
        <w:tc>
          <w:tcPr>
            <w:tcW w:w="621"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w:t>
            </w:r>
          </w:p>
        </w:tc>
        <w:tc>
          <w:tcPr>
            <w:tcW w:w="62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17.13 </w:t>
            </w:r>
          </w:p>
        </w:tc>
        <w:tc>
          <w:tcPr>
            <w:tcW w:w="272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部门全年执行数与全年预算数的比率。资金总体=基本支出+项目支出+其他</w:t>
            </w:r>
          </w:p>
        </w:tc>
        <w:tc>
          <w:tcPr>
            <w:tcW w:w="35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①得分一档最高不能超过该指标分值上限（20分）。</w:t>
            </w:r>
          </w:p>
        </w:tc>
      </w:tr>
      <w:tr>
        <w:tblPrEx>
          <w:tblCellMar>
            <w:top w:w="0" w:type="dxa"/>
            <w:left w:w="0" w:type="dxa"/>
            <w:bottom w:w="0" w:type="dxa"/>
            <w:right w:w="0" w:type="dxa"/>
          </w:tblCellMar>
        </w:tblPrEx>
        <w:trPr>
          <w:trHeight w:val="90" w:hRule="atLeast"/>
        </w:trPr>
        <w:tc>
          <w:tcPr>
            <w:tcW w:w="8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基本支出</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18,319.85</w:t>
            </w:r>
          </w:p>
        </w:tc>
        <w:tc>
          <w:tcPr>
            <w:tcW w:w="200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17,781.64 </w:t>
            </w:r>
          </w:p>
        </w:tc>
        <w:tc>
          <w:tcPr>
            <w:tcW w:w="1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ascii="宋体" w:hAnsi="宋体" w:cs="宋体"/>
                <w:color w:val="000000"/>
                <w:sz w:val="18"/>
                <w:szCs w:val="18"/>
              </w:rPr>
            </w:pPr>
          </w:p>
        </w:tc>
        <w:tc>
          <w:tcPr>
            <w:tcW w:w="62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ascii="宋体" w:hAnsi="宋体" w:cs="宋体"/>
                <w:color w:val="000000"/>
                <w:sz w:val="18"/>
                <w:szCs w:val="18"/>
              </w:rPr>
            </w:pPr>
          </w:p>
        </w:tc>
        <w:tc>
          <w:tcPr>
            <w:tcW w:w="27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rPr>
            </w:pPr>
          </w:p>
        </w:tc>
        <w:tc>
          <w:tcPr>
            <w:tcW w:w="35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②该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tc>
      </w:tr>
      <w:tr>
        <w:tblPrEx>
          <w:tblCellMar>
            <w:top w:w="0" w:type="dxa"/>
            <w:left w:w="0" w:type="dxa"/>
            <w:bottom w:w="0" w:type="dxa"/>
            <w:right w:w="0" w:type="dxa"/>
          </w:tblCellMar>
        </w:tblPrEx>
        <w:trPr>
          <w:trHeight w:val="90" w:hRule="atLeast"/>
        </w:trPr>
        <w:tc>
          <w:tcPr>
            <w:tcW w:w="8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项目支出</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14,486.48</w:t>
            </w:r>
          </w:p>
        </w:tc>
        <w:tc>
          <w:tcPr>
            <w:tcW w:w="200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12,429.15</w:t>
            </w:r>
          </w:p>
        </w:tc>
        <w:tc>
          <w:tcPr>
            <w:tcW w:w="1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ascii="宋体" w:hAnsi="宋体" w:cs="宋体"/>
                <w:color w:val="000000"/>
                <w:sz w:val="18"/>
                <w:szCs w:val="18"/>
              </w:rPr>
            </w:pPr>
          </w:p>
        </w:tc>
        <w:tc>
          <w:tcPr>
            <w:tcW w:w="62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ascii="宋体" w:hAnsi="宋体" w:cs="宋体"/>
                <w:color w:val="000000"/>
                <w:sz w:val="18"/>
                <w:szCs w:val="18"/>
              </w:rPr>
            </w:pPr>
          </w:p>
        </w:tc>
        <w:tc>
          <w:tcPr>
            <w:tcW w:w="27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rPr>
            </w:pPr>
          </w:p>
        </w:tc>
        <w:tc>
          <w:tcPr>
            <w:tcW w:w="35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rPr>
                <w:rFonts w:ascii="宋体" w:hAnsi="宋体" w:cs="宋体"/>
                <w:color w:val="000000"/>
                <w:sz w:val="18"/>
                <w:szCs w:val="18"/>
              </w:rPr>
            </w:pPr>
          </w:p>
        </w:tc>
      </w:tr>
      <w:tr>
        <w:tblPrEx>
          <w:tblCellMar>
            <w:top w:w="0" w:type="dxa"/>
            <w:left w:w="0" w:type="dxa"/>
            <w:bottom w:w="0" w:type="dxa"/>
            <w:right w:w="0" w:type="dxa"/>
          </w:tblCellMar>
        </w:tblPrEx>
        <w:trPr>
          <w:trHeight w:val="90" w:hRule="atLeast"/>
        </w:trPr>
        <w:tc>
          <w:tcPr>
            <w:tcW w:w="8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其他</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w:t>
            </w:r>
          </w:p>
        </w:tc>
        <w:tc>
          <w:tcPr>
            <w:tcW w:w="200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w:t>
            </w:r>
          </w:p>
        </w:tc>
        <w:tc>
          <w:tcPr>
            <w:tcW w:w="1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ascii="宋体" w:hAnsi="宋体" w:cs="宋体"/>
                <w:color w:val="000000"/>
                <w:sz w:val="18"/>
                <w:szCs w:val="18"/>
              </w:rPr>
            </w:pPr>
          </w:p>
        </w:tc>
        <w:tc>
          <w:tcPr>
            <w:tcW w:w="62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ascii="宋体" w:hAnsi="宋体" w:cs="宋体"/>
                <w:color w:val="000000"/>
                <w:sz w:val="18"/>
                <w:szCs w:val="18"/>
              </w:rPr>
            </w:pPr>
          </w:p>
        </w:tc>
        <w:tc>
          <w:tcPr>
            <w:tcW w:w="27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rPr>
            </w:pPr>
          </w:p>
        </w:tc>
        <w:tc>
          <w:tcPr>
            <w:tcW w:w="35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rPr>
                <w:rFonts w:ascii="宋体" w:hAnsi="宋体" w:cs="宋体"/>
                <w:color w:val="000000"/>
                <w:sz w:val="18"/>
                <w:szCs w:val="18"/>
              </w:rPr>
            </w:pPr>
          </w:p>
        </w:tc>
      </w:tr>
      <w:tr>
        <w:tblPrEx>
          <w:tblCellMar>
            <w:top w:w="0" w:type="dxa"/>
            <w:left w:w="0" w:type="dxa"/>
            <w:bottom w:w="0" w:type="dxa"/>
            <w:right w:w="0" w:type="dxa"/>
          </w:tblCellMar>
        </w:tblPrEx>
        <w:trPr>
          <w:trHeight w:val="90" w:hRule="atLeast"/>
        </w:trPr>
        <w:tc>
          <w:tcPr>
            <w:tcW w:w="13980" w:type="dxa"/>
            <w:gridSpan w:val="9"/>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二、整体绩效目标实现情况（60分）</w:t>
            </w:r>
          </w:p>
        </w:tc>
      </w:tr>
      <w:tr>
        <w:tblPrEx>
          <w:tblCellMar>
            <w:top w:w="0" w:type="dxa"/>
            <w:left w:w="0" w:type="dxa"/>
            <w:bottom w:w="0" w:type="dxa"/>
            <w:right w:w="0" w:type="dxa"/>
          </w:tblCellMar>
        </w:tblPrEx>
        <w:trPr>
          <w:trHeight w:val="90" w:hRule="atLeast"/>
        </w:trPr>
        <w:tc>
          <w:tcPr>
            <w:tcW w:w="85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一级指标</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二级指标　</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三级指标　</w:t>
            </w:r>
          </w:p>
        </w:tc>
        <w:tc>
          <w:tcPr>
            <w:tcW w:w="200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指标值</w:t>
            </w:r>
          </w:p>
        </w:tc>
        <w:tc>
          <w:tcPr>
            <w:tcW w:w="173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完成值</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6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c>
          <w:tcPr>
            <w:tcW w:w="27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指标解释</w:t>
            </w:r>
          </w:p>
        </w:tc>
        <w:tc>
          <w:tcPr>
            <w:tcW w:w="35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评分标准</w:t>
            </w:r>
          </w:p>
        </w:tc>
      </w:tr>
      <w:tr>
        <w:trPr>
          <w:trHeight w:val="90" w:hRule="atLeast"/>
        </w:trPr>
        <w:tc>
          <w:tcPr>
            <w:tcW w:w="85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整体绩效目标实现情况（60）</w:t>
            </w:r>
          </w:p>
        </w:tc>
        <w:tc>
          <w:tcPr>
            <w:tcW w:w="101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产出（30）</w:t>
            </w:r>
          </w:p>
        </w:tc>
        <w:tc>
          <w:tcPr>
            <w:tcW w:w="846" w:type="dxa"/>
            <w:vMerge w:val="restart"/>
            <w:tcBorders>
              <w:top w:val="single" w:color="000000" w:sz="4" w:space="0"/>
              <w:left w:val="single" w:color="000000" w:sz="4" w:space="0"/>
              <w:bottom w:val="nil"/>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指标1产出数量（15）</w:t>
            </w:r>
          </w:p>
        </w:tc>
        <w:tc>
          <w:tcPr>
            <w:tcW w:w="200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立案：预计年立案数量27000件</w:t>
            </w:r>
          </w:p>
        </w:tc>
        <w:tc>
          <w:tcPr>
            <w:tcW w:w="173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lang w:bidi="ar"/>
              </w:rPr>
              <w:t>实际立案33750件</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3</w:t>
            </w:r>
          </w:p>
        </w:tc>
        <w:tc>
          <w:tcPr>
            <w:tcW w:w="6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2.84</w:t>
            </w:r>
          </w:p>
        </w:tc>
        <w:tc>
          <w:tcPr>
            <w:tcW w:w="272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b/>
                <w:color w:val="000000"/>
                <w:sz w:val="18"/>
                <w:szCs w:val="18"/>
              </w:rPr>
            </w:pPr>
            <w:r>
              <w:rPr>
                <w:rFonts w:hint="eastAsia" w:ascii="宋体" w:hAnsi="宋体" w:cs="宋体"/>
                <w:b/>
                <w:color w:val="000000"/>
                <w:kern w:val="0"/>
                <w:sz w:val="18"/>
                <w:szCs w:val="18"/>
                <w:lang w:bidi="ar"/>
              </w:rPr>
              <w:t>产出数量</w:t>
            </w:r>
            <w:r>
              <w:rPr>
                <w:rFonts w:hint="eastAsia" w:ascii="宋体" w:hAnsi="宋体" w:cs="宋体"/>
                <w:color w:val="000000"/>
                <w:kern w:val="0"/>
                <w:sz w:val="18"/>
                <w:szCs w:val="18"/>
                <w:lang w:bidi="ar"/>
              </w:rPr>
              <w:t>：计划完成率=（实际完成工作数/计划工作数）×100%。实际完成工作数：一定时期（年度或规划期）内部门（单位）实际完成工作任务的数量。计划工作数：部门（单位）整体绩效目标确定的一定时期（年度或规划期）内预计完成工作任务的数量。</w:t>
            </w:r>
            <w:r>
              <w:rPr>
                <w:rStyle w:val="15"/>
                <w:rFonts w:hint="default"/>
                <w:sz w:val="18"/>
                <w:szCs w:val="18"/>
                <w:lang w:bidi="ar"/>
              </w:rPr>
              <w:t>产出质量</w:t>
            </w:r>
            <w:r>
              <w:rPr>
                <w:rFonts w:hint="eastAsia" w:ascii="宋体" w:hAnsi="宋体" w:cs="宋体"/>
                <w:color w:val="000000"/>
                <w:kern w:val="0"/>
                <w:sz w:val="18"/>
                <w:szCs w:val="18"/>
                <w:lang w:bidi="ar"/>
              </w:rPr>
              <w:t>：质量达标率=质量达标工作数/实际完成工作数×100%。质量达标工作数：一定时期（年度或规划期）内部门（单位）实际完成工作数中达到部门绩效目标要求（绩效标准值）的工作任务数量。</w:t>
            </w:r>
            <w:r>
              <w:rPr>
                <w:rStyle w:val="15"/>
                <w:rFonts w:hint="default"/>
                <w:sz w:val="18"/>
                <w:szCs w:val="18"/>
                <w:lang w:bidi="ar"/>
              </w:rPr>
              <w:t>产出进度：</w:t>
            </w:r>
            <w:r>
              <w:rPr>
                <w:rFonts w:hint="eastAsia" w:ascii="宋体" w:hAnsi="宋体" w:cs="宋体"/>
                <w:color w:val="000000"/>
                <w:kern w:val="0"/>
                <w:sz w:val="18"/>
                <w:szCs w:val="18"/>
                <w:lang w:bidi="ar"/>
              </w:rPr>
              <w:t>按时完成率=（按时完成工作数/实际完成工作数）×100%。按时完成工作数：部门（单位）按照整体绩效目标确定的时限实际完成的工作任务数量。</w:t>
            </w:r>
            <w:r>
              <w:rPr>
                <w:rStyle w:val="15"/>
                <w:rFonts w:hint="default"/>
                <w:sz w:val="18"/>
                <w:szCs w:val="18"/>
                <w:lang w:bidi="ar"/>
              </w:rPr>
              <w:t>产出成本</w:t>
            </w:r>
            <w:r>
              <w:rPr>
                <w:rFonts w:hint="eastAsia" w:ascii="宋体" w:hAnsi="宋体" w:cs="宋体"/>
                <w:color w:val="000000"/>
                <w:kern w:val="0"/>
                <w:sz w:val="18"/>
                <w:szCs w:val="18"/>
                <w:lang w:bidi="ar"/>
              </w:rPr>
              <w:t>：单位产出相对于上一年度的节约额；②单位产出相对于市场同类产出的节约额；③部门公用经费的控制情况。</w:t>
            </w:r>
          </w:p>
        </w:tc>
        <w:tc>
          <w:tcPr>
            <w:tcW w:w="355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部门根据本单位情况自行确定并选择产出指标，合理确定各项指标权重。可量化的指标按照比率*单项指标分值即为该指标得分。如果不能定量评价，则以定性的方式进行自评。</w:t>
            </w:r>
          </w:p>
        </w:tc>
      </w:tr>
      <w:tr>
        <w:tblPrEx>
          <w:tblCellMar>
            <w:top w:w="0" w:type="dxa"/>
            <w:left w:w="0" w:type="dxa"/>
            <w:bottom w:w="0" w:type="dxa"/>
            <w:right w:w="0" w:type="dxa"/>
          </w:tblCellMar>
        </w:tblPrEx>
        <w:trPr>
          <w:trHeight w:val="90" w:hRule="atLeast"/>
        </w:trPr>
        <w:tc>
          <w:tcPr>
            <w:tcW w:w="8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846"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200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结案：预计年结案数量24700件</w:t>
            </w:r>
          </w:p>
        </w:tc>
        <w:tc>
          <w:tcPr>
            <w:tcW w:w="173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lang w:bidi="ar"/>
              </w:rPr>
              <w:t>因疫情原因，实际结案23757件</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3</w:t>
            </w:r>
          </w:p>
        </w:tc>
        <w:tc>
          <w:tcPr>
            <w:tcW w:w="6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2.76</w:t>
            </w:r>
          </w:p>
        </w:tc>
        <w:tc>
          <w:tcPr>
            <w:tcW w:w="27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b/>
                <w:color w:val="000000"/>
                <w:sz w:val="18"/>
                <w:szCs w:val="18"/>
              </w:rPr>
            </w:pPr>
          </w:p>
        </w:tc>
        <w:tc>
          <w:tcPr>
            <w:tcW w:w="35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rPr>
            </w:pPr>
          </w:p>
        </w:tc>
      </w:tr>
      <w:tr>
        <w:trPr>
          <w:trHeight w:val="90" w:hRule="atLeast"/>
        </w:trPr>
        <w:tc>
          <w:tcPr>
            <w:tcW w:w="8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846"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200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预计购置软硬件设施137件</w:t>
            </w:r>
          </w:p>
        </w:tc>
        <w:tc>
          <w:tcPr>
            <w:tcW w:w="173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实际购置137件</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w:t>
            </w:r>
          </w:p>
        </w:tc>
        <w:tc>
          <w:tcPr>
            <w:tcW w:w="6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w:t>
            </w:r>
          </w:p>
        </w:tc>
        <w:tc>
          <w:tcPr>
            <w:tcW w:w="27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b/>
                <w:color w:val="000000"/>
                <w:sz w:val="18"/>
                <w:szCs w:val="18"/>
              </w:rPr>
            </w:pPr>
          </w:p>
        </w:tc>
        <w:tc>
          <w:tcPr>
            <w:tcW w:w="35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rPr>
            </w:pPr>
          </w:p>
        </w:tc>
      </w:tr>
      <w:tr>
        <w:tblPrEx>
          <w:tblCellMar>
            <w:top w:w="0" w:type="dxa"/>
            <w:left w:w="0" w:type="dxa"/>
            <w:bottom w:w="0" w:type="dxa"/>
            <w:right w:w="0" w:type="dxa"/>
          </w:tblCellMar>
        </w:tblPrEx>
        <w:trPr>
          <w:trHeight w:val="90" w:hRule="atLeast"/>
        </w:trPr>
        <w:tc>
          <w:tcPr>
            <w:tcW w:w="8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846"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200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基本行政运行保障</w:t>
            </w:r>
          </w:p>
        </w:tc>
        <w:tc>
          <w:tcPr>
            <w:tcW w:w="173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及时发放176名在编人员及119名聘任制人员工资等福利待遇，缴纳房租、物业费，及时维修维护办公环境及设备设施</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w:t>
            </w:r>
          </w:p>
        </w:tc>
        <w:tc>
          <w:tcPr>
            <w:tcW w:w="6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w:t>
            </w:r>
          </w:p>
        </w:tc>
        <w:tc>
          <w:tcPr>
            <w:tcW w:w="27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b/>
                <w:color w:val="000000"/>
                <w:sz w:val="18"/>
                <w:szCs w:val="18"/>
              </w:rPr>
            </w:pPr>
          </w:p>
        </w:tc>
        <w:tc>
          <w:tcPr>
            <w:tcW w:w="35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rPr>
            </w:pPr>
          </w:p>
        </w:tc>
      </w:tr>
      <w:tr>
        <w:trPr>
          <w:trHeight w:val="90" w:hRule="atLeast"/>
        </w:trPr>
        <w:tc>
          <w:tcPr>
            <w:tcW w:w="8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846"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200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“树规则、促治理、助发展”为目标，主动参与社会治理方面</w:t>
            </w:r>
          </w:p>
        </w:tc>
        <w:tc>
          <w:tcPr>
            <w:tcW w:w="173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1.基本建成全面覆盖北京市重点科技园区的巡回审判庭和法官工作站；</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2.深度参与“三平台”建设，积极发出“京知”声音</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3.对接北京冬奥会知识产权保护工作</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4.加强与国际知识产权组织对话，促进高水平对外开放；</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5.积极发送司法建议，促进社会治理</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3</w:t>
            </w:r>
          </w:p>
        </w:tc>
        <w:tc>
          <w:tcPr>
            <w:tcW w:w="6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2.92</w:t>
            </w:r>
          </w:p>
        </w:tc>
        <w:tc>
          <w:tcPr>
            <w:tcW w:w="27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b/>
                <w:color w:val="000000"/>
                <w:sz w:val="18"/>
                <w:szCs w:val="18"/>
              </w:rPr>
            </w:pPr>
          </w:p>
        </w:tc>
        <w:tc>
          <w:tcPr>
            <w:tcW w:w="35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rPr>
            </w:pPr>
          </w:p>
        </w:tc>
      </w:tr>
      <w:tr>
        <w:tblPrEx>
          <w:tblCellMar>
            <w:top w:w="0" w:type="dxa"/>
            <w:left w:w="0" w:type="dxa"/>
            <w:bottom w:w="0" w:type="dxa"/>
            <w:right w:w="0" w:type="dxa"/>
          </w:tblCellMar>
        </w:tblPrEx>
        <w:trPr>
          <w:trHeight w:val="90" w:hRule="atLeast"/>
        </w:trPr>
        <w:tc>
          <w:tcPr>
            <w:tcW w:w="8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846"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200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人才培养与党风廉政建设</w:t>
            </w:r>
          </w:p>
        </w:tc>
        <w:tc>
          <w:tcPr>
            <w:tcW w:w="173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1.习近平法治思想和知识产权治理理论部分研究成果已经在《中国应用法学》等刊物发表；</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2.院党组带头完成关于医药、种业和人才培树的三项调研报告；审一庭完成的最高法院重点课题研究成果，直接用于指导北京知识产权法院药品专利链接案件的审理。</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3.2人学术论文分别获全国一等奖、二等奖，4人获全国和北京优秀奖，全院干警在法律专业期刊发表学术文章57篇，其中核心刊物6篇，连续多年在全国知识产权实务部门的学术研究成果排名中位居首位</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4.类案研究和规则总结上和先进典型选树上颇有成效</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3</w:t>
            </w:r>
          </w:p>
        </w:tc>
        <w:tc>
          <w:tcPr>
            <w:tcW w:w="6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2.92</w:t>
            </w:r>
          </w:p>
        </w:tc>
        <w:tc>
          <w:tcPr>
            <w:tcW w:w="27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b/>
                <w:color w:val="000000"/>
                <w:sz w:val="18"/>
                <w:szCs w:val="18"/>
              </w:rPr>
            </w:pPr>
          </w:p>
        </w:tc>
        <w:tc>
          <w:tcPr>
            <w:tcW w:w="35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rPr>
            </w:pPr>
          </w:p>
        </w:tc>
      </w:tr>
      <w:tr>
        <w:trPr>
          <w:trHeight w:val="90" w:hRule="atLeast"/>
        </w:trPr>
        <w:tc>
          <w:tcPr>
            <w:tcW w:w="8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84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指标2产出质量（10）</w:t>
            </w:r>
          </w:p>
        </w:tc>
        <w:tc>
          <w:tcPr>
            <w:tcW w:w="200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案件结案率不低于2021年90%的比例，法官人均结案年370件</w:t>
            </w:r>
          </w:p>
        </w:tc>
        <w:tc>
          <w:tcPr>
            <w:tcW w:w="173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实际结案率70.39%，法官人均结案年360件</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7</w:t>
            </w:r>
          </w:p>
        </w:tc>
        <w:tc>
          <w:tcPr>
            <w:tcW w:w="6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6.56</w:t>
            </w:r>
          </w:p>
        </w:tc>
        <w:tc>
          <w:tcPr>
            <w:tcW w:w="27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b/>
                <w:color w:val="000000"/>
                <w:sz w:val="18"/>
                <w:szCs w:val="18"/>
              </w:rPr>
            </w:pPr>
          </w:p>
        </w:tc>
        <w:tc>
          <w:tcPr>
            <w:tcW w:w="35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rPr>
            </w:pPr>
          </w:p>
        </w:tc>
      </w:tr>
      <w:tr>
        <w:tblPrEx>
          <w:tblCellMar>
            <w:top w:w="0" w:type="dxa"/>
            <w:left w:w="0" w:type="dxa"/>
            <w:bottom w:w="0" w:type="dxa"/>
            <w:right w:w="0" w:type="dxa"/>
          </w:tblCellMar>
        </w:tblPrEx>
        <w:trPr>
          <w:trHeight w:val="90" w:hRule="atLeast"/>
        </w:trPr>
        <w:tc>
          <w:tcPr>
            <w:tcW w:w="8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8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200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采购验收合格率100%</w:t>
            </w:r>
          </w:p>
        </w:tc>
        <w:tc>
          <w:tcPr>
            <w:tcW w:w="173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采购验收合格率100%</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3</w:t>
            </w:r>
          </w:p>
        </w:tc>
        <w:tc>
          <w:tcPr>
            <w:tcW w:w="6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3</w:t>
            </w:r>
          </w:p>
        </w:tc>
        <w:tc>
          <w:tcPr>
            <w:tcW w:w="27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b/>
                <w:color w:val="000000"/>
                <w:sz w:val="18"/>
                <w:szCs w:val="18"/>
              </w:rPr>
            </w:pPr>
          </w:p>
        </w:tc>
        <w:tc>
          <w:tcPr>
            <w:tcW w:w="35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rPr>
            </w:pPr>
          </w:p>
        </w:tc>
      </w:tr>
      <w:tr>
        <w:trPr>
          <w:trHeight w:val="90" w:hRule="atLeast"/>
        </w:trPr>
        <w:tc>
          <w:tcPr>
            <w:tcW w:w="8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指标3产出进度（2）</w:t>
            </w:r>
          </w:p>
        </w:tc>
        <w:tc>
          <w:tcPr>
            <w:tcW w:w="200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15个项目预计完成进度达到90%</w:t>
            </w:r>
          </w:p>
        </w:tc>
        <w:tc>
          <w:tcPr>
            <w:tcW w:w="173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已完工项目共15个，占15个项目的数量比例为100%。</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w:t>
            </w:r>
          </w:p>
        </w:tc>
        <w:tc>
          <w:tcPr>
            <w:tcW w:w="6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w:t>
            </w:r>
          </w:p>
        </w:tc>
        <w:tc>
          <w:tcPr>
            <w:tcW w:w="27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b/>
                <w:color w:val="000000"/>
                <w:sz w:val="18"/>
                <w:szCs w:val="18"/>
              </w:rPr>
            </w:pPr>
          </w:p>
        </w:tc>
        <w:tc>
          <w:tcPr>
            <w:tcW w:w="35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rPr>
            </w:pPr>
          </w:p>
        </w:tc>
      </w:tr>
      <w:tr>
        <w:tblPrEx>
          <w:tblCellMar>
            <w:top w:w="0" w:type="dxa"/>
            <w:left w:w="0" w:type="dxa"/>
            <w:bottom w:w="0" w:type="dxa"/>
            <w:right w:w="0" w:type="dxa"/>
          </w:tblCellMar>
        </w:tblPrEx>
        <w:trPr>
          <w:trHeight w:val="90" w:hRule="atLeast"/>
        </w:trPr>
        <w:tc>
          <w:tcPr>
            <w:tcW w:w="8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84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lang w:bidi="ar"/>
              </w:rPr>
              <w:t>指标4产出成本（3）</w:t>
            </w:r>
          </w:p>
        </w:tc>
        <w:tc>
          <w:tcPr>
            <w:tcW w:w="200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公用经费不超过预算数</w:t>
            </w:r>
          </w:p>
        </w:tc>
        <w:tc>
          <w:tcPr>
            <w:tcW w:w="173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未超过</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w:t>
            </w:r>
          </w:p>
        </w:tc>
        <w:tc>
          <w:tcPr>
            <w:tcW w:w="6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w:t>
            </w:r>
          </w:p>
        </w:tc>
        <w:tc>
          <w:tcPr>
            <w:tcW w:w="27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b/>
                <w:color w:val="000000"/>
                <w:sz w:val="18"/>
                <w:szCs w:val="18"/>
              </w:rPr>
            </w:pPr>
          </w:p>
        </w:tc>
        <w:tc>
          <w:tcPr>
            <w:tcW w:w="35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rPr>
            </w:pPr>
          </w:p>
        </w:tc>
      </w:tr>
      <w:tr>
        <w:trPr>
          <w:trHeight w:val="90" w:hRule="atLeast"/>
        </w:trPr>
        <w:tc>
          <w:tcPr>
            <w:tcW w:w="8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8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cs="宋体"/>
                <w:color w:val="000000"/>
                <w:sz w:val="18"/>
                <w:szCs w:val="18"/>
              </w:rPr>
            </w:pPr>
          </w:p>
        </w:tc>
        <w:tc>
          <w:tcPr>
            <w:tcW w:w="200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项目支出不超过预算控制数</w:t>
            </w:r>
          </w:p>
        </w:tc>
        <w:tc>
          <w:tcPr>
            <w:tcW w:w="173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低于预算拨款数</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w:t>
            </w:r>
          </w:p>
        </w:tc>
        <w:tc>
          <w:tcPr>
            <w:tcW w:w="6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w:t>
            </w:r>
          </w:p>
        </w:tc>
        <w:tc>
          <w:tcPr>
            <w:tcW w:w="27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b/>
                <w:color w:val="000000"/>
                <w:sz w:val="18"/>
                <w:szCs w:val="18"/>
              </w:rPr>
            </w:pPr>
          </w:p>
        </w:tc>
        <w:tc>
          <w:tcPr>
            <w:tcW w:w="35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rPr>
            </w:pPr>
          </w:p>
        </w:tc>
      </w:tr>
      <w:tr>
        <w:tblPrEx>
          <w:tblCellMar>
            <w:top w:w="0" w:type="dxa"/>
            <w:left w:w="0" w:type="dxa"/>
            <w:bottom w:w="0" w:type="dxa"/>
            <w:right w:w="0" w:type="dxa"/>
          </w:tblCellMar>
        </w:tblPrEx>
        <w:trPr>
          <w:trHeight w:val="90" w:hRule="atLeast"/>
        </w:trPr>
        <w:tc>
          <w:tcPr>
            <w:tcW w:w="8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101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效果（30）</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指标1经济效益（5）</w:t>
            </w:r>
          </w:p>
        </w:tc>
        <w:tc>
          <w:tcPr>
            <w:tcW w:w="200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服务实体经济、保护知识产权、规范市场秩序起到司法引领作用，同时增加财政收入</w:t>
            </w:r>
          </w:p>
        </w:tc>
        <w:tc>
          <w:tcPr>
            <w:tcW w:w="173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1.2022年立案33750件，结案23757件,增加财政收入3791万元</w:t>
            </w:r>
          </w:p>
        </w:tc>
        <w:tc>
          <w:tcPr>
            <w:tcW w:w="6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5</w:t>
            </w:r>
          </w:p>
        </w:tc>
        <w:tc>
          <w:tcPr>
            <w:tcW w:w="6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5</w:t>
            </w:r>
          </w:p>
        </w:tc>
        <w:tc>
          <w:tcPr>
            <w:tcW w:w="272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b/>
                <w:color w:val="000000"/>
                <w:sz w:val="18"/>
                <w:szCs w:val="18"/>
              </w:rPr>
            </w:pPr>
            <w:r>
              <w:rPr>
                <w:rFonts w:hint="eastAsia" w:ascii="宋体" w:hAnsi="宋体" w:cs="宋体"/>
                <w:b/>
                <w:color w:val="000000"/>
                <w:kern w:val="0"/>
                <w:sz w:val="18"/>
                <w:szCs w:val="18"/>
                <w:lang w:bidi="ar"/>
              </w:rPr>
              <w:t>经济效益</w:t>
            </w:r>
            <w:r>
              <w:rPr>
                <w:rFonts w:hint="eastAsia" w:ascii="宋体" w:hAnsi="宋体" w:cs="宋体"/>
                <w:color w:val="000000"/>
                <w:kern w:val="0"/>
                <w:sz w:val="18"/>
                <w:szCs w:val="18"/>
                <w:lang w:bidi="ar"/>
              </w:rPr>
              <w:t>：部门（单位）履行职责对经济发展所带来的直接或间接影响。</w:t>
            </w:r>
            <w:r>
              <w:rPr>
                <w:rStyle w:val="15"/>
                <w:rFonts w:hint="default"/>
                <w:sz w:val="18"/>
                <w:szCs w:val="18"/>
                <w:lang w:bidi="ar"/>
              </w:rPr>
              <w:t>社会效益</w:t>
            </w:r>
            <w:r>
              <w:rPr>
                <w:rFonts w:hint="eastAsia" w:ascii="宋体" w:hAnsi="宋体" w:cs="宋体"/>
                <w:color w:val="000000"/>
                <w:kern w:val="0"/>
                <w:sz w:val="18"/>
                <w:szCs w:val="18"/>
                <w:lang w:bidi="ar"/>
              </w:rPr>
              <w:t>：部门（单位）履行职责对社会发展所带来的直接或间接影响。</w:t>
            </w:r>
            <w:r>
              <w:rPr>
                <w:rStyle w:val="15"/>
                <w:rFonts w:hint="default"/>
                <w:sz w:val="18"/>
                <w:szCs w:val="18"/>
                <w:lang w:bidi="ar"/>
              </w:rPr>
              <w:t>环境效益</w:t>
            </w:r>
            <w:r>
              <w:rPr>
                <w:rFonts w:hint="eastAsia" w:ascii="宋体" w:hAnsi="宋体" w:cs="宋体"/>
                <w:color w:val="000000"/>
                <w:kern w:val="0"/>
                <w:sz w:val="18"/>
                <w:szCs w:val="18"/>
                <w:lang w:bidi="ar"/>
              </w:rPr>
              <w:t>：部门（单位）履行职责对环境所带来的直接或间接影响。</w:t>
            </w:r>
            <w:r>
              <w:rPr>
                <w:rStyle w:val="15"/>
                <w:rFonts w:hint="default"/>
                <w:sz w:val="18"/>
                <w:szCs w:val="18"/>
                <w:lang w:bidi="ar"/>
              </w:rPr>
              <w:t>可持续性影响：</w:t>
            </w:r>
            <w:r>
              <w:rPr>
                <w:rFonts w:hint="eastAsia" w:ascii="宋体" w:hAnsi="宋体" w:cs="宋体"/>
                <w:color w:val="000000"/>
                <w:kern w:val="0"/>
                <w:sz w:val="18"/>
                <w:szCs w:val="18"/>
                <w:lang w:bidi="ar"/>
              </w:rPr>
              <w:t>部门绩效目标实现的长效机制建设情况，部门工作效率提升措施的创新。</w:t>
            </w:r>
            <w:r>
              <w:rPr>
                <w:rStyle w:val="15"/>
                <w:rFonts w:hint="default"/>
                <w:sz w:val="18"/>
                <w:szCs w:val="18"/>
                <w:lang w:bidi="ar"/>
              </w:rPr>
              <w:t>服务对象满意度</w:t>
            </w:r>
            <w:r>
              <w:rPr>
                <w:rFonts w:hint="eastAsia" w:ascii="宋体" w:hAnsi="宋体" w:cs="宋体"/>
                <w:color w:val="000000"/>
                <w:kern w:val="0"/>
                <w:sz w:val="18"/>
                <w:szCs w:val="18"/>
                <w:lang w:bidi="ar"/>
              </w:rPr>
              <w:t>：部门（单位）的服务对象对部门履职效果的满意程度。</w:t>
            </w:r>
          </w:p>
        </w:tc>
        <w:tc>
          <w:tcPr>
            <w:tcW w:w="355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部门根据实际情况选择指标进行填写，并将其细化为相应的个性化指标。对于效益类指标可从受益对象瞄准度、受益广度和受益深度上进行设计分析。</w:t>
            </w:r>
          </w:p>
        </w:tc>
      </w:tr>
      <w:tr>
        <w:trPr>
          <w:trHeight w:val="90" w:hRule="atLeast"/>
        </w:trPr>
        <w:tc>
          <w:tcPr>
            <w:tcW w:w="8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846" w:type="dxa"/>
            <w:tcBorders>
              <w:top w:val="single" w:color="000000" w:sz="4" w:space="0"/>
              <w:left w:val="single" w:color="000000" w:sz="4" w:space="0"/>
              <w:bottom w:val="nil"/>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指标2社会效益（12）</w:t>
            </w:r>
          </w:p>
        </w:tc>
        <w:tc>
          <w:tcPr>
            <w:tcW w:w="200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案件审判对社会治理的影响</w:t>
            </w:r>
          </w:p>
        </w:tc>
        <w:tc>
          <w:tcPr>
            <w:tcW w:w="173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1.通过对一批高价值“卡脖子”关键核心技术案件审判，有力地促进了高水平科技企业自立自强；</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2.审结的“中外制药诉海鹤药业”药品专利链接案，作为全国首例药品专利链接案入选“新时代推动法治进程2022年度十大案例提名案件”；</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3.通过打击商标恶意抢注和侵权行为，极大地维护了商标注册和使用秩序；</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4.《数字经济市场竞争五大问题应予关注》信息专报，获时任市委批示，其中“数据赋权‘三步走”的建议获中央领导批示；</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5.对智力成果表达的著作权司法保护，有力的保障了全国文化中心的建设。</w:t>
            </w:r>
          </w:p>
        </w:tc>
        <w:tc>
          <w:tcPr>
            <w:tcW w:w="6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12</w:t>
            </w:r>
          </w:p>
        </w:tc>
        <w:tc>
          <w:tcPr>
            <w:tcW w:w="6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10.4</w:t>
            </w:r>
          </w:p>
        </w:tc>
        <w:tc>
          <w:tcPr>
            <w:tcW w:w="27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b/>
                <w:color w:val="000000"/>
                <w:sz w:val="18"/>
                <w:szCs w:val="18"/>
              </w:rPr>
            </w:pPr>
          </w:p>
        </w:tc>
        <w:tc>
          <w:tcPr>
            <w:tcW w:w="35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rPr>
            </w:pPr>
          </w:p>
        </w:tc>
      </w:tr>
      <w:tr>
        <w:tblPrEx>
          <w:tblCellMar>
            <w:top w:w="0" w:type="dxa"/>
            <w:left w:w="0" w:type="dxa"/>
            <w:bottom w:w="0" w:type="dxa"/>
            <w:right w:w="0" w:type="dxa"/>
          </w:tblCellMar>
        </w:tblPrEx>
        <w:trPr>
          <w:trHeight w:val="90" w:hRule="atLeast"/>
        </w:trPr>
        <w:tc>
          <w:tcPr>
            <w:tcW w:w="8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lang w:bidi="ar"/>
              </w:rPr>
              <w:t>指标3可持续影响指标：</w:t>
            </w:r>
          </w:p>
        </w:tc>
        <w:tc>
          <w:tcPr>
            <w:tcW w:w="200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人才培养、对今后知识产权保护及判案标准的影响力</w:t>
            </w:r>
          </w:p>
        </w:tc>
        <w:tc>
          <w:tcPr>
            <w:tcW w:w="173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影响力正在形成</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3</w:t>
            </w:r>
          </w:p>
        </w:tc>
        <w:tc>
          <w:tcPr>
            <w:tcW w:w="6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3</w:t>
            </w:r>
          </w:p>
        </w:tc>
        <w:tc>
          <w:tcPr>
            <w:tcW w:w="27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b/>
                <w:color w:val="000000"/>
                <w:sz w:val="18"/>
                <w:szCs w:val="18"/>
              </w:rPr>
            </w:pPr>
          </w:p>
        </w:tc>
        <w:tc>
          <w:tcPr>
            <w:tcW w:w="35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rPr>
            </w:pPr>
          </w:p>
        </w:tc>
      </w:tr>
      <w:tr>
        <w:trPr>
          <w:trHeight w:val="312" w:hRule="atLeast"/>
        </w:trPr>
        <w:tc>
          <w:tcPr>
            <w:tcW w:w="8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84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lang w:bidi="ar"/>
              </w:rPr>
              <w:t>指标4：满意度</w:t>
            </w:r>
          </w:p>
        </w:tc>
        <w:tc>
          <w:tcPr>
            <w:tcW w:w="200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群众满意度：坚持司法为民、公正司法，努力让人民群众在每一个司法案件中感受到公平正义。</w:t>
            </w:r>
          </w:p>
        </w:tc>
        <w:tc>
          <w:tcPr>
            <w:tcW w:w="1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比较满意</w:t>
            </w:r>
          </w:p>
        </w:tc>
        <w:tc>
          <w:tcPr>
            <w:tcW w:w="62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5</w:t>
            </w:r>
          </w:p>
        </w:tc>
        <w:tc>
          <w:tcPr>
            <w:tcW w:w="62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3.6</w:t>
            </w:r>
          </w:p>
        </w:tc>
        <w:tc>
          <w:tcPr>
            <w:tcW w:w="272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rPr>
            </w:pPr>
          </w:p>
        </w:tc>
        <w:tc>
          <w:tcPr>
            <w:tcW w:w="35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rPr>
            </w:pPr>
          </w:p>
        </w:tc>
      </w:tr>
      <w:tr>
        <w:tblPrEx>
          <w:tblCellMar>
            <w:top w:w="0" w:type="dxa"/>
            <w:left w:w="0" w:type="dxa"/>
            <w:bottom w:w="0" w:type="dxa"/>
            <w:right w:w="0" w:type="dxa"/>
          </w:tblCellMar>
        </w:tblPrEx>
        <w:trPr>
          <w:trHeight w:val="312" w:hRule="atLeast"/>
        </w:trPr>
        <w:tc>
          <w:tcPr>
            <w:tcW w:w="8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8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cs="宋体"/>
                <w:color w:val="000000"/>
                <w:sz w:val="18"/>
                <w:szCs w:val="18"/>
              </w:rPr>
            </w:pPr>
          </w:p>
        </w:tc>
        <w:tc>
          <w:tcPr>
            <w:tcW w:w="20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rPr>
            </w:pPr>
          </w:p>
        </w:tc>
        <w:tc>
          <w:tcPr>
            <w:tcW w:w="1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6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27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rPr>
            </w:pPr>
          </w:p>
        </w:tc>
        <w:tc>
          <w:tcPr>
            <w:tcW w:w="35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rPr>
            </w:pPr>
          </w:p>
        </w:tc>
      </w:tr>
      <w:tr>
        <w:trPr>
          <w:trHeight w:val="90" w:hRule="atLeast"/>
        </w:trPr>
        <w:tc>
          <w:tcPr>
            <w:tcW w:w="8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8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cs="宋体"/>
                <w:color w:val="000000"/>
                <w:sz w:val="18"/>
                <w:szCs w:val="18"/>
              </w:rPr>
            </w:pPr>
          </w:p>
        </w:tc>
        <w:tc>
          <w:tcPr>
            <w:tcW w:w="200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单位内部人员满意度：设备设施运行稳定，信息化系统建设和运维满足需要</w:t>
            </w:r>
          </w:p>
        </w:tc>
        <w:tc>
          <w:tcPr>
            <w:tcW w:w="173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单位内部人员满意度：未提供</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5</w:t>
            </w:r>
          </w:p>
        </w:tc>
        <w:tc>
          <w:tcPr>
            <w:tcW w:w="6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3.4</w:t>
            </w:r>
          </w:p>
        </w:tc>
        <w:tc>
          <w:tcPr>
            <w:tcW w:w="27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rPr>
            </w:pPr>
          </w:p>
        </w:tc>
        <w:tc>
          <w:tcPr>
            <w:tcW w:w="35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rPr>
            </w:pPr>
          </w:p>
        </w:tc>
      </w:tr>
      <w:tr>
        <w:tblPrEx>
          <w:tblCellMar>
            <w:top w:w="0" w:type="dxa"/>
            <w:left w:w="0" w:type="dxa"/>
            <w:bottom w:w="0" w:type="dxa"/>
            <w:right w:w="0" w:type="dxa"/>
          </w:tblCellMar>
        </w:tblPrEx>
        <w:trPr>
          <w:trHeight w:val="90" w:hRule="atLeast"/>
        </w:trPr>
        <w:tc>
          <w:tcPr>
            <w:tcW w:w="13980" w:type="dxa"/>
            <w:gridSpan w:val="9"/>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三、预算管理情况（20分）               </w:t>
            </w:r>
          </w:p>
        </w:tc>
      </w:tr>
      <w:tr>
        <w:trPr>
          <w:trHeight w:val="90" w:hRule="atLeast"/>
        </w:trPr>
        <w:tc>
          <w:tcPr>
            <w:tcW w:w="85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一级指标</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二级指标</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三级指标</w:t>
            </w:r>
          </w:p>
        </w:tc>
        <w:tc>
          <w:tcPr>
            <w:tcW w:w="200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指标值</w:t>
            </w:r>
          </w:p>
        </w:tc>
        <w:tc>
          <w:tcPr>
            <w:tcW w:w="173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完成值</w:t>
            </w:r>
          </w:p>
        </w:tc>
        <w:tc>
          <w:tcPr>
            <w:tcW w:w="6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6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c>
          <w:tcPr>
            <w:tcW w:w="27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指标解释</w:t>
            </w:r>
          </w:p>
        </w:tc>
        <w:tc>
          <w:tcPr>
            <w:tcW w:w="35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评分标准</w:t>
            </w:r>
          </w:p>
        </w:tc>
      </w:tr>
      <w:tr>
        <w:tblPrEx>
          <w:tblCellMar>
            <w:top w:w="0" w:type="dxa"/>
            <w:left w:w="0" w:type="dxa"/>
            <w:bottom w:w="0" w:type="dxa"/>
            <w:right w:w="0" w:type="dxa"/>
          </w:tblCellMar>
        </w:tblPrEx>
        <w:trPr>
          <w:trHeight w:val="90" w:hRule="atLeast"/>
        </w:trPr>
        <w:tc>
          <w:tcPr>
            <w:tcW w:w="85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预算管理情况（20）</w:t>
            </w:r>
          </w:p>
        </w:tc>
        <w:tc>
          <w:tcPr>
            <w:tcW w:w="101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财务管理（4）</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财务管理制度健全性</w:t>
            </w:r>
          </w:p>
        </w:tc>
        <w:tc>
          <w:tcPr>
            <w:tcW w:w="200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①预算资金管理办法、绩效跟踪管理办法、资产管理办法等各项制度健全；②部门内部财务管理制度完整、合规；③会计核算制度完整、合规。</w:t>
            </w:r>
          </w:p>
        </w:tc>
        <w:tc>
          <w:tcPr>
            <w:tcW w:w="173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①缺少绩效跟踪管理办法②符合③符合</w:t>
            </w:r>
          </w:p>
        </w:tc>
        <w:tc>
          <w:tcPr>
            <w:tcW w:w="6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w:t>
            </w:r>
          </w:p>
        </w:tc>
        <w:tc>
          <w:tcPr>
            <w:tcW w:w="6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0.5</w:t>
            </w:r>
          </w:p>
        </w:tc>
        <w:tc>
          <w:tcPr>
            <w:tcW w:w="27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b/>
                <w:color w:val="000000"/>
                <w:sz w:val="18"/>
                <w:szCs w:val="18"/>
              </w:rPr>
            </w:pPr>
            <w:r>
              <w:rPr>
                <w:rFonts w:hint="eastAsia" w:ascii="宋体" w:hAnsi="宋体" w:cs="宋体"/>
                <w:b/>
                <w:color w:val="000000"/>
                <w:kern w:val="0"/>
                <w:sz w:val="18"/>
                <w:szCs w:val="18"/>
                <w:lang w:bidi="ar"/>
              </w:rPr>
              <w:t>财务管理制度健全性:</w:t>
            </w:r>
            <w:r>
              <w:rPr>
                <w:rFonts w:hint="eastAsia" w:ascii="宋体" w:hAnsi="宋体" w:cs="宋体"/>
                <w:color w:val="000000"/>
                <w:kern w:val="0"/>
                <w:sz w:val="18"/>
                <w:szCs w:val="18"/>
                <w:lang w:bidi="ar"/>
              </w:rPr>
              <w:t>部门（单位）为加强财务管理、规范财务行为而制定的管理制度。</w:t>
            </w:r>
          </w:p>
        </w:tc>
        <w:tc>
          <w:tcPr>
            <w:tcW w:w="35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①预算资金管理办法、绩效跟踪管理办法、资产管理办法等各项制度是否健全；②部门内部财务管理制度是否完整、合规；③会计核算制度是否完整、合规。每有一项不合格扣0.5分，扣完为止。</w:t>
            </w:r>
          </w:p>
        </w:tc>
      </w:tr>
      <w:tr>
        <w:trPr>
          <w:trHeight w:val="90" w:hRule="atLeast"/>
        </w:trPr>
        <w:tc>
          <w:tcPr>
            <w:tcW w:w="8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资金使用合规性和安全性</w:t>
            </w:r>
          </w:p>
        </w:tc>
        <w:tc>
          <w:tcPr>
            <w:tcW w:w="200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①符合国家财经法规和财务管理制度规定以及有关专项资金管理办法的规定；②资金的拨付有完整的审批程序和手续；③项目的重大开支经过评估论证；④符合部门预算批复的用途；⑤不存在截留、挤占、挪用情况；⑥资金使用符合政府采购的程序和流程；⑦资金使用是否公务卡结算相关制度和规定。</w:t>
            </w:r>
          </w:p>
        </w:tc>
        <w:tc>
          <w:tcPr>
            <w:tcW w:w="173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②⑥不够规范</w:t>
            </w:r>
          </w:p>
        </w:tc>
        <w:tc>
          <w:tcPr>
            <w:tcW w:w="6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w:t>
            </w:r>
          </w:p>
        </w:tc>
        <w:tc>
          <w:tcPr>
            <w:tcW w:w="6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1.5</w:t>
            </w:r>
          </w:p>
        </w:tc>
        <w:tc>
          <w:tcPr>
            <w:tcW w:w="27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b/>
                <w:color w:val="000000"/>
                <w:sz w:val="18"/>
                <w:szCs w:val="18"/>
              </w:rPr>
            </w:pPr>
            <w:r>
              <w:rPr>
                <w:rFonts w:hint="eastAsia" w:ascii="宋体" w:hAnsi="宋体" w:cs="宋体"/>
                <w:b/>
                <w:color w:val="000000"/>
                <w:kern w:val="0"/>
                <w:sz w:val="18"/>
                <w:szCs w:val="18"/>
                <w:lang w:bidi="ar"/>
              </w:rPr>
              <w:t>资金使用合规性和安全性:</w:t>
            </w:r>
            <w:r>
              <w:rPr>
                <w:rFonts w:hint="eastAsia" w:ascii="宋体" w:hAnsi="宋体" w:cs="宋体"/>
                <w:color w:val="000000"/>
                <w:kern w:val="0"/>
                <w:sz w:val="18"/>
                <w:szCs w:val="18"/>
                <w:lang w:bidi="ar"/>
              </w:rPr>
              <w:t>部门（单位）使用预算资金是否符合相关的预算财务管理制度的规定，是否符合相关规定的开支范围，用以反映考核部门（单位）预算资金的规范运行和安全运行情况。</w:t>
            </w:r>
          </w:p>
        </w:tc>
        <w:tc>
          <w:tcPr>
            <w:tcW w:w="35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0.5分，扣完为止。</w:t>
            </w:r>
          </w:p>
        </w:tc>
      </w:tr>
      <w:tr>
        <w:tblPrEx>
          <w:tblCellMar>
            <w:top w:w="0" w:type="dxa"/>
            <w:left w:w="0" w:type="dxa"/>
            <w:bottom w:w="0" w:type="dxa"/>
            <w:right w:w="0" w:type="dxa"/>
          </w:tblCellMar>
        </w:tblPrEx>
        <w:trPr>
          <w:trHeight w:val="90" w:hRule="atLeast"/>
        </w:trPr>
        <w:tc>
          <w:tcPr>
            <w:tcW w:w="8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会计基础信息完善性</w:t>
            </w:r>
          </w:p>
        </w:tc>
        <w:tc>
          <w:tcPr>
            <w:tcW w:w="200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①基础数据信息和会计信息资料真实；②基础数据信息和会计信息资料完整；③基础数据信息和会计信息资料准确。</w:t>
            </w:r>
          </w:p>
        </w:tc>
        <w:tc>
          <w:tcPr>
            <w:tcW w:w="173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6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w:t>
            </w:r>
          </w:p>
        </w:tc>
        <w:tc>
          <w:tcPr>
            <w:tcW w:w="6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w:t>
            </w:r>
          </w:p>
        </w:tc>
        <w:tc>
          <w:tcPr>
            <w:tcW w:w="27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b/>
                <w:color w:val="000000"/>
                <w:sz w:val="18"/>
                <w:szCs w:val="18"/>
              </w:rPr>
            </w:pPr>
            <w:r>
              <w:rPr>
                <w:rFonts w:hint="eastAsia" w:ascii="宋体" w:hAnsi="宋体" w:cs="宋体"/>
                <w:b/>
                <w:color w:val="000000"/>
                <w:kern w:val="0"/>
                <w:sz w:val="18"/>
                <w:szCs w:val="18"/>
                <w:lang w:bidi="ar"/>
              </w:rPr>
              <w:t>会计基础信息完善性:</w:t>
            </w:r>
            <w:r>
              <w:rPr>
                <w:rFonts w:hint="eastAsia" w:ascii="宋体" w:hAnsi="宋体" w:cs="宋体"/>
                <w:color w:val="000000"/>
                <w:kern w:val="0"/>
                <w:sz w:val="18"/>
                <w:szCs w:val="18"/>
                <w:lang w:bidi="ar"/>
              </w:rPr>
              <w:t>部门（单位）会计基础信息情况。</w:t>
            </w:r>
          </w:p>
        </w:tc>
        <w:tc>
          <w:tcPr>
            <w:tcW w:w="35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①基础数据信息和会计信息资料是否真实；②基础数据信息和会计信息资料是否完整；③基础数据信息和会计信息资料是否准确。每有一项不合格扣0.5分，扣完为止。</w:t>
            </w:r>
          </w:p>
        </w:tc>
      </w:tr>
      <w:tr>
        <w:trPr>
          <w:trHeight w:val="90" w:hRule="atLeast"/>
        </w:trPr>
        <w:tc>
          <w:tcPr>
            <w:tcW w:w="8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资产管理（4）</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资产管理规范性</w:t>
            </w:r>
          </w:p>
        </w:tc>
        <w:tc>
          <w:tcPr>
            <w:tcW w:w="200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①对外投资行为经审批，不存在投资亏损；②无因管理不当发生严重资产损失和丢失情况；③不存在超标准配置资产；④资产使用规范，不存在未经批准擅自出租、出借资产行为；⑤资产处置规范，不存在不按要求进行报批或资产不公开处置行为；⑥符合其它资产管理制度办法执行情况。</w:t>
            </w:r>
          </w:p>
        </w:tc>
        <w:tc>
          <w:tcPr>
            <w:tcW w:w="173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4</w:t>
            </w:r>
          </w:p>
        </w:tc>
        <w:tc>
          <w:tcPr>
            <w:tcW w:w="6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4</w:t>
            </w:r>
          </w:p>
        </w:tc>
        <w:tc>
          <w:tcPr>
            <w:tcW w:w="27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b/>
                <w:color w:val="000000"/>
                <w:sz w:val="18"/>
                <w:szCs w:val="18"/>
              </w:rPr>
            </w:pPr>
            <w:r>
              <w:rPr>
                <w:rFonts w:hint="eastAsia" w:ascii="宋体" w:hAnsi="宋体" w:cs="宋体"/>
                <w:b/>
                <w:color w:val="000000"/>
                <w:kern w:val="0"/>
                <w:sz w:val="18"/>
                <w:szCs w:val="18"/>
                <w:lang w:bidi="ar"/>
              </w:rPr>
              <w:t>资产管理规范性:</w:t>
            </w:r>
            <w:r>
              <w:rPr>
                <w:rFonts w:hint="eastAsia" w:ascii="宋体" w:hAnsi="宋体" w:cs="宋体"/>
                <w:color w:val="000000"/>
                <w:kern w:val="0"/>
                <w:sz w:val="18"/>
                <w:szCs w:val="18"/>
                <w:lang w:bidi="ar"/>
              </w:rPr>
              <w:t>部门（单位）的资产是否保持安全完整，资产配置是否合理，资产使用和资产处理是否规范，用以反映和考核部门（单位）资产管理的整体水平。</w:t>
            </w:r>
          </w:p>
        </w:tc>
        <w:tc>
          <w:tcPr>
            <w:tcW w:w="35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每有一项不合格扣0.8分，扣完为止。</w:t>
            </w:r>
          </w:p>
        </w:tc>
      </w:tr>
      <w:tr>
        <w:tblPrEx>
          <w:tblCellMar>
            <w:top w:w="0" w:type="dxa"/>
            <w:left w:w="0" w:type="dxa"/>
            <w:bottom w:w="0" w:type="dxa"/>
            <w:right w:w="0" w:type="dxa"/>
          </w:tblCellMar>
        </w:tblPrEx>
        <w:trPr>
          <w:trHeight w:val="90" w:hRule="atLeast"/>
        </w:trPr>
        <w:tc>
          <w:tcPr>
            <w:tcW w:w="8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绩效管理（4）</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绩效管理情况</w:t>
            </w:r>
          </w:p>
        </w:tc>
        <w:tc>
          <w:tcPr>
            <w:tcW w:w="200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①部门（单位）及时对绩效信息进行汇总分析整理；②部门（单位）对绩效目标偏离情况及时进行矫正。</w:t>
            </w:r>
          </w:p>
        </w:tc>
        <w:tc>
          <w:tcPr>
            <w:tcW w:w="173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①不够及时</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4</w:t>
            </w:r>
          </w:p>
        </w:tc>
        <w:tc>
          <w:tcPr>
            <w:tcW w:w="6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w:t>
            </w:r>
          </w:p>
        </w:tc>
        <w:tc>
          <w:tcPr>
            <w:tcW w:w="27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b/>
                <w:color w:val="000000"/>
                <w:sz w:val="18"/>
                <w:szCs w:val="18"/>
              </w:rPr>
            </w:pPr>
            <w:r>
              <w:rPr>
                <w:rFonts w:hint="eastAsia" w:ascii="宋体" w:hAnsi="宋体" w:cs="宋体"/>
                <w:b/>
                <w:color w:val="000000"/>
                <w:kern w:val="0"/>
                <w:sz w:val="18"/>
                <w:szCs w:val="18"/>
                <w:lang w:bidi="ar"/>
              </w:rPr>
              <w:t>绩效管理情况:</w:t>
            </w:r>
            <w:r>
              <w:rPr>
                <w:rFonts w:hint="eastAsia" w:ascii="宋体" w:hAnsi="宋体" w:cs="宋体"/>
                <w:color w:val="000000"/>
                <w:kern w:val="0"/>
                <w:sz w:val="18"/>
                <w:szCs w:val="18"/>
                <w:lang w:bidi="ar"/>
              </w:rPr>
              <w:t>考核部门（单位）在绩效管理信息的汇总和应用情况。</w:t>
            </w:r>
          </w:p>
        </w:tc>
        <w:tc>
          <w:tcPr>
            <w:tcW w:w="35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①部门（单位）是否及时对绩效信息进行汇总分析整理；②部门（单位）是否对绩效目标偏离情况及时进行矫正。每有一项不合格扣2分。</w:t>
            </w:r>
          </w:p>
        </w:tc>
      </w:tr>
      <w:tr>
        <w:trPr>
          <w:trHeight w:val="90" w:hRule="atLeast"/>
        </w:trPr>
        <w:tc>
          <w:tcPr>
            <w:tcW w:w="8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指标　</w:t>
            </w:r>
          </w:p>
        </w:tc>
        <w:tc>
          <w:tcPr>
            <w:tcW w:w="2850"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2021年</w:t>
            </w:r>
          </w:p>
        </w:tc>
        <w:tc>
          <w:tcPr>
            <w:tcW w:w="173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2022年</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6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c>
          <w:tcPr>
            <w:tcW w:w="27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指标解释</w:t>
            </w:r>
          </w:p>
        </w:tc>
        <w:tc>
          <w:tcPr>
            <w:tcW w:w="35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评分标准</w:t>
            </w:r>
          </w:p>
        </w:tc>
      </w:tr>
      <w:tr>
        <w:tblPrEx>
          <w:tblCellMar>
            <w:top w:w="0" w:type="dxa"/>
            <w:left w:w="0" w:type="dxa"/>
            <w:bottom w:w="0" w:type="dxa"/>
            <w:right w:w="0" w:type="dxa"/>
          </w:tblCellMar>
        </w:tblPrEx>
        <w:trPr>
          <w:trHeight w:val="90" w:hRule="atLeast"/>
        </w:trPr>
        <w:tc>
          <w:tcPr>
            <w:tcW w:w="8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101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结转结余率（4）</w:t>
            </w:r>
          </w:p>
        </w:tc>
        <w:tc>
          <w:tcPr>
            <w:tcW w:w="28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1.72%</w:t>
            </w:r>
          </w:p>
        </w:tc>
        <w:tc>
          <w:tcPr>
            <w:tcW w:w="1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1.10%</w:t>
            </w:r>
          </w:p>
        </w:tc>
        <w:tc>
          <w:tcPr>
            <w:tcW w:w="62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4</w:t>
            </w:r>
          </w:p>
        </w:tc>
        <w:tc>
          <w:tcPr>
            <w:tcW w:w="6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4</w:t>
            </w:r>
          </w:p>
        </w:tc>
        <w:tc>
          <w:tcPr>
            <w:tcW w:w="27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结转结余率=结转结余总额/支出预算数×100%。</w:t>
            </w:r>
          </w:p>
        </w:tc>
        <w:tc>
          <w:tcPr>
            <w:tcW w:w="355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部门结转结余率低于上年的不扣分；高于上年结余率，每高出1个百分点扣0.4分，扣完为止。（说明：预算调整和结转结余指标，如非预算部门主观因素导致扣分的，在评分结果征求意见环节，经与相关部门预算主管处室共同研究，可作为例外情况酌情考虑。）</w:t>
            </w:r>
          </w:p>
        </w:tc>
      </w:tr>
      <w:tr>
        <w:trPr>
          <w:trHeight w:val="90" w:hRule="atLeast"/>
        </w:trPr>
        <w:tc>
          <w:tcPr>
            <w:tcW w:w="8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28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1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6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w:t>
            </w:r>
          </w:p>
        </w:tc>
        <w:tc>
          <w:tcPr>
            <w:tcW w:w="27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结转结余总额：部门（单位）本年度的结转资金与结余资金之和。</w:t>
            </w:r>
          </w:p>
        </w:tc>
        <w:tc>
          <w:tcPr>
            <w:tcW w:w="35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rPr>
            </w:pPr>
          </w:p>
        </w:tc>
      </w:tr>
      <w:tr>
        <w:tblPrEx>
          <w:tblCellMar>
            <w:top w:w="0" w:type="dxa"/>
            <w:left w:w="0" w:type="dxa"/>
            <w:bottom w:w="0" w:type="dxa"/>
            <w:right w:w="0" w:type="dxa"/>
          </w:tblCellMar>
        </w:tblPrEx>
        <w:trPr>
          <w:trHeight w:val="90" w:hRule="atLeast"/>
        </w:trPr>
        <w:tc>
          <w:tcPr>
            <w:tcW w:w="8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部门预决算差异率（4）</w:t>
            </w:r>
          </w:p>
        </w:tc>
        <w:tc>
          <w:tcPr>
            <w:tcW w:w="2850"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市级平均差异率（28.3%）</w:t>
            </w:r>
          </w:p>
        </w:tc>
        <w:tc>
          <w:tcPr>
            <w:tcW w:w="173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6.25%</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4</w:t>
            </w:r>
          </w:p>
        </w:tc>
        <w:tc>
          <w:tcPr>
            <w:tcW w:w="6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4</w:t>
            </w:r>
          </w:p>
        </w:tc>
        <w:tc>
          <w:tcPr>
            <w:tcW w:w="27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通过年度部门决算与年初部门预算对比，对部门的年度支出情况进行考核，衡量部门预算的约束力。</w:t>
            </w:r>
          </w:p>
        </w:tc>
        <w:tc>
          <w:tcPr>
            <w:tcW w:w="35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部门预决算差异率高于市级平均差异率（28.3%）的，每高出10%（含），扣0.4分，扣完为止。</w:t>
            </w:r>
          </w:p>
        </w:tc>
      </w:tr>
      <w:tr>
        <w:trPr>
          <w:trHeight w:val="90" w:hRule="atLeast"/>
        </w:trPr>
        <w:tc>
          <w:tcPr>
            <w:tcW w:w="6456"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合计</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w:t>
            </w:r>
          </w:p>
        </w:tc>
        <w:tc>
          <w:tcPr>
            <w:tcW w:w="6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88.53 </w:t>
            </w:r>
          </w:p>
        </w:tc>
        <w:tc>
          <w:tcPr>
            <w:tcW w:w="627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color w:val="000000"/>
                <w:sz w:val="18"/>
                <w:szCs w:val="18"/>
              </w:rPr>
            </w:pPr>
          </w:p>
        </w:tc>
      </w:tr>
    </w:tbl>
    <w:p>
      <w:pPr>
        <w:spacing w:line="20" w:lineRule="exact"/>
        <w:rPr>
          <w:rFonts w:ascii="方正小标宋简体" w:eastAsia="方正小标宋简体"/>
          <w:sz w:val="36"/>
          <w:szCs w:val="36"/>
        </w:rPr>
      </w:pPr>
    </w:p>
    <w:sectPr>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00002FF" w:usb1="4000ACFF" w:usb2="00000001" w:usb3="00000000" w:csb0="2000019F" w:csb1="00000000"/>
  </w:font>
  <w:font w:name="Arial Narrow">
    <w:panose1 w:val="020B0606020202030204"/>
    <w:charset w:val="00"/>
    <w:family w:val="swiss"/>
    <w:pitch w:val="default"/>
    <w:sig w:usb0="00000287" w:usb1="00000800" w:usb2="00000000" w:usb3="00000000" w:csb0="2000009F" w:csb1="DFD7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C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jc w:val="center"/>
      <w:rPr>
        <w:sz w:val="21"/>
        <w:szCs w:val="21"/>
      </w:rPr>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WAAAAZHJzL1BLAQIUABQAAAAIAIdO4kCzSVju&#10;0AAAAAUBAAAPAAAAAAAAAAEAIAAAADgAAABkcnMvZG93bnJldi54bWxQSwECFAAUAAAACACHTuJA&#10;OOeXwRMCAAAZBAAADgAAAAAAAAABACAAAAA1AQAAZHJzL2Uyb0RvYy54bWxQSwUGAAAAAAYABgBZ&#10;AQAAug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gF26zFQIAABkEAAAOAAAAAAAAAAEAIAAAADUBAABkcnMvZTJvRG9jLnhtbFBLBQYAAAAABgAG&#10;AFkBAAC8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17</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48EAC5"/>
    <w:multiLevelType w:val="singleLevel"/>
    <w:tmpl w:val="E748EAC5"/>
    <w:lvl w:ilvl="0" w:tentative="0">
      <w:start w:val="2"/>
      <w:numFmt w:val="chineseCounting"/>
      <w:suff w:val="nothing"/>
      <w:lvlText w:val="（%1）"/>
      <w:lvlJc w:val="left"/>
      <w:rPr>
        <w:rFonts w:hint="eastAsia"/>
      </w:rPr>
    </w:lvl>
  </w:abstractNum>
  <w:abstractNum w:abstractNumId="1">
    <w:nsid w:val="F9F7435E"/>
    <w:multiLevelType w:val="singleLevel"/>
    <w:tmpl w:val="F9F7435E"/>
    <w:lvl w:ilvl="0" w:tentative="0">
      <w:start w:val="4"/>
      <w:numFmt w:val="decimal"/>
      <w:lvlText w:val="%1."/>
      <w:lvlJc w:val="left"/>
      <w:pPr>
        <w:tabs>
          <w:tab w:val="left" w:pos="312"/>
        </w:tabs>
      </w:pPr>
    </w:lvl>
  </w:abstractNum>
  <w:abstractNum w:abstractNumId="2">
    <w:nsid w:val="19A556F9"/>
    <w:multiLevelType w:val="singleLevel"/>
    <w:tmpl w:val="19A556F9"/>
    <w:lvl w:ilvl="0" w:tentative="0">
      <w:start w:val="2"/>
      <w:numFmt w:val="chineseCounting"/>
      <w:suff w:val="nothing"/>
      <w:lvlText w:val="（%1）"/>
      <w:lvlJc w:val="left"/>
      <w:rPr>
        <w:rFonts w:hint="eastAsia"/>
      </w:rPr>
    </w:lvl>
  </w:abstractNum>
  <w:abstractNum w:abstractNumId="3">
    <w:nsid w:val="68ADE7CC"/>
    <w:multiLevelType w:val="singleLevel"/>
    <w:tmpl w:val="68ADE7CC"/>
    <w:lvl w:ilvl="0" w:tentative="0">
      <w:start w:val="1"/>
      <w:numFmt w:val="decimal"/>
      <w:suff w:val="nothing"/>
      <w:lvlText w:val="（%1）"/>
      <w:lvlJc w:val="left"/>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true"/>
  <w:bordersDoNotSurroundFooter w:val="true"/>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F77F09F4"/>
    <w:rsid w:val="00050F36"/>
    <w:rsid w:val="004802AB"/>
    <w:rsid w:val="00932DFD"/>
    <w:rsid w:val="009A3E14"/>
    <w:rsid w:val="00B40D4F"/>
    <w:rsid w:val="00D10D6B"/>
    <w:rsid w:val="00F33F3A"/>
    <w:rsid w:val="0471138C"/>
    <w:rsid w:val="04B741BB"/>
    <w:rsid w:val="04B82B77"/>
    <w:rsid w:val="05202F54"/>
    <w:rsid w:val="06245ADA"/>
    <w:rsid w:val="065549ED"/>
    <w:rsid w:val="06836E47"/>
    <w:rsid w:val="06B742A6"/>
    <w:rsid w:val="06BC1E96"/>
    <w:rsid w:val="073651EA"/>
    <w:rsid w:val="07595EF4"/>
    <w:rsid w:val="08CE339E"/>
    <w:rsid w:val="09B3220D"/>
    <w:rsid w:val="0ADF37C4"/>
    <w:rsid w:val="0B226637"/>
    <w:rsid w:val="0D1C06D0"/>
    <w:rsid w:val="0D6865FE"/>
    <w:rsid w:val="0EE72F1A"/>
    <w:rsid w:val="0F1B070D"/>
    <w:rsid w:val="0F304CB4"/>
    <w:rsid w:val="14873CE1"/>
    <w:rsid w:val="15D745B3"/>
    <w:rsid w:val="16A64A42"/>
    <w:rsid w:val="1709785F"/>
    <w:rsid w:val="175F53D8"/>
    <w:rsid w:val="17B07C20"/>
    <w:rsid w:val="19826168"/>
    <w:rsid w:val="19D05787"/>
    <w:rsid w:val="19EC0BF3"/>
    <w:rsid w:val="1A026F87"/>
    <w:rsid w:val="1A065499"/>
    <w:rsid w:val="1A4674D6"/>
    <w:rsid w:val="1C356201"/>
    <w:rsid w:val="1CF83677"/>
    <w:rsid w:val="1D0C6DC3"/>
    <w:rsid w:val="1FEF50E4"/>
    <w:rsid w:val="20AA159D"/>
    <w:rsid w:val="21900E9A"/>
    <w:rsid w:val="23D60A02"/>
    <w:rsid w:val="23E17A84"/>
    <w:rsid w:val="24475308"/>
    <w:rsid w:val="24DA4B18"/>
    <w:rsid w:val="260D4623"/>
    <w:rsid w:val="273E0FC1"/>
    <w:rsid w:val="29D4674A"/>
    <w:rsid w:val="2A1074BE"/>
    <w:rsid w:val="2A4D232B"/>
    <w:rsid w:val="2B571F91"/>
    <w:rsid w:val="2B6F482B"/>
    <w:rsid w:val="2BC705E3"/>
    <w:rsid w:val="2BD54B1B"/>
    <w:rsid w:val="2BE701EE"/>
    <w:rsid w:val="2C323200"/>
    <w:rsid w:val="2C68772B"/>
    <w:rsid w:val="2DB913E7"/>
    <w:rsid w:val="2DFE251B"/>
    <w:rsid w:val="2E75508F"/>
    <w:rsid w:val="30531F2B"/>
    <w:rsid w:val="31717D0A"/>
    <w:rsid w:val="32604F09"/>
    <w:rsid w:val="32903380"/>
    <w:rsid w:val="34E76582"/>
    <w:rsid w:val="36BE555E"/>
    <w:rsid w:val="37173543"/>
    <w:rsid w:val="37237D3C"/>
    <w:rsid w:val="374941C2"/>
    <w:rsid w:val="38EB6E55"/>
    <w:rsid w:val="394466EE"/>
    <w:rsid w:val="39675F37"/>
    <w:rsid w:val="3B0A55D6"/>
    <w:rsid w:val="3B740544"/>
    <w:rsid w:val="3BC3242D"/>
    <w:rsid w:val="3C322A89"/>
    <w:rsid w:val="3C950C60"/>
    <w:rsid w:val="3ED7191A"/>
    <w:rsid w:val="3FDBA076"/>
    <w:rsid w:val="3FDFB3F0"/>
    <w:rsid w:val="3FDFC9A6"/>
    <w:rsid w:val="3FE34E12"/>
    <w:rsid w:val="3FF76880"/>
    <w:rsid w:val="40223517"/>
    <w:rsid w:val="40B16617"/>
    <w:rsid w:val="42DD2DBF"/>
    <w:rsid w:val="42F36ACE"/>
    <w:rsid w:val="43200704"/>
    <w:rsid w:val="433667DF"/>
    <w:rsid w:val="437D66E8"/>
    <w:rsid w:val="43C2034B"/>
    <w:rsid w:val="44664BEE"/>
    <w:rsid w:val="44AD4387"/>
    <w:rsid w:val="44E96CB6"/>
    <w:rsid w:val="455375F6"/>
    <w:rsid w:val="45E83C85"/>
    <w:rsid w:val="466C201A"/>
    <w:rsid w:val="46B008D8"/>
    <w:rsid w:val="478C3800"/>
    <w:rsid w:val="482835DC"/>
    <w:rsid w:val="48544A51"/>
    <w:rsid w:val="48A90755"/>
    <w:rsid w:val="49765E35"/>
    <w:rsid w:val="4B364DBE"/>
    <w:rsid w:val="4D2D3612"/>
    <w:rsid w:val="4DF4703C"/>
    <w:rsid w:val="4F986B6F"/>
    <w:rsid w:val="52CA1AF2"/>
    <w:rsid w:val="5354681B"/>
    <w:rsid w:val="54B9418F"/>
    <w:rsid w:val="54FF6300"/>
    <w:rsid w:val="55073AEB"/>
    <w:rsid w:val="55B47BC1"/>
    <w:rsid w:val="55BF2787"/>
    <w:rsid w:val="56A70CBC"/>
    <w:rsid w:val="56E41911"/>
    <w:rsid w:val="59D62098"/>
    <w:rsid w:val="59F6081F"/>
    <w:rsid w:val="5AD51DE3"/>
    <w:rsid w:val="5BFD4AC2"/>
    <w:rsid w:val="5C3A3B5B"/>
    <w:rsid w:val="5EAE4109"/>
    <w:rsid w:val="5F8F6748"/>
    <w:rsid w:val="60F12EDC"/>
    <w:rsid w:val="614C6471"/>
    <w:rsid w:val="62480EB6"/>
    <w:rsid w:val="62F61284"/>
    <w:rsid w:val="66323B8A"/>
    <w:rsid w:val="66640541"/>
    <w:rsid w:val="67759716"/>
    <w:rsid w:val="67964058"/>
    <w:rsid w:val="67DA1728"/>
    <w:rsid w:val="69F9682B"/>
    <w:rsid w:val="6A4E20A1"/>
    <w:rsid w:val="6A7A127A"/>
    <w:rsid w:val="6AB35503"/>
    <w:rsid w:val="6AE33F5E"/>
    <w:rsid w:val="6EB9210E"/>
    <w:rsid w:val="6F7ED27B"/>
    <w:rsid w:val="70B71A11"/>
    <w:rsid w:val="736A6882"/>
    <w:rsid w:val="75782952"/>
    <w:rsid w:val="759E5E52"/>
    <w:rsid w:val="75B17A7C"/>
    <w:rsid w:val="76045ACF"/>
    <w:rsid w:val="77296C2E"/>
    <w:rsid w:val="780750F6"/>
    <w:rsid w:val="786A4798"/>
    <w:rsid w:val="789058D2"/>
    <w:rsid w:val="79093C66"/>
    <w:rsid w:val="794D4378"/>
    <w:rsid w:val="79853C41"/>
    <w:rsid w:val="7AB7FF50"/>
    <w:rsid w:val="7AEAF641"/>
    <w:rsid w:val="7B385D32"/>
    <w:rsid w:val="7B855F5D"/>
    <w:rsid w:val="7BAD2729"/>
    <w:rsid w:val="7BFEB0DB"/>
    <w:rsid w:val="7C633C23"/>
    <w:rsid w:val="7C6913A1"/>
    <w:rsid w:val="7CF93811"/>
    <w:rsid w:val="7DC83ECF"/>
    <w:rsid w:val="7E176CE8"/>
    <w:rsid w:val="7E7E0B32"/>
    <w:rsid w:val="7F9E2B32"/>
    <w:rsid w:val="7FFF4E81"/>
    <w:rsid w:val="7FFFD0D3"/>
    <w:rsid w:val="8716660E"/>
    <w:rsid w:val="A3AA735E"/>
    <w:rsid w:val="A75D4892"/>
    <w:rsid w:val="AFFFCE02"/>
    <w:rsid w:val="CEFD3F3D"/>
    <w:rsid w:val="D6B22E60"/>
    <w:rsid w:val="EA3F77F2"/>
    <w:rsid w:val="EEFE5989"/>
    <w:rsid w:val="EFCF3EAE"/>
    <w:rsid w:val="F4FDEB06"/>
    <w:rsid w:val="F5B764A2"/>
    <w:rsid w:val="F77F09F4"/>
    <w:rsid w:val="F7BFA7DA"/>
    <w:rsid w:val="FBFF6E65"/>
    <w:rsid w:val="FE72052E"/>
    <w:rsid w:val="FEEF6AA0"/>
    <w:rsid w:val="FFB792B8"/>
    <w:rsid w:val="FFD7BFFC"/>
    <w:rsid w:val="FFFA6B0F"/>
    <w:rsid w:val="FFFFB6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spacing w:line="600" w:lineRule="exact"/>
      <w:ind w:firstLine="640"/>
      <w:outlineLvl w:val="0"/>
    </w:pPr>
    <w:rPr>
      <w:rFonts w:ascii="黑体" w:hAnsi="黑体" w:eastAsia="黑体" w:cs="宋体"/>
      <w:color w:val="000000"/>
      <w:kern w:val="0"/>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qFormat/>
    <w:uiPriority w:val="99"/>
    <w:pPr>
      <w:tabs>
        <w:tab w:val="center" w:pos="4153"/>
        <w:tab w:val="right" w:pos="8306"/>
      </w:tabs>
      <w:snapToGrid w:val="0"/>
      <w:jc w:val="left"/>
    </w:pPr>
    <w:rPr>
      <w:sz w:val="18"/>
      <w:szCs w:val="20"/>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footnote text"/>
    <w:basedOn w:val="1"/>
    <w:unhideWhenUsed/>
    <w:qFormat/>
    <w:uiPriority w:val="99"/>
    <w:pPr>
      <w:snapToGrid w:val="0"/>
      <w:jc w:val="left"/>
    </w:pPr>
    <w:rPr>
      <w:sz w:val="18"/>
      <w:szCs w:val="18"/>
    </w:rPr>
  </w:style>
  <w:style w:type="character" w:styleId="9">
    <w:name w:val="footnote reference"/>
    <w:unhideWhenUsed/>
    <w:qFormat/>
    <w:uiPriority w:val="99"/>
    <w:rPr>
      <w:vertAlign w:val="superscript"/>
    </w:rPr>
  </w:style>
  <w:style w:type="paragraph" w:customStyle="1" w:styleId="10">
    <w:name w:val="列出段落1"/>
    <w:basedOn w:val="1"/>
    <w:qFormat/>
    <w:uiPriority w:val="34"/>
    <w:pPr>
      <w:ind w:firstLine="420" w:firstLineChars="200"/>
    </w:pPr>
    <w:rPr>
      <w:rFonts w:ascii="Calibri" w:hAnsi="Calibri" w:cs="黑体"/>
      <w:szCs w:val="22"/>
    </w:rPr>
  </w:style>
  <w:style w:type="character" w:customStyle="1" w:styleId="11">
    <w:name w:val="font31"/>
    <w:basedOn w:val="8"/>
    <w:qFormat/>
    <w:uiPriority w:val="0"/>
    <w:rPr>
      <w:rFonts w:hint="eastAsia" w:ascii="宋体" w:hAnsi="宋体" w:eastAsia="宋体" w:cs="宋体"/>
      <w:b/>
      <w:color w:val="000000"/>
      <w:sz w:val="18"/>
      <w:szCs w:val="18"/>
      <w:u w:val="none"/>
    </w:rPr>
  </w:style>
  <w:style w:type="character" w:customStyle="1" w:styleId="12">
    <w:name w:val="font51"/>
    <w:basedOn w:val="8"/>
    <w:qFormat/>
    <w:uiPriority w:val="0"/>
    <w:rPr>
      <w:rFonts w:hint="default" w:ascii="Arial Narrow" w:hAnsi="Arial Narrow" w:eastAsia="Arial Narrow" w:cs="Arial Narrow"/>
      <w:b/>
      <w:color w:val="000000"/>
      <w:sz w:val="18"/>
      <w:szCs w:val="18"/>
      <w:u w:val="none"/>
    </w:rPr>
  </w:style>
  <w:style w:type="character" w:customStyle="1" w:styleId="13">
    <w:name w:val="font01"/>
    <w:basedOn w:val="8"/>
    <w:qFormat/>
    <w:uiPriority w:val="0"/>
    <w:rPr>
      <w:rFonts w:hint="eastAsia" w:ascii="宋体" w:hAnsi="宋体" w:eastAsia="宋体" w:cs="宋体"/>
      <w:color w:val="000000"/>
      <w:sz w:val="18"/>
      <w:szCs w:val="18"/>
      <w:u w:val="none"/>
    </w:rPr>
  </w:style>
  <w:style w:type="character" w:customStyle="1" w:styleId="14">
    <w:name w:val="font41"/>
    <w:basedOn w:val="8"/>
    <w:qFormat/>
    <w:uiPriority w:val="0"/>
    <w:rPr>
      <w:rFonts w:hint="default" w:ascii="Arial Narrow" w:hAnsi="Arial Narrow" w:eastAsia="Arial Narrow" w:cs="Arial Narrow"/>
      <w:color w:val="000000"/>
      <w:sz w:val="18"/>
      <w:szCs w:val="18"/>
      <w:u w:val="none"/>
    </w:rPr>
  </w:style>
  <w:style w:type="character" w:customStyle="1" w:styleId="15">
    <w:name w:val="font21"/>
    <w:basedOn w:val="8"/>
    <w:qFormat/>
    <w:uiPriority w:val="0"/>
    <w:rPr>
      <w:rFonts w:hint="eastAsia" w:ascii="宋体" w:hAnsi="宋体" w:eastAsia="宋体" w:cs="宋体"/>
      <w:b/>
      <w:color w:val="000000"/>
      <w:sz w:val="12"/>
      <w:szCs w:val="1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9828</Words>
  <Characters>1262</Characters>
  <Lines>10</Lines>
  <Paragraphs>22</Paragraphs>
  <TotalTime>1</TotalTime>
  <ScaleCrop>false</ScaleCrop>
  <LinksUpToDate>false</LinksUpToDate>
  <CharactersWithSpaces>11068</CharactersWithSpaces>
  <Application>WPS Office_11.8.2.10534_F1E327BC-269C-435d-A152-05C5408002CA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2023-06-09T17:37:00Z</dcterms:created>
  <dc:creator>user</dc:creator>
  <cp:lastModifiedBy>user</cp:lastModifiedBy>
  <cp:lastPrinted>2023-03-06T17:31:00Z</cp:lastPrinted>
  <dcterms:modified xsi:type="dcterms:W3CDTF">2023-06-09T10:28:13Z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ies>
</file>