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p>
    <w:p>
      <w:pPr>
        <w:tabs>
          <w:tab w:val="center" w:pos="4422"/>
          <w:tab w:val="right" w:pos="8844"/>
        </w:tabs>
        <w:spacing w:line="360" w:lineRule="exact"/>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北京互联网法院</w:t>
      </w:r>
    </w:p>
    <w:p>
      <w:pPr>
        <w:tabs>
          <w:tab w:val="center" w:pos="4422"/>
          <w:tab w:val="right" w:pos="8844"/>
        </w:tabs>
        <w:spacing w:line="360" w:lineRule="exact"/>
        <w:jc w:val="center"/>
        <w:rPr>
          <w:rFonts w:ascii="Arial Narrow" w:hAnsi="Arial Narrow" w:eastAsia="仿宋_GB2312" w:cs="Arial"/>
          <w:sz w:val="32"/>
          <w:szCs w:val="32"/>
        </w:rPr>
      </w:pPr>
    </w:p>
    <w:p>
      <w:pPr>
        <w:jc w:val="center"/>
        <w:rPr>
          <w:rFonts w:ascii="Arial Narrow" w:hAnsi="Arial Narrow" w:eastAsia="方正小标宋简体" w:cs="Arial"/>
          <w:bCs/>
          <w:color w:val="000000"/>
          <w:kern w:val="0"/>
          <w:sz w:val="36"/>
          <w:szCs w:val="36"/>
        </w:rPr>
      </w:pPr>
      <w:r>
        <w:rPr>
          <w:rFonts w:ascii="Arial Narrow" w:hAnsi="Arial Narrow" w:eastAsia="方正小标宋简体" w:cs="Arial"/>
          <w:bCs/>
          <w:color w:val="000000"/>
          <w:kern w:val="0"/>
          <w:sz w:val="36"/>
          <w:szCs w:val="36"/>
        </w:rPr>
        <w:t>2022年部门整体绩效评价报告</w:t>
      </w:r>
    </w:p>
    <w:p>
      <w:pPr>
        <w:pStyle w:val="19"/>
        <w:rPr>
          <w:rFonts w:ascii="Arial Narrow" w:hAnsi="Arial Narrow" w:cs="Arial"/>
        </w:rPr>
      </w:pPr>
    </w:p>
    <w:p>
      <w:pPr>
        <w:pStyle w:val="19"/>
        <w:rPr>
          <w:rFonts w:ascii="Arial Narrow" w:hAnsi="Arial Narrow" w:cs="Arial"/>
          <w:lang w:val="zh-CN"/>
        </w:rPr>
      </w:pPr>
    </w:p>
    <w:p>
      <w:pPr>
        <w:spacing w:line="360" w:lineRule="auto"/>
        <w:rPr>
          <w:rFonts w:ascii="Arial Narrow" w:hAnsi="Arial Narrow" w:cs="Arial"/>
          <w:b/>
          <w:bCs/>
          <w:sz w:val="32"/>
          <w:szCs w:val="32"/>
        </w:rPr>
      </w:pPr>
    </w:p>
    <w:p>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主管部门  </w:t>
      </w:r>
      <w:r>
        <w:rPr>
          <w:rFonts w:ascii="Arial Narrow" w:hAnsi="Arial Narrow" w:cs="Arial"/>
          <w:sz w:val="32"/>
          <w:szCs w:val="32"/>
          <w:u w:val="single"/>
        </w:rPr>
        <w:t xml:space="preserve">     北京互联网法院       </w:t>
      </w:r>
    </w:p>
    <w:p>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项目单位  </w:t>
      </w:r>
      <w:r>
        <w:rPr>
          <w:rFonts w:ascii="Arial Narrow" w:hAnsi="Arial Narrow" w:cs="Arial"/>
          <w:sz w:val="32"/>
          <w:szCs w:val="32"/>
          <w:u w:val="single"/>
        </w:rPr>
        <w:t xml:space="preserve">     北京互联网法院       </w:t>
      </w:r>
    </w:p>
    <w:p>
      <w:pPr>
        <w:snapToGrid w:val="0"/>
        <w:spacing w:line="420" w:lineRule="auto"/>
        <w:ind w:right="120" w:firstLine="614" w:firstLineChars="192"/>
        <w:rPr>
          <w:rFonts w:ascii="Arial Narrow" w:hAnsi="Arial Narrow" w:cs="Arial"/>
          <w:sz w:val="32"/>
          <w:szCs w:val="32"/>
          <w:u w:val="single"/>
        </w:rPr>
      </w:pPr>
      <w:r>
        <w:rPr>
          <w:rFonts w:ascii="Arial Narrow" w:hAnsi="Arial Narrow" w:cs="Arial"/>
          <w:sz w:val="32"/>
          <w:szCs w:val="32"/>
        </w:rPr>
        <w:t xml:space="preserve">项目名称  </w:t>
      </w:r>
      <w:r>
        <w:rPr>
          <w:rFonts w:ascii="Arial Narrow" w:hAnsi="Arial Narrow" w:cs="Arial"/>
          <w:sz w:val="32"/>
          <w:szCs w:val="32"/>
          <w:u w:val="single"/>
        </w:rPr>
        <w:t xml:space="preserve">     部门整体绩效评价    </w:t>
      </w:r>
    </w:p>
    <w:p>
      <w:pPr>
        <w:snapToGrid w:val="0"/>
        <w:spacing w:line="420" w:lineRule="auto"/>
        <w:ind w:right="120" w:firstLine="614" w:firstLineChars="192"/>
        <w:rPr>
          <w:rFonts w:ascii="Arial Narrow" w:hAnsi="Arial Narrow" w:cs="Arial"/>
          <w:sz w:val="32"/>
          <w:szCs w:val="32"/>
        </w:rPr>
      </w:pPr>
      <w:r>
        <w:rPr>
          <w:rFonts w:ascii="Arial Narrow" w:hAnsi="Arial Narrow" w:cs="Arial"/>
          <w:sz w:val="32"/>
          <w:szCs w:val="32"/>
        </w:rPr>
        <w:t xml:space="preserve">评价单位  </w:t>
      </w:r>
      <w:r>
        <w:rPr>
          <w:rFonts w:ascii="Arial Narrow" w:hAnsi="Arial Narrow" w:cs="Arial"/>
          <w:sz w:val="32"/>
          <w:szCs w:val="32"/>
          <w:u w:val="single"/>
        </w:rPr>
        <w:t xml:space="preserve">     北京互联网法院       </w:t>
      </w:r>
    </w:p>
    <w:p>
      <w:pPr>
        <w:pStyle w:val="19"/>
        <w:jc w:val="center"/>
        <w:rPr>
          <w:rFonts w:ascii="Arial Narrow" w:hAnsi="Arial Narrow" w:cs="Arial"/>
          <w:color w:val="auto"/>
          <w:sz w:val="48"/>
          <w:szCs w:val="48"/>
          <w:lang w:val="zh-CN"/>
        </w:rPr>
      </w:pPr>
      <w:r>
        <w:rPr>
          <w:rFonts w:ascii="Arial Narrow" w:hAnsi="Arial Narrow" w:cs="Arial"/>
          <w:color w:val="auto"/>
          <w:lang w:val="zh-CN"/>
        </w:rPr>
        <w:t>2023年5月16日</w:t>
      </w:r>
      <w:r>
        <w:rPr>
          <w:rFonts w:ascii="Arial Narrow" w:hAnsi="Arial Narrow" w:cs="Arial"/>
          <w:lang w:val="zh-CN"/>
        </w:rPr>
        <w:br w:type="page"/>
      </w:r>
      <w:r>
        <w:rPr>
          <w:rFonts w:ascii="Arial Narrow" w:hAnsi="Arial Narrow" w:cs="Arial"/>
          <w:color w:val="auto"/>
          <w:sz w:val="48"/>
          <w:szCs w:val="48"/>
          <w:lang w:val="zh-CN"/>
        </w:rPr>
        <w:t>目     录</w:t>
      </w:r>
    </w:p>
    <w:p>
      <w:pPr>
        <w:rPr>
          <w:rFonts w:ascii="Arial Narrow" w:hAnsi="Arial Narrow" w:cs="Arial"/>
          <w:lang w:val="zh-CN"/>
        </w:rPr>
      </w:pPr>
    </w:p>
    <w:p>
      <w:pPr>
        <w:pStyle w:val="8"/>
        <w:rPr>
          <w:rFonts w:asciiTheme="minorHAnsi" w:hAnsiTheme="minorHAnsi" w:eastAsiaTheme="minorEastAsia" w:cstheme="minorBidi"/>
          <w:szCs w:val="22"/>
        </w:rPr>
      </w:pPr>
      <w:r>
        <w:rPr>
          <w:rFonts w:ascii="宋体" w:hAnsi="宋体" w:cs="Arial"/>
          <w:sz w:val="24"/>
        </w:rPr>
        <w:fldChar w:fldCharType="begin"/>
      </w:r>
      <w:r>
        <w:rPr>
          <w:rFonts w:ascii="宋体" w:hAnsi="宋体" w:cs="Arial"/>
          <w:sz w:val="24"/>
        </w:rPr>
        <w:instrText xml:space="preserve"> TOC \o "1-3" \h \z \u </w:instrText>
      </w:r>
      <w:r>
        <w:rPr>
          <w:rFonts w:ascii="宋体" w:hAnsi="宋体" w:cs="Arial"/>
          <w:sz w:val="24"/>
        </w:rPr>
        <w:fldChar w:fldCharType="separate"/>
      </w:r>
      <w:r>
        <w:fldChar w:fldCharType="begin"/>
      </w:r>
      <w:r>
        <w:instrText xml:space="preserve"> HYPERLINK \l "_Toc135162113" </w:instrText>
      </w:r>
      <w:r>
        <w:fldChar w:fldCharType="separate"/>
      </w:r>
      <w:r>
        <w:rPr>
          <w:rStyle w:val="14"/>
          <w:rFonts w:ascii="楷体" w:hAnsi="楷体" w:eastAsia="楷体" w:cs="Arial"/>
        </w:rPr>
        <w:t>一、部门概况</w:t>
      </w:r>
      <w:r>
        <w:tab/>
      </w:r>
      <w:r>
        <w:fldChar w:fldCharType="begin"/>
      </w:r>
      <w:r>
        <w:instrText xml:space="preserve"> PAGEREF _Toc135162113 \h </w:instrText>
      </w:r>
      <w:r>
        <w:fldChar w:fldCharType="separate"/>
      </w:r>
      <w:r>
        <w:t>3</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"_Toc135162114" </w:instrText>
      </w:r>
      <w:r>
        <w:fldChar w:fldCharType="separate"/>
      </w:r>
      <w:r>
        <w:rPr>
          <w:rStyle w:val="14"/>
          <w:rFonts w:ascii="楷体" w:hAnsi="楷体" w:eastAsia="楷体" w:cs="Arial"/>
          <w:b/>
          <w:bCs/>
          <w:kern w:val="0"/>
        </w:rPr>
        <w:t>（一）机构设置及职责工作任务情况</w:t>
      </w:r>
      <w:r>
        <w:tab/>
      </w:r>
      <w:r>
        <w:fldChar w:fldCharType="begin"/>
      </w:r>
      <w:r>
        <w:instrText xml:space="preserve"> PAGEREF _Toc135162114 \h </w:instrText>
      </w:r>
      <w:r>
        <w:fldChar w:fldCharType="separate"/>
      </w:r>
      <w:r>
        <w:t>3</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"_Toc135162115" </w:instrText>
      </w:r>
      <w:r>
        <w:fldChar w:fldCharType="separate"/>
      </w:r>
      <w:r>
        <w:rPr>
          <w:rStyle w:val="14"/>
          <w:rFonts w:ascii="楷体" w:hAnsi="楷体" w:eastAsia="楷体" w:cs="Arial"/>
          <w:b/>
          <w:bCs/>
          <w:kern w:val="0"/>
        </w:rPr>
        <w:t>（二）部门整体绩效目标设立情况</w:t>
      </w:r>
      <w:r>
        <w:tab/>
      </w:r>
      <w:r>
        <w:fldChar w:fldCharType="begin"/>
      </w:r>
      <w:r>
        <w:instrText xml:space="preserve"> PAGEREF _Toc135162115 \h </w:instrText>
      </w:r>
      <w:r>
        <w:fldChar w:fldCharType="separate"/>
      </w:r>
      <w:r>
        <w:t>4</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"_Toc135162116" </w:instrText>
      </w:r>
      <w:r>
        <w:fldChar w:fldCharType="separate"/>
      </w:r>
      <w:r>
        <w:rPr>
          <w:rStyle w:val="14"/>
          <w:rFonts w:ascii="楷体" w:hAnsi="楷体" w:eastAsia="楷体" w:cs="Arial"/>
          <w:kern w:val="0"/>
        </w:rPr>
        <w:t>1、部门整体绩效目标及设立依据</w:t>
      </w:r>
      <w:r>
        <w:tab/>
      </w:r>
      <w:r>
        <w:fldChar w:fldCharType="begin"/>
      </w:r>
      <w:r>
        <w:instrText xml:space="preserve"> PAGEREF _Toc135162116 \h </w:instrText>
      </w:r>
      <w:r>
        <w:fldChar w:fldCharType="separate"/>
      </w:r>
      <w:r>
        <w:t>4</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"_Toc135162117" </w:instrText>
      </w:r>
      <w:r>
        <w:fldChar w:fldCharType="separate"/>
      </w:r>
      <w:r>
        <w:rPr>
          <w:rStyle w:val="14"/>
          <w:rFonts w:ascii="楷体" w:hAnsi="楷体" w:eastAsia="楷体" w:cs="Arial"/>
          <w:kern w:val="0"/>
        </w:rPr>
        <w:t>2、目标与职责任务匹配情况、目标合理性</w:t>
      </w:r>
      <w:r>
        <w:tab/>
      </w:r>
      <w:r>
        <w:fldChar w:fldCharType="begin"/>
      </w:r>
      <w:r>
        <w:instrText xml:space="preserve"> PAGEREF _Toc135162117 \h </w:instrText>
      </w:r>
      <w:r>
        <w:fldChar w:fldCharType="separate"/>
      </w:r>
      <w:r>
        <w:t>4</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"_Toc135162118" </w:instrText>
      </w:r>
      <w:r>
        <w:fldChar w:fldCharType="separate"/>
      </w:r>
      <w:r>
        <w:rPr>
          <w:rStyle w:val="14"/>
          <w:rFonts w:ascii="楷体" w:hAnsi="楷体" w:eastAsia="楷体" w:cs="Arial"/>
        </w:rPr>
        <w:t>二、当年预算执行情况</w:t>
      </w:r>
      <w:r>
        <w:tab/>
      </w:r>
      <w:r>
        <w:fldChar w:fldCharType="begin"/>
      </w:r>
      <w:r>
        <w:instrText xml:space="preserve"> PAGEREF _Toc135162118 \h </w:instrText>
      </w:r>
      <w:r>
        <w:fldChar w:fldCharType="separate"/>
      </w:r>
      <w:r>
        <w:t>5</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"_Toc135162119" </w:instrText>
      </w:r>
      <w:r>
        <w:fldChar w:fldCharType="separate"/>
      </w:r>
      <w:r>
        <w:rPr>
          <w:rStyle w:val="14"/>
          <w:rFonts w:ascii="楷体" w:hAnsi="楷体" w:eastAsia="楷体" w:cs="Arial"/>
        </w:rPr>
        <w:t>三、整体绩效目标实现情况</w:t>
      </w:r>
      <w:r>
        <w:tab/>
      </w:r>
      <w:r>
        <w:fldChar w:fldCharType="begin"/>
      </w:r>
      <w:r>
        <w:instrText xml:space="preserve"> PAGEREF _Toc135162119 \h </w:instrText>
      </w:r>
      <w:r>
        <w:fldChar w:fldCharType="separate"/>
      </w:r>
      <w:r>
        <w:t>6</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"_Toc135162120" </w:instrText>
      </w:r>
      <w:r>
        <w:fldChar w:fldCharType="separate"/>
      </w:r>
      <w:r>
        <w:rPr>
          <w:rStyle w:val="14"/>
          <w:rFonts w:ascii="楷体" w:hAnsi="楷体" w:eastAsia="楷体" w:cs="Arial"/>
          <w:b/>
          <w:bCs/>
          <w:kern w:val="0"/>
        </w:rPr>
        <w:t>（一）产出完成情况分析</w:t>
      </w:r>
      <w:r>
        <w:tab/>
      </w:r>
      <w:r>
        <w:fldChar w:fldCharType="begin"/>
      </w:r>
      <w:r>
        <w:instrText xml:space="preserve"> PAGEREF _Toc135162120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"_Toc135162121" </w:instrText>
      </w:r>
      <w:r>
        <w:fldChar w:fldCharType="separate"/>
      </w:r>
      <w:r>
        <w:rPr>
          <w:rStyle w:val="14"/>
          <w:rFonts w:ascii="楷体" w:hAnsi="楷体" w:eastAsia="楷体" w:cs="Arial"/>
          <w:kern w:val="0"/>
        </w:rPr>
        <w:t>1.产出数量</w:t>
      </w:r>
      <w:r>
        <w:tab/>
      </w:r>
      <w:r>
        <w:fldChar w:fldCharType="begin"/>
      </w:r>
      <w:r>
        <w:instrText xml:space="preserve"> PAGEREF _Toc135162121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"_Toc135162122" </w:instrText>
      </w:r>
      <w:r>
        <w:fldChar w:fldCharType="separate"/>
      </w:r>
      <w:r>
        <w:rPr>
          <w:rStyle w:val="14"/>
          <w:rFonts w:ascii="楷体" w:hAnsi="楷体" w:eastAsia="楷体" w:cs="Arial"/>
          <w:kern w:val="0"/>
        </w:rPr>
        <w:t>2.产出质量</w:t>
      </w:r>
      <w:r>
        <w:tab/>
      </w:r>
      <w:r>
        <w:fldChar w:fldCharType="begin"/>
      </w:r>
      <w:r>
        <w:instrText xml:space="preserve"> PAGEREF _Toc135162122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"_Toc135162123" </w:instrText>
      </w:r>
      <w:r>
        <w:fldChar w:fldCharType="separate"/>
      </w:r>
      <w:r>
        <w:rPr>
          <w:rStyle w:val="14"/>
          <w:rFonts w:ascii="楷体" w:hAnsi="楷体" w:eastAsia="楷体" w:cs="Arial"/>
          <w:kern w:val="0"/>
        </w:rPr>
        <w:t>3.产出进度</w:t>
      </w:r>
      <w:r>
        <w:tab/>
      </w:r>
      <w:r>
        <w:fldChar w:fldCharType="begin"/>
      </w:r>
      <w:r>
        <w:instrText xml:space="preserve"> PAGEREF _Toc135162123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"_Toc135162124" </w:instrText>
      </w:r>
      <w:r>
        <w:fldChar w:fldCharType="separate"/>
      </w:r>
      <w:r>
        <w:rPr>
          <w:rStyle w:val="14"/>
          <w:rFonts w:ascii="楷体" w:hAnsi="楷体" w:eastAsia="楷体" w:cs="Arial"/>
          <w:kern w:val="0"/>
        </w:rPr>
        <w:t>4.产出成本</w:t>
      </w:r>
      <w:r>
        <w:tab/>
      </w:r>
      <w:r>
        <w:fldChar w:fldCharType="begin"/>
      </w:r>
      <w:r>
        <w:instrText xml:space="preserve"> PAGEREF _Toc135162124 \h </w:instrText>
      </w:r>
      <w:r>
        <w:fldChar w:fldCharType="separate"/>
      </w:r>
      <w:r>
        <w:t>6</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"_Toc135162125" </w:instrText>
      </w:r>
      <w:r>
        <w:fldChar w:fldCharType="separate"/>
      </w:r>
      <w:r>
        <w:rPr>
          <w:rStyle w:val="14"/>
          <w:rFonts w:ascii="楷体" w:hAnsi="楷体" w:eastAsia="楷体" w:cs="Arial"/>
          <w:b/>
          <w:bCs/>
          <w:kern w:val="0"/>
        </w:rPr>
        <w:t>（二）效果实现情况分析</w:t>
      </w:r>
      <w:r>
        <w:tab/>
      </w:r>
      <w:r>
        <w:fldChar w:fldCharType="begin"/>
      </w:r>
      <w:r>
        <w:instrText xml:space="preserve"> PAGEREF _Toc135162125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"_Toc135162126" </w:instrText>
      </w:r>
      <w:r>
        <w:fldChar w:fldCharType="separate"/>
      </w:r>
      <w:r>
        <w:rPr>
          <w:rStyle w:val="14"/>
          <w:rFonts w:ascii="楷体" w:hAnsi="楷体" w:eastAsia="楷体" w:cs="Arial"/>
          <w:kern w:val="0"/>
        </w:rPr>
        <w:t>1.经济效益</w:t>
      </w:r>
      <w:r>
        <w:tab/>
      </w:r>
      <w:r>
        <w:fldChar w:fldCharType="begin"/>
      </w:r>
      <w:r>
        <w:instrText xml:space="preserve"> PAGEREF _Toc135162126 \h </w:instrText>
      </w:r>
      <w:r>
        <w:fldChar w:fldCharType="separate"/>
      </w:r>
      <w:r>
        <w:t>6</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"_Toc135162127" </w:instrText>
      </w:r>
      <w:r>
        <w:fldChar w:fldCharType="separate"/>
      </w:r>
      <w:r>
        <w:rPr>
          <w:rStyle w:val="14"/>
          <w:rFonts w:ascii="楷体" w:hAnsi="楷体" w:eastAsia="楷体" w:cs="Arial"/>
          <w:kern w:val="0"/>
        </w:rPr>
        <w:t>2.社会效益</w:t>
      </w:r>
      <w:r>
        <w:tab/>
      </w:r>
      <w:r>
        <w:fldChar w:fldCharType="begin"/>
      </w:r>
      <w:r>
        <w:instrText xml:space="preserve"> PAGEREF _Toc135162127 \h </w:instrText>
      </w:r>
      <w:r>
        <w:fldChar w:fldCharType="separate"/>
      </w:r>
      <w:r>
        <w:t>7</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"_Toc135162128" </w:instrText>
      </w:r>
      <w:r>
        <w:fldChar w:fldCharType="separate"/>
      </w:r>
      <w:r>
        <w:rPr>
          <w:rStyle w:val="14"/>
          <w:rFonts w:ascii="楷体" w:hAnsi="楷体" w:eastAsia="楷体" w:cs="Arial"/>
          <w:kern w:val="0"/>
        </w:rPr>
        <w:t>3.可持续性影响</w:t>
      </w:r>
      <w:r>
        <w:tab/>
      </w:r>
      <w:r>
        <w:fldChar w:fldCharType="begin"/>
      </w:r>
      <w:r>
        <w:instrText xml:space="preserve"> PAGEREF _Toc135162128 \h </w:instrText>
      </w:r>
      <w:r>
        <w:fldChar w:fldCharType="separate"/>
      </w:r>
      <w:r>
        <w:t>7</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"_Toc135162129" </w:instrText>
      </w:r>
      <w:r>
        <w:fldChar w:fldCharType="separate"/>
      </w:r>
      <w:r>
        <w:rPr>
          <w:rStyle w:val="14"/>
          <w:rFonts w:ascii="楷体" w:hAnsi="楷体" w:eastAsia="楷体" w:cs="Arial"/>
        </w:rPr>
        <w:t>四、预算管理情况分析</w:t>
      </w:r>
      <w:r>
        <w:tab/>
      </w:r>
      <w:r>
        <w:fldChar w:fldCharType="begin"/>
      </w:r>
      <w:r>
        <w:instrText xml:space="preserve"> PAGEREF _Toc135162129 \h </w:instrText>
      </w:r>
      <w:r>
        <w:fldChar w:fldCharType="separate"/>
      </w:r>
      <w:r>
        <w:t>7</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"_Toc135162130" </w:instrText>
      </w:r>
      <w:r>
        <w:fldChar w:fldCharType="separate"/>
      </w:r>
      <w:r>
        <w:rPr>
          <w:rStyle w:val="14"/>
          <w:rFonts w:ascii="楷体" w:hAnsi="楷体" w:eastAsia="楷体" w:cs="Arial"/>
          <w:b/>
          <w:bCs/>
          <w:kern w:val="0"/>
        </w:rPr>
        <w:t>（一）财务管理</w:t>
      </w:r>
      <w:r>
        <w:tab/>
      </w:r>
      <w:r>
        <w:fldChar w:fldCharType="begin"/>
      </w:r>
      <w:r>
        <w:instrText xml:space="preserve"> PAGEREF _Toc135162130 \h </w:instrText>
      </w:r>
      <w:r>
        <w:fldChar w:fldCharType="separate"/>
      </w:r>
      <w:r>
        <w:t>7</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"_Toc135162131" </w:instrText>
      </w:r>
      <w:r>
        <w:fldChar w:fldCharType="separate"/>
      </w:r>
      <w:r>
        <w:rPr>
          <w:rStyle w:val="14"/>
          <w:rFonts w:ascii="楷体" w:hAnsi="楷体" w:eastAsia="楷体" w:cs="Arial"/>
          <w:kern w:val="0"/>
        </w:rPr>
        <w:t>1.财务管理制度健全性</w:t>
      </w:r>
      <w:r>
        <w:tab/>
      </w:r>
      <w:r>
        <w:fldChar w:fldCharType="begin"/>
      </w:r>
      <w:r>
        <w:instrText xml:space="preserve"> PAGEREF _Toc135162131 \h </w:instrText>
      </w:r>
      <w:r>
        <w:fldChar w:fldCharType="separate"/>
      </w:r>
      <w:r>
        <w:t>7</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"_Toc135162132" </w:instrText>
      </w:r>
      <w:r>
        <w:fldChar w:fldCharType="separate"/>
      </w:r>
      <w:r>
        <w:rPr>
          <w:rStyle w:val="14"/>
          <w:rFonts w:ascii="楷体" w:hAnsi="楷体" w:eastAsia="楷体" w:cs="Arial"/>
          <w:kern w:val="0"/>
        </w:rPr>
        <w:t>2.资金使用合规性和安全性</w:t>
      </w:r>
      <w:r>
        <w:tab/>
      </w:r>
      <w:r>
        <w:fldChar w:fldCharType="begin"/>
      </w:r>
      <w:r>
        <w:instrText xml:space="preserve"> PAGEREF _Toc135162132 \h </w:instrText>
      </w:r>
      <w:r>
        <w:fldChar w:fldCharType="separate"/>
      </w:r>
      <w:r>
        <w:t>8</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"_Toc135162133" </w:instrText>
      </w:r>
      <w:r>
        <w:fldChar w:fldCharType="separate"/>
      </w:r>
      <w:r>
        <w:rPr>
          <w:rStyle w:val="14"/>
          <w:rFonts w:ascii="楷体" w:hAnsi="楷体" w:eastAsia="楷体" w:cs="Arial"/>
          <w:kern w:val="0"/>
        </w:rPr>
        <w:t>3.会计基础信息完善性</w:t>
      </w:r>
      <w:r>
        <w:tab/>
      </w:r>
      <w:r>
        <w:fldChar w:fldCharType="begin"/>
      </w:r>
      <w:r>
        <w:instrText xml:space="preserve"> PAGEREF _Toc135162133 \h </w:instrText>
      </w:r>
      <w:r>
        <w:fldChar w:fldCharType="separate"/>
      </w:r>
      <w:r>
        <w:t>8</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"_Toc135162134" </w:instrText>
      </w:r>
      <w:r>
        <w:fldChar w:fldCharType="separate"/>
      </w:r>
      <w:r>
        <w:rPr>
          <w:rStyle w:val="14"/>
          <w:rFonts w:ascii="楷体" w:hAnsi="楷体" w:eastAsia="楷体" w:cs="Arial"/>
          <w:b/>
          <w:bCs/>
          <w:kern w:val="0"/>
        </w:rPr>
        <w:t>（二）资产管理</w:t>
      </w:r>
      <w:r>
        <w:tab/>
      </w:r>
      <w:r>
        <w:fldChar w:fldCharType="begin"/>
      </w:r>
      <w:r>
        <w:instrText xml:space="preserve"> PAGEREF _Toc135162134 \h </w:instrText>
      </w:r>
      <w:r>
        <w:fldChar w:fldCharType="separate"/>
      </w:r>
      <w:r>
        <w:t>8</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"_Toc135162135" </w:instrText>
      </w:r>
      <w:r>
        <w:fldChar w:fldCharType="separate"/>
      </w:r>
      <w:r>
        <w:rPr>
          <w:rStyle w:val="14"/>
          <w:rFonts w:ascii="楷体" w:hAnsi="楷体" w:eastAsia="楷体" w:cs="Arial"/>
          <w:b/>
          <w:bCs/>
          <w:kern w:val="0"/>
        </w:rPr>
        <w:t>（三）绩效管理</w:t>
      </w:r>
      <w:r>
        <w:tab/>
      </w:r>
      <w:r>
        <w:fldChar w:fldCharType="begin"/>
      </w:r>
      <w:r>
        <w:instrText xml:space="preserve"> PAGEREF _Toc135162135 \h </w:instrText>
      </w:r>
      <w:r>
        <w:fldChar w:fldCharType="separate"/>
      </w:r>
      <w:r>
        <w:t>9</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"_Toc135162136" </w:instrText>
      </w:r>
      <w:r>
        <w:fldChar w:fldCharType="separate"/>
      </w:r>
      <w:r>
        <w:rPr>
          <w:rStyle w:val="14"/>
          <w:rFonts w:ascii="楷体" w:hAnsi="楷体" w:eastAsia="楷体" w:cs="Arial"/>
          <w:kern w:val="0"/>
        </w:rPr>
        <w:t>1．绩效管理组织机构</w:t>
      </w:r>
      <w:r>
        <w:tab/>
      </w:r>
      <w:r>
        <w:fldChar w:fldCharType="begin"/>
      </w:r>
      <w:r>
        <w:instrText xml:space="preserve"> PAGEREF _Toc135162136 \h </w:instrText>
      </w:r>
      <w:r>
        <w:fldChar w:fldCharType="separate"/>
      </w:r>
      <w:r>
        <w:t>9</w:t>
      </w:r>
      <w:r>
        <w:fldChar w:fldCharType="end"/>
      </w:r>
      <w:r>
        <w:fldChar w:fldCharType="end"/>
      </w:r>
    </w:p>
    <w:p>
      <w:pPr>
        <w:pStyle w:val="5"/>
        <w:tabs>
          <w:tab w:val="right" w:leader="dot" w:pos="8834"/>
        </w:tabs>
        <w:rPr>
          <w:rFonts w:asciiTheme="minorHAnsi" w:hAnsiTheme="minorHAnsi" w:eastAsiaTheme="minorEastAsia" w:cstheme="minorBidi"/>
          <w:szCs w:val="22"/>
        </w:rPr>
      </w:pPr>
      <w:r>
        <w:fldChar w:fldCharType="begin"/>
      </w:r>
      <w:r>
        <w:instrText xml:space="preserve"> HYPERLINK \l "_Toc135162137" </w:instrText>
      </w:r>
      <w:r>
        <w:fldChar w:fldCharType="separate"/>
      </w:r>
      <w:r>
        <w:rPr>
          <w:rStyle w:val="14"/>
          <w:rFonts w:ascii="楷体" w:hAnsi="楷体" w:eastAsia="楷体" w:cs="Arial"/>
          <w:kern w:val="0"/>
        </w:rPr>
        <w:t>2．绩效信息收集</w:t>
      </w:r>
      <w:r>
        <w:tab/>
      </w:r>
      <w:r>
        <w:fldChar w:fldCharType="begin"/>
      </w:r>
      <w:r>
        <w:instrText xml:space="preserve"> PAGEREF _Toc135162137 \h </w:instrText>
      </w:r>
      <w:r>
        <w:fldChar w:fldCharType="separate"/>
      </w:r>
      <w:r>
        <w:t>9</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"_Toc135162138" </w:instrText>
      </w:r>
      <w:r>
        <w:fldChar w:fldCharType="separate"/>
      </w:r>
      <w:r>
        <w:rPr>
          <w:rStyle w:val="14"/>
          <w:rFonts w:ascii="楷体" w:hAnsi="楷体" w:eastAsia="楷体" w:cs="Arial"/>
          <w:b/>
          <w:bCs/>
          <w:kern w:val="0"/>
        </w:rPr>
        <w:t>（四）结转结余率</w:t>
      </w:r>
      <w:r>
        <w:tab/>
      </w:r>
      <w:r>
        <w:fldChar w:fldCharType="begin"/>
      </w:r>
      <w:r>
        <w:instrText xml:space="preserve"> PAGEREF _Toc135162138 \h </w:instrText>
      </w:r>
      <w:r>
        <w:fldChar w:fldCharType="separate"/>
      </w:r>
      <w:r>
        <w:t>10</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"_Toc135162139" </w:instrText>
      </w:r>
      <w:r>
        <w:fldChar w:fldCharType="separate"/>
      </w:r>
      <w:r>
        <w:rPr>
          <w:rStyle w:val="14"/>
          <w:rFonts w:ascii="楷体" w:hAnsi="楷体" w:eastAsia="楷体" w:cs="Arial"/>
          <w:b/>
          <w:bCs/>
          <w:kern w:val="0"/>
        </w:rPr>
        <w:t>（五）部门预决算差异率</w:t>
      </w:r>
      <w:r>
        <w:tab/>
      </w:r>
      <w:r>
        <w:fldChar w:fldCharType="begin"/>
      </w:r>
      <w:r>
        <w:instrText xml:space="preserve"> PAGEREF _Toc135162139 \h </w:instrText>
      </w:r>
      <w:r>
        <w:fldChar w:fldCharType="separate"/>
      </w:r>
      <w:r>
        <w:t>10</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"_Toc135162140" </w:instrText>
      </w:r>
      <w:r>
        <w:fldChar w:fldCharType="separate"/>
      </w:r>
      <w:r>
        <w:rPr>
          <w:rStyle w:val="14"/>
          <w:rFonts w:ascii="楷体" w:hAnsi="楷体" w:eastAsia="楷体" w:cs="Arial"/>
        </w:rPr>
        <w:t>五、总体评价结论</w:t>
      </w:r>
      <w:r>
        <w:tab/>
      </w:r>
      <w:r>
        <w:fldChar w:fldCharType="begin"/>
      </w:r>
      <w:r>
        <w:instrText xml:space="preserve"> PAGEREF _Toc135162140 \h </w:instrText>
      </w:r>
      <w:r>
        <w:fldChar w:fldCharType="separate"/>
      </w:r>
      <w:r>
        <w:t>10</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"_Toc135162141" </w:instrText>
      </w:r>
      <w:r>
        <w:fldChar w:fldCharType="separate"/>
      </w:r>
      <w:r>
        <w:rPr>
          <w:rStyle w:val="14"/>
          <w:rFonts w:ascii="楷体" w:hAnsi="楷体" w:eastAsia="楷体" w:cs="Arial"/>
          <w:b/>
          <w:bCs/>
          <w:kern w:val="0"/>
        </w:rPr>
        <w:t>（一）评价得分情况</w:t>
      </w:r>
      <w:r>
        <w:tab/>
      </w:r>
      <w:r>
        <w:fldChar w:fldCharType="begin"/>
      </w:r>
      <w:r>
        <w:instrText xml:space="preserve"> PAGEREF _Toc135162141 \h </w:instrText>
      </w:r>
      <w:r>
        <w:fldChar w:fldCharType="separate"/>
      </w:r>
      <w:r>
        <w:t>10</w:t>
      </w:r>
      <w:r>
        <w:fldChar w:fldCharType="end"/>
      </w:r>
      <w:r>
        <w:fldChar w:fldCharType="end"/>
      </w:r>
    </w:p>
    <w:p>
      <w:pPr>
        <w:pStyle w:val="9"/>
        <w:tabs>
          <w:tab w:val="right" w:leader="dot" w:pos="8834"/>
        </w:tabs>
        <w:rPr>
          <w:rFonts w:asciiTheme="minorHAnsi" w:hAnsiTheme="minorHAnsi" w:eastAsiaTheme="minorEastAsia" w:cstheme="minorBidi"/>
          <w:szCs w:val="22"/>
        </w:rPr>
      </w:pPr>
      <w:r>
        <w:fldChar w:fldCharType="begin"/>
      </w:r>
      <w:r>
        <w:instrText xml:space="preserve"> HYPERLINK \l "_Toc135162142" </w:instrText>
      </w:r>
      <w:r>
        <w:fldChar w:fldCharType="separate"/>
      </w:r>
      <w:r>
        <w:rPr>
          <w:rStyle w:val="14"/>
          <w:rFonts w:ascii="楷体" w:hAnsi="楷体" w:eastAsia="楷体" w:cs="Arial"/>
          <w:b/>
          <w:bCs/>
          <w:kern w:val="0"/>
        </w:rPr>
        <w:t>（二）存在的问题及原因分析</w:t>
      </w:r>
      <w:r>
        <w:tab/>
      </w:r>
      <w:r>
        <w:fldChar w:fldCharType="begin"/>
      </w:r>
      <w:r>
        <w:instrText xml:space="preserve"> PAGEREF _Toc135162142 \h </w:instrText>
      </w:r>
      <w:r>
        <w:fldChar w:fldCharType="separate"/>
      </w:r>
      <w:r>
        <w:t>10</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"_Toc135162143" </w:instrText>
      </w:r>
      <w:r>
        <w:fldChar w:fldCharType="separate"/>
      </w:r>
      <w:r>
        <w:rPr>
          <w:rStyle w:val="14"/>
          <w:rFonts w:ascii="楷体" w:hAnsi="楷体" w:eastAsia="楷体" w:cs="Arial"/>
        </w:rPr>
        <w:t>六、措施建议</w:t>
      </w:r>
      <w:r>
        <w:tab/>
      </w:r>
      <w:r>
        <w:fldChar w:fldCharType="begin"/>
      </w:r>
      <w:r>
        <w:instrText xml:space="preserve"> PAGEREF _Toc135162143 \h </w:instrText>
      </w:r>
      <w:r>
        <w:fldChar w:fldCharType="separate"/>
      </w:r>
      <w:r>
        <w:t>11</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"_Toc135162144" </w:instrText>
      </w:r>
      <w:r>
        <w:fldChar w:fldCharType="separate"/>
      </w:r>
      <w:r>
        <w:rPr>
          <w:rStyle w:val="14"/>
          <w:rFonts w:ascii="楷体" w:hAnsi="楷体" w:eastAsia="楷体" w:cs="Arial"/>
        </w:rPr>
        <w:t>七、附件</w:t>
      </w:r>
      <w:r>
        <w:tab/>
      </w:r>
      <w:r>
        <w:fldChar w:fldCharType="begin"/>
      </w:r>
      <w:r>
        <w:instrText xml:space="preserve"> PAGEREF _Toc135162144 \h </w:instrText>
      </w:r>
      <w:r>
        <w:fldChar w:fldCharType="separate"/>
      </w:r>
      <w:r>
        <w:t>11</w:t>
      </w:r>
      <w:r>
        <w:fldChar w:fldCharType="end"/>
      </w:r>
      <w:r>
        <w:fldChar w:fldCharType="end"/>
      </w:r>
    </w:p>
    <w:p>
      <w:pPr>
        <w:pStyle w:val="8"/>
        <w:spacing w:line="400" w:lineRule="exact"/>
        <w:rPr>
          <w:rFonts w:ascii="宋体" w:hAnsi="宋体" w:cs="Arial"/>
          <w:sz w:val="24"/>
          <w:lang w:val="zh-CN"/>
        </w:rPr>
      </w:pPr>
      <w:r>
        <w:rPr>
          <w:rFonts w:ascii="宋体" w:hAnsi="宋体" w:cs="Arial"/>
          <w:sz w:val="24"/>
          <w:lang w:val="zh-CN"/>
        </w:rPr>
        <w:fldChar w:fldCharType="end"/>
      </w:r>
    </w:p>
    <w:p>
      <w:pPr>
        <w:widowControl/>
        <w:jc w:val="left"/>
        <w:rPr>
          <w:rFonts w:ascii="宋体" w:hAnsi="宋体" w:cs="Arial"/>
          <w:sz w:val="24"/>
          <w:lang w:val="zh-CN"/>
        </w:rPr>
      </w:pPr>
      <w:r>
        <w:rPr>
          <w:rFonts w:ascii="宋体" w:hAnsi="宋体" w:cs="Arial"/>
          <w:sz w:val="24"/>
          <w:lang w:val="zh-CN"/>
        </w:rPr>
        <w:br w:type="page"/>
      </w:r>
    </w:p>
    <w:p>
      <w:pPr>
        <w:pStyle w:val="8"/>
        <w:spacing w:line="400" w:lineRule="exact"/>
        <w:rPr>
          <w:rFonts w:hint="eastAsia" w:ascii="方正小标宋简体" w:hAnsi="方正小标宋简体" w:eastAsia="方正小标宋简体" w:cs="方正小标宋简体"/>
          <w:bCs/>
          <w:color w:val="000000"/>
          <w:kern w:val="0"/>
          <w:sz w:val="36"/>
          <w:szCs w:val="36"/>
        </w:rPr>
      </w:pPr>
      <w:r>
        <w:rPr>
          <w:rFonts w:hint="eastAsia" w:ascii="方正小标宋简体" w:hAnsi="方正小标宋简体" w:eastAsia="方正小标宋简体" w:cs="方正小标宋简体"/>
          <w:bCs/>
          <w:color w:val="000000"/>
          <w:kern w:val="0"/>
          <w:sz w:val="36"/>
          <w:szCs w:val="36"/>
        </w:rPr>
        <w:t>北京互联网法院</w:t>
      </w:r>
    </w:p>
    <w:p>
      <w:pPr>
        <w:jc w:val="center"/>
        <w:rPr>
          <w:rFonts w:hint="eastAsia" w:ascii="方正小标宋简体" w:hAnsi="方正小标宋简体" w:eastAsia="方正小标宋简体" w:cs="方正小标宋简体"/>
          <w:bCs/>
          <w:color w:val="000000"/>
          <w:kern w:val="0"/>
          <w:sz w:val="36"/>
          <w:szCs w:val="36"/>
        </w:rPr>
      </w:pPr>
      <w:r>
        <w:rPr>
          <w:rFonts w:hint="eastAsia" w:ascii="方正小标宋简体" w:hAnsi="方正小标宋简体" w:eastAsia="方正小标宋简体" w:cs="方正小标宋简体"/>
          <w:bCs/>
          <w:color w:val="000000"/>
          <w:kern w:val="0"/>
          <w:sz w:val="36"/>
          <w:szCs w:val="36"/>
        </w:rPr>
        <w:t>2022年部门整体绩效评价报告</w:t>
      </w:r>
    </w:p>
    <w:p>
      <w:pPr>
        <w:rPr>
          <w:rFonts w:ascii="Arial Narrow" w:hAnsi="Arial Narrow" w:cs="Arial"/>
          <w:bCs/>
          <w:sz w:val="36"/>
          <w:szCs w:val="36"/>
        </w:rPr>
      </w:pP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0" w:name="_Toc135162113"/>
      <w:bookmarkStart w:id="1" w:name="_Toc169183181"/>
      <w:r>
        <w:rPr>
          <w:rFonts w:hint="eastAsia" w:ascii="方正黑体_GBK" w:hAnsi="方正黑体_GBK" w:eastAsia="方正黑体_GBK" w:cs="方正黑体_GBK"/>
          <w:b w:val="0"/>
          <w:bCs w:val="0"/>
          <w:sz w:val="32"/>
          <w:szCs w:val="32"/>
        </w:rPr>
        <w:t>一、部门概况</w:t>
      </w:r>
      <w:bookmarkEnd w:id="0"/>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2" w:name="_Toc1388100"/>
      <w:bookmarkStart w:id="3" w:name="_Toc35940450"/>
      <w:bookmarkStart w:id="4" w:name="_Toc135162114"/>
      <w:r>
        <w:rPr>
          <w:rFonts w:ascii="楷体" w:hAnsi="楷体" w:eastAsia="楷体" w:cs="Arial"/>
          <w:b w:val="0"/>
          <w:bCs w:val="0"/>
          <w:kern w:val="0"/>
          <w:sz w:val="32"/>
          <w:szCs w:val="32"/>
        </w:rPr>
        <w:t>（一）</w:t>
      </w:r>
      <w:bookmarkEnd w:id="2"/>
      <w:bookmarkEnd w:id="3"/>
      <w:r>
        <w:rPr>
          <w:rFonts w:ascii="楷体" w:hAnsi="楷体" w:eastAsia="楷体" w:cs="Arial"/>
          <w:b w:val="0"/>
          <w:bCs w:val="0"/>
          <w:kern w:val="0"/>
          <w:sz w:val="32"/>
          <w:szCs w:val="32"/>
        </w:rPr>
        <w:t>机构设置及职责工作任务情况</w:t>
      </w:r>
      <w:bookmarkEnd w:id="4"/>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bookmarkStart w:id="5" w:name="_Hlk104407637"/>
      <w:r>
        <w:rPr>
          <w:rFonts w:hint="eastAsia" w:ascii="方正仿宋_GBK" w:hAnsi="方正仿宋_GBK" w:eastAsia="方正仿宋_GBK" w:cs="方正仿宋_GBK"/>
          <w:sz w:val="32"/>
          <w:szCs w:val="32"/>
        </w:rPr>
        <w:t>北京互联网法院成立于2018年9月9日，根据最高人民法院关于互联网法院审理案件司法解释的规定，北京互联网法院集中管辖北京市辖区内应当由基层人民法院受理的第一审特定类型互联网案件，主要包括网络购物合同、互联网金融借款合同、著作权权属及侵权纠纷等十一类涉互联网第一审民事、商事、知识产权、行政案件。法院按照“网上案件网上审理”的基本思路，通过全流程一体化在线服务平台，实现案件起诉、调解、立案、送达、庭审、宣判、执行、上诉等诉讼环节的在线进行，切实做到高效便民，切实提高审判质效，从而推动我国科技强国战略的实施和网络空间治理的法治化进程。</w:t>
      </w:r>
    </w:p>
    <w:p>
      <w:pPr>
        <w:pageBreakBefore w:val="0"/>
        <w:widowControl w:val="0"/>
        <w:kinsoku/>
        <w:wordWrap/>
        <w:overflowPunct/>
        <w:topLinePunct w:val="0"/>
        <w:bidi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2018年8月9日，最高人民法院印发《关于增设北京互联网法院、广州互联网法院的方案》的通知，并明确要求应于2018年9月底前完成北京互联网法院的具体组建和正式挂牌工作。</w:t>
      </w:r>
    </w:p>
    <w:p>
      <w:pPr>
        <w:pageBreakBefore w:val="0"/>
        <w:widowControl w:val="0"/>
        <w:kinsoku/>
        <w:wordWrap/>
        <w:overflowPunct/>
        <w:topLinePunct w:val="0"/>
        <w:bidi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2018年9月6日，最高人民法院公布了《关于互联网法院审理案件若干问题的规定》，确定互联网法院的管辖范围和上诉机制和在线审理机制运行规则，规范了适应互联网法院全程在线的诉讼模式，结合审判实际对在线诉讼中如何正确适用民事诉讼法作出规定，为互联网法院依法办理案件设定规则边界和探索空间，有利于将互联网法院打造为推动审理方式、诉讼规则与互联网技术深度融合的司法实践平台。</w:t>
      </w:r>
    </w:p>
    <w:p>
      <w:pPr>
        <w:pageBreakBefore w:val="0"/>
        <w:widowControl w:val="0"/>
        <w:kinsoku/>
        <w:wordWrap/>
        <w:overflowPunct/>
        <w:topLinePunct w:val="0"/>
        <w:bidi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北京互联网法院集中管辖北京市辖区内应当由基层人民法院受理的第一审网络购物合同、网络服务合同、金融借款合同纠纷、小额借款合同等特定类型互联网案件。</w:t>
      </w:r>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北京互联网法院主体性质为行政单位，单位编制人数130人，实有人数124人。北京互联网法院内设机构8个，1个立案庭（诉讼服务中心），3个综合审判庭，1个执行局，1个审判管理办公室（研究室），1个政治部（机关党委），1个综合办公室（司法警察大队）。</w:t>
      </w:r>
    </w:p>
    <w:bookmarkEnd w:id="5"/>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6" w:name="_Toc35940451"/>
      <w:bookmarkStart w:id="7" w:name="_Toc1388101"/>
      <w:bookmarkStart w:id="8" w:name="_Toc135162115"/>
      <w:r>
        <w:rPr>
          <w:rFonts w:ascii="楷体" w:hAnsi="楷体" w:eastAsia="楷体" w:cs="Arial"/>
          <w:b w:val="0"/>
          <w:bCs w:val="0"/>
          <w:kern w:val="0"/>
          <w:sz w:val="32"/>
          <w:szCs w:val="32"/>
        </w:rPr>
        <w:t>（二）</w:t>
      </w:r>
      <w:bookmarkEnd w:id="6"/>
      <w:bookmarkEnd w:id="7"/>
      <w:r>
        <w:rPr>
          <w:rFonts w:ascii="楷体" w:hAnsi="楷体" w:eastAsia="楷体" w:cs="Arial"/>
          <w:b w:val="0"/>
          <w:bCs w:val="0"/>
          <w:kern w:val="0"/>
          <w:sz w:val="32"/>
          <w:szCs w:val="32"/>
        </w:rPr>
        <w:t>部门整体绩效目标设立情况</w:t>
      </w:r>
      <w:bookmarkEnd w:id="8"/>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9" w:name="_Toc520819470"/>
      <w:bookmarkStart w:id="10" w:name="_Toc536635216"/>
      <w:bookmarkStart w:id="11" w:name="_Toc1388102"/>
      <w:bookmarkStart w:id="12" w:name="_Toc536635280"/>
      <w:bookmarkStart w:id="13" w:name="_Toc35940452"/>
      <w:bookmarkStart w:id="14" w:name="_Toc135162116"/>
      <w:r>
        <w:rPr>
          <w:rFonts w:hint="eastAsia" w:ascii="方正仿宋_GBK" w:hAnsi="方正仿宋_GBK" w:eastAsia="方正仿宋_GBK" w:cs="方正仿宋_GBK"/>
          <w:color w:val="000000"/>
          <w:kern w:val="0"/>
          <w:sz w:val="32"/>
          <w:szCs w:val="32"/>
        </w:rPr>
        <w:t>1</w:t>
      </w:r>
      <w:bookmarkEnd w:id="9"/>
      <w:bookmarkEnd w:id="10"/>
      <w:bookmarkEnd w:id="11"/>
      <w:bookmarkEnd w:id="12"/>
      <w:bookmarkEnd w:id="13"/>
      <w:r>
        <w:rPr>
          <w:rFonts w:hint="eastAsia" w:ascii="方正仿宋_GBK" w:hAnsi="方正仿宋_GBK" w:eastAsia="方正仿宋_GBK" w:cs="方正仿宋_GBK"/>
          <w:color w:val="000000"/>
          <w:kern w:val="0"/>
          <w:sz w:val="32"/>
          <w:szCs w:val="32"/>
        </w:rPr>
        <w:t>、部门整体绩效目标及设立依据</w:t>
      </w:r>
      <w:bookmarkEnd w:id="14"/>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2022年，北京互联网法院部门整体支出的绩效目标为：深入学习贯彻落实党的十九大精神，以习近平新时代中国特色社会主义思想为指引，在最高人民法院指导下构建新型互联网案件诉讼程序和司法规则，推进网络空间治理法治化的法院。北京互联网法院将集中管辖全市辖区内特定类型涉互联网第一审案件，探索建立与互联网时代相适应的审判模式，推动起诉、调解、立案、庭审、判决、执行等诉讼环节全程网络化。</w:t>
      </w:r>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全面推进预算绩效管理工作，顺利完成确保预算绩效管理工作有序、高效推进，北京互联网法院整体支出绩效目标的设立主要是根据北京市财政局部门支出绩效管理工作要求，按照《中华人民共和国预算法》、《中共北京市委 北京市人民政府关于全面实施预算绩效管理的实施意见》(京发〔2019〕12号)、《北京市预算绩效目标管理办法》的要求和规定，制定了2022年度部门整体绩效目标，与职责相关性较强。</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15" w:name="_Toc135162117"/>
      <w:r>
        <w:rPr>
          <w:rFonts w:hint="eastAsia" w:ascii="方正仿宋_GBK" w:hAnsi="方正仿宋_GBK" w:eastAsia="方正仿宋_GBK" w:cs="方正仿宋_GBK"/>
          <w:color w:val="000000"/>
          <w:kern w:val="0"/>
          <w:sz w:val="32"/>
          <w:szCs w:val="32"/>
        </w:rPr>
        <w:t>2、目标与职责任务匹配情况、目标合理性</w:t>
      </w:r>
      <w:bookmarkEnd w:id="15"/>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北京互联网法院部门围绕部门职责制定了2022年度工作计划，设立了部门整体绩效目标，具有较为详尽的工作计划，年度工作目标与部门职能的适应。2022年初，北京互联网法院及时填报绩效目标申报表，包括办案业务费、安检工作经费、知网数据库、会计审计及咨询工作经费、媒体数据服务费、互联网法院审判区租金、互联网法院网络运维费、互联网接入费、应用技术服务费、法院业务装备费、课题费、业务维修（护）费等12个预算项目的绩效目标申报表，整体预算支出包括基本经费及项目经费内容，整体绩效目标与法院职责任务匹配度高，设定的目标合理，具备可实现性。 </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16" w:name="_Toc135162118"/>
      <w:r>
        <w:rPr>
          <w:rFonts w:hint="eastAsia" w:ascii="方正黑体_GBK" w:hAnsi="方正黑体_GBK" w:eastAsia="方正黑体_GBK" w:cs="方正黑体_GBK"/>
          <w:b w:val="0"/>
          <w:bCs w:val="0"/>
          <w:sz w:val="32"/>
          <w:szCs w:val="32"/>
        </w:rPr>
        <w:t>二、当年预算执行情况</w:t>
      </w:r>
      <w:bookmarkEnd w:id="16"/>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1月28日，北京市财政局下发关于批复北京互联网法院2022年预算的函》（京财公检法指[2022]137号文件，批复北京互联网法院部门收入预算13,901.92万元，其中：财政拨款13,896.92万元，其他收入5.00万元。批复北京互联网法院部门支出预算13,901.92万元，其中，基本支出预算数7,105.64万元，项目支出预算数6,796.279万元。</w:t>
      </w:r>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2022年调整后的预算收入为14,211.72万元，其中财政拨款14,205.92万元，其他收入5.80万元；调整后的预算支出14,672.10万元，其中基本支出7,457.29万元，项目支出7,214.81万元。</w:t>
      </w:r>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2022年总体收入为14,211.72万元，其中财政拨款收入14,205.92万元，其他收入5.80万元。</w:t>
      </w:r>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2022年资金总体支出为13,797.81万元，其中，基本支出7,153.60万元，项目支出6,644.21万元；2022年整体支出预算执行率为94.04%；2022年初结转和结余460.38万元，2022年末结转结余874.29万元。</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17" w:name="_Toc135162119"/>
      <w:r>
        <w:rPr>
          <w:rFonts w:hint="eastAsia" w:ascii="方正黑体_GBK" w:hAnsi="方正黑体_GBK" w:eastAsia="方正黑体_GBK" w:cs="方正黑体_GBK"/>
          <w:b w:val="0"/>
          <w:bCs w:val="0"/>
          <w:sz w:val="32"/>
          <w:szCs w:val="32"/>
        </w:rPr>
        <w:t>三、</w:t>
      </w:r>
      <w:bookmarkEnd w:id="1"/>
      <w:r>
        <w:rPr>
          <w:rFonts w:hint="eastAsia" w:ascii="方正黑体_GBK" w:hAnsi="方正黑体_GBK" w:eastAsia="方正黑体_GBK" w:cs="方正黑体_GBK"/>
          <w:b w:val="0"/>
          <w:bCs w:val="0"/>
          <w:sz w:val="32"/>
          <w:szCs w:val="32"/>
        </w:rPr>
        <w:t>整体绩效目标实现情况</w:t>
      </w:r>
      <w:bookmarkEnd w:id="17"/>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18" w:name="_Toc135162120"/>
      <w:r>
        <w:rPr>
          <w:rFonts w:ascii="楷体" w:hAnsi="楷体" w:eastAsia="楷体" w:cs="Arial"/>
          <w:b w:val="0"/>
          <w:bCs w:val="0"/>
          <w:kern w:val="0"/>
          <w:sz w:val="32"/>
          <w:szCs w:val="32"/>
        </w:rPr>
        <w:t>（一）产出完成情况分析</w:t>
      </w:r>
      <w:bookmarkEnd w:id="18"/>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19" w:name="_Toc135162121"/>
      <w:r>
        <w:rPr>
          <w:rFonts w:hint="eastAsia" w:ascii="方正仿宋_GBK" w:hAnsi="方正仿宋_GBK" w:eastAsia="方正仿宋_GBK" w:cs="方正仿宋_GBK"/>
          <w:color w:val="000000"/>
          <w:kern w:val="0"/>
          <w:sz w:val="32"/>
          <w:szCs w:val="32"/>
        </w:rPr>
        <w:t>1.产出数量</w:t>
      </w:r>
      <w:bookmarkEnd w:id="19"/>
    </w:p>
    <w:p>
      <w:pPr>
        <w:pageBreakBefore w:val="0"/>
        <w:widowControl w:val="0"/>
        <w:kinsoku/>
        <w:wordWrap/>
        <w:overflowPunct/>
        <w:topLinePunct w:val="0"/>
        <w:bidi w:val="0"/>
        <w:adjustRightInd w:val="0"/>
        <w:snapToGrid w:val="0"/>
        <w:spacing w:line="560" w:lineRule="exact"/>
        <w:ind w:left="105" w:leftChars="50"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2022年整体绩效目标为完成支出预算数的95%以上，实际完成支出预算数的94.04%。</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0" w:name="_Toc135162122"/>
      <w:r>
        <w:rPr>
          <w:rFonts w:hint="eastAsia" w:ascii="方正仿宋_GBK" w:hAnsi="方正仿宋_GBK" w:eastAsia="方正仿宋_GBK" w:cs="方正仿宋_GBK"/>
          <w:color w:val="000000"/>
          <w:kern w:val="0"/>
          <w:sz w:val="32"/>
          <w:szCs w:val="32"/>
        </w:rPr>
        <w:t>2.产出质量</w:t>
      </w:r>
      <w:bookmarkEnd w:id="20"/>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2022年，北京互联网法院坚持厉行节约，严控“三公”经费支出，确保全院每一项支出都落到实处，支出使用规范,基本达到预期效果。</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1" w:name="_Toc135162123"/>
      <w:r>
        <w:rPr>
          <w:rFonts w:hint="eastAsia" w:ascii="方正仿宋_GBK" w:hAnsi="方正仿宋_GBK" w:eastAsia="方正仿宋_GBK" w:cs="方正仿宋_GBK"/>
          <w:color w:val="000000"/>
          <w:kern w:val="0"/>
          <w:sz w:val="32"/>
          <w:szCs w:val="32"/>
        </w:rPr>
        <w:t>3.产出进度</w:t>
      </w:r>
      <w:bookmarkEnd w:id="21"/>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2022年全年支出预算数14,672.10万元，资金总体支出13,797.81万元，预算执行率为94.04%。</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2" w:name="_Toc135162124"/>
      <w:r>
        <w:rPr>
          <w:rFonts w:hint="eastAsia" w:ascii="方正仿宋_GBK" w:hAnsi="方正仿宋_GBK" w:eastAsia="方正仿宋_GBK" w:cs="方正仿宋_GBK"/>
          <w:color w:val="000000"/>
          <w:kern w:val="0"/>
          <w:sz w:val="32"/>
          <w:szCs w:val="32"/>
        </w:rPr>
        <w:t>4.产出成本</w:t>
      </w:r>
      <w:bookmarkEnd w:id="22"/>
    </w:p>
    <w:p>
      <w:pPr>
        <w:pageBreakBefore w:val="0"/>
        <w:widowControl w:val="0"/>
        <w:kinsoku/>
        <w:wordWrap/>
        <w:overflowPunct/>
        <w:topLinePunct w:val="0"/>
        <w:bidi w:val="0"/>
        <w:adjustRightInd w:val="0"/>
        <w:snapToGrid w:val="0"/>
        <w:spacing w:line="560" w:lineRule="exact"/>
        <w:ind w:firstLine="400"/>
        <w:jc w:val="left"/>
        <w:rPr>
          <w:rFonts w:ascii="宋体" w:hAnsi="宋体" w:cs="Arial"/>
          <w:sz w:val="32"/>
          <w:szCs w:val="32"/>
        </w:rPr>
      </w:pPr>
      <w:r>
        <w:rPr>
          <w:rFonts w:hint="eastAsia" w:ascii="方正仿宋_GBK" w:hAnsi="方正仿宋_GBK" w:eastAsia="方正仿宋_GBK" w:cs="方正仿宋_GBK"/>
          <w:sz w:val="32"/>
          <w:szCs w:val="32"/>
        </w:rPr>
        <w:t xml:space="preserve">北京互联网法院坚持厉行节约，严控“三公”经费支出，确保全院每一项支出都落到实处，在执行部门支出预算时能够将项目成本控制在项目预算范围内；2022年全年预算数14,672.10万元，2022年度决算支出13,797.81万元，比2021年决算支出13,976.60万元减少178.79万元,减少1.28%；其中：2022年基本支出7,153.60万元，比2021年6,570.20万元增加583.40万元，增长8.88%；项目支出6,644.21万元,比2021项目支出7,406.39万元减少762.18万元，减少10.29%。 </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23" w:name="_Toc135162125"/>
      <w:r>
        <w:rPr>
          <w:rFonts w:ascii="楷体" w:hAnsi="楷体" w:eastAsia="楷体" w:cs="Arial"/>
          <w:b w:val="0"/>
          <w:bCs w:val="0"/>
          <w:kern w:val="0"/>
          <w:sz w:val="32"/>
          <w:szCs w:val="32"/>
        </w:rPr>
        <w:t>（二）效果实现情况分析</w:t>
      </w:r>
      <w:bookmarkEnd w:id="23"/>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4" w:name="_Toc135162126"/>
      <w:r>
        <w:rPr>
          <w:rFonts w:hint="eastAsia" w:ascii="方正仿宋_GBK" w:hAnsi="方正仿宋_GBK" w:eastAsia="方正仿宋_GBK" w:cs="方正仿宋_GBK"/>
          <w:color w:val="000000"/>
          <w:kern w:val="0"/>
          <w:sz w:val="32"/>
          <w:szCs w:val="32"/>
        </w:rPr>
        <w:t>1.经济效益</w:t>
      </w:r>
      <w:bookmarkEnd w:id="24"/>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坚持厉行节约，严控“三公”经费支出，确保全院每一项支出都落到实处。2022年“三公”经费财政拨款决算数19.48万元，比2022年“三公”经费财政拨款年初预算43.14万元减少23.66万元，下降54.84%；比2021年决算数25.39万元减少5.91万元，下降23.27%；2022年“三公”经费控制率为45.16%。</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5" w:name="_Toc135162127"/>
      <w:r>
        <w:rPr>
          <w:rFonts w:hint="eastAsia" w:ascii="方正仿宋_GBK" w:hAnsi="方正仿宋_GBK" w:eastAsia="方正仿宋_GBK" w:cs="方正仿宋_GBK"/>
          <w:color w:val="000000"/>
          <w:kern w:val="0"/>
          <w:sz w:val="32"/>
          <w:szCs w:val="32"/>
        </w:rPr>
        <w:t>2.社会效益</w:t>
      </w:r>
      <w:bookmarkEnd w:id="25"/>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预算管理比较规范，资金到位足额、及时，管理机构健全，单位建立健全了财务管理制度，通过法院办案业务费、审判区租金、安检工作经费、网络运维费、互联网接入费等主要项目的执行，较好地完成了2022年工作目标。2022年严格执行高院关于审判执行的各项规范，强化内部制约监督机制，组织开展审限管理、长期未结案件、合议制落实“三个专项”核查工作，审判执行工作规范性得到进一步提升。</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6" w:name="_Toc135162128"/>
      <w:r>
        <w:rPr>
          <w:rFonts w:hint="eastAsia" w:ascii="方正仿宋_GBK" w:hAnsi="方正仿宋_GBK" w:eastAsia="方正仿宋_GBK" w:cs="方正仿宋_GBK"/>
          <w:color w:val="000000"/>
          <w:kern w:val="0"/>
          <w:sz w:val="32"/>
          <w:szCs w:val="32"/>
        </w:rPr>
        <w:t>3.可持续性影响</w:t>
      </w:r>
      <w:bookmarkEnd w:id="26"/>
    </w:p>
    <w:p>
      <w:pPr>
        <w:pageBreakBefore w:val="0"/>
        <w:widowControl w:val="0"/>
        <w:kinsoku/>
        <w:wordWrap/>
        <w:overflowPunct/>
        <w:topLinePunct w:val="0"/>
        <w:bidi w:val="0"/>
        <w:adjustRightInd w:val="0"/>
        <w:snapToGrid w:val="0"/>
        <w:spacing w:line="560" w:lineRule="exact"/>
        <w:ind w:firstLine="4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2022年，北京互联网法院通过各项职能的有效发挥，统筹抓好党的二十大维稳安保、疫情防控、审判执行各项工作，为首都长期持续的社会安全稳定提供了司法保障。</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27" w:name="_Toc135162129"/>
      <w:r>
        <w:rPr>
          <w:rFonts w:hint="eastAsia" w:ascii="方正黑体_GBK" w:hAnsi="方正黑体_GBK" w:eastAsia="方正黑体_GBK" w:cs="方正黑体_GBK"/>
          <w:b w:val="0"/>
          <w:bCs w:val="0"/>
          <w:sz w:val="32"/>
          <w:szCs w:val="32"/>
        </w:rPr>
        <w:t>四、预算管理情况分析</w:t>
      </w:r>
      <w:bookmarkEnd w:id="27"/>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28" w:name="_Toc135162130"/>
      <w:r>
        <w:rPr>
          <w:rFonts w:ascii="楷体" w:hAnsi="楷体" w:eastAsia="楷体" w:cs="Arial"/>
          <w:b w:val="0"/>
          <w:bCs w:val="0"/>
          <w:kern w:val="0"/>
          <w:sz w:val="32"/>
          <w:szCs w:val="32"/>
        </w:rPr>
        <w:t>（一）财务管理</w:t>
      </w:r>
      <w:bookmarkEnd w:id="28"/>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29" w:name="_Toc135162131"/>
      <w:r>
        <w:rPr>
          <w:rFonts w:hint="eastAsia" w:ascii="方正仿宋_GBK" w:hAnsi="方正仿宋_GBK" w:eastAsia="方正仿宋_GBK" w:cs="方正仿宋_GBK"/>
          <w:color w:val="000000"/>
          <w:kern w:val="0"/>
          <w:sz w:val="32"/>
          <w:szCs w:val="32"/>
        </w:rPr>
        <w:t>1.财务管理制度健全性</w:t>
      </w:r>
      <w:bookmarkEnd w:id="29"/>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北京互联网法院根据《中华人民共和国会计法》、《中华人民共和国预算法》、财政部《政府会计制度》、《行政事业单位内部控制规范（试行）》（财会〔2012〕21 号）制定了内部相关财务管理办法并进行执行，对招投标、政府采购等各项资金的使用范围、支付流程等进行规范。</w:t>
      </w:r>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2022年，北京互联网法院严格执行各种规章制度，按照规定程序履行部门职责，认真落实各项工作，切实保障法院审判工作及综合行政事务管理的有序进行，实现了年度工作目标。</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30" w:name="_Toc135162132"/>
      <w:r>
        <w:rPr>
          <w:rFonts w:hint="eastAsia" w:ascii="方正仿宋_GBK" w:hAnsi="方正仿宋_GBK" w:eastAsia="方正仿宋_GBK" w:cs="方正仿宋_GBK"/>
          <w:color w:val="000000"/>
          <w:kern w:val="0"/>
          <w:sz w:val="32"/>
          <w:szCs w:val="32"/>
        </w:rPr>
        <w:t>2.资金使用合规性和安全性</w:t>
      </w:r>
      <w:bookmarkEnd w:id="30"/>
    </w:p>
    <w:p>
      <w:pPr>
        <w:pStyle w:val="4"/>
        <w:pageBreakBefore w:val="0"/>
        <w:widowControl w:val="0"/>
        <w:kinsoku/>
        <w:wordWrap/>
        <w:overflowPunct/>
        <w:topLinePunct w:val="0"/>
        <w:bidi w:val="0"/>
        <w:adjustRightInd w:val="0"/>
        <w:snapToGrid w:val="0"/>
        <w:spacing w:line="560" w:lineRule="exact"/>
        <w:ind w:right="244" w:firstLine="561"/>
        <w:rPr>
          <w:rFonts w:hint="eastAsia" w:ascii="方正仿宋_GBK" w:hAnsi="方正仿宋_GBK" w:eastAsia="方正仿宋_GBK" w:cs="方正仿宋_GBK"/>
          <w:kern w:val="2"/>
          <w:sz w:val="32"/>
          <w:szCs w:val="32"/>
          <w:lang w:eastAsia="zh-CN"/>
        </w:rPr>
      </w:pPr>
      <w:r>
        <w:rPr>
          <w:rFonts w:hint="eastAsia" w:ascii="方正仿宋_GBK" w:hAnsi="方正仿宋_GBK" w:eastAsia="方正仿宋_GBK" w:cs="方正仿宋_GBK"/>
          <w:kern w:val="2"/>
          <w:sz w:val="32"/>
          <w:szCs w:val="32"/>
          <w:lang w:eastAsia="zh-CN"/>
        </w:rPr>
        <w:t>2022年，北京互联网法院对预算资金的支付符合国家财经法规和财务管理制度规定，资金拨付有完整的审批程序和手续；经费支出符合部门预算批复的用途，无截留挪用、虚列支出等情况，资金使用合规、安全。</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31" w:name="_Toc135162133"/>
      <w:r>
        <w:rPr>
          <w:rFonts w:hint="eastAsia" w:ascii="方正仿宋_GBK" w:hAnsi="方正仿宋_GBK" w:eastAsia="方正仿宋_GBK" w:cs="方正仿宋_GBK"/>
          <w:color w:val="000000"/>
          <w:kern w:val="0"/>
          <w:sz w:val="32"/>
          <w:szCs w:val="32"/>
        </w:rPr>
        <w:t>3.会计基础信息完善性</w:t>
      </w:r>
      <w:bookmarkEnd w:id="31"/>
    </w:p>
    <w:p>
      <w:pPr>
        <w:pStyle w:val="4"/>
        <w:pageBreakBefore w:val="0"/>
        <w:widowControl w:val="0"/>
        <w:kinsoku/>
        <w:wordWrap/>
        <w:overflowPunct/>
        <w:topLinePunct w:val="0"/>
        <w:bidi w:val="0"/>
        <w:adjustRightInd w:val="0"/>
        <w:snapToGrid w:val="0"/>
        <w:spacing w:line="560" w:lineRule="exact"/>
        <w:ind w:right="244" w:firstLine="561"/>
        <w:rPr>
          <w:rFonts w:hint="eastAsia" w:ascii="方正仿宋_GBK" w:hAnsi="方正仿宋_GBK" w:eastAsia="方正仿宋_GBK" w:cs="方正仿宋_GBK"/>
          <w:kern w:val="2"/>
          <w:sz w:val="32"/>
          <w:szCs w:val="32"/>
          <w:lang w:eastAsia="zh-CN"/>
        </w:rPr>
      </w:pPr>
      <w:r>
        <w:rPr>
          <w:rFonts w:hint="eastAsia" w:ascii="方正仿宋_GBK" w:hAnsi="方正仿宋_GBK" w:eastAsia="方正仿宋_GBK" w:cs="方正仿宋_GBK"/>
          <w:kern w:val="2"/>
          <w:sz w:val="32"/>
          <w:szCs w:val="32"/>
          <w:lang w:eastAsia="zh-CN"/>
        </w:rPr>
        <w:t>2022年，北京互联网法院严格执行财务管理制度、会计核算制度，财务数据和会计信息真实准确、完整齐全。</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32" w:name="_Toc135162134"/>
      <w:r>
        <w:rPr>
          <w:rFonts w:ascii="楷体" w:hAnsi="楷体" w:eastAsia="楷体" w:cs="Arial"/>
          <w:b w:val="0"/>
          <w:bCs w:val="0"/>
          <w:kern w:val="0"/>
          <w:sz w:val="32"/>
          <w:szCs w:val="32"/>
        </w:rPr>
        <w:t>（二）资产管理</w:t>
      </w:r>
      <w:bookmarkEnd w:id="32"/>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截止2022年12月31日，北京互联网法院资产总额11,049.51万元，其中：流动资产3,281.12万元，占比29.69%；非流动资产7,677.98万元，占比69.49%；受托代理资产90.41万元，占比0.82%。</w:t>
      </w:r>
    </w:p>
    <w:p>
      <w:pPr>
        <w:pageBreakBefore w:val="0"/>
        <w:widowControl w:val="0"/>
        <w:kinsoku/>
        <w:wordWrap/>
        <w:overflowPunct/>
        <w:topLinePunct w:val="0"/>
        <w:bidi w:val="0"/>
        <w:spacing w:line="560" w:lineRule="exact"/>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了加强本院资产管理，维护资产的安全和完整，提高资产的使用效益，北京互联网法院根据《行政事业单位内部控制规范（试行）》、《行政事业单位国有资产管理办法》、《北京市市级行政事业单位国有资产处置管理办法》及财政部相关规定，结合单位实际情况，制定了资产管理制度，包括《资产管理办法》和《办公用品及低值易耗品管理办法》，规范和加强了资产管理工作，维护了国有资产的安全完整、合理配置和有效利用，并设专人负责日常财产物质管理，并建立固定资产、低值易耗品、办公用品领用制度。</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33" w:name="_Toc135162135"/>
      <w:r>
        <w:rPr>
          <w:rFonts w:ascii="楷体" w:hAnsi="楷体" w:eastAsia="楷体" w:cs="Arial"/>
          <w:b w:val="0"/>
          <w:bCs w:val="0"/>
          <w:kern w:val="0"/>
          <w:sz w:val="32"/>
          <w:szCs w:val="32"/>
        </w:rPr>
        <w:t>（三）绩效管理</w:t>
      </w:r>
      <w:bookmarkEnd w:id="33"/>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34" w:name="_Toc453822264"/>
      <w:bookmarkStart w:id="35" w:name="_Toc135162136"/>
      <w:r>
        <w:rPr>
          <w:rFonts w:hint="eastAsia" w:ascii="方正仿宋_GBK" w:hAnsi="方正仿宋_GBK" w:eastAsia="方正仿宋_GBK" w:cs="方正仿宋_GBK"/>
          <w:color w:val="000000"/>
          <w:kern w:val="0"/>
          <w:sz w:val="32"/>
          <w:szCs w:val="32"/>
        </w:rPr>
        <w:t>1．绩效管理组织机构</w:t>
      </w:r>
      <w:bookmarkEnd w:id="34"/>
      <w:bookmarkEnd w:id="35"/>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及时跟踪监控预算执行情况，确保部门整体绩效目标的实现，北京互联网法院成立了绩效评价工作组（以下简称“工作组”），指导负责组织、协调、处理预算绩效工作的重大事项，及时发现并解决工作过程中遇到的重大问题，积极探索并完善部门预算绩效评价机制。</w:t>
      </w:r>
    </w:p>
    <w:p>
      <w:pPr>
        <w:pageBreakBefore w:val="0"/>
        <w:widowControl w:val="0"/>
        <w:kinsoku/>
        <w:wordWrap/>
        <w:overflowPunct/>
        <w:topLinePunct w:val="0"/>
        <w:bidi w:val="0"/>
        <w:adjustRightInd w:val="0"/>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绩效管理工作由综合办公室领导，工作组由主管财务院长任组长，综合办公室主任、财务负责人、受聘中介机构工作人员为组员，共同开展绩效管理工作。工作组根据《中华人民共和国预算法》、《北京市财政支出绩效评价管理暂行办法》、《北京市财政局关于开展2022年全面预算绩效管理工作的通知》（京财绩效〔2022〕669号）等有关规定，全面指导预算绩效管理工作。工作组组长负责统筹并指导绩效工作，组织制定相关管理办法；工作组组员分别负责绩效目标审核、项目执行管理、绩效完成情况的监察，参与绩效具体工作，及时发现并解决出现的问题，负责协调配合工作；受聘中介机构工作人员按照规定程序开展绩效考评工作，协助完成预算绩效评价工作。</w:t>
      </w:r>
    </w:p>
    <w:p>
      <w:pPr>
        <w:pageBreakBefore w:val="0"/>
        <w:widowControl w:val="0"/>
        <w:kinsoku/>
        <w:wordWrap/>
        <w:overflowPunct/>
        <w:topLinePunct w:val="0"/>
        <w:bidi w:val="0"/>
        <w:adjustRightInd w:val="0"/>
        <w:snapToGrid w:val="0"/>
        <w:spacing w:line="560" w:lineRule="exact"/>
        <w:ind w:left="105" w:leftChars="50" w:firstLine="480" w:firstLineChars="150"/>
        <w:outlineLvl w:val="2"/>
        <w:rPr>
          <w:rFonts w:hint="eastAsia" w:ascii="方正仿宋_GBK" w:hAnsi="方正仿宋_GBK" w:eastAsia="方正仿宋_GBK" w:cs="方正仿宋_GBK"/>
          <w:color w:val="000000"/>
          <w:kern w:val="0"/>
          <w:sz w:val="32"/>
          <w:szCs w:val="32"/>
        </w:rPr>
      </w:pPr>
      <w:bookmarkStart w:id="36" w:name="_Toc453822265"/>
      <w:bookmarkStart w:id="37" w:name="_Toc135162137"/>
      <w:r>
        <w:rPr>
          <w:rFonts w:hint="eastAsia" w:ascii="方正仿宋_GBK" w:hAnsi="方正仿宋_GBK" w:eastAsia="方正仿宋_GBK" w:cs="方正仿宋_GBK"/>
          <w:color w:val="000000"/>
          <w:kern w:val="0"/>
          <w:sz w:val="32"/>
          <w:szCs w:val="32"/>
        </w:rPr>
        <w:t>2．绩效</w:t>
      </w:r>
      <w:bookmarkStart w:id="47" w:name="_GoBack"/>
      <w:r>
        <w:rPr>
          <w:rFonts w:hint="eastAsia" w:ascii="方正仿宋_GBK" w:hAnsi="方正仿宋_GBK" w:eastAsia="方正仿宋_GBK" w:cs="方正仿宋_GBK"/>
          <w:color w:val="000000"/>
          <w:kern w:val="0"/>
          <w:sz w:val="32"/>
          <w:szCs w:val="32"/>
        </w:rPr>
        <w:t>信息收</w:t>
      </w:r>
      <w:bookmarkEnd w:id="47"/>
      <w:r>
        <w:rPr>
          <w:rFonts w:hint="eastAsia" w:ascii="方正仿宋_GBK" w:hAnsi="方正仿宋_GBK" w:eastAsia="方正仿宋_GBK" w:cs="方正仿宋_GBK"/>
          <w:color w:val="000000"/>
          <w:kern w:val="0"/>
          <w:sz w:val="32"/>
          <w:szCs w:val="32"/>
        </w:rPr>
        <w:t>集</w:t>
      </w:r>
      <w:bookmarkEnd w:id="36"/>
      <w:bookmarkEnd w:id="37"/>
    </w:p>
    <w:p>
      <w:pPr>
        <w:pageBreakBefore w:val="0"/>
        <w:widowControl w:val="0"/>
        <w:kinsoku/>
        <w:wordWrap/>
        <w:overflowPunct/>
        <w:topLinePunct w:val="0"/>
        <w:bidi w:val="0"/>
        <w:adjustRightInd w:val="0"/>
        <w:snapToGrid w:val="0"/>
        <w:spacing w:line="560" w:lineRule="exact"/>
        <w:ind w:firstLine="640" w:firstLineChars="200"/>
        <w:rPr>
          <w:rFonts w:ascii="宋体" w:hAnsi="宋体" w:cs="Arial"/>
          <w:sz w:val="32"/>
          <w:szCs w:val="32"/>
        </w:rPr>
      </w:pPr>
      <w:r>
        <w:rPr>
          <w:rFonts w:hint="eastAsia" w:ascii="方正仿宋_GBK" w:hAnsi="方正仿宋_GBK" w:eastAsia="方正仿宋_GBK" w:cs="方正仿宋_GBK"/>
          <w:sz w:val="32"/>
          <w:szCs w:val="32"/>
        </w:rPr>
        <w:t>绩效评价工作组对2022年预算项目的目标执行情况与资金使用情况进行跟踪、调查，获取相关绩效信息；同时，结合重点项目的实际情况收集相关资料，并进行全面核实和分析，及时发现项目预算执行中的问题，及时调整、纠正；最后，结合全年日常跟踪及绩效跟踪报告情况，对部门整体财政支出情况实施总结分析，撰写部门整体绩效报告，及时向财政部上报绩效信息。</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38" w:name="_Toc135162138"/>
      <w:r>
        <w:rPr>
          <w:rFonts w:ascii="楷体" w:hAnsi="楷体" w:eastAsia="楷体" w:cs="Arial"/>
          <w:b w:val="0"/>
          <w:bCs w:val="0"/>
          <w:kern w:val="0"/>
          <w:sz w:val="32"/>
          <w:szCs w:val="32"/>
        </w:rPr>
        <w:t>（四）结转结余率</w:t>
      </w:r>
      <w:bookmarkEnd w:id="38"/>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2022年北京互联网法院的部门结转结余率为5.96%，上年结转结余率为16.38%，2022年结转结余率比上年下降10.42%，部门预算编制较为科学，部门预算执行力度逐步加强。</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39" w:name="_Toc135162139"/>
      <w:r>
        <w:rPr>
          <w:rFonts w:ascii="楷体" w:hAnsi="楷体" w:eastAsia="楷体" w:cs="Arial"/>
          <w:b w:val="0"/>
          <w:bCs w:val="0"/>
          <w:kern w:val="0"/>
          <w:sz w:val="32"/>
          <w:szCs w:val="32"/>
        </w:rPr>
        <w:t>（五）部门预决算差异率</w:t>
      </w:r>
      <w:bookmarkEnd w:id="39"/>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2022年北京互联网法院部门年初预算数为13,950.97万元，调整后预算数为14,672.10万元，2022年决算数为13,976.60万元，预算执行率为94.04%。部门预决算差异率为5.96%，部门预算的约束力较好。</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40" w:name="_Toc135162140"/>
      <w:r>
        <w:rPr>
          <w:rFonts w:hint="eastAsia" w:ascii="方正黑体_GBK" w:hAnsi="方正黑体_GBK" w:eastAsia="方正黑体_GBK" w:cs="方正黑体_GBK"/>
          <w:b w:val="0"/>
          <w:bCs w:val="0"/>
          <w:sz w:val="32"/>
          <w:szCs w:val="32"/>
        </w:rPr>
        <w:t>五、总体评价结论</w:t>
      </w:r>
      <w:bookmarkEnd w:id="40"/>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41" w:name="_Toc135162141"/>
      <w:r>
        <w:rPr>
          <w:rFonts w:ascii="楷体" w:hAnsi="楷体" w:eastAsia="楷体" w:cs="Arial"/>
          <w:b w:val="0"/>
          <w:bCs w:val="0"/>
          <w:kern w:val="0"/>
          <w:sz w:val="32"/>
          <w:szCs w:val="32"/>
        </w:rPr>
        <w:t>（一）评价得分情况</w:t>
      </w:r>
      <w:bookmarkEnd w:id="41"/>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2022年度北京互联网法院部门整体支出绩效评价总体得分为92.13 分，评价等级为“优”。其中，部门当年预算执行情况分值20分，得分18.81分；整体绩效目标实现情况分值60分，得分56.12分；预算管理情况分值20分，得分17.20分。</w:t>
      </w:r>
    </w:p>
    <w:p>
      <w:pPr>
        <w:pageBreakBefore w:val="0"/>
        <w:widowControl w:val="0"/>
        <w:kinsoku/>
        <w:wordWrap/>
        <w:overflowPunct/>
        <w:topLinePunct w:val="0"/>
        <w:bidi w:val="0"/>
        <w:adjustRightInd w:val="0"/>
        <w:snapToGrid w:val="0"/>
        <w:spacing w:line="560" w:lineRule="exact"/>
        <w:ind w:firstLine="640" w:firstLineChars="200"/>
        <w:outlineLvl w:val="1"/>
        <w:rPr>
          <w:rFonts w:ascii="楷体" w:hAnsi="楷体" w:eastAsia="楷体" w:cs="Arial"/>
          <w:b w:val="0"/>
          <w:bCs w:val="0"/>
          <w:kern w:val="0"/>
          <w:sz w:val="32"/>
          <w:szCs w:val="32"/>
        </w:rPr>
      </w:pPr>
      <w:bookmarkStart w:id="42" w:name="_Toc135162142"/>
      <w:r>
        <w:rPr>
          <w:rFonts w:ascii="楷体" w:hAnsi="楷体" w:eastAsia="楷体" w:cs="Arial"/>
          <w:b w:val="0"/>
          <w:bCs w:val="0"/>
          <w:kern w:val="0"/>
          <w:sz w:val="32"/>
          <w:szCs w:val="32"/>
        </w:rPr>
        <w:t>（二）存在的问题及原因分析</w:t>
      </w:r>
      <w:bookmarkEnd w:id="42"/>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截至2022年12月31日，北京互联网法院部门整体支出及项目支出整体执行较好，进度控制在合理水平。但是，在本次整体支出绩效评价过程中，主要存在的问题为：</w:t>
      </w:r>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1、预算编制精确性不足，个别项目未实际支出，个别项目预算执行率偏低。</w:t>
      </w:r>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2022年部分项目预算编制不准确，如业务维修（护）费预算4.70万元，实际未支出；课题费项目预算5.00万元，实际支出1.27万元，在项目实施过程中未根据项目需求的变化及时调整预算。</w:t>
      </w:r>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2、部门整体绩效目标值填报内容相对简单，如项目产出指标内容单一，数量指标较少，不利于后期考核评价效果实现情况。</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43" w:name="_Toc135162143"/>
      <w:r>
        <w:rPr>
          <w:rFonts w:hint="eastAsia" w:ascii="方正黑体_GBK" w:hAnsi="方正黑体_GBK" w:eastAsia="方正黑体_GBK" w:cs="方正黑体_GBK"/>
          <w:b w:val="0"/>
          <w:bCs w:val="0"/>
          <w:sz w:val="32"/>
          <w:szCs w:val="32"/>
        </w:rPr>
        <w:t>六、措施建议</w:t>
      </w:r>
      <w:bookmarkEnd w:id="43"/>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bookmarkStart w:id="44" w:name="_Toc1388114"/>
      <w:r>
        <w:rPr>
          <w:rFonts w:hint="eastAsia" w:ascii="方正仿宋_GBK" w:hAnsi="方正仿宋_GBK" w:eastAsia="方正仿宋_GBK" w:cs="方正仿宋_GBK"/>
          <w:sz w:val="32"/>
          <w:szCs w:val="32"/>
          <w:lang w:eastAsia="zh-CN"/>
        </w:rPr>
        <w:t>（一）</w:t>
      </w:r>
      <w:bookmarkEnd w:id="44"/>
      <w:r>
        <w:rPr>
          <w:rFonts w:hint="eastAsia" w:ascii="方正仿宋_GBK" w:hAnsi="方正仿宋_GBK" w:eastAsia="方正仿宋_GBK" w:cs="方正仿宋_GBK"/>
          <w:sz w:val="32"/>
          <w:szCs w:val="32"/>
          <w:lang w:eastAsia="zh-CN"/>
        </w:rPr>
        <w:t>项目实施过程中，如业务需求发生改变，及时对预算金额进行调整，确保财政资金的高效利用。</w:t>
      </w:r>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（二）科学设置绩效目标，按照全面实施预算绩效管理的要求，注重绩效目标与项目目标、项目内容的对应关系，合理设置项目绩效目标和各项产出指标，做到绩效目标明确，绩效指标细化、量化、可衡量。</w:t>
      </w:r>
    </w:p>
    <w:p>
      <w:pPr>
        <w:pStyle w:val="2"/>
        <w:pageBreakBefore w:val="0"/>
        <w:widowControl w:val="0"/>
        <w:kinsoku/>
        <w:wordWrap/>
        <w:overflowPunct/>
        <w:topLinePunct w:val="0"/>
        <w:bidi w:val="0"/>
        <w:spacing w:line="560" w:lineRule="exact"/>
        <w:ind w:firstLine="602"/>
        <w:rPr>
          <w:rFonts w:hint="eastAsia" w:ascii="方正黑体_GBK" w:hAnsi="方正黑体_GBK" w:eastAsia="方正黑体_GBK" w:cs="方正黑体_GBK"/>
          <w:b w:val="0"/>
          <w:bCs w:val="0"/>
          <w:sz w:val="32"/>
          <w:szCs w:val="32"/>
        </w:rPr>
      </w:pPr>
      <w:bookmarkStart w:id="45" w:name="_Toc103006301"/>
      <w:bookmarkStart w:id="46" w:name="_Toc135162144"/>
      <w:r>
        <w:rPr>
          <w:rFonts w:hint="eastAsia" w:ascii="方正黑体_GBK" w:hAnsi="方正黑体_GBK" w:eastAsia="方正黑体_GBK" w:cs="方正黑体_GBK"/>
          <w:b w:val="0"/>
          <w:bCs w:val="0"/>
          <w:sz w:val="32"/>
          <w:szCs w:val="32"/>
        </w:rPr>
        <w:t>七、附件</w:t>
      </w:r>
      <w:bookmarkEnd w:id="45"/>
      <w:bookmarkEnd w:id="46"/>
    </w:p>
    <w:p>
      <w:pPr>
        <w:pageBreakBefore w:val="0"/>
        <w:widowControl w:val="0"/>
        <w:kinsoku/>
        <w:wordWrap/>
        <w:overflowPunct/>
        <w:topLinePunct w:val="0"/>
        <w:bidi w:val="0"/>
        <w:spacing w:line="56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2022年部门整体绩效评价指标体系评分表</w:t>
      </w:r>
    </w:p>
    <w:p>
      <w:pPr>
        <w:pageBreakBefore w:val="0"/>
        <w:widowControl w:val="0"/>
        <w:kinsoku/>
        <w:wordWrap/>
        <w:overflowPunct/>
        <w:topLinePunct w:val="0"/>
        <w:bidi w:val="0"/>
        <w:spacing w:line="560" w:lineRule="exact"/>
        <w:ind w:firstLine="640" w:firstLineChars="200"/>
        <w:rPr>
          <w:rFonts w:ascii="Arial Narrow" w:hAnsi="Arial Narrow" w:cs="Arial"/>
          <w:sz w:val="32"/>
          <w:szCs w:val="32"/>
        </w:rPr>
      </w:pPr>
    </w:p>
    <w:p>
      <w:pPr>
        <w:pageBreakBefore w:val="0"/>
        <w:widowControl w:val="0"/>
        <w:kinsoku/>
        <w:wordWrap/>
        <w:overflowPunct/>
        <w:topLinePunct w:val="0"/>
        <w:bidi w:val="0"/>
        <w:spacing w:line="560" w:lineRule="exact"/>
        <w:ind w:firstLine="480" w:firstLineChars="200"/>
        <w:rPr>
          <w:rFonts w:ascii="Arial Narrow" w:hAnsi="Arial Narrow" w:cs="Arial"/>
          <w:sz w:val="24"/>
        </w:rPr>
      </w:pPr>
    </w:p>
    <w:p>
      <w:pPr>
        <w:pageBreakBefore w:val="0"/>
        <w:widowControl w:val="0"/>
        <w:kinsoku/>
        <w:wordWrap/>
        <w:overflowPunct/>
        <w:topLinePunct w:val="0"/>
        <w:bidi w:val="0"/>
        <w:spacing w:line="560" w:lineRule="exact"/>
        <w:ind w:firstLine="6160" w:firstLineChars="2200"/>
        <w:rPr>
          <w:rFonts w:ascii="Arial Narrow" w:hAnsi="Arial Narrow" w:cs="Arial"/>
        </w:rPr>
      </w:pPr>
      <w:r>
        <w:rPr>
          <w:rFonts w:ascii="Arial Narrow" w:hAnsi="Arial Narrow" w:cs="Arial"/>
          <w:sz w:val="28"/>
          <w:szCs w:val="28"/>
        </w:rPr>
        <w:t xml:space="preserve"> </w:t>
      </w:r>
    </w:p>
    <w:sectPr>
      <w:headerReference r:id="rId3" w:type="default"/>
      <w:footerReference r:id="rId4" w:type="default"/>
      <w:pgSz w:w="11906" w:h="16838"/>
      <w:pgMar w:top="1911" w:right="1474" w:bottom="1882" w:left="1588" w:header="851" w:footer="153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汉仪中宋简"/>
    <w:panose1 w:val="02010600030101010101"/>
    <w:charset w:val="86"/>
    <w:family w:val="auto"/>
    <w:pitch w:val="default"/>
    <w:sig w:usb0="00000000" w:usb1="00000000" w:usb2="00000016" w:usb3="00000000" w:csb0="0004000F" w:csb1="00000000"/>
  </w:font>
  <w:font w:name="Cambria">
    <w:altName w:val="Noto Sans Syriac Eastern"/>
    <w:panose1 w:val="02040503050406030204"/>
    <w:charset w:val="00"/>
    <w:family w:val="roman"/>
    <w:pitch w:val="default"/>
    <w:sig w:usb0="00000000" w:usb1="00000000" w:usb2="02000000"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等线 Light">
    <w:altName w:val="方正宋体S-超大字符集(SIP)"/>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2883164"/>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130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CB2"/>
    <w:rsid w:val="000120A2"/>
    <w:rsid w:val="000410E3"/>
    <w:rsid w:val="000420B9"/>
    <w:rsid w:val="000536F0"/>
    <w:rsid w:val="00053853"/>
    <w:rsid w:val="00055CD5"/>
    <w:rsid w:val="000625CF"/>
    <w:rsid w:val="00064288"/>
    <w:rsid w:val="00066E4B"/>
    <w:rsid w:val="00075658"/>
    <w:rsid w:val="000828F1"/>
    <w:rsid w:val="00085BAF"/>
    <w:rsid w:val="000976F3"/>
    <w:rsid w:val="000A3E8E"/>
    <w:rsid w:val="000A5A08"/>
    <w:rsid w:val="000D3B5D"/>
    <w:rsid w:val="000E4BB2"/>
    <w:rsid w:val="000E564C"/>
    <w:rsid w:val="000F301F"/>
    <w:rsid w:val="000F361A"/>
    <w:rsid w:val="000F6C36"/>
    <w:rsid w:val="00103383"/>
    <w:rsid w:val="00106A0A"/>
    <w:rsid w:val="001129C0"/>
    <w:rsid w:val="0013115F"/>
    <w:rsid w:val="001332C7"/>
    <w:rsid w:val="00141705"/>
    <w:rsid w:val="001471CC"/>
    <w:rsid w:val="00151281"/>
    <w:rsid w:val="001546F5"/>
    <w:rsid w:val="00157E3D"/>
    <w:rsid w:val="0016066D"/>
    <w:rsid w:val="001766E7"/>
    <w:rsid w:val="00180895"/>
    <w:rsid w:val="001851DB"/>
    <w:rsid w:val="00193D0E"/>
    <w:rsid w:val="00193F51"/>
    <w:rsid w:val="001A4BDB"/>
    <w:rsid w:val="001C25D5"/>
    <w:rsid w:val="001C3525"/>
    <w:rsid w:val="001C6238"/>
    <w:rsid w:val="001D6CD6"/>
    <w:rsid w:val="001E09C1"/>
    <w:rsid w:val="001F17BE"/>
    <w:rsid w:val="00200E18"/>
    <w:rsid w:val="00203B4D"/>
    <w:rsid w:val="002148A9"/>
    <w:rsid w:val="00220641"/>
    <w:rsid w:val="0022404B"/>
    <w:rsid w:val="002251B5"/>
    <w:rsid w:val="0022700C"/>
    <w:rsid w:val="00227410"/>
    <w:rsid w:val="00240C20"/>
    <w:rsid w:val="0024198D"/>
    <w:rsid w:val="002703EA"/>
    <w:rsid w:val="00282443"/>
    <w:rsid w:val="00287A3D"/>
    <w:rsid w:val="00290946"/>
    <w:rsid w:val="002925FF"/>
    <w:rsid w:val="002A0A04"/>
    <w:rsid w:val="002A63E3"/>
    <w:rsid w:val="002B4B59"/>
    <w:rsid w:val="002C763C"/>
    <w:rsid w:val="002E325A"/>
    <w:rsid w:val="002F1CCF"/>
    <w:rsid w:val="003028A5"/>
    <w:rsid w:val="00304B3C"/>
    <w:rsid w:val="00313C00"/>
    <w:rsid w:val="00314C98"/>
    <w:rsid w:val="003317EC"/>
    <w:rsid w:val="003447D4"/>
    <w:rsid w:val="003557E4"/>
    <w:rsid w:val="00362AF2"/>
    <w:rsid w:val="003726DA"/>
    <w:rsid w:val="00384BCF"/>
    <w:rsid w:val="0038535E"/>
    <w:rsid w:val="003962A1"/>
    <w:rsid w:val="00396772"/>
    <w:rsid w:val="003A5D97"/>
    <w:rsid w:val="003A7DE2"/>
    <w:rsid w:val="003B69F2"/>
    <w:rsid w:val="003C478A"/>
    <w:rsid w:val="003D0056"/>
    <w:rsid w:val="003E4FCD"/>
    <w:rsid w:val="003E6666"/>
    <w:rsid w:val="003E6BDC"/>
    <w:rsid w:val="003E7FCD"/>
    <w:rsid w:val="003F06F2"/>
    <w:rsid w:val="003F730D"/>
    <w:rsid w:val="003F7A1E"/>
    <w:rsid w:val="004036A7"/>
    <w:rsid w:val="00404B8B"/>
    <w:rsid w:val="00407385"/>
    <w:rsid w:val="004160E8"/>
    <w:rsid w:val="00441FFF"/>
    <w:rsid w:val="0044496B"/>
    <w:rsid w:val="00451B12"/>
    <w:rsid w:val="0047463F"/>
    <w:rsid w:val="0048322E"/>
    <w:rsid w:val="004917AC"/>
    <w:rsid w:val="0049329E"/>
    <w:rsid w:val="004934DE"/>
    <w:rsid w:val="004B7A95"/>
    <w:rsid w:val="004C465F"/>
    <w:rsid w:val="004C703B"/>
    <w:rsid w:val="004E13A2"/>
    <w:rsid w:val="004E4AB7"/>
    <w:rsid w:val="004E73DD"/>
    <w:rsid w:val="004F509B"/>
    <w:rsid w:val="004F50EA"/>
    <w:rsid w:val="005138BC"/>
    <w:rsid w:val="005152A8"/>
    <w:rsid w:val="005232BC"/>
    <w:rsid w:val="00533322"/>
    <w:rsid w:val="005334C6"/>
    <w:rsid w:val="005628B7"/>
    <w:rsid w:val="005654F5"/>
    <w:rsid w:val="0056797C"/>
    <w:rsid w:val="00571C8B"/>
    <w:rsid w:val="005878A2"/>
    <w:rsid w:val="005A4021"/>
    <w:rsid w:val="005B49A7"/>
    <w:rsid w:val="005B5F02"/>
    <w:rsid w:val="005C2261"/>
    <w:rsid w:val="005E0BCE"/>
    <w:rsid w:val="005E32F1"/>
    <w:rsid w:val="005F42D8"/>
    <w:rsid w:val="005F4696"/>
    <w:rsid w:val="00602414"/>
    <w:rsid w:val="00615899"/>
    <w:rsid w:val="00616C6A"/>
    <w:rsid w:val="0061709B"/>
    <w:rsid w:val="006277A2"/>
    <w:rsid w:val="006302FD"/>
    <w:rsid w:val="00640017"/>
    <w:rsid w:val="00650D10"/>
    <w:rsid w:val="00656C80"/>
    <w:rsid w:val="00664A68"/>
    <w:rsid w:val="00664FC5"/>
    <w:rsid w:val="006675A8"/>
    <w:rsid w:val="0068097C"/>
    <w:rsid w:val="006A44CE"/>
    <w:rsid w:val="006A7688"/>
    <w:rsid w:val="006B5C17"/>
    <w:rsid w:val="006B77A0"/>
    <w:rsid w:val="006C0244"/>
    <w:rsid w:val="006C2B3A"/>
    <w:rsid w:val="006D198D"/>
    <w:rsid w:val="006E53EA"/>
    <w:rsid w:val="006E5529"/>
    <w:rsid w:val="006E5C1F"/>
    <w:rsid w:val="006E7B13"/>
    <w:rsid w:val="006E7E5C"/>
    <w:rsid w:val="006F3B8C"/>
    <w:rsid w:val="0071142C"/>
    <w:rsid w:val="00714043"/>
    <w:rsid w:val="00720302"/>
    <w:rsid w:val="00722ED6"/>
    <w:rsid w:val="00727156"/>
    <w:rsid w:val="00727F35"/>
    <w:rsid w:val="00731EB8"/>
    <w:rsid w:val="00735325"/>
    <w:rsid w:val="00755722"/>
    <w:rsid w:val="00797D83"/>
    <w:rsid w:val="007A2F3C"/>
    <w:rsid w:val="007B31F3"/>
    <w:rsid w:val="007B454C"/>
    <w:rsid w:val="007B5DF5"/>
    <w:rsid w:val="007C3978"/>
    <w:rsid w:val="007E22EB"/>
    <w:rsid w:val="007F5CA4"/>
    <w:rsid w:val="007F70CD"/>
    <w:rsid w:val="00802218"/>
    <w:rsid w:val="00802981"/>
    <w:rsid w:val="00803F07"/>
    <w:rsid w:val="008100FF"/>
    <w:rsid w:val="00813659"/>
    <w:rsid w:val="008243D4"/>
    <w:rsid w:val="00842DA5"/>
    <w:rsid w:val="008435D0"/>
    <w:rsid w:val="00850EB4"/>
    <w:rsid w:val="00857E99"/>
    <w:rsid w:val="00862819"/>
    <w:rsid w:val="00877A21"/>
    <w:rsid w:val="00880875"/>
    <w:rsid w:val="008935A9"/>
    <w:rsid w:val="008A6032"/>
    <w:rsid w:val="008B5830"/>
    <w:rsid w:val="008C5F84"/>
    <w:rsid w:val="008E695A"/>
    <w:rsid w:val="009004A0"/>
    <w:rsid w:val="00923C9F"/>
    <w:rsid w:val="00926B4E"/>
    <w:rsid w:val="00945410"/>
    <w:rsid w:val="00952BBB"/>
    <w:rsid w:val="00955C8F"/>
    <w:rsid w:val="00957885"/>
    <w:rsid w:val="00960D5E"/>
    <w:rsid w:val="00963442"/>
    <w:rsid w:val="00963E2C"/>
    <w:rsid w:val="0097219C"/>
    <w:rsid w:val="00975EB8"/>
    <w:rsid w:val="00976311"/>
    <w:rsid w:val="00977109"/>
    <w:rsid w:val="00995BC9"/>
    <w:rsid w:val="009A3C20"/>
    <w:rsid w:val="009A7C95"/>
    <w:rsid w:val="009B0CB2"/>
    <w:rsid w:val="009B4335"/>
    <w:rsid w:val="009B548D"/>
    <w:rsid w:val="009C1FBE"/>
    <w:rsid w:val="009D03A3"/>
    <w:rsid w:val="009D5187"/>
    <w:rsid w:val="009D6FDE"/>
    <w:rsid w:val="009E162C"/>
    <w:rsid w:val="009F4FBD"/>
    <w:rsid w:val="009F67AA"/>
    <w:rsid w:val="00A020EC"/>
    <w:rsid w:val="00A04F06"/>
    <w:rsid w:val="00A241A0"/>
    <w:rsid w:val="00A2641F"/>
    <w:rsid w:val="00A26AC1"/>
    <w:rsid w:val="00A34ACC"/>
    <w:rsid w:val="00A35559"/>
    <w:rsid w:val="00A4138B"/>
    <w:rsid w:val="00A465FD"/>
    <w:rsid w:val="00A529EA"/>
    <w:rsid w:val="00A545B2"/>
    <w:rsid w:val="00A80DEC"/>
    <w:rsid w:val="00A81561"/>
    <w:rsid w:val="00A817F0"/>
    <w:rsid w:val="00A90ADA"/>
    <w:rsid w:val="00A923C5"/>
    <w:rsid w:val="00A95CB3"/>
    <w:rsid w:val="00AA0E54"/>
    <w:rsid w:val="00AA3909"/>
    <w:rsid w:val="00B0012F"/>
    <w:rsid w:val="00B033CA"/>
    <w:rsid w:val="00B10CB2"/>
    <w:rsid w:val="00B34DD6"/>
    <w:rsid w:val="00B47F7C"/>
    <w:rsid w:val="00B508E6"/>
    <w:rsid w:val="00B50917"/>
    <w:rsid w:val="00B50B86"/>
    <w:rsid w:val="00B568B0"/>
    <w:rsid w:val="00B56D25"/>
    <w:rsid w:val="00B6067C"/>
    <w:rsid w:val="00B62ADB"/>
    <w:rsid w:val="00B726B3"/>
    <w:rsid w:val="00B84165"/>
    <w:rsid w:val="00B92E76"/>
    <w:rsid w:val="00BA08A0"/>
    <w:rsid w:val="00BA380C"/>
    <w:rsid w:val="00BA6C38"/>
    <w:rsid w:val="00BB40D5"/>
    <w:rsid w:val="00BC3922"/>
    <w:rsid w:val="00BD0C27"/>
    <w:rsid w:val="00BD67B3"/>
    <w:rsid w:val="00BD7960"/>
    <w:rsid w:val="00BF302F"/>
    <w:rsid w:val="00BF48A1"/>
    <w:rsid w:val="00C050EE"/>
    <w:rsid w:val="00C25A92"/>
    <w:rsid w:val="00C26CD7"/>
    <w:rsid w:val="00C40166"/>
    <w:rsid w:val="00C5405D"/>
    <w:rsid w:val="00C84652"/>
    <w:rsid w:val="00CA1493"/>
    <w:rsid w:val="00CA2F22"/>
    <w:rsid w:val="00CA54DA"/>
    <w:rsid w:val="00CA5FE8"/>
    <w:rsid w:val="00CB17A1"/>
    <w:rsid w:val="00CB76D7"/>
    <w:rsid w:val="00CC3A98"/>
    <w:rsid w:val="00CD5C26"/>
    <w:rsid w:val="00CE6507"/>
    <w:rsid w:val="00CE6526"/>
    <w:rsid w:val="00CF599A"/>
    <w:rsid w:val="00D113C4"/>
    <w:rsid w:val="00D1651D"/>
    <w:rsid w:val="00D34EC5"/>
    <w:rsid w:val="00D37396"/>
    <w:rsid w:val="00D40FB7"/>
    <w:rsid w:val="00D455A1"/>
    <w:rsid w:val="00D4565C"/>
    <w:rsid w:val="00D502FC"/>
    <w:rsid w:val="00D51364"/>
    <w:rsid w:val="00D55611"/>
    <w:rsid w:val="00D56EF5"/>
    <w:rsid w:val="00D6740B"/>
    <w:rsid w:val="00D67EBC"/>
    <w:rsid w:val="00D85DA3"/>
    <w:rsid w:val="00D903DC"/>
    <w:rsid w:val="00D91929"/>
    <w:rsid w:val="00DA5662"/>
    <w:rsid w:val="00DA6145"/>
    <w:rsid w:val="00DB6A28"/>
    <w:rsid w:val="00DC44DA"/>
    <w:rsid w:val="00DE51E4"/>
    <w:rsid w:val="00E0322C"/>
    <w:rsid w:val="00E124D3"/>
    <w:rsid w:val="00E2179F"/>
    <w:rsid w:val="00E23316"/>
    <w:rsid w:val="00E24C83"/>
    <w:rsid w:val="00E3489D"/>
    <w:rsid w:val="00E350F3"/>
    <w:rsid w:val="00E556B5"/>
    <w:rsid w:val="00E66AB4"/>
    <w:rsid w:val="00E75F21"/>
    <w:rsid w:val="00E95600"/>
    <w:rsid w:val="00E961F1"/>
    <w:rsid w:val="00EA1F2F"/>
    <w:rsid w:val="00EA5654"/>
    <w:rsid w:val="00EA686D"/>
    <w:rsid w:val="00EA7224"/>
    <w:rsid w:val="00EC05BC"/>
    <w:rsid w:val="00EC0D4F"/>
    <w:rsid w:val="00EC62B6"/>
    <w:rsid w:val="00ED0D22"/>
    <w:rsid w:val="00EE421D"/>
    <w:rsid w:val="00EE4369"/>
    <w:rsid w:val="00EE68FC"/>
    <w:rsid w:val="00F018BC"/>
    <w:rsid w:val="00F05F3E"/>
    <w:rsid w:val="00F22CCC"/>
    <w:rsid w:val="00F23B5F"/>
    <w:rsid w:val="00F47CD2"/>
    <w:rsid w:val="00F51AE1"/>
    <w:rsid w:val="00F54278"/>
    <w:rsid w:val="00F60919"/>
    <w:rsid w:val="00F67187"/>
    <w:rsid w:val="00F7286E"/>
    <w:rsid w:val="00F73E1E"/>
    <w:rsid w:val="00F7429D"/>
    <w:rsid w:val="00F7543D"/>
    <w:rsid w:val="00F758AA"/>
    <w:rsid w:val="00F92DC7"/>
    <w:rsid w:val="00F95B89"/>
    <w:rsid w:val="00F96DDB"/>
    <w:rsid w:val="00FC30C7"/>
    <w:rsid w:val="00FD3C49"/>
    <w:rsid w:val="6DFDB277"/>
    <w:rsid w:val="7BAF6519"/>
    <w:rsid w:val="DFBF6A9A"/>
    <w:rsid w:val="F8AF7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adjustRightInd w:val="0"/>
      <w:snapToGrid w:val="0"/>
      <w:spacing w:before="156" w:beforeLines="50" w:line="360" w:lineRule="auto"/>
      <w:ind w:firstLine="562" w:firstLineChars="200"/>
      <w:outlineLvl w:val="0"/>
    </w:pPr>
    <w:rPr>
      <w:rFonts w:ascii="宋体" w:hAnsi="宋体"/>
      <w:b/>
      <w:bCs/>
      <w:kern w:val="0"/>
      <w:sz w:val="28"/>
      <w:szCs w:val="28"/>
    </w:rPr>
  </w:style>
  <w:style w:type="paragraph" w:styleId="3">
    <w:name w:val="heading 2"/>
    <w:basedOn w:val="1"/>
    <w:next w:val="1"/>
    <w:link w:val="2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2"/>
    <w:qFormat/>
    <w:uiPriority w:val="1"/>
    <w:pPr>
      <w:autoSpaceDE w:val="0"/>
      <w:autoSpaceDN w:val="0"/>
      <w:ind w:left="102"/>
      <w:jc w:val="left"/>
    </w:pPr>
    <w:rPr>
      <w:rFonts w:ascii="宋体" w:hAnsi="宋体" w:cs="宋体"/>
      <w:kern w:val="0"/>
      <w:sz w:val="28"/>
      <w:szCs w:val="28"/>
      <w:lang w:eastAsia="en-US"/>
    </w:rPr>
  </w:style>
  <w:style w:type="paragraph" w:styleId="5">
    <w:name w:val="toc 3"/>
    <w:basedOn w:val="1"/>
    <w:next w:val="1"/>
    <w:unhideWhenUsed/>
    <w:qFormat/>
    <w:uiPriority w:val="39"/>
    <w:pPr>
      <w:ind w:left="840" w:leftChars="400"/>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4"/>
      </w:tabs>
      <w:adjustRightInd w:val="0"/>
      <w:snapToGrid w:val="0"/>
      <w:spacing w:line="380" w:lineRule="exact"/>
      <w:jc w:val="center"/>
    </w:pPr>
  </w:style>
  <w:style w:type="paragraph" w:styleId="9">
    <w:name w:val="toc 2"/>
    <w:basedOn w:val="1"/>
    <w:next w:val="1"/>
    <w:unhideWhenUsed/>
    <w:qFormat/>
    <w:uiPriority w:val="39"/>
    <w:pPr>
      <w:ind w:left="420" w:leftChars="20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3">
    <w:name w:val="page number"/>
    <w:basedOn w:val="12"/>
    <w:qFormat/>
    <w:uiPriority w:val="0"/>
  </w:style>
  <w:style w:type="character" w:styleId="14">
    <w:name w:val="Hyperlink"/>
    <w:unhideWhenUsed/>
    <w:qFormat/>
    <w:uiPriority w:val="99"/>
    <w:rPr>
      <w:color w:val="0000FF"/>
      <w:u w:val="single"/>
    </w:rPr>
  </w:style>
  <w:style w:type="character" w:customStyle="1" w:styleId="15">
    <w:name w:val="标题 1 字符"/>
    <w:basedOn w:val="12"/>
    <w:qFormat/>
    <w:uiPriority w:val="9"/>
    <w:rPr>
      <w:rFonts w:ascii="Times New Roman" w:hAnsi="Times New Roman" w:eastAsia="宋体" w:cs="Times New Roman"/>
      <w:b/>
      <w:bCs/>
      <w:kern w:val="44"/>
      <w:sz w:val="44"/>
      <w:szCs w:val="44"/>
    </w:rPr>
  </w:style>
  <w:style w:type="character" w:customStyle="1" w:styleId="16">
    <w:name w:val="页脚 字符"/>
    <w:basedOn w:val="12"/>
    <w:qFormat/>
    <w:uiPriority w:val="99"/>
    <w:rPr>
      <w:rFonts w:ascii="Times New Roman" w:hAnsi="Times New Roman" w:eastAsia="宋体" w:cs="Times New Roman"/>
      <w:sz w:val="18"/>
      <w:szCs w:val="18"/>
    </w:rPr>
  </w:style>
  <w:style w:type="character" w:customStyle="1" w:styleId="17">
    <w:name w:val="页脚 字符1"/>
    <w:link w:val="6"/>
    <w:qFormat/>
    <w:uiPriority w:val="99"/>
    <w:rPr>
      <w:rFonts w:ascii="Times New Roman" w:hAnsi="Times New Roman" w:eastAsia="宋体" w:cs="Times New Roman"/>
      <w:sz w:val="18"/>
      <w:szCs w:val="18"/>
    </w:rPr>
  </w:style>
  <w:style w:type="character" w:customStyle="1" w:styleId="18">
    <w:name w:val="标题 1 字符1"/>
    <w:link w:val="2"/>
    <w:qFormat/>
    <w:uiPriority w:val="0"/>
    <w:rPr>
      <w:rFonts w:ascii="宋体" w:hAnsi="宋体" w:eastAsia="宋体" w:cs="Times New Roman"/>
      <w:b/>
      <w:bCs/>
      <w:kern w:val="0"/>
      <w:sz w:val="28"/>
      <w:szCs w:val="28"/>
    </w:rPr>
  </w:style>
  <w:style w:type="paragraph" w:customStyle="1" w:styleId="19">
    <w:name w:val="TOC 标题1"/>
    <w:basedOn w:val="2"/>
    <w:next w:val="1"/>
    <w:unhideWhenUsed/>
    <w:qFormat/>
    <w:uiPriority w:val="39"/>
    <w:pPr>
      <w:widowControl/>
      <w:adjustRightInd/>
      <w:snapToGrid/>
      <w:spacing w:before="480" w:beforeLines="0" w:line="276" w:lineRule="auto"/>
      <w:ind w:firstLine="0" w:firstLineChars="0"/>
      <w:jc w:val="left"/>
      <w:outlineLvl w:val="9"/>
    </w:pPr>
    <w:rPr>
      <w:rFonts w:ascii="Cambria" w:hAnsi="Cambria"/>
      <w:color w:val="365F91"/>
    </w:rPr>
  </w:style>
  <w:style w:type="paragraph" w:customStyle="1" w:styleId="20">
    <w:name w:val="_Style 13"/>
    <w:basedOn w:val="1"/>
    <w:next w:val="1"/>
    <w:unhideWhenUsed/>
    <w:qFormat/>
    <w:uiPriority w:val="39"/>
    <w:pPr>
      <w:ind w:left="840" w:leftChars="400"/>
    </w:pPr>
  </w:style>
  <w:style w:type="character" w:customStyle="1" w:styleId="21">
    <w:name w:val="页眉 字符"/>
    <w:basedOn w:val="12"/>
    <w:link w:val="7"/>
    <w:qFormat/>
    <w:uiPriority w:val="99"/>
    <w:rPr>
      <w:rFonts w:ascii="Times New Roman" w:hAnsi="Times New Roman" w:eastAsia="宋体" w:cs="Times New Roman"/>
      <w:sz w:val="18"/>
      <w:szCs w:val="18"/>
    </w:rPr>
  </w:style>
  <w:style w:type="character" w:customStyle="1" w:styleId="22">
    <w:name w:val="正文文本 字符"/>
    <w:basedOn w:val="12"/>
    <w:link w:val="4"/>
    <w:qFormat/>
    <w:uiPriority w:val="1"/>
    <w:rPr>
      <w:rFonts w:ascii="宋体" w:hAnsi="宋体" w:eastAsia="宋体" w:cs="宋体"/>
      <w:kern w:val="0"/>
      <w:sz w:val="28"/>
      <w:szCs w:val="28"/>
      <w:lang w:eastAsia="en-US"/>
    </w:rPr>
  </w:style>
  <w:style w:type="paragraph" w:customStyle="1" w:styleId="23">
    <w:name w:val="_Style 22"/>
    <w:basedOn w:val="1"/>
    <w:next w:val="24"/>
    <w:qFormat/>
    <w:uiPriority w:val="34"/>
    <w:pPr>
      <w:ind w:firstLine="420" w:firstLineChars="200"/>
    </w:pPr>
    <w:rPr>
      <w:rFonts w:ascii="Calibri" w:hAnsi="Calibri"/>
      <w:szCs w:val="22"/>
    </w:rPr>
  </w:style>
  <w:style w:type="paragraph" w:styleId="24">
    <w:name w:val="List Paragraph"/>
    <w:basedOn w:val="1"/>
    <w:qFormat/>
    <w:uiPriority w:val="34"/>
    <w:pPr>
      <w:ind w:firstLine="420" w:firstLineChars="200"/>
    </w:pPr>
  </w:style>
  <w:style w:type="character" w:customStyle="1" w:styleId="25">
    <w:name w:val="标题 2 字符"/>
    <w:basedOn w:val="12"/>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1150</Words>
  <Characters>6557</Characters>
  <Lines>54</Lines>
  <Paragraphs>15</Paragraphs>
  <TotalTime>12</TotalTime>
  <ScaleCrop>false</ScaleCrop>
  <LinksUpToDate>false</LinksUpToDate>
  <CharactersWithSpaces>7692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2023-05-24T23:55:00Z</dcterms:created>
  <dc:creator>宋 小梅</dc:creator>
  <cp:lastModifiedBy>user</cp:lastModifiedBy>
  <cp:lastPrinted>2022-04-03T17:25:00Z</cp:lastPrinted>
  <dcterms:modified xsi:type="dcterms:W3CDTF">2023-08-24T17:07:18Z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