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简体" w:hAnsi="华文中宋" w:eastAsia="方正小标宋简体"/>
          <w:sz w:val="36"/>
          <w:szCs w:val="36"/>
        </w:rPr>
      </w:pPr>
    </w:p>
    <w:p>
      <w:pPr>
        <w:snapToGrid w:val="0"/>
        <w:jc w:val="center"/>
        <w:rPr>
          <w:rFonts w:hint="eastAsia" w:ascii="方正小标宋简体" w:hAnsi="华文中宋" w:eastAsia="方正小标宋简体"/>
          <w:sz w:val="52"/>
          <w:szCs w:val="52"/>
        </w:rPr>
      </w:pPr>
    </w:p>
    <w:p>
      <w:pPr>
        <w:snapToGrid w:val="0"/>
        <w:jc w:val="center"/>
        <w:rPr>
          <w:rFonts w:hint="eastAsia" w:ascii="方正小标宋简体" w:hAnsi="华文中宋" w:eastAsia="方正小标宋简体"/>
          <w:sz w:val="52"/>
          <w:szCs w:val="52"/>
        </w:rPr>
      </w:pPr>
    </w:p>
    <w:p>
      <w:pPr>
        <w:snapToGrid w:val="0"/>
        <w:jc w:val="center"/>
        <w:rPr>
          <w:rFonts w:ascii="方正小标宋简体" w:hAnsi="华文中宋" w:eastAsia="方正小标宋简体"/>
          <w:sz w:val="52"/>
          <w:szCs w:val="52"/>
        </w:rPr>
      </w:pPr>
      <w:r>
        <w:rPr>
          <w:rFonts w:hint="eastAsia" w:ascii="方正小标宋简体" w:hAnsi="华文中宋" w:eastAsia="方正小标宋简体"/>
          <w:sz w:val="52"/>
          <w:szCs w:val="52"/>
        </w:rPr>
        <w:t>北京市人民政府办公厅</w:t>
      </w:r>
    </w:p>
    <w:p>
      <w:pPr>
        <w:snapToGrid w:val="0"/>
        <w:jc w:val="center"/>
        <w:rPr>
          <w:rFonts w:ascii="方正小标宋简体" w:hAnsi="华文中宋" w:eastAsia="方正小标宋简体"/>
          <w:sz w:val="52"/>
          <w:szCs w:val="52"/>
        </w:rPr>
      </w:pPr>
      <w:r>
        <w:rPr>
          <w:rFonts w:hint="eastAsia" w:ascii="方正小标宋简体" w:hAnsi="华文中宋" w:eastAsia="方正小标宋简体"/>
          <w:sz w:val="52"/>
          <w:szCs w:val="52"/>
          <w:lang w:val="en-US" w:eastAsia="zh-CN"/>
        </w:rPr>
        <w:t>2022</w:t>
      </w:r>
      <w:r>
        <w:rPr>
          <w:rFonts w:hint="eastAsia" w:ascii="方正小标宋简体" w:hAnsi="华文中宋" w:eastAsia="方正小标宋简体"/>
          <w:sz w:val="52"/>
          <w:szCs w:val="52"/>
        </w:rPr>
        <w:t>年度部门整体绩效评价报告</w:t>
      </w:r>
    </w:p>
    <w:p>
      <w:pPr>
        <w:jc w:val="center"/>
        <w:rPr>
          <w:rFonts w:ascii="方正小标宋简体" w:hAnsi="方正小标宋简体" w:eastAsia="方正小标宋简体" w:cs="方正小标宋简体"/>
          <w:bCs/>
          <w:sz w:val="52"/>
          <w:szCs w:val="20"/>
        </w:rPr>
      </w:pPr>
    </w:p>
    <w:p>
      <w:pPr>
        <w:jc w:val="center"/>
        <w:rPr>
          <w:sz w:val="30"/>
          <w:szCs w:val="20"/>
        </w:rPr>
      </w:pPr>
    </w:p>
    <w:p>
      <w:pPr>
        <w:spacing w:line="560" w:lineRule="exact"/>
        <w:jc w:val="both"/>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jc w:val="center"/>
        <w:rPr>
          <w:rFonts w:ascii="Times New Roman" w:hAnsi="Times New Roman" w:eastAsia="仿宋_GB2312"/>
          <w:b/>
          <w:bCs/>
          <w:sz w:val="36"/>
          <w:szCs w:val="36"/>
        </w:rPr>
      </w:pPr>
    </w:p>
    <w:p>
      <w:pPr>
        <w:spacing w:line="560" w:lineRule="exact"/>
        <w:jc w:val="center"/>
        <w:rPr>
          <w:rFonts w:ascii="楷体_GB2312" w:hAnsi="楷体_GB2312" w:eastAsia="楷体_GB2312" w:cs="楷体_GB2312"/>
          <w:b/>
          <w:sz w:val="36"/>
          <w:szCs w:val="36"/>
        </w:rPr>
      </w:pPr>
      <w:r>
        <w:rPr>
          <w:rFonts w:hint="eastAsia" w:ascii="楷体_GB2312" w:hAnsi="楷体_GB2312" w:eastAsia="楷体_GB2312" w:cs="楷体_GB2312"/>
          <w:b/>
          <w:sz w:val="36"/>
          <w:szCs w:val="36"/>
        </w:rPr>
        <w:t>北京市</w:t>
      </w:r>
      <w:r>
        <w:rPr>
          <w:rFonts w:hint="eastAsia" w:ascii="楷体_GB2312" w:hAnsi="楷体_GB2312" w:eastAsia="楷体_GB2312" w:cs="楷体_GB2312"/>
          <w:b/>
          <w:sz w:val="36"/>
          <w:szCs w:val="36"/>
          <w:lang w:eastAsia="zh-CN"/>
        </w:rPr>
        <w:t>人民政府</w:t>
      </w:r>
      <w:r>
        <w:rPr>
          <w:rFonts w:hint="eastAsia" w:ascii="楷体_GB2312" w:hAnsi="楷体_GB2312" w:eastAsia="楷体_GB2312" w:cs="楷体_GB2312"/>
          <w:b/>
          <w:sz w:val="36"/>
          <w:szCs w:val="36"/>
        </w:rPr>
        <w:t>办公厅</w:t>
      </w:r>
    </w:p>
    <w:p>
      <w:pPr>
        <w:spacing w:line="560" w:lineRule="exact"/>
        <w:jc w:val="center"/>
        <w:rPr>
          <w:rFonts w:hint="eastAsia" w:ascii="楷体_GB2312" w:hAnsi="楷体_GB2312" w:eastAsia="楷体_GB2312" w:cs="楷体_GB2312"/>
          <w:b/>
          <w:sz w:val="36"/>
          <w:szCs w:val="36"/>
        </w:rPr>
      </w:pPr>
      <w:r>
        <w:rPr>
          <w:rFonts w:hint="eastAsia" w:ascii="楷体_GB2312" w:hAnsi="楷体_GB2312" w:eastAsia="楷体_GB2312" w:cs="楷体_GB2312"/>
          <w:b/>
          <w:sz w:val="36"/>
          <w:szCs w:val="36"/>
        </w:rPr>
        <w:t>202</w:t>
      </w:r>
      <w:r>
        <w:rPr>
          <w:rFonts w:hint="eastAsia" w:ascii="楷体_GB2312" w:hAnsi="楷体_GB2312" w:eastAsia="楷体_GB2312" w:cs="楷体_GB2312"/>
          <w:b/>
          <w:sz w:val="36"/>
          <w:szCs w:val="36"/>
          <w:lang w:val="en-US" w:eastAsia="zh-CN"/>
        </w:rPr>
        <w:t>3</w:t>
      </w:r>
      <w:r>
        <w:rPr>
          <w:rFonts w:hint="eastAsia" w:ascii="楷体_GB2312" w:hAnsi="楷体_GB2312" w:eastAsia="楷体_GB2312" w:cs="楷体_GB2312"/>
          <w:b/>
          <w:sz w:val="36"/>
          <w:szCs w:val="36"/>
        </w:rPr>
        <w:t>年</w:t>
      </w:r>
      <w:r>
        <w:rPr>
          <w:rFonts w:hint="eastAsia" w:ascii="楷体_GB2312" w:hAnsi="楷体_GB2312" w:eastAsia="楷体_GB2312" w:cs="楷体_GB2312"/>
          <w:b/>
          <w:sz w:val="36"/>
          <w:szCs w:val="36"/>
          <w:lang w:val="en-US" w:eastAsia="zh-CN"/>
        </w:rPr>
        <w:t>5</w:t>
      </w:r>
      <w:r>
        <w:rPr>
          <w:rFonts w:hint="eastAsia" w:ascii="楷体_GB2312" w:hAnsi="楷体_GB2312" w:eastAsia="楷体_GB2312" w:cs="楷体_GB2312"/>
          <w:b/>
          <w:sz w:val="36"/>
          <w:szCs w:val="36"/>
        </w:rPr>
        <w:t>月</w:t>
      </w:r>
    </w:p>
    <w:p>
      <w:pPr>
        <w:rPr>
          <w:rFonts w:hint="eastAsia" w:ascii="楷体_GB2312" w:hAnsi="楷体_GB2312" w:eastAsia="楷体_GB2312" w:cs="楷体_GB2312"/>
          <w:b/>
          <w:sz w:val="36"/>
          <w:szCs w:val="36"/>
        </w:rPr>
      </w:pPr>
      <w:r>
        <w:rPr>
          <w:rFonts w:hint="eastAsia" w:ascii="楷体_GB2312" w:hAnsi="楷体_GB2312" w:eastAsia="楷体_GB2312" w:cs="楷体_GB2312"/>
          <w:b/>
          <w:sz w:val="36"/>
          <w:szCs w:val="36"/>
        </w:rPr>
        <w:br w:type="page"/>
      </w:r>
    </w:p>
    <w:p>
      <w:pPr>
        <w:spacing w:line="560" w:lineRule="exact"/>
        <w:jc w:val="both"/>
        <w:rPr>
          <w:rFonts w:ascii="方正小标宋简体" w:eastAsia="方正小标宋简体"/>
          <w:sz w:val="36"/>
          <w:szCs w:val="36"/>
        </w:rPr>
      </w:pPr>
    </w:p>
    <w:p>
      <w:pPr>
        <w:spacing w:line="560" w:lineRule="exact"/>
        <w:ind w:firstLine="570"/>
        <w:jc w:val="left"/>
        <w:rPr>
          <w:rFonts w:hint="eastAsia" w:ascii="CESI仿宋-GB2312" w:hAnsi="CESI仿宋-GB2312" w:eastAsia="CESI仿宋-GB2312" w:cs="CESI仿宋-GB2312"/>
          <w:sz w:val="32"/>
          <w:szCs w:val="32"/>
        </w:rPr>
      </w:pPr>
      <w:bookmarkStart w:id="0" w:name="_Toc103362013"/>
      <w:r>
        <w:rPr>
          <w:rFonts w:hint="eastAsia" w:ascii="Times New Roman" w:hAnsi="Times New Roman" w:eastAsia="仿宋_GB2312"/>
          <w:sz w:val="32"/>
          <w:szCs w:val="32"/>
        </w:rPr>
        <w:t>为</w:t>
      </w:r>
      <w:r>
        <w:rPr>
          <w:rFonts w:hint="eastAsia" w:ascii="仿宋_GB2312" w:hAnsi="仿宋" w:eastAsia="仿宋_GB2312"/>
          <w:sz w:val="32"/>
          <w:szCs w:val="32"/>
          <w:highlight w:val="none"/>
        </w:rPr>
        <w:t>深化全过程预算绩效管理，提高预算执行效率和资金使用效率</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根据</w:t>
      </w:r>
      <w:r>
        <w:rPr>
          <w:rFonts w:hint="eastAsia" w:ascii="仿宋_GB2312" w:hAnsi="仿宋" w:eastAsia="仿宋_GB2312"/>
          <w:sz w:val="32"/>
          <w:szCs w:val="32"/>
          <w:highlight w:val="none"/>
          <w:lang w:eastAsia="zh-CN"/>
        </w:rPr>
        <w:t>市财政局预算绩效相关规定，北京市人民政府办公厅对本部门整体绩效情况实施评价，形成本绩效评价</w:t>
      </w:r>
      <w:r>
        <w:rPr>
          <w:rFonts w:hint="eastAsia" w:ascii="CESI仿宋-GB2312" w:hAnsi="CESI仿宋-GB2312" w:eastAsia="CESI仿宋-GB2312" w:cs="CESI仿宋-GB2312"/>
          <w:sz w:val="32"/>
          <w:szCs w:val="32"/>
        </w:rPr>
        <w:t>报告。</w:t>
      </w:r>
    </w:p>
    <w:p>
      <w:pPr>
        <w:snapToGrid w:val="0"/>
        <w:spacing w:line="520" w:lineRule="exact"/>
        <w:ind w:firstLine="640" w:firstLineChars="200"/>
        <w:outlineLvl w:val="0"/>
        <w:rPr>
          <w:rFonts w:ascii="黑体" w:hAnsi="黑体" w:eastAsia="黑体"/>
          <w:sz w:val="32"/>
          <w:szCs w:val="32"/>
        </w:rPr>
      </w:pPr>
      <w:r>
        <w:rPr>
          <w:rFonts w:hint="eastAsia" w:ascii="黑体" w:hAnsi="黑体" w:eastAsia="黑体"/>
          <w:sz w:val="32"/>
          <w:szCs w:val="32"/>
        </w:rPr>
        <w:t>一、部门概况</w:t>
      </w:r>
      <w:bookmarkEnd w:id="0"/>
    </w:p>
    <w:p>
      <w:pPr>
        <w:snapToGrid w:val="0"/>
        <w:spacing w:line="520" w:lineRule="exact"/>
        <w:ind w:firstLine="640" w:firstLineChars="200"/>
        <w:outlineLvl w:val="1"/>
        <w:rPr>
          <w:rFonts w:ascii="楷体_GB2312" w:hAnsi="仿宋" w:eastAsia="楷体_GB2312"/>
          <w:sz w:val="32"/>
          <w:szCs w:val="32"/>
        </w:rPr>
      </w:pPr>
      <w:bookmarkStart w:id="1" w:name="_Toc103362014"/>
      <w:r>
        <w:rPr>
          <w:rFonts w:hint="eastAsia" w:ascii="楷体_GB2312" w:hAnsi="仿宋" w:eastAsia="楷体_GB2312"/>
          <w:sz w:val="32"/>
          <w:szCs w:val="32"/>
        </w:rPr>
        <w:t>（一）机构设置及职责工作任务情况</w:t>
      </w:r>
      <w:bookmarkEnd w:id="1"/>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北京市人民政府办公厅包括北京市人民政府办公厅（本级）、北京市人民政府驻上海办事处。</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北京市人民政府办公厅是协助市政府领导同志处理市政府日常工作的机构。</w:t>
      </w:r>
    </w:p>
    <w:p>
      <w:pPr>
        <w:snapToGrid w:val="0"/>
        <w:spacing w:line="520" w:lineRule="exact"/>
        <w:ind w:firstLine="640" w:firstLineChars="200"/>
        <w:outlineLvl w:val="1"/>
        <w:rPr>
          <w:rFonts w:ascii="楷体_GB2312" w:hAnsi="仿宋" w:eastAsia="楷体_GB2312"/>
          <w:sz w:val="32"/>
          <w:szCs w:val="32"/>
        </w:rPr>
      </w:pPr>
      <w:bookmarkStart w:id="2" w:name="_Toc103362015"/>
      <w:r>
        <w:rPr>
          <w:rFonts w:hint="eastAsia" w:ascii="楷体_GB2312" w:hAnsi="仿宋" w:eastAsia="楷体_GB2312"/>
          <w:sz w:val="32"/>
          <w:szCs w:val="32"/>
        </w:rPr>
        <w:t>（二）部门整体绩效目标设立情况</w:t>
      </w:r>
      <w:bookmarkEnd w:id="2"/>
    </w:p>
    <w:p>
      <w:pPr>
        <w:spacing w:line="560" w:lineRule="exact"/>
        <w:ind w:firstLine="640" w:firstLineChars="200"/>
        <w:rPr>
          <w:rFonts w:ascii="仿宋_GB2312" w:eastAsia="仿宋_GB2312"/>
          <w:sz w:val="32"/>
          <w:szCs w:val="32"/>
          <w:highlight w:val="none"/>
        </w:rPr>
      </w:pPr>
      <w:r>
        <w:rPr>
          <w:rFonts w:hint="eastAsia" w:ascii="仿宋_GB2312" w:hAnsi="仿宋" w:eastAsia="仿宋_GB2312"/>
          <w:sz w:val="32"/>
          <w:szCs w:val="32"/>
          <w:highlight w:val="none"/>
        </w:rPr>
        <w:t>按照市财政局</w:t>
      </w:r>
      <w:r>
        <w:rPr>
          <w:rFonts w:hint="eastAsia" w:ascii="仿宋_GB2312" w:hAnsi="仿宋" w:eastAsia="仿宋_GB2312"/>
          <w:sz w:val="32"/>
          <w:szCs w:val="32"/>
          <w:highlight w:val="none"/>
          <w:lang w:val="en-US" w:eastAsia="zh-CN"/>
        </w:rPr>
        <w:t>2022年度</w:t>
      </w:r>
      <w:r>
        <w:rPr>
          <w:rFonts w:hint="eastAsia" w:ascii="仿宋_GB2312" w:hAnsi="仿宋" w:eastAsia="仿宋_GB2312"/>
          <w:sz w:val="32"/>
          <w:szCs w:val="32"/>
          <w:highlight w:val="none"/>
        </w:rPr>
        <w:t>预算编报要求</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办公厅</w:t>
      </w:r>
      <w:r>
        <w:rPr>
          <w:rFonts w:hint="eastAsia" w:ascii="仿宋_GB2312" w:hAnsi="仿宋" w:eastAsia="仿宋_GB2312"/>
          <w:sz w:val="32"/>
          <w:szCs w:val="32"/>
          <w:highlight w:val="none"/>
          <w:lang w:eastAsia="zh-CN"/>
        </w:rPr>
        <w:t>于</w:t>
      </w:r>
      <w:r>
        <w:rPr>
          <w:rFonts w:hint="default" w:ascii="仿宋_GB2312" w:hAnsi="仿宋" w:eastAsia="仿宋_GB2312"/>
          <w:sz w:val="32"/>
          <w:szCs w:val="32"/>
          <w:highlight w:val="none"/>
          <w:lang w:val="en"/>
        </w:rPr>
        <w:t>2021</w:t>
      </w:r>
      <w:r>
        <w:rPr>
          <w:rFonts w:hint="eastAsia" w:ascii="仿宋_GB2312" w:hAnsi="仿宋" w:eastAsia="仿宋_GB2312"/>
          <w:sz w:val="32"/>
          <w:szCs w:val="32"/>
          <w:highlight w:val="none"/>
        </w:rPr>
        <w:t>年1</w:t>
      </w:r>
      <w:r>
        <w:rPr>
          <w:rFonts w:ascii="仿宋_GB2312" w:hAnsi="仿宋" w:eastAsia="仿宋_GB2312"/>
          <w:sz w:val="32"/>
          <w:szCs w:val="32"/>
          <w:highlight w:val="none"/>
        </w:rPr>
        <w:t>0</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eastAsia="zh-CN"/>
        </w:rPr>
        <w:t>填报</w:t>
      </w:r>
      <w:r>
        <w:rPr>
          <w:rFonts w:hint="default" w:ascii="仿宋_GB2312" w:eastAsia="仿宋_GB2312"/>
          <w:sz w:val="32"/>
          <w:szCs w:val="32"/>
          <w:highlight w:val="none"/>
          <w:lang w:val="en"/>
        </w:rPr>
        <w:t>2022</w:t>
      </w:r>
      <w:r>
        <w:rPr>
          <w:rFonts w:hint="eastAsia" w:ascii="仿宋_GB2312" w:eastAsia="仿宋_GB2312"/>
          <w:sz w:val="32"/>
          <w:szCs w:val="32"/>
          <w:highlight w:val="none"/>
        </w:rPr>
        <w:t>年度部门整体绩效目标</w:t>
      </w:r>
      <w:r>
        <w:rPr>
          <w:rFonts w:hint="eastAsia" w:ascii="仿宋_GB2312" w:eastAsia="仿宋_GB2312"/>
          <w:sz w:val="32"/>
          <w:szCs w:val="32"/>
          <w:highlight w:val="none"/>
          <w:lang w:eastAsia="zh-CN"/>
        </w:rPr>
        <w:t>申报表（详见下表）</w:t>
      </w:r>
      <w:r>
        <w:rPr>
          <w:rFonts w:hint="eastAsia" w:ascii="仿宋_GB2312" w:eastAsia="仿宋_GB2312"/>
          <w:sz w:val="32"/>
          <w:szCs w:val="32"/>
          <w:highlight w:val="none"/>
        </w:rPr>
        <w:t>。</w:t>
      </w:r>
    </w:p>
    <w:p>
      <w:pPr>
        <w:adjustRightInd w:val="0"/>
        <w:snapToGrid w:val="0"/>
        <w:spacing w:line="560" w:lineRule="exact"/>
        <w:jc w:val="center"/>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表：</w:t>
      </w:r>
      <w:r>
        <w:rPr>
          <w:rFonts w:hint="default" w:ascii="黑体" w:hAnsi="黑体" w:eastAsia="黑体" w:cs="宋体"/>
          <w:color w:val="000000"/>
          <w:kern w:val="0"/>
          <w:sz w:val="28"/>
          <w:szCs w:val="28"/>
          <w:highlight w:val="none"/>
          <w:lang w:val="en"/>
        </w:rPr>
        <w:t>2022</w:t>
      </w:r>
      <w:r>
        <w:rPr>
          <w:rFonts w:hint="eastAsia" w:ascii="黑体" w:hAnsi="黑体" w:eastAsia="黑体" w:cs="宋体"/>
          <w:color w:val="000000"/>
          <w:kern w:val="0"/>
          <w:sz w:val="28"/>
          <w:szCs w:val="28"/>
          <w:highlight w:val="none"/>
        </w:rPr>
        <w:t>年度部门整体支出绩效目标申报表</w:t>
      </w:r>
    </w:p>
    <w:tbl>
      <w:tblPr>
        <w:tblStyle w:val="16"/>
        <w:tblW w:w="5000" w:type="pct"/>
        <w:tblInd w:w="0" w:type="dxa"/>
        <w:tblLayout w:type="autofit"/>
        <w:tblCellMar>
          <w:top w:w="0" w:type="dxa"/>
          <w:left w:w="28" w:type="dxa"/>
          <w:bottom w:w="0" w:type="dxa"/>
          <w:right w:w="28" w:type="dxa"/>
        </w:tblCellMar>
      </w:tblPr>
      <w:tblGrid>
        <w:gridCol w:w="1280"/>
        <w:gridCol w:w="1278"/>
        <w:gridCol w:w="1450"/>
        <w:gridCol w:w="1452"/>
        <w:gridCol w:w="2902"/>
      </w:tblGrid>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部门（单位）名称</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北京市人民政府办公厅</w:t>
            </w:r>
          </w:p>
        </w:tc>
      </w:tr>
      <w:tr>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部门（单位）负责人</w:t>
            </w:r>
          </w:p>
        </w:tc>
        <w:tc>
          <w:tcPr>
            <w:tcW w:w="1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Arial"/>
                <w:color w:val="000000"/>
                <w:kern w:val="0"/>
                <w:sz w:val="18"/>
                <w:szCs w:val="18"/>
                <w:highlight w:val="none"/>
                <w:lang w:val="en" w:eastAsia="zh-CN"/>
              </w:rPr>
            </w:pPr>
            <w:r>
              <w:rPr>
                <w:rFonts w:hint="eastAsia" w:ascii="宋体" w:hAnsi="宋体" w:cs="Arial"/>
                <w:color w:val="000000"/>
                <w:kern w:val="0"/>
                <w:sz w:val="18"/>
                <w:szCs w:val="18"/>
                <w:highlight w:val="none"/>
                <w:lang w:val="en" w:eastAsia="zh-CN"/>
              </w:rPr>
              <w:t>戴彬彬</w:t>
            </w:r>
          </w:p>
        </w:tc>
        <w:tc>
          <w:tcPr>
            <w:tcW w:w="8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联系电话</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p>
        </w:tc>
      </w:tr>
      <w:tr>
        <w:tblPrEx>
          <w:tblCellMar>
            <w:top w:w="0" w:type="dxa"/>
            <w:left w:w="28" w:type="dxa"/>
            <w:bottom w:w="0" w:type="dxa"/>
            <w:right w:w="28" w:type="dxa"/>
          </w:tblCellMar>
        </w:tblPrEx>
        <w:trPr>
          <w:trHeight w:val="20" w:hRule="atLeast"/>
        </w:trPr>
        <w:tc>
          <w:tcPr>
            <w:tcW w:w="7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部门（单位）总体资金情况(万元）</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资金总体</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12,825.703503</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highlight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基本支出</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10,145.440113</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highlight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项目支出</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2,680.263390</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highlight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其他</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0</w:t>
            </w:r>
          </w:p>
        </w:tc>
      </w:tr>
      <w:tr>
        <w:tblPrEx>
          <w:tblCellMar>
            <w:top w:w="0" w:type="dxa"/>
            <w:left w:w="28" w:type="dxa"/>
            <w:bottom w:w="0" w:type="dxa"/>
            <w:right w:w="28" w:type="dxa"/>
          </w:tblCellMar>
        </w:tblPrEx>
        <w:trPr>
          <w:trHeight w:val="915"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部门（单位）绩效目标</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highlight w:val="none"/>
              </w:rPr>
            </w:pPr>
            <w:r>
              <w:rPr>
                <w:rFonts w:hint="eastAsia" w:ascii="宋体" w:hAnsi="宋体" w:cs="Arial"/>
                <w:color w:val="000000"/>
                <w:kern w:val="0"/>
                <w:sz w:val="18"/>
                <w:szCs w:val="18"/>
                <w:highlight w:val="none"/>
              </w:rPr>
              <w:t>结合市政府办公厅部门职责，稳步推进信息报送及办文办会、政务督查、信息化保障等方面工作，并通过年度各项重点工作的有序开展，推动相关工作绩效落到实处，促进机关政务服务管理效率和服务水平的不断提升。</w:t>
            </w:r>
          </w:p>
        </w:tc>
      </w:tr>
      <w:tr>
        <w:tblPrEx>
          <w:tblCellMar>
            <w:top w:w="0" w:type="dxa"/>
            <w:left w:w="28" w:type="dxa"/>
            <w:bottom w:w="0" w:type="dxa"/>
            <w:right w:w="28" w:type="dxa"/>
          </w:tblCellMar>
        </w:tblPrEx>
        <w:trPr>
          <w:trHeight w:val="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80" w:firstLineChars="100"/>
              <w:jc w:val="left"/>
              <w:rPr>
                <w:rFonts w:ascii="宋体" w:hAnsi="宋体" w:cs="Arial"/>
                <w:b/>
                <w:bCs/>
                <w:color w:val="000000"/>
                <w:kern w:val="0"/>
                <w:sz w:val="18"/>
                <w:szCs w:val="18"/>
                <w:highlight w:val="none"/>
              </w:rPr>
            </w:pPr>
            <w:r>
              <w:rPr>
                <w:rFonts w:hint="eastAsia" w:ascii="宋体" w:hAnsi="宋体" w:cs="Arial"/>
                <w:b/>
                <w:bCs/>
                <w:color w:val="000000"/>
                <w:kern w:val="0"/>
                <w:sz w:val="18"/>
                <w:szCs w:val="18"/>
                <w:highlight w:val="none"/>
              </w:rPr>
              <w:t>绩效指标</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绩效指标一</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通过落实国务院重点决策部署，向国务院办公厅及时反映北京市重点工作开展情况，以《专报信息》形式完成向国办的信息报送工作；通过定期研究梳理</w:t>
            </w:r>
            <w:r>
              <w:rPr>
                <w:rFonts w:hint="eastAsia" w:ascii="宋体" w:hAnsi="宋体" w:cs="Arial"/>
                <w:color w:val="000000"/>
                <w:kern w:val="0"/>
                <w:sz w:val="18"/>
                <w:szCs w:val="18"/>
                <w:highlight w:val="none"/>
                <w:lang w:eastAsia="zh-CN"/>
              </w:rPr>
              <w:t>信息</w:t>
            </w:r>
            <w:r>
              <w:rPr>
                <w:rFonts w:hint="eastAsia" w:ascii="宋体" w:hAnsi="宋体" w:cs="Arial"/>
                <w:color w:val="000000"/>
                <w:kern w:val="0"/>
                <w:sz w:val="18"/>
                <w:szCs w:val="18"/>
                <w:highlight w:val="none"/>
              </w:rPr>
              <w:t>，全面加强</w:t>
            </w:r>
            <w:r>
              <w:rPr>
                <w:rFonts w:hint="eastAsia" w:ascii="宋体" w:hAnsi="宋体" w:cs="Arial"/>
                <w:color w:val="000000"/>
                <w:kern w:val="0"/>
                <w:sz w:val="18"/>
                <w:szCs w:val="18"/>
                <w:highlight w:val="none"/>
                <w:lang w:eastAsia="zh-CN"/>
              </w:rPr>
              <w:t>信息</w:t>
            </w:r>
            <w:r>
              <w:rPr>
                <w:rFonts w:hint="eastAsia" w:ascii="宋体" w:hAnsi="宋体" w:cs="Arial"/>
                <w:color w:val="000000"/>
                <w:kern w:val="0"/>
                <w:sz w:val="18"/>
                <w:szCs w:val="18"/>
                <w:highlight w:val="none"/>
              </w:rPr>
              <w:t>预警，提升研判科学性、准确性，包括提供日报约</w:t>
            </w:r>
            <w:r>
              <w:rPr>
                <w:rFonts w:hint="eastAsia" w:ascii="宋体" w:hAnsi="宋体" w:cs="Arial"/>
                <w:color w:val="000000"/>
                <w:kern w:val="0"/>
                <w:sz w:val="18"/>
                <w:szCs w:val="18"/>
                <w:highlight w:val="none"/>
                <w:lang w:val="en-US" w:eastAsia="zh-CN"/>
              </w:rPr>
              <w:t>220</w:t>
            </w:r>
            <w:r>
              <w:rPr>
                <w:rFonts w:hint="eastAsia" w:ascii="宋体" w:hAnsi="宋体" w:cs="Arial"/>
                <w:color w:val="000000"/>
                <w:kern w:val="0"/>
                <w:sz w:val="18"/>
                <w:szCs w:val="18"/>
                <w:highlight w:val="none"/>
              </w:rPr>
              <w:t>期、</w:t>
            </w:r>
            <w:r>
              <w:rPr>
                <w:rFonts w:hint="eastAsia" w:ascii="宋体" w:hAnsi="宋体" w:cs="Arial"/>
                <w:color w:val="000000"/>
                <w:kern w:val="0"/>
                <w:sz w:val="18"/>
                <w:szCs w:val="18"/>
                <w:highlight w:val="none"/>
                <w:lang w:eastAsia="zh-CN"/>
              </w:rPr>
              <w:t>专报</w:t>
            </w:r>
            <w:r>
              <w:rPr>
                <w:rFonts w:hint="eastAsia" w:ascii="宋体" w:hAnsi="宋体" w:cs="Arial"/>
                <w:color w:val="000000"/>
                <w:kern w:val="0"/>
                <w:sz w:val="18"/>
                <w:szCs w:val="18"/>
                <w:highlight w:val="none"/>
                <w:lang w:val="en-US" w:eastAsia="zh-CN"/>
              </w:rPr>
              <w:t>20</w:t>
            </w:r>
            <w:r>
              <w:rPr>
                <w:rFonts w:hint="eastAsia" w:ascii="宋体" w:hAnsi="宋体" w:cs="Arial"/>
                <w:color w:val="000000"/>
                <w:kern w:val="0"/>
                <w:sz w:val="18"/>
                <w:szCs w:val="18"/>
                <w:highlight w:val="none"/>
              </w:rPr>
              <w:t>余期。涉及1个重点项目，即政务信息服务项目。</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绩效指标二</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highlight w:val="none"/>
              </w:rPr>
            </w:pPr>
            <w:r>
              <w:rPr>
                <w:rFonts w:hint="eastAsia" w:ascii="宋体" w:hAnsi="宋体" w:cs="Arial"/>
                <w:color w:val="000000"/>
                <w:kern w:val="0"/>
                <w:sz w:val="18"/>
                <w:szCs w:val="18"/>
                <w:highlight w:val="none"/>
              </w:rPr>
              <w:t>围绕年度重点核心工作，深入细致办文办会，包括组织召开市政府常务会议、市政府专题会议、疏解整治促提升促首都生态文明和城乡环境建设动员大会、市政府系统政务信息工作会等各类会议，以及做好“两会”及相关会议的服务保障任务，确保各项重点会议顺利开展。涉及2个重点项目，即市政府会议办公日常经费、办公厅业务工作经费。</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绩效指标三</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通过细化分解市政府工作报告重点工作、民生实事项目等任务，开展政务督查工作，确保市政府重点任务及市领导交办事项刚性落实；通过开展55个市级行政机关以及16个区政府公众满意度调查、组织政府绩效管理评估等工作，推动政府绩效管理工作的稳步落实。涉及</w:t>
            </w:r>
            <w:r>
              <w:rPr>
                <w:rFonts w:hint="eastAsia" w:ascii="宋体" w:hAnsi="宋体" w:cs="Arial"/>
                <w:color w:val="000000"/>
                <w:kern w:val="0"/>
                <w:sz w:val="18"/>
                <w:szCs w:val="18"/>
                <w:highlight w:val="none"/>
                <w:lang w:val="en-US" w:eastAsia="zh-CN"/>
              </w:rPr>
              <w:t>2</w:t>
            </w:r>
            <w:r>
              <w:rPr>
                <w:rFonts w:hint="eastAsia" w:ascii="宋体" w:hAnsi="宋体" w:cs="Arial"/>
                <w:color w:val="000000"/>
                <w:kern w:val="0"/>
                <w:sz w:val="18"/>
                <w:szCs w:val="18"/>
                <w:highlight w:val="none"/>
              </w:rPr>
              <w:t>个重点项目，即市政府重大决策专项任务核查、政府绩效管理</w:t>
            </w:r>
            <w:r>
              <w:rPr>
                <w:rFonts w:hint="eastAsia" w:ascii="宋体" w:hAnsi="宋体" w:cs="Arial"/>
                <w:color w:val="000000"/>
                <w:kern w:val="0"/>
                <w:sz w:val="18"/>
                <w:szCs w:val="18"/>
                <w:highlight w:val="none"/>
                <w:lang w:eastAsia="zh-CN"/>
              </w:rPr>
              <w:t>考评工作</w:t>
            </w:r>
            <w:r>
              <w:rPr>
                <w:rFonts w:hint="eastAsia" w:ascii="宋体" w:hAnsi="宋体" w:cs="Arial"/>
                <w:color w:val="000000"/>
                <w:kern w:val="0"/>
                <w:sz w:val="18"/>
                <w:szCs w:val="18"/>
                <w:highlight w:val="none"/>
              </w:rPr>
              <w:t>经费。</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绩效指标四</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highlight w:val="none"/>
              </w:rPr>
            </w:pPr>
            <w:r>
              <w:rPr>
                <w:rFonts w:hint="eastAsia" w:ascii="宋体" w:hAnsi="宋体" w:cs="Arial"/>
                <w:color w:val="000000"/>
                <w:kern w:val="0"/>
                <w:sz w:val="18"/>
                <w:szCs w:val="18"/>
                <w:highlight w:val="none"/>
              </w:rPr>
              <w:t>通过完成市政府办公厅信息化规划、建设、运维管理和市政府办公楼网络基础设施运维管理、会议技术保障工作，确保信息化支撑的高效运转。涉及</w:t>
            </w:r>
            <w:r>
              <w:rPr>
                <w:rFonts w:hint="eastAsia" w:ascii="宋体" w:hAnsi="宋体" w:cs="Arial"/>
                <w:color w:val="000000"/>
                <w:kern w:val="0"/>
                <w:sz w:val="18"/>
                <w:szCs w:val="18"/>
                <w:highlight w:val="none"/>
                <w:lang w:val="en-US" w:eastAsia="zh-CN"/>
              </w:rPr>
              <w:t>4</w:t>
            </w:r>
            <w:r>
              <w:rPr>
                <w:rFonts w:hint="eastAsia" w:ascii="宋体" w:hAnsi="宋体" w:cs="Arial"/>
                <w:color w:val="000000"/>
                <w:kern w:val="0"/>
                <w:sz w:val="18"/>
                <w:szCs w:val="18"/>
                <w:highlight w:val="none"/>
              </w:rPr>
              <w:t>个重点项目，即</w:t>
            </w:r>
            <w:r>
              <w:rPr>
                <w:rFonts w:hint="eastAsia" w:ascii="宋体" w:hAnsi="宋体" w:cs="Arial"/>
                <w:color w:val="000000"/>
                <w:kern w:val="0"/>
                <w:sz w:val="18"/>
                <w:szCs w:val="18"/>
                <w:highlight w:val="none"/>
                <w:lang w:eastAsia="zh-CN"/>
              </w:rPr>
              <w:t>会议技术保障经费、办公自动化保障经费、网络与安全运维费、应用系统运维项目</w:t>
            </w:r>
            <w:r>
              <w:rPr>
                <w:rFonts w:hint="eastAsia" w:ascii="宋体" w:hAnsi="宋体" w:cs="Arial"/>
                <w:color w:val="000000"/>
                <w:kern w:val="0"/>
                <w:sz w:val="18"/>
                <w:szCs w:val="18"/>
                <w:highlight w:val="none"/>
              </w:rPr>
              <w:t>。</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r>
              <w:rPr>
                <w:rFonts w:hint="eastAsia" w:ascii="宋体" w:hAnsi="宋体" w:cs="Arial"/>
                <w:color w:val="000000"/>
                <w:kern w:val="0"/>
                <w:sz w:val="18"/>
                <w:szCs w:val="18"/>
                <w:highlight w:val="none"/>
              </w:rPr>
              <w:t>其他说明的问题</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highlight w:val="none"/>
              </w:rPr>
            </w:pPr>
          </w:p>
        </w:tc>
      </w:tr>
    </w:tbl>
    <w:p>
      <w:pPr>
        <w:spacing w:line="560" w:lineRule="exact"/>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lang w:eastAsia="zh-CN"/>
        </w:rPr>
        <w:t>办公厅的</w:t>
      </w:r>
      <w:r>
        <w:rPr>
          <w:rFonts w:hint="eastAsia" w:ascii="仿宋_GB2312" w:eastAsia="仿宋_GB2312"/>
          <w:sz w:val="32"/>
          <w:szCs w:val="32"/>
        </w:rPr>
        <w:t>部门整体绩效目标</w:t>
      </w:r>
      <w:r>
        <w:rPr>
          <w:rFonts w:hint="eastAsia" w:ascii="仿宋_GB2312" w:eastAsia="仿宋_GB2312"/>
          <w:sz w:val="32"/>
          <w:szCs w:val="32"/>
          <w:lang w:eastAsia="zh-CN"/>
        </w:rPr>
        <w:t>设置合理，</w:t>
      </w:r>
      <w:r>
        <w:rPr>
          <w:rFonts w:hint="eastAsia" w:ascii="仿宋_GB2312" w:eastAsia="仿宋_GB2312"/>
          <w:sz w:val="32"/>
          <w:szCs w:val="32"/>
        </w:rPr>
        <w:t>与办公厅的职责任务匹配。</w:t>
      </w:r>
    </w:p>
    <w:p>
      <w:pPr>
        <w:snapToGrid w:val="0"/>
        <w:spacing w:line="520" w:lineRule="exact"/>
        <w:ind w:firstLine="640" w:firstLineChars="200"/>
        <w:outlineLvl w:val="0"/>
        <w:rPr>
          <w:rFonts w:ascii="黑体" w:hAnsi="黑体" w:eastAsia="黑体"/>
          <w:sz w:val="32"/>
          <w:szCs w:val="32"/>
        </w:rPr>
      </w:pPr>
      <w:bookmarkStart w:id="3" w:name="_Toc103362016"/>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当年</w:t>
      </w:r>
      <w:r>
        <w:rPr>
          <w:rFonts w:ascii="黑体" w:hAnsi="黑体" w:eastAsia="黑体"/>
          <w:sz w:val="32"/>
          <w:szCs w:val="32"/>
        </w:rPr>
        <w:t>预算执行情况</w:t>
      </w:r>
      <w:bookmarkEnd w:id="3"/>
    </w:p>
    <w:p>
      <w:pPr>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2022</w:t>
      </w:r>
      <w:r>
        <w:rPr>
          <w:rFonts w:hint="eastAsia" w:ascii="仿宋_GB2312" w:hAnsi="宋体" w:eastAsia="仿宋_GB2312" w:cs="宋体"/>
          <w:color w:val="000000"/>
          <w:kern w:val="0"/>
          <w:sz w:val="32"/>
          <w:szCs w:val="32"/>
        </w:rPr>
        <w:t>年度，年初预算数为</w:t>
      </w:r>
      <w:r>
        <w:rPr>
          <w:rFonts w:hint="eastAsia" w:ascii="仿宋_GB2312" w:eastAsia="仿宋_GB2312"/>
          <w:sz w:val="32"/>
          <w:szCs w:val="32"/>
        </w:rPr>
        <w:t>1282</w:t>
      </w:r>
      <w:r>
        <w:rPr>
          <w:rFonts w:hint="default" w:ascii="仿宋_GB2312" w:eastAsia="仿宋_GB2312"/>
          <w:sz w:val="32"/>
          <w:szCs w:val="32"/>
          <w:lang w:val="en"/>
        </w:rPr>
        <w:t>6</w:t>
      </w:r>
      <w:r>
        <w:rPr>
          <w:rFonts w:hint="eastAsia" w:ascii="仿宋_GB2312" w:eastAsia="仿宋_GB2312"/>
          <w:sz w:val="32"/>
          <w:szCs w:val="32"/>
        </w:rPr>
        <w:t>.</w:t>
      </w:r>
      <w:r>
        <w:rPr>
          <w:rFonts w:hint="default" w:ascii="仿宋_GB2312" w:eastAsia="仿宋_GB2312"/>
          <w:sz w:val="32"/>
          <w:szCs w:val="32"/>
          <w:lang w:val="en"/>
        </w:rPr>
        <w:t>5</w:t>
      </w:r>
      <w:r>
        <w:rPr>
          <w:rFonts w:hint="eastAsia" w:ascii="仿宋_GB2312" w:eastAsia="仿宋_GB2312"/>
          <w:sz w:val="32"/>
          <w:szCs w:val="32"/>
        </w:rPr>
        <w:t>0</w:t>
      </w:r>
      <w:r>
        <w:rPr>
          <w:rFonts w:hint="eastAsia" w:ascii="仿宋_GB2312" w:hAnsi="宋体" w:eastAsia="仿宋_GB2312" w:cs="宋体"/>
          <w:color w:val="000000"/>
          <w:kern w:val="0"/>
          <w:sz w:val="32"/>
          <w:szCs w:val="32"/>
        </w:rPr>
        <w:t>万元，其中，基本支出预算数</w:t>
      </w:r>
      <w:r>
        <w:rPr>
          <w:rFonts w:hint="eastAsia" w:ascii="仿宋_GB2312" w:eastAsia="仿宋_GB2312"/>
          <w:sz w:val="32"/>
          <w:szCs w:val="32"/>
        </w:rPr>
        <w:t>10145.44</w:t>
      </w:r>
      <w:r>
        <w:rPr>
          <w:rFonts w:hint="eastAsia" w:ascii="仿宋_GB2312" w:hAnsi="宋体" w:eastAsia="仿宋_GB2312" w:cs="宋体"/>
          <w:color w:val="000000"/>
          <w:kern w:val="0"/>
          <w:sz w:val="32"/>
          <w:szCs w:val="32"/>
        </w:rPr>
        <w:t>万元，项目支出预算数</w:t>
      </w:r>
      <w:r>
        <w:rPr>
          <w:rFonts w:hint="eastAsia" w:ascii="仿宋_GB2312" w:eastAsia="仿宋_GB2312"/>
          <w:sz w:val="32"/>
          <w:szCs w:val="32"/>
        </w:rPr>
        <w:t>2680.26</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eastAsia="zh-CN"/>
        </w:rPr>
        <w:t>，</w:t>
      </w:r>
      <w:r>
        <w:rPr>
          <w:rFonts w:hint="eastAsia" w:ascii="仿宋_GB2312" w:eastAsia="仿宋_GB2312"/>
          <w:sz w:val="32"/>
          <w:szCs w:val="32"/>
          <w:lang w:eastAsia="zh-CN"/>
        </w:rPr>
        <w:t>年终结转结余</w:t>
      </w:r>
      <w:r>
        <w:rPr>
          <w:rFonts w:hint="eastAsia" w:ascii="仿宋_GB2312" w:eastAsia="仿宋_GB2312"/>
          <w:sz w:val="32"/>
          <w:szCs w:val="32"/>
          <w:lang w:val="en-US" w:eastAsia="zh-CN"/>
        </w:rPr>
        <w:t>0.80万元</w:t>
      </w:r>
      <w:r>
        <w:rPr>
          <w:rFonts w:hint="eastAsia" w:ascii="仿宋_GB2312" w:hAnsi="宋体" w:eastAsia="仿宋_GB2312" w:cs="宋体"/>
          <w:color w:val="000000"/>
          <w:kern w:val="0"/>
          <w:sz w:val="32"/>
          <w:szCs w:val="32"/>
        </w:rPr>
        <w:t>。经年中</w:t>
      </w:r>
      <w:r>
        <w:rPr>
          <w:rFonts w:hint="eastAsia" w:ascii="仿宋_GB2312" w:hAnsi="宋体" w:eastAsia="仿宋_GB2312" w:cs="宋体"/>
          <w:color w:val="000000"/>
          <w:kern w:val="0"/>
          <w:sz w:val="32"/>
          <w:szCs w:val="32"/>
          <w:lang w:eastAsia="zh-CN"/>
        </w:rPr>
        <w:t>预算</w:t>
      </w:r>
      <w:r>
        <w:rPr>
          <w:rFonts w:hint="eastAsia" w:ascii="仿宋_GB2312" w:hAnsi="宋体" w:eastAsia="仿宋_GB2312" w:cs="宋体"/>
          <w:color w:val="000000"/>
          <w:kern w:val="0"/>
          <w:sz w:val="32"/>
          <w:szCs w:val="32"/>
        </w:rPr>
        <w:t>调整，全年预算数为</w:t>
      </w:r>
      <w:r>
        <w:rPr>
          <w:rFonts w:hint="eastAsia" w:ascii="仿宋_GB2312" w:hAnsi="宋体" w:eastAsia="仿宋_GB2312" w:cs="宋体"/>
          <w:color w:val="000000"/>
          <w:kern w:val="0"/>
          <w:sz w:val="32"/>
          <w:szCs w:val="32"/>
          <w:lang w:val="en-US" w:eastAsia="zh-CN"/>
        </w:rPr>
        <w:t>13722.33</w:t>
      </w:r>
      <w:r>
        <w:rPr>
          <w:rFonts w:hint="eastAsia" w:ascii="仿宋_GB2312" w:hAnsi="宋体" w:eastAsia="仿宋_GB2312" w:cs="宋体"/>
          <w:color w:val="000000"/>
          <w:kern w:val="0"/>
          <w:sz w:val="32"/>
          <w:szCs w:val="32"/>
        </w:rPr>
        <w:t>万元，其中，基本支出预算数</w:t>
      </w:r>
      <w:r>
        <w:rPr>
          <w:rFonts w:hint="eastAsia" w:ascii="仿宋_GB2312" w:hAnsi="宋体" w:eastAsia="仿宋_GB2312" w:cs="宋体"/>
          <w:color w:val="000000"/>
          <w:kern w:val="0"/>
          <w:sz w:val="32"/>
          <w:szCs w:val="32"/>
          <w:lang w:val="en-US" w:eastAsia="zh-CN"/>
        </w:rPr>
        <w:t>11410.07</w:t>
      </w:r>
      <w:r>
        <w:rPr>
          <w:rFonts w:hint="eastAsia" w:ascii="仿宋_GB2312" w:hAnsi="宋体" w:eastAsia="仿宋_GB2312" w:cs="宋体"/>
          <w:color w:val="000000"/>
          <w:kern w:val="0"/>
          <w:sz w:val="32"/>
          <w:szCs w:val="32"/>
        </w:rPr>
        <w:t>万元，项目支出预算数</w:t>
      </w:r>
      <w:r>
        <w:rPr>
          <w:rFonts w:hint="eastAsia" w:ascii="仿宋_GB2312" w:hAnsi="宋体" w:eastAsia="仿宋_GB2312" w:cs="宋体"/>
          <w:color w:val="000000"/>
          <w:kern w:val="0"/>
          <w:sz w:val="32"/>
          <w:szCs w:val="32"/>
          <w:lang w:val="en-US" w:eastAsia="zh-CN"/>
        </w:rPr>
        <w:t>2312.26</w:t>
      </w:r>
      <w:r>
        <w:rPr>
          <w:rFonts w:hint="eastAsia" w:ascii="仿宋_GB2312" w:hAnsi="宋体" w:eastAsia="仿宋_GB2312" w:cs="宋体"/>
          <w:color w:val="000000"/>
          <w:kern w:val="0"/>
          <w:sz w:val="32"/>
          <w:szCs w:val="32"/>
        </w:rPr>
        <w:t>万元。资金总体支出</w:t>
      </w:r>
      <w:r>
        <w:rPr>
          <w:rFonts w:hint="eastAsia" w:ascii="仿宋_GB2312" w:hAnsi="宋体" w:eastAsia="仿宋_GB2312" w:cs="宋体"/>
          <w:color w:val="000000"/>
          <w:kern w:val="0"/>
          <w:sz w:val="32"/>
          <w:szCs w:val="32"/>
          <w:lang w:val="en-US" w:eastAsia="zh-CN"/>
        </w:rPr>
        <w:t>13038.74</w:t>
      </w:r>
      <w:r>
        <w:rPr>
          <w:rFonts w:hint="eastAsia"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10775.76</w:t>
      </w:r>
      <w:r>
        <w:rPr>
          <w:rFonts w:hint="eastAsia" w:ascii="仿宋_GB2312" w:hAnsi="宋体" w:eastAsia="仿宋_GB2312" w:cs="宋体"/>
          <w:color w:val="000000"/>
          <w:kern w:val="0"/>
          <w:sz w:val="32"/>
          <w:szCs w:val="32"/>
        </w:rPr>
        <w:t>万元，项目支出</w:t>
      </w:r>
      <w:r>
        <w:rPr>
          <w:rFonts w:hint="eastAsia" w:ascii="仿宋_GB2312" w:hAnsi="宋体" w:eastAsia="仿宋_GB2312" w:cs="宋体"/>
          <w:color w:val="000000"/>
          <w:kern w:val="0"/>
          <w:sz w:val="32"/>
          <w:szCs w:val="32"/>
          <w:lang w:val="en-US" w:eastAsia="zh-CN"/>
        </w:rPr>
        <w:t>2262.98</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预算执行率为</w:t>
      </w:r>
      <w:r>
        <w:rPr>
          <w:rFonts w:hint="eastAsia" w:ascii="仿宋_GB2312" w:hAnsi="宋体" w:eastAsia="仿宋_GB2312" w:cs="宋体"/>
          <w:color w:val="000000"/>
          <w:kern w:val="0"/>
          <w:sz w:val="32"/>
          <w:szCs w:val="32"/>
          <w:lang w:val="en-US" w:eastAsia="zh-CN"/>
        </w:rPr>
        <w:t>95.02%，比上年度提高了3.15%</w:t>
      </w:r>
      <w:r>
        <w:rPr>
          <w:rFonts w:hint="eastAsia" w:ascii="仿宋_GB2312" w:hAnsi="宋体" w:eastAsia="仿宋_GB2312" w:cs="宋体"/>
          <w:color w:val="000000"/>
          <w:kern w:val="0"/>
          <w:sz w:val="32"/>
          <w:szCs w:val="32"/>
        </w:rPr>
        <w:t>。</w:t>
      </w:r>
    </w:p>
    <w:p>
      <w:pPr>
        <w:snapToGrid w:val="0"/>
        <w:spacing w:line="520" w:lineRule="exact"/>
        <w:ind w:firstLine="640" w:firstLineChars="200"/>
        <w:outlineLvl w:val="0"/>
        <w:rPr>
          <w:rFonts w:ascii="黑体" w:hAnsi="黑体" w:eastAsia="黑体"/>
          <w:sz w:val="32"/>
          <w:szCs w:val="32"/>
        </w:rPr>
      </w:pPr>
      <w:bookmarkStart w:id="4" w:name="_Toc103362017"/>
      <w:r>
        <w:rPr>
          <w:rFonts w:hint="eastAsia" w:ascii="黑体" w:hAnsi="黑体" w:eastAsia="黑体"/>
          <w:sz w:val="32"/>
          <w:szCs w:val="32"/>
        </w:rPr>
        <w:t>三</w:t>
      </w:r>
      <w:r>
        <w:rPr>
          <w:rFonts w:ascii="黑体" w:hAnsi="黑体" w:eastAsia="黑体"/>
          <w:sz w:val="32"/>
          <w:szCs w:val="32"/>
        </w:rPr>
        <w:t>、整体绩效目标实现情况</w:t>
      </w:r>
      <w:bookmarkEnd w:id="4"/>
    </w:p>
    <w:p>
      <w:pPr>
        <w:snapToGrid w:val="0"/>
        <w:spacing w:line="520" w:lineRule="exact"/>
        <w:ind w:firstLine="640" w:firstLineChars="200"/>
        <w:outlineLvl w:val="1"/>
        <w:rPr>
          <w:rFonts w:ascii="楷体_GB2312" w:hAnsi="仿宋" w:eastAsia="楷体_GB2312"/>
          <w:sz w:val="32"/>
          <w:szCs w:val="32"/>
        </w:rPr>
      </w:pPr>
      <w:bookmarkStart w:id="5" w:name="_Toc103362018"/>
      <w:r>
        <w:rPr>
          <w:rFonts w:hint="eastAsia" w:ascii="楷体_GB2312" w:hAnsi="仿宋" w:eastAsia="楷体_GB2312"/>
          <w:sz w:val="32"/>
          <w:szCs w:val="32"/>
        </w:rPr>
        <w:t>（一）产出完成情况分析</w:t>
      </w:r>
      <w:bookmarkEnd w:id="5"/>
    </w:p>
    <w:p>
      <w:pPr>
        <w:spacing w:line="560" w:lineRule="exact"/>
        <w:ind w:firstLine="642" w:firstLineChars="200"/>
        <w:outlineLvl w:val="2"/>
        <w:rPr>
          <w:rFonts w:hint="eastAsia" w:ascii="仿宋_GB2312" w:hAnsi="Times New Roman" w:eastAsia="仿宋_GB2312" w:cs="Times New Roman"/>
          <w:sz w:val="32"/>
          <w:szCs w:val="32"/>
          <w:lang w:val="en-US" w:eastAsia="zh-CN"/>
        </w:rPr>
      </w:pPr>
      <w:r>
        <w:rPr>
          <w:rFonts w:hint="eastAsia" w:ascii="仿宋_GB2312" w:hAnsi="宋体" w:eastAsia="仿宋_GB2312" w:cs="宋体"/>
          <w:b/>
          <w:bCs/>
          <w:color w:val="000000"/>
          <w:kern w:val="0"/>
          <w:sz w:val="32"/>
          <w:szCs w:val="32"/>
        </w:rPr>
        <w:t>1.产出数量</w:t>
      </w:r>
    </w:p>
    <w:p>
      <w:pPr>
        <w:spacing w:line="560" w:lineRule="exact"/>
        <w:ind w:firstLine="642" w:firstLineChars="200"/>
        <w:rPr>
          <w:rFonts w:hint="eastAsia" w:ascii="仿宋_GB2312" w:hAnsi="Times New Roman" w:eastAsia="仿宋_GB2312" w:cs="Times New Roman"/>
          <w:sz w:val="32"/>
          <w:szCs w:val="32"/>
          <w:lang w:val="en-US" w:eastAsia="zh-CN"/>
        </w:rPr>
      </w:pPr>
      <w:r>
        <w:rPr>
          <w:rFonts w:hint="eastAsia" w:ascii="仿宋_GB2312" w:eastAsia="仿宋_GB2312" w:cs="Times New Roman"/>
          <w:b/>
          <w:bCs/>
          <w:sz w:val="32"/>
          <w:szCs w:val="32"/>
          <w:lang w:val="en" w:eastAsia="zh-CN"/>
        </w:rPr>
        <w:t>一是</w:t>
      </w:r>
      <w:r>
        <w:rPr>
          <w:rFonts w:hint="eastAsia" w:ascii="仿宋_GB2312" w:hAnsi="Times New Roman" w:eastAsia="仿宋_GB2312" w:cs="Times New Roman"/>
          <w:sz w:val="32"/>
          <w:szCs w:val="32"/>
          <w:lang w:val="en" w:eastAsia="zh-CN"/>
        </w:rPr>
        <w:t>信息报送服务及时准确。</w:t>
      </w:r>
      <w:r>
        <w:rPr>
          <w:rFonts w:hint="eastAsia" w:ascii="仿宋_GB2312" w:hAnsi="Times New Roman" w:eastAsia="仿宋_GB2312" w:cs="Times New Roman"/>
          <w:sz w:val="32"/>
          <w:szCs w:val="32"/>
          <w:lang w:val="en-US" w:eastAsia="zh-CN"/>
        </w:rPr>
        <w:t>坚持问题导向，扎实开展信息调研，增加</w:t>
      </w:r>
      <w:r>
        <w:rPr>
          <w:rFonts w:hint="eastAsia" w:ascii="仿宋_GB2312" w:hAnsi="Times New Roman" w:eastAsia="仿宋_GB2312" w:cs="Times New Roman"/>
          <w:sz w:val="32"/>
          <w:szCs w:val="32"/>
        </w:rPr>
        <w:t>调研类、问题建议类信息</w:t>
      </w:r>
      <w:r>
        <w:rPr>
          <w:rFonts w:hint="eastAsia" w:ascii="仿宋_GB2312" w:hAnsi="Times New Roman" w:eastAsia="仿宋_GB2312" w:cs="Times New Roman"/>
          <w:sz w:val="32"/>
          <w:szCs w:val="32"/>
          <w:lang w:eastAsia="zh-CN"/>
        </w:rPr>
        <w:t>占比，不断提质增效。</w:t>
      </w:r>
      <w:r>
        <w:rPr>
          <w:rFonts w:hint="eastAsia" w:ascii="仿宋_GB2312" w:hAnsi="Times New Roman" w:eastAsia="仿宋_GB2312" w:cs="Times New Roman"/>
          <w:sz w:val="32"/>
          <w:szCs w:val="32"/>
          <w:lang w:val="en" w:eastAsia="zh-CN"/>
        </w:rPr>
        <w:t>聚焦“第一读者需求”，</w:t>
      </w:r>
      <w:r>
        <w:rPr>
          <w:rFonts w:hint="eastAsia" w:ascii="仿宋_GB2312" w:hAnsi="Times New Roman" w:eastAsia="仿宋_GB2312" w:cs="Times New Roman"/>
          <w:sz w:val="32"/>
          <w:szCs w:val="32"/>
          <w:lang w:eastAsia="zh-CN"/>
        </w:rPr>
        <w:t>提升信息服务精准性，全年编发政务信息刊物</w:t>
      </w:r>
      <w:r>
        <w:rPr>
          <w:rFonts w:hint="eastAsia" w:ascii="仿宋_GB2312" w:hAnsi="Times New Roman" w:eastAsia="仿宋_GB2312" w:cs="Times New Roman"/>
          <w:sz w:val="32"/>
          <w:szCs w:val="32"/>
          <w:lang w:val="en-US" w:eastAsia="zh-CN"/>
        </w:rPr>
        <w:t>712期，获市领导批示402条；报国办信息618条，</w:t>
      </w:r>
      <w:r>
        <w:rPr>
          <w:rFonts w:hint="eastAsia" w:ascii="仿宋_GB2312" w:hAnsi="Times New Roman" w:eastAsia="仿宋_GB2312" w:cs="Times New Roman"/>
          <w:sz w:val="32"/>
          <w:szCs w:val="32"/>
          <w:lang w:eastAsia="zh-CN"/>
        </w:rPr>
        <w:t>排名第7位，被国办评为全国政务信息工作先进单位。</w:t>
      </w:r>
      <w:r>
        <w:rPr>
          <w:rFonts w:hint="eastAsia" w:ascii="仿宋_GB2312" w:hAnsi="Times New Roman" w:eastAsia="仿宋_GB2312" w:cs="Times New Roman"/>
          <w:sz w:val="32"/>
          <w:szCs w:val="32"/>
          <w:lang w:val="en-US" w:eastAsia="zh-CN"/>
        </w:rPr>
        <w:t xml:space="preserve">  </w:t>
      </w:r>
    </w:p>
    <w:p>
      <w:pPr>
        <w:spacing w:line="560" w:lineRule="exact"/>
        <w:ind w:firstLine="642" w:firstLineChars="200"/>
        <w:rPr>
          <w:rFonts w:hint="eastAsia" w:ascii="仿宋_GB2312" w:hAnsi="Times New Roman" w:eastAsia="仿宋_GB2312" w:cs="Times New Roman"/>
          <w:sz w:val="32"/>
          <w:szCs w:val="32"/>
          <w:lang w:val="en-US" w:eastAsia="zh-CN"/>
        </w:rPr>
      </w:pPr>
      <w:r>
        <w:rPr>
          <w:rFonts w:hint="eastAsia" w:ascii="仿宋_GB2312" w:eastAsia="仿宋_GB2312" w:cs="Times New Roman"/>
          <w:b/>
          <w:bCs/>
          <w:sz w:val="32"/>
          <w:szCs w:val="32"/>
          <w:lang w:val="en-US" w:eastAsia="zh-CN"/>
        </w:rPr>
        <w:t>二是</w:t>
      </w:r>
      <w:r>
        <w:rPr>
          <w:rFonts w:hint="eastAsia" w:ascii="仿宋_GB2312" w:hAnsi="Times New Roman" w:eastAsia="仿宋_GB2312" w:cs="Times New Roman"/>
          <w:sz w:val="32"/>
          <w:szCs w:val="32"/>
          <w:lang w:val="en-US" w:eastAsia="zh-CN"/>
        </w:rPr>
        <w:t>督查考核成效显著。紧盯党中央国务院决策部署，对2017年以来习近平总书记重要指示批示涉及政府系统138项事项挂账督办，督促完成中央巡视整改涉及市政府系统83项任务和国务院第八次大督查反馈问题整改落实。办理国务院“互联网+督查”问题线索5.4万余件。持续加大督查工作力度，推动320项市政府工作报告重点任务、32项重要民生实事项目刚性落实。全年督办</w:t>
      </w:r>
      <w:r>
        <w:rPr>
          <w:rFonts w:hint="default" w:ascii="仿宋_GB2312" w:hAnsi="Times New Roman" w:eastAsia="仿宋_GB2312" w:cs="Times New Roman"/>
          <w:sz w:val="32"/>
          <w:szCs w:val="32"/>
          <w:lang w:val="en-US" w:eastAsia="zh-CN"/>
        </w:rPr>
        <w:t>市长</w:t>
      </w:r>
      <w:r>
        <w:rPr>
          <w:rFonts w:hint="eastAsia" w:ascii="仿宋_GB2312" w:hAnsi="Times New Roman" w:eastAsia="仿宋_GB2312" w:cs="Times New Roman"/>
          <w:sz w:val="32"/>
          <w:szCs w:val="32"/>
          <w:lang w:val="en-US" w:eastAsia="zh-CN"/>
        </w:rPr>
        <w:t>非公文</w:t>
      </w:r>
      <w:r>
        <w:rPr>
          <w:rFonts w:hint="default" w:ascii="仿宋_GB2312" w:hAnsi="Times New Roman" w:eastAsia="仿宋_GB2312" w:cs="Times New Roman"/>
          <w:sz w:val="32"/>
          <w:szCs w:val="32"/>
          <w:lang w:val="en-US" w:eastAsia="zh-CN"/>
        </w:rPr>
        <w:t xml:space="preserve">批示交办事项 </w:t>
      </w:r>
      <w:r>
        <w:rPr>
          <w:rFonts w:hint="eastAsia" w:ascii="仿宋_GB2312" w:hAnsi="Times New Roman" w:eastAsia="仿宋_GB2312" w:cs="Times New Roman"/>
          <w:sz w:val="32"/>
          <w:szCs w:val="32"/>
          <w:lang w:val="en-US" w:eastAsia="zh-CN"/>
        </w:rPr>
        <w:t>2029</w:t>
      </w:r>
      <w:r>
        <w:rPr>
          <w:rFonts w:hint="default" w:ascii="仿宋_GB2312" w:hAnsi="Times New Roman" w:eastAsia="仿宋_GB2312" w:cs="Times New Roman"/>
          <w:sz w:val="32"/>
          <w:szCs w:val="32"/>
          <w:lang w:val="en-US" w:eastAsia="zh-CN"/>
        </w:rPr>
        <w:t>件</w:t>
      </w:r>
      <w:r>
        <w:rPr>
          <w:rFonts w:hint="eastAsia" w:ascii="仿宋_GB2312" w:hAnsi="Times New Roman" w:eastAsia="仿宋_GB2312" w:cs="Times New Roman"/>
          <w:sz w:val="32"/>
          <w:szCs w:val="32"/>
          <w:lang w:val="en-US" w:eastAsia="zh-CN"/>
        </w:rPr>
        <w:t>，做到件件有着落、事事有回音。</w:t>
      </w:r>
    </w:p>
    <w:p>
      <w:pPr>
        <w:spacing w:line="560" w:lineRule="exact"/>
        <w:ind w:firstLine="642" w:firstLineChars="200"/>
        <w:rPr>
          <w:rFonts w:hint="default"/>
          <w:lang w:val="en-US" w:eastAsia="zh-CN"/>
        </w:rPr>
      </w:pPr>
      <w:r>
        <w:rPr>
          <w:rFonts w:hint="eastAsia" w:ascii="仿宋_GB2312" w:eastAsia="仿宋_GB2312" w:cs="Times New Roman"/>
          <w:b/>
          <w:bCs/>
          <w:sz w:val="32"/>
          <w:szCs w:val="32"/>
          <w:lang w:val="en" w:eastAsia="zh-CN"/>
        </w:rPr>
        <w:t>三</w:t>
      </w:r>
      <w:r>
        <w:rPr>
          <w:rFonts w:hint="eastAsia" w:ascii="仿宋_GB2312" w:hAnsi="Times New Roman" w:eastAsia="仿宋_GB2312" w:cs="Times New Roman"/>
          <w:b/>
          <w:bCs/>
          <w:sz w:val="32"/>
          <w:szCs w:val="32"/>
          <w:lang w:val="en" w:eastAsia="zh-CN"/>
        </w:rPr>
        <w:t>是</w:t>
      </w:r>
      <w:r>
        <w:rPr>
          <w:rFonts w:hint="eastAsia" w:ascii="仿宋_GB2312" w:hAnsi="Times New Roman" w:eastAsia="仿宋_GB2312" w:cs="Times New Roman"/>
          <w:sz w:val="32"/>
          <w:szCs w:val="32"/>
          <w:lang w:val="en" w:eastAsia="zh-CN"/>
        </w:rPr>
        <w:t>顺利保障信息化工作。</w:t>
      </w:r>
      <w:r>
        <w:rPr>
          <w:rFonts w:hint="eastAsia" w:ascii="仿宋_GB2312" w:hAnsi="Times New Roman" w:eastAsia="仿宋_GB2312" w:cs="Times New Roman"/>
          <w:sz w:val="32"/>
          <w:szCs w:val="32"/>
          <w:lang w:val="en-US" w:eastAsia="zh-CN"/>
        </w:rPr>
        <w:t>高水平提供会议技术保障，全年累计保障视频会议6199次（同比增长约20%）、现场会议1348次（基本与上年持平）。移动办公系统应用场景不断拓展，增加“信息简报”模块，全年市领导使用移动终端批阅文件7万件次。持续开展网络安全、机房动力环境等信息基础设施设备运维工作，提供各类基础支持3100次，设施设备巡检2345次。</w:t>
      </w:r>
    </w:p>
    <w:p>
      <w:pPr>
        <w:spacing w:line="560" w:lineRule="exact"/>
        <w:ind w:firstLine="642" w:firstLineChars="200"/>
        <w:outlineLvl w:val="2"/>
        <w:rPr>
          <w:rFonts w:hint="eastAsia"/>
          <w:lang w:val="en-US" w:eastAsia="zh-CN"/>
        </w:rPr>
      </w:pPr>
      <w:r>
        <w:rPr>
          <w:rFonts w:hint="eastAsia" w:ascii="仿宋_GB2312" w:hAnsi="宋体" w:eastAsia="仿宋_GB2312" w:cs="宋体"/>
          <w:b/>
          <w:bCs/>
          <w:color w:val="000000"/>
          <w:kern w:val="0"/>
          <w:sz w:val="32"/>
          <w:szCs w:val="32"/>
        </w:rPr>
        <w:t>2.产出</w:t>
      </w:r>
      <w:r>
        <w:rPr>
          <w:rFonts w:ascii="仿宋_GB2312" w:hAnsi="宋体" w:eastAsia="仿宋_GB2312" w:cs="宋体"/>
          <w:b/>
          <w:bCs/>
          <w:color w:val="000000"/>
          <w:kern w:val="0"/>
          <w:sz w:val="32"/>
          <w:szCs w:val="32"/>
        </w:rPr>
        <w:t>质量</w:t>
      </w:r>
    </w:p>
    <w:p>
      <w:pPr>
        <w:spacing w:line="560" w:lineRule="exact"/>
        <w:ind w:firstLine="642" w:firstLineChars="200"/>
        <w:rPr>
          <w:rFonts w:hint="eastAsia" w:ascii="仿宋_GB2312" w:hAnsi="Times New Roman" w:eastAsia="仿宋_GB2312" w:cs="Times New Roman"/>
          <w:sz w:val="32"/>
          <w:szCs w:val="32"/>
          <w:lang w:eastAsia="zh-CN"/>
        </w:rPr>
      </w:pPr>
      <w:r>
        <w:rPr>
          <w:rFonts w:hint="eastAsia" w:ascii="仿宋_GB2312" w:eastAsia="仿宋_GB2312" w:cs="Times New Roman"/>
          <w:b/>
          <w:bCs/>
          <w:sz w:val="32"/>
          <w:szCs w:val="32"/>
          <w:lang w:val="en-US" w:eastAsia="zh-CN"/>
        </w:rPr>
        <w:t>一是</w:t>
      </w:r>
      <w:r>
        <w:rPr>
          <w:rFonts w:hint="eastAsia" w:ascii="仿宋_GB2312" w:eastAsia="仿宋_GB2312" w:cs="Times New Roman"/>
          <w:sz w:val="32"/>
          <w:szCs w:val="32"/>
          <w:lang w:val="en-US" w:eastAsia="zh-CN"/>
        </w:rPr>
        <w:t>全力以赴抓好大事要事。</w:t>
      </w:r>
      <w:r>
        <w:rPr>
          <w:rFonts w:hint="eastAsia" w:ascii="仿宋_GB2312" w:hAnsi="Times New Roman" w:eastAsia="仿宋_GB2312" w:cs="Times New Roman"/>
          <w:b/>
          <w:bCs/>
          <w:sz w:val="32"/>
          <w:szCs w:val="32"/>
          <w:lang w:eastAsia="zh-CN"/>
        </w:rPr>
        <w:t>做好服务、学习贯彻党的二十大各项工作。</w:t>
      </w:r>
      <w:r>
        <w:rPr>
          <w:rFonts w:hint="eastAsia" w:ascii="仿宋_GB2312" w:hAnsi="Times New Roman" w:eastAsia="仿宋_GB2312" w:cs="Times New Roman"/>
          <w:sz w:val="32"/>
          <w:szCs w:val="32"/>
          <w:lang w:eastAsia="zh-CN"/>
        </w:rPr>
        <w:t>牵头做好党的二十大服务保障工作，组织市住建委、市交通委等10余家单位，研究制定服务保障工作方案，并协调督促落实。大会闭幕后，厅党组把学习贯彻党的二十大精神作为首要政治任务，引导全厅干部全面学习、全面把握、全面落实党的二十大精神。</w:t>
      </w:r>
      <w:r>
        <w:rPr>
          <w:rFonts w:hint="eastAsia" w:ascii="仿宋_GB2312" w:hAnsi="Times New Roman" w:eastAsia="仿宋_GB2312" w:cs="Times New Roman"/>
          <w:b/>
          <w:bCs/>
          <w:sz w:val="32"/>
          <w:szCs w:val="32"/>
          <w:lang w:eastAsia="zh-CN"/>
        </w:rPr>
        <w:t>服务疫情防控大局</w:t>
      </w:r>
      <w:r>
        <w:rPr>
          <w:rFonts w:hint="eastAsia" w:ascii="仿宋_GB2312" w:eastAsia="仿宋_GB2312" w:cs="Times New Roman"/>
          <w:b/>
          <w:bCs/>
          <w:sz w:val="32"/>
          <w:szCs w:val="32"/>
          <w:lang w:eastAsia="zh-CN"/>
        </w:rPr>
        <w:t>，</w:t>
      </w:r>
      <w:r>
        <w:rPr>
          <w:rFonts w:hint="eastAsia" w:ascii="仿宋_GB2312" w:hAnsi="Times New Roman" w:eastAsia="仿宋_GB2312" w:cs="Times New Roman"/>
          <w:sz w:val="32"/>
          <w:szCs w:val="32"/>
          <w:lang w:val="en-US" w:eastAsia="zh-CN"/>
        </w:rPr>
        <w:t>全天候服务保障市长指挥调度疫情防控，围绕科技防疫、流调溯源等，及时组织召开专家论证、疫情调度等会议，做到纪要编发不过夜。</w:t>
      </w:r>
      <w:r>
        <w:rPr>
          <w:rFonts w:hint="eastAsia" w:ascii="仿宋_GB2312" w:hAnsi="Times New Roman" w:eastAsia="仿宋_GB2312" w:cs="Times New Roman"/>
          <w:b/>
          <w:bCs/>
          <w:sz w:val="32"/>
          <w:szCs w:val="32"/>
          <w:lang w:eastAsia="zh-CN"/>
        </w:rPr>
        <w:t>高标准完成冬奥会冬残奥会服务保障任务</w:t>
      </w:r>
      <w:r>
        <w:rPr>
          <w:rFonts w:hint="eastAsia" w:ascii="仿宋_GB2312" w:eastAsia="仿宋_GB2312" w:cs="Times New Roman"/>
          <w:b/>
          <w:bCs/>
          <w:sz w:val="32"/>
          <w:szCs w:val="32"/>
          <w:lang w:eastAsia="zh-CN"/>
        </w:rPr>
        <w:t>，</w:t>
      </w:r>
      <w:r>
        <w:rPr>
          <w:rFonts w:hint="eastAsia" w:ascii="仿宋_GB2312" w:hAnsi="Times New Roman" w:eastAsia="仿宋_GB2312" w:cs="Times New Roman"/>
          <w:sz w:val="32"/>
          <w:szCs w:val="32"/>
          <w:lang w:eastAsia="zh-CN"/>
        </w:rPr>
        <w:t>牵头成立冬奥火炬运行保障组，编制保障方案，搭建指挥平台，圆满完成火炬接力保障任务。牵头成立冬奥技术服务保障组办公室，</w:t>
      </w:r>
      <w:r>
        <w:rPr>
          <w:rFonts w:hint="eastAsia" w:ascii="仿宋_GB2312" w:hAnsi="Times New Roman" w:eastAsia="仿宋_GB2312" w:cs="Times New Roman"/>
          <w:sz w:val="32"/>
          <w:szCs w:val="32"/>
          <w:lang w:eastAsia="zh-Hans"/>
        </w:rPr>
        <w:t>搭建“一办五组”</w:t>
      </w:r>
      <w:r>
        <w:rPr>
          <w:rFonts w:hint="eastAsia" w:ascii="仿宋_GB2312" w:hAnsi="Times New Roman" w:eastAsia="仿宋_GB2312" w:cs="Times New Roman"/>
          <w:sz w:val="32"/>
          <w:szCs w:val="32"/>
          <w:lang w:eastAsia="zh-CN"/>
        </w:rPr>
        <w:t>，累计</w:t>
      </w:r>
      <w:r>
        <w:rPr>
          <w:rFonts w:hint="eastAsia" w:ascii="仿宋_GB2312" w:hAnsi="Times New Roman" w:eastAsia="仿宋_GB2312" w:cs="Times New Roman"/>
          <w:sz w:val="32"/>
          <w:szCs w:val="32"/>
          <w:lang w:eastAsia="zh-Hans"/>
        </w:rPr>
        <w:t>组织投入</w:t>
      </w:r>
      <w:r>
        <w:rPr>
          <w:rFonts w:hint="eastAsia" w:ascii="仿宋_GB2312" w:hAnsi="Times New Roman" w:eastAsia="仿宋_GB2312" w:cs="Times New Roman"/>
          <w:sz w:val="32"/>
          <w:szCs w:val="32"/>
          <w:lang w:eastAsia="zh-CN"/>
        </w:rPr>
        <w:t>技术</w:t>
      </w:r>
      <w:r>
        <w:rPr>
          <w:rFonts w:hint="eastAsia" w:ascii="仿宋_GB2312" w:hAnsi="Times New Roman" w:eastAsia="仿宋_GB2312" w:cs="Times New Roman"/>
          <w:sz w:val="32"/>
          <w:szCs w:val="32"/>
          <w:lang w:eastAsia="zh-Hans"/>
        </w:rPr>
        <w:t>力量28万</w:t>
      </w:r>
      <w:r>
        <w:rPr>
          <w:rFonts w:hint="eastAsia" w:ascii="仿宋_GB2312" w:hAnsi="Times New Roman" w:eastAsia="仿宋_GB2312" w:cs="Times New Roman"/>
          <w:sz w:val="32"/>
          <w:szCs w:val="32"/>
          <w:lang w:eastAsia="zh-CN"/>
        </w:rPr>
        <w:t>余</w:t>
      </w:r>
      <w:r>
        <w:rPr>
          <w:rFonts w:hint="eastAsia" w:ascii="仿宋_GB2312" w:hAnsi="Times New Roman" w:eastAsia="仿宋_GB2312" w:cs="Times New Roman"/>
          <w:sz w:val="32"/>
          <w:szCs w:val="32"/>
          <w:lang w:eastAsia="zh-Hans"/>
        </w:rPr>
        <w:t>人次</w:t>
      </w:r>
      <w:r>
        <w:rPr>
          <w:rFonts w:hint="eastAsia" w:ascii="仿宋_GB2312" w:hAnsi="Times New Roman" w:eastAsia="仿宋_GB2312" w:cs="Times New Roman"/>
          <w:sz w:val="32"/>
          <w:szCs w:val="32"/>
          <w:lang w:eastAsia="zh-CN"/>
        </w:rPr>
        <w:t>，为冬奥提供技术保障。</w:t>
      </w:r>
    </w:p>
    <w:p>
      <w:pPr>
        <w:spacing w:line="560" w:lineRule="exact"/>
        <w:ind w:firstLine="642"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b/>
          <w:bCs/>
          <w:sz w:val="32"/>
          <w:szCs w:val="32"/>
          <w:lang w:eastAsia="zh-CN"/>
        </w:rPr>
        <w:t>二是</w:t>
      </w:r>
      <w:r>
        <w:rPr>
          <w:rFonts w:hint="eastAsia" w:ascii="仿宋_GB2312" w:hAnsi="Times New Roman" w:eastAsia="仿宋_GB2312" w:cs="Times New Roman"/>
          <w:sz w:val="32"/>
          <w:szCs w:val="32"/>
          <w:lang w:eastAsia="zh-CN"/>
        </w:rPr>
        <w:t>精心保障市政府平稳高效运转。</w:t>
      </w:r>
      <w:r>
        <w:rPr>
          <w:rFonts w:hint="eastAsia" w:ascii="仿宋_GB2312" w:hAnsi="Times New Roman" w:eastAsia="仿宋_GB2312" w:cs="Times New Roman"/>
          <w:b/>
          <w:bCs/>
          <w:sz w:val="32"/>
          <w:szCs w:val="32"/>
          <w:lang w:val="en-US" w:eastAsia="zh-CN"/>
        </w:rPr>
        <w:t>公文办理提质增效。</w:t>
      </w:r>
      <w:r>
        <w:rPr>
          <w:rFonts w:hint="eastAsia" w:ascii="仿宋_GB2312" w:hAnsi="Times New Roman" w:eastAsia="仿宋_GB2312" w:cs="Times New Roman"/>
          <w:sz w:val="32"/>
          <w:szCs w:val="32"/>
          <w:lang w:val="en-US" w:eastAsia="zh-CN"/>
        </w:rPr>
        <w:t>坚持“文不过夜”，用足用好移动办公平台，不断优化平台功能，全年共收公文1万余件，公文运转效率进一步提升。</w:t>
      </w:r>
      <w:r>
        <w:rPr>
          <w:rFonts w:hint="eastAsia" w:ascii="仿宋_GB2312" w:hAnsi="Times New Roman" w:eastAsia="仿宋_GB2312" w:cs="Times New Roman"/>
          <w:b w:val="0"/>
          <w:bCs w:val="0"/>
          <w:sz w:val="32"/>
          <w:szCs w:val="32"/>
          <w:lang w:val="en-US" w:eastAsia="zh-CN"/>
        </w:rPr>
        <w:t>坚持高质量发文，</w:t>
      </w:r>
      <w:r>
        <w:rPr>
          <w:rFonts w:hint="eastAsia" w:ascii="仿宋_GB2312" w:hAnsi="Times New Roman" w:eastAsia="仿宋_GB2312" w:cs="Times New Roman"/>
          <w:sz w:val="32"/>
          <w:szCs w:val="32"/>
          <w:lang w:val="en-US" w:eastAsia="zh-CN"/>
        </w:rPr>
        <w:t>制发《市政府文件制发工作程序》，强化发文前置审核，规范发文流程。</w:t>
      </w:r>
      <w:r>
        <w:rPr>
          <w:rFonts w:hint="eastAsia" w:ascii="仿宋_GB2312" w:hAnsi="Times New Roman" w:eastAsia="仿宋_GB2312" w:cs="Times New Roman"/>
          <w:b/>
          <w:bCs/>
          <w:sz w:val="32"/>
          <w:szCs w:val="32"/>
          <w:lang w:val="en-US" w:eastAsia="zh-CN"/>
        </w:rPr>
        <w:t>会议组织深入精细。</w:t>
      </w:r>
      <w:r>
        <w:rPr>
          <w:rFonts w:hint="eastAsia" w:ascii="仿宋_GB2312" w:hAnsi="Times New Roman" w:eastAsia="仿宋_GB2312" w:cs="Times New Roman"/>
          <w:sz w:val="32"/>
          <w:szCs w:val="32"/>
          <w:lang w:val="en-US" w:eastAsia="zh-CN"/>
        </w:rPr>
        <w:t>加强议题管理，统筹编制实施年度重要议题计划，主动与各单位沟通对接,议题安排坚持细化到月、具体到周，确保市政府会议对各方面重点工作及时研究调度、全覆盖、不缺项。</w:t>
      </w:r>
      <w:r>
        <w:rPr>
          <w:rFonts w:hint="eastAsia" w:ascii="仿宋_GB2312" w:hAnsi="Times New Roman" w:eastAsia="仿宋_GB2312" w:cs="Times New Roman"/>
          <w:b/>
          <w:bCs/>
          <w:sz w:val="32"/>
          <w:szCs w:val="32"/>
          <w:lang w:val="en-US" w:eastAsia="zh-CN"/>
        </w:rPr>
        <w:t>调研活动安排务实规范。</w:t>
      </w:r>
      <w:r>
        <w:rPr>
          <w:rFonts w:hint="eastAsia" w:ascii="仿宋_GB2312" w:hAnsi="Times New Roman" w:eastAsia="仿宋_GB2312" w:cs="Times New Roman"/>
          <w:sz w:val="32"/>
          <w:szCs w:val="32"/>
          <w:lang w:val="en-US" w:eastAsia="zh-CN"/>
        </w:rPr>
        <w:t>围绕全市中心工作、重点任务、难点问题，精准谋划报送调研主题建议，灵活采用蹲点调研、“回头看”调研等方式，全年共安排市长调研160次(含“双调研”55 次)，其中“四不两直”调研45次，赴基层联系点调研18次。</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default"/>
          <w:lang w:val="en-US" w:eastAsia="zh-CN"/>
        </w:rPr>
      </w:pPr>
      <w:r>
        <w:rPr>
          <w:rFonts w:hint="eastAsia"/>
          <w:lang w:val="en-US" w:eastAsia="zh-CN"/>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b/>
          <w:bCs/>
          <w:sz w:val="32"/>
          <w:szCs w:val="32"/>
          <w:lang w:val="en-US" w:eastAsia="zh-CN"/>
        </w:rPr>
        <w:t>三是</w:t>
      </w:r>
      <w:r>
        <w:rPr>
          <w:rFonts w:hint="eastAsia" w:ascii="仿宋_GB2312" w:hAnsi="Times New Roman" w:eastAsia="仿宋_GB2312" w:cs="Times New Roman"/>
          <w:sz w:val="32"/>
          <w:szCs w:val="32"/>
          <w:lang w:val="en-US" w:eastAsia="zh-CN"/>
        </w:rPr>
        <w:t>机关自身建设不断加强。扎实开展“专业能力提升年”活动和建立“双百”联系点制度，围绕智慧城市、公文处理等主题举办线上培训。全面从严治党深入推进，厅党组牢固树立抓好党建是最大政绩理念，深入落实新时代党的建设总要求，认真落实全面从严治党主体责任。落实新时代好干部标准，严格执行《党政领导干部选拔任用工作条例》，着力选优配强干部队伍。</w:t>
      </w:r>
    </w:p>
    <w:p>
      <w:pPr>
        <w:spacing w:line="560" w:lineRule="exact"/>
        <w:ind w:firstLine="642"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3.产出</w:t>
      </w:r>
      <w:r>
        <w:rPr>
          <w:rFonts w:ascii="仿宋_GB2312" w:hAnsi="宋体" w:eastAsia="仿宋_GB2312" w:cs="宋体"/>
          <w:b/>
          <w:bCs/>
          <w:color w:val="000000"/>
          <w:kern w:val="0"/>
          <w:sz w:val="32"/>
          <w:szCs w:val="32"/>
        </w:rPr>
        <w:t>进度</w:t>
      </w:r>
    </w:p>
    <w:p>
      <w:pPr>
        <w:spacing w:line="56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lang w:val="en-US" w:eastAsia="zh-CN"/>
        </w:rPr>
        <w:t>2022</w:t>
      </w:r>
      <w:r>
        <w:rPr>
          <w:rFonts w:hint="eastAsia" w:ascii="仿宋_GB2312" w:hAnsi="宋体" w:eastAsia="仿宋_GB2312" w:cs="宋体"/>
          <w:color w:val="000000"/>
          <w:kern w:val="0"/>
          <w:sz w:val="32"/>
          <w:szCs w:val="32"/>
        </w:rPr>
        <w:t>年度，办公厅重点工作及重点项目</w:t>
      </w:r>
      <w:r>
        <w:rPr>
          <w:rFonts w:hint="eastAsia" w:ascii="仿宋_GB2312" w:hAnsi="宋体" w:eastAsia="仿宋_GB2312" w:cs="宋体"/>
          <w:color w:val="000000"/>
          <w:kern w:val="0"/>
          <w:sz w:val="32"/>
          <w:szCs w:val="32"/>
          <w:lang w:eastAsia="zh-CN"/>
        </w:rPr>
        <w:t>基本按照年初</w:t>
      </w:r>
      <w:r>
        <w:rPr>
          <w:rFonts w:hint="eastAsia" w:ascii="仿宋_GB2312" w:hAnsi="宋体" w:eastAsia="仿宋_GB2312" w:cs="宋体"/>
          <w:color w:val="000000"/>
          <w:kern w:val="0"/>
          <w:sz w:val="32"/>
          <w:szCs w:val="32"/>
        </w:rPr>
        <w:t>计划</w:t>
      </w:r>
      <w:r>
        <w:rPr>
          <w:rFonts w:hint="eastAsia" w:ascii="仿宋_GB2312" w:hAnsi="宋体" w:eastAsia="仿宋_GB2312" w:cs="宋体"/>
          <w:color w:val="000000"/>
          <w:kern w:val="0"/>
          <w:sz w:val="32"/>
          <w:szCs w:val="32"/>
          <w:lang w:eastAsia="zh-CN"/>
        </w:rPr>
        <w:t>实施</w:t>
      </w:r>
      <w:r>
        <w:rPr>
          <w:rFonts w:hint="eastAsia" w:ascii="仿宋_GB2312" w:hAnsi="宋体" w:eastAsia="仿宋_GB2312" w:cs="宋体"/>
          <w:color w:val="000000"/>
          <w:kern w:val="0"/>
          <w:sz w:val="32"/>
          <w:szCs w:val="32"/>
        </w:rPr>
        <w:t>，并达成</w:t>
      </w:r>
      <w:r>
        <w:rPr>
          <w:rFonts w:hint="eastAsia" w:ascii="仿宋_GB2312" w:hAnsi="宋体" w:eastAsia="仿宋_GB2312" w:cs="宋体"/>
          <w:color w:val="000000"/>
          <w:kern w:val="0"/>
          <w:sz w:val="32"/>
          <w:szCs w:val="32"/>
          <w:lang w:eastAsia="zh-CN"/>
        </w:rPr>
        <w:t>了</w:t>
      </w:r>
      <w:r>
        <w:rPr>
          <w:rFonts w:hint="eastAsia" w:ascii="仿宋_GB2312" w:hAnsi="宋体" w:eastAsia="仿宋_GB2312" w:cs="宋体"/>
          <w:color w:val="000000"/>
          <w:kern w:val="0"/>
          <w:sz w:val="32"/>
          <w:szCs w:val="32"/>
        </w:rPr>
        <w:t>预期目标</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highlight w:val="none"/>
          <w:lang w:eastAsia="zh-CN"/>
        </w:rPr>
        <w:t>但受疫情影响</w:t>
      </w:r>
      <w:r>
        <w:rPr>
          <w:rFonts w:hint="eastAsia" w:ascii="仿宋_GB2312" w:hAnsi="仿宋" w:eastAsia="仿宋_GB2312" w:cs="仿宋"/>
          <w:color w:val="000000"/>
          <w:sz w:val="32"/>
          <w:szCs w:val="32"/>
          <w:highlight w:val="none"/>
          <w:lang w:eastAsia="zh-CN"/>
        </w:rPr>
        <w:t>，</w:t>
      </w:r>
      <w:r>
        <w:rPr>
          <w:rFonts w:hint="eastAsia" w:ascii="仿宋_GB2312" w:hAnsi="宋体" w:eastAsia="仿宋_GB2312" w:cs="宋体"/>
          <w:color w:val="000000"/>
          <w:kern w:val="0"/>
          <w:sz w:val="32"/>
          <w:szCs w:val="32"/>
          <w:highlight w:val="none"/>
        </w:rPr>
        <w:t>因公出国经费</w:t>
      </w:r>
      <w:r>
        <w:rPr>
          <w:rFonts w:hint="eastAsia" w:ascii="仿宋_GB2312" w:hAnsi="宋体" w:eastAsia="仿宋_GB2312" w:cs="宋体"/>
          <w:color w:val="000000"/>
          <w:kern w:val="0"/>
          <w:sz w:val="32"/>
          <w:szCs w:val="32"/>
          <w:highlight w:val="none"/>
          <w:lang w:val="en-US" w:eastAsia="zh-CN"/>
        </w:rPr>
        <w:t>项目</w:t>
      </w:r>
      <w:r>
        <w:rPr>
          <w:rFonts w:hint="eastAsia" w:ascii="仿宋_GB2312" w:hAnsi="仿宋" w:eastAsia="仿宋_GB2312" w:cs="仿宋"/>
          <w:color w:val="000000"/>
          <w:sz w:val="32"/>
          <w:szCs w:val="32"/>
          <w:highlight w:val="none"/>
        </w:rPr>
        <w:t>未</w:t>
      </w:r>
      <w:r>
        <w:rPr>
          <w:rFonts w:hint="eastAsia" w:ascii="仿宋_GB2312" w:hAnsi="仿宋" w:eastAsia="仿宋_GB2312" w:cs="仿宋"/>
          <w:color w:val="000000"/>
          <w:sz w:val="32"/>
          <w:szCs w:val="32"/>
          <w:highlight w:val="none"/>
          <w:lang w:eastAsia="zh-CN"/>
        </w:rPr>
        <w:t>能</w:t>
      </w:r>
      <w:r>
        <w:rPr>
          <w:rFonts w:hint="eastAsia" w:ascii="仿宋_GB2312" w:hAnsi="仿宋" w:eastAsia="仿宋_GB2312" w:cs="仿宋"/>
          <w:color w:val="000000"/>
          <w:sz w:val="32"/>
          <w:szCs w:val="32"/>
          <w:highlight w:val="none"/>
        </w:rPr>
        <w:t>开展</w:t>
      </w:r>
      <w:r>
        <w:rPr>
          <w:rFonts w:hint="eastAsia" w:ascii="仿宋_GB2312" w:hAnsi="仿宋" w:eastAsia="仿宋_GB2312" w:cs="仿宋"/>
          <w:color w:val="000000"/>
          <w:sz w:val="32"/>
          <w:szCs w:val="32"/>
          <w:highlight w:val="none"/>
          <w:lang w:eastAsia="zh-CN"/>
        </w:rPr>
        <w:t>，</w:t>
      </w:r>
      <w:r>
        <w:rPr>
          <w:rFonts w:hint="eastAsia" w:ascii="仿宋_GB2312" w:hAnsi="宋体" w:eastAsia="仿宋_GB2312" w:cs="宋体"/>
          <w:color w:val="000000"/>
          <w:kern w:val="0"/>
          <w:sz w:val="32"/>
          <w:szCs w:val="32"/>
          <w:highlight w:val="none"/>
        </w:rPr>
        <w:t>老干部活动经费</w:t>
      </w:r>
      <w:r>
        <w:rPr>
          <w:rFonts w:hint="eastAsia" w:ascii="仿宋_GB2312" w:hAnsi="宋体" w:eastAsia="仿宋_GB2312" w:cs="宋体"/>
          <w:color w:val="000000"/>
          <w:kern w:val="0"/>
          <w:sz w:val="32"/>
          <w:szCs w:val="32"/>
          <w:highlight w:val="none"/>
          <w:lang w:eastAsia="zh-CN"/>
        </w:rPr>
        <w:t>项目发生较大调整，政务信息服务、市政府重大决策专项任务核查服务等</w:t>
      </w:r>
      <w:r>
        <w:rPr>
          <w:rFonts w:hint="eastAsia" w:ascii="仿宋_GB2312" w:hAnsi="宋体" w:eastAsia="仿宋_GB2312" w:cs="宋体"/>
          <w:color w:val="000000"/>
          <w:kern w:val="0"/>
          <w:sz w:val="32"/>
          <w:szCs w:val="32"/>
          <w:highlight w:val="none"/>
          <w:lang w:val="en-US" w:eastAsia="zh-CN"/>
        </w:rPr>
        <w:t>2个</w:t>
      </w:r>
      <w:r>
        <w:rPr>
          <w:rFonts w:hint="eastAsia"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eastAsia="zh-CN"/>
        </w:rPr>
        <w:t>采购实施</w:t>
      </w:r>
      <w:r>
        <w:rPr>
          <w:rFonts w:hint="eastAsia" w:ascii="仿宋_GB2312" w:hAnsi="宋体" w:eastAsia="仿宋_GB2312" w:cs="宋体"/>
          <w:color w:val="000000"/>
          <w:kern w:val="0"/>
          <w:sz w:val="32"/>
          <w:szCs w:val="32"/>
          <w:highlight w:val="none"/>
        </w:rPr>
        <w:t>、合同签订</w:t>
      </w:r>
      <w:r>
        <w:rPr>
          <w:rFonts w:hint="eastAsia" w:ascii="仿宋_GB2312" w:hAnsi="宋体" w:eastAsia="仿宋_GB2312" w:cs="宋体"/>
          <w:color w:val="000000"/>
          <w:kern w:val="0"/>
          <w:sz w:val="32"/>
          <w:szCs w:val="32"/>
          <w:highlight w:val="none"/>
          <w:lang w:eastAsia="zh-CN"/>
        </w:rPr>
        <w:t>与预期目标</w:t>
      </w:r>
      <w:r>
        <w:rPr>
          <w:rFonts w:hint="eastAsia" w:ascii="仿宋_GB2312" w:hAnsi="宋体" w:eastAsia="仿宋_GB2312" w:cs="宋体"/>
          <w:color w:val="000000"/>
          <w:kern w:val="0"/>
          <w:sz w:val="32"/>
          <w:szCs w:val="32"/>
          <w:highlight w:val="none"/>
        </w:rPr>
        <w:t>略有延迟</w:t>
      </w:r>
      <w:r>
        <w:rPr>
          <w:rFonts w:hint="eastAsia" w:ascii="仿宋_GB2312" w:hAnsi="宋体" w:eastAsia="仿宋_GB2312" w:cs="宋体"/>
          <w:color w:val="000000"/>
          <w:kern w:val="0"/>
          <w:sz w:val="32"/>
          <w:szCs w:val="32"/>
          <w:highlight w:val="none"/>
          <w:lang w:eastAsia="zh-CN"/>
        </w:rPr>
        <w:t>。</w:t>
      </w:r>
    </w:p>
    <w:p>
      <w:pPr>
        <w:spacing w:line="560" w:lineRule="exact"/>
        <w:ind w:firstLine="642" w:firstLineChars="200"/>
        <w:outlineLvl w:val="2"/>
        <w:rPr>
          <w:rFonts w:ascii="仿宋_GB2312" w:hAnsi="宋体" w:eastAsia="仿宋_GB2312" w:cs="宋体"/>
          <w:b/>
          <w:bCs/>
          <w:color w:val="000000"/>
          <w:kern w:val="0"/>
          <w:sz w:val="32"/>
          <w:szCs w:val="32"/>
        </w:rPr>
      </w:pPr>
      <w:r>
        <w:rPr>
          <w:rFonts w:ascii="仿宋_GB2312" w:hAnsi="宋体" w:eastAsia="仿宋_GB2312" w:cs="宋体"/>
          <w:b/>
          <w:bCs/>
          <w:color w:val="000000"/>
          <w:kern w:val="0"/>
          <w:sz w:val="32"/>
          <w:szCs w:val="32"/>
        </w:rPr>
        <w:t>4.</w:t>
      </w:r>
      <w:r>
        <w:rPr>
          <w:rFonts w:hint="eastAsia" w:ascii="仿宋_GB2312" w:hAnsi="宋体" w:eastAsia="仿宋_GB2312" w:cs="宋体"/>
          <w:b/>
          <w:bCs/>
          <w:color w:val="000000"/>
          <w:kern w:val="0"/>
          <w:sz w:val="32"/>
          <w:szCs w:val="32"/>
        </w:rPr>
        <w:t>产出</w:t>
      </w:r>
      <w:r>
        <w:rPr>
          <w:rFonts w:ascii="仿宋_GB2312" w:hAnsi="宋体" w:eastAsia="仿宋_GB2312" w:cs="宋体"/>
          <w:b/>
          <w:bCs/>
          <w:color w:val="000000"/>
          <w:kern w:val="0"/>
          <w:sz w:val="32"/>
          <w:szCs w:val="32"/>
        </w:rPr>
        <w:t>成本</w:t>
      </w:r>
    </w:p>
    <w:p>
      <w:pPr>
        <w:spacing w:line="560" w:lineRule="exact"/>
        <w:ind w:firstLine="642"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b/>
          <w:bCs/>
          <w:color w:val="000000"/>
          <w:kern w:val="0"/>
          <w:sz w:val="32"/>
          <w:szCs w:val="32"/>
          <w:lang w:eastAsia="zh-CN"/>
        </w:rPr>
        <w:t>节约部门整体支出。</w:t>
      </w:r>
      <w:r>
        <w:rPr>
          <w:rFonts w:hint="eastAsia" w:ascii="仿宋_GB2312" w:hAnsi="仿宋" w:eastAsia="仿宋_GB2312" w:cs="Times New Roman"/>
          <w:sz w:val="32"/>
          <w:szCs w:val="32"/>
          <w:lang w:val="en-US" w:eastAsia="zh-CN"/>
        </w:rPr>
        <w:t>落实过“紧日子”要求，大力压减一般性支出，及时调整、交回预算资金642.75万元，2022年未发生“三公”经费支出。</w:t>
      </w:r>
    </w:p>
    <w:p>
      <w:pPr>
        <w:snapToGrid w:val="0"/>
        <w:spacing w:line="520" w:lineRule="exact"/>
        <w:ind w:firstLine="642" w:firstLineChars="200"/>
        <w:rPr>
          <w:rFonts w:ascii="仿宋_GB2312" w:hAnsi="仿宋_GB2312" w:eastAsia="仿宋_GB2312" w:cs="仿宋_GB2312"/>
          <w:sz w:val="32"/>
          <w:szCs w:val="32"/>
        </w:rPr>
      </w:pPr>
      <w:r>
        <w:rPr>
          <w:rFonts w:hint="eastAsia" w:ascii="仿宋_GB2312" w:hAnsi="仿宋" w:eastAsia="仿宋_GB2312" w:cs="仿宋"/>
          <w:b/>
          <w:bCs/>
          <w:color w:val="000000"/>
          <w:sz w:val="32"/>
          <w:szCs w:val="32"/>
          <w:lang w:eastAsia="zh-CN"/>
        </w:rPr>
        <w:t>二是加强预算评审。</w:t>
      </w:r>
      <w:r>
        <w:rPr>
          <w:rFonts w:hint="eastAsia" w:ascii="仿宋_GB2312" w:hAnsi="仿宋" w:eastAsia="仿宋_GB2312" w:cs="Times New Roman"/>
          <w:sz w:val="32"/>
          <w:szCs w:val="32"/>
          <w:lang w:val="en-US" w:eastAsia="zh-CN"/>
        </w:rPr>
        <w:t>加强项目评审工作，严控项目成本，完成</w:t>
      </w:r>
      <w:r>
        <w:rPr>
          <w:rFonts w:hint="eastAsia" w:ascii="仿宋_GB2312" w:hAnsi="仿宋" w:eastAsia="仿宋_GB2312" w:cs="Times New Roman"/>
          <w:sz w:val="32"/>
          <w:szCs w:val="32"/>
          <w:lang w:val="en" w:eastAsia="zh-CN"/>
        </w:rPr>
        <w:t>10</w:t>
      </w:r>
      <w:r>
        <w:rPr>
          <w:rFonts w:hint="eastAsia" w:ascii="仿宋_GB2312" w:hAnsi="仿宋" w:eastAsia="仿宋_GB2312" w:cs="Times New Roman"/>
          <w:sz w:val="32"/>
          <w:szCs w:val="32"/>
          <w:lang w:val="en-US" w:eastAsia="zh-CN"/>
        </w:rPr>
        <w:t>个项目评审，涉及金额1149.1万元，审减资金23.98万元</w:t>
      </w:r>
      <w:r>
        <w:rPr>
          <w:rFonts w:hint="eastAsia" w:ascii="仿宋_GB2312" w:hAnsi="仿宋" w:eastAsia="仿宋_GB2312" w:cs="Times New Roman"/>
          <w:sz w:val="32"/>
          <w:szCs w:val="32"/>
          <w:lang w:val="en" w:eastAsia="zh-CN"/>
        </w:rPr>
        <w:t>。</w:t>
      </w:r>
    </w:p>
    <w:p>
      <w:pPr>
        <w:snapToGrid w:val="0"/>
        <w:spacing w:line="520" w:lineRule="exact"/>
        <w:ind w:firstLine="640" w:firstLineChars="200"/>
        <w:outlineLvl w:val="1"/>
        <w:rPr>
          <w:rFonts w:ascii="楷体_GB2312" w:hAnsi="仿宋" w:eastAsia="楷体_GB2312"/>
          <w:sz w:val="32"/>
          <w:szCs w:val="32"/>
          <w:highlight w:val="none"/>
        </w:rPr>
      </w:pPr>
      <w:bookmarkStart w:id="6" w:name="_Toc103362019"/>
      <w:r>
        <w:rPr>
          <w:rFonts w:hint="eastAsia" w:ascii="楷体_GB2312" w:hAnsi="仿宋" w:eastAsia="楷体_GB2312"/>
          <w:sz w:val="32"/>
          <w:szCs w:val="32"/>
          <w:highlight w:val="none"/>
        </w:rPr>
        <w:t>（二）效果</w:t>
      </w:r>
      <w:r>
        <w:rPr>
          <w:rFonts w:ascii="楷体_GB2312" w:hAnsi="仿宋" w:eastAsia="楷体_GB2312"/>
          <w:sz w:val="32"/>
          <w:szCs w:val="32"/>
          <w:highlight w:val="none"/>
        </w:rPr>
        <w:t>实现情况分析</w:t>
      </w:r>
      <w:bookmarkEnd w:id="6"/>
    </w:p>
    <w:p>
      <w:pPr>
        <w:spacing w:line="560" w:lineRule="exact"/>
        <w:ind w:firstLine="642" w:firstLineChars="200"/>
        <w:outlineLvl w:val="2"/>
        <w:rPr>
          <w:rFonts w:ascii="仿宋_GB2312" w:hAnsi="仿宋" w:eastAsia="仿宋_GB2312"/>
          <w:b/>
          <w:bCs/>
          <w:sz w:val="32"/>
          <w:szCs w:val="32"/>
          <w:highlight w:val="none"/>
        </w:rPr>
      </w:pPr>
      <w:r>
        <w:rPr>
          <w:rFonts w:hint="eastAsia" w:ascii="仿宋_GB2312" w:hAnsi="宋体" w:eastAsia="仿宋_GB2312" w:cs="宋体"/>
          <w:b/>
          <w:bCs/>
          <w:color w:val="000000"/>
          <w:kern w:val="0"/>
          <w:sz w:val="32"/>
          <w:szCs w:val="32"/>
          <w:highlight w:val="none"/>
        </w:rPr>
        <w:t>1.</w:t>
      </w:r>
      <w:r>
        <w:rPr>
          <w:rFonts w:hint="eastAsia" w:ascii="仿宋_GB2312" w:hAnsi="仿宋" w:eastAsia="仿宋_GB2312"/>
          <w:b/>
          <w:bCs/>
          <w:sz w:val="32"/>
          <w:szCs w:val="32"/>
          <w:highlight w:val="none"/>
        </w:rPr>
        <w:t>更高水平当参谋</w:t>
      </w:r>
    </w:p>
    <w:p>
      <w:pPr>
        <w:spacing w:line="560" w:lineRule="exact"/>
        <w:ind w:firstLine="642" w:firstLineChars="200"/>
        <w:rPr>
          <w:rFonts w:ascii="仿宋_GB2312" w:hAnsi="宋体" w:eastAsia="仿宋_GB2312" w:cs="宋体"/>
          <w:color w:val="000000"/>
          <w:kern w:val="0"/>
          <w:sz w:val="32"/>
          <w:szCs w:val="32"/>
          <w:highlight w:val="none"/>
        </w:rPr>
      </w:pPr>
      <w:r>
        <w:rPr>
          <w:rFonts w:hint="eastAsia" w:ascii="仿宋_GB2312" w:hAnsi="仿宋" w:eastAsia="仿宋_GB2312"/>
          <w:b/>
          <w:bCs/>
          <w:sz w:val="32"/>
          <w:szCs w:val="32"/>
          <w:highlight w:val="none"/>
        </w:rPr>
        <w:t>一是</w:t>
      </w:r>
      <w:r>
        <w:rPr>
          <w:rFonts w:hint="eastAsia" w:ascii="仿宋_GB2312" w:hAnsi="仿宋" w:eastAsia="仿宋_GB2312"/>
          <w:sz w:val="32"/>
          <w:szCs w:val="32"/>
          <w:highlight w:val="none"/>
        </w:rPr>
        <w:t>通过及时准确报送信息，能够为市领导决策提供有力参考；坚持对信息全天候监测</w:t>
      </w:r>
      <w:r>
        <w:rPr>
          <w:rFonts w:hint="eastAsia" w:ascii="仿宋_GB2312" w:hAnsi="宋体" w:eastAsia="仿宋_GB2312" w:cs="宋体"/>
          <w:color w:val="000000"/>
          <w:kern w:val="0"/>
          <w:sz w:val="32"/>
          <w:szCs w:val="32"/>
          <w:highlight w:val="none"/>
        </w:rPr>
        <w:t>，有助于信息服务对科学决策能力的提升。</w:t>
      </w:r>
    </w:p>
    <w:p>
      <w:pPr>
        <w:spacing w:line="560" w:lineRule="exact"/>
        <w:ind w:firstLine="642" w:firstLineChars="200"/>
        <w:rPr>
          <w:rFonts w:ascii="仿宋_GB2312" w:hAnsi="宋体" w:eastAsia="仿宋_GB2312" w:cs="宋体"/>
          <w:color w:val="000000"/>
          <w:kern w:val="0"/>
          <w:sz w:val="32"/>
          <w:szCs w:val="32"/>
          <w:highlight w:val="none"/>
        </w:rPr>
      </w:pPr>
      <w:r>
        <w:rPr>
          <w:rFonts w:hint="eastAsia" w:ascii="仿宋_GB2312" w:hAnsi="仿宋" w:eastAsia="仿宋_GB2312" w:cs="Times New Roman"/>
          <w:b/>
          <w:bCs/>
          <w:color w:val="000000"/>
          <w:kern w:val="2"/>
          <w:sz w:val="32"/>
          <w:szCs w:val="32"/>
          <w:highlight w:val="none"/>
        </w:rPr>
        <w:t>二是</w:t>
      </w:r>
      <w:r>
        <w:rPr>
          <w:rFonts w:hint="eastAsia" w:ascii="仿宋_GB2312" w:hAnsi="宋体" w:eastAsia="仿宋_GB2312" w:cs="宋体"/>
          <w:color w:val="000000"/>
          <w:kern w:val="0"/>
          <w:sz w:val="32"/>
          <w:szCs w:val="32"/>
          <w:highlight w:val="none"/>
        </w:rPr>
        <w:t>对领导批示进行梳理，做好直接服务市领导同志的第一参谋助手，能够为推动相关工作的落实献计出力。</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cs="Times New Roman"/>
          <w:b/>
          <w:bCs/>
          <w:color w:val="000000"/>
          <w:kern w:val="2"/>
          <w:sz w:val="32"/>
          <w:szCs w:val="32"/>
          <w:highlight w:val="none"/>
        </w:rPr>
        <w:t>三是</w:t>
      </w:r>
      <w:r>
        <w:rPr>
          <w:rFonts w:hint="eastAsia" w:ascii="仿宋_GB2312" w:hAnsi="宋体" w:eastAsia="仿宋_GB2312" w:cs="宋体"/>
          <w:color w:val="000000"/>
          <w:kern w:val="0"/>
          <w:sz w:val="32"/>
          <w:szCs w:val="32"/>
          <w:highlight w:val="none"/>
        </w:rPr>
        <w:t>加强国办信息报送，创新推出图解类</w:t>
      </w:r>
      <w:r>
        <w:rPr>
          <w:rFonts w:hint="eastAsia" w:ascii="仿宋_GB2312" w:hAnsi="宋体" w:eastAsia="仿宋_GB2312" w:cs="宋体"/>
          <w:color w:val="000000"/>
          <w:kern w:val="0"/>
          <w:sz w:val="32"/>
          <w:szCs w:val="32"/>
          <w:highlight w:val="none"/>
          <w:lang w:eastAsia="zh-CN"/>
        </w:rPr>
        <w:t>信息</w:t>
      </w:r>
      <w:r>
        <w:rPr>
          <w:rFonts w:hint="eastAsia" w:ascii="仿宋_GB2312" w:hAnsi="宋体" w:eastAsia="仿宋_GB2312" w:cs="宋体"/>
          <w:color w:val="000000"/>
          <w:kern w:val="0"/>
          <w:sz w:val="32"/>
          <w:szCs w:val="32"/>
          <w:highlight w:val="none"/>
        </w:rPr>
        <w:t>专报，通过图文并茂的形式对政策性文件进行阐释，便于客观准确反映北京市工作特色亮点、经验做法，北京市在各省市区信息采用排名保持前十</w:t>
      </w:r>
      <w:r>
        <w:rPr>
          <w:rFonts w:hint="eastAsia" w:ascii="仿宋_GB2312" w:hAnsi="仿宋" w:eastAsia="仿宋_GB2312"/>
          <w:sz w:val="32"/>
          <w:szCs w:val="32"/>
          <w:highlight w:val="none"/>
        </w:rPr>
        <w:t>。</w:t>
      </w:r>
    </w:p>
    <w:p>
      <w:pPr>
        <w:spacing w:line="560" w:lineRule="exact"/>
        <w:ind w:firstLine="642" w:firstLineChars="200"/>
        <w:outlineLvl w:val="9"/>
        <w:rPr>
          <w:rFonts w:hint="eastAsia" w:ascii="仿宋_GB2312" w:hAnsi="仿宋" w:eastAsia="仿宋_GB2312" w:cs="Times New Roman"/>
          <w:b/>
          <w:bCs/>
          <w:color w:val="000000"/>
          <w:kern w:val="2"/>
          <w:sz w:val="32"/>
          <w:szCs w:val="32"/>
          <w:highlight w:val="none"/>
        </w:rPr>
      </w:pPr>
      <w:r>
        <w:rPr>
          <w:rFonts w:hint="eastAsia" w:ascii="仿宋_GB2312" w:hAnsi="仿宋" w:eastAsia="仿宋_GB2312" w:cs="Times New Roman"/>
          <w:b/>
          <w:bCs/>
          <w:color w:val="000000"/>
          <w:kern w:val="2"/>
          <w:sz w:val="32"/>
          <w:szCs w:val="32"/>
          <w:highlight w:val="none"/>
        </w:rPr>
        <w:t>2.更高效率保运转</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cs="Times New Roman"/>
          <w:b/>
          <w:bCs/>
          <w:color w:val="000000"/>
          <w:kern w:val="2"/>
          <w:sz w:val="32"/>
          <w:szCs w:val="32"/>
          <w:highlight w:val="none"/>
        </w:rPr>
        <w:t>一是</w:t>
      </w:r>
      <w:r>
        <w:rPr>
          <w:rFonts w:hint="eastAsia" w:ascii="仿宋_GB2312" w:hAnsi="宋体" w:eastAsia="仿宋_GB2312" w:cs="宋体"/>
          <w:color w:val="000000"/>
          <w:kern w:val="0"/>
          <w:sz w:val="32"/>
          <w:szCs w:val="32"/>
          <w:highlight w:val="none"/>
        </w:rPr>
        <w:t>通过利用“四不两直”“蹲点”等多种调研方式，深入基层一线，“以点带面”</w:t>
      </w:r>
      <w:r>
        <w:rPr>
          <w:rFonts w:hint="eastAsia" w:ascii="仿宋_GB2312" w:eastAsia="仿宋_GB2312"/>
          <w:sz w:val="32"/>
          <w:szCs w:val="32"/>
          <w:highlight w:val="none"/>
        </w:rPr>
        <w:t>开展工作</w:t>
      </w:r>
      <w:r>
        <w:rPr>
          <w:rFonts w:hint="eastAsia" w:ascii="仿宋_GB2312" w:hAnsi="宋体" w:eastAsia="仿宋_GB2312" w:cs="宋体"/>
          <w:color w:val="000000"/>
          <w:kern w:val="0"/>
          <w:sz w:val="32"/>
          <w:szCs w:val="32"/>
          <w:highlight w:val="none"/>
        </w:rPr>
        <w:t>，掌握基层真实情况，有效推进问题的解决和落实</w:t>
      </w:r>
      <w:r>
        <w:rPr>
          <w:rFonts w:hint="eastAsia" w:ascii="仿宋_GB2312" w:hAnsi="仿宋" w:eastAsia="仿宋_GB2312"/>
          <w:sz w:val="32"/>
          <w:szCs w:val="32"/>
          <w:highlight w:val="none"/>
        </w:rPr>
        <w:t>。</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cs="Times New Roman"/>
          <w:b/>
          <w:bCs/>
          <w:color w:val="000000"/>
          <w:kern w:val="2"/>
          <w:sz w:val="32"/>
          <w:szCs w:val="32"/>
          <w:highlight w:val="none"/>
        </w:rPr>
        <w:t>二是</w:t>
      </w:r>
      <w:r>
        <w:rPr>
          <w:rFonts w:hint="eastAsia" w:ascii="仿宋_GB2312" w:hAnsi="宋体" w:eastAsia="仿宋_GB2312" w:cs="宋体"/>
          <w:color w:val="000000"/>
          <w:kern w:val="0"/>
          <w:sz w:val="32"/>
          <w:szCs w:val="32"/>
          <w:highlight w:val="none"/>
        </w:rPr>
        <w:t>通过制定值班专业化规范</w:t>
      </w:r>
      <w:r>
        <w:rPr>
          <w:rFonts w:hint="eastAsia" w:ascii="仿宋_GB2312" w:hAnsi="仿宋" w:eastAsia="仿宋_GB2312"/>
          <w:sz w:val="32"/>
          <w:szCs w:val="32"/>
          <w:highlight w:val="none"/>
        </w:rPr>
        <w:t>建设，建立联合调度机制，加强重大突发事件协调调度，确保全市政府系统值班工作高标准开展。</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b/>
          <w:bCs/>
          <w:sz w:val="32"/>
          <w:szCs w:val="32"/>
          <w:highlight w:val="none"/>
        </w:rPr>
        <w:t>三是</w:t>
      </w:r>
      <w:r>
        <w:rPr>
          <w:rFonts w:hint="eastAsia" w:ascii="仿宋_GB2312" w:hAnsi="仿宋" w:eastAsia="仿宋_GB2312"/>
          <w:sz w:val="32"/>
          <w:szCs w:val="32"/>
          <w:highlight w:val="none"/>
        </w:rPr>
        <w:t>联络工作有序推进，包括统筹推进议案建议提案办理、扎实做好会议活动联络服务、协调保障政府广泛参与政协协商，主动接受人大监督等，圆满完成全国及市“两会”联络服务任务。机关政务服务管理效率得到不断提升。</w:t>
      </w:r>
    </w:p>
    <w:p>
      <w:pPr>
        <w:spacing w:line="560" w:lineRule="exact"/>
        <w:ind w:firstLine="642" w:firstLineChars="200"/>
        <w:outlineLvl w:val="9"/>
        <w:rPr>
          <w:rFonts w:hint="eastAsia" w:ascii="仿宋_GB2312" w:hAnsi="仿宋" w:eastAsia="仿宋_GB2312"/>
          <w:b/>
          <w:bCs/>
          <w:sz w:val="32"/>
          <w:szCs w:val="32"/>
          <w:highlight w:val="none"/>
        </w:rPr>
      </w:pPr>
      <w:r>
        <w:rPr>
          <w:rFonts w:hint="eastAsia" w:ascii="仿宋_GB2312" w:hAnsi="仿宋" w:eastAsia="仿宋_GB2312"/>
          <w:b/>
          <w:bCs/>
          <w:sz w:val="32"/>
          <w:szCs w:val="32"/>
          <w:highlight w:val="none"/>
        </w:rPr>
        <w:t>3.更高质量抓落实</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b/>
          <w:bCs/>
          <w:sz w:val="32"/>
          <w:szCs w:val="32"/>
          <w:highlight w:val="none"/>
        </w:rPr>
        <w:t>一是</w:t>
      </w:r>
      <w:r>
        <w:rPr>
          <w:rFonts w:hint="eastAsia" w:ascii="仿宋_GB2312" w:hAnsi="仿宋" w:eastAsia="仿宋_GB2312"/>
          <w:sz w:val="32"/>
          <w:szCs w:val="32"/>
          <w:highlight w:val="none"/>
        </w:rPr>
        <w:t>决策督查方面，全面落实综合、联合、专项督察工作，针对发现的问题现场督促整改；围绕</w:t>
      </w:r>
      <w:r>
        <w:rPr>
          <w:rFonts w:hint="eastAsia" w:ascii="仿宋_GB2312" w:eastAsia="仿宋_GB2312"/>
          <w:sz w:val="32"/>
          <w:szCs w:val="32"/>
          <w:highlight w:val="none"/>
        </w:rPr>
        <w:t>政府工</w:t>
      </w:r>
      <w:r>
        <w:rPr>
          <w:rFonts w:hint="eastAsia" w:ascii="仿宋_GB2312" w:hAnsi="仿宋" w:eastAsia="仿宋_GB2312"/>
          <w:sz w:val="32"/>
          <w:szCs w:val="32"/>
          <w:highlight w:val="none"/>
        </w:rPr>
        <w:t>作报告重点、重要民生实事以及市级重点程等重大专项任务，依托信息平台开展全面动态督查，并根据任务类型对刚性量化任务实行分类与联合督查，进一步细化分解任务，编制形成年度重点任务清单及重点项目的督查台账，不断规范与完善督查工作流程，有助于更好地开展督查考核工作。</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b/>
          <w:bCs/>
          <w:sz w:val="32"/>
          <w:szCs w:val="32"/>
          <w:highlight w:val="none"/>
        </w:rPr>
        <w:t>二是</w:t>
      </w:r>
      <w:r>
        <w:rPr>
          <w:rFonts w:hint="eastAsia" w:ascii="仿宋_GB2312" w:hAnsi="仿宋" w:eastAsia="仿宋_GB2312"/>
          <w:sz w:val="32"/>
          <w:szCs w:val="32"/>
          <w:highlight w:val="none"/>
        </w:rPr>
        <w:t>专项督查方面，推动市领导有关要求落实到位，采取暗访督查和线索核查等方式，完善专项督查工作，探索运用“互联网+督查”，提高督查效率和质量，不断推进督查问题落实解决，推动市政府决策部署落地见效，促使高质量发展与保障民生齐头并进、补齐短板与优化政策双向发力。</w:t>
      </w:r>
    </w:p>
    <w:p>
      <w:pPr>
        <w:spacing w:line="560" w:lineRule="exact"/>
        <w:ind w:firstLine="642" w:firstLineChars="200"/>
        <w:outlineLvl w:val="9"/>
        <w:rPr>
          <w:rFonts w:hint="eastAsia" w:ascii="仿宋_GB2312" w:hAnsi="仿宋" w:eastAsia="仿宋_GB2312" w:cs="Times New Roman"/>
          <w:b/>
          <w:bCs/>
          <w:color w:val="000000"/>
          <w:kern w:val="2"/>
          <w:sz w:val="32"/>
          <w:szCs w:val="32"/>
          <w:highlight w:val="none"/>
        </w:rPr>
      </w:pPr>
      <w:r>
        <w:rPr>
          <w:rFonts w:hint="eastAsia" w:ascii="仿宋_GB2312" w:hAnsi="仿宋" w:eastAsia="仿宋_GB2312" w:cs="Times New Roman"/>
          <w:b/>
          <w:bCs/>
          <w:color w:val="000000"/>
          <w:kern w:val="2"/>
          <w:sz w:val="32"/>
          <w:szCs w:val="32"/>
          <w:highlight w:val="none"/>
        </w:rPr>
        <w:t>4.机构服务保障能力提高</w:t>
      </w:r>
    </w:p>
    <w:p>
      <w:pPr>
        <w:spacing w:line="560" w:lineRule="exact"/>
        <w:ind w:firstLine="640" w:firstLineChars="200"/>
        <w:outlineLvl w:val="9"/>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eastAsia="zh-CN"/>
        </w:rPr>
        <w:t>扎实做好市长经济责任审计和自然资源资产离任(任中)审计的服务保障工作。坚持首善标准，认真落实</w:t>
      </w:r>
      <w:r>
        <w:rPr>
          <w:rFonts w:hint="eastAsia" w:ascii="仿宋_GB2312" w:hAnsi="仿宋" w:eastAsia="仿宋_GB2312"/>
          <w:sz w:val="32"/>
          <w:szCs w:val="32"/>
          <w:highlight w:val="none"/>
          <w:lang w:val="en-US" w:eastAsia="zh-CN"/>
        </w:rPr>
        <w:t>审计进点会议精神，全力配合审计组开展审计工作。牵头成立审计服务保障工作专班，</w:t>
      </w:r>
      <w:r>
        <w:rPr>
          <w:rFonts w:hint="eastAsia" w:ascii="仿宋_GB2312" w:hAnsi="仿宋" w:eastAsia="仿宋_GB2312"/>
          <w:sz w:val="32"/>
          <w:szCs w:val="32"/>
          <w:highlight w:val="none"/>
          <w:lang w:val="zh-TW" w:eastAsia="zh-CN"/>
        </w:rPr>
        <w:t>建立健全工作制度，优化工作流程，</w:t>
      </w:r>
      <w:r>
        <w:rPr>
          <w:rFonts w:hint="eastAsia" w:ascii="仿宋_GB2312" w:hAnsi="仿宋" w:eastAsia="仿宋_GB2312"/>
          <w:sz w:val="32"/>
          <w:szCs w:val="32"/>
          <w:highlight w:val="none"/>
          <w:lang w:val="en-US" w:eastAsia="zh-CN"/>
        </w:rPr>
        <w:t>坚持问题导向，切实抓好日常服务保障工作。</w:t>
      </w:r>
    </w:p>
    <w:p>
      <w:pPr>
        <w:spacing w:line="560" w:lineRule="exact"/>
        <w:ind w:firstLine="642" w:firstLineChars="200"/>
        <w:outlineLvl w:val="9"/>
        <w:rPr>
          <w:rFonts w:hint="eastAsia" w:ascii="仿宋_GB2312" w:hAnsi="仿宋" w:eastAsia="仿宋_GB2312"/>
          <w:b/>
          <w:bCs/>
          <w:sz w:val="32"/>
          <w:szCs w:val="32"/>
          <w:highlight w:val="none"/>
        </w:rPr>
      </w:pPr>
      <w:r>
        <w:rPr>
          <w:rFonts w:hint="eastAsia" w:ascii="仿宋_GB2312" w:hAnsi="仿宋" w:eastAsia="仿宋_GB2312"/>
          <w:b/>
          <w:bCs/>
          <w:sz w:val="32"/>
          <w:szCs w:val="32"/>
          <w:highlight w:val="none"/>
        </w:rPr>
        <w:t>5.进一步强化自身建设</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b/>
          <w:bCs/>
          <w:sz w:val="32"/>
          <w:szCs w:val="32"/>
          <w:highlight w:val="none"/>
        </w:rPr>
        <w:t>一是</w:t>
      </w:r>
      <w:r>
        <w:rPr>
          <w:rFonts w:hint="eastAsia" w:ascii="仿宋_GB2312" w:hAnsi="仿宋" w:eastAsia="仿宋_GB2312"/>
          <w:sz w:val="32"/>
          <w:szCs w:val="32"/>
          <w:highlight w:val="none"/>
        </w:rPr>
        <w:t>通过加强支部建设、深化党员教育管理</w:t>
      </w:r>
      <w:r>
        <w:rPr>
          <w:rFonts w:hint="eastAsia" w:ascii="仿宋_GB2312" w:eastAsia="仿宋_GB2312"/>
          <w:sz w:val="32"/>
          <w:szCs w:val="32"/>
          <w:highlight w:val="none"/>
        </w:rPr>
        <w:t>监督</w:t>
      </w:r>
      <w:r>
        <w:rPr>
          <w:rFonts w:hint="eastAsia" w:ascii="仿宋_GB2312" w:hAnsi="仿宋" w:eastAsia="仿宋_GB2312"/>
          <w:sz w:val="32"/>
          <w:szCs w:val="32"/>
          <w:highlight w:val="none"/>
        </w:rPr>
        <w:t>、加强机关党委自身建设等工作贯彻落实基层组织工作条例。</w:t>
      </w:r>
    </w:p>
    <w:p>
      <w:pPr>
        <w:spacing w:line="560" w:lineRule="exact"/>
        <w:ind w:firstLine="642" w:firstLineChars="200"/>
        <w:rPr>
          <w:rFonts w:ascii="仿宋_GB2312" w:hAnsi="仿宋" w:eastAsia="仿宋_GB2312"/>
          <w:sz w:val="32"/>
          <w:szCs w:val="32"/>
          <w:highlight w:val="none"/>
        </w:rPr>
      </w:pPr>
      <w:r>
        <w:rPr>
          <w:rFonts w:hint="eastAsia" w:ascii="仿宋_GB2312" w:hAnsi="仿宋" w:eastAsia="仿宋_GB2312"/>
          <w:b/>
          <w:bCs/>
          <w:sz w:val="32"/>
          <w:szCs w:val="32"/>
          <w:highlight w:val="none"/>
        </w:rPr>
        <w:t>二是</w:t>
      </w:r>
      <w:r>
        <w:rPr>
          <w:rFonts w:hint="eastAsia" w:ascii="仿宋_GB2312" w:hAnsi="仿宋" w:eastAsia="仿宋_GB2312"/>
          <w:sz w:val="32"/>
          <w:szCs w:val="32"/>
          <w:highlight w:val="none"/>
        </w:rPr>
        <w:t>进一步提高政治站位，协助完成市政府办公厅党组党员管理、监管监督工作，加强市政府办公厅作风纪律建设，做好精准慎重问责工作，完善机关纪委自身建设。</w:t>
      </w:r>
    </w:p>
    <w:p>
      <w:pPr>
        <w:spacing w:line="560" w:lineRule="exact"/>
        <w:ind w:firstLine="642" w:firstLineChars="200"/>
        <w:rPr>
          <w:rFonts w:ascii="仿宋_GB2312" w:hAnsi="宋体" w:eastAsia="仿宋_GB2312" w:cs="宋体"/>
          <w:color w:val="000000"/>
          <w:kern w:val="0"/>
          <w:sz w:val="32"/>
          <w:szCs w:val="32"/>
          <w:highlight w:val="none"/>
        </w:rPr>
      </w:pPr>
      <w:r>
        <w:rPr>
          <w:rFonts w:hint="eastAsia" w:ascii="仿宋_GB2312" w:hAnsi="仿宋" w:eastAsia="仿宋_GB2312"/>
          <w:b/>
          <w:bCs/>
          <w:sz w:val="32"/>
          <w:szCs w:val="32"/>
          <w:highlight w:val="none"/>
        </w:rPr>
        <w:t>三是</w:t>
      </w:r>
      <w:r>
        <w:rPr>
          <w:rFonts w:hint="eastAsia" w:ascii="仿宋_GB2312" w:hAnsi="仿宋" w:eastAsia="仿宋_GB2312"/>
          <w:sz w:val="32"/>
          <w:szCs w:val="32"/>
          <w:highlight w:val="none"/>
        </w:rPr>
        <w:t>通过集中学习、辅导报告、实地践学等形式开展学习，让党员干部在学习党史、为民服务中受到了教育洗礼。</w:t>
      </w:r>
    </w:p>
    <w:p>
      <w:pPr>
        <w:snapToGrid w:val="0"/>
        <w:spacing w:line="520" w:lineRule="exact"/>
        <w:ind w:firstLine="640" w:firstLineChars="200"/>
        <w:outlineLvl w:val="0"/>
        <w:rPr>
          <w:rFonts w:ascii="黑体" w:hAnsi="黑体" w:eastAsia="黑体"/>
          <w:sz w:val="32"/>
          <w:szCs w:val="32"/>
        </w:rPr>
      </w:pPr>
      <w:bookmarkStart w:id="7" w:name="_Toc103362020"/>
      <w:r>
        <w:rPr>
          <w:rFonts w:hint="eastAsia" w:ascii="黑体" w:hAnsi="黑体" w:eastAsia="黑体"/>
          <w:sz w:val="32"/>
          <w:szCs w:val="32"/>
        </w:rPr>
        <w:t>四</w:t>
      </w:r>
      <w:r>
        <w:rPr>
          <w:rFonts w:ascii="黑体" w:hAnsi="黑体" w:eastAsia="黑体"/>
          <w:sz w:val="32"/>
          <w:szCs w:val="32"/>
        </w:rPr>
        <w:t>、预算管理</w:t>
      </w:r>
      <w:r>
        <w:rPr>
          <w:rFonts w:hint="eastAsia" w:ascii="黑体" w:hAnsi="黑体" w:eastAsia="黑体"/>
          <w:sz w:val="32"/>
          <w:szCs w:val="32"/>
        </w:rPr>
        <w:t>情况分</w:t>
      </w:r>
      <w:r>
        <w:rPr>
          <w:rFonts w:ascii="黑体" w:hAnsi="黑体" w:eastAsia="黑体"/>
          <w:sz w:val="32"/>
          <w:szCs w:val="32"/>
        </w:rPr>
        <w:t>析</w:t>
      </w:r>
      <w:bookmarkEnd w:id="7"/>
    </w:p>
    <w:p>
      <w:pPr>
        <w:snapToGrid w:val="0"/>
        <w:spacing w:line="520" w:lineRule="exact"/>
        <w:ind w:firstLine="640" w:firstLineChars="200"/>
        <w:outlineLvl w:val="1"/>
        <w:rPr>
          <w:rFonts w:ascii="楷体_GB2312" w:hAnsi="仿宋" w:eastAsia="楷体_GB2312"/>
          <w:sz w:val="32"/>
          <w:szCs w:val="32"/>
        </w:rPr>
      </w:pPr>
      <w:bookmarkStart w:id="8" w:name="_Toc103362021"/>
      <w:r>
        <w:rPr>
          <w:rFonts w:hint="eastAsia" w:ascii="楷体_GB2312" w:hAnsi="仿宋" w:eastAsia="楷体_GB2312"/>
          <w:sz w:val="32"/>
          <w:szCs w:val="32"/>
        </w:rPr>
        <w:t>（一）财务管理</w:t>
      </w:r>
      <w:bookmarkEnd w:id="8"/>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1.财务管理制度健全性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eastAsia="仿宋_GB2312" w:cs="仿宋_GB2312"/>
          <w:snapToGrid w:val="0"/>
          <w:kern w:val="0"/>
          <w:sz w:val="32"/>
          <w:szCs w:val="32"/>
        </w:rPr>
        <w:t>为加强办公厅财务管理，进一步防范内控风险，结合办公厅实际，</w:t>
      </w:r>
      <w:r>
        <w:rPr>
          <w:rFonts w:hint="eastAsia" w:ascii="仿宋_GB2312" w:hAnsi="宋体" w:eastAsia="仿宋_GB2312" w:cs="宋体"/>
          <w:color w:val="000000"/>
          <w:kern w:val="0"/>
          <w:sz w:val="32"/>
          <w:szCs w:val="32"/>
          <w:lang w:val="en-US" w:eastAsia="zh-CN"/>
        </w:rPr>
        <w:t>办公厅近年来陆续</w:t>
      </w:r>
      <w:r>
        <w:rPr>
          <w:rFonts w:hint="eastAsia" w:ascii="仿宋_GB2312" w:hAnsi="宋体" w:eastAsia="仿宋_GB2312" w:cs="宋体"/>
          <w:color w:val="000000"/>
          <w:kern w:val="0"/>
          <w:sz w:val="32"/>
          <w:szCs w:val="32"/>
        </w:rPr>
        <w:t>制定了</w:t>
      </w:r>
      <w:r>
        <w:rPr>
          <w:rFonts w:hint="eastAsia" w:ascii="仿宋_GB2312" w:eastAsia="仿宋_GB2312"/>
          <w:sz w:val="32"/>
          <w:szCs w:val="32"/>
        </w:rPr>
        <w:t>《机关财务监管小组工作办法》</w:t>
      </w:r>
      <w:r>
        <w:rPr>
          <w:rFonts w:hint="eastAsia" w:ascii="仿宋_GB2312" w:hAnsi="宋体" w:eastAsia="仿宋_GB2312" w:cs="宋体"/>
          <w:color w:val="000000"/>
          <w:kern w:val="0"/>
          <w:sz w:val="32"/>
          <w:szCs w:val="32"/>
        </w:rPr>
        <w:t>《预算管理办法》《预算绩效管理实施细则》《采购管理办法》《合同管理办法》</w:t>
      </w:r>
      <w:r>
        <w:rPr>
          <w:rFonts w:hint="eastAsia" w:ascii="仿宋_GB2312" w:hAnsi="宋体" w:eastAsia="仿宋_GB2312" w:cs="宋体"/>
          <w:color w:val="000000"/>
          <w:kern w:val="0"/>
          <w:sz w:val="32"/>
          <w:szCs w:val="32"/>
          <w:lang w:eastAsia="zh-CN"/>
        </w:rPr>
        <w:t>等</w:t>
      </w:r>
      <w:r>
        <w:rPr>
          <w:rFonts w:hint="eastAsia" w:ascii="仿宋_GB2312" w:hAnsi="宋体" w:eastAsia="仿宋_GB2312" w:cs="宋体"/>
          <w:color w:val="000000"/>
          <w:kern w:val="0"/>
          <w:sz w:val="32"/>
          <w:szCs w:val="32"/>
          <w:lang w:val="en-US" w:eastAsia="zh-CN"/>
        </w:rPr>
        <w:t>20项</w:t>
      </w:r>
      <w:r>
        <w:rPr>
          <w:rFonts w:hint="eastAsia" w:ascii="仿宋_GB2312" w:hAnsi="宋体" w:eastAsia="仿宋_GB2312" w:cs="宋体"/>
          <w:color w:val="000000"/>
          <w:kern w:val="0"/>
          <w:sz w:val="32"/>
          <w:szCs w:val="32"/>
        </w:rPr>
        <w:t>制度，形成了《内部控制管理手册》，</w:t>
      </w:r>
      <w:r>
        <w:rPr>
          <w:rFonts w:hint="eastAsia" w:ascii="仿宋_GB2312" w:hAnsi="宋体" w:eastAsia="仿宋_GB2312" w:cs="宋体"/>
          <w:color w:val="000000"/>
          <w:kern w:val="0"/>
          <w:sz w:val="32"/>
          <w:szCs w:val="32"/>
          <w:lang w:eastAsia="zh-CN"/>
        </w:rPr>
        <w:t>规范了</w:t>
      </w:r>
      <w:r>
        <w:rPr>
          <w:rFonts w:hint="eastAsia" w:ascii="仿宋_GB2312" w:hAnsi="宋体" w:eastAsia="仿宋_GB2312" w:cs="宋体"/>
          <w:color w:val="000000"/>
          <w:kern w:val="0"/>
          <w:sz w:val="32"/>
          <w:szCs w:val="32"/>
        </w:rPr>
        <w:t>部门预算管理、采购管理、合同管理、固定资产管理、会计管理及财务监管机制等</w:t>
      </w:r>
      <w:r>
        <w:rPr>
          <w:rFonts w:hint="eastAsia" w:ascii="仿宋_GB2312" w:hAnsi="宋体" w:eastAsia="仿宋_GB2312" w:cs="宋体"/>
          <w:color w:val="000000"/>
          <w:kern w:val="0"/>
          <w:sz w:val="32"/>
          <w:szCs w:val="32"/>
          <w:lang w:eastAsia="zh-CN"/>
        </w:rPr>
        <w:t>内容</w:t>
      </w:r>
      <w:r>
        <w:rPr>
          <w:rFonts w:hint="eastAsia" w:ascii="仿宋_GB2312" w:hAnsi="宋体" w:eastAsia="仿宋_GB2312" w:cs="宋体"/>
          <w:color w:val="000000"/>
          <w:kern w:val="0"/>
          <w:sz w:val="32"/>
          <w:szCs w:val="32"/>
        </w:rPr>
        <w:t>。</w:t>
      </w:r>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2.资金使用合规性和安全性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资金使用严格按照北京市及办公厅各项规定制度执行</w:t>
      </w:r>
      <w:r>
        <w:rPr>
          <w:rFonts w:hint="eastAsia" w:ascii="仿宋_GB2312" w:hAnsi="宋体" w:eastAsia="仿宋_GB2312" w:cs="宋体"/>
          <w:color w:val="000000"/>
          <w:kern w:val="0"/>
          <w:sz w:val="32"/>
          <w:szCs w:val="32"/>
        </w:rPr>
        <w:t>。资金拨付有完整的审批</w:t>
      </w:r>
      <w:r>
        <w:rPr>
          <w:rFonts w:hint="eastAsia" w:ascii="仿宋_GB2312" w:hAnsi="宋体" w:eastAsia="仿宋_GB2312" w:cs="宋体"/>
          <w:color w:val="000000"/>
          <w:kern w:val="0"/>
          <w:sz w:val="32"/>
          <w:szCs w:val="32"/>
          <w:lang w:eastAsia="zh-CN"/>
        </w:rPr>
        <w:t>流程，重大项目支出经过厅党组集体审议</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不</w:t>
      </w:r>
      <w:r>
        <w:rPr>
          <w:rFonts w:hint="eastAsia" w:ascii="仿宋_GB2312" w:hAnsi="宋体" w:eastAsia="仿宋_GB2312" w:cs="宋体"/>
          <w:color w:val="000000"/>
          <w:kern w:val="0"/>
          <w:sz w:val="32"/>
          <w:szCs w:val="32"/>
        </w:rPr>
        <w:t>存在截留、挤占、挪用、虚列支出等情况。</w:t>
      </w:r>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3.会计基础信息完善性</w:t>
      </w:r>
    </w:p>
    <w:p>
      <w:pPr>
        <w:spacing w:line="560" w:lineRule="exact"/>
        <w:ind w:left="0" w:leftChars="0" w:firstLine="640" w:firstLineChars="200"/>
        <w:rPr>
          <w:rFonts w:hint="eastAsia" w:ascii="仿宋_GB2312" w:hAnsi="宋体" w:eastAsia="仿宋_GB2312" w:cs="宋体"/>
          <w:color w:val="000000"/>
          <w:kern w:val="0"/>
          <w:sz w:val="32"/>
          <w:szCs w:val="32"/>
          <w:lang w:eastAsia="zh-CN"/>
        </w:rPr>
      </w:pPr>
      <w:bookmarkStart w:id="9" w:name="_Hlk103343508"/>
      <w:r>
        <w:rPr>
          <w:rFonts w:hint="eastAsia" w:ascii="仿宋_GB2312" w:hAnsi="宋体" w:eastAsia="仿宋_GB2312" w:cs="宋体"/>
          <w:color w:val="000000"/>
          <w:kern w:val="0"/>
          <w:sz w:val="32"/>
          <w:szCs w:val="32"/>
          <w:lang w:eastAsia="zh-CN"/>
        </w:rPr>
        <w:t>办公厅制定了《</w:t>
      </w:r>
      <w:r>
        <w:rPr>
          <w:rStyle w:val="18"/>
          <w:rFonts w:hint="eastAsia" w:ascii="仿宋_GB2312" w:hAnsi="宋体" w:eastAsia="仿宋_GB2312" w:cs="宋体"/>
          <w:color w:val="000000"/>
          <w:kern w:val="0"/>
          <w:sz w:val="32"/>
          <w:szCs w:val="32"/>
        </w:rPr>
        <w:t>会计管理办法</w:t>
      </w:r>
      <w:r>
        <w:rPr>
          <w:rFonts w:hint="eastAsia" w:ascii="仿宋_GB2312" w:hAnsi="宋体" w:eastAsia="仿宋_GB2312" w:cs="宋体"/>
          <w:color w:val="000000"/>
          <w:kern w:val="0"/>
          <w:sz w:val="32"/>
          <w:szCs w:val="32"/>
          <w:lang w:eastAsia="zh-CN"/>
        </w:rPr>
        <w:t>》《</w:t>
      </w:r>
      <w:r>
        <w:rPr>
          <w:rStyle w:val="18"/>
          <w:rFonts w:hint="eastAsia" w:ascii="仿宋_GB2312" w:hAnsi="宋体" w:eastAsia="仿宋_GB2312" w:cs="宋体"/>
          <w:color w:val="000000"/>
          <w:kern w:val="0"/>
          <w:sz w:val="32"/>
          <w:szCs w:val="32"/>
        </w:rPr>
        <w:t>会计档案管理办法</w:t>
      </w:r>
      <w:r>
        <w:rPr>
          <w:rFonts w:hint="eastAsia" w:ascii="仿宋_GB2312" w:hAnsi="宋体" w:eastAsia="仿宋_GB2312" w:cs="宋体"/>
          <w:color w:val="000000"/>
          <w:kern w:val="0"/>
          <w:sz w:val="32"/>
          <w:szCs w:val="32"/>
          <w:lang w:eastAsia="zh-CN"/>
        </w:rPr>
        <w:t>》，用制度进一步规范了会计人员管理、会计核算、会计监督、会计档案管理等内容，为会计基础信息提供了制度保障。</w:t>
      </w:r>
      <w:bookmarkEnd w:id="9"/>
    </w:p>
    <w:p>
      <w:pPr>
        <w:snapToGrid w:val="0"/>
        <w:spacing w:line="520" w:lineRule="exact"/>
        <w:ind w:firstLine="640" w:firstLineChars="200"/>
        <w:outlineLvl w:val="1"/>
        <w:rPr>
          <w:rFonts w:ascii="楷体_GB2312" w:hAnsi="仿宋" w:eastAsia="楷体_GB2312"/>
          <w:sz w:val="32"/>
          <w:szCs w:val="32"/>
        </w:rPr>
      </w:pPr>
      <w:bookmarkStart w:id="10" w:name="_Toc103362022"/>
      <w:r>
        <w:rPr>
          <w:rFonts w:hint="eastAsia" w:ascii="楷体_GB2312" w:hAnsi="仿宋" w:eastAsia="楷体_GB2312"/>
          <w:sz w:val="32"/>
          <w:szCs w:val="32"/>
        </w:rPr>
        <w:t>（二）资产管理</w:t>
      </w:r>
      <w:bookmarkEnd w:id="10"/>
    </w:p>
    <w:p>
      <w:pPr>
        <w:spacing w:line="560" w:lineRule="exact"/>
        <w:ind w:firstLine="642" w:firstLineChars="200"/>
        <w:rPr>
          <w:rFonts w:hint="eastAsia" w:eastAsia="仿宋_GB2312"/>
          <w:color w:val="000000" w:themeColor="text1"/>
          <w:sz w:val="32"/>
          <w:szCs w:val="32"/>
          <w:lang w:val="en-US" w:eastAsia="zh-CN"/>
          <w14:textFill>
            <w14:solidFill>
              <w14:schemeClr w14:val="tx1"/>
            </w14:solidFill>
          </w14:textFill>
        </w:rPr>
      </w:pPr>
      <w:bookmarkStart w:id="11" w:name="_Toc103362023"/>
      <w:r>
        <w:rPr>
          <w:rFonts w:hint="eastAsia" w:eastAsia="仿宋_GB2312"/>
          <w:b/>
          <w:bCs w:val="0"/>
          <w:color w:val="000000" w:themeColor="text1"/>
          <w:sz w:val="32"/>
          <w:szCs w:val="32"/>
          <w:lang w:eastAsia="zh-CN"/>
          <w14:textFill>
            <w14:solidFill>
              <w14:schemeClr w14:val="tx1"/>
            </w14:solidFill>
          </w14:textFill>
        </w:rPr>
        <w:t>一是</w:t>
      </w:r>
      <w:r>
        <w:rPr>
          <w:rFonts w:eastAsia="仿宋_GB2312"/>
          <w:bCs/>
          <w:color w:val="000000" w:themeColor="text1"/>
          <w:sz w:val="32"/>
          <w:szCs w:val="32"/>
          <w14:textFill>
            <w14:solidFill>
              <w14:schemeClr w14:val="tx1"/>
            </w14:solidFill>
          </w14:textFill>
        </w:rPr>
        <w:t>按照办公厅巡视反馈意见整改方案要求，修订</w:t>
      </w:r>
      <w:r>
        <w:rPr>
          <w:rFonts w:eastAsia="仿宋_GB2312"/>
          <w:color w:val="000000" w:themeColor="text1"/>
          <w:sz w:val="32"/>
          <w:szCs w:val="32"/>
          <w14:textFill>
            <w14:solidFill>
              <w14:schemeClr w14:val="tx1"/>
            </w14:solidFill>
          </w14:textFill>
        </w:rPr>
        <w:t>固定资产管理办法，明确盘点时间</w:t>
      </w:r>
      <w:r>
        <w:rPr>
          <w:rFonts w:hint="eastAsia"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细化盘点流程</w:t>
      </w:r>
      <w:r>
        <w:rPr>
          <w:rFonts w:hint="eastAsia" w:eastAsia="仿宋_GB2312"/>
          <w:color w:val="000000" w:themeColor="text1"/>
          <w:sz w:val="32"/>
          <w:szCs w:val="32"/>
          <w14:textFill>
            <w14:solidFill>
              <w14:schemeClr w14:val="tx1"/>
            </w14:solidFill>
          </w14:textFill>
        </w:rPr>
        <w:t>、开展制度宣贯</w:t>
      </w:r>
      <w:r>
        <w:rPr>
          <w:rFonts w:hint="eastAsia" w:eastAsia="仿宋_GB2312"/>
          <w:color w:val="000000" w:themeColor="text1"/>
          <w:sz w:val="32"/>
          <w:szCs w:val="32"/>
          <w:lang w:eastAsia="zh-CN"/>
          <w14:textFill>
            <w14:solidFill>
              <w14:schemeClr w14:val="tx1"/>
            </w14:solidFill>
          </w14:textFill>
        </w:rPr>
        <w:t>；</w:t>
      </w:r>
      <w:r>
        <w:rPr>
          <w:rFonts w:hint="eastAsia" w:eastAsia="仿宋_GB2312"/>
          <w:b/>
          <w:bCs/>
          <w:color w:val="000000" w:themeColor="text1"/>
          <w:sz w:val="32"/>
          <w:szCs w:val="32"/>
          <w:lang w:eastAsia="zh-CN"/>
          <w14:textFill>
            <w14:solidFill>
              <w14:schemeClr w14:val="tx1"/>
            </w14:solidFill>
          </w14:textFill>
        </w:rPr>
        <w:t>二是</w:t>
      </w:r>
      <w:r>
        <w:rPr>
          <w:rFonts w:hint="eastAsia" w:eastAsia="仿宋_GB2312"/>
          <w:color w:val="000000" w:themeColor="text1"/>
          <w:sz w:val="32"/>
          <w:szCs w:val="32"/>
          <w:lang w:eastAsia="zh-CN"/>
          <w14:textFill>
            <w14:solidFill>
              <w14:schemeClr w14:val="tx1"/>
            </w14:solidFill>
          </w14:textFill>
        </w:rPr>
        <w:t>由于</w:t>
      </w:r>
      <w:r>
        <w:rPr>
          <w:rFonts w:hint="eastAsia" w:ascii="CESI仿宋-GB2312" w:hAnsi="CESI仿宋-GB2312" w:eastAsia="CESI仿宋-GB2312" w:cs="CESI仿宋-GB2312"/>
          <w:color w:val="auto"/>
          <w:sz w:val="30"/>
          <w:szCs w:val="30"/>
          <w:lang w:eastAsia="zh-CN"/>
        </w:rPr>
        <w:t>二级预算单位北京市人民政府驻上海办事处撤销，</w:t>
      </w:r>
      <w:r>
        <w:rPr>
          <w:rFonts w:hint="eastAsia" w:ascii="仿宋_GB2312" w:hAnsi="仿宋" w:eastAsia="仿宋_GB2312" w:cs="Times New Roman"/>
          <w:sz w:val="32"/>
          <w:szCs w:val="32"/>
          <w:lang w:val="en-US" w:eastAsia="zh-CN"/>
        </w:rPr>
        <w:t>2022年及时办理了</w:t>
      </w:r>
      <w:r>
        <w:rPr>
          <w:rFonts w:hint="eastAsia" w:ascii="CESI仿宋-GB2312" w:hAnsi="CESI仿宋-GB2312" w:eastAsia="CESI仿宋-GB2312" w:cs="CESI仿宋-GB2312"/>
          <w:color w:val="auto"/>
          <w:sz w:val="30"/>
          <w:szCs w:val="30"/>
          <w:lang w:eastAsia="zh-CN"/>
        </w:rPr>
        <w:t>部分资产转出、报废手续；</w:t>
      </w:r>
      <w:r>
        <w:rPr>
          <w:rFonts w:hint="eastAsia" w:ascii="Times New Roman" w:hAnsi="Times New Roman" w:eastAsia="仿宋_GB2312"/>
          <w:b/>
          <w:bCs/>
          <w:sz w:val="32"/>
          <w:szCs w:val="32"/>
        </w:rPr>
        <w:t>三是</w:t>
      </w:r>
      <w:r>
        <w:rPr>
          <w:rFonts w:hint="eastAsia" w:ascii="Times New Roman" w:hAnsi="Times New Roman" w:eastAsia="仿宋_GB2312"/>
          <w:sz w:val="32"/>
          <w:szCs w:val="32"/>
        </w:rPr>
        <w:t>按要求编报年度资产报表，全面反映单位资产管理现状。</w:t>
      </w:r>
      <w:r>
        <w:rPr>
          <w:rFonts w:hint="eastAsia" w:eastAsia="仿宋_GB2312"/>
          <w:color w:val="000000" w:themeColor="text1"/>
          <w:sz w:val="32"/>
          <w:szCs w:val="32"/>
          <w:lang w:val="en-US" w:eastAsia="zh-CN"/>
          <w14:textFill>
            <w14:solidFill>
              <w14:schemeClr w14:val="tx1"/>
            </w14:solidFill>
          </w14:textFill>
        </w:rPr>
        <w:t xml:space="preserve">   </w:t>
      </w:r>
    </w:p>
    <w:p>
      <w:pPr>
        <w:snapToGrid w:val="0"/>
        <w:spacing w:line="520" w:lineRule="exact"/>
        <w:ind w:firstLine="640" w:firstLineChars="200"/>
        <w:outlineLvl w:val="1"/>
        <w:rPr>
          <w:rFonts w:ascii="楷体_GB2312" w:hAnsi="仿宋" w:eastAsia="楷体_GB2312"/>
          <w:sz w:val="32"/>
          <w:szCs w:val="32"/>
        </w:rPr>
      </w:pPr>
      <w:r>
        <w:rPr>
          <w:rFonts w:hint="eastAsia" w:ascii="楷体_GB2312" w:hAnsi="仿宋" w:eastAsia="楷体_GB2312"/>
          <w:sz w:val="32"/>
          <w:szCs w:val="32"/>
        </w:rPr>
        <w:t>（三）绩效</w:t>
      </w:r>
      <w:r>
        <w:rPr>
          <w:rFonts w:ascii="楷体_GB2312" w:hAnsi="仿宋" w:eastAsia="楷体_GB2312"/>
          <w:sz w:val="32"/>
          <w:szCs w:val="32"/>
        </w:rPr>
        <w:t>管理</w:t>
      </w:r>
      <w:bookmarkEnd w:id="11"/>
    </w:p>
    <w:p>
      <w:pPr>
        <w:spacing w:line="560" w:lineRule="exact"/>
        <w:ind w:firstLine="640" w:firstLineChars="200"/>
        <w:rPr>
          <w:rFonts w:ascii="Times New Roman" w:hAnsi="Times New Roman" w:eastAsia="仿宋_GB2312"/>
          <w:sz w:val="32"/>
          <w:szCs w:val="32"/>
        </w:rPr>
      </w:pPr>
      <w:bookmarkStart w:id="12" w:name="_Toc103362024"/>
      <w:r>
        <w:rPr>
          <w:rFonts w:hint="eastAsia" w:ascii="仿宋_GB2312" w:hAnsi="仿宋" w:eastAsia="仿宋_GB2312" w:cs="Times New Roman"/>
          <w:sz w:val="32"/>
          <w:szCs w:val="32"/>
          <w:lang w:val="en-US" w:eastAsia="zh-CN"/>
        </w:rPr>
        <w:t>2022年，</w:t>
      </w:r>
      <w:r>
        <w:rPr>
          <w:rFonts w:hint="eastAsia" w:eastAsia="仿宋_GB2312"/>
          <w:sz w:val="32"/>
          <w:szCs w:val="32"/>
          <w:lang w:eastAsia="zh-CN"/>
        </w:rPr>
        <w:t>办公厅</w:t>
      </w:r>
      <w:r>
        <w:rPr>
          <w:rFonts w:hint="eastAsia" w:ascii="Times New Roman" w:hAnsi="Times New Roman" w:eastAsia="仿宋_GB2312"/>
          <w:sz w:val="32"/>
          <w:szCs w:val="32"/>
        </w:rPr>
        <w:t>开展了项目绩效评价、绩效</w:t>
      </w:r>
      <w:bookmarkStart w:id="16" w:name="_GoBack"/>
      <w:bookmarkEnd w:id="16"/>
      <w:r>
        <w:rPr>
          <w:rFonts w:hint="eastAsia" w:ascii="Times New Roman" w:hAnsi="Times New Roman" w:eastAsia="仿宋_GB2312"/>
          <w:sz w:val="32"/>
          <w:szCs w:val="32"/>
        </w:rPr>
        <w:t>监控管理、项目绩效目标编制等三项工作。</w:t>
      </w:r>
      <w:r>
        <w:rPr>
          <w:rFonts w:hint="eastAsia" w:ascii="Times New Roman" w:hAnsi="Times New Roman" w:eastAsia="仿宋_GB2312"/>
          <w:b/>
          <w:bCs/>
          <w:sz w:val="32"/>
          <w:szCs w:val="32"/>
        </w:rPr>
        <w:t>一是绩效评价。</w:t>
      </w:r>
      <w:r>
        <w:rPr>
          <w:rFonts w:hint="eastAsia" w:ascii="仿宋_GB2312" w:hAnsi="仿宋" w:eastAsia="仿宋_GB2312" w:cs="Times New Roman"/>
          <w:sz w:val="32"/>
          <w:szCs w:val="32"/>
          <w:lang w:val="en-US" w:eastAsia="zh-CN"/>
        </w:rPr>
        <w:t>办公厅2022年度16个项目均参与绩效自评。</w:t>
      </w:r>
      <w:r>
        <w:rPr>
          <w:rFonts w:hint="eastAsia" w:ascii="仿宋_GB2312" w:eastAsia="仿宋_GB2312"/>
          <w:sz w:val="32"/>
          <w:szCs w:val="32"/>
          <w:lang w:eastAsia="zh-CN"/>
        </w:rPr>
        <w:t>项目承办</w:t>
      </w:r>
      <w:r>
        <w:rPr>
          <w:rFonts w:hint="eastAsia" w:ascii="仿宋_GB2312" w:eastAsia="仿宋_GB2312"/>
          <w:sz w:val="32"/>
          <w:szCs w:val="32"/>
        </w:rPr>
        <w:t>处室</w:t>
      </w:r>
      <w:r>
        <w:rPr>
          <w:rFonts w:hint="eastAsia" w:ascii="仿宋_GB2312" w:eastAsia="仿宋_GB2312"/>
          <w:sz w:val="32"/>
          <w:szCs w:val="32"/>
          <w:lang w:eastAsia="zh-CN"/>
        </w:rPr>
        <w:t>依据市财政局公布并经</w:t>
      </w:r>
      <w:r>
        <w:rPr>
          <w:rFonts w:hint="eastAsia" w:ascii="仿宋_GB2312" w:eastAsia="仿宋_GB2312"/>
          <w:sz w:val="32"/>
          <w:szCs w:val="32"/>
        </w:rPr>
        <w:t>办公厅细化后的评分依据，填写《项目支出绩效自评表》</w:t>
      </w:r>
      <w:r>
        <w:rPr>
          <w:rFonts w:hint="eastAsia" w:ascii="仿宋_GB2312" w:eastAsia="仿宋_GB2312"/>
          <w:sz w:val="32"/>
          <w:szCs w:val="32"/>
          <w:lang w:eastAsia="zh-CN"/>
        </w:rPr>
        <w:t>（附件</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，进行自评打分并提交项目支撑材料</w:t>
      </w:r>
      <w:r>
        <w:rPr>
          <w:rFonts w:hint="eastAsia" w:ascii="仿宋_GB2312" w:eastAsia="仿宋_GB2312"/>
          <w:sz w:val="32"/>
          <w:szCs w:val="32"/>
          <w:lang w:eastAsia="zh-CN"/>
        </w:rPr>
        <w:t>；</w:t>
      </w:r>
      <w:r>
        <w:rPr>
          <w:rFonts w:hint="eastAsia" w:ascii="仿宋_GB2312" w:eastAsia="仿宋_GB2312"/>
          <w:sz w:val="32"/>
          <w:szCs w:val="32"/>
        </w:rPr>
        <w:t>中介机构驻场进行规范性、实质性审核，提出修改意见</w:t>
      </w:r>
      <w:r>
        <w:rPr>
          <w:rFonts w:hint="eastAsia" w:ascii="仿宋_GB2312" w:eastAsia="仿宋_GB2312"/>
          <w:sz w:val="32"/>
          <w:szCs w:val="32"/>
          <w:lang w:eastAsia="zh-CN"/>
        </w:rPr>
        <w:t>；</w:t>
      </w:r>
      <w:r>
        <w:rPr>
          <w:rFonts w:hint="eastAsia" w:ascii="仿宋_GB2312" w:eastAsia="仿宋_GB2312"/>
          <w:sz w:val="32"/>
          <w:szCs w:val="32"/>
        </w:rPr>
        <w:t>各处室根据修改意见补充支撑材料，修改自评表</w:t>
      </w:r>
      <w:r>
        <w:rPr>
          <w:rFonts w:hint="eastAsia" w:ascii="仿宋_GB2312" w:eastAsia="仿宋_GB2312"/>
          <w:sz w:val="32"/>
          <w:szCs w:val="32"/>
          <w:lang w:eastAsia="zh-CN"/>
        </w:rPr>
        <w:t>；</w:t>
      </w:r>
      <w:r>
        <w:rPr>
          <w:rFonts w:hint="eastAsia" w:ascii="仿宋_GB2312" w:eastAsia="仿宋_GB2312"/>
          <w:sz w:val="32"/>
          <w:szCs w:val="32"/>
        </w:rPr>
        <w:t>中介机构核定各项目自评分值后，财务处进行复核</w:t>
      </w:r>
      <w:r>
        <w:rPr>
          <w:rFonts w:hint="eastAsia" w:ascii="仿宋_GB2312" w:eastAsia="仿宋_GB2312"/>
          <w:sz w:val="32"/>
          <w:szCs w:val="32"/>
          <w:lang w:eastAsia="zh-CN"/>
        </w:rPr>
        <w:t>、汇总</w:t>
      </w:r>
      <w:r>
        <w:rPr>
          <w:rFonts w:hint="eastAsia" w:ascii="仿宋_GB2312" w:eastAsia="仿宋_GB2312"/>
          <w:sz w:val="32"/>
          <w:szCs w:val="32"/>
        </w:rPr>
        <w:t>。</w:t>
      </w:r>
      <w:r>
        <w:rPr>
          <w:rFonts w:hint="eastAsia" w:ascii="仿宋_GB2312" w:eastAsia="仿宋_GB2312"/>
          <w:sz w:val="32"/>
          <w:szCs w:val="32"/>
          <w:lang w:val="en-US" w:eastAsia="zh-CN"/>
        </w:rPr>
        <w:t>全部项目均在90分以上。</w:t>
      </w:r>
      <w:r>
        <w:rPr>
          <w:rFonts w:hint="eastAsia" w:ascii="Times New Roman" w:hAnsi="Times New Roman" w:eastAsia="仿宋_GB2312"/>
          <w:b/>
          <w:bCs/>
          <w:sz w:val="32"/>
          <w:szCs w:val="32"/>
        </w:rPr>
        <w:t>二是绩效监控</w:t>
      </w:r>
      <w:r>
        <w:rPr>
          <w:rFonts w:hint="eastAsia" w:ascii="Times New Roman" w:hAnsi="Times New Roman" w:eastAsia="仿宋_GB2312"/>
          <w:sz w:val="32"/>
          <w:szCs w:val="32"/>
        </w:rPr>
        <w:t>。主要是对项目执行情况进行了梳理分析，通过绩效监控管理，及时发现了预算执行过程中存在的问题，针对性采取措施，对预算和绩效目标进行调整，并</w:t>
      </w:r>
      <w:r>
        <w:rPr>
          <w:rFonts w:hint="eastAsia" w:eastAsia="仿宋_GB2312"/>
          <w:sz w:val="32"/>
          <w:szCs w:val="32"/>
          <w:lang w:eastAsia="zh-CN"/>
        </w:rPr>
        <w:t>推动</w:t>
      </w:r>
      <w:r>
        <w:rPr>
          <w:rFonts w:hint="eastAsia" w:ascii="Times New Roman" w:hAnsi="Times New Roman" w:eastAsia="仿宋_GB2312"/>
          <w:sz w:val="32"/>
          <w:szCs w:val="32"/>
        </w:rPr>
        <w:t>各</w:t>
      </w:r>
      <w:r>
        <w:rPr>
          <w:rFonts w:hint="eastAsia" w:eastAsia="仿宋_GB2312"/>
          <w:sz w:val="32"/>
          <w:szCs w:val="32"/>
          <w:lang w:eastAsia="zh-CN"/>
        </w:rPr>
        <w:t>处室</w:t>
      </w:r>
      <w:r>
        <w:rPr>
          <w:rFonts w:hint="eastAsia" w:ascii="Times New Roman" w:hAnsi="Times New Roman" w:eastAsia="仿宋_GB2312"/>
          <w:sz w:val="32"/>
          <w:szCs w:val="32"/>
        </w:rPr>
        <w:t>加快推进项目实施</w:t>
      </w:r>
      <w:r>
        <w:rPr>
          <w:rFonts w:hint="eastAsia" w:eastAsia="仿宋_GB2312"/>
          <w:sz w:val="32"/>
          <w:szCs w:val="32"/>
          <w:lang w:eastAsia="zh-CN"/>
        </w:rPr>
        <w:t>。</w:t>
      </w:r>
      <w:r>
        <w:rPr>
          <w:rFonts w:hint="eastAsia" w:ascii="Times New Roman" w:hAnsi="Times New Roman" w:eastAsia="仿宋_GB2312"/>
          <w:b/>
          <w:bCs/>
          <w:sz w:val="32"/>
          <w:szCs w:val="32"/>
        </w:rPr>
        <w:t>三是绩效目标编制。</w:t>
      </w:r>
      <w:r>
        <w:rPr>
          <w:rFonts w:hint="eastAsia" w:ascii="Times New Roman" w:hAnsi="Times New Roman" w:eastAsia="仿宋_GB2312"/>
          <w:sz w:val="32"/>
          <w:szCs w:val="32"/>
        </w:rPr>
        <w:t>按照各</w:t>
      </w:r>
      <w:r>
        <w:rPr>
          <w:rFonts w:hint="eastAsia" w:eastAsia="仿宋_GB2312"/>
          <w:sz w:val="32"/>
          <w:szCs w:val="32"/>
          <w:lang w:eastAsia="zh-CN"/>
        </w:rPr>
        <w:t>处室</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年预</w:t>
      </w:r>
      <w:r>
        <w:rPr>
          <w:rFonts w:hint="eastAsia" w:ascii="Times New Roman" w:hAnsi="Times New Roman" w:eastAsia="仿宋_GB2312"/>
          <w:sz w:val="32"/>
          <w:szCs w:val="32"/>
        </w:rPr>
        <w:t>算申报情况，对所有预算项目填报了绩效目标，并编制了部门整体绩效目标，为下一年绩效管理工作打下了基础。</w:t>
      </w:r>
    </w:p>
    <w:p>
      <w:pPr>
        <w:snapToGrid w:val="0"/>
        <w:spacing w:line="520" w:lineRule="exact"/>
        <w:ind w:firstLine="640" w:firstLineChars="200"/>
        <w:outlineLvl w:val="1"/>
        <w:rPr>
          <w:rFonts w:ascii="楷体_GB2312" w:hAnsi="仿宋" w:eastAsia="楷体_GB2312"/>
          <w:sz w:val="32"/>
          <w:szCs w:val="32"/>
          <w:highlight w:val="none"/>
        </w:rPr>
      </w:pPr>
      <w:r>
        <w:rPr>
          <w:rFonts w:hint="eastAsia" w:ascii="楷体_GB2312" w:hAnsi="仿宋" w:eastAsia="楷体_GB2312"/>
          <w:sz w:val="32"/>
          <w:szCs w:val="32"/>
          <w:highlight w:val="none"/>
        </w:rPr>
        <w:t>（四）结转结余率</w:t>
      </w:r>
      <w:bookmarkEnd w:id="12"/>
    </w:p>
    <w:p>
      <w:pPr>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年度，办公厅年末结转结余总额为</w:t>
      </w:r>
      <w:r>
        <w:rPr>
          <w:rFonts w:hint="eastAsia" w:ascii="仿宋_GB2312" w:hAnsi="楷体" w:eastAsia="仿宋_GB2312"/>
          <w:sz w:val="32"/>
          <w:szCs w:val="32"/>
          <w:highlight w:val="none"/>
          <w:lang w:val="en-US" w:eastAsia="zh-CN"/>
        </w:rPr>
        <w:t>684.49</w:t>
      </w:r>
      <w:r>
        <w:rPr>
          <w:rFonts w:hint="eastAsia" w:ascii="仿宋_GB2312" w:hAnsi="仿宋_GB2312" w:eastAsia="仿宋_GB2312" w:cs="仿宋_GB2312"/>
          <w:sz w:val="32"/>
          <w:szCs w:val="32"/>
          <w:highlight w:val="none"/>
        </w:rPr>
        <w:t>万元，支出全年预算数为</w:t>
      </w:r>
      <w:r>
        <w:rPr>
          <w:rFonts w:hint="eastAsia" w:ascii="仿宋_GB2312" w:hAnsi="宋体" w:eastAsia="仿宋_GB2312" w:cs="宋体"/>
          <w:color w:val="000000"/>
          <w:kern w:val="0"/>
          <w:sz w:val="32"/>
          <w:szCs w:val="32"/>
          <w:highlight w:val="none"/>
          <w:lang w:val="en-US" w:eastAsia="zh-CN"/>
        </w:rPr>
        <w:t>13722.33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年度部门</w:t>
      </w:r>
      <w:r>
        <w:rPr>
          <w:rFonts w:hint="eastAsia" w:ascii="仿宋_GB2312" w:eastAsia="仿宋_GB2312"/>
          <w:sz w:val="32"/>
          <w:szCs w:val="32"/>
          <w:highlight w:val="none"/>
        </w:rPr>
        <w:t>结转</w:t>
      </w:r>
      <w:r>
        <w:rPr>
          <w:rFonts w:hint="eastAsia" w:ascii="仿宋_GB2312" w:hAnsi="仿宋_GB2312" w:eastAsia="仿宋_GB2312" w:cs="仿宋_GB2312"/>
          <w:sz w:val="32"/>
          <w:szCs w:val="32"/>
          <w:highlight w:val="none"/>
        </w:rPr>
        <w:t>结余率为</w:t>
      </w:r>
      <w:r>
        <w:rPr>
          <w:rFonts w:hint="eastAsia" w:ascii="仿宋_GB2312" w:hAnsi="仿宋_GB2312" w:eastAsia="仿宋_GB2312" w:cs="仿宋_GB2312"/>
          <w:sz w:val="32"/>
          <w:szCs w:val="32"/>
          <w:highlight w:val="none"/>
          <w:lang w:val="en-US" w:eastAsia="zh-CN"/>
        </w:rPr>
        <w:t>4.99</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w:t>
      </w:r>
    </w:p>
    <w:p>
      <w:pPr>
        <w:snapToGrid w:val="0"/>
        <w:spacing w:line="520" w:lineRule="exact"/>
        <w:ind w:firstLine="640" w:firstLineChars="200"/>
        <w:outlineLvl w:val="1"/>
        <w:rPr>
          <w:rFonts w:ascii="仿宋_GB2312" w:hAnsi="仿宋_GB2312" w:eastAsia="仿宋_GB2312" w:cs="仿宋_GB2312"/>
          <w:sz w:val="32"/>
          <w:szCs w:val="32"/>
          <w:highlight w:val="none"/>
        </w:rPr>
      </w:pPr>
      <w:bookmarkStart w:id="13" w:name="_Toc103362025"/>
      <w:r>
        <w:rPr>
          <w:rFonts w:hint="eastAsia" w:ascii="楷体_GB2312" w:hAnsi="仿宋" w:eastAsia="楷体_GB2312"/>
          <w:sz w:val="32"/>
          <w:szCs w:val="32"/>
          <w:highlight w:val="none"/>
        </w:rPr>
        <w:t>（五）部门</w:t>
      </w:r>
      <w:r>
        <w:rPr>
          <w:rFonts w:ascii="楷体_GB2312" w:hAnsi="仿宋" w:eastAsia="楷体_GB2312"/>
          <w:sz w:val="32"/>
          <w:szCs w:val="32"/>
          <w:highlight w:val="none"/>
        </w:rPr>
        <w:t>预决算差异率</w:t>
      </w:r>
      <w:bookmarkEnd w:id="13"/>
    </w:p>
    <w:p>
      <w:pPr>
        <w:spacing w:line="560" w:lineRule="exact"/>
        <w:ind w:firstLine="640" w:firstLineChars="200"/>
        <w:rPr>
          <w:highlight w:val="none"/>
        </w:rPr>
      </w:pPr>
      <w:r>
        <w:rPr>
          <w:rFonts w:hint="eastAsia" w:ascii="仿宋_GB2312" w:hAnsi="仿宋_GB2312" w:eastAsia="仿宋_GB2312" w:cs="仿宋_GB2312"/>
          <w:sz w:val="32"/>
          <w:szCs w:val="32"/>
          <w:highlight w:val="none"/>
        </w:rPr>
        <w:t>2021年度</w:t>
      </w:r>
      <w:r>
        <w:rPr>
          <w:rFonts w:hint="eastAsia" w:ascii="仿宋_GB2312" w:hAnsi="宋体" w:eastAsia="仿宋_GB2312" w:cs="宋体"/>
          <w:color w:val="000000"/>
          <w:kern w:val="0"/>
          <w:sz w:val="32"/>
          <w:szCs w:val="32"/>
          <w:highlight w:val="none"/>
        </w:rPr>
        <w:t>，</w:t>
      </w:r>
      <w:r>
        <w:rPr>
          <w:rFonts w:hint="eastAsia" w:ascii="仿宋_GB2312" w:hAnsi="仿宋_GB2312" w:eastAsia="仿宋_GB2312" w:cs="仿宋_GB2312"/>
          <w:sz w:val="32"/>
          <w:szCs w:val="32"/>
          <w:highlight w:val="none"/>
        </w:rPr>
        <w:t>办公厅</w:t>
      </w:r>
      <w:r>
        <w:rPr>
          <w:rFonts w:hint="eastAsia" w:ascii="仿宋_GB2312" w:hAnsi="宋体" w:eastAsia="仿宋_GB2312" w:cs="宋体"/>
          <w:color w:val="000000"/>
          <w:kern w:val="0"/>
          <w:sz w:val="32"/>
          <w:szCs w:val="32"/>
          <w:highlight w:val="none"/>
        </w:rPr>
        <w:t>年初</w:t>
      </w:r>
      <w:r>
        <w:rPr>
          <w:rFonts w:hint="eastAsia" w:ascii="仿宋_GB2312" w:hAnsi="仿宋_GB2312" w:eastAsia="仿宋_GB2312" w:cs="仿宋_GB2312"/>
          <w:sz w:val="32"/>
          <w:szCs w:val="32"/>
          <w:highlight w:val="none"/>
        </w:rPr>
        <w:t>预算数为</w:t>
      </w:r>
      <w:r>
        <w:rPr>
          <w:rFonts w:hint="eastAsia" w:ascii="仿宋_GB2312" w:eastAsia="仿宋_GB2312"/>
          <w:sz w:val="32"/>
          <w:szCs w:val="32"/>
          <w:highlight w:val="none"/>
        </w:rPr>
        <w:t>1282</w:t>
      </w:r>
      <w:r>
        <w:rPr>
          <w:rFonts w:hint="default" w:ascii="仿宋_GB2312" w:eastAsia="仿宋_GB2312"/>
          <w:sz w:val="32"/>
          <w:szCs w:val="32"/>
          <w:highlight w:val="none"/>
          <w:lang w:val="en"/>
        </w:rPr>
        <w:t>6</w:t>
      </w:r>
      <w:r>
        <w:rPr>
          <w:rFonts w:hint="eastAsia" w:ascii="仿宋_GB2312" w:eastAsia="仿宋_GB2312"/>
          <w:sz w:val="32"/>
          <w:szCs w:val="32"/>
          <w:highlight w:val="none"/>
        </w:rPr>
        <w:t>.</w:t>
      </w:r>
      <w:r>
        <w:rPr>
          <w:rFonts w:hint="default" w:ascii="仿宋_GB2312" w:eastAsia="仿宋_GB2312"/>
          <w:sz w:val="32"/>
          <w:szCs w:val="32"/>
          <w:highlight w:val="none"/>
          <w:lang w:val="en"/>
        </w:rPr>
        <w:t>5</w:t>
      </w:r>
      <w:r>
        <w:rPr>
          <w:rFonts w:hint="eastAsia" w:ascii="仿宋_GB2312" w:eastAsia="仿宋_GB2312"/>
          <w:sz w:val="32"/>
          <w:szCs w:val="32"/>
          <w:highlight w:val="none"/>
        </w:rPr>
        <w:t>0</w:t>
      </w:r>
      <w:r>
        <w:rPr>
          <w:rFonts w:hint="eastAsia" w:ascii="仿宋_GB2312" w:hAnsi="仿宋_GB2312" w:eastAsia="仿宋_GB2312" w:cs="仿宋_GB2312"/>
          <w:sz w:val="32"/>
          <w:szCs w:val="32"/>
          <w:highlight w:val="none"/>
        </w:rPr>
        <w:t>万元，年末部门决算数为</w:t>
      </w:r>
      <w:r>
        <w:rPr>
          <w:rFonts w:hint="eastAsia" w:ascii="仿宋_GB2312" w:hAnsi="宋体" w:eastAsia="仿宋_GB2312" w:cs="宋体"/>
          <w:color w:val="000000"/>
          <w:kern w:val="0"/>
          <w:sz w:val="32"/>
          <w:szCs w:val="32"/>
          <w:highlight w:val="none"/>
          <w:lang w:val="en-US" w:eastAsia="zh-CN"/>
        </w:rPr>
        <w:t>13722.33</w:t>
      </w:r>
      <w:r>
        <w:rPr>
          <w:rFonts w:hint="eastAsia" w:ascii="仿宋_GB2312" w:hAnsi="仿宋_GB2312" w:eastAsia="仿宋_GB2312" w:cs="仿宋_GB2312"/>
          <w:sz w:val="32"/>
          <w:szCs w:val="32"/>
          <w:highlight w:val="none"/>
        </w:rPr>
        <w:t>万元，部门预决算</w:t>
      </w:r>
      <w:r>
        <w:rPr>
          <w:rFonts w:hint="eastAsia" w:ascii="仿宋_GB2312" w:eastAsia="仿宋_GB2312"/>
          <w:sz w:val="32"/>
          <w:szCs w:val="32"/>
          <w:highlight w:val="none"/>
        </w:rPr>
        <w:t>差异</w:t>
      </w:r>
      <w:r>
        <w:rPr>
          <w:rFonts w:hint="eastAsia" w:ascii="仿宋_GB2312" w:hAnsi="仿宋_GB2312" w:eastAsia="仿宋_GB2312" w:cs="仿宋_GB2312"/>
          <w:sz w:val="32"/>
          <w:szCs w:val="32"/>
          <w:highlight w:val="none"/>
        </w:rPr>
        <w:t>率为</w:t>
      </w:r>
      <w:r>
        <w:rPr>
          <w:rFonts w:hint="eastAsia" w:ascii="仿宋_GB2312" w:hAnsi="仿宋_GB2312" w:eastAsia="仿宋_GB2312" w:cs="仿宋_GB2312"/>
          <w:sz w:val="32"/>
          <w:szCs w:val="32"/>
          <w:highlight w:val="none"/>
          <w:lang w:val="en-US" w:eastAsia="zh-CN"/>
        </w:rPr>
        <w:t>6.98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远低于</w:t>
      </w:r>
      <w:r>
        <w:rPr>
          <w:rFonts w:hint="eastAsia" w:ascii="仿宋_GB2312" w:hAnsi="仿宋_GB2312" w:eastAsia="仿宋_GB2312" w:cs="仿宋_GB2312"/>
          <w:sz w:val="32"/>
          <w:szCs w:val="32"/>
          <w:highlight w:val="none"/>
        </w:rPr>
        <w:t>市级平均差异率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28.3</w:t>
      </w:r>
      <w:r>
        <w:rPr>
          <w:rFonts w:ascii="仿宋_GB2312" w:hAnsi="仿宋_GB2312" w:eastAsia="仿宋_GB2312" w:cs="仿宋_GB2312"/>
          <w:sz w:val="32"/>
          <w:szCs w:val="32"/>
          <w:highlight w:val="none"/>
        </w:rPr>
        <w:t>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snapToGrid w:val="0"/>
        <w:spacing w:line="520" w:lineRule="exact"/>
        <w:ind w:firstLine="640" w:firstLineChars="200"/>
        <w:outlineLvl w:val="0"/>
        <w:rPr>
          <w:rFonts w:ascii="黑体" w:hAnsi="黑体" w:eastAsia="黑体"/>
          <w:sz w:val="32"/>
          <w:szCs w:val="32"/>
        </w:rPr>
      </w:pPr>
      <w:bookmarkStart w:id="14" w:name="_Toc103362026"/>
      <w:r>
        <w:rPr>
          <w:rFonts w:hint="eastAsia" w:ascii="黑体" w:hAnsi="黑体" w:eastAsia="黑体"/>
          <w:sz w:val="32"/>
          <w:szCs w:val="32"/>
        </w:rPr>
        <w:t>五、总体</w:t>
      </w:r>
      <w:r>
        <w:rPr>
          <w:rFonts w:ascii="黑体" w:hAnsi="黑体" w:eastAsia="黑体"/>
          <w:sz w:val="32"/>
          <w:szCs w:val="32"/>
        </w:rPr>
        <w:t>评价结论</w:t>
      </w:r>
      <w:bookmarkEnd w:id="14"/>
    </w:p>
    <w:p>
      <w:pPr>
        <w:snapToGrid w:val="0"/>
        <w:spacing w:line="520" w:lineRule="exact"/>
        <w:ind w:firstLine="640" w:firstLineChars="200"/>
        <w:outlineLvl w:val="1"/>
        <w:rPr>
          <w:rFonts w:ascii="楷体_GB2312" w:hAnsi="仿宋" w:eastAsia="楷体_GB2312"/>
          <w:sz w:val="32"/>
          <w:szCs w:val="32"/>
        </w:rPr>
      </w:pPr>
      <w:bookmarkStart w:id="15" w:name="_Toc103362027"/>
      <w:r>
        <w:rPr>
          <w:rFonts w:hint="eastAsia" w:ascii="楷体_GB2312" w:hAnsi="仿宋" w:eastAsia="楷体_GB2312"/>
          <w:sz w:val="32"/>
          <w:szCs w:val="32"/>
        </w:rPr>
        <w:t>（一）评价</w:t>
      </w:r>
      <w:r>
        <w:rPr>
          <w:rFonts w:ascii="楷体_GB2312" w:hAnsi="仿宋" w:eastAsia="楷体_GB2312"/>
          <w:sz w:val="32"/>
          <w:szCs w:val="32"/>
        </w:rPr>
        <w:t>得分</w:t>
      </w:r>
      <w:r>
        <w:rPr>
          <w:rFonts w:hint="eastAsia" w:ascii="楷体_GB2312" w:hAnsi="仿宋" w:eastAsia="楷体_GB2312"/>
          <w:sz w:val="32"/>
          <w:szCs w:val="32"/>
        </w:rPr>
        <w:t>情况</w:t>
      </w:r>
      <w:bookmarkEnd w:id="15"/>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 w:eastAsia="仿宋_GB2312"/>
          <w:sz w:val="32"/>
          <w:szCs w:val="32"/>
          <w:highlight w:val="none"/>
          <w:lang w:eastAsia="zh-CN"/>
        </w:rPr>
        <w:t>按照财政规定的评分标准，</w:t>
      </w:r>
      <w:r>
        <w:rPr>
          <w:rFonts w:hint="eastAsia" w:ascii="仿宋_GB2312" w:hAnsi="仿宋_GB2312" w:eastAsia="仿宋_GB2312" w:cs="仿宋_GB2312"/>
          <w:sz w:val="32"/>
          <w:szCs w:val="32"/>
          <w:highlight w:val="none"/>
        </w:rPr>
        <w:t>办公厅部门整体绩效评价得分为</w:t>
      </w:r>
      <w:r>
        <w:rPr>
          <w:rFonts w:hint="eastAsia" w:ascii="仿宋_GB2312" w:hAnsi="仿宋_GB2312" w:eastAsia="仿宋_GB2312" w:cs="仿宋_GB2312"/>
          <w:sz w:val="32"/>
          <w:szCs w:val="32"/>
          <w:highlight w:val="none"/>
          <w:lang w:val="en-US" w:eastAsia="zh-CN"/>
        </w:rPr>
        <w:t>96.00</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高于上年度的</w:t>
      </w:r>
      <w:r>
        <w:rPr>
          <w:rFonts w:hint="eastAsia" w:ascii="仿宋_GB2312" w:hAnsi="仿宋_GB2312" w:eastAsia="仿宋_GB2312" w:cs="仿宋_GB2312"/>
          <w:sz w:val="32"/>
          <w:szCs w:val="32"/>
          <w:highlight w:val="none"/>
          <w:lang w:val="en-US" w:eastAsia="zh-CN"/>
        </w:rPr>
        <w:t>94.44分。</w:t>
      </w:r>
      <w:r>
        <w:rPr>
          <w:rFonts w:hint="eastAsia" w:ascii="仿宋_GB2312" w:hAnsi="仿宋_GB2312" w:eastAsia="仿宋_GB2312" w:cs="仿宋_GB2312"/>
          <w:sz w:val="32"/>
          <w:szCs w:val="32"/>
          <w:highlight w:val="none"/>
        </w:rPr>
        <w:t>得分及扣分原因见附件。</w:t>
      </w:r>
    </w:p>
    <w:p>
      <w:pPr>
        <w:numPr>
          <w:ilvl w:val="0"/>
          <w:numId w:val="1"/>
        </w:numPr>
        <w:spacing w:line="560" w:lineRule="exact"/>
        <w:ind w:firstLine="640" w:firstLineChars="200"/>
        <w:rPr>
          <w:rFonts w:hint="eastAsia" w:ascii="楷体_GB2312" w:hAnsi="仿宋" w:eastAsia="楷体_GB2312"/>
          <w:sz w:val="32"/>
          <w:szCs w:val="32"/>
          <w:highlight w:val="none"/>
          <w:lang w:eastAsia="zh-CN"/>
        </w:rPr>
      </w:pPr>
      <w:r>
        <w:rPr>
          <w:rFonts w:hint="eastAsia" w:ascii="楷体_GB2312" w:hAnsi="仿宋" w:eastAsia="楷体_GB2312"/>
          <w:sz w:val="32"/>
          <w:szCs w:val="32"/>
          <w:highlight w:val="none"/>
          <w:lang w:eastAsia="zh-CN"/>
        </w:rPr>
        <w:t>主要扣分项</w:t>
      </w:r>
    </w:p>
    <w:p>
      <w:pPr>
        <w:spacing w:line="560" w:lineRule="exact"/>
        <w:ind w:firstLine="642" w:firstLineChars="200"/>
        <w:rPr>
          <w:rFonts w:hint="default" w:ascii="仿宋_GB2312" w:hAnsi="仿宋_GB2312" w:eastAsia="仿宋_GB2312" w:cs="仿宋_GB2312"/>
          <w:sz w:val="32"/>
          <w:szCs w:val="32"/>
          <w:highlight w:val="none"/>
          <w:lang w:val="en-US"/>
        </w:rPr>
      </w:pPr>
      <w:r>
        <w:rPr>
          <w:rFonts w:hint="eastAsia" w:ascii="仿宋_GB2312" w:hAnsi="仿宋" w:eastAsia="仿宋_GB2312" w:cs="Times New Roman"/>
          <w:b/>
          <w:bCs/>
          <w:color w:val="000000"/>
          <w:kern w:val="2"/>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预算执行未达到100%，存在结转结余资金，导致预算执行率指标扣1.00分。2022年结转结余率为4.99%，比上年度下降2.91%，扣分减少2.63分，说明办公厅2022年度结转结余显著减少，预算资金的利用效率提高。同时，</w:t>
      </w:r>
      <w:r>
        <w:rPr>
          <w:rFonts w:hint="eastAsia" w:ascii="仿宋_GB2312" w:hAnsi="仿宋_GB2312" w:eastAsia="仿宋_GB2312" w:cs="仿宋_GB2312"/>
          <w:sz w:val="32"/>
          <w:szCs w:val="32"/>
          <w:highlight w:val="none"/>
        </w:rPr>
        <w:t>部门预决算差异率为</w:t>
      </w:r>
      <w:r>
        <w:rPr>
          <w:rFonts w:hint="eastAsia" w:ascii="仿宋_GB2312" w:hAnsi="仿宋_GB2312" w:eastAsia="仿宋_GB2312" w:cs="仿宋_GB2312"/>
          <w:sz w:val="32"/>
          <w:szCs w:val="32"/>
          <w:highlight w:val="none"/>
          <w:lang w:val="en-US" w:eastAsia="zh-CN"/>
        </w:rPr>
        <w:t>6.98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远低于</w:t>
      </w:r>
      <w:r>
        <w:rPr>
          <w:rFonts w:hint="eastAsia" w:ascii="仿宋_GB2312" w:hAnsi="仿宋_GB2312" w:eastAsia="仿宋_GB2312" w:cs="仿宋_GB2312"/>
          <w:sz w:val="32"/>
          <w:szCs w:val="32"/>
          <w:highlight w:val="none"/>
        </w:rPr>
        <w:t>市级平均差异率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28.30%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spacing w:line="560" w:lineRule="exact"/>
        <w:ind w:firstLine="642" w:firstLineChars="200"/>
        <w:rPr>
          <w:rFonts w:hint="eastAsia" w:ascii="仿宋_GB2312" w:hAnsi="仿宋_GB2312" w:eastAsia="仿宋_GB2312" w:cs="仿宋_GB2312"/>
          <w:sz w:val="32"/>
          <w:szCs w:val="32"/>
          <w:highlight w:val="none"/>
          <w:lang w:val="en-US" w:eastAsia="zh-CN"/>
        </w:rPr>
      </w:pPr>
      <w:r>
        <w:rPr>
          <w:rFonts w:hint="eastAsia" w:ascii="仿宋_GB2312" w:hAnsi="仿宋" w:eastAsia="仿宋_GB2312" w:cs="Times New Roman"/>
          <w:b/>
          <w:bCs/>
          <w:color w:val="000000"/>
          <w:kern w:val="2"/>
          <w:sz w:val="32"/>
          <w:szCs w:val="32"/>
          <w:highlight w:val="none"/>
          <w:lang w:val="en-US" w:eastAsia="zh-CN"/>
        </w:rPr>
        <w:t>二是</w:t>
      </w:r>
      <w:r>
        <w:rPr>
          <w:rFonts w:hint="eastAsia" w:ascii="仿宋_GB2312" w:hAnsi="楷体" w:eastAsia="仿宋_GB2312"/>
          <w:sz w:val="32"/>
          <w:szCs w:val="32"/>
          <w:highlight w:val="none"/>
          <w:lang w:val="en-US" w:eastAsia="zh-CN"/>
        </w:rPr>
        <w:t>个别</w:t>
      </w:r>
      <w:r>
        <w:rPr>
          <w:rFonts w:hint="eastAsia" w:ascii="仿宋_GB2312" w:hAnsi="仿宋_GB2312" w:eastAsia="仿宋_GB2312" w:cs="仿宋_GB2312"/>
          <w:sz w:val="32"/>
          <w:szCs w:val="32"/>
          <w:highlight w:val="none"/>
          <w:lang w:val="en-US" w:eastAsia="zh-CN"/>
        </w:rPr>
        <w:t>项目开展时间晚于预期时间，导致部门年度产出进度扣1.00分。受疫情影响，政务信息服务、市政府重大决策专项任务核查服务等2个项目，采购实施、合同签订与预期目标略有延迟。</w:t>
      </w:r>
    </w:p>
    <w:p>
      <w:pPr>
        <w:spacing w:line="560" w:lineRule="exact"/>
        <w:ind w:firstLine="642" w:firstLineChars="200"/>
        <w:rPr>
          <w:rFonts w:hint="eastAsia" w:ascii="仿宋_GB2312" w:hAnsi="仿宋_GB2312" w:eastAsia="仿宋_GB2312" w:cs="仿宋_GB2312"/>
          <w:sz w:val="32"/>
          <w:szCs w:val="32"/>
          <w:highlight w:val="none"/>
          <w:lang w:val="en-US" w:eastAsia="zh-CN"/>
        </w:rPr>
      </w:pPr>
      <w:r>
        <w:rPr>
          <w:rFonts w:hint="eastAsia" w:ascii="仿宋_GB2312" w:hAnsi="宋体" w:eastAsia="仿宋_GB2312" w:cs="宋体"/>
          <w:b/>
          <w:bCs/>
          <w:color w:val="000000"/>
          <w:kern w:val="0"/>
          <w:sz w:val="32"/>
          <w:szCs w:val="32"/>
          <w:highlight w:val="none"/>
          <w:lang w:eastAsia="zh-CN"/>
        </w:rPr>
        <w:t>三是</w:t>
      </w:r>
      <w:r>
        <w:rPr>
          <w:rFonts w:hint="eastAsia" w:ascii="仿宋_GB2312" w:hAnsi="宋体" w:eastAsia="仿宋_GB2312" w:cs="宋体"/>
          <w:b w:val="0"/>
          <w:bCs w:val="0"/>
          <w:color w:val="000000"/>
          <w:kern w:val="0"/>
          <w:sz w:val="32"/>
          <w:szCs w:val="32"/>
          <w:highlight w:val="none"/>
          <w:lang w:eastAsia="zh-CN"/>
        </w:rPr>
        <w:t>个别</w:t>
      </w:r>
      <w:r>
        <w:rPr>
          <w:rFonts w:hint="eastAsia" w:ascii="仿宋_GB2312" w:hAnsi="仿宋_GB2312" w:eastAsia="仿宋_GB2312" w:cs="仿宋_GB2312"/>
          <w:sz w:val="32"/>
          <w:szCs w:val="32"/>
          <w:highlight w:val="none"/>
          <w:lang w:val="en-US" w:eastAsia="zh-CN"/>
        </w:rPr>
        <w:t>项目未按照年初计划实施，导致部门年度产出进度扣2</w:t>
      </w:r>
      <w:r>
        <w:rPr>
          <w:rFonts w:hint="default" w:ascii="仿宋_GB2312" w:hAnsi="仿宋_GB2312" w:eastAsia="仿宋_GB2312" w:cs="仿宋_GB2312"/>
          <w:sz w:val="32"/>
          <w:szCs w:val="32"/>
          <w:highlight w:val="none"/>
          <w:lang w:val="en" w:eastAsia="zh-CN"/>
        </w:rPr>
        <w:t>.</w:t>
      </w:r>
      <w:r>
        <w:rPr>
          <w:rFonts w:hint="eastAsia" w:ascii="仿宋_GB2312" w:hAnsi="仿宋_GB2312" w:eastAsia="仿宋_GB2312" w:cs="仿宋_GB2312"/>
          <w:sz w:val="32"/>
          <w:szCs w:val="32"/>
          <w:highlight w:val="none"/>
          <w:lang w:val="en-US" w:eastAsia="zh-CN"/>
        </w:rPr>
        <w:t>00分。受疫情影响，因公出国经费项目未能开展，老干部活动经费项目发生较大调整；由于工作安排的调整，年初申报的政府绩效管理考评工作经费项目不再开展。</w:t>
      </w:r>
    </w:p>
    <w:p>
      <w:pPr>
        <w:numPr>
          <w:ilvl w:val="0"/>
          <w:numId w:val="0"/>
        </w:numPr>
        <w:snapToGrid w:val="0"/>
        <w:spacing w:line="520" w:lineRule="exact"/>
        <w:ind w:firstLine="640" w:firstLineChars="200"/>
        <w:outlineLvl w:val="0"/>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六、下一步工作措施</w:t>
      </w:r>
    </w:p>
    <w:p>
      <w:pPr>
        <w:spacing w:line="520" w:lineRule="exact"/>
        <w:ind w:firstLine="640" w:firstLineChars="200"/>
        <w:outlineLvl w:val="1"/>
        <w:rPr>
          <w:rFonts w:hint="eastAsia" w:ascii="仿宋_GB2312" w:hAnsi="华文仿宋" w:eastAsia="仿宋_GB2312" w:cs="华文仿宋"/>
          <w:color w:val="000000"/>
          <w:kern w:val="0"/>
          <w:sz w:val="32"/>
          <w:szCs w:val="32"/>
          <w:highlight w:val="none"/>
        </w:rPr>
      </w:pPr>
      <w:r>
        <w:rPr>
          <w:rFonts w:hint="eastAsia" w:ascii="楷体" w:hAnsi="楷体" w:eastAsia="楷体" w:cs="Times New Roman"/>
          <w:sz w:val="32"/>
          <w:szCs w:val="32"/>
          <w:highlight w:val="none"/>
        </w:rPr>
        <w:t>（一）进一步优化部门整体</w:t>
      </w:r>
      <w:r>
        <w:rPr>
          <w:rFonts w:hint="eastAsia" w:ascii="楷体" w:hAnsi="楷体" w:eastAsia="楷体" w:cs="Times New Roman"/>
          <w:sz w:val="32"/>
          <w:szCs w:val="32"/>
          <w:highlight w:val="none"/>
          <w:lang w:eastAsia="zh-CN"/>
        </w:rPr>
        <w:t>绩效目标和项目</w:t>
      </w:r>
      <w:r>
        <w:rPr>
          <w:rFonts w:hint="eastAsia" w:ascii="楷体" w:hAnsi="楷体" w:eastAsia="楷体" w:cs="Times New Roman"/>
          <w:sz w:val="32"/>
          <w:szCs w:val="32"/>
          <w:highlight w:val="none"/>
        </w:rPr>
        <w:t>绩效目标设置</w:t>
      </w:r>
      <w:r>
        <w:rPr>
          <w:rFonts w:hint="eastAsia" w:ascii="楷体" w:hAnsi="楷体" w:eastAsia="楷体" w:cs="Times New Roman"/>
          <w:sz w:val="32"/>
          <w:szCs w:val="32"/>
          <w:highlight w:val="none"/>
          <w:lang w:eastAsia="zh-CN"/>
        </w:rPr>
        <w:t>。</w:t>
      </w:r>
      <w:r>
        <w:rPr>
          <w:rFonts w:hint="eastAsia" w:ascii="仿宋_GB2312" w:hAnsi="华文仿宋" w:eastAsia="仿宋_GB2312" w:cs="华文仿宋"/>
          <w:b/>
          <w:bCs/>
          <w:color w:val="000000"/>
          <w:kern w:val="0"/>
          <w:sz w:val="32"/>
          <w:szCs w:val="32"/>
          <w:highlight w:val="none"/>
          <w:lang w:eastAsia="zh-CN"/>
        </w:rPr>
        <w:t>一是</w:t>
      </w:r>
      <w:r>
        <w:rPr>
          <w:rFonts w:hint="eastAsia" w:ascii="仿宋_GB2312" w:hAnsi="华文仿宋" w:eastAsia="仿宋_GB2312" w:cs="华文仿宋"/>
          <w:color w:val="000000"/>
          <w:kern w:val="0"/>
          <w:sz w:val="32"/>
          <w:szCs w:val="32"/>
          <w:highlight w:val="none"/>
        </w:rPr>
        <w:t>根据</w:t>
      </w:r>
      <w:r>
        <w:rPr>
          <w:rFonts w:hint="eastAsia" w:ascii="仿宋_GB2312" w:hAnsi="华文仿宋" w:eastAsia="仿宋_GB2312" w:cs="华文仿宋"/>
          <w:color w:val="000000"/>
          <w:kern w:val="0"/>
          <w:sz w:val="32"/>
          <w:szCs w:val="32"/>
          <w:highlight w:val="none"/>
          <w:lang w:eastAsia="zh-CN"/>
        </w:rPr>
        <w:t>办公厅工作</w:t>
      </w:r>
      <w:r>
        <w:rPr>
          <w:rFonts w:hint="eastAsia" w:ascii="仿宋_GB2312" w:hAnsi="华文仿宋" w:eastAsia="仿宋_GB2312" w:cs="华文仿宋"/>
          <w:color w:val="000000"/>
          <w:kern w:val="0"/>
          <w:sz w:val="32"/>
          <w:szCs w:val="32"/>
          <w:highlight w:val="none"/>
        </w:rPr>
        <w:t>职责和预算</w:t>
      </w:r>
      <w:r>
        <w:rPr>
          <w:rFonts w:hint="eastAsia" w:ascii="仿宋_GB2312" w:hAnsi="华文仿宋" w:eastAsia="仿宋_GB2312" w:cs="华文仿宋"/>
          <w:color w:val="000000"/>
          <w:kern w:val="0"/>
          <w:sz w:val="32"/>
          <w:szCs w:val="32"/>
          <w:highlight w:val="none"/>
          <w:lang w:eastAsia="zh-CN"/>
        </w:rPr>
        <w:t>安排</w:t>
      </w:r>
      <w:r>
        <w:rPr>
          <w:rFonts w:hint="eastAsia" w:ascii="仿宋_GB2312" w:hAnsi="华文仿宋" w:eastAsia="仿宋_GB2312" w:cs="华文仿宋"/>
          <w:color w:val="000000"/>
          <w:kern w:val="0"/>
          <w:sz w:val="32"/>
          <w:szCs w:val="32"/>
          <w:highlight w:val="none"/>
        </w:rPr>
        <w:t>，</w:t>
      </w:r>
      <w:r>
        <w:rPr>
          <w:rFonts w:hint="eastAsia" w:ascii="仿宋_GB2312" w:hAnsi="华文仿宋" w:eastAsia="仿宋_GB2312" w:cs="华文仿宋"/>
          <w:color w:val="000000"/>
          <w:kern w:val="0"/>
          <w:sz w:val="32"/>
          <w:szCs w:val="32"/>
          <w:highlight w:val="none"/>
          <w:lang w:eastAsia="zh-CN"/>
        </w:rPr>
        <w:t>进一步提炼</w:t>
      </w:r>
      <w:r>
        <w:rPr>
          <w:rFonts w:hint="eastAsia" w:ascii="仿宋_GB2312" w:hAnsi="华文仿宋" w:eastAsia="仿宋_GB2312" w:cs="华文仿宋"/>
          <w:color w:val="000000"/>
          <w:kern w:val="0"/>
          <w:sz w:val="32"/>
          <w:szCs w:val="32"/>
          <w:highlight w:val="none"/>
        </w:rPr>
        <w:t>部门整体</w:t>
      </w:r>
      <w:r>
        <w:rPr>
          <w:rFonts w:hint="eastAsia" w:ascii="仿宋_GB2312" w:hAnsi="华文仿宋" w:eastAsia="仿宋_GB2312" w:cs="华文仿宋"/>
          <w:color w:val="000000"/>
          <w:kern w:val="0"/>
          <w:sz w:val="32"/>
          <w:szCs w:val="32"/>
          <w:highlight w:val="none"/>
          <w:lang w:eastAsia="zh-CN"/>
        </w:rPr>
        <w:t>绩效</w:t>
      </w:r>
      <w:r>
        <w:rPr>
          <w:rFonts w:hint="eastAsia" w:ascii="仿宋_GB2312" w:hAnsi="华文仿宋" w:eastAsia="仿宋_GB2312" w:cs="华文仿宋"/>
          <w:color w:val="000000"/>
          <w:kern w:val="0"/>
          <w:sz w:val="32"/>
          <w:szCs w:val="32"/>
          <w:highlight w:val="none"/>
        </w:rPr>
        <w:t>目标</w:t>
      </w:r>
      <w:r>
        <w:rPr>
          <w:rFonts w:hint="eastAsia" w:ascii="仿宋_GB2312" w:hAnsi="华文仿宋" w:eastAsia="仿宋_GB2312" w:cs="华文仿宋"/>
          <w:color w:val="000000"/>
          <w:kern w:val="0"/>
          <w:sz w:val="32"/>
          <w:szCs w:val="32"/>
          <w:highlight w:val="none"/>
          <w:lang w:eastAsia="zh-CN"/>
        </w:rPr>
        <w:t>，</w:t>
      </w:r>
      <w:r>
        <w:rPr>
          <w:rFonts w:hint="eastAsia" w:ascii="仿宋_GB2312" w:hAnsi="华文仿宋" w:eastAsia="仿宋_GB2312" w:cs="华文仿宋"/>
          <w:color w:val="000000"/>
          <w:kern w:val="0"/>
          <w:sz w:val="32"/>
          <w:szCs w:val="32"/>
          <w:highlight w:val="none"/>
        </w:rPr>
        <w:t>设置更加贴近部门职责且具体、量化的指标</w:t>
      </w:r>
      <w:r>
        <w:rPr>
          <w:rFonts w:hint="eastAsia" w:ascii="仿宋_GB2312" w:eastAsia="仿宋_GB2312"/>
          <w:bCs w:val="0"/>
          <w:kern w:val="2"/>
          <w:sz w:val="32"/>
          <w:szCs w:val="32"/>
          <w:highlight w:val="none"/>
        </w:rPr>
        <w:t>。</w:t>
      </w:r>
      <w:r>
        <w:rPr>
          <w:rFonts w:hint="eastAsia" w:ascii="仿宋_GB2312" w:eastAsia="仿宋_GB2312"/>
          <w:b/>
          <w:bCs/>
          <w:kern w:val="2"/>
          <w:sz w:val="32"/>
          <w:szCs w:val="32"/>
          <w:highlight w:val="none"/>
          <w:lang w:eastAsia="zh-CN"/>
        </w:rPr>
        <w:t>二是</w:t>
      </w:r>
      <w:r>
        <w:rPr>
          <w:rFonts w:hint="eastAsia" w:ascii="仿宋_GB2312" w:hAnsi="华文仿宋" w:eastAsia="仿宋_GB2312" w:cs="华文仿宋"/>
          <w:color w:val="000000"/>
          <w:kern w:val="0"/>
          <w:sz w:val="32"/>
          <w:szCs w:val="32"/>
          <w:highlight w:val="none"/>
          <w:lang w:eastAsia="zh-CN"/>
        </w:rPr>
        <w:t>根据市财政局</w:t>
      </w:r>
      <w:r>
        <w:rPr>
          <w:rFonts w:hint="eastAsia" w:ascii="仿宋_GB2312" w:hAnsi="华文仿宋" w:eastAsia="仿宋_GB2312" w:cs="华文仿宋"/>
          <w:color w:val="000000"/>
          <w:kern w:val="0"/>
          <w:sz w:val="32"/>
          <w:szCs w:val="32"/>
          <w:highlight w:val="none"/>
          <w:lang w:val="en-US" w:eastAsia="zh-CN"/>
        </w:rPr>
        <w:t>2023年度预算绩效工作的整体安排，在正式申报下年度预算前，适当提前启动延续性项目的预算绩效目标设置工作，预留更充裕的审核和修改时间。</w:t>
      </w:r>
      <w:r>
        <w:rPr>
          <w:rFonts w:hint="eastAsia" w:ascii="仿宋_GB2312" w:hAnsi="华文仿宋" w:eastAsia="仿宋_GB2312" w:cs="华文仿宋"/>
          <w:b/>
          <w:bCs/>
          <w:color w:val="000000"/>
          <w:kern w:val="0"/>
          <w:sz w:val="32"/>
          <w:szCs w:val="32"/>
          <w:highlight w:val="none"/>
          <w:lang w:eastAsia="zh-CN"/>
        </w:rPr>
        <w:t>三是</w:t>
      </w:r>
      <w:r>
        <w:rPr>
          <w:rFonts w:hint="eastAsia" w:ascii="仿宋_GB2312" w:hAnsi="华文仿宋" w:eastAsia="仿宋_GB2312" w:cs="华文仿宋"/>
          <w:color w:val="000000"/>
          <w:kern w:val="0"/>
          <w:sz w:val="32"/>
          <w:szCs w:val="32"/>
          <w:highlight w:val="none"/>
        </w:rPr>
        <w:t>加强</w:t>
      </w:r>
      <w:r>
        <w:rPr>
          <w:rFonts w:hint="eastAsia" w:ascii="仿宋_GB2312" w:hAnsi="华文仿宋" w:eastAsia="仿宋_GB2312" w:cs="华文仿宋"/>
          <w:color w:val="000000"/>
          <w:kern w:val="0"/>
          <w:sz w:val="32"/>
          <w:szCs w:val="32"/>
          <w:highlight w:val="none"/>
          <w:lang w:eastAsia="zh-CN"/>
        </w:rPr>
        <w:t>项目绩效目标的</w:t>
      </w:r>
      <w:r>
        <w:rPr>
          <w:rFonts w:hint="eastAsia" w:ascii="仿宋_GB2312" w:hAnsi="华文仿宋" w:eastAsia="仿宋_GB2312" w:cs="华文仿宋"/>
          <w:color w:val="000000"/>
          <w:kern w:val="0"/>
          <w:sz w:val="32"/>
          <w:szCs w:val="32"/>
          <w:highlight w:val="none"/>
        </w:rPr>
        <w:t>财务审核把关，</w:t>
      </w:r>
      <w:r>
        <w:rPr>
          <w:rFonts w:ascii="仿宋" w:hAnsi="仿宋" w:eastAsia="仿宋"/>
          <w:sz w:val="32"/>
        </w:rPr>
        <w:t>结合历年</w:t>
      </w:r>
      <w:r>
        <w:rPr>
          <w:rFonts w:hint="eastAsia" w:ascii="仿宋" w:hAnsi="仿宋" w:eastAsia="仿宋"/>
          <w:sz w:val="32"/>
        </w:rPr>
        <w:t>实施</w:t>
      </w:r>
      <w:r>
        <w:rPr>
          <w:rFonts w:ascii="仿宋" w:hAnsi="仿宋" w:eastAsia="仿宋"/>
          <w:sz w:val="32"/>
        </w:rPr>
        <w:t>情况，</w:t>
      </w:r>
      <w:r>
        <w:rPr>
          <w:rFonts w:hint="eastAsia" w:ascii="仿宋_GB2312" w:hAnsi="华文仿宋" w:eastAsia="仿宋_GB2312" w:cs="华文仿宋"/>
          <w:color w:val="000000"/>
          <w:kern w:val="0"/>
          <w:sz w:val="32"/>
          <w:szCs w:val="32"/>
          <w:highlight w:val="none"/>
        </w:rPr>
        <w:t>针对目标设置仍不够合理的项目提出修改意见，推动各处室归纳整理项目产出，修正调整绩效指标，合理设置指标数值。</w:t>
      </w:r>
    </w:p>
    <w:p>
      <w:pPr>
        <w:adjustRightInd w:val="0"/>
        <w:snapToGrid w:val="0"/>
        <w:spacing w:line="560" w:lineRule="exact"/>
        <w:ind w:firstLine="640" w:firstLineChars="200"/>
        <w:rPr>
          <w:rFonts w:hint="eastAsia" w:ascii="仿宋" w:hAnsi="仿宋" w:eastAsia="仿宋_GB2312" w:cs="仿宋"/>
          <w:sz w:val="32"/>
          <w:szCs w:val="32"/>
          <w:highlight w:val="none"/>
          <w:lang w:eastAsia="zh-CN"/>
        </w:rPr>
      </w:pPr>
      <w:r>
        <w:rPr>
          <w:rFonts w:hint="eastAsia" w:ascii="楷体" w:hAnsi="楷体" w:eastAsia="楷体"/>
          <w:sz w:val="32"/>
          <w:szCs w:val="32"/>
          <w:highlight w:val="none"/>
        </w:rPr>
        <w:t>（二）进一步加强预算执行阶段的</w:t>
      </w:r>
      <w:r>
        <w:rPr>
          <w:rFonts w:hint="eastAsia" w:ascii="楷体" w:hAnsi="楷体" w:eastAsia="楷体"/>
          <w:sz w:val="32"/>
          <w:szCs w:val="32"/>
          <w:highlight w:val="none"/>
          <w:lang w:eastAsia="zh-CN"/>
        </w:rPr>
        <w:t>项目管理。</w:t>
      </w:r>
      <w:r>
        <w:rPr>
          <w:rFonts w:hint="eastAsia" w:ascii="仿宋_GB2312" w:hAnsi="宋体" w:eastAsia="仿宋_GB2312"/>
          <w:b/>
          <w:bCs/>
          <w:sz w:val="32"/>
          <w:szCs w:val="32"/>
          <w:highlight w:val="none"/>
        </w:rPr>
        <w:t>一是</w:t>
      </w:r>
      <w:r>
        <w:rPr>
          <w:rFonts w:hint="eastAsia" w:ascii="仿宋_GB2312" w:hAnsi="宋体" w:eastAsia="仿宋_GB2312"/>
          <w:bCs/>
          <w:sz w:val="32"/>
          <w:szCs w:val="32"/>
          <w:highlight w:val="none"/>
        </w:rPr>
        <w:t>进</w:t>
      </w:r>
      <w:r>
        <w:rPr>
          <w:rFonts w:hint="eastAsia" w:ascii="仿宋_GB2312" w:hAnsi="华文仿宋" w:eastAsia="仿宋_GB2312" w:cs="华文仿宋"/>
          <w:color w:val="000000"/>
          <w:kern w:val="0"/>
          <w:sz w:val="32"/>
          <w:szCs w:val="32"/>
          <w:highlight w:val="none"/>
          <w:lang w:val="en-US" w:eastAsia="zh-CN"/>
        </w:rPr>
        <w:t>一步压实项目承办处室的主体责任，强化项目、特别是购买服务项目的过程管理，完善项目实施方案，明确职责分工、协调机制、调整办法等内容，确保绩效目标保质保量实</w:t>
      </w:r>
      <w:r>
        <w:rPr>
          <w:rFonts w:hint="eastAsia" w:ascii="仿宋_GB2312" w:hAnsi="宋体" w:eastAsia="仿宋_GB2312"/>
          <w:bCs/>
          <w:sz w:val="32"/>
          <w:szCs w:val="32"/>
          <w:highlight w:val="none"/>
        </w:rPr>
        <w:t>现</w:t>
      </w:r>
      <w:r>
        <w:rPr>
          <w:rFonts w:hint="eastAsia" w:ascii="仿宋" w:hAnsi="仿宋" w:eastAsia="仿宋" w:cs="仿宋"/>
          <w:sz w:val="32"/>
          <w:szCs w:val="32"/>
          <w:highlight w:val="none"/>
        </w:rPr>
        <w:t>。</w:t>
      </w:r>
      <w:r>
        <w:rPr>
          <w:rFonts w:hint="eastAsia" w:ascii="仿宋_GB2312" w:hAnsi="宋体" w:eastAsia="仿宋_GB2312"/>
          <w:b/>
          <w:bCs/>
          <w:sz w:val="32"/>
          <w:szCs w:val="32"/>
          <w:highlight w:val="none"/>
        </w:rPr>
        <w:t>二是</w:t>
      </w:r>
      <w:r>
        <w:rPr>
          <w:rFonts w:hint="eastAsia" w:ascii="仿宋_GB2312" w:hAnsi="宋体" w:eastAsia="仿宋_GB2312"/>
          <w:bCs/>
          <w:sz w:val="32"/>
          <w:szCs w:val="32"/>
          <w:highlight w:val="none"/>
        </w:rPr>
        <w:t>进一步强化预算绩效管理的组织协调机制。财务处</w:t>
      </w:r>
      <w:r>
        <w:rPr>
          <w:rFonts w:hint="eastAsia" w:ascii="仿宋_GB2312" w:hAnsi="宋体" w:eastAsia="仿宋_GB2312"/>
          <w:bCs/>
          <w:sz w:val="32"/>
          <w:szCs w:val="32"/>
          <w:highlight w:val="none"/>
          <w:lang w:eastAsia="zh-CN"/>
        </w:rPr>
        <w:t>通过“点对点”服务，</w:t>
      </w:r>
      <w:r>
        <w:rPr>
          <w:rFonts w:hint="eastAsia" w:ascii="仿宋_GB2312" w:hAnsi="宋体" w:eastAsia="仿宋_GB2312"/>
          <w:bCs/>
          <w:sz w:val="32"/>
          <w:szCs w:val="32"/>
          <w:highlight w:val="none"/>
        </w:rPr>
        <w:t>加强与项目承办处室日常沟通，</w:t>
      </w:r>
      <w:r>
        <w:rPr>
          <w:rFonts w:hint="eastAsia" w:ascii="仿宋_GB2312" w:eastAsia="仿宋_GB2312"/>
          <w:sz w:val="32"/>
          <w:szCs w:val="32"/>
          <w:highlight w:val="none"/>
        </w:rPr>
        <w:t>按月汇总分析各处室的项目支出执行情况、与预期支出目标的差异情况及当前的工作进度，</w:t>
      </w:r>
      <w:r>
        <w:rPr>
          <w:rFonts w:hint="eastAsia" w:ascii="仿宋_GB2312" w:eastAsia="仿宋_GB2312"/>
          <w:sz w:val="32"/>
          <w:szCs w:val="32"/>
          <w:highlight w:val="none"/>
          <w:lang w:eastAsia="zh-CN"/>
        </w:rPr>
        <w:t>年中</w:t>
      </w:r>
      <w:r>
        <w:rPr>
          <w:rFonts w:hint="eastAsia" w:ascii="仿宋_GB2312" w:hAnsi="宋体" w:eastAsia="仿宋_GB2312"/>
          <w:bCs/>
          <w:sz w:val="32"/>
          <w:szCs w:val="32"/>
          <w:highlight w:val="none"/>
        </w:rPr>
        <w:t>跟踪项目阶段性完成情况，推动</w:t>
      </w:r>
      <w:r>
        <w:rPr>
          <w:rFonts w:hint="eastAsia" w:ascii="仿宋_GB2312" w:hAnsi="宋体" w:eastAsia="仿宋_GB2312"/>
          <w:bCs/>
          <w:sz w:val="32"/>
          <w:szCs w:val="32"/>
          <w:highlight w:val="none"/>
          <w:lang w:eastAsia="zh-CN"/>
        </w:rPr>
        <w:t>项目执行进度。</w:t>
      </w:r>
    </w:p>
    <w:p>
      <w:pPr>
        <w:spacing w:line="560" w:lineRule="exact"/>
        <w:rPr>
          <w:rFonts w:ascii="仿宋_GB2312" w:hAnsi="仿宋_GB2312" w:eastAsia="仿宋_GB2312" w:cs="仿宋_GB2312"/>
          <w:sz w:val="32"/>
          <w:szCs w:val="32"/>
        </w:rPr>
      </w:pP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附：</w:t>
      </w:r>
      <w:r>
        <w:rPr>
          <w:rFonts w:hint="default" w:ascii="仿宋_GB2312" w:hAnsi="仿宋_GB2312" w:eastAsia="仿宋_GB2312" w:cs="仿宋_GB2312"/>
          <w:sz w:val="32"/>
          <w:szCs w:val="32"/>
          <w:lang w:val="en"/>
        </w:rPr>
        <w:t>2022</w:t>
      </w:r>
      <w:r>
        <w:rPr>
          <w:rFonts w:hint="eastAsia" w:ascii="仿宋_GB2312" w:hAnsi="仿宋_GB2312" w:eastAsia="仿宋_GB2312" w:cs="仿宋_GB2312"/>
          <w:sz w:val="32"/>
          <w:szCs w:val="32"/>
        </w:rPr>
        <w:t>年度部门整体绩效评价指标体系评分表</w:t>
      </w:r>
    </w:p>
    <w:sectPr>
      <w:headerReference r:id="rId4" w:type="first"/>
      <w:headerReference r:id="rId3" w:type="default"/>
      <w:footerReference r:id="rId5" w:type="default"/>
      <w:pgSz w:w="11906" w:h="16838"/>
      <w:pgMar w:top="1440" w:right="1800" w:bottom="1440" w:left="1800" w:header="851" w:footer="1134"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00"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8"/>
        <w:szCs w:val="32"/>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2232685"/>
                            <w:docPartObj>
                              <w:docPartGallery w:val="autotext"/>
                            </w:docPartObj>
                          </w:sdtPr>
                          <w:sdtEndPr>
                            <w:rPr>
                              <w:rFonts w:ascii="宋体" w:hAnsi="宋体"/>
                              <w:sz w:val="28"/>
                              <w:szCs w:val="32"/>
                            </w:rPr>
                          </w:sdtEndPr>
                          <w:sdtContent>
                            <w:p>
                              <w:pPr>
                                <w:pStyle w:val="9"/>
                                <w:jc w:val="center"/>
                                <w:rPr>
                                  <w:rFonts w:ascii="宋体" w:hAnsi="宋体"/>
                                  <w:sz w:val="28"/>
                                  <w:szCs w:val="32"/>
                                </w:rPr>
                              </w:pPr>
                              <w:r>
                                <w:rPr>
                                  <w:rFonts w:ascii="宋体" w:hAnsi="宋体"/>
                                  <w:sz w:val="28"/>
                                  <w:szCs w:val="32"/>
                                </w:rPr>
                                <w:fldChar w:fldCharType="begin"/>
                              </w:r>
                              <w:r>
                                <w:rPr>
                                  <w:rFonts w:ascii="宋体" w:hAnsi="宋体"/>
                                  <w:sz w:val="28"/>
                                  <w:szCs w:val="32"/>
                                </w:rPr>
                                <w:instrText xml:space="preserve">PAGE   \* MERGEFORMAT</w:instrText>
                              </w:r>
                              <w:r>
                                <w:rPr>
                                  <w:rFonts w:ascii="宋体" w:hAnsi="宋体"/>
                                  <w:sz w:val="28"/>
                                  <w:szCs w:val="32"/>
                                </w:rPr>
                                <w:fldChar w:fldCharType="separate"/>
                              </w:r>
                              <w:r>
                                <w:rPr>
                                  <w:rFonts w:ascii="宋体" w:hAnsi="宋体"/>
                                  <w:sz w:val="28"/>
                                  <w:szCs w:val="32"/>
                                  <w:lang w:val="zh-CN"/>
                                </w:rPr>
                                <w:t>2</w:t>
                              </w:r>
                              <w:r>
                                <w:rPr>
                                  <w:rFonts w:ascii="宋体" w:hAnsi="宋体"/>
                                  <w:sz w:val="28"/>
                                  <w:szCs w:val="32"/>
                                </w:rPr>
                                <w:fldChar w:fldCharType="end"/>
                              </w:r>
                            </w:p>
                          </w:sdtContent>
                        </w:sdt>
                        <w:p>
                          <w:pPr>
                            <w:rPr>
                              <w:rFonts w:ascii="宋体" w:hAnsi="宋体"/>
                              <w:sz w:val="28"/>
                              <w:szCs w:val="32"/>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32232685"/>
                      <w:docPartObj>
                        <w:docPartGallery w:val="autotext"/>
                      </w:docPartObj>
                    </w:sdtPr>
                    <w:sdtEndPr>
                      <w:rPr>
                        <w:rFonts w:ascii="宋体" w:hAnsi="宋体"/>
                        <w:sz w:val="28"/>
                        <w:szCs w:val="32"/>
                      </w:rPr>
                    </w:sdtEndPr>
                    <w:sdtContent>
                      <w:p>
                        <w:pPr>
                          <w:pStyle w:val="9"/>
                          <w:jc w:val="center"/>
                          <w:rPr>
                            <w:rFonts w:ascii="宋体" w:hAnsi="宋体"/>
                            <w:sz w:val="28"/>
                            <w:szCs w:val="32"/>
                          </w:rPr>
                        </w:pPr>
                        <w:r>
                          <w:rPr>
                            <w:rFonts w:ascii="宋体" w:hAnsi="宋体"/>
                            <w:sz w:val="28"/>
                            <w:szCs w:val="32"/>
                          </w:rPr>
                          <w:fldChar w:fldCharType="begin"/>
                        </w:r>
                        <w:r>
                          <w:rPr>
                            <w:rFonts w:ascii="宋体" w:hAnsi="宋体"/>
                            <w:sz w:val="28"/>
                            <w:szCs w:val="32"/>
                          </w:rPr>
                          <w:instrText xml:space="preserve">PAGE   \* MERGEFORMAT</w:instrText>
                        </w:r>
                        <w:r>
                          <w:rPr>
                            <w:rFonts w:ascii="宋体" w:hAnsi="宋体"/>
                            <w:sz w:val="28"/>
                            <w:szCs w:val="32"/>
                          </w:rPr>
                          <w:fldChar w:fldCharType="separate"/>
                        </w:r>
                        <w:r>
                          <w:rPr>
                            <w:rFonts w:ascii="宋体" w:hAnsi="宋体"/>
                            <w:sz w:val="28"/>
                            <w:szCs w:val="32"/>
                            <w:lang w:val="zh-CN"/>
                          </w:rPr>
                          <w:t>2</w:t>
                        </w:r>
                        <w:r>
                          <w:rPr>
                            <w:rFonts w:ascii="宋体" w:hAnsi="宋体"/>
                            <w:sz w:val="28"/>
                            <w:szCs w:val="32"/>
                          </w:rPr>
                          <w:fldChar w:fldCharType="end"/>
                        </w:r>
                      </w:p>
                    </w:sdtContent>
                  </w:sdt>
                  <w:p>
                    <w:pPr>
                      <w:rPr>
                        <w:rFonts w:ascii="宋体" w:hAnsi="宋体"/>
                        <w:sz w:val="28"/>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D309D"/>
    <w:multiLevelType w:val="singleLevel"/>
    <w:tmpl w:val="F7FD30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7A"/>
    <w:rsid w:val="00020EFA"/>
    <w:rsid w:val="0007423E"/>
    <w:rsid w:val="000778B0"/>
    <w:rsid w:val="000A5D66"/>
    <w:rsid w:val="000D5C67"/>
    <w:rsid w:val="00106C0F"/>
    <w:rsid w:val="001416E9"/>
    <w:rsid w:val="001456CC"/>
    <w:rsid w:val="001743CF"/>
    <w:rsid w:val="00174AE2"/>
    <w:rsid w:val="00197EBC"/>
    <w:rsid w:val="001A4B5B"/>
    <w:rsid w:val="00222167"/>
    <w:rsid w:val="0026061E"/>
    <w:rsid w:val="002616A7"/>
    <w:rsid w:val="002A4342"/>
    <w:rsid w:val="002B4800"/>
    <w:rsid w:val="002B5880"/>
    <w:rsid w:val="00302550"/>
    <w:rsid w:val="00303962"/>
    <w:rsid w:val="00312D47"/>
    <w:rsid w:val="00346D29"/>
    <w:rsid w:val="0035152B"/>
    <w:rsid w:val="0036543A"/>
    <w:rsid w:val="003814F5"/>
    <w:rsid w:val="00386E35"/>
    <w:rsid w:val="003A649A"/>
    <w:rsid w:val="003A707A"/>
    <w:rsid w:val="003C5D4D"/>
    <w:rsid w:val="003C5D8E"/>
    <w:rsid w:val="003E1D43"/>
    <w:rsid w:val="003F5D38"/>
    <w:rsid w:val="00431902"/>
    <w:rsid w:val="00490502"/>
    <w:rsid w:val="004A3B27"/>
    <w:rsid w:val="004A4A19"/>
    <w:rsid w:val="004B4B2A"/>
    <w:rsid w:val="004D49A0"/>
    <w:rsid w:val="004E28FC"/>
    <w:rsid w:val="0051624A"/>
    <w:rsid w:val="005200EA"/>
    <w:rsid w:val="00533CFA"/>
    <w:rsid w:val="005549D6"/>
    <w:rsid w:val="0055722F"/>
    <w:rsid w:val="0056779B"/>
    <w:rsid w:val="00574C7E"/>
    <w:rsid w:val="00590B98"/>
    <w:rsid w:val="00595601"/>
    <w:rsid w:val="005E4E7A"/>
    <w:rsid w:val="005F1233"/>
    <w:rsid w:val="005F5D96"/>
    <w:rsid w:val="00611BEF"/>
    <w:rsid w:val="00636EEB"/>
    <w:rsid w:val="0065248B"/>
    <w:rsid w:val="00653533"/>
    <w:rsid w:val="00661759"/>
    <w:rsid w:val="00697DDA"/>
    <w:rsid w:val="006A1489"/>
    <w:rsid w:val="006B5B40"/>
    <w:rsid w:val="006C11B6"/>
    <w:rsid w:val="006D0CB2"/>
    <w:rsid w:val="006D70B8"/>
    <w:rsid w:val="006F291E"/>
    <w:rsid w:val="0073170B"/>
    <w:rsid w:val="007553A4"/>
    <w:rsid w:val="00776C86"/>
    <w:rsid w:val="00785403"/>
    <w:rsid w:val="00786FAF"/>
    <w:rsid w:val="007B4C0D"/>
    <w:rsid w:val="007C44E4"/>
    <w:rsid w:val="007C5323"/>
    <w:rsid w:val="007C586E"/>
    <w:rsid w:val="007E57FD"/>
    <w:rsid w:val="007F0590"/>
    <w:rsid w:val="00806105"/>
    <w:rsid w:val="0081454E"/>
    <w:rsid w:val="008246C1"/>
    <w:rsid w:val="00831CCE"/>
    <w:rsid w:val="00837EF9"/>
    <w:rsid w:val="0088548D"/>
    <w:rsid w:val="00886DD6"/>
    <w:rsid w:val="00896C0C"/>
    <w:rsid w:val="008B7970"/>
    <w:rsid w:val="008F2ABF"/>
    <w:rsid w:val="009006D4"/>
    <w:rsid w:val="009065EA"/>
    <w:rsid w:val="00914963"/>
    <w:rsid w:val="00943BB0"/>
    <w:rsid w:val="009C6083"/>
    <w:rsid w:val="009D218F"/>
    <w:rsid w:val="009F1E27"/>
    <w:rsid w:val="009F4EDC"/>
    <w:rsid w:val="00A11A8E"/>
    <w:rsid w:val="00A173F1"/>
    <w:rsid w:val="00A36E82"/>
    <w:rsid w:val="00A50443"/>
    <w:rsid w:val="00A5618A"/>
    <w:rsid w:val="00A636EE"/>
    <w:rsid w:val="00A84789"/>
    <w:rsid w:val="00A850BB"/>
    <w:rsid w:val="00A852A3"/>
    <w:rsid w:val="00AA0ED4"/>
    <w:rsid w:val="00AB50D1"/>
    <w:rsid w:val="00AC6A48"/>
    <w:rsid w:val="00AD3639"/>
    <w:rsid w:val="00AF3E97"/>
    <w:rsid w:val="00B100F3"/>
    <w:rsid w:val="00B30086"/>
    <w:rsid w:val="00B341E1"/>
    <w:rsid w:val="00B8640F"/>
    <w:rsid w:val="00B9579A"/>
    <w:rsid w:val="00BB4D35"/>
    <w:rsid w:val="00BB4F29"/>
    <w:rsid w:val="00BD1DEA"/>
    <w:rsid w:val="00BD4AB8"/>
    <w:rsid w:val="00BF7479"/>
    <w:rsid w:val="00C065B6"/>
    <w:rsid w:val="00C13A05"/>
    <w:rsid w:val="00C24519"/>
    <w:rsid w:val="00C27F5B"/>
    <w:rsid w:val="00C344C1"/>
    <w:rsid w:val="00C545E6"/>
    <w:rsid w:val="00C55C3B"/>
    <w:rsid w:val="00C73D29"/>
    <w:rsid w:val="00CA39A3"/>
    <w:rsid w:val="00CB2B7C"/>
    <w:rsid w:val="00D0435C"/>
    <w:rsid w:val="00D04F34"/>
    <w:rsid w:val="00D26CA1"/>
    <w:rsid w:val="00D54679"/>
    <w:rsid w:val="00D7598F"/>
    <w:rsid w:val="00DA0DCA"/>
    <w:rsid w:val="00DA4938"/>
    <w:rsid w:val="00DB48A4"/>
    <w:rsid w:val="00DB4F4A"/>
    <w:rsid w:val="00DC246B"/>
    <w:rsid w:val="00DD21E8"/>
    <w:rsid w:val="00DE5F02"/>
    <w:rsid w:val="00DF1E1E"/>
    <w:rsid w:val="00DF37FB"/>
    <w:rsid w:val="00E03FE0"/>
    <w:rsid w:val="00E305F8"/>
    <w:rsid w:val="00E36A51"/>
    <w:rsid w:val="00E763CF"/>
    <w:rsid w:val="00EA586E"/>
    <w:rsid w:val="00EC3931"/>
    <w:rsid w:val="00EC7619"/>
    <w:rsid w:val="00EE5438"/>
    <w:rsid w:val="00F0766E"/>
    <w:rsid w:val="00F151EF"/>
    <w:rsid w:val="00F34B07"/>
    <w:rsid w:val="00F41E4D"/>
    <w:rsid w:val="00F426CD"/>
    <w:rsid w:val="00F82617"/>
    <w:rsid w:val="00FB12BF"/>
    <w:rsid w:val="00FE3C69"/>
    <w:rsid w:val="06351B0C"/>
    <w:rsid w:val="112C520C"/>
    <w:rsid w:val="143759F3"/>
    <w:rsid w:val="150C4363"/>
    <w:rsid w:val="1DE17CBE"/>
    <w:rsid w:val="1E2A19CE"/>
    <w:rsid w:val="25396F5E"/>
    <w:rsid w:val="25FF684A"/>
    <w:rsid w:val="2F8828BD"/>
    <w:rsid w:val="312F42D2"/>
    <w:rsid w:val="33225768"/>
    <w:rsid w:val="346A91B0"/>
    <w:rsid w:val="3FE1744F"/>
    <w:rsid w:val="3FED7883"/>
    <w:rsid w:val="49FE32B8"/>
    <w:rsid w:val="4C2473D2"/>
    <w:rsid w:val="5FBD94EF"/>
    <w:rsid w:val="5FEA204E"/>
    <w:rsid w:val="65204FF0"/>
    <w:rsid w:val="67BC0356"/>
    <w:rsid w:val="6DFE6F68"/>
    <w:rsid w:val="6EFF5570"/>
    <w:rsid w:val="6FFB9DAC"/>
    <w:rsid w:val="71AF0514"/>
    <w:rsid w:val="7AF5961B"/>
    <w:rsid w:val="7BBF1469"/>
    <w:rsid w:val="7D1DB7CF"/>
    <w:rsid w:val="7E7C397C"/>
    <w:rsid w:val="7EDFE889"/>
    <w:rsid w:val="7FFF1344"/>
    <w:rsid w:val="7FFF87A4"/>
    <w:rsid w:val="8FAFDEA4"/>
    <w:rsid w:val="9F95320E"/>
    <w:rsid w:val="AF3B81D1"/>
    <w:rsid w:val="AFFBDAC2"/>
    <w:rsid w:val="B3BB898D"/>
    <w:rsid w:val="B53FA32D"/>
    <w:rsid w:val="BA7B23C6"/>
    <w:rsid w:val="BB17AE7F"/>
    <w:rsid w:val="BBB546D1"/>
    <w:rsid w:val="BFFFE2B2"/>
    <w:rsid w:val="C6F7CA89"/>
    <w:rsid w:val="DCD93A30"/>
    <w:rsid w:val="DFD745CF"/>
    <w:rsid w:val="E7373E05"/>
    <w:rsid w:val="EBFBBD54"/>
    <w:rsid w:val="EBFF3DF9"/>
    <w:rsid w:val="ECFBA385"/>
    <w:rsid w:val="EFDDF928"/>
    <w:rsid w:val="F6DFA459"/>
    <w:rsid w:val="F8DF20B5"/>
    <w:rsid w:val="F8FB3AE6"/>
    <w:rsid w:val="FB92EA9D"/>
    <w:rsid w:val="FD03414E"/>
    <w:rsid w:val="FE4DC9A4"/>
    <w:rsid w:val="FECF0BC6"/>
    <w:rsid w:val="FEEFEEFC"/>
    <w:rsid w:val="FEFFFCE9"/>
    <w:rsid w:val="FFEFC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pPr>
    <w:rPr>
      <w:rFonts w:ascii="宋体" w:hAnsi="宋体" w:cs="Calibri"/>
      <w:szCs w:val="21"/>
    </w:rPr>
  </w:style>
  <w:style w:type="paragraph" w:styleId="6">
    <w:name w:val="annotation text"/>
    <w:basedOn w:val="1"/>
    <w:link w:val="24"/>
    <w:unhideWhenUsed/>
    <w:qFormat/>
    <w:uiPriority w:val="0"/>
    <w:pPr>
      <w:jc w:val="left"/>
    </w:pPr>
  </w:style>
  <w:style w:type="paragraph" w:styleId="7">
    <w:name w:val="toc 3"/>
    <w:basedOn w:val="1"/>
    <w:next w:val="1"/>
    <w:unhideWhenUsed/>
    <w:qFormat/>
    <w:uiPriority w:val="39"/>
    <w:pPr>
      <w:ind w:left="840" w:leftChars="400"/>
    </w:pPr>
  </w:style>
  <w:style w:type="paragraph" w:styleId="8">
    <w:name w:val="Balloon Text"/>
    <w:basedOn w:val="1"/>
    <w:link w:val="26"/>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sz w:val="18"/>
      <w:szCs w:val="20"/>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footnote text"/>
    <w:basedOn w:val="1"/>
    <w:link w:val="29"/>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Autospacing="1" w:afterAutospacing="1"/>
      <w:jc w:val="left"/>
    </w:pPr>
    <w:rPr>
      <w:kern w:val="0"/>
      <w:sz w:val="24"/>
    </w:rPr>
  </w:style>
  <w:style w:type="paragraph" w:styleId="15">
    <w:name w:val="annotation subject"/>
    <w:basedOn w:val="6"/>
    <w:next w:val="6"/>
    <w:link w:val="25"/>
    <w:semiHidden/>
    <w:unhideWhenUsed/>
    <w:qFormat/>
    <w:uiPriority w:val="99"/>
    <w:rPr>
      <w:b/>
      <w:bCs/>
    </w:rPr>
  </w:style>
  <w:style w:type="table" w:styleId="17">
    <w:name w:val="Table Grid"/>
    <w:basedOn w:val="1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unhideWhenUsed/>
    <w:qFormat/>
    <w:uiPriority w:val="0"/>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脚 字符"/>
    <w:basedOn w:val="18"/>
    <w:link w:val="9"/>
    <w:qFormat/>
    <w:uiPriority w:val="99"/>
    <w:rPr>
      <w:rFonts w:ascii="Times New Roman" w:hAnsi="Times New Roman" w:eastAsia="宋体" w:cs="Times New Roman"/>
      <w:sz w:val="18"/>
      <w:szCs w:val="20"/>
    </w:rPr>
  </w:style>
  <w:style w:type="character" w:customStyle="1" w:styleId="23">
    <w:name w:val="页眉 字符"/>
    <w:basedOn w:val="18"/>
    <w:link w:val="10"/>
    <w:qFormat/>
    <w:uiPriority w:val="99"/>
    <w:rPr>
      <w:rFonts w:ascii="Times New Roman" w:hAnsi="Times New Roman" w:eastAsia="宋体" w:cs="Times New Roman"/>
      <w:sz w:val="18"/>
      <w:szCs w:val="18"/>
    </w:rPr>
  </w:style>
  <w:style w:type="character" w:customStyle="1" w:styleId="24">
    <w:name w:val="批注文字 字符"/>
    <w:basedOn w:val="18"/>
    <w:link w:val="6"/>
    <w:qFormat/>
    <w:uiPriority w:val="0"/>
    <w:rPr>
      <w:rFonts w:ascii="Times New Roman" w:hAnsi="Times New Roman" w:eastAsia="宋体" w:cs="Times New Roman"/>
      <w:szCs w:val="24"/>
    </w:rPr>
  </w:style>
  <w:style w:type="character" w:customStyle="1" w:styleId="25">
    <w:name w:val="批注主题 字符"/>
    <w:basedOn w:val="24"/>
    <w:link w:val="15"/>
    <w:semiHidden/>
    <w:qFormat/>
    <w:uiPriority w:val="99"/>
    <w:rPr>
      <w:rFonts w:ascii="Times New Roman" w:hAnsi="Times New Roman" w:eastAsia="宋体" w:cs="Times New Roman"/>
      <w:b/>
      <w:bCs/>
      <w:szCs w:val="24"/>
    </w:rPr>
  </w:style>
  <w:style w:type="character" w:customStyle="1" w:styleId="26">
    <w:name w:val="批注框文本 字符"/>
    <w:basedOn w:val="18"/>
    <w:link w:val="8"/>
    <w:semiHidden/>
    <w:qFormat/>
    <w:uiPriority w:val="99"/>
    <w:rPr>
      <w:rFonts w:ascii="Times New Roman" w:hAnsi="Times New Roman" w:eastAsia="宋体" w:cs="Times New Roman"/>
      <w:sz w:val="18"/>
      <w:szCs w:val="18"/>
    </w:rPr>
  </w:style>
  <w:style w:type="character" w:customStyle="1" w:styleId="27">
    <w:name w:val="批注文字 Char"/>
    <w:qFormat/>
    <w:uiPriority w:val="0"/>
    <w:rPr>
      <w:rFonts w:eastAsia="仿宋_GB2312"/>
      <w:kern w:val="2"/>
      <w:sz w:val="30"/>
      <w:szCs w:val="24"/>
    </w:rPr>
  </w:style>
  <w:style w:type="paragraph" w:customStyle="1" w:styleId="28">
    <w:name w:val="仿宋三号"/>
    <w:basedOn w:val="1"/>
    <w:qFormat/>
    <w:uiPriority w:val="0"/>
    <w:pPr>
      <w:spacing w:line="560" w:lineRule="exact"/>
      <w:ind w:firstLine="640" w:firstLineChars="200"/>
    </w:pPr>
    <w:rPr>
      <w:rFonts w:ascii="仿宋_GB2312" w:hAnsi="Calibri" w:eastAsia="仿宋_GB2312"/>
      <w:sz w:val="36"/>
      <w:szCs w:val="32"/>
    </w:rPr>
  </w:style>
  <w:style w:type="character" w:customStyle="1" w:styleId="29">
    <w:name w:val="脚注文本 字符"/>
    <w:basedOn w:val="18"/>
    <w:link w:val="12"/>
    <w:semiHidden/>
    <w:qFormat/>
    <w:uiPriority w:val="99"/>
    <w:rPr>
      <w:kern w:val="2"/>
      <w:sz w:val="18"/>
      <w:szCs w:val="18"/>
    </w:rPr>
  </w:style>
  <w:style w:type="character" w:customStyle="1" w:styleId="30">
    <w:name w:val="标题 1 字符"/>
    <w:basedOn w:val="18"/>
    <w:link w:val="4"/>
    <w:qFormat/>
    <w:uiPriority w:val="9"/>
    <w:rPr>
      <w:b/>
      <w:bCs/>
      <w:kern w:val="44"/>
      <w:sz w:val="44"/>
      <w:szCs w:val="44"/>
    </w:rPr>
  </w:style>
  <w:style w:type="paragraph" w:customStyle="1" w:styleId="31">
    <w:name w:val="TOC Heading"/>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2">
    <w:name w:val="TOC 11"/>
    <w:next w:val="1"/>
    <w:qFormat/>
    <w:uiPriority w:val="0"/>
    <w:pPr>
      <w:wordWrap w:val="0"/>
      <w:jc w:val="both"/>
    </w:pPr>
    <w:rPr>
      <w:rFonts w:ascii="Calibri" w:hAnsi="Calibri" w:eastAsia="宋体" w:cs="Calibri"/>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9648</Words>
  <Characters>1343</Characters>
  <Lines>11</Lines>
  <Paragraphs>21</Paragraphs>
  <TotalTime>172</TotalTime>
  <ScaleCrop>false</ScaleCrop>
  <LinksUpToDate>false</LinksUpToDate>
  <CharactersWithSpaces>10970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2022-05-20T11:21:00Z</dcterms:created>
  <dc:creator>Administrator</dc:creator>
  <cp:lastModifiedBy>administrator</cp:lastModifiedBy>
  <cp:lastPrinted>2023-05-25T23:46:00Z</cp:lastPrinted>
  <dcterms:modified xsi:type="dcterms:W3CDTF">2023-08-14T16:55:20Z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F8691CE24A6742D7BE4076498F636B78</vt:lpwstr>
  </property>
</Properties>
</file>