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C6" w:rsidRDefault="000D037E" w:rsidP="00C56364">
      <w:pPr>
        <w:spacing w:line="56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北京市延庆区人民检察院</w:t>
      </w:r>
    </w:p>
    <w:p w:rsidR="00DB41C6" w:rsidRDefault="000D037E" w:rsidP="00C56364">
      <w:pPr>
        <w:spacing w:line="56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部门整体绩效评价报告</w:t>
      </w:r>
    </w:p>
    <w:p w:rsidR="00DB41C6" w:rsidRDefault="00DB41C6" w:rsidP="00C56364">
      <w:pPr>
        <w:spacing w:line="560" w:lineRule="exact"/>
        <w:ind w:firstLineChars="200" w:firstLine="720"/>
        <w:jc w:val="center"/>
        <w:rPr>
          <w:rFonts w:ascii="方正小标宋简体" w:eastAsia="方正小标宋简体"/>
          <w:sz w:val="36"/>
          <w:szCs w:val="36"/>
        </w:rPr>
      </w:pPr>
    </w:p>
    <w:p w:rsidR="00DB41C6" w:rsidRDefault="000D037E" w:rsidP="00C56364">
      <w:pPr>
        <w:spacing w:line="560" w:lineRule="exact"/>
        <w:ind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一、部门概况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（一）机构设置及职责工作任务情况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根据中共中央、国务院批准的北京市人民政府机构改革方案和《北京市人民政府关于机构设置的通知》北京市延庆区人民检察院下设10个部门。包括：办公室（行政事务管理部）、政治部（机关党委、机关纪委）、第一检察部、第二检察部、第三检察部、第四检察部、第五检察部、第六检察部、第七检察部（法律政策研究室）、检务督察部。</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2022年度职责工作任务：一是落实全面从严治党，深入学习贯彻落实上级各项精神，持续深化党支部规范化建设，组织开展党支部书记和党务工作者轮训，强化党员先锋模范作用，利用好重要时间结点，高质高效组织开展主题党日活动，持续</w:t>
      </w:r>
      <w:proofErr w:type="gramStart"/>
      <w:r>
        <w:rPr>
          <w:rFonts w:ascii="仿宋_GB2312" w:eastAsia="仿宋_GB2312" w:hint="eastAsia"/>
          <w:sz w:val="28"/>
          <w:szCs w:val="28"/>
        </w:rPr>
        <w:t>打造延检党建</w:t>
      </w:r>
      <w:proofErr w:type="gramEnd"/>
      <w:r>
        <w:rPr>
          <w:rFonts w:ascii="仿宋_GB2312" w:eastAsia="仿宋_GB2312" w:hint="eastAsia"/>
          <w:sz w:val="28"/>
          <w:szCs w:val="28"/>
        </w:rPr>
        <w:t>品牌。二是精准服务大局，促进延庆高质量绿色发展的各项工作措施；发挥公益诉讼职能，围绕区委“清脏、治乱、增绿、控污”的要求，增强检察建议的刚性作用，针对行政机关职责权限不清或交叉等问题，推动各部门打破壁垒、协同履职，在大力推进美丽乡村建设、实施农村人居环境整治工程中发挥好主力军作用。三是着力推动“四大检察”全面协调充分发展，</w:t>
      </w:r>
      <w:r>
        <w:rPr>
          <w:rFonts w:ascii="仿宋_GB2312" w:eastAsia="仿宋_GB2312" w:hint="eastAsia"/>
          <w:sz w:val="28"/>
          <w:szCs w:val="28"/>
        </w:rPr>
        <w:lastRenderedPageBreak/>
        <w:t>更新执法理念，调整执法重心，优化资源配置，按照“好的做优、差的做好、新的做实、总体做强”的工作思路，坚持在办案中监督、在监督中办案，完善办案机制，提升法律监督质效，努力让人民群众在每一起司法案件中都感受到公平正义。四是主动融入社会综合治理，落实“接诉即办”，创新新时代“枫桥经验”，深入开展矛盾纠纷排查，筛选重复访等数据，制定工作方案，积极主动妥善化解检察环节信访矛盾纠纷，避免疫情后的信访突增影响社会稳定。对照平安建设要点，督促各部门落实责任，服务区域大局，推动社会治理现代化。五是挖掘内部潜力，着力培养接地气、善做群众工作的检察通才；重视招录和新人培养，做好以老带新工作；从提升刑事案件办案质效、服务保障区域经济发展等重点工作中发现人才、储备人才；改进教育培训形式，丰富培训载体和内容，让受培训人员真正融入培训，学有所获。</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（二）部门整体绩效目标设立情况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随着检察信息化和办公自动化进一步发展，检察办公、办案业务对信息技术的依赖不断增大，信息化设备不断投入，组织的硬件设施、软件系统规模不断增加，信息化运维复杂性不断增强，重要性不断提高，信息化运</w:t>
      </w:r>
      <w:proofErr w:type="gramStart"/>
      <w:r>
        <w:rPr>
          <w:rFonts w:ascii="仿宋_GB2312" w:eastAsia="仿宋_GB2312" w:hint="eastAsia"/>
          <w:sz w:val="28"/>
          <w:szCs w:val="28"/>
        </w:rPr>
        <w:t>维需求</w:t>
      </w:r>
      <w:proofErr w:type="gramEnd"/>
      <w:r>
        <w:rPr>
          <w:rFonts w:ascii="仿宋_GB2312" w:eastAsia="仿宋_GB2312" w:hint="eastAsia"/>
          <w:sz w:val="28"/>
          <w:szCs w:val="28"/>
        </w:rPr>
        <w:t>不断增加，完成如下目标：我单位信息化系统已经进入运行阶段，保障系统的正常运行、减少问题出现、问题实时处理、系统优化，将是维护工作的主要工作内容。包括对本院设备统计、整体系统运行环境统计、检察信息系统及数据统计、视频会议系统统计和所有办公室终端设备统计等几个部分。</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1.建设信息化系统，更好的满足业务发展需要。</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 xml:space="preserve"> 2.保障信息系统安全稳定运行，延长设备使用寿命。</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3.促进办公一体化，提高工作效率。</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4.提高检察公信力的社会影响力。</w:t>
      </w:r>
    </w:p>
    <w:p w:rsidR="00DB41C6" w:rsidRDefault="000D037E" w:rsidP="00C56364">
      <w:pPr>
        <w:spacing w:line="560" w:lineRule="exact"/>
        <w:ind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二、当年预算执行情况</w:t>
      </w:r>
    </w:p>
    <w:p w:rsidR="00DB41C6" w:rsidRDefault="000D037E" w:rsidP="00C56364">
      <w:pPr>
        <w:spacing w:line="580" w:lineRule="exact"/>
        <w:ind w:leftChars="50" w:left="105" w:firstLineChars="200" w:firstLine="560"/>
        <w:rPr>
          <w:rFonts w:ascii="仿宋_GB2312" w:eastAsia="仿宋_GB2312"/>
          <w:sz w:val="28"/>
          <w:szCs w:val="28"/>
        </w:rPr>
      </w:pPr>
      <w:r>
        <w:rPr>
          <w:rFonts w:ascii="仿宋_GB2312" w:eastAsia="仿宋_GB2312" w:hint="eastAsia"/>
          <w:sz w:val="28"/>
          <w:szCs w:val="28"/>
        </w:rPr>
        <w:t>2022年全年预算数5250.56万元（实际批复数），其中，基本支出预算数4745.08万元，项目支出预算数445.48万元，其他支出预算数60万元。资金总体支出5201.67万元，其中，基本支出4658.00万元，项目支出431.59万元，其他支出112.08万元。预算执行率为99.08%。</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三、整体绩效目标实现情况</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（一）产出完成情况分析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1.产出数量</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针对我院2022年度8个项目进行绩效评价工作。</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2.产出质量</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根据不同项目进行不同的质量指标分析，均完成设定质量指标标准，且达到良好。</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3.产出进度</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各项目产出进度均达到100%，按时完成。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 xml:space="preserve">4.产出成本 </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 xml:space="preserve">按照年初预算数进行年度产出。                                    </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（二）效果实现情况分析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1.经济效益</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2022年严格树立厉行节约、过“紧日子”，我院减少非刚性支出，确保落实保民生、促发展的纲领。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2.社会效益</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促进地方经济发展、促进社会进步、带动就业、提高人民生活水平。</w:t>
      </w:r>
    </w:p>
    <w:p w:rsidR="00DB41C6" w:rsidRDefault="00123B99" w:rsidP="00C56364">
      <w:pPr>
        <w:spacing w:line="58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int="eastAsia"/>
          <w:sz w:val="28"/>
          <w:szCs w:val="28"/>
        </w:rPr>
        <w:t>3.</w:t>
      </w:r>
      <w:r w:rsidR="000D037E">
        <w:rPr>
          <w:rFonts w:ascii="仿宋_GB2312" w:eastAsia="仿宋_GB2312" w:hAnsi="仿宋_GB2312" w:cs="仿宋_GB2312" w:hint="eastAsia"/>
          <w:color w:val="000000"/>
          <w:kern w:val="0"/>
          <w:sz w:val="28"/>
          <w:szCs w:val="28"/>
        </w:rPr>
        <w:t>环境效益</w:t>
      </w:r>
    </w:p>
    <w:p w:rsidR="00DB41C6" w:rsidRDefault="000D037E" w:rsidP="00C56364">
      <w:pPr>
        <w:pStyle w:val="a0"/>
        <w:ind w:firstLine="560"/>
      </w:pPr>
      <w:r>
        <w:rPr>
          <w:rFonts w:ascii="仿宋_GB2312" w:eastAsia="仿宋_GB2312" w:hint="eastAsia"/>
          <w:sz w:val="28"/>
          <w:szCs w:val="28"/>
        </w:rPr>
        <w:t>保障不破坏绿色和谐生态环境，切实做到经济环保。</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4.可持续性影响</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我院基本经费按照定额标准及测算数生成，项目经费大部分为延续性项目，2023年将继续延续。</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5.服务对象满意度</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我院干警对经费保障和项目实施非常满意。</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四、预算管理情况分析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（一）财务管理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1.财务管理制度健全性</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为了进一步规范和加强项目经费的管理，保障资金安全、高效运行，提高资金使用效益，延庆检察院制定了</w:t>
      </w:r>
      <w:bookmarkStart w:id="0" w:name="_Toc452105250"/>
      <w:bookmarkStart w:id="1" w:name="_Toc432690603"/>
      <w:r>
        <w:rPr>
          <w:rFonts w:ascii="仿宋_GB2312" w:eastAsia="仿宋_GB2312" w:hint="eastAsia"/>
          <w:sz w:val="28"/>
          <w:szCs w:val="28"/>
        </w:rPr>
        <w:t>《北京市延庆区人民检察院财务管理办法》、《</w:t>
      </w:r>
      <w:bookmarkEnd w:id="0"/>
      <w:bookmarkEnd w:id="1"/>
      <w:r>
        <w:rPr>
          <w:rFonts w:ascii="仿宋_GB2312" w:eastAsia="仿宋_GB2312" w:hint="eastAsia"/>
          <w:sz w:val="28"/>
          <w:szCs w:val="28"/>
        </w:rPr>
        <w:t>北京市延庆区人民检察院大额资金支出管理办法》、《北京市延庆区人民检察院预算编制管理制度》等管理制度，加强资金使用的过程管理，具体体现在：</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（1）财务审批权限：财务审批权限：金额在 30000元以内的，由主管办公室（行政事务管理部）工作的副检察长审批；30000元（含）以上的，主</w:t>
      </w:r>
      <w:proofErr w:type="gramStart"/>
      <w:r>
        <w:rPr>
          <w:rFonts w:ascii="仿宋_GB2312" w:eastAsia="仿宋_GB2312" w:hint="eastAsia"/>
          <w:sz w:val="28"/>
          <w:szCs w:val="28"/>
        </w:rPr>
        <w:t>责部门</w:t>
      </w:r>
      <w:proofErr w:type="gramEnd"/>
      <w:r>
        <w:rPr>
          <w:rFonts w:ascii="仿宋_GB2312" w:eastAsia="仿宋_GB2312" w:hint="eastAsia"/>
          <w:sz w:val="28"/>
          <w:szCs w:val="28"/>
        </w:rPr>
        <w:t>层报院党组会研究决定，并启动《北京市延庆区人民检察院关于大额资金支出的工作流程》，由主管办公室（行政事务管理部）工作的副检察长审批。</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（2）大额资金支出是指三万元（含）以上的支出。凡属大额资金支出，须由主</w:t>
      </w:r>
      <w:proofErr w:type="gramStart"/>
      <w:r>
        <w:rPr>
          <w:rFonts w:ascii="仿宋_GB2312" w:eastAsia="仿宋_GB2312" w:hint="eastAsia"/>
          <w:sz w:val="28"/>
          <w:szCs w:val="28"/>
        </w:rPr>
        <w:t>责部门</w:t>
      </w:r>
      <w:proofErr w:type="gramEnd"/>
      <w:r>
        <w:rPr>
          <w:rFonts w:ascii="仿宋_GB2312" w:eastAsia="仿宋_GB2312" w:hint="eastAsia"/>
          <w:sz w:val="28"/>
          <w:szCs w:val="28"/>
        </w:rPr>
        <w:t>提出详实的可行性方案。可行性方案的形成，必须有机关纪委的参与。完成可行性方案后，由主管院领导提请院党组研究决定。重大资金支出，未有机关纪委进行事前监督的，不予提请院党组研究。凡属大额资金支出，事前不请示，事后不汇报，擅自做出决定的，其后果按照有关规定承担责任。</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（3）单项或批量金额大于50万（含）且小于200万元的依据采购法确定采购方式。</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（4）</w:t>
      </w:r>
      <w:proofErr w:type="gramStart"/>
      <w:r>
        <w:rPr>
          <w:rFonts w:ascii="仿宋_GB2312" w:eastAsia="仿宋_GB2312" w:hint="eastAsia"/>
          <w:sz w:val="28"/>
          <w:szCs w:val="28"/>
        </w:rPr>
        <w:t>大额专项</w:t>
      </w:r>
      <w:proofErr w:type="gramEnd"/>
      <w:r>
        <w:rPr>
          <w:rFonts w:ascii="仿宋_GB2312" w:eastAsia="仿宋_GB2312" w:hint="eastAsia"/>
          <w:sz w:val="28"/>
          <w:szCs w:val="28"/>
        </w:rPr>
        <w:t>资金必须专款专用，严禁在申请资金过程中弄虚作假、套取</w:t>
      </w:r>
      <w:proofErr w:type="gramStart"/>
      <w:r>
        <w:rPr>
          <w:rFonts w:ascii="仿宋_GB2312" w:eastAsia="仿宋_GB2312" w:hint="eastAsia"/>
          <w:sz w:val="28"/>
          <w:szCs w:val="28"/>
        </w:rPr>
        <w:t>大额专项</w:t>
      </w:r>
      <w:proofErr w:type="gramEnd"/>
      <w:r>
        <w:rPr>
          <w:rFonts w:ascii="仿宋_GB2312" w:eastAsia="仿宋_GB2312" w:hint="eastAsia"/>
          <w:sz w:val="28"/>
          <w:szCs w:val="28"/>
        </w:rPr>
        <w:t>资金的行为。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2.资金使用合</w:t>
      </w:r>
      <w:proofErr w:type="gramStart"/>
      <w:r>
        <w:rPr>
          <w:rFonts w:ascii="仿宋_GB2312" w:eastAsia="仿宋_GB2312" w:hint="eastAsia"/>
          <w:sz w:val="28"/>
          <w:szCs w:val="28"/>
        </w:rPr>
        <w:t>规</w:t>
      </w:r>
      <w:proofErr w:type="gramEnd"/>
      <w:r>
        <w:rPr>
          <w:rFonts w:ascii="仿宋_GB2312" w:eastAsia="仿宋_GB2312" w:hint="eastAsia"/>
          <w:sz w:val="28"/>
          <w:szCs w:val="28"/>
        </w:rPr>
        <w:t>性和安全性</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各项经费应严格按照经费预算科目及相关规定执行。未纳入预算的经费支出应提前与办公室协商，并</w:t>
      </w:r>
      <w:r>
        <w:rPr>
          <w:rFonts w:ascii="仿宋_GB2312" w:eastAsia="仿宋_GB2312" w:hint="eastAsia"/>
          <w:sz w:val="28"/>
          <w:szCs w:val="28"/>
        </w:rPr>
        <w:lastRenderedPageBreak/>
        <w:t>视具体情况层报领导审批。各项经费的使用应严格按照《党政机关厉行节约反对浪费条例》、《北京市人民检察院财务办法》、《北京市检察机关计划财务装备工作基本规范》、《北京市党政机关差旅费管理办法》、《北京市党政机关事业单位培训费管理办法》、《北京市党政机关会议费管理办法》相关规定执行。装备经费应按照北京市政府采购相关规定执行。</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3.会计基础信息完善性</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为加强财务管理，提高资金使用效益，根据北京市财政局和北京市人民检察院有关财务管理规定，结合我院实际情况，我院依法理财，勤俭办事；明确责任，分级管理；量入为出，保证重点；综合平衡，讲求绩效。</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（二）资产管理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针对资产总量不断增大、范围不断增多、流动性不断增强的情况，不断强化日常管理工作，提高资产使用效益。其一确定专人负责管理资产的日常性、基础性工作，逐步的改变原来技术部管理装备、行政事务管理局管理办公设备的现状，归口由办公室统一负责管理；其二建立岗位责任制。按照“谁使用，谁管理”的原则，建立资产使用人责任制，达到责权分明、层层负责的目的；其</w:t>
      </w:r>
      <w:proofErr w:type="gramStart"/>
      <w:r>
        <w:rPr>
          <w:rFonts w:ascii="仿宋_GB2312" w:eastAsia="仿宋_GB2312" w:hint="eastAsia"/>
          <w:sz w:val="28"/>
          <w:szCs w:val="28"/>
        </w:rPr>
        <w:t>三规范</w:t>
      </w:r>
      <w:proofErr w:type="gramEnd"/>
      <w:r>
        <w:rPr>
          <w:rFonts w:ascii="仿宋_GB2312" w:eastAsia="仿宋_GB2312" w:hint="eastAsia"/>
          <w:sz w:val="28"/>
          <w:szCs w:val="28"/>
        </w:rPr>
        <w:t>固定资产领取和出、入库手续，避免固定资产流失现象发生，保证资产的安全和完整。</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（三）绩效管理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科学设定项目的绩效目标，绩效目标要与单位职能相关；细化量化项目的绩效指标、使绩效指标具有可衡量性，提升对项目执行的指导意义。</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完善项目实施的管理方案，引入过程监督、制度构建与遵循、项目验收与考核、风险控制及应急预案等要素，使其具有更加有效的指导意义。</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加强过程监督管理，明确项目实施主体的责任，对于监督管理的资料应留痕。</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（四）结转结余率</w:t>
      </w:r>
    </w:p>
    <w:p w:rsidR="00DB41C6" w:rsidRDefault="000D037E" w:rsidP="00C56364">
      <w:pPr>
        <w:spacing w:line="560" w:lineRule="exact"/>
        <w:ind w:leftChars="50" w:left="105" w:firstLineChars="200" w:firstLine="560"/>
        <w:rPr>
          <w:rFonts w:eastAsia="仿宋_GB2312"/>
        </w:rPr>
      </w:pPr>
      <w:r>
        <w:rPr>
          <w:rFonts w:ascii="仿宋_GB2312" w:eastAsia="仿宋_GB2312" w:hint="eastAsia"/>
          <w:sz w:val="28"/>
          <w:szCs w:val="28"/>
        </w:rPr>
        <w:t>我院预算执行数为5201.67万元。年底结余和结转余额为11.53万元。结转结余率为0.22%。</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（五）部门预决算差异率</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2022年年初预算数4701.89万元，2022年度预算执行数5201.67万元，差异率9.61%。主要原因：将非同级财政拨款收入支出纳入2022年决算。</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五、总体评价结论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（一）评价得分情况</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我院基本经费包括人员经费和公用经费。人员经费按照各月发放时间及规定及时支出付款，公用经费按照院内实际需求进行办公用品采购、</w:t>
      </w:r>
      <w:r>
        <w:rPr>
          <w:rFonts w:ascii="宋体" w:hAnsi="宋体" w:cs="宋体" w:hint="eastAsia"/>
          <w:sz w:val="28"/>
          <w:szCs w:val="28"/>
        </w:rPr>
        <w:t>物</w:t>
      </w:r>
      <w:r>
        <w:rPr>
          <w:rFonts w:ascii="仿宋_GB2312" w:eastAsia="仿宋_GB2312" w:hint="eastAsia"/>
          <w:sz w:val="28"/>
          <w:szCs w:val="28"/>
        </w:rPr>
        <w:t>业绿化、安检安保等支出。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8个项目评价得分均在90分以上，详见各项目绩效自评表。</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（二）存在的问题及原因分析</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部分项目存在问题：实施方案不够完善，</w:t>
      </w:r>
      <w:r>
        <w:rPr>
          <w:rFonts w:ascii="仿宋_GB2312" w:eastAsia="仿宋_GB2312"/>
          <w:sz w:val="28"/>
          <w:szCs w:val="28"/>
        </w:rPr>
        <w:t>对于制度构建与遵循、</w:t>
      </w:r>
      <w:r>
        <w:rPr>
          <w:rFonts w:ascii="仿宋_GB2312" w:eastAsia="仿宋_GB2312" w:hint="eastAsia"/>
          <w:sz w:val="28"/>
          <w:szCs w:val="28"/>
        </w:rPr>
        <w:t>管控措施、考核验收、</w:t>
      </w:r>
      <w:r>
        <w:rPr>
          <w:rFonts w:ascii="仿宋_GB2312" w:eastAsia="仿宋_GB2312"/>
          <w:sz w:val="28"/>
          <w:szCs w:val="28"/>
        </w:rPr>
        <w:t>风险防控与应急等要素</w:t>
      </w:r>
      <w:r>
        <w:rPr>
          <w:rFonts w:ascii="仿宋_GB2312" w:eastAsia="仿宋_GB2312" w:hint="eastAsia"/>
          <w:sz w:val="28"/>
          <w:szCs w:val="28"/>
        </w:rPr>
        <w:t>不足</w:t>
      </w:r>
      <w:r>
        <w:rPr>
          <w:rFonts w:ascii="仿宋_GB2312" w:eastAsia="仿宋_GB2312"/>
          <w:sz w:val="28"/>
          <w:szCs w:val="28"/>
        </w:rPr>
        <w:t>。实施方案的不完善，使其指导意义不足，有效性欠缺。</w:t>
      </w:r>
      <w:r>
        <w:rPr>
          <w:rFonts w:ascii="仿宋_GB2312" w:eastAsia="仿宋_GB2312" w:hint="eastAsia"/>
          <w:sz w:val="28"/>
          <w:szCs w:val="28"/>
        </w:rPr>
        <w:t>项目绩效成果资料不够充分，</w:t>
      </w:r>
      <w:r>
        <w:rPr>
          <w:rFonts w:ascii="仿宋_GB2312" w:eastAsia="仿宋_GB2312"/>
          <w:sz w:val="28"/>
          <w:szCs w:val="28"/>
        </w:rPr>
        <w:t>不利于项目实施效果的体现。</w:t>
      </w:r>
    </w:p>
    <w:p w:rsidR="00DB41C6" w:rsidRDefault="000D037E" w:rsidP="00C56364">
      <w:pPr>
        <w:spacing w:line="560" w:lineRule="exact"/>
        <w:ind w:firstLineChars="200" w:firstLine="643"/>
        <w:rPr>
          <w:rFonts w:ascii="仿宋_GB2312" w:eastAsia="仿宋_GB2312" w:hAnsi="宋体" w:cs="宋体"/>
          <w:b/>
          <w:color w:val="000000"/>
          <w:kern w:val="0"/>
          <w:sz w:val="32"/>
          <w:szCs w:val="32"/>
        </w:rPr>
      </w:pPr>
      <w:r>
        <w:rPr>
          <w:rFonts w:ascii="黑体" w:eastAsia="黑体" w:hAnsi="黑体" w:cs="宋体" w:hint="eastAsia"/>
          <w:b/>
          <w:color w:val="000000"/>
          <w:kern w:val="0"/>
          <w:sz w:val="32"/>
          <w:szCs w:val="32"/>
        </w:rPr>
        <w:t>六、措施建议</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2022年，在部门预算管理上，我单位强化部门在预算编制中的主体责任，结合职责职能、政策制定和方案论证等情况,编制了本部门预算，最大限度做到预算编制真实性、完整性、科学性。认真执行“三重一大”决策制度，提供决策的科学性。在预算执行过程中，坚持厉行节约，强化了实有账户结余资金的使用和管理。</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在财务</w:t>
      </w:r>
      <w:r>
        <w:rPr>
          <w:rFonts w:ascii="仿宋_GB2312" w:eastAsia="仿宋_GB2312"/>
          <w:sz w:val="28"/>
          <w:szCs w:val="28"/>
        </w:rPr>
        <w:t>核算</w:t>
      </w:r>
      <w:r>
        <w:rPr>
          <w:rFonts w:ascii="仿宋_GB2312" w:eastAsia="仿宋_GB2312" w:hint="eastAsia"/>
          <w:sz w:val="28"/>
          <w:szCs w:val="28"/>
        </w:rPr>
        <w:t>上</w:t>
      </w:r>
      <w:r>
        <w:rPr>
          <w:rFonts w:ascii="仿宋_GB2312" w:eastAsia="仿宋_GB2312"/>
          <w:sz w:val="28"/>
          <w:szCs w:val="28"/>
        </w:rPr>
        <w:t>，我单位</w:t>
      </w:r>
      <w:r>
        <w:rPr>
          <w:rFonts w:ascii="仿宋_GB2312" w:eastAsia="仿宋_GB2312" w:hint="eastAsia"/>
          <w:sz w:val="28"/>
          <w:szCs w:val="28"/>
        </w:rPr>
        <w:t>重点加强了</w:t>
      </w:r>
      <w:r>
        <w:rPr>
          <w:rFonts w:ascii="仿宋_GB2312" w:eastAsia="仿宋_GB2312"/>
          <w:sz w:val="28"/>
          <w:szCs w:val="28"/>
        </w:rPr>
        <w:t>对往来款项的</w:t>
      </w:r>
      <w:r>
        <w:rPr>
          <w:rFonts w:ascii="仿宋_GB2312" w:eastAsia="仿宋_GB2312" w:hint="eastAsia"/>
          <w:sz w:val="28"/>
          <w:szCs w:val="28"/>
        </w:rPr>
        <w:t>清理工作，对</w:t>
      </w:r>
      <w:r>
        <w:rPr>
          <w:rFonts w:ascii="仿宋_GB2312" w:eastAsia="仿宋_GB2312"/>
          <w:sz w:val="28"/>
          <w:szCs w:val="28"/>
        </w:rPr>
        <w:t>我单位长期以来</w:t>
      </w:r>
      <w:r>
        <w:rPr>
          <w:rFonts w:ascii="仿宋_GB2312" w:eastAsia="仿宋_GB2312" w:hint="eastAsia"/>
          <w:sz w:val="28"/>
          <w:szCs w:val="28"/>
        </w:rPr>
        <w:t>形成</w:t>
      </w:r>
      <w:r>
        <w:rPr>
          <w:rFonts w:ascii="仿宋_GB2312" w:eastAsia="仿宋_GB2312"/>
          <w:sz w:val="28"/>
          <w:szCs w:val="28"/>
        </w:rPr>
        <w:t xml:space="preserve">的 </w:t>
      </w:r>
      <w:r>
        <w:rPr>
          <w:rFonts w:ascii="仿宋_GB2312" w:eastAsia="仿宋_GB2312"/>
          <w:sz w:val="28"/>
          <w:szCs w:val="28"/>
        </w:rPr>
        <w:t>“</w:t>
      </w:r>
      <w:r>
        <w:rPr>
          <w:rFonts w:ascii="仿宋_GB2312" w:eastAsia="仿宋_GB2312"/>
          <w:sz w:val="28"/>
          <w:szCs w:val="28"/>
        </w:rPr>
        <w:t>其他应付款</w:t>
      </w:r>
      <w:r>
        <w:rPr>
          <w:rFonts w:ascii="仿宋_GB2312" w:eastAsia="仿宋_GB2312"/>
          <w:sz w:val="28"/>
          <w:szCs w:val="28"/>
        </w:rPr>
        <w:t>”</w:t>
      </w:r>
      <w:r>
        <w:rPr>
          <w:rFonts w:ascii="仿宋_GB2312" w:eastAsia="仿宋_GB2312"/>
          <w:sz w:val="28"/>
          <w:szCs w:val="28"/>
        </w:rPr>
        <w:t>会计明细科目信息进行了梳理</w:t>
      </w:r>
      <w:r>
        <w:rPr>
          <w:rFonts w:ascii="仿宋_GB2312" w:eastAsia="仿宋_GB2312" w:hint="eastAsia"/>
          <w:sz w:val="28"/>
          <w:szCs w:val="28"/>
        </w:rPr>
        <w:t>，</w:t>
      </w:r>
      <w:r>
        <w:rPr>
          <w:rFonts w:ascii="仿宋_GB2312" w:eastAsia="仿宋_GB2312"/>
          <w:sz w:val="28"/>
          <w:szCs w:val="28"/>
        </w:rPr>
        <w:t>清理</w:t>
      </w:r>
      <w:r>
        <w:rPr>
          <w:rFonts w:ascii="仿宋_GB2312" w:eastAsia="仿宋_GB2312" w:hint="eastAsia"/>
          <w:sz w:val="28"/>
          <w:szCs w:val="28"/>
        </w:rPr>
        <w:t>并</w:t>
      </w:r>
      <w:r>
        <w:rPr>
          <w:rFonts w:ascii="仿宋_GB2312" w:eastAsia="仿宋_GB2312"/>
          <w:sz w:val="28"/>
          <w:szCs w:val="28"/>
        </w:rPr>
        <w:t>结转本期相关结余资金</w:t>
      </w:r>
      <w:r>
        <w:rPr>
          <w:rFonts w:ascii="仿宋_GB2312" w:eastAsia="仿宋_GB2312" w:hint="eastAsia"/>
          <w:sz w:val="28"/>
          <w:szCs w:val="28"/>
        </w:rPr>
        <w:t>。通过清理</w:t>
      </w:r>
      <w:r>
        <w:rPr>
          <w:rFonts w:ascii="仿宋_GB2312" w:eastAsia="仿宋_GB2312"/>
          <w:sz w:val="28"/>
          <w:szCs w:val="28"/>
        </w:rPr>
        <w:t>，</w:t>
      </w:r>
      <w:r>
        <w:rPr>
          <w:rFonts w:ascii="仿宋_GB2312" w:eastAsia="仿宋_GB2312" w:hint="eastAsia"/>
          <w:sz w:val="28"/>
          <w:szCs w:val="28"/>
        </w:rPr>
        <w:t>切实让</w:t>
      </w:r>
      <w:r>
        <w:rPr>
          <w:rFonts w:ascii="仿宋_GB2312" w:eastAsia="仿宋_GB2312"/>
          <w:sz w:val="28"/>
          <w:szCs w:val="28"/>
        </w:rPr>
        <w:t>沉淀资金</w:t>
      </w:r>
      <w:r>
        <w:rPr>
          <w:rFonts w:ascii="仿宋_GB2312" w:eastAsia="仿宋_GB2312" w:hint="eastAsia"/>
          <w:sz w:val="28"/>
          <w:szCs w:val="28"/>
        </w:rPr>
        <w:t>得到有效</w:t>
      </w:r>
      <w:r>
        <w:rPr>
          <w:rFonts w:ascii="仿宋_GB2312" w:eastAsia="仿宋_GB2312"/>
          <w:sz w:val="28"/>
          <w:szCs w:val="28"/>
        </w:rPr>
        <w:t>盘活，</w:t>
      </w:r>
      <w:r>
        <w:rPr>
          <w:rFonts w:ascii="仿宋_GB2312" w:eastAsia="仿宋_GB2312" w:hint="eastAsia"/>
          <w:sz w:val="28"/>
          <w:szCs w:val="28"/>
        </w:rPr>
        <w:t>新增</w:t>
      </w:r>
      <w:r>
        <w:rPr>
          <w:rFonts w:ascii="仿宋_GB2312" w:eastAsia="仿宋_GB2312"/>
          <w:sz w:val="28"/>
          <w:szCs w:val="28"/>
        </w:rPr>
        <w:t>结余资金</w:t>
      </w:r>
      <w:r>
        <w:rPr>
          <w:rFonts w:ascii="仿宋_GB2312" w:eastAsia="仿宋_GB2312" w:hint="eastAsia"/>
          <w:sz w:val="28"/>
          <w:szCs w:val="28"/>
        </w:rPr>
        <w:t>有效</w:t>
      </w:r>
      <w:r>
        <w:rPr>
          <w:rFonts w:ascii="仿宋_GB2312" w:eastAsia="仿宋_GB2312"/>
          <w:sz w:val="28"/>
          <w:szCs w:val="28"/>
        </w:rPr>
        <w:t>弥补</w:t>
      </w:r>
      <w:r>
        <w:rPr>
          <w:rFonts w:ascii="仿宋_GB2312" w:eastAsia="仿宋_GB2312" w:hint="eastAsia"/>
          <w:sz w:val="28"/>
          <w:szCs w:val="28"/>
        </w:rPr>
        <w:t>了项目预算中</w:t>
      </w:r>
      <w:r>
        <w:rPr>
          <w:rFonts w:ascii="仿宋_GB2312" w:eastAsia="仿宋_GB2312"/>
          <w:sz w:val="28"/>
          <w:szCs w:val="28"/>
        </w:rPr>
        <w:t>财政资金不足</w:t>
      </w:r>
      <w:r>
        <w:rPr>
          <w:rFonts w:ascii="仿宋_GB2312" w:eastAsia="仿宋_GB2312" w:hint="eastAsia"/>
          <w:sz w:val="28"/>
          <w:szCs w:val="28"/>
        </w:rPr>
        <w:t>的缺口</w:t>
      </w:r>
      <w:r>
        <w:rPr>
          <w:rFonts w:ascii="仿宋_GB2312" w:eastAsia="仿宋_GB2312"/>
          <w:sz w:val="28"/>
          <w:szCs w:val="28"/>
        </w:rPr>
        <w:t>，</w:t>
      </w:r>
      <w:r>
        <w:rPr>
          <w:rFonts w:ascii="仿宋_GB2312" w:eastAsia="仿宋_GB2312" w:hint="eastAsia"/>
          <w:sz w:val="28"/>
          <w:szCs w:val="28"/>
        </w:rPr>
        <w:t>为</w:t>
      </w:r>
      <w:r>
        <w:rPr>
          <w:rFonts w:ascii="仿宋_GB2312" w:eastAsia="仿宋_GB2312"/>
          <w:sz w:val="28"/>
          <w:szCs w:val="28"/>
        </w:rPr>
        <w:t>文联改革发展提供资金保障。</w:t>
      </w:r>
      <w:r>
        <w:rPr>
          <w:rFonts w:ascii="仿宋_GB2312" w:eastAsia="仿宋_GB2312" w:hint="eastAsia"/>
          <w:sz w:val="28"/>
          <w:szCs w:val="28"/>
        </w:rPr>
        <w:t>通过开展试编权责</w:t>
      </w:r>
      <w:r>
        <w:rPr>
          <w:rFonts w:ascii="仿宋_GB2312" w:eastAsia="仿宋_GB2312"/>
          <w:sz w:val="28"/>
          <w:szCs w:val="28"/>
        </w:rPr>
        <w:t>发生制财务报告</w:t>
      </w:r>
      <w:r>
        <w:rPr>
          <w:rFonts w:ascii="仿宋_GB2312" w:eastAsia="仿宋_GB2312" w:hint="eastAsia"/>
          <w:sz w:val="28"/>
          <w:szCs w:val="28"/>
        </w:rPr>
        <w:t>工作，掌握了权责发生制财务报告的数据收集要求、合并方法、报表体系和分析指标，进一步认识现有会计核算制度与权责发生制财务报告之间的差异，为今后更好地开展工作提供有价值的参考依据，为编制权责发生制财务报告积累了经验。在做好会计核算的基础上，严格按照《政府会计制度</w:t>
      </w:r>
      <w:r>
        <w:rPr>
          <w:rFonts w:ascii="仿宋_GB2312" w:eastAsia="仿宋_GB2312"/>
          <w:sz w:val="28"/>
          <w:szCs w:val="28"/>
        </w:rPr>
        <w:t>-</w:t>
      </w:r>
      <w:r>
        <w:rPr>
          <w:rFonts w:ascii="仿宋_GB2312" w:eastAsia="仿宋_GB2312"/>
          <w:sz w:val="28"/>
          <w:szCs w:val="28"/>
        </w:rPr>
        <w:lastRenderedPageBreak/>
        <w:t>行政事业单位会计科目和报表》与《行政单位会计制度》有关衔接问题的处理规定，及时的进行了新旧制度衔接的各项准备工作。</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在绩效管理上，按照北京市财政局《关于开展</w:t>
      </w:r>
      <w:r>
        <w:rPr>
          <w:rFonts w:ascii="仿宋_GB2312" w:eastAsia="仿宋_GB2312"/>
          <w:sz w:val="28"/>
          <w:szCs w:val="28"/>
        </w:rPr>
        <w:t>202</w:t>
      </w:r>
      <w:r>
        <w:rPr>
          <w:rFonts w:ascii="仿宋_GB2312" w:eastAsia="仿宋_GB2312" w:hint="eastAsia"/>
          <w:sz w:val="28"/>
          <w:szCs w:val="28"/>
        </w:rPr>
        <w:t>3推进全面实施</w:t>
      </w:r>
      <w:r>
        <w:rPr>
          <w:rFonts w:ascii="仿宋_GB2312" w:eastAsia="仿宋_GB2312"/>
          <w:sz w:val="28"/>
          <w:szCs w:val="28"/>
        </w:rPr>
        <w:t>预算绩效</w:t>
      </w:r>
      <w:r>
        <w:rPr>
          <w:rFonts w:ascii="仿宋_GB2312" w:eastAsia="仿宋_GB2312" w:hint="eastAsia"/>
          <w:sz w:val="28"/>
          <w:szCs w:val="28"/>
        </w:rPr>
        <w:t>管理</w:t>
      </w:r>
      <w:r>
        <w:rPr>
          <w:rFonts w:ascii="仿宋_GB2312" w:eastAsia="仿宋_GB2312"/>
          <w:sz w:val="28"/>
          <w:szCs w:val="28"/>
        </w:rPr>
        <w:t>工作的通知》要求，我单位20</w:t>
      </w:r>
      <w:r>
        <w:rPr>
          <w:rFonts w:ascii="仿宋_GB2312" w:eastAsia="仿宋_GB2312" w:hint="eastAsia"/>
          <w:sz w:val="28"/>
          <w:szCs w:val="28"/>
        </w:rPr>
        <w:t>22</w:t>
      </w:r>
      <w:r>
        <w:rPr>
          <w:rFonts w:ascii="仿宋_GB2312" w:eastAsia="仿宋_GB2312"/>
          <w:sz w:val="28"/>
          <w:szCs w:val="28"/>
        </w:rPr>
        <w:t>年度</w:t>
      </w:r>
      <w:r>
        <w:rPr>
          <w:rFonts w:ascii="仿宋_GB2312" w:eastAsia="仿宋_GB2312" w:hint="eastAsia"/>
          <w:sz w:val="28"/>
          <w:szCs w:val="28"/>
        </w:rPr>
        <w:t>将全部项目进行绩效分析评价。</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目前，</w:t>
      </w:r>
      <w:r>
        <w:rPr>
          <w:rFonts w:ascii="仿宋_GB2312" w:eastAsia="仿宋_GB2312"/>
          <w:sz w:val="28"/>
          <w:szCs w:val="28"/>
        </w:rPr>
        <w:t>我</w:t>
      </w:r>
      <w:r>
        <w:rPr>
          <w:rFonts w:ascii="仿宋_GB2312" w:eastAsia="仿宋_GB2312" w:hint="eastAsia"/>
          <w:sz w:val="28"/>
          <w:szCs w:val="28"/>
        </w:rPr>
        <w:t>单位的基层财务人员少，任务重，但我们仍将努力高标准、严要求，把做实做细各项制度规定与财务基础工作融入到平时的工作中，使我单位财务管理不断规范化、明细化。制度不断健全完善，使规范财务管理融入到全员思想认识中、行动中。</w:t>
      </w:r>
    </w:p>
    <w:p w:rsidR="007376BE" w:rsidRDefault="007376BE">
      <w:r>
        <w:br w:type="page"/>
      </w:r>
      <w:bookmarkStart w:id="2" w:name="_GoBack"/>
      <w:bookmarkEnd w:id="2"/>
    </w:p>
    <w:tbl>
      <w:tblPr>
        <w:tblW w:w="5000" w:type="pct"/>
        <w:tblLook w:val="04A0" w:firstRow="1" w:lastRow="0" w:firstColumn="1" w:lastColumn="0" w:noHBand="0" w:noVBand="1"/>
      </w:tblPr>
      <w:tblGrid>
        <w:gridCol w:w="817"/>
        <w:gridCol w:w="817"/>
        <w:gridCol w:w="917"/>
        <w:gridCol w:w="917"/>
        <w:gridCol w:w="917"/>
        <w:gridCol w:w="616"/>
        <w:gridCol w:w="616"/>
        <w:gridCol w:w="3560"/>
        <w:gridCol w:w="3794"/>
      </w:tblGrid>
      <w:tr w:rsidR="007376BE" w:rsidTr="00DB67D5">
        <w:trPr>
          <w:trHeight w:val="499"/>
        </w:trPr>
        <w:tc>
          <w:tcPr>
            <w:tcW w:w="5000" w:type="pct"/>
            <w:gridSpan w:val="9"/>
            <w:tcBorders>
              <w:top w:val="nil"/>
              <w:left w:val="nil"/>
              <w:bottom w:val="single" w:sz="4" w:space="0" w:color="auto"/>
              <w:right w:val="nil"/>
            </w:tcBorders>
            <w:noWrap/>
            <w:vAlign w:val="bottom"/>
          </w:tcPr>
          <w:p w:rsidR="007376BE" w:rsidRDefault="007376BE" w:rsidP="00DB67D5">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2022年部门整体绩效评价指标体系评分表</w:t>
            </w:r>
          </w:p>
        </w:tc>
      </w:tr>
      <w:tr w:rsidR="007376BE" w:rsidTr="00DB67D5">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7376BE" w:rsidTr="007376BE">
        <w:trPr>
          <w:trHeight w:val="660"/>
        </w:trPr>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7"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7"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7376BE" w:rsidTr="007376BE">
        <w:trPr>
          <w:trHeight w:val="2817"/>
        </w:trPr>
        <w:tc>
          <w:tcPr>
            <w:tcW w:w="315" w:type="pct"/>
            <w:vMerge w:val="restart"/>
            <w:tcBorders>
              <w:top w:val="nil"/>
              <w:left w:val="single" w:sz="4" w:space="0" w:color="auto"/>
              <w:bottom w:val="single" w:sz="4" w:space="0" w:color="000000"/>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5250.56</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F66B29">
              <w:rPr>
                <w:rFonts w:ascii="宋体" w:hAnsi="宋体" w:cs="宋体"/>
                <w:color w:val="000000"/>
                <w:kern w:val="0"/>
                <w:sz w:val="20"/>
                <w:szCs w:val="20"/>
              </w:rPr>
              <w:t>5</w:t>
            </w:r>
            <w:r>
              <w:rPr>
                <w:rFonts w:ascii="宋体" w:hAnsi="宋体" w:cs="宋体" w:hint="eastAsia"/>
                <w:color w:val="000000"/>
                <w:kern w:val="0"/>
                <w:sz w:val="20"/>
                <w:szCs w:val="20"/>
              </w:rPr>
              <w:t>201.67</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110.64</w:t>
            </w:r>
            <w:r w:rsidRPr="009A1F1B">
              <w:rPr>
                <w:rFonts w:ascii="宋体" w:hAnsi="宋体" w:cs="宋体"/>
                <w:color w:val="000000"/>
                <w:kern w:val="0"/>
                <w:sz w:val="20"/>
                <w:szCs w:val="20"/>
              </w:rPr>
              <w:t>%</w:t>
            </w:r>
            <w:r>
              <w:rPr>
                <w:rFonts w:ascii="宋体" w:hAnsi="宋体" w:cs="宋体" w:hint="eastAsia"/>
                <w:color w:val="000000"/>
                <w:kern w:val="0"/>
                <w:sz w:val="20"/>
                <w:szCs w:val="20"/>
              </w:rPr>
              <w:t xml:space="preserve">　</w:t>
            </w:r>
          </w:p>
        </w:tc>
        <w:tc>
          <w:tcPr>
            <w:tcW w:w="237" w:type="pct"/>
            <w:vMerge w:val="restart"/>
            <w:tcBorders>
              <w:top w:val="single" w:sz="4" w:space="0" w:color="auto"/>
              <w:left w:val="single" w:sz="4" w:space="0" w:color="auto"/>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7" w:type="pct"/>
            <w:vMerge w:val="restart"/>
            <w:tcBorders>
              <w:top w:val="single" w:sz="4" w:space="0" w:color="auto"/>
              <w:left w:val="single" w:sz="4" w:space="0" w:color="auto"/>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20　</w:t>
            </w:r>
          </w:p>
        </w:tc>
        <w:tc>
          <w:tcPr>
            <w:tcW w:w="1373"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462" w:type="pct"/>
            <w:vMerge w:val="restart"/>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7376BE" w:rsidTr="007376BE">
        <w:trPr>
          <w:trHeight w:val="600"/>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single" w:sz="4" w:space="0" w:color="auto"/>
              <w:left w:val="single" w:sz="4" w:space="0" w:color="auto"/>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1E16FC">
              <w:rPr>
                <w:rFonts w:ascii="宋体" w:hAnsi="宋体" w:cs="宋体"/>
                <w:color w:val="000000"/>
                <w:kern w:val="0"/>
                <w:sz w:val="20"/>
                <w:szCs w:val="20"/>
              </w:rPr>
              <w:t>4745.08</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F66B29">
              <w:rPr>
                <w:rFonts w:ascii="宋体" w:hAnsi="宋体" w:cs="宋体"/>
                <w:color w:val="000000"/>
                <w:kern w:val="0"/>
                <w:sz w:val="20"/>
                <w:szCs w:val="20"/>
              </w:rPr>
              <w:t>4658.00</w:t>
            </w:r>
          </w:p>
        </w:tc>
        <w:tc>
          <w:tcPr>
            <w:tcW w:w="353"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7"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top w:val="single" w:sz="4" w:space="0" w:color="auto"/>
              <w:left w:val="nil"/>
              <w:bottom w:val="single" w:sz="4" w:space="0" w:color="auto"/>
              <w:right w:val="nil"/>
            </w:tcBorders>
            <w:vAlign w:val="center"/>
          </w:tcPr>
          <w:p w:rsidR="007376BE" w:rsidRDefault="007376BE" w:rsidP="00DB67D5">
            <w:pPr>
              <w:widowControl/>
              <w:jc w:val="left"/>
              <w:rPr>
                <w:rFonts w:ascii="宋体" w:hAnsi="宋体" w:cs="宋体"/>
                <w:color w:val="000000"/>
                <w:kern w:val="0"/>
                <w:sz w:val="20"/>
                <w:szCs w:val="20"/>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615"/>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single" w:sz="4" w:space="0" w:color="auto"/>
              <w:left w:val="single" w:sz="4" w:space="0" w:color="auto"/>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445.49</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F66B29">
              <w:rPr>
                <w:rFonts w:ascii="宋体" w:hAnsi="宋体" w:cs="宋体"/>
                <w:color w:val="000000"/>
                <w:kern w:val="0"/>
                <w:sz w:val="20"/>
                <w:szCs w:val="20"/>
              </w:rPr>
              <w:t>431.59</w:t>
            </w:r>
            <w:r>
              <w:rPr>
                <w:rFonts w:ascii="宋体" w:hAnsi="宋体" w:cs="宋体" w:hint="eastAsia"/>
                <w:color w:val="000000"/>
                <w:kern w:val="0"/>
                <w:sz w:val="20"/>
                <w:szCs w:val="20"/>
              </w:rPr>
              <w:t xml:space="preserve">　</w:t>
            </w:r>
          </w:p>
        </w:tc>
        <w:tc>
          <w:tcPr>
            <w:tcW w:w="353"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top w:val="single" w:sz="4" w:space="0" w:color="auto"/>
              <w:left w:val="nil"/>
              <w:bottom w:val="single" w:sz="4" w:space="0" w:color="auto"/>
              <w:right w:val="nil"/>
            </w:tcBorders>
            <w:vAlign w:val="center"/>
          </w:tcPr>
          <w:p w:rsidR="007376BE" w:rsidRDefault="007376BE" w:rsidP="00DB67D5">
            <w:pPr>
              <w:widowControl/>
              <w:jc w:val="left"/>
              <w:rPr>
                <w:rFonts w:ascii="宋体" w:hAnsi="宋体" w:cs="宋体"/>
                <w:color w:val="000000"/>
                <w:kern w:val="0"/>
                <w:sz w:val="20"/>
                <w:szCs w:val="20"/>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2410"/>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60　</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F66B29">
              <w:rPr>
                <w:rFonts w:ascii="宋体" w:hAnsi="宋体" w:cs="宋体"/>
                <w:color w:val="000000"/>
                <w:kern w:val="0"/>
                <w:sz w:val="20"/>
                <w:szCs w:val="20"/>
              </w:rPr>
              <w:t>112.</w:t>
            </w:r>
            <w:r>
              <w:rPr>
                <w:rFonts w:ascii="宋体" w:hAnsi="宋体" w:cs="宋体" w:hint="eastAsia"/>
                <w:color w:val="000000"/>
                <w:kern w:val="0"/>
                <w:sz w:val="20"/>
                <w:szCs w:val="20"/>
              </w:rPr>
              <w:t>0</w:t>
            </w:r>
            <w:r w:rsidRPr="00F66B29">
              <w:rPr>
                <w:rFonts w:ascii="宋体" w:hAnsi="宋体" w:cs="宋体"/>
                <w:color w:val="000000"/>
                <w:kern w:val="0"/>
                <w:sz w:val="20"/>
                <w:szCs w:val="20"/>
              </w:rPr>
              <w:t>8</w:t>
            </w:r>
          </w:p>
        </w:tc>
        <w:tc>
          <w:tcPr>
            <w:tcW w:w="353"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top w:val="single" w:sz="4" w:space="0" w:color="auto"/>
              <w:left w:val="nil"/>
              <w:bottom w:val="single" w:sz="4" w:space="0" w:color="auto"/>
              <w:right w:val="nil"/>
            </w:tcBorders>
            <w:vAlign w:val="center"/>
          </w:tcPr>
          <w:p w:rsidR="007376BE" w:rsidRDefault="007376BE" w:rsidP="00DB67D5">
            <w:pPr>
              <w:widowControl/>
              <w:jc w:val="left"/>
              <w:rPr>
                <w:rFonts w:ascii="宋体" w:hAnsi="宋体" w:cs="宋体"/>
                <w:color w:val="000000"/>
                <w:kern w:val="0"/>
                <w:sz w:val="20"/>
                <w:szCs w:val="20"/>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DB67D5">
        <w:trPr>
          <w:trHeight w:val="569"/>
        </w:trPr>
        <w:tc>
          <w:tcPr>
            <w:tcW w:w="5000" w:type="pct"/>
            <w:gridSpan w:val="9"/>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7376BE" w:rsidTr="007376BE">
        <w:trPr>
          <w:trHeight w:val="499"/>
        </w:trPr>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15"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7"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7" w:type="pct"/>
            <w:tcBorders>
              <w:top w:val="single" w:sz="4" w:space="0" w:color="auto"/>
              <w:left w:val="nil"/>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2"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7376BE" w:rsidTr="007376BE">
        <w:trPr>
          <w:trHeight w:val="1196"/>
        </w:trPr>
        <w:tc>
          <w:tcPr>
            <w:tcW w:w="315"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315" w:type="pct"/>
            <w:vMerge w:val="restart"/>
            <w:tcBorders>
              <w:top w:val="single" w:sz="4" w:space="0" w:color="auto"/>
              <w:left w:val="nil"/>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p>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p>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产出数量</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18"/>
                <w:szCs w:val="18"/>
              </w:rPr>
              <w:t>实际完成工作数</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p>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237" w:type="pct"/>
            <w:vMerge w:val="restar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p>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7" w:type="pct"/>
            <w:vMerge w:val="restart"/>
            <w:tcBorders>
              <w:top w:val="single" w:sz="4" w:space="0" w:color="auto"/>
              <w:left w:val="nil"/>
              <w:right w:val="nil"/>
            </w:tcBorders>
            <w:vAlign w:val="center"/>
          </w:tcPr>
          <w:p w:rsidR="007376BE" w:rsidRDefault="007376BE" w:rsidP="00DB67D5">
            <w:pPr>
              <w:jc w:val="center"/>
              <w:rPr>
                <w:rFonts w:ascii="宋体" w:hAnsi="宋体" w:cs="宋体"/>
                <w:color w:val="000000"/>
                <w:kern w:val="0"/>
                <w:sz w:val="20"/>
                <w:szCs w:val="20"/>
              </w:rPr>
            </w:pPr>
          </w:p>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1373"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462"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7376BE" w:rsidTr="007376BE">
        <w:trPr>
          <w:trHeight w:val="1130"/>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left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产出质量</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18"/>
                <w:szCs w:val="18"/>
              </w:rPr>
              <w:t>质量达标工作数</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237" w:type="pct"/>
            <w:vMerge/>
            <w:tcBorders>
              <w:top w:val="single" w:sz="4" w:space="0" w:color="auto"/>
              <w:left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left w:val="nil"/>
              <w:right w:val="nil"/>
            </w:tcBorders>
            <w:noWrap/>
            <w:vAlign w:val="center"/>
          </w:tcPr>
          <w:p w:rsidR="007376BE" w:rsidRDefault="007376BE" w:rsidP="00DB67D5">
            <w:pPr>
              <w:jc w:val="center"/>
              <w:rPr>
                <w:rFonts w:ascii="宋体" w:hAnsi="宋体" w:cs="宋体"/>
                <w:color w:val="000000"/>
                <w:kern w:val="0"/>
                <w:sz w:val="20"/>
                <w:szCs w:val="20"/>
              </w:rPr>
            </w:pPr>
          </w:p>
        </w:tc>
        <w:tc>
          <w:tcPr>
            <w:tcW w:w="1373"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1258"/>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left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产出进度　</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18"/>
                <w:szCs w:val="18"/>
              </w:rPr>
              <w:t>按时完成工作数</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8个</w:t>
            </w:r>
          </w:p>
        </w:tc>
        <w:tc>
          <w:tcPr>
            <w:tcW w:w="237" w:type="pct"/>
            <w:vMerge/>
            <w:tcBorders>
              <w:left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left w:val="nil"/>
              <w:right w:val="nil"/>
            </w:tcBorders>
            <w:noWrap/>
            <w:vAlign w:val="center"/>
          </w:tcPr>
          <w:p w:rsidR="007376BE" w:rsidRDefault="007376BE" w:rsidP="00DB67D5">
            <w:pPr>
              <w:jc w:val="center"/>
              <w:rPr>
                <w:rFonts w:ascii="宋体" w:hAnsi="宋体" w:cs="宋体"/>
                <w:color w:val="000000"/>
                <w:kern w:val="0"/>
                <w:sz w:val="20"/>
                <w:szCs w:val="20"/>
              </w:rPr>
            </w:pPr>
          </w:p>
        </w:tc>
        <w:tc>
          <w:tcPr>
            <w:tcW w:w="1373"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975"/>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产出成本</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18"/>
                <w:szCs w:val="18"/>
              </w:rPr>
              <w:t>部门公用经费的控制情况</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良好　</w:t>
            </w:r>
          </w:p>
        </w:tc>
        <w:tc>
          <w:tcPr>
            <w:tcW w:w="237" w:type="pct"/>
            <w:vMerge/>
            <w:tcBorders>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left w:val="nil"/>
              <w:bottom w:val="single" w:sz="4" w:space="0" w:color="auto"/>
              <w:right w:val="nil"/>
            </w:tcBorders>
            <w:noWrap/>
            <w:vAlign w:val="center"/>
          </w:tcPr>
          <w:p w:rsidR="007376BE" w:rsidRDefault="007376BE" w:rsidP="00DB67D5">
            <w:pPr>
              <w:widowControl/>
              <w:jc w:val="center"/>
              <w:rPr>
                <w:rFonts w:ascii="宋体" w:hAnsi="宋体" w:cs="宋体"/>
                <w:color w:val="000000"/>
                <w:kern w:val="0"/>
                <w:sz w:val="20"/>
                <w:szCs w:val="20"/>
              </w:rPr>
            </w:pPr>
          </w:p>
        </w:tc>
        <w:tc>
          <w:tcPr>
            <w:tcW w:w="1373"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675"/>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val="restart"/>
            <w:tcBorders>
              <w:top w:val="nil"/>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经济效益</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履职影响</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厉行节约、坚持减少非刚性支出　</w:t>
            </w:r>
          </w:p>
        </w:tc>
        <w:tc>
          <w:tcPr>
            <w:tcW w:w="237" w:type="pct"/>
            <w:vMerge w:val="restart"/>
            <w:tcBorders>
              <w:top w:val="nil"/>
              <w:left w:val="single" w:sz="4" w:space="0" w:color="auto"/>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7" w:type="pct"/>
            <w:vMerge w:val="restart"/>
            <w:tcBorders>
              <w:top w:val="nil"/>
              <w:left w:val="nil"/>
              <w:right w:val="nil"/>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30　</w:t>
            </w:r>
          </w:p>
          <w:p w:rsidR="007376BE" w:rsidRDefault="007376BE" w:rsidP="00DB67D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73" w:type="pct"/>
            <w:vMerge w:val="restart"/>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w:t>
            </w:r>
            <w:r>
              <w:rPr>
                <w:rFonts w:ascii="宋体" w:hAnsi="宋体" w:cs="宋体" w:hint="eastAsia"/>
                <w:b/>
                <w:bCs/>
                <w:color w:val="000000"/>
                <w:kern w:val="0"/>
                <w:sz w:val="18"/>
                <w:szCs w:val="18"/>
              </w:rPr>
              <w:lastRenderedPageBreak/>
              <w:t>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462" w:type="pct"/>
            <w:vMerge w:val="restart"/>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部门根据实际情况选择指标进行填写，并将其细化为相应的个性化指标。对于效益类指标可从受益对象瞄准度、受益广度和受益深度上进行设计分析。</w:t>
            </w:r>
          </w:p>
        </w:tc>
      </w:tr>
      <w:tr w:rsidR="007376BE" w:rsidTr="007376BE">
        <w:trPr>
          <w:trHeight w:val="630"/>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环境效益　</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环境影响</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F24AB0">
              <w:rPr>
                <w:rFonts w:ascii="宋体" w:hAnsi="宋体" w:cs="宋体" w:hint="eastAsia"/>
                <w:color w:val="000000"/>
                <w:kern w:val="0"/>
                <w:sz w:val="20"/>
                <w:szCs w:val="20"/>
              </w:rPr>
              <w:t>保障不破坏绿色和谐生态环境，切实做到经济环保。</w:t>
            </w:r>
            <w:r>
              <w:rPr>
                <w:rFonts w:ascii="宋体" w:hAnsi="宋体" w:cs="宋体" w:hint="eastAsia"/>
                <w:color w:val="000000"/>
                <w:kern w:val="0"/>
                <w:sz w:val="20"/>
                <w:szCs w:val="20"/>
              </w:rPr>
              <w:t xml:space="preserve">　</w:t>
            </w:r>
          </w:p>
        </w:tc>
        <w:tc>
          <w:tcPr>
            <w:tcW w:w="237"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left w:val="nil"/>
              <w:right w:val="nil"/>
            </w:tcBorders>
            <w:noWrap/>
            <w:vAlign w:val="center"/>
          </w:tcPr>
          <w:p w:rsidR="007376BE" w:rsidRDefault="007376BE" w:rsidP="00DB67D5">
            <w:pPr>
              <w:jc w:val="center"/>
              <w:rPr>
                <w:rFonts w:ascii="宋体" w:hAnsi="宋体" w:cs="宋体"/>
                <w:color w:val="000000"/>
                <w:kern w:val="0"/>
                <w:sz w:val="20"/>
                <w:szCs w:val="20"/>
              </w:rPr>
            </w:pPr>
          </w:p>
        </w:tc>
        <w:tc>
          <w:tcPr>
            <w:tcW w:w="1373"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1129"/>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Pr="009A1F1B">
              <w:rPr>
                <w:rFonts w:ascii="宋体" w:hAnsi="宋体" w:cs="宋体" w:hint="eastAsia"/>
                <w:color w:val="000000"/>
                <w:kern w:val="0"/>
                <w:sz w:val="20"/>
                <w:szCs w:val="20"/>
              </w:rPr>
              <w:t>可持续性影响</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18"/>
                <w:szCs w:val="18"/>
              </w:rPr>
              <w:t>长效机制建设情况</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2023年将延续　</w:t>
            </w:r>
          </w:p>
        </w:tc>
        <w:tc>
          <w:tcPr>
            <w:tcW w:w="237"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left w:val="nil"/>
              <w:right w:val="nil"/>
            </w:tcBorders>
            <w:noWrap/>
            <w:vAlign w:val="center"/>
          </w:tcPr>
          <w:p w:rsidR="007376BE" w:rsidRDefault="007376BE" w:rsidP="00DB67D5">
            <w:pPr>
              <w:jc w:val="center"/>
              <w:rPr>
                <w:rFonts w:ascii="宋体" w:hAnsi="宋体" w:cs="宋体"/>
                <w:color w:val="000000"/>
                <w:kern w:val="0"/>
                <w:sz w:val="20"/>
                <w:szCs w:val="20"/>
              </w:rPr>
            </w:pPr>
          </w:p>
        </w:tc>
        <w:tc>
          <w:tcPr>
            <w:tcW w:w="1373"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7376BE">
        <w:trPr>
          <w:trHeight w:val="675"/>
        </w:trPr>
        <w:tc>
          <w:tcPr>
            <w:tcW w:w="315"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sidRPr="009A1F1B">
              <w:rPr>
                <w:rFonts w:ascii="宋体" w:hAnsi="宋体" w:cs="宋体" w:hint="eastAsia"/>
                <w:color w:val="000000"/>
                <w:kern w:val="0"/>
                <w:sz w:val="20"/>
                <w:szCs w:val="20"/>
              </w:rPr>
              <w:t>服务对象满意度</w:t>
            </w:r>
            <w:r>
              <w:rPr>
                <w:rFonts w:ascii="宋体" w:hAnsi="宋体" w:cs="宋体" w:hint="eastAsia"/>
                <w:color w:val="000000"/>
                <w:kern w:val="0"/>
                <w:sz w:val="20"/>
                <w:szCs w:val="20"/>
              </w:rPr>
              <w:t xml:space="preserve">　</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干警满意程度</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95%　</w:t>
            </w:r>
          </w:p>
        </w:tc>
        <w:tc>
          <w:tcPr>
            <w:tcW w:w="237"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237" w:type="pct"/>
            <w:vMerge/>
            <w:tcBorders>
              <w:left w:val="nil"/>
              <w:bottom w:val="single" w:sz="4" w:space="0" w:color="auto"/>
              <w:right w:val="nil"/>
            </w:tcBorders>
            <w:noWrap/>
            <w:vAlign w:val="center"/>
          </w:tcPr>
          <w:p w:rsidR="007376BE" w:rsidRDefault="007376BE" w:rsidP="00DB67D5">
            <w:pPr>
              <w:widowControl/>
              <w:jc w:val="center"/>
              <w:rPr>
                <w:rFonts w:ascii="宋体" w:hAnsi="宋体" w:cs="宋体"/>
                <w:color w:val="000000"/>
                <w:kern w:val="0"/>
                <w:sz w:val="20"/>
                <w:szCs w:val="20"/>
              </w:rPr>
            </w:pPr>
          </w:p>
        </w:tc>
        <w:tc>
          <w:tcPr>
            <w:tcW w:w="1373"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c>
          <w:tcPr>
            <w:tcW w:w="1462"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p>
        </w:tc>
      </w:tr>
      <w:tr w:rsidR="007376BE" w:rsidTr="00DB67D5">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7376BE" w:rsidTr="007376BE">
        <w:trPr>
          <w:trHeight w:val="702"/>
        </w:trPr>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7" w:type="pct"/>
            <w:tcBorders>
              <w:top w:val="single" w:sz="4" w:space="0" w:color="auto"/>
              <w:left w:val="nil"/>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7" w:type="pct"/>
            <w:tcBorders>
              <w:top w:val="single" w:sz="4" w:space="0" w:color="auto"/>
              <w:left w:val="nil"/>
              <w:bottom w:val="single" w:sz="4" w:space="0" w:color="auto"/>
              <w:right w:val="nil"/>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7376BE" w:rsidTr="007376BE">
        <w:trPr>
          <w:trHeight w:val="1230"/>
        </w:trPr>
        <w:tc>
          <w:tcPr>
            <w:tcW w:w="315"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315" w:type="pct"/>
            <w:vMerge w:val="restar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财务管理相关制度是否</w:t>
            </w:r>
            <w:proofErr w:type="gramStart"/>
            <w:r>
              <w:rPr>
                <w:rFonts w:ascii="宋体" w:hAnsi="宋体" w:cs="宋体" w:hint="eastAsia"/>
                <w:color w:val="000000"/>
                <w:kern w:val="0"/>
                <w:sz w:val="20"/>
                <w:szCs w:val="20"/>
              </w:rPr>
              <w:t xml:space="preserve">健全　</w:t>
            </w:r>
            <w:proofErr w:type="gramEnd"/>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健全</w:t>
            </w:r>
          </w:p>
        </w:tc>
        <w:tc>
          <w:tcPr>
            <w:tcW w:w="237" w:type="pct"/>
            <w:tcBorders>
              <w:top w:val="single" w:sz="4" w:space="0" w:color="auto"/>
              <w:left w:val="nil"/>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7" w:type="pct"/>
            <w:tcBorders>
              <w:top w:val="single" w:sz="4" w:space="0" w:color="auto"/>
              <w:left w:val="nil"/>
              <w:bottom w:val="single" w:sz="4" w:space="0" w:color="auto"/>
              <w:right w:val="nil"/>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7376BE" w:rsidTr="007376BE">
        <w:trPr>
          <w:trHeight w:val="2220"/>
        </w:trPr>
        <w:tc>
          <w:tcPr>
            <w:tcW w:w="315" w:type="pct"/>
            <w:vMerge/>
            <w:tcBorders>
              <w:top w:val="single" w:sz="4" w:space="0" w:color="auto"/>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资金使用是否合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 xml:space="preserve">　</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 xml:space="preserve">　</w:t>
            </w:r>
          </w:p>
        </w:tc>
        <w:tc>
          <w:tcPr>
            <w:tcW w:w="237" w:type="pct"/>
            <w:tcBorders>
              <w:top w:val="single" w:sz="4" w:space="0" w:color="auto"/>
              <w:left w:val="nil"/>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7" w:type="pct"/>
            <w:tcBorders>
              <w:top w:val="single" w:sz="4" w:space="0" w:color="auto"/>
              <w:left w:val="nil"/>
              <w:bottom w:val="single" w:sz="4" w:space="0" w:color="auto"/>
              <w:right w:val="nil"/>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7376BE" w:rsidTr="007376BE">
        <w:trPr>
          <w:trHeight w:val="1602"/>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vMerge/>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会计基础信息是否</w:t>
            </w:r>
            <w:proofErr w:type="gramStart"/>
            <w:r>
              <w:rPr>
                <w:rFonts w:ascii="宋体" w:hAnsi="宋体" w:cs="宋体" w:hint="eastAsia"/>
                <w:color w:val="000000"/>
                <w:kern w:val="0"/>
                <w:sz w:val="20"/>
                <w:szCs w:val="20"/>
              </w:rPr>
              <w:t xml:space="preserve">完善　</w:t>
            </w:r>
            <w:proofErr w:type="gramEnd"/>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 xml:space="preserve">完善　</w:t>
            </w:r>
            <w:proofErr w:type="gramEnd"/>
          </w:p>
        </w:tc>
        <w:tc>
          <w:tcPr>
            <w:tcW w:w="237" w:type="pct"/>
            <w:tcBorders>
              <w:top w:val="nil"/>
              <w:left w:val="nil"/>
              <w:bottom w:val="single" w:sz="4" w:space="0" w:color="auto"/>
              <w:right w:val="single" w:sz="4" w:space="0" w:color="auto"/>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7" w:type="pct"/>
            <w:tcBorders>
              <w:top w:val="nil"/>
              <w:left w:val="nil"/>
              <w:bottom w:val="single" w:sz="4" w:space="0" w:color="auto"/>
              <w:right w:val="nil"/>
            </w:tcBorders>
            <w:noWrap/>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1373" w:type="pct"/>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462" w:type="pct"/>
            <w:tcBorders>
              <w:top w:val="nil"/>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7376BE" w:rsidTr="007376BE">
        <w:trPr>
          <w:trHeight w:val="2816"/>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资产管理是否规范</w:t>
            </w:r>
          </w:p>
        </w:tc>
        <w:tc>
          <w:tcPr>
            <w:tcW w:w="35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规范</w:t>
            </w:r>
          </w:p>
        </w:tc>
        <w:tc>
          <w:tcPr>
            <w:tcW w:w="237"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7"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462"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7376BE" w:rsidTr="007376BE">
        <w:trPr>
          <w:trHeight w:val="1750"/>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绩效目标是否偏离、汇总是</w:t>
            </w:r>
            <w:proofErr w:type="gramStart"/>
            <w:r>
              <w:rPr>
                <w:rFonts w:ascii="宋体" w:hAnsi="宋体" w:cs="宋体" w:hint="eastAsia"/>
                <w:color w:val="000000"/>
                <w:kern w:val="0"/>
                <w:sz w:val="20"/>
                <w:szCs w:val="20"/>
              </w:rPr>
              <w:t>够及时</w:t>
            </w:r>
            <w:proofErr w:type="gramEnd"/>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及时、不偏离</w:t>
            </w:r>
          </w:p>
        </w:tc>
        <w:tc>
          <w:tcPr>
            <w:tcW w:w="237"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7" w:type="pct"/>
            <w:tcBorders>
              <w:top w:val="single" w:sz="4" w:space="0" w:color="auto"/>
              <w:left w:val="nil"/>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7376BE" w:rsidTr="007376BE">
        <w:trPr>
          <w:trHeight w:val="394"/>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707" w:type="pct"/>
            <w:gridSpan w:val="2"/>
            <w:tcBorders>
              <w:top w:val="single" w:sz="4" w:space="0" w:color="auto"/>
              <w:left w:val="nil"/>
              <w:bottom w:val="single" w:sz="4" w:space="0" w:color="auto"/>
              <w:right w:val="single" w:sz="4" w:space="0" w:color="000000"/>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w:t>
            </w:r>
          </w:p>
        </w:tc>
        <w:tc>
          <w:tcPr>
            <w:tcW w:w="353"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237"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7"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7376BE" w:rsidTr="007376BE">
        <w:trPr>
          <w:trHeight w:val="1365"/>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vAlign w:val="center"/>
          </w:tcPr>
          <w:p w:rsidR="007376BE" w:rsidRDefault="007376BE" w:rsidP="00DB67D5">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707" w:type="pct"/>
            <w:gridSpan w:val="2"/>
            <w:tcBorders>
              <w:top w:val="single" w:sz="4" w:space="0" w:color="auto"/>
              <w:left w:val="nil"/>
              <w:bottom w:val="single" w:sz="4" w:space="0" w:color="auto"/>
              <w:right w:val="single" w:sz="4" w:space="0" w:color="000000"/>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0.03%</w:t>
            </w:r>
          </w:p>
        </w:tc>
        <w:tc>
          <w:tcPr>
            <w:tcW w:w="353"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0.22%　</w:t>
            </w:r>
          </w:p>
        </w:tc>
        <w:tc>
          <w:tcPr>
            <w:tcW w:w="237"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7" w:type="pct"/>
            <w:tcBorders>
              <w:top w:val="nil"/>
              <w:left w:val="nil"/>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3.6　</w:t>
            </w:r>
          </w:p>
        </w:tc>
        <w:tc>
          <w:tcPr>
            <w:tcW w:w="1373" w:type="pct"/>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462" w:type="pct"/>
            <w:tcBorders>
              <w:top w:val="single" w:sz="4" w:space="0" w:color="auto"/>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7376BE" w:rsidTr="007376BE">
        <w:trPr>
          <w:trHeight w:val="90"/>
        </w:trPr>
        <w:tc>
          <w:tcPr>
            <w:tcW w:w="315" w:type="pct"/>
            <w:vMerge/>
            <w:tcBorders>
              <w:top w:val="nil"/>
              <w:left w:val="single" w:sz="4" w:space="0" w:color="auto"/>
              <w:bottom w:val="single" w:sz="4" w:space="0" w:color="000000"/>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p>
        </w:tc>
        <w:tc>
          <w:tcPr>
            <w:tcW w:w="315" w:type="pct"/>
            <w:tcBorders>
              <w:top w:val="nil"/>
              <w:left w:val="nil"/>
              <w:bottom w:val="single" w:sz="4" w:space="0" w:color="auto"/>
              <w:right w:val="single" w:sz="4" w:space="0" w:color="auto"/>
            </w:tcBorders>
            <w:vAlign w:val="center"/>
          </w:tcPr>
          <w:p w:rsidR="007376BE" w:rsidRDefault="007376BE" w:rsidP="00DB67D5">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707" w:type="pct"/>
            <w:gridSpan w:val="2"/>
            <w:tcBorders>
              <w:top w:val="single" w:sz="4" w:space="0" w:color="auto"/>
              <w:left w:val="nil"/>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2.29%</w:t>
            </w:r>
          </w:p>
        </w:tc>
        <w:tc>
          <w:tcPr>
            <w:tcW w:w="353" w:type="pct"/>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9.61%</w:t>
            </w:r>
          </w:p>
        </w:tc>
        <w:tc>
          <w:tcPr>
            <w:tcW w:w="237"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7" w:type="pct"/>
            <w:tcBorders>
              <w:top w:val="nil"/>
              <w:left w:val="nil"/>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3.6　</w:t>
            </w:r>
          </w:p>
        </w:tc>
        <w:tc>
          <w:tcPr>
            <w:tcW w:w="1373" w:type="pct"/>
            <w:tcBorders>
              <w:top w:val="nil"/>
              <w:left w:val="single" w:sz="4" w:space="0" w:color="auto"/>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462" w:type="pct"/>
            <w:tcBorders>
              <w:top w:val="nil"/>
              <w:left w:val="nil"/>
              <w:bottom w:val="single" w:sz="4" w:space="0" w:color="auto"/>
              <w:right w:val="single" w:sz="4" w:space="0" w:color="auto"/>
            </w:tcBorders>
            <w:vAlign w:val="center"/>
          </w:tcPr>
          <w:p w:rsidR="007376BE" w:rsidRDefault="007376BE" w:rsidP="00DB67D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7376BE" w:rsidTr="007376BE">
        <w:trPr>
          <w:trHeight w:val="404"/>
        </w:trPr>
        <w:tc>
          <w:tcPr>
            <w:tcW w:w="1690" w:type="pct"/>
            <w:gridSpan w:val="5"/>
            <w:tcBorders>
              <w:top w:val="single" w:sz="4" w:space="0" w:color="auto"/>
              <w:left w:val="single" w:sz="4" w:space="0" w:color="auto"/>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7" w:type="pct"/>
            <w:tcBorders>
              <w:top w:val="nil"/>
              <w:left w:val="nil"/>
              <w:bottom w:val="single" w:sz="4" w:space="0" w:color="auto"/>
              <w:right w:val="single" w:sz="4" w:space="0" w:color="auto"/>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7" w:type="pct"/>
            <w:tcBorders>
              <w:top w:val="nil"/>
              <w:left w:val="nil"/>
              <w:bottom w:val="single" w:sz="4" w:space="0" w:color="auto"/>
              <w:right w:val="nil"/>
            </w:tcBorders>
            <w:vAlign w:val="center"/>
          </w:tcPr>
          <w:p w:rsidR="007376BE" w:rsidRDefault="007376BE" w:rsidP="00DB67D5">
            <w:pPr>
              <w:widowControl/>
              <w:jc w:val="center"/>
              <w:rPr>
                <w:rFonts w:ascii="宋体" w:hAnsi="宋体" w:cs="宋体"/>
                <w:color w:val="000000"/>
                <w:kern w:val="0"/>
                <w:sz w:val="20"/>
                <w:szCs w:val="20"/>
              </w:rPr>
            </w:pPr>
            <w:r>
              <w:rPr>
                <w:rFonts w:ascii="宋体" w:hAnsi="宋体" w:cs="宋体" w:hint="eastAsia"/>
                <w:color w:val="000000"/>
                <w:kern w:val="0"/>
                <w:sz w:val="20"/>
                <w:szCs w:val="20"/>
              </w:rPr>
              <w:t>99.2</w:t>
            </w:r>
          </w:p>
        </w:tc>
        <w:tc>
          <w:tcPr>
            <w:tcW w:w="2835" w:type="pct"/>
            <w:gridSpan w:val="2"/>
            <w:tcBorders>
              <w:top w:val="single" w:sz="4" w:space="0" w:color="auto"/>
              <w:left w:val="single" w:sz="4" w:space="0" w:color="auto"/>
              <w:bottom w:val="single" w:sz="4" w:space="0" w:color="auto"/>
              <w:right w:val="single" w:sz="4" w:space="0" w:color="000000"/>
            </w:tcBorders>
            <w:vAlign w:val="center"/>
          </w:tcPr>
          <w:p w:rsidR="007376BE" w:rsidRDefault="007376BE" w:rsidP="00DB67D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DB41C6" w:rsidRDefault="00DB41C6" w:rsidP="007376BE">
      <w:pPr>
        <w:rPr>
          <w:rFonts w:ascii="仿宋_GB2312" w:eastAsia="仿宋_GB2312"/>
          <w:sz w:val="28"/>
          <w:szCs w:val="28"/>
        </w:rPr>
      </w:pPr>
    </w:p>
    <w:sectPr w:rsidR="00DB41C6" w:rsidSect="007376BE">
      <w:pgSz w:w="16838" w:h="11906" w:orient="landscape"/>
      <w:pgMar w:top="1588" w:right="2098" w:bottom="1474" w:left="1985"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B75" w:rsidRDefault="004E5B75" w:rsidP="007376BE">
      <w:r>
        <w:separator/>
      </w:r>
    </w:p>
  </w:endnote>
  <w:endnote w:type="continuationSeparator" w:id="0">
    <w:p w:rsidR="004E5B75" w:rsidRDefault="004E5B75" w:rsidP="0073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B75" w:rsidRDefault="004E5B75" w:rsidP="007376BE">
      <w:r>
        <w:separator/>
      </w:r>
    </w:p>
  </w:footnote>
  <w:footnote w:type="continuationSeparator" w:id="0">
    <w:p w:rsidR="004E5B75" w:rsidRDefault="004E5B75" w:rsidP="007376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OGY3Nzk0NmI5ZDdmYTAzYWQxZDNmZTFlYzFiZTEifQ=="/>
  </w:docVars>
  <w:rsids>
    <w:rsidRoot w:val="00D06FD3"/>
    <w:rsid w:val="0007429E"/>
    <w:rsid w:val="0009105D"/>
    <w:rsid w:val="000D037E"/>
    <w:rsid w:val="00114C56"/>
    <w:rsid w:val="00123B99"/>
    <w:rsid w:val="00192BA6"/>
    <w:rsid w:val="001E4024"/>
    <w:rsid w:val="002137DC"/>
    <w:rsid w:val="0028614A"/>
    <w:rsid w:val="00291CE2"/>
    <w:rsid w:val="00291EE5"/>
    <w:rsid w:val="002A2FDA"/>
    <w:rsid w:val="002D0067"/>
    <w:rsid w:val="00323B48"/>
    <w:rsid w:val="003C6993"/>
    <w:rsid w:val="004866E4"/>
    <w:rsid w:val="004B6970"/>
    <w:rsid w:val="004E48F4"/>
    <w:rsid w:val="004E5B75"/>
    <w:rsid w:val="00564F6C"/>
    <w:rsid w:val="005B1EDC"/>
    <w:rsid w:val="005B3408"/>
    <w:rsid w:val="005E0511"/>
    <w:rsid w:val="00640059"/>
    <w:rsid w:val="006A1F97"/>
    <w:rsid w:val="006A647C"/>
    <w:rsid w:val="00701A42"/>
    <w:rsid w:val="007376BE"/>
    <w:rsid w:val="007E0306"/>
    <w:rsid w:val="007E164C"/>
    <w:rsid w:val="007E2EF3"/>
    <w:rsid w:val="00814F2E"/>
    <w:rsid w:val="008216B4"/>
    <w:rsid w:val="00874055"/>
    <w:rsid w:val="008B22E7"/>
    <w:rsid w:val="008B34B8"/>
    <w:rsid w:val="008C48DB"/>
    <w:rsid w:val="00990FD1"/>
    <w:rsid w:val="00A22755"/>
    <w:rsid w:val="00A808B2"/>
    <w:rsid w:val="00A865E4"/>
    <w:rsid w:val="00AD6B42"/>
    <w:rsid w:val="00B232A0"/>
    <w:rsid w:val="00B31D72"/>
    <w:rsid w:val="00B477F3"/>
    <w:rsid w:val="00B554DA"/>
    <w:rsid w:val="00C475BE"/>
    <w:rsid w:val="00C56364"/>
    <w:rsid w:val="00C740BB"/>
    <w:rsid w:val="00CB6D01"/>
    <w:rsid w:val="00CD26D7"/>
    <w:rsid w:val="00D06FD3"/>
    <w:rsid w:val="00D67817"/>
    <w:rsid w:val="00D76BE6"/>
    <w:rsid w:val="00D93C4A"/>
    <w:rsid w:val="00DB41C6"/>
    <w:rsid w:val="00E1561D"/>
    <w:rsid w:val="00E43978"/>
    <w:rsid w:val="00E67287"/>
    <w:rsid w:val="00E80DD2"/>
    <w:rsid w:val="00EB5972"/>
    <w:rsid w:val="00EC5911"/>
    <w:rsid w:val="00FB66D4"/>
    <w:rsid w:val="00FD3621"/>
    <w:rsid w:val="1D38023A"/>
    <w:rsid w:val="637643C5"/>
    <w:rsid w:val="67E03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uiPriority w:val="99"/>
    <w:semiHidden/>
    <w:rPr>
      <w:rFonts w:ascii="Times New Roman" w:eastAsia="宋体" w:hAnsi="Times New Roman" w:cs="Times New Roman"/>
      <w:kern w:val="2"/>
      <w:sz w:val="18"/>
      <w:szCs w:val="18"/>
    </w:rPr>
  </w:style>
  <w:style w:type="character" w:customStyle="1" w:styleId="Char1">
    <w:name w:val="页眉 Char"/>
    <w:basedOn w:val="a1"/>
    <w:link w:val="a6"/>
    <w:uiPriority w:val="99"/>
    <w:qFormat/>
    <w:rPr>
      <w:rFonts w:ascii="Times New Roman" w:eastAsia="宋体" w:hAnsi="Times New Roman" w:cs="Times New Roman"/>
      <w:kern w:val="2"/>
      <w:sz w:val="18"/>
      <w:szCs w:val="18"/>
    </w:rPr>
  </w:style>
  <w:style w:type="character" w:customStyle="1" w:styleId="Char0">
    <w:name w:val="页脚 Char"/>
    <w:basedOn w:val="a1"/>
    <w:link w:val="a5"/>
    <w:uiPriority w:val="99"/>
    <w:qFormat/>
    <w:rPr>
      <w:rFonts w:ascii="Times New Roman" w:eastAsia="宋体" w:hAnsi="Times New Roman" w:cs="Times New Roman"/>
      <w:kern w:val="2"/>
      <w:sz w:val="18"/>
      <w:szCs w:val="18"/>
    </w:rPr>
  </w:style>
  <w:style w:type="paragraph" w:customStyle="1" w:styleId="1">
    <w:name w:val="修订1"/>
    <w:hidden/>
    <w:uiPriority w:val="99"/>
    <w:unhideWhenUsed/>
    <w:qFormat/>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uiPriority w:val="99"/>
    <w:semiHidden/>
    <w:rPr>
      <w:rFonts w:ascii="Times New Roman" w:eastAsia="宋体" w:hAnsi="Times New Roman" w:cs="Times New Roman"/>
      <w:kern w:val="2"/>
      <w:sz w:val="18"/>
      <w:szCs w:val="18"/>
    </w:rPr>
  </w:style>
  <w:style w:type="character" w:customStyle="1" w:styleId="Char1">
    <w:name w:val="页眉 Char"/>
    <w:basedOn w:val="a1"/>
    <w:link w:val="a6"/>
    <w:uiPriority w:val="99"/>
    <w:qFormat/>
    <w:rPr>
      <w:rFonts w:ascii="Times New Roman" w:eastAsia="宋体" w:hAnsi="Times New Roman" w:cs="Times New Roman"/>
      <w:kern w:val="2"/>
      <w:sz w:val="18"/>
      <w:szCs w:val="18"/>
    </w:rPr>
  </w:style>
  <w:style w:type="character" w:customStyle="1" w:styleId="Char0">
    <w:name w:val="页脚 Char"/>
    <w:basedOn w:val="a1"/>
    <w:link w:val="a5"/>
    <w:uiPriority w:val="99"/>
    <w:qFormat/>
    <w:rPr>
      <w:rFonts w:ascii="Times New Roman" w:eastAsia="宋体" w:hAnsi="Times New Roman" w:cs="Times New Roman"/>
      <w:kern w:val="2"/>
      <w:sz w:val="18"/>
      <w:szCs w:val="18"/>
    </w:rPr>
  </w:style>
  <w:style w:type="paragraph" w:customStyle="1" w:styleId="1">
    <w:name w:val="修订1"/>
    <w:hidden/>
    <w:uiPriority w:val="99"/>
    <w:unhideWhenUsed/>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8D6B2B-D79B-4695-9007-D08F999EE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14</Pages>
  <Words>1050</Words>
  <Characters>5989</Characters>
  <Application>Microsoft Office Word</Application>
  <DocSecurity>0</DocSecurity>
  <Lines>49</Lines>
  <Paragraphs>14</Paragraphs>
  <ScaleCrop>false</ScaleCrop>
  <Company>Microsoft</Company>
  <LinksUpToDate>false</LinksUpToDate>
  <CharactersWithSpaces>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30</cp:revision>
  <cp:lastPrinted>2022-05-16T09:27:00Z</cp:lastPrinted>
  <dcterms:created xsi:type="dcterms:W3CDTF">2022-05-11T08:51:00Z</dcterms:created>
  <dcterms:modified xsi:type="dcterms:W3CDTF">2023-06-07T07:14:00Z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91019FD67BE2444394DA291D3551C7C9</vt:lpwstr>
  </property>
</Properties>
</file>