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附件</w:t>
      </w:r>
    </w:p>
    <w:tbl>
      <w:tblPr>
        <w:tblStyle w:val="5"/>
        <w:tblW w:w="14061" w:type="dxa"/>
        <w:tblInd w:w="113" w:type="dxa"/>
        <w:tblLayout w:type="fixed"/>
        <w:tblCellMar>
          <w:top w:w="0" w:type="dxa"/>
          <w:left w:w="108" w:type="dxa"/>
          <w:bottom w:w="0" w:type="dxa"/>
          <w:right w:w="108" w:type="dxa"/>
        </w:tblCellMar>
      </w:tblPr>
      <w:tblGrid>
        <w:gridCol w:w="1043"/>
        <w:gridCol w:w="1079"/>
        <w:gridCol w:w="1873"/>
        <w:gridCol w:w="2203"/>
        <w:gridCol w:w="3864"/>
        <w:gridCol w:w="687"/>
        <w:gridCol w:w="850"/>
        <w:gridCol w:w="2462"/>
      </w:tblGrid>
      <w:tr>
        <w:tblPrEx>
          <w:tblLayout w:type="fixed"/>
          <w:tblCellMar>
            <w:top w:w="0" w:type="dxa"/>
            <w:left w:w="108" w:type="dxa"/>
            <w:bottom w:w="0" w:type="dxa"/>
            <w:right w:w="108" w:type="dxa"/>
          </w:tblCellMar>
        </w:tblPrEx>
        <w:trPr>
          <w:trHeight w:val="499" w:hRule="atLeast"/>
        </w:trPr>
        <w:tc>
          <w:tcPr>
            <w:tcW w:w="14061" w:type="dxa"/>
            <w:gridSpan w:val="8"/>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202</w:t>
            </w:r>
            <w:r>
              <w:rPr>
                <w:rFonts w:hint="eastAsia" w:ascii="方正小标宋简体" w:hAnsi="黑体" w:eastAsia="方正小标宋简体" w:cs="宋体"/>
                <w:color w:val="000000"/>
                <w:kern w:val="0"/>
                <w:sz w:val="44"/>
                <w:szCs w:val="44"/>
                <w:lang w:val="en-US" w:eastAsia="zh-CN"/>
              </w:rPr>
              <w:t>2</w:t>
            </w:r>
            <w:r>
              <w:rPr>
                <w:rFonts w:hint="eastAsia" w:ascii="方正小标宋简体" w:hAnsi="黑体" w:eastAsia="方正小标宋简体" w:cs="宋体"/>
                <w:color w:val="000000"/>
                <w:kern w:val="0"/>
                <w:sz w:val="44"/>
                <w:szCs w:val="44"/>
              </w:rPr>
              <w:t>年部门整体绩效评价指标体系评分表</w:t>
            </w:r>
          </w:p>
        </w:tc>
      </w:tr>
      <w:tr>
        <w:tblPrEx>
          <w:tblLayout w:type="fixed"/>
          <w:tblCellMar>
            <w:top w:w="0" w:type="dxa"/>
            <w:left w:w="108" w:type="dxa"/>
            <w:bottom w:w="0" w:type="dxa"/>
            <w:right w:w="108" w:type="dxa"/>
          </w:tblCellMar>
        </w:tblPrEx>
        <w:trPr>
          <w:trHeight w:val="90" w:hRule="atLeast"/>
        </w:trPr>
        <w:tc>
          <w:tcPr>
            <w:tcW w:w="14061" w:type="dxa"/>
            <w:gridSpan w:val="8"/>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Layout w:type="fixed"/>
          <w:tblCellMar>
            <w:top w:w="0" w:type="dxa"/>
            <w:left w:w="108" w:type="dxa"/>
            <w:bottom w:w="0" w:type="dxa"/>
            <w:right w:w="108" w:type="dxa"/>
          </w:tblCellMar>
        </w:tblPrEx>
        <w:trPr>
          <w:trHeight w:val="90" w:hRule="atLeast"/>
        </w:trPr>
        <w:tc>
          <w:tcPr>
            <w:tcW w:w="10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Layout w:type="fixed"/>
          <w:tblCellMar>
            <w:top w:w="0" w:type="dxa"/>
            <w:left w:w="108" w:type="dxa"/>
            <w:bottom w:w="0" w:type="dxa"/>
            <w:right w:w="108" w:type="dxa"/>
          </w:tblCellMar>
        </w:tblPrEx>
        <w:trPr>
          <w:trHeight w:val="90" w:hRule="atLeast"/>
        </w:trPr>
        <w:tc>
          <w:tcPr>
            <w:tcW w:w="10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80,884.88</w:t>
            </w:r>
          </w:p>
        </w:tc>
        <w:tc>
          <w:tcPr>
            <w:tcW w:w="220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63,817.19</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78.90%</w:t>
            </w:r>
          </w:p>
        </w:tc>
        <w:tc>
          <w:tcPr>
            <w:tcW w:w="687"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highlight w:val="red"/>
              </w:rPr>
            </w:pPr>
            <w:r>
              <w:rPr>
                <w:rFonts w:hint="eastAsia" w:ascii="宋体" w:hAnsi="宋体" w:cs="宋体"/>
                <w:color w:val="000000"/>
                <w:kern w:val="0"/>
                <w:sz w:val="20"/>
                <w:szCs w:val="20"/>
                <w:highlight w:val="none"/>
              </w:rPr>
              <w:t>20</w:t>
            </w:r>
          </w:p>
        </w:tc>
        <w:tc>
          <w:tcPr>
            <w:tcW w:w="85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15.78</w:t>
            </w:r>
            <w:r>
              <w:rPr>
                <w:rFonts w:hint="eastAsia" w:ascii="宋体" w:hAnsi="宋体" w:cs="宋体"/>
                <w:color w:val="000000"/>
                <w:kern w:val="0"/>
                <w:sz w:val="20"/>
                <w:szCs w:val="20"/>
                <w:highlight w:val="none"/>
              </w:rPr>
              <w:t>　</w:t>
            </w:r>
          </w:p>
        </w:tc>
        <w:tc>
          <w:tcPr>
            <w:tcW w:w="2462"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该项得分=执行数/预算数*20分</w:t>
            </w:r>
          </w:p>
        </w:tc>
      </w:tr>
      <w:tr>
        <w:tblPrEx>
          <w:tblLayout w:type="fixed"/>
          <w:tblCellMar>
            <w:top w:w="0" w:type="dxa"/>
            <w:left w:w="108" w:type="dxa"/>
            <w:bottom w:w="0" w:type="dxa"/>
            <w:right w:w="108" w:type="dxa"/>
          </w:tblCellMar>
        </w:tblPrEx>
        <w:trPr>
          <w:trHeight w:val="9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25,202.4</w:t>
            </w:r>
            <w:r>
              <w:rPr>
                <w:rFonts w:hint="eastAsia" w:ascii="宋体" w:hAnsi="宋体" w:cs="宋体"/>
                <w:color w:val="000000"/>
                <w:kern w:val="0"/>
                <w:sz w:val="20"/>
                <w:szCs w:val="20"/>
                <w:lang w:val="en-US" w:eastAsia="zh-CN"/>
              </w:rPr>
              <w:t>6</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19,786.2</w:t>
            </w:r>
            <w:r>
              <w:rPr>
                <w:rFonts w:hint="eastAsia" w:ascii="宋体" w:hAnsi="宋体" w:cs="宋体"/>
                <w:color w:val="000000"/>
                <w:kern w:val="0"/>
                <w:sz w:val="20"/>
                <w:szCs w:val="20"/>
                <w:lang w:val="en-US" w:eastAsia="zh-CN"/>
              </w:rPr>
              <w:t>5</w:t>
            </w:r>
          </w:p>
        </w:tc>
        <w:tc>
          <w:tcPr>
            <w:tcW w:w="386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9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55,682.4</w:t>
            </w:r>
            <w:r>
              <w:rPr>
                <w:rFonts w:hint="eastAsia" w:ascii="宋体" w:hAnsi="宋体" w:cs="宋体"/>
                <w:color w:val="000000"/>
                <w:kern w:val="0"/>
                <w:sz w:val="20"/>
                <w:szCs w:val="20"/>
                <w:lang w:val="en-US" w:eastAsia="zh-CN"/>
              </w:rPr>
              <w:t>3</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44,030.9</w:t>
            </w:r>
            <w:r>
              <w:rPr>
                <w:rFonts w:hint="eastAsia" w:ascii="宋体" w:hAnsi="宋体" w:cs="宋体"/>
                <w:color w:val="000000"/>
                <w:kern w:val="0"/>
                <w:sz w:val="20"/>
                <w:szCs w:val="20"/>
                <w:lang w:val="en-US" w:eastAsia="zh-CN"/>
              </w:rPr>
              <w:t>5</w:t>
            </w:r>
          </w:p>
        </w:tc>
        <w:tc>
          <w:tcPr>
            <w:tcW w:w="38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9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w:t>
            </w:r>
          </w:p>
        </w:tc>
        <w:tc>
          <w:tcPr>
            <w:tcW w:w="38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90" w:hRule="atLeast"/>
        </w:trPr>
        <w:tc>
          <w:tcPr>
            <w:tcW w:w="14061" w:type="dxa"/>
            <w:gridSpan w:val="8"/>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Layout w:type="fixed"/>
          <w:tblCellMar>
            <w:top w:w="0" w:type="dxa"/>
            <w:left w:w="108" w:type="dxa"/>
            <w:bottom w:w="0" w:type="dxa"/>
            <w:right w:w="108" w:type="dxa"/>
          </w:tblCellMar>
        </w:tblPrEx>
        <w:trPr>
          <w:trHeight w:val="90" w:hRule="atLeast"/>
        </w:trPr>
        <w:tc>
          <w:tcPr>
            <w:tcW w:w="10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评分标准</w:t>
            </w:r>
          </w:p>
        </w:tc>
      </w:tr>
      <w:tr>
        <w:tblPrEx>
          <w:tblLayout w:type="fixed"/>
          <w:tblCellMar>
            <w:top w:w="0" w:type="dxa"/>
            <w:left w:w="108" w:type="dxa"/>
            <w:bottom w:w="0" w:type="dxa"/>
            <w:right w:w="108" w:type="dxa"/>
          </w:tblCellMar>
        </w:tblPrEx>
        <w:trPr>
          <w:trHeight w:val="1321" w:hRule="atLeast"/>
        </w:trPr>
        <w:tc>
          <w:tcPr>
            <w:tcW w:w="10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107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187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rPr>
              <w:t>演出运营</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新制作剧目产品/自制剧目复排数量≥25部</w:t>
            </w:r>
            <w:r>
              <w:rPr>
                <w:rFonts w:hint="eastAsia" w:ascii="宋体" w:hAnsi="宋体" w:cs="宋体"/>
                <w:color w:val="000000"/>
                <w:kern w:val="0"/>
                <w:sz w:val="20"/>
                <w:szCs w:val="20"/>
                <w:lang w:eastAsia="zh-CN"/>
              </w:rPr>
              <w:t>。</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共完成16个剧目，其中</w:t>
            </w:r>
            <w:r>
              <w:rPr>
                <w:rFonts w:hint="eastAsia" w:ascii="宋体" w:hAnsi="宋体" w:cs="宋体"/>
                <w:color w:val="000000"/>
                <w:kern w:val="0"/>
                <w:sz w:val="20"/>
                <w:szCs w:val="20"/>
              </w:rPr>
              <w:t>新排剧目完成4个剧目；复排剧目完成12个剧目。</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原因：因为疫情影响及工作调整，部分工作未按照年初计划完成。</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措施：加强对疫情的研判及项目执行力度，如出现无法执行等情况，及时调整预算及绩效目标申报表。随着疫情好转，下年度加大文化输出力度，给观众带来更多的剧目演出。</w:t>
            </w:r>
          </w:p>
        </w:tc>
        <w:tc>
          <w:tcPr>
            <w:tcW w:w="687"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s="宋体"/>
                <w:color w:val="000000"/>
                <w:kern w:val="0"/>
                <w:sz w:val="20"/>
                <w:szCs w:val="20"/>
                <w:highlight w:val="red"/>
                <w:lang w:val="en-US"/>
              </w:rPr>
            </w:pPr>
            <w:r>
              <w:rPr>
                <w:rFonts w:hint="eastAsia" w:ascii="宋体" w:hAnsi="宋体" w:cs="宋体"/>
                <w:color w:val="000000"/>
                <w:kern w:val="0"/>
                <w:sz w:val="20"/>
                <w:szCs w:val="20"/>
                <w:highlight w:val="none"/>
                <w:lang w:val="en-US" w:eastAsia="zh-CN"/>
              </w:rPr>
              <w:t>0.64</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2928"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艺术教育交流</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录制舞台艺术电影数量≥2部</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完成1部舞台艺术电影《永不落幕的舞台》录制工作。</w:t>
            </w:r>
          </w:p>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原因：受疫情影响，原计划下半年录制的舞台艺术电影取消录制。</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措施：加强对疫情的研判及项目执行力度，如出现无法执行等情况，及时调整预算及绩效目标申报表。随着疫情好转，下年度加大文化输出力度，给观众带来更多的艺术体验。</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s="宋体"/>
                <w:color w:val="000000"/>
                <w:kern w:val="0"/>
                <w:sz w:val="20"/>
                <w:szCs w:val="20"/>
                <w:highlight w:val="red"/>
                <w:lang w:val="en-US"/>
              </w:rPr>
            </w:pPr>
            <w:r>
              <w:rPr>
                <w:rFonts w:hint="eastAsia" w:ascii="宋体" w:hAnsi="宋体" w:cs="宋体"/>
                <w:color w:val="000000"/>
                <w:kern w:val="0"/>
                <w:sz w:val="20"/>
                <w:szCs w:val="20"/>
                <w:highlight w:val="none"/>
                <w:lang w:val="en-US" w:eastAsia="zh-CN"/>
              </w:rPr>
              <w:t>0.5</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1046"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艺术教育交流</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舞台艺术电影后期制作数量≥1部</w:t>
            </w:r>
          </w:p>
        </w:tc>
        <w:tc>
          <w:tcPr>
            <w:tcW w:w="386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sz w:val="20"/>
                <w:szCs w:val="20"/>
              </w:rPr>
            </w:pPr>
            <w:r>
              <w:rPr>
                <w:rFonts w:hint="eastAsia" w:ascii="宋体" w:hAnsi="宋体" w:cs="宋体"/>
                <w:color w:val="000000"/>
                <w:kern w:val="0"/>
                <w:sz w:val="20"/>
                <w:szCs w:val="20"/>
              </w:rPr>
              <w:t>已完成《林则徐》《党的女儿》2部电影后期制作。</w:t>
            </w:r>
            <w:r>
              <w:rPr>
                <w:rFonts w:hint="eastAsia" w:ascii="宋体" w:hAnsi="宋体" w:cs="宋体"/>
                <w:color w:val="000000" w:themeColor="text1"/>
                <w:kern w:val="0"/>
                <w:sz w:val="20"/>
                <w:szCs w:val="20"/>
                <w14:textFill>
                  <w14:solidFill>
                    <w14:schemeClr w14:val="tx1"/>
                  </w14:solidFill>
                </w14:textFill>
              </w:rPr>
              <w:t>　</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9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艺术教育交流</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开展国际文化交流活动次数≥70次</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通过开展国际交往活动，举办文化交流活动78次，签续约战略合作伙伴数量4个。</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highlight w:val="red"/>
              </w:rPr>
            </w:pPr>
            <w:r>
              <w:rPr>
                <w:rFonts w:hint="eastAsia" w:ascii="宋体" w:hAnsi="宋体" w:cs="宋体"/>
                <w:color w:val="000000"/>
                <w:kern w:val="0"/>
                <w:sz w:val="20"/>
                <w:szCs w:val="20"/>
                <w:highlight w:val="none"/>
                <w:lang w:val="en-US" w:eastAsia="zh-CN"/>
              </w:rPr>
              <w:t>3</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1569"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rPr>
            </w:pPr>
            <w:r>
              <w:rPr>
                <w:rFonts w:hint="eastAsia" w:ascii="宋体" w:hAnsi="宋体" w:cs="宋体"/>
                <w:color w:val="000000"/>
                <w:kern w:val="0"/>
                <w:sz w:val="20"/>
                <w:szCs w:val="20"/>
              </w:rPr>
              <w:t>艺术教育交流</w:t>
            </w:r>
            <w:r>
              <w:rPr>
                <w:rFonts w:hint="eastAsia" w:ascii="宋体" w:hAnsi="宋体" w:cs="宋体"/>
                <w:color w:val="000000"/>
                <w:kern w:val="0"/>
                <w:sz w:val="20"/>
                <w:szCs w:val="20"/>
                <w:lang w:eastAsia="zh-CN"/>
              </w:rPr>
              <w:t>：组织2022国家大剧院国际歌剧电影展，舞台艺术电影常态化放映等展映推广活动≥1次</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1.完成2022年国家大剧院国际歌剧电影展立项报批、征片排片、活动、宣传策划等筹备工作。</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2.舞台艺术电影常态化放映已完成7场，推动了优秀影片走进大众。</w:t>
            </w:r>
          </w:p>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 xml:space="preserve">原因：受疫情影响，未能如期开展国际歌剧电影展展映工作，展映工作推迟至次年举办。 </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措施：下年度加快推进国际歌剧电影展展映工作，并抓紧开展2023年相关活动。</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highlight w:val="red"/>
                <w:lang w:val="en-US"/>
              </w:rPr>
            </w:pPr>
            <w:r>
              <w:rPr>
                <w:rFonts w:hint="eastAsia" w:ascii="宋体" w:hAnsi="宋体" w:cs="宋体"/>
                <w:color w:val="auto"/>
                <w:kern w:val="0"/>
                <w:sz w:val="20"/>
                <w:szCs w:val="20"/>
                <w:highlight w:val="none"/>
                <w:lang w:val="en-US" w:eastAsia="zh-CN"/>
              </w:rPr>
              <w:t>1.8</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386"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rPr>
            </w:pPr>
            <w:r>
              <w:rPr>
                <w:rFonts w:hint="eastAsia" w:ascii="宋体" w:hAnsi="宋体" w:cs="宋体"/>
                <w:color w:val="000000"/>
                <w:kern w:val="0"/>
                <w:sz w:val="20"/>
                <w:szCs w:val="20"/>
              </w:rPr>
              <w:t>演出运营</w:t>
            </w:r>
            <w:r>
              <w:rPr>
                <w:rFonts w:hint="eastAsia" w:ascii="宋体" w:hAnsi="宋体" w:cs="宋体"/>
                <w:color w:val="000000"/>
                <w:kern w:val="0"/>
                <w:sz w:val="20"/>
                <w:szCs w:val="20"/>
                <w:lang w:eastAsia="zh-CN"/>
              </w:rPr>
              <w:t>：全年引进商业类演出数量≥500场</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2022年年度内共</w:t>
            </w:r>
            <w:r>
              <w:rPr>
                <w:rFonts w:hint="eastAsia" w:ascii="宋体" w:hAnsi="宋体" w:cs="宋体"/>
                <w:color w:val="000000"/>
                <w:kern w:val="0"/>
                <w:sz w:val="20"/>
                <w:szCs w:val="20"/>
                <w:lang w:val="en-US" w:eastAsia="zh-CN"/>
              </w:rPr>
              <w:t>引进394</w:t>
            </w:r>
            <w:r>
              <w:rPr>
                <w:rFonts w:hint="default" w:ascii="宋体" w:hAnsi="宋体" w:cs="宋体"/>
                <w:color w:val="000000"/>
                <w:kern w:val="0"/>
                <w:sz w:val="20"/>
                <w:szCs w:val="20"/>
                <w:lang w:val="en-US" w:eastAsia="zh-CN"/>
              </w:rPr>
              <w:t>场商业</w:t>
            </w:r>
            <w:r>
              <w:rPr>
                <w:rFonts w:hint="eastAsia" w:ascii="宋体" w:hAnsi="宋体" w:cs="宋体"/>
                <w:color w:val="000000"/>
                <w:kern w:val="0"/>
                <w:sz w:val="20"/>
                <w:szCs w:val="20"/>
                <w:lang w:val="en-US" w:eastAsia="zh-CN"/>
              </w:rPr>
              <w:t>类</w:t>
            </w:r>
            <w:r>
              <w:rPr>
                <w:rFonts w:hint="default" w:ascii="宋体" w:hAnsi="宋体" w:cs="宋体"/>
                <w:color w:val="000000"/>
                <w:kern w:val="0"/>
                <w:sz w:val="20"/>
                <w:szCs w:val="20"/>
                <w:lang w:val="en-US" w:eastAsia="zh-CN"/>
              </w:rPr>
              <w:t>演出</w:t>
            </w:r>
            <w:r>
              <w:rPr>
                <w:rFonts w:hint="eastAsia" w:ascii="宋体" w:hAnsi="宋体" w:cs="宋体"/>
                <w:color w:val="000000"/>
                <w:kern w:val="0"/>
                <w:sz w:val="20"/>
                <w:szCs w:val="20"/>
                <w:lang w:val="en-US" w:eastAsia="zh-CN"/>
              </w:rPr>
              <w:t>。</w:t>
            </w:r>
          </w:p>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原因：受疫情影响，排期计划多次调整，演出数量未能达到年初预期。</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措施：制定2023年工作计划，科学严谨制定演出排期计划，加大文化输出力度，提高演出数量。</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highlight w:val="red"/>
                <w:lang w:val="en-US"/>
              </w:rPr>
            </w:pPr>
            <w:r>
              <w:rPr>
                <w:rFonts w:hint="eastAsia" w:ascii="宋体" w:hAnsi="宋体" w:cs="宋体"/>
                <w:color w:val="000000"/>
                <w:kern w:val="0"/>
                <w:sz w:val="20"/>
                <w:szCs w:val="20"/>
                <w:highlight w:val="none"/>
                <w:lang w:val="en-US" w:eastAsia="zh-CN"/>
              </w:rPr>
              <w:t>1.58</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361"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rPr>
            </w:pPr>
            <w:r>
              <w:rPr>
                <w:rFonts w:hint="eastAsia" w:ascii="宋体" w:hAnsi="宋体" w:cs="宋体"/>
                <w:color w:val="000000"/>
                <w:kern w:val="0"/>
                <w:sz w:val="20"/>
                <w:szCs w:val="20"/>
              </w:rPr>
              <w:t>艺术教育交流</w:t>
            </w:r>
            <w:r>
              <w:rPr>
                <w:rFonts w:hint="eastAsia" w:ascii="宋体" w:hAnsi="宋体" w:cs="宋体"/>
                <w:color w:val="000000"/>
                <w:kern w:val="0"/>
                <w:sz w:val="20"/>
                <w:szCs w:val="20"/>
                <w:lang w:eastAsia="zh-CN"/>
              </w:rPr>
              <w:t>：艺术普及教育活动开展数量≥600场</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艺术普及教育活动开展数量共270场，包括如下：</w:t>
            </w:r>
            <w:r>
              <w:rPr>
                <w:rFonts w:hint="default" w:ascii="宋体" w:hAnsi="宋体" w:cs="宋体"/>
                <w:color w:val="000000"/>
                <w:kern w:val="0"/>
                <w:sz w:val="20"/>
                <w:szCs w:val="20"/>
                <w:lang w:val="en-US" w:eastAsia="zh-CN"/>
              </w:rPr>
              <w:t>举办12场公益演出</w:t>
            </w:r>
            <w:r>
              <w:rPr>
                <w:rFonts w:hint="eastAsia" w:ascii="宋体" w:hAnsi="宋体" w:cs="宋体"/>
                <w:color w:val="000000"/>
                <w:kern w:val="0"/>
                <w:sz w:val="20"/>
                <w:szCs w:val="20"/>
                <w:lang w:val="en-US" w:eastAsia="zh-CN"/>
              </w:rPr>
              <w:t>；全年艺术教育相关活动完成81场，包括线下42场，线上39场；空间演出26场；周末音乐会34场；经典艺术讲堂110场；春华秋实5场；青少年音乐会2场。</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原因：因疫情影响及工作调整，演出/活动形式、数量均有调整，部分工作未按照年初计划完成。</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措施：加强对疫情的研判及项目执行力度，如出现无法执行等情况，及时调整预算及绩效目标申报表。随着疫情好转，下年度</w:t>
            </w:r>
            <w:r>
              <w:rPr>
                <w:rStyle w:val="6"/>
                <w:rFonts w:hint="eastAsia"/>
                <w:lang w:val="en-US" w:eastAsia="zh-CN" w:bidi="ar"/>
              </w:rPr>
              <w:t>加大艺术普及教育力活动开展力度，为公共文化艺术教</w:t>
            </w:r>
            <w:r>
              <w:rPr>
                <w:rFonts w:hint="eastAsia" w:ascii="宋体" w:hAnsi="宋体" w:cs="宋体"/>
                <w:color w:val="000000"/>
                <w:kern w:val="0"/>
                <w:sz w:val="20"/>
                <w:szCs w:val="20"/>
              </w:rPr>
              <w:t>育模式做出更多的有益贡献。</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highlight w:val="none"/>
                <w:lang w:val="en-US" w:eastAsia="zh-CN"/>
              </w:rPr>
              <w:t>0.45</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832"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演出运营：新制作剧目产品/自制剧目复排演出数量≥110场</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共完成64场演出，其中新排剧目完成12场演出；复排剧目完成52场演出。</w:t>
            </w:r>
          </w:p>
          <w:p>
            <w:pPr>
              <w:widowControl/>
              <w:jc w:val="left"/>
              <w:rPr>
                <w:rStyle w:val="6"/>
                <w:rFonts w:hint="eastAsia"/>
                <w:sz w:val="20"/>
                <w:szCs w:val="20"/>
                <w:lang w:val="en-US" w:eastAsia="zh-CN" w:bidi="ar"/>
              </w:rPr>
            </w:pPr>
            <w:r>
              <w:rPr>
                <w:rStyle w:val="6"/>
                <w:rFonts w:hint="eastAsia"/>
                <w:sz w:val="20"/>
                <w:szCs w:val="20"/>
                <w:lang w:val="en-US" w:eastAsia="zh-CN" w:bidi="ar"/>
              </w:rPr>
              <w:t>原因：因为疫情影响及工作调整，部分工作未按照年初计划完成。</w:t>
            </w:r>
          </w:p>
          <w:p>
            <w:pPr>
              <w:widowControl/>
              <w:jc w:val="left"/>
              <w:rPr>
                <w:rStyle w:val="6"/>
                <w:rFonts w:hint="eastAsia"/>
                <w:sz w:val="20"/>
                <w:szCs w:val="20"/>
                <w:lang w:val="en-US" w:eastAsia="zh-CN" w:bidi="ar"/>
              </w:rPr>
            </w:pPr>
            <w:r>
              <w:rPr>
                <w:rStyle w:val="6"/>
                <w:rFonts w:hint="eastAsia"/>
                <w:sz w:val="20"/>
                <w:szCs w:val="20"/>
                <w:lang w:val="en-US" w:eastAsia="zh-CN" w:bidi="ar"/>
              </w:rPr>
              <w:t>措施：加强对疫情的研判及项目执行力度，如出现无法执行等情况，及时调整预算及绩效目标申报表。随着疫情好转，下年度加大文化输出力度，给观众带来更多的剧目演出。</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highlight w:val="none"/>
                <w:lang w:val="en-US" w:eastAsia="zh-CN"/>
              </w:rPr>
              <w:t>1.16</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1036"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演出运营：多种宣传渠道，宣传国家大剧院，介绍推广高雅艺术，普及艺术知识、提升民众艺术素养，宣传渠道≥3种</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通过市场化推广方式，以户外媒体、报刊媒体、新媒体等宣传渠道，推广国家大剧院及演出信息，宣传渠道≥3种。</w:t>
            </w:r>
          </w:p>
          <w:p>
            <w:pPr>
              <w:widowControl/>
              <w:jc w:val="left"/>
              <w:rPr>
                <w:rStyle w:val="6"/>
                <w:rFonts w:hint="eastAsia"/>
                <w:sz w:val="20"/>
                <w:szCs w:val="20"/>
                <w:lang w:val="en-US" w:eastAsia="zh-CN" w:bidi="ar"/>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bidi="ar"/>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956"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Style w:val="6"/>
                <w:lang w:val="en-US" w:eastAsia="zh-CN" w:bidi="ar"/>
              </w:rPr>
              <w:t>演出运营：</w:t>
            </w:r>
            <w:r>
              <w:rPr>
                <w:rStyle w:val="6"/>
                <w:rFonts w:hint="eastAsia"/>
                <w:lang w:val="en-US" w:eastAsia="zh-CN" w:bidi="ar"/>
              </w:rPr>
              <w:t>剧目巡演数量≥1个</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已完成原创话剧《林则徐》巡演工作，分别在陕西、杭州、上海共演出7场。</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bidi="ar"/>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996"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产出指标数量指标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Style w:val="6"/>
                <w:sz w:val="20"/>
                <w:szCs w:val="20"/>
                <w:lang w:val="en-US" w:eastAsia="zh-CN" w:bidi="ar"/>
              </w:rPr>
            </w:pPr>
            <w:r>
              <w:rPr>
                <w:rStyle w:val="6"/>
                <w:sz w:val="20"/>
                <w:szCs w:val="20"/>
                <w:lang w:val="en-US" w:eastAsia="zh-CN" w:bidi="ar"/>
              </w:rPr>
              <w:t>演出运营：</w:t>
            </w:r>
            <w:r>
              <w:rPr>
                <w:rStyle w:val="6"/>
                <w:rFonts w:hint="eastAsia"/>
                <w:sz w:val="20"/>
                <w:szCs w:val="20"/>
                <w:lang w:val="en-US" w:eastAsia="zh-CN" w:bidi="ar"/>
              </w:rPr>
              <w:t>新制作剧目产品/自制剧目复排演出吸引观众人数≥12万人次</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新制作剧目产品/自制剧目复排演出吸引观众54130人次。</w:t>
            </w:r>
          </w:p>
          <w:p>
            <w:pPr>
              <w:widowControl/>
              <w:jc w:val="left"/>
              <w:rPr>
                <w:rStyle w:val="6"/>
                <w:rFonts w:hint="default"/>
                <w:sz w:val="20"/>
                <w:szCs w:val="20"/>
                <w:lang w:val="en-US" w:eastAsia="zh-CN" w:bidi="ar"/>
              </w:rPr>
            </w:pPr>
            <w:r>
              <w:rPr>
                <w:rStyle w:val="6"/>
                <w:rFonts w:hint="eastAsia"/>
                <w:sz w:val="20"/>
                <w:szCs w:val="20"/>
                <w:lang w:val="en-US" w:eastAsia="zh-CN" w:bidi="ar"/>
              </w:rPr>
              <w:t>原因：因为疫情影响及工作调整，部分剧目及演出取消或调整，观众人数下降。</w:t>
            </w:r>
          </w:p>
          <w:p>
            <w:pPr>
              <w:widowControl/>
              <w:jc w:val="left"/>
              <w:rPr>
                <w:rStyle w:val="6"/>
                <w:rFonts w:hint="eastAsia"/>
                <w:sz w:val="20"/>
                <w:szCs w:val="20"/>
                <w:lang w:val="en-US" w:eastAsia="zh-CN" w:bidi="ar"/>
              </w:rPr>
            </w:pPr>
            <w:r>
              <w:rPr>
                <w:rStyle w:val="6"/>
                <w:rFonts w:hint="eastAsia"/>
                <w:sz w:val="20"/>
                <w:szCs w:val="20"/>
                <w:lang w:val="en-US" w:eastAsia="zh-CN" w:bidi="ar"/>
              </w:rPr>
              <w:t>措施：加强对疫情的研判及项目执行力度，随着疫情好转，下年度加大文化输出力度，科学严谨制定演出排期计划，吸引更多的观众来大剧院观演。</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highlight w:val="none"/>
                <w:lang w:val="en-US" w:eastAsia="zh-CN"/>
              </w:rPr>
              <w:t>0.90</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bidi="ar"/>
              </w:rPr>
            </w:pPr>
            <w:r>
              <w:rPr>
                <w:rFonts w:hint="eastAsia" w:ascii="宋体" w:hAnsi="宋体" w:cs="宋体"/>
                <w:color w:val="000000"/>
                <w:kern w:val="0"/>
                <w:sz w:val="20"/>
                <w:szCs w:val="20"/>
                <w:lang w:val="en-US" w:eastAsia="zh-CN" w:bidi="ar"/>
              </w:rPr>
              <w:t>按照完成率计算分值。</w:t>
            </w:r>
          </w:p>
        </w:tc>
      </w:tr>
      <w:tr>
        <w:tblPrEx>
          <w:tblLayout w:type="fixed"/>
          <w:tblCellMar>
            <w:top w:w="0" w:type="dxa"/>
            <w:left w:w="108" w:type="dxa"/>
            <w:bottom w:w="0" w:type="dxa"/>
            <w:right w:w="108" w:type="dxa"/>
          </w:tblCellMar>
        </w:tblPrEx>
        <w:trPr>
          <w:trHeight w:val="2036"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产出指标</w:t>
            </w:r>
            <w:r>
              <w:rPr>
                <w:rFonts w:hint="eastAsia" w:ascii="宋体" w:hAnsi="宋体" w:cs="宋体"/>
                <w:color w:val="000000"/>
                <w:kern w:val="0"/>
                <w:sz w:val="20"/>
                <w:szCs w:val="20"/>
                <w:lang w:val="en-US" w:eastAsia="zh-CN"/>
              </w:rPr>
              <w:t>质量</w:t>
            </w:r>
            <w:r>
              <w:rPr>
                <w:rFonts w:hint="eastAsia" w:ascii="宋体" w:hAnsi="宋体" w:cs="宋体"/>
                <w:color w:val="000000"/>
                <w:kern w:val="0"/>
                <w:sz w:val="20"/>
                <w:szCs w:val="20"/>
              </w:rPr>
              <w:t>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Style w:val="6"/>
                <w:sz w:val="20"/>
                <w:szCs w:val="20"/>
                <w:lang w:val="en-US" w:eastAsia="zh-CN" w:bidi="ar"/>
              </w:rPr>
              <w:t>演出运营：</w:t>
            </w:r>
            <w:r>
              <w:rPr>
                <w:rStyle w:val="6"/>
                <w:rFonts w:hint="eastAsia"/>
                <w:sz w:val="20"/>
                <w:szCs w:val="20"/>
                <w:lang w:val="en-US" w:eastAsia="zh-CN" w:bidi="ar"/>
              </w:rPr>
              <w:t>以歌、舞、剧、戏等艺术形式呈现经典作品，并在艺术质量上达到国内一流水准，满足中国观众对高雅艺术的欣赏要求及审美要求</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我院在疫情的高压下，科学排期，共推出461场商业演出，涵盖“歌乐舞剧戏”各艺术门类，力争精益求精，持续汇聚精品演出。艺术质量上达到了国内一流水准，满足中国观众对高雅艺术的欣赏要求及审美要求。</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bidi="ar"/>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165"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产出指标</w:t>
            </w:r>
            <w:r>
              <w:rPr>
                <w:rFonts w:hint="eastAsia" w:ascii="宋体" w:hAnsi="宋体" w:cs="宋体"/>
                <w:color w:val="000000"/>
                <w:kern w:val="0"/>
                <w:sz w:val="20"/>
                <w:szCs w:val="20"/>
                <w:lang w:val="en-US" w:eastAsia="zh-CN"/>
              </w:rPr>
              <w:t>质量</w:t>
            </w:r>
            <w:r>
              <w:rPr>
                <w:rFonts w:hint="eastAsia" w:ascii="宋体" w:hAnsi="宋体" w:cs="宋体"/>
                <w:color w:val="000000"/>
                <w:kern w:val="0"/>
                <w:sz w:val="20"/>
                <w:szCs w:val="20"/>
              </w:rPr>
              <w:t>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Style w:val="6"/>
                <w:sz w:val="20"/>
                <w:szCs w:val="20"/>
                <w:lang w:val="en-US" w:eastAsia="zh-CN" w:bidi="ar"/>
              </w:rPr>
              <w:t>演出运营：</w:t>
            </w:r>
            <w:r>
              <w:rPr>
                <w:rFonts w:hint="eastAsia" w:ascii="宋体" w:hAnsi="宋体" w:cs="宋体"/>
                <w:color w:val="000000"/>
                <w:kern w:val="0"/>
                <w:sz w:val="20"/>
                <w:szCs w:val="20"/>
              </w:rPr>
              <w:t>全年演出及各项活动无事故</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全年演出及各项活动无事故。</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336"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产出指标</w:t>
            </w:r>
            <w:r>
              <w:rPr>
                <w:rFonts w:hint="eastAsia" w:ascii="宋体" w:hAnsi="宋体" w:cs="宋体"/>
                <w:color w:val="000000"/>
                <w:kern w:val="0"/>
                <w:sz w:val="20"/>
                <w:szCs w:val="20"/>
                <w:lang w:val="en-US" w:eastAsia="zh-CN"/>
              </w:rPr>
              <w:t>时效</w:t>
            </w:r>
            <w:r>
              <w:rPr>
                <w:rFonts w:hint="eastAsia" w:ascii="宋体" w:hAnsi="宋体" w:cs="宋体"/>
                <w:color w:val="000000"/>
                <w:kern w:val="0"/>
                <w:sz w:val="20"/>
                <w:szCs w:val="20"/>
              </w:rPr>
              <w:t>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演出运营：各项工作按照2022年工作进度及绩效目标申报及合同、协议约定的时间进度实施，针对单位基本支出及自主实施的项目，项目进度应与预算进度相匹配</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我院2022年预算项目整体执行率有待进一步提高</w:t>
            </w:r>
            <w:r>
              <w:rPr>
                <w:rStyle w:val="6"/>
                <w:rFonts w:hint="eastAsia"/>
                <w:sz w:val="20"/>
                <w:szCs w:val="20"/>
                <w:lang w:val="en-US" w:eastAsia="zh-CN" w:bidi="ar"/>
              </w:rPr>
              <w:t>。</w:t>
            </w:r>
          </w:p>
          <w:p>
            <w:pPr>
              <w:widowControl/>
              <w:jc w:val="left"/>
              <w:rPr>
                <w:rStyle w:val="6"/>
                <w:rFonts w:hint="eastAsia"/>
                <w:sz w:val="20"/>
                <w:szCs w:val="20"/>
                <w:lang w:val="en-US" w:eastAsia="zh-CN" w:bidi="ar"/>
              </w:rPr>
            </w:pPr>
            <w:r>
              <w:rPr>
                <w:rStyle w:val="6"/>
                <w:rFonts w:hint="eastAsia"/>
                <w:sz w:val="20"/>
                <w:szCs w:val="20"/>
                <w:lang w:val="en-US" w:eastAsia="zh-CN" w:bidi="ar"/>
              </w:rPr>
              <w:t>原因：因疫情影响，部分项目工作任务取消、减少或调整形式（如由线下改为线上），减少了成本。</w:t>
            </w:r>
          </w:p>
          <w:p>
            <w:pPr>
              <w:widowControl/>
              <w:jc w:val="left"/>
              <w:rPr>
                <w:rStyle w:val="6"/>
                <w:rFonts w:hint="eastAsia"/>
                <w:sz w:val="20"/>
                <w:szCs w:val="20"/>
                <w:lang w:val="en-US" w:eastAsia="zh-CN" w:bidi="ar"/>
              </w:rPr>
            </w:pPr>
            <w:r>
              <w:rPr>
                <w:rStyle w:val="6"/>
                <w:rFonts w:hint="eastAsia"/>
                <w:sz w:val="20"/>
                <w:szCs w:val="20"/>
                <w:lang w:val="en-US" w:eastAsia="zh-CN" w:bidi="ar"/>
              </w:rPr>
              <w:t>措施：延期到下年度执行的工作内容或款项支付须尽快完成，下年度加强各项目执行力度，加强跟踪各项目的执行情况。对于无法执行的内容，应交尽交，应交早交，及时调整预算及绩效目标申报表。</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1.8</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336"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产出指标成本指标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演出运营</w:t>
            </w:r>
            <w:r>
              <w:rPr>
                <w:rFonts w:hint="eastAsia" w:ascii="宋体" w:hAnsi="宋体" w:cs="宋体"/>
                <w:color w:val="000000"/>
                <w:kern w:val="0"/>
                <w:sz w:val="20"/>
                <w:szCs w:val="20"/>
                <w:lang w:eastAsia="zh-CN"/>
              </w:rPr>
              <w:t>：依法、依规、依程序使用财政资金，保证资金使用安全，部门整体支出成本控制在预算范围内，不得超预算，并采取措施节约财政资金。以既定预算发挥其最大的作用，尽可能实现财政资金使用效益最大化。</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我院严格遵照国家法律法规和财政相关规定使用财政资金，资金申报及拨付程序完整规范，按照相关管理制度进行采购程序和资金支出审批程序，资金使用合规性和安全性均管理到位。各项目实际支出均未超过预算控制金额，通过预算评审、竣工决算审计、政府采购、成本绩效分析等多项措施达到降本增效的效果，并通过推进预算绩效管理工作保障财政资金使用效益。</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bidi="ar"/>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675"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效益指标社会效益指标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演出运营</w:t>
            </w:r>
            <w:r>
              <w:rPr>
                <w:rFonts w:hint="eastAsia" w:ascii="宋体" w:hAnsi="宋体" w:cs="宋体"/>
                <w:color w:val="000000"/>
                <w:kern w:val="0"/>
                <w:sz w:val="20"/>
                <w:szCs w:val="20"/>
                <w:lang w:eastAsia="zh-CN"/>
              </w:rPr>
              <w:t>：通过召开新闻发布会，组织媒体采访，多轮次作品宣传，创造和谐的艺术氛围和社会环境，全面引导和提升国民的文化素质。</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我院通过召开新闻发布会，组织媒体采访，多轮次作品宣传，用艺术点亮人民大众生活，为创造和谐的社会环境，全面引导和提升国民的文化素质贡献了力量。</w:t>
            </w:r>
          </w:p>
        </w:tc>
        <w:tc>
          <w:tcPr>
            <w:tcW w:w="6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63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效益指标社会效益指标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rPr>
            </w:pPr>
            <w:r>
              <w:rPr>
                <w:rFonts w:hint="eastAsia" w:ascii="宋体" w:hAnsi="宋体" w:cs="宋体"/>
                <w:color w:val="000000"/>
                <w:kern w:val="0"/>
                <w:sz w:val="20"/>
                <w:szCs w:val="20"/>
                <w:lang w:val="en-US" w:eastAsia="zh-CN"/>
              </w:rPr>
              <w:t>演出运营：通过经典作品的展现,扩大高雅艺术的传播人群,使观众走近高雅艺术，了解高雅艺术、喜爱高雅艺术。</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我院紧紧围绕党的二十大精神，坚持弘扬主旋律，策划系列创作演出活动, 实现良好的社会效益。打磨歌剧节、八月合唱节、国际戏剧季等品牌艺术节，策划推出“国乐之春”“中华情怀-民乐名家”“非遗戏曲剧种展演”等优质项目，为传承弘扬优秀文化搭建广阔舞台。通过经典作品的展现,扩大高雅艺术的传播人群,使观众走近高雅艺术，了解高雅艺术、喜爱高雅艺术。</w:t>
            </w:r>
          </w:p>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原因：我院严格落实中央及北京市各项疫情防控要求，部分时期闭馆或暂停演出，部分剧目及演出场次均有减少，则线下观众人数未达到预期。</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措施：下年度需要打开思路、着眼长远，科学严谨制定演出排期计划，艺术生产、宣传营销、殿堂经营、后勤保障都需要“加速度”工作，以优质演出吸引观众重回剧场。</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highlight w:val="none"/>
                <w:lang w:val="en-US" w:eastAsia="zh-CN"/>
              </w:rPr>
              <w:t>4.8</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63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效益指标生态效益指标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工程物业管理</w:t>
            </w:r>
            <w:r>
              <w:rPr>
                <w:rFonts w:hint="eastAsia" w:ascii="宋体" w:hAnsi="宋体" w:cs="宋体"/>
                <w:color w:val="000000"/>
                <w:kern w:val="0"/>
                <w:sz w:val="20"/>
                <w:szCs w:val="20"/>
                <w:lang w:eastAsia="zh-CN"/>
              </w:rPr>
              <w:t>：强化环保管理，节能降耗，通过科学的升级改造，逐年提高节能环保产品的使用比例，减少能耗和污染</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我院认真贯彻落实国家双碳政策，剧院本部和台湖舞美中心用能统筹协调管理，节能降耗，多措并举，节能管理成效显著。</w:t>
            </w:r>
          </w:p>
          <w:p>
            <w:pPr>
              <w:widowControl/>
              <w:rPr>
                <w:rFonts w:ascii="宋体" w:hAnsi="宋体" w:cs="宋体"/>
                <w:color w:val="000000"/>
                <w:kern w:val="0"/>
                <w:sz w:val="20"/>
                <w:szCs w:val="20"/>
              </w:rPr>
            </w:pPr>
            <w:r>
              <w:rPr>
                <w:rFonts w:hint="eastAsia" w:ascii="宋体" w:hAnsi="宋体" w:cs="宋体"/>
                <w:color w:val="000000"/>
                <w:kern w:val="0"/>
                <w:sz w:val="20"/>
                <w:szCs w:val="20"/>
              </w:rPr>
              <w:t>在保证系统稳定运行的前提下，抓好节能降耗工作。采用精细化管理手段，严控空调设备启停时间，满足防控要求并做到节能降耗。</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675"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效益指标可持续影响指标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Style w:val="6"/>
                <w:sz w:val="20"/>
                <w:szCs w:val="20"/>
                <w:lang w:val="en-US" w:eastAsia="zh-CN" w:bidi="ar"/>
              </w:rPr>
              <w:t>艺术教育交流：</w:t>
            </w:r>
            <w:r>
              <w:rPr>
                <w:rStyle w:val="6"/>
                <w:rFonts w:hint="eastAsia"/>
                <w:sz w:val="20"/>
                <w:szCs w:val="20"/>
                <w:lang w:val="en-US" w:eastAsia="zh-CN" w:bidi="ar"/>
              </w:rPr>
              <w:t>加强国际艺术交流，将“走出去”与“引进来”相结合，扩大中国艺术的国际影响，传播中国优秀文化，为外交活动开展搭建平台</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eastAsia="宋体" w:cs="宋体"/>
                <w:i w:val="0"/>
                <w:iCs w:val="0"/>
                <w:color w:val="000000"/>
                <w:sz w:val="20"/>
                <w:szCs w:val="20"/>
                <w:u w:val="none"/>
              </w:rPr>
              <w:t>我院持续推动国际交流合作走深走实，与130多个国家400多家国际艺术机构建立联系，与38个机构在资源互换、联合制作、人才交流等方面达成战略合作。我们持续推进世界剧院联盟建设工作，召开联盟成员大会，吸纳18个国家27家艺术机构加入联盟大家庭。成功举办世界剧院北京论坛、台湖舞美国际论坛，全球20多个国家和地区的200余位代表云端相聚，共同探讨表演艺术行业传承创新。原创歌剧《夏日彩虹》登陆美国65家电台，首次将中国故事讲到全美主流媒体。与多家艺术机构合作推出《四海之声》系列音乐会，首次在国内独家首播“韦尔比耶音乐节”，与日本新国立剧场举办联合展映活动，推动机构间资源合作形成合力。2022年11月，国家大剧院代表团应邀赴瑞士、德国、奥地利进行交流访问</w:t>
            </w:r>
            <w:r>
              <w:rPr>
                <w:rFonts w:hint="eastAsia" w:ascii="宋体" w:hAnsi="宋体" w:cs="宋体"/>
                <w:i w:val="0"/>
                <w:iCs w:val="0"/>
                <w:color w:val="000000"/>
                <w:sz w:val="20"/>
                <w:szCs w:val="20"/>
                <w:u w:val="none"/>
                <w:lang w:eastAsia="zh-CN"/>
              </w:rPr>
              <w:t>，</w:t>
            </w:r>
            <w:r>
              <w:rPr>
                <w:rFonts w:hint="eastAsia" w:ascii="宋体" w:hAnsi="宋体" w:eastAsia="宋体" w:cs="宋体"/>
                <w:i w:val="0"/>
                <w:iCs w:val="0"/>
                <w:color w:val="000000"/>
                <w:sz w:val="20"/>
                <w:szCs w:val="20"/>
                <w:u w:val="none"/>
              </w:rPr>
              <w:t>圆满完成疫情以来国内文化机构的首次出访。高水平策划和合迎新春音乐会、庆祝中国希腊建交50周年音乐会，主动服务国家文化外交大局。</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675" w:hRule="atLeast"/>
        </w:trPr>
        <w:tc>
          <w:tcPr>
            <w:tcW w:w="104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满意度指标服务对象满意度指标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sz w:val="20"/>
                <w:szCs w:val="20"/>
                <w:lang w:val="en-US" w:eastAsia="zh-CN" w:bidi="ar"/>
              </w:rPr>
              <w:t>艺术教育交流：观众对艺术教育活动满意度≥</w:t>
            </w:r>
            <w:r>
              <w:rPr>
                <w:rStyle w:val="6"/>
                <w:rFonts w:hint="eastAsia"/>
                <w:sz w:val="20"/>
                <w:szCs w:val="20"/>
                <w:lang w:val="en-US" w:eastAsia="zh-CN" w:bidi="ar"/>
              </w:rPr>
              <w:t>90%</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演出上座率较高，平均上座率达到80%以上，线上点击量超过6000万，自媒体及社会媒体专题报道艺术教育热点活动60余次，反馈较好。</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highlight w:val="red"/>
              </w:rPr>
            </w:pPr>
            <w:r>
              <w:rPr>
                <w:rFonts w:hint="eastAsia" w:ascii="宋体" w:hAnsi="宋体" w:cs="宋体"/>
                <w:color w:val="000000"/>
                <w:kern w:val="0"/>
                <w:sz w:val="20"/>
                <w:szCs w:val="20"/>
                <w:highlight w:val="none"/>
                <w:lang w:val="en-US" w:eastAsia="zh-CN"/>
              </w:rPr>
              <w:t>4</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red"/>
                <w:lang w:val="en-US" w:eastAsia="zh-CN"/>
              </w:rPr>
            </w:pPr>
            <w:r>
              <w:rPr>
                <w:rFonts w:hint="eastAsia" w:ascii="宋体" w:hAnsi="宋体" w:cs="宋体"/>
                <w:color w:val="000000"/>
                <w:kern w:val="0"/>
                <w:sz w:val="20"/>
                <w:szCs w:val="20"/>
                <w:highlight w:val="none"/>
                <w:lang w:val="en-US" w:eastAsia="zh-CN"/>
              </w:rPr>
              <w:t>4</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bidi="ar"/>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675" w:hRule="atLeast"/>
        </w:trPr>
        <w:tc>
          <w:tcPr>
            <w:tcW w:w="104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满意度指标服务对象满意度指标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sz w:val="20"/>
                <w:szCs w:val="20"/>
                <w:lang w:val="en-US" w:eastAsia="zh-CN" w:bidi="ar"/>
              </w:rPr>
              <w:t>演出运营：观众对演出满意度≥</w:t>
            </w:r>
            <w:r>
              <w:rPr>
                <w:rStyle w:val="6"/>
                <w:rFonts w:hint="eastAsia"/>
                <w:sz w:val="20"/>
                <w:szCs w:val="20"/>
                <w:lang w:val="en-US" w:eastAsia="zh-CN" w:bidi="ar"/>
              </w:rPr>
              <w:t>90%</w:t>
            </w:r>
          </w:p>
        </w:tc>
        <w:tc>
          <w:tcPr>
            <w:tcW w:w="3864" w:type="dxa"/>
            <w:vMerge w:val="restart"/>
            <w:tcBorders>
              <w:top w:val="single" w:color="auto" w:sz="4" w:space="0"/>
              <w:left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通过满意度调查工作，在2023份问卷调查中，对大剧院整体评价为满意和非常满意的为1994份，总体满意率为98.6%，并且有65%的观众表示，会继续来看演出。</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3</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bidi="ar"/>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675" w:hRule="atLeast"/>
        </w:trPr>
        <w:tc>
          <w:tcPr>
            <w:tcW w:w="104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rFonts w:hint="eastAsia"/>
                <w:sz w:val="20"/>
                <w:szCs w:val="20"/>
                <w:lang w:val="en-US" w:eastAsia="zh-CN" w:bidi="ar"/>
              </w:rPr>
              <w:t>满意度指标服务对象满意度指标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Style w:val="6"/>
                <w:rFonts w:hint="eastAsia"/>
                <w:sz w:val="20"/>
                <w:szCs w:val="20"/>
                <w:lang w:val="en-US" w:eastAsia="zh-CN" w:bidi="ar"/>
              </w:rPr>
            </w:pPr>
            <w:r>
              <w:rPr>
                <w:rStyle w:val="6"/>
                <w:sz w:val="20"/>
                <w:szCs w:val="20"/>
                <w:lang w:val="en-US" w:eastAsia="zh-CN" w:bidi="ar"/>
              </w:rPr>
              <w:t>演出运营：观众对剧场服务满意度≥</w:t>
            </w:r>
            <w:r>
              <w:rPr>
                <w:rStyle w:val="6"/>
                <w:rFonts w:hint="eastAsia"/>
                <w:sz w:val="20"/>
                <w:szCs w:val="20"/>
                <w:lang w:val="en-US" w:eastAsia="zh-CN" w:bidi="ar"/>
              </w:rPr>
              <w:t>90%</w:t>
            </w:r>
          </w:p>
        </w:tc>
        <w:tc>
          <w:tcPr>
            <w:tcW w:w="3864" w:type="dxa"/>
            <w:vMerge w:val="continue"/>
            <w:tcBorders>
              <w:left w:val="single" w:color="auto" w:sz="4" w:space="0"/>
              <w:bottom w:val="single" w:color="auto" w:sz="4" w:space="0"/>
              <w:right w:val="single" w:color="auto" w:sz="4" w:space="0"/>
            </w:tcBorders>
            <w:vAlign w:val="center"/>
          </w:tcPr>
          <w:p>
            <w:pPr>
              <w:widowControl/>
              <w:rPr>
                <w:rFonts w:hint="eastAsia" w:ascii="宋体" w:hAnsi="宋体" w:cs="宋体"/>
                <w:color w:val="000000"/>
                <w:kern w:val="0"/>
                <w:sz w:val="20"/>
                <w:szCs w:val="20"/>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eastAsia="zh-CN" w:bidi="ar"/>
              </w:rPr>
            </w:pPr>
            <w:r>
              <w:rPr>
                <w:rFonts w:hint="eastAsia" w:ascii="宋体" w:hAnsi="宋体" w:cs="宋体"/>
                <w:color w:val="000000"/>
                <w:kern w:val="0"/>
                <w:sz w:val="20"/>
                <w:szCs w:val="20"/>
                <w:lang w:eastAsia="zh-CN" w:bidi="ar"/>
              </w:rPr>
              <w:t>完成计划工作的90%以上，满分；每少完成10%的工作量或每有一处未充分实现扣0.2分，扣完为止。</w:t>
            </w:r>
          </w:p>
        </w:tc>
      </w:tr>
      <w:tr>
        <w:tblPrEx>
          <w:tblLayout w:type="fixed"/>
          <w:tblCellMar>
            <w:top w:w="0" w:type="dxa"/>
            <w:left w:w="108" w:type="dxa"/>
            <w:bottom w:w="0" w:type="dxa"/>
            <w:right w:w="108" w:type="dxa"/>
          </w:tblCellMar>
        </w:tblPrEx>
        <w:trPr>
          <w:trHeight w:val="90" w:hRule="atLeast"/>
        </w:trPr>
        <w:tc>
          <w:tcPr>
            <w:tcW w:w="14061" w:type="dxa"/>
            <w:gridSpan w:val="8"/>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Layout w:type="fixed"/>
          <w:tblCellMar>
            <w:top w:w="0" w:type="dxa"/>
            <w:left w:w="108" w:type="dxa"/>
            <w:bottom w:w="0" w:type="dxa"/>
            <w:right w:w="108" w:type="dxa"/>
          </w:tblCellMar>
        </w:tblPrEx>
        <w:trPr>
          <w:trHeight w:val="90" w:hRule="atLeast"/>
        </w:trPr>
        <w:tc>
          <w:tcPr>
            <w:tcW w:w="10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6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评分标准</w:t>
            </w:r>
          </w:p>
        </w:tc>
      </w:tr>
      <w:tr>
        <w:tblPrEx>
          <w:tblLayout w:type="fixed"/>
          <w:tblCellMar>
            <w:top w:w="0" w:type="dxa"/>
            <w:left w:w="108" w:type="dxa"/>
            <w:bottom w:w="0" w:type="dxa"/>
            <w:right w:w="108" w:type="dxa"/>
          </w:tblCellMar>
        </w:tblPrEx>
        <w:trPr>
          <w:trHeight w:val="90" w:hRule="atLeast"/>
        </w:trPr>
        <w:tc>
          <w:tcPr>
            <w:tcW w:w="10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107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bidi="ar"/>
              </w:rPr>
              <w:t>财务管理制度健全、完整、合规</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bidi="ar"/>
              </w:rPr>
              <w:t>财务管理制度健全、完整、合规</w:t>
            </w:r>
            <w:r>
              <w:rPr>
                <w:rFonts w:hint="eastAsia" w:ascii="宋体" w:hAnsi="宋体" w:cs="宋体"/>
                <w:color w:val="000000"/>
                <w:kern w:val="0"/>
                <w:sz w:val="20"/>
                <w:szCs w:val="20"/>
                <w:lang w:eastAsia="zh-CN" w:bidi="ar"/>
              </w:rPr>
              <w:t>。</w:t>
            </w:r>
            <w:bookmarkStart w:id="0" w:name="_GoBack"/>
            <w:bookmarkEnd w:id="0"/>
          </w:p>
        </w:tc>
        <w:tc>
          <w:tcPr>
            <w:tcW w:w="6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lang w:bidi="ar"/>
              </w:rPr>
              <w:t>①预算资金管理办法、绩效跟踪管理办法、资产管理办法等各项制度是否健全；②部门内部财务管理制度是否完整、合规；③会计核算制度是否完整、合规。每有一项不合格扣0.5分，扣完为止。</w:t>
            </w:r>
          </w:p>
        </w:tc>
      </w:tr>
      <w:tr>
        <w:tblPrEx>
          <w:tblLayout w:type="fixed"/>
          <w:tblCellMar>
            <w:top w:w="0" w:type="dxa"/>
            <w:left w:w="108" w:type="dxa"/>
            <w:bottom w:w="0" w:type="dxa"/>
            <w:right w:w="108" w:type="dxa"/>
          </w:tblCellMar>
        </w:tblPrEx>
        <w:trPr>
          <w:trHeight w:val="1297"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资金使用合规，安全</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资金使用合规，安全</w:t>
            </w:r>
            <w:r>
              <w:rPr>
                <w:rFonts w:hint="eastAsia" w:ascii="宋体" w:hAnsi="宋体" w:cs="宋体"/>
                <w:color w:val="000000"/>
                <w:kern w:val="0"/>
                <w:sz w:val="20"/>
                <w:szCs w:val="20"/>
                <w:lang w:eastAsia="zh-CN"/>
              </w:rPr>
              <w:t>。</w:t>
            </w:r>
          </w:p>
        </w:tc>
        <w:tc>
          <w:tcPr>
            <w:tcW w:w="6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lang w:bidi="ar"/>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Layout w:type="fixed"/>
          <w:tblCellMar>
            <w:top w:w="0" w:type="dxa"/>
            <w:left w:w="108" w:type="dxa"/>
            <w:bottom w:w="0" w:type="dxa"/>
            <w:right w:w="108" w:type="dxa"/>
          </w:tblCellMar>
        </w:tblPrEx>
        <w:trPr>
          <w:trHeight w:val="1035"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会计基础信息完善。</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会计基础信息完善。</w:t>
            </w:r>
          </w:p>
        </w:tc>
        <w:tc>
          <w:tcPr>
            <w:tcW w:w="6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lang w:bidi="ar"/>
              </w:rPr>
              <w:t>①基础数据信息和会计信息资料是否真实；②基础数据信息和会计信息资料是否完整；③基础数据信息和会计信息资料是否准确。每有一项不合格扣0.5分，扣完为止。</w:t>
            </w:r>
          </w:p>
        </w:tc>
      </w:tr>
      <w:tr>
        <w:tblPrEx>
          <w:tblLayout w:type="fixed"/>
          <w:tblCellMar>
            <w:top w:w="0" w:type="dxa"/>
            <w:left w:w="108" w:type="dxa"/>
            <w:bottom w:w="0" w:type="dxa"/>
            <w:right w:w="108" w:type="dxa"/>
          </w:tblCellMar>
        </w:tblPrEx>
        <w:trPr>
          <w:trHeight w:val="4593"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对外投资程序规范，无亏损；资产制度完整、资产配置符合要求、资产购置和处置程序符合相关制度要求</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对外投资程序规范，无亏损；资产制度完整、资产配置符合要求、资产购置和处置程序符合相关制度要求</w:t>
            </w:r>
            <w:r>
              <w:rPr>
                <w:rFonts w:hint="eastAsia" w:ascii="宋体" w:hAnsi="宋体" w:cs="宋体"/>
                <w:color w:val="000000"/>
                <w:kern w:val="0"/>
                <w:sz w:val="20"/>
                <w:szCs w:val="20"/>
                <w:lang w:eastAsia="zh-CN"/>
              </w:rPr>
              <w:t>。</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4</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lang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照要求进行报批或资产不公开处置行为；⑥其它资产管理制度办法执行情况。每有一项不合格扣0.8分，扣完为止。</w:t>
            </w:r>
          </w:p>
        </w:tc>
      </w:tr>
      <w:tr>
        <w:tblPrEx>
          <w:tblLayout w:type="fixed"/>
          <w:tblCellMar>
            <w:top w:w="0" w:type="dxa"/>
            <w:left w:w="108" w:type="dxa"/>
            <w:bottom w:w="0" w:type="dxa"/>
            <w:right w:w="108" w:type="dxa"/>
          </w:tblCellMar>
        </w:tblPrEx>
        <w:trPr>
          <w:trHeight w:val="134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220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按要求完成绩效管理工作；部门整体绩效目标按预期实现。</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按要求完成绩效管理工作；</w:t>
            </w:r>
            <w:r>
              <w:rPr>
                <w:rFonts w:hint="eastAsia" w:ascii="宋体" w:hAnsi="宋体" w:cs="宋体"/>
                <w:color w:val="000000"/>
                <w:kern w:val="0"/>
                <w:sz w:val="20"/>
                <w:szCs w:val="20"/>
                <w:lang w:eastAsia="zh-CN"/>
              </w:rPr>
              <w:t>个别</w:t>
            </w:r>
            <w:r>
              <w:rPr>
                <w:rFonts w:hint="eastAsia" w:ascii="宋体" w:hAnsi="宋体" w:cs="宋体"/>
                <w:color w:val="000000"/>
                <w:kern w:val="0"/>
                <w:sz w:val="20"/>
                <w:szCs w:val="20"/>
                <w:highlight w:val="none"/>
              </w:rPr>
              <w:t>绩效目标</w:t>
            </w:r>
            <w:r>
              <w:rPr>
                <w:rFonts w:hint="eastAsia" w:ascii="宋体" w:hAnsi="宋体" w:cs="宋体"/>
                <w:color w:val="000000"/>
                <w:kern w:val="0"/>
                <w:sz w:val="20"/>
                <w:szCs w:val="20"/>
                <w:highlight w:val="none"/>
                <w:lang w:eastAsia="zh-CN"/>
              </w:rPr>
              <w:t>未按</w:t>
            </w:r>
            <w:r>
              <w:rPr>
                <w:rFonts w:hint="eastAsia" w:ascii="宋体" w:hAnsi="宋体" w:cs="宋体"/>
                <w:color w:val="000000"/>
                <w:kern w:val="0"/>
                <w:sz w:val="20"/>
                <w:szCs w:val="20"/>
                <w:highlight w:val="none"/>
              </w:rPr>
              <w:t>预期实现。</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highlight w:val="none"/>
                <w:lang w:val="en-US" w:eastAsia="zh-CN"/>
              </w:rPr>
              <w:t>3.1</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lang w:bidi="ar"/>
              </w:rPr>
              <w:t>①部门（单位）是否及时对绩效信息进行汇总分析整理；②部门（单位）是否对绩效目标偏离情况及时进行矫正。每有一项不合格扣</w:t>
            </w:r>
            <w:r>
              <w:rPr>
                <w:rFonts w:hint="eastAsia" w:ascii="宋体" w:hAnsi="宋体" w:cs="宋体"/>
                <w:color w:val="000000"/>
                <w:kern w:val="0"/>
                <w:sz w:val="20"/>
                <w:szCs w:val="20"/>
                <w:lang w:val="en-US" w:eastAsia="zh-CN" w:bidi="ar"/>
              </w:rPr>
              <w:t>0.1</w:t>
            </w:r>
            <w:r>
              <w:rPr>
                <w:rFonts w:hint="eastAsia" w:ascii="宋体" w:hAnsi="宋体" w:cs="宋体"/>
                <w:color w:val="000000"/>
                <w:kern w:val="0"/>
                <w:sz w:val="20"/>
                <w:szCs w:val="20"/>
                <w:lang w:bidi="ar"/>
              </w:rPr>
              <w:t>分。</w:t>
            </w:r>
          </w:p>
        </w:tc>
      </w:tr>
      <w:tr>
        <w:tblPrEx>
          <w:tblLayout w:type="fixed"/>
          <w:tblCellMar>
            <w:top w:w="0" w:type="dxa"/>
            <w:left w:w="108" w:type="dxa"/>
            <w:bottom w:w="0" w:type="dxa"/>
            <w:right w:w="108" w:type="dxa"/>
          </w:tblCellMar>
        </w:tblPrEx>
        <w:trPr>
          <w:trHeight w:val="9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40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年</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年</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20"/>
                <w:szCs w:val="20"/>
              </w:rPr>
            </w:pPr>
            <w:r>
              <w:rPr>
                <w:rFonts w:hint="eastAsia"/>
                <w:kern w:val="0"/>
                <w:sz w:val="20"/>
                <w:szCs w:val="20"/>
              </w:rPr>
              <w:t>评分标准</w:t>
            </w:r>
          </w:p>
        </w:tc>
      </w:tr>
      <w:tr>
        <w:tblPrEx>
          <w:tblLayout w:type="fixed"/>
          <w:tblCellMar>
            <w:top w:w="0" w:type="dxa"/>
            <w:left w:w="108" w:type="dxa"/>
            <w:bottom w:w="0" w:type="dxa"/>
            <w:right w:w="108" w:type="dxa"/>
          </w:tblCellMar>
        </w:tblPrEx>
        <w:trPr>
          <w:trHeight w:val="9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40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3.73%</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highlight w:val="none"/>
                <w:lang w:val="en-US" w:eastAsia="zh-CN"/>
              </w:rPr>
              <w:t>5.59%</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3.6</w:t>
            </w:r>
            <w:r>
              <w:rPr>
                <w:rFonts w:hint="eastAsia" w:ascii="宋体" w:hAnsi="宋体" w:cs="宋体"/>
                <w:color w:val="000000"/>
                <w:kern w:val="0"/>
                <w:sz w:val="20"/>
                <w:szCs w:val="20"/>
                <w:highlight w:val="none"/>
              </w:rPr>
              <w:t>　</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lang w:bidi="ar"/>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Layout w:type="fixed"/>
          <w:tblCellMar>
            <w:top w:w="0" w:type="dxa"/>
            <w:left w:w="108" w:type="dxa"/>
            <w:bottom w:w="0" w:type="dxa"/>
            <w:right w:w="108" w:type="dxa"/>
          </w:tblCellMar>
        </w:tblPrEx>
        <w:trPr>
          <w:trHeight w:val="90" w:hRule="atLeast"/>
        </w:trPr>
        <w:tc>
          <w:tcPr>
            <w:tcW w:w="10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79"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40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8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-21.10%</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部门预算决算差异率高于市级平均差异率（28.3%），每高出10%（含），扣0.4分，扣完为止。</w:t>
            </w:r>
          </w:p>
        </w:tc>
      </w:tr>
      <w:tr>
        <w:tblPrEx>
          <w:tblLayout w:type="fixed"/>
          <w:tblCellMar>
            <w:top w:w="0" w:type="dxa"/>
            <w:left w:w="108" w:type="dxa"/>
            <w:bottom w:w="0" w:type="dxa"/>
            <w:right w:w="108" w:type="dxa"/>
          </w:tblCellMar>
        </w:tblPrEx>
        <w:trPr>
          <w:trHeight w:val="90" w:hRule="atLeast"/>
        </w:trPr>
        <w:tc>
          <w:tcPr>
            <w:tcW w:w="10062"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highlight w:val="none"/>
                <w:lang w:val="en-US" w:eastAsia="zh-CN"/>
              </w:rPr>
              <w:t>90.11</w:t>
            </w:r>
            <w:r>
              <w:rPr>
                <w:rFonts w:hint="eastAsia" w:ascii="宋体" w:hAnsi="宋体" w:cs="宋体"/>
                <w:color w:val="000000"/>
                <w:kern w:val="0"/>
                <w:sz w:val="20"/>
                <w:szCs w:val="20"/>
              </w:rPr>
              <w:t>　</w:t>
            </w:r>
          </w:p>
        </w:tc>
        <w:tc>
          <w:tcPr>
            <w:tcW w:w="246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pPr>
        <w:pStyle w:val="2"/>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kYTg5N2ZlMDM0NDE3ZmFiODE1OWU3NDZhOGY1MDEifQ=="/>
  </w:docVars>
  <w:rsids>
    <w:rsidRoot w:val="7C4240B9"/>
    <w:rsid w:val="005608FA"/>
    <w:rsid w:val="00755F78"/>
    <w:rsid w:val="007C0195"/>
    <w:rsid w:val="00E47A21"/>
    <w:rsid w:val="04AF3D2F"/>
    <w:rsid w:val="08837B92"/>
    <w:rsid w:val="08C86A00"/>
    <w:rsid w:val="0A027EF5"/>
    <w:rsid w:val="0A597BD8"/>
    <w:rsid w:val="0BD52154"/>
    <w:rsid w:val="0D511F64"/>
    <w:rsid w:val="0DC04C9A"/>
    <w:rsid w:val="0FE16DB9"/>
    <w:rsid w:val="102E27CC"/>
    <w:rsid w:val="14EC6CC8"/>
    <w:rsid w:val="18475A11"/>
    <w:rsid w:val="1A0A147C"/>
    <w:rsid w:val="1B492CA6"/>
    <w:rsid w:val="1B776C66"/>
    <w:rsid w:val="20CB3464"/>
    <w:rsid w:val="232D62EB"/>
    <w:rsid w:val="26FA2AF4"/>
    <w:rsid w:val="27437F87"/>
    <w:rsid w:val="29292518"/>
    <w:rsid w:val="2AA6152A"/>
    <w:rsid w:val="2F151C27"/>
    <w:rsid w:val="31675B53"/>
    <w:rsid w:val="340B036E"/>
    <w:rsid w:val="37BD6592"/>
    <w:rsid w:val="3BB8009F"/>
    <w:rsid w:val="3BE9475B"/>
    <w:rsid w:val="3C621912"/>
    <w:rsid w:val="3C64016D"/>
    <w:rsid w:val="41BA6B6F"/>
    <w:rsid w:val="4652117F"/>
    <w:rsid w:val="473E0CD4"/>
    <w:rsid w:val="478902AF"/>
    <w:rsid w:val="48A8351A"/>
    <w:rsid w:val="4AFB34A6"/>
    <w:rsid w:val="4B62106E"/>
    <w:rsid w:val="4C0F0269"/>
    <w:rsid w:val="4D0E5CBB"/>
    <w:rsid w:val="4F02137E"/>
    <w:rsid w:val="4F6232C2"/>
    <w:rsid w:val="50120260"/>
    <w:rsid w:val="515E7614"/>
    <w:rsid w:val="555779FC"/>
    <w:rsid w:val="57550683"/>
    <w:rsid w:val="576F1DC6"/>
    <w:rsid w:val="59F92974"/>
    <w:rsid w:val="5A2B765F"/>
    <w:rsid w:val="5DC84133"/>
    <w:rsid w:val="62184160"/>
    <w:rsid w:val="62680E8E"/>
    <w:rsid w:val="657D6529"/>
    <w:rsid w:val="68647527"/>
    <w:rsid w:val="69D6065F"/>
    <w:rsid w:val="6AF56869"/>
    <w:rsid w:val="6B1D1B59"/>
    <w:rsid w:val="6D704AD1"/>
    <w:rsid w:val="6E5216BA"/>
    <w:rsid w:val="6E7D4AAA"/>
    <w:rsid w:val="6F4F1C71"/>
    <w:rsid w:val="711C0EED"/>
    <w:rsid w:val="71C8599D"/>
    <w:rsid w:val="72D15D6A"/>
    <w:rsid w:val="73562442"/>
    <w:rsid w:val="74C739BC"/>
    <w:rsid w:val="7520766A"/>
    <w:rsid w:val="762D214C"/>
    <w:rsid w:val="7A8C21F2"/>
    <w:rsid w:val="7AF57093"/>
    <w:rsid w:val="7B1F58FC"/>
    <w:rsid w:val="7C4240B9"/>
    <w:rsid w:val="7C8D1F42"/>
    <w:rsid w:val="7CB2466C"/>
    <w:rsid w:val="7E1C0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20"/>
    </w:rPr>
  </w:style>
  <w:style w:type="paragraph" w:styleId="3">
    <w:name w:val="annotation text"/>
    <w:basedOn w:val="1"/>
    <w:qFormat/>
    <w:uiPriority w:val="0"/>
    <w:pPr>
      <w:jc w:val="left"/>
    </w:pPr>
  </w:style>
  <w:style w:type="character" w:customStyle="1" w:styleId="6">
    <w:name w:val="font11"/>
    <w:basedOn w:val="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12</Pages>
  <Words>5748</Words>
  <Characters>6106</Characters>
  <Lines>32</Lines>
  <Paragraphs>9</Paragraphs>
  <TotalTime>33</TotalTime>
  <ScaleCrop>false</ScaleCrop>
  <LinksUpToDate>false</LinksUpToDate>
  <CharactersWithSpaces>6121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2022-04-19T05:19:00Z</dcterms:created>
  <dc:creator>温如言 。</dc:creator>
  <cp:lastModifiedBy>曹菲菲</cp:lastModifiedBy>
  <dcterms:modified xsi:type="dcterms:W3CDTF">2023-06-08T06:44:27Z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DB8066B8217F4232AC86A435A0258641_13</vt:lpwstr>
  </property>
  <property fmtid="{D5CDD505-2E9C-101B-9397-08002B2CF9AE}" pid="4" name="commondata">
    <vt:lpwstr>eyJoZGlkIjoiODhkYTg5N2ZlMDM0NDE3ZmFiODE1OWU3NDZhOGY1MDEifQ==</vt:lpwstr>
  </property>
</Properties>
</file>