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48B6" w:rsidRDefault="004C7AC6">
      <w:pPr>
        <w:spacing w:line="580" w:lineRule="exact"/>
        <w:ind w:firstLineChars="200" w:firstLine="880"/>
        <w:jc w:val="center"/>
        <w:rPr>
          <w:rFonts w:ascii="黑体" w:eastAsia="黑体"/>
          <w:sz w:val="44"/>
          <w:szCs w:val="44"/>
        </w:rPr>
      </w:pPr>
      <w:r>
        <w:rPr>
          <w:rFonts w:ascii="黑体" w:eastAsia="黑体" w:hint="eastAsia"/>
          <w:sz w:val="44"/>
          <w:szCs w:val="44"/>
        </w:rPr>
        <w:t>项目支出绩效评价报告</w:t>
      </w:r>
    </w:p>
    <w:p w:rsidR="007248B6" w:rsidRDefault="004C7AC6">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一、基本情况</w:t>
      </w:r>
    </w:p>
    <w:p w:rsidR="007248B6" w:rsidRDefault="004C7AC6">
      <w:pPr>
        <w:spacing w:line="580" w:lineRule="exact"/>
        <w:ind w:firstLineChars="200" w:firstLine="640"/>
        <w:outlineLvl w:val="0"/>
        <w:rPr>
          <w:rFonts w:ascii="仿宋_GB2312" w:eastAsia="仿宋_GB2312" w:hAnsi="仿宋_GB2312" w:cs="仿宋_GB2312"/>
          <w:sz w:val="32"/>
          <w:szCs w:val="32"/>
        </w:rPr>
      </w:pPr>
      <w:r>
        <w:rPr>
          <w:rFonts w:ascii="仿宋_GB2312" w:eastAsia="仿宋_GB2312" w:hAnsi="仿宋_GB2312" w:cs="仿宋_GB2312" w:hint="eastAsia"/>
          <w:sz w:val="32"/>
          <w:szCs w:val="32"/>
        </w:rPr>
        <w:t>（一）项目概况</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cs="仿宋_GB2312" w:hint="eastAsia"/>
          <w:b/>
          <w:bCs/>
          <w:sz w:val="32"/>
          <w:szCs w:val="32"/>
        </w:rPr>
        <w:t>1.</w:t>
      </w:r>
      <w:r>
        <w:rPr>
          <w:rFonts w:ascii="仿宋_GB2312" w:eastAsia="仿宋_GB2312" w:hint="eastAsia"/>
          <w:b/>
          <w:sz w:val="32"/>
          <w:szCs w:val="32"/>
        </w:rPr>
        <w:t>项目名称</w:t>
      </w:r>
    </w:p>
    <w:p w:rsidR="007248B6" w:rsidRDefault="004C7AC6">
      <w:pPr>
        <w:spacing w:line="360" w:lineRule="auto"/>
        <w:ind w:firstLineChars="200" w:firstLine="640"/>
        <w:contextualSpacing/>
        <w:rPr>
          <w:rFonts w:ascii="仿宋_GB2312" w:eastAsia="仿宋_GB2312"/>
          <w:sz w:val="32"/>
          <w:szCs w:val="32"/>
        </w:rPr>
      </w:pPr>
      <w:r>
        <w:rPr>
          <w:rFonts w:ascii="仿宋_GB2312" w:eastAsia="仿宋_GB2312" w:hint="eastAsia"/>
          <w:sz w:val="32"/>
          <w:szCs w:val="32"/>
        </w:rPr>
        <w:t>检察工作经费。</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2.实施主体</w:t>
      </w:r>
    </w:p>
    <w:p w:rsidR="007248B6" w:rsidRDefault="004C7AC6">
      <w:pPr>
        <w:spacing w:line="360" w:lineRule="auto"/>
        <w:ind w:firstLineChars="200" w:firstLine="640"/>
        <w:contextualSpacing/>
        <w:rPr>
          <w:rFonts w:ascii="仿宋_GB2312" w:eastAsia="仿宋_GB2312"/>
          <w:sz w:val="32"/>
          <w:szCs w:val="32"/>
        </w:rPr>
      </w:pPr>
      <w:r>
        <w:rPr>
          <w:rFonts w:ascii="仿宋_GB2312" w:eastAsia="仿宋_GB2312" w:hint="eastAsia"/>
          <w:sz w:val="32"/>
          <w:szCs w:val="32"/>
        </w:rPr>
        <w:t>北京市怀柔区人民检察院（以下简称区检察院）。</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3.项目背景及立项依据</w:t>
      </w:r>
    </w:p>
    <w:p w:rsidR="007248B6" w:rsidRDefault="004C7AC6">
      <w:pPr>
        <w:tabs>
          <w:tab w:val="center" w:pos="6979"/>
        </w:tabs>
        <w:spacing w:line="580" w:lineRule="exact"/>
        <w:ind w:firstLineChars="196" w:firstLine="627"/>
        <w:rPr>
          <w:rFonts w:ascii="仿宋_GB2312" w:eastAsia="仿宋_GB2312"/>
          <w:color w:val="000000"/>
          <w:sz w:val="32"/>
          <w:szCs w:val="32"/>
        </w:rPr>
      </w:pPr>
      <w:r>
        <w:rPr>
          <w:rFonts w:ascii="仿宋_GB2312" w:eastAsia="仿宋_GB2312" w:hint="eastAsia"/>
          <w:sz w:val="32"/>
          <w:szCs w:val="32"/>
        </w:rPr>
        <w:t>区检察院</w:t>
      </w:r>
      <w:r>
        <w:rPr>
          <w:rFonts w:ascii="仿宋_GB2312" w:eastAsia="仿宋_GB2312" w:hAnsi="仿宋_GB2312" w:cs="仿宋_GB2312" w:hint="eastAsia"/>
          <w:sz w:val="32"/>
          <w:szCs w:val="32"/>
        </w:rPr>
        <w:t>依照市检察院《关于进一步加强新时代检察新闻宣传工作的意见》、《关于加强和改进首都政法宣传舆论工作的实施办法》、</w:t>
      </w:r>
      <w:r>
        <w:rPr>
          <w:rFonts w:ascii="仿宋_GB2312" w:eastAsia="仿宋_GB2312" w:hint="eastAsia"/>
          <w:color w:val="000000"/>
          <w:sz w:val="32"/>
          <w:szCs w:val="32"/>
        </w:rPr>
        <w:t>《人民检察院档案工作规定》、《北京市检察机关档案借阅管理办法》、《北京市人民检察院财务管理暂行办法》、《北京市人民检察院检察业务费开支范围》等文件的要求，结合检察院实际业务工作安排情况，设立了检察工作经费项目。该项目经北京市财政局批复后立项。</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4.项目单位基本情况</w:t>
      </w:r>
    </w:p>
    <w:p w:rsidR="007248B6" w:rsidRDefault="004C7AC6">
      <w:pPr>
        <w:tabs>
          <w:tab w:val="center" w:pos="6979"/>
        </w:tabs>
        <w:spacing w:line="580" w:lineRule="exact"/>
        <w:ind w:firstLineChars="196" w:firstLine="627"/>
        <w:rPr>
          <w:rFonts w:ascii="仿宋_GB2312" w:eastAsia="仿宋_GB2312"/>
          <w:color w:val="000000"/>
          <w:sz w:val="32"/>
          <w:szCs w:val="32"/>
        </w:rPr>
      </w:pPr>
      <w:r>
        <w:rPr>
          <w:rFonts w:ascii="仿宋_GB2312" w:eastAsia="仿宋_GB2312" w:hint="eastAsia"/>
          <w:sz w:val="32"/>
          <w:szCs w:val="32"/>
        </w:rPr>
        <w:lastRenderedPageBreak/>
        <w:t>区检察院</w:t>
      </w:r>
      <w:r>
        <w:rPr>
          <w:rFonts w:ascii="仿宋_GB2312" w:eastAsia="仿宋_GB2312" w:hint="eastAsia"/>
          <w:color w:val="000000"/>
          <w:sz w:val="32"/>
          <w:szCs w:val="32"/>
        </w:rPr>
        <w:t>主要职责是在辖区内依法独立行使检察权。接受北京市人民检察院和区委的领导，对本区人民代表大会及其常务委员会负责并报告工作；负责受理审查本院管辖提请逮捕的案件；负责受理本院管辖提起公诉的案件，并出庭支持公诉；负责受理辖区</w:t>
      </w:r>
      <w:proofErr w:type="gramStart"/>
      <w:r>
        <w:rPr>
          <w:rFonts w:ascii="仿宋_GB2312" w:eastAsia="仿宋_GB2312" w:hint="eastAsia"/>
          <w:color w:val="000000"/>
          <w:sz w:val="32"/>
          <w:szCs w:val="32"/>
        </w:rPr>
        <w:t>内公民</w:t>
      </w:r>
      <w:proofErr w:type="gramEnd"/>
      <w:r>
        <w:rPr>
          <w:rFonts w:ascii="仿宋_GB2312" w:eastAsia="仿宋_GB2312" w:hint="eastAsia"/>
          <w:color w:val="000000"/>
          <w:sz w:val="32"/>
          <w:szCs w:val="32"/>
        </w:rPr>
        <w:t>和法人检举、控告、申诉的案件；负责对辖区内民事、行政诉讼判决的监督；负责对区公安分局、国家安全分局侦查工作的法律监督；负责对辖区内监管场所收押犯罪嫌疑人、罪犯改造工作的监督；负责对区监察委员会调查案件进行立案审查,衔接侦查程序，对需要的情况由检察机关自行侦查补正，对案件进行审查起诉并出庭支持公诉；负责本院的党建工作和干部教育管理以及思想政治工作；负责本院党的纪律检查和行政监察工作；负责本院的后勤管理和物资装备工作；负责由上级人民检察院交办的其他事项等。</w:t>
      </w:r>
    </w:p>
    <w:p w:rsidR="007248B6" w:rsidRDefault="004C7AC6">
      <w:pPr>
        <w:tabs>
          <w:tab w:val="center" w:pos="6979"/>
        </w:tabs>
        <w:spacing w:line="580" w:lineRule="exact"/>
        <w:ind w:firstLineChars="196" w:firstLine="627"/>
        <w:rPr>
          <w:rFonts w:ascii="仿宋_GB2312" w:eastAsia="仿宋_GB2312"/>
          <w:color w:val="000000"/>
          <w:sz w:val="32"/>
          <w:szCs w:val="32"/>
        </w:rPr>
      </w:pPr>
      <w:r>
        <w:rPr>
          <w:rFonts w:ascii="仿宋_GB2312" w:eastAsia="仿宋_GB2312" w:hint="eastAsia"/>
          <w:color w:val="000000"/>
          <w:sz w:val="32"/>
          <w:szCs w:val="32"/>
        </w:rPr>
        <w:t>区检察院内设10个处室，分别为办公室（行政事务管理部）、政治部（机关党委、机关纪委）、第一检察部、第二检察部、第三检察部、第四检察部、第五检察部、第六检察部、第七检察部、检务督察部。</w:t>
      </w:r>
    </w:p>
    <w:p w:rsidR="007248B6" w:rsidRDefault="004C7AC6">
      <w:pPr>
        <w:spacing w:line="360" w:lineRule="auto"/>
        <w:ind w:firstLineChars="200" w:firstLine="643"/>
        <w:contextualSpacing/>
        <w:rPr>
          <w:rFonts w:ascii="仿宋_GB2312" w:eastAsia="仿宋_GB2312"/>
          <w:b/>
          <w:kern w:val="44"/>
          <w:sz w:val="32"/>
          <w:szCs w:val="32"/>
        </w:rPr>
      </w:pPr>
      <w:r>
        <w:rPr>
          <w:rFonts w:ascii="仿宋_GB2312" w:eastAsia="仿宋_GB2312" w:hint="eastAsia"/>
          <w:b/>
          <w:kern w:val="44"/>
          <w:sz w:val="32"/>
          <w:szCs w:val="32"/>
        </w:rPr>
        <w:t>5.主要内容及实施情况</w:t>
      </w:r>
    </w:p>
    <w:p w:rsidR="007248B6" w:rsidRDefault="004C7AC6">
      <w:pPr>
        <w:adjustRightInd w:val="0"/>
        <w:snapToGrid w:val="0"/>
        <w:spacing w:line="600" w:lineRule="exact"/>
        <w:ind w:firstLineChars="200" w:firstLine="640"/>
        <w:rPr>
          <w:rFonts w:ascii="仿宋_GB2312" w:eastAsia="仿宋_GB2312" w:hAnsi="宋体"/>
          <w:sz w:val="32"/>
          <w:szCs w:val="32"/>
        </w:rPr>
      </w:pPr>
      <w:r>
        <w:rPr>
          <w:rFonts w:ascii="仿宋_GB2312" w:eastAsia="仿宋_GB2312" w:hAnsi="宋体" w:hint="eastAsia"/>
          <w:sz w:val="32"/>
          <w:szCs w:val="32"/>
        </w:rPr>
        <w:t>2021年12月3日，根据《北京市怀柔区人民检察院党组会议纪要（第24次）》，同意申报2022年财政预算情况和项目经费支出安排，2022年检察工作经费预算金额50万元，主要用于档案扫描和</w:t>
      </w:r>
      <w:r>
        <w:rPr>
          <w:rFonts w:ascii="仿宋_GB2312" w:eastAsia="仿宋_GB2312" w:hAnsi="宋体" w:hint="eastAsia"/>
          <w:sz w:val="32"/>
          <w:szCs w:val="32"/>
        </w:rPr>
        <w:lastRenderedPageBreak/>
        <w:t xml:space="preserve">新媒体宣传相关支出。 </w:t>
      </w:r>
    </w:p>
    <w:p w:rsidR="007248B6" w:rsidRDefault="004C7AC6">
      <w:pPr>
        <w:spacing w:line="360" w:lineRule="auto"/>
        <w:ind w:firstLineChars="200" w:firstLine="640"/>
        <w:contextualSpacing/>
        <w:rPr>
          <w:rFonts w:ascii="仿宋_GB2312" w:eastAsia="仿宋_GB2312"/>
          <w:bCs/>
          <w:sz w:val="32"/>
          <w:szCs w:val="32"/>
        </w:rPr>
      </w:pPr>
      <w:r>
        <w:rPr>
          <w:rFonts w:ascii="仿宋_GB2312" w:eastAsia="仿宋_GB2312" w:hint="eastAsia"/>
          <w:sz w:val="32"/>
          <w:szCs w:val="32"/>
        </w:rPr>
        <w:t>区检察院成立工作小组，制度项目实施方案，通过三方比价方式选定第三</w:t>
      </w:r>
      <w:proofErr w:type="gramStart"/>
      <w:r>
        <w:rPr>
          <w:rFonts w:ascii="仿宋_GB2312" w:eastAsia="仿宋_GB2312" w:hint="eastAsia"/>
          <w:sz w:val="32"/>
          <w:szCs w:val="32"/>
        </w:rPr>
        <w:t>方服务</w:t>
      </w:r>
      <w:proofErr w:type="gramEnd"/>
      <w:r>
        <w:rPr>
          <w:rFonts w:ascii="仿宋_GB2312" w:eastAsia="仿宋_GB2312" w:hint="eastAsia"/>
          <w:sz w:val="32"/>
          <w:szCs w:val="32"/>
        </w:rPr>
        <w:t>公司，并根据项目内容分别签订服务合同，根据合同内容开展实际工作。</w:t>
      </w:r>
    </w:p>
    <w:p w:rsidR="007248B6" w:rsidRDefault="004C7AC6">
      <w:pPr>
        <w:spacing w:line="360" w:lineRule="auto"/>
        <w:ind w:firstLineChars="200" w:firstLine="643"/>
        <w:contextualSpacing/>
        <w:rPr>
          <w:rFonts w:ascii="仿宋_GB2312" w:eastAsia="仿宋_GB2312"/>
          <w:b/>
          <w:kern w:val="44"/>
          <w:sz w:val="32"/>
          <w:szCs w:val="32"/>
        </w:rPr>
      </w:pPr>
      <w:r>
        <w:rPr>
          <w:rFonts w:ascii="仿宋_GB2312" w:eastAsia="仿宋_GB2312" w:hint="eastAsia"/>
          <w:b/>
          <w:kern w:val="44"/>
          <w:sz w:val="32"/>
          <w:szCs w:val="32"/>
        </w:rPr>
        <w:t>6.项目资金情况</w:t>
      </w:r>
    </w:p>
    <w:p w:rsidR="007248B6" w:rsidRDefault="004C7AC6">
      <w:pPr>
        <w:spacing w:line="360" w:lineRule="auto"/>
        <w:ind w:firstLineChars="200" w:firstLine="643"/>
        <w:contextualSpacing/>
        <w:rPr>
          <w:rFonts w:ascii="仿宋_GB2312" w:eastAsia="仿宋_GB2312" w:cs="仿宋_GB2312"/>
          <w:b/>
          <w:sz w:val="32"/>
          <w:szCs w:val="32"/>
        </w:rPr>
      </w:pPr>
      <w:r>
        <w:rPr>
          <w:rFonts w:ascii="仿宋_GB2312" w:eastAsia="仿宋_GB2312" w:cs="仿宋_GB2312" w:hint="eastAsia"/>
          <w:b/>
          <w:sz w:val="32"/>
          <w:szCs w:val="32"/>
        </w:rPr>
        <w:t>（1）项目预算管理情况分析</w:t>
      </w:r>
    </w:p>
    <w:p w:rsidR="007248B6" w:rsidRDefault="004C7AC6">
      <w:pPr>
        <w:spacing w:line="360" w:lineRule="auto"/>
        <w:ind w:firstLineChars="200" w:firstLine="640"/>
        <w:contextualSpacing/>
        <w:rPr>
          <w:rFonts w:ascii="仿宋_GB2312" w:eastAsia="仿宋_GB2312" w:cs="仿宋_GB2312"/>
          <w:sz w:val="32"/>
          <w:szCs w:val="32"/>
        </w:rPr>
      </w:pPr>
      <w:r>
        <w:rPr>
          <w:rFonts w:ascii="仿宋_GB2312" w:eastAsia="仿宋_GB2312" w:cs="仿宋_GB2312"/>
          <w:sz w:val="32"/>
          <w:szCs w:val="32"/>
        </w:rPr>
        <w:t>该项资金</w:t>
      </w:r>
      <w:r>
        <w:rPr>
          <w:rFonts w:ascii="仿宋_GB2312" w:eastAsia="仿宋_GB2312" w:cs="仿宋_GB2312" w:hint="eastAsia"/>
          <w:sz w:val="32"/>
          <w:szCs w:val="32"/>
        </w:rPr>
        <w:t>由区检察院向北京市财政局提交项目申报书，项目申报书中列示检察工作经费总金额50万元，</w:t>
      </w:r>
      <w:r>
        <w:rPr>
          <w:rFonts w:ascii="仿宋_GB2312" w:eastAsia="仿宋_GB2312" w:hint="eastAsia"/>
          <w:sz w:val="32"/>
          <w:szCs w:val="32"/>
        </w:rPr>
        <w:t>北京市财政局2022年1月28日下达北京市怀柔区人民检察院2022年度预算批复（</w:t>
      </w:r>
      <w:proofErr w:type="gramStart"/>
      <w:r>
        <w:rPr>
          <w:rFonts w:ascii="仿宋_GB2312" w:eastAsia="仿宋_GB2312" w:hint="eastAsia"/>
          <w:sz w:val="32"/>
          <w:szCs w:val="32"/>
        </w:rPr>
        <w:t>京财公检法</w:t>
      </w:r>
      <w:proofErr w:type="gramEnd"/>
      <w:r>
        <w:rPr>
          <w:rFonts w:ascii="仿宋_GB2312" w:eastAsia="仿宋_GB2312" w:hint="eastAsia"/>
          <w:sz w:val="32"/>
          <w:szCs w:val="32"/>
        </w:rPr>
        <w:t>指【2022】123号），</w:t>
      </w:r>
      <w:r>
        <w:rPr>
          <w:rFonts w:ascii="仿宋_GB2312" w:eastAsia="仿宋_GB2312" w:cs="仿宋_GB2312" w:hint="eastAsia"/>
          <w:sz w:val="32"/>
          <w:szCs w:val="32"/>
        </w:rPr>
        <w:t>北京市财政局直接将预算指标下达给区检察院。</w:t>
      </w:r>
    </w:p>
    <w:p w:rsidR="007248B6" w:rsidRDefault="004C7AC6">
      <w:pPr>
        <w:spacing w:line="360" w:lineRule="auto"/>
        <w:ind w:firstLineChars="200" w:firstLine="643"/>
        <w:contextualSpacing/>
        <w:rPr>
          <w:rFonts w:ascii="仿宋_GB2312" w:eastAsia="仿宋_GB2312" w:hAnsi="仿宋_GB2312"/>
          <w:b/>
          <w:sz w:val="32"/>
          <w:szCs w:val="32"/>
        </w:rPr>
      </w:pPr>
      <w:r>
        <w:rPr>
          <w:rFonts w:ascii="仿宋_GB2312" w:eastAsia="仿宋_GB2312" w:hAnsi="仿宋_GB2312" w:hint="eastAsia"/>
          <w:b/>
          <w:sz w:val="32"/>
          <w:szCs w:val="32"/>
        </w:rPr>
        <w:t>（2）资金使用情况分析</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2022年共支付检察工作经费50万元，</w:t>
      </w:r>
      <w:r>
        <w:rPr>
          <w:rFonts w:ascii="仿宋_GB2312" w:eastAsia="仿宋_GB2312"/>
          <w:sz w:val="32"/>
          <w:szCs w:val="32"/>
        </w:rPr>
        <w:t>其中：支付</w:t>
      </w:r>
      <w:r>
        <w:rPr>
          <w:rFonts w:ascii="仿宋_GB2312" w:eastAsia="仿宋_GB2312" w:hint="eastAsia"/>
          <w:sz w:val="32"/>
          <w:szCs w:val="32"/>
        </w:rPr>
        <w:t>2022年怀柔检察监督热线宣传费5万元，支付新闻宣传工作数字新媒体服务费26万元，支付党建工作宣传片视频制作费9万元，支付档案扫描数字化服务费10万元。</w:t>
      </w:r>
      <w:r>
        <w:rPr>
          <w:rFonts w:ascii="仿宋_GB2312" w:eastAsia="仿宋_GB2312" w:hAnsi="宋体" w:cs="宋体" w:hint="eastAsia"/>
          <w:kern w:val="0"/>
          <w:sz w:val="32"/>
          <w:szCs w:val="32"/>
        </w:rPr>
        <w:t>项目资金无</w:t>
      </w:r>
      <w:r>
        <w:rPr>
          <w:rFonts w:ascii="仿宋_GB2312" w:eastAsia="仿宋_GB2312" w:hAnsi="宋体" w:cs="宋体"/>
          <w:kern w:val="0"/>
          <w:sz w:val="32"/>
          <w:szCs w:val="32"/>
        </w:rPr>
        <w:t>结余</w:t>
      </w:r>
      <w:r>
        <w:rPr>
          <w:rFonts w:ascii="仿宋_GB2312" w:eastAsia="仿宋_GB2312" w:hAnsi="宋体" w:cs="宋体" w:hint="eastAsia"/>
          <w:kern w:val="0"/>
          <w:sz w:val="32"/>
          <w:szCs w:val="32"/>
        </w:rPr>
        <w:t>。</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(二)项目绩效目标</w:t>
      </w:r>
    </w:p>
    <w:p w:rsidR="007248B6" w:rsidRDefault="004C7AC6">
      <w:pPr>
        <w:spacing w:line="360" w:lineRule="auto"/>
        <w:ind w:firstLineChars="200" w:firstLine="643"/>
        <w:contextualSpacing/>
        <w:rPr>
          <w:rFonts w:ascii="仿宋_GB2312" w:eastAsia="仿宋_GB2312"/>
          <w:b/>
          <w:kern w:val="44"/>
          <w:sz w:val="32"/>
          <w:szCs w:val="32"/>
        </w:rPr>
      </w:pPr>
      <w:r>
        <w:rPr>
          <w:rFonts w:ascii="仿宋_GB2312" w:eastAsia="仿宋_GB2312" w:hint="eastAsia"/>
          <w:b/>
          <w:sz w:val="32"/>
          <w:szCs w:val="32"/>
        </w:rPr>
        <w:lastRenderedPageBreak/>
        <w:t>1.</w:t>
      </w:r>
      <w:r>
        <w:rPr>
          <w:rFonts w:ascii="仿宋_GB2312" w:eastAsia="仿宋_GB2312" w:hint="eastAsia"/>
          <w:b/>
          <w:kern w:val="44"/>
          <w:sz w:val="32"/>
          <w:szCs w:val="32"/>
        </w:rPr>
        <w:t>总体目标</w:t>
      </w:r>
    </w:p>
    <w:p w:rsidR="007248B6" w:rsidRDefault="004C7AC6">
      <w:pPr>
        <w:adjustRightInd w:val="0"/>
        <w:snapToGrid w:val="0"/>
        <w:spacing w:line="600" w:lineRule="exact"/>
        <w:ind w:firstLineChars="200" w:firstLine="640"/>
        <w:rPr>
          <w:rFonts w:ascii="仿宋_GB2312" w:eastAsia="仿宋_GB2312"/>
          <w:bCs/>
          <w:sz w:val="32"/>
          <w:szCs w:val="32"/>
        </w:rPr>
      </w:pPr>
      <w:r>
        <w:rPr>
          <w:rFonts w:ascii="仿宋_GB2312" w:eastAsia="仿宋_GB2312" w:hint="eastAsia"/>
          <w:bCs/>
          <w:sz w:val="32"/>
          <w:szCs w:val="32"/>
        </w:rPr>
        <w:t>怀柔区检察院在院党组和机关党委的坚强正确领导下，紧紧围绕科学城统领“1+3”融合发展和“五态”建设，按照“做强专业、做实基础、做出精品、做到跨越发展”，实现“办案精品化、服务精准化、管理精细化、队伍精锐化”思路，坚持围绕中心、服务大局，全面履职、能动履职，各项工作取得明显成效。</w:t>
      </w:r>
    </w:p>
    <w:p w:rsidR="007248B6" w:rsidRDefault="004C7AC6">
      <w:pPr>
        <w:ind w:firstLine="640"/>
        <w:rPr>
          <w:rFonts w:ascii="仿宋_GB2312" w:eastAsia="仿宋_GB2312" w:hAnsi="仿宋_GB2312" w:cs="仿宋_GB2312"/>
          <w:b/>
          <w:sz w:val="32"/>
          <w:szCs w:val="32"/>
        </w:rPr>
      </w:pPr>
      <w:r>
        <w:rPr>
          <w:rFonts w:ascii="仿宋_GB2312" w:eastAsia="仿宋_GB2312" w:hAnsi="仿宋_GB2312" w:cs="仿宋_GB2312" w:hint="eastAsia"/>
          <w:b/>
          <w:sz w:val="32"/>
          <w:szCs w:val="32"/>
        </w:rPr>
        <w:t>2.阶段性目标</w:t>
      </w:r>
    </w:p>
    <w:p w:rsidR="007248B6" w:rsidRDefault="004C7AC6">
      <w:pPr>
        <w:adjustRightInd w:val="0"/>
        <w:snapToGrid w:val="0"/>
        <w:spacing w:line="600" w:lineRule="exact"/>
        <w:ind w:firstLineChars="200" w:firstLine="640"/>
        <w:rPr>
          <w:rFonts w:ascii="仿宋_GB2312" w:eastAsia="仿宋_GB2312"/>
          <w:bCs/>
          <w:sz w:val="32"/>
          <w:szCs w:val="32"/>
        </w:rPr>
      </w:pPr>
      <w:r>
        <w:rPr>
          <w:rFonts w:ascii="仿宋_GB2312" w:eastAsia="仿宋_GB2312" w:hint="eastAsia"/>
          <w:sz w:val="32"/>
          <w:szCs w:val="32"/>
        </w:rPr>
        <w:t>2022年，完成了全院业务档案扫描工作；加快推进了媒体矩阵建设；提升了检察新闻宣传能力；通过检察宣传不断提高社会认可。</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二、绩效评价工作开展情况</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（一）绩效评价目的、对象和范围</w:t>
      </w:r>
    </w:p>
    <w:p w:rsidR="007248B6" w:rsidRDefault="004C7AC6">
      <w:pPr>
        <w:spacing w:line="360" w:lineRule="auto"/>
        <w:ind w:firstLineChars="200" w:firstLine="643"/>
        <w:contextualSpacing/>
        <w:rPr>
          <w:rFonts w:ascii="仿宋_GB2312" w:eastAsia="仿宋_GB2312" w:cs="仿宋_GB2312"/>
          <w:b/>
          <w:bCs/>
          <w:sz w:val="32"/>
          <w:szCs w:val="32"/>
        </w:rPr>
      </w:pPr>
      <w:bookmarkStart w:id="0" w:name="_Toc331419433"/>
      <w:bookmarkStart w:id="1" w:name="_Toc331420045"/>
      <w:r>
        <w:rPr>
          <w:rFonts w:ascii="仿宋_GB2312" w:eastAsia="仿宋_GB2312" w:cs="仿宋_GB2312" w:hint="eastAsia"/>
          <w:b/>
          <w:bCs/>
          <w:sz w:val="32"/>
          <w:szCs w:val="32"/>
        </w:rPr>
        <w:t>1.绩效评价目的</w:t>
      </w:r>
      <w:bookmarkEnd w:id="0"/>
      <w:bookmarkEnd w:id="1"/>
    </w:p>
    <w:p w:rsidR="007248B6" w:rsidRDefault="004C7AC6">
      <w:pPr>
        <w:spacing w:line="360" w:lineRule="auto"/>
        <w:ind w:firstLineChars="200" w:firstLine="640"/>
        <w:contextualSpacing/>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本次评价的目的主要是了解检察工作经费项目使用情况和取得的效果，总结项目管理经验，发现项目管理存在的问题，进一步加强和规范项目资金管理，完善项目和资金管理办法，指导预算编制和</w:t>
      </w:r>
      <w:r>
        <w:rPr>
          <w:rFonts w:ascii="仿宋_GB2312" w:eastAsia="仿宋_GB2312" w:hAnsi="仿宋_GB2312" w:cs="仿宋_GB2312" w:hint="eastAsia"/>
          <w:color w:val="000000"/>
          <w:sz w:val="32"/>
          <w:szCs w:val="32"/>
        </w:rPr>
        <w:lastRenderedPageBreak/>
        <w:t>申报绩效目标，为优化财政支出结构提供决策参考和依据。</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2.绩效评价对象</w:t>
      </w:r>
    </w:p>
    <w:p w:rsidR="007248B6" w:rsidRDefault="004C7AC6">
      <w:pPr>
        <w:pStyle w:val="a0"/>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北京市怀柔区人民检察院。</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3.绩效评价范围</w:t>
      </w:r>
    </w:p>
    <w:p w:rsidR="007248B6" w:rsidRDefault="004C7AC6">
      <w:pPr>
        <w:pStyle w:val="a0"/>
        <w:ind w:firstLine="640"/>
        <w:rPr>
          <w:rFonts w:ascii="仿宋_GB2312" w:eastAsia="仿宋_GB2312" w:hAnsi="仿宋_GB2312" w:cs="仿宋_GB2312"/>
          <w:color w:val="000000"/>
          <w:sz w:val="32"/>
          <w:szCs w:val="32"/>
        </w:rPr>
      </w:pPr>
      <w:r>
        <w:rPr>
          <w:rFonts w:ascii="仿宋_GB2312" w:eastAsia="仿宋_GB2312" w:hAnsi="仿宋_GB2312" w:cs="仿宋_GB2312" w:hint="eastAsia"/>
          <w:color w:val="000000"/>
          <w:sz w:val="32"/>
          <w:szCs w:val="32"/>
        </w:rPr>
        <w:t>2022年度检察工作经费。</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（二）绩效评价原则、评价指标体系（附表说明）、评价方法、评价标准</w:t>
      </w:r>
    </w:p>
    <w:p w:rsidR="007248B6" w:rsidRDefault="004C7AC6">
      <w:pPr>
        <w:spacing w:line="360" w:lineRule="auto"/>
        <w:ind w:firstLineChars="200" w:firstLine="643"/>
        <w:contextualSpacing/>
        <w:rPr>
          <w:rFonts w:ascii="仿宋_GB2312" w:eastAsia="仿宋_GB2312" w:cs="仿宋_GB2312"/>
          <w:b/>
          <w:bCs/>
          <w:sz w:val="32"/>
          <w:szCs w:val="32"/>
        </w:rPr>
      </w:pPr>
      <w:bookmarkStart w:id="2" w:name="_Toc331419434"/>
      <w:bookmarkStart w:id="3" w:name="_Toc331420046"/>
      <w:r>
        <w:rPr>
          <w:rFonts w:ascii="仿宋_GB2312" w:eastAsia="仿宋_GB2312" w:cs="仿宋_GB2312" w:hint="eastAsia"/>
          <w:b/>
          <w:bCs/>
          <w:sz w:val="32"/>
          <w:szCs w:val="32"/>
        </w:rPr>
        <w:t>1.绩效评价原则与方法</w:t>
      </w:r>
      <w:bookmarkEnd w:id="2"/>
      <w:bookmarkEnd w:id="3"/>
    </w:p>
    <w:p w:rsidR="007248B6" w:rsidRDefault="004C7AC6">
      <w:pPr>
        <w:spacing w:line="360" w:lineRule="auto"/>
        <w:ind w:firstLineChars="200" w:firstLine="640"/>
        <w:contextualSpacing/>
        <w:rPr>
          <w:rFonts w:ascii="仿宋_GB2312" w:eastAsia="仿宋_GB2312"/>
          <w:sz w:val="32"/>
          <w:szCs w:val="32"/>
        </w:rPr>
      </w:pPr>
      <w:r>
        <w:rPr>
          <w:rFonts w:ascii="仿宋_GB2312" w:eastAsia="仿宋_GB2312" w:hAnsi="仿宋_GB2312" w:cs="仿宋_GB2312" w:hint="eastAsia"/>
          <w:color w:val="000000"/>
          <w:sz w:val="32"/>
          <w:szCs w:val="32"/>
        </w:rPr>
        <w:t>评价工作组</w:t>
      </w:r>
      <w:r>
        <w:rPr>
          <w:rFonts w:ascii="仿宋_GB2312" w:eastAsia="仿宋_GB2312" w:hint="eastAsia"/>
          <w:sz w:val="32"/>
          <w:szCs w:val="32"/>
        </w:rPr>
        <w:t>本着独立、科学、规范、客观、公正的原则，依据相关方面的规范文件、预算批复文件、项目绩效报告和现场调研信息等，对检察工作经费项目进行了绩效评价。</w:t>
      </w:r>
      <w:bookmarkStart w:id="4" w:name="_Toc331419435"/>
      <w:bookmarkStart w:id="5" w:name="_Toc331420047"/>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（1）绩效评价原则</w:t>
      </w:r>
      <w:bookmarkEnd w:id="4"/>
      <w:bookmarkEnd w:id="5"/>
    </w:p>
    <w:p w:rsidR="007248B6" w:rsidRDefault="004C7AC6">
      <w:pPr>
        <w:pStyle w:val="a4"/>
        <w:ind w:firstLine="640"/>
        <w:contextualSpacing/>
        <w:rPr>
          <w:rFonts w:ascii="仿宋_GB2312" w:eastAsia="仿宋_GB2312" w:hAnsi="宋体"/>
          <w:sz w:val="32"/>
          <w:szCs w:val="32"/>
        </w:rPr>
      </w:pPr>
      <w:bookmarkStart w:id="6" w:name="_Toc331419436"/>
      <w:bookmarkStart w:id="7" w:name="_Toc331420048"/>
      <w:r>
        <w:rPr>
          <w:rFonts w:ascii="仿宋_GB2312" w:eastAsia="仿宋_GB2312" w:hAnsi="宋体" w:hint="eastAsia"/>
          <w:sz w:val="32"/>
          <w:szCs w:val="32"/>
        </w:rPr>
        <w:t>科学规范原则。绩效评价应当严格执行规定的程序，按照科学可行的要求，采用定量与定性分析相结合的方法。</w:t>
      </w:r>
    </w:p>
    <w:p w:rsidR="007248B6" w:rsidRDefault="004C7AC6">
      <w:pPr>
        <w:pStyle w:val="a4"/>
        <w:ind w:firstLine="640"/>
        <w:contextualSpacing/>
        <w:rPr>
          <w:rFonts w:ascii="仿宋_GB2312" w:eastAsia="仿宋_GB2312" w:hAnsi="宋体"/>
          <w:sz w:val="32"/>
          <w:szCs w:val="32"/>
        </w:rPr>
      </w:pPr>
      <w:r>
        <w:rPr>
          <w:rFonts w:ascii="仿宋_GB2312" w:eastAsia="仿宋_GB2312" w:hAnsi="宋体" w:hint="eastAsia"/>
          <w:sz w:val="32"/>
          <w:szCs w:val="32"/>
        </w:rPr>
        <w:t>公正公开原则。绩效评价应当符合真实、客观、公正的要求，依法公开并接受监督。</w:t>
      </w:r>
    </w:p>
    <w:p w:rsidR="007248B6" w:rsidRDefault="004C7AC6">
      <w:pPr>
        <w:pStyle w:val="a4"/>
        <w:ind w:firstLine="640"/>
        <w:contextualSpacing/>
        <w:rPr>
          <w:rFonts w:ascii="仿宋_GB2312" w:eastAsia="仿宋_GB2312" w:hAnsi="宋体"/>
          <w:sz w:val="32"/>
          <w:szCs w:val="32"/>
        </w:rPr>
      </w:pPr>
      <w:r>
        <w:rPr>
          <w:rFonts w:ascii="仿宋_GB2312" w:eastAsia="仿宋_GB2312" w:hAnsi="宋体" w:hint="eastAsia"/>
          <w:sz w:val="32"/>
          <w:szCs w:val="32"/>
        </w:rPr>
        <w:lastRenderedPageBreak/>
        <w:t>绩效相关原则。绩效评价应当针对具体支出及其产出绩效进行，评价结果应当清晰反映支出和产出绩效之间的紧密对应关系。</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（2）评价方式方法</w:t>
      </w:r>
      <w:bookmarkEnd w:id="6"/>
      <w:bookmarkEnd w:id="7"/>
    </w:p>
    <w:p w:rsidR="007248B6" w:rsidRDefault="004C7AC6">
      <w:pPr>
        <w:widowControl/>
        <w:spacing w:line="360" w:lineRule="auto"/>
        <w:ind w:firstLineChars="200" w:firstLine="640"/>
        <w:contextualSpacing/>
        <w:rPr>
          <w:rFonts w:ascii="仿宋_GB2312" w:eastAsia="仿宋_GB2312"/>
          <w:kern w:val="0"/>
          <w:sz w:val="32"/>
          <w:szCs w:val="32"/>
        </w:rPr>
      </w:pPr>
      <w:r>
        <w:rPr>
          <w:rFonts w:ascii="仿宋_GB2312" w:eastAsia="仿宋_GB2312" w:hint="eastAsia"/>
          <w:kern w:val="0"/>
          <w:sz w:val="32"/>
          <w:szCs w:val="32"/>
        </w:rPr>
        <w:t>本着科学、规范、独立、客观、公正的原则，</w:t>
      </w:r>
      <w:r>
        <w:rPr>
          <w:rFonts w:ascii="仿宋_GB2312" w:eastAsia="仿宋_GB2312" w:hAnsi="仿宋_GB2312" w:cs="仿宋_GB2312" w:hint="eastAsia"/>
          <w:color w:val="000000"/>
          <w:sz w:val="32"/>
          <w:szCs w:val="32"/>
        </w:rPr>
        <w:t>评价工作组</w:t>
      </w:r>
      <w:r>
        <w:rPr>
          <w:rFonts w:ascii="仿宋_GB2312" w:eastAsia="仿宋_GB2312" w:hint="eastAsia"/>
          <w:kern w:val="0"/>
          <w:sz w:val="32"/>
          <w:szCs w:val="32"/>
        </w:rPr>
        <w:t>采用全面评价和重点评价相结合、采取现场评价的方式，成本效益分析法、比较法、专家评议法等分析方法，对项目进行综合评价。</w:t>
      </w:r>
    </w:p>
    <w:p w:rsidR="007248B6" w:rsidRDefault="004C7AC6">
      <w:pPr>
        <w:widowControl/>
        <w:spacing w:line="360" w:lineRule="auto"/>
        <w:ind w:firstLineChars="200" w:firstLine="640"/>
        <w:contextualSpacing/>
        <w:rPr>
          <w:rFonts w:ascii="仿宋_GB2312" w:eastAsia="仿宋_GB2312"/>
          <w:sz w:val="32"/>
          <w:szCs w:val="32"/>
        </w:rPr>
      </w:pPr>
      <w:r>
        <w:rPr>
          <w:rFonts w:ascii="仿宋_GB2312" w:eastAsia="仿宋_GB2312" w:hint="eastAsia"/>
          <w:kern w:val="0"/>
          <w:sz w:val="32"/>
          <w:szCs w:val="32"/>
        </w:rPr>
        <w:t>本次绩效评价</w:t>
      </w:r>
      <w:r>
        <w:rPr>
          <w:rFonts w:ascii="仿宋_GB2312" w:eastAsia="仿宋_GB2312" w:hint="eastAsia"/>
          <w:sz w:val="32"/>
          <w:szCs w:val="32"/>
        </w:rPr>
        <w:t>对项目单位在项目决策、项目管理、项目绩效方面的情况进行专家组现场评价，专家组通过查阅相关资料，与项目单位沟通交流，形成绩效评价综合结论。</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2. 评价指标体系及评分标准</w:t>
      </w:r>
    </w:p>
    <w:p w:rsidR="007248B6" w:rsidRDefault="004C7AC6">
      <w:pPr>
        <w:spacing w:line="360" w:lineRule="auto"/>
        <w:ind w:firstLineChars="200" w:firstLine="640"/>
        <w:contextualSpacing/>
        <w:rPr>
          <w:rFonts w:ascii="仿宋_GB2312" w:eastAsia="仿宋_GB2312" w:cs="仿宋_GB2312"/>
          <w:bCs/>
          <w:sz w:val="32"/>
          <w:szCs w:val="32"/>
        </w:rPr>
      </w:pPr>
      <w:r>
        <w:rPr>
          <w:rFonts w:ascii="仿宋_GB2312" w:eastAsia="仿宋_GB2312" w:cs="仿宋_GB2312" w:hint="eastAsia"/>
          <w:bCs/>
          <w:sz w:val="32"/>
          <w:szCs w:val="32"/>
        </w:rPr>
        <w:t>详见《项目支出指标体系及评分情况表》。</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（三）绩效评价工作过程</w:t>
      </w:r>
    </w:p>
    <w:p w:rsidR="007248B6" w:rsidRDefault="004C7AC6">
      <w:pPr>
        <w:spacing w:line="360" w:lineRule="auto"/>
        <w:ind w:firstLineChars="200" w:firstLine="643"/>
        <w:contextualSpacing/>
        <w:rPr>
          <w:rFonts w:ascii="仿宋_GB2312" w:eastAsia="仿宋_GB2312"/>
          <w:b/>
          <w:kern w:val="44"/>
          <w:sz w:val="32"/>
          <w:szCs w:val="32"/>
        </w:rPr>
      </w:pPr>
      <w:r>
        <w:rPr>
          <w:rFonts w:ascii="仿宋_GB2312" w:eastAsia="仿宋_GB2312" w:hint="eastAsia"/>
          <w:b/>
          <w:kern w:val="44"/>
          <w:sz w:val="32"/>
          <w:szCs w:val="32"/>
        </w:rPr>
        <w:t>1.评价组织实施</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（1）前期准备情况</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1）全面了解项目有关情况，组建工作组</w:t>
      </w:r>
    </w:p>
    <w:p w:rsidR="007248B6" w:rsidRDefault="004C7AC6">
      <w:pPr>
        <w:spacing w:line="360" w:lineRule="auto"/>
        <w:ind w:firstLineChars="200" w:firstLine="640"/>
        <w:contextualSpacing/>
        <w:rPr>
          <w:rFonts w:ascii="仿宋_GB2312" w:eastAsia="仿宋_GB2312" w:cs="仿宋_GB2312"/>
          <w:sz w:val="32"/>
          <w:szCs w:val="32"/>
        </w:rPr>
      </w:pPr>
      <w:r>
        <w:rPr>
          <w:rFonts w:ascii="仿宋_GB2312" w:eastAsia="仿宋_GB2312" w:cs="仿宋_GB2312" w:hint="eastAsia"/>
          <w:sz w:val="32"/>
          <w:szCs w:val="32"/>
        </w:rPr>
        <w:lastRenderedPageBreak/>
        <w:t>2023年5月5日组建了评价工作组，明确了各方职责。2023年5月6日评价工作组第一次进行入户，在与项目单位充分沟通的基础上进行项目资料收集、整理和分析工作。</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2）制定工作方案，明确时间及进度要求</w:t>
      </w:r>
    </w:p>
    <w:p w:rsidR="007248B6" w:rsidRDefault="004C7AC6">
      <w:pPr>
        <w:spacing w:line="360" w:lineRule="auto"/>
        <w:ind w:firstLineChars="200" w:firstLine="640"/>
        <w:contextualSpacing/>
        <w:rPr>
          <w:rFonts w:ascii="仿宋_GB2312" w:eastAsia="仿宋_GB2312" w:cs="仿宋_GB2312"/>
          <w:sz w:val="32"/>
          <w:szCs w:val="32"/>
        </w:rPr>
      </w:pPr>
      <w:r>
        <w:rPr>
          <w:rFonts w:ascii="仿宋_GB2312" w:eastAsia="仿宋_GB2312" w:cs="仿宋_GB2312" w:hint="eastAsia"/>
          <w:sz w:val="32"/>
          <w:szCs w:val="32"/>
        </w:rPr>
        <w:t>为了保证按时按质完成绩效评价工作，评价工作组认真研究制定项目绩效评价工作方案。方案中根据本次绩效评价工作的任务和时间要求，确定了绩效评价具体工作内容和进度安排，明确工作内容、责任主体以及时间等事项。</w:t>
      </w:r>
    </w:p>
    <w:p w:rsidR="007248B6" w:rsidRDefault="004C7AC6">
      <w:pPr>
        <w:spacing w:line="360" w:lineRule="auto"/>
        <w:ind w:firstLineChars="200" w:firstLine="643"/>
        <w:contextualSpacing/>
        <w:rPr>
          <w:rFonts w:ascii="仿宋_GB2312" w:eastAsia="仿宋_GB2312" w:cs="仿宋_GB2312"/>
          <w:sz w:val="32"/>
          <w:szCs w:val="32"/>
        </w:rPr>
      </w:pPr>
      <w:r>
        <w:rPr>
          <w:rFonts w:ascii="仿宋_GB2312" w:eastAsia="仿宋_GB2312" w:hAnsi="宋体" w:cs="仿宋_GB2312" w:hint="eastAsia"/>
          <w:b/>
          <w:bCs/>
          <w:sz w:val="32"/>
          <w:szCs w:val="32"/>
        </w:rPr>
        <w:t>3）辅导项目单位编写绩效报告</w:t>
      </w:r>
    </w:p>
    <w:p w:rsidR="007248B6" w:rsidRDefault="004C7AC6">
      <w:pPr>
        <w:spacing w:line="360" w:lineRule="auto"/>
        <w:ind w:firstLineChars="200" w:firstLine="640"/>
        <w:contextualSpacing/>
        <w:rPr>
          <w:rFonts w:ascii="仿宋_GB2312" w:eastAsia="仿宋_GB2312" w:hAnsi="宋体" w:cs="仿宋_GB2312"/>
          <w:b/>
          <w:bCs/>
          <w:sz w:val="32"/>
          <w:szCs w:val="32"/>
        </w:rPr>
      </w:pPr>
      <w:r>
        <w:rPr>
          <w:rFonts w:ascii="仿宋_GB2312" w:eastAsia="仿宋_GB2312" w:hAnsi="仿宋_GB2312" w:cs="仿宋_GB2312" w:hint="eastAsia"/>
          <w:color w:val="000000"/>
          <w:sz w:val="32"/>
          <w:szCs w:val="32"/>
        </w:rPr>
        <w:t>通过分析项目资料，深入了解项目工作流程、项目工作内容、项目取得的成果、资金使用状况、现有的项目管理经验和问题等信息，评价工作组结合项目的特点，对绩效报告范本进行了完善和细化，对评价的主要指标和重点内容进行了提示和补充。为了确保绩效报告编报质量和绩效评价工作的顺利开展，评价工作组与项目单位就绩效评价工作安排</w:t>
      </w:r>
      <w:r>
        <w:rPr>
          <w:rFonts w:ascii="仿宋_GB2312" w:eastAsia="仿宋_GB2312" w:hAnsi="仿宋_GB2312" w:cs="仿宋_GB2312" w:hint="eastAsia"/>
          <w:sz w:val="32"/>
          <w:szCs w:val="32"/>
        </w:rPr>
        <w:t>、资料准备</w:t>
      </w:r>
      <w:r>
        <w:rPr>
          <w:rFonts w:ascii="仿宋_GB2312" w:eastAsia="仿宋_GB2312" w:hAnsi="仿宋_GB2312" w:cs="仿宋_GB2312" w:hint="eastAsia"/>
          <w:color w:val="000000"/>
          <w:sz w:val="32"/>
          <w:szCs w:val="32"/>
        </w:rPr>
        <w:t>和绩效报告编制工作进行了多次沟通，对提高绩效材料编报质量、顺利完成绩效评价工作起到了促进作用。</w:t>
      </w:r>
    </w:p>
    <w:p w:rsidR="007248B6" w:rsidRDefault="004C7AC6">
      <w:pPr>
        <w:spacing w:line="360" w:lineRule="auto"/>
        <w:ind w:firstLineChars="200" w:firstLine="643"/>
        <w:contextualSpacing/>
        <w:rPr>
          <w:rFonts w:ascii="仿宋_GB2312" w:eastAsia="仿宋_GB2312" w:cs="仿宋_GB2312"/>
          <w:b/>
          <w:bCs/>
          <w:sz w:val="32"/>
          <w:szCs w:val="32"/>
        </w:rPr>
      </w:pPr>
      <w:bookmarkStart w:id="8" w:name="_Toc331419439"/>
      <w:bookmarkStart w:id="9" w:name="_Toc331420051"/>
      <w:r>
        <w:rPr>
          <w:rFonts w:ascii="仿宋_GB2312" w:eastAsia="仿宋_GB2312" w:cs="仿宋_GB2312" w:hint="eastAsia"/>
          <w:b/>
          <w:bCs/>
          <w:sz w:val="32"/>
          <w:szCs w:val="32"/>
        </w:rPr>
        <w:t>（2）实施阶段</w:t>
      </w:r>
      <w:bookmarkEnd w:id="8"/>
      <w:bookmarkEnd w:id="9"/>
    </w:p>
    <w:p w:rsidR="007248B6" w:rsidRDefault="004C7AC6">
      <w:pPr>
        <w:spacing w:line="360" w:lineRule="auto"/>
        <w:ind w:firstLineChars="200" w:firstLine="643"/>
        <w:contextualSpacing/>
        <w:rPr>
          <w:rFonts w:ascii="仿宋_GB2312" w:eastAsia="仿宋_GB2312" w:cs="仿宋_GB2312"/>
          <w:b/>
          <w:bCs/>
          <w:sz w:val="32"/>
          <w:szCs w:val="32"/>
        </w:rPr>
      </w:pPr>
      <w:bookmarkStart w:id="10" w:name="_Toc331419440"/>
      <w:bookmarkStart w:id="11" w:name="_Toc331420052"/>
      <w:r>
        <w:rPr>
          <w:rFonts w:ascii="仿宋_GB2312" w:eastAsia="仿宋_GB2312" w:cs="仿宋_GB2312" w:hint="eastAsia"/>
          <w:b/>
          <w:bCs/>
          <w:sz w:val="32"/>
          <w:szCs w:val="32"/>
        </w:rPr>
        <w:lastRenderedPageBreak/>
        <w:t>1）组建绩效评价专家组</w:t>
      </w:r>
      <w:bookmarkEnd w:id="10"/>
      <w:bookmarkEnd w:id="11"/>
    </w:p>
    <w:p w:rsidR="007248B6" w:rsidRDefault="004C7AC6">
      <w:pPr>
        <w:spacing w:line="360" w:lineRule="auto"/>
        <w:ind w:firstLineChars="200" w:firstLine="640"/>
        <w:contextualSpacing/>
        <w:rPr>
          <w:rFonts w:ascii="仿宋_GB2312" w:eastAsia="仿宋_GB2312"/>
          <w:color w:val="000000"/>
          <w:sz w:val="32"/>
          <w:szCs w:val="32"/>
        </w:rPr>
      </w:pPr>
      <w:r>
        <w:rPr>
          <w:rFonts w:ascii="仿宋_GB2312" w:eastAsia="仿宋_GB2312" w:hAnsi="仿宋_GB2312" w:cs="仿宋_GB2312" w:hint="eastAsia"/>
          <w:color w:val="000000"/>
          <w:sz w:val="32"/>
          <w:szCs w:val="32"/>
        </w:rPr>
        <w:t>在公平公正的前提下，评价工作组选取了从事相关业务领域的业务、管理专家，从技术角度把握项目实际目标完成情况，分析项目实施及管理存在的问题，提出改进建议。本次检察工作经费项目绩效评价，评价工作组共选择了5位专家，其中管理专家2位，业务专家2位、财务专家1位。</w:t>
      </w:r>
    </w:p>
    <w:p w:rsidR="007248B6" w:rsidRDefault="004C7AC6">
      <w:pPr>
        <w:spacing w:line="360" w:lineRule="auto"/>
        <w:ind w:firstLineChars="250" w:firstLine="803"/>
        <w:contextualSpacing/>
        <w:rPr>
          <w:rFonts w:ascii="仿宋_GB2312" w:eastAsia="仿宋_GB2312" w:cs="仿宋_GB2312"/>
          <w:b/>
          <w:bCs/>
          <w:sz w:val="32"/>
          <w:szCs w:val="32"/>
        </w:rPr>
      </w:pPr>
      <w:r>
        <w:rPr>
          <w:rFonts w:ascii="仿宋_GB2312" w:eastAsia="仿宋_GB2312" w:cs="仿宋_GB2312" w:hint="eastAsia"/>
          <w:b/>
          <w:bCs/>
          <w:sz w:val="32"/>
          <w:szCs w:val="32"/>
        </w:rPr>
        <w:t>2）培训专家并发放绩效材料</w:t>
      </w:r>
    </w:p>
    <w:p w:rsidR="007248B6" w:rsidRDefault="004C7AC6">
      <w:pPr>
        <w:spacing w:line="360" w:lineRule="auto"/>
        <w:ind w:firstLineChars="250" w:firstLine="800"/>
        <w:contextualSpacing/>
        <w:rPr>
          <w:rFonts w:ascii="仿宋_GB2312" w:eastAsia="仿宋_GB2312" w:hAnsi="宋体"/>
          <w:b/>
          <w:bCs/>
          <w:sz w:val="32"/>
          <w:szCs w:val="32"/>
        </w:rPr>
      </w:pPr>
      <w:r>
        <w:rPr>
          <w:rFonts w:ascii="仿宋_GB2312" w:eastAsia="仿宋_GB2312" w:hAnsi="宋体" w:cs="仿宋_GB2312" w:hint="eastAsia"/>
          <w:sz w:val="32"/>
          <w:szCs w:val="32"/>
        </w:rPr>
        <w:t>在评价工作开始之前，</w:t>
      </w:r>
      <w:r>
        <w:rPr>
          <w:rFonts w:ascii="仿宋_GB2312" w:eastAsia="仿宋_GB2312" w:hAnsi="仿宋_GB2312" w:cs="仿宋_GB2312" w:hint="eastAsia"/>
          <w:color w:val="000000"/>
          <w:sz w:val="32"/>
          <w:szCs w:val="32"/>
        </w:rPr>
        <w:t>评价工作组</w:t>
      </w:r>
      <w:r>
        <w:rPr>
          <w:rFonts w:ascii="仿宋_GB2312" w:eastAsia="仿宋_GB2312" w:hAnsi="宋体" w:cs="仿宋_GB2312" w:hint="eastAsia"/>
          <w:sz w:val="32"/>
          <w:szCs w:val="32"/>
        </w:rPr>
        <w:t>与专家签订“专家承诺书”，要求专家遵守评价规则、保密原则，并对专家进行系统的培训。</w:t>
      </w:r>
      <w:r>
        <w:rPr>
          <w:rFonts w:ascii="仿宋_GB2312" w:eastAsia="仿宋_GB2312" w:hAnsi="仿宋_GB2312" w:cs="仿宋_GB2312" w:hint="eastAsia"/>
          <w:color w:val="000000"/>
          <w:sz w:val="32"/>
          <w:szCs w:val="32"/>
        </w:rPr>
        <w:t>评价工作组</w:t>
      </w:r>
      <w:r>
        <w:rPr>
          <w:rFonts w:ascii="仿宋_GB2312" w:eastAsia="仿宋_GB2312" w:hAnsi="宋体" w:cs="仿宋_GB2312" w:hint="eastAsia"/>
          <w:sz w:val="32"/>
          <w:szCs w:val="32"/>
        </w:rPr>
        <w:t>为专家制作了专家工作手册，从绩效评价工作的政策和技术角度向专家介绍了绩效评价指标、评分标准、工作方法、注意事项以及项目单位和项目的基本情况等。将项目单位报送的绩效报告及相关材料发放给专家，请专家熟悉项目情况，便于后续的现场调研及评价</w:t>
      </w:r>
      <w:bookmarkStart w:id="12" w:name="_Toc331419442"/>
      <w:bookmarkStart w:id="13" w:name="_Toc331420054"/>
      <w:r>
        <w:rPr>
          <w:rFonts w:ascii="仿宋_GB2312" w:eastAsia="仿宋_GB2312" w:hAnsi="宋体" w:cs="仿宋_GB2312" w:hint="eastAsia"/>
          <w:sz w:val="32"/>
          <w:szCs w:val="32"/>
        </w:rPr>
        <w:t>。</w:t>
      </w:r>
      <w:bookmarkEnd w:id="12"/>
      <w:bookmarkEnd w:id="13"/>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（3）分析评价</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1）召开现场（</w:t>
      </w:r>
      <w:proofErr w:type="gramStart"/>
      <w:r>
        <w:rPr>
          <w:rFonts w:ascii="仿宋_GB2312" w:eastAsia="仿宋_GB2312" w:cs="仿宋_GB2312" w:hint="eastAsia"/>
          <w:b/>
          <w:bCs/>
          <w:sz w:val="32"/>
          <w:szCs w:val="32"/>
        </w:rPr>
        <w:t>腾讯视频</w:t>
      </w:r>
      <w:proofErr w:type="gramEnd"/>
      <w:r>
        <w:rPr>
          <w:rFonts w:ascii="仿宋_GB2312" w:eastAsia="仿宋_GB2312" w:cs="仿宋_GB2312" w:hint="eastAsia"/>
          <w:b/>
          <w:bCs/>
          <w:sz w:val="32"/>
          <w:szCs w:val="32"/>
        </w:rPr>
        <w:t>会议）评价会</w:t>
      </w:r>
    </w:p>
    <w:p w:rsidR="007248B6" w:rsidRDefault="004C7AC6">
      <w:pPr>
        <w:spacing w:line="360" w:lineRule="auto"/>
        <w:ind w:firstLineChars="200" w:firstLine="640"/>
        <w:contextualSpacing/>
        <w:rPr>
          <w:rFonts w:ascii="仿宋_GB2312" w:eastAsia="仿宋_GB2312" w:hAnsi="仿宋_GB2312" w:cs="仿宋_GB2312"/>
          <w:color w:val="000000"/>
          <w:sz w:val="32"/>
          <w:szCs w:val="32"/>
        </w:rPr>
      </w:pPr>
      <w:r>
        <w:rPr>
          <w:rFonts w:ascii="仿宋_GB2312" w:eastAsia="仿宋_GB2312" w:hAnsi="仿宋_GB2312" w:cs="仿宋_GB2312" w:hint="eastAsia"/>
          <w:sz w:val="32"/>
          <w:szCs w:val="32"/>
        </w:rPr>
        <w:t>2023年5月16日，评价工作组组织召开</w:t>
      </w:r>
      <w:proofErr w:type="gramStart"/>
      <w:r>
        <w:rPr>
          <w:rFonts w:ascii="仿宋_GB2312" w:eastAsia="仿宋_GB2312" w:hAnsi="仿宋_GB2312" w:cs="仿宋_GB2312" w:hint="eastAsia"/>
          <w:sz w:val="32"/>
          <w:szCs w:val="32"/>
        </w:rPr>
        <w:t>了腾讯</w:t>
      </w:r>
      <w:proofErr w:type="gramEnd"/>
      <w:r>
        <w:rPr>
          <w:rFonts w:ascii="仿宋_GB2312" w:eastAsia="仿宋_GB2312" w:hAnsi="仿宋_GB2312" w:cs="仿宋_GB2312" w:hint="eastAsia"/>
          <w:sz w:val="32"/>
          <w:szCs w:val="32"/>
        </w:rPr>
        <w:t>会议视频评价会，</w:t>
      </w:r>
      <w:proofErr w:type="gramStart"/>
      <w:r>
        <w:rPr>
          <w:rFonts w:ascii="仿宋_GB2312" w:eastAsia="仿宋_GB2312" w:hAnsi="仿宋_GB2312" w:cs="仿宋_GB2312" w:hint="eastAsia"/>
          <w:color w:val="000000"/>
          <w:sz w:val="32"/>
          <w:szCs w:val="32"/>
        </w:rPr>
        <w:t>由评价</w:t>
      </w:r>
      <w:proofErr w:type="gramEnd"/>
      <w:r>
        <w:rPr>
          <w:rFonts w:ascii="仿宋_GB2312" w:eastAsia="仿宋_GB2312" w:hAnsi="仿宋_GB2312" w:cs="仿宋_GB2312" w:hint="eastAsia"/>
          <w:color w:val="000000"/>
          <w:sz w:val="32"/>
          <w:szCs w:val="32"/>
        </w:rPr>
        <w:t>工作组、专家组及区检</w:t>
      </w:r>
      <w:r>
        <w:rPr>
          <w:rFonts w:ascii="仿宋_GB2312" w:eastAsia="仿宋_GB2312" w:hAnsi="仿宋_GB2312" w:cs="仿宋_GB2312" w:hint="eastAsia"/>
          <w:color w:val="000000"/>
          <w:sz w:val="32"/>
          <w:szCs w:val="32"/>
        </w:rPr>
        <w:lastRenderedPageBreak/>
        <w:t>察院等相关人员共同参加。会议就前期</w:t>
      </w:r>
      <w:r>
        <w:rPr>
          <w:rFonts w:ascii="仿宋_GB2312" w:eastAsia="仿宋_GB2312" w:hAnsi="仿宋_GB2312" w:cs="仿宋_GB2312" w:hint="eastAsia"/>
          <w:sz w:val="32"/>
          <w:szCs w:val="32"/>
        </w:rPr>
        <w:t>收集的资料、</w:t>
      </w:r>
      <w:r>
        <w:rPr>
          <w:rFonts w:ascii="仿宋_GB2312" w:eastAsia="仿宋_GB2312" w:hAnsi="仿宋_GB2312" w:cs="仿宋_GB2312" w:hint="eastAsia"/>
          <w:color w:val="000000"/>
          <w:sz w:val="32"/>
          <w:szCs w:val="32"/>
        </w:rPr>
        <w:t>了解到的情况及现场评价中发现的情况与区检察院相关人员进行了沟通。</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2）形成专家组意见</w:t>
      </w:r>
    </w:p>
    <w:p w:rsidR="007248B6" w:rsidRDefault="004C7AC6">
      <w:pPr>
        <w:spacing w:line="360" w:lineRule="auto"/>
        <w:ind w:firstLineChars="200" w:firstLine="640"/>
        <w:contextualSpacing/>
        <w:rPr>
          <w:rFonts w:ascii="仿宋_GB2312" w:eastAsia="仿宋_GB2312"/>
          <w:color w:val="000000"/>
          <w:sz w:val="32"/>
          <w:szCs w:val="32"/>
        </w:rPr>
      </w:pPr>
      <w:r>
        <w:rPr>
          <w:rFonts w:ascii="仿宋_GB2312" w:eastAsia="仿宋_GB2312" w:hAnsi="仿宋_GB2312" w:cs="仿宋_GB2312" w:hint="eastAsia"/>
          <w:color w:val="000000"/>
          <w:sz w:val="32"/>
          <w:szCs w:val="32"/>
        </w:rPr>
        <w:t>评价会后，专家出具个人专家意见，并通过讨论形成对项目总体的初步专家组意见。评价工作组对专家意见进行了汇总，形成了最终的专家组意见。</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3）撰写并报送评价报告</w:t>
      </w:r>
    </w:p>
    <w:p w:rsidR="007248B6" w:rsidRDefault="004C7AC6">
      <w:pPr>
        <w:spacing w:line="360" w:lineRule="auto"/>
        <w:ind w:firstLineChars="200" w:firstLine="640"/>
        <w:contextualSpacing/>
        <w:rPr>
          <w:rFonts w:ascii="仿宋_GB2312" w:eastAsia="仿宋_GB2312" w:cs="仿宋_GB2312"/>
          <w:sz w:val="32"/>
          <w:szCs w:val="32"/>
        </w:rPr>
      </w:pPr>
      <w:r>
        <w:rPr>
          <w:rFonts w:ascii="仿宋_GB2312" w:eastAsia="仿宋_GB2312" w:hAnsi="仿宋_GB2312" w:cs="仿宋_GB2312" w:hint="eastAsia"/>
          <w:color w:val="000000"/>
          <w:sz w:val="32"/>
          <w:szCs w:val="32"/>
        </w:rPr>
        <w:t>评价工作组</w:t>
      </w:r>
      <w:r>
        <w:rPr>
          <w:rFonts w:ascii="仿宋_GB2312" w:eastAsia="仿宋_GB2312" w:hAnsi="宋体" w:cs="仿宋_GB2312" w:hint="eastAsia"/>
          <w:sz w:val="32"/>
          <w:szCs w:val="32"/>
        </w:rPr>
        <w:t>根据专家组意见，撰写评价报告，总结本次评价工作，提交绩效评价报告。</w:t>
      </w:r>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三.综合评价情况及评价结论（附相关评分表）</w:t>
      </w:r>
    </w:p>
    <w:p w:rsidR="007248B6" w:rsidRDefault="004C7AC6">
      <w:pPr>
        <w:spacing w:line="360" w:lineRule="auto"/>
        <w:ind w:firstLineChars="200" w:firstLine="640"/>
        <w:contextualSpacing/>
        <w:rPr>
          <w:rFonts w:ascii="仿宋_GB2312" w:eastAsia="仿宋_GB2312" w:hAnsi="仿宋_GB2312" w:cs="仿宋_GB2312" w:hint="eastAsia"/>
          <w:color w:val="000000"/>
          <w:sz w:val="32"/>
          <w:szCs w:val="32"/>
        </w:rPr>
      </w:pPr>
      <w:r>
        <w:rPr>
          <w:rFonts w:ascii="仿宋_GB2312" w:eastAsia="仿宋_GB2312" w:hAnsi="仿宋_GB2312" w:cs="仿宋_GB2312" w:hint="eastAsia"/>
          <w:color w:val="000000"/>
          <w:sz w:val="32"/>
          <w:szCs w:val="32"/>
        </w:rPr>
        <w:t>通过评价，检察工作经费项目评价综合得分为88.58分，其中：项目决策14.34分，项目管理24.02分，项目绩效50.22分，项目绩效评定为“良好”</w:t>
      </w:r>
      <w:r w:rsidR="004A4B27">
        <w:rPr>
          <w:rFonts w:ascii="仿宋_GB2312" w:eastAsia="仿宋_GB2312" w:hAnsi="仿宋_GB2312" w:cs="仿宋_GB2312" w:hint="eastAsia"/>
          <w:color w:val="000000"/>
          <w:sz w:val="32"/>
          <w:szCs w:val="32"/>
        </w:rPr>
        <w:t>。</w:t>
      </w:r>
    </w:p>
    <w:p w:rsidR="004A4B27" w:rsidRDefault="00B43990" w:rsidP="00B43990">
      <w:pPr>
        <w:pStyle w:val="a0"/>
        <w:ind w:firstLine="420"/>
        <w:rPr>
          <w:rFonts w:hint="eastAsia"/>
        </w:rPr>
      </w:pPr>
      <w:r>
        <w:rPr>
          <w:noProof/>
        </w:rPr>
        <w:lastRenderedPageBreak/>
        <w:drawing>
          <wp:inline distT="0" distB="0" distL="0" distR="0" wp14:anchorId="03933403" wp14:editId="413F0612">
            <wp:extent cx="8325016" cy="4086970"/>
            <wp:effectExtent l="0" t="0" r="0" b="8890"/>
            <wp:docPr id="1" name="图片 1" descr="C:\Users\user\Desktop\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3.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325401" cy="4087159"/>
                    </a:xfrm>
                    <a:prstGeom prst="rect">
                      <a:avLst/>
                    </a:prstGeom>
                    <a:noFill/>
                    <a:ln>
                      <a:noFill/>
                    </a:ln>
                  </pic:spPr>
                </pic:pic>
              </a:graphicData>
            </a:graphic>
          </wp:inline>
        </w:drawing>
      </w:r>
    </w:p>
    <w:p w:rsidR="00B43990" w:rsidRPr="004A4B27" w:rsidRDefault="00B43990" w:rsidP="00B43990">
      <w:pPr>
        <w:pStyle w:val="a0"/>
        <w:ind w:firstLine="420"/>
      </w:pPr>
      <w:r>
        <w:rPr>
          <w:noProof/>
        </w:rPr>
        <w:lastRenderedPageBreak/>
        <w:drawing>
          <wp:inline distT="0" distB="0" distL="0" distR="0" wp14:anchorId="29D8B61C" wp14:editId="79CF1447">
            <wp:extent cx="8348870" cy="1629407"/>
            <wp:effectExtent l="0" t="0" r="0" b="9525"/>
            <wp:docPr id="2" name="图片 2" descr="C:\Users\user\Desktop\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er\Desktop\4.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340400" cy="1627754"/>
                    </a:xfrm>
                    <a:prstGeom prst="rect">
                      <a:avLst/>
                    </a:prstGeom>
                    <a:noFill/>
                    <a:ln>
                      <a:noFill/>
                    </a:ln>
                  </pic:spPr>
                </pic:pic>
              </a:graphicData>
            </a:graphic>
          </wp:inline>
        </w:drawing>
      </w:r>
      <w:bookmarkStart w:id="14" w:name="_GoBack"/>
      <w:bookmarkEnd w:id="14"/>
    </w:p>
    <w:p w:rsidR="007248B6" w:rsidRDefault="004C7AC6">
      <w:pPr>
        <w:spacing w:line="360" w:lineRule="auto"/>
        <w:ind w:firstLineChars="200" w:firstLine="643"/>
        <w:contextualSpacing/>
        <w:rPr>
          <w:rFonts w:ascii="仿宋_GB2312" w:eastAsia="仿宋_GB2312"/>
          <w:b/>
          <w:sz w:val="32"/>
          <w:szCs w:val="32"/>
        </w:rPr>
      </w:pPr>
      <w:r>
        <w:rPr>
          <w:rFonts w:ascii="仿宋_GB2312" w:eastAsia="仿宋_GB2312" w:hint="eastAsia"/>
          <w:b/>
          <w:sz w:val="32"/>
          <w:szCs w:val="32"/>
        </w:rPr>
        <w:t>四.绩效评价指标分析</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w:t>
      </w:r>
      <w:proofErr w:type="gramStart"/>
      <w:r>
        <w:rPr>
          <w:rFonts w:ascii="仿宋_GB2312" w:eastAsia="仿宋_GB2312" w:cs="仿宋_GB2312" w:hint="eastAsia"/>
          <w:b/>
          <w:bCs/>
          <w:sz w:val="32"/>
          <w:szCs w:val="32"/>
        </w:rPr>
        <w:t>一</w:t>
      </w:r>
      <w:proofErr w:type="gramEnd"/>
      <w:r>
        <w:rPr>
          <w:rFonts w:ascii="仿宋_GB2312" w:eastAsia="仿宋_GB2312" w:cs="仿宋_GB2312" w:hint="eastAsia"/>
          <w:b/>
          <w:bCs/>
          <w:sz w:val="32"/>
          <w:szCs w:val="32"/>
        </w:rPr>
        <w:t>)项目决策情况</w:t>
      </w:r>
    </w:p>
    <w:p w:rsidR="007248B6" w:rsidRDefault="004C7AC6">
      <w:pPr>
        <w:adjustRightInd w:val="0"/>
        <w:snapToGrid w:val="0"/>
        <w:spacing w:line="600" w:lineRule="exact"/>
        <w:ind w:firstLineChars="200" w:firstLine="640"/>
        <w:rPr>
          <w:rFonts w:ascii="仿宋_GB2312" w:eastAsia="仿宋_GB2312"/>
          <w:bCs/>
          <w:sz w:val="32"/>
          <w:szCs w:val="32"/>
        </w:rPr>
      </w:pPr>
      <w:r>
        <w:rPr>
          <w:rFonts w:ascii="仿宋_GB2312" w:eastAsia="仿宋_GB2312" w:hint="eastAsia"/>
          <w:bCs/>
          <w:sz w:val="32"/>
          <w:szCs w:val="32"/>
        </w:rPr>
        <w:t>区检察院各项业务开展由党组书记、检察长主持全面工作，党组成员、副检察长分管各业务部门。区检察院办公室是检察工作经费项目组织部门。</w:t>
      </w:r>
      <w:r>
        <w:rPr>
          <w:rFonts w:ascii="仿宋_GB2312" w:eastAsia="仿宋_GB2312" w:hAnsi="仿宋_GB2312" w:cs="仿宋_GB2312" w:hint="eastAsia"/>
          <w:sz w:val="32"/>
          <w:szCs w:val="32"/>
        </w:rPr>
        <w:t>检察工作经费各项内容由党组成员、副检察长全盘统筹，</w:t>
      </w:r>
      <w:r>
        <w:rPr>
          <w:rFonts w:ascii="仿宋_GB2312" w:eastAsia="仿宋_GB2312" w:hint="eastAsia"/>
          <w:bCs/>
          <w:sz w:val="32"/>
          <w:szCs w:val="32"/>
        </w:rPr>
        <w:t>通过党组会决议通过，</w:t>
      </w:r>
      <w:r>
        <w:rPr>
          <w:rFonts w:ascii="仿宋_GB2312" w:eastAsia="仿宋_GB2312" w:hAnsi="仿宋_GB2312" w:cs="仿宋_GB2312" w:hint="eastAsia"/>
          <w:sz w:val="32"/>
          <w:szCs w:val="32"/>
        </w:rPr>
        <w:t>办公室按照具体类目分工推进。</w:t>
      </w:r>
    </w:p>
    <w:p w:rsidR="007248B6" w:rsidRDefault="004C7AC6">
      <w:pPr>
        <w:pStyle w:val="a0"/>
        <w:ind w:firstLine="640"/>
      </w:pPr>
      <w:r>
        <w:rPr>
          <w:rFonts w:ascii="仿宋_GB2312" w:eastAsia="仿宋_GB2312" w:cs="仿宋_GB2312" w:hint="eastAsia"/>
          <w:sz w:val="32"/>
          <w:szCs w:val="32"/>
        </w:rPr>
        <w:t>评价认为，项目组织实施情况有待提高，</w:t>
      </w:r>
      <w:r>
        <w:rPr>
          <w:rFonts w:ascii="仿宋_GB2312" w:eastAsia="仿宋_GB2312" w:hAnsi="仿宋_GB2312" w:cs="仿宋_GB2312" w:hint="eastAsia"/>
          <w:sz w:val="32"/>
          <w:szCs w:val="32"/>
        </w:rPr>
        <w:t>项目实施的计划性不足。</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（二）项目过程情况</w:t>
      </w:r>
    </w:p>
    <w:p w:rsidR="007248B6" w:rsidRDefault="004C7AC6">
      <w:pPr>
        <w:spacing w:line="360" w:lineRule="auto"/>
        <w:ind w:firstLineChars="200" w:firstLine="643"/>
        <w:contextualSpacing/>
        <w:rPr>
          <w:rFonts w:ascii="仿宋_GB2312" w:eastAsia="仿宋_GB2312" w:cs="仿宋_GB2312"/>
          <w:b/>
          <w:bCs/>
          <w:sz w:val="32"/>
          <w:szCs w:val="32"/>
        </w:rPr>
      </w:pPr>
      <w:r>
        <w:rPr>
          <w:rFonts w:ascii="仿宋_GB2312" w:eastAsia="仿宋_GB2312" w:cs="仿宋_GB2312" w:hint="eastAsia"/>
          <w:b/>
          <w:bCs/>
          <w:sz w:val="32"/>
          <w:szCs w:val="32"/>
        </w:rPr>
        <w:t xml:space="preserve">1.项目实施过程分析 </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bCs/>
          <w:sz w:val="32"/>
          <w:szCs w:val="32"/>
        </w:rPr>
        <w:lastRenderedPageBreak/>
        <w:t>区检察院根据内部决策及年初检察工作经费预算申报情况，依据市院及本院管理办法相关要求，制定项目实施方案，通过三方比价方式，通过党组会决议选择符合项目实施要求的第三</w:t>
      </w:r>
      <w:proofErr w:type="gramStart"/>
      <w:r>
        <w:rPr>
          <w:rFonts w:ascii="仿宋_GB2312" w:eastAsia="仿宋_GB2312" w:hint="eastAsia"/>
          <w:bCs/>
          <w:sz w:val="32"/>
          <w:szCs w:val="32"/>
        </w:rPr>
        <w:t>方服务</w:t>
      </w:r>
      <w:proofErr w:type="gramEnd"/>
      <w:r>
        <w:rPr>
          <w:rFonts w:ascii="仿宋_GB2312" w:eastAsia="仿宋_GB2312" w:hint="eastAsia"/>
          <w:bCs/>
          <w:sz w:val="32"/>
          <w:szCs w:val="32"/>
        </w:rPr>
        <w:t>机构，并签订服务合同，合同签订明细如下：</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（1）2022年3月31日与北京旷达广告公司签订监督热线《宣传协议书》5万元；</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（2）2021年7月28日与</w:t>
      </w:r>
      <w:proofErr w:type="gramStart"/>
      <w:r>
        <w:rPr>
          <w:rFonts w:ascii="仿宋_GB2312" w:eastAsia="仿宋_GB2312" w:hint="eastAsia"/>
          <w:sz w:val="32"/>
          <w:szCs w:val="32"/>
        </w:rPr>
        <w:t>北京怀影魅力</w:t>
      </w:r>
      <w:proofErr w:type="gramEnd"/>
      <w:r>
        <w:rPr>
          <w:rFonts w:ascii="仿宋_GB2312" w:eastAsia="仿宋_GB2312" w:hint="eastAsia"/>
          <w:sz w:val="32"/>
          <w:szCs w:val="32"/>
        </w:rPr>
        <w:t>文化传媒有限公司签订《怀柔检察院新闻宣传工作外包服务协议》（服务期2021年8月1日至2022年7月31日）26万元（2022年支付尾款6万元）；</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（3）2022年8月1日与</w:t>
      </w:r>
      <w:proofErr w:type="gramStart"/>
      <w:r>
        <w:rPr>
          <w:rFonts w:ascii="仿宋_GB2312" w:eastAsia="仿宋_GB2312" w:hint="eastAsia"/>
          <w:sz w:val="32"/>
          <w:szCs w:val="32"/>
        </w:rPr>
        <w:t>北京怀影魅力</w:t>
      </w:r>
      <w:proofErr w:type="gramEnd"/>
      <w:r>
        <w:rPr>
          <w:rFonts w:ascii="仿宋_GB2312" w:eastAsia="仿宋_GB2312" w:hint="eastAsia"/>
          <w:sz w:val="32"/>
          <w:szCs w:val="32"/>
        </w:rPr>
        <w:t>文化传媒有限公司签订《怀柔区人民检察院新闻宣传数字媒体团队服务协议》（服务期2022年8月1日至2023年7月31日）26万元（2022年支付首款20万元）；</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（4）2022年10月21日与北京莱茵文化传媒有限公司签订《党建工作专题片制作合同》9万元；</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（5）2022年10月24日与北京汉龙思琪数码科技有限公司签订《档案数字化技术服务合同》9.9万元。</w:t>
      </w:r>
    </w:p>
    <w:p w:rsidR="007248B6" w:rsidRDefault="004C7AC6">
      <w:pPr>
        <w:adjustRightInd w:val="0"/>
        <w:snapToGrid w:val="0"/>
        <w:spacing w:line="600" w:lineRule="exact"/>
        <w:ind w:firstLineChars="200" w:firstLine="640"/>
        <w:rPr>
          <w:rFonts w:ascii="仿宋_GB2312" w:eastAsia="仿宋_GB2312"/>
          <w:sz w:val="32"/>
          <w:szCs w:val="32"/>
        </w:rPr>
      </w:pPr>
      <w:r>
        <w:rPr>
          <w:rFonts w:ascii="仿宋_GB2312" w:eastAsia="仿宋_GB2312"/>
          <w:sz w:val="32"/>
          <w:szCs w:val="32"/>
        </w:rPr>
        <w:t>第三方根据合同约定内容开展相关工作。</w:t>
      </w:r>
    </w:p>
    <w:p w:rsidR="007248B6" w:rsidRDefault="004C7AC6">
      <w:pPr>
        <w:adjustRightInd w:val="0"/>
        <w:snapToGrid w:val="0"/>
        <w:spacing w:line="6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宣传内容制作完毕后由区检察院新闻宣传工作人员负责新媒体作品文本制作及把关审核。</w:t>
      </w:r>
    </w:p>
    <w:p w:rsidR="007248B6" w:rsidRDefault="004C7AC6">
      <w:pPr>
        <w:adjustRightInd w:val="0"/>
        <w:snapToGrid w:val="0"/>
        <w:spacing w:line="600" w:lineRule="exact"/>
        <w:ind w:firstLineChars="200" w:firstLine="640"/>
        <w:rPr>
          <w:rFonts w:ascii="仿宋_GB2312" w:eastAsia="仿宋_GB2312" w:hAnsi="宋体"/>
          <w:bCs/>
          <w:sz w:val="32"/>
          <w:szCs w:val="32"/>
        </w:rPr>
      </w:pPr>
      <w:r>
        <w:rPr>
          <w:rFonts w:ascii="仿宋_GB2312" w:eastAsia="仿宋_GB2312" w:hAnsi="仿宋_GB2312" w:cs="仿宋_GB2312" w:hint="eastAsia"/>
          <w:kern w:val="0"/>
          <w:sz w:val="32"/>
          <w:szCs w:val="32"/>
          <w:lang w:bidi="ar"/>
        </w:rPr>
        <w:t>数字化加工完成后，区检察院与北京市汉龙思琪数码科技有限公司双方对该项目质量进行检查，并形成验收报告双方存档。</w:t>
      </w:r>
    </w:p>
    <w:p w:rsidR="007248B6" w:rsidRDefault="004C7AC6">
      <w:pPr>
        <w:spacing w:line="360" w:lineRule="auto"/>
        <w:ind w:firstLineChars="200" w:firstLine="640"/>
        <w:rPr>
          <w:rFonts w:ascii="仿宋_GB2312" w:eastAsia="仿宋_GB2312" w:cs="仿宋_GB2312"/>
          <w:sz w:val="32"/>
          <w:szCs w:val="32"/>
        </w:rPr>
      </w:pPr>
      <w:r>
        <w:rPr>
          <w:rFonts w:ascii="仿宋_GB2312" w:eastAsia="仿宋_GB2312" w:cs="仿宋_GB2312" w:hint="eastAsia"/>
          <w:sz w:val="32"/>
          <w:szCs w:val="32"/>
        </w:rPr>
        <w:t>评价认为，</w:t>
      </w:r>
      <w:r>
        <w:rPr>
          <w:rFonts w:ascii="仿宋_GB2312" w:eastAsia="仿宋_GB2312" w:hAnsi="仿宋_GB2312" w:cs="仿宋_GB2312" w:hint="eastAsia"/>
          <w:sz w:val="32"/>
          <w:szCs w:val="32"/>
        </w:rPr>
        <w:t>执行过程缺少项目整体实施方案，实施方案应包含：项目组织机构人员分工、实施进度安排、项目审批流程、第三</w:t>
      </w:r>
      <w:proofErr w:type="gramStart"/>
      <w:r>
        <w:rPr>
          <w:rFonts w:ascii="仿宋_GB2312" w:eastAsia="仿宋_GB2312" w:hAnsi="仿宋_GB2312" w:cs="仿宋_GB2312" w:hint="eastAsia"/>
          <w:sz w:val="32"/>
          <w:szCs w:val="32"/>
        </w:rPr>
        <w:t>方服务</w:t>
      </w:r>
      <w:proofErr w:type="gramEnd"/>
      <w:r>
        <w:rPr>
          <w:rFonts w:ascii="仿宋_GB2312" w:eastAsia="仿宋_GB2312" w:hAnsi="仿宋_GB2312" w:cs="仿宋_GB2312" w:hint="eastAsia"/>
          <w:sz w:val="32"/>
          <w:szCs w:val="32"/>
        </w:rPr>
        <w:t>机构选择方式、过程控制、项目验收、经费执行计划、绩效管理等项目执行全流程内容。</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sz w:val="32"/>
          <w:szCs w:val="32"/>
        </w:rPr>
      </w:pPr>
      <w:r>
        <w:rPr>
          <w:rFonts w:ascii="仿宋_GB2312" w:eastAsia="仿宋_GB2312" w:cs="仿宋_GB2312" w:hint="eastAsia"/>
          <w:b/>
          <w:bCs/>
          <w:sz w:val="32"/>
          <w:szCs w:val="32"/>
        </w:rPr>
        <w:t>2.</w:t>
      </w:r>
      <w:r>
        <w:rPr>
          <w:rFonts w:ascii="仿宋_GB2312" w:eastAsia="仿宋_GB2312" w:hint="eastAsia"/>
          <w:b/>
          <w:sz w:val="32"/>
          <w:szCs w:val="32"/>
        </w:rPr>
        <w:t>项目管理情况分析</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sz w:val="32"/>
          <w:szCs w:val="32"/>
        </w:rPr>
      </w:pPr>
      <w:r>
        <w:rPr>
          <w:rFonts w:ascii="仿宋_GB2312" w:eastAsia="仿宋_GB2312" w:cs="仿宋_GB2312" w:hint="eastAsia"/>
          <w:b/>
          <w:bCs/>
          <w:sz w:val="32"/>
          <w:szCs w:val="32"/>
        </w:rPr>
        <w:t>（1）</w:t>
      </w:r>
      <w:r>
        <w:rPr>
          <w:rFonts w:ascii="仿宋_GB2312" w:eastAsia="仿宋_GB2312" w:hint="eastAsia"/>
          <w:b/>
          <w:sz w:val="32"/>
          <w:szCs w:val="32"/>
        </w:rPr>
        <w:t>项目管理制度建设</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宋体" w:hint="eastAsia"/>
          <w:sz w:val="32"/>
          <w:szCs w:val="32"/>
        </w:rPr>
        <w:t>区检察院建立“以预算管理为主线、以资金管控为核心”的内部控制体系，梳理明确了各经济业务活动流程及环节，依据北京市财政局、北京市人民检察院关于印发《北京市人民检察院财务管理暂行办法》的通知及《北京市人民检察院检察业务开支范围》，建立《北京市怀柔区人民检察院预算管理办法》《北京市怀柔区人民检察院预算项目管理办法》、《北京市怀柔区人民检察院经费支出管理办法》等制度，</w:t>
      </w:r>
      <w:r>
        <w:rPr>
          <w:rFonts w:ascii="仿宋_GB2312" w:eastAsia="仿宋_GB2312" w:hint="eastAsia"/>
          <w:sz w:val="32"/>
          <w:szCs w:val="32"/>
        </w:rPr>
        <w:t>根据《</w:t>
      </w:r>
      <w:r>
        <w:rPr>
          <w:rFonts w:ascii="仿宋_GB2312" w:eastAsia="仿宋_GB2312" w:hAnsi="仿宋_GB2312" w:cs="仿宋_GB2312" w:hint="eastAsia"/>
          <w:sz w:val="32"/>
          <w:szCs w:val="32"/>
        </w:rPr>
        <w:t>关于进一步加强新时代检察新闻宣传工作的意见》、《关于加强和改进首都政法宣</w:t>
      </w:r>
      <w:r>
        <w:rPr>
          <w:rFonts w:ascii="仿宋_GB2312" w:eastAsia="仿宋_GB2312" w:hAnsi="仿宋_GB2312" w:cs="仿宋_GB2312" w:hint="eastAsia"/>
          <w:sz w:val="32"/>
          <w:szCs w:val="32"/>
        </w:rPr>
        <w:lastRenderedPageBreak/>
        <w:t>传舆论工作的实施办法》、</w:t>
      </w:r>
      <w:r>
        <w:rPr>
          <w:rFonts w:ascii="仿宋_GB2312" w:eastAsia="仿宋_GB2312" w:hint="eastAsia"/>
          <w:sz w:val="32"/>
          <w:szCs w:val="32"/>
        </w:rPr>
        <w:t>《2022新闻宣传工作量化管理考评细则》以及《人民检察院档案工作规定》“第二章 机构、人员和职责 第八条检察档案部门的工作职责是：（三）负责本单位档案信息化建设，组织开展传统载体档案数字化，推进电子文件归档和电子档案规范管理；……第十条：坚持先有预算安排，后购买服务原则。通过购买社会化服务方式开展检察档案整理、传统载体档案数字化、纸质档案数字复制件全文识别和电子档案管理技术支持等辅助性工作。购买社会化服务时，应当严格审核服务提供</w:t>
      </w:r>
      <w:proofErr w:type="gramStart"/>
      <w:r>
        <w:rPr>
          <w:rFonts w:ascii="仿宋_GB2312" w:eastAsia="仿宋_GB2312" w:hint="eastAsia"/>
          <w:sz w:val="32"/>
          <w:szCs w:val="32"/>
        </w:rPr>
        <w:t>方业务</w:t>
      </w:r>
      <w:proofErr w:type="gramEnd"/>
      <w:r>
        <w:rPr>
          <w:rFonts w:ascii="仿宋_GB2312" w:eastAsia="仿宋_GB2312" w:hint="eastAsia"/>
          <w:sz w:val="32"/>
          <w:szCs w:val="32"/>
        </w:rPr>
        <w:t>范围和保密资质，符合《档案服务外包工作规范》要求。……第二十六条：已有数字化副本的传统载体档案，原则上不提供纸质原件，只提供复制件。……第四章：检察档案信息化建设 第三十三条：将档案信息化建设纳入检察信息化发展总体规划，与检察信息化建设协调配合，实现系统互联互通，资源共享共用。……第三十四条：大力推进数字档案室基础设施、应用系统、数字档案资源和安全保障系统建设，统筹传统载体档案数字化、电子文件归档与电子档案管理工作，实现数字档案资源安全保管和有效利用。……第三十七条：电子档案管理系统应当功能完善、适度前瞻，满足电子档案真实性、可靠性、完整性、可用性管理要求。加强电子档案管理系统建设和使用，建立各类档案目录数据库和全文数据库，统一保管、利用电子档案和数字化副本，做好运行维护和系统升级。电</w:t>
      </w:r>
      <w:r>
        <w:rPr>
          <w:rFonts w:ascii="仿宋_GB2312" w:eastAsia="仿宋_GB2312" w:hint="eastAsia"/>
          <w:sz w:val="32"/>
          <w:szCs w:val="32"/>
        </w:rPr>
        <w:lastRenderedPageBreak/>
        <w:t>子档案管理系统等级保护不得低于二级标准，分级保护等级应当与电子档案最高密级相适应。使用电子政务</w:t>
      </w:r>
      <w:proofErr w:type="gramStart"/>
      <w:r>
        <w:rPr>
          <w:rFonts w:ascii="仿宋_GB2312" w:eastAsia="仿宋_GB2312" w:hint="eastAsia"/>
          <w:sz w:val="32"/>
          <w:szCs w:val="32"/>
        </w:rPr>
        <w:t>云服务</w:t>
      </w:r>
      <w:proofErr w:type="gramEnd"/>
      <w:r>
        <w:rPr>
          <w:rFonts w:ascii="仿宋_GB2312" w:eastAsia="仿宋_GB2312" w:hint="eastAsia"/>
          <w:sz w:val="32"/>
          <w:szCs w:val="32"/>
        </w:rPr>
        <w:t>的，应当与电子政务</w:t>
      </w:r>
      <w:proofErr w:type="gramStart"/>
      <w:r>
        <w:rPr>
          <w:rFonts w:ascii="仿宋_GB2312" w:eastAsia="仿宋_GB2312" w:hint="eastAsia"/>
          <w:sz w:val="32"/>
          <w:szCs w:val="32"/>
        </w:rPr>
        <w:t>云管理</w:t>
      </w:r>
      <w:proofErr w:type="gramEnd"/>
      <w:r>
        <w:rPr>
          <w:rFonts w:ascii="仿宋_GB2312" w:eastAsia="仿宋_GB2312" w:hint="eastAsia"/>
          <w:sz w:val="32"/>
          <w:szCs w:val="32"/>
        </w:rPr>
        <w:t>机构明确安全管理责任。……第三十八条：常态</w:t>
      </w:r>
      <w:proofErr w:type="gramStart"/>
      <w:r>
        <w:rPr>
          <w:rFonts w:ascii="仿宋_GB2312" w:eastAsia="仿宋_GB2312" w:hint="eastAsia"/>
          <w:sz w:val="32"/>
          <w:szCs w:val="32"/>
        </w:rPr>
        <w:t>化开展</w:t>
      </w:r>
      <w:proofErr w:type="gramEnd"/>
      <w:r>
        <w:rPr>
          <w:rFonts w:ascii="仿宋_GB2312" w:eastAsia="仿宋_GB2312" w:hint="eastAsia"/>
          <w:sz w:val="32"/>
          <w:szCs w:val="32"/>
        </w:rPr>
        <w:t>传统载体档案数字化工作，实施纸质档案数字复制件全文识别，将图像数据转化为文本信息，便于检索和开发利用。纸质档案数字化按照《纸质档案数字化规范》（DA/T31）执行，录音录像档案数字化按照《录音录像档案数字化规范》（DA/T62）执行，其他传统载体档案数字化参照有关规定执行。数字化工作中产生的元数据应当收集齐全，数字复制件应当导入电子档案管理系统统一管理。”、“《北京市检察机关档案借阅管理办法》第四章 借阅与归还 第二十三条：为保护档案，原则上不提供纸质原件，凡经过数字化加工的档案，只提供复制件。纸质复制件加盖档案证明专用章后，与档案原件具有同等效力。”的文件要求，</w:t>
      </w:r>
      <w:r>
        <w:rPr>
          <w:rFonts w:ascii="仿宋_GB2312" w:eastAsia="仿宋_GB2312" w:hAnsi="宋体" w:hint="eastAsia"/>
          <w:sz w:val="32"/>
          <w:szCs w:val="32"/>
        </w:rPr>
        <w:t>从制度上约束项目经费支出，</w:t>
      </w:r>
      <w:r>
        <w:rPr>
          <w:rFonts w:ascii="仿宋_GB2312" w:eastAsia="仿宋_GB2312" w:hAnsi="宋体" w:hint="eastAsia"/>
          <w:color w:val="000000"/>
          <w:sz w:val="32"/>
          <w:szCs w:val="32"/>
        </w:rPr>
        <w:t>确保能把有限的资金用在刀刃上，提高资金的使用效益，会计核算更加规范，数字更加准确，支付更加及时。</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int="eastAsia"/>
          <w:color w:val="000000"/>
          <w:sz w:val="32"/>
          <w:szCs w:val="32"/>
        </w:rPr>
        <w:t>评价认为，该项目实施管理制度较健全，但</w:t>
      </w:r>
      <w:r>
        <w:rPr>
          <w:rFonts w:ascii="仿宋_GB2312" w:eastAsia="仿宋_GB2312" w:cs="仿宋_GB2312" w:hint="eastAsia"/>
          <w:sz w:val="32"/>
          <w:szCs w:val="32"/>
        </w:rPr>
        <w:t>宣传项目验收环节管理有待加强，</w:t>
      </w:r>
      <w:r>
        <w:rPr>
          <w:rFonts w:ascii="仿宋_GB2312" w:eastAsia="仿宋_GB2312" w:hint="eastAsia"/>
          <w:color w:val="000000"/>
          <w:sz w:val="32"/>
          <w:szCs w:val="32"/>
        </w:rPr>
        <w:t>缺乏宣传制作成果的相关技术指标验收标准认定及验收流程制定。</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color w:val="000000"/>
          <w:sz w:val="32"/>
          <w:szCs w:val="32"/>
        </w:rPr>
      </w:pPr>
      <w:r>
        <w:rPr>
          <w:rFonts w:ascii="仿宋_GB2312" w:eastAsia="仿宋_GB2312" w:hAnsi="仿宋_GB2312" w:cs="仿宋_GB2312" w:hint="eastAsia"/>
          <w:b/>
          <w:sz w:val="32"/>
          <w:szCs w:val="32"/>
        </w:rPr>
        <w:t>（2）财务管理制度</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color w:val="000000"/>
          <w:sz w:val="32"/>
          <w:szCs w:val="32"/>
        </w:rPr>
      </w:pPr>
      <w:r>
        <w:rPr>
          <w:rFonts w:ascii="仿宋_GB2312" w:eastAsia="仿宋_GB2312" w:cs="仿宋_GB2312" w:hint="eastAsia"/>
          <w:sz w:val="32"/>
          <w:szCs w:val="32"/>
        </w:rPr>
        <w:lastRenderedPageBreak/>
        <w:t>区检察院制定了《北京市怀柔区人民检察院财务管理办法（试行）》，按照现行会计制度规定和北京市财政局相关要求进行核算，项目的原始凭证和记账手续齐全，所有单据均已入账，明细账、日记账按照相关规定进行登记，会计档案管理符合规定。</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color w:val="000000"/>
          <w:sz w:val="32"/>
          <w:szCs w:val="32"/>
        </w:rPr>
      </w:pPr>
      <w:r>
        <w:rPr>
          <w:rFonts w:ascii="仿宋_GB2312" w:eastAsia="仿宋_GB2312" w:hAnsi="仿宋" w:cs="仿宋" w:hint="eastAsia"/>
          <w:sz w:val="32"/>
          <w:szCs w:val="32"/>
        </w:rPr>
        <w:t>评价认为，该项目财务管理制度较为健全，项目资金支出审批内控管理制度较完善。</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（3）项目资金管理情况分析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rPr>
        <w:t>为保障项目的顺利实施和资金安全，项目资金实行专人负责、专账核算，会计核算数据准确，财务资料保存完整。严格按照市财政资金有关管理制度、财务管理制度和“三重一大”执行办法等规定。资金支付前，由业务部门提出资金使用申请，财务部门审核，确保资金专款专用。</w:t>
      </w:r>
      <w:r>
        <w:rPr>
          <w:rFonts w:ascii="仿宋_GB2312" w:eastAsia="仿宋_GB2312" w:hint="eastAsia"/>
          <w:bCs/>
          <w:sz w:val="32"/>
          <w:szCs w:val="32"/>
        </w:rPr>
        <w:t>资金使用无截留、挪用、虚列支出等情况。</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 w:cs="仿宋"/>
          <w:sz w:val="32"/>
          <w:szCs w:val="32"/>
        </w:rPr>
      </w:pPr>
      <w:r>
        <w:rPr>
          <w:rFonts w:ascii="仿宋_GB2312" w:eastAsia="仿宋_GB2312" w:hAnsi="仿宋" w:cs="仿宋" w:hint="eastAsia"/>
          <w:sz w:val="32"/>
          <w:szCs w:val="32"/>
        </w:rPr>
        <w:t xml:space="preserve">评价认为，该项目财务核算比较规范，财务手续比较健全。 </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 w:cs="仿宋"/>
          <w:b/>
          <w:sz w:val="32"/>
          <w:szCs w:val="32"/>
        </w:rPr>
      </w:pPr>
      <w:r>
        <w:rPr>
          <w:rFonts w:ascii="仿宋_GB2312" w:eastAsia="仿宋_GB2312" w:hAnsi="仿宋" w:cs="仿宋" w:hint="eastAsia"/>
          <w:b/>
          <w:sz w:val="32"/>
          <w:szCs w:val="32"/>
        </w:rPr>
        <w:t>（三）项目产出情况</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1.项目预期目标完成情况</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rPr>
        <w:t>通过项目的实施，</w:t>
      </w:r>
      <w:r>
        <w:rPr>
          <w:rFonts w:hint="eastAsia"/>
        </w:rPr>
        <w:t xml:space="preserve"> </w:t>
      </w:r>
      <w:r>
        <w:rPr>
          <w:rFonts w:ascii="仿宋_GB2312" w:eastAsia="仿宋_GB2312" w:hint="eastAsia"/>
          <w:sz w:val="32"/>
          <w:szCs w:val="32"/>
        </w:rPr>
        <w:t>制作党建工作专题片1个；</w:t>
      </w:r>
      <w:r>
        <w:rPr>
          <w:rFonts w:ascii="仿宋_GB2312" w:eastAsia="仿宋_GB2312" w:hint="eastAsia"/>
          <w:bCs/>
          <w:sz w:val="32"/>
          <w:szCs w:val="32"/>
        </w:rPr>
        <w:t>怀柔检察监督热线宣传视频、电台宣传音频、字</w:t>
      </w:r>
      <w:r>
        <w:rPr>
          <w:rFonts w:ascii="仿宋_GB2312" w:eastAsia="仿宋_GB2312" w:hint="eastAsia"/>
          <w:bCs/>
          <w:sz w:val="32"/>
          <w:szCs w:val="32"/>
        </w:rPr>
        <w:lastRenderedPageBreak/>
        <w:t>幕宣传等内容，在怀柔电视台《怀柔新闻》栏目时段、怀柔电台新闻电台时段播放，播放周期为2022年4月1日至2022年4月30日，电视台日均视频播放1次，字幕滚动播放10余次，电台日均播放5次。</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t>2022年，</w:t>
      </w:r>
      <w:proofErr w:type="gramStart"/>
      <w:r>
        <w:rPr>
          <w:rFonts w:ascii="仿宋_GB2312" w:eastAsia="仿宋_GB2312" w:hint="eastAsia"/>
          <w:bCs/>
          <w:sz w:val="32"/>
          <w:szCs w:val="32"/>
        </w:rPr>
        <w:t>微信公众号发布</w:t>
      </w:r>
      <w:proofErr w:type="gramEnd"/>
      <w:r>
        <w:rPr>
          <w:rFonts w:ascii="仿宋_GB2312" w:eastAsia="仿宋_GB2312" w:hint="eastAsia"/>
          <w:bCs/>
          <w:sz w:val="32"/>
          <w:szCs w:val="32"/>
        </w:rPr>
        <w:t>708期，新</w:t>
      </w:r>
      <w:proofErr w:type="gramStart"/>
      <w:r>
        <w:rPr>
          <w:rFonts w:ascii="仿宋_GB2312" w:eastAsia="仿宋_GB2312" w:hint="eastAsia"/>
          <w:bCs/>
          <w:sz w:val="32"/>
          <w:szCs w:val="32"/>
        </w:rPr>
        <w:t>浪微博发布</w:t>
      </w:r>
      <w:proofErr w:type="gramEnd"/>
      <w:r>
        <w:rPr>
          <w:rFonts w:ascii="仿宋_GB2312" w:eastAsia="仿宋_GB2312" w:hint="eastAsia"/>
          <w:bCs/>
          <w:sz w:val="32"/>
          <w:szCs w:val="32"/>
        </w:rPr>
        <w:t>1099条，今日头条发布359条，门户网站更新420条，抖音、快手等更新77条。</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bCs/>
          <w:sz w:val="32"/>
          <w:szCs w:val="32"/>
        </w:rPr>
      </w:pPr>
      <w:r>
        <w:rPr>
          <w:rFonts w:ascii="仿宋_GB2312" w:eastAsia="仿宋_GB2312" w:hint="eastAsia"/>
          <w:bCs/>
          <w:sz w:val="32"/>
          <w:szCs w:val="32"/>
        </w:rPr>
        <w:t>新媒体技术服务方面，一名驻场人员全年无</w:t>
      </w:r>
      <w:proofErr w:type="gramStart"/>
      <w:r>
        <w:rPr>
          <w:rFonts w:ascii="仿宋_GB2312" w:eastAsia="仿宋_GB2312" w:hint="eastAsia"/>
          <w:bCs/>
          <w:sz w:val="32"/>
          <w:szCs w:val="32"/>
        </w:rPr>
        <w:t>间断驻</w:t>
      </w:r>
      <w:proofErr w:type="gramEnd"/>
      <w:r>
        <w:rPr>
          <w:rFonts w:ascii="仿宋_GB2312" w:eastAsia="仿宋_GB2312" w:hint="eastAsia"/>
          <w:bCs/>
          <w:sz w:val="32"/>
          <w:szCs w:val="32"/>
        </w:rPr>
        <w:t>院工作，累计编排</w:t>
      </w:r>
      <w:proofErr w:type="gramStart"/>
      <w:r>
        <w:rPr>
          <w:rFonts w:ascii="仿宋_GB2312" w:eastAsia="仿宋_GB2312" w:hint="eastAsia"/>
          <w:bCs/>
          <w:sz w:val="32"/>
          <w:szCs w:val="32"/>
        </w:rPr>
        <w:t>微信公众号</w:t>
      </w:r>
      <w:proofErr w:type="gramEnd"/>
      <w:r>
        <w:rPr>
          <w:rFonts w:ascii="仿宋_GB2312" w:eastAsia="仿宋_GB2312" w:hint="eastAsia"/>
          <w:bCs/>
          <w:sz w:val="32"/>
          <w:szCs w:val="32"/>
        </w:rPr>
        <w:t>708期，新</w:t>
      </w:r>
      <w:proofErr w:type="gramStart"/>
      <w:r>
        <w:rPr>
          <w:rFonts w:ascii="仿宋_GB2312" w:eastAsia="仿宋_GB2312" w:hint="eastAsia"/>
          <w:bCs/>
          <w:sz w:val="32"/>
          <w:szCs w:val="32"/>
        </w:rPr>
        <w:t>浪微博发布</w:t>
      </w:r>
      <w:proofErr w:type="gramEnd"/>
      <w:r>
        <w:rPr>
          <w:rFonts w:ascii="仿宋_GB2312" w:eastAsia="仿宋_GB2312" w:hint="eastAsia"/>
          <w:bCs/>
          <w:sz w:val="32"/>
          <w:szCs w:val="32"/>
        </w:rPr>
        <w:t>1099条，今日头条发布359条，手机报10期，制作各类新闻宣传统计工作台</w:t>
      </w:r>
      <w:proofErr w:type="gramStart"/>
      <w:r>
        <w:rPr>
          <w:rFonts w:ascii="仿宋_GB2312" w:eastAsia="仿宋_GB2312" w:hint="eastAsia"/>
          <w:bCs/>
          <w:sz w:val="32"/>
          <w:szCs w:val="32"/>
        </w:rPr>
        <w:t>账</w:t>
      </w:r>
      <w:proofErr w:type="gramEnd"/>
      <w:r>
        <w:rPr>
          <w:rFonts w:ascii="仿宋_GB2312" w:eastAsia="仿宋_GB2312" w:hint="eastAsia"/>
          <w:bCs/>
          <w:sz w:val="32"/>
          <w:szCs w:val="32"/>
        </w:rPr>
        <w:t>5个。</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t>公司媒介服务方面，全年累计提供活动摄影服务45次，后期优化图片约3000张，制作海报46张，公众封面设计102张，长图9张，拍摄并剪辑微视频8部，均在新媒体平台刊发。</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lang w:val="zh-TW"/>
        </w:rPr>
        <w:t>完成1600册传统载体档案</w:t>
      </w:r>
      <w:r>
        <w:rPr>
          <w:rFonts w:ascii="仿宋_GB2312" w:eastAsia="仿宋_GB2312" w:hint="eastAsia"/>
          <w:bCs/>
          <w:sz w:val="32"/>
          <w:szCs w:val="32"/>
        </w:rPr>
        <w:t>10万页</w:t>
      </w:r>
      <w:r>
        <w:rPr>
          <w:rFonts w:ascii="仿宋_GB2312" w:eastAsia="仿宋_GB2312" w:hint="eastAsia"/>
          <w:bCs/>
          <w:sz w:val="32"/>
          <w:szCs w:val="32"/>
          <w:lang w:val="zh-TW"/>
        </w:rPr>
        <w:t>、</w:t>
      </w:r>
      <w:r>
        <w:rPr>
          <w:rFonts w:ascii="仿宋_GB2312" w:eastAsia="仿宋_GB2312" w:hint="eastAsia"/>
          <w:bCs/>
          <w:sz w:val="32"/>
          <w:szCs w:val="32"/>
        </w:rPr>
        <w:t>8</w:t>
      </w:r>
      <w:r>
        <w:rPr>
          <w:rFonts w:ascii="仿宋_GB2312" w:eastAsia="仿宋_GB2312" w:hint="eastAsia"/>
          <w:bCs/>
          <w:sz w:val="32"/>
          <w:szCs w:val="32"/>
          <w:lang w:val="zh-TW"/>
        </w:rPr>
        <w:t>00件实物档案的数字化工作。</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评价认为，2022年度完成检察工作经费的绩效目标。</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2.项目效率性分析</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（1）项目的实施进度</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lastRenderedPageBreak/>
        <w:t>按时保质完成相应工作动态报道及档案扫描工作</w:t>
      </w:r>
      <w:r>
        <w:rPr>
          <w:rFonts w:ascii="仿宋_GB2312" w:eastAsia="仿宋_GB2312" w:hAnsi="仿宋_GB2312" w:cs="仿宋_GB2312" w:hint="eastAsia"/>
          <w:sz w:val="32"/>
          <w:szCs w:val="32"/>
        </w:rPr>
        <w:t>，资金按时支付。</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评价认为，项目执行进度及资金拨付按时完成，符合2022年度预期目标。</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（2）项目完成质量</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rPr>
        <w:t>通过项目的实施，</w:t>
      </w:r>
      <w:r>
        <w:rPr>
          <w:rFonts w:ascii="仿宋_GB2312" w:eastAsia="仿宋_GB2312" w:hint="eastAsia"/>
          <w:bCs/>
          <w:sz w:val="32"/>
          <w:szCs w:val="32"/>
        </w:rPr>
        <w:t>2022年度在新媒体平台发布内容获得上级平台转发72次，各新媒体平台阅读量累计达到约18万人次；在官方</w:t>
      </w:r>
      <w:proofErr w:type="gramStart"/>
      <w:r>
        <w:rPr>
          <w:rFonts w:ascii="仿宋_GB2312" w:eastAsia="仿宋_GB2312" w:hint="eastAsia"/>
          <w:bCs/>
          <w:sz w:val="32"/>
          <w:szCs w:val="32"/>
        </w:rPr>
        <w:t>微信公众号发布</w:t>
      </w:r>
      <w:proofErr w:type="gramEnd"/>
      <w:r>
        <w:rPr>
          <w:rFonts w:ascii="仿宋_GB2312" w:eastAsia="仿宋_GB2312" w:hint="eastAsia"/>
          <w:bCs/>
          <w:sz w:val="32"/>
          <w:szCs w:val="32"/>
        </w:rPr>
        <w:t>的《跨越千里的司法温情》获评“2022年度北京市十大检察办案故事”、北京市检察机关“三微”评选微视频三等奖；在官方</w:t>
      </w:r>
      <w:proofErr w:type="gramStart"/>
      <w:r>
        <w:rPr>
          <w:rFonts w:ascii="仿宋_GB2312" w:eastAsia="仿宋_GB2312" w:hint="eastAsia"/>
          <w:bCs/>
          <w:sz w:val="32"/>
          <w:szCs w:val="32"/>
        </w:rPr>
        <w:t>微信公众号发布</w:t>
      </w:r>
      <w:proofErr w:type="gramEnd"/>
      <w:r>
        <w:rPr>
          <w:rFonts w:ascii="仿宋_GB2312" w:eastAsia="仿宋_GB2312" w:hint="eastAsia"/>
          <w:bCs/>
          <w:sz w:val="32"/>
          <w:szCs w:val="32"/>
        </w:rPr>
        <w:t>的《未保法小课堂》获微动漫三等奖；区检察院获评全国检察宣传先进单位，新闻宣传工作人员获评全国检察新闻宣传先进个人。</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bCs/>
          <w:sz w:val="32"/>
          <w:szCs w:val="32"/>
        </w:rPr>
      </w:pPr>
      <w:r>
        <w:rPr>
          <w:rFonts w:ascii="仿宋_GB2312" w:eastAsia="仿宋_GB2312" w:hint="eastAsia"/>
          <w:bCs/>
          <w:sz w:val="32"/>
          <w:szCs w:val="32"/>
        </w:rPr>
        <w:t>经过区检察院严格审核该服务提供</w:t>
      </w:r>
      <w:proofErr w:type="gramStart"/>
      <w:r>
        <w:rPr>
          <w:rFonts w:ascii="仿宋_GB2312" w:eastAsia="仿宋_GB2312" w:hint="eastAsia"/>
          <w:bCs/>
          <w:sz w:val="32"/>
          <w:szCs w:val="32"/>
        </w:rPr>
        <w:t>方业务</w:t>
      </w:r>
      <w:proofErr w:type="gramEnd"/>
      <w:r>
        <w:rPr>
          <w:rFonts w:ascii="仿宋_GB2312" w:eastAsia="仿宋_GB2312" w:hint="eastAsia"/>
          <w:bCs/>
          <w:sz w:val="32"/>
          <w:szCs w:val="32"/>
        </w:rPr>
        <w:t>范围和保密资质，符合《档案服务外包工作规范》等各项法规要求，在实施过程中对数字化加工场所进行24小时监控措施；加强操作人员安全和保密管理、个人信息留底；通过全程监督和抽查等方式对加工项目进行质量验收，最终提交的电子化资料及查询系统均符合项目要求及质量标准。</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评价认为，该项目完成质量良好。</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lastRenderedPageBreak/>
        <w:t>(四)项目效益情况</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1.项目效益性分析</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（1）项目经济性分析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通过项目的实施，</w:t>
      </w:r>
      <w:r>
        <w:rPr>
          <w:rFonts w:ascii="仿宋_GB2312" w:eastAsia="仿宋_GB2312" w:hint="eastAsia"/>
          <w:bCs/>
          <w:sz w:val="32"/>
          <w:szCs w:val="32"/>
        </w:rPr>
        <w:t>推出“检影同行”普法宣传栏目，为中国影都文创主体、影视产业开展相关法律知识宣传，贡献法治“服务包”。</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评价认为，项目单位在资金使用过程按照相关管理制度执行，该项目未直接产生经济收益。</w:t>
      </w:r>
      <w:r>
        <w:rPr>
          <w:rFonts w:ascii="仿宋_GB2312" w:eastAsia="仿宋_GB2312" w:cs="仿宋_GB2312" w:hint="eastAsia"/>
          <w:sz w:val="32"/>
          <w:szCs w:val="32"/>
        </w:rPr>
        <w:t>但为维护</w:t>
      </w:r>
      <w:r>
        <w:rPr>
          <w:rFonts w:ascii="仿宋_GB2312" w:eastAsia="仿宋_GB2312" w:hint="eastAsia"/>
          <w:bCs/>
          <w:sz w:val="32"/>
          <w:szCs w:val="32"/>
        </w:rPr>
        <w:t>中国影都</w:t>
      </w:r>
      <w:proofErr w:type="gramStart"/>
      <w:r>
        <w:rPr>
          <w:rFonts w:ascii="仿宋_GB2312" w:eastAsia="仿宋_GB2312" w:hint="eastAsia"/>
          <w:bCs/>
          <w:sz w:val="32"/>
          <w:szCs w:val="32"/>
        </w:rPr>
        <w:t>文创及影视</w:t>
      </w:r>
      <w:proofErr w:type="gramEnd"/>
      <w:r>
        <w:rPr>
          <w:rFonts w:ascii="仿宋_GB2312" w:eastAsia="仿宋_GB2312" w:hint="eastAsia"/>
          <w:bCs/>
          <w:sz w:val="32"/>
          <w:szCs w:val="32"/>
        </w:rPr>
        <w:t>产业主体的合法权益、保障经济运转奠定基础</w:t>
      </w:r>
      <w:r>
        <w:rPr>
          <w:rFonts w:ascii="仿宋_GB2312" w:eastAsia="仿宋_GB2312" w:cs="仿宋_GB2312" w:hint="eastAsia"/>
          <w:sz w:val="32"/>
          <w:szCs w:val="32"/>
        </w:rPr>
        <w:t>。</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（2）社会效益完成情况分析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Ansi="仿宋_GB2312" w:cs="仿宋_GB2312" w:hint="eastAsia"/>
          <w:sz w:val="32"/>
          <w:szCs w:val="32"/>
        </w:rPr>
        <w:t>通过项目的实施，</w:t>
      </w:r>
      <w:r>
        <w:rPr>
          <w:rFonts w:ascii="仿宋_GB2312" w:eastAsia="仿宋_GB2312" w:hint="eastAsia"/>
          <w:sz w:val="32"/>
          <w:szCs w:val="32"/>
        </w:rPr>
        <w:t>累计接到监督热线来电达</w:t>
      </w:r>
      <w:proofErr w:type="gramStart"/>
      <w:r>
        <w:rPr>
          <w:rFonts w:ascii="仿宋_GB2312" w:eastAsia="仿宋_GB2312" w:hint="eastAsia"/>
          <w:sz w:val="32"/>
          <w:szCs w:val="32"/>
        </w:rPr>
        <w:t>百人次</w:t>
      </w:r>
      <w:proofErr w:type="gramEnd"/>
      <w:r>
        <w:rPr>
          <w:rFonts w:ascii="仿宋_GB2312" w:eastAsia="仿宋_GB2312" w:hint="eastAsia"/>
          <w:sz w:val="32"/>
          <w:szCs w:val="32"/>
        </w:rPr>
        <w:t>，帮助群众解决实际问题。例如：住在怀柔区某村的村民王某发现山后堆满了建筑垃圾和生活垃圾，不知如何是好的他，想到了通过怀柔区电视台宣传的怀柔检察监督热线，于是致电反映问题。区检察院</w:t>
      </w:r>
      <w:proofErr w:type="gramStart"/>
      <w:r>
        <w:rPr>
          <w:rFonts w:ascii="仿宋_GB2312" w:eastAsia="仿宋_GB2312" w:hint="eastAsia"/>
          <w:sz w:val="32"/>
          <w:szCs w:val="32"/>
        </w:rPr>
        <w:t>接诉即办</w:t>
      </w:r>
      <w:proofErr w:type="gramEnd"/>
      <w:r>
        <w:rPr>
          <w:rFonts w:ascii="仿宋_GB2312" w:eastAsia="仿宋_GB2312" w:hint="eastAsia"/>
          <w:sz w:val="32"/>
          <w:szCs w:val="32"/>
        </w:rPr>
        <w:t>，经过</w:t>
      </w:r>
      <w:proofErr w:type="gramStart"/>
      <w:r>
        <w:rPr>
          <w:rFonts w:ascii="仿宋_GB2312" w:eastAsia="仿宋_GB2312" w:hint="eastAsia"/>
          <w:sz w:val="32"/>
          <w:szCs w:val="32"/>
        </w:rPr>
        <w:t>研</w:t>
      </w:r>
      <w:proofErr w:type="gramEnd"/>
      <w:r>
        <w:rPr>
          <w:rFonts w:ascii="仿宋_GB2312" w:eastAsia="仿宋_GB2312" w:hint="eastAsia"/>
          <w:sz w:val="32"/>
          <w:szCs w:val="32"/>
        </w:rPr>
        <w:t>判分析，认为王某的来电可能涉及公益诉讼检察线索，于是转交该院负责公益诉讼检察的第五检察部办理。检察人员立即进行了现场调查，发现确实存在生活垃圾与建筑垃圾混堆</w:t>
      </w:r>
      <w:proofErr w:type="gramStart"/>
      <w:r>
        <w:rPr>
          <w:rFonts w:ascii="仿宋_GB2312" w:eastAsia="仿宋_GB2312" w:hint="eastAsia"/>
          <w:sz w:val="32"/>
          <w:szCs w:val="32"/>
        </w:rPr>
        <w:t>混埋污染</w:t>
      </w:r>
      <w:proofErr w:type="gramEnd"/>
      <w:r>
        <w:rPr>
          <w:rFonts w:ascii="仿宋_GB2312" w:eastAsia="仿宋_GB2312" w:hint="eastAsia"/>
          <w:sz w:val="32"/>
          <w:szCs w:val="32"/>
        </w:rPr>
        <w:t>环境的情况，于是对该</w:t>
      </w:r>
      <w:proofErr w:type="gramStart"/>
      <w:r>
        <w:rPr>
          <w:rFonts w:ascii="仿宋_GB2312" w:eastAsia="仿宋_GB2312" w:hint="eastAsia"/>
          <w:sz w:val="32"/>
          <w:szCs w:val="32"/>
        </w:rPr>
        <w:t>行政公益</w:t>
      </w:r>
      <w:proofErr w:type="gramEnd"/>
      <w:r>
        <w:rPr>
          <w:rFonts w:ascii="仿宋_GB2312" w:eastAsia="仿宋_GB2312" w:hint="eastAsia"/>
          <w:sz w:val="32"/>
          <w:szCs w:val="32"/>
        </w:rPr>
        <w:t>诉讼线</w:t>
      </w:r>
      <w:r>
        <w:rPr>
          <w:rFonts w:ascii="仿宋_GB2312" w:eastAsia="仿宋_GB2312" w:hint="eastAsia"/>
          <w:sz w:val="32"/>
          <w:szCs w:val="32"/>
        </w:rPr>
        <w:lastRenderedPageBreak/>
        <w:t>索进行案件化办理。经过数次查看现场，固定证据，同时联系环境主管部门评估情况，最终区检察院向属地政府制发了诉前检察建议，要求对涉案地点垃圾进行分拣清理，并建立长效机制，切实保护生态环境。收到检察建议后，属地政府高度重视，立即开展整改工作。针对同时发现的垃圾掩埋林木问题，怀柔检察院还向林业主管部门进行了通报，林业主管部门也随即开展相关工作。</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lang w:val="en"/>
        </w:rPr>
        <w:t>围绕公益诉讼五周年，联合怀柔</w:t>
      </w:r>
      <w:proofErr w:type="gramStart"/>
      <w:r>
        <w:rPr>
          <w:rFonts w:ascii="仿宋_GB2312" w:eastAsia="仿宋_GB2312" w:hint="eastAsia"/>
          <w:sz w:val="32"/>
          <w:szCs w:val="32"/>
          <w:lang w:val="en"/>
        </w:rPr>
        <w:t>融媒体</w:t>
      </w:r>
      <w:proofErr w:type="gramEnd"/>
      <w:r>
        <w:rPr>
          <w:rFonts w:ascii="仿宋_GB2312" w:eastAsia="仿宋_GB2312" w:hint="eastAsia"/>
          <w:sz w:val="32"/>
          <w:szCs w:val="32"/>
          <w:lang w:val="en"/>
        </w:rPr>
        <w:t>中心，在怀柔电视台“怀柔新闻”栏目、怀柔报整版、</w:t>
      </w:r>
      <w:proofErr w:type="gramStart"/>
      <w:r>
        <w:rPr>
          <w:rFonts w:ascii="仿宋_GB2312" w:eastAsia="仿宋_GB2312" w:hint="eastAsia"/>
          <w:sz w:val="32"/>
          <w:szCs w:val="32"/>
          <w:lang w:val="en"/>
        </w:rPr>
        <w:t>怀柔融媒等</w:t>
      </w:r>
      <w:proofErr w:type="gramEnd"/>
      <w:r>
        <w:rPr>
          <w:rFonts w:ascii="仿宋_GB2312" w:eastAsia="仿宋_GB2312" w:hint="eastAsia"/>
          <w:sz w:val="32"/>
          <w:szCs w:val="32"/>
          <w:lang w:val="en"/>
        </w:rPr>
        <w:t>平台深度报告区检察院公益诉讼五周年相关工作。</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rPr>
        <w:t>围绕打击整治养老诈骗专项行动，综合运用多种媒体形式创新制作多样的养老诈骗宣传产品，联合第二检察部，逆向思维创新推出《养老诈骗犯罪成本套餐》系列长图、精心制作《老丁头历险记》</w:t>
      </w:r>
      <w:proofErr w:type="gramStart"/>
      <w:r>
        <w:rPr>
          <w:rFonts w:ascii="仿宋_GB2312" w:eastAsia="仿宋_GB2312" w:hint="eastAsia"/>
          <w:sz w:val="32"/>
          <w:szCs w:val="32"/>
        </w:rPr>
        <w:t>动漫短</w:t>
      </w:r>
      <w:proofErr w:type="gramEnd"/>
      <w:r>
        <w:rPr>
          <w:rFonts w:ascii="仿宋_GB2312" w:eastAsia="仿宋_GB2312" w:hint="eastAsia"/>
          <w:sz w:val="32"/>
          <w:szCs w:val="32"/>
        </w:rPr>
        <w:t>视频、拍摄老年人保健品诈骗短视频等系列老年人反</w:t>
      </w:r>
      <w:proofErr w:type="gramStart"/>
      <w:r>
        <w:rPr>
          <w:rFonts w:ascii="仿宋_GB2312" w:eastAsia="仿宋_GB2312" w:hint="eastAsia"/>
          <w:sz w:val="32"/>
          <w:szCs w:val="32"/>
        </w:rPr>
        <w:t>诈宣传</w:t>
      </w:r>
      <w:proofErr w:type="gramEnd"/>
      <w:r>
        <w:rPr>
          <w:rFonts w:ascii="仿宋_GB2312" w:eastAsia="仿宋_GB2312" w:hint="eastAsia"/>
          <w:sz w:val="32"/>
          <w:szCs w:val="32"/>
        </w:rPr>
        <w:t>产品，利用当下热门的网络直播形式，开展养老诈骗在线普法宣传，共推送养老诈骗新媒体宣传16期，多篇获得市检察院“京检在线”转发报道，其中《老丁头历险记》在区检察院官方</w:t>
      </w:r>
      <w:proofErr w:type="gramStart"/>
      <w:r>
        <w:rPr>
          <w:rFonts w:ascii="仿宋_GB2312" w:eastAsia="仿宋_GB2312" w:hint="eastAsia"/>
          <w:sz w:val="32"/>
          <w:szCs w:val="32"/>
        </w:rPr>
        <w:t>微信公众号发布</w:t>
      </w:r>
      <w:proofErr w:type="gramEnd"/>
      <w:r>
        <w:rPr>
          <w:rFonts w:ascii="仿宋_GB2312" w:eastAsia="仿宋_GB2312" w:hint="eastAsia"/>
          <w:sz w:val="32"/>
          <w:szCs w:val="32"/>
        </w:rPr>
        <w:t>后经市检察院推荐，在北京市各大地铁、公交线路持续播放一周。</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评价认为，区检察院坚持以求极致的精神加强法律监督宣传及</w:t>
      </w:r>
      <w:proofErr w:type="gramStart"/>
      <w:r>
        <w:rPr>
          <w:rFonts w:ascii="仿宋_GB2312" w:eastAsia="仿宋_GB2312" w:hint="eastAsia"/>
          <w:sz w:val="32"/>
          <w:szCs w:val="32"/>
        </w:rPr>
        <w:t>接诉即办</w:t>
      </w:r>
      <w:proofErr w:type="gramEnd"/>
      <w:r>
        <w:rPr>
          <w:rFonts w:ascii="仿宋_GB2312" w:eastAsia="仿宋_GB2312" w:hint="eastAsia"/>
          <w:sz w:val="32"/>
          <w:szCs w:val="32"/>
        </w:rPr>
        <w:t>的快速</w:t>
      </w:r>
      <w:r>
        <w:rPr>
          <w:rFonts w:ascii="仿宋_GB2312" w:eastAsia="仿宋_GB2312" w:hAnsi="仿宋_GB2312" w:cs="仿宋_GB2312" w:hint="eastAsia"/>
          <w:sz w:val="32"/>
          <w:szCs w:val="32"/>
        </w:rPr>
        <w:t>响应机制</w:t>
      </w:r>
      <w:r>
        <w:rPr>
          <w:rFonts w:ascii="仿宋_GB2312" w:eastAsia="仿宋_GB2312" w:hint="eastAsia"/>
          <w:sz w:val="32"/>
          <w:szCs w:val="32"/>
        </w:rPr>
        <w:t>，</w:t>
      </w:r>
      <w:proofErr w:type="gramStart"/>
      <w:r>
        <w:rPr>
          <w:rFonts w:ascii="仿宋_GB2312" w:eastAsia="仿宋_GB2312" w:hint="eastAsia"/>
          <w:sz w:val="32"/>
          <w:szCs w:val="32"/>
        </w:rPr>
        <w:t>宣传受</w:t>
      </w:r>
      <w:proofErr w:type="gramEnd"/>
      <w:r>
        <w:rPr>
          <w:rFonts w:ascii="仿宋_GB2312" w:eastAsia="仿宋_GB2312" w:hint="eastAsia"/>
          <w:sz w:val="32"/>
          <w:szCs w:val="32"/>
        </w:rPr>
        <w:lastRenderedPageBreak/>
        <w:t>众覆盖面大</w:t>
      </w:r>
      <w:r>
        <w:rPr>
          <w:rFonts w:ascii="仿宋_GB2312" w:eastAsia="仿宋_GB2312" w:hAnsi="仿宋_GB2312" w:cs="仿宋_GB2312" w:hint="eastAsia"/>
          <w:sz w:val="32"/>
          <w:szCs w:val="32"/>
        </w:rPr>
        <w:t xml:space="preserve">，取得的社会效益影响显著。 </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（3）生态环境效益分析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Ansi="仿宋_GB2312" w:cs="仿宋_GB2312" w:hint="eastAsia"/>
          <w:sz w:val="32"/>
          <w:szCs w:val="32"/>
        </w:rPr>
        <w:t>区检察院</w:t>
      </w:r>
      <w:r>
        <w:rPr>
          <w:rFonts w:ascii="仿宋_GB2312" w:eastAsia="仿宋_GB2312" w:hint="eastAsia"/>
          <w:bCs/>
          <w:sz w:val="32"/>
          <w:szCs w:val="32"/>
        </w:rPr>
        <w:t>积极推进公益诉讼检察职能宣传，为生态涵养区建设、绿色发展、环境保护营造良好舆论环境和法治引领力。</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评价认为，区检察院加大公益诉讼宣传及监督检查热线的宣传，对办理生态环境保护案件及保护怀柔区生态环境起到重要作用。</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（4）项目可持续影响分析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sz w:val="32"/>
          <w:szCs w:val="32"/>
        </w:rPr>
        <w:t>由于新闻宣传工作的特殊性和专业技术性特点，通过项目的实施，结合区检察院实际工作，利用第三方公司资源和技术，更加深入广泛地将相关检察工作内容、法律法规宣传给检察院内部及外部群众。</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t>检察档案信息化建设已纳入北京市乃至全国人民检察系统信息化发展总体规划，要求“与检察信息化建设协调配合，实现系统互联互通，资源共享共用。”同时相关法规明确了“常态化开展传统载体档案数字化工作，实施纸质档案数字复制件全文识别，将图像数据转化为文本信息，便于检索和开</w:t>
      </w:r>
      <w:r>
        <w:rPr>
          <w:rFonts w:ascii="仿宋_GB2312" w:eastAsia="仿宋_GB2312" w:hint="eastAsia"/>
          <w:bCs/>
          <w:sz w:val="32"/>
          <w:szCs w:val="32"/>
        </w:rPr>
        <w:lastRenderedPageBreak/>
        <w:t>发利用”，该项工作是提高检察工作质效的必要手段。</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Ansi="仿宋_GB2312" w:cs="仿宋_GB2312" w:hint="eastAsia"/>
          <w:sz w:val="32"/>
          <w:szCs w:val="32"/>
        </w:rPr>
        <w:t>评价认为，该项目的实施</w:t>
      </w:r>
      <w:r>
        <w:rPr>
          <w:rFonts w:ascii="仿宋_GB2312" w:eastAsia="仿宋_GB2312" w:hint="eastAsia"/>
          <w:bCs/>
          <w:sz w:val="32"/>
          <w:szCs w:val="32"/>
        </w:rPr>
        <w:t>，加大了对外宣传力度，建设检察档案信息化，发挥检察工作职能，是检察工作保驾护航社会经济生产、生态环境保护、让更多的百姓了解检察院职能，普及法律法规知识，畅通为民办实事、实现可持续发展的应有之意。</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（5）服务对象满意度分析</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t>2022年度向内部干警发放</w:t>
      </w:r>
      <w:r>
        <w:rPr>
          <w:rFonts w:ascii="仿宋_GB2312" w:eastAsia="仿宋_GB2312" w:hint="eastAsia"/>
          <w:sz w:val="32"/>
          <w:szCs w:val="32"/>
        </w:rPr>
        <w:t>新媒体宣传</w:t>
      </w:r>
      <w:r>
        <w:rPr>
          <w:rFonts w:ascii="仿宋_GB2312" w:eastAsia="仿宋_GB2312" w:hint="eastAsia"/>
          <w:bCs/>
          <w:sz w:val="32"/>
          <w:szCs w:val="32"/>
        </w:rPr>
        <w:t>满意度调查表120份，其中满意度93%。满意度分析：各部门宣传需求满足较好，宣传工作质效高，进一步丰富宣传形式，更多的运用H5、漫画长图等形式。</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b/>
          <w:sz w:val="32"/>
          <w:szCs w:val="32"/>
        </w:rPr>
      </w:pPr>
      <w:r>
        <w:rPr>
          <w:rFonts w:ascii="仿宋_GB2312" w:eastAsia="仿宋_GB2312" w:hint="eastAsia"/>
          <w:bCs/>
          <w:sz w:val="32"/>
          <w:szCs w:val="32"/>
        </w:rPr>
        <w:t>向内部干警</w:t>
      </w:r>
      <w:r>
        <w:rPr>
          <w:rFonts w:ascii="仿宋_GB2312" w:eastAsia="仿宋_GB2312" w:hAnsi="Calibri" w:hint="eastAsia"/>
          <w:bCs/>
          <w:sz w:val="32"/>
          <w:szCs w:val="32"/>
        </w:rPr>
        <w:t>发放内部网络档案电子化满意度调查110份，满意度为100%。</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int="eastAsia"/>
          <w:bCs/>
          <w:sz w:val="32"/>
          <w:szCs w:val="32"/>
        </w:rPr>
        <w:t>发放社会满意度调查表150份，其中满意度96%，满意度分析：认为检察院宣传产品有创意、有内容、有亮点，满足群众法治需求，后续增加一些维权类相关宣传内容。</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评价认为，满意度调查范围</w:t>
      </w:r>
      <w:proofErr w:type="gramStart"/>
      <w:r>
        <w:rPr>
          <w:rFonts w:ascii="仿宋_GB2312" w:eastAsia="仿宋_GB2312" w:hAnsi="仿宋_GB2312" w:cs="仿宋_GB2312" w:hint="eastAsia"/>
          <w:sz w:val="32"/>
          <w:szCs w:val="32"/>
        </w:rPr>
        <w:t>覆盖较</w:t>
      </w:r>
      <w:proofErr w:type="gramEnd"/>
      <w:r>
        <w:rPr>
          <w:rFonts w:ascii="仿宋_GB2312" w:eastAsia="仿宋_GB2312" w:hAnsi="仿宋_GB2312" w:cs="仿宋_GB2312" w:hint="eastAsia"/>
          <w:sz w:val="32"/>
          <w:szCs w:val="32"/>
        </w:rPr>
        <w:t>全面，但用户满意度问卷指标设置过于简单，科学性不足。</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五.存在的问题及原因分析</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（一）项目可行性论证及实施方案资料不充分</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立项前虽然做了一定的调研，但是项目可行性论证依据不充分，项目立项实施的必要性、与2022年度区检察院整体工作计划的相关性展现不足。</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项目实施的计划性不足，执行过程缺少项目整体实施方案，实施方案应包含：项目组织机构人员分工、实施进度安排、采购审批流程、采购方式选择、采购过程控制、项目验收、经费执行计划、绩效管理等项目执行全流程内容。</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sz w:val="32"/>
          <w:szCs w:val="32"/>
        </w:rPr>
      </w:pPr>
      <w:r>
        <w:rPr>
          <w:rFonts w:ascii="仿宋_GB2312" w:eastAsia="仿宋_GB2312" w:hAnsi="仿宋_GB2312" w:cs="仿宋_GB2312" w:hint="eastAsia"/>
          <w:b/>
          <w:sz w:val="32"/>
          <w:szCs w:val="32"/>
        </w:rPr>
        <w:t>（二）项目单位绩效目标设置不够准确、项目预算准确性不足</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项目单位绩效目标申报表填报不够准确，绩效指标设定不够明确清晰，项目绩效指标的合理性不够充分，未对项目经济效益、社会效益、环境效益、可持续影响方面设置具体的绩效指标，各项指标主要为描述性，不易于对项目的实施效果进行比较和考核。</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项目预算准确性不足，各子项目的资金需求分析深度、细化程度不足。</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sz w:val="32"/>
          <w:szCs w:val="32"/>
        </w:rPr>
      </w:pPr>
      <w:r>
        <w:rPr>
          <w:rFonts w:ascii="仿宋_GB2312" w:eastAsia="仿宋_GB2312" w:hAnsi="仿宋_GB2312" w:cs="仿宋_GB2312" w:hint="eastAsia"/>
          <w:b/>
          <w:sz w:val="32"/>
          <w:szCs w:val="32"/>
        </w:rPr>
        <w:t>（三）合同订立、项目验收程序管理不够规范</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sz w:val="32"/>
          <w:szCs w:val="32"/>
        </w:rPr>
        <w:t>合同签订</w:t>
      </w:r>
      <w:r>
        <w:rPr>
          <w:rFonts w:ascii="仿宋_GB2312" w:eastAsia="仿宋_GB2312" w:hAnsi="仿宋_GB2312" w:cs="仿宋_GB2312" w:hint="eastAsia"/>
          <w:sz w:val="32"/>
          <w:szCs w:val="32"/>
        </w:rPr>
        <w:t>不够规范、</w:t>
      </w:r>
      <w:r>
        <w:rPr>
          <w:rFonts w:ascii="仿宋_GB2312" w:eastAsia="仿宋_GB2312" w:hAnsi="仿宋_GB2312" w:cs="仿宋_GB2312"/>
          <w:sz w:val="32"/>
          <w:szCs w:val="32"/>
        </w:rPr>
        <w:t>严密，对甲方要求多，对乙方反而要求少，合同内容不完善</w:t>
      </w:r>
      <w:r>
        <w:rPr>
          <w:rFonts w:ascii="仿宋_GB2312" w:eastAsia="仿宋_GB2312" w:hAnsi="仿宋_GB2312" w:cs="仿宋_GB2312" w:hint="eastAsia"/>
          <w:sz w:val="32"/>
          <w:szCs w:val="32"/>
        </w:rPr>
        <w:t>,部分合同对于工作成果质量标准未予明确。</w:t>
      </w:r>
      <w:r>
        <w:rPr>
          <w:rFonts w:ascii="仿宋_GB2312" w:eastAsia="仿宋_GB2312" w:hAnsi="仿宋_GB2312" w:cs="仿宋_GB2312"/>
          <w:sz w:val="32"/>
          <w:szCs w:val="32"/>
        </w:rPr>
        <w:t xml:space="preserve"> </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项目验收程序管理不够规范，</w:t>
      </w:r>
      <w:r>
        <w:rPr>
          <w:rFonts w:ascii="仿宋_GB2312" w:eastAsia="仿宋_GB2312" w:cs="仿宋_GB2312" w:hint="eastAsia"/>
          <w:sz w:val="32"/>
          <w:szCs w:val="32"/>
        </w:rPr>
        <w:t>宣传项目验收环节管理有待加强，虽然履行了验收手续，但未形成相关验收资料，</w:t>
      </w:r>
      <w:r>
        <w:rPr>
          <w:rFonts w:ascii="仿宋_GB2312" w:eastAsia="仿宋_GB2312" w:hint="eastAsia"/>
          <w:color w:val="000000"/>
          <w:sz w:val="32"/>
          <w:szCs w:val="32"/>
        </w:rPr>
        <w:t>缺乏宣传制作成果的相关技术指标验收认定标准及验收流程制度。</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（四）满意度调查科学性不足</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用户满意度问卷指标设置过于简单，满意度调查科学性不足。</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六.有关建议</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（一）做好立项前的可行性论证调研，夯实决策依据</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建议项目单位增强决策支持意识，在编制预算前，充分做好立项前的可行性论证调研，加强项目执行的必要性、紧迫性意识，夯实决策依据，提高项目决策基础。</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制定完善项目实施方案，明确项目的责任主体及工作分工，规范项目过程管理，按实际工作流程，完善审批流程、实施流程、验收流程、经费支出执行计划、绩效管理措施，强化项目的过程控制与监督，提高对项目执行的保障，确保项目有效实施。</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（二）强化</w:t>
      </w:r>
      <w:r>
        <w:rPr>
          <w:rFonts w:ascii="仿宋_GB2312" w:eastAsia="仿宋_GB2312" w:hAnsi="仿宋_GB2312" w:cs="仿宋_GB2312"/>
          <w:b/>
          <w:sz w:val="32"/>
          <w:szCs w:val="32"/>
        </w:rPr>
        <w:t>预算管理，</w:t>
      </w:r>
      <w:r>
        <w:rPr>
          <w:rFonts w:ascii="仿宋_GB2312" w:eastAsia="仿宋_GB2312" w:hAnsi="仿宋_GB2312" w:cs="仿宋_GB2312" w:hint="eastAsia"/>
          <w:b/>
          <w:sz w:val="32"/>
          <w:szCs w:val="32"/>
        </w:rPr>
        <w:t>提高绩效意识，规范填报项目申报书及绩效目标申报表</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建议项目单位强化预算管理的科学性、严谨性，树立项目预算管理的理念。加强并规范项目预算</w:t>
      </w:r>
      <w:r>
        <w:rPr>
          <w:rFonts w:ascii="仿宋_GB2312" w:eastAsia="仿宋_GB2312" w:hAnsi="仿宋_GB2312" w:cs="仿宋_GB2312" w:hint="eastAsia"/>
          <w:sz w:val="32"/>
          <w:szCs w:val="32"/>
        </w:rPr>
        <w:lastRenderedPageBreak/>
        <w:t>编报，细化完善各子项目的测算依据，建立询价机制，加强预算执行的决策依据，形成最终预算金额。提高绩效意识，强化项目管理，严格按规定编制项目绩效文本，细化量化绩效指标，提高项目绩效指标的可</w:t>
      </w:r>
      <w:proofErr w:type="gramStart"/>
      <w:r>
        <w:rPr>
          <w:rFonts w:ascii="仿宋_GB2312" w:eastAsia="仿宋_GB2312" w:hAnsi="仿宋_GB2312" w:cs="仿宋_GB2312" w:hint="eastAsia"/>
          <w:sz w:val="32"/>
          <w:szCs w:val="32"/>
        </w:rPr>
        <w:t>考量</w:t>
      </w:r>
      <w:proofErr w:type="gramEnd"/>
      <w:r>
        <w:rPr>
          <w:rFonts w:ascii="仿宋_GB2312" w:eastAsia="仿宋_GB2312" w:hAnsi="仿宋_GB2312" w:cs="仿宋_GB2312" w:hint="eastAsia"/>
          <w:sz w:val="32"/>
          <w:szCs w:val="32"/>
        </w:rPr>
        <w:t>性，建立科学、合理的绩效目标体系。</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sz w:val="32"/>
          <w:szCs w:val="32"/>
        </w:rPr>
        <w:t>设置绩效指标要结合每个子项目要求，提出符合该部门工作需求的具体量化指标，汇总后再将主要指标列入绩效考核的各项效益指标中。</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（三）规范签订采购合同、完善项目验收手续</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建议项目单位强化项目管理的制度落实，规范签订服务合同，对项目合同签订要严密，</w:t>
      </w:r>
      <w:r>
        <w:rPr>
          <w:rFonts w:ascii="仿宋_GB2312" w:eastAsia="仿宋_GB2312" w:hAnsi="仿宋_GB2312" w:cs="仿宋_GB2312"/>
          <w:sz w:val="32"/>
          <w:szCs w:val="32"/>
        </w:rPr>
        <w:t>要素完整，</w:t>
      </w:r>
      <w:r>
        <w:rPr>
          <w:rFonts w:ascii="仿宋_GB2312" w:eastAsia="仿宋_GB2312" w:hAnsi="仿宋_GB2312" w:cs="仿宋_GB2312" w:hint="eastAsia"/>
          <w:sz w:val="32"/>
          <w:szCs w:val="32"/>
        </w:rPr>
        <w:t>明确工作成果质量标准，对双方的权力和义务要进行明确约束，</w:t>
      </w:r>
      <w:r>
        <w:rPr>
          <w:rFonts w:ascii="仿宋_GB2312" w:eastAsia="仿宋_GB2312" w:hAnsi="仿宋_GB2312" w:cs="仿宋_GB2312"/>
          <w:sz w:val="32"/>
          <w:szCs w:val="32"/>
        </w:rPr>
        <w:t>为后续项目实施建立良好基础</w:t>
      </w:r>
      <w:r>
        <w:rPr>
          <w:rFonts w:ascii="仿宋_GB2312" w:eastAsia="仿宋_GB2312" w:hAnsi="仿宋_GB2312" w:cs="仿宋_GB2312" w:hint="eastAsia"/>
          <w:sz w:val="32"/>
          <w:szCs w:val="32"/>
        </w:rPr>
        <w:t>，确保财政资金的执行。</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完善项目的验收制度，制定</w:t>
      </w:r>
      <w:r>
        <w:rPr>
          <w:rFonts w:ascii="仿宋_GB2312" w:eastAsia="仿宋_GB2312" w:hint="eastAsia"/>
          <w:color w:val="000000"/>
          <w:sz w:val="32"/>
          <w:szCs w:val="32"/>
        </w:rPr>
        <w:t>宣传项目相关技术指标验收认定标准及验收流程制度</w:t>
      </w:r>
      <w:r>
        <w:rPr>
          <w:rFonts w:ascii="仿宋_GB2312" w:eastAsia="仿宋_GB2312" w:hAnsi="仿宋_GB2312" w:cs="仿宋_GB2312"/>
          <w:sz w:val="32"/>
          <w:szCs w:val="32"/>
        </w:rPr>
        <w:t>，及时开展验收程序并留存相关手续资料。</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（四）加强项目管理，及时完整的归集成果资料</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建议项目单位加强项目管理，及时完整的归集成果资料。规范开展用户满意度调查，合理设定调</w:t>
      </w:r>
      <w:r>
        <w:rPr>
          <w:rFonts w:ascii="仿宋_GB2312" w:eastAsia="仿宋_GB2312" w:hAnsi="仿宋_GB2312" w:cs="仿宋_GB2312" w:hint="eastAsia"/>
          <w:sz w:val="32"/>
          <w:szCs w:val="32"/>
        </w:rPr>
        <w:lastRenderedPageBreak/>
        <w:t>查问卷指标，提高科学性。</w:t>
      </w:r>
    </w:p>
    <w:p w:rsidR="007248B6" w:rsidRDefault="004C7AC6">
      <w:pPr>
        <w:pBdr>
          <w:bottom w:val="single" w:sz="4" w:space="31" w:color="FFFFFF"/>
        </w:pBdr>
        <w:tabs>
          <w:tab w:val="left" w:pos="1440"/>
        </w:tabs>
        <w:spacing w:line="360" w:lineRule="auto"/>
        <w:ind w:firstLineChars="200" w:firstLine="643"/>
        <w:contextualSpacing/>
        <w:rPr>
          <w:rFonts w:ascii="仿宋_GB2312" w:eastAsia="仿宋_GB2312" w:hAnsi="仿宋_GB2312" w:cs="仿宋_GB2312"/>
          <w:b/>
          <w:sz w:val="32"/>
          <w:szCs w:val="32"/>
        </w:rPr>
      </w:pPr>
      <w:r>
        <w:rPr>
          <w:rFonts w:ascii="仿宋_GB2312" w:eastAsia="仿宋_GB2312" w:hAnsi="仿宋_GB2312" w:cs="仿宋_GB2312" w:hint="eastAsia"/>
          <w:b/>
          <w:sz w:val="32"/>
          <w:szCs w:val="32"/>
        </w:rPr>
        <w:t>七.其他需要说明的问题</w:t>
      </w:r>
    </w:p>
    <w:p w:rsidR="007248B6" w:rsidRDefault="004C7AC6">
      <w:pPr>
        <w:pBdr>
          <w:bottom w:val="single" w:sz="4" w:space="31" w:color="FFFFFF"/>
        </w:pBdr>
        <w:tabs>
          <w:tab w:val="left" w:pos="1440"/>
        </w:tabs>
        <w:spacing w:line="360" w:lineRule="auto"/>
        <w:ind w:firstLineChars="200" w:firstLine="640"/>
        <w:contextualSpacing/>
        <w:rPr>
          <w:rFonts w:ascii="仿宋_GB2312" w:eastAsia="仿宋_GB2312" w:hAnsi="仿宋_GB2312" w:cs="仿宋_GB2312"/>
          <w:sz w:val="32"/>
          <w:szCs w:val="32"/>
        </w:rPr>
      </w:pPr>
      <w:r>
        <w:rPr>
          <w:rFonts w:ascii="仿宋_GB2312" w:eastAsia="仿宋_GB2312" w:hAnsi="仿宋_GB2312" w:cs="仿宋_GB2312" w:hint="eastAsia"/>
          <w:sz w:val="32"/>
          <w:szCs w:val="32"/>
        </w:rPr>
        <w:t>无。</w:t>
      </w:r>
    </w:p>
    <w:p w:rsidR="004C7AC6" w:rsidRPr="00F9287B" w:rsidRDefault="004C7AC6" w:rsidP="00F9287B">
      <w:pPr>
        <w:pStyle w:val="a0"/>
        <w:ind w:firstLine="420"/>
      </w:pPr>
    </w:p>
    <w:p w:rsidR="007248B6" w:rsidRDefault="007248B6"/>
    <w:sectPr w:rsidR="007248B6" w:rsidSect="001C7132">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66F8" w:rsidRDefault="004966F8" w:rsidP="004A4B27">
      <w:r>
        <w:separator/>
      </w:r>
    </w:p>
  </w:endnote>
  <w:endnote w:type="continuationSeparator" w:id="0">
    <w:p w:rsidR="004966F8" w:rsidRDefault="004966F8" w:rsidP="004A4B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66F8" w:rsidRDefault="004966F8" w:rsidP="004A4B27">
      <w:r>
        <w:separator/>
      </w:r>
    </w:p>
  </w:footnote>
  <w:footnote w:type="continuationSeparator" w:id="0">
    <w:p w:rsidR="004966F8" w:rsidRDefault="004966F8" w:rsidP="004A4B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wNzQ4ZTczMjhhNzFjY2RjMjhjYzA5Y2RlZDViOGIifQ=="/>
  </w:docVars>
  <w:rsids>
    <w:rsidRoot w:val="03875F61"/>
    <w:rsid w:val="00025D0A"/>
    <w:rsid w:val="000A2B15"/>
    <w:rsid w:val="000A2D4F"/>
    <w:rsid w:val="001137F0"/>
    <w:rsid w:val="001B67CD"/>
    <w:rsid w:val="001B6D23"/>
    <w:rsid w:val="001B77CE"/>
    <w:rsid w:val="001C7132"/>
    <w:rsid w:val="001D5A28"/>
    <w:rsid w:val="001F47B6"/>
    <w:rsid w:val="0020017C"/>
    <w:rsid w:val="00266861"/>
    <w:rsid w:val="00266CA4"/>
    <w:rsid w:val="0027230E"/>
    <w:rsid w:val="002D1EA4"/>
    <w:rsid w:val="002E4C83"/>
    <w:rsid w:val="00312B38"/>
    <w:rsid w:val="0032356B"/>
    <w:rsid w:val="003330D9"/>
    <w:rsid w:val="003B194F"/>
    <w:rsid w:val="003C4E9B"/>
    <w:rsid w:val="003D0FFB"/>
    <w:rsid w:val="003F39BE"/>
    <w:rsid w:val="004244C7"/>
    <w:rsid w:val="004966F8"/>
    <w:rsid w:val="00497EA8"/>
    <w:rsid w:val="004A4B27"/>
    <w:rsid w:val="004C7AC6"/>
    <w:rsid w:val="004F7400"/>
    <w:rsid w:val="00522C94"/>
    <w:rsid w:val="00543B71"/>
    <w:rsid w:val="00571B33"/>
    <w:rsid w:val="005943D0"/>
    <w:rsid w:val="005E477B"/>
    <w:rsid w:val="005F504D"/>
    <w:rsid w:val="006118FE"/>
    <w:rsid w:val="006247E9"/>
    <w:rsid w:val="00636FB2"/>
    <w:rsid w:val="00663CC5"/>
    <w:rsid w:val="006A0BE5"/>
    <w:rsid w:val="006F1DBD"/>
    <w:rsid w:val="007248B6"/>
    <w:rsid w:val="00733BBF"/>
    <w:rsid w:val="008455CF"/>
    <w:rsid w:val="00893CEC"/>
    <w:rsid w:val="00895FC1"/>
    <w:rsid w:val="008A4D76"/>
    <w:rsid w:val="008C6453"/>
    <w:rsid w:val="008E7D92"/>
    <w:rsid w:val="008F1CDD"/>
    <w:rsid w:val="009347D1"/>
    <w:rsid w:val="009800D6"/>
    <w:rsid w:val="009A4A97"/>
    <w:rsid w:val="009E15FC"/>
    <w:rsid w:val="00A12004"/>
    <w:rsid w:val="00A35DDA"/>
    <w:rsid w:val="00A43031"/>
    <w:rsid w:val="00A4701F"/>
    <w:rsid w:val="00A969A5"/>
    <w:rsid w:val="00B347A3"/>
    <w:rsid w:val="00B43990"/>
    <w:rsid w:val="00B84B98"/>
    <w:rsid w:val="00C456F9"/>
    <w:rsid w:val="00C63AB6"/>
    <w:rsid w:val="00C72913"/>
    <w:rsid w:val="00C7677F"/>
    <w:rsid w:val="00C830C6"/>
    <w:rsid w:val="00C8413A"/>
    <w:rsid w:val="00CD35D7"/>
    <w:rsid w:val="00D1387E"/>
    <w:rsid w:val="00D9521E"/>
    <w:rsid w:val="00DC6BB5"/>
    <w:rsid w:val="00DC7A30"/>
    <w:rsid w:val="00E5733A"/>
    <w:rsid w:val="00E91C24"/>
    <w:rsid w:val="00F505D9"/>
    <w:rsid w:val="00F85369"/>
    <w:rsid w:val="00F9287B"/>
    <w:rsid w:val="00FE28A1"/>
    <w:rsid w:val="03875F61"/>
    <w:rsid w:val="09C14E59"/>
    <w:rsid w:val="32BC69A9"/>
    <w:rsid w:val="4CA87F80"/>
    <w:rsid w:val="754F65B6"/>
    <w:rsid w:val="7BC130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link w:val="Char"/>
    <w:qFormat/>
    <w:pPr>
      <w:tabs>
        <w:tab w:val="left" w:pos="2880"/>
      </w:tabs>
      <w:spacing w:line="360" w:lineRule="auto"/>
      <w:ind w:firstLineChars="200" w:firstLine="200"/>
    </w:pPr>
    <w:rPr>
      <w:bCs/>
      <w:sz w:val="24"/>
    </w:rPr>
  </w:style>
  <w:style w:type="character" w:customStyle="1" w:styleId="Char">
    <w:name w:val="正文文本缩进 Char"/>
    <w:basedOn w:val="a1"/>
    <w:link w:val="a4"/>
    <w:qFormat/>
    <w:rPr>
      <w:bCs/>
      <w:kern w:val="2"/>
      <w:sz w:val="24"/>
      <w:szCs w:val="24"/>
    </w:rPr>
  </w:style>
  <w:style w:type="paragraph" w:styleId="a5">
    <w:name w:val="List Paragraph"/>
    <w:basedOn w:val="a"/>
    <w:uiPriority w:val="34"/>
    <w:qFormat/>
    <w:pPr>
      <w:ind w:firstLineChars="200" w:firstLine="420"/>
    </w:pPr>
    <w:rPr>
      <w:rFonts w:eastAsia="仿宋_GB2312"/>
      <w:sz w:val="28"/>
      <w:szCs w:val="22"/>
    </w:rPr>
  </w:style>
  <w:style w:type="table" w:styleId="a6">
    <w:name w:val="Table Grid"/>
    <w:basedOn w:val="a2"/>
    <w:rsid w:val="00F92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rsid w:val="004A4B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rsid w:val="004A4B27"/>
    <w:rPr>
      <w:kern w:val="2"/>
      <w:sz w:val="18"/>
      <w:szCs w:val="18"/>
    </w:rPr>
  </w:style>
  <w:style w:type="paragraph" w:styleId="a8">
    <w:name w:val="footer"/>
    <w:basedOn w:val="a"/>
    <w:link w:val="Char1"/>
    <w:rsid w:val="004A4B27"/>
    <w:pPr>
      <w:tabs>
        <w:tab w:val="center" w:pos="4153"/>
        <w:tab w:val="right" w:pos="8306"/>
      </w:tabs>
      <w:snapToGrid w:val="0"/>
      <w:jc w:val="left"/>
    </w:pPr>
    <w:rPr>
      <w:sz w:val="18"/>
      <w:szCs w:val="18"/>
    </w:rPr>
  </w:style>
  <w:style w:type="character" w:customStyle="1" w:styleId="Char1">
    <w:name w:val="页脚 Char"/>
    <w:basedOn w:val="a1"/>
    <w:link w:val="a8"/>
    <w:rsid w:val="004A4B27"/>
    <w:rPr>
      <w:kern w:val="2"/>
      <w:sz w:val="18"/>
      <w:szCs w:val="18"/>
    </w:rPr>
  </w:style>
  <w:style w:type="paragraph" w:styleId="a9">
    <w:name w:val="Balloon Text"/>
    <w:basedOn w:val="a"/>
    <w:link w:val="Char2"/>
    <w:rsid w:val="00B43990"/>
    <w:rPr>
      <w:sz w:val="18"/>
      <w:szCs w:val="18"/>
    </w:rPr>
  </w:style>
  <w:style w:type="character" w:customStyle="1" w:styleId="Char2">
    <w:name w:val="批注框文本 Char"/>
    <w:basedOn w:val="a1"/>
    <w:link w:val="a9"/>
    <w:rsid w:val="00B43990"/>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pPr>
      <w:widowControl w:val="0"/>
      <w:jc w:val="both"/>
    </w:pPr>
    <w:rPr>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200"/>
    </w:pPr>
  </w:style>
  <w:style w:type="paragraph" w:styleId="a4">
    <w:name w:val="Body Text Indent"/>
    <w:basedOn w:val="a"/>
    <w:link w:val="Char"/>
    <w:qFormat/>
    <w:pPr>
      <w:tabs>
        <w:tab w:val="left" w:pos="2880"/>
      </w:tabs>
      <w:spacing w:line="360" w:lineRule="auto"/>
      <w:ind w:firstLineChars="200" w:firstLine="200"/>
    </w:pPr>
    <w:rPr>
      <w:bCs/>
      <w:sz w:val="24"/>
    </w:rPr>
  </w:style>
  <w:style w:type="character" w:customStyle="1" w:styleId="Char">
    <w:name w:val="正文文本缩进 Char"/>
    <w:basedOn w:val="a1"/>
    <w:link w:val="a4"/>
    <w:qFormat/>
    <w:rPr>
      <w:bCs/>
      <w:kern w:val="2"/>
      <w:sz w:val="24"/>
      <w:szCs w:val="24"/>
    </w:rPr>
  </w:style>
  <w:style w:type="paragraph" w:styleId="a5">
    <w:name w:val="List Paragraph"/>
    <w:basedOn w:val="a"/>
    <w:uiPriority w:val="34"/>
    <w:qFormat/>
    <w:pPr>
      <w:ind w:firstLineChars="200" w:firstLine="420"/>
    </w:pPr>
    <w:rPr>
      <w:rFonts w:eastAsia="仿宋_GB2312"/>
      <w:sz w:val="28"/>
      <w:szCs w:val="22"/>
    </w:rPr>
  </w:style>
  <w:style w:type="table" w:styleId="a6">
    <w:name w:val="Table Grid"/>
    <w:basedOn w:val="a2"/>
    <w:rsid w:val="00F928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0"/>
    <w:rsid w:val="004A4B2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1"/>
    <w:link w:val="a7"/>
    <w:rsid w:val="004A4B27"/>
    <w:rPr>
      <w:kern w:val="2"/>
      <w:sz w:val="18"/>
      <w:szCs w:val="18"/>
    </w:rPr>
  </w:style>
  <w:style w:type="paragraph" w:styleId="a8">
    <w:name w:val="footer"/>
    <w:basedOn w:val="a"/>
    <w:link w:val="Char1"/>
    <w:rsid w:val="004A4B27"/>
    <w:pPr>
      <w:tabs>
        <w:tab w:val="center" w:pos="4153"/>
        <w:tab w:val="right" w:pos="8306"/>
      </w:tabs>
      <w:snapToGrid w:val="0"/>
      <w:jc w:val="left"/>
    </w:pPr>
    <w:rPr>
      <w:sz w:val="18"/>
      <w:szCs w:val="18"/>
    </w:rPr>
  </w:style>
  <w:style w:type="character" w:customStyle="1" w:styleId="Char1">
    <w:name w:val="页脚 Char"/>
    <w:basedOn w:val="a1"/>
    <w:link w:val="a8"/>
    <w:rsid w:val="004A4B27"/>
    <w:rPr>
      <w:kern w:val="2"/>
      <w:sz w:val="18"/>
      <w:szCs w:val="18"/>
    </w:rPr>
  </w:style>
  <w:style w:type="paragraph" w:styleId="a9">
    <w:name w:val="Balloon Text"/>
    <w:basedOn w:val="a"/>
    <w:link w:val="Char2"/>
    <w:rsid w:val="00B43990"/>
    <w:rPr>
      <w:sz w:val="18"/>
      <w:szCs w:val="18"/>
    </w:rPr>
  </w:style>
  <w:style w:type="character" w:customStyle="1" w:styleId="Char2">
    <w:name w:val="批注框文本 Char"/>
    <w:basedOn w:val="a1"/>
    <w:link w:val="a9"/>
    <w:rsid w:val="00B43990"/>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79789">
      <w:bodyDiv w:val="1"/>
      <w:marLeft w:val="0"/>
      <w:marRight w:val="0"/>
      <w:marTop w:val="0"/>
      <w:marBottom w:val="0"/>
      <w:divBdr>
        <w:top w:val="none" w:sz="0" w:space="0" w:color="auto"/>
        <w:left w:val="none" w:sz="0" w:space="0" w:color="auto"/>
        <w:bottom w:val="none" w:sz="0" w:space="0" w:color="auto"/>
        <w:right w:val="none" w:sz="0" w:space="0" w:color="auto"/>
      </w:divBdr>
    </w:div>
    <w:div w:id="1007058864">
      <w:bodyDiv w:val="1"/>
      <w:marLeft w:val="0"/>
      <w:marRight w:val="0"/>
      <w:marTop w:val="0"/>
      <w:marBottom w:val="0"/>
      <w:divBdr>
        <w:top w:val="none" w:sz="0" w:space="0" w:color="auto"/>
        <w:left w:val="none" w:sz="0" w:space="0" w:color="auto"/>
        <w:bottom w:val="none" w:sz="0" w:space="0" w:color="auto"/>
        <w:right w:val="none" w:sz="0" w:space="0" w:color="auto"/>
      </w:divBdr>
    </w:div>
    <w:div w:id="15788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E060C9-46DF-4F93-9652-CA6D1BD09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26</Pages>
  <Words>1435</Words>
  <Characters>8180</Characters>
  <Application>Microsoft Office Word</Application>
  <DocSecurity>0</DocSecurity>
  <Lines>68</Lines>
  <Paragraphs>19</Paragraphs>
  <ScaleCrop>false</ScaleCrop>
  <Company/>
  <LinksUpToDate>false</LinksUpToDate>
  <CharactersWithSpaces>9596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user</cp:lastModifiedBy>
  <cp:revision>80</cp:revision>
  <dcterms:created xsi:type="dcterms:W3CDTF">2022-08-22T02:50:00Z</dcterms:created>
  <dcterms:modified xsi:type="dcterms:W3CDTF">2023-08-15T08:01:00Z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BB331591562149EDB4F24CC3BF152739_12</vt:lpwstr>
  </property>
</Properties>
</file>