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FCC" w:rsidRDefault="00BA5E11">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北京市怀柔区人民检察院</w:t>
      </w:r>
    </w:p>
    <w:p w:rsidR="005C0FCC" w:rsidRDefault="00BA5E11">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部门整体绩效评价报告</w:t>
      </w:r>
    </w:p>
    <w:p w:rsidR="005C0FCC" w:rsidRDefault="005C0FCC">
      <w:pPr>
        <w:spacing w:line="600" w:lineRule="exact"/>
        <w:ind w:firstLineChars="200" w:firstLine="720"/>
        <w:rPr>
          <w:rFonts w:ascii="方正小标宋简体" w:eastAsia="方正小标宋简体"/>
          <w:sz w:val="36"/>
          <w:szCs w:val="36"/>
        </w:rPr>
      </w:pPr>
    </w:p>
    <w:p w:rsidR="005C0FCC" w:rsidRDefault="00BA5E11">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5C0FCC" w:rsidRDefault="00BA5E11">
      <w:pPr>
        <w:spacing w:line="60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640E00" w:rsidRDefault="00640E00" w:rsidP="00640E00">
      <w:pPr>
        <w:ind w:firstLine="555"/>
        <w:rPr>
          <w:rFonts w:ascii="仿宋_GB2312" w:eastAsia="仿宋_GB2312"/>
          <w:sz w:val="32"/>
        </w:rPr>
      </w:pPr>
      <w:r>
        <w:rPr>
          <w:rFonts w:ascii="仿宋_GB2312" w:eastAsia="仿宋_GB2312" w:hint="eastAsia"/>
          <w:sz w:val="32"/>
        </w:rPr>
        <w:t>北京市怀柔区人民检察院单位性质为法律监督机关。根据北京市委全面深化改革委员会审议通过的《北京市检察机关内设机构改革方案》（京</w:t>
      </w:r>
      <w:proofErr w:type="gramStart"/>
      <w:r>
        <w:rPr>
          <w:rFonts w:ascii="仿宋_GB2312" w:eastAsia="仿宋_GB2312" w:hint="eastAsia"/>
          <w:sz w:val="32"/>
        </w:rPr>
        <w:t>政法发</w:t>
      </w:r>
      <w:proofErr w:type="gramEnd"/>
      <w:r>
        <w:rPr>
          <w:rFonts w:ascii="仿宋_GB2312" w:eastAsia="仿宋_GB2312" w:hint="eastAsia"/>
          <w:sz w:val="32"/>
        </w:rPr>
        <w:t>[2019]8号），北京市怀柔区人民检察院内设10个职能部（室），分别为办公室（行政事务管理部）、政治部（机关党委、机关纪委）、第一检察部、第二检察部、第三检察部、第四检察部、第五检察部、第六检察部、第七检察部、检务督察部。</w:t>
      </w:r>
    </w:p>
    <w:p w:rsidR="00640E00" w:rsidRDefault="00640E00" w:rsidP="00640E00">
      <w:pPr>
        <w:ind w:firstLine="554"/>
        <w:rPr>
          <w:rFonts w:ascii="仿宋_GB2312" w:eastAsia="仿宋_GB2312"/>
          <w:sz w:val="32"/>
        </w:rPr>
      </w:pPr>
      <w:r>
        <w:rPr>
          <w:rFonts w:ascii="仿宋_GB2312" w:eastAsia="仿宋_GB2312" w:hint="eastAsia"/>
          <w:sz w:val="32"/>
        </w:rPr>
        <w:t>北京市怀柔区人民检察院主要职责是在辖区内依法独立行使检察权。接受北京市人民检察院和区委的领导，对本区人民代表大会及其常务委员会负责并报告工作；负责受理审查本院管辖提请逮捕的案件；负责受理本院管辖提起公诉的案件，并出庭支持公诉；负责受理辖区</w:t>
      </w:r>
      <w:proofErr w:type="gramStart"/>
      <w:r>
        <w:rPr>
          <w:rFonts w:ascii="仿宋_GB2312" w:eastAsia="仿宋_GB2312" w:hint="eastAsia"/>
          <w:sz w:val="32"/>
        </w:rPr>
        <w:t>内公民</w:t>
      </w:r>
      <w:proofErr w:type="gramEnd"/>
      <w:r>
        <w:rPr>
          <w:rFonts w:ascii="仿宋_GB2312" w:eastAsia="仿宋_GB2312" w:hint="eastAsia"/>
          <w:sz w:val="32"/>
        </w:rPr>
        <w:t>和法人检举、控告、申诉的案件；负责对辖区内民事、行政诉讼判决的监督；负责对辖区内公益诉讼检察监督；负责对区</w:t>
      </w:r>
      <w:r>
        <w:rPr>
          <w:rFonts w:ascii="仿宋_GB2312" w:eastAsia="仿宋_GB2312" w:hint="eastAsia"/>
          <w:sz w:val="32"/>
        </w:rPr>
        <w:lastRenderedPageBreak/>
        <w:t>公安分局、国家安全分局侦查工作的法律监督；负责对辖区内监管场所收押犯罪嫌疑人、罪犯改造工作的监督；负责对区监察委员会移送依法由检察机关办理的职务犯罪案件进行审查,衔接侦查程序，对需要的情况由检察机关自行侦查补正，对案件进行审查起诉并出庭支持公诉；负责本院的党建工作和干部教育管理以及思想政治工作；负责本院党组落实全面从严治党主体责任、党风廉政建设主体责任的具体工作；负责本院的后勤管理和物资装备工作；负责由上级人民检察院交办的其他事项等。</w:t>
      </w:r>
    </w:p>
    <w:p w:rsidR="005C0FCC" w:rsidRDefault="00BA5E11">
      <w:pPr>
        <w:spacing w:line="600" w:lineRule="exact"/>
        <w:ind w:firstLineChars="200" w:firstLine="640"/>
        <w:rPr>
          <w:rFonts w:ascii="楷体_GB2312" w:eastAsia="楷体_GB2312"/>
          <w:sz w:val="32"/>
          <w:szCs w:val="32"/>
        </w:rPr>
      </w:pPr>
      <w:r>
        <w:rPr>
          <w:rFonts w:ascii="楷体_GB2312" w:eastAsia="楷体_GB2312" w:hint="eastAsia"/>
          <w:sz w:val="32"/>
          <w:szCs w:val="32"/>
        </w:rPr>
        <w:t>（二）部门整体绩效目标设立情况。</w:t>
      </w:r>
    </w:p>
    <w:p w:rsidR="00A80BA9" w:rsidRPr="00A80BA9" w:rsidRDefault="00A80BA9" w:rsidP="00A80BA9">
      <w:pPr>
        <w:pStyle w:val="A5"/>
        <w:framePr w:wrap="auto"/>
        <w:spacing w:line="560" w:lineRule="exact"/>
        <w:ind w:firstLineChars="200" w:firstLine="640"/>
        <w:rPr>
          <w:rFonts w:ascii="仿宋_GB2312" w:eastAsia="仿宋_GB2312" w:hAnsi="Times New Roman" w:cs="Times New Roman"/>
          <w:color w:val="auto"/>
          <w:sz w:val="32"/>
          <w:szCs w:val="24"/>
        </w:rPr>
      </w:pPr>
      <w:r w:rsidRPr="00A80BA9">
        <w:rPr>
          <w:rFonts w:ascii="仿宋_GB2312" w:eastAsia="仿宋_GB2312" w:hAnsi="Times New Roman" w:cs="Times New Roman"/>
          <w:color w:val="auto"/>
          <w:sz w:val="32"/>
          <w:szCs w:val="24"/>
        </w:rPr>
        <w:t>2022年</w:t>
      </w:r>
      <w:r w:rsidRPr="00A80BA9">
        <w:rPr>
          <w:rFonts w:ascii="仿宋_GB2312" w:eastAsia="仿宋_GB2312" w:hAnsi="Times New Roman" w:cs="Times New Roman" w:hint="eastAsia"/>
          <w:color w:val="auto"/>
          <w:sz w:val="32"/>
          <w:szCs w:val="24"/>
        </w:rPr>
        <w:t>北京市</w:t>
      </w:r>
      <w:r w:rsidRPr="00A80BA9">
        <w:rPr>
          <w:rFonts w:ascii="仿宋_GB2312" w:eastAsia="仿宋_GB2312" w:hAnsi="Times New Roman" w:cs="Times New Roman"/>
          <w:color w:val="auto"/>
          <w:sz w:val="32"/>
          <w:szCs w:val="24"/>
        </w:rPr>
        <w:t>怀柔区</w:t>
      </w:r>
      <w:r w:rsidRPr="00A80BA9">
        <w:rPr>
          <w:rFonts w:ascii="仿宋_GB2312" w:eastAsia="仿宋_GB2312" w:hAnsi="Times New Roman" w:cs="Times New Roman" w:hint="eastAsia"/>
          <w:color w:val="auto"/>
          <w:sz w:val="32"/>
          <w:szCs w:val="24"/>
        </w:rPr>
        <w:t>人民</w:t>
      </w:r>
      <w:r w:rsidRPr="00A80BA9">
        <w:rPr>
          <w:rFonts w:ascii="仿宋_GB2312" w:eastAsia="仿宋_GB2312" w:hAnsi="Times New Roman" w:cs="Times New Roman"/>
          <w:color w:val="auto"/>
          <w:sz w:val="32"/>
          <w:szCs w:val="24"/>
        </w:rPr>
        <w:t>检察院坚持以习近平新时代中国特色社会主义思想为指导，深入学习贯彻党的二十大精神，认真落实区委决策部署和区六届人大一次会议决议，紧紧围绕科学城统领</w:t>
      </w:r>
      <w:r w:rsidRPr="00A80BA9">
        <w:rPr>
          <w:rFonts w:ascii="仿宋_GB2312" w:eastAsia="仿宋_GB2312" w:hAnsi="Times New Roman" w:cs="Times New Roman"/>
          <w:color w:val="auto"/>
          <w:sz w:val="32"/>
          <w:szCs w:val="24"/>
        </w:rPr>
        <w:t>“</w:t>
      </w:r>
      <w:r w:rsidRPr="00A80BA9">
        <w:rPr>
          <w:rFonts w:ascii="仿宋_GB2312" w:eastAsia="仿宋_GB2312" w:hAnsi="Times New Roman" w:cs="Times New Roman"/>
          <w:color w:val="auto"/>
          <w:sz w:val="32"/>
          <w:szCs w:val="24"/>
        </w:rPr>
        <w:t>1+3</w:t>
      </w:r>
      <w:r w:rsidRPr="00A80BA9">
        <w:rPr>
          <w:rFonts w:ascii="仿宋_GB2312" w:eastAsia="仿宋_GB2312" w:hAnsi="Times New Roman" w:cs="Times New Roman"/>
          <w:color w:val="auto"/>
          <w:sz w:val="32"/>
          <w:szCs w:val="24"/>
        </w:rPr>
        <w:t>”</w:t>
      </w:r>
      <w:r w:rsidRPr="00A80BA9">
        <w:rPr>
          <w:rFonts w:ascii="仿宋_GB2312" w:eastAsia="仿宋_GB2312" w:hAnsi="Times New Roman" w:cs="Times New Roman"/>
          <w:color w:val="auto"/>
          <w:sz w:val="32"/>
          <w:szCs w:val="24"/>
        </w:rPr>
        <w:t>融合发展和</w:t>
      </w:r>
      <w:r w:rsidRPr="00A80BA9">
        <w:rPr>
          <w:rFonts w:ascii="仿宋_GB2312" w:eastAsia="仿宋_GB2312" w:hAnsi="Times New Roman" w:cs="Times New Roman"/>
          <w:color w:val="auto"/>
          <w:sz w:val="32"/>
          <w:szCs w:val="24"/>
        </w:rPr>
        <w:t>“</w:t>
      </w:r>
      <w:r w:rsidRPr="00A80BA9">
        <w:rPr>
          <w:rFonts w:ascii="仿宋_GB2312" w:eastAsia="仿宋_GB2312" w:hAnsi="Times New Roman" w:cs="Times New Roman"/>
          <w:color w:val="auto"/>
          <w:sz w:val="32"/>
          <w:szCs w:val="24"/>
        </w:rPr>
        <w:t>五态建设</w:t>
      </w:r>
      <w:r w:rsidRPr="00A80BA9">
        <w:rPr>
          <w:rFonts w:ascii="仿宋_GB2312" w:eastAsia="仿宋_GB2312" w:hAnsi="Times New Roman" w:cs="Times New Roman"/>
          <w:color w:val="auto"/>
          <w:sz w:val="32"/>
          <w:szCs w:val="24"/>
        </w:rPr>
        <w:t>”</w:t>
      </w:r>
      <w:r w:rsidRPr="00A80BA9">
        <w:rPr>
          <w:rFonts w:ascii="仿宋_GB2312" w:eastAsia="仿宋_GB2312" w:hAnsi="Times New Roman" w:cs="Times New Roman"/>
          <w:color w:val="auto"/>
          <w:sz w:val="32"/>
          <w:szCs w:val="24"/>
        </w:rPr>
        <w:t>，按照</w:t>
      </w:r>
      <w:r w:rsidRPr="00A80BA9">
        <w:rPr>
          <w:rFonts w:ascii="仿宋_GB2312" w:eastAsia="仿宋_GB2312" w:hAnsi="Times New Roman" w:cs="Times New Roman"/>
          <w:color w:val="auto"/>
          <w:sz w:val="32"/>
          <w:szCs w:val="24"/>
        </w:rPr>
        <w:t>“</w:t>
      </w:r>
      <w:r w:rsidRPr="00A80BA9">
        <w:rPr>
          <w:rFonts w:ascii="仿宋_GB2312" w:eastAsia="仿宋_GB2312" w:hAnsi="Times New Roman" w:cs="Times New Roman"/>
          <w:color w:val="auto"/>
          <w:sz w:val="32"/>
          <w:szCs w:val="24"/>
        </w:rPr>
        <w:t>做强专业、做实基础、做出精品、做到跨越发展</w:t>
      </w:r>
      <w:r w:rsidRPr="00A80BA9">
        <w:rPr>
          <w:rFonts w:ascii="仿宋_GB2312" w:eastAsia="仿宋_GB2312" w:hAnsi="Times New Roman" w:cs="Times New Roman"/>
          <w:color w:val="auto"/>
          <w:sz w:val="32"/>
          <w:szCs w:val="24"/>
        </w:rPr>
        <w:t>”</w:t>
      </w:r>
      <w:r w:rsidRPr="00A80BA9">
        <w:rPr>
          <w:rFonts w:ascii="仿宋_GB2312" w:eastAsia="仿宋_GB2312" w:hAnsi="Times New Roman" w:cs="Times New Roman"/>
          <w:color w:val="auto"/>
          <w:sz w:val="32"/>
          <w:szCs w:val="24"/>
        </w:rPr>
        <w:t>，实现</w:t>
      </w:r>
      <w:r w:rsidRPr="00A80BA9">
        <w:rPr>
          <w:rFonts w:ascii="仿宋_GB2312" w:eastAsia="仿宋_GB2312" w:hAnsi="Times New Roman" w:cs="Times New Roman"/>
          <w:color w:val="auto"/>
          <w:sz w:val="32"/>
          <w:szCs w:val="24"/>
        </w:rPr>
        <w:t>“</w:t>
      </w:r>
      <w:r w:rsidRPr="00A80BA9">
        <w:rPr>
          <w:rFonts w:ascii="仿宋_GB2312" w:eastAsia="仿宋_GB2312" w:hAnsi="Times New Roman" w:cs="Times New Roman"/>
          <w:color w:val="auto"/>
          <w:sz w:val="32"/>
          <w:szCs w:val="24"/>
        </w:rPr>
        <w:t>办案精品化、服务精准化、管理精细化、队伍精锐化</w:t>
      </w:r>
      <w:r w:rsidRPr="00A80BA9">
        <w:rPr>
          <w:rFonts w:ascii="仿宋_GB2312" w:eastAsia="仿宋_GB2312" w:hAnsi="Times New Roman" w:cs="Times New Roman"/>
          <w:color w:val="auto"/>
          <w:sz w:val="32"/>
          <w:szCs w:val="24"/>
        </w:rPr>
        <w:t>”</w:t>
      </w:r>
      <w:r w:rsidRPr="00A80BA9">
        <w:rPr>
          <w:rFonts w:ascii="仿宋_GB2312" w:eastAsia="仿宋_GB2312" w:hAnsi="Times New Roman" w:cs="Times New Roman"/>
          <w:color w:val="auto"/>
          <w:sz w:val="32"/>
          <w:szCs w:val="24"/>
        </w:rPr>
        <w:t>思路，依法能动履职，全面协调推进刑事、民事、行政、公益诉讼</w:t>
      </w:r>
      <w:r w:rsidRPr="00A80BA9">
        <w:rPr>
          <w:rFonts w:ascii="仿宋_GB2312" w:eastAsia="仿宋_GB2312" w:hAnsi="Times New Roman" w:cs="Times New Roman"/>
          <w:color w:val="auto"/>
          <w:sz w:val="32"/>
          <w:szCs w:val="24"/>
        </w:rPr>
        <w:t>“</w:t>
      </w:r>
      <w:r w:rsidRPr="00A80BA9">
        <w:rPr>
          <w:rFonts w:ascii="仿宋_GB2312" w:eastAsia="仿宋_GB2312" w:hAnsi="Times New Roman" w:cs="Times New Roman"/>
          <w:color w:val="auto"/>
          <w:sz w:val="32"/>
          <w:szCs w:val="24"/>
        </w:rPr>
        <w:t>四大检察</w:t>
      </w:r>
      <w:r w:rsidRPr="00A80BA9">
        <w:rPr>
          <w:rFonts w:ascii="仿宋_GB2312" w:eastAsia="仿宋_GB2312" w:hAnsi="Times New Roman" w:cs="Times New Roman"/>
          <w:color w:val="auto"/>
          <w:sz w:val="32"/>
          <w:szCs w:val="24"/>
        </w:rPr>
        <w:t>”</w:t>
      </w:r>
      <w:r w:rsidRPr="00A80BA9">
        <w:rPr>
          <w:rFonts w:ascii="仿宋_GB2312" w:eastAsia="仿宋_GB2312" w:hAnsi="Times New Roman" w:cs="Times New Roman"/>
          <w:color w:val="auto"/>
          <w:sz w:val="32"/>
          <w:szCs w:val="24"/>
        </w:rPr>
        <w:t>，主动服务保障全区经济社会高质量发展，各项检察工作迈上新台阶。</w:t>
      </w:r>
    </w:p>
    <w:p w:rsidR="005C0FCC" w:rsidRDefault="00BA5E11">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5C0FCC" w:rsidRDefault="00BA5E11">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2022年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预算数5926.84万元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Pr>
          <w:rFonts w:ascii="仿宋_GB2312" w:eastAsia="仿宋_GB2312" w:hAnsi="宋体" w:cs="宋体" w:hint="eastAsia"/>
          <w:color w:val="000000"/>
          <w:kern w:val="0"/>
          <w:sz w:val="32"/>
          <w:szCs w:val="32"/>
        </w:rPr>
        <w:t>4888.79</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项目支出预算数1038.05</w:t>
      </w:r>
      <w:r>
        <w:rPr>
          <w:rFonts w:ascii="仿宋_GB2312" w:eastAsia="仿宋_GB2312" w:hAnsi="宋体" w:cs="宋体"/>
          <w:color w:val="000000"/>
          <w:kern w:val="0"/>
          <w:sz w:val="32"/>
          <w:szCs w:val="32"/>
        </w:rPr>
        <w:lastRenderedPageBreak/>
        <w:t>万元，其他支出</w:t>
      </w:r>
      <w:r>
        <w:rPr>
          <w:rFonts w:ascii="仿宋_GB2312" w:eastAsia="仿宋_GB2312" w:hAnsi="宋体" w:cs="宋体" w:hint="eastAsia"/>
          <w:color w:val="000000"/>
          <w:kern w:val="0"/>
          <w:sz w:val="32"/>
          <w:szCs w:val="32"/>
        </w:rPr>
        <w:t>预算数0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支出5837.77</w:t>
      </w:r>
      <w:r>
        <w:rPr>
          <w:rFonts w:ascii="仿宋_GB2312" w:eastAsia="仿宋_GB2312" w:hAnsi="宋体" w:cs="宋体"/>
          <w:color w:val="000000"/>
          <w:kern w:val="0"/>
          <w:sz w:val="32"/>
          <w:szCs w:val="32"/>
        </w:rPr>
        <w:t>万元，其中，基本支出</w:t>
      </w:r>
      <w:r>
        <w:rPr>
          <w:rFonts w:ascii="仿宋_GB2312" w:eastAsia="仿宋_GB2312" w:hAnsi="宋体" w:cs="宋体" w:hint="eastAsia"/>
          <w:color w:val="000000"/>
          <w:kern w:val="0"/>
          <w:sz w:val="32"/>
          <w:szCs w:val="32"/>
        </w:rPr>
        <w:t>4874.32</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支出963.45</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Pr>
          <w:rFonts w:ascii="仿宋_GB2312" w:eastAsia="仿宋_GB2312" w:hAnsi="宋体" w:cs="宋体" w:hint="eastAsia"/>
          <w:color w:val="000000"/>
          <w:kern w:val="0"/>
          <w:sz w:val="32"/>
          <w:szCs w:val="32"/>
        </w:rPr>
        <w:t>98.5%。</w:t>
      </w:r>
    </w:p>
    <w:p w:rsidR="005C0FCC" w:rsidRDefault="00BA5E11">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5C0FCC" w:rsidRDefault="00BA5E11">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（一）产出完成情况分析</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1.产出数量</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2022年全年受理各类案件1628件，与年初指标值1500件相比，完成率108.53%;审结案件数1500件，与年初指标值1500件相比，完成率100%。</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2.产出</w:t>
      </w:r>
      <w:r>
        <w:rPr>
          <w:rFonts w:ascii="仿宋_GB2312" w:eastAsia="仿宋_GB2312" w:hAnsi="宋体" w:cs="宋体"/>
          <w:color w:val="000000"/>
          <w:kern w:val="0"/>
          <w:sz w:val="32"/>
          <w:szCs w:val="32"/>
        </w:rPr>
        <w:t>质量</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2022年度案件办结率92.14%，量刑建议采纳率98.98%，均完成年度指标。</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3.产出</w:t>
      </w:r>
      <w:r>
        <w:rPr>
          <w:rFonts w:ascii="仿宋_GB2312" w:eastAsia="仿宋_GB2312" w:hAnsi="宋体" w:cs="宋体"/>
          <w:color w:val="000000"/>
          <w:kern w:val="0"/>
          <w:sz w:val="32"/>
          <w:szCs w:val="32"/>
        </w:rPr>
        <w:t>进度</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2022年度各项工作均按进度完成，完成率100%。</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产出</w:t>
      </w:r>
      <w:r>
        <w:rPr>
          <w:rFonts w:ascii="仿宋_GB2312" w:eastAsia="仿宋_GB2312" w:hAnsi="宋体" w:cs="宋体"/>
          <w:color w:val="000000"/>
          <w:kern w:val="0"/>
          <w:sz w:val="32"/>
          <w:szCs w:val="32"/>
        </w:rPr>
        <w:t>成本</w:t>
      </w:r>
      <w:r>
        <w:rPr>
          <w:rFonts w:ascii="仿宋_GB2312" w:eastAsia="仿宋_GB2312" w:hAnsi="宋体" w:cs="宋体" w:hint="eastAsia"/>
          <w:color w:val="000000"/>
          <w:kern w:val="0"/>
          <w:sz w:val="32"/>
          <w:szCs w:val="32"/>
        </w:rPr>
        <w:t xml:space="preserve">   </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20</w:t>
      </w:r>
      <w:r>
        <w:rPr>
          <w:rFonts w:ascii="仿宋_GB2312" w:eastAsia="仿宋_GB2312" w:hAnsi="宋体" w:cs="宋体" w:hint="eastAsia"/>
          <w:color w:val="000000"/>
          <w:kern w:val="0"/>
          <w:sz w:val="32"/>
          <w:szCs w:val="32"/>
        </w:rPr>
        <w:t>22</w:t>
      </w:r>
      <w:r>
        <w:rPr>
          <w:rFonts w:ascii="仿宋_GB2312" w:eastAsia="仿宋_GB2312" w:hAnsi="宋体" w:cs="宋体"/>
          <w:color w:val="000000"/>
          <w:kern w:val="0"/>
          <w:sz w:val="32"/>
          <w:szCs w:val="32"/>
        </w:rPr>
        <w:t xml:space="preserve">年度 </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三公经费</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实际支出数为</w:t>
      </w:r>
      <w:r>
        <w:rPr>
          <w:rFonts w:ascii="仿宋_GB2312" w:eastAsia="仿宋_GB2312" w:hAnsi="宋体" w:cs="宋体" w:hint="eastAsia"/>
          <w:color w:val="000000"/>
          <w:kern w:val="0"/>
          <w:sz w:val="32"/>
          <w:szCs w:val="32"/>
        </w:rPr>
        <w:t>66.26万</w:t>
      </w:r>
      <w:r>
        <w:rPr>
          <w:rFonts w:ascii="仿宋_GB2312" w:eastAsia="仿宋_GB2312" w:hAnsi="宋体" w:cs="宋体"/>
          <w:color w:val="000000"/>
          <w:kern w:val="0"/>
          <w:sz w:val="32"/>
          <w:szCs w:val="32"/>
        </w:rPr>
        <w:t>元（公务接待费</w:t>
      </w:r>
      <w:r>
        <w:rPr>
          <w:rFonts w:ascii="仿宋_GB2312" w:eastAsia="仿宋_GB2312" w:hAnsi="宋体" w:cs="宋体" w:hint="eastAsia"/>
          <w:color w:val="000000"/>
          <w:kern w:val="0"/>
          <w:sz w:val="32"/>
          <w:szCs w:val="32"/>
        </w:rPr>
        <w:t>0万</w:t>
      </w:r>
      <w:r>
        <w:rPr>
          <w:rFonts w:ascii="仿宋_GB2312" w:eastAsia="仿宋_GB2312" w:hAnsi="宋体" w:cs="宋体"/>
          <w:color w:val="000000"/>
          <w:kern w:val="0"/>
          <w:sz w:val="32"/>
          <w:szCs w:val="32"/>
        </w:rPr>
        <w:t>元、公务用车</w:t>
      </w:r>
      <w:r>
        <w:rPr>
          <w:rFonts w:ascii="仿宋_GB2312" w:eastAsia="仿宋_GB2312" w:hAnsi="宋体" w:cs="宋体" w:hint="eastAsia"/>
          <w:color w:val="000000"/>
          <w:kern w:val="0"/>
          <w:sz w:val="32"/>
          <w:szCs w:val="32"/>
        </w:rPr>
        <w:t>购置费28.49</w:t>
      </w:r>
      <w:r>
        <w:rPr>
          <w:rFonts w:ascii="仿宋_GB2312" w:eastAsia="仿宋_GB2312" w:hAnsi="宋体" w:cs="宋体" w:hint="eastAsia"/>
          <w:color w:val="000000"/>
          <w:kern w:val="0"/>
          <w:sz w:val="32"/>
          <w:szCs w:val="32"/>
        </w:rPr>
        <w:lastRenderedPageBreak/>
        <w:t>万元、</w:t>
      </w:r>
      <w:r>
        <w:rPr>
          <w:rFonts w:ascii="仿宋_GB2312" w:eastAsia="仿宋_GB2312" w:hAnsi="宋体" w:cs="宋体"/>
          <w:color w:val="000000"/>
          <w:kern w:val="0"/>
          <w:sz w:val="32"/>
          <w:szCs w:val="32"/>
        </w:rPr>
        <w:t>公务用车运行维护费</w:t>
      </w:r>
      <w:r>
        <w:rPr>
          <w:rFonts w:ascii="仿宋_GB2312" w:eastAsia="仿宋_GB2312" w:hAnsi="宋体" w:cs="宋体" w:hint="eastAsia"/>
          <w:color w:val="000000"/>
          <w:kern w:val="0"/>
          <w:sz w:val="32"/>
          <w:szCs w:val="32"/>
        </w:rPr>
        <w:t>37.77万</w:t>
      </w:r>
      <w:r>
        <w:rPr>
          <w:rFonts w:ascii="仿宋_GB2312" w:eastAsia="仿宋_GB2312" w:hAnsi="宋体" w:cs="宋体"/>
          <w:color w:val="000000"/>
          <w:kern w:val="0"/>
          <w:sz w:val="32"/>
          <w:szCs w:val="32"/>
        </w:rPr>
        <w:t>元），</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三公经费</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年初预算数为</w:t>
      </w:r>
      <w:r>
        <w:rPr>
          <w:rFonts w:ascii="仿宋_GB2312" w:eastAsia="仿宋_GB2312" w:hAnsi="宋体" w:cs="宋体" w:hint="eastAsia"/>
          <w:color w:val="000000"/>
          <w:kern w:val="0"/>
          <w:sz w:val="32"/>
          <w:szCs w:val="32"/>
        </w:rPr>
        <w:t>73.62万元</w:t>
      </w:r>
      <w:r>
        <w:rPr>
          <w:rFonts w:ascii="仿宋_GB2312" w:eastAsia="仿宋_GB2312" w:hAnsi="宋体" w:cs="宋体"/>
          <w:color w:val="000000"/>
          <w:kern w:val="0"/>
          <w:sz w:val="32"/>
          <w:szCs w:val="32"/>
        </w:rPr>
        <w:t>（公务接待费</w:t>
      </w:r>
      <w:r>
        <w:rPr>
          <w:rFonts w:ascii="仿宋_GB2312" w:eastAsia="仿宋_GB2312" w:hAnsi="宋体" w:cs="宋体" w:hint="eastAsia"/>
          <w:color w:val="000000"/>
          <w:kern w:val="0"/>
          <w:sz w:val="32"/>
          <w:szCs w:val="32"/>
        </w:rPr>
        <w:t>3万</w:t>
      </w:r>
      <w:r>
        <w:rPr>
          <w:rFonts w:ascii="仿宋_GB2312" w:eastAsia="仿宋_GB2312" w:hAnsi="宋体" w:cs="宋体"/>
          <w:color w:val="000000"/>
          <w:kern w:val="0"/>
          <w:sz w:val="32"/>
          <w:szCs w:val="32"/>
        </w:rPr>
        <w:t>元、公务用车</w:t>
      </w:r>
      <w:r>
        <w:rPr>
          <w:rFonts w:ascii="仿宋_GB2312" w:eastAsia="仿宋_GB2312" w:hAnsi="宋体" w:cs="宋体" w:hint="eastAsia"/>
          <w:color w:val="000000"/>
          <w:kern w:val="0"/>
          <w:sz w:val="32"/>
          <w:szCs w:val="32"/>
        </w:rPr>
        <w:t>购置费30.34万元、</w:t>
      </w:r>
      <w:r>
        <w:rPr>
          <w:rFonts w:ascii="仿宋_GB2312" w:eastAsia="仿宋_GB2312" w:hAnsi="宋体" w:cs="宋体"/>
          <w:color w:val="000000"/>
          <w:kern w:val="0"/>
          <w:sz w:val="32"/>
          <w:szCs w:val="32"/>
        </w:rPr>
        <w:t>公务用车运行维护费</w:t>
      </w:r>
      <w:r>
        <w:rPr>
          <w:rFonts w:ascii="仿宋_GB2312" w:eastAsia="仿宋_GB2312" w:hAnsi="宋体" w:cs="宋体" w:hint="eastAsia"/>
          <w:color w:val="000000"/>
          <w:kern w:val="0"/>
          <w:sz w:val="32"/>
          <w:szCs w:val="32"/>
        </w:rPr>
        <w:t>40.28万</w:t>
      </w:r>
      <w:r>
        <w:rPr>
          <w:rFonts w:ascii="仿宋_GB2312" w:eastAsia="仿宋_GB2312" w:hAnsi="宋体" w:cs="宋体"/>
          <w:color w:val="000000"/>
          <w:kern w:val="0"/>
          <w:sz w:val="32"/>
          <w:szCs w:val="32"/>
        </w:rPr>
        <w:t>元）。</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三公经费</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控制率</w:t>
      </w:r>
      <w:r>
        <w:rPr>
          <w:rFonts w:ascii="仿宋_GB2312" w:eastAsia="仿宋_GB2312" w:hAnsi="宋体" w:cs="宋体" w:hint="eastAsia"/>
          <w:color w:val="000000"/>
          <w:kern w:val="0"/>
          <w:sz w:val="32"/>
          <w:szCs w:val="32"/>
        </w:rPr>
        <w:t>为91.87</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20</w:t>
      </w:r>
      <w:r>
        <w:rPr>
          <w:rFonts w:ascii="仿宋_GB2312" w:eastAsia="仿宋_GB2312" w:hAnsi="宋体" w:cs="宋体" w:hint="eastAsia"/>
          <w:color w:val="000000"/>
          <w:kern w:val="0"/>
          <w:sz w:val="32"/>
          <w:szCs w:val="32"/>
        </w:rPr>
        <w:t>22</w:t>
      </w:r>
      <w:r>
        <w:rPr>
          <w:rFonts w:ascii="仿宋_GB2312" w:eastAsia="仿宋_GB2312" w:hAnsi="宋体" w:cs="宋体"/>
          <w:color w:val="000000"/>
          <w:kern w:val="0"/>
          <w:sz w:val="32"/>
          <w:szCs w:val="32"/>
        </w:rPr>
        <w:t>年度实际公用经费支出为</w:t>
      </w:r>
      <w:r>
        <w:rPr>
          <w:rFonts w:ascii="仿宋_GB2312" w:eastAsia="仿宋_GB2312" w:hAnsi="宋体" w:cs="宋体" w:hint="eastAsia"/>
          <w:color w:val="000000"/>
          <w:kern w:val="0"/>
          <w:sz w:val="32"/>
          <w:szCs w:val="32"/>
        </w:rPr>
        <w:t>605.3万</w:t>
      </w:r>
      <w:r>
        <w:rPr>
          <w:rFonts w:ascii="仿宋_GB2312" w:eastAsia="仿宋_GB2312" w:hAnsi="宋体" w:cs="宋体"/>
          <w:color w:val="000000"/>
          <w:kern w:val="0"/>
          <w:sz w:val="32"/>
          <w:szCs w:val="32"/>
        </w:rPr>
        <w:t>元，年初预算安排公用经费为</w:t>
      </w:r>
      <w:r>
        <w:rPr>
          <w:rFonts w:ascii="仿宋_GB2312" w:eastAsia="仿宋_GB2312" w:hAnsi="宋体" w:cs="宋体" w:hint="eastAsia"/>
          <w:color w:val="000000"/>
          <w:kern w:val="0"/>
          <w:sz w:val="32"/>
          <w:szCs w:val="32"/>
        </w:rPr>
        <w:t>616.86</w:t>
      </w:r>
      <w:r>
        <w:rPr>
          <w:rFonts w:ascii="仿宋_GB2312" w:eastAsia="仿宋_GB2312" w:hAnsi="宋体" w:cs="宋体"/>
          <w:color w:val="000000"/>
          <w:kern w:val="0"/>
          <w:sz w:val="32"/>
          <w:szCs w:val="32"/>
        </w:rPr>
        <w:t>元，公用经费控制率</w:t>
      </w:r>
      <w:r>
        <w:rPr>
          <w:rFonts w:ascii="仿宋_GB2312" w:eastAsia="仿宋_GB2312" w:hAnsi="宋体" w:cs="宋体" w:hint="eastAsia"/>
          <w:color w:val="000000"/>
          <w:kern w:val="0"/>
          <w:sz w:val="32"/>
          <w:szCs w:val="32"/>
        </w:rPr>
        <w:t xml:space="preserve">98.13%。                                  </w:t>
      </w:r>
    </w:p>
    <w:p w:rsidR="005C0FCC" w:rsidRDefault="00BA5E11">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1.经济</w:t>
      </w:r>
      <w:r>
        <w:rPr>
          <w:rFonts w:ascii="仿宋_GB2312" w:eastAsia="仿宋_GB2312" w:hAnsi="宋体" w:cs="宋体"/>
          <w:color w:val="000000"/>
          <w:kern w:val="0"/>
          <w:sz w:val="32"/>
          <w:szCs w:val="32"/>
        </w:rPr>
        <w:t>效益</w:t>
      </w:r>
    </w:p>
    <w:p w:rsidR="00A80BA9" w:rsidRDefault="00BA5E11" w:rsidP="00A80BA9">
      <w:pPr>
        <w:pStyle w:val="A5"/>
        <w:framePr w:wrap="auto"/>
        <w:widowControl/>
        <w:spacing w:line="560" w:lineRule="exact"/>
        <w:ind w:firstLineChars="200" w:firstLine="640"/>
        <w:rPr>
          <w:rFonts w:ascii="Times New Roman" w:eastAsia="Times New Roman" w:hAnsi="Times New Roman" w:cs="Times New Roman"/>
          <w:sz w:val="32"/>
          <w:szCs w:val="32"/>
        </w:rPr>
      </w:pPr>
      <w:r>
        <w:rPr>
          <w:rFonts w:ascii="仿宋_GB2312" w:eastAsia="仿宋_GB2312" w:hAnsi="仿宋" w:hint="eastAsia"/>
          <w:sz w:val="32"/>
          <w:szCs w:val="32"/>
        </w:rPr>
        <w:t>聚焦守好百姓“钱袋子”，将</w:t>
      </w:r>
      <w:proofErr w:type="gramStart"/>
      <w:r>
        <w:rPr>
          <w:rFonts w:ascii="仿宋_GB2312" w:eastAsia="仿宋_GB2312" w:hAnsi="仿宋" w:hint="eastAsia"/>
          <w:sz w:val="32"/>
          <w:szCs w:val="32"/>
        </w:rPr>
        <w:t>追赃挽损贯穿</w:t>
      </w:r>
      <w:proofErr w:type="gramEnd"/>
      <w:r>
        <w:rPr>
          <w:rFonts w:ascii="仿宋_GB2312" w:eastAsia="仿宋_GB2312" w:hAnsi="仿宋" w:hint="eastAsia"/>
          <w:sz w:val="32"/>
          <w:szCs w:val="32"/>
        </w:rPr>
        <w:t>履职办案全过程。对新型电信网络诈骗、非法吸收公众存款等</w:t>
      </w:r>
      <w:proofErr w:type="gramStart"/>
      <w:r>
        <w:rPr>
          <w:rFonts w:ascii="仿宋_GB2312" w:eastAsia="仿宋_GB2312" w:hAnsi="仿宋" w:hint="eastAsia"/>
          <w:sz w:val="32"/>
          <w:szCs w:val="32"/>
        </w:rPr>
        <w:t>涉众型经济</w:t>
      </w:r>
      <w:proofErr w:type="gramEnd"/>
      <w:r>
        <w:rPr>
          <w:rFonts w:ascii="仿宋_GB2312" w:eastAsia="仿宋_GB2312" w:hAnsi="仿宋" w:hint="eastAsia"/>
          <w:sz w:val="32"/>
          <w:szCs w:val="32"/>
        </w:rPr>
        <w:t>犯罪，开展“全链式”严厉打击，同时注重追赃挽损，为3600余名受害群众挽回损失900余万元，追赃</w:t>
      </w:r>
      <w:proofErr w:type="gramStart"/>
      <w:r>
        <w:rPr>
          <w:rFonts w:ascii="仿宋_GB2312" w:eastAsia="仿宋_GB2312" w:hAnsi="仿宋" w:hint="eastAsia"/>
          <w:sz w:val="32"/>
          <w:szCs w:val="32"/>
        </w:rPr>
        <w:t>挽损案件</w:t>
      </w:r>
      <w:proofErr w:type="gramEnd"/>
      <w:r>
        <w:rPr>
          <w:rFonts w:ascii="仿宋_GB2312" w:eastAsia="仿宋_GB2312" w:hAnsi="仿宋" w:hint="eastAsia"/>
          <w:sz w:val="32"/>
          <w:szCs w:val="32"/>
        </w:rPr>
        <w:t>同比上升1倍。</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2.社会效益</w:t>
      </w:r>
    </w:p>
    <w:p w:rsidR="005C0FCC" w:rsidRDefault="00BA5E11">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聚焦主动治理升级检察“接诉即办”，让群众急难</w:t>
      </w:r>
      <w:proofErr w:type="gramStart"/>
      <w:r>
        <w:rPr>
          <w:rFonts w:ascii="仿宋_GB2312" w:eastAsia="仿宋_GB2312" w:hAnsi="仿宋" w:hint="eastAsia"/>
          <w:sz w:val="32"/>
          <w:szCs w:val="32"/>
        </w:rPr>
        <w:t>愁盼得到</w:t>
      </w:r>
      <w:proofErr w:type="gramEnd"/>
      <w:r>
        <w:rPr>
          <w:rFonts w:ascii="仿宋_GB2312" w:eastAsia="仿宋_GB2312" w:hAnsi="仿宋" w:hint="eastAsia"/>
          <w:sz w:val="32"/>
          <w:szCs w:val="32"/>
        </w:rPr>
        <w:t>更快解决。全方位对接群众诉求，以检察监督热线为牵引，打造信、访、网、电、视频、实体站点等六位一体“接诉”体系，实现从“耳畔”到“指尖”的7×24小时</w:t>
      </w:r>
      <w:proofErr w:type="gramStart"/>
      <w:r>
        <w:rPr>
          <w:rFonts w:ascii="仿宋_GB2312" w:eastAsia="仿宋_GB2312" w:hAnsi="仿宋" w:hint="eastAsia"/>
          <w:sz w:val="32"/>
          <w:szCs w:val="32"/>
        </w:rPr>
        <w:t>全渠道</w:t>
      </w:r>
      <w:proofErr w:type="gramEnd"/>
      <w:r>
        <w:rPr>
          <w:rFonts w:ascii="仿宋_GB2312" w:eastAsia="仿宋_GB2312" w:hAnsi="仿宋" w:hint="eastAsia"/>
          <w:sz w:val="32"/>
          <w:szCs w:val="32"/>
        </w:rPr>
        <w:t>响应，共受理群众诉求事项700余件，服务满意率100%。推进未诉先办，积极对接“12345政务服务便民热线”，通过“联合接单、联动</w:t>
      </w:r>
      <w:proofErr w:type="gramStart"/>
      <w:r>
        <w:rPr>
          <w:rFonts w:ascii="仿宋_GB2312" w:eastAsia="仿宋_GB2312" w:hAnsi="仿宋" w:hint="eastAsia"/>
          <w:sz w:val="32"/>
          <w:szCs w:val="32"/>
        </w:rPr>
        <w:t>研</w:t>
      </w:r>
      <w:proofErr w:type="gramEnd"/>
      <w:r>
        <w:rPr>
          <w:rFonts w:ascii="仿宋_GB2312" w:eastAsia="仿宋_GB2312" w:hAnsi="仿宋" w:hint="eastAsia"/>
          <w:sz w:val="32"/>
          <w:szCs w:val="32"/>
        </w:rPr>
        <w:t>判、联袂治理”等机制</w:t>
      </w:r>
      <w:r>
        <w:rPr>
          <w:rFonts w:ascii="仿宋_GB2312" w:eastAsia="仿宋_GB2312" w:hAnsi="仿宋" w:hint="eastAsia"/>
          <w:sz w:val="32"/>
          <w:szCs w:val="32"/>
        </w:rPr>
        <w:lastRenderedPageBreak/>
        <w:t>前移接诉端口，变“被动响应”为“主动作为”，共交互数据10余次，累计筛查</w:t>
      </w:r>
      <w:proofErr w:type="gramStart"/>
      <w:r>
        <w:rPr>
          <w:rFonts w:ascii="仿宋_GB2312" w:eastAsia="仿宋_GB2312" w:hAnsi="仿宋" w:hint="eastAsia"/>
          <w:sz w:val="32"/>
          <w:szCs w:val="32"/>
        </w:rPr>
        <w:t>涉检涉</w:t>
      </w:r>
      <w:proofErr w:type="gramEnd"/>
      <w:r>
        <w:rPr>
          <w:rFonts w:ascii="仿宋_GB2312" w:eastAsia="仿宋_GB2312" w:hAnsi="仿宋" w:hint="eastAsia"/>
          <w:sz w:val="32"/>
          <w:szCs w:val="32"/>
        </w:rPr>
        <w:t>诉线索927件，立案21件，切实解决群众的烦心事、揪心事。聚焦12345热线中的高频、共性诉求靶向履职，开展</w:t>
      </w:r>
      <w:proofErr w:type="gramStart"/>
      <w:r>
        <w:rPr>
          <w:rFonts w:ascii="仿宋_GB2312" w:eastAsia="仿宋_GB2312" w:hAnsi="仿宋" w:hint="eastAsia"/>
          <w:sz w:val="32"/>
          <w:szCs w:val="32"/>
        </w:rPr>
        <w:t>涉体育</w:t>
      </w:r>
      <w:proofErr w:type="gramEnd"/>
      <w:r>
        <w:rPr>
          <w:rFonts w:ascii="仿宋_GB2312" w:eastAsia="仿宋_GB2312" w:hAnsi="仿宋" w:hint="eastAsia"/>
          <w:sz w:val="32"/>
          <w:szCs w:val="32"/>
        </w:rPr>
        <w:t>健身器材专项监督，推动上百件体育器材更新提级，消除全民健身场所安全隐患。</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3.环境效益</w:t>
      </w:r>
    </w:p>
    <w:p w:rsidR="005C0FCC" w:rsidRDefault="00BA5E11">
      <w:pPr>
        <w:spacing w:line="600" w:lineRule="exact"/>
        <w:ind w:leftChars="50" w:left="105" w:firstLineChars="150" w:firstLine="480"/>
        <w:rPr>
          <w:rFonts w:ascii="仿宋_GB2312" w:eastAsia="仿宋_GB2312" w:hAnsi="仿宋"/>
          <w:sz w:val="32"/>
          <w:szCs w:val="32"/>
        </w:rPr>
      </w:pPr>
      <w:r>
        <w:rPr>
          <w:rFonts w:ascii="仿宋_GB2312" w:eastAsia="仿宋_GB2312" w:hAnsi="仿宋" w:hint="eastAsia"/>
          <w:sz w:val="32"/>
          <w:szCs w:val="32"/>
        </w:rPr>
        <w:t>聚焦重点领域推进检察公益诉讼，让群众美好生活得到更强守护。守卫美丽家园，构建区域生物多样性保护“行政+司法”共治机制，立案办理环境资源</w:t>
      </w:r>
      <w:proofErr w:type="gramStart"/>
      <w:r>
        <w:rPr>
          <w:rFonts w:ascii="仿宋_GB2312" w:eastAsia="仿宋_GB2312" w:hAnsi="仿宋" w:hint="eastAsia"/>
          <w:sz w:val="32"/>
          <w:szCs w:val="32"/>
        </w:rPr>
        <w:t>领域公益</w:t>
      </w:r>
      <w:proofErr w:type="gramEnd"/>
      <w:r>
        <w:rPr>
          <w:rFonts w:ascii="仿宋_GB2312" w:eastAsia="仿宋_GB2312" w:hAnsi="仿宋" w:hint="eastAsia"/>
          <w:sz w:val="32"/>
          <w:szCs w:val="32"/>
        </w:rPr>
        <w:t>诉讼案件38件，督促国际会都、森林防火重点地区消防隐患及时整改，促使</w:t>
      </w:r>
      <w:proofErr w:type="gramStart"/>
      <w:r>
        <w:rPr>
          <w:rFonts w:ascii="仿宋_GB2312" w:eastAsia="仿宋_GB2312" w:hAnsi="仿宋" w:hint="eastAsia"/>
          <w:sz w:val="32"/>
          <w:szCs w:val="32"/>
        </w:rPr>
        <w:t>垃圾混埋堆放</w:t>
      </w:r>
      <w:proofErr w:type="gramEnd"/>
      <w:r>
        <w:rPr>
          <w:rFonts w:ascii="仿宋_GB2312" w:eastAsia="仿宋_GB2312" w:hAnsi="仿宋" w:hint="eastAsia"/>
          <w:sz w:val="32"/>
          <w:szCs w:val="32"/>
        </w:rPr>
        <w:t>问题得到清理整治，促成非法捕捞水产品生态环境损害赔偿义务人放归鱼苗16000余</w:t>
      </w:r>
      <w:r w:rsidR="00475CC7">
        <w:rPr>
          <w:rFonts w:ascii="仿宋_GB2312" w:eastAsia="仿宋_GB2312" w:hAnsi="仿宋" w:hint="eastAsia"/>
          <w:sz w:val="32"/>
          <w:szCs w:val="32"/>
        </w:rPr>
        <w:t>条</w:t>
      </w:r>
      <w:r>
        <w:rPr>
          <w:rFonts w:ascii="仿宋_GB2312" w:eastAsia="仿宋_GB2312" w:hAnsi="仿宋" w:hint="eastAsia"/>
          <w:sz w:val="32"/>
          <w:szCs w:val="32"/>
        </w:rPr>
        <w:t>，切实守护怀柔半城山水、蓝绿交织的生态底色。</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4.可持续</w:t>
      </w:r>
      <w:r>
        <w:rPr>
          <w:rFonts w:ascii="仿宋_GB2312" w:eastAsia="仿宋_GB2312" w:hAnsi="宋体" w:cs="宋体"/>
          <w:color w:val="000000"/>
          <w:kern w:val="0"/>
          <w:sz w:val="32"/>
          <w:szCs w:val="32"/>
        </w:rPr>
        <w:t>性影响</w:t>
      </w:r>
    </w:p>
    <w:p w:rsidR="005C0FCC" w:rsidRDefault="00BA5E11">
      <w:pPr>
        <w:pStyle w:val="A5"/>
        <w:framePr w:wrap="auto"/>
        <w:spacing w:line="560" w:lineRule="exact"/>
        <w:ind w:firstLineChars="200" w:firstLine="640"/>
        <w:rPr>
          <w:rFonts w:ascii="仿宋_GB2312" w:eastAsia="仿宋_GB2312" w:hAnsi="仿宋_GB2312" w:cs="仿宋_GB2312"/>
          <w:sz w:val="32"/>
          <w:szCs w:val="32"/>
          <w:lang w:val="zh-TW" w:eastAsia="zh-TW"/>
        </w:rPr>
      </w:pPr>
      <w:r>
        <w:rPr>
          <w:rFonts w:ascii="仿宋_GB2312" w:eastAsia="仿宋_GB2312" w:hAnsi="仿宋_GB2312" w:cs="仿宋_GB2312"/>
          <w:sz w:val="32"/>
          <w:szCs w:val="32"/>
          <w:lang w:val="zh-TW" w:eastAsia="zh-TW"/>
        </w:rPr>
        <w:t>检察改革创新纵深推进，大数据赋能优势凸显。在全市率先创设检察指挥中心，打造集检察监督线索管理中心、大要案办理指挥中心、案件管理中心于一体的</w:t>
      </w:r>
      <w:r>
        <w:rPr>
          <w:rFonts w:ascii="仿宋_GB2312" w:eastAsia="仿宋_GB2312" w:hAnsi="仿宋_GB2312" w:cs="仿宋_GB2312"/>
          <w:sz w:val="32"/>
          <w:szCs w:val="32"/>
        </w:rPr>
        <w:t>“</w:t>
      </w:r>
      <w:r>
        <w:rPr>
          <w:rFonts w:ascii="仿宋_GB2312" w:eastAsia="仿宋_GB2312" w:hAnsi="仿宋_GB2312" w:cs="仿宋_GB2312"/>
          <w:sz w:val="32"/>
          <w:szCs w:val="32"/>
          <w:lang w:val="zh-TW" w:eastAsia="zh-TW"/>
        </w:rPr>
        <w:t>业务中枢</w:t>
      </w:r>
      <w:r>
        <w:rPr>
          <w:rFonts w:ascii="仿宋_GB2312" w:eastAsia="仿宋_GB2312" w:hAnsi="仿宋_GB2312" w:cs="仿宋_GB2312"/>
          <w:sz w:val="32"/>
          <w:szCs w:val="32"/>
        </w:rPr>
        <w:t>”</w:t>
      </w:r>
      <w:r>
        <w:rPr>
          <w:rFonts w:ascii="仿宋_GB2312" w:eastAsia="仿宋_GB2312" w:hAnsi="仿宋_GB2312" w:cs="仿宋_GB2312"/>
          <w:sz w:val="32"/>
          <w:szCs w:val="32"/>
          <w:lang w:val="zh-TW" w:eastAsia="zh-TW"/>
        </w:rPr>
        <w:t>，构建集约化、专业化、一体化新型检察权运行机制。将实施数字检察战略作为带动检察全局工作的基础性、标志性工作，在监督办案中建立</w:t>
      </w:r>
      <w:r>
        <w:rPr>
          <w:rFonts w:ascii="仿宋_GB2312" w:eastAsia="仿宋_GB2312" w:hAnsi="仿宋_GB2312" w:cs="仿宋_GB2312"/>
          <w:sz w:val="32"/>
          <w:szCs w:val="32"/>
        </w:rPr>
        <w:t>“</w:t>
      </w:r>
      <w:r>
        <w:rPr>
          <w:rFonts w:ascii="仿宋_GB2312" w:eastAsia="仿宋_GB2312" w:hAnsi="仿宋_GB2312" w:cs="仿宋_GB2312"/>
          <w:sz w:val="32"/>
          <w:szCs w:val="32"/>
          <w:lang w:val="zh-TW" w:eastAsia="zh-TW"/>
        </w:rPr>
        <w:t>北京市居住登记卡法律监督模型</w:t>
      </w:r>
      <w:r>
        <w:rPr>
          <w:rFonts w:ascii="仿宋_GB2312" w:eastAsia="仿宋_GB2312" w:hAnsi="仿宋_GB2312" w:cs="仿宋_GB2312"/>
          <w:sz w:val="32"/>
          <w:szCs w:val="32"/>
        </w:rPr>
        <w:t>”</w:t>
      </w:r>
      <w:r>
        <w:rPr>
          <w:rFonts w:ascii="仿宋_GB2312" w:eastAsia="仿宋_GB2312" w:hAnsi="仿宋_GB2312" w:cs="仿宋_GB2312"/>
          <w:sz w:val="32"/>
          <w:szCs w:val="32"/>
          <w:lang w:val="zh-TW" w:eastAsia="zh-TW"/>
        </w:rPr>
        <w:t>等九个大数据法律监督模型，通过大数据打造从个案办理到类案办理、系统治理的监督新模式。</w:t>
      </w:r>
    </w:p>
    <w:p w:rsidR="005C0FCC" w:rsidRDefault="00BA5E11">
      <w:pPr>
        <w:snapToGrid w:val="0"/>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仿宋"/>
          <w:sz w:val="32"/>
          <w:szCs w:val="32"/>
        </w:rPr>
        <w:lastRenderedPageBreak/>
        <w:t xml:space="preserve"> </w:t>
      </w:r>
      <w:r>
        <w:rPr>
          <w:rFonts w:ascii="仿宋_GB2312" w:eastAsia="仿宋_GB2312" w:hAnsi="宋体" w:cs="宋体" w:hint="eastAsia"/>
          <w:color w:val="000000"/>
          <w:kern w:val="0"/>
          <w:sz w:val="32"/>
          <w:szCs w:val="32"/>
        </w:rPr>
        <w:t>5.服务对象</w:t>
      </w:r>
      <w:r>
        <w:rPr>
          <w:rFonts w:ascii="仿宋_GB2312" w:eastAsia="仿宋_GB2312" w:hAnsi="宋体" w:cs="宋体"/>
          <w:color w:val="000000"/>
          <w:kern w:val="0"/>
          <w:sz w:val="32"/>
          <w:szCs w:val="32"/>
        </w:rPr>
        <w:t>满意度</w:t>
      </w:r>
    </w:p>
    <w:p w:rsidR="005C0FCC" w:rsidRDefault="00BA5E11">
      <w:pPr>
        <w:spacing w:line="600" w:lineRule="exact"/>
        <w:ind w:leftChars="50" w:left="105" w:firstLineChars="150" w:firstLine="480"/>
        <w:rPr>
          <w:rFonts w:ascii="仿宋_GB2312" w:eastAsia="仿宋_GB2312" w:hAnsi="仿宋"/>
          <w:sz w:val="32"/>
          <w:szCs w:val="32"/>
        </w:rPr>
      </w:pPr>
      <w:r>
        <w:rPr>
          <w:rFonts w:ascii="仿宋_GB2312" w:eastAsia="仿宋_GB2312" w:hAnsi="仿宋" w:hint="eastAsia"/>
          <w:sz w:val="32"/>
          <w:szCs w:val="32"/>
        </w:rPr>
        <w:t>深入</w:t>
      </w:r>
      <w:proofErr w:type="gramStart"/>
      <w:r>
        <w:rPr>
          <w:rFonts w:ascii="仿宋_GB2312" w:eastAsia="仿宋_GB2312" w:hAnsi="仿宋" w:hint="eastAsia"/>
          <w:sz w:val="32"/>
          <w:szCs w:val="32"/>
        </w:rPr>
        <w:t>践行</w:t>
      </w:r>
      <w:proofErr w:type="gramEnd"/>
      <w:r>
        <w:rPr>
          <w:rFonts w:ascii="仿宋_GB2312" w:eastAsia="仿宋_GB2312" w:hAnsi="仿宋" w:hint="eastAsia"/>
          <w:sz w:val="32"/>
          <w:szCs w:val="32"/>
        </w:rPr>
        <w:t>司法为民宗旨，努力满足人民群众的多元司法需求。强化民生司法保障，让群众安居乐业。2022年怀柔检察院报告同级人民代表大会通过、赞成率100%。</w:t>
      </w:r>
    </w:p>
    <w:p w:rsidR="005C0FCC" w:rsidRDefault="00BA5E11">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5C0FCC" w:rsidRDefault="00BA5E11">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（一）财务管理</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院制定了《北京市怀柔区人民检察院经费支出管理办法》、《北京市怀柔区人民检察院采购管理办法》、《北京市怀柔区人民检察院公务卡使用管理办法》、《北京市怀柔区人民检察院固定资产管理办法》、《北京市怀柔区人民检察院办案及外出差旅费管理办法》、《北京市怀柔区人民检察院合同管理办法》等相关制度。明确单位领导审批权限及资金支付的审批程序，各种费用报销及项目款的支付，严格执行审核程序、强化监督管理，最大限度地确保会计凭证的真实性、合法性，确保各项支出的合理性和规范性。</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w:t>
      </w:r>
      <w:proofErr w:type="gramStart"/>
      <w:r>
        <w:rPr>
          <w:rFonts w:ascii="仿宋_GB2312" w:eastAsia="仿宋_GB2312" w:hAnsi="宋体" w:cs="宋体" w:hint="eastAsia"/>
          <w:color w:val="000000"/>
          <w:kern w:val="0"/>
          <w:sz w:val="32"/>
          <w:szCs w:val="32"/>
        </w:rPr>
        <w:t>规</w:t>
      </w:r>
      <w:proofErr w:type="gramEnd"/>
      <w:r>
        <w:rPr>
          <w:rFonts w:ascii="仿宋_GB2312" w:eastAsia="仿宋_GB2312" w:hAnsi="宋体" w:cs="宋体" w:hint="eastAsia"/>
          <w:color w:val="000000"/>
          <w:kern w:val="0"/>
          <w:sz w:val="32"/>
          <w:szCs w:val="32"/>
        </w:rPr>
        <w:t>性</w:t>
      </w:r>
      <w:r>
        <w:rPr>
          <w:rFonts w:ascii="仿宋_GB2312" w:eastAsia="仿宋_GB2312" w:hAnsi="宋体" w:cs="宋体"/>
          <w:color w:val="000000"/>
          <w:kern w:val="0"/>
          <w:sz w:val="32"/>
          <w:szCs w:val="32"/>
        </w:rPr>
        <w:t>和安全性</w:t>
      </w:r>
    </w:p>
    <w:p w:rsidR="00A80BA9" w:rsidRPr="00A80BA9" w:rsidRDefault="00A80BA9" w:rsidP="00A80BA9">
      <w:pPr>
        <w:spacing w:line="580" w:lineRule="exact"/>
        <w:ind w:firstLineChars="200" w:firstLine="640"/>
        <w:rPr>
          <w:rFonts w:ascii="仿宋_GB2312" w:eastAsia="仿宋_GB2312" w:hAnsi="宋体" w:cs="宋体"/>
          <w:color w:val="000000"/>
          <w:kern w:val="0"/>
          <w:sz w:val="32"/>
          <w:szCs w:val="32"/>
        </w:rPr>
      </w:pPr>
      <w:r w:rsidRPr="00A80BA9">
        <w:rPr>
          <w:rFonts w:ascii="仿宋_GB2312" w:eastAsia="仿宋_GB2312" w:hAnsi="宋体" w:cs="宋体" w:hint="eastAsia"/>
          <w:color w:val="000000"/>
          <w:kern w:val="0"/>
          <w:sz w:val="32"/>
          <w:szCs w:val="32"/>
        </w:rPr>
        <w:t>2022年经费支出控制在预算批复范围内，严格按照各项制度和要求，资金使用合</w:t>
      </w:r>
      <w:proofErr w:type="gramStart"/>
      <w:r w:rsidRPr="00A80BA9">
        <w:rPr>
          <w:rFonts w:ascii="仿宋_GB2312" w:eastAsia="仿宋_GB2312" w:hAnsi="宋体" w:cs="宋体" w:hint="eastAsia"/>
          <w:color w:val="000000"/>
          <w:kern w:val="0"/>
          <w:sz w:val="32"/>
          <w:szCs w:val="32"/>
        </w:rPr>
        <w:t>规</w:t>
      </w:r>
      <w:proofErr w:type="gramEnd"/>
      <w:r w:rsidRPr="00A80BA9">
        <w:rPr>
          <w:rFonts w:ascii="仿宋_GB2312" w:eastAsia="仿宋_GB2312" w:hAnsi="宋体" w:cs="宋体" w:hint="eastAsia"/>
          <w:color w:val="000000"/>
          <w:kern w:val="0"/>
          <w:sz w:val="32"/>
          <w:szCs w:val="32"/>
        </w:rPr>
        <w:t>，资金管理</w:t>
      </w:r>
      <w:r w:rsidRPr="00A80BA9">
        <w:rPr>
          <w:rFonts w:ascii="仿宋_GB2312" w:eastAsia="仿宋_GB2312" w:hAnsi="宋体" w:cs="宋体" w:hint="eastAsia"/>
          <w:color w:val="000000"/>
          <w:kern w:val="0"/>
          <w:sz w:val="32"/>
          <w:szCs w:val="32"/>
        </w:rPr>
        <w:lastRenderedPageBreak/>
        <w:t>安全。</w:t>
      </w:r>
    </w:p>
    <w:p w:rsidR="00A80BA9" w:rsidRPr="00A80BA9" w:rsidRDefault="00A80BA9" w:rsidP="00A80BA9">
      <w:pPr>
        <w:spacing w:line="580" w:lineRule="exact"/>
        <w:ind w:firstLineChars="200" w:firstLine="640"/>
        <w:rPr>
          <w:rFonts w:ascii="仿宋_GB2312" w:eastAsia="仿宋_GB2312" w:hAnsi="宋体" w:cs="宋体"/>
          <w:color w:val="000000"/>
          <w:kern w:val="0"/>
          <w:sz w:val="32"/>
          <w:szCs w:val="32"/>
        </w:rPr>
      </w:pPr>
      <w:r w:rsidRPr="00A80BA9">
        <w:rPr>
          <w:rFonts w:ascii="仿宋_GB2312" w:eastAsia="仿宋_GB2312" w:hAnsi="宋体" w:cs="宋体" w:hint="eastAsia"/>
          <w:color w:val="000000"/>
          <w:kern w:val="0"/>
          <w:sz w:val="32"/>
          <w:szCs w:val="32"/>
        </w:rPr>
        <w:t>预算编制阶段，加强项目评审，合理测算预算，提高预算的准确性，认真做好部门预算的编制工作。资金支出按照市财政预算批复执行。严格把关每一笔支出，增强资金使用过程规范化。经抽查部分项目会计凭证，</w:t>
      </w:r>
      <w:r w:rsidR="00001CA8">
        <w:rPr>
          <w:rFonts w:ascii="仿宋_GB2312" w:eastAsia="仿宋_GB2312" w:hAnsi="宋体" w:cs="宋体" w:hint="eastAsia"/>
          <w:color w:val="000000"/>
          <w:kern w:val="0"/>
          <w:sz w:val="32"/>
          <w:szCs w:val="32"/>
        </w:rPr>
        <w:t>我院</w:t>
      </w:r>
      <w:r w:rsidRPr="00A80BA9">
        <w:rPr>
          <w:rFonts w:ascii="仿宋_GB2312" w:eastAsia="仿宋_GB2312" w:hAnsi="宋体" w:cs="宋体" w:hint="eastAsia"/>
          <w:color w:val="000000"/>
          <w:kern w:val="0"/>
          <w:sz w:val="32"/>
          <w:szCs w:val="32"/>
        </w:rPr>
        <w:t>资金支出按照内部管理制度执行，未发现资金有超范围、超标准支出的情况，审批手续严格规范。</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p w:rsidR="005C0FCC" w:rsidRDefault="00001CA8">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严格按照《财政部关于贯彻实施政府会计准则制度的通知》和市检察院的相关要求，</w:t>
      </w:r>
      <w:r w:rsidR="00BA5E11">
        <w:rPr>
          <w:rFonts w:ascii="仿宋_GB2312" w:eastAsia="仿宋_GB2312" w:hAnsi="宋体" w:cs="宋体" w:hint="eastAsia"/>
          <w:color w:val="000000"/>
          <w:kern w:val="0"/>
          <w:sz w:val="32"/>
          <w:szCs w:val="32"/>
        </w:rPr>
        <w:t>进行财务核算和管理，基础数据信息和会计信息资料真实、完整、准确。</w:t>
      </w:r>
    </w:p>
    <w:p w:rsidR="005C0FCC" w:rsidRDefault="00BA5E11">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（二）资产管理</w:t>
      </w:r>
    </w:p>
    <w:p w:rsidR="00001CA8" w:rsidRDefault="00001CA8">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根据行政事业单位资产管理的相关要求，我院制定《固定资产管理办法》《无形资产管理办法》等管理制度，资产制度较为健全。</w:t>
      </w:r>
    </w:p>
    <w:p w:rsidR="005C0FCC" w:rsidRDefault="00001CA8">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怀柔检察院在资产管理方面能够按照内控制度执行，科学合理做好资产配置，加强资产的日常管理维护，规范和完善</w:t>
      </w:r>
      <w:r w:rsidR="00BA5E11">
        <w:rPr>
          <w:rFonts w:ascii="仿宋_GB2312" w:eastAsia="仿宋_GB2312" w:hAnsi="宋体" w:cs="宋体" w:hint="eastAsia"/>
          <w:color w:val="000000"/>
          <w:kern w:val="0"/>
          <w:sz w:val="32"/>
          <w:szCs w:val="32"/>
        </w:rPr>
        <w:t>资产的</w:t>
      </w:r>
      <w:r>
        <w:rPr>
          <w:rFonts w:ascii="仿宋_GB2312" w:eastAsia="仿宋_GB2312" w:hAnsi="宋体" w:cs="宋体" w:hint="eastAsia"/>
          <w:color w:val="000000"/>
          <w:kern w:val="0"/>
          <w:sz w:val="32"/>
          <w:szCs w:val="32"/>
        </w:rPr>
        <w:t>购</w:t>
      </w:r>
      <w:r w:rsidR="00BA5E11">
        <w:rPr>
          <w:rFonts w:ascii="仿宋_GB2312" w:eastAsia="仿宋_GB2312" w:hAnsi="宋体" w:cs="宋体" w:hint="eastAsia"/>
          <w:color w:val="000000"/>
          <w:kern w:val="0"/>
          <w:sz w:val="32"/>
          <w:szCs w:val="32"/>
        </w:rPr>
        <w:t>置、处置</w:t>
      </w:r>
      <w:r>
        <w:rPr>
          <w:rFonts w:ascii="仿宋_GB2312" w:eastAsia="仿宋_GB2312" w:hAnsi="宋体" w:cs="宋体" w:hint="eastAsia"/>
          <w:color w:val="000000"/>
          <w:kern w:val="0"/>
          <w:sz w:val="32"/>
          <w:szCs w:val="32"/>
        </w:rPr>
        <w:t>流程，充分发挥资产在单位履行职能方面的物质基础作用，有效保障单位履行法律监督职能。</w:t>
      </w:r>
    </w:p>
    <w:p w:rsidR="005C0FCC" w:rsidRDefault="00BA5E11">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lastRenderedPageBreak/>
        <w:t>（三）绩效</w:t>
      </w:r>
      <w:r>
        <w:rPr>
          <w:rFonts w:ascii="楷体_GB2312" w:eastAsia="楷体_GB2312"/>
          <w:sz w:val="32"/>
          <w:szCs w:val="32"/>
        </w:rPr>
        <w:t>管理</w:t>
      </w:r>
    </w:p>
    <w:p w:rsidR="005C0FCC" w:rsidRDefault="00001CA8" w:rsidP="00001CA8">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怀柔</w:t>
      </w:r>
      <w:r w:rsidRPr="00001CA8">
        <w:rPr>
          <w:rFonts w:ascii="仿宋_GB2312" w:eastAsia="仿宋_GB2312" w:hAnsi="宋体" w:cs="宋体" w:hint="eastAsia"/>
          <w:color w:val="000000"/>
          <w:kern w:val="0"/>
          <w:sz w:val="32"/>
          <w:szCs w:val="32"/>
        </w:rPr>
        <w:t>检察院按照市财政局关于预算绩效管理的要求，按照“预算编制有目标、预算执行有监控、预算完成有评价、评价结果有反馈、反馈结果有应用”的总体目标，深化推进全面预算绩效管理工作。</w:t>
      </w:r>
      <w:r w:rsidR="00BA5E11">
        <w:rPr>
          <w:rFonts w:ascii="仿宋_GB2312" w:eastAsia="仿宋_GB2312" w:hAnsi="宋体" w:cs="宋体" w:hint="eastAsia"/>
          <w:color w:val="000000"/>
          <w:kern w:val="0"/>
          <w:sz w:val="32"/>
          <w:szCs w:val="32"/>
        </w:rPr>
        <w:t>成立</w:t>
      </w:r>
      <w:r>
        <w:rPr>
          <w:rFonts w:ascii="仿宋_GB2312" w:eastAsia="仿宋_GB2312" w:hAnsi="宋体" w:cs="宋体" w:hint="eastAsia"/>
          <w:color w:val="000000"/>
          <w:kern w:val="0"/>
          <w:sz w:val="32"/>
          <w:szCs w:val="32"/>
        </w:rPr>
        <w:t>以主管院领导任组长的</w:t>
      </w:r>
      <w:proofErr w:type="gramStart"/>
      <w:r>
        <w:rPr>
          <w:rFonts w:ascii="仿宋_GB2312" w:eastAsia="仿宋_GB2312" w:hAnsi="宋体" w:cs="宋体" w:hint="eastAsia"/>
          <w:color w:val="000000"/>
          <w:kern w:val="0"/>
          <w:sz w:val="32"/>
          <w:szCs w:val="32"/>
        </w:rPr>
        <w:t>全</w:t>
      </w:r>
      <w:r w:rsidRPr="00001CA8">
        <w:rPr>
          <w:rFonts w:ascii="仿宋_GB2312" w:eastAsia="仿宋_GB2312" w:hAnsi="宋体" w:cs="宋体" w:hint="eastAsia"/>
          <w:color w:val="000000"/>
          <w:kern w:val="0"/>
          <w:sz w:val="32"/>
          <w:szCs w:val="32"/>
        </w:rPr>
        <w:t>预算</w:t>
      </w:r>
      <w:proofErr w:type="gramEnd"/>
      <w:r w:rsidRPr="00001CA8">
        <w:rPr>
          <w:rFonts w:ascii="仿宋_GB2312" w:eastAsia="仿宋_GB2312" w:hAnsi="宋体" w:cs="宋体" w:hint="eastAsia"/>
          <w:color w:val="000000"/>
          <w:kern w:val="0"/>
          <w:sz w:val="32"/>
          <w:szCs w:val="32"/>
        </w:rPr>
        <w:t>绩效管理</w:t>
      </w:r>
      <w:r w:rsidR="00BA5E11">
        <w:rPr>
          <w:rFonts w:ascii="仿宋_GB2312" w:eastAsia="仿宋_GB2312" w:hAnsi="宋体" w:cs="宋体" w:hint="eastAsia"/>
          <w:color w:val="000000"/>
          <w:kern w:val="0"/>
          <w:sz w:val="32"/>
          <w:szCs w:val="32"/>
        </w:rPr>
        <w:t>领导小组，对照</w:t>
      </w:r>
      <w:r>
        <w:rPr>
          <w:rFonts w:ascii="仿宋_GB2312" w:eastAsia="仿宋_GB2312" w:hAnsi="宋体" w:cs="宋体" w:hint="eastAsia"/>
          <w:color w:val="000000"/>
          <w:kern w:val="0"/>
          <w:sz w:val="32"/>
          <w:szCs w:val="32"/>
        </w:rPr>
        <w:t>绩效评价</w:t>
      </w:r>
      <w:r w:rsidR="00BA5E11">
        <w:rPr>
          <w:rFonts w:ascii="仿宋_GB2312" w:eastAsia="仿宋_GB2312" w:hAnsi="宋体" w:cs="宋体" w:hint="eastAsia"/>
          <w:color w:val="000000"/>
          <w:kern w:val="0"/>
          <w:sz w:val="32"/>
          <w:szCs w:val="32"/>
        </w:rPr>
        <w:t>方案进行研究和</w:t>
      </w:r>
      <w:proofErr w:type="gramStart"/>
      <w:r w:rsidR="00BA5E11">
        <w:rPr>
          <w:rFonts w:ascii="仿宋_GB2312" w:eastAsia="仿宋_GB2312" w:hAnsi="宋体" w:cs="宋体" w:hint="eastAsia"/>
          <w:color w:val="000000"/>
          <w:kern w:val="0"/>
          <w:sz w:val="32"/>
          <w:szCs w:val="32"/>
        </w:rPr>
        <w:t>布署</w:t>
      </w:r>
      <w:proofErr w:type="gramEnd"/>
      <w:r w:rsidR="00BA5E11">
        <w:rPr>
          <w:rFonts w:ascii="仿宋_GB2312" w:eastAsia="仿宋_GB2312" w:hAnsi="宋体" w:cs="宋体" w:hint="eastAsia"/>
          <w:color w:val="000000"/>
          <w:kern w:val="0"/>
          <w:sz w:val="32"/>
          <w:szCs w:val="32"/>
        </w:rPr>
        <w:t>，业务部门全程参与，按照要求，对照各实施项目的内容逐条逐项自评。及时对绩效信息进行汇总分析整理，在自评过程发现的问题，查找原因，及时纠正偏差，为下一步工作夯实基础。</w:t>
      </w:r>
    </w:p>
    <w:p w:rsidR="005C0FCC" w:rsidRDefault="00BA5E11">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（四）结转结余率</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2021年全年预算支出5570.73万元，结转结余资金199.97万元，结转结余率3.59%;2022年全年预算支出5926.84万元，结转结余资金89.07万元，结转结余率1.5%；低于上年。</w:t>
      </w:r>
    </w:p>
    <w:p w:rsidR="005C0FCC" w:rsidRDefault="00BA5E11">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5C0FCC" w:rsidRDefault="00BA5E11">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2021年年</w:t>
      </w:r>
      <w:proofErr w:type="gramStart"/>
      <w:r>
        <w:rPr>
          <w:rFonts w:ascii="仿宋_GB2312" w:eastAsia="仿宋_GB2312" w:hAnsi="宋体" w:cs="宋体" w:hint="eastAsia"/>
          <w:color w:val="000000"/>
          <w:kern w:val="0"/>
          <w:sz w:val="32"/>
          <w:szCs w:val="32"/>
        </w:rPr>
        <w:t>初部门</w:t>
      </w:r>
      <w:proofErr w:type="gramEnd"/>
      <w:r>
        <w:rPr>
          <w:rFonts w:ascii="仿宋_GB2312" w:eastAsia="仿宋_GB2312" w:hAnsi="宋体" w:cs="宋体" w:hint="eastAsia"/>
          <w:color w:val="000000"/>
          <w:kern w:val="0"/>
          <w:sz w:val="32"/>
          <w:szCs w:val="32"/>
        </w:rPr>
        <w:t>预算支出5183.85万元，年度部门决算支出5570.73万元，部门预决算差异率7.46%，低于市级平均差异率（28.3%）。2022年年</w:t>
      </w:r>
      <w:proofErr w:type="gramStart"/>
      <w:r>
        <w:rPr>
          <w:rFonts w:ascii="仿宋_GB2312" w:eastAsia="仿宋_GB2312" w:hAnsi="宋体" w:cs="宋体" w:hint="eastAsia"/>
          <w:color w:val="000000"/>
          <w:kern w:val="0"/>
          <w:sz w:val="32"/>
          <w:szCs w:val="32"/>
        </w:rPr>
        <w:t>初部门</w:t>
      </w:r>
      <w:proofErr w:type="gramEnd"/>
      <w:r>
        <w:rPr>
          <w:rFonts w:ascii="仿宋_GB2312" w:eastAsia="仿宋_GB2312" w:hAnsi="宋体" w:cs="宋体" w:hint="eastAsia"/>
          <w:color w:val="000000"/>
          <w:kern w:val="0"/>
          <w:sz w:val="32"/>
          <w:szCs w:val="32"/>
        </w:rPr>
        <w:t>预算支出5403.49万元，年度部门决算支出5926.84万元，部门预决算差异率9.69%，低于市级平均差异率（28.3%）。</w:t>
      </w:r>
    </w:p>
    <w:p w:rsidR="005C0FCC" w:rsidRDefault="00BA5E11">
      <w:pPr>
        <w:spacing w:line="600" w:lineRule="exact"/>
        <w:ind w:leftChars="50" w:left="105" w:firstLineChars="150" w:firstLine="480"/>
        <w:rPr>
          <w:rFonts w:ascii="黑体" w:eastAsia="黑体" w:hAnsi="黑体"/>
          <w:sz w:val="32"/>
          <w:szCs w:val="32"/>
        </w:rPr>
      </w:pPr>
      <w:r>
        <w:rPr>
          <w:rFonts w:ascii="黑体" w:eastAsia="黑体" w:hAnsi="黑体" w:hint="eastAsia"/>
          <w:sz w:val="32"/>
          <w:szCs w:val="32"/>
        </w:rPr>
        <w:lastRenderedPageBreak/>
        <w:t>五、总体</w:t>
      </w:r>
      <w:r>
        <w:rPr>
          <w:rFonts w:ascii="黑体" w:eastAsia="黑体" w:hAnsi="黑体"/>
          <w:sz w:val="32"/>
          <w:szCs w:val="32"/>
        </w:rPr>
        <w:t>评价结论</w:t>
      </w:r>
    </w:p>
    <w:p w:rsidR="005C0FCC" w:rsidRDefault="00BA5E11">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5C0FCC" w:rsidRDefault="00BA5E11">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经综合评价，怀柔区人民检察院预算配置科学，执行有效，预算管理规范，较好的完成了各项年度工作目标，取得了较好的经济效益和社会效益。按照评价指标体系及评分标准，评定2022年度怀柔区人民检察院部门整体支出绩</w:t>
      </w:r>
      <w:r w:rsidRPr="00001CA8">
        <w:rPr>
          <w:rFonts w:ascii="仿宋_GB2312" w:eastAsia="仿宋_GB2312" w:hAnsi="宋体" w:cs="宋体" w:hint="eastAsia"/>
          <w:color w:val="000000"/>
          <w:kern w:val="0"/>
          <w:sz w:val="32"/>
          <w:szCs w:val="32"/>
        </w:rPr>
        <w:t>效等级为优，分数为</w:t>
      </w:r>
      <w:r w:rsidR="00001CA8" w:rsidRPr="00001CA8">
        <w:rPr>
          <w:rFonts w:ascii="仿宋_GB2312" w:eastAsia="仿宋_GB2312" w:hAnsi="宋体" w:cs="宋体" w:hint="eastAsia"/>
          <w:color w:val="000000"/>
          <w:kern w:val="0"/>
          <w:sz w:val="32"/>
          <w:szCs w:val="32"/>
        </w:rPr>
        <w:t>92.2</w:t>
      </w:r>
      <w:r w:rsidRPr="00001CA8">
        <w:rPr>
          <w:rFonts w:ascii="仿宋_GB2312" w:eastAsia="仿宋_GB2312" w:hAnsi="宋体" w:cs="宋体" w:hint="eastAsia"/>
          <w:color w:val="000000"/>
          <w:kern w:val="0"/>
          <w:sz w:val="32"/>
          <w:szCs w:val="32"/>
        </w:rPr>
        <w:t>分。</w:t>
      </w:r>
    </w:p>
    <w:p w:rsidR="005C0FCC" w:rsidRDefault="000279F7" w:rsidP="000279F7">
      <w:pPr>
        <w:spacing w:line="600" w:lineRule="exact"/>
        <w:rPr>
          <w:rFonts w:ascii="楷体_GB2312" w:eastAsia="楷体_GB2312"/>
          <w:sz w:val="32"/>
          <w:szCs w:val="32"/>
        </w:rPr>
      </w:pPr>
      <w:r>
        <w:rPr>
          <w:rFonts w:ascii="仿宋_GB2312" w:eastAsia="仿宋_GB2312" w:hAnsi="宋体" w:cs="宋体"/>
          <w:noProof/>
          <w:color w:val="000000"/>
          <w:kern w:val="0"/>
          <w:sz w:val="32"/>
          <w:szCs w:val="32"/>
        </w:rPr>
        <w:drawing>
          <wp:anchor distT="0" distB="0" distL="114300" distR="114300" simplePos="0" relativeHeight="251658240" behindDoc="0" locked="0" layoutInCell="1" allowOverlap="1" wp14:anchorId="1F7E162C" wp14:editId="43254929">
            <wp:simplePos x="0" y="0"/>
            <wp:positionH relativeFrom="column">
              <wp:posOffset>129540</wp:posOffset>
            </wp:positionH>
            <wp:positionV relativeFrom="paragraph">
              <wp:posOffset>418465</wp:posOffset>
            </wp:positionV>
            <wp:extent cx="8686800" cy="3404870"/>
            <wp:effectExtent l="0" t="0" r="0" b="5080"/>
            <wp:wrapTopAndBottom/>
            <wp:docPr id="3" name="图片 3" descr="C:\Users\user\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86800" cy="34048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279F7" w:rsidRDefault="000279F7">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noProof/>
          <w:color w:val="000000"/>
          <w:kern w:val="0"/>
          <w:sz w:val="32"/>
          <w:szCs w:val="32"/>
        </w:rPr>
        <w:lastRenderedPageBreak/>
        <w:drawing>
          <wp:anchor distT="0" distB="0" distL="114300" distR="114300" simplePos="0" relativeHeight="251659264" behindDoc="0" locked="0" layoutInCell="1" allowOverlap="1" wp14:anchorId="755BCE04" wp14:editId="5DFB6C5B">
            <wp:simplePos x="0" y="0"/>
            <wp:positionH relativeFrom="column">
              <wp:posOffset>215900</wp:posOffset>
            </wp:positionH>
            <wp:positionV relativeFrom="paragraph">
              <wp:posOffset>197485</wp:posOffset>
            </wp:positionV>
            <wp:extent cx="8372475" cy="3304540"/>
            <wp:effectExtent l="0" t="0" r="9525" b="0"/>
            <wp:wrapTopAndBottom/>
            <wp:docPr id="4" name="图片 4" descr="C:\Users\user\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72475" cy="33045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279F7" w:rsidRDefault="000279F7" w:rsidP="000279F7">
      <w:pPr>
        <w:spacing w:line="600" w:lineRule="exact"/>
        <w:ind w:firstLineChars="200" w:firstLine="640"/>
        <w:rPr>
          <w:rFonts w:ascii="楷体_GB2312" w:eastAsia="楷体_GB2312"/>
          <w:sz w:val="32"/>
          <w:szCs w:val="32"/>
        </w:rPr>
      </w:pPr>
      <w:r>
        <w:rPr>
          <w:rFonts w:ascii="楷体_GB2312" w:eastAsia="楷体_GB2312" w:hint="eastAsia"/>
          <w:sz w:val="32"/>
          <w:szCs w:val="32"/>
        </w:rPr>
        <w:t>（</w:t>
      </w:r>
      <w:r>
        <w:rPr>
          <w:rFonts w:ascii="楷体_GB2312" w:eastAsia="楷体_GB2312" w:hint="eastAsia"/>
          <w:sz w:val="32"/>
          <w:szCs w:val="32"/>
        </w:rPr>
        <w:t>二）存在的问题及原因分析</w:t>
      </w:r>
    </w:p>
    <w:p w:rsidR="005C0FCC" w:rsidRDefault="00BA5E11">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通过对2022年度部门整体支出内容及主要工作进行系统梳理和分析，总体绩效目标完成情况较好，但离高标准的预算绩效管理水平还存在一定的差距。主要问题如下：</w:t>
      </w:r>
    </w:p>
    <w:p w:rsidR="005C0FCC" w:rsidRPr="00B3172D" w:rsidRDefault="00B3172D">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1、</w:t>
      </w:r>
      <w:r w:rsidR="00BA5E11" w:rsidRPr="00B3172D">
        <w:rPr>
          <w:rFonts w:ascii="仿宋_GB2312" w:eastAsia="仿宋_GB2312" w:hAnsi="宋体" w:cs="宋体" w:hint="eastAsia"/>
          <w:color w:val="000000"/>
          <w:kern w:val="0"/>
          <w:sz w:val="32"/>
          <w:szCs w:val="32"/>
        </w:rPr>
        <w:t>部分</w:t>
      </w:r>
      <w:r>
        <w:rPr>
          <w:rFonts w:ascii="仿宋_GB2312" w:eastAsia="仿宋_GB2312" w:hAnsi="宋体" w:cs="宋体" w:hint="eastAsia"/>
          <w:color w:val="000000"/>
          <w:kern w:val="0"/>
          <w:sz w:val="32"/>
          <w:szCs w:val="32"/>
        </w:rPr>
        <w:t>反映部门核心职能的</w:t>
      </w:r>
      <w:r w:rsidR="00BA5E11" w:rsidRPr="00B3172D">
        <w:rPr>
          <w:rFonts w:ascii="仿宋_GB2312" w:eastAsia="仿宋_GB2312" w:hAnsi="宋体" w:cs="宋体" w:hint="eastAsia"/>
          <w:color w:val="000000"/>
          <w:kern w:val="0"/>
          <w:sz w:val="32"/>
          <w:szCs w:val="32"/>
        </w:rPr>
        <w:t>绩效指标设置还不够全面</w:t>
      </w:r>
      <w:r>
        <w:rPr>
          <w:rFonts w:ascii="仿宋_GB2312" w:eastAsia="仿宋_GB2312" w:hAnsi="宋体" w:cs="宋体" w:hint="eastAsia"/>
          <w:color w:val="000000"/>
          <w:kern w:val="0"/>
          <w:sz w:val="32"/>
          <w:szCs w:val="32"/>
        </w:rPr>
        <w:t>、</w:t>
      </w:r>
      <w:r w:rsidR="00BA5E11" w:rsidRPr="00B3172D">
        <w:rPr>
          <w:rFonts w:ascii="仿宋_GB2312" w:eastAsia="仿宋_GB2312" w:hAnsi="宋体" w:cs="宋体" w:hint="eastAsia"/>
          <w:color w:val="000000"/>
          <w:kern w:val="0"/>
          <w:sz w:val="32"/>
          <w:szCs w:val="32"/>
        </w:rPr>
        <w:t>细化。</w:t>
      </w:r>
    </w:p>
    <w:p w:rsidR="00B3172D" w:rsidRPr="00B3172D" w:rsidRDefault="00B3172D" w:rsidP="00B3172D">
      <w:pPr>
        <w:spacing w:line="58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w:t>
      </w:r>
      <w:r w:rsidRPr="00B3172D">
        <w:rPr>
          <w:rFonts w:ascii="仿宋_GB2312" w:eastAsia="仿宋_GB2312" w:hAnsi="宋体" w:cs="宋体" w:hint="eastAsia"/>
          <w:color w:val="000000"/>
          <w:kern w:val="0"/>
          <w:sz w:val="32"/>
          <w:szCs w:val="32"/>
        </w:rPr>
        <w:t>部分项目缺少组织实施方案或管理制度。大多数项目为延续性项目，尚未形成一套明确的项目组织机制，明确管理机构、人员职责分工、工作进度安排和过程管控措施等内容。</w:t>
      </w:r>
    </w:p>
    <w:p w:rsidR="00B3172D" w:rsidRPr="00B3172D" w:rsidRDefault="00B3172D" w:rsidP="00B3172D">
      <w:pPr>
        <w:pStyle w:val="a7"/>
        <w:spacing w:line="580" w:lineRule="exact"/>
        <w:ind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sidRPr="00B3172D">
        <w:rPr>
          <w:rFonts w:ascii="仿宋_GB2312" w:eastAsia="仿宋_GB2312" w:hAnsi="宋体" w:cs="宋体" w:hint="eastAsia"/>
          <w:color w:val="000000"/>
          <w:kern w:val="0"/>
          <w:sz w:val="32"/>
          <w:szCs w:val="32"/>
        </w:rPr>
        <w:t>部分绩效信息的收集和汇总分析不充分,项目资料收集不完整，导致项目效益未能完整、充分呈现。</w:t>
      </w:r>
    </w:p>
    <w:p w:rsidR="005C0FCC" w:rsidRDefault="00BA5E11">
      <w:pPr>
        <w:spacing w:line="600" w:lineRule="exact"/>
        <w:ind w:firstLineChars="200" w:firstLine="64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t>六、措施建议</w:t>
      </w:r>
    </w:p>
    <w:p w:rsidR="005C0FCC" w:rsidRPr="00B3172D" w:rsidRDefault="00BA5E11" w:rsidP="00B3172D">
      <w:pPr>
        <w:spacing w:line="580" w:lineRule="exact"/>
        <w:ind w:firstLineChars="200" w:firstLine="640"/>
        <w:rPr>
          <w:rFonts w:ascii="仿宋_GB2312" w:eastAsia="仿宋_GB2312" w:hAnsi="宋体" w:cs="宋体"/>
          <w:color w:val="000000"/>
          <w:kern w:val="0"/>
          <w:sz w:val="32"/>
          <w:szCs w:val="32"/>
        </w:rPr>
      </w:pPr>
      <w:r w:rsidRPr="00B3172D">
        <w:rPr>
          <w:rFonts w:ascii="仿宋_GB2312" w:eastAsia="仿宋_GB2312" w:hAnsi="宋体" w:cs="宋体" w:hint="eastAsia"/>
          <w:color w:val="000000"/>
          <w:kern w:val="0"/>
          <w:sz w:val="32"/>
          <w:szCs w:val="32"/>
        </w:rPr>
        <w:t>为了对经费绩效做出更加客观、准确的评价，更好地实现评价的目的，改进措施如下：</w:t>
      </w:r>
    </w:p>
    <w:p w:rsidR="005C0FCC" w:rsidRPr="00B3172D" w:rsidRDefault="00BA5E11" w:rsidP="00B3172D">
      <w:pPr>
        <w:spacing w:line="580" w:lineRule="exact"/>
        <w:ind w:firstLineChars="200" w:firstLine="640"/>
        <w:rPr>
          <w:rFonts w:ascii="仿宋_GB2312" w:eastAsia="仿宋_GB2312" w:hAnsi="宋体" w:cs="宋体"/>
          <w:color w:val="000000"/>
          <w:kern w:val="0"/>
          <w:sz w:val="32"/>
          <w:szCs w:val="32"/>
        </w:rPr>
      </w:pPr>
      <w:r w:rsidRPr="00B3172D">
        <w:rPr>
          <w:rFonts w:ascii="仿宋_GB2312" w:eastAsia="仿宋_GB2312" w:hAnsi="宋体" w:cs="宋体" w:hint="eastAsia"/>
          <w:color w:val="000000"/>
          <w:kern w:val="0"/>
          <w:sz w:val="32"/>
          <w:szCs w:val="32"/>
        </w:rPr>
        <w:t>1</w:t>
      </w:r>
      <w:r w:rsidR="00B3172D">
        <w:rPr>
          <w:rFonts w:ascii="仿宋_GB2312" w:eastAsia="仿宋_GB2312" w:hAnsi="宋体" w:cs="宋体" w:hint="eastAsia"/>
          <w:color w:val="000000"/>
          <w:kern w:val="0"/>
          <w:sz w:val="32"/>
          <w:szCs w:val="32"/>
        </w:rPr>
        <w:t>、</w:t>
      </w:r>
      <w:r w:rsidRPr="00B3172D">
        <w:rPr>
          <w:rFonts w:ascii="仿宋_GB2312" w:eastAsia="仿宋_GB2312" w:hAnsi="宋体" w:cs="宋体" w:hint="eastAsia"/>
          <w:color w:val="000000"/>
          <w:kern w:val="0"/>
          <w:sz w:val="32"/>
          <w:szCs w:val="32"/>
        </w:rPr>
        <w:t>进一步</w:t>
      </w:r>
      <w:r w:rsidRPr="00B3172D">
        <w:rPr>
          <w:rFonts w:ascii="仿宋_GB2312" w:eastAsia="仿宋_GB2312" w:hAnsi="宋体" w:cs="宋体"/>
          <w:color w:val="000000"/>
          <w:kern w:val="0"/>
          <w:sz w:val="32"/>
          <w:szCs w:val="32"/>
        </w:rPr>
        <w:t>量化</w:t>
      </w:r>
      <w:r w:rsidR="00B3172D">
        <w:rPr>
          <w:rFonts w:ascii="仿宋_GB2312" w:eastAsia="仿宋_GB2312" w:hAnsi="宋体" w:cs="宋体" w:hint="eastAsia"/>
          <w:color w:val="000000"/>
          <w:kern w:val="0"/>
          <w:sz w:val="32"/>
          <w:szCs w:val="32"/>
        </w:rPr>
        <w:t>反映部门核心职能的</w:t>
      </w:r>
      <w:r w:rsidR="00B3172D" w:rsidRPr="00B3172D">
        <w:rPr>
          <w:rFonts w:ascii="仿宋_GB2312" w:eastAsia="仿宋_GB2312" w:hAnsi="宋体" w:cs="宋体" w:hint="eastAsia"/>
          <w:color w:val="000000"/>
          <w:kern w:val="0"/>
          <w:sz w:val="32"/>
          <w:szCs w:val="32"/>
        </w:rPr>
        <w:t>绩效</w:t>
      </w:r>
      <w:r w:rsidRPr="00B3172D">
        <w:rPr>
          <w:rFonts w:ascii="仿宋_GB2312" w:eastAsia="仿宋_GB2312" w:hAnsi="宋体" w:cs="宋体"/>
          <w:color w:val="000000"/>
          <w:kern w:val="0"/>
          <w:sz w:val="32"/>
          <w:szCs w:val="32"/>
        </w:rPr>
        <w:t>指标</w:t>
      </w:r>
      <w:r w:rsidRPr="00B3172D">
        <w:rPr>
          <w:rFonts w:ascii="仿宋_GB2312" w:eastAsia="仿宋_GB2312" w:hAnsi="宋体" w:cs="宋体" w:hint="eastAsia"/>
          <w:color w:val="000000"/>
          <w:kern w:val="0"/>
          <w:sz w:val="32"/>
          <w:szCs w:val="32"/>
        </w:rPr>
        <w:t>，增强评价的可操作性。</w:t>
      </w:r>
    </w:p>
    <w:p w:rsidR="00B3172D" w:rsidRPr="00B3172D" w:rsidRDefault="00B3172D" w:rsidP="00B3172D">
      <w:pPr>
        <w:spacing w:line="58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sidRPr="00B3172D">
        <w:rPr>
          <w:rFonts w:ascii="仿宋_GB2312" w:eastAsia="仿宋_GB2312" w:hAnsi="宋体" w:cs="宋体" w:hint="eastAsia"/>
          <w:color w:val="000000"/>
          <w:kern w:val="0"/>
          <w:sz w:val="32"/>
          <w:szCs w:val="32"/>
        </w:rPr>
        <w:t>健全完善项目实施方案和管理制度。根据项目以前年度实施情况或预期计划，制定切实可行的实施方案和管理制度，明确项目管理各项要素，合理安排项目人员分工、进度计划，强化过程管控，增强对项目实施的指导和约束作用，加强项目实施过程控制及监督管理。</w:t>
      </w:r>
    </w:p>
    <w:p w:rsidR="00B3172D" w:rsidRPr="00B3172D" w:rsidRDefault="00B3172D" w:rsidP="00B3172D">
      <w:pPr>
        <w:spacing w:line="58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sidRPr="00B3172D">
        <w:rPr>
          <w:rFonts w:ascii="仿宋_GB2312" w:eastAsia="仿宋_GB2312" w:hAnsi="宋体" w:cs="宋体" w:hint="eastAsia"/>
          <w:color w:val="000000"/>
          <w:kern w:val="0"/>
          <w:sz w:val="32"/>
          <w:szCs w:val="32"/>
        </w:rPr>
        <w:t>加强全面绩效管理意识，注重项目效益资料收集，特别要注重对项目质量和效益的挖掘，以效果资料和数据支撑项目效益。</w:t>
      </w:r>
      <w:bookmarkStart w:id="0" w:name="_GoBack"/>
      <w:bookmarkEnd w:id="0"/>
    </w:p>
    <w:sectPr w:rsidR="00B3172D" w:rsidRPr="00B3172D" w:rsidSect="0031216D">
      <w:footerReference w:type="default" r:id="rId11"/>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1B8" w:rsidRDefault="006851B8">
      <w:r>
        <w:separator/>
      </w:r>
    </w:p>
  </w:endnote>
  <w:endnote w:type="continuationSeparator" w:id="0">
    <w:p w:rsidR="006851B8" w:rsidRDefault="00685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FCC" w:rsidRDefault="00BA5E11">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26EC0A36" wp14:editId="48508E23">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C0FCC" w:rsidRDefault="00BA5E11">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0279F7" w:rsidRPr="000279F7">
                            <w:rPr>
                              <w:rFonts w:ascii="宋体" w:hAnsi="宋体"/>
                              <w:noProof/>
                              <w:sz w:val="28"/>
                              <w:szCs w:val="28"/>
                              <w:lang w:val="zh-CN"/>
                            </w:rPr>
                            <w:t>-</w:t>
                          </w:r>
                          <w:r w:rsidR="000279F7">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5C0FCC" w:rsidRDefault="00BA5E11">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0279F7" w:rsidRPr="000279F7">
                      <w:rPr>
                        <w:rFonts w:ascii="宋体" w:hAnsi="宋体"/>
                        <w:noProof/>
                        <w:sz w:val="28"/>
                        <w:szCs w:val="28"/>
                        <w:lang w:val="zh-CN"/>
                      </w:rPr>
                      <w:t>-</w:t>
                    </w:r>
                    <w:r w:rsidR="000279F7">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5C0FCC" w:rsidRDefault="005C0FC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1B8" w:rsidRDefault="006851B8">
      <w:r>
        <w:separator/>
      </w:r>
    </w:p>
  </w:footnote>
  <w:footnote w:type="continuationSeparator" w:id="0">
    <w:p w:rsidR="006851B8" w:rsidRDefault="006851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383"/>
    <w:rsid w:val="00001CA8"/>
    <w:rsid w:val="000279F7"/>
    <w:rsid w:val="00083F24"/>
    <w:rsid w:val="001844FD"/>
    <w:rsid w:val="001B5463"/>
    <w:rsid w:val="001C2158"/>
    <w:rsid w:val="002009AF"/>
    <w:rsid w:val="00224AA1"/>
    <w:rsid w:val="002629C7"/>
    <w:rsid w:val="0028329D"/>
    <w:rsid w:val="00290741"/>
    <w:rsid w:val="002A252C"/>
    <w:rsid w:val="0030220A"/>
    <w:rsid w:val="00310985"/>
    <w:rsid w:val="0031216D"/>
    <w:rsid w:val="00397CA0"/>
    <w:rsid w:val="003C2412"/>
    <w:rsid w:val="003F6585"/>
    <w:rsid w:val="00434998"/>
    <w:rsid w:val="00475CC7"/>
    <w:rsid w:val="004B43AD"/>
    <w:rsid w:val="004B79AF"/>
    <w:rsid w:val="004E0C88"/>
    <w:rsid w:val="005149AB"/>
    <w:rsid w:val="00522925"/>
    <w:rsid w:val="0057782E"/>
    <w:rsid w:val="00585C41"/>
    <w:rsid w:val="005A067B"/>
    <w:rsid w:val="005C0FCC"/>
    <w:rsid w:val="00640E00"/>
    <w:rsid w:val="006851B8"/>
    <w:rsid w:val="006976D6"/>
    <w:rsid w:val="006F7C59"/>
    <w:rsid w:val="0070296F"/>
    <w:rsid w:val="00807308"/>
    <w:rsid w:val="009B4151"/>
    <w:rsid w:val="00A80BA9"/>
    <w:rsid w:val="00AE4F32"/>
    <w:rsid w:val="00B3172D"/>
    <w:rsid w:val="00B97383"/>
    <w:rsid w:val="00BA5E11"/>
    <w:rsid w:val="00BE651F"/>
    <w:rsid w:val="00C40A0A"/>
    <w:rsid w:val="00C4725D"/>
    <w:rsid w:val="00C667DB"/>
    <w:rsid w:val="00C81C0A"/>
    <w:rsid w:val="00CA18A6"/>
    <w:rsid w:val="00D04C6F"/>
    <w:rsid w:val="00D20739"/>
    <w:rsid w:val="00D34015"/>
    <w:rsid w:val="00D567A1"/>
    <w:rsid w:val="00D67344"/>
    <w:rsid w:val="00E22779"/>
    <w:rsid w:val="00EF341F"/>
    <w:rsid w:val="00F07AE0"/>
    <w:rsid w:val="00FE21EE"/>
    <w:rsid w:val="02847C01"/>
    <w:rsid w:val="148408CB"/>
    <w:rsid w:val="775E0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semiHidden="0"/>
    <w:lsdException w:name="footer" w:semiHidden="0" w:unhideWhenUsed="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20"/>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qFormat/>
    <w:rPr>
      <w:rFonts w:ascii="Times New Roman" w:eastAsia="宋体" w:hAnsi="Times New Roman" w:cs="Times New Roman"/>
      <w:sz w:val="18"/>
      <w:szCs w:val="20"/>
    </w:rPr>
  </w:style>
  <w:style w:type="character" w:customStyle="1" w:styleId="Char0">
    <w:name w:val="页眉 Char"/>
    <w:basedOn w:val="a0"/>
    <w:link w:val="a4"/>
    <w:uiPriority w:val="99"/>
    <w:rPr>
      <w:rFonts w:ascii="Times New Roman" w:eastAsia="宋体" w:hAnsi="Times New Roman" w:cs="Times New Roman"/>
      <w:sz w:val="18"/>
      <w:szCs w:val="18"/>
    </w:rPr>
  </w:style>
  <w:style w:type="paragraph" w:customStyle="1" w:styleId="A5">
    <w:name w:val="正文 A"/>
    <w:next w:val="1"/>
    <w:qFormat/>
    <w:pPr>
      <w:framePr w:wrap="around" w:hAnchor="text"/>
      <w:widowControl w:val="0"/>
      <w:suppressAutoHyphens/>
      <w:jc w:val="both"/>
    </w:pPr>
    <w:rPr>
      <w:rFonts w:ascii="Calibri" w:eastAsia="Calibri" w:hAnsi="Calibri" w:cs="Calibri"/>
      <w:color w:val="000000"/>
      <w:kern w:val="2"/>
      <w:sz w:val="21"/>
      <w:szCs w:val="21"/>
      <w:u w:color="000000"/>
    </w:rPr>
  </w:style>
  <w:style w:type="paragraph" w:customStyle="1" w:styleId="1">
    <w:name w:val="正文文本1"/>
    <w:next w:val="A5"/>
    <w:qFormat/>
    <w:pPr>
      <w:framePr w:wrap="around" w:hAnchor="text"/>
      <w:widowControl w:val="0"/>
      <w:suppressAutoHyphens/>
      <w:spacing w:after="140" w:line="276" w:lineRule="auto"/>
      <w:jc w:val="both"/>
    </w:pPr>
    <w:rPr>
      <w:rFonts w:ascii="Calibri" w:eastAsia="Calibri" w:hAnsi="Calibri" w:cs="Calibri"/>
      <w:color w:val="000000"/>
      <w:kern w:val="2"/>
      <w:sz w:val="21"/>
      <w:szCs w:val="21"/>
      <w:u w:color="000000"/>
    </w:rPr>
  </w:style>
  <w:style w:type="paragraph" w:styleId="a6">
    <w:name w:val="Date"/>
    <w:basedOn w:val="a"/>
    <w:next w:val="a"/>
    <w:link w:val="Char1"/>
    <w:uiPriority w:val="99"/>
    <w:semiHidden/>
    <w:unhideWhenUsed/>
    <w:rsid w:val="00A80BA9"/>
    <w:pPr>
      <w:ind w:leftChars="2500" w:left="100"/>
    </w:pPr>
  </w:style>
  <w:style w:type="character" w:customStyle="1" w:styleId="Char1">
    <w:name w:val="日期 Char"/>
    <w:basedOn w:val="a0"/>
    <w:link w:val="a6"/>
    <w:uiPriority w:val="99"/>
    <w:semiHidden/>
    <w:rsid w:val="00A80BA9"/>
    <w:rPr>
      <w:rFonts w:eastAsia="宋体"/>
      <w:kern w:val="2"/>
      <w:sz w:val="21"/>
      <w:szCs w:val="24"/>
    </w:rPr>
  </w:style>
  <w:style w:type="paragraph" w:styleId="a7">
    <w:name w:val="Normal Indent"/>
    <w:basedOn w:val="a"/>
    <w:semiHidden/>
    <w:unhideWhenUsed/>
    <w:qFormat/>
    <w:rsid w:val="00B3172D"/>
    <w:pPr>
      <w:ind w:firstLineChars="200" w:firstLine="420"/>
    </w:pPr>
  </w:style>
  <w:style w:type="paragraph" w:styleId="a8">
    <w:name w:val="Balloon Text"/>
    <w:basedOn w:val="a"/>
    <w:link w:val="Char2"/>
    <w:uiPriority w:val="99"/>
    <w:semiHidden/>
    <w:unhideWhenUsed/>
    <w:rsid w:val="00C40A0A"/>
    <w:rPr>
      <w:sz w:val="18"/>
      <w:szCs w:val="18"/>
    </w:rPr>
  </w:style>
  <w:style w:type="character" w:customStyle="1" w:styleId="Char2">
    <w:name w:val="批注框文本 Char"/>
    <w:basedOn w:val="a0"/>
    <w:link w:val="a8"/>
    <w:uiPriority w:val="99"/>
    <w:semiHidden/>
    <w:rsid w:val="00C40A0A"/>
    <w:rPr>
      <w:rFonts w:eastAsia="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semiHidden="0"/>
    <w:lsdException w:name="footer" w:semiHidden="0" w:unhideWhenUsed="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20"/>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uiPriority w:val="99"/>
    <w:qFormat/>
    <w:rPr>
      <w:rFonts w:ascii="Times New Roman" w:eastAsia="宋体" w:hAnsi="Times New Roman" w:cs="Times New Roman"/>
      <w:sz w:val="18"/>
      <w:szCs w:val="20"/>
    </w:rPr>
  </w:style>
  <w:style w:type="character" w:customStyle="1" w:styleId="Char0">
    <w:name w:val="页眉 Char"/>
    <w:basedOn w:val="a0"/>
    <w:link w:val="a4"/>
    <w:uiPriority w:val="99"/>
    <w:rPr>
      <w:rFonts w:ascii="Times New Roman" w:eastAsia="宋体" w:hAnsi="Times New Roman" w:cs="Times New Roman"/>
      <w:sz w:val="18"/>
      <w:szCs w:val="18"/>
    </w:rPr>
  </w:style>
  <w:style w:type="paragraph" w:customStyle="1" w:styleId="A5">
    <w:name w:val="正文 A"/>
    <w:next w:val="1"/>
    <w:qFormat/>
    <w:pPr>
      <w:framePr w:wrap="around" w:hAnchor="text"/>
      <w:widowControl w:val="0"/>
      <w:suppressAutoHyphens/>
      <w:jc w:val="both"/>
    </w:pPr>
    <w:rPr>
      <w:rFonts w:ascii="Calibri" w:eastAsia="Calibri" w:hAnsi="Calibri" w:cs="Calibri"/>
      <w:color w:val="000000"/>
      <w:kern w:val="2"/>
      <w:sz w:val="21"/>
      <w:szCs w:val="21"/>
      <w:u w:color="000000"/>
    </w:rPr>
  </w:style>
  <w:style w:type="paragraph" w:customStyle="1" w:styleId="1">
    <w:name w:val="正文文本1"/>
    <w:next w:val="A5"/>
    <w:qFormat/>
    <w:pPr>
      <w:framePr w:wrap="around" w:hAnchor="text"/>
      <w:widowControl w:val="0"/>
      <w:suppressAutoHyphens/>
      <w:spacing w:after="140" w:line="276" w:lineRule="auto"/>
      <w:jc w:val="both"/>
    </w:pPr>
    <w:rPr>
      <w:rFonts w:ascii="Calibri" w:eastAsia="Calibri" w:hAnsi="Calibri" w:cs="Calibri"/>
      <w:color w:val="000000"/>
      <w:kern w:val="2"/>
      <w:sz w:val="21"/>
      <w:szCs w:val="21"/>
      <w:u w:color="000000"/>
    </w:rPr>
  </w:style>
  <w:style w:type="paragraph" w:styleId="a6">
    <w:name w:val="Date"/>
    <w:basedOn w:val="a"/>
    <w:next w:val="a"/>
    <w:link w:val="Char1"/>
    <w:uiPriority w:val="99"/>
    <w:semiHidden/>
    <w:unhideWhenUsed/>
    <w:rsid w:val="00A80BA9"/>
    <w:pPr>
      <w:ind w:leftChars="2500" w:left="100"/>
    </w:pPr>
  </w:style>
  <w:style w:type="character" w:customStyle="1" w:styleId="Char1">
    <w:name w:val="日期 Char"/>
    <w:basedOn w:val="a0"/>
    <w:link w:val="a6"/>
    <w:uiPriority w:val="99"/>
    <w:semiHidden/>
    <w:rsid w:val="00A80BA9"/>
    <w:rPr>
      <w:rFonts w:eastAsia="宋体"/>
      <w:kern w:val="2"/>
      <w:sz w:val="21"/>
      <w:szCs w:val="24"/>
    </w:rPr>
  </w:style>
  <w:style w:type="paragraph" w:styleId="a7">
    <w:name w:val="Normal Indent"/>
    <w:basedOn w:val="a"/>
    <w:semiHidden/>
    <w:unhideWhenUsed/>
    <w:qFormat/>
    <w:rsid w:val="00B3172D"/>
    <w:pPr>
      <w:ind w:firstLineChars="200" w:firstLine="420"/>
    </w:pPr>
  </w:style>
  <w:style w:type="paragraph" w:styleId="a8">
    <w:name w:val="Balloon Text"/>
    <w:basedOn w:val="a"/>
    <w:link w:val="Char2"/>
    <w:uiPriority w:val="99"/>
    <w:semiHidden/>
    <w:unhideWhenUsed/>
    <w:rsid w:val="00C40A0A"/>
    <w:rPr>
      <w:sz w:val="18"/>
      <w:szCs w:val="18"/>
    </w:rPr>
  </w:style>
  <w:style w:type="character" w:customStyle="1" w:styleId="Char2">
    <w:name w:val="批注框文本 Char"/>
    <w:basedOn w:val="a0"/>
    <w:link w:val="a8"/>
    <w:uiPriority w:val="99"/>
    <w:semiHidden/>
    <w:rsid w:val="00C40A0A"/>
    <w:rPr>
      <w:rFonts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F1CC17-59F0-44B6-A6D9-A4BE153CA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627</Words>
  <Characters>3575</Characters>
  <Application>Microsoft Office Word</Application>
  <DocSecurity>0</DocSecurity>
  <Lines>29</Lines>
  <Paragraphs>8</Paragraphs>
  <ScaleCrop>false</ScaleCrop>
  <Company/>
  <LinksUpToDate>false</LinksUpToDate>
  <CharactersWithSpaces>4194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2023-05-22T08:56:00Z</cp:lastPrinted>
  <dcterms:created xsi:type="dcterms:W3CDTF">2022-05-18T08:26:00Z</dcterms:created>
  <dcterms:modified xsi:type="dcterms:W3CDTF">2023-08-15T08:04:00Z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