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5000" w:type="pct"/>
        <w:jc w:val="center"/>
        <w:tblLayout w:type="fixed"/>
        <w:tblCellMar>
          <w:top w:w="0" w:type="dxa"/>
          <w:left w:w="108" w:type="dxa"/>
          <w:bottom w:w="0" w:type="dxa"/>
          <w:right w:w="108" w:type="dxa"/>
        </w:tblCellMar>
      </w:tblPr>
      <w:tblGrid>
        <w:gridCol w:w="407"/>
        <w:gridCol w:w="409"/>
        <w:gridCol w:w="1021"/>
        <w:gridCol w:w="488"/>
        <w:gridCol w:w="874"/>
        <w:gridCol w:w="1311"/>
        <w:gridCol w:w="1456"/>
        <w:gridCol w:w="532"/>
        <w:gridCol w:w="380"/>
        <w:gridCol w:w="375"/>
        <w:gridCol w:w="518"/>
        <w:gridCol w:w="752"/>
      </w:tblGrid>
      <w:tr>
        <w:tblPrEx>
          <w:tblCellMar>
            <w:top w:w="0" w:type="dxa"/>
            <w:left w:w="108" w:type="dxa"/>
            <w:bottom w:w="0" w:type="dxa"/>
            <w:right w:w="108" w:type="dxa"/>
          </w:tblCellMar>
        </w:tblPrEx>
        <w:trPr>
          <w:trHeight w:val="459" w:hRule="exact"/>
          <w:jc w:val="center"/>
        </w:trPr>
        <w:tc>
          <w:tcPr>
            <w:tcW w:w="47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项目名称</w:t>
            </w:r>
          </w:p>
        </w:tc>
        <w:tc>
          <w:tcPr>
            <w:tcW w:w="4521" w:type="pct"/>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安检安保工作经费</w:t>
            </w:r>
          </w:p>
        </w:tc>
      </w:tr>
      <w:tr>
        <w:tblPrEx>
          <w:tblCellMar>
            <w:top w:w="0" w:type="dxa"/>
            <w:left w:w="108" w:type="dxa"/>
            <w:bottom w:w="0" w:type="dxa"/>
            <w:right w:w="108" w:type="dxa"/>
          </w:tblCellMar>
        </w:tblPrEx>
        <w:trPr>
          <w:trHeight w:val="565" w:hRule="exact"/>
          <w:jc w:val="center"/>
        </w:trPr>
        <w:tc>
          <w:tcPr>
            <w:tcW w:w="47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主管部门</w:t>
            </w:r>
          </w:p>
        </w:tc>
        <w:tc>
          <w:tcPr>
            <w:tcW w:w="2167"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c>
          <w:tcPr>
            <w:tcW w:w="85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实施单位</w:t>
            </w:r>
          </w:p>
        </w:tc>
        <w:tc>
          <w:tcPr>
            <w:tcW w:w="1500"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r>
      <w:tr>
        <w:tblPrEx>
          <w:tblCellMar>
            <w:top w:w="0" w:type="dxa"/>
            <w:left w:w="108" w:type="dxa"/>
            <w:bottom w:w="0" w:type="dxa"/>
            <w:right w:w="108" w:type="dxa"/>
          </w:tblCellMar>
        </w:tblPrEx>
        <w:trPr>
          <w:trHeight w:val="573" w:hRule="exact"/>
          <w:jc w:val="center"/>
        </w:trPr>
        <w:tc>
          <w:tcPr>
            <w:tcW w:w="479"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项目负责人</w:t>
            </w:r>
          </w:p>
        </w:tc>
        <w:tc>
          <w:tcPr>
            <w:tcW w:w="2167"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王静</w:t>
            </w:r>
          </w:p>
        </w:tc>
        <w:tc>
          <w:tcPr>
            <w:tcW w:w="85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联系电话</w:t>
            </w:r>
          </w:p>
        </w:tc>
        <w:tc>
          <w:tcPr>
            <w:tcW w:w="1500"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59556610</w:t>
            </w:r>
          </w:p>
        </w:tc>
      </w:tr>
      <w:tr>
        <w:tblPrEx>
          <w:tblCellMar>
            <w:top w:w="0" w:type="dxa"/>
            <w:left w:w="108" w:type="dxa"/>
            <w:bottom w:w="0" w:type="dxa"/>
            <w:right w:w="108" w:type="dxa"/>
          </w:tblCellMar>
        </w:tblPrEx>
        <w:trPr>
          <w:trHeight w:val="567" w:hRule="exact"/>
          <w:jc w:val="center"/>
        </w:trPr>
        <w:tc>
          <w:tcPr>
            <w:tcW w:w="479"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项目资金（万元）</w:t>
            </w: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1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年初预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76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85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执行数</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52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r>
      <w:tr>
        <w:tblPrEx>
          <w:tblCellMar>
            <w:top w:w="0" w:type="dxa"/>
            <w:left w:w="108" w:type="dxa"/>
            <w:bottom w:w="0" w:type="dxa"/>
            <w:right w:w="108" w:type="dxa"/>
          </w:tblCellMar>
        </w:tblPrEx>
        <w:trPr>
          <w:trHeight w:val="822" w:hRule="exact"/>
          <w:jc w:val="center"/>
        </w:trPr>
        <w:tc>
          <w:tcPr>
            <w:tcW w:w="47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年度资金总额</w:t>
            </w:r>
          </w:p>
        </w:tc>
        <w:tc>
          <w:tcPr>
            <w:tcW w:w="51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76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85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52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r>
      <w:tr>
        <w:tblPrEx>
          <w:tblCellMar>
            <w:top w:w="0" w:type="dxa"/>
            <w:left w:w="108" w:type="dxa"/>
            <w:bottom w:w="0" w:type="dxa"/>
            <w:right w:w="108" w:type="dxa"/>
          </w:tblCellMar>
        </w:tblPrEx>
        <w:trPr>
          <w:trHeight w:val="812" w:hRule="exact"/>
          <w:jc w:val="center"/>
        </w:trPr>
        <w:tc>
          <w:tcPr>
            <w:tcW w:w="47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其中：当年财政拨款</w:t>
            </w:r>
          </w:p>
        </w:tc>
        <w:tc>
          <w:tcPr>
            <w:tcW w:w="51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76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85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144.48万元</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52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567" w:hRule="exact"/>
          <w:jc w:val="center"/>
        </w:trPr>
        <w:tc>
          <w:tcPr>
            <w:tcW w:w="47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上年结转资金</w:t>
            </w:r>
          </w:p>
        </w:tc>
        <w:tc>
          <w:tcPr>
            <w:tcW w:w="51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76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85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52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306" w:hRule="exact"/>
          <w:jc w:val="center"/>
        </w:trPr>
        <w:tc>
          <w:tcPr>
            <w:tcW w:w="479"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88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其他资金</w:t>
            </w:r>
          </w:p>
        </w:tc>
        <w:tc>
          <w:tcPr>
            <w:tcW w:w="513"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769"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854"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53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524"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41"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548" w:hRule="exact"/>
          <w:jc w:val="center"/>
        </w:trPr>
        <w:tc>
          <w:tcPr>
            <w:tcW w:w="239"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年度总体目标</w:t>
            </w:r>
          </w:p>
        </w:tc>
        <w:tc>
          <w:tcPr>
            <w:tcW w:w="2407"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预期目标</w:t>
            </w:r>
          </w:p>
        </w:tc>
        <w:tc>
          <w:tcPr>
            <w:tcW w:w="2354"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实际完成情况</w:t>
            </w:r>
          </w:p>
        </w:tc>
      </w:tr>
      <w:tr>
        <w:tblPrEx>
          <w:tblCellMar>
            <w:top w:w="0" w:type="dxa"/>
            <w:left w:w="108" w:type="dxa"/>
            <w:bottom w:w="0" w:type="dxa"/>
            <w:right w:w="108" w:type="dxa"/>
          </w:tblCellMar>
        </w:tblPrEx>
        <w:trPr>
          <w:trHeight w:val="2170" w:hRule="exact"/>
          <w:jc w:val="center"/>
        </w:trPr>
        <w:tc>
          <w:tcPr>
            <w:tcW w:w="23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7"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北京市顺义区人民检察院安检工作项目目标是指为了提升顺义检察院的安全防范意识，有效确保机关安全、办案安全、卷宗安全和人身安全，为各项检察工作的顺利开展提供了有力的保障。</w:t>
            </w:r>
          </w:p>
        </w:tc>
        <w:tc>
          <w:tcPr>
            <w:tcW w:w="2354"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2022年安检安保工作经费项目已圆满完成，截止2022年12月31日，项目经费已支付144.48万元，主要用于建立安检安保人员严格执行24小时轮班执勤、夜间巡逻机制，维护正常办公办案秩序，不发生安全事故，保障了法院机关内人身安全，提高了对突发事件的应对能力。各项产出指标及效益均已达成，项目圆满结束。</w:t>
            </w:r>
          </w:p>
        </w:tc>
      </w:tr>
      <w:tr>
        <w:tblPrEx>
          <w:tblCellMar>
            <w:top w:w="0" w:type="dxa"/>
            <w:left w:w="108" w:type="dxa"/>
            <w:bottom w:w="0" w:type="dxa"/>
            <w:right w:w="108" w:type="dxa"/>
          </w:tblCellMar>
        </w:tblPrEx>
        <w:trPr>
          <w:trHeight w:val="1004" w:hRule="exact"/>
          <w:jc w:val="center"/>
        </w:trPr>
        <w:tc>
          <w:tcPr>
            <w:tcW w:w="239"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绩</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标</w:t>
            </w:r>
          </w:p>
        </w:tc>
        <w:tc>
          <w:tcPr>
            <w:tcW w:w="240"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一级指标</w:t>
            </w:r>
          </w:p>
        </w:tc>
        <w:tc>
          <w:tcPr>
            <w:tcW w:w="59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二级指标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三级指标</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指标值</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完成值</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偏差原因分析及改进</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措施</w:t>
            </w:r>
          </w:p>
        </w:tc>
      </w:tr>
      <w:tr>
        <w:tblPrEx>
          <w:tblCellMar>
            <w:top w:w="0" w:type="dxa"/>
            <w:left w:w="108" w:type="dxa"/>
            <w:bottom w:w="0" w:type="dxa"/>
            <w:right w:w="108" w:type="dxa"/>
          </w:tblCellMar>
        </w:tblPrEx>
        <w:trPr>
          <w:trHeight w:val="565"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产出指标</w:t>
            </w:r>
          </w:p>
        </w:tc>
        <w:tc>
          <w:tcPr>
            <w:tcW w:w="59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数量指标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指标1：安检安保人员数量</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28人</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28人</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15</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15</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990"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9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质量指标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指标1：检察院机关内安全提升</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加强检察院机关内人身安全、保障机关办案工作正常运转</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建立安检人员队伍，保障了检察院机关内人身安全，提高了对突发事件的应对能力</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15</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15</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10"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9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时效指标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指标1：年度预算执行率</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微软雅黑" w:hAnsi="微软雅黑" w:eastAsia="微软雅黑" w:cs="微软雅黑"/>
                <w:sz w:val="18"/>
                <w:szCs w:val="18"/>
              </w:rPr>
              <w:t>≧</w:t>
            </w:r>
            <w:r>
              <w:rPr>
                <w:rFonts w:hint="eastAsia" w:ascii="仿宋_GB2312" w:eastAsia="仿宋_GB2312"/>
                <w:sz w:val="18"/>
                <w:szCs w:val="18"/>
              </w:rPr>
              <w:t>95%</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100%</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10</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10</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14"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9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成本指标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指标1：项目预算控制数</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144.48万元</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144.48万元</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10</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color w:val="000000"/>
                <w:sz w:val="18"/>
                <w:szCs w:val="18"/>
              </w:rPr>
              <w:t>10</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7"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效益指标</w:t>
            </w:r>
          </w:p>
        </w:tc>
        <w:tc>
          <w:tcPr>
            <w:tcW w:w="59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597"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9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指标1：保障全院安保工作零事故。</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通过建立安保体系，保障公共安全及日常办公办案环境安全性</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24小时安保巡逻机制，对应突发事件效果显著提升</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15</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2</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ascii="仿宋_GB2312" w:hAnsi="宋体" w:eastAsia="仿宋_GB2312" w:cs="宋体"/>
                <w:kern w:val="0"/>
                <w:sz w:val="18"/>
                <w:szCs w:val="18"/>
              </w:rPr>
            </w:pPr>
            <w:r>
              <w:rPr>
                <w:rFonts w:hint="eastAsia" w:ascii="仿宋_GB2312" w:hAnsi="宋体" w:eastAsia="仿宋_GB2312" w:cs="宋体"/>
                <w:kern w:val="0"/>
                <w:sz w:val="18"/>
                <w:szCs w:val="18"/>
              </w:rPr>
              <w:t>维持稳定安保意识，提高办公安全性</w:t>
            </w:r>
          </w:p>
        </w:tc>
      </w:tr>
      <w:tr>
        <w:tblPrEx>
          <w:tblCellMar>
            <w:top w:w="0" w:type="dxa"/>
            <w:left w:w="108" w:type="dxa"/>
            <w:bottom w:w="0" w:type="dxa"/>
            <w:right w:w="108" w:type="dxa"/>
          </w:tblCellMar>
        </w:tblPrEx>
        <w:trPr>
          <w:trHeight w:val="562"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9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334"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99"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可持续影响指标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指标1：健全安保系统</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提升</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提升</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对安保人员素质进一步提升，</w:t>
            </w:r>
            <w:r>
              <w:rPr>
                <w:rFonts w:hint="eastAsia" w:ascii="仿宋_GB2312" w:hAnsi="宋体" w:eastAsia="仿宋_GB2312" w:cs="宋体"/>
                <w:kern w:val="0"/>
                <w:sz w:val="18"/>
                <w:szCs w:val="18"/>
              </w:rPr>
              <w:t>健全安保系统</w:t>
            </w:r>
          </w:p>
        </w:tc>
      </w:tr>
      <w:tr>
        <w:tblPrEx>
          <w:tblCellMar>
            <w:top w:w="0" w:type="dxa"/>
            <w:left w:w="108" w:type="dxa"/>
            <w:bottom w:w="0" w:type="dxa"/>
            <w:right w:w="108" w:type="dxa"/>
          </w:tblCellMar>
        </w:tblPrEx>
        <w:trPr>
          <w:trHeight w:val="578"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59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指标2：加强院内安全保障</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加强</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加强</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5</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281"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40"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59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服务对象满意度标</w:t>
            </w:r>
          </w:p>
        </w:tc>
        <w:tc>
          <w:tcPr>
            <w:tcW w:w="799"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指标1：全院工作人员满意度</w:t>
            </w:r>
          </w:p>
        </w:tc>
        <w:tc>
          <w:tcPr>
            <w:tcW w:w="76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≥98%</w:t>
            </w:r>
          </w:p>
        </w:tc>
        <w:tc>
          <w:tcPr>
            <w:tcW w:w="85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≥95%</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10</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lang w:val="en-US" w:eastAsia="zh-CN"/>
              </w:rPr>
              <w:t>加强聘用安保人员素质，</w:t>
            </w:r>
            <w:r>
              <w:rPr>
                <w:rFonts w:hint="eastAsia" w:ascii="仿宋_GB2312" w:hAnsi="宋体" w:eastAsia="仿宋_GB2312" w:cs="宋体"/>
                <w:kern w:val="0"/>
                <w:sz w:val="18"/>
                <w:szCs w:val="18"/>
              </w:rPr>
              <w:t>增加</w:t>
            </w:r>
            <w:bookmarkStart w:id="0" w:name="_GoBack"/>
            <w:bookmarkEnd w:id="0"/>
            <w:r>
              <w:rPr>
                <w:rFonts w:hint="eastAsia" w:ascii="仿宋_GB2312" w:hAnsi="宋体" w:eastAsia="仿宋_GB2312" w:cs="宋体"/>
                <w:kern w:val="0"/>
                <w:sz w:val="18"/>
                <w:szCs w:val="18"/>
              </w:rPr>
              <w:t>全院工作人员满意度</w:t>
            </w:r>
          </w:p>
        </w:tc>
      </w:tr>
      <w:tr>
        <w:tblPrEx>
          <w:tblCellMar>
            <w:top w:w="0" w:type="dxa"/>
            <w:left w:w="108" w:type="dxa"/>
            <w:bottom w:w="0" w:type="dxa"/>
            <w:right w:w="108" w:type="dxa"/>
          </w:tblCellMar>
        </w:tblPrEx>
        <w:trPr>
          <w:trHeight w:val="477" w:hRule="exact"/>
          <w:jc w:val="center"/>
        </w:trPr>
        <w:tc>
          <w:tcPr>
            <w:tcW w:w="3500" w:type="pct"/>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总分</w:t>
            </w:r>
          </w:p>
        </w:tc>
        <w:tc>
          <w:tcPr>
            <w:tcW w:w="3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100</w:t>
            </w:r>
          </w:p>
        </w:tc>
        <w:tc>
          <w:tcPr>
            <w:tcW w:w="443"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9</w:t>
            </w:r>
            <w:r>
              <w:rPr>
                <w:rFonts w:ascii="仿宋_GB2312" w:hAnsi="宋体" w:eastAsia="仿宋_GB2312" w:cs="宋体"/>
                <w:color w:val="000000"/>
                <w:kern w:val="0"/>
                <w:sz w:val="18"/>
                <w:szCs w:val="18"/>
              </w:rPr>
              <w:t>3</w:t>
            </w:r>
          </w:p>
        </w:tc>
        <w:tc>
          <w:tcPr>
            <w:tcW w:w="745"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bl>
    <w:p>
      <w:pPr>
        <w:rPr>
          <w:rFonts w:ascii="仿宋_GB2312" w:eastAsia="仿宋_GB2312"/>
          <w:vanish/>
          <w:sz w:val="28"/>
          <w:szCs w:val="28"/>
        </w:rPr>
      </w:pP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填报注意事项：</w:t>
      </w:r>
    </w:p>
    <w:p>
      <w:pPr>
        <w:widowControl/>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1.得分一档最高不能超过该指标分值上限。</w:t>
      </w: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3.请在“偏差原因分析及改进措施”中说明偏离目标、不能完成目标的原因及拟采取的措施。</w:t>
      </w:r>
    </w:p>
    <w:p>
      <w:pPr>
        <w:spacing w:line="520" w:lineRule="exact"/>
        <w:ind w:firstLine="560" w:firstLineChars="200"/>
      </w:pPr>
      <w:r>
        <w:rPr>
          <w:rFonts w:hint="eastAsia" w:ascii="仿宋_GB2312" w:hAnsi="宋体" w:eastAsia="仿宋_GB2312" w:cs="宋体"/>
          <w:color w:val="000000"/>
          <w:kern w:val="0"/>
          <w:sz w:val="28"/>
          <w:szCs w:val="28"/>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5NTQ0ZDhlMDExMjFjODE1MTlkZTYyYjc3MzQxZDkifQ=="/>
  </w:docVars>
  <w:rsids>
    <w:rsidRoot w:val="F77F09F4"/>
    <w:rsid w:val="000159AC"/>
    <w:rsid w:val="000A28F4"/>
    <w:rsid w:val="00241D81"/>
    <w:rsid w:val="002E72CB"/>
    <w:rsid w:val="00592FAB"/>
    <w:rsid w:val="005B7D9C"/>
    <w:rsid w:val="006419C3"/>
    <w:rsid w:val="00694F5C"/>
    <w:rsid w:val="00711D16"/>
    <w:rsid w:val="007A14C7"/>
    <w:rsid w:val="00824A3A"/>
    <w:rsid w:val="00A45185"/>
    <w:rsid w:val="00B1629C"/>
    <w:rsid w:val="00B46C88"/>
    <w:rsid w:val="00B76BCA"/>
    <w:rsid w:val="00C05079"/>
    <w:rsid w:val="00C13E68"/>
    <w:rsid w:val="00C1753E"/>
    <w:rsid w:val="00D330EA"/>
    <w:rsid w:val="00EA13A1"/>
    <w:rsid w:val="00F059D2"/>
    <w:rsid w:val="00FB6202"/>
    <w:rsid w:val="00FC6D37"/>
    <w:rsid w:val="0ECF9C51"/>
    <w:rsid w:val="23653904"/>
    <w:rsid w:val="35744FF6"/>
    <w:rsid w:val="37173543"/>
    <w:rsid w:val="3FF76880"/>
    <w:rsid w:val="62ED4E04"/>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1160</Words>
  <Characters>1315</Characters>
  <Lines>10</Lines>
  <Paragraphs>3</Paragraphs>
  <TotalTime>2</TotalTime>
  <ScaleCrop>false</ScaleCrop>
  <LinksUpToDate>false</LinksUpToDate>
  <CharactersWithSpaces>1352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2023-05-15T08:10:00Z</dcterms:created>
  <dc:creator>user</dc:creator>
  <cp:lastModifiedBy>zhongyi</cp:lastModifiedBy>
  <dcterms:modified xsi:type="dcterms:W3CDTF">2023-05-18T02:12:14Z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364605A8A14345109EA9D4E8BCF3C082_12</vt:lpwstr>
  </property>
</Properties>
</file>