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2022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7"/>
        <w:tblW w:w="5000" w:type="pct"/>
        <w:jc w:val="center"/>
        <w:tblLayout w:type="autofit"/>
        <w:tblCellMar>
          <w:top w:w="0" w:type="dxa"/>
          <w:left w:w="108" w:type="dxa"/>
          <w:bottom w:w="0" w:type="dxa"/>
          <w:right w:w="108" w:type="dxa"/>
        </w:tblCellMar>
      </w:tblPr>
      <w:tblGrid>
        <w:gridCol w:w="407"/>
        <w:gridCol w:w="407"/>
        <w:gridCol w:w="1043"/>
        <w:gridCol w:w="586"/>
        <w:gridCol w:w="1137"/>
        <w:gridCol w:w="1512"/>
        <w:gridCol w:w="1094"/>
        <w:gridCol w:w="501"/>
        <w:gridCol w:w="326"/>
        <w:gridCol w:w="332"/>
        <w:gridCol w:w="481"/>
        <w:gridCol w:w="696"/>
      </w:tblGrid>
      <w:tr>
        <w:tblPrEx>
          <w:tblCellMar>
            <w:top w:w="0" w:type="dxa"/>
            <w:left w:w="108" w:type="dxa"/>
            <w:bottom w:w="0" w:type="dxa"/>
            <w:right w:w="108" w:type="dxa"/>
          </w:tblCellMar>
        </w:tblPrEx>
        <w:trPr>
          <w:trHeight w:val="459" w:hRule="exact"/>
          <w:jc w:val="center"/>
        </w:trPr>
        <w:tc>
          <w:tcPr>
            <w:tcW w:w="477"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项目名称</w:t>
            </w:r>
          </w:p>
        </w:tc>
        <w:tc>
          <w:tcPr>
            <w:tcW w:w="4523" w:type="pct"/>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信息化运维费</w:t>
            </w:r>
          </w:p>
        </w:tc>
      </w:tr>
      <w:tr>
        <w:tblPrEx>
          <w:tblCellMar>
            <w:top w:w="0" w:type="dxa"/>
            <w:left w:w="108" w:type="dxa"/>
            <w:bottom w:w="0" w:type="dxa"/>
            <w:right w:w="108" w:type="dxa"/>
          </w:tblCellMar>
        </w:tblPrEx>
        <w:trPr>
          <w:trHeight w:val="565" w:hRule="exact"/>
          <w:jc w:val="center"/>
        </w:trPr>
        <w:tc>
          <w:tcPr>
            <w:tcW w:w="477"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主管部门</w:t>
            </w:r>
          </w:p>
        </w:tc>
        <w:tc>
          <w:tcPr>
            <w:tcW w:w="2510"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c>
          <w:tcPr>
            <w:tcW w:w="64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实施单位</w:t>
            </w:r>
          </w:p>
        </w:tc>
        <w:tc>
          <w:tcPr>
            <w:tcW w:w="1371"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w:t>
            </w:r>
          </w:p>
        </w:tc>
      </w:tr>
      <w:tr>
        <w:tblPrEx>
          <w:tblCellMar>
            <w:top w:w="0" w:type="dxa"/>
            <w:left w:w="108" w:type="dxa"/>
            <w:bottom w:w="0" w:type="dxa"/>
            <w:right w:w="108" w:type="dxa"/>
          </w:tblCellMar>
        </w:tblPrEx>
        <w:trPr>
          <w:trHeight w:val="573" w:hRule="exact"/>
          <w:jc w:val="center"/>
        </w:trPr>
        <w:tc>
          <w:tcPr>
            <w:tcW w:w="477"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项目负责人</w:t>
            </w:r>
          </w:p>
        </w:tc>
        <w:tc>
          <w:tcPr>
            <w:tcW w:w="2510" w:type="pct"/>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王静</w:t>
            </w:r>
          </w:p>
        </w:tc>
        <w:tc>
          <w:tcPr>
            <w:tcW w:w="64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联系电话</w:t>
            </w:r>
          </w:p>
        </w:tc>
        <w:tc>
          <w:tcPr>
            <w:tcW w:w="1371"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59556610</w:t>
            </w:r>
          </w:p>
        </w:tc>
      </w:tr>
      <w:tr>
        <w:tblPrEx>
          <w:tblCellMar>
            <w:top w:w="0" w:type="dxa"/>
            <w:left w:w="108" w:type="dxa"/>
            <w:bottom w:w="0" w:type="dxa"/>
            <w:right w:w="108" w:type="dxa"/>
          </w:tblCellMar>
        </w:tblPrEx>
        <w:trPr>
          <w:trHeight w:val="567" w:hRule="exact"/>
          <w:jc w:val="center"/>
        </w:trPr>
        <w:tc>
          <w:tcPr>
            <w:tcW w:w="477" w:type="pct"/>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（万元）</w:t>
            </w:r>
          </w:p>
        </w:tc>
        <w:tc>
          <w:tcPr>
            <w:tcW w:w="95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6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年初预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88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全年预</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算数</w:t>
            </w:r>
          </w:p>
        </w:tc>
        <w:tc>
          <w:tcPr>
            <w:tcW w:w="64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全年</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执行数</w:t>
            </w:r>
          </w:p>
        </w:tc>
        <w:tc>
          <w:tcPr>
            <w:tcW w:w="48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r>
      <w:tr>
        <w:tblPrEx>
          <w:tblCellMar>
            <w:top w:w="0" w:type="dxa"/>
            <w:left w:w="108" w:type="dxa"/>
            <w:bottom w:w="0" w:type="dxa"/>
            <w:right w:w="108" w:type="dxa"/>
          </w:tblCellMar>
        </w:tblPrEx>
        <w:trPr>
          <w:trHeight w:val="822" w:hRule="exact"/>
          <w:jc w:val="center"/>
        </w:trPr>
        <w:tc>
          <w:tcPr>
            <w:tcW w:w="4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56"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8"/>
                <w:szCs w:val="18"/>
              </w:rPr>
            </w:pPr>
            <w:r>
              <w:rPr>
                <w:rFonts w:hint="eastAsia" w:ascii="仿宋_GB2312" w:hAnsi="宋体" w:eastAsia="仿宋_GB2312" w:cs="宋体"/>
                <w:kern w:val="0"/>
                <w:sz w:val="18"/>
                <w:szCs w:val="18"/>
              </w:rPr>
              <w:t>年度资金总额</w:t>
            </w:r>
          </w:p>
        </w:tc>
        <w:tc>
          <w:tcPr>
            <w:tcW w:w="66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88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64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48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w:t>
            </w:r>
          </w:p>
        </w:tc>
      </w:tr>
      <w:tr>
        <w:tblPrEx>
          <w:tblCellMar>
            <w:top w:w="0" w:type="dxa"/>
            <w:left w:w="108" w:type="dxa"/>
            <w:bottom w:w="0" w:type="dxa"/>
            <w:right w:w="108" w:type="dxa"/>
          </w:tblCellMar>
        </w:tblPrEx>
        <w:trPr>
          <w:trHeight w:val="812" w:hRule="exact"/>
          <w:jc w:val="center"/>
        </w:trPr>
        <w:tc>
          <w:tcPr>
            <w:tcW w:w="4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5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其中：当年财政</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拨款</w:t>
            </w:r>
          </w:p>
        </w:tc>
        <w:tc>
          <w:tcPr>
            <w:tcW w:w="66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88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64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38.61万元</w:t>
            </w:r>
          </w:p>
        </w:tc>
        <w:tc>
          <w:tcPr>
            <w:tcW w:w="48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r>
              <w:rPr>
                <w:rFonts w:ascii="仿宋_GB2312" w:hAnsi="宋体" w:eastAsia="仿宋_GB2312" w:cs="宋体"/>
                <w:kern w:val="0"/>
                <w:sz w:val="18"/>
                <w:szCs w:val="18"/>
              </w:rPr>
              <w:t>00</w:t>
            </w:r>
            <w:r>
              <w:rPr>
                <w:rFonts w:hint="eastAsia" w:ascii="仿宋_GB2312" w:hAnsi="宋体" w:eastAsia="仿宋_GB2312" w:cs="宋体"/>
                <w:kern w:val="0"/>
                <w:sz w:val="18"/>
                <w:szCs w:val="18"/>
              </w:rPr>
              <w:t>%</w:t>
            </w: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67" w:hRule="exact"/>
          <w:jc w:val="center"/>
        </w:trPr>
        <w:tc>
          <w:tcPr>
            <w:tcW w:w="4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5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上年结转资金</w:t>
            </w:r>
          </w:p>
        </w:tc>
        <w:tc>
          <w:tcPr>
            <w:tcW w:w="66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8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64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48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306" w:hRule="exact"/>
          <w:jc w:val="center"/>
        </w:trPr>
        <w:tc>
          <w:tcPr>
            <w:tcW w:w="477"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95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其他资金</w:t>
            </w:r>
          </w:p>
        </w:tc>
        <w:tc>
          <w:tcPr>
            <w:tcW w:w="66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887"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642"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0万元</w:t>
            </w:r>
          </w:p>
        </w:tc>
        <w:tc>
          <w:tcPr>
            <w:tcW w:w="485" w:type="pct"/>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c>
          <w:tcPr>
            <w:tcW w:w="477"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408" w:type="pct"/>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548" w:hRule="exact"/>
          <w:jc w:val="center"/>
        </w:trPr>
        <w:tc>
          <w:tcPr>
            <w:tcW w:w="239" w:type="pct"/>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年度总体目标</w:t>
            </w:r>
          </w:p>
        </w:tc>
        <w:tc>
          <w:tcPr>
            <w:tcW w:w="274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预期目标</w:t>
            </w:r>
          </w:p>
        </w:tc>
        <w:tc>
          <w:tcPr>
            <w:tcW w:w="2012"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实际完成情况</w:t>
            </w:r>
          </w:p>
        </w:tc>
      </w:tr>
      <w:tr>
        <w:tblPrEx>
          <w:tblCellMar>
            <w:top w:w="0" w:type="dxa"/>
            <w:left w:w="108" w:type="dxa"/>
            <w:bottom w:w="0" w:type="dxa"/>
            <w:right w:w="108" w:type="dxa"/>
          </w:tblCellMar>
        </w:tblPrEx>
        <w:trPr>
          <w:trHeight w:val="2461" w:hRule="exact"/>
          <w:jc w:val="center"/>
        </w:trPr>
        <w:tc>
          <w:tcPr>
            <w:tcW w:w="239"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749" w:type="pct"/>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北京市顺义区人民检察院信息化运维服务项目建设目标是在我院信息化建设的基础上，通过科学规范的信息化运维服务，提高我院各项信息化系统的稳定性和安全性，保障这些信息系统的正常运转，为我院各项工作提供高效、优质的信息技术支持与服务。</w:t>
            </w:r>
          </w:p>
        </w:tc>
        <w:tc>
          <w:tcPr>
            <w:tcW w:w="2012" w:type="pct"/>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2022年北京市顺义区人民检察院信息化运维费项目已圆满结束，截止2022年12月31日，支付网络与安全续保费、运维服务费、信息化运维技术服务费等金额合计38.61万元，项目资金已支付完毕，全部用于信息化运维服务工作；项目工作开展提高了各项信息化系统的稳定性和安全性，保障了这些信息系统的正常运转。各项申报产出指标及效益均已达成，项目圆满结束。</w:t>
            </w:r>
          </w:p>
        </w:tc>
      </w:tr>
      <w:tr>
        <w:tblPrEx>
          <w:tblCellMar>
            <w:top w:w="0" w:type="dxa"/>
            <w:left w:w="108" w:type="dxa"/>
            <w:bottom w:w="0" w:type="dxa"/>
            <w:right w:w="108" w:type="dxa"/>
          </w:tblCellMar>
        </w:tblPrEx>
        <w:trPr>
          <w:trHeight w:val="1004" w:hRule="exact"/>
          <w:jc w:val="center"/>
        </w:trPr>
        <w:tc>
          <w:tcPr>
            <w:tcW w:w="239"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绩</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标</w:t>
            </w:r>
          </w:p>
        </w:tc>
        <w:tc>
          <w:tcPr>
            <w:tcW w:w="239"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一级指标</w:t>
            </w:r>
          </w:p>
        </w:tc>
        <w:tc>
          <w:tcPr>
            <w:tcW w:w="61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二级指标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三级指标</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年度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指标值</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实际</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完成值</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分值</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得分</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偏差原因分析及改进</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措施</w:t>
            </w:r>
          </w:p>
        </w:tc>
      </w:tr>
      <w:tr>
        <w:tblPrEx>
          <w:tblCellMar>
            <w:top w:w="0" w:type="dxa"/>
            <w:left w:w="108" w:type="dxa"/>
            <w:bottom w:w="0" w:type="dxa"/>
            <w:right w:w="108" w:type="dxa"/>
          </w:tblCellMar>
        </w:tblPrEx>
        <w:trPr>
          <w:trHeight w:val="71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产出指标</w:t>
            </w:r>
          </w:p>
        </w:tc>
        <w:tc>
          <w:tcPr>
            <w:tcW w:w="612" w:type="pc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指标1：运维服务期限</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运维服务期限是否符合合同约定</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符合合同约定</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06"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质量指标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指标1：符合上级部门相关文件和规划要求</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符合</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62"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指标2：故障响应率</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57"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指标3：故障排除率</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&gt;99%</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5</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7"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eastAsia="仿宋_GB2312"/>
                <w:sz w:val="18"/>
                <w:szCs w:val="18"/>
              </w:rPr>
            </w:pPr>
            <w:r>
              <w:rPr>
                <w:rFonts w:hint="eastAsia" w:ascii="仿宋_GB2312" w:eastAsia="仿宋_GB2312"/>
                <w:sz w:val="18"/>
                <w:szCs w:val="18"/>
              </w:rPr>
              <w:t>指标1：完成时间</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1年</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1年</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CellMar>
            <w:top w:w="0" w:type="dxa"/>
            <w:left w:w="108" w:type="dxa"/>
            <w:bottom w:w="0" w:type="dxa"/>
            <w:right w:w="108" w:type="dxa"/>
          </w:tblCellMar>
        </w:tblPrEx>
        <w:trPr>
          <w:trHeight w:val="571"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eastAsia="仿宋_GB2312"/>
                <w:sz w:val="18"/>
                <w:szCs w:val="18"/>
              </w:rPr>
            </w:pPr>
            <w:r>
              <w:rPr>
                <w:rFonts w:hint="eastAsia" w:ascii="仿宋_GB2312" w:eastAsia="仿宋_GB2312"/>
                <w:sz w:val="18"/>
                <w:szCs w:val="18"/>
              </w:rPr>
              <w:t>指标1：项目预算控制数</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38.61万元</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38.61万元</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p>
        </w:tc>
      </w:tr>
      <w:tr>
        <w:tblPrEx>
          <w:tblCellMar>
            <w:top w:w="0" w:type="dxa"/>
            <w:left w:w="108" w:type="dxa"/>
            <w:bottom w:w="0" w:type="dxa"/>
            <w:right w:w="108" w:type="dxa"/>
          </w:tblCellMar>
        </w:tblPrEx>
        <w:trPr>
          <w:trHeight w:val="566"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效益指标</w:t>
            </w:r>
          </w:p>
        </w:tc>
        <w:tc>
          <w:tcPr>
            <w:tcW w:w="6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2122"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指标1：工作效果</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维护系统的稳定性和安全性，保障系统正常运转</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系统正常运转</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lang w:eastAsia="zh-CN"/>
              </w:rPr>
            </w:pPr>
            <w:r>
              <w:rPr>
                <w:rFonts w:hint="eastAsia" w:ascii="仿宋_GB2312" w:eastAsia="仿宋_GB2312"/>
                <w:sz w:val="18"/>
                <w:szCs w:val="18"/>
                <w:lang w:val="en-US" w:eastAsia="zh-CN"/>
              </w:rPr>
              <w:t>8</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default" w:ascii="仿宋_GB2312" w:hAnsi="宋体" w:eastAsia="仿宋_GB2312" w:cs="宋体"/>
                <w:kern w:val="0"/>
                <w:sz w:val="18"/>
                <w:szCs w:val="18"/>
                <w:lang w:val="en-US" w:eastAsia="zh-CN"/>
              </w:rPr>
              <w:t>减少系统故障等待时间，保障信息</w:t>
            </w:r>
            <w:r>
              <w:rPr>
                <w:rFonts w:hint="eastAsia" w:ascii="仿宋_GB2312" w:hAnsi="宋体" w:eastAsia="仿宋_GB2312" w:cs="宋体"/>
                <w:kern w:val="0"/>
                <w:sz w:val="18"/>
                <w:szCs w:val="18"/>
                <w:lang w:val="en-US" w:eastAsia="zh-CN"/>
              </w:rPr>
              <w:t>化</w:t>
            </w:r>
            <w:r>
              <w:rPr>
                <w:rFonts w:hint="default" w:ascii="仿宋_GB2312" w:hAnsi="宋体" w:eastAsia="仿宋_GB2312" w:cs="宋体"/>
                <w:kern w:val="0"/>
                <w:sz w:val="18"/>
                <w:szCs w:val="18"/>
                <w:lang w:val="en-US" w:eastAsia="zh-CN"/>
              </w:rPr>
              <w:t>业务正常开展，提高工作效率</w:t>
            </w:r>
          </w:p>
        </w:tc>
      </w:tr>
      <w:tr>
        <w:tblPrEx>
          <w:tblCellMar>
            <w:top w:w="0" w:type="dxa"/>
            <w:left w:w="108" w:type="dxa"/>
            <w:bottom w:w="0" w:type="dxa"/>
            <w:right w:w="108" w:type="dxa"/>
          </w:tblCellMar>
        </w:tblPrEx>
        <w:trPr>
          <w:trHeight w:val="573"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指标1：不适用</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eastAsia="仿宋_GB2312"/>
                <w:sz w:val="18"/>
                <w:szCs w:val="18"/>
              </w:rPr>
              <w:t>-</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337"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vMerge w:val="restart"/>
            <w:tcBorders>
              <w:top w:val="single" w:color="auto" w:sz="4" w:space="0"/>
              <w:left w:val="single" w:color="auto" w:sz="4" w:space="0"/>
              <w:right w:val="single" w:color="auto" w:sz="4" w:space="0"/>
            </w:tcBorders>
            <w:vAlign w:val="center"/>
          </w:tcPr>
          <w:p>
            <w:pPr>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可持续影响指标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指标1：信息化系统运行效率</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提高</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提升</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4</w:t>
            </w:r>
          </w:p>
        </w:tc>
        <w:tc>
          <w:tcPr>
            <w:tcW w:w="690" w:type="pct"/>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eastAsia="仿宋_GB2312"/>
                <w:sz w:val="18"/>
                <w:szCs w:val="18"/>
              </w:rPr>
            </w:pPr>
            <w:r>
              <w:rPr>
                <w:rFonts w:hint="eastAsia" w:ascii="仿宋_GB2312" w:eastAsia="仿宋_GB2312"/>
                <w:sz w:val="18"/>
                <w:szCs w:val="18"/>
              </w:rPr>
              <w:t>运行效率明显比往年提升，</w:t>
            </w:r>
            <w:r>
              <w:rPr>
                <w:rFonts w:hint="eastAsia" w:ascii="仿宋_GB2312" w:eastAsia="仿宋_GB2312"/>
                <w:sz w:val="18"/>
                <w:szCs w:val="18"/>
                <w:lang w:val="en-US" w:eastAsia="zh-CN"/>
              </w:rPr>
              <w:t>但运行效率仍需进一步</w:t>
            </w:r>
            <w:r>
              <w:rPr>
                <w:rFonts w:hint="eastAsia" w:ascii="仿宋_GB2312" w:eastAsia="仿宋_GB2312"/>
                <w:sz w:val="18"/>
                <w:szCs w:val="18"/>
              </w:rPr>
              <w:t>完善</w:t>
            </w:r>
          </w:p>
        </w:tc>
      </w:tr>
      <w:tr>
        <w:tblPrEx>
          <w:tblCellMar>
            <w:top w:w="0" w:type="dxa"/>
            <w:left w:w="108" w:type="dxa"/>
            <w:bottom w:w="0" w:type="dxa"/>
            <w:right w:w="108" w:type="dxa"/>
          </w:tblCellMar>
        </w:tblPrEx>
        <w:trPr>
          <w:trHeight w:val="1230"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vMerge w:val="continue"/>
            <w:tcBorders>
              <w:left w:val="single" w:color="auto" w:sz="4" w:space="0"/>
              <w:right w:val="single" w:color="auto" w:sz="4" w:space="0"/>
            </w:tcBorders>
            <w:vAlign w:val="center"/>
          </w:tcPr>
          <w:p>
            <w:pPr>
              <w:spacing w:line="240" w:lineRule="exact"/>
              <w:jc w:val="center"/>
              <w:rPr>
                <w:rFonts w:ascii="仿宋_GB2312" w:hAnsi="宋体" w:eastAsia="仿宋_GB2312" w:cs="宋体"/>
                <w:kern w:val="0"/>
                <w:sz w:val="18"/>
                <w:szCs w:val="18"/>
              </w:rPr>
            </w:pP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指标2：信息化系统故障几率</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降低</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降低</w:t>
            </w:r>
            <w:bookmarkStart w:id="0" w:name="_GoBack"/>
            <w:bookmarkEnd w:id="0"/>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4</w:t>
            </w:r>
          </w:p>
        </w:tc>
        <w:tc>
          <w:tcPr>
            <w:tcW w:w="690" w:type="pct"/>
            <w:gridSpan w:val="2"/>
            <w:tcBorders>
              <w:top w:val="single" w:color="auto" w:sz="4" w:space="0"/>
              <w:left w:val="nil"/>
              <w:bottom w:val="single" w:color="auto" w:sz="4" w:space="0"/>
              <w:right w:val="single" w:color="auto" w:sz="4" w:space="0"/>
            </w:tcBorders>
          </w:tcPr>
          <w:p>
            <w:pPr>
              <w:widowControl/>
              <w:spacing w:line="240" w:lineRule="exact"/>
              <w:jc w:val="center"/>
              <w:rPr>
                <w:rFonts w:hint="default" w:ascii="仿宋_GB2312" w:eastAsia="仿宋_GB2312"/>
                <w:sz w:val="18"/>
                <w:szCs w:val="18"/>
                <w:lang w:val="en-US" w:eastAsia="zh-CN"/>
              </w:rPr>
            </w:pPr>
            <w:r>
              <w:rPr>
                <w:rFonts w:hint="eastAsia" w:ascii="仿宋_GB2312" w:eastAsia="仿宋_GB2312"/>
                <w:sz w:val="18"/>
                <w:szCs w:val="18"/>
                <w:lang w:val="en-US" w:eastAsia="zh-CN"/>
              </w:rPr>
              <w:t>对响应</w:t>
            </w:r>
            <w:r>
              <w:rPr>
                <w:rFonts w:hint="eastAsia" w:ascii="仿宋_GB2312" w:eastAsia="仿宋_GB2312"/>
                <w:sz w:val="18"/>
                <w:szCs w:val="18"/>
              </w:rPr>
              <w:t>系统故障</w:t>
            </w:r>
            <w:r>
              <w:rPr>
                <w:rFonts w:hint="eastAsia" w:ascii="仿宋_GB2312" w:eastAsia="仿宋_GB2312"/>
                <w:sz w:val="18"/>
                <w:szCs w:val="18"/>
                <w:lang w:val="en-US" w:eastAsia="zh-CN"/>
              </w:rPr>
              <w:t>及时性及预防性需进一步提升</w:t>
            </w:r>
          </w:p>
        </w:tc>
      </w:tr>
      <w:tr>
        <w:tblPrEx>
          <w:tblCellMar>
            <w:top w:w="0" w:type="dxa"/>
            <w:left w:w="108" w:type="dxa"/>
            <w:bottom w:w="0" w:type="dxa"/>
            <w:right w:w="108" w:type="dxa"/>
          </w:tblCellMar>
        </w:tblPrEx>
        <w:trPr>
          <w:trHeight w:val="982"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vMerge w:val="continue"/>
            <w:tcBorders>
              <w:left w:val="single" w:color="auto" w:sz="4" w:space="0"/>
              <w:right w:val="single" w:color="auto" w:sz="4" w:space="0"/>
            </w:tcBorders>
            <w:vAlign w:val="center"/>
          </w:tcPr>
          <w:p>
            <w:pPr>
              <w:spacing w:line="240" w:lineRule="exact"/>
              <w:jc w:val="center"/>
              <w:rPr>
                <w:rFonts w:ascii="仿宋_GB2312" w:hAnsi="宋体" w:eastAsia="仿宋_GB2312" w:cs="宋体"/>
                <w:kern w:val="0"/>
                <w:sz w:val="18"/>
                <w:szCs w:val="18"/>
              </w:rPr>
            </w:pP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指标3：日常办公效率</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提高</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提高</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4</w:t>
            </w:r>
          </w:p>
        </w:tc>
        <w:tc>
          <w:tcPr>
            <w:tcW w:w="690" w:type="pct"/>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eastAsia="仿宋_GB2312"/>
                <w:sz w:val="18"/>
                <w:szCs w:val="18"/>
              </w:rPr>
            </w:pPr>
            <w:r>
              <w:rPr>
                <w:rFonts w:hint="eastAsia" w:ascii="仿宋_GB2312" w:eastAsia="仿宋_GB2312"/>
                <w:sz w:val="18"/>
                <w:szCs w:val="18"/>
              </w:rPr>
              <w:t>办公效率大大提高，争取再提升一个级次</w:t>
            </w:r>
          </w:p>
        </w:tc>
      </w:tr>
      <w:tr>
        <w:tblPrEx>
          <w:tblCellMar>
            <w:top w:w="0" w:type="dxa"/>
            <w:left w:w="108" w:type="dxa"/>
            <w:bottom w:w="0" w:type="dxa"/>
            <w:right w:w="108" w:type="dxa"/>
          </w:tblCellMar>
        </w:tblPrEx>
        <w:trPr>
          <w:trHeight w:val="572"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612" w:type="pct"/>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指标4：检察工作效率</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提高</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提高</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5</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hint="eastAsia" w:ascii="仿宋_GB2312" w:eastAsia="仿宋_GB2312"/>
                <w:sz w:val="18"/>
                <w:szCs w:val="18"/>
              </w:rPr>
              <w:t>4</w:t>
            </w:r>
          </w:p>
        </w:tc>
        <w:tc>
          <w:tcPr>
            <w:tcW w:w="690" w:type="pct"/>
            <w:gridSpan w:val="2"/>
            <w:tcBorders>
              <w:top w:val="single" w:color="auto" w:sz="4" w:space="0"/>
              <w:left w:val="nil"/>
              <w:bottom w:val="single" w:color="auto" w:sz="4" w:space="0"/>
              <w:right w:val="single" w:color="auto" w:sz="4" w:space="0"/>
            </w:tcBorders>
          </w:tcPr>
          <w:p>
            <w:pPr>
              <w:widowControl/>
              <w:spacing w:line="240" w:lineRule="exact"/>
              <w:jc w:val="center"/>
              <w:rPr>
                <w:rFonts w:ascii="仿宋_GB2312" w:eastAsia="仿宋_GB2312"/>
                <w:sz w:val="18"/>
                <w:szCs w:val="18"/>
              </w:rPr>
            </w:pPr>
            <w:r>
              <w:rPr>
                <w:rFonts w:hint="eastAsia" w:ascii="仿宋_GB2312" w:eastAsia="仿宋_GB2312"/>
                <w:sz w:val="18"/>
                <w:szCs w:val="18"/>
              </w:rPr>
              <w:t>检查工作效率有待提升</w:t>
            </w:r>
          </w:p>
        </w:tc>
      </w:tr>
      <w:tr>
        <w:tblPrEx>
          <w:tblCellMar>
            <w:top w:w="0" w:type="dxa"/>
            <w:left w:w="108" w:type="dxa"/>
            <w:bottom w:w="0" w:type="dxa"/>
            <w:right w:w="108" w:type="dxa"/>
          </w:tblCellMar>
        </w:tblPrEx>
        <w:trPr>
          <w:trHeight w:val="1867" w:hRule="exact"/>
          <w:jc w:val="center"/>
        </w:trPr>
        <w:tc>
          <w:tcPr>
            <w:tcW w:w="239"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c>
          <w:tcPr>
            <w:tcW w:w="239"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指标</w:t>
            </w:r>
          </w:p>
        </w:tc>
        <w:tc>
          <w:tcPr>
            <w:tcW w:w="61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服务对象满意度标</w:t>
            </w:r>
          </w:p>
        </w:tc>
        <w:tc>
          <w:tcPr>
            <w:tcW w:w="1011" w:type="pct"/>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指标1：检察院工作人员满意度</w:t>
            </w:r>
          </w:p>
        </w:tc>
        <w:tc>
          <w:tcPr>
            <w:tcW w:w="887"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&gt;98%</w:t>
            </w:r>
          </w:p>
        </w:tc>
        <w:tc>
          <w:tcPr>
            <w:tcW w:w="642"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&gt;98%</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eastAsia="仿宋_GB2312"/>
                <w:sz w:val="18"/>
                <w:szCs w:val="18"/>
              </w:rPr>
            </w:pPr>
            <w:r>
              <w:rPr>
                <w:rFonts w:ascii="仿宋_GB2312" w:eastAsia="仿宋_GB2312"/>
                <w:sz w:val="18"/>
                <w:szCs w:val="18"/>
              </w:rPr>
              <w:t>10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eastAsia="仿宋_GB2312"/>
                <w:sz w:val="18"/>
                <w:szCs w:val="18"/>
                <w:lang w:eastAsia="zh-CN"/>
              </w:rPr>
            </w:pPr>
            <w:r>
              <w:rPr>
                <w:rFonts w:hint="eastAsia" w:ascii="仿宋_GB2312" w:eastAsia="仿宋_GB2312"/>
                <w:sz w:val="18"/>
                <w:szCs w:val="18"/>
                <w:lang w:val="en-US" w:eastAsia="zh-CN"/>
              </w:rPr>
              <w:t>9</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优化各系统运维服务，保障服务器响应时间，增强使用部门满意度</w:t>
            </w:r>
          </w:p>
        </w:tc>
      </w:tr>
      <w:tr>
        <w:tblPrEx>
          <w:tblCellMar>
            <w:top w:w="0" w:type="dxa"/>
            <w:left w:w="108" w:type="dxa"/>
            <w:bottom w:w="0" w:type="dxa"/>
            <w:right w:w="108" w:type="dxa"/>
          </w:tblCellMar>
        </w:tblPrEx>
        <w:trPr>
          <w:trHeight w:val="477" w:hRule="exact"/>
          <w:jc w:val="center"/>
        </w:trPr>
        <w:tc>
          <w:tcPr>
            <w:tcW w:w="3629" w:type="pct"/>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总分</w:t>
            </w:r>
          </w:p>
        </w:tc>
        <w:tc>
          <w:tcPr>
            <w:tcW w:w="294" w:type="pct"/>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100</w:t>
            </w:r>
          </w:p>
        </w:tc>
        <w:tc>
          <w:tcPr>
            <w:tcW w:w="386"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eastAsia="zh-CN"/>
              </w:rPr>
            </w:pPr>
            <w:r>
              <w:rPr>
                <w:rFonts w:hint="eastAsia" w:ascii="仿宋_GB2312" w:hAnsi="宋体" w:eastAsia="仿宋_GB2312" w:cs="宋体"/>
                <w:color w:val="000000"/>
                <w:kern w:val="0"/>
                <w:sz w:val="18"/>
                <w:szCs w:val="18"/>
              </w:rPr>
              <w:t>9</w:t>
            </w:r>
            <w:r>
              <w:rPr>
                <w:rFonts w:hint="eastAsia" w:ascii="仿宋_GB2312" w:hAnsi="宋体" w:eastAsia="仿宋_GB2312" w:cs="宋体"/>
                <w:color w:val="000000"/>
                <w:kern w:val="0"/>
                <w:sz w:val="18"/>
                <w:szCs w:val="18"/>
                <w:lang w:val="en-US" w:eastAsia="zh-CN"/>
              </w:rPr>
              <w:t>3</w:t>
            </w:r>
          </w:p>
        </w:tc>
        <w:tc>
          <w:tcPr>
            <w:tcW w:w="690" w:type="pct"/>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bl>
    <w:p>
      <w:pPr>
        <w:rPr>
          <w:rFonts w:ascii="仿宋_GB2312" w:eastAsia="仿宋_GB2312"/>
          <w:vanish/>
          <w:sz w:val="28"/>
          <w:szCs w:val="28"/>
        </w:rPr>
      </w:pP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填报注意事项：</w:t>
      </w:r>
    </w:p>
    <w:p>
      <w:pPr>
        <w:widowControl/>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1.得分一档最高不能超过该指标分值上限。</w:t>
      </w:r>
    </w:p>
    <w:p>
      <w:pPr>
        <w:widowControl/>
        <w:spacing w:line="520" w:lineRule="exact"/>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560" w:firstLineChars="200"/>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3.请在“偏差原因分析及改进措施”中说明偏离目标、不能完成目标的原因及拟采取的措施。</w:t>
      </w:r>
    </w:p>
    <w:p>
      <w:pPr>
        <w:spacing w:line="520" w:lineRule="exact"/>
        <w:ind w:firstLine="560" w:firstLineChars="200"/>
        <w:rPr>
          <w:sz w:val="28"/>
          <w:szCs w:val="28"/>
        </w:rPr>
      </w:pPr>
      <w:r>
        <w:rPr>
          <w:rFonts w:hint="eastAsia" w:ascii="仿宋_GB2312" w:hAnsi="宋体" w:eastAsia="仿宋_GB2312" w:cs="宋体"/>
          <w:color w:val="000000"/>
          <w:kern w:val="0"/>
          <w:sz w:val="28"/>
          <w:szCs w:val="28"/>
        </w:rPr>
        <w:t>4.90（含）-100分为优、80（含）-90分为良、60（含）-80分为中、60分以下为差。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1 -</w:t>
                    </w:r>
                    <w:r>
                      <w:rPr>
                        <w:rFonts w:ascii="宋体" w:hAnsi="宋体"/>
                        <w:sz w:val="28"/>
                        <w:szCs w:val="28"/>
                      </w:rPr>
                      <w:fldChar w:fldCharType="end"/>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5NTQ0ZDhlMDExMjFjODE1MTlkZTYyYjc3MzQxZDkifQ=="/>
  </w:docVars>
  <w:rsids>
    <w:rsidRoot w:val="F77F09F4"/>
    <w:rsid w:val="0004218B"/>
    <w:rsid w:val="000A28F4"/>
    <w:rsid w:val="005B7D9C"/>
    <w:rsid w:val="00694F5C"/>
    <w:rsid w:val="007A1721"/>
    <w:rsid w:val="007D46C2"/>
    <w:rsid w:val="00942F07"/>
    <w:rsid w:val="00A45185"/>
    <w:rsid w:val="00B1629C"/>
    <w:rsid w:val="00B22E7A"/>
    <w:rsid w:val="00B46C88"/>
    <w:rsid w:val="00BD6397"/>
    <w:rsid w:val="00C05079"/>
    <w:rsid w:val="00C13E68"/>
    <w:rsid w:val="00CC0445"/>
    <w:rsid w:val="00D330EA"/>
    <w:rsid w:val="00E26B34"/>
    <w:rsid w:val="00FB6202"/>
    <w:rsid w:val="00FC6D37"/>
    <w:rsid w:val="076A68B5"/>
    <w:rsid w:val="08B84ACC"/>
    <w:rsid w:val="0B6F4B65"/>
    <w:rsid w:val="0C85560D"/>
    <w:rsid w:val="0ECF9C51"/>
    <w:rsid w:val="1F63358C"/>
    <w:rsid w:val="303A20E7"/>
    <w:rsid w:val="37173543"/>
    <w:rsid w:val="38FF1CED"/>
    <w:rsid w:val="39DA0497"/>
    <w:rsid w:val="3FF76880"/>
    <w:rsid w:val="4EFE2AB3"/>
    <w:rsid w:val="5B6854AA"/>
    <w:rsid w:val="7AB7FF50"/>
    <w:rsid w:val="7BFEB0DB"/>
    <w:rsid w:val="7FFF3306"/>
    <w:rsid w:val="C36F37B1"/>
    <w:rsid w:val="CEFD3F3D"/>
    <w:rsid w:val="EA3F77F2"/>
    <w:rsid w:val="EEFE5989"/>
    <w:rsid w:val="EFCF3EAE"/>
    <w:rsid w:val="F5B764A2"/>
    <w:rsid w:val="F77F09F4"/>
    <w:rsid w:val="FFD7B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2"/>
    <w:uiPriority w:val="0"/>
    <w:pPr>
      <w:jc w:val="left"/>
    </w:pPr>
  </w:style>
  <w:style w:type="paragraph" w:styleId="4">
    <w:name w:val="footer"/>
    <w:basedOn w:val="1"/>
    <w:qFormat/>
    <w:uiPriority w:val="99"/>
    <w:pPr>
      <w:tabs>
        <w:tab w:val="center" w:pos="4153"/>
        <w:tab w:val="right" w:pos="8306"/>
      </w:tabs>
      <w:snapToGrid w:val="0"/>
      <w:jc w:val="left"/>
    </w:pPr>
    <w:rPr>
      <w:sz w:val="18"/>
      <w:szCs w:val="20"/>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3"/>
    <w:next w:val="3"/>
    <w:link w:val="13"/>
    <w:uiPriority w:val="0"/>
    <w:rPr>
      <w:b/>
      <w:bCs/>
    </w:rPr>
  </w:style>
  <w:style w:type="character" w:styleId="9">
    <w:name w:val="page number"/>
    <w:basedOn w:val="8"/>
    <w:qFormat/>
    <w:uiPriority w:val="0"/>
  </w:style>
  <w:style w:type="character" w:styleId="10">
    <w:name w:val="annotation reference"/>
    <w:basedOn w:val="8"/>
    <w:uiPriority w:val="0"/>
    <w:rPr>
      <w:sz w:val="21"/>
      <w:szCs w:val="21"/>
    </w:rPr>
  </w:style>
  <w:style w:type="paragraph" w:customStyle="1" w:styleId="11">
    <w:name w:val="列出段落1"/>
    <w:basedOn w:val="1"/>
    <w:qFormat/>
    <w:uiPriority w:val="34"/>
    <w:pPr>
      <w:ind w:firstLine="420" w:firstLineChars="200"/>
    </w:pPr>
    <w:rPr>
      <w:rFonts w:ascii="Calibri" w:hAnsi="Calibri" w:cs="黑体"/>
      <w:szCs w:val="22"/>
    </w:rPr>
  </w:style>
  <w:style w:type="character" w:customStyle="1" w:styleId="12">
    <w:name w:val="批注文字 字符"/>
    <w:basedOn w:val="8"/>
    <w:link w:val="3"/>
    <w:uiPriority w:val="0"/>
    <w:rPr>
      <w:rFonts w:ascii="Times New Roman" w:hAnsi="Times New Roman" w:eastAsia="宋体" w:cs="Times New Roman"/>
      <w:kern w:val="2"/>
      <w:sz w:val="21"/>
      <w:szCs w:val="24"/>
    </w:rPr>
  </w:style>
  <w:style w:type="character" w:customStyle="1" w:styleId="13">
    <w:name w:val="批注主题 字符"/>
    <w:basedOn w:val="12"/>
    <w:link w:val="6"/>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1269</Words>
  <Characters>1418</Characters>
  <Lines>11</Lines>
  <Paragraphs>3</Paragraphs>
  <TotalTime>19</TotalTime>
  <ScaleCrop>false</ScaleCrop>
  <LinksUpToDate>false</LinksUpToDate>
  <CharactersWithSpaces>1455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2023-05-17T09:03:00Z</dcterms:created>
  <dc:creator>user</dc:creator>
  <cp:lastModifiedBy>zhongyi</cp:lastModifiedBy>
  <dcterms:modified xsi:type="dcterms:W3CDTF">2023-05-18T02:19:16Z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53633FC43F23400CB7B2CDE3CF45AC49_12</vt:lpwstr>
  </property>
</Properties>
</file>