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九三学社北京市委</w:t>
      </w:r>
      <w:bookmarkStart w:id="1" w:name="_GoBack"/>
      <w:bookmarkEnd w:id="1"/>
      <w:r>
        <w:rPr>
          <w:rFonts w:hint="eastAsia" w:ascii="方正小标宋简体" w:eastAsia="方正小标宋简体"/>
          <w:sz w:val="44"/>
          <w:szCs w:val="44"/>
        </w:rPr>
        <w:t>员会</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整体绩效评价报告</w:t>
      </w:r>
    </w:p>
    <w:p>
      <w:pPr>
        <w:jc w:val="center"/>
        <w:rPr>
          <w:rFonts w:ascii="仿宋_GB2312"/>
          <w:sz w:val="44"/>
          <w:szCs w:val="44"/>
        </w:rPr>
      </w:pPr>
    </w:p>
    <w:p>
      <w:pPr>
        <w:spacing w:beforeLines="0" w:afterLines="0"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beforeLines="0" w:afterLines="0" w:line="56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spacing w:beforeLines="0" w:afterLines="0" w:line="560" w:lineRule="exact"/>
        <w:ind w:firstLine="640" w:firstLineChars="200"/>
        <w:rPr>
          <w:rFonts w:ascii="仿宋" w:hAnsi="仿宋" w:eastAsia="仿宋"/>
          <w:sz w:val="32"/>
          <w:szCs w:val="32"/>
        </w:rPr>
      </w:pPr>
      <w:r>
        <w:rPr>
          <w:rFonts w:hint="eastAsia" w:ascii="仿宋" w:hAnsi="仿宋" w:eastAsia="仿宋"/>
          <w:sz w:val="32"/>
          <w:szCs w:val="32"/>
        </w:rPr>
        <w:t>九三学社北京市委员会属全额拨款的行政单位。财政预算级次为市本级，无基层单位。经市编办核定批准，我单位设有4部1室，包括：参政议政部、宣传研究部、组织部、社会工作部、办公室。</w:t>
      </w:r>
    </w:p>
    <w:p>
      <w:pPr>
        <w:spacing w:beforeLines="0" w:afterLines="0" w:line="560" w:lineRule="exact"/>
        <w:ind w:firstLine="640" w:firstLineChars="200"/>
        <w:rPr>
          <w:rFonts w:ascii="仿宋" w:hAnsi="仿宋" w:eastAsia="仿宋"/>
          <w:sz w:val="32"/>
          <w:szCs w:val="32"/>
        </w:rPr>
      </w:pPr>
      <w:r>
        <w:rPr>
          <w:rFonts w:hint="eastAsia" w:ascii="仿宋" w:hAnsi="仿宋" w:eastAsia="仿宋"/>
          <w:sz w:val="32"/>
          <w:szCs w:val="32"/>
        </w:rPr>
        <w:t>主要职能为：九三学社是以科学技术界高</w:t>
      </w:r>
      <w:r>
        <w:rPr>
          <w:rFonts w:hint="eastAsia" w:ascii="仿宋" w:hAnsi="仿宋" w:eastAsia="仿宋"/>
          <w:sz w:val="32"/>
          <w:szCs w:val="32"/>
          <w:lang w:eastAsia="zh-CN"/>
        </w:rPr>
        <w:t>、</w:t>
      </w:r>
      <w:r>
        <w:rPr>
          <w:rFonts w:hint="eastAsia" w:ascii="仿宋" w:hAnsi="仿宋" w:eastAsia="仿宋"/>
          <w:sz w:val="32"/>
          <w:szCs w:val="32"/>
        </w:rPr>
        <w:t>中级知识分子为主的具有政治联盟</w:t>
      </w:r>
      <w:r>
        <w:rPr>
          <w:rFonts w:hint="eastAsia" w:ascii="仿宋" w:hAnsi="仿宋" w:eastAsia="仿宋"/>
          <w:sz w:val="32"/>
          <w:szCs w:val="32"/>
          <w:lang w:eastAsia="zh-CN"/>
        </w:rPr>
        <w:t>特点</w:t>
      </w:r>
      <w:r>
        <w:rPr>
          <w:rFonts w:hint="eastAsia" w:ascii="仿宋" w:hAnsi="仿宋" w:eastAsia="仿宋"/>
          <w:sz w:val="32"/>
          <w:szCs w:val="32"/>
        </w:rPr>
        <w:t>的政党</w:t>
      </w:r>
      <w:r>
        <w:rPr>
          <w:rFonts w:hint="eastAsia" w:ascii="仿宋" w:hAnsi="仿宋" w:eastAsia="仿宋"/>
          <w:sz w:val="32"/>
          <w:szCs w:val="32"/>
          <w:lang w:eastAsia="zh-CN"/>
        </w:rPr>
        <w:t>，</w:t>
      </w:r>
      <w:r>
        <w:rPr>
          <w:rFonts w:hint="eastAsia" w:ascii="仿宋" w:hAnsi="仿宋" w:eastAsia="仿宋"/>
          <w:sz w:val="32"/>
          <w:szCs w:val="32"/>
        </w:rPr>
        <w:t>是接受中国共产党领导、同中国共产党通力合作</w:t>
      </w:r>
      <w:r>
        <w:rPr>
          <w:rFonts w:hint="eastAsia" w:ascii="仿宋" w:hAnsi="仿宋" w:eastAsia="仿宋"/>
          <w:sz w:val="32"/>
          <w:szCs w:val="32"/>
          <w:lang w:eastAsia="zh-CN"/>
        </w:rPr>
        <w:t>的亲密友党，是</w:t>
      </w:r>
      <w:r>
        <w:rPr>
          <w:rFonts w:hint="eastAsia" w:ascii="仿宋" w:hAnsi="仿宋" w:eastAsia="仿宋"/>
          <w:sz w:val="32"/>
          <w:szCs w:val="32"/>
        </w:rPr>
        <w:t>中国特色社会主义参政党。</w:t>
      </w:r>
    </w:p>
    <w:p>
      <w:pPr>
        <w:numPr>
          <w:ilvl w:val="0"/>
          <w:numId w:val="1"/>
        </w:numPr>
        <w:spacing w:beforeLines="0" w:afterLines="0" w:line="56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部门整体绩效目标设立情况（包括绩效目标设立依据、目标</w:t>
      </w:r>
      <w:r>
        <w:rPr>
          <w:rFonts w:ascii="楷体_GB2312" w:eastAsia="楷体_GB2312"/>
          <w:sz w:val="32"/>
          <w:szCs w:val="32"/>
        </w:rPr>
        <w:t>与</w:t>
      </w:r>
      <w:r>
        <w:rPr>
          <w:rFonts w:hint="eastAsia" w:ascii="楷体_GB2312" w:eastAsia="楷体_GB2312"/>
          <w:sz w:val="32"/>
          <w:szCs w:val="32"/>
        </w:rPr>
        <w:t>职责任务匹配情况、目标合理性等）。</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2022年是中国共产党第二十次全国代表大会胜利召开之年，是实施“十四五”规划关键之年，也是九三学社中央和各省级组织政治交接、薪火相传的换届之年。九三学社北京市委认真筹划财政资金使用分配计划，编制《2022年部门整体支出绩效目标申报表》，明确了部门总体绩效目标：中国特色社会主义已经进入了新时代，参政党建设面临新的历史机遇和时代要求。2022年，九三学社北京市委在社中央和中共北京市委的领导下，切实履行好参政党职能，建设高素质新时代中国特色社会主义参政党。自觉做中国共产党的好参谋、好帮手、好同事，增强“四个意识”、坚定“四个自信”、做到“两个维护”，发挥专业优势，凝聚群体智慧，为将首都建设成为国际一流的和谐宜居之都做出贡献。</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根据总体目标并结合2022年工作重点，</w:t>
      </w:r>
      <w:r>
        <w:rPr>
          <w:rFonts w:hint="eastAsia" w:ascii="仿宋" w:hAnsi="仿宋" w:eastAsia="仿宋"/>
          <w:sz w:val="32"/>
          <w:szCs w:val="32"/>
        </w:rPr>
        <w:t>在</w:t>
      </w:r>
      <w:r>
        <w:rPr>
          <w:rFonts w:hint="eastAsia" w:ascii="仿宋" w:hAnsi="仿宋" w:eastAsia="仿宋"/>
          <w:sz w:val="32"/>
          <w:szCs w:val="32"/>
          <w:lang w:eastAsia="zh-CN"/>
        </w:rPr>
        <w:t>换届工作、</w:t>
      </w:r>
      <w:r>
        <w:rPr>
          <w:rFonts w:hint="eastAsia" w:ascii="仿宋" w:hAnsi="仿宋" w:eastAsia="仿宋"/>
          <w:sz w:val="32"/>
          <w:szCs w:val="32"/>
        </w:rPr>
        <w:t>参政议政、组织建设、宣传研究、社会服务工作以及社务工作等方面分别开展工作，</w:t>
      </w:r>
      <w:r>
        <w:rPr>
          <w:rFonts w:hint="eastAsia" w:ascii="仿宋" w:hAnsi="仿宋" w:eastAsia="仿宋"/>
          <w:sz w:val="32"/>
          <w:szCs w:val="32"/>
          <w:lang w:val="en-US" w:eastAsia="zh-CN"/>
        </w:rPr>
        <w:t>共设定了10个绩效指标，指标设定与九三学社北京市委职能定位、发展规划和工作计划相匹配，能够清晰反映具体要求和实现成果，符合相关法律法规的要求及部门整体支出的客观实际，目标依据充分，具有一定的可操作性和可实现性。</w:t>
      </w:r>
    </w:p>
    <w:p>
      <w:pPr>
        <w:spacing w:beforeLines="0" w:afterLines="0"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2022年全年预算数1646.43万元，其中，基本支出预算数1354.76万元，项目支出预算数291.66万元，其他支出预算数0.00万元。资金总体支出1590.79万元，其中，基本支出1341.72万元，项目支出249.07万元。预算执行率为96.62%。</w:t>
      </w:r>
    </w:p>
    <w:p>
      <w:pPr>
        <w:spacing w:beforeLines="0" w:afterLines="0"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2022年，在九三学社中央和中共北京市委领导下，在中共市委统战部指导下，社北京市委全面学习贯彻中共十九届历次全会、中共二十大、九三学社十二大、中共北京市第十三次党代会精神，深刻理解和把握习近平新时代中国特色社会主义思想，认真贯彻落实《中国共产党统一战线工作条例》和关于加强中国特色社会主义参政党建设系列文件精神，大力弘扬爱国、民主、科学优良传统，紧扣贯彻新发展理念、推进高质量发展、构建新发展格局的实践要求，助力北京冬奥会和冬残奥会顺利举办，持续助力常态化疫情防控工作，深入开展“矢志不渝跟党走 携手奋进新时代”政治交接主题教育，顺利完成社北京市委换届工作，出色履行参政党职能，为新时代首都发展作出新贡献。</w:t>
      </w:r>
    </w:p>
    <w:p>
      <w:pPr>
        <w:spacing w:beforeLines="0" w:afterLines="0"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beforeLines="0" w:afterLines="0" w:line="560" w:lineRule="exact"/>
        <w:ind w:firstLine="640" w:firstLineChars="20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1.产出数量</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按照社中央和中共北京市委部署要求，九三学社北京市委开展学习宣传贯彻中共二十大精神相关工作，累计开展各类学习活动80余次，撰写心得体会130余篇，在全社范围迅速兴起学习宣传贯彻热潮，使中共二十大精神深入人心。</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2022年完成社北京市委换届工作的同时，38个基层组织也顺利完成换届。全年新建支社5个，目前全市共有支社277个。社员数量稳步增加，继续保持较高层次、体现界别特色。2022年共发展社员488人，平均年龄39.2岁。</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参政议政工作中以助推国家和首都高质量发展为目标，围绕经济发展难点，社会改革的热点问题，深入调查研究，强化“党派+”调研模式，邀请政府部门、社会智库参加调研活动28次；共完成调研课题50项，组织召开议政会、课题调研座谈会18次，提交社中央作为全国政协大会发言和提案8项，提交市政协全会党派提案和大会发言12项，提交中共市委统战部参评优秀调研成果10项。充分发挥科技优势，围绕经济社会发展中的重大问题，向中共北京市委报送建言专报、调研报告和建议314份，向中央统战部及国家有关部委报送建议22份。</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立足科技优势，着力强化专项民主监督制度建设，构建“1+N”监督调研工作模式，共有来自16个基层组织的50余位社员积极参与其中。先后召开调研座谈会、工作研讨会、工作培训会6次，完成3篇监督分报告。2022年19名九三界别特约人员全年共参与监督活动34次，提出政策建议33项。</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坚持“科技强国、科普惠民”的职责使命，坚持开展形式丰富的科普活动。鼓励各级社组织举办“小科学大梦想”“健康益起来”“海馨健康小屋”等科普活动共计10余场。</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深化“九广合作”，协助四川省广元市苍溪县人民医院医生赴广安门中医院进修，联合朝阳医院组织线上医疗帮扶4次，支持北京市昌平区育新学校、贵州兴义八小课程建设，开展师生交流培训300余人次。</w:t>
      </w:r>
    </w:p>
    <w:p>
      <w:pPr>
        <w:pStyle w:val="8"/>
        <w:spacing w:beforeLines="0" w:afterLines="0" w:line="560" w:lineRule="exact"/>
        <w:ind w:firstLine="640" w:firstLineChars="200"/>
        <w:rPr>
          <w:rFonts w:hint="eastAsia"/>
        </w:rPr>
      </w:pPr>
      <w:r>
        <w:rPr>
          <w:rFonts w:hint="eastAsia" w:ascii="仿宋" w:hAnsi="仿宋" w:eastAsia="仿宋"/>
          <w:sz w:val="32"/>
          <w:szCs w:val="32"/>
          <w:lang w:val="en-US" w:eastAsia="zh-CN"/>
        </w:rPr>
        <w:t>北京冬奥会冬残奥会举办期间，共组织社员和机关干部260人次，参加18场次观赛活动及开闭幕式，派出2名机关干部参与冬奥保障专班工作。</w:t>
      </w:r>
    </w:p>
    <w:p>
      <w:pPr>
        <w:spacing w:beforeLines="0" w:afterLines="0"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2022年，社北京市委以助推国家和首都高质量发展为目标，深入开展参政议政工作，发挥科技优势，调研成果显著。3篇建言材料分别被选作2022年全国政协大会发言、社中央名义提案和界别提案。社情民意信息被中央统战部《零讯》、九三学社中央、北京市政协、中共市委统战部等采用226篇，获得中央和北京市领导批示13篇，在各信息系统排名均位居前列。</w:t>
      </w:r>
    </w:p>
    <w:p>
      <w:pPr>
        <w:adjustRightInd w:val="0"/>
        <w:snapToGrid w:val="0"/>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在全国政协专题协商会、北京市政协主席会上，刘忠范主委所作“深入实施新时代人才强国战略”“关于中关村建设世界领先的科技园区和创新高地的建议”的发言，荣获第十三届全国政协优秀提案奖，被全国政协、中央统战部采用并报送中共中央领导。向市政协提交党派提案6件、九三界别提案2件，其中，《关于首都北京加快布局“硬科技”的战略价值与对策的提案》等3件提案被评为优秀提案。在市政协和中共市委统战部联合召开的议政会上，分别作“打造‘博物馆型城市’北京示范”“以拓展‘三京’抗疫能力、多元主体高效联动、提高全民韧性意识和防灾自救能力”的党派发言，得到中共北京市委、市政府领导高度肯定。</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在李克强总理主持召开的教科文卫体界人士和基层群众代表座谈会上，刘忠范主委所作“固本强基，夯实科技自立自强根基”的发言得到高度肯定。针对《北京市政府工作报告》《中国共产党北京市第十三次代表大会报告》等开展高层协商，提出26条建议，其中“发挥首都优势推动国家科技创新平台建设”等建议得到北京市领导的高度重视。围绕“强化首都战略科技力量，推动北京国际科技创新中心建设”课题，召开调研座谈会6次，赴昌平、怀柔等多地进行实地调研，形成《创新布局 系统规划 着力打造北京国际科创生态体系》《关于中关村建设世界领先的科技园区和创新高地的建议》等议政建言成果，得到中共北京市委领导高度评价，并由市发改委、市科委等部门研究落实。</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全社广大社员以习近平新时代中国特色社会主义思想为指导，积极投身社会主义现代化建设，立足本职，双岗建工，展现了新时代九三社员爱国敬业、无私奉献的优秀品质和精神风貌，2022年，5名北京籍社员被社中央授予“九三楷模”荣誉称号，社北京市委制作相关宣传片，进行系列报道，弘扬九三正能量。</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积极参加中共市委统战部举办的“共话百年统战”党的统一战线政策提出100周年理论研讨会，刘忠范主委代表北京市民主党派发言，2名社员的文章获得优秀论文奖。中标社中央、北京统战理论研究基地课题，提交研究报告3篇。</w:t>
      </w:r>
    </w:p>
    <w:p>
      <w:pPr>
        <w:spacing w:beforeLines="0" w:afterLines="0"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2022年九三学社北京市委</w:t>
      </w:r>
      <w:r>
        <w:rPr>
          <w:rFonts w:hint="eastAsia" w:ascii="仿宋_GB2312" w:hAnsi="宋体" w:eastAsia="仿宋_GB2312" w:cs="宋体"/>
          <w:color w:val="000000"/>
          <w:kern w:val="0"/>
          <w:sz w:val="32"/>
          <w:szCs w:val="32"/>
        </w:rPr>
        <w:t>重点工作及重点项目能够按照预期计划序时推进，并在年底达成预期目标。</w:t>
      </w:r>
      <w:r>
        <w:rPr>
          <w:rFonts w:hint="eastAsia" w:ascii="仿宋" w:hAnsi="仿宋" w:eastAsia="仿宋"/>
          <w:sz w:val="32"/>
          <w:szCs w:val="32"/>
          <w:lang w:val="en-US" w:eastAsia="zh-CN"/>
        </w:rPr>
        <w:t>预算执行过程受到疫情的影响，有些不均衡，但是全年执行情况能够达到进度要求，到2022年12月31日止，已全部完成项目各项预算工作任务。</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4.产出成本</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2022年实际支出1590.79万元，其中基本经费1341.72万元，项目经费249.07万元。基本经费中人员经费1242.22万元，公用经费99.50万元；项目经费共有10个项目，分别为：九三学社社会服务工作经费支出34.62万元，九三学社组织建设工作经费7.49万元，九三学社参政议政工作经费24.98万元，基层组织工作经费31.77万元，联络业务经费36.13万元，宣传研究工作经费支出29.63万元，专项民主监督经费支出2.50万元，换届经费支出58.96万元，办公设备购置类项目支出9.98万元，九三学社组织建设工作经费支出13.00万元。</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（二）效果实现情况分析</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1.经济效益</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2022年九三学社北京市委组织发动社员参加援港抗疫、援沪抗疫、同心抗疫活动，共捐赠抗原试剂检测盒、N95口罩、防护服等物资共计2000余万元。</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Times New Roman" w:eastAsia="仿宋" w:cs="仿宋"/>
          <w:kern w:val="0"/>
          <w:sz w:val="32"/>
          <w:szCs w:val="32"/>
          <w:highlight w:val="none"/>
          <w:lang w:val="en-US" w:eastAsia="zh-CN" w:bidi="ar-SA"/>
        </w:rPr>
        <w:t>发挥科技助农示范小院的作用，通过密云区院士专家服务站、顺义区和昌平区“科技助农示范小院”，推广数字农业、机械化种植、无人机植保，不断提升农业生产效率。赋予“三谷一棚”新内涵，开展种养循环试点、提高</w:t>
      </w:r>
      <w:r>
        <w:rPr>
          <w:rFonts w:hint="eastAsia" w:ascii="仿宋" w:hAnsi="Times New Roman" w:eastAsia="仿宋" w:cs="仿宋"/>
          <w:kern w:val="0"/>
          <w:sz w:val="32"/>
          <w:szCs w:val="32"/>
          <w:highlight w:val="none"/>
          <w:lang w:val="en-US" w:eastAsia="zh-CN"/>
        </w:rPr>
        <w:t>农业</w:t>
      </w:r>
      <w:r>
        <w:rPr>
          <w:rFonts w:hint="eastAsia" w:ascii="仿宋" w:hAnsi="Times New Roman" w:eastAsia="仿宋" w:cs="仿宋"/>
          <w:kern w:val="0"/>
          <w:sz w:val="32"/>
          <w:szCs w:val="32"/>
          <w:highlight w:val="none"/>
          <w:lang w:val="en-US" w:eastAsia="zh-CN" w:bidi="ar-SA"/>
        </w:rPr>
        <w:t>标准化水平，打造特色农产品品牌</w:t>
      </w:r>
      <w:r>
        <w:rPr>
          <w:rFonts w:hint="eastAsia" w:ascii="仿宋" w:eastAsia="仿宋" w:cs="仿宋"/>
          <w:kern w:val="0"/>
          <w:sz w:val="32"/>
          <w:szCs w:val="32"/>
          <w:highlight w:val="none"/>
          <w:lang w:val="en-US" w:eastAsia="zh-CN" w:bidi="ar-SA"/>
        </w:rPr>
        <w:t>，促进重点帮扶村农民增收</w:t>
      </w:r>
      <w:r>
        <w:rPr>
          <w:rFonts w:hint="eastAsia" w:ascii="仿宋" w:hAnsi="Times New Roman" w:eastAsia="仿宋" w:cs="仿宋"/>
          <w:kern w:val="0"/>
          <w:sz w:val="32"/>
          <w:szCs w:val="32"/>
          <w:highlight w:val="none"/>
          <w:lang w:val="en-US" w:eastAsia="zh-CN" w:bidi="ar-SA"/>
        </w:rPr>
        <w:t>。</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2.社会效益</w:t>
      </w:r>
    </w:p>
    <w:p>
      <w:pPr>
        <w:spacing w:beforeLines="0" w:afterLines="0" w:line="560" w:lineRule="exact"/>
        <w:ind w:firstLine="640" w:firstLineChars="200"/>
        <w:rPr>
          <w:rFonts w:hint="eastAsia" w:ascii="仿宋" w:hAnsi="Times New Roman" w:eastAsia="仿宋" w:cs="仿宋"/>
          <w:kern w:val="0"/>
          <w:sz w:val="32"/>
          <w:szCs w:val="32"/>
          <w:highlight w:val="none"/>
        </w:rPr>
      </w:pPr>
      <w:r>
        <w:rPr>
          <w:rFonts w:hint="eastAsia" w:ascii="仿宋" w:eastAsia="仿宋" w:cs="仿宋"/>
          <w:kern w:val="0"/>
          <w:sz w:val="32"/>
          <w:szCs w:val="32"/>
          <w:highlight w:val="none"/>
          <w:lang w:val="en-US" w:eastAsia="zh-CN"/>
        </w:rPr>
        <w:t>九三学社北京市委</w:t>
      </w:r>
      <w:r>
        <w:rPr>
          <w:rFonts w:hint="eastAsia" w:ascii="仿宋" w:eastAsia="仿宋" w:cs="仿宋"/>
          <w:kern w:val="0"/>
          <w:sz w:val="32"/>
          <w:szCs w:val="32"/>
          <w:highlight w:val="none"/>
        </w:rPr>
        <w:t>坚持开展形式丰富的科普活动。持续办好“科普中国——科学大咖面对面”科普品牌，邀请于贵瑞院士在中央财经大学进行科普讲座，讲座通过线上线下多渠道传播，受众约</w:t>
      </w:r>
      <w:r>
        <w:rPr>
          <w:rFonts w:hint="eastAsia" w:ascii="仿宋" w:hAnsi="Times New Roman" w:eastAsia="仿宋" w:cs="仿宋"/>
          <w:kern w:val="0"/>
          <w:sz w:val="32"/>
          <w:szCs w:val="32"/>
          <w:highlight w:val="none"/>
        </w:rPr>
        <w:t>31万人。</w:t>
      </w:r>
    </w:p>
    <w:p>
      <w:pPr>
        <w:spacing w:beforeLines="0" w:afterLines="0" w:line="560" w:lineRule="exact"/>
        <w:ind w:firstLine="640" w:firstLineChars="200"/>
        <w:rPr>
          <w:rFonts w:hint="eastAsia" w:ascii="仿宋" w:hAnsi="Times New Roman" w:eastAsia="仿宋" w:cs="仿宋"/>
          <w:kern w:val="0"/>
          <w:sz w:val="32"/>
          <w:szCs w:val="32"/>
          <w:highlight w:val="none"/>
          <w:lang w:val="en-US" w:eastAsia="zh-CN" w:bidi="ar-SA"/>
        </w:rPr>
      </w:pPr>
      <w:r>
        <w:rPr>
          <w:rFonts w:hint="eastAsia" w:ascii="仿宋" w:hAnsi="Times New Roman" w:eastAsia="仿宋" w:cs="仿宋"/>
          <w:kern w:val="0"/>
          <w:sz w:val="32"/>
          <w:szCs w:val="32"/>
          <w:highlight w:val="none"/>
          <w:lang w:val="en-US" w:eastAsia="zh-CN"/>
        </w:rPr>
        <w:t>开展科技助农，服务乡村振兴建设。持续开展“名医工作室”“社区医生”等</w:t>
      </w:r>
      <w:r>
        <w:rPr>
          <w:rFonts w:hint="eastAsia" w:ascii="仿宋" w:eastAsia="仿宋" w:cs="仿宋"/>
          <w:kern w:val="0"/>
          <w:sz w:val="32"/>
          <w:szCs w:val="32"/>
          <w:highlight w:val="none"/>
          <w:lang w:val="en-US" w:eastAsia="zh-CN"/>
        </w:rPr>
        <w:t>品牌</w:t>
      </w:r>
      <w:r>
        <w:rPr>
          <w:rFonts w:hint="eastAsia" w:ascii="仿宋" w:hAnsi="Times New Roman" w:eastAsia="仿宋" w:cs="仿宋"/>
          <w:kern w:val="0"/>
          <w:sz w:val="32"/>
          <w:szCs w:val="32"/>
          <w:highlight w:val="none"/>
          <w:lang w:val="en-US" w:eastAsia="zh-CN"/>
        </w:rPr>
        <w:t>工作，30余位社员先后在门头沟区基层医院</w:t>
      </w:r>
      <w:r>
        <w:rPr>
          <w:rFonts w:hint="eastAsia" w:ascii="仿宋" w:hAnsi="Times New Roman" w:eastAsia="仿宋" w:cs="仿宋"/>
          <w:kern w:val="0"/>
          <w:sz w:val="32"/>
          <w:szCs w:val="32"/>
          <w:highlight w:val="none"/>
          <w:lang w:val="en-US" w:eastAsia="zh-CN" w:bidi="ar-SA"/>
        </w:rPr>
        <w:t>出诊带教，培训基层医疗工作者260余人，受益群众800余人。开展“特需儿童教育”项目，向教师、特需</w:t>
      </w:r>
      <w:r>
        <w:rPr>
          <w:rFonts w:hint="eastAsia" w:ascii="仿宋" w:eastAsia="仿宋" w:cs="仿宋"/>
          <w:kern w:val="0"/>
          <w:sz w:val="32"/>
          <w:szCs w:val="32"/>
          <w:highlight w:val="none"/>
          <w:lang w:val="en-US" w:eastAsia="zh-CN" w:bidi="ar-SA"/>
        </w:rPr>
        <w:t>儿童</w:t>
      </w:r>
      <w:r>
        <w:rPr>
          <w:rFonts w:hint="eastAsia" w:ascii="仿宋" w:hAnsi="Times New Roman" w:eastAsia="仿宋" w:cs="仿宋"/>
          <w:kern w:val="0"/>
          <w:sz w:val="32"/>
          <w:szCs w:val="32"/>
          <w:highlight w:val="none"/>
          <w:lang w:val="en-US" w:eastAsia="zh-CN" w:bidi="ar-SA"/>
        </w:rPr>
        <w:t>等提供咨询服务200余人次。</w:t>
      </w:r>
    </w:p>
    <w:p>
      <w:pPr>
        <w:spacing w:beforeLines="0" w:afterLines="0" w:line="560" w:lineRule="exact"/>
        <w:ind w:firstLine="640" w:firstLineChars="200"/>
        <w:rPr>
          <w:rFonts w:hint="default" w:ascii="仿宋" w:hAnsi="Times New Roman" w:eastAsia="仿宋" w:cs="仿宋"/>
          <w:kern w:val="0"/>
          <w:sz w:val="32"/>
          <w:szCs w:val="32"/>
          <w:highlight w:val="none"/>
          <w:lang w:val="en-US" w:eastAsia="zh-CN" w:bidi="ar-SA"/>
        </w:rPr>
      </w:pPr>
      <w:r>
        <w:rPr>
          <w:rFonts w:hint="eastAsia" w:ascii="仿宋" w:eastAsia="仿宋" w:cs="仿宋"/>
          <w:kern w:val="0"/>
          <w:sz w:val="32"/>
          <w:szCs w:val="32"/>
        </w:rPr>
        <w:t>聚焦未来科学城发展，持续深化昌平区未来科学城专项民主监督工作，所提出的建议得到了昌平区委区政府的高度认同，并全部以信息形式报送中共北京市委，进一步实现了为未来科学城发展出真招、献良策的工作目标。</w:t>
      </w:r>
    </w:p>
    <w:p>
      <w:pPr>
        <w:spacing w:beforeLines="0" w:afterLines="0" w:line="56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beforeLines="0" w:afterLines="0"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 w:hAnsi="Times New Roman" w:eastAsia="仿宋" w:cs="仿宋"/>
          <w:kern w:val="0"/>
          <w:sz w:val="32"/>
          <w:szCs w:val="32"/>
          <w:highlight w:val="none"/>
          <w:lang w:val="en-US" w:eastAsia="zh-CN" w:bidi="ar-SA"/>
        </w:rPr>
        <w:t>指导农民科学施药用肥，减少环境污染，助力国际生态</w:t>
      </w:r>
      <w:r>
        <w:rPr>
          <w:rFonts w:hint="eastAsia" w:ascii="仿宋" w:eastAsia="仿宋" w:cs="仿宋"/>
          <w:kern w:val="0"/>
          <w:sz w:val="32"/>
          <w:szCs w:val="32"/>
          <w:highlight w:val="none"/>
          <w:lang w:val="en-US" w:eastAsia="zh-CN" w:bidi="ar-SA"/>
        </w:rPr>
        <w:t>环境</w:t>
      </w:r>
      <w:r>
        <w:rPr>
          <w:rFonts w:hint="eastAsia" w:ascii="仿宋" w:hAnsi="Times New Roman" w:eastAsia="仿宋" w:cs="仿宋"/>
          <w:kern w:val="0"/>
          <w:sz w:val="32"/>
          <w:szCs w:val="32"/>
          <w:highlight w:val="none"/>
          <w:lang w:val="en-US" w:eastAsia="zh-CN" w:bidi="ar-SA"/>
        </w:rPr>
        <w:t>。</w:t>
      </w:r>
    </w:p>
    <w:p>
      <w:pPr>
        <w:numPr>
          <w:numId w:val="0"/>
        </w:numPr>
        <w:spacing w:beforeLines="0" w:afterLines="0" w:line="560" w:lineRule="exact"/>
        <w:ind w:left="420" w:leftChars="200" w:firstLine="217" w:firstLineChars="68"/>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可持续</w:t>
      </w:r>
      <w:r>
        <w:rPr>
          <w:rFonts w:ascii="仿宋_GB2312" w:hAnsi="宋体" w:eastAsia="仿宋_GB2312" w:cs="宋体"/>
          <w:color w:val="000000"/>
          <w:kern w:val="0"/>
          <w:sz w:val="32"/>
          <w:szCs w:val="32"/>
        </w:rPr>
        <w:t>性影响</w:t>
      </w:r>
    </w:p>
    <w:p>
      <w:pPr>
        <w:numPr>
          <w:numId w:val="0"/>
        </w:numPr>
        <w:spacing w:beforeLines="0" w:afterLines="0" w:line="560" w:lineRule="exact"/>
        <w:ind w:firstLine="640" w:firstLineChars="200"/>
        <w:rPr>
          <w:rFonts w:hint="eastAsia" w:ascii="仿宋" w:eastAsia="仿宋" w:cs="仿宋"/>
          <w:kern w:val="0"/>
          <w:sz w:val="32"/>
          <w:szCs w:val="32"/>
          <w:highlight w:val="none"/>
        </w:rPr>
      </w:pPr>
      <w:r>
        <w:rPr>
          <w:rFonts w:hint="eastAsia" w:ascii="仿宋" w:eastAsia="仿宋" w:cs="仿宋"/>
          <w:kern w:val="0"/>
          <w:sz w:val="32"/>
          <w:szCs w:val="32"/>
          <w:highlight w:val="none"/>
          <w:lang w:val="en-US" w:eastAsia="zh-CN"/>
        </w:rPr>
        <w:t>2022年，</w:t>
      </w:r>
      <w:r>
        <w:rPr>
          <w:rFonts w:hint="eastAsia" w:ascii="仿宋" w:eastAsia="仿宋" w:cs="仿宋"/>
          <w:kern w:val="0"/>
          <w:sz w:val="32"/>
          <w:szCs w:val="32"/>
          <w:highlight w:val="none"/>
        </w:rPr>
        <w:t>社北京市委圆满完成换届任务，新一届领导机构和领导班子结构进一步优化，吸纳了一批政治过硬、德才兼备、专业素质好、履职能力强的代表人士，为社北京市委更好地履行参政党职能打下了坚实基础。</w:t>
      </w:r>
    </w:p>
    <w:p>
      <w:pPr>
        <w:numPr>
          <w:numId w:val="0"/>
        </w:numPr>
        <w:tabs>
          <w:tab w:val="left" w:pos="4050"/>
        </w:tabs>
        <w:adjustRightInd w:val="0"/>
        <w:snapToGrid w:val="0"/>
        <w:spacing w:beforeLines="0" w:afterLines="0" w:line="560" w:lineRule="exact"/>
        <w:ind w:firstLine="643" w:firstLineChars="200"/>
        <w:rPr>
          <w:rFonts w:hint="eastAsia" w:ascii="仿宋" w:eastAsia="仿宋" w:cs="仿宋"/>
          <w:kern w:val="0"/>
          <w:sz w:val="32"/>
          <w:szCs w:val="32"/>
          <w:highlight w:val="none"/>
          <w:lang w:val="en-US" w:eastAsia="zh-CN"/>
        </w:rPr>
      </w:pPr>
      <w:r>
        <w:rPr>
          <w:rFonts w:hint="eastAsia" w:ascii="仿宋" w:hAnsi="仿宋" w:eastAsia="仿宋" w:cs="仿宋"/>
          <w:b w:val="0"/>
          <w:bCs w:val="0"/>
          <w:i w:val="0"/>
          <w:iCs w:val="0"/>
          <w:sz w:val="32"/>
          <w:szCs w:val="32"/>
          <w:highlight w:val="none"/>
        </w:rPr>
        <w:t>加强机关作风建设，服务保障能力持续增强。</w:t>
      </w:r>
      <w:r>
        <w:rPr>
          <w:rFonts w:hint="eastAsia" w:ascii="仿宋" w:hAnsi="仿宋" w:eastAsia="仿宋" w:cs="仿宋"/>
          <w:sz w:val="32"/>
          <w:szCs w:val="32"/>
          <w:highlight w:val="none"/>
        </w:rPr>
        <w:t>圆满完成中共北京市委书记尹力等重要领导走访机关的接待任务。</w:t>
      </w:r>
      <w:r>
        <w:rPr>
          <w:rFonts w:hint="eastAsia" w:ascii="仿宋" w:eastAsia="仿宋" w:cs="仿宋"/>
          <w:kern w:val="0"/>
          <w:sz w:val="32"/>
          <w:szCs w:val="32"/>
          <w:highlight w:val="none"/>
        </w:rPr>
        <w:t>选派机关干部深度参与社十二大的筹备任务，提供高质量的服务保障，</w:t>
      </w:r>
      <w:r>
        <w:rPr>
          <w:rFonts w:hint="eastAsia" w:ascii="仿宋" w:eastAsia="仿宋" w:cs="仿宋"/>
          <w:bCs/>
          <w:sz w:val="32"/>
          <w:szCs w:val="32"/>
          <w:highlight w:val="none"/>
        </w:rPr>
        <w:t>在实干中增强本领、锤炼作风</w:t>
      </w:r>
      <w:r>
        <w:rPr>
          <w:rFonts w:hint="eastAsia" w:ascii="仿宋" w:eastAsia="仿宋" w:cs="仿宋"/>
          <w:kern w:val="0"/>
          <w:sz w:val="32"/>
          <w:szCs w:val="32"/>
          <w:highlight w:val="none"/>
        </w:rPr>
        <w:t>。开展各类业务培训10余次，找准服务定位、提高专业能力，日常服务水平和效率不断提高，保障了社北京市委各项工作高效运行。</w:t>
      </w:r>
    </w:p>
    <w:p>
      <w:pPr>
        <w:spacing w:beforeLines="0" w:afterLines="0"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numPr>
          <w:numId w:val="0"/>
        </w:numPr>
        <w:spacing w:beforeLines="0" w:afterLines="0" w:line="560" w:lineRule="exact"/>
        <w:ind w:firstLine="640" w:firstLineChars="200"/>
        <w:rPr>
          <w:rFonts w:hint="default" w:ascii="仿宋_GB2312" w:hAnsi="宋体" w:eastAsia="仿宋"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2022年，在九三学社中央和中共北京市委的领导下，在中共市委统战部的工作指导下，九三学社北京市委围绕工作重点，圆满完成各项重大活动，有效发挥界别优势，积极建言资政，较好地完成了全年部门整体绩效目标，达到较高的工作满意度。</w:t>
      </w:r>
    </w:p>
    <w:p>
      <w:pPr>
        <w:spacing w:beforeLines="0" w:afterLines="0" w:line="56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beforeLines="0" w:afterLines="0"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beforeLines="0" w:afterLines="0" w:line="560" w:lineRule="exact"/>
        <w:ind w:left="105" w:leftChars="50" w:firstLine="480" w:firstLineChars="150"/>
        <w:rPr>
          <w:rFonts w:ascii="仿宋" w:hAnsi="仿宋" w:eastAsia="仿宋" w:cs="宋体"/>
          <w:color w:val="000000"/>
          <w:kern w:val="0"/>
          <w:sz w:val="32"/>
          <w:szCs w:val="32"/>
        </w:rPr>
      </w:pPr>
      <w:r>
        <w:rPr>
          <w:rFonts w:hint="eastAsia" w:ascii="仿宋" w:hAnsi="仿宋" w:eastAsia="仿宋" w:cs="宋体"/>
          <w:color w:val="000000"/>
          <w:kern w:val="0"/>
          <w:sz w:val="32"/>
          <w:szCs w:val="32"/>
        </w:rPr>
        <w:t>1.财务</w:t>
      </w:r>
      <w:r>
        <w:rPr>
          <w:rFonts w:ascii="仿宋" w:hAnsi="仿宋" w:eastAsia="仿宋" w:cs="宋体"/>
          <w:color w:val="000000"/>
          <w:kern w:val="0"/>
          <w:sz w:val="32"/>
          <w:szCs w:val="32"/>
        </w:rPr>
        <w:t>管理制度健全性</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_GB2312" w:hAnsi="宋体" w:eastAsia="仿宋_GB2312" w:cs="宋体"/>
          <w:color w:val="000000"/>
          <w:kern w:val="0"/>
          <w:sz w:val="32"/>
          <w:szCs w:val="32"/>
        </w:rPr>
        <w:t>为提高财政资金使用的合规性和安全性，进一步规范财务管理，</w:t>
      </w:r>
      <w:r>
        <w:rPr>
          <w:rFonts w:hint="eastAsia" w:ascii="仿宋" w:hAnsi="仿宋" w:eastAsia="仿宋"/>
          <w:sz w:val="32"/>
          <w:szCs w:val="32"/>
          <w:lang w:val="en-US" w:eastAsia="zh-CN"/>
        </w:rPr>
        <w:t>提高财务管理能力和水平，九三学社北京市委建立完善了财务管理制度和内部控制体系，从资金审批、预算管理、会计核算、资产管理、政府采购等方面对财务工作进行了规范监督，保障日常工作有章可循、稳步推进。</w:t>
      </w:r>
    </w:p>
    <w:p>
      <w:pPr>
        <w:spacing w:beforeLines="0" w:afterLines="0" w:line="560" w:lineRule="exact"/>
        <w:ind w:left="105" w:leftChars="50" w:firstLine="480" w:firstLineChars="15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2.资金使用合规性和安全性</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cs="宋体"/>
          <w:color w:val="000000"/>
          <w:kern w:val="0"/>
          <w:sz w:val="32"/>
          <w:szCs w:val="32"/>
          <w:lang w:val="en-US" w:eastAsia="zh-CN"/>
        </w:rPr>
        <w:t>资金使用严格遵照国家法律法规和有关管理制度执行，资金拨付审批程序完整规范，资金使用安全合规。我部门资金收付完全按照内控</w:t>
      </w:r>
      <w:r>
        <w:rPr>
          <w:rFonts w:hint="eastAsia" w:ascii="仿宋" w:hAnsi="仿宋" w:eastAsia="仿宋"/>
          <w:sz w:val="32"/>
          <w:szCs w:val="32"/>
          <w:lang w:val="en-US" w:eastAsia="zh-CN"/>
        </w:rPr>
        <w:t>制度有关审评流程的规定，不存在截留、挤占、挪用情况，涉及政府采购的支出完全按照政府采购程序和流程，公务卡结算符合相关制度和规定。</w:t>
      </w:r>
      <w:r>
        <w:rPr>
          <w:rFonts w:hint="eastAsia" w:ascii="仿宋_GB2312" w:hAnsi="宋体" w:eastAsia="仿宋_GB2312" w:cs="宋体"/>
          <w:color w:val="000000"/>
          <w:kern w:val="0"/>
          <w:sz w:val="32"/>
          <w:szCs w:val="32"/>
        </w:rPr>
        <w:t>资金支出</w:t>
      </w:r>
      <w:r>
        <w:rPr>
          <w:rFonts w:hint="eastAsia" w:ascii="仿宋_GB2312" w:hAnsi="宋体" w:eastAsia="仿宋_GB2312" w:cs="宋体"/>
          <w:color w:val="000000"/>
          <w:kern w:val="0"/>
          <w:sz w:val="32"/>
          <w:szCs w:val="32"/>
          <w:lang w:val="en-US" w:eastAsia="zh-CN"/>
        </w:rPr>
        <w:t>受财务部门的</w:t>
      </w:r>
      <w:r>
        <w:rPr>
          <w:rFonts w:hint="eastAsia" w:ascii="仿宋_GB2312" w:hAnsi="宋体" w:eastAsia="仿宋_GB2312" w:cs="宋体"/>
          <w:color w:val="000000"/>
          <w:kern w:val="0"/>
          <w:sz w:val="32"/>
          <w:szCs w:val="32"/>
        </w:rPr>
        <w:t>全程监督,符合预算批复的用途，与年度重点工作方向相一致，资金主要根据合同约定支出，对于2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lang w:val="en-US" w:eastAsia="zh-CN"/>
        </w:rPr>
        <w:t>2年</w:t>
      </w:r>
      <w:r>
        <w:rPr>
          <w:rFonts w:hint="eastAsia" w:ascii="仿宋_GB2312" w:hAnsi="宋体" w:eastAsia="仿宋_GB2312" w:cs="宋体"/>
          <w:color w:val="000000"/>
          <w:kern w:val="0"/>
          <w:sz w:val="32"/>
          <w:szCs w:val="32"/>
        </w:rPr>
        <w:t>当年支出计划有变的内容，及时调整预算并按有关规定将相应</w:t>
      </w:r>
      <w:r>
        <w:rPr>
          <w:rFonts w:hint="eastAsia" w:ascii="仿宋" w:hAnsi="仿宋" w:eastAsia="仿宋"/>
          <w:sz w:val="32"/>
          <w:szCs w:val="32"/>
          <w:lang w:val="en-US" w:eastAsia="zh-CN"/>
        </w:rPr>
        <w:t>资金交回财政，不存在截留、挤占、挪用情况。</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3.会计基础信息完善性</w:t>
      </w:r>
    </w:p>
    <w:p>
      <w:pPr>
        <w:spacing w:beforeLines="0" w:afterLines="0"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在费用报销及合同付款过程中，严格审批原始凭证，对内容不全、手续不完备的原始凭证以及未审批完成的支出不予办理支付。及时与银行和一体化国库支付系统对账，保证会计信息资料真实、正确、可靠。会计凭证、会计账簿、会计报表及其相关的电</w:t>
      </w:r>
      <w:r>
        <w:rPr>
          <w:rFonts w:hint="eastAsia" w:ascii="仿宋_GB2312" w:hAnsi="宋体" w:eastAsia="仿宋_GB2312" w:cs="宋体"/>
          <w:color w:val="000000"/>
          <w:kern w:val="0"/>
          <w:sz w:val="32"/>
          <w:szCs w:val="32"/>
        </w:rPr>
        <w:t>算化数据规范完整、真实详尽，原始凭证及记账凭证内容要素、签名签章齐全。会计账簿记录与原始凭证、记账凭证的时间、凭证字号、内容、金额一致，记账方向相符；总账与明细账相符，总账与日记账相符；会计账簿记录与财产等实有数额相符。</w:t>
      </w:r>
    </w:p>
    <w:p>
      <w:pPr>
        <w:spacing w:beforeLines="0" w:afterLines="0"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九三学社北京市委制定并严格依据《九三学社北京市委机关固定资产管理办法》开展资产管理工作，按照“合理配置、分工负责、归口管理、依规使用、毁损问责”的原则，管理调配本部门资产。日常资产管理中，做到及时进行资产卡片信息更新，实现固定资产管理信息化,资产的审批、领用、入库基本实现内控管理信息化。每年进行资产盘点，及时全面真实地掌握固定资产的数量、价值和配置使用情况。固定资产的</w:t>
      </w:r>
      <w:r>
        <w:rPr>
          <w:rFonts w:hint="eastAsia" w:ascii="仿宋_GB2312" w:hAnsi="宋体" w:eastAsia="仿宋_GB2312" w:cs="宋体"/>
          <w:kern w:val="0"/>
          <w:sz w:val="32"/>
          <w:szCs w:val="32"/>
        </w:rPr>
        <w:t>配置未超《北京市行政事业单位日常办公设备配置标准（试行）》中的上限数量。</w:t>
      </w:r>
      <w:r>
        <w:rPr>
          <w:rFonts w:hint="eastAsia" w:ascii="仿宋_GB2312" w:hAnsi="宋体" w:eastAsia="仿宋_GB2312" w:cs="宋体"/>
          <w:kern w:val="0"/>
          <w:sz w:val="32"/>
          <w:szCs w:val="32"/>
          <w:lang w:eastAsia="zh-CN"/>
        </w:rPr>
        <w:t>严格履行资产处置审批程序和必要的集体决策程序，拟处置的国有资产均已达到使用年限，且出现老化、损坏情况，不存在对无需处置的资产进行处置的情况。</w:t>
      </w:r>
    </w:p>
    <w:p>
      <w:pPr>
        <w:spacing w:beforeLines="0" w:afterLines="0" w:line="56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spacing w:beforeLines="0" w:afterLines="0"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九三学社北京市委高度重视绩效管理工作，将绩效理念深度融入预算编制、执行和监督全过程，构建事前、事中、事后绩效管理闭环系统，创新预算管理方式，扎实做好各项绩效管理工作。按照市财政局</w:t>
      </w:r>
      <w:r>
        <w:rPr>
          <w:rFonts w:hint="eastAsia" w:ascii="仿宋" w:hAnsi="仿宋" w:eastAsia="仿宋"/>
          <w:sz w:val="32"/>
          <w:szCs w:val="32"/>
        </w:rPr>
        <w:t>关于开展2022年全面预算绩效管理工作</w:t>
      </w:r>
      <w:r>
        <w:rPr>
          <w:rFonts w:hint="eastAsia" w:ascii="仿宋" w:hAnsi="仿宋" w:eastAsia="仿宋"/>
          <w:sz w:val="32"/>
          <w:szCs w:val="32"/>
          <w:lang w:eastAsia="zh-CN"/>
        </w:rPr>
        <w:t>的相关</w:t>
      </w:r>
      <w:r>
        <w:rPr>
          <w:rFonts w:hint="eastAsia" w:ascii="仿宋" w:hAnsi="仿宋" w:eastAsia="仿宋"/>
          <w:sz w:val="32"/>
          <w:szCs w:val="32"/>
          <w:lang w:val="en-US" w:eastAsia="zh-CN"/>
        </w:rPr>
        <w:t>要求，九三学社北京市委开展</w:t>
      </w:r>
      <w:r>
        <w:rPr>
          <w:rFonts w:hint="eastAsia" w:ascii="仿宋" w:hAnsi="仿宋" w:eastAsia="仿宋"/>
          <w:sz w:val="32"/>
          <w:szCs w:val="32"/>
        </w:rPr>
        <w:t>建立健全分行业分领域绩效指标体系、绩效自评及部门整体绩效评价工作、成本预算绩效分析工作、绩效运行监控工作</w:t>
      </w:r>
      <w:r>
        <w:rPr>
          <w:rFonts w:hint="eastAsia" w:ascii="仿宋" w:hAnsi="仿宋" w:eastAsia="仿宋"/>
          <w:sz w:val="32"/>
          <w:szCs w:val="32"/>
          <w:lang w:val="en-US" w:eastAsia="zh-CN"/>
        </w:rPr>
        <w:t>。其中，对2021年度8个项目实施了绩效自评，涉及金额212.83万元，占部门项目总金额的100%；对“参政议政工作经费”项目实施了普通程序评价，评价等级为“优”；</w:t>
      </w:r>
      <w:r>
        <w:rPr>
          <w:rFonts w:hint="eastAsia" w:ascii="仿宋_GB2312" w:eastAsia="仿宋_GB2312"/>
          <w:sz w:val="32"/>
          <w:szCs w:val="32"/>
          <w:highlight w:val="none"/>
          <w:lang w:val="en-US" w:eastAsia="zh-CN"/>
        </w:rPr>
        <w:t>开展</w:t>
      </w:r>
      <w:r>
        <w:rPr>
          <w:rFonts w:hint="eastAsia" w:ascii="仿宋_GB2312" w:eastAsia="仿宋_GB2312"/>
          <w:sz w:val="32"/>
          <w:szCs w:val="32"/>
          <w:lang w:eastAsia="zh-CN"/>
        </w:rPr>
        <w:t>部门整体绩效评价，</w:t>
      </w:r>
      <w:r>
        <w:rPr>
          <w:rFonts w:hint="eastAsia" w:ascii="仿宋_GB2312" w:eastAsia="仿宋_GB2312"/>
          <w:sz w:val="32"/>
          <w:szCs w:val="32"/>
          <w:highlight w:val="none"/>
          <w:lang w:val="en-US" w:eastAsia="zh-CN"/>
        </w:rPr>
        <w:t>全方位把握部门整体预算执行、绩效目标实现和预算管理情况，</w:t>
      </w:r>
      <w:r>
        <w:rPr>
          <w:rFonts w:hint="eastAsia" w:ascii="仿宋" w:hAnsi="仿宋" w:eastAsia="仿宋"/>
          <w:sz w:val="32"/>
          <w:szCs w:val="32"/>
          <w:lang w:val="en-US" w:eastAsia="zh-CN"/>
        </w:rPr>
        <w:t>评价等级为“优”；</w:t>
      </w:r>
      <w:r>
        <w:rPr>
          <w:rFonts w:hint="eastAsia" w:ascii="仿宋_GB2312" w:eastAsia="仿宋_GB2312"/>
          <w:sz w:val="32"/>
          <w:szCs w:val="32"/>
          <w:lang w:val="en-US" w:eastAsia="zh-CN"/>
        </w:rPr>
        <w:t>对2022年度10个项目开展绩效监控分析</w:t>
      </w:r>
      <w:r>
        <w:rPr>
          <w:rFonts w:hint="eastAsia" w:ascii="仿宋" w:hAnsi="仿宋" w:eastAsia="仿宋"/>
          <w:sz w:val="32"/>
          <w:szCs w:val="32"/>
          <w:lang w:val="en-US" w:eastAsia="zh-CN"/>
        </w:rPr>
        <w:t>，有效推进了项目执行进度和绩效指标的实现；同时开展成本预算绩效分析，对“社会服务工作”项目开展成本预算绩效分析，涉及预算金额32.50万元，探索了项目成本定额标准的制定。</w:t>
      </w:r>
    </w:p>
    <w:p>
      <w:pPr>
        <w:spacing w:beforeLines="0" w:afterLines="0" w:line="560" w:lineRule="exact"/>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pPr>
        <w:spacing w:beforeLines="0" w:afterLines="0" w:line="560" w:lineRule="exact"/>
        <w:ind w:left="105" w:leftChars="50" w:firstLine="480" w:firstLineChars="150"/>
        <w:rPr>
          <w:rFonts w:hint="default" w:ascii="楷体_GB2312" w:eastAsia="仿宋"/>
          <w:sz w:val="32"/>
          <w:szCs w:val="32"/>
          <w:lang w:val="en-US" w:eastAsia="zh-CN"/>
        </w:rPr>
      </w:pPr>
      <w:r>
        <w:rPr>
          <w:rFonts w:hint="eastAsia" w:ascii="仿宋" w:hAnsi="仿宋" w:eastAsia="仿宋" w:cs="Times New Roman"/>
          <w:sz w:val="32"/>
          <w:szCs w:val="32"/>
          <w:lang w:val="en-US" w:eastAsia="zh-CN"/>
        </w:rPr>
        <w:t>九三学社北京市委2022年年末结转结余资金总额为55.64万元，预算数为1646.43万元，资金结转结余率为3.38%，比2021年</w:t>
      </w:r>
      <w:r>
        <w:rPr>
          <w:rFonts w:hint="eastAsia" w:ascii="仿宋" w:eastAsia="仿宋" w:cs="仿宋_GB2312"/>
          <w:sz w:val="32"/>
          <w:szCs w:val="32"/>
        </w:rPr>
        <w:t>结转结余率6</w:t>
      </w:r>
      <w:r>
        <w:rPr>
          <w:rFonts w:ascii="仿宋" w:eastAsia="仿宋" w:cs="仿宋_GB2312"/>
          <w:sz w:val="32"/>
          <w:szCs w:val="32"/>
        </w:rPr>
        <w:t>.57</w:t>
      </w:r>
      <w:r>
        <w:rPr>
          <w:rFonts w:hint="eastAsia" w:ascii="仿宋" w:eastAsia="仿宋" w:cs="仿宋_GB2312"/>
          <w:sz w:val="32"/>
          <w:szCs w:val="32"/>
        </w:rPr>
        <w:t>%</w:t>
      </w:r>
      <w:r>
        <w:rPr>
          <w:rFonts w:hint="eastAsia" w:ascii="仿宋" w:eastAsia="仿宋" w:cs="仿宋_GB2312"/>
          <w:sz w:val="32"/>
          <w:szCs w:val="32"/>
          <w:lang w:val="en-US" w:eastAsia="zh-CN"/>
        </w:rPr>
        <w:t>减少3.19%</w:t>
      </w:r>
      <w:r>
        <w:rPr>
          <w:rFonts w:hint="eastAsia" w:ascii="仿宋" w:eastAsia="仿宋" w:cs="仿宋_GB2312"/>
          <w:sz w:val="32"/>
          <w:szCs w:val="32"/>
        </w:rPr>
        <w:t>，</w:t>
      </w:r>
      <w:r>
        <w:rPr>
          <w:rFonts w:hint="eastAsia" w:ascii="仿宋" w:eastAsia="仿宋" w:cs="仿宋_GB2312"/>
          <w:sz w:val="32"/>
          <w:szCs w:val="32"/>
          <w:lang w:val="en-US" w:eastAsia="zh-CN"/>
        </w:rPr>
        <w:t>说明资金统筹能力有所增强。</w:t>
      </w:r>
    </w:p>
    <w:p>
      <w:pPr>
        <w:spacing w:beforeLines="0" w:afterLines="0"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beforeLines="0" w:afterLines="0" w:line="560" w:lineRule="exact"/>
        <w:ind w:left="105" w:leftChars="50" w:firstLine="480" w:firstLineChars="15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九三学社北京市委2022年年初预算数为1496.63万元，部门年度支出决算数为1590.79万元，差额为94.16万元，部门预决算差异率为6.29%，远低于市级部门预决算平均差异率（28.3%），比2021年预决算差异率9.93%减少3.64%，说明预决算差异率控制情况较好，预算管理水平不断提升。</w:t>
      </w:r>
    </w:p>
    <w:p>
      <w:pPr>
        <w:spacing w:beforeLines="0" w:afterLines="0" w:line="56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beforeLines="0" w:afterLines="0"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beforeLines="0" w:afterLines="0" w:line="560" w:lineRule="exact"/>
        <w:ind w:left="105" w:leftChars="50" w:firstLine="480" w:firstLineChars="150"/>
        <w:rPr>
          <w:rFonts w:hint="eastAsia" w:ascii="楷体_GB2312" w:eastAsia="仿宋_GB2312"/>
          <w:sz w:val="32"/>
          <w:szCs w:val="32"/>
          <w:lang w:eastAsia="zh-CN"/>
        </w:rPr>
      </w:pPr>
      <w:r>
        <w:rPr>
          <w:rFonts w:hint="eastAsia" w:ascii="仿宋" w:hAnsi="仿宋" w:eastAsia="仿宋"/>
          <w:sz w:val="32"/>
          <w:szCs w:val="32"/>
          <w:lang w:val="en-US" w:eastAsia="zh-CN"/>
        </w:rPr>
        <w:t>本次部门整体绩效评价通过资料分析、指标评议等方式开展了全面、系统、客观的分析评价，最终得分为92.97分，综合评价等级为“优”，</w:t>
      </w:r>
    </w:p>
    <w:p>
      <w:pPr>
        <w:spacing w:beforeLines="0" w:afterLines="0" w:line="56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spacing w:beforeLines="0" w:afterLines="0" w:line="56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部门整体支出绩效情况较好，项目产出基本能达到预期效果，个别项目执行率较低，年末形成有结转结余，主要是因为疫情影响，部分差旅、会议、培训未能按计划开展，或者会议培训线下改为线上，形成结余。</w:t>
      </w:r>
    </w:p>
    <w:p>
      <w:pPr>
        <w:spacing w:beforeLines="0" w:afterLines="0" w:line="560" w:lineRule="exact"/>
        <w:ind w:left="105" w:leftChars="50" w:firstLine="480" w:firstLineChars="150"/>
        <w:rPr>
          <w:rFonts w:hint="eastAsia" w:ascii="楷体_GB2312" w:eastAsia="楷体_GB2312"/>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pPr>
        <w:spacing w:beforeLines="0" w:afterLines="0" w:line="560" w:lineRule="exact"/>
        <w:ind w:firstLine="640" w:firstLineChars="200"/>
        <w:rPr>
          <w:rFonts w:hint="eastAsia" w:ascii="仿宋_GB2312" w:eastAsia="仿宋_GB2312"/>
          <w:sz w:val="28"/>
          <w:szCs w:val="28"/>
        </w:rPr>
      </w:pPr>
      <w:r>
        <w:rPr>
          <w:rFonts w:hint="eastAsia" w:ascii="仿宋" w:hAnsi="仿宋" w:eastAsia="仿宋"/>
          <w:sz w:val="32"/>
          <w:szCs w:val="32"/>
          <w:lang w:val="en-US" w:eastAsia="zh-CN"/>
        </w:rPr>
        <w:t>构建科学合理的绩效目标管理体系，借鉴先进的绩效管理、目标管理理念和技术方法，强化部门战略目标规划、年度工作任务、预算资金安排、项目绩效目标之间的关联。同时，建立财务部门与业务部门、项目具体负责单位的协同工作机制，强化财务与业务的有效衔接，加强预算与绩效管理一体化。强化绩效目标管理，提升各项目单位对绩效目标填报的重视程度，结合项目实际情况，合理制定绩效目标，设定全面、细化的绩效目标，保证绩效指标的可衡量性。</w:t>
      </w:r>
    </w:p>
    <w:p>
      <w:pPr>
        <w:spacing w:beforeLines="0" w:afterLines="0" w:line="560" w:lineRule="exact"/>
        <w:ind w:firstLine="640" w:firstLineChars="200"/>
        <w:rPr>
          <w:rFonts w:hint="eastAsia" w:ascii="仿宋_GB2312" w:eastAsia="仿宋_GB2312"/>
          <w:sz w:val="28"/>
          <w:szCs w:val="28"/>
        </w:rPr>
      </w:pPr>
      <w:r>
        <w:rPr>
          <w:rFonts w:hint="eastAsia" w:ascii="仿宋_GB2312" w:hAnsi="宋体" w:eastAsia="仿宋_GB2312" w:cs="宋体"/>
          <w:color w:val="000000"/>
          <w:kern w:val="0"/>
          <w:sz w:val="32"/>
          <w:szCs w:val="32"/>
          <w:lang w:val="en-US" w:eastAsia="zh-CN"/>
        </w:rPr>
        <w:t>进一步</w:t>
      </w:r>
      <w:r>
        <w:rPr>
          <w:rFonts w:hint="eastAsia" w:ascii="仿宋_GB2312" w:hAnsi="宋体" w:eastAsia="仿宋_GB2312" w:cs="宋体"/>
          <w:color w:val="000000"/>
          <w:kern w:val="0"/>
          <w:sz w:val="32"/>
          <w:szCs w:val="32"/>
        </w:rPr>
        <w:t>科学、合理、规范地确定部门绩效目标，以部门的职能定位和年度工作任务作为切入点，全面反映部门绩效，并将各相关职能或工作内容反映在分项指标中，细化、量化绩效</w:t>
      </w:r>
      <w:r>
        <w:rPr>
          <w:rFonts w:hint="eastAsia" w:ascii="仿宋_GB2312" w:hAnsi="宋体" w:eastAsia="仿宋_GB2312" w:cs="宋体"/>
          <w:color w:val="000000"/>
          <w:kern w:val="0"/>
          <w:sz w:val="32"/>
          <w:szCs w:val="32"/>
          <w:lang w:val="en-US" w:eastAsia="zh-CN"/>
        </w:rPr>
        <w:t>指标</w:t>
      </w:r>
      <w:r>
        <w:rPr>
          <w:rFonts w:hint="eastAsia" w:ascii="仿宋_GB2312" w:hAnsi="宋体" w:eastAsia="仿宋_GB2312" w:cs="宋体"/>
          <w:color w:val="000000"/>
          <w:kern w:val="0"/>
          <w:sz w:val="32"/>
          <w:szCs w:val="32"/>
        </w:rPr>
        <w:t>，增加可考量性，提升各项指标的可考量性和完整</w:t>
      </w:r>
      <w:r>
        <w:rPr>
          <w:rFonts w:hint="eastAsia" w:ascii="仿宋_GB2312" w:hAnsi="宋体" w:eastAsia="仿宋_GB2312" w:cs="宋体"/>
          <w:color w:val="000000"/>
          <w:kern w:val="0"/>
          <w:sz w:val="32"/>
          <w:szCs w:val="32"/>
          <w:lang w:eastAsia="zh-CN"/>
        </w:rPr>
        <w:t>。</w:t>
      </w:r>
    </w:p>
    <w:p>
      <w:pPr>
        <w:pStyle w:val="2"/>
        <w:spacing w:beforeLines="0" w:afterLines="0" w:line="560" w:lineRule="exact"/>
        <w:rPr>
          <w:sz w:val="32"/>
          <w:szCs w:val="32"/>
          <w:highlight w:val="none"/>
        </w:rPr>
      </w:pPr>
      <w:bookmarkStart w:id="0" w:name="_Toc103006301"/>
      <w:r>
        <w:rPr>
          <w:rFonts w:hint="eastAsia"/>
          <w:sz w:val="32"/>
          <w:szCs w:val="32"/>
          <w:highlight w:val="none"/>
        </w:rPr>
        <w:t>七、附件</w:t>
      </w:r>
      <w:bookmarkEnd w:id="0"/>
    </w:p>
    <w:p>
      <w:pPr>
        <w:widowControl w:val="0"/>
        <w:wordWrap/>
        <w:adjustRightInd/>
        <w:snapToGrid/>
        <w:spacing w:beforeLines="0" w:afterLines="0" w:line="560" w:lineRule="exact"/>
        <w:ind w:firstLine="641"/>
        <w:textAlignment w:val="auto"/>
        <w:rPr>
          <w:rFonts w:hint="eastAsia" w:ascii="仿宋_GB2312" w:hAnsi="仿宋_GB2312" w:eastAsia="仿宋_GB2312" w:cs="仿宋_GB2312"/>
          <w:sz w:val="32"/>
          <w:szCs w:val="32"/>
          <w:highlight w:val="none"/>
          <w:lang w:eastAsia="zh-CN"/>
        </w:rPr>
        <w:sectPr>
          <w:footerReference r:id="rId4" w:type="default"/>
          <w:pgSz w:w="11906" w:h="16838"/>
          <w:pgMar w:top="1440" w:right="1800" w:bottom="1440" w:left="1800" w:header="851" w:footer="964" w:gutter="0"/>
          <w:pgNumType w:fmt="decimal" w:start="1"/>
          <w:cols w:space="720" w:num="1"/>
          <w:docGrid w:type="lines" w:linePitch="435" w:charSpace="0"/>
        </w:sect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p>
      <w:pPr>
        <w:spacing w:line="560" w:lineRule="exact"/>
        <w:jc w:val="left"/>
        <w:rPr>
          <w:rFonts w:hint="default"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4-1</w:t>
      </w:r>
    </w:p>
    <w:p>
      <w:pPr>
        <w:widowControl w:val="0"/>
        <w:wordWrap/>
        <w:adjustRightInd/>
        <w:snapToGrid/>
        <w:spacing w:line="20" w:lineRule="exact"/>
        <w:textAlignment w:val="auto"/>
        <w:rPr>
          <w:rFonts w:hint="eastAsia" w:ascii="方正小标宋简体" w:eastAsia="方正小标宋简体"/>
          <w:sz w:val="36"/>
          <w:szCs w:val="36"/>
        </w:rPr>
      </w:pPr>
    </w:p>
    <w:p>
      <w:pPr>
        <w:rPr>
          <w:rFonts w:hint="eastAsia"/>
        </w:rPr>
      </w:pPr>
    </w:p>
    <w:tbl>
      <w:tblPr>
        <w:tblStyle w:val="12"/>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78"/>
        <w:gridCol w:w="535"/>
        <w:gridCol w:w="97"/>
        <w:gridCol w:w="732"/>
        <w:gridCol w:w="521"/>
        <w:gridCol w:w="976"/>
        <w:gridCol w:w="1212"/>
        <w:gridCol w:w="603"/>
        <w:gridCol w:w="346"/>
        <w:gridCol w:w="263"/>
        <w:gridCol w:w="425"/>
        <w:gridCol w:w="612"/>
        <w:gridCol w:w="170"/>
        <w:gridCol w:w="568"/>
        <w:gridCol w:w="737"/>
        <w:gridCol w:w="825"/>
        <w:gridCol w:w="850"/>
        <w:gridCol w:w="2550"/>
        <w:gridCol w:w="13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3988" w:type="dxa"/>
            <w:gridSpan w:val="20"/>
            <w:tcBorders>
              <w:bottom w:val="single" w:color="000000" w:sz="4" w:space="0"/>
            </w:tcBorders>
            <w:vAlign w:val="bottom"/>
          </w:tcPr>
          <w:p>
            <w:pPr>
              <w:widowControl/>
              <w:jc w:val="center"/>
              <w:textAlignment w:val="bottom"/>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SA"/>
              </w:rPr>
              <w:t>202</w:t>
            </w:r>
            <w:r>
              <w:rPr>
                <w:rStyle w:val="13"/>
                <w:lang w:val="en-US" w:eastAsia="zh-CN" w:bidi="ar-SA"/>
              </w:rPr>
              <w:t>2年部门整体绩效评价指标体系评分表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988" w:type="dxa"/>
            <w:gridSpan w:val="20"/>
            <w:tcBorders>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w:t>
            </w:r>
            <w:r>
              <w:rPr>
                <w:rStyle w:val="14"/>
                <w:lang w:val="en-US" w:eastAsia="zh-CN" w:bidi="ar-SA"/>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29" w:hRule="atLeast"/>
        </w:trPr>
        <w:tc>
          <w:tcPr>
            <w:tcW w:w="554"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w:t>
            </w:r>
            <w:r>
              <w:rPr>
                <w:rStyle w:val="14"/>
                <w:lang w:val="en-US" w:eastAsia="zh-CN" w:bidi="ar-SA"/>
              </w:rPr>
              <w:t>级指标　</w:t>
            </w:r>
          </w:p>
        </w:tc>
        <w:tc>
          <w:tcPr>
            <w:tcW w:w="613"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二</w:t>
            </w:r>
            <w:r>
              <w:rPr>
                <w:rStyle w:val="14"/>
                <w:lang w:val="en-US" w:eastAsia="zh-CN" w:bidi="ar-SA"/>
              </w:rPr>
              <w:t>级指标　</w:t>
            </w:r>
          </w:p>
        </w:tc>
        <w:tc>
          <w:tcPr>
            <w:tcW w:w="829"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预算数（万元）</w:t>
            </w:r>
          </w:p>
        </w:tc>
        <w:tc>
          <w:tcPr>
            <w:tcW w:w="1497" w:type="dxa"/>
            <w:gridSpan w:val="2"/>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color w:val="000000"/>
                <w:u w:val="none"/>
              </w:rPr>
              <w:t>执行数（万元）</w:t>
            </w:r>
          </w:p>
        </w:tc>
        <w:tc>
          <w:tcPr>
            <w:tcW w:w="1212" w:type="dxa"/>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预算执行率</w:t>
            </w:r>
          </w:p>
        </w:tc>
        <w:tc>
          <w:tcPr>
            <w:tcW w:w="603" w:type="dxa"/>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分值</w:t>
            </w:r>
          </w:p>
        </w:tc>
        <w:tc>
          <w:tcPr>
            <w:tcW w:w="609"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得分</w:t>
            </w:r>
          </w:p>
        </w:tc>
        <w:tc>
          <w:tcPr>
            <w:tcW w:w="1207" w:type="dxa"/>
            <w:gridSpan w:val="3"/>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指标解释</w:t>
            </w:r>
          </w:p>
        </w:tc>
        <w:tc>
          <w:tcPr>
            <w:tcW w:w="6864" w:type="dxa"/>
            <w:gridSpan w:val="6"/>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25" w:hRule="atLeast"/>
        </w:trPr>
        <w:tc>
          <w:tcPr>
            <w:tcW w:w="554"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当年预算执行情况（20）</w:t>
            </w:r>
          </w:p>
        </w:tc>
        <w:tc>
          <w:tcPr>
            <w:tcW w:w="613" w:type="dxa"/>
            <w:gridSpan w:val="2"/>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资金总体</w:t>
            </w:r>
          </w:p>
        </w:tc>
        <w:tc>
          <w:tcPr>
            <w:tcW w:w="829" w:type="dxa"/>
            <w:gridSpan w:val="2"/>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1646.43</w:t>
            </w:r>
          </w:p>
        </w:tc>
        <w:tc>
          <w:tcPr>
            <w:tcW w:w="1497" w:type="dxa"/>
            <w:gridSpan w:val="2"/>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color w:val="000000"/>
              </w:rPr>
              <w:t>1590.79</w:t>
            </w:r>
          </w:p>
        </w:tc>
        <w:tc>
          <w:tcPr>
            <w:tcW w:w="1212"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96.62</w:t>
            </w:r>
          </w:p>
        </w:tc>
        <w:tc>
          <w:tcPr>
            <w:tcW w:w="603" w:type="dxa"/>
            <w:vMerge w:val="restart"/>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w:t>
            </w:r>
          </w:p>
        </w:tc>
        <w:tc>
          <w:tcPr>
            <w:tcW w:w="609" w:type="dxa"/>
            <w:gridSpan w:val="2"/>
            <w:vMerge w:val="restart"/>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19.32</w:t>
            </w:r>
          </w:p>
        </w:tc>
        <w:tc>
          <w:tcPr>
            <w:tcW w:w="1207" w:type="dxa"/>
            <w:gridSpan w:val="3"/>
            <w:vMerge w:val="restart"/>
            <w:tcBorders>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部门全年执行数与全年预算数的比率。资金总体=基本支出+项目支出+其他</w:t>
            </w:r>
          </w:p>
        </w:tc>
        <w:tc>
          <w:tcPr>
            <w:tcW w:w="6864" w:type="dxa"/>
            <w:gridSpan w:val="6"/>
            <w:tcBorders>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①得分一档最高不能超过该指标分值上限（20分）。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13" w:type="dxa"/>
            <w:gridSpan w:val="2"/>
            <w:tcBorders>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基本支出</w:t>
            </w:r>
          </w:p>
        </w:tc>
        <w:tc>
          <w:tcPr>
            <w:tcW w:w="829" w:type="dxa"/>
            <w:gridSpan w:val="2"/>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1354.76</w:t>
            </w:r>
          </w:p>
        </w:tc>
        <w:tc>
          <w:tcPr>
            <w:tcW w:w="1497" w:type="dxa"/>
            <w:gridSpan w:val="2"/>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color w:val="000000"/>
                <w:u w:val="none"/>
              </w:rPr>
              <w:t>1341.72</w:t>
            </w:r>
          </w:p>
        </w:tc>
        <w:tc>
          <w:tcPr>
            <w:tcW w:w="1212" w:type="dxa"/>
            <w:vMerge w:val="restart"/>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w:t>
            </w:r>
          </w:p>
        </w:tc>
        <w:tc>
          <w:tcPr>
            <w:tcW w:w="603" w:type="dxa"/>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09" w:type="dxa"/>
            <w:gridSpan w:val="2"/>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07" w:type="dxa"/>
            <w:gridSpan w:val="3"/>
            <w:vMerge w:val="continue"/>
            <w:tcBorders>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p>
        </w:tc>
        <w:tc>
          <w:tcPr>
            <w:tcW w:w="6864" w:type="dxa"/>
            <w:gridSpan w:val="6"/>
            <w:tcBorders>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2"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13" w:type="dxa"/>
            <w:gridSpan w:val="2"/>
            <w:tcBorders>
              <w:bottom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项目支出</w:t>
            </w:r>
          </w:p>
        </w:tc>
        <w:tc>
          <w:tcPr>
            <w:tcW w:w="829" w:type="dxa"/>
            <w:gridSpan w:val="2"/>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291.66</w:t>
            </w:r>
          </w:p>
        </w:tc>
        <w:tc>
          <w:tcPr>
            <w:tcW w:w="1497" w:type="dxa"/>
            <w:gridSpan w:val="2"/>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color w:val="000000"/>
                <w:u w:val="none"/>
              </w:rPr>
              <w:t>249.07</w:t>
            </w:r>
          </w:p>
        </w:tc>
        <w:tc>
          <w:tcPr>
            <w:tcW w:w="1212" w:type="dxa"/>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03" w:type="dxa"/>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09" w:type="dxa"/>
            <w:gridSpan w:val="2"/>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07" w:type="dxa"/>
            <w:gridSpan w:val="3"/>
            <w:vMerge w:val="continue"/>
            <w:tcBorders>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p>
        </w:tc>
        <w:tc>
          <w:tcPr>
            <w:tcW w:w="6864" w:type="dxa"/>
            <w:gridSpan w:val="6"/>
            <w:tcBorders>
              <w:right w:val="single" w:color="000000"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2"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13" w:type="dxa"/>
            <w:gridSpan w:val="2"/>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w:t>
            </w:r>
          </w:p>
        </w:tc>
        <w:tc>
          <w:tcPr>
            <w:tcW w:w="829" w:type="dxa"/>
            <w:gridSpan w:val="2"/>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497" w:type="dxa"/>
            <w:gridSpan w:val="2"/>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12" w:type="dxa"/>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03" w:type="dxa"/>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09" w:type="dxa"/>
            <w:gridSpan w:val="2"/>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07" w:type="dxa"/>
            <w:gridSpan w:val="3"/>
            <w:vMerge w:val="continue"/>
            <w:tcBorders>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p>
        </w:tc>
        <w:tc>
          <w:tcPr>
            <w:tcW w:w="6864" w:type="dxa"/>
            <w:gridSpan w:val="6"/>
            <w:tcBorders>
              <w:bottom w:val="single" w:color="000000" w:sz="4" w:space="0"/>
              <w:right w:val="single" w:color="000000"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988" w:type="dxa"/>
            <w:gridSpan w:val="20"/>
            <w:tcBorders>
              <w:left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w:t>
            </w:r>
            <w:r>
              <w:rPr>
                <w:rStyle w:val="14"/>
                <w:lang w:val="en-US" w:eastAsia="zh-CN" w:bidi="ar-SA"/>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4"/>
                <w:lang w:val="en-US" w:eastAsia="zh-CN" w:bidi="ar-SA"/>
              </w:rPr>
            </w:pPr>
            <w:r>
              <w:rPr>
                <w:rFonts w:hint="eastAsia" w:ascii="宋体" w:hAnsi="宋体" w:eastAsia="宋体" w:cs="宋体"/>
                <w:i w:val="0"/>
                <w:color w:val="000000"/>
                <w:kern w:val="0"/>
                <w:sz w:val="20"/>
                <w:szCs w:val="20"/>
                <w:u w:val="none"/>
                <w:lang w:val="en-US" w:eastAsia="zh-CN" w:bidi="ar-SA"/>
              </w:rPr>
              <w:t>一</w:t>
            </w:r>
            <w:r>
              <w:rPr>
                <w:rStyle w:val="14"/>
                <w:lang w:val="en-US" w:eastAsia="zh-CN" w:bidi="ar-SA"/>
              </w:rPr>
              <w:t>级</w:t>
            </w:r>
          </w:p>
          <w:p>
            <w:pPr>
              <w:widowControl/>
              <w:jc w:val="center"/>
              <w:textAlignment w:val="center"/>
              <w:rPr>
                <w:rFonts w:hint="eastAsia" w:ascii="宋体" w:hAnsi="宋体" w:eastAsia="宋体" w:cs="宋体"/>
                <w:i w:val="0"/>
                <w:color w:val="000000"/>
                <w:sz w:val="20"/>
                <w:szCs w:val="20"/>
                <w:u w:val="none"/>
              </w:rPr>
            </w:pPr>
            <w:r>
              <w:rPr>
                <w:rStyle w:val="14"/>
                <w:lang w:val="en-US" w:eastAsia="zh-CN" w:bidi="ar-SA"/>
              </w:rPr>
              <w:t>指标</w:t>
            </w: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4"/>
                <w:lang w:val="en-US" w:eastAsia="zh-CN" w:bidi="ar-SA"/>
              </w:rPr>
            </w:pPr>
            <w:r>
              <w:rPr>
                <w:rFonts w:hint="eastAsia" w:ascii="宋体" w:hAnsi="宋体" w:eastAsia="宋体" w:cs="宋体"/>
                <w:i w:val="0"/>
                <w:color w:val="000000"/>
                <w:kern w:val="0"/>
                <w:sz w:val="20"/>
                <w:szCs w:val="20"/>
                <w:u w:val="none"/>
                <w:lang w:val="en-US" w:eastAsia="zh-CN" w:bidi="ar-SA"/>
              </w:rPr>
              <w:t>二</w:t>
            </w:r>
            <w:r>
              <w:rPr>
                <w:rStyle w:val="14"/>
                <w:lang w:val="en-US" w:eastAsia="zh-CN" w:bidi="ar-SA"/>
              </w:rPr>
              <w:t>级</w:t>
            </w:r>
          </w:p>
          <w:p>
            <w:pPr>
              <w:widowControl/>
              <w:jc w:val="center"/>
              <w:textAlignment w:val="center"/>
              <w:rPr>
                <w:rFonts w:hint="eastAsia" w:ascii="宋体" w:hAnsi="宋体" w:eastAsia="宋体" w:cs="宋体"/>
                <w:i w:val="0"/>
                <w:color w:val="000000"/>
                <w:sz w:val="20"/>
                <w:szCs w:val="20"/>
                <w:u w:val="none"/>
              </w:rPr>
            </w:pPr>
            <w:r>
              <w:rPr>
                <w:rStyle w:val="14"/>
                <w:lang w:val="en-US" w:eastAsia="zh-CN" w:bidi="ar-SA"/>
              </w:rPr>
              <w:t>指标　</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三</w:t>
            </w:r>
            <w:r>
              <w:rPr>
                <w:rStyle w:val="14"/>
                <w:lang w:val="en-US" w:eastAsia="zh-CN" w:bidi="ar-SA"/>
              </w:rPr>
              <w:t>级指标　</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指标值</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完成值</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分值</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得分</w:t>
            </w:r>
          </w:p>
        </w:tc>
        <w:tc>
          <w:tcPr>
            <w:tcW w:w="3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指标解释</w:t>
            </w:r>
          </w:p>
        </w:tc>
        <w:tc>
          <w:tcPr>
            <w:tcW w:w="13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评</w:t>
            </w:r>
            <w:r>
              <w:rPr>
                <w:rStyle w:val="15"/>
                <w:lang w:val="en-US" w:eastAsia="zh-CN" w:bidi="ar-SA"/>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60" w:hRule="atLeast"/>
        </w:trPr>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整体绩效目标实现情况（60）</w:t>
            </w: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产出（30）</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参政议政工作质量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根据中共市委市政府、九三学社中央、市政协及九三学社北京市委重点工作任务确定全年调研课题，组织专委会调研活动，形成调研成果。调研成果经评审转化，作为市政协党派提案、政协大会发言及全国政协大会提案和发言等提交。参加社中央的联合调研、会议等。参与并完成市委统战部协商任务，提交协商建议。组织参加市政协调研、议政会等。收集整理并按照程序向有关部门反映社员建议。</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4.5</w:t>
            </w:r>
          </w:p>
        </w:tc>
        <w:tc>
          <w:tcPr>
            <w:tcW w:w="3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8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专项民主监督工作质量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完成对昌平区未来科学城建设情况的民主监督工作，对昌平区未来科学城建设中存在的问题提有针对性的意见和建议，促进昌平未来科学城建设，为加快北京国际科技创新中心建设贡献力量。</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4.45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召开换届大会工作质量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完成九三学社北京市委第十四次代表大会各项筹备工作，顺利召开换届会议。</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4.35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组织建设和人才培养工作质量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围绕社员发展、基层组织建设、干部队伍建设、人才培养、监督工作等开展工作，不断提高社北京市委组织建设水平，提升各级组工干部的履职能力，指导基层组织履职作为，培训培养社员并不断挖掘优秀人才，完善社员培养体系，凝聚广大青年社员，做好社内监督工作。</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4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宣传研究工作质量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宣传党的统战理论、方针、政策。传达社中央、中共北京市重要指示精神。报道社市委及各级组织各项工作取得的成绩。宣传报导社市委为社会发展、北京市中心工作建言献策成果。宣传九三先贤爱国精神和感人故事和社内优秀人物、业界精英所取得的优秀业绩。创建交流平台，刊登社员创作的诗歌、摄影作品、书画作品。</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4.4</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社会服务工作质量</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完成社市委科技助农、科技助医、科学传播、文化助推等社会服务工作，切实助力国家生态环境、科技教育、文化卫生、社会治理、乡村振兴等多领域建设。</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4.45</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2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效果（30）</w:t>
            </w: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联络对象满意度</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组织、安排各项机关办公会议、社务工作会议等，保障会议顺利召开，做好会议服务工作；参与社中央组织的各项工作会议和活动；联系社中央、市政协、市委统战部、兄弟党派和社组织来访接待工作</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w:t>
            </w:r>
          </w:p>
        </w:tc>
        <w:tc>
          <w:tcPr>
            <w:tcW w:w="3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1"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各项综合事务服务对象满意度</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做好社市委各项联络和服务工作；更新基层工作手册、机关文件袋、信封、红头纸等；做好机关人事、财务、档案管理等各项综合事务工作</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74"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加强社内成员凝聚力，提高社员履职能力</w:t>
            </w:r>
          </w:p>
        </w:tc>
        <w:tc>
          <w:tcPr>
            <w:tcW w:w="3825"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搭建基层组织交流平台，通过基层组织的各项活动，加强社内交流。鼓励基层组织开展调研活动，促进履职能力提升。</w:t>
            </w:r>
          </w:p>
        </w:tc>
        <w:tc>
          <w:tcPr>
            <w:tcW w:w="135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达成年度指标</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w:t>
            </w:r>
          </w:p>
        </w:tc>
        <w:tc>
          <w:tcPr>
            <w:tcW w:w="3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988" w:type="dxa"/>
            <w:gridSpan w:val="20"/>
            <w:tcBorders>
              <w:left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w:t>
            </w:r>
            <w:r>
              <w:rPr>
                <w:rStyle w:val="14"/>
                <w:lang w:val="en-US" w:eastAsia="zh-CN" w:bidi="ar-SA"/>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4"/>
                <w:lang w:val="en-US" w:eastAsia="zh-CN" w:bidi="ar-SA"/>
              </w:rPr>
            </w:pPr>
            <w:r>
              <w:rPr>
                <w:rFonts w:hint="eastAsia" w:ascii="宋体" w:hAnsi="宋体" w:eastAsia="宋体" w:cs="宋体"/>
                <w:i w:val="0"/>
                <w:color w:val="000000"/>
                <w:kern w:val="0"/>
                <w:sz w:val="20"/>
                <w:szCs w:val="20"/>
                <w:u w:val="none"/>
                <w:lang w:val="en-US" w:eastAsia="zh-CN" w:bidi="ar-SA"/>
              </w:rPr>
              <w:t>一</w:t>
            </w:r>
            <w:r>
              <w:rPr>
                <w:rStyle w:val="14"/>
                <w:lang w:val="en-US" w:eastAsia="zh-CN" w:bidi="ar-SA"/>
              </w:rPr>
              <w:t>级</w:t>
            </w:r>
          </w:p>
          <w:p>
            <w:pPr>
              <w:widowControl/>
              <w:jc w:val="center"/>
              <w:textAlignment w:val="center"/>
              <w:rPr>
                <w:rFonts w:hint="eastAsia" w:ascii="宋体" w:hAnsi="宋体" w:eastAsia="宋体" w:cs="宋体"/>
                <w:i w:val="0"/>
                <w:color w:val="000000"/>
                <w:sz w:val="20"/>
                <w:szCs w:val="20"/>
                <w:u w:val="none"/>
              </w:rPr>
            </w:pPr>
            <w:r>
              <w:rPr>
                <w:rStyle w:val="14"/>
                <w:lang w:val="en-US" w:eastAsia="zh-CN" w:bidi="ar-SA"/>
              </w:rPr>
              <w:t>指标</w:t>
            </w: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4"/>
                <w:lang w:val="en-US" w:eastAsia="zh-CN" w:bidi="ar-SA"/>
              </w:rPr>
            </w:pPr>
            <w:r>
              <w:rPr>
                <w:rFonts w:hint="eastAsia" w:ascii="宋体" w:hAnsi="宋体" w:eastAsia="宋体" w:cs="宋体"/>
                <w:i w:val="0"/>
                <w:color w:val="000000"/>
                <w:kern w:val="0"/>
                <w:sz w:val="20"/>
                <w:szCs w:val="20"/>
                <w:u w:val="none"/>
                <w:lang w:val="en-US" w:eastAsia="zh-CN" w:bidi="ar-SA"/>
              </w:rPr>
              <w:t>二</w:t>
            </w:r>
            <w:r>
              <w:rPr>
                <w:rStyle w:val="14"/>
                <w:lang w:val="en-US" w:eastAsia="zh-CN" w:bidi="ar-SA"/>
              </w:rPr>
              <w:t>级</w:t>
            </w:r>
          </w:p>
          <w:p>
            <w:pPr>
              <w:widowControl/>
              <w:jc w:val="center"/>
              <w:textAlignment w:val="center"/>
              <w:rPr>
                <w:rFonts w:hint="eastAsia" w:ascii="宋体" w:hAnsi="宋体" w:eastAsia="宋体" w:cs="宋体"/>
                <w:i w:val="0"/>
                <w:color w:val="000000"/>
                <w:sz w:val="20"/>
                <w:szCs w:val="20"/>
                <w:u w:val="none"/>
              </w:rPr>
            </w:pPr>
            <w:r>
              <w:rPr>
                <w:rStyle w:val="14"/>
                <w:lang w:val="en-US" w:eastAsia="zh-CN" w:bidi="ar-SA"/>
              </w:rPr>
              <w:t>指标</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4"/>
                <w:lang w:val="en-US" w:eastAsia="zh-CN" w:bidi="ar-SA"/>
              </w:rPr>
            </w:pPr>
            <w:r>
              <w:rPr>
                <w:rFonts w:hint="eastAsia" w:ascii="宋体" w:hAnsi="宋体" w:eastAsia="宋体" w:cs="宋体"/>
                <w:i w:val="0"/>
                <w:color w:val="000000"/>
                <w:kern w:val="0"/>
                <w:sz w:val="20"/>
                <w:szCs w:val="20"/>
                <w:u w:val="none"/>
                <w:lang w:val="en-US" w:eastAsia="zh-CN" w:bidi="ar-SA"/>
              </w:rPr>
              <w:t>三</w:t>
            </w:r>
            <w:r>
              <w:rPr>
                <w:rStyle w:val="14"/>
                <w:lang w:val="en-US" w:eastAsia="zh-CN" w:bidi="ar-SA"/>
              </w:rPr>
              <w:t>级</w:t>
            </w:r>
          </w:p>
          <w:p>
            <w:pPr>
              <w:widowControl/>
              <w:jc w:val="center"/>
              <w:textAlignment w:val="center"/>
              <w:rPr>
                <w:rFonts w:hint="eastAsia" w:ascii="宋体" w:hAnsi="宋体" w:eastAsia="宋体" w:cs="宋体"/>
                <w:i w:val="0"/>
                <w:color w:val="000000"/>
                <w:sz w:val="20"/>
                <w:szCs w:val="20"/>
                <w:u w:val="none"/>
              </w:rPr>
            </w:pPr>
            <w:r>
              <w:rPr>
                <w:rStyle w:val="14"/>
                <w:lang w:val="en-US" w:eastAsia="zh-CN" w:bidi="ar-SA"/>
              </w:rPr>
              <w:t>指标</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指标值</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w:t>
            </w:r>
            <w:r>
              <w:rPr>
                <w:rStyle w:val="14"/>
                <w:lang w:val="en-US" w:eastAsia="zh-CN" w:bidi="ar-SA"/>
              </w:rPr>
              <w:t>值</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分值</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得分</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指标解释</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评</w:t>
            </w:r>
            <w:r>
              <w:rPr>
                <w:rStyle w:val="15"/>
                <w:lang w:val="en-US" w:eastAsia="zh-CN" w:bidi="ar-SA"/>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49" w:hRule="atLeast"/>
        </w:trPr>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预算管理情况（20）</w:t>
            </w: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财务管理（4）</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财务管理制度健全性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color w:val="000000"/>
                <w:sz w:val="18"/>
                <w:szCs w:val="18"/>
                <w:u w:val="none"/>
              </w:rPr>
              <w:t>财务制度是否健全　</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《财务制度汇编》和《内部控制手册》涵盖了机关全部日常财务行为，使各种日常财务工作有了明确制度依据和参考流程，充实了机关内控管理内容</w:t>
            </w:r>
            <w:r>
              <w:rPr>
                <w:rStyle w:val="14"/>
                <w:lang w:val="en-US" w:eastAsia="zh-CN" w:bidi="ar-SA"/>
              </w:rPr>
              <w:t>　</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财务管理制度健全性:</w:t>
            </w:r>
            <w:r>
              <w:rPr>
                <w:rStyle w:val="15"/>
                <w:lang w:val="en-US" w:eastAsia="zh-CN" w:bidi="ar-SA"/>
              </w:rPr>
              <w:t>部门（单位）为加强财务管理、规范财务行为而制定的管理制度。</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36"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资金使用合规性和安全性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color w:val="000000"/>
                <w:sz w:val="18"/>
                <w:szCs w:val="18"/>
                <w:u w:val="none"/>
              </w:rPr>
              <w:t>资金使用合规、安全</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预算资金的使用符合相关预算财务管理制度的规定，符合相关规定的开支范围，不存在截留、挤占、挪用情况，涉及政府采购的支出符合政府采购程序和流程，公务卡结算符合相关制度和规定。</w:t>
            </w:r>
            <w:r>
              <w:rPr>
                <w:rStyle w:val="14"/>
                <w:lang w:val="en-US" w:eastAsia="zh-CN" w:bidi="ar-SA"/>
              </w:rPr>
              <w:t>　</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资金使用合规性和安全性:</w:t>
            </w:r>
            <w:r>
              <w:rPr>
                <w:rStyle w:val="15"/>
                <w:lang w:val="en-US" w:eastAsia="zh-CN" w:bidi="ar-SA"/>
              </w:rPr>
              <w:t>部门（单位）使用预算资金是否符合相关的预算财务管理制度的规定，是否符合相关规定的开支范围，用以反映考核部门（单位）预算资金的规范运行和安全运行情况。</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68"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会计基础信息完善性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color w:val="000000"/>
                <w:sz w:val="18"/>
                <w:szCs w:val="18"/>
                <w:u w:val="none"/>
              </w:rPr>
              <w:t>会计基础信息是否完整　</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会计基础数据信息资料真实完整准确　</w:t>
            </w:r>
            <w:r>
              <w:rPr>
                <w:rStyle w:val="14"/>
                <w:lang w:val="en-US" w:eastAsia="zh-CN" w:bidi="ar-SA"/>
              </w:rPr>
              <w:t>　</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会计基础信息完善性:</w:t>
            </w:r>
            <w:r>
              <w:rPr>
                <w:rStyle w:val="15"/>
                <w:lang w:val="en-US" w:eastAsia="zh-CN" w:bidi="ar-SA"/>
              </w:rPr>
              <w:t>部门（单位）会计基础信息情况。</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资产管理（4）</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资产管理规范性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color w:val="000000"/>
                <w:sz w:val="18"/>
                <w:szCs w:val="18"/>
                <w:u w:val="none"/>
              </w:rPr>
              <w:t>资产管理是否规范</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资产保持安全完整，资产配置符合资产相关管理规定，资产处置按照资产管理办法执行。</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资产管理规范性:</w:t>
            </w:r>
            <w:r>
              <w:rPr>
                <w:rStyle w:val="15"/>
                <w:lang w:val="en-US" w:eastAsia="zh-CN" w:bidi="ar-SA"/>
              </w:rPr>
              <w:t>部门（单位）的资产是否保持安全完整，资产配置是否合理，资产使用和资产处理是否规范，用以反映和考核部门（单位）资产管理的整体水平。</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绩效管理（4）</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绩效管理情况</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color w:val="000000"/>
                <w:sz w:val="18"/>
                <w:szCs w:val="18"/>
                <w:u w:val="none"/>
              </w:rPr>
              <w:t>绩效管理信息汇总和应用情况</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能够全面完成年度绩效目标，绩效资料齐全。</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绩效管理情况:</w:t>
            </w:r>
            <w:r>
              <w:rPr>
                <w:rStyle w:val="15"/>
                <w:lang w:val="en-US" w:eastAsia="zh-CN" w:bidi="ar-SA"/>
              </w:rPr>
              <w:t>考核部门（单位）在绩效管理信息的汇总和应用情况。</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指标　</w:t>
            </w:r>
          </w:p>
        </w:tc>
        <w:tc>
          <w:tcPr>
            <w:tcW w:w="222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2021</w:t>
            </w:r>
            <w:r>
              <w:rPr>
                <w:rStyle w:val="14"/>
                <w:lang w:val="en-US" w:eastAsia="zh-CN" w:bidi="ar-SA"/>
              </w:rPr>
              <w:t>年</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w:t>
            </w:r>
            <w:r>
              <w:rPr>
                <w:rStyle w:val="14"/>
                <w:lang w:val="en-US" w:eastAsia="zh-CN" w:bidi="ar-SA"/>
              </w:rPr>
              <w:t>2年</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分值</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得分</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指标解释</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评</w:t>
            </w:r>
            <w:r>
              <w:rPr>
                <w:rStyle w:val="15"/>
                <w:lang w:val="en-US" w:eastAsia="zh-CN" w:bidi="ar-SA"/>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结转结余率（4）</w:t>
            </w:r>
          </w:p>
        </w:tc>
        <w:tc>
          <w:tcPr>
            <w:tcW w:w="2229"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6.32%</w:t>
            </w:r>
          </w:p>
        </w:tc>
        <w:tc>
          <w:tcPr>
            <w:tcW w:w="2161"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3.38%</w:t>
            </w:r>
          </w:p>
        </w:tc>
        <w:tc>
          <w:tcPr>
            <w:tcW w:w="688"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61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结转结余率=结转结余总额/支出预算数×100%。</w:t>
            </w:r>
          </w:p>
        </w:tc>
        <w:tc>
          <w:tcPr>
            <w:tcW w:w="388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both"/>
              <w:rPr>
                <w:rFonts w:hint="eastAsia" w:ascii="宋体" w:hAnsi="宋体" w:eastAsia="宋体" w:cs="宋体"/>
                <w:i w:val="0"/>
                <w:color w:val="000000"/>
                <w:sz w:val="20"/>
                <w:szCs w:val="20"/>
                <w:u w:val="none"/>
              </w:rPr>
            </w:pPr>
          </w:p>
        </w:tc>
        <w:tc>
          <w:tcPr>
            <w:tcW w:w="2229"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2161"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8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结转结余总额：部门（单位）本年度的结转资金与结余资金之和。</w:t>
            </w:r>
          </w:p>
        </w:tc>
        <w:tc>
          <w:tcPr>
            <w:tcW w:w="38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部门预决算差异率（4）</w:t>
            </w:r>
          </w:p>
        </w:tc>
        <w:tc>
          <w:tcPr>
            <w:tcW w:w="222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6.29%</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w:t>
            </w:r>
          </w:p>
        </w:tc>
        <w:tc>
          <w:tcPr>
            <w:tcW w:w="31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通过年度部门决算与年初部门预算对比，对部门的年度支出情况进行考核，衡量部门预算的约束力。</w:t>
            </w:r>
          </w:p>
        </w:tc>
        <w:tc>
          <w:tcPr>
            <w:tcW w:w="3884"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654"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合计</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92.97</w:t>
            </w:r>
          </w:p>
        </w:tc>
        <w:tc>
          <w:tcPr>
            <w:tcW w:w="7034"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18"/>
                <w:szCs w:val="18"/>
                <w:u w:val="none"/>
              </w:rPr>
            </w:pPr>
          </w:p>
        </w:tc>
      </w:tr>
    </w:tbl>
    <w:p>
      <w:pPr>
        <w:ind w:firstLine="0" w:firstLineChars="0"/>
        <w:rPr>
          <w:rFonts w:hint="eastAsia" w:ascii="仿宋_GB2312" w:hAnsi="宋体" w:eastAsia="仿宋" w:cs="宋体"/>
          <w:color w:val="000000"/>
          <w:kern w:val="0"/>
          <w:sz w:val="32"/>
          <w:szCs w:val="32"/>
          <w:lang w:val="en-US" w:eastAsia="zh-CN"/>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ind w:firstLine="360"/>
      <w:jc w:val="center"/>
      <w:rPr>
        <w:sz w:val="21"/>
        <w:szCs w:val="21"/>
      </w:rPr>
    </w:pPr>
    <w:r>
      <w:rPr>
        <w:rFonts w:ascii="Times New Roman" w:hAnsi="Times New Roman" w:eastAsia="宋体" w:cs="Times New Roman"/>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8"/>
                </w:pPr>
                <w:r>
                  <w:fldChar w:fldCharType="begin"/>
                </w:r>
                <w:r>
                  <w:instrText xml:space="preserve"> PAGE  \* MERGEFORMAT </w:instrText>
                </w:r>
                <w:r>
                  <w:fldChar w:fldCharType="separate"/>
                </w:r>
                <w:r>
                  <w:t>- 1 -</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339880839">
    <w:nsid w:val="C7128987"/>
    <w:multiLevelType w:val="singleLevel"/>
    <w:tmpl w:val="C7128987"/>
    <w:lvl w:ilvl="0" w:tentative="1">
      <w:start w:val="2"/>
      <w:numFmt w:val="chineseCounting"/>
      <w:suff w:val="nothing"/>
      <w:lvlText w:val="（%1）"/>
      <w:lvlJc w:val="left"/>
      <w:rPr>
        <w:rFonts w:hint="eastAsia"/>
      </w:rPr>
    </w:lvl>
  </w:abstractNum>
  <w:num w:numId="1">
    <w:abstractNumId w:val="33398808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k5YzQ3YTk2OWE3NmU4ZTNmNTQwMjRlMTFlNDIzMzIifQ=="/>
  </w:docVars>
  <w:rsids>
    <w:rsidRoot w:val="00000000"/>
    <w:rsid w:val="02742095"/>
    <w:rsid w:val="087D1C8A"/>
    <w:rsid w:val="09BD4C43"/>
    <w:rsid w:val="0B6C77CA"/>
    <w:rsid w:val="0FAA2363"/>
    <w:rsid w:val="13B62325"/>
    <w:rsid w:val="158C4D6A"/>
    <w:rsid w:val="1D9F610D"/>
    <w:rsid w:val="1E6D10E5"/>
    <w:rsid w:val="21FB5715"/>
    <w:rsid w:val="23385CD8"/>
    <w:rsid w:val="27393520"/>
    <w:rsid w:val="29DD532D"/>
    <w:rsid w:val="2F493D6F"/>
    <w:rsid w:val="314C5377"/>
    <w:rsid w:val="33D12E95"/>
    <w:rsid w:val="35D42B52"/>
    <w:rsid w:val="361258FE"/>
    <w:rsid w:val="3790083E"/>
    <w:rsid w:val="3AB16D71"/>
    <w:rsid w:val="3F411B4D"/>
    <w:rsid w:val="3FC85349"/>
    <w:rsid w:val="4018195C"/>
    <w:rsid w:val="42961005"/>
    <w:rsid w:val="469F284C"/>
    <w:rsid w:val="47176886"/>
    <w:rsid w:val="47A575FA"/>
    <w:rsid w:val="487C2A42"/>
    <w:rsid w:val="49741721"/>
    <w:rsid w:val="49F049D5"/>
    <w:rsid w:val="4ECB2773"/>
    <w:rsid w:val="5364642C"/>
    <w:rsid w:val="55F92B1E"/>
    <w:rsid w:val="577E4B20"/>
    <w:rsid w:val="59A77D29"/>
    <w:rsid w:val="59FE3934"/>
    <w:rsid w:val="5C494B03"/>
    <w:rsid w:val="5D8A6083"/>
    <w:rsid w:val="608A1A1F"/>
    <w:rsid w:val="62D03CBC"/>
    <w:rsid w:val="63AD498C"/>
    <w:rsid w:val="64AA5237"/>
    <w:rsid w:val="6A4E6CB6"/>
    <w:rsid w:val="74A32438"/>
    <w:rsid w:val="7794726C"/>
    <w:rsid w:val="78AA0246"/>
    <w:rsid w:val="7B4E623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next w:val="1"/>
    <w:qFormat/>
    <w:uiPriority w:val="0"/>
    <w:pPr>
      <w:keepNext/>
      <w:keepLines/>
      <w:widowControl w:val="0"/>
      <w:spacing w:before="260" w:after="260" w:line="412" w:lineRule="auto"/>
      <w:jc w:val="both"/>
      <w:outlineLvl w:val="1"/>
    </w:pPr>
    <w:rPr>
      <w:rFonts w:ascii="Arial" w:hAnsi="Arial" w:eastAsia="黑体" w:cs="Times New Roman"/>
      <w:b/>
      <w:kern w:val="2"/>
      <w:sz w:val="32"/>
      <w:szCs w:val="20"/>
      <w:lang w:val="en-US" w:eastAsia="zh-CN" w:bidi="ar-SA"/>
    </w:rPr>
  </w:style>
  <w:style w:type="character" w:default="1" w:styleId="10">
    <w:name w:val="Default Paragraph Font"/>
    <w:semiHidden/>
    <w:qFormat/>
    <w:uiPriority w:val="0"/>
  </w:style>
  <w:style w:type="table" w:default="1" w:styleId="12">
    <w:name w:val="Normal Table"/>
    <w:semiHidden/>
    <w:qFormat/>
    <w:uiPriority w:val="0"/>
    <w:tblPr>
      <w:tblStyle w:val="12"/>
      <w:tblLayout w:type="fixed"/>
      <w:tblCellMar>
        <w:top w:w="0" w:type="dxa"/>
        <w:left w:w="108" w:type="dxa"/>
        <w:bottom w:w="0" w:type="dxa"/>
        <w:right w:w="108" w:type="dxa"/>
      </w:tblCellMar>
    </w:tblPr>
    <w:tcPr>
      <w:textDirection w:val="lrTb"/>
    </w:tcPr>
  </w:style>
  <w:style w:type="paragraph" w:styleId="4">
    <w:name w:val="Normal Indent"/>
    <w:basedOn w:val="1"/>
    <w:qFormat/>
    <w:uiPriority w:val="0"/>
    <w:pPr>
      <w:ind w:firstLine="200" w:firstLineChars="200"/>
    </w:pPr>
  </w:style>
  <w:style w:type="paragraph" w:styleId="5">
    <w:name w:val="annotation text"/>
    <w:basedOn w:val="1"/>
    <w:qFormat/>
    <w:uiPriority w:val="0"/>
    <w:pPr>
      <w:jc w:val="left"/>
    </w:pPr>
    <w:rPr>
      <w:rFonts w:ascii="Times New Roman" w:hAnsi="Times New Roman" w:eastAsia="宋体" w:cs="Times New Roman"/>
    </w:rPr>
  </w:style>
  <w:style w:type="paragraph" w:styleId="6">
    <w:name w:val="Body Text"/>
    <w:basedOn w:val="1"/>
    <w:qFormat/>
    <w:uiPriority w:val="0"/>
  </w:style>
  <w:style w:type="paragraph" w:styleId="7">
    <w:name w:val="Block Text"/>
    <w:basedOn w:val="1"/>
    <w:qFormat/>
    <w:uiPriority w:val="0"/>
    <w:pPr>
      <w:spacing w:after="120"/>
      <w:ind w:left="700" w:leftChars="700" w:right="700" w:rightChars="7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uiPriority w:val="0"/>
    <w:rPr>
      <w:rFonts w:ascii="Times New Roman" w:hAnsi="Times New Roman" w:eastAsia="宋体" w:cs="Times New Roman"/>
    </w:rPr>
  </w:style>
  <w:style w:type="character" w:customStyle="1" w:styleId="13">
    <w:name w:val="font41"/>
    <w:basedOn w:val="10"/>
    <w:uiPriority w:val="0"/>
    <w:rPr>
      <w:rFonts w:hint="eastAsia" w:ascii="方正小标宋简体" w:hAnsi="方正小标宋简体" w:eastAsia="方正小标宋简体" w:cs="方正小标宋简体"/>
      <w:color w:val="000000"/>
      <w:sz w:val="44"/>
      <w:szCs w:val="44"/>
      <w:u w:val="none"/>
    </w:rPr>
  </w:style>
  <w:style w:type="character" w:customStyle="1" w:styleId="14">
    <w:name w:val="font21"/>
    <w:basedOn w:val="10"/>
    <w:uiPriority w:val="0"/>
    <w:rPr>
      <w:rFonts w:hint="eastAsia" w:ascii="宋体" w:hAnsi="宋体" w:eastAsia="宋体" w:cs="宋体"/>
      <w:color w:val="000000"/>
      <w:sz w:val="20"/>
      <w:szCs w:val="20"/>
      <w:u w:val="none"/>
    </w:rPr>
  </w:style>
  <w:style w:type="character" w:customStyle="1" w:styleId="15">
    <w:name w:val="font31"/>
    <w:basedOn w:val="10"/>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8165</Words>
  <Characters>8600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2023-05-02T02:11:00Z</dcterms:created>
  <dc:creator>jscxw</dc:creator>
  <cp:lastModifiedBy>zhangqian</cp:lastModifiedBy>
  <dcterms:modified xsi:type="dcterms:W3CDTF">2023-05-19T05:48:39Z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EE9F5C5097804E3290084EAA93BCE522_12</vt:lpwstr>
  </property>
</Properties>
</file>