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52"/>
          <w:szCs w:val="52"/>
        </w:rPr>
      </w:pPr>
    </w:p>
    <w:p>
      <w:pPr>
        <w:jc w:val="center"/>
        <w:rPr>
          <w:sz w:val="52"/>
          <w:szCs w:val="52"/>
        </w:rPr>
      </w:pPr>
    </w:p>
    <w:p>
      <w:pPr>
        <w:jc w:val="center"/>
        <w:rPr>
          <w:rFonts w:ascii="黑体" w:hAnsi="黑体" w:eastAsia="黑体" w:cs="黑体"/>
          <w:b/>
          <w:bCs/>
          <w:sz w:val="52"/>
          <w:szCs w:val="52"/>
        </w:rPr>
      </w:pPr>
      <w:r>
        <w:rPr>
          <w:rFonts w:hint="eastAsia" w:ascii="黑体" w:hAnsi="黑体" w:eastAsia="黑体" w:cs="黑体"/>
          <w:b/>
          <w:bCs/>
          <w:sz w:val="52"/>
          <w:szCs w:val="52"/>
        </w:rPr>
        <w:t>北京市大兴区人民检察院</w:t>
      </w:r>
    </w:p>
    <w:p>
      <w:pPr>
        <w:jc w:val="center"/>
        <w:rPr>
          <w:rFonts w:ascii="黑体" w:hAnsi="黑体" w:eastAsia="黑体" w:cs="黑体"/>
          <w:b/>
          <w:bCs/>
          <w:sz w:val="52"/>
          <w:szCs w:val="52"/>
        </w:rPr>
      </w:pPr>
      <w:r>
        <w:rPr>
          <w:rFonts w:hint="eastAsia" w:ascii="黑体" w:hAnsi="黑体" w:eastAsia="黑体" w:cs="黑体"/>
          <w:b/>
          <w:bCs/>
          <w:sz w:val="52"/>
          <w:szCs w:val="52"/>
        </w:rPr>
        <w:t>部门整体绩效评价报告</w:t>
      </w:r>
    </w:p>
    <w:p>
      <w:pPr>
        <w:jc w:val="left"/>
        <w:rPr>
          <w:rFonts w:ascii="黑体" w:hAnsi="黑体" w:eastAsia="黑体" w:cs="黑体"/>
          <w:sz w:val="52"/>
          <w:szCs w:val="52"/>
        </w:rPr>
      </w:pPr>
    </w:p>
    <w:p>
      <w:pPr>
        <w:jc w:val="left"/>
        <w:rPr>
          <w:sz w:val="32"/>
          <w:szCs w:val="32"/>
        </w:rPr>
      </w:pPr>
    </w:p>
    <w:p>
      <w:pPr>
        <w:jc w:val="left"/>
        <w:rPr>
          <w:sz w:val="32"/>
          <w:szCs w:val="32"/>
        </w:rPr>
      </w:pPr>
    </w:p>
    <w:p>
      <w:pPr>
        <w:jc w:val="left"/>
        <w:rPr>
          <w:sz w:val="32"/>
          <w:szCs w:val="32"/>
        </w:rPr>
      </w:pPr>
    </w:p>
    <w:p>
      <w:pPr>
        <w:jc w:val="left"/>
        <w:rPr>
          <w:sz w:val="32"/>
          <w:szCs w:val="32"/>
        </w:rPr>
      </w:pPr>
    </w:p>
    <w:p>
      <w:pPr>
        <w:pStyle w:val="7"/>
      </w:pPr>
    </w:p>
    <w:p>
      <w:pPr>
        <w:jc w:val="left"/>
        <w:rPr>
          <w:rFonts w:ascii="宋体" w:hAnsi="宋体" w:cs="宋体"/>
          <w:sz w:val="32"/>
          <w:szCs w:val="32"/>
        </w:rPr>
      </w:pPr>
    </w:p>
    <w:p>
      <w:pPr>
        <w:pStyle w:val="8"/>
      </w:pPr>
    </w:p>
    <w:p>
      <w:pPr>
        <w:pStyle w:val="8"/>
      </w:pPr>
    </w:p>
    <w:p>
      <w:pPr>
        <w:pStyle w:val="8"/>
      </w:pPr>
    </w:p>
    <w:p>
      <w:pPr>
        <w:ind w:firstLine="626" w:firstLineChars="195"/>
        <w:rPr>
          <w:sz w:val="32"/>
          <w:szCs w:val="22"/>
          <w:u w:val="single"/>
        </w:rPr>
      </w:pPr>
      <w:r>
        <w:rPr>
          <w:rFonts w:hint="eastAsia"/>
          <w:b/>
          <w:sz w:val="32"/>
          <w:szCs w:val="22"/>
        </w:rPr>
        <w:t>部门</w:t>
      </w:r>
      <w:r>
        <w:rPr>
          <w:b/>
          <w:sz w:val="32"/>
          <w:szCs w:val="22"/>
        </w:rPr>
        <w:t>单位</w:t>
      </w:r>
      <w:r>
        <w:rPr>
          <w:rFonts w:hint="eastAsia"/>
          <w:b/>
          <w:sz w:val="32"/>
          <w:szCs w:val="22"/>
        </w:rPr>
        <w:t xml:space="preserve"> </w:t>
      </w:r>
      <w:r>
        <w:rPr>
          <w:bCs/>
          <w:sz w:val="32"/>
          <w:szCs w:val="22"/>
          <w:u w:val="single"/>
        </w:rPr>
        <w:t xml:space="preserve">  </w:t>
      </w:r>
      <w:r>
        <w:rPr>
          <w:rFonts w:hint="eastAsia"/>
          <w:bCs/>
          <w:sz w:val="32"/>
          <w:szCs w:val="22"/>
          <w:u w:val="single"/>
        </w:rPr>
        <w:t>北京市大兴区人民检察院</w:t>
      </w:r>
      <w:r>
        <w:rPr>
          <w:sz w:val="32"/>
          <w:szCs w:val="22"/>
          <w:u w:val="single"/>
        </w:rPr>
        <w:t xml:space="preserve">           </w:t>
      </w:r>
    </w:p>
    <w:p>
      <w:pPr>
        <w:spacing w:line="340" w:lineRule="exact"/>
        <w:ind w:firstLine="643" w:firstLineChars="200"/>
        <w:jc w:val="left"/>
        <w:rPr>
          <w:b/>
          <w:sz w:val="32"/>
          <w:szCs w:val="32"/>
        </w:rPr>
      </w:pPr>
    </w:p>
    <w:p>
      <w:pPr>
        <w:spacing w:line="340" w:lineRule="exact"/>
        <w:ind w:firstLine="643" w:firstLineChars="200"/>
        <w:jc w:val="left"/>
        <w:rPr>
          <w:b/>
          <w:sz w:val="32"/>
          <w:szCs w:val="32"/>
        </w:rPr>
      </w:pPr>
      <w:r>
        <w:rPr>
          <w:rFonts w:hint="eastAsia"/>
          <w:b/>
          <w:sz w:val="32"/>
          <w:szCs w:val="32"/>
        </w:rPr>
        <w:t>参与评价</w:t>
      </w:r>
    </w:p>
    <w:p>
      <w:pPr>
        <w:spacing w:line="340" w:lineRule="exact"/>
        <w:ind w:firstLine="643" w:firstLineChars="200"/>
        <w:jc w:val="left"/>
        <w:rPr>
          <w:b/>
          <w:sz w:val="32"/>
          <w:szCs w:val="20"/>
        </w:rPr>
      </w:pPr>
      <w:r>
        <w:rPr>
          <w:b/>
          <w:sz w:val="32"/>
          <w:szCs w:val="32"/>
        </w:rPr>
        <w:t xml:space="preserve">中介机构 </w:t>
      </w:r>
      <w:r>
        <w:rPr>
          <w:rFonts w:hint="eastAsia"/>
          <w:sz w:val="32"/>
          <w:szCs w:val="32"/>
          <w:u w:val="single"/>
        </w:rPr>
        <w:t xml:space="preserve">北京正衡东亚会计师事务所有限公司   </w:t>
      </w:r>
    </w:p>
    <w:p>
      <w:pPr>
        <w:rPr>
          <w:sz w:val="30"/>
          <w:szCs w:val="22"/>
          <w:u w:val="single"/>
        </w:rPr>
      </w:pPr>
    </w:p>
    <w:p>
      <w:pPr>
        <w:rPr>
          <w:sz w:val="30"/>
          <w:szCs w:val="22"/>
          <w:u w:val="single"/>
        </w:rPr>
      </w:pPr>
    </w:p>
    <w:p>
      <w:pPr>
        <w:rPr>
          <w:sz w:val="30"/>
          <w:szCs w:val="22"/>
          <w:u w:val="single"/>
        </w:rPr>
      </w:pPr>
    </w:p>
    <w:p>
      <w:pPr>
        <w:rPr>
          <w:sz w:val="30"/>
          <w:szCs w:val="22"/>
          <w:u w:val="single"/>
        </w:rPr>
      </w:pPr>
    </w:p>
    <w:p>
      <w:pPr>
        <w:rPr>
          <w:sz w:val="30"/>
          <w:szCs w:val="22"/>
          <w:u w:val="single"/>
        </w:rPr>
      </w:pPr>
    </w:p>
    <w:p>
      <w:pPr>
        <w:spacing w:line="360" w:lineRule="auto"/>
        <w:ind w:firstLine="2570" w:firstLineChars="800"/>
        <w:rPr>
          <w:b/>
          <w:sz w:val="32"/>
          <w:szCs w:val="32"/>
        </w:rPr>
        <w:sectPr>
          <w:footerReference r:id="rId5" w:type="first"/>
          <w:footerReference r:id="rId3" w:type="default"/>
          <w:footerReference r:id="rId4" w:type="even"/>
          <w:pgSz w:w="11906" w:h="16838"/>
          <w:pgMar w:top="1440" w:right="1800" w:bottom="1440" w:left="1800" w:header="851" w:footer="992" w:gutter="0"/>
          <w:cols w:space="720" w:num="1"/>
          <w:docGrid w:type="lines" w:linePitch="381" w:charSpace="0"/>
        </w:sectPr>
      </w:pPr>
      <w:r>
        <w:rPr>
          <w:b/>
          <w:sz w:val="32"/>
          <w:szCs w:val="32"/>
        </w:rPr>
        <w:t>二〇</w:t>
      </w:r>
      <w:r>
        <w:rPr>
          <w:rFonts w:hint="eastAsia"/>
          <w:b/>
          <w:sz w:val="32"/>
          <w:szCs w:val="32"/>
        </w:rPr>
        <w:t>二三</w:t>
      </w:r>
      <w:r>
        <w:rPr>
          <w:b/>
          <w:sz w:val="32"/>
          <w:szCs w:val="32"/>
        </w:rPr>
        <w:t>年</w:t>
      </w:r>
      <w:r>
        <w:rPr>
          <w:rFonts w:hint="eastAsia"/>
          <w:b/>
          <w:sz w:val="32"/>
          <w:szCs w:val="32"/>
        </w:rPr>
        <w:t>五</w:t>
      </w:r>
      <w:r>
        <w:rPr>
          <w:b/>
          <w:sz w:val="32"/>
          <w:szCs w:val="32"/>
        </w:rPr>
        <w:t>月</w:t>
      </w:r>
      <w:r>
        <w:rPr>
          <w:rFonts w:hint="eastAsia"/>
          <w:b/>
          <w:sz w:val="32"/>
          <w:szCs w:val="32"/>
          <w:lang w:eastAsia="zh-CN"/>
        </w:rPr>
        <w:t>二</w:t>
      </w:r>
      <w:r>
        <w:rPr>
          <w:rFonts w:hint="eastAsia"/>
          <w:b/>
          <w:sz w:val="32"/>
          <w:szCs w:val="32"/>
        </w:rPr>
        <w:t>十</w:t>
      </w:r>
      <w:r>
        <w:rPr>
          <w:rFonts w:hint="eastAsia"/>
          <w:b/>
          <w:sz w:val="32"/>
          <w:szCs w:val="32"/>
          <w:lang w:eastAsia="zh-CN"/>
        </w:rPr>
        <w:t>二</w:t>
      </w:r>
      <w:bookmarkStart w:id="25" w:name="_GoBack"/>
      <w:bookmarkEnd w:id="25"/>
      <w:r>
        <w:rPr>
          <w:b/>
          <w:sz w:val="32"/>
          <w:szCs w:val="32"/>
        </w:rPr>
        <w:t>日</w:t>
      </w:r>
    </w:p>
    <w:p>
      <w:pPr>
        <w:spacing w:line="560" w:lineRule="exact"/>
        <w:jc w:val="center"/>
        <w:rPr>
          <w:rFonts w:ascii="黑体" w:hAnsi="黑体" w:eastAsia="黑体" w:cs="黑体"/>
          <w:sz w:val="32"/>
          <w:szCs w:val="32"/>
        </w:rPr>
      </w:pPr>
      <w:r>
        <w:rPr>
          <w:rFonts w:hint="eastAsia" w:ascii="黑体" w:hAnsi="黑体" w:eastAsia="黑体" w:cs="黑体"/>
          <w:sz w:val="32"/>
          <w:szCs w:val="32"/>
        </w:rPr>
        <w:t>目 录</w:t>
      </w:r>
    </w:p>
    <w:sdt>
      <w:sdtPr>
        <w:rPr>
          <w:rFonts w:ascii="宋体" w:hAnsi="宋体"/>
        </w:rPr>
        <w:id w:val="147458671"/>
        <w15:color w:val="DBDBDB"/>
      </w:sdtPr>
      <w:sdtEndPr>
        <w:rPr>
          <w:rFonts w:ascii="宋体" w:hAnsi="宋体"/>
        </w:rPr>
      </w:sdtEndPr>
      <w:sdtContent>
        <w:p>
          <w:pPr>
            <w:jc w:val="center"/>
          </w:pPr>
        </w:p>
        <w:p>
          <w:pPr>
            <w:pStyle w:val="14"/>
            <w:tabs>
              <w:tab w:val="right" w:leader="dot" w:pos="8306"/>
              <w:tab w:val="clear" w:pos="8296"/>
            </w:tabs>
          </w:pPr>
          <w:r>
            <w:fldChar w:fldCharType="begin"/>
          </w:r>
          <w:r>
            <w:instrText xml:space="preserve">TOC \o "1-3" \h \u </w:instrText>
          </w:r>
          <w:r>
            <w:fldChar w:fldCharType="separate"/>
          </w:r>
          <w:r>
            <w:fldChar w:fldCharType="begin"/>
          </w:r>
          <w:r>
            <w:instrText xml:space="preserve"> HYPERLINK \l "_Toc7377" </w:instrText>
          </w:r>
          <w:r>
            <w:fldChar w:fldCharType="separate"/>
          </w:r>
          <w:r>
            <w:rPr>
              <w:rFonts w:hint="eastAsia" w:ascii="楷体" w:hAnsi="楷体" w:eastAsia="楷体" w:cs="楷体"/>
              <w:kern w:val="0"/>
              <w:sz w:val="32"/>
              <w:szCs w:val="32"/>
            </w:rPr>
            <w:t>一、部门概况</w:t>
          </w:r>
          <w:r>
            <w:rPr>
              <w:rFonts w:hint="eastAsia" w:ascii="楷体" w:hAnsi="楷体" w:eastAsia="楷体" w:cs="楷体"/>
              <w:sz w:val="32"/>
              <w:szCs w:val="32"/>
            </w:rPr>
            <w:tab/>
          </w:r>
          <w:r>
            <w:rPr>
              <w:rFonts w:hint="eastAsia" w:cs="仿宋"/>
              <w:b w:val="0"/>
              <w:bCs/>
              <w:sz w:val="32"/>
              <w:szCs w:val="32"/>
            </w:rPr>
            <w:fldChar w:fldCharType="begin"/>
          </w:r>
          <w:r>
            <w:rPr>
              <w:rFonts w:hint="eastAsia" w:cs="仿宋"/>
              <w:b w:val="0"/>
              <w:bCs/>
              <w:sz w:val="32"/>
              <w:szCs w:val="32"/>
            </w:rPr>
            <w:instrText xml:space="preserve"> PAGEREF _Toc7377 \h </w:instrText>
          </w:r>
          <w:r>
            <w:rPr>
              <w:rFonts w:hint="eastAsia" w:cs="仿宋"/>
              <w:b w:val="0"/>
              <w:bCs/>
              <w:sz w:val="32"/>
              <w:szCs w:val="32"/>
            </w:rPr>
            <w:fldChar w:fldCharType="separate"/>
          </w:r>
          <w:r>
            <w:rPr>
              <w:rFonts w:hint="eastAsia" w:cs="仿宋"/>
              <w:b w:val="0"/>
              <w:bCs/>
              <w:sz w:val="32"/>
              <w:szCs w:val="32"/>
            </w:rPr>
            <w:t>1</w:t>
          </w:r>
          <w:r>
            <w:rPr>
              <w:rFonts w:hint="eastAsia" w:cs="仿宋"/>
              <w:b w:val="0"/>
              <w:bCs/>
              <w:sz w:val="32"/>
              <w:szCs w:val="32"/>
            </w:rPr>
            <w:fldChar w:fldCharType="end"/>
          </w:r>
          <w:r>
            <w:rPr>
              <w:rFonts w:hint="eastAsia" w:cs="仿宋"/>
              <w:b w:val="0"/>
              <w:bCs/>
              <w:sz w:val="32"/>
              <w:szCs w:val="32"/>
            </w:rPr>
            <w:fldChar w:fldCharType="end"/>
          </w:r>
        </w:p>
        <w:p>
          <w:pPr>
            <w:pStyle w:val="16"/>
            <w:tabs>
              <w:tab w:val="right" w:leader="dot" w:pos="8306"/>
            </w:tabs>
            <w:rPr>
              <w:rFonts w:ascii="仿宋" w:hAnsi="仿宋" w:eastAsia="仿宋" w:cs="仿宋"/>
              <w:sz w:val="32"/>
              <w:szCs w:val="32"/>
            </w:rPr>
          </w:pPr>
          <w:r>
            <w:fldChar w:fldCharType="begin"/>
          </w:r>
          <w:r>
            <w:instrText xml:space="preserve"> HYPERLINK \l "_Toc27027" </w:instrText>
          </w:r>
          <w:r>
            <w:fldChar w:fldCharType="separate"/>
          </w:r>
          <w:r>
            <w:rPr>
              <w:rFonts w:hint="eastAsia" w:ascii="仿宋" w:hAnsi="仿宋" w:eastAsia="仿宋" w:cs="仿宋"/>
              <w:sz w:val="32"/>
              <w:szCs w:val="32"/>
            </w:rPr>
            <w:t>（一）机构设置及职责工作任务情况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_Toc27027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6"/>
            <w:tabs>
              <w:tab w:val="right" w:leader="dot" w:pos="8306"/>
            </w:tabs>
          </w:pPr>
          <w:r>
            <w:fldChar w:fldCharType="begin"/>
          </w:r>
          <w:r>
            <w:instrText xml:space="preserve"> HYPERLINK \l "_Toc2753" </w:instrText>
          </w:r>
          <w:r>
            <w:fldChar w:fldCharType="separate"/>
          </w:r>
          <w:r>
            <w:rPr>
              <w:rFonts w:hint="eastAsia" w:ascii="仿宋" w:hAnsi="仿宋" w:eastAsia="仿宋" w:cs="仿宋"/>
              <w:sz w:val="32"/>
              <w:szCs w:val="32"/>
            </w:rPr>
            <w:t>（二）部门整体绩效目标设立情况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_Toc2753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4"/>
            <w:tabs>
              <w:tab w:val="right" w:leader="dot" w:pos="8306"/>
              <w:tab w:val="clear" w:pos="8296"/>
            </w:tabs>
            <w:rPr>
              <w:rFonts w:ascii="楷体" w:hAnsi="楷体" w:eastAsia="楷体" w:cs="楷体"/>
              <w:sz w:val="32"/>
              <w:szCs w:val="32"/>
            </w:rPr>
          </w:pPr>
          <w:r>
            <w:fldChar w:fldCharType="begin"/>
          </w:r>
          <w:r>
            <w:instrText xml:space="preserve"> HYPERLINK \l "_Toc22792" </w:instrText>
          </w:r>
          <w:r>
            <w:fldChar w:fldCharType="separate"/>
          </w:r>
          <w:r>
            <w:rPr>
              <w:rFonts w:hint="eastAsia" w:ascii="楷体" w:hAnsi="楷体" w:eastAsia="楷体" w:cs="楷体"/>
              <w:kern w:val="0"/>
              <w:sz w:val="32"/>
              <w:szCs w:val="32"/>
            </w:rPr>
            <w:t>二、当年预算执行情况</w:t>
          </w:r>
          <w:r>
            <w:rPr>
              <w:rFonts w:hint="eastAsia" w:ascii="楷体" w:hAnsi="楷体" w:eastAsia="楷体" w:cs="楷体"/>
              <w:sz w:val="32"/>
              <w:szCs w:val="32"/>
            </w:rPr>
            <w:tab/>
          </w:r>
          <w:r>
            <w:rPr>
              <w:rFonts w:hint="eastAsia" w:cs="仿宋"/>
              <w:b w:val="0"/>
              <w:bCs/>
              <w:sz w:val="32"/>
              <w:szCs w:val="32"/>
            </w:rPr>
            <w:fldChar w:fldCharType="begin"/>
          </w:r>
          <w:r>
            <w:rPr>
              <w:rFonts w:hint="eastAsia" w:cs="仿宋"/>
              <w:b w:val="0"/>
              <w:bCs/>
              <w:sz w:val="32"/>
              <w:szCs w:val="32"/>
            </w:rPr>
            <w:instrText xml:space="preserve"> PAGEREF _Toc22792 \h </w:instrText>
          </w:r>
          <w:r>
            <w:rPr>
              <w:rFonts w:hint="eastAsia" w:cs="仿宋"/>
              <w:b w:val="0"/>
              <w:bCs/>
              <w:sz w:val="32"/>
              <w:szCs w:val="32"/>
            </w:rPr>
            <w:fldChar w:fldCharType="separate"/>
          </w:r>
          <w:r>
            <w:rPr>
              <w:rFonts w:hint="eastAsia" w:cs="仿宋"/>
              <w:b w:val="0"/>
              <w:bCs/>
              <w:sz w:val="32"/>
              <w:szCs w:val="32"/>
            </w:rPr>
            <w:t>5</w:t>
          </w:r>
          <w:r>
            <w:rPr>
              <w:rFonts w:hint="eastAsia" w:cs="仿宋"/>
              <w:b w:val="0"/>
              <w:bCs/>
              <w:sz w:val="32"/>
              <w:szCs w:val="32"/>
            </w:rPr>
            <w:fldChar w:fldCharType="end"/>
          </w:r>
          <w:r>
            <w:rPr>
              <w:rFonts w:hint="eastAsia" w:cs="仿宋"/>
              <w:b w:val="0"/>
              <w:bCs/>
              <w:sz w:val="32"/>
              <w:szCs w:val="32"/>
            </w:rPr>
            <w:fldChar w:fldCharType="end"/>
          </w:r>
        </w:p>
        <w:p>
          <w:pPr>
            <w:pStyle w:val="14"/>
            <w:tabs>
              <w:tab w:val="right" w:leader="dot" w:pos="8306"/>
              <w:tab w:val="clear" w:pos="8296"/>
            </w:tabs>
          </w:pPr>
          <w:r>
            <w:fldChar w:fldCharType="begin"/>
          </w:r>
          <w:r>
            <w:instrText xml:space="preserve"> HYPERLINK \l "_Toc16426" </w:instrText>
          </w:r>
          <w:r>
            <w:fldChar w:fldCharType="separate"/>
          </w:r>
          <w:r>
            <w:rPr>
              <w:rFonts w:hint="eastAsia" w:ascii="楷体" w:hAnsi="楷体" w:eastAsia="楷体" w:cs="楷体"/>
              <w:kern w:val="0"/>
              <w:sz w:val="32"/>
              <w:szCs w:val="32"/>
            </w:rPr>
            <w:t>三、整体绩效目标实现情况</w:t>
          </w:r>
          <w:r>
            <w:rPr>
              <w:rFonts w:hint="eastAsia" w:ascii="楷体" w:hAnsi="楷体" w:eastAsia="楷体" w:cs="楷体"/>
              <w:sz w:val="32"/>
              <w:szCs w:val="32"/>
            </w:rPr>
            <w:tab/>
          </w:r>
          <w:r>
            <w:rPr>
              <w:rFonts w:hint="eastAsia" w:cs="仿宋"/>
              <w:b w:val="0"/>
              <w:bCs/>
              <w:sz w:val="32"/>
              <w:szCs w:val="32"/>
            </w:rPr>
            <w:fldChar w:fldCharType="begin"/>
          </w:r>
          <w:r>
            <w:rPr>
              <w:rFonts w:hint="eastAsia" w:cs="仿宋"/>
              <w:b w:val="0"/>
              <w:bCs/>
              <w:sz w:val="32"/>
              <w:szCs w:val="32"/>
            </w:rPr>
            <w:instrText xml:space="preserve"> PAGEREF _Toc16426 \h </w:instrText>
          </w:r>
          <w:r>
            <w:rPr>
              <w:rFonts w:hint="eastAsia" w:cs="仿宋"/>
              <w:b w:val="0"/>
              <w:bCs/>
              <w:sz w:val="32"/>
              <w:szCs w:val="32"/>
            </w:rPr>
            <w:fldChar w:fldCharType="separate"/>
          </w:r>
          <w:r>
            <w:rPr>
              <w:rFonts w:hint="eastAsia" w:cs="仿宋"/>
              <w:b w:val="0"/>
              <w:bCs/>
              <w:sz w:val="32"/>
              <w:szCs w:val="32"/>
            </w:rPr>
            <w:t>5</w:t>
          </w:r>
          <w:r>
            <w:rPr>
              <w:rFonts w:hint="eastAsia" w:cs="仿宋"/>
              <w:b w:val="0"/>
              <w:bCs/>
              <w:sz w:val="32"/>
              <w:szCs w:val="32"/>
            </w:rPr>
            <w:fldChar w:fldCharType="end"/>
          </w:r>
          <w:r>
            <w:rPr>
              <w:rFonts w:hint="eastAsia" w:cs="仿宋"/>
              <w:b w:val="0"/>
              <w:bCs/>
              <w:sz w:val="32"/>
              <w:szCs w:val="32"/>
            </w:rPr>
            <w:fldChar w:fldCharType="end"/>
          </w:r>
        </w:p>
        <w:p>
          <w:pPr>
            <w:pStyle w:val="16"/>
            <w:tabs>
              <w:tab w:val="right" w:leader="dot" w:pos="8306"/>
            </w:tabs>
            <w:rPr>
              <w:rFonts w:ascii="仿宋" w:hAnsi="仿宋" w:eastAsia="仿宋" w:cs="仿宋"/>
              <w:sz w:val="32"/>
              <w:szCs w:val="32"/>
            </w:rPr>
          </w:pPr>
          <w:r>
            <w:fldChar w:fldCharType="begin"/>
          </w:r>
          <w:r>
            <w:instrText xml:space="preserve"> HYPERLINK \l "_Toc7824" </w:instrText>
          </w:r>
          <w:r>
            <w:fldChar w:fldCharType="separate"/>
          </w:r>
          <w:r>
            <w:rPr>
              <w:rFonts w:hint="eastAsia" w:ascii="仿宋" w:hAnsi="仿宋" w:eastAsia="仿宋" w:cs="仿宋"/>
              <w:sz w:val="32"/>
              <w:szCs w:val="32"/>
            </w:rPr>
            <w:t>（一）产出完成情况分析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_Toc7824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6"/>
            <w:tabs>
              <w:tab w:val="right" w:leader="dot" w:pos="8306"/>
            </w:tabs>
            <w:rPr>
              <w:rFonts w:ascii="仿宋" w:hAnsi="仿宋" w:eastAsia="仿宋" w:cs="仿宋"/>
              <w:sz w:val="32"/>
              <w:szCs w:val="32"/>
            </w:rPr>
          </w:pPr>
          <w:r>
            <w:fldChar w:fldCharType="begin"/>
          </w:r>
          <w:r>
            <w:instrText xml:space="preserve"> HYPERLINK \l "_Toc27371" </w:instrText>
          </w:r>
          <w:r>
            <w:fldChar w:fldCharType="separate"/>
          </w:r>
          <w:r>
            <w:rPr>
              <w:rFonts w:hint="eastAsia" w:ascii="仿宋" w:hAnsi="仿宋" w:eastAsia="仿宋" w:cs="仿宋"/>
              <w:sz w:val="32"/>
              <w:szCs w:val="32"/>
            </w:rPr>
            <w:t>（二）效果实现情况分析</w:t>
          </w:r>
          <w:r>
            <w:rPr>
              <w:rFonts w:hint="eastAsia" w:ascii="仿宋" w:hAnsi="仿宋" w:eastAsia="仿宋" w:cs="仿宋"/>
              <w:sz w:val="32"/>
              <w:szCs w:val="32"/>
            </w:rPr>
            <w:tab/>
          </w:r>
          <w:r>
            <w:rPr>
              <w:rFonts w:ascii="仿宋" w:hAnsi="仿宋" w:eastAsia="仿宋" w:cs="仿宋"/>
              <w:sz w:val="32"/>
              <w:szCs w:val="32"/>
            </w:rPr>
            <w:t>9</w:t>
          </w:r>
          <w:r>
            <w:rPr>
              <w:rFonts w:ascii="仿宋" w:hAnsi="仿宋" w:eastAsia="仿宋" w:cs="仿宋"/>
              <w:sz w:val="32"/>
              <w:szCs w:val="32"/>
            </w:rPr>
            <w:fldChar w:fldCharType="end"/>
          </w:r>
        </w:p>
        <w:p>
          <w:pPr>
            <w:pStyle w:val="14"/>
            <w:tabs>
              <w:tab w:val="right" w:leader="dot" w:pos="8306"/>
              <w:tab w:val="clear" w:pos="8296"/>
            </w:tabs>
            <w:rPr>
              <w:rFonts w:ascii="楷体" w:hAnsi="楷体" w:eastAsia="楷体" w:cs="楷体"/>
              <w:sz w:val="32"/>
              <w:szCs w:val="32"/>
            </w:rPr>
          </w:pPr>
          <w:r>
            <w:fldChar w:fldCharType="begin"/>
          </w:r>
          <w:r>
            <w:instrText xml:space="preserve"> HYPERLINK \l "_Toc9828" </w:instrText>
          </w:r>
          <w:r>
            <w:fldChar w:fldCharType="separate"/>
          </w:r>
          <w:r>
            <w:rPr>
              <w:rFonts w:hint="eastAsia" w:ascii="楷体" w:hAnsi="楷体" w:eastAsia="楷体" w:cs="楷体"/>
              <w:kern w:val="0"/>
              <w:sz w:val="32"/>
              <w:szCs w:val="32"/>
            </w:rPr>
            <w:t>四、预算管理情况分析</w:t>
          </w:r>
          <w:r>
            <w:rPr>
              <w:rFonts w:hint="eastAsia" w:ascii="楷体" w:hAnsi="楷体" w:eastAsia="楷体" w:cs="楷体"/>
              <w:sz w:val="32"/>
              <w:szCs w:val="32"/>
            </w:rPr>
            <w:tab/>
          </w:r>
          <w:r>
            <w:rPr>
              <w:rFonts w:cs="仿宋"/>
              <w:b w:val="0"/>
              <w:bCs/>
              <w:sz w:val="32"/>
              <w:szCs w:val="32"/>
            </w:rPr>
            <w:t>13</w:t>
          </w:r>
          <w:r>
            <w:rPr>
              <w:rFonts w:cs="仿宋"/>
              <w:b w:val="0"/>
              <w:bCs/>
              <w:sz w:val="32"/>
              <w:szCs w:val="32"/>
            </w:rPr>
            <w:fldChar w:fldCharType="end"/>
          </w:r>
        </w:p>
        <w:p>
          <w:pPr>
            <w:pStyle w:val="16"/>
            <w:tabs>
              <w:tab w:val="right" w:leader="dot" w:pos="8306"/>
            </w:tabs>
            <w:rPr>
              <w:rFonts w:ascii="仿宋" w:hAnsi="仿宋" w:eastAsia="仿宋" w:cs="仿宋"/>
              <w:sz w:val="32"/>
              <w:szCs w:val="32"/>
            </w:rPr>
          </w:pPr>
          <w:r>
            <w:fldChar w:fldCharType="begin"/>
          </w:r>
          <w:r>
            <w:instrText xml:space="preserve"> HYPERLINK \l "_Toc19654" </w:instrText>
          </w:r>
          <w:r>
            <w:fldChar w:fldCharType="separate"/>
          </w:r>
          <w:r>
            <w:rPr>
              <w:rFonts w:hint="eastAsia" w:ascii="仿宋" w:hAnsi="仿宋" w:eastAsia="仿宋" w:cs="仿宋"/>
              <w:sz w:val="32"/>
              <w:szCs w:val="32"/>
            </w:rPr>
            <w:t>（一）财务管理</w:t>
          </w:r>
          <w:r>
            <w:rPr>
              <w:rFonts w:hint="eastAsia" w:ascii="仿宋" w:hAnsi="仿宋" w:eastAsia="仿宋" w:cs="仿宋"/>
              <w:sz w:val="32"/>
              <w:szCs w:val="32"/>
            </w:rPr>
            <w:tab/>
          </w:r>
          <w:r>
            <w:rPr>
              <w:rFonts w:ascii="仿宋" w:hAnsi="仿宋" w:eastAsia="仿宋" w:cs="仿宋"/>
              <w:sz w:val="32"/>
              <w:szCs w:val="32"/>
            </w:rPr>
            <w:t>13</w:t>
          </w:r>
          <w:r>
            <w:rPr>
              <w:rFonts w:ascii="仿宋" w:hAnsi="仿宋" w:eastAsia="仿宋" w:cs="仿宋"/>
              <w:sz w:val="32"/>
              <w:szCs w:val="32"/>
            </w:rPr>
            <w:fldChar w:fldCharType="end"/>
          </w:r>
        </w:p>
        <w:p>
          <w:pPr>
            <w:pStyle w:val="16"/>
            <w:tabs>
              <w:tab w:val="right" w:leader="dot" w:pos="8306"/>
            </w:tabs>
            <w:rPr>
              <w:rFonts w:ascii="仿宋" w:hAnsi="仿宋" w:eastAsia="仿宋" w:cs="仿宋"/>
              <w:sz w:val="32"/>
              <w:szCs w:val="32"/>
            </w:rPr>
          </w:pPr>
          <w:r>
            <w:fldChar w:fldCharType="begin"/>
          </w:r>
          <w:r>
            <w:instrText xml:space="preserve"> HYPERLINK \l "_Toc24557" </w:instrText>
          </w:r>
          <w:r>
            <w:fldChar w:fldCharType="separate"/>
          </w:r>
          <w:r>
            <w:rPr>
              <w:rFonts w:hint="eastAsia" w:ascii="仿宋" w:hAnsi="仿宋" w:eastAsia="仿宋" w:cs="仿宋"/>
              <w:sz w:val="32"/>
              <w:szCs w:val="32"/>
            </w:rPr>
            <w:t>（二）资产管理</w:t>
          </w:r>
          <w:r>
            <w:rPr>
              <w:rFonts w:hint="eastAsia" w:ascii="仿宋" w:hAnsi="仿宋" w:eastAsia="仿宋" w:cs="仿宋"/>
              <w:sz w:val="32"/>
              <w:szCs w:val="32"/>
            </w:rPr>
            <w:tab/>
          </w:r>
          <w:r>
            <w:rPr>
              <w:rFonts w:ascii="仿宋" w:hAnsi="仿宋" w:eastAsia="仿宋" w:cs="仿宋"/>
              <w:sz w:val="32"/>
              <w:szCs w:val="32"/>
            </w:rPr>
            <w:t>15</w:t>
          </w:r>
          <w:r>
            <w:rPr>
              <w:rFonts w:ascii="仿宋" w:hAnsi="仿宋" w:eastAsia="仿宋" w:cs="仿宋"/>
              <w:sz w:val="32"/>
              <w:szCs w:val="32"/>
            </w:rPr>
            <w:fldChar w:fldCharType="end"/>
          </w:r>
        </w:p>
        <w:p>
          <w:pPr>
            <w:pStyle w:val="16"/>
            <w:tabs>
              <w:tab w:val="right" w:leader="dot" w:pos="8306"/>
            </w:tabs>
            <w:rPr>
              <w:rFonts w:ascii="仿宋" w:hAnsi="仿宋" w:eastAsia="仿宋" w:cs="仿宋"/>
              <w:sz w:val="32"/>
              <w:szCs w:val="32"/>
            </w:rPr>
          </w:pPr>
          <w:r>
            <w:fldChar w:fldCharType="begin"/>
          </w:r>
          <w:r>
            <w:instrText xml:space="preserve"> HYPERLINK \l "_Toc8583" </w:instrText>
          </w:r>
          <w:r>
            <w:fldChar w:fldCharType="separate"/>
          </w:r>
          <w:r>
            <w:rPr>
              <w:rFonts w:hint="eastAsia" w:ascii="仿宋" w:hAnsi="仿宋" w:eastAsia="仿宋" w:cs="仿宋"/>
              <w:sz w:val="32"/>
              <w:szCs w:val="32"/>
            </w:rPr>
            <w:t>（三）绩效管理</w:t>
          </w:r>
          <w:r>
            <w:rPr>
              <w:rFonts w:hint="eastAsia" w:ascii="仿宋" w:hAnsi="仿宋" w:eastAsia="仿宋" w:cs="仿宋"/>
              <w:sz w:val="32"/>
              <w:szCs w:val="32"/>
            </w:rPr>
            <w:tab/>
          </w:r>
          <w:r>
            <w:rPr>
              <w:rFonts w:ascii="仿宋" w:hAnsi="仿宋" w:eastAsia="仿宋" w:cs="仿宋"/>
              <w:sz w:val="32"/>
              <w:szCs w:val="32"/>
            </w:rPr>
            <w:t>16</w:t>
          </w:r>
          <w:r>
            <w:rPr>
              <w:rFonts w:ascii="仿宋" w:hAnsi="仿宋" w:eastAsia="仿宋" w:cs="仿宋"/>
              <w:sz w:val="32"/>
              <w:szCs w:val="32"/>
            </w:rPr>
            <w:fldChar w:fldCharType="end"/>
          </w:r>
        </w:p>
        <w:p>
          <w:pPr>
            <w:pStyle w:val="16"/>
            <w:tabs>
              <w:tab w:val="right" w:leader="dot" w:pos="8306"/>
            </w:tabs>
          </w:pPr>
          <w:r>
            <w:fldChar w:fldCharType="begin"/>
          </w:r>
          <w:r>
            <w:instrText xml:space="preserve"> HYPERLINK \l "_Toc28564" </w:instrText>
          </w:r>
          <w:r>
            <w:fldChar w:fldCharType="separate"/>
          </w:r>
          <w:r>
            <w:rPr>
              <w:rFonts w:hint="eastAsia" w:ascii="仿宋" w:hAnsi="仿宋" w:eastAsia="仿宋" w:cs="仿宋"/>
              <w:sz w:val="32"/>
              <w:szCs w:val="32"/>
            </w:rPr>
            <w:t>（四）部门预决算差异率</w:t>
          </w:r>
          <w:r>
            <w:rPr>
              <w:rFonts w:hint="eastAsia" w:ascii="仿宋" w:hAnsi="仿宋" w:eastAsia="仿宋" w:cs="仿宋"/>
              <w:sz w:val="32"/>
              <w:szCs w:val="32"/>
            </w:rPr>
            <w:tab/>
          </w:r>
          <w:r>
            <w:rPr>
              <w:rFonts w:ascii="仿宋" w:hAnsi="仿宋" w:eastAsia="仿宋" w:cs="仿宋"/>
              <w:sz w:val="32"/>
              <w:szCs w:val="32"/>
            </w:rPr>
            <w:t>16</w:t>
          </w:r>
          <w:r>
            <w:rPr>
              <w:rFonts w:ascii="仿宋" w:hAnsi="仿宋" w:eastAsia="仿宋" w:cs="仿宋"/>
              <w:sz w:val="32"/>
              <w:szCs w:val="32"/>
            </w:rPr>
            <w:fldChar w:fldCharType="end"/>
          </w:r>
        </w:p>
        <w:p>
          <w:pPr>
            <w:pStyle w:val="14"/>
            <w:tabs>
              <w:tab w:val="right" w:leader="dot" w:pos="8306"/>
              <w:tab w:val="clear" w:pos="8296"/>
            </w:tabs>
          </w:pPr>
          <w:r>
            <w:fldChar w:fldCharType="begin"/>
          </w:r>
          <w:r>
            <w:instrText xml:space="preserve"> HYPERLINK \l "_Toc16996" </w:instrText>
          </w:r>
          <w:r>
            <w:fldChar w:fldCharType="separate"/>
          </w:r>
          <w:r>
            <w:rPr>
              <w:rFonts w:hint="eastAsia" w:ascii="楷体" w:hAnsi="楷体" w:eastAsia="楷体" w:cs="楷体"/>
              <w:sz w:val="32"/>
              <w:szCs w:val="32"/>
            </w:rPr>
            <w:t>五、总体评价结论</w:t>
          </w:r>
          <w:r>
            <w:rPr>
              <w:rFonts w:hint="eastAsia" w:ascii="楷体" w:hAnsi="楷体" w:eastAsia="楷体" w:cs="楷体"/>
              <w:sz w:val="32"/>
              <w:szCs w:val="32"/>
            </w:rPr>
            <w:tab/>
          </w:r>
          <w:r>
            <w:rPr>
              <w:rFonts w:hint="eastAsia" w:cs="仿宋"/>
              <w:b w:val="0"/>
              <w:bCs/>
              <w:sz w:val="32"/>
              <w:szCs w:val="32"/>
            </w:rPr>
            <w:fldChar w:fldCharType="begin"/>
          </w:r>
          <w:r>
            <w:rPr>
              <w:rFonts w:hint="eastAsia" w:cs="仿宋"/>
              <w:b w:val="0"/>
              <w:bCs/>
              <w:sz w:val="32"/>
              <w:szCs w:val="32"/>
            </w:rPr>
            <w:instrText xml:space="preserve"> PAGEREF _Toc16996 \h </w:instrText>
          </w:r>
          <w:r>
            <w:rPr>
              <w:rFonts w:hint="eastAsia" w:cs="仿宋"/>
              <w:b w:val="0"/>
              <w:bCs/>
              <w:sz w:val="32"/>
              <w:szCs w:val="32"/>
            </w:rPr>
            <w:fldChar w:fldCharType="separate"/>
          </w:r>
          <w:r>
            <w:rPr>
              <w:rFonts w:hint="eastAsia" w:cs="仿宋"/>
              <w:b w:val="0"/>
              <w:bCs/>
              <w:sz w:val="32"/>
              <w:szCs w:val="32"/>
            </w:rPr>
            <w:t>16</w:t>
          </w:r>
          <w:r>
            <w:rPr>
              <w:rFonts w:hint="eastAsia" w:cs="仿宋"/>
              <w:b w:val="0"/>
              <w:bCs/>
              <w:sz w:val="32"/>
              <w:szCs w:val="32"/>
            </w:rPr>
            <w:fldChar w:fldCharType="end"/>
          </w:r>
          <w:r>
            <w:rPr>
              <w:rFonts w:hint="eastAsia" w:cs="仿宋"/>
              <w:b w:val="0"/>
              <w:bCs/>
              <w:sz w:val="32"/>
              <w:szCs w:val="32"/>
            </w:rPr>
            <w:fldChar w:fldCharType="end"/>
          </w:r>
        </w:p>
        <w:p>
          <w:pPr>
            <w:pStyle w:val="16"/>
            <w:tabs>
              <w:tab w:val="right" w:leader="dot" w:pos="8306"/>
            </w:tabs>
            <w:rPr>
              <w:rFonts w:ascii="仿宋" w:hAnsi="仿宋" w:eastAsia="仿宋" w:cs="仿宋"/>
              <w:sz w:val="32"/>
              <w:szCs w:val="32"/>
            </w:rPr>
          </w:pPr>
          <w:r>
            <w:fldChar w:fldCharType="begin"/>
          </w:r>
          <w:r>
            <w:instrText xml:space="preserve"> HYPERLINK \l "_Toc23988" </w:instrText>
          </w:r>
          <w:r>
            <w:fldChar w:fldCharType="separate"/>
          </w:r>
          <w:r>
            <w:rPr>
              <w:rFonts w:hint="eastAsia" w:ascii="仿宋" w:hAnsi="仿宋" w:eastAsia="仿宋" w:cs="仿宋"/>
              <w:sz w:val="32"/>
              <w:szCs w:val="32"/>
            </w:rPr>
            <w:t>（一）评价得分情况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_Toc23988 \h </w:instrText>
          </w:r>
          <w:r>
            <w:rPr>
              <w:rFonts w:hint="eastAsia" w:ascii="仿宋" w:hAnsi="仿宋" w:eastAsia="仿宋" w:cs="仿宋"/>
              <w:sz w:val="32"/>
              <w:szCs w:val="32"/>
            </w:rPr>
            <w:fldChar w:fldCharType="separate"/>
          </w:r>
          <w:r>
            <w:rPr>
              <w:rFonts w:hint="eastAsia" w:ascii="仿宋" w:hAnsi="仿宋" w:eastAsia="仿宋" w:cs="仿宋"/>
              <w:sz w:val="32"/>
              <w:szCs w:val="32"/>
            </w:rPr>
            <w:t>16</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6"/>
            <w:tabs>
              <w:tab w:val="right" w:leader="dot" w:pos="8306"/>
            </w:tabs>
          </w:pPr>
          <w:r>
            <w:fldChar w:fldCharType="begin"/>
          </w:r>
          <w:r>
            <w:instrText xml:space="preserve"> HYPERLINK \l "_Toc21942" </w:instrText>
          </w:r>
          <w:r>
            <w:fldChar w:fldCharType="separate"/>
          </w:r>
          <w:r>
            <w:rPr>
              <w:rFonts w:hint="eastAsia" w:ascii="仿宋" w:hAnsi="仿宋" w:eastAsia="仿宋" w:cs="仿宋"/>
              <w:sz w:val="32"/>
              <w:szCs w:val="32"/>
            </w:rPr>
            <w:t>（二）存在的问题及原因分析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_Toc21942 \h </w:instrText>
          </w:r>
          <w:r>
            <w:rPr>
              <w:rFonts w:hint="eastAsia" w:ascii="仿宋" w:hAnsi="仿宋" w:eastAsia="仿宋" w:cs="仿宋"/>
              <w:sz w:val="32"/>
              <w:szCs w:val="32"/>
            </w:rPr>
            <w:fldChar w:fldCharType="separate"/>
          </w:r>
          <w:r>
            <w:rPr>
              <w:rFonts w:hint="eastAsia" w:ascii="仿宋" w:hAnsi="仿宋" w:eastAsia="仿宋" w:cs="仿宋"/>
              <w:sz w:val="32"/>
              <w:szCs w:val="32"/>
            </w:rPr>
            <w:t>17</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4"/>
            <w:tabs>
              <w:tab w:val="right" w:leader="dot" w:pos="8306"/>
              <w:tab w:val="clear" w:pos="8296"/>
            </w:tabs>
            <w:rPr>
              <w:rFonts w:ascii="楷体" w:hAnsi="楷体" w:eastAsia="楷体" w:cs="楷体"/>
              <w:sz w:val="32"/>
              <w:szCs w:val="32"/>
            </w:rPr>
          </w:pPr>
          <w:r>
            <w:fldChar w:fldCharType="begin"/>
          </w:r>
          <w:r>
            <w:instrText xml:space="preserve"> HYPERLINK \l "_Toc16460" </w:instrText>
          </w:r>
          <w:r>
            <w:fldChar w:fldCharType="separate"/>
          </w:r>
          <w:r>
            <w:rPr>
              <w:rFonts w:hint="eastAsia" w:ascii="楷体" w:hAnsi="楷体" w:eastAsia="楷体" w:cs="楷体"/>
              <w:kern w:val="0"/>
              <w:sz w:val="32"/>
              <w:szCs w:val="32"/>
            </w:rPr>
            <w:t>六、措施建议</w:t>
          </w:r>
          <w:r>
            <w:rPr>
              <w:rFonts w:hint="eastAsia" w:ascii="楷体" w:hAnsi="楷体" w:eastAsia="楷体" w:cs="楷体"/>
              <w:sz w:val="32"/>
              <w:szCs w:val="32"/>
            </w:rPr>
            <w:tab/>
          </w:r>
          <w:r>
            <w:rPr>
              <w:rFonts w:hint="eastAsia" w:cs="仿宋"/>
              <w:b w:val="0"/>
              <w:bCs/>
              <w:sz w:val="32"/>
              <w:szCs w:val="32"/>
            </w:rPr>
            <w:fldChar w:fldCharType="begin"/>
          </w:r>
          <w:r>
            <w:rPr>
              <w:rFonts w:hint="eastAsia" w:cs="仿宋"/>
              <w:b w:val="0"/>
              <w:bCs/>
              <w:sz w:val="32"/>
              <w:szCs w:val="32"/>
            </w:rPr>
            <w:instrText xml:space="preserve"> PAGEREF _Toc16460 \h </w:instrText>
          </w:r>
          <w:r>
            <w:rPr>
              <w:rFonts w:hint="eastAsia" w:cs="仿宋"/>
              <w:b w:val="0"/>
              <w:bCs/>
              <w:sz w:val="32"/>
              <w:szCs w:val="32"/>
            </w:rPr>
            <w:fldChar w:fldCharType="separate"/>
          </w:r>
          <w:r>
            <w:rPr>
              <w:rFonts w:hint="eastAsia" w:cs="仿宋"/>
              <w:b w:val="0"/>
              <w:bCs/>
              <w:sz w:val="32"/>
              <w:szCs w:val="32"/>
            </w:rPr>
            <w:t>18</w:t>
          </w:r>
          <w:r>
            <w:rPr>
              <w:rFonts w:hint="eastAsia" w:cs="仿宋"/>
              <w:b w:val="0"/>
              <w:bCs/>
              <w:sz w:val="32"/>
              <w:szCs w:val="32"/>
            </w:rPr>
            <w:fldChar w:fldCharType="end"/>
          </w:r>
          <w:r>
            <w:rPr>
              <w:rFonts w:hint="eastAsia" w:cs="仿宋"/>
              <w:b w:val="0"/>
              <w:bCs/>
              <w:sz w:val="32"/>
              <w:szCs w:val="32"/>
            </w:rPr>
            <w:fldChar w:fldCharType="end"/>
          </w:r>
        </w:p>
        <w:p>
          <w:pPr>
            <w:pStyle w:val="14"/>
            <w:tabs>
              <w:tab w:val="right" w:leader="dot" w:pos="8306"/>
              <w:tab w:val="clear" w:pos="8296"/>
            </w:tabs>
            <w:rPr>
              <w:rFonts w:ascii="楷体" w:hAnsi="楷体" w:eastAsia="楷体" w:cs="楷体"/>
              <w:sz w:val="32"/>
              <w:szCs w:val="32"/>
            </w:rPr>
          </w:pPr>
          <w:r>
            <w:fldChar w:fldCharType="begin"/>
          </w:r>
          <w:r>
            <w:instrText xml:space="preserve"> HYPERLINK \l "_Toc25191" </w:instrText>
          </w:r>
          <w:r>
            <w:fldChar w:fldCharType="separate"/>
          </w:r>
          <w:r>
            <w:rPr>
              <w:rFonts w:hint="eastAsia" w:ascii="楷体" w:hAnsi="楷体" w:eastAsia="楷体" w:cs="楷体"/>
              <w:bCs/>
              <w:kern w:val="0"/>
              <w:sz w:val="32"/>
              <w:szCs w:val="32"/>
            </w:rPr>
            <w:t>七、附件</w:t>
          </w:r>
          <w:r>
            <w:rPr>
              <w:rFonts w:hint="eastAsia" w:ascii="楷体" w:hAnsi="楷体" w:eastAsia="楷体" w:cs="楷体"/>
              <w:sz w:val="32"/>
              <w:szCs w:val="32"/>
            </w:rPr>
            <w:tab/>
          </w:r>
          <w:r>
            <w:rPr>
              <w:rFonts w:hint="eastAsia" w:cs="仿宋"/>
              <w:b w:val="0"/>
              <w:bCs/>
              <w:sz w:val="32"/>
              <w:szCs w:val="32"/>
            </w:rPr>
            <w:fldChar w:fldCharType="begin"/>
          </w:r>
          <w:r>
            <w:rPr>
              <w:rFonts w:hint="eastAsia" w:cs="仿宋"/>
              <w:b w:val="0"/>
              <w:bCs/>
              <w:sz w:val="32"/>
              <w:szCs w:val="32"/>
            </w:rPr>
            <w:instrText xml:space="preserve"> PAGEREF _Toc25191 \h </w:instrText>
          </w:r>
          <w:r>
            <w:rPr>
              <w:rFonts w:hint="eastAsia" w:cs="仿宋"/>
              <w:b w:val="0"/>
              <w:bCs/>
              <w:sz w:val="32"/>
              <w:szCs w:val="32"/>
            </w:rPr>
            <w:fldChar w:fldCharType="separate"/>
          </w:r>
          <w:r>
            <w:rPr>
              <w:rFonts w:hint="eastAsia" w:cs="仿宋"/>
              <w:b w:val="0"/>
              <w:bCs/>
              <w:sz w:val="32"/>
              <w:szCs w:val="32"/>
            </w:rPr>
            <w:t>18</w:t>
          </w:r>
          <w:r>
            <w:rPr>
              <w:rFonts w:hint="eastAsia" w:cs="仿宋"/>
              <w:b w:val="0"/>
              <w:bCs/>
              <w:sz w:val="32"/>
              <w:szCs w:val="32"/>
            </w:rPr>
            <w:fldChar w:fldCharType="end"/>
          </w:r>
          <w:r>
            <w:rPr>
              <w:rFonts w:hint="eastAsia" w:cs="仿宋"/>
              <w:b w:val="0"/>
              <w:bCs/>
              <w:sz w:val="32"/>
              <w:szCs w:val="32"/>
            </w:rPr>
            <w:fldChar w:fldCharType="end"/>
          </w:r>
        </w:p>
        <w:p>
          <w:pPr>
            <w:widowControl/>
            <w:spacing w:line="500" w:lineRule="exact"/>
            <w:jc w:val="left"/>
            <w:sectPr>
              <w:footerReference r:id="rId6" w:type="default"/>
              <w:pgSz w:w="11906" w:h="16838"/>
              <w:pgMar w:top="1440" w:right="1800" w:bottom="1440" w:left="1800" w:header="851" w:footer="992" w:gutter="0"/>
              <w:cols w:space="425" w:num="1"/>
              <w:docGrid w:type="lines" w:linePitch="312" w:charSpace="0"/>
            </w:sectPr>
          </w:pPr>
        </w:p>
        <w:p>
          <w:pPr>
            <w:widowControl/>
            <w:spacing w:line="500" w:lineRule="exact"/>
            <w:jc w:val="left"/>
            <w:rPr>
              <w:rFonts w:ascii="宋体" w:hAnsi="宋体"/>
            </w:rPr>
          </w:pPr>
          <w:r>
            <w:fldChar w:fldCharType="end"/>
          </w:r>
        </w:p>
      </w:sdtContent>
    </w:sdt>
    <w:p>
      <w:pPr>
        <w:spacing w:line="560" w:lineRule="exact"/>
        <w:jc w:val="center"/>
        <w:rPr>
          <w:rFonts w:ascii="黑体" w:hAnsi="黑体" w:eastAsia="黑体"/>
          <w:sz w:val="44"/>
          <w:szCs w:val="44"/>
        </w:rPr>
      </w:pPr>
      <w:r>
        <w:rPr>
          <w:rFonts w:hint="eastAsia" w:ascii="黑体" w:hAnsi="黑体" w:eastAsia="黑体"/>
          <w:sz w:val="44"/>
          <w:szCs w:val="44"/>
        </w:rPr>
        <w:t>北京市大兴区人民检察院</w:t>
      </w:r>
    </w:p>
    <w:p>
      <w:pPr>
        <w:spacing w:line="560" w:lineRule="exact"/>
        <w:jc w:val="center"/>
        <w:rPr>
          <w:rFonts w:ascii="黑体" w:hAnsi="黑体" w:eastAsia="黑体"/>
          <w:sz w:val="44"/>
          <w:szCs w:val="44"/>
        </w:rPr>
      </w:pPr>
      <w:r>
        <w:rPr>
          <w:rFonts w:hint="eastAsia" w:ascii="黑体" w:hAnsi="黑体" w:eastAsia="黑体"/>
          <w:sz w:val="44"/>
          <w:szCs w:val="44"/>
        </w:rPr>
        <w:t>部门整体绩效评价报告</w:t>
      </w:r>
    </w:p>
    <w:p>
      <w:pPr>
        <w:spacing w:before="156" w:beforeLines="50" w:line="360" w:lineRule="auto"/>
        <w:jc w:val="right"/>
        <w:rPr>
          <w:rFonts w:ascii="仿宋" w:hAnsi="仿宋" w:eastAsia="仿宋" w:cs="仿宋_GB2312"/>
          <w:sz w:val="30"/>
          <w:szCs w:val="30"/>
        </w:rPr>
      </w:pPr>
      <w:r>
        <w:rPr>
          <w:rFonts w:hint="eastAsia" w:ascii="仿宋" w:hAnsi="仿宋" w:eastAsia="仿宋" w:cs="仿宋_GB2312"/>
          <w:sz w:val="30"/>
          <w:szCs w:val="30"/>
        </w:rPr>
        <w:t>正衡东亚专审【20</w:t>
      </w:r>
      <w:r>
        <w:rPr>
          <w:rFonts w:ascii="仿宋" w:hAnsi="仿宋" w:eastAsia="仿宋" w:cs="仿宋_GB2312"/>
          <w:sz w:val="30"/>
          <w:szCs w:val="30"/>
        </w:rPr>
        <w:t>23</w:t>
      </w:r>
      <w:r>
        <w:rPr>
          <w:rFonts w:hint="eastAsia" w:ascii="仿宋" w:hAnsi="仿宋" w:eastAsia="仿宋" w:cs="仿宋_GB2312"/>
          <w:sz w:val="30"/>
          <w:szCs w:val="30"/>
        </w:rPr>
        <w:t>】0</w:t>
      </w:r>
      <w:r>
        <w:rPr>
          <w:rFonts w:ascii="仿宋" w:hAnsi="仿宋" w:eastAsia="仿宋" w:cs="仿宋_GB2312"/>
          <w:sz w:val="30"/>
          <w:szCs w:val="30"/>
        </w:rPr>
        <w:t>48</w:t>
      </w:r>
      <w:r>
        <w:rPr>
          <w:rFonts w:hint="eastAsia" w:ascii="仿宋" w:hAnsi="仿宋" w:eastAsia="仿宋" w:cs="仿宋_GB2312"/>
          <w:sz w:val="30"/>
          <w:szCs w:val="30"/>
        </w:rPr>
        <w:t>号</w:t>
      </w:r>
    </w:p>
    <w:p>
      <w:pPr>
        <w:spacing w:line="560" w:lineRule="exact"/>
        <w:ind w:firstLine="640" w:firstLineChars="200"/>
        <w:outlineLvl w:val="0"/>
        <w:rPr>
          <w:rFonts w:ascii="黑体" w:hAnsi="黑体" w:eastAsia="黑体" w:cs="宋体"/>
          <w:color w:val="000000"/>
          <w:kern w:val="0"/>
          <w:sz w:val="32"/>
          <w:szCs w:val="32"/>
        </w:rPr>
      </w:pPr>
      <w:bookmarkStart w:id="0" w:name="_Toc7377"/>
      <w:r>
        <w:rPr>
          <w:rFonts w:hint="eastAsia" w:ascii="黑体" w:hAnsi="黑体" w:eastAsia="黑体" w:cs="宋体"/>
          <w:color w:val="000000"/>
          <w:kern w:val="0"/>
          <w:sz w:val="32"/>
          <w:szCs w:val="32"/>
        </w:rPr>
        <w:t>一、部门概况</w:t>
      </w:r>
      <w:bookmarkEnd w:id="0"/>
    </w:p>
    <w:p>
      <w:pPr>
        <w:spacing w:line="560" w:lineRule="exact"/>
        <w:ind w:firstLine="640" w:firstLineChars="200"/>
        <w:outlineLvl w:val="1"/>
        <w:rPr>
          <w:rFonts w:ascii="楷体_GB2312" w:eastAsia="楷体_GB2312"/>
          <w:sz w:val="32"/>
          <w:szCs w:val="32"/>
        </w:rPr>
      </w:pPr>
      <w:bookmarkStart w:id="1" w:name="_Toc27027"/>
      <w:r>
        <w:rPr>
          <w:rFonts w:hint="eastAsia" w:ascii="楷体_GB2312" w:eastAsia="楷体_GB2312"/>
          <w:sz w:val="32"/>
          <w:szCs w:val="32"/>
        </w:rPr>
        <w:t>（一）机构设置及职责工作任务情况</w:t>
      </w:r>
      <w:bookmarkEnd w:id="1"/>
    </w:p>
    <w:p>
      <w:pPr>
        <w:adjustRightInd w:val="0"/>
        <w:snapToGrid w:val="0"/>
        <w:spacing w:line="560" w:lineRule="exact"/>
        <w:ind w:firstLine="640" w:firstLineChars="200"/>
        <w:rPr>
          <w:rFonts w:ascii="仿宋" w:hAnsi="仿宋" w:eastAsia="仿宋" w:cs="仿宋"/>
          <w:sz w:val="32"/>
          <w:szCs w:val="32"/>
        </w:rPr>
      </w:pPr>
      <w:r>
        <w:rPr>
          <w:rFonts w:hint="eastAsia" w:ascii="仿宋_GB2312" w:hAnsi="仿宋_GB2312" w:eastAsia="仿宋_GB2312" w:cs="仿宋_GB2312"/>
          <w:sz w:val="32"/>
          <w:szCs w:val="32"/>
        </w:rPr>
        <w:t>1.</w:t>
      </w:r>
      <w:r>
        <w:rPr>
          <w:rFonts w:hint="eastAsia" w:ascii="仿宋" w:hAnsi="仿宋" w:eastAsia="仿宋" w:cs="仿宋"/>
          <w:sz w:val="32"/>
          <w:szCs w:val="32"/>
        </w:rPr>
        <w:t>机构设置</w:t>
      </w:r>
    </w:p>
    <w:p>
      <w:pPr>
        <w:spacing w:line="560" w:lineRule="exact"/>
        <w:ind w:firstLine="640" w:firstLineChars="200"/>
        <w:rPr>
          <w:rFonts w:ascii="仿宋" w:hAnsi="仿宋" w:eastAsia="仿宋" w:cs="仿宋"/>
          <w:sz w:val="32"/>
          <w:szCs w:val="32"/>
        </w:rPr>
      </w:pPr>
      <w:bookmarkStart w:id="2" w:name="_Hlk128659689"/>
      <w:r>
        <w:rPr>
          <w:rFonts w:hint="eastAsia" w:ascii="仿宋" w:hAnsi="仿宋" w:eastAsia="仿宋" w:cs="仿宋"/>
          <w:sz w:val="32"/>
          <w:szCs w:val="32"/>
        </w:rPr>
        <w:t>北京市大兴区人民检察院为市一级预算单位。按照最高人民检察院批复，北京市大兴区人民检察院目前设置十一个部门：办公室（行政事务管理部）、政治部（机关党委、机关纪委）、第一检察部、第二检察部、第三检察部、第四检察部、第五检察部、第六检察部、第七检察部、第八检察部、检务督察部。两个派出机构：驻大兴区看守所检察室、经济技术开发区检察处。</w:t>
      </w:r>
    </w:p>
    <w:bookmarkEnd w:id="2"/>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北京市大兴区人民检察院2022年</w:t>
      </w:r>
      <w:r>
        <w:rPr>
          <w:rFonts w:hint="eastAsia" w:ascii="仿宋" w:hAnsi="仿宋" w:eastAsia="仿宋" w:cs="仿宋"/>
          <w:sz w:val="32"/>
          <w:szCs w:val="32"/>
          <w:lang w:eastAsia="zh-CN"/>
        </w:rPr>
        <w:t>度</w:t>
      </w:r>
      <w:r>
        <w:rPr>
          <w:rFonts w:hint="eastAsia" w:ascii="仿宋" w:hAnsi="仿宋" w:eastAsia="仿宋" w:cs="仿宋"/>
          <w:sz w:val="32"/>
          <w:szCs w:val="32"/>
        </w:rPr>
        <w:t>行政政法编制201人，实际184人；事业编制13人，实际10人；聘用人员（检察院聘任书记员、聘用制司法警察）编制49人，实际45人。离退休人员64人，其中：离休1人，退休63人。2</w:t>
      </w:r>
      <w:r>
        <w:rPr>
          <w:rFonts w:ascii="仿宋" w:hAnsi="仿宋" w:eastAsia="仿宋" w:cs="仿宋"/>
          <w:sz w:val="32"/>
          <w:szCs w:val="32"/>
        </w:rPr>
        <w:t>022</w:t>
      </w:r>
      <w:r>
        <w:rPr>
          <w:rFonts w:hint="eastAsia" w:ascii="仿宋" w:hAnsi="仿宋" w:eastAsia="仿宋" w:cs="仿宋"/>
          <w:sz w:val="32"/>
          <w:szCs w:val="32"/>
        </w:rPr>
        <w:t>年末实有人数195人，其中在职（含事业编10人）194人，离休1人，年初在职人数184人，年度净增加10人，其中在职增加10人，属于正常招录17人、调入1人，在职减少8人，属于正常调出人员2人，到龄退休6人。</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2.职责工作任务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大兴区人民检察院在本辖区内独立行使检察权，接受北京市人民检察院和中国共产党北京市大兴区委的领导，对本区人民代表大会及其常务委员会负责并报告工作。主要职责工作有：</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（1）负责受理审查本院管辖提请逮捕的案件。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（2）负责受理本院管辖提起公诉的案件，并出庭支持公诉。</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（3）负责对辖区内的民事、行政诉讼实行法律监督。</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（4）负责对辖区内公安机关侦查工作的法律监督。</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（5）负责对辖区内看守所、司法行政部门的刑事执行和监管活动进行法律监督。</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（6）负责辖区内民事、行政公益诉讼。</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（7）负责本院的党建工作和干部管理、教育培训及思想政治工作。</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（8）负责本院党的纪律检查和监察工作。</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（9）负责本院的财务、资产装备和后勤保障工作。</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（10）负责由上级人民检察院交办的其他工作。</w:t>
      </w:r>
    </w:p>
    <w:p>
      <w:pPr>
        <w:spacing w:line="560" w:lineRule="exact"/>
        <w:ind w:firstLine="640" w:firstLineChars="200"/>
        <w:outlineLvl w:val="1"/>
        <w:rPr>
          <w:rFonts w:ascii="楷体_GB2312" w:eastAsia="楷体_GB2312"/>
          <w:sz w:val="32"/>
          <w:szCs w:val="32"/>
        </w:rPr>
      </w:pPr>
      <w:bookmarkStart w:id="3" w:name="_Toc2753"/>
      <w:r>
        <w:rPr>
          <w:rFonts w:hint="eastAsia" w:ascii="楷体_GB2312" w:eastAsia="楷体_GB2312"/>
          <w:sz w:val="32"/>
          <w:szCs w:val="32"/>
        </w:rPr>
        <w:t>（二）部门整体绩效目标设立情况</w:t>
      </w:r>
      <w:bookmarkEnd w:id="3"/>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大兴区人民检察院2022年度部门整体绩效目标设置为：</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2022年，</w:t>
      </w:r>
      <w:r>
        <w:rPr>
          <w:rFonts w:hint="eastAsia" w:ascii="仿宋" w:hAnsi="仿宋" w:eastAsia="仿宋" w:cs="仿宋"/>
          <w:sz w:val="32"/>
          <w:szCs w:val="32"/>
          <w:lang w:eastAsia="zh-CN"/>
        </w:rPr>
        <w:t>系乡村振兴</w:t>
      </w:r>
      <w:r>
        <w:rPr>
          <w:rFonts w:hint="eastAsia" w:ascii="仿宋" w:hAnsi="仿宋" w:eastAsia="仿宋" w:cs="仿宋"/>
          <w:sz w:val="32"/>
          <w:szCs w:val="32"/>
        </w:rPr>
        <w:t>、扫黑除恶等专项工作转入常态化运行后的第二年，是应对全球经济下行压力、国际复杂多变形势、维稳安保任务繁重一年，面临北京冬奥会、党的二十大召开等重大活动，也是贯彻十九届六中全会精神、践行百年建党经验的第一年，对全院检察工作提出了新的更高要求。大兴区人民检察院区检察院将在区委和市检察院的领导下，以习近平新时代中国特色社会主义思想为指导，深入学习贯彻习近平法治思想，认真贯彻落实《中共中央关于加强新时代检察机关法律监督工作的意见》，依法忠实履行法律监督职责，以“平安大兴”“法治大兴”“和谐大兴”建设为目标，坚持将更强政治自觉落在更优业务成效上，为全区经济社会高质量发展，法治大兴建设做出更大贡献。</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立足思想建设，始终保持坚定的政治方向。深入学习贯彻习近平新时代中国特色社会主义思想和党的</w:t>
      </w:r>
      <w:r>
        <w:rPr>
          <w:rFonts w:hint="eastAsia" w:ascii="仿宋" w:hAnsi="仿宋" w:eastAsia="仿宋" w:cs="仿宋"/>
          <w:sz w:val="32"/>
          <w:szCs w:val="32"/>
          <w:lang w:eastAsia="zh-CN"/>
        </w:rPr>
        <w:t>二十大会议</w:t>
      </w:r>
      <w:r>
        <w:rPr>
          <w:rFonts w:hint="eastAsia" w:ascii="仿宋" w:hAnsi="仿宋" w:eastAsia="仿宋" w:cs="仿宋"/>
          <w:sz w:val="32"/>
          <w:szCs w:val="32"/>
        </w:rPr>
        <w:t>精神，</w:t>
      </w:r>
      <w:r>
        <w:rPr>
          <w:rFonts w:hint="eastAsia" w:ascii="仿宋" w:hAnsi="仿宋" w:eastAsia="仿宋" w:cs="仿宋"/>
          <w:sz w:val="32"/>
          <w:szCs w:val="32"/>
          <w:lang w:eastAsia="zh-CN"/>
        </w:rPr>
        <w:t>在日常工作中全面、准确、严格落实习近平法治思想，</w:t>
      </w:r>
      <w:r>
        <w:rPr>
          <w:rFonts w:hint="eastAsia" w:ascii="仿宋" w:hAnsi="仿宋" w:eastAsia="仿宋" w:cs="仿宋"/>
          <w:sz w:val="32"/>
          <w:szCs w:val="32"/>
        </w:rPr>
        <w:t>聚精会神、开拓思路，更加紧密地团结在以习近平同志为核心的党中央周围。进一步增强“四个意识”，坚定“四个自信”，做到“两个维护”。坚持从严治检不放松，持续推进党风廉政建设，不断加强和改进党的基层建设工作，使各项工作体现时代性、把握规律性、富有创造性。</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立足执法办案，全力保障社会稳定和经济发展。强化与监察机关、公安机关、法院的职能衔接和工作配合，依法惩治严重危害公共安全和社会秩序的犯罪、国家工作人员利用职权实施的犯罪，纵深推进扫黑除恶专项斗争，严厉惩治非法吸收公众存款、侵犯知识产权等破坏经济秩序犯罪，重点惩治危害食品药品安全、制售假冒伪劣商品、破坏生态环境等涉及民生的犯罪，切实保护公民人身财产权利。准确把握办案时机，发挥检察职能着力化解社会治理难题，营造和谐稳定的社会氛围。</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立足诉讼监督，维护法律统一正确实施。继续深化并积极推动行政执法与刑事司法衔接工作，充分发挥信息共享平台优势，畅通监督渠道。不断深化侦查活动监督、刑事审判监督、民事诉讼监督、行政诉讼监督、刑事执行监督，深入推进诉讼监督制度化、规范化、程序化、体系化、信息化建设。</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立足队伍建设，全面增强司法能力。牢牢把握政治过硬、业务过硬、责任过硬、纪律过硬、作风过硬的总要求，坚持正规化、专业化、职业化方向，建设一支素质过硬、本领高强的专业化检察队伍。突出实战、实效、实用，构建教、学、练、战一体化教育培训机制，大力培养业务骨干和办案能手。扎实开展党务干部培训，提升党务干部基本素能。加强检察人才储备，重视培养和使用复合型、专业化人才。</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立足以人为本，着力保障人民群众合法权益。以广大人民</w:t>
      </w:r>
      <w:r>
        <w:rPr>
          <w:rFonts w:hint="eastAsia" w:ascii="仿宋" w:hAnsi="仿宋" w:eastAsia="仿宋" w:cs="仿宋"/>
          <w:sz w:val="32"/>
          <w:szCs w:val="32"/>
          <w:lang w:eastAsia="zh-CN"/>
        </w:rPr>
        <w:t>群众的</w:t>
      </w:r>
      <w:r>
        <w:rPr>
          <w:rFonts w:hint="eastAsia" w:ascii="仿宋" w:hAnsi="仿宋" w:eastAsia="仿宋" w:cs="仿宋"/>
          <w:sz w:val="32"/>
          <w:szCs w:val="32"/>
        </w:rPr>
        <w:t>利益为</w:t>
      </w:r>
      <w:r>
        <w:rPr>
          <w:rFonts w:hint="eastAsia" w:ascii="仿宋" w:hAnsi="仿宋" w:eastAsia="仿宋" w:cs="仿宋"/>
          <w:sz w:val="32"/>
          <w:szCs w:val="32"/>
          <w:lang w:eastAsia="zh-CN"/>
        </w:rPr>
        <w:t>根本出发点</w:t>
      </w:r>
      <w:r>
        <w:rPr>
          <w:rFonts w:hint="eastAsia" w:ascii="仿宋" w:hAnsi="仿宋" w:eastAsia="仿宋" w:cs="仿宋"/>
          <w:sz w:val="32"/>
          <w:szCs w:val="32"/>
        </w:rPr>
        <w:t>，依法保护人民群众合法权益。积极开展公益诉讼工作，主动与有关行政机关沟通，汇聚公益保护合力。注重司法人文关怀，不断提高检察工作的亲和力和公信力。推进法治宣传，切实加强释法说理，促进在全社会树立法治意识。创新检务公开的内容和形式，自觉接受人民群众监督，使检察工作更加符合人民的新期盼和新要求。</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大兴区人民检察院按照国家相关法律、法规和规章制度，</w:t>
      </w:r>
      <w:r>
        <w:rPr>
          <w:rFonts w:hint="eastAsia" w:ascii="仿宋" w:hAnsi="仿宋" w:eastAsia="仿宋" w:cs="仿宋"/>
          <w:sz w:val="32"/>
          <w:szCs w:val="32"/>
          <w:lang w:eastAsia="zh-CN"/>
        </w:rPr>
        <w:t>结合</w:t>
      </w:r>
      <w:r>
        <w:rPr>
          <w:rFonts w:hint="eastAsia" w:ascii="仿宋" w:hAnsi="仿宋" w:eastAsia="仿宋" w:cs="仿宋"/>
          <w:sz w:val="32"/>
          <w:szCs w:val="32"/>
        </w:rPr>
        <w:t>国民经济和社会发展规划；</w:t>
      </w:r>
      <w:r>
        <w:rPr>
          <w:rFonts w:hint="eastAsia" w:ascii="仿宋" w:hAnsi="仿宋" w:eastAsia="仿宋" w:cs="仿宋"/>
          <w:sz w:val="32"/>
          <w:szCs w:val="32"/>
          <w:lang w:eastAsia="zh-CN"/>
        </w:rPr>
        <w:t>依据</w:t>
      </w:r>
      <w:r>
        <w:rPr>
          <w:rFonts w:hint="eastAsia" w:ascii="仿宋" w:hAnsi="仿宋" w:eastAsia="仿宋" w:cs="仿宋"/>
          <w:sz w:val="32"/>
          <w:szCs w:val="32"/>
        </w:rPr>
        <w:t>北京市和大兴区相关法规、规章制度；</w:t>
      </w:r>
      <w:r>
        <w:rPr>
          <w:rFonts w:hint="eastAsia" w:ascii="仿宋" w:hAnsi="仿宋" w:eastAsia="仿宋" w:cs="仿宋"/>
          <w:sz w:val="32"/>
          <w:szCs w:val="32"/>
          <w:lang w:eastAsia="zh-CN"/>
        </w:rPr>
        <w:t>立足</w:t>
      </w:r>
      <w:r>
        <w:rPr>
          <w:rFonts w:hint="eastAsia" w:ascii="仿宋" w:hAnsi="仿宋" w:eastAsia="仿宋" w:cs="仿宋"/>
          <w:sz w:val="32"/>
          <w:szCs w:val="32"/>
        </w:rPr>
        <w:t>单位职能、</w:t>
      </w:r>
      <w:r>
        <w:rPr>
          <w:rFonts w:hint="eastAsia" w:ascii="仿宋" w:hAnsi="仿宋" w:eastAsia="仿宋" w:cs="仿宋"/>
          <w:sz w:val="32"/>
          <w:szCs w:val="32"/>
          <w:lang w:eastAsia="zh-CN"/>
        </w:rPr>
        <w:t>结合检察业务</w:t>
      </w:r>
      <w:r>
        <w:rPr>
          <w:rFonts w:hint="eastAsia" w:ascii="仿宋" w:hAnsi="仿宋" w:eastAsia="仿宋" w:cs="仿宋"/>
          <w:sz w:val="32"/>
          <w:szCs w:val="32"/>
        </w:rPr>
        <w:t>中长期发展规划、年度工作计划或项目规划以及北京市财政局预算绩效管理要求等，编报了</w:t>
      </w:r>
      <w:bookmarkStart w:id="4" w:name="_Hlk128660131"/>
      <w:r>
        <w:rPr>
          <w:rFonts w:hint="eastAsia" w:ascii="仿宋" w:hAnsi="仿宋" w:eastAsia="仿宋" w:cs="仿宋"/>
          <w:sz w:val="32"/>
          <w:szCs w:val="32"/>
        </w:rPr>
        <w:t>部门整体绩效目标</w:t>
      </w:r>
      <w:bookmarkEnd w:id="4"/>
      <w:r>
        <w:rPr>
          <w:rFonts w:hint="eastAsia" w:ascii="仿宋" w:hAnsi="仿宋" w:eastAsia="仿宋" w:cs="仿宋"/>
          <w:sz w:val="32"/>
          <w:szCs w:val="32"/>
        </w:rPr>
        <w:t>，设置了绩效指标，并对具体工作任务进行明确。绩效目标符合国家、主管部门的相关文件精神，符合社会及行业的现实需求，与大兴区人民检察院职责任务匹配、定位相符。但</w:t>
      </w:r>
      <w:bookmarkStart w:id="5" w:name="_Hlk135149230"/>
      <w:r>
        <w:rPr>
          <w:rFonts w:hint="eastAsia" w:ascii="仿宋" w:hAnsi="仿宋" w:eastAsia="仿宋" w:cs="仿宋"/>
          <w:sz w:val="32"/>
          <w:szCs w:val="32"/>
        </w:rPr>
        <w:t>绩效指标设置不够规范，量化程度不</w:t>
      </w:r>
      <w:r>
        <w:rPr>
          <w:rFonts w:hint="eastAsia" w:ascii="仿宋" w:hAnsi="仿宋" w:eastAsia="仿宋" w:cs="仿宋"/>
          <w:sz w:val="32"/>
          <w:szCs w:val="32"/>
          <w:lang w:eastAsia="zh-CN"/>
        </w:rPr>
        <w:t>够</w:t>
      </w:r>
      <w:r>
        <w:rPr>
          <w:rFonts w:hint="eastAsia" w:ascii="仿宋" w:hAnsi="仿宋" w:eastAsia="仿宋" w:cs="仿宋"/>
          <w:sz w:val="32"/>
          <w:szCs w:val="32"/>
        </w:rPr>
        <w:t>足，</w:t>
      </w:r>
      <w:r>
        <w:rPr>
          <w:rFonts w:hint="eastAsia" w:ascii="仿宋" w:hAnsi="仿宋" w:eastAsia="仿宋" w:cs="仿宋"/>
          <w:sz w:val="32"/>
          <w:szCs w:val="32"/>
          <w:lang w:eastAsia="zh-CN"/>
        </w:rPr>
        <w:t>整体绩效</w:t>
      </w:r>
      <w:r>
        <w:rPr>
          <w:rFonts w:hint="eastAsia" w:ascii="仿宋" w:hAnsi="仿宋" w:eastAsia="仿宋" w:cs="仿宋"/>
          <w:sz w:val="32"/>
          <w:szCs w:val="32"/>
        </w:rPr>
        <w:t>指标的合理性、可考量性不</w:t>
      </w:r>
      <w:r>
        <w:rPr>
          <w:rFonts w:hint="eastAsia" w:ascii="仿宋" w:hAnsi="仿宋" w:eastAsia="仿宋" w:cs="仿宋"/>
          <w:sz w:val="32"/>
          <w:szCs w:val="32"/>
          <w:lang w:eastAsia="zh-CN"/>
        </w:rPr>
        <w:t>够</w:t>
      </w:r>
      <w:r>
        <w:rPr>
          <w:rFonts w:hint="eastAsia" w:ascii="仿宋" w:hAnsi="仿宋" w:eastAsia="仿宋" w:cs="仿宋"/>
          <w:sz w:val="32"/>
          <w:szCs w:val="32"/>
        </w:rPr>
        <w:t>足。</w:t>
      </w:r>
    </w:p>
    <w:bookmarkEnd w:id="5"/>
    <w:p>
      <w:pPr>
        <w:numPr>
          <w:ilvl w:val="0"/>
          <w:numId w:val="1"/>
        </w:numPr>
        <w:spacing w:line="560" w:lineRule="exact"/>
        <w:ind w:firstLine="640" w:firstLineChars="200"/>
        <w:outlineLvl w:val="0"/>
        <w:rPr>
          <w:rFonts w:ascii="黑体" w:hAnsi="黑体" w:eastAsia="黑体" w:cs="宋体"/>
          <w:color w:val="000000"/>
          <w:kern w:val="0"/>
          <w:sz w:val="32"/>
          <w:szCs w:val="32"/>
        </w:rPr>
      </w:pPr>
      <w:bookmarkStart w:id="6" w:name="_Toc22792"/>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bookmarkEnd w:id="6"/>
    </w:p>
    <w:p>
      <w:pPr>
        <w:spacing w:line="560" w:lineRule="exact"/>
        <w:ind w:firstLine="640" w:firstLineChars="200"/>
        <w:rPr>
          <w:rFonts w:ascii="仿宋" w:hAnsi="仿宋" w:eastAsia="仿宋" w:cs="仿宋"/>
          <w:sz w:val="32"/>
          <w:szCs w:val="32"/>
        </w:rPr>
      </w:pPr>
      <w:bookmarkStart w:id="7" w:name="_Hlk128660157"/>
      <w:r>
        <w:rPr>
          <w:rFonts w:hint="eastAsia" w:ascii="仿宋" w:hAnsi="仿宋" w:eastAsia="仿宋" w:cs="仿宋"/>
          <w:sz w:val="32"/>
          <w:szCs w:val="32"/>
        </w:rPr>
        <w:t>2022年</w:t>
      </w:r>
      <w:r>
        <w:rPr>
          <w:rFonts w:hint="eastAsia" w:ascii="仿宋" w:hAnsi="仿宋" w:eastAsia="仿宋" w:cs="仿宋"/>
          <w:sz w:val="32"/>
          <w:szCs w:val="32"/>
          <w:lang w:eastAsia="zh-CN"/>
        </w:rPr>
        <w:t>度</w:t>
      </w:r>
      <w:r>
        <w:rPr>
          <w:rFonts w:hint="eastAsia" w:ascii="仿宋" w:hAnsi="仿宋" w:eastAsia="仿宋" w:cs="仿宋"/>
          <w:sz w:val="32"/>
          <w:szCs w:val="32"/>
        </w:rPr>
        <w:t>全年支出预算数</w:t>
      </w:r>
      <w:r>
        <w:rPr>
          <w:rFonts w:ascii="仿宋" w:hAnsi="仿宋" w:eastAsia="仿宋" w:cs="仿宋"/>
          <w:sz w:val="32"/>
          <w:szCs w:val="32"/>
        </w:rPr>
        <w:t>10,342.58</w:t>
      </w:r>
      <w:r>
        <w:rPr>
          <w:rFonts w:hint="eastAsia" w:ascii="仿宋" w:hAnsi="仿宋" w:eastAsia="仿宋" w:cs="仿宋"/>
          <w:sz w:val="32"/>
          <w:szCs w:val="32"/>
        </w:rPr>
        <w:t>万元，其中，基本经费支出预算数</w:t>
      </w:r>
      <w:r>
        <w:rPr>
          <w:rFonts w:ascii="仿宋" w:hAnsi="仿宋" w:eastAsia="仿宋" w:cs="仿宋"/>
          <w:sz w:val="32"/>
          <w:szCs w:val="32"/>
        </w:rPr>
        <w:t>9,542.35</w:t>
      </w:r>
      <w:r>
        <w:rPr>
          <w:rFonts w:hint="eastAsia" w:ascii="仿宋" w:hAnsi="仿宋" w:eastAsia="仿宋" w:cs="仿宋"/>
          <w:sz w:val="32"/>
          <w:szCs w:val="32"/>
        </w:rPr>
        <w:t>万元，项目经费支出预算数</w:t>
      </w:r>
      <w:r>
        <w:rPr>
          <w:rFonts w:ascii="仿宋" w:hAnsi="仿宋" w:eastAsia="仿宋" w:cs="仿宋"/>
          <w:sz w:val="32"/>
          <w:szCs w:val="32"/>
        </w:rPr>
        <w:t>800.23</w:t>
      </w:r>
      <w:r>
        <w:rPr>
          <w:rFonts w:hint="eastAsia" w:ascii="仿宋" w:hAnsi="仿宋" w:eastAsia="仿宋" w:cs="仿宋"/>
          <w:sz w:val="32"/>
          <w:szCs w:val="32"/>
        </w:rPr>
        <w:t>万元。资金总体支出9,875.11万元，其中，基本支出9,</w:t>
      </w:r>
      <w:r>
        <w:rPr>
          <w:rFonts w:ascii="仿宋" w:hAnsi="仿宋" w:eastAsia="仿宋" w:cs="仿宋"/>
          <w:sz w:val="32"/>
          <w:szCs w:val="32"/>
        </w:rPr>
        <w:t>266</w:t>
      </w:r>
      <w:r>
        <w:rPr>
          <w:rFonts w:hint="eastAsia" w:ascii="仿宋" w:hAnsi="仿宋" w:eastAsia="仿宋" w:cs="仿宋"/>
          <w:sz w:val="32"/>
          <w:szCs w:val="32"/>
        </w:rPr>
        <w:t>.23万元，项目支出608.8</w:t>
      </w:r>
      <w:r>
        <w:rPr>
          <w:rFonts w:ascii="仿宋" w:hAnsi="仿宋" w:eastAsia="仿宋" w:cs="仿宋"/>
          <w:sz w:val="32"/>
          <w:szCs w:val="32"/>
        </w:rPr>
        <w:t>8</w:t>
      </w:r>
      <w:r>
        <w:rPr>
          <w:rFonts w:hint="eastAsia" w:ascii="仿宋" w:hAnsi="仿宋" w:eastAsia="仿宋" w:cs="仿宋"/>
          <w:sz w:val="32"/>
          <w:szCs w:val="32"/>
        </w:rPr>
        <w:t>万元，预算执行率</w:t>
      </w:r>
      <w:r>
        <w:rPr>
          <w:rFonts w:ascii="仿宋" w:hAnsi="仿宋" w:eastAsia="仿宋" w:cs="仿宋"/>
          <w:sz w:val="32"/>
          <w:szCs w:val="32"/>
        </w:rPr>
        <w:t>95.48%</w:t>
      </w:r>
      <w:r>
        <w:rPr>
          <w:rFonts w:hint="eastAsia" w:ascii="仿宋" w:hAnsi="仿宋" w:eastAsia="仿宋" w:cs="仿宋"/>
          <w:sz w:val="32"/>
          <w:szCs w:val="32"/>
        </w:rPr>
        <w:t>。</w:t>
      </w:r>
    </w:p>
    <w:bookmarkEnd w:id="7"/>
    <w:p>
      <w:pPr>
        <w:spacing w:line="560" w:lineRule="exact"/>
        <w:ind w:firstLine="640" w:firstLineChars="200"/>
        <w:outlineLvl w:val="0"/>
        <w:rPr>
          <w:rFonts w:ascii="黑体" w:hAnsi="黑体" w:eastAsia="黑体" w:cs="宋体"/>
          <w:color w:val="000000"/>
          <w:kern w:val="0"/>
          <w:sz w:val="32"/>
          <w:szCs w:val="32"/>
        </w:rPr>
      </w:pPr>
      <w:bookmarkStart w:id="8" w:name="_Toc16426"/>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bookmarkEnd w:id="8"/>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大兴区人民检察院严格按照北京市财政局相关工作安排，对2022年度部门整体及项目支出进行了绩效评价，部门决策流程明确，申报程序合乎规范；预算资金分配与部门绩效目标一致，分配结果合理，部门整体的成本费用控制在预算范围内，完成情况较好；相关项目自评均实现了项目绩效目标。具体分析如下：</w:t>
      </w:r>
    </w:p>
    <w:p>
      <w:pPr>
        <w:spacing w:line="560" w:lineRule="exact"/>
        <w:ind w:firstLine="640" w:firstLineChars="200"/>
        <w:rPr>
          <w:rFonts w:ascii="楷体" w:hAnsi="楷体" w:eastAsia="楷体"/>
          <w:sz w:val="32"/>
          <w:szCs w:val="32"/>
        </w:rPr>
      </w:pPr>
      <w:bookmarkStart w:id="9" w:name="_Toc7824"/>
      <w:r>
        <w:rPr>
          <w:rFonts w:hint="eastAsia" w:ascii="楷体" w:hAnsi="楷体" w:eastAsia="楷体"/>
          <w:sz w:val="32"/>
          <w:szCs w:val="32"/>
        </w:rPr>
        <w:t>（一）</w:t>
      </w:r>
      <w:bookmarkEnd w:id="9"/>
      <w:r>
        <w:rPr>
          <w:rFonts w:hint="eastAsia" w:ascii="楷体" w:hAnsi="楷体" w:eastAsia="楷体"/>
          <w:sz w:val="32"/>
          <w:szCs w:val="32"/>
        </w:rPr>
        <w:t>产</w:t>
      </w:r>
      <w:r>
        <w:rPr>
          <w:rFonts w:hint="eastAsia" w:ascii="楷体" w:hAnsi="楷体" w:eastAsia="楷体" w:cs="微软雅黑"/>
          <w:sz w:val="32"/>
          <w:szCs w:val="32"/>
        </w:rPr>
        <w:t>出完成</w:t>
      </w:r>
      <w:r>
        <w:rPr>
          <w:rFonts w:hint="eastAsia" w:ascii="楷体" w:hAnsi="楷体" w:eastAsia="楷体" w:cs="___WRD_EMBED_SUB_44"/>
          <w:sz w:val="32"/>
          <w:szCs w:val="32"/>
        </w:rPr>
        <w:t>情况分析</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w:t>
      </w:r>
      <w:r>
        <w:rPr>
          <w:rFonts w:hint="eastAsia" w:ascii="仿宋" w:hAnsi="仿宋" w:eastAsia="仿宋" w:cs="仿宋"/>
          <w:sz w:val="32"/>
          <w:szCs w:val="32"/>
        </w:rPr>
        <w:t>产出数量</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（1）大兴区人民检察院202</w:t>
      </w:r>
      <w:r>
        <w:rPr>
          <w:rFonts w:ascii="仿宋" w:hAnsi="仿宋" w:eastAsia="仿宋" w:cs="仿宋"/>
          <w:sz w:val="32"/>
          <w:szCs w:val="32"/>
        </w:rPr>
        <w:t>2</w:t>
      </w:r>
      <w:r>
        <w:rPr>
          <w:rFonts w:hint="eastAsia" w:ascii="仿宋" w:hAnsi="仿宋" w:eastAsia="仿宋" w:cs="仿宋"/>
          <w:sz w:val="32"/>
          <w:szCs w:val="32"/>
        </w:rPr>
        <w:t>年</w:t>
      </w:r>
      <w:r>
        <w:rPr>
          <w:rFonts w:hint="eastAsia" w:ascii="仿宋" w:hAnsi="仿宋" w:eastAsia="仿宋" w:cs="仿宋"/>
          <w:sz w:val="32"/>
          <w:szCs w:val="32"/>
          <w:lang w:eastAsia="zh-CN"/>
        </w:rPr>
        <w:t>度申报</w:t>
      </w:r>
      <w:r>
        <w:rPr>
          <w:rFonts w:hint="eastAsia" w:ascii="仿宋" w:hAnsi="仿宋" w:eastAsia="仿宋" w:cs="仿宋"/>
          <w:sz w:val="32"/>
          <w:szCs w:val="32"/>
        </w:rPr>
        <w:t>共有</w:t>
      </w:r>
      <w:r>
        <w:rPr>
          <w:rFonts w:ascii="仿宋" w:hAnsi="仿宋" w:eastAsia="仿宋" w:cs="仿宋"/>
          <w:sz w:val="32"/>
          <w:szCs w:val="32"/>
        </w:rPr>
        <w:t>7</w:t>
      </w:r>
      <w:r>
        <w:rPr>
          <w:rFonts w:hint="eastAsia" w:ascii="仿宋" w:hAnsi="仿宋" w:eastAsia="仿宋" w:cs="仿宋"/>
          <w:sz w:val="32"/>
          <w:szCs w:val="32"/>
        </w:rPr>
        <w:t>个项目，实际完成</w:t>
      </w:r>
      <w:r>
        <w:rPr>
          <w:rFonts w:ascii="仿宋" w:hAnsi="仿宋" w:eastAsia="仿宋" w:cs="仿宋"/>
          <w:sz w:val="32"/>
          <w:szCs w:val="32"/>
        </w:rPr>
        <w:t>7</w:t>
      </w:r>
      <w:r>
        <w:rPr>
          <w:rFonts w:hint="eastAsia" w:ascii="仿宋" w:hAnsi="仿宋" w:eastAsia="仿宋" w:cs="仿宋"/>
          <w:sz w:val="32"/>
          <w:szCs w:val="32"/>
        </w:rPr>
        <w:t xml:space="preserve">个项目。计划完成率=（实际完成工作数/计划工作数）×100%= </w:t>
      </w:r>
      <w:r>
        <w:rPr>
          <w:rFonts w:ascii="仿宋" w:hAnsi="仿宋" w:eastAsia="仿宋" w:cs="仿宋"/>
          <w:sz w:val="32"/>
          <w:szCs w:val="32"/>
        </w:rPr>
        <w:t>100</w:t>
      </w:r>
      <w:r>
        <w:rPr>
          <w:rFonts w:hint="eastAsia" w:ascii="仿宋" w:hAnsi="仿宋" w:eastAsia="仿宋" w:cs="仿宋"/>
          <w:sz w:val="32"/>
          <w:szCs w:val="32"/>
        </w:rPr>
        <w:t>.</w:t>
      </w:r>
      <w:r>
        <w:rPr>
          <w:rFonts w:ascii="仿宋" w:hAnsi="仿宋" w:eastAsia="仿宋" w:cs="仿宋"/>
          <w:sz w:val="32"/>
          <w:szCs w:val="32"/>
        </w:rPr>
        <w:t>00</w:t>
      </w:r>
      <w:r>
        <w:rPr>
          <w:rFonts w:hint="eastAsia" w:ascii="仿宋" w:hAnsi="仿宋" w:eastAsia="仿宋" w:cs="仿宋"/>
          <w:sz w:val="32"/>
          <w:szCs w:val="32"/>
        </w:rPr>
        <w:t>%。实际完成工作数：一定时期（年度或规划期）内部门（单位）实际完成工作任务的数量。计划工作数：部门（单位）整体绩效目标确定的一定时期（年度或规划期）内预计完成工作任务的数量。</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共受理审查逮捕案件1064件1511人，提起公诉1111件1363人。办理“5.17”利用邪教组织破坏法律实施系列案件，坚决维护国家政治安全。办理324起涉嫌危害公共安全案件，为党的二十大胜利召开营造安全稳定的社会环境。常态化落实扫黑除恶长效工作机制，为全区扫黑除恶赶超创优贡献检察力量。依法打击电信网络诈骗，办理的胡某某等22人帮助信息网络犯罪活动、侵犯公民个人信息案入选最高检典型案例。</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依法办理破坏社会主义市场经济秩序犯罪案件49件80人，优化法治化营商环境。平等保护民营经济主体合法权益，办理涉民营企业案件55件77人。依法惩治金融领域刑事犯罪案件66件，精准助力区域金融风险防范化解。</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大力开展打击整治养老诈骗专项行动，办理涉养老诈骗案件8件，追赃挽损450余万元；贯彻未成年人保护法、预防未成年人犯罪法，从严惩治成年人侵害未成年人犯罪案件28件34人。坚持依法惩戒和精准帮教相结合，附条件不起诉涉罪未成年7人，最大限度教育挽救涉罪未成年人。支持农民工依法起诉讨薪案9件，引导依法追讨劳动报酬。</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提前介入办理逃避检查站检查、隐瞒蓄意编造行程、违规解除健康宝弹窗等违反疫情防控规定案件12件13人。积极参与社会防控，选派人员参加流调专班、机场工作专班、集中隔离点防控、支援核酸检测、村口值守共1305人次，在疫情防控中凸显检察担当。</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（6）坚持“治罪”与“治理”并重，推动司法办案向社会治理延伸，制发社会治理类检察建议书94份。坚持以检察听证化解矛盾纠纷，召开听证会55次。</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（7）强化监督工作的主动性和积极性，依职权主动监督案件2531件，同比增长4.4倍，增速全市第1。立案监督同比增长3.2倍，侦查监督同比增长28倍。</w:t>
      </w:r>
      <w:r>
        <w:rPr>
          <w:rFonts w:hint="eastAsia" w:ascii="仿宋" w:hAnsi="仿宋" w:eastAsia="仿宋" w:cs="仿宋"/>
          <w:sz w:val="32"/>
          <w:szCs w:val="32"/>
          <w:lang w:eastAsia="zh-CN"/>
        </w:rPr>
        <w:t>准确把握“宽严相济”的刑事政策，落实认罪认罚从宽制度，严格依法适用逮捕羁押措施</w:t>
      </w:r>
      <w:r>
        <w:rPr>
          <w:rFonts w:hint="eastAsia" w:ascii="仿宋" w:hAnsi="仿宋" w:eastAsia="仿宋" w:cs="仿宋"/>
          <w:sz w:val="32"/>
          <w:szCs w:val="32"/>
        </w:rPr>
        <w:t>，不批准逮捕898人，不起诉354人。扎实开展羁押必要性审查，准确适用、及时变更羁押强制措施，避免“一捕了之”，有效降低诉前羁押率。切实加强刑事审判监督，办理纠正违法案件26件。持续加大刑事执行领域检察监督力度，办理监督纠正案件62件。</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8）受理各类民事监督案件499件，同比增长1.3倍。提请抗诉案件4件，提出再审检察建议书4份。受理并办结民事审判和执行监督案件399件，提出7份类案检察建议。强化虚假诉讼监督，办理的孟某等4起离婚纠纷案被最高检评选为虚假诉讼监督典型案例。</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（9）办理行政检察案件140件，同比增长6.37倍，制发检察建议数同比增长42.5倍。办理行政执行监督案数同比增长22.67倍，制发检察建议数同比增长53倍。办理行政违法监督案件数同比增长44倍。</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0</w:t>
      </w:r>
      <w:r>
        <w:rPr>
          <w:rFonts w:hint="eastAsia" w:ascii="仿宋" w:hAnsi="仿宋" w:eastAsia="仿宋" w:cs="仿宋"/>
          <w:sz w:val="32"/>
          <w:szCs w:val="32"/>
        </w:rPr>
        <w:t>）研判公益诉讼线索144件，立案率100%。助力区水务局、生态环境局、魏善庄镇政府等修复小龙河受损河堤、污水管线8公里，提升2座污水场站日处理能力。恢复受影响林地面积46872平方米，清理废水废渣6690立方米，清理垃圾9672.15吨。开展成品油涉税法律监督工作，联合公安、税务等职能部门追缴税款1950余万，居全市前列。排查黑加油站、自建油罐、流动加油车风险隐患61处，服务保障全区安全生产大局。向区园林绿化局、市场监管局等移送公益损害案件线索5件。支持区生态环境局、农业农村局等开展生态损害赔偿案件3件，促缴生态损害赔偿金889.7万元，增殖放流鱼苗750公斤。</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1</w:t>
      </w:r>
      <w:r>
        <w:rPr>
          <w:rFonts w:hint="eastAsia" w:ascii="仿宋" w:hAnsi="仿宋" w:eastAsia="仿宋" w:cs="仿宋"/>
          <w:sz w:val="32"/>
          <w:szCs w:val="32"/>
        </w:rPr>
        <w:t>）选优配强中层领导干部队伍，9名年轻优秀干部选任到部门领导岗位。遴选7名员额检察官。择优晋升46名干警职级。2022年1名检察官被授予北京市“人民满意公务员”称号，1名检察官被聘为北京市法官、检察官遴选委员会委员，21人获评北京市检察专家、检察专业骨干。</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产出质量</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（1）大兴区人民检察院202</w:t>
      </w:r>
      <w:r>
        <w:rPr>
          <w:rFonts w:ascii="仿宋" w:hAnsi="仿宋" w:eastAsia="仿宋" w:cs="仿宋"/>
          <w:sz w:val="32"/>
          <w:szCs w:val="32"/>
        </w:rPr>
        <w:t>2</w:t>
      </w:r>
      <w:r>
        <w:rPr>
          <w:rFonts w:hint="eastAsia" w:ascii="仿宋" w:hAnsi="仿宋" w:eastAsia="仿宋" w:cs="仿宋"/>
          <w:sz w:val="32"/>
          <w:szCs w:val="32"/>
        </w:rPr>
        <w:t>年</w:t>
      </w:r>
      <w:r>
        <w:rPr>
          <w:rFonts w:hint="eastAsia" w:ascii="仿宋" w:hAnsi="仿宋" w:eastAsia="仿宋" w:cs="仿宋"/>
          <w:sz w:val="32"/>
          <w:szCs w:val="32"/>
          <w:lang w:eastAsia="zh-CN"/>
        </w:rPr>
        <w:t>度</w:t>
      </w:r>
      <w:r>
        <w:rPr>
          <w:rFonts w:hint="eastAsia" w:ascii="仿宋" w:hAnsi="仿宋" w:eastAsia="仿宋" w:cs="仿宋"/>
          <w:sz w:val="32"/>
          <w:szCs w:val="32"/>
        </w:rPr>
        <w:t>实际完成</w:t>
      </w:r>
      <w:r>
        <w:rPr>
          <w:rFonts w:ascii="仿宋" w:hAnsi="仿宋" w:eastAsia="仿宋" w:cs="仿宋"/>
          <w:sz w:val="32"/>
          <w:szCs w:val="32"/>
        </w:rPr>
        <w:t>7</w:t>
      </w:r>
      <w:r>
        <w:rPr>
          <w:rFonts w:hint="eastAsia" w:ascii="仿宋" w:hAnsi="仿宋" w:eastAsia="仿宋" w:cs="仿宋"/>
          <w:sz w:val="32"/>
          <w:szCs w:val="32"/>
        </w:rPr>
        <w:t>个项目，</w:t>
      </w:r>
      <w:r>
        <w:rPr>
          <w:rFonts w:ascii="仿宋" w:hAnsi="仿宋" w:eastAsia="仿宋" w:cs="仿宋"/>
          <w:sz w:val="32"/>
          <w:szCs w:val="32"/>
        </w:rPr>
        <w:t>7</w:t>
      </w:r>
      <w:r>
        <w:rPr>
          <w:rFonts w:hint="eastAsia" w:ascii="仿宋" w:hAnsi="仿宋" w:eastAsia="仿宋" w:cs="仿宋"/>
          <w:sz w:val="32"/>
          <w:szCs w:val="32"/>
        </w:rPr>
        <w:t>个项目质量全部达标。质量达标率=质量达标工作数/实际完成工作数×100%=100%。质量达标工作数：一定时期（年度或规划期）内部门（单位）实际完成工作数中达到部门绩效目标要求（绩效标准值）的工作任务数量。</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（2）大兴区人民检察院2</w:t>
      </w:r>
      <w:r>
        <w:rPr>
          <w:rFonts w:ascii="仿宋" w:hAnsi="仿宋" w:eastAsia="仿宋" w:cs="仿宋"/>
          <w:sz w:val="32"/>
          <w:szCs w:val="32"/>
        </w:rPr>
        <w:t>022</w:t>
      </w:r>
      <w:r>
        <w:rPr>
          <w:rFonts w:hint="eastAsia" w:ascii="仿宋" w:hAnsi="仿宋" w:eastAsia="仿宋" w:cs="仿宋"/>
          <w:sz w:val="32"/>
          <w:szCs w:val="32"/>
        </w:rPr>
        <w:t>年</w:t>
      </w:r>
      <w:r>
        <w:rPr>
          <w:rFonts w:hint="eastAsia" w:ascii="仿宋" w:hAnsi="仿宋" w:eastAsia="仿宋" w:cs="仿宋"/>
          <w:sz w:val="32"/>
          <w:szCs w:val="32"/>
          <w:lang w:eastAsia="zh-CN"/>
        </w:rPr>
        <w:t>度</w:t>
      </w:r>
      <w:r>
        <w:rPr>
          <w:rFonts w:hint="eastAsia" w:ascii="仿宋" w:hAnsi="仿宋" w:eastAsia="仿宋" w:cs="仿宋"/>
          <w:sz w:val="32"/>
          <w:szCs w:val="32"/>
        </w:rPr>
        <w:t>基本经费支出保障了机关正常运转和日常工作任务的完成；各项目根据项目管理办法均有效完成，基本达到了设定的绩效目标质量标准。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w:t>
      </w:r>
      <w:r>
        <w:rPr>
          <w:rFonts w:hint="eastAsia" w:ascii="仿宋" w:hAnsi="仿宋" w:eastAsia="仿宋" w:cs="仿宋"/>
          <w:sz w:val="32"/>
          <w:szCs w:val="32"/>
        </w:rPr>
        <w:t>产出进度</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（1）大兴区人民检察院202</w:t>
      </w:r>
      <w:r>
        <w:rPr>
          <w:rFonts w:ascii="仿宋" w:hAnsi="仿宋" w:eastAsia="仿宋" w:cs="仿宋"/>
          <w:sz w:val="32"/>
          <w:szCs w:val="32"/>
        </w:rPr>
        <w:t>2</w:t>
      </w:r>
      <w:r>
        <w:rPr>
          <w:rFonts w:hint="eastAsia" w:ascii="仿宋" w:hAnsi="仿宋" w:eastAsia="仿宋" w:cs="仿宋"/>
          <w:sz w:val="32"/>
          <w:szCs w:val="32"/>
        </w:rPr>
        <w:t>年实际完成</w:t>
      </w:r>
      <w:r>
        <w:rPr>
          <w:rFonts w:ascii="仿宋" w:hAnsi="仿宋" w:eastAsia="仿宋" w:cs="仿宋"/>
          <w:sz w:val="32"/>
          <w:szCs w:val="32"/>
        </w:rPr>
        <w:t>7</w:t>
      </w:r>
      <w:r>
        <w:rPr>
          <w:rFonts w:hint="eastAsia" w:ascii="仿宋" w:hAnsi="仿宋" w:eastAsia="仿宋" w:cs="仿宋"/>
          <w:sz w:val="32"/>
          <w:szCs w:val="32"/>
        </w:rPr>
        <w:t>个项目，</w:t>
      </w:r>
      <w:r>
        <w:rPr>
          <w:rFonts w:ascii="仿宋" w:hAnsi="仿宋" w:eastAsia="仿宋" w:cs="仿宋"/>
          <w:sz w:val="32"/>
          <w:szCs w:val="32"/>
        </w:rPr>
        <w:t>7</w:t>
      </w:r>
      <w:r>
        <w:rPr>
          <w:rFonts w:hint="eastAsia" w:ascii="仿宋" w:hAnsi="仿宋" w:eastAsia="仿宋" w:cs="仿宋"/>
          <w:sz w:val="32"/>
          <w:szCs w:val="32"/>
        </w:rPr>
        <w:t>个项目全部按时完成。按时完成率=（按时完成工作数/实际完成工作数）×100%=100%。按时完成工作数：部门（单位）按照整体绩效目标确定的时限实际完成的工作任务数量。</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（2）大兴区检察院202</w:t>
      </w:r>
      <w:r>
        <w:rPr>
          <w:rFonts w:ascii="仿宋" w:hAnsi="仿宋" w:eastAsia="仿宋" w:cs="仿宋"/>
          <w:sz w:val="32"/>
          <w:szCs w:val="32"/>
        </w:rPr>
        <w:t>2</w:t>
      </w:r>
      <w:r>
        <w:rPr>
          <w:rFonts w:hint="eastAsia" w:ascii="仿宋" w:hAnsi="仿宋" w:eastAsia="仿宋" w:cs="仿宋"/>
          <w:sz w:val="32"/>
          <w:szCs w:val="32"/>
        </w:rPr>
        <w:t>年度人员经费均按月及时发放，日常公用支出以及项目支出均已按时完成。</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w:t>
      </w:r>
      <w:r>
        <w:rPr>
          <w:rFonts w:hint="eastAsia" w:ascii="仿宋" w:hAnsi="仿宋" w:eastAsia="仿宋" w:cs="仿宋"/>
          <w:sz w:val="32"/>
          <w:szCs w:val="32"/>
        </w:rPr>
        <w:t>产出成本</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（1）2022年</w:t>
      </w:r>
      <w:r>
        <w:rPr>
          <w:rFonts w:hint="eastAsia" w:ascii="仿宋" w:hAnsi="仿宋" w:eastAsia="仿宋" w:cs="仿宋"/>
          <w:sz w:val="32"/>
          <w:szCs w:val="32"/>
          <w:lang w:eastAsia="zh-CN"/>
        </w:rPr>
        <w:t>度</w:t>
      </w:r>
      <w:r>
        <w:rPr>
          <w:rFonts w:hint="eastAsia" w:ascii="仿宋" w:hAnsi="仿宋" w:eastAsia="仿宋" w:cs="仿宋"/>
          <w:sz w:val="32"/>
          <w:szCs w:val="32"/>
        </w:rPr>
        <w:t>支出全年预算数10,342.58万元，决算支出数9,875.11万元，比全年支出预算数减少4</w:t>
      </w:r>
      <w:r>
        <w:rPr>
          <w:rFonts w:ascii="仿宋" w:hAnsi="仿宋" w:eastAsia="仿宋" w:cs="仿宋"/>
          <w:sz w:val="32"/>
          <w:szCs w:val="32"/>
        </w:rPr>
        <w:t>67.47</w:t>
      </w:r>
      <w:r>
        <w:rPr>
          <w:rFonts w:hint="eastAsia" w:ascii="仿宋" w:hAnsi="仿宋" w:eastAsia="仿宋" w:cs="仿宋"/>
          <w:sz w:val="32"/>
          <w:szCs w:val="32"/>
        </w:rPr>
        <w:t>万元。202</w:t>
      </w:r>
      <w:r>
        <w:rPr>
          <w:rFonts w:ascii="仿宋" w:hAnsi="仿宋" w:eastAsia="仿宋" w:cs="仿宋"/>
          <w:sz w:val="32"/>
          <w:szCs w:val="32"/>
        </w:rPr>
        <w:t>2</w:t>
      </w:r>
      <w:r>
        <w:rPr>
          <w:rFonts w:hint="eastAsia" w:ascii="仿宋" w:hAnsi="仿宋" w:eastAsia="仿宋" w:cs="仿宋"/>
          <w:sz w:val="32"/>
          <w:szCs w:val="32"/>
        </w:rPr>
        <w:t>年度部分经费实现成本节约，如：2022年机关运行经费支出1,078.60万元，比上年1,078.88万元减少0.28万元，下降0.03%；2</w:t>
      </w:r>
      <w:r>
        <w:rPr>
          <w:rFonts w:ascii="仿宋" w:hAnsi="仿宋" w:eastAsia="仿宋" w:cs="仿宋"/>
          <w:sz w:val="32"/>
          <w:szCs w:val="32"/>
        </w:rPr>
        <w:t>022</w:t>
      </w:r>
      <w:r>
        <w:rPr>
          <w:rFonts w:hint="eastAsia" w:ascii="仿宋" w:hAnsi="仿宋" w:eastAsia="仿宋" w:cs="仿宋"/>
          <w:sz w:val="32"/>
          <w:szCs w:val="32"/>
        </w:rPr>
        <w:t>年三公经费支出33.36万元，比上年度80.02万元减少46.66万元，下降58.30%。</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（2）项目经费支出全年预算数</w:t>
      </w:r>
      <w:r>
        <w:rPr>
          <w:rFonts w:ascii="仿宋" w:hAnsi="仿宋" w:eastAsia="仿宋" w:cs="仿宋"/>
          <w:sz w:val="32"/>
          <w:szCs w:val="32"/>
        </w:rPr>
        <w:t>800.23</w:t>
      </w:r>
      <w:r>
        <w:rPr>
          <w:rFonts w:hint="eastAsia" w:ascii="仿宋" w:hAnsi="仿宋" w:eastAsia="仿宋" w:cs="仿宋"/>
          <w:sz w:val="32"/>
          <w:szCs w:val="32"/>
        </w:rPr>
        <w:t>万元，决算数608.8</w:t>
      </w:r>
      <w:r>
        <w:rPr>
          <w:rFonts w:ascii="仿宋" w:hAnsi="仿宋" w:eastAsia="仿宋" w:cs="仿宋"/>
          <w:sz w:val="32"/>
          <w:szCs w:val="32"/>
        </w:rPr>
        <w:t>8</w:t>
      </w:r>
      <w:r>
        <w:rPr>
          <w:rFonts w:hint="eastAsia" w:ascii="仿宋" w:hAnsi="仿宋" w:eastAsia="仿宋" w:cs="仿宋"/>
          <w:sz w:val="32"/>
          <w:szCs w:val="32"/>
        </w:rPr>
        <w:t>万元，减少</w:t>
      </w:r>
      <w:r>
        <w:rPr>
          <w:rFonts w:ascii="仿宋" w:hAnsi="仿宋" w:eastAsia="仿宋" w:cs="仿宋"/>
          <w:sz w:val="32"/>
          <w:szCs w:val="32"/>
        </w:rPr>
        <w:t>191.35</w:t>
      </w:r>
      <w:r>
        <w:rPr>
          <w:rFonts w:hint="eastAsia" w:ascii="仿宋" w:hAnsi="仿宋" w:eastAsia="仿宋" w:cs="仿宋"/>
          <w:sz w:val="32"/>
          <w:szCs w:val="32"/>
        </w:rPr>
        <w:t>万元。2022年</w:t>
      </w:r>
      <w:r>
        <w:rPr>
          <w:rFonts w:hint="eastAsia" w:ascii="仿宋" w:hAnsi="仿宋" w:eastAsia="仿宋" w:cs="仿宋"/>
          <w:sz w:val="32"/>
          <w:szCs w:val="32"/>
          <w:lang w:eastAsia="zh-CN"/>
        </w:rPr>
        <w:t>度</w:t>
      </w:r>
      <w:r>
        <w:rPr>
          <w:rFonts w:hint="eastAsia" w:ascii="仿宋" w:hAnsi="仿宋" w:eastAsia="仿宋" w:cs="仿宋"/>
          <w:sz w:val="32"/>
          <w:szCs w:val="32"/>
        </w:rPr>
        <w:t>项目支出608.8</w:t>
      </w:r>
      <w:r>
        <w:rPr>
          <w:rFonts w:ascii="仿宋" w:hAnsi="仿宋" w:eastAsia="仿宋" w:cs="仿宋"/>
          <w:sz w:val="32"/>
          <w:szCs w:val="32"/>
        </w:rPr>
        <w:t>8</w:t>
      </w:r>
      <w:r>
        <w:rPr>
          <w:rFonts w:hint="eastAsia" w:ascii="仿宋" w:hAnsi="仿宋" w:eastAsia="仿宋" w:cs="仿宋"/>
          <w:sz w:val="32"/>
          <w:szCs w:val="32"/>
        </w:rPr>
        <w:t>万元，比上年度支出511.31万元增加97.5</w:t>
      </w:r>
      <w:r>
        <w:rPr>
          <w:rFonts w:ascii="仿宋" w:hAnsi="仿宋" w:eastAsia="仿宋" w:cs="仿宋"/>
          <w:sz w:val="32"/>
          <w:szCs w:val="32"/>
        </w:rPr>
        <w:t>7</w:t>
      </w:r>
      <w:r>
        <w:rPr>
          <w:rFonts w:hint="eastAsia" w:ascii="仿宋" w:hAnsi="仿宋" w:eastAsia="仿宋" w:cs="仿宋"/>
          <w:sz w:val="32"/>
          <w:szCs w:val="32"/>
        </w:rPr>
        <w:t>万元。</w:t>
      </w:r>
    </w:p>
    <w:p>
      <w:pPr>
        <w:spacing w:line="560" w:lineRule="exact"/>
        <w:ind w:firstLine="640" w:firstLineChars="200"/>
        <w:outlineLvl w:val="1"/>
        <w:rPr>
          <w:rFonts w:ascii="楷体_GB2312" w:eastAsia="楷体_GB2312"/>
          <w:sz w:val="32"/>
          <w:szCs w:val="32"/>
        </w:rPr>
      </w:pPr>
      <w:bookmarkStart w:id="10" w:name="_Toc27371"/>
      <w:r>
        <w:rPr>
          <w:rFonts w:hint="eastAsia" w:ascii="楷体_GB2312" w:eastAsia="楷体_GB2312"/>
          <w:sz w:val="32"/>
          <w:szCs w:val="32"/>
        </w:rPr>
        <w:t>（二）效果</w:t>
      </w:r>
      <w:r>
        <w:rPr>
          <w:rFonts w:ascii="楷体_GB2312" w:eastAsia="楷体_GB2312"/>
          <w:sz w:val="32"/>
          <w:szCs w:val="32"/>
        </w:rPr>
        <w:t>实现情况分析</w:t>
      </w:r>
      <w:bookmarkEnd w:id="10"/>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1.经济效益</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（1）开展成品油涉税法律监督工作，联合公安、税务等职能部门追缴税款1950余万，居全市前列。</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（2）支持区生态环境局、农业农村局等开展生态损害赔偿案件3件，促缴生态损害赔偿金889.7万元，增殖放流鱼苗750公斤。</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（3）大力开展打击整治养老诈骗专项行动，办理涉养老诈骗案件8件，追赃挽损450余万元。</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社会效益</w:t>
      </w:r>
    </w:p>
    <w:p>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全力维护国家安全和社会安全稳定。依法打击各类刑事犯罪，维护国家安全和社会稳定、服务经济发展，促进公平公正，保障人民安居乐业。办理“5.17”利用邪教组织破坏法律实施系列案件，坚决维护国家政治安全。办理324起涉嫌危害公共安全案件，为党的二十大胜利召开营造安全稳定的社会环境。常态化落实扫黑除恶长效工作机制，为全区扫黑除恶赶超创优贡献检察力量。依法办理“1.28”博康艾馨重特大非法集资案、“3.26”电信网络诈骗专案、“5.25”重特大涉税案等一批市委政法委、市检察院高度关注的大要案，影响人民获得感、幸福感、安全感的各项犯罪受到惩治。</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全力服务经济社会高质量发展。制定14条服务保障城市南部地区高质量发展工作措施，检察服务更加精准。联合市知识产权局、区市场监督管理局、临空区管委会签署《知识产权协同保护合作框架协议》，护航临空区高质量发展。平等保护民营经济主体合法权益，办理涉民营企业案件55件77人。依法惩治金融领域刑事犯罪案件66件，精准助力区域金融风险防范化解。积极推进企业合规改革工作，与区市场监督管理局、工商联共同制定《侵犯知识产权犯罪企业合规整改指南》，受到最高检肯定。相关工作机制被全国工商联、最高检评为“工商联与检察机关沟通联系机制典型事例”。落实食品药品安全“四个最严”要求，办理的李某某生产、销售不符合安全标准食品案被评为北京市检察机关刑事抗诉典型案例。持续加大追诉洗钱犯罪的力度，反洗钱工作取得明显成效，金融检察部门获评北京市打击洗钱犯罪突出集体。</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持续加大民生检察保障力度。对标“七有”“五性”要求，聚焦“一老一小”权益保护，大力开展打击整治养老诈骗专项行动，办理涉养老诈骗案件8件，追赃挽损450余万元；贯彻未成年人保护法、预防未成年人犯罪法，从严惩治成年人侵害未成年人犯罪案件28件34人。坚持依法惩戒和精准帮教相结合，附条件不起诉涉罪未成年7人，最大限度教育挽救涉罪未成年人。关爱弱势群体传递司法温度，向贫困户被害人发放司法救助金，防止因案返贫。支持农民工依法起诉讨薪案9件，引导依法追讨劳动报酬。开展农贸市场食品安全公益诉讼专项监督，推动治理虚假宣传、证照不全、非法宰杀等不规范经营问题，保障人民群众“舌尖上的安全”。</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牢牢扛起疫情防控责任。依法维护疫情防控秩序。提前介入办理逃避检查站检查、隐瞒蓄意编造行程、违规解除健康宝弹窗等违反疫情防控规定案件12件13人，为疫情防控提供有力司法保障。积极参与社会防控，选派人员参加流调专班、机场工作专班、集中隔离点防控、支援核酸检测、村口值守共1305人次，在疫情防控中凸显检察担当。严格落实“四方责任”，着力做好办公、办案场所疫情防控。有效破解居家办公、下沉等造成的人手紧张问题，统筹好疫情防控和检察办案，确保检察服务不断档、办案质效不下降。</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深层次融入社会治理。建立涉稳风险信访案件台账，院领导带头包案化解多起聚集性群体访事件。坚持“治罪”与“治理”并重，推动司法办案向社会治理延伸，制发社会治理类检察建议书94份。坚持以检察听证化解矛盾纠纷，召开听证会55次。坚持“三个一次性”办理，及时回应“接诉即办”和“群众来信来访”诉求。落实“八五”普法，持续开展送法进企业、社区、学校等活动，打造“兴检知声”“兴光”等群众喜闻乐见的普法产品，营造尊法学法守法用法的法治环境。</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（6）强化监督工作的主动性和积极性，依职权主动监督案件2531件，同比增长4.4倍，增速全市第1。立案监督同比增长3.2倍，侦查监督同比增长28倍。</w:t>
      </w:r>
      <w:r>
        <w:rPr>
          <w:rFonts w:hint="eastAsia" w:ascii="仿宋" w:hAnsi="仿宋" w:eastAsia="仿宋" w:cs="仿宋"/>
          <w:sz w:val="32"/>
          <w:szCs w:val="32"/>
          <w:lang w:eastAsia="zh-CN"/>
        </w:rPr>
        <w:t>准确把握“宽严相济”的刑事政策，落实认罪认罚从宽制度，严格依法适用逮捕羁押措施</w:t>
      </w:r>
      <w:r>
        <w:rPr>
          <w:rFonts w:hint="eastAsia" w:ascii="仿宋" w:hAnsi="仿宋" w:eastAsia="仿宋" w:cs="仿宋"/>
          <w:sz w:val="32"/>
          <w:szCs w:val="32"/>
        </w:rPr>
        <w:t>，不批准逮捕898人，不起诉354人。扎实开展羁押必要性审查，准确适用、及时变更羁押强制措施，避免“一捕了之”，有效降低诉前羁押率。</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3.环境效益</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2022</w:t>
      </w:r>
      <w:r>
        <w:rPr>
          <w:rFonts w:hint="eastAsia" w:ascii="仿宋" w:hAnsi="仿宋" w:eastAsia="仿宋" w:cs="仿宋"/>
          <w:sz w:val="32"/>
          <w:szCs w:val="32"/>
        </w:rPr>
        <w:t>年，大兴区人民检察院助力大兴区水务局、生态环境局、魏善庄镇政府等修复小龙河受损河堤、污水管线8公里，提升2座污水场站日处理能力。恢复受影响林地面积46872平方米，清理废水废渣6690立方米，清理垃圾9672.15吨。开展成品油涉税法律监督工作，联合公安、税务等职能部门追缴税款1950余万，居全市前列。排查黑加油站、自建油罐、流动加油车风险隐患61处，服务保障全区安全生产大局。向区园林绿化局、市场监管局等移送公益损害案件线索5件。支持区生态环境局、农业农村局等开展生态损害赔偿案件3件，促缴生态损害赔偿金889.7万元，增殖放流鱼苗750公斤。</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w:t>
      </w:r>
      <w:r>
        <w:rPr>
          <w:rFonts w:hint="eastAsia" w:ascii="仿宋" w:hAnsi="仿宋" w:eastAsia="仿宋" w:cs="仿宋"/>
          <w:sz w:val="32"/>
          <w:szCs w:val="32"/>
        </w:rPr>
        <w:t>可持续影响</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2022年，大兴区人民检察院全力服务经济社会高质量发展，制定14条服务保障城市南部地区高质量发展工作措施，检察服务更加精准。联合市知识产权局、区市场监督管理局、临空区管委会签署《知识产权协同保护合作框架协议》，护航临空区高质量发展。</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5.服务对象满意度</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大兴区人民检察院2022年</w:t>
      </w:r>
      <w:r>
        <w:rPr>
          <w:rFonts w:hint="eastAsia" w:ascii="仿宋" w:hAnsi="仿宋" w:eastAsia="仿宋" w:cs="仿宋"/>
          <w:sz w:val="32"/>
          <w:szCs w:val="32"/>
          <w:lang w:eastAsia="zh-CN"/>
        </w:rPr>
        <w:t>度</w:t>
      </w:r>
      <w:r>
        <w:rPr>
          <w:rFonts w:hint="eastAsia" w:ascii="仿宋" w:hAnsi="仿宋" w:eastAsia="仿宋" w:cs="仿宋"/>
          <w:sz w:val="32"/>
          <w:szCs w:val="32"/>
        </w:rPr>
        <w:t>未对部门整体进行满意度调查。根据各部门项目支出绩效自评表，各部门对项目服务对象进行了满意度调查，社会公众及服务对象满意度预期整体达到目标。</w:t>
      </w:r>
    </w:p>
    <w:p>
      <w:pPr>
        <w:spacing w:line="560" w:lineRule="exact"/>
        <w:ind w:firstLine="640" w:firstLineChars="200"/>
        <w:outlineLvl w:val="0"/>
        <w:rPr>
          <w:rFonts w:ascii="黑体" w:hAnsi="黑体" w:eastAsia="黑体" w:cs="宋体"/>
          <w:color w:val="000000"/>
          <w:kern w:val="0"/>
          <w:sz w:val="32"/>
          <w:szCs w:val="32"/>
        </w:rPr>
      </w:pPr>
      <w:bookmarkStart w:id="11" w:name="_Toc9828"/>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bookmarkEnd w:id="11"/>
    </w:p>
    <w:p>
      <w:pPr>
        <w:spacing w:line="560" w:lineRule="exact"/>
        <w:ind w:firstLine="640" w:firstLineChars="200"/>
        <w:outlineLvl w:val="1"/>
        <w:rPr>
          <w:rFonts w:ascii="楷体_GB2312" w:eastAsia="楷体_GB2312"/>
          <w:sz w:val="32"/>
          <w:szCs w:val="32"/>
        </w:rPr>
      </w:pPr>
      <w:bookmarkStart w:id="12" w:name="_Toc19654"/>
      <w:r>
        <w:rPr>
          <w:rFonts w:hint="eastAsia" w:ascii="楷体_GB2312" w:eastAsia="楷体_GB2312"/>
          <w:sz w:val="32"/>
          <w:szCs w:val="32"/>
        </w:rPr>
        <w:t>（一）财务管理</w:t>
      </w:r>
      <w:bookmarkEnd w:id="12"/>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1.财务管理制度健全性</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为规范预算管理，加强财政资金使用，大兴区人民检察院严格执行各项财政财务政策，积极推进财务标准化、信息化管理。2019年以来，在市审计局、市财政局、市检察院的指导下，修订完善了《北京市大兴区人民检察院财务管理规定》、《大兴区人民检察院固定资产管理办法》、《大兴区人民检察院合同管理办法》、《大兴区人民检察院公务卡管理使用办法》、《大兴区人民检察院差旅费管理规定》等多项财务管理制度，2021年继续修订完善了《北京市大兴区人民检察院内部控制手册（试行）》，各项财务管理制度比较健全，但未建立绩效跟踪管理办法。</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2.资金使用合规性和安全性</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大兴区人民检察院按照财政管理规定以及单位财务管理制度等相关要求落实资金使用管理，合理安排资金支出进度，资金使用整体合规且安全，能够按照规定内容规定时间公开预算信息，基础信息和会计信息资料完整、真实和准确。审批权限实行分级审批与集体审定相结合。一般性支出由主管检察长与财务部门负责人按一定的经费支出限额分级审批，避免多头审批，一万元以内的（含一万元）由分管财务院领导审批，一万元以上的一般性支出及其他重大的大额项目支出由院党组集体研究决定。</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大兴区人民检察院严格遵守现金、银行存款、支票、财务印章等与资金安全相关的各项管理规定；涉及资金收支的重要岗位，制定并严格遵守资金管理的不相容职务分离控制规定；认真做好现金日记账和银行存款日记账的登记工作，每月核对银行对账单和账面银行存款余额，并编制银行调节表，定期进行现金盘点。以上各项措施的切实落实，有效保障了资金的安全。</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大兴区人民检察院能够严格按照项目资金用途使用资金，严格遵守《中华人民共和国预算法》、《中华人民共和国采购法》及市财政主管部门的要求，规范使用资金，确保资金的安排、使用发挥出最大效益，实现项目目标。</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3.会计基础信息完善性</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在评价工作过程中，大兴区人民检察院向绩效评价工作组提供了部门整体绩效目标申报表、内控管理制度、会计账簿、支出凭证等资料，在一定程度上反映部门基础信息的完整有效。大兴区人民检察院相关会计资料准确、完整，部门基础信息管理较好，符合国家财经法规和财务管理制度以及有关专项资金管理办法的规定。形成的会计档案按类别统一格式和规格装订，定期归档。</w:t>
      </w:r>
    </w:p>
    <w:p>
      <w:pPr>
        <w:spacing w:line="560" w:lineRule="exact"/>
        <w:ind w:firstLine="640" w:firstLineChars="200"/>
        <w:outlineLvl w:val="1"/>
        <w:rPr>
          <w:rFonts w:ascii="楷体_GB2312" w:eastAsia="楷体_GB2312"/>
          <w:sz w:val="32"/>
          <w:szCs w:val="32"/>
        </w:rPr>
      </w:pPr>
      <w:bookmarkStart w:id="13" w:name="_Toc24557"/>
      <w:r>
        <w:rPr>
          <w:rFonts w:hint="eastAsia" w:ascii="楷体_GB2312" w:eastAsia="楷体_GB2312"/>
          <w:sz w:val="32"/>
          <w:szCs w:val="32"/>
        </w:rPr>
        <w:t>（二）资产管理</w:t>
      </w:r>
      <w:bookmarkEnd w:id="13"/>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截至2022年底，大兴区人民检察院资产合计2,535.61万元，其中流动资产 725.93万元，非流动资产1,809.68万元。</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为加强资产管理，提高资产使用效益，大兴区人民检察院制定了《固定资产管理办法》，从管理职责、标准及分类、配置及验收、日常管理、清查盘点、处置等方面对固定资产管理进行了细化，明确资产范围、实物管理部门职责及各部门对资产日常管理承担的保管责任。实行资产动态管理机制，在资产发生内部转移时办理固定资产内部调拨手续，以便及时更新资产信息，保证固定资产账账、账实、账表相符。</w:t>
      </w:r>
    </w:p>
    <w:p>
      <w:pPr>
        <w:spacing w:line="560" w:lineRule="exact"/>
        <w:ind w:firstLine="640" w:firstLineChars="200"/>
        <w:rPr>
          <w:rFonts w:ascii="仿宋" w:hAnsi="仿宋" w:eastAsia="仿宋" w:cs="仿宋"/>
          <w:sz w:val="32"/>
          <w:szCs w:val="32"/>
        </w:rPr>
      </w:pPr>
      <w:bookmarkStart w:id="14" w:name="_Hlk135151570"/>
      <w:r>
        <w:rPr>
          <w:rFonts w:hint="eastAsia" w:ascii="仿宋" w:hAnsi="仿宋" w:eastAsia="仿宋" w:cs="仿宋"/>
          <w:sz w:val="32"/>
          <w:szCs w:val="32"/>
        </w:rPr>
        <w:t>大兴区人民检察院能够按照市财政局统一部署，根据有关文件规定，按时保质保量完成资产年报等相关工作，日常固定资产管理、新增、报废等工作均严格按照市财政局的规定程序办理，资产动态系统与会计账簿系统总额保持一致。</w:t>
      </w:r>
    </w:p>
    <w:bookmarkEnd w:id="14"/>
    <w:p>
      <w:pPr>
        <w:spacing w:line="560" w:lineRule="exact"/>
        <w:ind w:firstLine="640" w:firstLineChars="200"/>
        <w:rPr>
          <w:rFonts w:ascii="仿宋" w:hAnsi="仿宋" w:eastAsia="仿宋" w:cs="仿宋"/>
          <w:sz w:val="32"/>
          <w:szCs w:val="32"/>
        </w:rPr>
      </w:pPr>
      <w:bookmarkStart w:id="15" w:name="_Hlk135150199"/>
      <w:r>
        <w:rPr>
          <w:rFonts w:hint="eastAsia" w:ascii="仿宋" w:hAnsi="仿宋" w:eastAsia="仿宋" w:cs="仿宋"/>
          <w:sz w:val="32"/>
          <w:szCs w:val="32"/>
        </w:rPr>
        <w:t>2022年</w:t>
      </w:r>
      <w:r>
        <w:rPr>
          <w:rFonts w:hint="eastAsia" w:ascii="仿宋" w:hAnsi="仿宋" w:eastAsia="仿宋" w:cs="仿宋"/>
          <w:sz w:val="32"/>
          <w:szCs w:val="32"/>
          <w:lang w:eastAsia="zh-CN"/>
        </w:rPr>
        <w:t>度</w:t>
      </w:r>
      <w:r>
        <w:rPr>
          <w:rFonts w:hint="eastAsia" w:ascii="仿宋" w:hAnsi="仿宋" w:eastAsia="仿宋" w:cs="仿宋"/>
          <w:sz w:val="32"/>
          <w:szCs w:val="32"/>
        </w:rPr>
        <w:t>，大兴区检察院在资产管理方面，主要存在固定资产部分超标准配置、个别达到固定资产标准未按固定资产进行核算的问题。</w:t>
      </w:r>
    </w:p>
    <w:bookmarkEnd w:id="15"/>
    <w:p>
      <w:pPr>
        <w:spacing w:line="560" w:lineRule="exact"/>
        <w:ind w:firstLine="640" w:firstLineChars="200"/>
        <w:outlineLvl w:val="1"/>
        <w:rPr>
          <w:rFonts w:ascii="楷体_GB2312" w:eastAsia="楷体_GB2312"/>
          <w:sz w:val="32"/>
          <w:szCs w:val="32"/>
        </w:rPr>
      </w:pPr>
      <w:bookmarkStart w:id="16" w:name="_Toc8583"/>
      <w:r>
        <w:rPr>
          <w:rFonts w:hint="eastAsia" w:ascii="楷体_GB2312" w:eastAsia="楷体_GB2312"/>
          <w:sz w:val="32"/>
          <w:szCs w:val="32"/>
        </w:rPr>
        <w:t>（三）绩效</w:t>
      </w:r>
      <w:r>
        <w:rPr>
          <w:rFonts w:ascii="楷体_GB2312" w:eastAsia="楷体_GB2312"/>
          <w:sz w:val="32"/>
          <w:szCs w:val="32"/>
        </w:rPr>
        <w:t>管理</w:t>
      </w:r>
      <w:bookmarkEnd w:id="16"/>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2022年，大兴区人民检察院开展了部门整体绩效自评，并形成《部门整体绩效评价报告》，全方位把握单位整体预算执行、整体绩效目标实现和预算管理情况。</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3</w:t>
      </w:r>
      <w:r>
        <w:rPr>
          <w:rFonts w:hint="eastAsia" w:ascii="仿宋" w:hAnsi="仿宋" w:eastAsia="仿宋" w:cs="仿宋"/>
          <w:sz w:val="32"/>
          <w:szCs w:val="32"/>
        </w:rPr>
        <w:t>年，大兴区人民检察院按照《北京市项目支出绩效评价管理办法》（京财绩效〔2020〕2146号）文件要求，在做好项目支出事前申报、事中监管的基础上，对2022年度所有填报绩效目标的项目支出开展自评工作，对6个项目支出实施了绩效评价，并形成《项目支出绩效自评表》。</w:t>
      </w:r>
    </w:p>
    <w:p>
      <w:pPr>
        <w:spacing w:line="560" w:lineRule="exact"/>
        <w:ind w:firstLine="640" w:firstLineChars="200"/>
        <w:rPr>
          <w:rFonts w:ascii="楷体_GB2312" w:eastAsia="楷体_GB2312"/>
          <w:sz w:val="32"/>
          <w:szCs w:val="32"/>
        </w:rPr>
      </w:pPr>
      <w:bookmarkStart w:id="17" w:name="_Toc440"/>
      <w:r>
        <w:rPr>
          <w:rFonts w:hint="eastAsia" w:ascii="楷体_GB2312" w:eastAsia="楷体_GB2312"/>
          <w:sz w:val="32"/>
          <w:szCs w:val="32"/>
        </w:rPr>
        <w:t>（四）</w:t>
      </w:r>
      <w:bookmarkEnd w:id="17"/>
      <w:bookmarkStart w:id="18" w:name="_Toc28564"/>
      <w:r>
        <w:rPr>
          <w:rFonts w:hint="eastAsia" w:ascii="楷体_GB2312" w:eastAsia="楷体_GB2312"/>
          <w:sz w:val="32"/>
          <w:szCs w:val="32"/>
        </w:rPr>
        <w:t>部门</w:t>
      </w:r>
      <w:r>
        <w:rPr>
          <w:rFonts w:ascii="楷体_GB2312" w:eastAsia="楷体_GB2312"/>
          <w:sz w:val="32"/>
          <w:szCs w:val="32"/>
        </w:rPr>
        <w:t>预决算差异率</w:t>
      </w:r>
      <w:bookmarkEnd w:id="18"/>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大兴区人民检察院2022年全年支出预算数10,342.58万元，决算支出9,875.11万元，年末结转结余资金467.47万元，部门预决算差异率4</w:t>
      </w:r>
      <w:r>
        <w:rPr>
          <w:rFonts w:ascii="仿宋" w:hAnsi="仿宋" w:eastAsia="仿宋" w:cs="仿宋"/>
          <w:sz w:val="32"/>
          <w:szCs w:val="32"/>
        </w:rPr>
        <w:t>.52</w:t>
      </w:r>
      <w:r>
        <w:rPr>
          <w:rFonts w:hint="eastAsia" w:ascii="仿宋" w:hAnsi="仿宋" w:eastAsia="仿宋" w:cs="仿宋"/>
          <w:sz w:val="32"/>
          <w:szCs w:val="32"/>
        </w:rPr>
        <w:t>%，低于市级平均差异率。</w:t>
      </w:r>
    </w:p>
    <w:p>
      <w:pPr>
        <w:spacing w:line="560" w:lineRule="exact"/>
        <w:ind w:firstLine="640" w:firstLineChars="200"/>
        <w:outlineLvl w:val="0"/>
        <w:rPr>
          <w:rFonts w:ascii="黑体" w:hAnsi="黑体" w:eastAsia="黑体"/>
          <w:sz w:val="32"/>
          <w:szCs w:val="32"/>
        </w:rPr>
      </w:pPr>
      <w:bookmarkStart w:id="19" w:name="_Toc16996"/>
      <w:r>
        <w:rPr>
          <w:rFonts w:hint="eastAsia" w:ascii="黑体" w:hAnsi="黑体" w:eastAsia="黑体"/>
          <w:sz w:val="32"/>
          <w:szCs w:val="32"/>
        </w:rPr>
        <w:t>五、总体</w:t>
      </w:r>
      <w:r>
        <w:rPr>
          <w:rFonts w:ascii="黑体" w:hAnsi="黑体" w:eastAsia="黑体"/>
          <w:sz w:val="32"/>
          <w:szCs w:val="32"/>
        </w:rPr>
        <w:t>评价结论</w:t>
      </w:r>
      <w:bookmarkEnd w:id="19"/>
    </w:p>
    <w:p>
      <w:pPr>
        <w:spacing w:line="560" w:lineRule="exact"/>
        <w:ind w:firstLine="640" w:firstLineChars="200"/>
        <w:outlineLvl w:val="1"/>
        <w:rPr>
          <w:rFonts w:ascii="楷体_GB2312" w:eastAsia="楷体_GB2312"/>
          <w:sz w:val="32"/>
          <w:szCs w:val="32"/>
        </w:rPr>
      </w:pPr>
      <w:bookmarkStart w:id="20" w:name="_Toc23988"/>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bookmarkEnd w:id="20"/>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根据2022年度部门整体绩效目标申报表，大兴区人民检察院各项年度工作任务均已按照部署要求和时间进度完成，整体工作产出完成情况较好。大兴区人民检察院部门整体综合评价得分9</w:t>
      </w:r>
      <w:r>
        <w:rPr>
          <w:rFonts w:ascii="仿宋" w:hAnsi="仿宋" w:eastAsia="仿宋" w:cs="仿宋"/>
          <w:sz w:val="32"/>
          <w:szCs w:val="32"/>
        </w:rPr>
        <w:t>3</w:t>
      </w:r>
      <w:r>
        <w:rPr>
          <w:rFonts w:hint="eastAsia" w:ascii="仿宋" w:hAnsi="仿宋" w:eastAsia="仿宋" w:cs="仿宋"/>
          <w:sz w:val="32"/>
          <w:szCs w:val="32"/>
        </w:rPr>
        <w:t>.</w:t>
      </w:r>
      <w:r>
        <w:rPr>
          <w:rFonts w:ascii="仿宋" w:hAnsi="仿宋" w:eastAsia="仿宋" w:cs="仿宋"/>
          <w:sz w:val="32"/>
          <w:szCs w:val="32"/>
        </w:rPr>
        <w:t>00</w:t>
      </w:r>
      <w:r>
        <w:rPr>
          <w:rFonts w:hint="eastAsia" w:ascii="仿宋" w:hAnsi="仿宋" w:eastAsia="仿宋" w:cs="仿宋"/>
          <w:sz w:val="32"/>
          <w:szCs w:val="32"/>
        </w:rPr>
        <w:t>分，其中当年预算执行情况得分1</w:t>
      </w:r>
      <w:r>
        <w:rPr>
          <w:rFonts w:ascii="仿宋" w:hAnsi="仿宋" w:eastAsia="仿宋" w:cs="仿宋"/>
          <w:sz w:val="32"/>
          <w:szCs w:val="32"/>
        </w:rPr>
        <w:t>9</w:t>
      </w:r>
      <w:r>
        <w:rPr>
          <w:rFonts w:hint="eastAsia" w:ascii="仿宋" w:hAnsi="仿宋" w:eastAsia="仿宋" w:cs="仿宋"/>
          <w:sz w:val="32"/>
          <w:szCs w:val="32"/>
        </w:rPr>
        <w:t>.</w:t>
      </w:r>
      <w:r>
        <w:rPr>
          <w:rFonts w:ascii="仿宋" w:hAnsi="仿宋" w:eastAsia="仿宋" w:cs="仿宋"/>
          <w:sz w:val="32"/>
          <w:szCs w:val="32"/>
        </w:rPr>
        <w:t>10</w:t>
      </w:r>
      <w:r>
        <w:rPr>
          <w:rFonts w:hint="eastAsia" w:ascii="仿宋" w:hAnsi="仿宋" w:eastAsia="仿宋" w:cs="仿宋"/>
          <w:sz w:val="32"/>
          <w:szCs w:val="32"/>
        </w:rPr>
        <w:t>分，整体绩效目标实现情况得分58.00分，预算管理情况得分1</w:t>
      </w:r>
      <w:r>
        <w:rPr>
          <w:rFonts w:ascii="仿宋" w:hAnsi="仿宋" w:eastAsia="仿宋" w:cs="仿宋"/>
          <w:sz w:val="32"/>
          <w:szCs w:val="32"/>
        </w:rPr>
        <w:t>5</w:t>
      </w:r>
      <w:r>
        <w:rPr>
          <w:rFonts w:hint="eastAsia" w:ascii="仿宋" w:hAnsi="仿宋" w:eastAsia="仿宋" w:cs="仿宋"/>
          <w:sz w:val="32"/>
          <w:szCs w:val="32"/>
        </w:rPr>
        <w:t>.</w:t>
      </w:r>
      <w:r>
        <w:rPr>
          <w:rFonts w:ascii="仿宋" w:hAnsi="仿宋" w:eastAsia="仿宋" w:cs="仿宋"/>
          <w:sz w:val="32"/>
          <w:szCs w:val="32"/>
        </w:rPr>
        <w:t>9</w:t>
      </w:r>
      <w:r>
        <w:rPr>
          <w:rFonts w:hint="eastAsia" w:ascii="仿宋" w:hAnsi="仿宋" w:eastAsia="仿宋" w:cs="仿宋"/>
          <w:sz w:val="32"/>
          <w:szCs w:val="32"/>
        </w:rPr>
        <w:t>0分。具体得分情况见下表：</w:t>
      </w:r>
    </w:p>
    <w:tbl>
      <w:tblPr>
        <w:tblStyle w:val="22"/>
        <w:tblW w:w="78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4"/>
        <w:gridCol w:w="1812"/>
        <w:gridCol w:w="2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exact"/>
          <w:tblHeader/>
          <w:jc w:val="center"/>
        </w:trPr>
        <w:tc>
          <w:tcPr>
            <w:tcW w:w="3244" w:type="dxa"/>
            <w:shd w:val="clear" w:color="auto" w:fill="BEBEBE"/>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评价内容</w:t>
            </w:r>
          </w:p>
        </w:tc>
        <w:tc>
          <w:tcPr>
            <w:tcW w:w="1812" w:type="dxa"/>
            <w:shd w:val="clear" w:color="auto" w:fill="BEBEBE"/>
            <w:vAlign w:val="center"/>
          </w:tcPr>
          <w:p>
            <w:pPr>
              <w:widowControl/>
              <w:spacing w:line="360" w:lineRule="auto"/>
              <w:jc w:val="center"/>
              <w:rPr>
                <w:rFonts w:ascii="宋体" w:hAnsi="宋体" w:cs="宋体"/>
                <w:b/>
                <w:bCs/>
                <w:color w:val="000000"/>
                <w:kern w:val="0"/>
                <w:szCs w:val="21"/>
              </w:rPr>
            </w:pPr>
            <w:r>
              <w:rPr>
                <w:rFonts w:hint="eastAsia" w:ascii="宋体" w:hAnsi="宋体" w:cs="宋体"/>
                <w:b/>
                <w:bCs/>
                <w:color w:val="000000"/>
                <w:kern w:val="0"/>
                <w:szCs w:val="21"/>
              </w:rPr>
              <w:t>分值</w:t>
            </w:r>
          </w:p>
        </w:tc>
        <w:tc>
          <w:tcPr>
            <w:tcW w:w="2759" w:type="dxa"/>
            <w:shd w:val="clear" w:color="auto" w:fill="BEBEBE"/>
            <w:vAlign w:val="center"/>
          </w:tcPr>
          <w:p>
            <w:pPr>
              <w:widowControl/>
              <w:spacing w:line="360" w:lineRule="auto"/>
              <w:jc w:val="center"/>
              <w:rPr>
                <w:rFonts w:ascii="宋体" w:hAnsi="宋体" w:cs="宋体"/>
                <w:b/>
                <w:bCs/>
                <w:color w:val="000000"/>
                <w:kern w:val="0"/>
                <w:szCs w:val="21"/>
              </w:rPr>
            </w:pPr>
            <w:r>
              <w:rPr>
                <w:rFonts w:hint="eastAsia" w:ascii="宋体" w:hAnsi="宋体" w:cs="宋体"/>
                <w:b/>
                <w:bCs/>
                <w:color w:val="000000"/>
                <w:kern w:val="0"/>
                <w:szCs w:val="21"/>
              </w:rPr>
              <w:t>评价得分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244"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当年预算执行情况</w:t>
            </w:r>
          </w:p>
        </w:tc>
        <w:tc>
          <w:tcPr>
            <w:tcW w:w="1812"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20</w:t>
            </w:r>
          </w:p>
        </w:tc>
        <w:tc>
          <w:tcPr>
            <w:tcW w:w="2759" w:type="dxa"/>
            <w:vAlign w:val="center"/>
          </w:tcPr>
          <w:p>
            <w:pPr>
              <w:widowControl/>
              <w:spacing w:line="360" w:lineRule="auto"/>
              <w:jc w:val="center"/>
              <w:rPr>
                <w:rFonts w:ascii="宋体" w:hAnsi="宋体" w:cs="宋体"/>
                <w:color w:val="000000"/>
                <w:kern w:val="0"/>
                <w:szCs w:val="21"/>
              </w:rPr>
            </w:pPr>
            <w:r>
              <w:rPr>
                <w:rFonts w:ascii="宋体" w:hAnsi="宋体" w:cs="宋体"/>
                <w:color w:val="000000"/>
                <w:kern w:val="0"/>
                <w:szCs w:val="21"/>
              </w:rPr>
              <w:t>19.10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244"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整体绩效目标实现情况</w:t>
            </w:r>
          </w:p>
        </w:tc>
        <w:tc>
          <w:tcPr>
            <w:tcW w:w="1812"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60</w:t>
            </w:r>
          </w:p>
        </w:tc>
        <w:tc>
          <w:tcPr>
            <w:tcW w:w="2759"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58.00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244"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预算管理情况</w:t>
            </w:r>
          </w:p>
        </w:tc>
        <w:tc>
          <w:tcPr>
            <w:tcW w:w="1812"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20</w:t>
            </w:r>
          </w:p>
        </w:tc>
        <w:tc>
          <w:tcPr>
            <w:tcW w:w="2759"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5.90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exact"/>
          <w:jc w:val="center"/>
        </w:trPr>
        <w:tc>
          <w:tcPr>
            <w:tcW w:w="3244"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综合得分</w:t>
            </w:r>
          </w:p>
        </w:tc>
        <w:tc>
          <w:tcPr>
            <w:tcW w:w="1812"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100</w:t>
            </w:r>
          </w:p>
        </w:tc>
        <w:tc>
          <w:tcPr>
            <w:tcW w:w="2759" w:type="dxa"/>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9</w:t>
            </w:r>
            <w:r>
              <w:rPr>
                <w:rFonts w:ascii="宋体" w:hAnsi="宋体" w:cs="宋体"/>
                <w:color w:val="000000"/>
                <w:kern w:val="0"/>
                <w:szCs w:val="21"/>
              </w:rPr>
              <w:t>3.00</w:t>
            </w:r>
          </w:p>
        </w:tc>
      </w:tr>
    </w:tbl>
    <w:p>
      <w:pPr>
        <w:spacing w:line="560" w:lineRule="exact"/>
        <w:ind w:firstLine="640" w:firstLineChars="200"/>
        <w:outlineLvl w:val="1"/>
        <w:rPr>
          <w:rFonts w:ascii="楷体_GB2312" w:eastAsia="楷体_GB2312"/>
          <w:sz w:val="32"/>
          <w:szCs w:val="32"/>
        </w:rPr>
      </w:pPr>
      <w:bookmarkStart w:id="21" w:name="_Toc21942"/>
      <w:r>
        <w:rPr>
          <w:rFonts w:hint="eastAsia" w:ascii="楷体_GB2312" w:eastAsia="楷体_GB2312"/>
          <w:sz w:val="32"/>
          <w:szCs w:val="32"/>
        </w:rPr>
        <w:t>（二）存在的问题及原因分析</w:t>
      </w:r>
      <w:bookmarkEnd w:id="21"/>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部门整体绩效目标申报表填写不够完整，各项指标内容仅对预期效益进行描述，未体现预期完成值，缺少资金使用计划、实施进度安排，指标的可考量性不足。如：未填写产出数量、质量、成本等指标，各项活动绩效指标均为定性指标“满意度指标服务对象满意度指标全院干警及当事人满意率”，指标填写不够细化。</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未建立绩效跟踪管理办法，对资金支出和项目实施过程中与财政预算绩效管理有关的资金到位、资金支出、项目进程、目标实现等动态情况进行跟踪管理。未及时对财政支出的绩效目标实现程度、项目实施进度、资金支出进度等情况进行汇总分析整理。</w:t>
      </w:r>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大兴区检察院在资产管理方面，主要存在部分固定资产超标准配置、个别达到固定资产标准未按固定资产进行管理和核算的问题。</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w:t>
      </w:r>
      <w:r>
        <w:rPr>
          <w:rFonts w:hint="eastAsia" w:ascii="仿宋" w:hAnsi="仿宋" w:eastAsia="仿宋" w:cs="仿宋"/>
          <w:sz w:val="32"/>
          <w:szCs w:val="32"/>
        </w:rPr>
        <w:t>服务对象满意度调查方式尚可进一步优化。大兴区人民检察院202</w:t>
      </w:r>
      <w:r>
        <w:rPr>
          <w:rFonts w:ascii="仿宋" w:hAnsi="仿宋" w:eastAsia="仿宋" w:cs="仿宋"/>
          <w:sz w:val="32"/>
          <w:szCs w:val="32"/>
        </w:rPr>
        <w:t>2</w:t>
      </w:r>
      <w:r>
        <w:rPr>
          <w:rFonts w:hint="eastAsia" w:ascii="仿宋" w:hAnsi="仿宋" w:eastAsia="仿宋" w:cs="仿宋"/>
          <w:sz w:val="32"/>
          <w:szCs w:val="32"/>
        </w:rPr>
        <w:t>年所有项目的服务对象满意度调查均在项目完成后开展。对于信息化运维服务项目、互联网接入服务项目、运维保障工作经费项目这类全年持续运行的项目，可以在项目的不同阶段开展满意度调查，以便于及时发现问题，及时解决问题。</w:t>
      </w:r>
    </w:p>
    <w:p>
      <w:pPr>
        <w:pStyle w:val="9"/>
        <w:spacing w:after="0" w:line="560" w:lineRule="exact"/>
        <w:ind w:left="0" w:leftChars="0" w:firstLine="640" w:firstLineChars="200"/>
        <w:outlineLvl w:val="0"/>
        <w:rPr>
          <w:rFonts w:ascii="仿宋_GB2312" w:hAnsi="宋体" w:eastAsia="仿宋_GB2312" w:cs="宋体"/>
          <w:color w:val="000000"/>
          <w:kern w:val="0"/>
          <w:sz w:val="32"/>
          <w:szCs w:val="32"/>
        </w:rPr>
      </w:pPr>
      <w:bookmarkStart w:id="22" w:name="_Toc16460"/>
      <w:r>
        <w:rPr>
          <w:rFonts w:hint="eastAsia" w:ascii="黑体" w:hAnsi="黑体" w:eastAsia="黑体" w:cs="宋体"/>
          <w:color w:val="000000"/>
          <w:kern w:val="0"/>
          <w:sz w:val="32"/>
          <w:szCs w:val="32"/>
        </w:rPr>
        <w:t>六、措施建议</w:t>
      </w:r>
      <w:bookmarkEnd w:id="22"/>
    </w:p>
    <w:p>
      <w:pPr>
        <w:spacing w:line="560" w:lineRule="exact"/>
        <w:ind w:firstLine="640" w:firstLineChars="200"/>
        <w:rPr>
          <w:rFonts w:ascii="仿宋" w:hAnsi="仿宋" w:eastAsia="仿宋" w:cs="仿宋"/>
          <w:sz w:val="32"/>
          <w:szCs w:val="32"/>
        </w:rPr>
      </w:pPr>
      <w:bookmarkStart w:id="23" w:name="_Toc24942"/>
      <w:r>
        <w:rPr>
          <w:rFonts w:ascii="仿宋" w:hAnsi="仿宋" w:eastAsia="仿宋" w:cs="仿宋"/>
          <w:sz w:val="32"/>
          <w:szCs w:val="32"/>
        </w:rPr>
        <w:t>1.</w:t>
      </w:r>
      <w:r>
        <w:rPr>
          <w:rFonts w:hint="eastAsia" w:ascii="仿宋" w:hAnsi="仿宋" w:eastAsia="仿宋" w:cs="仿宋"/>
          <w:sz w:val="32"/>
          <w:szCs w:val="32"/>
        </w:rPr>
        <w:t>建议大兴区人民检察院结合部门职能、年度工作计划和重点工作任务，梳理部门主要产出和绩效，合理设置部门年度绩效目标和绩效指标，保证各项指标细化、量化和准确；提高绩效意识，强化绩效资料归集，加强绩效结果应用。</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w:t>
      </w:r>
      <w:r>
        <w:rPr>
          <w:rFonts w:hint="eastAsia" w:ascii="仿宋" w:hAnsi="仿宋" w:eastAsia="仿宋" w:cs="仿宋"/>
          <w:sz w:val="32"/>
          <w:szCs w:val="32"/>
        </w:rPr>
        <w:t>建议建立绩效跟踪管理办法，根据确定的绩效目标，运用科学、合理的绩效信息汇总分析方法，对财政支出的绩效目标实现程度、项目实施进度、资金支出进度等情况进行阶段性跟踪管理和督促检查，及时发现问题并采取有效的措施纠正偏离绩效目标情况的管理活动。</w:t>
      </w:r>
      <w:bookmarkEnd w:id="23"/>
    </w:p>
    <w:p>
      <w:pPr>
        <w:spacing w:line="560" w:lineRule="exact"/>
        <w:ind w:firstLine="640" w:firstLineChars="200"/>
        <w:rPr>
          <w:rFonts w:ascii="仿宋" w:hAnsi="仿宋" w:eastAsia="仿宋" w:cs="仿宋"/>
          <w:sz w:val="32"/>
          <w:szCs w:val="32"/>
        </w:rPr>
      </w:pPr>
      <w:r>
        <w:rPr>
          <w:rFonts w:ascii="仿宋" w:hAnsi="仿宋" w:eastAsia="仿宋" w:cs="仿宋"/>
          <w:sz w:val="32"/>
          <w:szCs w:val="32"/>
        </w:rPr>
        <w:t>3.</w:t>
      </w:r>
      <w:r>
        <w:rPr>
          <w:rFonts w:hint="eastAsia" w:ascii="仿宋" w:hAnsi="仿宋" w:eastAsia="仿宋" w:cs="仿宋"/>
          <w:sz w:val="32"/>
          <w:szCs w:val="32"/>
        </w:rPr>
        <w:t>规范固定资产管理，对达到固定资产标准的资产，严格按照政府会计准则中关于固定资产确认的相关规定，作为固定资产管理和核算。对固定资产定期盘点、监管及清理，按需购买，严格执行相关采购政策，避免出现数量及价格超标情况。</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w:t>
      </w:r>
      <w:r>
        <w:rPr>
          <w:rFonts w:hint="eastAsia" w:ascii="仿宋" w:hAnsi="仿宋" w:eastAsia="仿宋" w:cs="仿宋"/>
          <w:sz w:val="32"/>
          <w:szCs w:val="32"/>
        </w:rPr>
        <w:t>建议根据每个项目的具体情况，合理设置满意度调查方式，以便在项目开展的全过程中持续了解和掌握服务对象的意见和建议，有针对性地加以改进。</w:t>
      </w:r>
    </w:p>
    <w:p>
      <w:pPr>
        <w:pStyle w:val="9"/>
        <w:spacing w:after="0" w:line="560" w:lineRule="exact"/>
        <w:ind w:left="0" w:leftChars="0" w:firstLine="640" w:firstLineChars="200"/>
        <w:outlineLvl w:val="0"/>
        <w:rPr>
          <w:rFonts w:ascii="黑体" w:hAnsi="黑体" w:eastAsia="黑体" w:cs="宋体"/>
          <w:color w:val="000000"/>
          <w:kern w:val="0"/>
          <w:sz w:val="32"/>
          <w:szCs w:val="32"/>
        </w:rPr>
      </w:pPr>
      <w:bookmarkStart w:id="24" w:name="_Toc25191"/>
      <w:r>
        <w:rPr>
          <w:rFonts w:hint="eastAsia" w:ascii="黑体" w:hAnsi="黑体" w:eastAsia="黑体" w:cs="宋体"/>
          <w:color w:val="000000"/>
          <w:kern w:val="0"/>
          <w:sz w:val="32"/>
          <w:szCs w:val="32"/>
        </w:rPr>
        <w:t>七、附件</w:t>
      </w:r>
      <w:bookmarkEnd w:id="24"/>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2022年部门整体绩效评价指标体系评分表</w:t>
      </w:r>
    </w:p>
    <w:p>
      <w:pPr>
        <w:jc w:val="left"/>
        <w:rPr>
          <w:sz w:val="32"/>
          <w:szCs w:val="32"/>
          <w:u w:val="single"/>
        </w:rPr>
      </w:pPr>
    </w:p>
    <w:p>
      <w:pPr>
        <w:spacing w:line="560" w:lineRule="exact"/>
        <w:outlineLvl w:val="0"/>
        <w:rPr>
          <w:rFonts w:ascii="黑体" w:hAnsi="黑体" w:eastAsia="黑体" w:cs="黑体"/>
          <w:bCs/>
          <w:color w:val="000000"/>
          <w:kern w:val="0"/>
          <w:sz w:val="32"/>
          <w:szCs w:val="32"/>
        </w:rPr>
      </w:pPr>
    </w:p>
    <w:p>
      <w:pPr>
        <w:pStyle w:val="7"/>
        <w:sectPr>
          <w:footerReference r:id="rId7" w:type="default"/>
          <w:pgSz w:w="11906" w:h="16838"/>
          <w:pgMar w:top="1440" w:right="1800" w:bottom="1440" w:left="1800" w:header="851" w:footer="992" w:gutter="0"/>
          <w:pgNumType w:start="1"/>
          <w:cols w:space="425" w:num="1"/>
          <w:docGrid w:type="lines" w:linePitch="312" w:charSpace="0"/>
        </w:sectPr>
      </w:pPr>
    </w:p>
    <w:p>
      <w:pPr>
        <w:spacing w:line="560" w:lineRule="exact"/>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附件：2022年部门整体绩效评价</w:t>
      </w:r>
      <w:r>
        <w:rPr>
          <w:rFonts w:hint="eastAsia" w:ascii="仿宋" w:hAnsi="仿宋" w:eastAsia="仿宋" w:cs="微软雅黑"/>
          <w:color w:val="000000"/>
          <w:kern w:val="0"/>
          <w:sz w:val="32"/>
          <w:szCs w:val="32"/>
        </w:rPr>
        <w:t>指标</w:t>
      </w:r>
      <w:r>
        <w:rPr>
          <w:rFonts w:hint="eastAsia" w:ascii="仿宋" w:hAnsi="仿宋" w:eastAsia="仿宋" w:cs="___WRD_EMBED_SUB_47"/>
          <w:color w:val="000000"/>
          <w:kern w:val="0"/>
          <w:sz w:val="32"/>
          <w:szCs w:val="32"/>
        </w:rPr>
        <w:t>体</w:t>
      </w:r>
      <w:r>
        <w:rPr>
          <w:rFonts w:hint="eastAsia" w:ascii="仿宋" w:hAnsi="仿宋" w:eastAsia="仿宋" w:cs="微软雅黑"/>
          <w:color w:val="000000"/>
          <w:kern w:val="0"/>
          <w:sz w:val="32"/>
          <w:szCs w:val="32"/>
        </w:rPr>
        <w:t>系</w:t>
      </w:r>
      <w:r>
        <w:rPr>
          <w:rFonts w:hint="eastAsia" w:ascii="仿宋" w:hAnsi="仿宋" w:eastAsia="仿宋" w:cs="___WRD_EMBED_SUB_47"/>
          <w:color w:val="000000"/>
          <w:kern w:val="0"/>
          <w:sz w:val="32"/>
          <w:szCs w:val="32"/>
        </w:rPr>
        <w:t>评</w:t>
      </w:r>
      <w:r>
        <w:rPr>
          <w:rFonts w:hint="eastAsia" w:ascii="仿宋" w:hAnsi="仿宋" w:eastAsia="仿宋" w:cs="微软雅黑"/>
          <w:color w:val="000000"/>
          <w:kern w:val="0"/>
          <w:sz w:val="32"/>
          <w:szCs w:val="32"/>
        </w:rPr>
        <w:t>分</w:t>
      </w:r>
      <w:r>
        <w:rPr>
          <w:rFonts w:hint="eastAsia" w:ascii="仿宋" w:hAnsi="仿宋" w:eastAsia="仿宋" w:cs="___WRD_EMBED_SUB_47"/>
          <w:color w:val="000000"/>
          <w:kern w:val="0"/>
          <w:sz w:val="32"/>
          <w:szCs w:val="32"/>
        </w:rPr>
        <w:t>表</w:t>
      </w:r>
    </w:p>
    <w:tbl>
      <w:tblPr>
        <w:tblStyle w:val="22"/>
        <w:tblW w:w="15331" w:type="dxa"/>
        <w:tblInd w:w="-601" w:type="dxa"/>
        <w:tblLayout w:type="fixed"/>
        <w:tblCellMar>
          <w:top w:w="0" w:type="dxa"/>
          <w:left w:w="108" w:type="dxa"/>
          <w:bottom w:w="0" w:type="dxa"/>
          <w:right w:w="108" w:type="dxa"/>
        </w:tblCellMar>
      </w:tblPr>
      <w:tblGrid>
        <w:gridCol w:w="1206"/>
        <w:gridCol w:w="1070"/>
        <w:gridCol w:w="1156"/>
        <w:gridCol w:w="1306"/>
        <w:gridCol w:w="3719"/>
        <w:gridCol w:w="763"/>
        <w:gridCol w:w="708"/>
        <w:gridCol w:w="3548"/>
        <w:gridCol w:w="1837"/>
        <w:gridCol w:w="18"/>
      </w:tblGrid>
      <w:tr>
        <w:tblPrEx>
          <w:tblLayout w:type="fixed"/>
          <w:tblCellMar>
            <w:top w:w="0" w:type="dxa"/>
            <w:left w:w="108" w:type="dxa"/>
            <w:bottom w:w="0" w:type="dxa"/>
            <w:right w:w="108" w:type="dxa"/>
          </w:tblCellMar>
        </w:tblPrEx>
        <w:trPr>
          <w:cantSplit/>
          <w:trHeight w:val="90" w:hRule="atLeast"/>
        </w:trPr>
        <w:tc>
          <w:tcPr>
            <w:tcW w:w="15331" w:type="dxa"/>
            <w:gridSpan w:val="10"/>
            <w:tcBorders>
              <w:top w:val="nil"/>
              <w:left w:val="nil"/>
              <w:bottom w:val="single" w:color="auto" w:sz="4" w:space="0"/>
              <w:right w:val="nil"/>
            </w:tcBorders>
            <w:vAlign w:val="bottom"/>
          </w:tcPr>
          <w:p>
            <w:pPr>
              <w:widowControl/>
              <w:jc w:val="center"/>
              <w:rPr>
                <w:rFonts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2022年部门整体绩效评价指标体系评分表</w:t>
            </w:r>
          </w:p>
        </w:tc>
      </w:tr>
      <w:tr>
        <w:tblPrEx>
          <w:tblLayout w:type="fixed"/>
        </w:tblPrEx>
        <w:trPr>
          <w:cantSplit/>
          <w:trHeight w:val="470" w:hRule="atLeast"/>
        </w:trPr>
        <w:tc>
          <w:tcPr>
            <w:tcW w:w="15331" w:type="dxa"/>
            <w:gridSpan w:val="10"/>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Layout w:type="fixed"/>
          <w:tblCellMar>
            <w:top w:w="0" w:type="dxa"/>
            <w:left w:w="108" w:type="dxa"/>
            <w:bottom w:w="0" w:type="dxa"/>
            <w:right w:w="108" w:type="dxa"/>
          </w:tblCellMar>
        </w:tblPrEx>
        <w:trPr>
          <w:gridAfter w:val="1"/>
          <w:wAfter w:w="18" w:type="dxa"/>
          <w:cantSplit/>
          <w:trHeight w:val="660"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15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预算数（万元）</w:t>
            </w:r>
          </w:p>
        </w:tc>
        <w:tc>
          <w:tcPr>
            <w:tcW w:w="13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执行数（万元）</w:t>
            </w:r>
          </w:p>
        </w:tc>
        <w:tc>
          <w:tcPr>
            <w:tcW w:w="37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7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7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指标解释</w:t>
            </w:r>
          </w:p>
        </w:tc>
        <w:tc>
          <w:tcPr>
            <w:tcW w:w="183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评分标准</w:t>
            </w:r>
          </w:p>
        </w:tc>
      </w:tr>
      <w:tr>
        <w:tblPrEx>
          <w:tblLayout w:type="fixed"/>
          <w:tblCellMar>
            <w:top w:w="0" w:type="dxa"/>
            <w:left w:w="108" w:type="dxa"/>
            <w:bottom w:w="0" w:type="dxa"/>
            <w:right w:w="108" w:type="dxa"/>
          </w:tblCellMar>
        </w:tblPrEx>
        <w:trPr>
          <w:gridAfter w:val="1"/>
          <w:wAfter w:w="18" w:type="dxa"/>
          <w:cantSplit/>
          <w:trHeight w:val="630" w:hRule="atLeast"/>
        </w:trPr>
        <w:tc>
          <w:tcPr>
            <w:tcW w:w="1206" w:type="dxa"/>
            <w:vMerge w:val="restart"/>
            <w:tcBorders>
              <w:top w:val="nil"/>
              <w:left w:val="single" w:color="auto" w:sz="4" w:space="0"/>
              <w:bottom w:val="single" w:color="000000"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1156" w:type="dxa"/>
            <w:tcBorders>
              <w:top w:val="single" w:color="auto" w:sz="4" w:space="0"/>
              <w:left w:val="single" w:color="auto" w:sz="4" w:space="0"/>
              <w:bottom w:val="single" w:color="auto" w:sz="4" w:space="0"/>
              <w:right w:val="single" w:color="auto" w:sz="4" w:space="0"/>
            </w:tcBorders>
            <w:vAlign w:val="center"/>
          </w:tcPr>
          <w:p>
            <w:pPr>
              <w:widowControl/>
              <w:jc w:val="right"/>
              <w:rPr>
                <w:rFonts w:cs="宋体" w:asciiTheme="minorEastAsia" w:hAnsiTheme="minorEastAsia" w:eastAsiaTheme="minorEastAsia"/>
                <w:color w:val="000000"/>
                <w:kern w:val="0"/>
                <w:sz w:val="20"/>
                <w:szCs w:val="20"/>
              </w:rPr>
            </w:pPr>
            <w:r>
              <w:rPr>
                <w:rFonts w:asciiTheme="minorEastAsia" w:hAnsiTheme="minorEastAsia" w:eastAsiaTheme="minorEastAsia"/>
              </w:rPr>
              <w:t>9537</w:t>
            </w:r>
            <w:r>
              <w:rPr>
                <w:rFonts w:hint="eastAsia" w:asciiTheme="minorEastAsia" w:hAnsiTheme="minorEastAsia" w:eastAsiaTheme="minorEastAsia"/>
              </w:rPr>
              <w:t>.</w:t>
            </w:r>
            <w:r>
              <w:rPr>
                <w:rFonts w:asciiTheme="minorEastAsia" w:hAnsiTheme="minorEastAsia" w:eastAsiaTheme="minorEastAsia"/>
              </w:rPr>
              <w:t>00</w:t>
            </w:r>
          </w:p>
        </w:tc>
        <w:tc>
          <w:tcPr>
            <w:tcW w:w="1306" w:type="dxa"/>
            <w:tcBorders>
              <w:top w:val="single" w:color="auto" w:sz="4" w:space="0"/>
              <w:left w:val="single" w:color="auto" w:sz="4" w:space="0"/>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0"/>
                <w:szCs w:val="20"/>
              </w:rPr>
            </w:pPr>
            <w:r>
              <w:rPr>
                <w:rFonts w:asciiTheme="minorEastAsia" w:hAnsiTheme="minorEastAsia" w:eastAsiaTheme="minorEastAsia"/>
              </w:rPr>
              <w:t>9875.11</w:t>
            </w:r>
          </w:p>
        </w:tc>
        <w:tc>
          <w:tcPr>
            <w:tcW w:w="371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03.55%</w:t>
            </w:r>
          </w:p>
        </w:tc>
        <w:tc>
          <w:tcPr>
            <w:tcW w:w="76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9.1</w:t>
            </w:r>
            <w:r>
              <w:rPr>
                <w:rFonts w:hint="eastAsia" w:ascii="宋体" w:hAnsi="宋体" w:cs="宋体"/>
                <w:color w:val="000000"/>
                <w:kern w:val="0"/>
                <w:sz w:val="20"/>
                <w:szCs w:val="20"/>
              </w:rPr>
              <w:t>　</w:t>
            </w:r>
          </w:p>
        </w:tc>
        <w:tc>
          <w:tcPr>
            <w:tcW w:w="3548"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837" w:type="dxa"/>
            <w:vMerge w:val="restart"/>
            <w:tcBorders>
              <w:top w:val="nil"/>
              <w:left w:val="single" w:color="auto" w:sz="4" w:space="0"/>
              <w:bottom w:val="single" w:color="auto" w:sz="4" w:space="0"/>
              <w:right w:val="single" w:color="auto" w:sz="4" w:space="0"/>
            </w:tcBorders>
            <w:vAlign w:val="center"/>
          </w:tcPr>
          <w:p>
            <w:pPr>
              <w:widowControl/>
              <w:ind w:left="-99" w:leftChars="-47" w:firstLine="99" w:firstLineChars="55"/>
              <w:jc w:val="left"/>
              <w:rPr>
                <w:rFonts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w:t>
            </w:r>
          </w:p>
        </w:tc>
      </w:tr>
      <w:tr>
        <w:tblPrEx>
          <w:tblLayout w:type="fixed"/>
          <w:tblCellMar>
            <w:top w:w="0" w:type="dxa"/>
            <w:left w:w="108" w:type="dxa"/>
            <w:bottom w:w="0" w:type="dxa"/>
            <w:right w:w="108" w:type="dxa"/>
          </w:tblCellMar>
        </w:tblPrEx>
        <w:trPr>
          <w:gridAfter w:val="1"/>
          <w:wAfter w:w="18" w:type="dxa"/>
          <w:cantSplit/>
          <w:trHeight w:val="60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1156" w:type="dxa"/>
            <w:tcBorders>
              <w:top w:val="single" w:color="auto" w:sz="4" w:space="0"/>
              <w:left w:val="single" w:color="auto" w:sz="4" w:space="0"/>
              <w:bottom w:val="single" w:color="auto" w:sz="4" w:space="0"/>
              <w:right w:val="single" w:color="auto" w:sz="4" w:space="0"/>
            </w:tcBorders>
            <w:vAlign w:val="center"/>
          </w:tcPr>
          <w:p>
            <w:pPr>
              <w:widowControl/>
              <w:jc w:val="right"/>
              <w:rPr>
                <w:rFonts w:cs="宋体" w:asciiTheme="minorEastAsia" w:hAnsiTheme="minorEastAsia" w:eastAsiaTheme="minorEastAsia"/>
                <w:color w:val="000000"/>
                <w:kern w:val="0"/>
                <w:sz w:val="20"/>
                <w:szCs w:val="20"/>
              </w:rPr>
            </w:pPr>
            <w:r>
              <w:rPr>
                <w:rFonts w:asciiTheme="minorEastAsia" w:hAnsiTheme="minorEastAsia" w:eastAsiaTheme="minorEastAsia"/>
              </w:rPr>
              <w:t>8616.77</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0"/>
                <w:szCs w:val="20"/>
              </w:rPr>
            </w:pPr>
            <w:r>
              <w:rPr>
                <w:rFonts w:asciiTheme="minorEastAsia" w:hAnsiTheme="minorEastAsia" w:eastAsiaTheme="minorEastAsia"/>
              </w:rPr>
              <w:t>9266.23</w:t>
            </w:r>
          </w:p>
        </w:tc>
        <w:tc>
          <w:tcPr>
            <w:tcW w:w="371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08"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5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1"/>
          <w:wAfter w:w="18" w:type="dxa"/>
          <w:cantSplit/>
          <w:trHeight w:val="615"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1156" w:type="dxa"/>
            <w:tcBorders>
              <w:top w:val="single" w:color="auto" w:sz="4" w:space="0"/>
              <w:left w:val="single" w:color="auto" w:sz="4" w:space="0"/>
              <w:bottom w:val="single" w:color="auto" w:sz="4" w:space="0"/>
              <w:right w:val="single" w:color="auto" w:sz="4" w:space="0"/>
            </w:tcBorders>
            <w:vAlign w:val="center"/>
          </w:tcPr>
          <w:p>
            <w:pPr>
              <w:widowControl/>
              <w:jc w:val="right"/>
              <w:rPr>
                <w:rFonts w:cs="宋体" w:asciiTheme="minorEastAsia" w:hAnsiTheme="minorEastAsia" w:eastAsiaTheme="minorEastAsia"/>
                <w:color w:val="000000"/>
                <w:kern w:val="0"/>
                <w:sz w:val="20"/>
                <w:szCs w:val="20"/>
              </w:rPr>
            </w:pPr>
            <w:r>
              <w:rPr>
                <w:rFonts w:asciiTheme="minorEastAsia" w:hAnsiTheme="minorEastAsia" w:eastAsiaTheme="minorEastAsia"/>
              </w:rPr>
              <w:t>920.23</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cs="宋体" w:asciiTheme="minorEastAsia" w:hAnsiTheme="minorEastAsia" w:eastAsiaTheme="minorEastAsia"/>
                <w:color w:val="000000"/>
                <w:kern w:val="0"/>
                <w:sz w:val="20"/>
                <w:szCs w:val="20"/>
              </w:rPr>
            </w:pPr>
            <w:r>
              <w:rPr>
                <w:rFonts w:asciiTheme="minorEastAsia" w:hAnsiTheme="minorEastAsia" w:eastAsiaTheme="minorEastAsia"/>
              </w:rPr>
              <w:t>608.88</w:t>
            </w:r>
          </w:p>
        </w:tc>
        <w:tc>
          <w:tcPr>
            <w:tcW w:w="37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08"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5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1"/>
          <w:wAfter w:w="18" w:type="dxa"/>
          <w:cantSplit/>
          <w:trHeight w:val="3133"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115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0</w:t>
            </w:r>
            <w:r>
              <w:rPr>
                <w:rFonts w:ascii="宋体" w:hAnsi="宋体" w:cs="宋体"/>
                <w:color w:val="000000"/>
                <w:kern w:val="0"/>
                <w:sz w:val="20"/>
                <w:szCs w:val="20"/>
              </w:rPr>
              <w:t>.00</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0</w:t>
            </w:r>
            <w:r>
              <w:rPr>
                <w:rFonts w:ascii="宋体" w:hAnsi="宋体" w:cs="宋体"/>
                <w:color w:val="000000"/>
                <w:kern w:val="0"/>
                <w:sz w:val="20"/>
                <w:szCs w:val="20"/>
              </w:rPr>
              <w:t>.00</w:t>
            </w:r>
          </w:p>
        </w:tc>
        <w:tc>
          <w:tcPr>
            <w:tcW w:w="37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708"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35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479" w:hRule="atLeast"/>
        </w:trPr>
        <w:tc>
          <w:tcPr>
            <w:tcW w:w="15331" w:type="dxa"/>
            <w:gridSpan w:val="10"/>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Layout w:type="fixed"/>
          <w:tblCellMar>
            <w:top w:w="0" w:type="dxa"/>
            <w:left w:w="108" w:type="dxa"/>
            <w:bottom w:w="0" w:type="dxa"/>
            <w:right w:w="108" w:type="dxa"/>
          </w:tblCellMar>
        </w:tblPrEx>
        <w:trPr>
          <w:gridAfter w:val="1"/>
          <w:wAfter w:w="18" w:type="dxa"/>
          <w:cantSplit/>
          <w:trHeight w:val="499"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07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15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371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76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708"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83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gridAfter w:val="1"/>
          <w:wAfter w:w="18" w:type="dxa"/>
          <w:cantSplit/>
          <w:trHeight w:val="1477" w:hRule="atLeast"/>
        </w:trPr>
        <w:tc>
          <w:tcPr>
            <w:tcW w:w="120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1070"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产出（30）</w:t>
            </w:r>
          </w:p>
        </w:tc>
        <w:tc>
          <w:tcPr>
            <w:tcW w:w="115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产出数量</w:t>
            </w:r>
          </w:p>
        </w:tc>
        <w:tc>
          <w:tcPr>
            <w:tcW w:w="1306" w:type="dxa"/>
            <w:tcBorders>
              <w:top w:val="single" w:color="auto" w:sz="4" w:space="0"/>
              <w:left w:val="nil"/>
              <w:bottom w:val="single" w:color="auto" w:sz="4" w:space="0"/>
              <w:right w:val="single" w:color="auto" w:sz="4" w:space="0"/>
            </w:tcBorders>
            <w:vAlign w:val="center"/>
          </w:tcPr>
          <w:p>
            <w:pPr>
              <w:jc w:val="left"/>
              <w:rPr>
                <w:rFonts w:ascii="宋体" w:hAnsi="宋体" w:cs="宋体"/>
                <w:color w:val="000000"/>
                <w:kern w:val="0"/>
                <w:sz w:val="20"/>
                <w:szCs w:val="20"/>
              </w:rPr>
            </w:pPr>
            <w:r>
              <w:rPr>
                <w:rFonts w:hint="eastAsia" w:ascii="宋体" w:hAnsi="宋体" w:cs="宋体"/>
                <w:color w:val="000000"/>
                <w:kern w:val="0"/>
                <w:sz w:val="20"/>
                <w:szCs w:val="20"/>
              </w:rPr>
              <w:t>7个项目</w:t>
            </w:r>
          </w:p>
        </w:tc>
        <w:tc>
          <w:tcPr>
            <w:tcW w:w="3719"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实际完成7个项目：安检工作经经费、专业咨询费项目、检察工作经费项目、信息化运维综合经费、互联网接入项目、办案业务费2022、业务装备费202</w:t>
            </w:r>
            <w:r>
              <w:rPr>
                <w:rFonts w:ascii="宋体" w:hAnsi="宋体" w:cs="宋体"/>
                <w:color w:val="000000"/>
                <w:kern w:val="0"/>
                <w:sz w:val="20"/>
                <w:szCs w:val="20"/>
              </w:rPr>
              <w:t>2</w:t>
            </w:r>
            <w:r>
              <w:rPr>
                <w:rFonts w:hint="eastAsia" w:ascii="宋体" w:hAnsi="宋体" w:cs="宋体"/>
                <w:color w:val="000000"/>
                <w:kern w:val="0"/>
                <w:sz w:val="20"/>
                <w:szCs w:val="20"/>
              </w:rPr>
              <w:t>。</w:t>
            </w:r>
          </w:p>
        </w:tc>
        <w:tc>
          <w:tcPr>
            <w:tcW w:w="76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708"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p>
          <w:p>
            <w:pPr>
              <w:jc w:val="center"/>
              <w:rPr>
                <w:rFonts w:ascii="宋体" w:hAnsi="宋体" w:cs="宋体"/>
                <w:color w:val="000000"/>
                <w:kern w:val="0"/>
                <w:sz w:val="20"/>
                <w:szCs w:val="20"/>
              </w:rPr>
            </w:pPr>
            <w:r>
              <w:rPr>
                <w:rFonts w:hint="eastAsia" w:ascii="宋体" w:hAnsi="宋体" w:cs="宋体"/>
                <w:color w:val="000000"/>
                <w:kern w:val="0"/>
                <w:sz w:val="20"/>
                <w:szCs w:val="20"/>
              </w:rPr>
              <w:t>8　</w:t>
            </w:r>
          </w:p>
        </w:tc>
        <w:tc>
          <w:tcPr>
            <w:tcW w:w="3548"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83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Layout w:type="fixed"/>
          <w:tblCellMar>
            <w:top w:w="0" w:type="dxa"/>
            <w:left w:w="108" w:type="dxa"/>
            <w:bottom w:w="0" w:type="dxa"/>
            <w:right w:w="108" w:type="dxa"/>
          </w:tblCellMar>
        </w:tblPrEx>
        <w:trPr>
          <w:gridAfter w:val="1"/>
          <w:wAfter w:w="18" w:type="dxa"/>
          <w:cantSplit/>
          <w:trHeight w:val="1412" w:hRule="atLeast"/>
        </w:trPr>
        <w:tc>
          <w:tcPr>
            <w:tcW w:w="12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5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产出质量</w:t>
            </w:r>
          </w:p>
        </w:tc>
        <w:tc>
          <w:tcPr>
            <w:tcW w:w="130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质量达标率1</w:t>
            </w:r>
            <w:r>
              <w:rPr>
                <w:rFonts w:ascii="宋体" w:hAnsi="宋体" w:cs="宋体"/>
                <w:color w:val="000000"/>
                <w:kern w:val="0"/>
                <w:sz w:val="20"/>
                <w:szCs w:val="20"/>
              </w:rPr>
              <w:t>00</w:t>
            </w:r>
            <w:r>
              <w:rPr>
                <w:rFonts w:hint="eastAsia" w:ascii="宋体" w:hAnsi="宋体" w:cs="宋体"/>
                <w:color w:val="000000"/>
                <w:kern w:val="0"/>
                <w:sz w:val="20"/>
                <w:szCs w:val="20"/>
              </w:rPr>
              <w:t>%</w:t>
            </w:r>
          </w:p>
        </w:tc>
        <w:tc>
          <w:tcPr>
            <w:tcW w:w="371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7个项目质量全部达标。</w:t>
            </w:r>
          </w:p>
        </w:tc>
        <w:tc>
          <w:tcPr>
            <w:tcW w:w="7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708"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　</w:t>
            </w:r>
          </w:p>
        </w:tc>
        <w:tc>
          <w:tcPr>
            <w:tcW w:w="35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1"/>
          <w:wAfter w:w="18" w:type="dxa"/>
          <w:cantSplit/>
          <w:trHeight w:val="1547" w:hRule="atLeast"/>
        </w:trPr>
        <w:tc>
          <w:tcPr>
            <w:tcW w:w="12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5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产出进度</w:t>
            </w:r>
          </w:p>
        </w:tc>
        <w:tc>
          <w:tcPr>
            <w:tcW w:w="130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按照规定时限完成</w:t>
            </w:r>
          </w:p>
        </w:tc>
        <w:tc>
          <w:tcPr>
            <w:tcW w:w="371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7个项目全部在规定时限内完成。</w:t>
            </w:r>
          </w:p>
        </w:tc>
        <w:tc>
          <w:tcPr>
            <w:tcW w:w="7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708"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8　</w:t>
            </w:r>
          </w:p>
        </w:tc>
        <w:tc>
          <w:tcPr>
            <w:tcW w:w="35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1"/>
          <w:wAfter w:w="18" w:type="dxa"/>
          <w:cantSplit/>
          <w:trHeight w:val="1837" w:hRule="atLeast"/>
        </w:trPr>
        <w:tc>
          <w:tcPr>
            <w:tcW w:w="12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56" w:type="dxa"/>
            <w:tcBorders>
              <w:top w:val="single" w:color="auto" w:sz="4" w:space="0"/>
              <w:left w:val="nil"/>
              <w:bottom w:val="single" w:color="auto" w:sz="4" w:space="0"/>
              <w:right w:val="single" w:color="auto" w:sz="4" w:space="0"/>
            </w:tcBorders>
            <w:vAlign w:val="center"/>
          </w:tcPr>
          <w:p>
            <w:pPr>
              <w:widowControl/>
              <w:jc w:val="center"/>
            </w:pPr>
            <w:r>
              <w:rPr>
                <w:rFonts w:hint="eastAsia"/>
              </w:rPr>
              <w:t>产出成本</w:t>
            </w:r>
          </w:p>
        </w:tc>
        <w:tc>
          <w:tcPr>
            <w:tcW w:w="130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项目经费支出预算数 920.23万元</w:t>
            </w:r>
          </w:p>
        </w:tc>
        <w:tc>
          <w:tcPr>
            <w:tcW w:w="3719"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022</w:t>
            </w:r>
            <w:r>
              <w:rPr>
                <w:rFonts w:hint="eastAsia" w:ascii="宋体" w:hAnsi="宋体" w:cs="宋体"/>
                <w:color w:val="000000"/>
                <w:kern w:val="0"/>
                <w:sz w:val="20"/>
                <w:szCs w:val="20"/>
              </w:rPr>
              <w:t>年项目支出608.89万元，比上年度支出511.31万元，增加97.58万元。</w:t>
            </w:r>
          </w:p>
        </w:tc>
        <w:tc>
          <w:tcPr>
            <w:tcW w:w="7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708"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354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183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1"/>
          <w:wAfter w:w="18" w:type="dxa"/>
          <w:cantSplit/>
          <w:trHeight w:val="6509" w:hRule="atLeast"/>
        </w:trPr>
        <w:tc>
          <w:tcPr>
            <w:tcW w:w="12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7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效果（30）</w:t>
            </w:r>
          </w:p>
        </w:tc>
        <w:tc>
          <w:tcPr>
            <w:tcW w:w="115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经济效益</w:t>
            </w:r>
          </w:p>
        </w:tc>
        <w:tc>
          <w:tcPr>
            <w:tcW w:w="130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开展涉税法律监督工作，联合公安、税务等职能部门追缴税款；支持区生态环境局、农业农村局等开展生态损害赔偿案。</w:t>
            </w:r>
          </w:p>
        </w:tc>
        <w:tc>
          <w:tcPr>
            <w:tcW w:w="3719"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（1）开展成品油涉税法律监督工作，联合公安、税务等职能部门追缴税款1950余万，居全市前列。</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（2）支持区生态环境局、农业农村局等开展生态损害赔偿案件3件，促缴生态损害赔偿金889.7万元，增殖放流鱼苗750公斤。</w:t>
            </w:r>
          </w:p>
          <w:p>
            <w:pPr>
              <w:widowControl/>
              <w:jc w:val="left"/>
              <w:rPr>
                <w:rFonts w:ascii="宋体" w:hAnsi="宋体" w:cs="宋体"/>
                <w:color w:val="000000"/>
                <w:kern w:val="0"/>
                <w:sz w:val="20"/>
                <w:szCs w:val="20"/>
              </w:rPr>
            </w:pPr>
            <w:r>
              <w:rPr>
                <w:rFonts w:hint="eastAsia" w:ascii="宋体" w:hAnsi="宋体" w:cs="宋体"/>
                <w:color w:val="000000"/>
                <w:kern w:val="0"/>
                <w:sz w:val="20"/>
                <w:szCs w:val="20"/>
              </w:rPr>
              <w:t>（3）大力开展打击整治养老诈骗专项行动，办理涉养老诈骗案件8件，追赃挽损450余万元。</w:t>
            </w:r>
          </w:p>
        </w:tc>
        <w:tc>
          <w:tcPr>
            <w:tcW w:w="7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708"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3548"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83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Layout w:type="fixed"/>
          <w:tblCellMar>
            <w:top w:w="0" w:type="dxa"/>
            <w:left w:w="108" w:type="dxa"/>
            <w:bottom w:w="0" w:type="dxa"/>
            <w:right w:w="108" w:type="dxa"/>
          </w:tblCellMar>
        </w:tblPrEx>
        <w:trPr>
          <w:gridAfter w:val="1"/>
          <w:wAfter w:w="18" w:type="dxa"/>
          <w:cantSplit/>
          <w:trHeight w:val="1173" w:hRule="atLeast"/>
        </w:trPr>
        <w:tc>
          <w:tcPr>
            <w:tcW w:w="12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7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15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社会效益</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依法打击各类刑事犯罪，维护国家安全和社会稳定、服务经济发展，促进公平公正，保障人民安居乐业。平等保护民营经济主体合法权益，落实食品药品安全，加大追诉洗钱犯罪的力度；聚焦“一老一小”权益保护；关爱弱势群体传递司法温度；依法维护疫情防控秩序；深层次融入社会治理。</w:t>
            </w:r>
          </w:p>
        </w:tc>
        <w:tc>
          <w:tcPr>
            <w:tcW w:w="3719"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全力维护国家安全和社会安全稳定。办理“5.17”利用邪教组织破坏法律实施系列案件，坚决维护国家政治安全。依法办理“1.28”博康艾馨重特大非法集资案、“3.26”电信网络诈骗专案、“5.25”重特大涉税案等一批市委政法委、市检察院高度关注的大要案，影响人民获得感、幸福感、安全感的各项犯罪受到惩治。（2）平等保护民营经济主体合法权益，办理涉民营企业案件55件77人。依法惩治金融领域刑事犯罪案件66件，精准助力区域金融风险防范化解。办理李某某生产、销售不符合安全标准食品案被评为北京市检察机关刑事抗诉典型案例。反洗钱工作取得明显成效，金融检察部门获评北京市打击洗钱犯罪突出集体。（3）聚焦“一老一小”权益保护，大力开展打击整治养老诈骗专项行动，办理涉养老诈骗案件8件，从严惩治成年人侵害未成年人犯罪案件28件34人。向贫困户被害人发放司法救助金，防止因案返贫。支持农民工依法起诉讨薪案9件，引导依法追讨劳动报酬。（4）建立涉稳风险信访案件台账，院领导带头包案化解多起聚集性群体访事件。坚持以检察听证化解矛盾纠纷，召开听证会55次。持续开展送法进企业、社区、学校等活动，打造“兴检知声”“兴光”等群众喜闻乐见的普法产品，营造尊法学法守法用法的法治环境。</w:t>
            </w:r>
          </w:p>
        </w:tc>
        <w:tc>
          <w:tcPr>
            <w:tcW w:w="7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708" w:type="dxa"/>
            <w:tcBorders>
              <w:top w:val="single" w:color="auto" w:sz="4" w:space="0"/>
              <w:left w:val="nil"/>
              <w:bottom w:val="single" w:color="auto" w:sz="4" w:space="0"/>
              <w:right w:val="nil"/>
            </w:tcBorders>
            <w:vAlign w:val="center"/>
          </w:tcPr>
          <w:p>
            <w:pPr>
              <w:pStyle w:val="2"/>
              <w:ind w:firstLine="210" w:firstLineChars="100"/>
              <w:rPr>
                <w:rFonts w:ascii="仿宋" w:hAnsi="仿宋" w:eastAsia="仿宋"/>
                <w:b w:val="0"/>
                <w:bCs w:val="0"/>
              </w:rPr>
            </w:pPr>
            <w:r>
              <w:rPr>
                <w:rFonts w:hint="eastAsia" w:ascii="仿宋" w:hAnsi="仿宋" w:eastAsia="仿宋"/>
                <w:b w:val="0"/>
                <w:bCs w:val="0"/>
              </w:rPr>
              <w:t>6</w:t>
            </w:r>
          </w:p>
        </w:tc>
        <w:tc>
          <w:tcPr>
            <w:tcW w:w="354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p>
        </w:tc>
        <w:tc>
          <w:tcPr>
            <w:tcW w:w="183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1"/>
          <w:wAfter w:w="18" w:type="dxa"/>
          <w:cantSplit/>
          <w:trHeight w:val="1173" w:hRule="atLeast"/>
        </w:trPr>
        <w:tc>
          <w:tcPr>
            <w:tcW w:w="12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7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15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环境效益</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开展成品油涉税法律监督工作，支持区生态环境局、农业农村局等开展生态损害赔偿案件</w:t>
            </w:r>
          </w:p>
        </w:tc>
        <w:tc>
          <w:tcPr>
            <w:tcW w:w="371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助力大兴区水务局、生态环境局、魏善庄镇政府等修复小龙河受损河堤、污水管线8公里，提升2座污水场站日处理能力。恢复受影响林地面积46872平方米，清理废水废渣6690立方米，清理垃圾9672.15吨。联合公安、税务等职能部门追缴税款1950余万，居全市前列。排查黑加油站、自建油罐、流动加油车风险隐患61处。支持区生态环境局、农业农村局等开展生态损害赔偿案件3件。</w:t>
            </w:r>
          </w:p>
        </w:tc>
        <w:tc>
          <w:tcPr>
            <w:tcW w:w="7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708" w:type="dxa"/>
            <w:tcBorders>
              <w:top w:val="single" w:color="auto" w:sz="4" w:space="0"/>
              <w:left w:val="nil"/>
              <w:bottom w:val="single" w:color="auto" w:sz="4" w:space="0"/>
              <w:right w:val="nil"/>
            </w:tcBorders>
            <w:vAlign w:val="center"/>
          </w:tcPr>
          <w:p>
            <w:pPr>
              <w:pStyle w:val="2"/>
              <w:ind w:firstLine="210" w:firstLineChars="100"/>
              <w:rPr>
                <w:rFonts w:ascii="仿宋" w:hAnsi="仿宋" w:eastAsia="仿宋"/>
                <w:b w:val="0"/>
                <w:bCs w:val="0"/>
              </w:rPr>
            </w:pPr>
            <w:r>
              <w:rPr>
                <w:rFonts w:hint="eastAsia" w:ascii="仿宋" w:hAnsi="仿宋" w:eastAsia="仿宋"/>
                <w:b w:val="0"/>
                <w:bCs w:val="0"/>
              </w:rPr>
              <w:t>6</w:t>
            </w:r>
          </w:p>
        </w:tc>
        <w:tc>
          <w:tcPr>
            <w:tcW w:w="3548" w:type="dxa"/>
            <w:vMerge w:val="continue"/>
            <w:tcBorders>
              <w:top w:val="single" w:color="auto" w:sz="4" w:space="0"/>
              <w:left w:val="single" w:color="auto" w:sz="4" w:space="0"/>
              <w:right w:val="single" w:color="auto" w:sz="4" w:space="0"/>
            </w:tcBorders>
            <w:vAlign w:val="center"/>
          </w:tcPr>
          <w:p>
            <w:pPr>
              <w:widowControl/>
              <w:jc w:val="left"/>
              <w:rPr>
                <w:rFonts w:ascii="宋体" w:hAnsi="宋体" w:cs="宋体"/>
                <w:b/>
                <w:bCs/>
                <w:color w:val="000000"/>
                <w:kern w:val="0"/>
                <w:sz w:val="18"/>
                <w:szCs w:val="18"/>
              </w:rPr>
            </w:pPr>
          </w:p>
        </w:tc>
        <w:tc>
          <w:tcPr>
            <w:tcW w:w="1837" w:type="dxa"/>
            <w:vMerge w:val="continue"/>
            <w:tcBorders>
              <w:top w:val="single" w:color="auto" w:sz="4" w:space="0"/>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1"/>
          <w:wAfter w:w="18" w:type="dxa"/>
          <w:cantSplit/>
          <w:trHeight w:val="1173"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15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可持续影响</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全力服务经济社会高质量发展</w:t>
            </w:r>
          </w:p>
        </w:tc>
        <w:tc>
          <w:tcPr>
            <w:tcW w:w="3719" w:type="dxa"/>
            <w:tcBorders>
              <w:top w:val="single" w:color="auto" w:sz="4" w:space="0"/>
              <w:left w:val="nil"/>
              <w:bottom w:val="single" w:color="auto" w:sz="4" w:space="0"/>
              <w:right w:val="single" w:color="auto" w:sz="4" w:space="0"/>
            </w:tcBorders>
            <w:vAlign w:val="center"/>
          </w:tcPr>
          <w:p>
            <w:pPr>
              <w:pStyle w:val="2"/>
              <w:spacing w:line="240" w:lineRule="atLeast"/>
              <w:jc w:val="left"/>
            </w:pPr>
            <w:r>
              <w:rPr>
                <w:rFonts w:hint="eastAsia" w:ascii="宋体" w:hAnsi="宋体" w:cs="宋体"/>
                <w:b w:val="0"/>
                <w:bCs w:val="0"/>
                <w:color w:val="000000"/>
                <w:kern w:val="0"/>
                <w:sz w:val="20"/>
                <w:szCs w:val="20"/>
              </w:rPr>
              <w:t>制定14条服务保障城市南部地区高质量发展工作措施，检察服务更加精准。联合市知识产权局、区市场监督管理局、临空区管委会签署《知识产权协同保护合作框架协议》，护航临空区高质量发展。</w:t>
            </w:r>
          </w:p>
        </w:tc>
        <w:tc>
          <w:tcPr>
            <w:tcW w:w="7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708" w:type="dxa"/>
            <w:tcBorders>
              <w:top w:val="single" w:color="auto" w:sz="4" w:space="0"/>
              <w:left w:val="nil"/>
              <w:bottom w:val="single" w:color="auto" w:sz="4" w:space="0"/>
              <w:right w:val="nil"/>
            </w:tcBorders>
            <w:vAlign w:val="center"/>
          </w:tcPr>
          <w:p>
            <w:pPr>
              <w:pStyle w:val="2"/>
              <w:jc w:val="center"/>
              <w:rPr>
                <w:rFonts w:asciiTheme="minorEastAsia" w:hAnsiTheme="minorEastAsia" w:eastAsiaTheme="minorEastAsia"/>
                <w:b w:val="0"/>
                <w:bCs w:val="0"/>
              </w:rPr>
            </w:pPr>
            <w:r>
              <w:rPr>
                <w:rFonts w:asciiTheme="minorEastAsia" w:hAnsiTheme="minorEastAsia" w:eastAsiaTheme="minorEastAsia"/>
                <w:b w:val="0"/>
                <w:bCs w:val="0"/>
              </w:rPr>
              <w:t>6</w:t>
            </w:r>
          </w:p>
        </w:tc>
        <w:tc>
          <w:tcPr>
            <w:tcW w:w="3548" w:type="dxa"/>
            <w:vMerge w:val="continue"/>
            <w:tcBorders>
              <w:left w:val="single" w:color="auto" w:sz="4" w:space="0"/>
              <w:right w:val="single" w:color="auto" w:sz="4" w:space="0"/>
            </w:tcBorders>
            <w:vAlign w:val="center"/>
          </w:tcPr>
          <w:p>
            <w:pPr>
              <w:widowControl/>
              <w:jc w:val="left"/>
              <w:rPr>
                <w:rFonts w:ascii="宋体" w:hAnsi="宋体" w:cs="宋体"/>
                <w:b/>
                <w:bCs/>
                <w:color w:val="000000"/>
                <w:kern w:val="0"/>
                <w:sz w:val="18"/>
                <w:szCs w:val="18"/>
              </w:rPr>
            </w:pPr>
          </w:p>
        </w:tc>
        <w:tc>
          <w:tcPr>
            <w:tcW w:w="1837"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gridAfter w:val="1"/>
          <w:wAfter w:w="18" w:type="dxa"/>
          <w:cantSplit/>
          <w:trHeight w:val="1173"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115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服务对象满意度</w:t>
            </w:r>
          </w:p>
        </w:tc>
        <w:tc>
          <w:tcPr>
            <w:tcW w:w="130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服务对象对部门履职效果的满意程度</w:t>
            </w:r>
          </w:p>
        </w:tc>
        <w:tc>
          <w:tcPr>
            <w:tcW w:w="3719" w:type="dxa"/>
            <w:tcBorders>
              <w:top w:val="single" w:color="auto" w:sz="4" w:space="0"/>
              <w:left w:val="nil"/>
              <w:bottom w:val="single" w:color="auto" w:sz="4" w:space="0"/>
              <w:right w:val="single" w:color="auto" w:sz="4" w:space="0"/>
            </w:tcBorders>
            <w:vAlign w:val="center"/>
          </w:tcPr>
          <w:p>
            <w:pPr>
              <w:pStyle w:val="2"/>
              <w:spacing w:line="240" w:lineRule="atLeast"/>
              <w:jc w:val="left"/>
            </w:pPr>
            <w:r>
              <w:rPr>
                <w:rFonts w:hint="eastAsia" w:ascii="宋体" w:hAnsi="宋体" w:cs="宋体"/>
                <w:b w:val="0"/>
                <w:bCs w:val="0"/>
                <w:color w:val="000000"/>
                <w:kern w:val="0"/>
                <w:sz w:val="20"/>
                <w:szCs w:val="20"/>
              </w:rPr>
              <w:t>2022年未对部门整体进行满意度调查。根据各部门项目支出绩效自评表，各部门对项目服务对象进行了满意度调查，社会公众及服务对象满意度预期整体达到目标。</w:t>
            </w:r>
          </w:p>
        </w:tc>
        <w:tc>
          <w:tcPr>
            <w:tcW w:w="7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708" w:type="dxa"/>
            <w:tcBorders>
              <w:top w:val="single" w:color="auto" w:sz="4" w:space="0"/>
              <w:left w:val="nil"/>
              <w:bottom w:val="single" w:color="auto" w:sz="4" w:space="0"/>
              <w:right w:val="nil"/>
            </w:tcBorders>
            <w:vAlign w:val="center"/>
          </w:tcPr>
          <w:p>
            <w:pPr>
              <w:pStyle w:val="2"/>
              <w:jc w:val="center"/>
              <w:rPr>
                <w:rFonts w:ascii="仿宋" w:hAnsi="仿宋" w:eastAsia="仿宋"/>
                <w:b w:val="0"/>
                <w:bCs w:val="0"/>
              </w:rPr>
            </w:pPr>
            <w:r>
              <w:rPr>
                <w:rFonts w:ascii="仿宋" w:hAnsi="仿宋" w:eastAsia="仿宋"/>
                <w:b w:val="0"/>
                <w:bCs w:val="0"/>
              </w:rPr>
              <w:t>5</w:t>
            </w:r>
          </w:p>
        </w:tc>
        <w:tc>
          <w:tcPr>
            <w:tcW w:w="3548"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18"/>
                <w:szCs w:val="18"/>
              </w:rPr>
            </w:pPr>
          </w:p>
        </w:tc>
        <w:tc>
          <w:tcPr>
            <w:tcW w:w="183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487" w:hRule="atLeast"/>
        </w:trPr>
        <w:tc>
          <w:tcPr>
            <w:tcW w:w="15331" w:type="dxa"/>
            <w:gridSpan w:val="10"/>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Layout w:type="fixed"/>
          <w:tblCellMar>
            <w:top w:w="0" w:type="dxa"/>
            <w:left w:w="108" w:type="dxa"/>
            <w:bottom w:w="0" w:type="dxa"/>
            <w:right w:w="108" w:type="dxa"/>
          </w:tblCellMar>
        </w:tblPrEx>
        <w:trPr>
          <w:gridAfter w:val="1"/>
          <w:wAfter w:w="18" w:type="dxa"/>
          <w:cantSplit/>
          <w:trHeight w:val="702" w:hRule="atLeast"/>
        </w:trPr>
        <w:tc>
          <w:tcPr>
            <w:tcW w:w="12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115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371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76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708"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83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gridAfter w:val="1"/>
          <w:wAfter w:w="18" w:type="dxa"/>
          <w:cantSplit/>
          <w:trHeight w:val="1230" w:hRule="atLeast"/>
        </w:trPr>
        <w:tc>
          <w:tcPr>
            <w:tcW w:w="120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107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财务管理（4）</w:t>
            </w:r>
          </w:p>
        </w:tc>
        <w:tc>
          <w:tcPr>
            <w:tcW w:w="115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1306" w:type="dxa"/>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建立完整的预算管理、财务管理、会计核算制度</w:t>
            </w:r>
          </w:p>
        </w:tc>
        <w:tc>
          <w:tcPr>
            <w:tcW w:w="3719" w:type="dxa"/>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已建立完整的预算管理、财务管理、会计核算制度，并不断结合实际情况修订完善。</w:t>
            </w:r>
          </w:p>
        </w:tc>
        <w:tc>
          <w:tcPr>
            <w:tcW w:w="76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708"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0</w:t>
            </w:r>
            <w:r>
              <w:rPr>
                <w:rFonts w:ascii="宋体" w:hAnsi="宋体" w:cs="宋体"/>
                <w:color w:val="000000"/>
                <w:kern w:val="0"/>
                <w:sz w:val="20"/>
                <w:szCs w:val="20"/>
              </w:rPr>
              <w:t>.5</w:t>
            </w:r>
            <w:r>
              <w:rPr>
                <w:rFonts w:hint="eastAsia" w:ascii="宋体" w:hAnsi="宋体" w:cs="宋体"/>
                <w:color w:val="000000"/>
                <w:kern w:val="0"/>
                <w:sz w:val="20"/>
                <w:szCs w:val="20"/>
              </w:rPr>
              <w:t>　</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837"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Layout w:type="fixed"/>
          <w:tblCellMar>
            <w:top w:w="0" w:type="dxa"/>
            <w:left w:w="108" w:type="dxa"/>
            <w:bottom w:w="0" w:type="dxa"/>
            <w:right w:w="108" w:type="dxa"/>
          </w:tblCellMar>
        </w:tblPrEx>
        <w:trPr>
          <w:gridAfter w:val="1"/>
          <w:wAfter w:w="18" w:type="dxa"/>
          <w:cantSplit/>
          <w:trHeight w:val="2220" w:hRule="atLeast"/>
        </w:trPr>
        <w:tc>
          <w:tcPr>
            <w:tcW w:w="1206"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5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130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使用预算资金符合相关的预算财务管理制度的规定，符合相关规定的开支范围。　</w:t>
            </w:r>
          </w:p>
        </w:tc>
        <w:tc>
          <w:tcPr>
            <w:tcW w:w="3719" w:type="dxa"/>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022</w:t>
            </w:r>
            <w:r>
              <w:rPr>
                <w:rFonts w:hint="eastAsia" w:ascii="宋体" w:hAnsi="宋体" w:cs="宋体"/>
                <w:color w:val="000000"/>
                <w:kern w:val="0"/>
                <w:sz w:val="20"/>
                <w:szCs w:val="20"/>
              </w:rPr>
              <w:t>年能够合理安排资金支出进度，资金使用整体合规且安全，能够按照规定内容规定时间公开预算信息。　</w:t>
            </w:r>
          </w:p>
        </w:tc>
        <w:tc>
          <w:tcPr>
            <w:tcW w:w="76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708"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　</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837"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Layout w:type="fixed"/>
          <w:tblCellMar>
            <w:top w:w="0" w:type="dxa"/>
            <w:left w:w="108" w:type="dxa"/>
            <w:bottom w:w="0" w:type="dxa"/>
            <w:right w:w="108" w:type="dxa"/>
          </w:tblCellMar>
        </w:tblPrEx>
        <w:trPr>
          <w:gridAfter w:val="1"/>
          <w:wAfter w:w="18" w:type="dxa"/>
          <w:cantSplit/>
          <w:trHeight w:val="41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15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130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　</w:t>
            </w:r>
          </w:p>
        </w:tc>
        <w:tc>
          <w:tcPr>
            <w:tcW w:w="371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022</w:t>
            </w:r>
            <w:r>
              <w:rPr>
                <w:rFonts w:hint="eastAsia" w:ascii="宋体" w:hAnsi="宋体" w:cs="宋体"/>
                <w:color w:val="000000"/>
                <w:kern w:val="0"/>
                <w:sz w:val="20"/>
                <w:szCs w:val="20"/>
              </w:rPr>
              <w:t>年，会计基础信息和会计信息资料完整、真实和准确。</w:t>
            </w:r>
          </w:p>
        </w:tc>
        <w:tc>
          <w:tcPr>
            <w:tcW w:w="76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708" w:type="dxa"/>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　</w:t>
            </w:r>
          </w:p>
        </w:tc>
        <w:tc>
          <w:tcPr>
            <w:tcW w:w="3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8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Layout w:type="fixed"/>
          <w:tblCellMar>
            <w:top w:w="0" w:type="dxa"/>
            <w:left w:w="108" w:type="dxa"/>
            <w:bottom w:w="0" w:type="dxa"/>
            <w:right w:w="108" w:type="dxa"/>
          </w:tblCellMar>
        </w:tblPrEx>
        <w:trPr>
          <w:gridAfter w:val="1"/>
          <w:wAfter w:w="18" w:type="dxa"/>
          <w:cantSplit/>
          <w:trHeight w:val="222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115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130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资产保持安全完整，资产配置合理，资产使用和资产处理规范</w:t>
            </w:r>
          </w:p>
        </w:tc>
        <w:tc>
          <w:tcPr>
            <w:tcW w:w="3719"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资产日常管理、新增、报废等工作均严格按照市财政局的规定程序办理，资产动态系统与会计账簿系统总额保持一致。但存在固定资产部分超标准配置、个别达到固定资产标准未按固定资产进行管理和核算问题。</w:t>
            </w:r>
          </w:p>
        </w:tc>
        <w:tc>
          <w:tcPr>
            <w:tcW w:w="76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7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r>
              <w:rPr>
                <w:rFonts w:ascii="宋体" w:hAnsi="宋体" w:cs="宋体"/>
                <w:color w:val="000000"/>
                <w:kern w:val="0"/>
                <w:sz w:val="20"/>
                <w:szCs w:val="20"/>
              </w:rPr>
              <w:t>.4</w:t>
            </w:r>
            <w:r>
              <w:rPr>
                <w:rFonts w:hint="eastAsia" w:ascii="宋体" w:hAnsi="宋体" w:cs="宋体"/>
                <w:color w:val="000000"/>
                <w:kern w:val="0"/>
                <w:sz w:val="20"/>
                <w:szCs w:val="20"/>
              </w:rPr>
              <w:t>　</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83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Layout w:type="fixed"/>
          <w:tblCellMar>
            <w:top w:w="0" w:type="dxa"/>
            <w:left w:w="108" w:type="dxa"/>
            <w:bottom w:w="0" w:type="dxa"/>
            <w:right w:w="108" w:type="dxa"/>
          </w:tblCellMar>
        </w:tblPrEx>
        <w:trPr>
          <w:gridAfter w:val="1"/>
          <w:wAfter w:w="18" w:type="dxa"/>
          <w:cantSplit/>
          <w:trHeight w:val="1210"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1156"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绩效管理情况</w:t>
            </w:r>
          </w:p>
        </w:tc>
        <w:tc>
          <w:tcPr>
            <w:tcW w:w="1306"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绩效管理信息的汇总和应用情况</w:t>
            </w:r>
          </w:p>
        </w:tc>
        <w:tc>
          <w:tcPr>
            <w:tcW w:w="3719"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全方位把握部门整体预算执行、整体绩效目标实现和预算管理情况，但未及时对绩效信息进行汇总分析整理。</w:t>
            </w:r>
          </w:p>
        </w:tc>
        <w:tc>
          <w:tcPr>
            <w:tcW w:w="76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708"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　</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837"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Layout w:type="fixed"/>
          <w:tblCellMar>
            <w:top w:w="0" w:type="dxa"/>
            <w:left w:w="108" w:type="dxa"/>
            <w:bottom w:w="0" w:type="dxa"/>
            <w:right w:w="108" w:type="dxa"/>
          </w:tblCellMar>
        </w:tblPrEx>
        <w:trPr>
          <w:gridAfter w:val="1"/>
          <w:wAfter w:w="18" w:type="dxa"/>
          <w:cantSplit/>
          <w:trHeight w:val="394"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　</w:t>
            </w:r>
          </w:p>
        </w:tc>
        <w:tc>
          <w:tcPr>
            <w:tcW w:w="2462"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2021年</w:t>
            </w:r>
          </w:p>
        </w:tc>
        <w:tc>
          <w:tcPr>
            <w:tcW w:w="371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w:t>
            </w:r>
          </w:p>
        </w:tc>
        <w:tc>
          <w:tcPr>
            <w:tcW w:w="76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708"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837" w:type="dxa"/>
            <w:tcBorders>
              <w:top w:val="single" w:color="auto" w:sz="4" w:space="0"/>
              <w:left w:val="nil"/>
              <w:bottom w:val="single" w:color="auto" w:sz="4" w:space="0"/>
              <w:right w:val="single" w:color="auto" w:sz="4" w:space="0"/>
            </w:tcBorders>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Layout w:type="fixed"/>
          <w:tblCellMar>
            <w:top w:w="0" w:type="dxa"/>
            <w:left w:w="108" w:type="dxa"/>
            <w:bottom w:w="0" w:type="dxa"/>
            <w:right w:w="108" w:type="dxa"/>
          </w:tblCellMar>
        </w:tblPrEx>
        <w:trPr>
          <w:gridAfter w:val="1"/>
          <w:wAfter w:w="18" w:type="dxa"/>
          <w:cantSplit/>
          <w:trHeight w:val="2229"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2462"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　</w:t>
            </w:r>
            <w:r>
              <w:rPr>
                <w:rFonts w:ascii="宋体" w:hAnsi="宋体" w:cs="宋体"/>
                <w:color w:val="000000"/>
                <w:kern w:val="0"/>
                <w:sz w:val="20"/>
                <w:szCs w:val="20"/>
              </w:rPr>
              <w:t>4.94</w:t>
            </w:r>
            <w:r>
              <w:rPr>
                <w:rFonts w:hint="eastAsia" w:ascii="宋体" w:hAnsi="宋体" w:cs="宋体"/>
                <w:color w:val="000000"/>
                <w:kern w:val="0"/>
                <w:sz w:val="20"/>
                <w:szCs w:val="20"/>
              </w:rPr>
              <w:t>%</w:t>
            </w:r>
          </w:p>
        </w:tc>
        <w:tc>
          <w:tcPr>
            <w:tcW w:w="3719"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4.90</w:t>
            </w:r>
            <w:r>
              <w:rPr>
                <w:rFonts w:hint="eastAsia" w:ascii="宋体" w:hAnsi="宋体" w:cs="宋体"/>
                <w:color w:val="000000"/>
                <w:kern w:val="0"/>
                <w:sz w:val="20"/>
                <w:szCs w:val="20"/>
              </w:rPr>
              <w:t>%</w:t>
            </w:r>
          </w:p>
        </w:tc>
        <w:tc>
          <w:tcPr>
            <w:tcW w:w="76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708" w:type="dxa"/>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　</w:t>
            </w:r>
          </w:p>
        </w:tc>
        <w:tc>
          <w:tcPr>
            <w:tcW w:w="3548"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837"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Layout w:type="fixed"/>
          <w:tblCellMar>
            <w:top w:w="0" w:type="dxa"/>
            <w:left w:w="108" w:type="dxa"/>
            <w:bottom w:w="0" w:type="dxa"/>
            <w:right w:w="108" w:type="dxa"/>
          </w:tblCellMar>
        </w:tblPrEx>
        <w:trPr>
          <w:gridAfter w:val="1"/>
          <w:wAfter w:w="18" w:type="dxa"/>
          <w:cantSplit/>
          <w:trHeight w:val="981" w:hRule="atLeast"/>
        </w:trPr>
        <w:tc>
          <w:tcPr>
            <w:tcW w:w="120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70"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2462" w:type="dxa"/>
            <w:gridSpan w:val="2"/>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3719"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xml:space="preserve">　 </w:t>
            </w:r>
            <w:r>
              <w:rPr>
                <w:rFonts w:ascii="宋体" w:hAnsi="宋体" w:cs="宋体"/>
                <w:color w:val="000000"/>
                <w:kern w:val="0"/>
                <w:sz w:val="20"/>
                <w:szCs w:val="20"/>
              </w:rPr>
              <w:t xml:space="preserve">            3.55%</w:t>
            </w:r>
          </w:p>
        </w:tc>
        <w:tc>
          <w:tcPr>
            <w:tcW w:w="76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708" w:type="dxa"/>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　</w:t>
            </w:r>
          </w:p>
        </w:tc>
        <w:tc>
          <w:tcPr>
            <w:tcW w:w="354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83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Layout w:type="fixed"/>
          <w:tblCellMar>
            <w:top w:w="0" w:type="dxa"/>
            <w:left w:w="108" w:type="dxa"/>
            <w:bottom w:w="0" w:type="dxa"/>
            <w:right w:w="108" w:type="dxa"/>
          </w:tblCellMar>
        </w:tblPrEx>
        <w:trPr>
          <w:gridAfter w:val="1"/>
          <w:wAfter w:w="18" w:type="dxa"/>
          <w:cantSplit/>
          <w:trHeight w:val="484" w:hRule="atLeast"/>
        </w:trPr>
        <w:tc>
          <w:tcPr>
            <w:tcW w:w="8457"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76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708" w:type="dxa"/>
            <w:tcBorders>
              <w:top w:val="nil"/>
              <w:left w:val="nil"/>
              <w:bottom w:val="single" w:color="auto" w:sz="4" w:space="0"/>
              <w:right w:val="nil"/>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w:t>
            </w:r>
            <w:r>
              <w:rPr>
                <w:rFonts w:ascii="宋体" w:hAnsi="宋体" w:cs="宋体"/>
                <w:color w:val="000000"/>
                <w:kern w:val="0"/>
                <w:sz w:val="20"/>
                <w:szCs w:val="20"/>
              </w:rPr>
              <w:t>3</w:t>
            </w:r>
            <w:r>
              <w:rPr>
                <w:rFonts w:hint="eastAsia" w:ascii="宋体" w:hAnsi="宋体" w:cs="宋体"/>
                <w:color w:val="000000"/>
                <w:kern w:val="0"/>
                <w:sz w:val="20"/>
                <w:szCs w:val="20"/>
              </w:rPr>
              <w:t>　</w:t>
            </w:r>
          </w:p>
        </w:tc>
        <w:tc>
          <w:tcPr>
            <w:tcW w:w="5385"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pPr>
        <w:spacing w:line="20" w:lineRule="exact"/>
        <w:rPr>
          <w:rFonts w:ascii="方正小标宋简体" w:eastAsia="方正小标宋简体"/>
          <w:sz w:val="36"/>
          <w:szCs w:val="36"/>
        </w:rPr>
      </w:pPr>
    </w:p>
    <w:p/>
    <w:sectPr>
      <w:pgSz w:w="16838" w:h="11906" w:orient="landscape"/>
      <w:pgMar w:top="1418" w:right="1440" w:bottom="1349"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ADDB7C-C75C-4120-B380-7CCE31B23F8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modern"/>
    <w:pitch w:val="default"/>
    <w:sig w:usb0="00000001" w:usb1="080E0000" w:usb2="00000000" w:usb3="00000000" w:csb0="00040000" w:csb1="00000000"/>
    <w:embedRegular r:id="rId2" w:fontKey="{50CF0279-2A4E-47EC-9B97-2C6F6CBBEC31}"/>
  </w:font>
  <w:font w:name="仿宋">
    <w:panose1 w:val="02010609060101010101"/>
    <w:charset w:val="86"/>
    <w:family w:val="modern"/>
    <w:pitch w:val="default"/>
    <w:sig w:usb0="800002BF" w:usb1="38CF7CFA" w:usb2="00000016" w:usb3="00000000" w:csb0="00040001" w:csb1="00000000"/>
    <w:embedRegular r:id="rId3" w:fontKey="{439EDC40-5B62-4783-AD3D-44BDEF368CF9}"/>
  </w:font>
  <w:font w:name="仿宋_GB2312">
    <w:panose1 w:val="02010609030101010101"/>
    <w:charset w:val="86"/>
    <w:family w:val="modern"/>
    <w:pitch w:val="default"/>
    <w:sig w:usb0="00000001" w:usb1="080E0000" w:usb2="00000000" w:usb3="00000000" w:csb0="00040000" w:csb1="00000000"/>
    <w:embedRegular r:id="rId4" w:fontKey="{C3227571-B231-48CC-A385-4CAB67F9E3A3}"/>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embedRegular r:id="rId5" w:fontKey="{AFA368AD-BB28-4447-A12D-45F5F785036A}"/>
  </w:font>
  <w:font w:name="微软雅黑">
    <w:panose1 w:val="020B0503020204020204"/>
    <w:charset w:val="86"/>
    <w:family w:val="swiss"/>
    <w:pitch w:val="default"/>
    <w:sig w:usb0="80000287" w:usb1="280F3C52" w:usb2="00000016" w:usb3="00000000" w:csb0="0004001F" w:csb1="00000000"/>
    <w:embedRegular r:id="rId6" w:fontKey="{CC46F383-9BBF-48D1-A93C-FFBAF7199684}"/>
  </w:font>
  <w:font w:name="___WRD_EMBED_SUB_44">
    <w:panose1 w:val="02010609030101010101"/>
    <w:charset w:val="86"/>
    <w:family w:val="modern"/>
    <w:pitch w:val="default"/>
    <w:sig w:usb0="00000000" w:usb1="00000000" w:usb2="00000000" w:usb3="00000000" w:csb0="00000000" w:csb1="00000000"/>
    <w:embedRegular r:id="rId7" w:fontKey="{111981B1-06B1-4E07-8BA8-6F4D62AFE70D}"/>
  </w:font>
  <w:font w:name="___WRD_EMBED_SUB_47">
    <w:panose1 w:val="02010609030101010101"/>
    <w:charset w:val="86"/>
    <w:family w:val="modern"/>
    <w:pitch w:val="default"/>
    <w:sig w:usb0="00000000" w:usb1="00000000" w:usb2="00000000" w:usb3="00000000" w:csb0="00000000" w:csb1="00000000"/>
    <w:embedRegular r:id="rId8" w:fontKey="{A321B606-07A8-4031-9B5B-A04D4A28CE01}"/>
  </w:font>
  <w:font w:name="方正小标宋简体">
    <w:panose1 w:val="02000000000000000000"/>
    <w:charset w:val="86"/>
    <w:family w:val="auto"/>
    <w:pitch w:val="default"/>
    <w:sig w:usb0="A00002BF" w:usb1="184F6CFA" w:usb2="00000012" w:usb3="00000000" w:csb0="00040001" w:csb1="00000000"/>
    <w:embedRegular r:id="rId9" w:fontKey="{97C3C856-73FD-4B61-A26B-C3DEB67D2E8E}"/>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sz w:val="28"/>
                              <w:szCs w:val="28"/>
                            </w:rPr>
                            <w:id w:val="904951890"/>
                          </w:sdtPr>
                          <w:sdtEndPr>
                            <w:rPr>
                              <w:sz w:val="28"/>
                              <w:szCs w:val="28"/>
                            </w:rPr>
                          </w:sdtEndPr>
                          <w:sdtContent>
                            <w:p>
                              <w:pPr>
                                <w:pStyle w:val="11"/>
                                <w:jc w:val="center"/>
                              </w:pPr>
                            </w:p>
                          </w:sdtContent>
                        </w:sdt>
                        <w:p>
                          <w:pPr>
                            <w:pStyle w:val="9"/>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sdt>
                    <w:sdtPr>
                      <w:rPr>
                        <w:sz w:val="28"/>
                        <w:szCs w:val="28"/>
                      </w:rPr>
                      <w:id w:val="904951890"/>
                    </w:sdtPr>
                    <w:sdtEndPr>
                      <w:rPr>
                        <w:sz w:val="28"/>
                        <w:szCs w:val="28"/>
                      </w:rPr>
                    </w:sdtEndPr>
                    <w:sdtContent>
                      <w:p>
                        <w:pPr>
                          <w:pStyle w:val="11"/>
                          <w:jc w:val="center"/>
                        </w:pPr>
                      </w:p>
                    </w:sdtContent>
                  </w:sdt>
                  <w:p>
                    <w:pPr>
                      <w:pStyle w:val="9"/>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sz w:val="28"/>
                              <w:szCs w:val="28"/>
                            </w:rPr>
                            <w:id w:val="139863101"/>
                          </w:sdtPr>
                          <w:sdtEndPr>
                            <w:rPr>
                              <w:sz w:val="28"/>
                              <w:szCs w:val="28"/>
                            </w:rPr>
                          </w:sdtEndPr>
                          <w:sdtContent>
                            <w:p>
                              <w:pPr>
                                <w:pStyle w:val="11"/>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5</w:t>
                              </w:r>
                              <w:r>
                                <w:rPr>
                                  <w:sz w:val="28"/>
                                  <w:szCs w:val="28"/>
                                </w:rPr>
                                <w:fldChar w:fldCharType="end"/>
                              </w:r>
                            </w:p>
                          </w:sdtContent>
                        </w:sdt>
                        <w:p>
                          <w:pPr>
                            <w:pStyle w:val="9"/>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sdt>
                    <w:sdtPr>
                      <w:rPr>
                        <w:sz w:val="28"/>
                        <w:szCs w:val="28"/>
                      </w:rPr>
                      <w:id w:val="139863101"/>
                    </w:sdtPr>
                    <w:sdtEndPr>
                      <w:rPr>
                        <w:sz w:val="28"/>
                        <w:szCs w:val="28"/>
                      </w:rPr>
                    </w:sdtEndPr>
                    <w:sdtContent>
                      <w:p>
                        <w:pPr>
                          <w:pStyle w:val="11"/>
                          <w:jc w:val="center"/>
                        </w:pP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5</w:t>
                        </w:r>
                        <w:r>
                          <w:rPr>
                            <w:sz w:val="28"/>
                            <w:szCs w:val="28"/>
                          </w:rPr>
                          <w:fldChar w:fldCharType="end"/>
                        </w:r>
                      </w:p>
                    </w:sdtContent>
                  </w:sdt>
                  <w:p>
                    <w:pPr>
                      <w:pStyle w:val="9"/>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404FB2"/>
    <w:multiLevelType w:val="singleLevel"/>
    <w:tmpl w:val="FA404FB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5YTk1MjQ0N2QzM2VjZDRiODQ1YTk0NWQwODU4MTAifQ=="/>
  </w:docVars>
  <w:rsids>
    <w:rsidRoot w:val="00C32925"/>
    <w:rsid w:val="00020D40"/>
    <w:rsid w:val="00021C3A"/>
    <w:rsid w:val="0003381F"/>
    <w:rsid w:val="000353F4"/>
    <w:rsid w:val="00036AEA"/>
    <w:rsid w:val="000414F7"/>
    <w:rsid w:val="00066406"/>
    <w:rsid w:val="00073675"/>
    <w:rsid w:val="00096001"/>
    <w:rsid w:val="00096154"/>
    <w:rsid w:val="000C6CB6"/>
    <w:rsid w:val="001265C6"/>
    <w:rsid w:val="0014028C"/>
    <w:rsid w:val="00145BB7"/>
    <w:rsid w:val="00152B40"/>
    <w:rsid w:val="001677E3"/>
    <w:rsid w:val="00182FE6"/>
    <w:rsid w:val="00192C17"/>
    <w:rsid w:val="0019346E"/>
    <w:rsid w:val="001966B7"/>
    <w:rsid w:val="001A23DF"/>
    <w:rsid w:val="001B2701"/>
    <w:rsid w:val="001B6C38"/>
    <w:rsid w:val="001C203F"/>
    <w:rsid w:val="001E5F3D"/>
    <w:rsid w:val="002054F6"/>
    <w:rsid w:val="002064D9"/>
    <w:rsid w:val="00215D54"/>
    <w:rsid w:val="00226698"/>
    <w:rsid w:val="0024355D"/>
    <w:rsid w:val="002A42E8"/>
    <w:rsid w:val="002B65F7"/>
    <w:rsid w:val="002C32D2"/>
    <w:rsid w:val="00303294"/>
    <w:rsid w:val="00303FAB"/>
    <w:rsid w:val="003246F5"/>
    <w:rsid w:val="00327633"/>
    <w:rsid w:val="00327FB0"/>
    <w:rsid w:val="00342979"/>
    <w:rsid w:val="0038279A"/>
    <w:rsid w:val="003910F6"/>
    <w:rsid w:val="00392AF6"/>
    <w:rsid w:val="00395C53"/>
    <w:rsid w:val="00396318"/>
    <w:rsid w:val="003A61CC"/>
    <w:rsid w:val="003D37AB"/>
    <w:rsid w:val="003E0671"/>
    <w:rsid w:val="003F17E1"/>
    <w:rsid w:val="004035EC"/>
    <w:rsid w:val="00417425"/>
    <w:rsid w:val="00442D75"/>
    <w:rsid w:val="00461E1B"/>
    <w:rsid w:val="00473804"/>
    <w:rsid w:val="00495671"/>
    <w:rsid w:val="00497CBC"/>
    <w:rsid w:val="004C50CF"/>
    <w:rsid w:val="004D3780"/>
    <w:rsid w:val="004E7C98"/>
    <w:rsid w:val="00501E50"/>
    <w:rsid w:val="005130EF"/>
    <w:rsid w:val="00515F64"/>
    <w:rsid w:val="005204FD"/>
    <w:rsid w:val="00531AD8"/>
    <w:rsid w:val="00545BDB"/>
    <w:rsid w:val="0056140C"/>
    <w:rsid w:val="005827F1"/>
    <w:rsid w:val="005A169F"/>
    <w:rsid w:val="005A5D54"/>
    <w:rsid w:val="005C011E"/>
    <w:rsid w:val="005E0AA6"/>
    <w:rsid w:val="005E144C"/>
    <w:rsid w:val="00604D89"/>
    <w:rsid w:val="00627007"/>
    <w:rsid w:val="00633EEF"/>
    <w:rsid w:val="00666581"/>
    <w:rsid w:val="006B2ABE"/>
    <w:rsid w:val="006C162B"/>
    <w:rsid w:val="006F5800"/>
    <w:rsid w:val="00723B6F"/>
    <w:rsid w:val="0072530F"/>
    <w:rsid w:val="00766997"/>
    <w:rsid w:val="007B3277"/>
    <w:rsid w:val="007C23F5"/>
    <w:rsid w:val="007C3322"/>
    <w:rsid w:val="007C60A0"/>
    <w:rsid w:val="007E5775"/>
    <w:rsid w:val="007E6B87"/>
    <w:rsid w:val="007F5994"/>
    <w:rsid w:val="00804002"/>
    <w:rsid w:val="008247EC"/>
    <w:rsid w:val="00836099"/>
    <w:rsid w:val="0083775A"/>
    <w:rsid w:val="008420B8"/>
    <w:rsid w:val="008465EA"/>
    <w:rsid w:val="00847B71"/>
    <w:rsid w:val="00850537"/>
    <w:rsid w:val="00852F37"/>
    <w:rsid w:val="008609BD"/>
    <w:rsid w:val="008A6D6D"/>
    <w:rsid w:val="008C1D78"/>
    <w:rsid w:val="008C2E48"/>
    <w:rsid w:val="008C3E66"/>
    <w:rsid w:val="008D1DA2"/>
    <w:rsid w:val="008E14C8"/>
    <w:rsid w:val="008E1D18"/>
    <w:rsid w:val="008F2DEE"/>
    <w:rsid w:val="008F35DA"/>
    <w:rsid w:val="0090571B"/>
    <w:rsid w:val="00911BAB"/>
    <w:rsid w:val="00927AEE"/>
    <w:rsid w:val="00970366"/>
    <w:rsid w:val="009728EB"/>
    <w:rsid w:val="009B1964"/>
    <w:rsid w:val="009C3A75"/>
    <w:rsid w:val="009D546D"/>
    <w:rsid w:val="00A006D3"/>
    <w:rsid w:val="00A17242"/>
    <w:rsid w:val="00A27A60"/>
    <w:rsid w:val="00A326DB"/>
    <w:rsid w:val="00A35447"/>
    <w:rsid w:val="00A43C29"/>
    <w:rsid w:val="00A4582E"/>
    <w:rsid w:val="00A61359"/>
    <w:rsid w:val="00A61ADE"/>
    <w:rsid w:val="00A644C6"/>
    <w:rsid w:val="00A82B16"/>
    <w:rsid w:val="00A82F40"/>
    <w:rsid w:val="00A913BA"/>
    <w:rsid w:val="00A957FE"/>
    <w:rsid w:val="00A95920"/>
    <w:rsid w:val="00A95C57"/>
    <w:rsid w:val="00AA564B"/>
    <w:rsid w:val="00AB3B42"/>
    <w:rsid w:val="00AC46DB"/>
    <w:rsid w:val="00AC58E1"/>
    <w:rsid w:val="00AC6D02"/>
    <w:rsid w:val="00AE242D"/>
    <w:rsid w:val="00AE71C9"/>
    <w:rsid w:val="00AF3E84"/>
    <w:rsid w:val="00AF46D0"/>
    <w:rsid w:val="00B056AE"/>
    <w:rsid w:val="00B260E8"/>
    <w:rsid w:val="00B26B1F"/>
    <w:rsid w:val="00B82AA5"/>
    <w:rsid w:val="00BB7DC1"/>
    <w:rsid w:val="00BC290E"/>
    <w:rsid w:val="00BE1404"/>
    <w:rsid w:val="00BF4558"/>
    <w:rsid w:val="00C07B99"/>
    <w:rsid w:val="00C1135D"/>
    <w:rsid w:val="00C232FE"/>
    <w:rsid w:val="00C32925"/>
    <w:rsid w:val="00C361FE"/>
    <w:rsid w:val="00C560F9"/>
    <w:rsid w:val="00C60C8F"/>
    <w:rsid w:val="00C61FD6"/>
    <w:rsid w:val="00C7480C"/>
    <w:rsid w:val="00C75970"/>
    <w:rsid w:val="00C777B1"/>
    <w:rsid w:val="00C82C27"/>
    <w:rsid w:val="00C86AD0"/>
    <w:rsid w:val="00C87A59"/>
    <w:rsid w:val="00C91231"/>
    <w:rsid w:val="00CB3FA9"/>
    <w:rsid w:val="00CC1DA7"/>
    <w:rsid w:val="00CF11A1"/>
    <w:rsid w:val="00CF295E"/>
    <w:rsid w:val="00CF5F3E"/>
    <w:rsid w:val="00D008BB"/>
    <w:rsid w:val="00D06C00"/>
    <w:rsid w:val="00D10F33"/>
    <w:rsid w:val="00D13B59"/>
    <w:rsid w:val="00D56E34"/>
    <w:rsid w:val="00D735FD"/>
    <w:rsid w:val="00D74C60"/>
    <w:rsid w:val="00D84610"/>
    <w:rsid w:val="00D85FD9"/>
    <w:rsid w:val="00DA0B53"/>
    <w:rsid w:val="00DA299A"/>
    <w:rsid w:val="00DA52A5"/>
    <w:rsid w:val="00DB57A6"/>
    <w:rsid w:val="00DC4CA0"/>
    <w:rsid w:val="00DC6BCC"/>
    <w:rsid w:val="00DF29A2"/>
    <w:rsid w:val="00DF4B14"/>
    <w:rsid w:val="00E00C12"/>
    <w:rsid w:val="00E409C6"/>
    <w:rsid w:val="00E463B3"/>
    <w:rsid w:val="00E46E8F"/>
    <w:rsid w:val="00E60D2B"/>
    <w:rsid w:val="00E637B9"/>
    <w:rsid w:val="00E65C1C"/>
    <w:rsid w:val="00E77483"/>
    <w:rsid w:val="00E8341E"/>
    <w:rsid w:val="00E84511"/>
    <w:rsid w:val="00E96157"/>
    <w:rsid w:val="00E9688A"/>
    <w:rsid w:val="00E97D5C"/>
    <w:rsid w:val="00EC0606"/>
    <w:rsid w:val="00ED67DD"/>
    <w:rsid w:val="00EF521F"/>
    <w:rsid w:val="00F02F3A"/>
    <w:rsid w:val="00F07BD4"/>
    <w:rsid w:val="00F44304"/>
    <w:rsid w:val="00F44C75"/>
    <w:rsid w:val="00F45E56"/>
    <w:rsid w:val="00F461A3"/>
    <w:rsid w:val="00F511E1"/>
    <w:rsid w:val="00F560A3"/>
    <w:rsid w:val="00F6090B"/>
    <w:rsid w:val="00F72A18"/>
    <w:rsid w:val="00F734D7"/>
    <w:rsid w:val="00F77099"/>
    <w:rsid w:val="00F772EE"/>
    <w:rsid w:val="00F80ADC"/>
    <w:rsid w:val="00F90832"/>
    <w:rsid w:val="00FC08EE"/>
    <w:rsid w:val="00FD3431"/>
    <w:rsid w:val="00FF0DC9"/>
    <w:rsid w:val="019609A9"/>
    <w:rsid w:val="023F2212"/>
    <w:rsid w:val="05FB46B0"/>
    <w:rsid w:val="070A2FBC"/>
    <w:rsid w:val="0883119F"/>
    <w:rsid w:val="0A283ED3"/>
    <w:rsid w:val="0A86035E"/>
    <w:rsid w:val="0AA55410"/>
    <w:rsid w:val="0B037E51"/>
    <w:rsid w:val="0B534F80"/>
    <w:rsid w:val="0B6176BE"/>
    <w:rsid w:val="0C3B22A3"/>
    <w:rsid w:val="0D6214AA"/>
    <w:rsid w:val="0D7F205C"/>
    <w:rsid w:val="0DA059F5"/>
    <w:rsid w:val="0E451893"/>
    <w:rsid w:val="0E6F3E7F"/>
    <w:rsid w:val="0F0C5A70"/>
    <w:rsid w:val="11E77A07"/>
    <w:rsid w:val="12295B18"/>
    <w:rsid w:val="12C11953"/>
    <w:rsid w:val="132C232D"/>
    <w:rsid w:val="134D7DA8"/>
    <w:rsid w:val="14507354"/>
    <w:rsid w:val="146B333A"/>
    <w:rsid w:val="15AA79D9"/>
    <w:rsid w:val="17095AE2"/>
    <w:rsid w:val="17D81BBE"/>
    <w:rsid w:val="1B001029"/>
    <w:rsid w:val="1B512096"/>
    <w:rsid w:val="1B5F5790"/>
    <w:rsid w:val="1D6D2E22"/>
    <w:rsid w:val="1E807DB1"/>
    <w:rsid w:val="1E85148C"/>
    <w:rsid w:val="1FA4324B"/>
    <w:rsid w:val="1FCE3F40"/>
    <w:rsid w:val="205F3620"/>
    <w:rsid w:val="208D334A"/>
    <w:rsid w:val="20A774A8"/>
    <w:rsid w:val="21750684"/>
    <w:rsid w:val="219507C9"/>
    <w:rsid w:val="219759BF"/>
    <w:rsid w:val="2316568F"/>
    <w:rsid w:val="23A67EEB"/>
    <w:rsid w:val="25681E8D"/>
    <w:rsid w:val="25967434"/>
    <w:rsid w:val="26CC5EBA"/>
    <w:rsid w:val="26DD103B"/>
    <w:rsid w:val="2A6308E4"/>
    <w:rsid w:val="2B1B1944"/>
    <w:rsid w:val="2B314DBC"/>
    <w:rsid w:val="2B654C0F"/>
    <w:rsid w:val="2D764CC2"/>
    <w:rsid w:val="2E7A444E"/>
    <w:rsid w:val="2E7E596A"/>
    <w:rsid w:val="2FCE2CA3"/>
    <w:rsid w:val="30592E90"/>
    <w:rsid w:val="307B7BCB"/>
    <w:rsid w:val="30F11CB3"/>
    <w:rsid w:val="321725F9"/>
    <w:rsid w:val="32343183"/>
    <w:rsid w:val="33D67D32"/>
    <w:rsid w:val="36557856"/>
    <w:rsid w:val="377834F5"/>
    <w:rsid w:val="38E0637F"/>
    <w:rsid w:val="38F350EB"/>
    <w:rsid w:val="39754C6C"/>
    <w:rsid w:val="3A1273C6"/>
    <w:rsid w:val="3AB17B7A"/>
    <w:rsid w:val="3AC14625"/>
    <w:rsid w:val="3B0B27DC"/>
    <w:rsid w:val="3D792B22"/>
    <w:rsid w:val="3EBA6941"/>
    <w:rsid w:val="40101DFE"/>
    <w:rsid w:val="41CF0949"/>
    <w:rsid w:val="43FB613F"/>
    <w:rsid w:val="44501A81"/>
    <w:rsid w:val="44BD4C3D"/>
    <w:rsid w:val="468368A1"/>
    <w:rsid w:val="48B40105"/>
    <w:rsid w:val="49B46387"/>
    <w:rsid w:val="49BD4DC7"/>
    <w:rsid w:val="4AD53338"/>
    <w:rsid w:val="4B544FAC"/>
    <w:rsid w:val="4BCF2A83"/>
    <w:rsid w:val="4CEE78AF"/>
    <w:rsid w:val="4D1F6494"/>
    <w:rsid w:val="4D341EAC"/>
    <w:rsid w:val="4E70055B"/>
    <w:rsid w:val="4EFF54A1"/>
    <w:rsid w:val="514D4A7F"/>
    <w:rsid w:val="51E270AC"/>
    <w:rsid w:val="525653AD"/>
    <w:rsid w:val="526967E8"/>
    <w:rsid w:val="52764596"/>
    <w:rsid w:val="52923265"/>
    <w:rsid w:val="535E29A3"/>
    <w:rsid w:val="53640B20"/>
    <w:rsid w:val="54042454"/>
    <w:rsid w:val="544B7B6F"/>
    <w:rsid w:val="54E22DEA"/>
    <w:rsid w:val="56041754"/>
    <w:rsid w:val="58335D58"/>
    <w:rsid w:val="59E80594"/>
    <w:rsid w:val="59F64A21"/>
    <w:rsid w:val="5A1F62D7"/>
    <w:rsid w:val="5CD22E02"/>
    <w:rsid w:val="5DA75773"/>
    <w:rsid w:val="5F48540F"/>
    <w:rsid w:val="60324543"/>
    <w:rsid w:val="603364C5"/>
    <w:rsid w:val="6288754D"/>
    <w:rsid w:val="62D67E3F"/>
    <w:rsid w:val="63933A29"/>
    <w:rsid w:val="639B4E00"/>
    <w:rsid w:val="6523025F"/>
    <w:rsid w:val="663E5660"/>
    <w:rsid w:val="6658247E"/>
    <w:rsid w:val="66813FDF"/>
    <w:rsid w:val="68EB739B"/>
    <w:rsid w:val="69076CB6"/>
    <w:rsid w:val="69F740AB"/>
    <w:rsid w:val="6C305B70"/>
    <w:rsid w:val="707838B4"/>
    <w:rsid w:val="70FB1883"/>
    <w:rsid w:val="73716D78"/>
    <w:rsid w:val="753E53F8"/>
    <w:rsid w:val="75B91F62"/>
    <w:rsid w:val="764845E6"/>
    <w:rsid w:val="76D257BC"/>
    <w:rsid w:val="77647450"/>
    <w:rsid w:val="77CF38D2"/>
    <w:rsid w:val="78F60349"/>
    <w:rsid w:val="793E1645"/>
    <w:rsid w:val="79B17BC5"/>
    <w:rsid w:val="7B875081"/>
    <w:rsid w:val="7C821233"/>
    <w:rsid w:val="7D7B0C16"/>
    <w:rsid w:val="7DFC2364"/>
    <w:rsid w:val="7F2969B9"/>
    <w:rsid w:val="BFFFC6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
    <w:pPr>
      <w:spacing w:line="560" w:lineRule="exact"/>
      <w:ind w:firstLine="640" w:firstLineChars="200"/>
      <w:outlineLvl w:val="1"/>
    </w:pPr>
    <w:rPr>
      <w:rFonts w:ascii="楷体_GB2312" w:hAnsi="楷体_GB2312" w:eastAsia="楷体_GB2312" w:cs="楷体_GB2312"/>
      <w:color w:val="000000"/>
      <w:kern w:val="0"/>
      <w:sz w:val="32"/>
      <w:szCs w:val="32"/>
    </w:rPr>
  </w:style>
  <w:style w:type="paragraph" w:styleId="2">
    <w:name w:val="heading 3"/>
    <w:basedOn w:val="1"/>
    <w:next w:val="1"/>
    <w:unhideWhenUsed/>
    <w:qFormat/>
    <w:uiPriority w:val="9"/>
    <w:pPr>
      <w:keepNext/>
      <w:keepLines/>
      <w:spacing w:before="260" w:after="260" w:line="416" w:lineRule="auto"/>
      <w:outlineLvl w:val="2"/>
    </w:pPr>
    <w:rPr>
      <w:b/>
      <w:bCs/>
      <w:szCs w:val="32"/>
    </w:rPr>
  </w:style>
  <w:style w:type="character" w:default="1" w:styleId="18">
    <w:name w:val="Default Paragraph Font"/>
    <w:unhideWhenUsed/>
    <w:qFormat/>
    <w:uiPriority w:val="1"/>
  </w:style>
  <w:style w:type="table" w:default="1" w:styleId="22">
    <w:name w:val="Normal Table"/>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link w:val="29"/>
    <w:qFormat/>
    <w:uiPriority w:val="0"/>
    <w:rPr>
      <w:b/>
      <w:bCs/>
    </w:rPr>
  </w:style>
  <w:style w:type="paragraph" w:styleId="5">
    <w:name w:val="annotation text"/>
    <w:basedOn w:val="1"/>
    <w:link w:val="28"/>
    <w:qFormat/>
    <w:uiPriority w:val="0"/>
    <w:pPr>
      <w:jc w:val="left"/>
    </w:pPr>
  </w:style>
  <w:style w:type="paragraph" w:styleId="6">
    <w:name w:val="Body Text First Indent"/>
    <w:basedOn w:val="7"/>
    <w:qFormat/>
    <w:uiPriority w:val="0"/>
    <w:pPr>
      <w:ind w:firstLine="420" w:firstLineChars="100"/>
    </w:pPr>
  </w:style>
  <w:style w:type="paragraph" w:styleId="7">
    <w:name w:val="Body Text"/>
    <w:basedOn w:val="1"/>
    <w:next w:val="1"/>
    <w:qFormat/>
    <w:uiPriority w:val="0"/>
    <w:pPr>
      <w:spacing w:line="640" w:lineRule="exact"/>
      <w:ind w:firstLine="960"/>
    </w:pPr>
  </w:style>
  <w:style w:type="paragraph" w:styleId="8">
    <w:name w:val="Plain Text"/>
    <w:basedOn w:val="1"/>
    <w:unhideWhenUsed/>
    <w:qFormat/>
    <w:uiPriority w:val="99"/>
    <w:rPr>
      <w:rFonts w:ascii="宋体" w:hAnsi="Courier New"/>
      <w:szCs w:val="21"/>
    </w:rPr>
  </w:style>
  <w:style w:type="paragraph" w:styleId="9">
    <w:name w:val="Body Text Indent 2"/>
    <w:basedOn w:val="1"/>
    <w:qFormat/>
    <w:uiPriority w:val="0"/>
    <w:pPr>
      <w:spacing w:after="120" w:line="480" w:lineRule="auto"/>
      <w:ind w:left="420" w:leftChars="200"/>
    </w:pPr>
  </w:style>
  <w:style w:type="paragraph" w:styleId="10">
    <w:name w:val="Balloon Text"/>
    <w:basedOn w:val="1"/>
    <w:link w:val="30"/>
    <w:qFormat/>
    <w:uiPriority w:val="0"/>
    <w:rPr>
      <w:sz w:val="18"/>
      <w:szCs w:val="18"/>
    </w:rPr>
  </w:style>
  <w:style w:type="paragraph" w:styleId="11">
    <w:name w:val="footer"/>
    <w:basedOn w:val="1"/>
    <w:qFormat/>
    <w:uiPriority w:val="99"/>
    <w:pPr>
      <w:tabs>
        <w:tab w:val="center" w:pos="4153"/>
        <w:tab w:val="right" w:pos="8306"/>
      </w:tabs>
      <w:snapToGrid w:val="0"/>
      <w:jc w:val="left"/>
    </w:pPr>
    <w:rPr>
      <w:sz w:val="18"/>
      <w:szCs w:val="20"/>
    </w:rPr>
  </w:style>
  <w:style w:type="paragraph" w:styleId="12">
    <w:name w:val="Body Text First Indent 2"/>
    <w:next w:val="1"/>
    <w:qFormat/>
    <w:uiPriority w:val="0"/>
    <w:pPr>
      <w:widowControl w:val="0"/>
      <w:suppressAutoHyphens/>
      <w:spacing w:line="580" w:lineRule="exact"/>
      <w:ind w:firstLine="420" w:firstLineChars="200"/>
      <w:jc w:val="both"/>
    </w:pPr>
    <w:rPr>
      <w:rFonts w:ascii="仿宋_GB2312" w:hAnsi="Calibri" w:eastAsia="仿宋_GB2312" w:cs="Times New Roman"/>
      <w:kern w:val="2"/>
      <w:sz w:val="32"/>
      <w:szCs w:val="24"/>
      <w:lang w:val="en-US" w:eastAsia="zh-CN" w:bidi="ar-SA"/>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4">
    <w:name w:val="toc 1"/>
    <w:basedOn w:val="1"/>
    <w:next w:val="1"/>
    <w:unhideWhenUsed/>
    <w:qFormat/>
    <w:uiPriority w:val="39"/>
    <w:pPr>
      <w:tabs>
        <w:tab w:val="right" w:leader="dot" w:pos="8296"/>
      </w:tabs>
    </w:pPr>
    <w:rPr>
      <w:rFonts w:ascii="仿宋" w:hAnsi="仿宋" w:eastAsia="仿宋"/>
      <w:b/>
      <w:sz w:val="28"/>
      <w:szCs w:val="28"/>
    </w:rPr>
  </w:style>
  <w:style w:type="paragraph" w:styleId="15">
    <w:name w:val="footnote text"/>
    <w:basedOn w:val="1"/>
    <w:unhideWhenUsed/>
    <w:qFormat/>
    <w:uiPriority w:val="99"/>
    <w:pPr>
      <w:snapToGrid w:val="0"/>
      <w:jc w:val="left"/>
    </w:pPr>
    <w:rPr>
      <w:sz w:val="18"/>
      <w:szCs w:val="18"/>
    </w:rPr>
  </w:style>
  <w:style w:type="paragraph" w:styleId="16">
    <w:name w:val="toc 2"/>
    <w:basedOn w:val="1"/>
    <w:next w:val="1"/>
    <w:unhideWhenUsed/>
    <w:qFormat/>
    <w:uiPriority w:val="39"/>
    <w:pPr>
      <w:ind w:left="420" w:leftChars="200"/>
    </w:pPr>
  </w:style>
  <w:style w:type="paragraph" w:styleId="17">
    <w:name w:val="Normal (Web)"/>
    <w:basedOn w:val="1"/>
    <w:qFormat/>
    <w:uiPriority w:val="0"/>
    <w:pPr>
      <w:spacing w:beforeAutospacing="1" w:afterAutospacing="1"/>
      <w:jc w:val="left"/>
    </w:pPr>
    <w:rPr>
      <w:kern w:val="0"/>
      <w:sz w:val="24"/>
    </w:rPr>
  </w:style>
  <w:style w:type="character" w:styleId="19">
    <w:name w:val="Hyperlink"/>
    <w:unhideWhenUsed/>
    <w:qFormat/>
    <w:uiPriority w:val="99"/>
    <w:rPr>
      <w:color w:val="0000FF"/>
      <w:u w:val="single"/>
    </w:rPr>
  </w:style>
  <w:style w:type="character" w:styleId="20">
    <w:name w:val="annotation reference"/>
    <w:basedOn w:val="18"/>
    <w:qFormat/>
    <w:uiPriority w:val="0"/>
    <w:rPr>
      <w:sz w:val="21"/>
      <w:szCs w:val="21"/>
    </w:rPr>
  </w:style>
  <w:style w:type="character" w:styleId="21">
    <w:name w:val="footnote reference"/>
    <w:basedOn w:val="18"/>
    <w:unhideWhenUsed/>
    <w:qFormat/>
    <w:uiPriority w:val="99"/>
    <w:rPr>
      <w:vertAlign w:val="superscript"/>
    </w:rPr>
  </w:style>
  <w:style w:type="table" w:styleId="23">
    <w:name w:val="Table Grid"/>
    <w:basedOn w:val="22"/>
    <w:qFormat/>
    <w:uiPriority w:val="5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4">
    <w:name w:val="表格"/>
    <w:basedOn w:val="1"/>
    <w:qFormat/>
    <w:uiPriority w:val="0"/>
    <w:pPr>
      <w:jc w:val="center"/>
    </w:pPr>
    <w:rPr>
      <w:rFonts w:ascii="Verdana" w:hAnsi="Verdana" w:eastAsia="仿宋_GB2312"/>
      <w:sz w:val="24"/>
      <w:lang w:eastAsia="en-US"/>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27">
    <w:name w:val="WPSOffice手动目录 3"/>
    <w:qFormat/>
    <w:uiPriority w:val="0"/>
    <w:pPr>
      <w:ind w:left="400" w:leftChars="400"/>
    </w:pPr>
    <w:rPr>
      <w:rFonts w:ascii="Times New Roman" w:hAnsi="Times New Roman" w:eastAsia="宋体" w:cs="Times New Roman"/>
      <w:lang w:val="en-US" w:eastAsia="zh-CN" w:bidi="ar-SA"/>
    </w:rPr>
  </w:style>
  <w:style w:type="character" w:customStyle="1" w:styleId="28">
    <w:name w:val="批注文字 字符"/>
    <w:basedOn w:val="18"/>
    <w:link w:val="5"/>
    <w:qFormat/>
    <w:uiPriority w:val="0"/>
    <w:rPr>
      <w:kern w:val="2"/>
      <w:sz w:val="21"/>
      <w:szCs w:val="24"/>
    </w:rPr>
  </w:style>
  <w:style w:type="character" w:customStyle="1" w:styleId="29">
    <w:name w:val="批注主题 字符"/>
    <w:basedOn w:val="28"/>
    <w:link w:val="4"/>
    <w:qFormat/>
    <w:uiPriority w:val="0"/>
    <w:rPr>
      <w:b/>
      <w:bCs/>
      <w:kern w:val="2"/>
      <w:sz w:val="21"/>
      <w:szCs w:val="24"/>
    </w:rPr>
  </w:style>
  <w:style w:type="character" w:customStyle="1" w:styleId="30">
    <w:name w:val="批注框文本 字符"/>
    <w:basedOn w:val="18"/>
    <w:link w:val="10"/>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13687</Words>
  <Characters>14471</Characters>
  <Lines>111</Lines>
  <Paragraphs>31</Paragraphs>
  <ScaleCrop>false</ScaleCrop>
  <LinksUpToDate>false</LinksUpToDate>
  <CharactersWithSpaces>14550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2022-06-11T18:19:00Z</dcterms:created>
  <dc:creator>zxj</dc:creator>
  <cp:lastModifiedBy>317</cp:lastModifiedBy>
  <cp:lastPrinted>2023-05-22T03:32:00Z</cp:lastPrinted>
  <dcterms:modified xsi:type="dcterms:W3CDTF">2023-05-22T03:47:39Z</dcterms:modified>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F1548AB2EA5B4FE78DD5552CFDF61B5C</vt:lpwstr>
  </property>
</Properties>
</file>