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（一）机构设置及职责工作任务情况</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1.部门机构设置情况</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香山革命纪念馆是由市委宣传部举办的公益一类全额财政补助事业单位，主要工作职责是：深入研究党的发展史、革命战争史、新中国创建史，加强香山革命纪念地遗址遗迹保护管理，加大革命历史文物史料征集利用，弘扬优良传统，传承红色基因，广泛开展爱党爱国爱军教育实践，打造香山革命纪念馆红色教育高地。</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香山革命纪念馆下设办公室、编辑研究部、文物征集研究部、展览陈列部、信息资料部、宣传教育部、安全物业部和财务后勤部8个部室。截至2022年末，事业编制人数75人，实有人数63人。</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2.部门职能情况</w:t>
      </w:r>
    </w:p>
    <w:p>
      <w:pPr>
        <w:pageBreakBefore w:val="0"/>
        <w:widowControl w:val="0"/>
        <w:tabs>
          <w:tab w:val="left" w:pos="0"/>
        </w:tabs>
        <w:kinsoku/>
        <w:wordWrap/>
        <w:overflowPunct/>
        <w:topLinePunct w:val="0"/>
        <w:autoSpaceDE/>
        <w:autoSpaceDN/>
        <w:bidi w:val="0"/>
        <w:adjustRightInd/>
        <w:spacing w:line="560" w:lineRule="exact"/>
        <w:ind w:left="17" w:leftChars="8" w:firstLine="400" w:firstLineChars="125"/>
        <w:jc w:val="left"/>
        <w:textAlignment w:val="auto"/>
        <w:rPr>
          <w:rFonts w:hint="eastAsia" w:ascii="仿宋_GB2312" w:hAnsi="宋体" w:eastAsia="仿宋_GB2312" w:cs="宋体"/>
          <w:color w:val="000000"/>
          <w:kern w:val="0"/>
          <w:sz w:val="32"/>
          <w:szCs w:val="32"/>
        </w:rPr>
      </w:pPr>
      <w:bookmarkStart w:id="0" w:name="_GoBack"/>
      <w:bookmarkEnd w:id="0"/>
      <w:r>
        <w:rPr>
          <w:rFonts w:hint="eastAsia" w:ascii="仿宋_GB2312" w:hAnsi="宋体" w:eastAsia="仿宋_GB2312" w:cs="宋体"/>
          <w:color w:val="000000"/>
          <w:kern w:val="0"/>
          <w:sz w:val="32"/>
          <w:szCs w:val="32"/>
        </w:rPr>
        <w:t>（1）贯彻执行国家和北京市有关的方针、政策和法律、法规，制定香山革命纪念馆发展规划和工作计划，并组织实施。</w:t>
      </w:r>
    </w:p>
    <w:p>
      <w:pPr>
        <w:pageBreakBefore w:val="0"/>
        <w:widowControl w:val="0"/>
        <w:tabs>
          <w:tab w:val="left" w:pos="0"/>
        </w:tabs>
        <w:kinsoku/>
        <w:wordWrap/>
        <w:overflowPunct/>
        <w:topLinePunct w:val="0"/>
        <w:autoSpaceDE/>
        <w:autoSpaceDN/>
        <w:bidi w:val="0"/>
        <w:adjustRightInd/>
        <w:spacing w:line="560" w:lineRule="exact"/>
        <w:ind w:left="17" w:leftChars="8" w:firstLine="400" w:firstLineChars="125"/>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（2）日常运行保障。负责保障纪念馆正常开放运行，做好日常的行政文案、人才管理、安全管理、物业管理、财务管理、后勤保障等工作。</w:t>
      </w:r>
    </w:p>
    <w:p>
      <w:pPr>
        <w:pageBreakBefore w:val="0"/>
        <w:widowControl w:val="0"/>
        <w:tabs>
          <w:tab w:val="left" w:pos="0"/>
        </w:tabs>
        <w:kinsoku/>
        <w:wordWrap/>
        <w:overflowPunct/>
        <w:topLinePunct w:val="0"/>
        <w:autoSpaceDE/>
        <w:autoSpaceDN/>
        <w:bidi w:val="0"/>
        <w:adjustRightInd/>
        <w:spacing w:line="560" w:lineRule="exact"/>
        <w:ind w:left="17" w:leftChars="8" w:firstLine="400" w:firstLineChars="125"/>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学术研究。负责香山革命旧址保护利用、深入挖掘香山革命精神；进一步研究与发掘香山革命历史，开展理论研讨会，提升理论研究水平；编辑香山革命历史普及读物，将香山革命精神相关理论文章、红色故事整理成册</w:t>
      </w:r>
      <w:r>
        <w:rPr>
          <w:rFonts w:hint="eastAsia" w:ascii="仿宋_GB2312" w:hAnsi="宋体" w:eastAsia="仿宋_GB2312" w:cs="宋体"/>
          <w:color w:val="000000"/>
          <w:kern w:val="0"/>
          <w:sz w:val="32"/>
          <w:szCs w:val="32"/>
          <w:lang w:val="en-US" w:eastAsia="zh-CN"/>
        </w:rPr>
        <w:t>并</w:t>
      </w:r>
      <w:r>
        <w:rPr>
          <w:rFonts w:hint="eastAsia" w:ascii="仿宋_GB2312" w:hAnsi="宋体" w:eastAsia="仿宋_GB2312" w:cs="宋体"/>
          <w:color w:val="000000"/>
          <w:kern w:val="0"/>
          <w:sz w:val="32"/>
          <w:szCs w:val="32"/>
        </w:rPr>
        <w:t>公开出版，扩大香山革命精神的影响力；举办专题展览，负责专题展览大纲研究编定，使展览内容严谨详实，符合历史史实。</w:t>
      </w:r>
    </w:p>
    <w:p>
      <w:pPr>
        <w:pageBreakBefore w:val="0"/>
        <w:widowControl w:val="0"/>
        <w:tabs>
          <w:tab w:val="left" w:pos="0"/>
        </w:tabs>
        <w:kinsoku/>
        <w:wordWrap/>
        <w:overflowPunct/>
        <w:topLinePunct w:val="0"/>
        <w:autoSpaceDE/>
        <w:autoSpaceDN/>
        <w:bidi w:val="0"/>
        <w:adjustRightInd/>
        <w:spacing w:line="560" w:lineRule="exact"/>
        <w:ind w:left="17" w:leftChars="8" w:firstLine="400" w:firstLineChars="125"/>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（4）宣传教育。在馆内外开展形式多样、内容丰富的宣传教育工作，通过展览讲解、历史文化讲座等方式，让党员干部更多、更好、更准确地了解香山革命历史，传承香山革命精神。</w:t>
      </w:r>
    </w:p>
    <w:p>
      <w:pPr>
        <w:pageBreakBefore w:val="0"/>
        <w:widowControl w:val="0"/>
        <w:tabs>
          <w:tab w:val="left" w:pos="0"/>
        </w:tabs>
        <w:kinsoku/>
        <w:wordWrap/>
        <w:overflowPunct/>
        <w:topLinePunct w:val="0"/>
        <w:autoSpaceDE/>
        <w:autoSpaceDN/>
        <w:bidi w:val="0"/>
        <w:adjustRightInd/>
        <w:spacing w:line="560" w:lineRule="exact"/>
        <w:ind w:left="17" w:leftChars="8" w:firstLine="400" w:firstLineChars="125"/>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文物管理。对馆藏文物进行整理、归类、成册、保存、研究，为香山革命历史研究提供更好的文物支撑；负责征集与馆内主题展览、专题展览相关的文物、史料等，做好与文物捐赠者的对接工作；深入发掘文物背后的故事。</w:t>
      </w:r>
    </w:p>
    <w:p>
      <w:pPr>
        <w:pageBreakBefore w:val="0"/>
        <w:widowControl w:val="0"/>
        <w:tabs>
          <w:tab w:val="left" w:pos="0"/>
        </w:tabs>
        <w:kinsoku/>
        <w:wordWrap/>
        <w:overflowPunct/>
        <w:topLinePunct w:val="0"/>
        <w:autoSpaceDE/>
        <w:autoSpaceDN/>
        <w:bidi w:val="0"/>
        <w:adjustRightInd/>
        <w:spacing w:line="560" w:lineRule="exact"/>
        <w:ind w:left="17" w:leftChars="8" w:firstLine="400" w:firstLineChars="125"/>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（6）展览陈列。负责馆内主题展览</w:t>
      </w:r>
      <w:r>
        <w:rPr>
          <w:rFonts w:hint="eastAsia" w:ascii="仿宋_GB2312" w:hAnsi="宋体" w:eastAsia="仿宋_GB2312" w:cs="宋体"/>
          <w:color w:val="000000"/>
          <w:kern w:val="0"/>
          <w:sz w:val="32"/>
          <w:szCs w:val="32"/>
          <w:lang w:val="en-US" w:eastAsia="zh-CN"/>
        </w:rPr>
        <w:t>和</w:t>
      </w:r>
      <w:r>
        <w:rPr>
          <w:rFonts w:hint="eastAsia" w:ascii="仿宋_GB2312" w:hAnsi="宋体" w:eastAsia="仿宋_GB2312" w:cs="宋体"/>
          <w:color w:val="000000"/>
          <w:kern w:val="0"/>
          <w:sz w:val="32"/>
          <w:szCs w:val="32"/>
        </w:rPr>
        <w:t>专题展览的策展、布展、改展、撤展等工作；负责馆内宣传折页</w:t>
      </w:r>
      <w:r>
        <w:rPr>
          <w:rFonts w:hint="eastAsia" w:ascii="仿宋_GB2312" w:hAnsi="宋体" w:eastAsia="仿宋_GB2312" w:cs="宋体"/>
          <w:color w:val="000000"/>
          <w:kern w:val="0"/>
          <w:sz w:val="32"/>
          <w:szCs w:val="32"/>
          <w:lang w:val="en-US" w:eastAsia="zh-CN"/>
        </w:rPr>
        <w:t>和</w:t>
      </w:r>
      <w:r>
        <w:rPr>
          <w:rFonts w:hint="eastAsia" w:ascii="仿宋_GB2312" w:hAnsi="宋体" w:eastAsia="仿宋_GB2312" w:cs="宋体"/>
          <w:color w:val="000000"/>
          <w:kern w:val="0"/>
          <w:sz w:val="32"/>
          <w:szCs w:val="32"/>
        </w:rPr>
        <w:t>馆内外标识等统一设计、规范管理工作，使馆内外标识美观、得体、使用规范；负责文创产品的开发及应用。</w:t>
      </w:r>
    </w:p>
    <w:p>
      <w:pPr>
        <w:pageBreakBefore w:val="0"/>
        <w:widowControl w:val="0"/>
        <w:tabs>
          <w:tab w:val="left" w:pos="0"/>
        </w:tabs>
        <w:kinsoku/>
        <w:wordWrap/>
        <w:overflowPunct/>
        <w:topLinePunct w:val="0"/>
        <w:autoSpaceDE/>
        <w:autoSpaceDN/>
        <w:bidi w:val="0"/>
        <w:adjustRightInd/>
        <w:spacing w:line="560" w:lineRule="exact"/>
        <w:ind w:left="17" w:leftChars="8" w:firstLine="400" w:firstLineChars="125"/>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（7）信息化运维及保障。保障纪念馆信息化系统、设备的正常运行；搭建网络媒体宣传平台，统计新闻宣传情况，分析舆情状况，保障纪念馆信息安全、健康。</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3.主要职能产出情况</w:t>
      </w:r>
    </w:p>
    <w:p>
      <w:pPr>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rPr>
      </w:pPr>
      <w:r>
        <w:rPr>
          <w:rFonts w:hint="eastAsia" w:ascii="仿宋_GB2312" w:hAnsi="宋体" w:eastAsia="仿宋_GB2312" w:cs="宋体"/>
          <w:color w:val="000000"/>
          <w:kern w:val="0"/>
          <w:sz w:val="32"/>
          <w:szCs w:val="32"/>
        </w:rPr>
        <w:t>2022年香山革命纪念馆以习近平新时代中国特色社会主义思想为指导，学习宣传贯彻党的二十大精神，贯彻落实习近平总书记视察香山革命纪念地重要讲话精神，在市委宣传部坚强领导下，着力推进“进京赶考”建立新中国主题片区建设，重点狠抓管理规范化、制度化建设，取得了优异的成绩。基本陈列《为新中国奠基——中共中央在香山》，以及陆续推出的《红色电波中的领袖风范——毛泽东同志香山时期发布电报手稿</w:t>
      </w:r>
      <w:r>
        <w:rPr>
          <w:rFonts w:hint="eastAsia" w:ascii="仿宋_GB2312" w:hAnsi="宋体" w:eastAsia="仿宋_GB2312" w:cs="宋体"/>
          <w:color w:val="000000"/>
          <w:kern w:val="0"/>
          <w:sz w:val="32"/>
          <w:szCs w:val="32"/>
          <w:lang w:val="en-US" w:eastAsia="zh-CN"/>
        </w:rPr>
        <w:t>专题展览</w:t>
      </w:r>
      <w:r>
        <w:rPr>
          <w:rFonts w:hint="eastAsia" w:ascii="仿宋_GB2312" w:hAnsi="宋体" w:eastAsia="仿宋_GB2312" w:cs="宋体"/>
          <w:color w:val="000000"/>
          <w:kern w:val="0"/>
          <w:sz w:val="32"/>
          <w:szCs w:val="32"/>
        </w:rPr>
        <w:t>》和《百川归海 人民至上——香山时期中国共产党领导的协商建国实践专题展览》均获评全国范围优秀奖项。开放以来，累计接待社会各界参观团体及观众超670万人次；全网总阅读量超3675万人次；全年工作完成良好，不断提升了“三个水平”，建设了“三个基地”。</w:t>
      </w:r>
    </w:p>
    <w:p>
      <w:pPr>
        <w:pageBreakBefore w:val="0"/>
        <w:widowControl w:val="0"/>
        <w:numPr>
          <w:ilvl w:val="0"/>
          <w:numId w:val="1"/>
        </w:numPr>
        <w:kinsoku/>
        <w:wordWrap/>
        <w:overflowPunct/>
        <w:topLinePunct w:val="0"/>
        <w:autoSpaceDE/>
        <w:autoSpaceDN/>
        <w:bidi w:val="0"/>
        <w:adjustRightIn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部门整体绩效目标设立情况</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1.部门绩效目标和绩效指标设定情况</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2022年，香山革命纪念馆将以习近平新时代中国特色社会主义思想为指导，深入学习党的</w:t>
      </w:r>
      <w:r>
        <w:rPr>
          <w:rFonts w:hint="eastAsia" w:ascii="仿宋_GB2312" w:hAnsi="宋体" w:eastAsia="仿宋_GB2312" w:cs="宋体"/>
          <w:color w:val="000000"/>
          <w:kern w:val="0"/>
          <w:sz w:val="32"/>
          <w:szCs w:val="32"/>
          <w:lang w:val="en-US" w:eastAsia="zh-CN"/>
        </w:rPr>
        <w:t>二十大</w:t>
      </w:r>
      <w:r>
        <w:rPr>
          <w:rFonts w:hint="eastAsia" w:ascii="仿宋_GB2312" w:hAnsi="宋体" w:eastAsia="仿宋_GB2312" w:cs="宋体"/>
          <w:color w:val="000000"/>
          <w:kern w:val="0"/>
          <w:sz w:val="32"/>
          <w:szCs w:val="32"/>
        </w:rPr>
        <w:t>精神，贯彻落实习近平总书记视察香山革命纪念地重要讲话精神，不断提升管理水平、服务水平，完善制度建设，加强人才培养，围绕新中国</w:t>
      </w:r>
      <w:r>
        <w:rPr>
          <w:rFonts w:hint="eastAsia" w:ascii="仿宋_GB2312" w:hAnsi="宋体" w:eastAsia="仿宋_GB2312" w:cs="宋体"/>
          <w:color w:val="000000"/>
          <w:kern w:val="0"/>
          <w:sz w:val="32"/>
          <w:szCs w:val="32"/>
          <w:lang w:val="en-US" w:eastAsia="zh-CN"/>
        </w:rPr>
        <w:t>成立</w:t>
      </w:r>
      <w:r>
        <w:rPr>
          <w:rFonts w:hint="eastAsia" w:ascii="仿宋_GB2312" w:hAnsi="宋体" w:eastAsia="仿宋_GB2312" w:cs="宋体"/>
          <w:color w:val="000000"/>
          <w:kern w:val="0"/>
          <w:sz w:val="32"/>
          <w:szCs w:val="32"/>
        </w:rPr>
        <w:t>主题片区保护工程的要求，建设好“三个基地”，不断提升“三个水平”。 2022年，将通过打造香山革命历史展览展示品牌、香山革命历史学术研究品牌、“重温赶考路 奋进新时代”爱国主义教育品牌等，从多维度、多渠道不断提升香山革命纪念馆品牌影响力；同时我们也将加强革命文物史料征集保护利用，创建“红色基因库”数字化、信息化展示平台，挖掘、利用、保护好新中国</w:t>
      </w:r>
      <w:r>
        <w:rPr>
          <w:rFonts w:hint="eastAsia" w:ascii="仿宋_GB2312" w:hAnsi="宋体" w:eastAsia="仿宋_GB2312" w:cs="宋体"/>
          <w:color w:val="000000"/>
          <w:kern w:val="0"/>
          <w:sz w:val="32"/>
          <w:szCs w:val="32"/>
          <w:lang w:val="en-US" w:eastAsia="zh-CN"/>
        </w:rPr>
        <w:t>成立</w:t>
      </w:r>
      <w:r>
        <w:rPr>
          <w:rFonts w:hint="eastAsia" w:ascii="仿宋_GB2312" w:hAnsi="宋体" w:eastAsia="仿宋_GB2312" w:cs="宋体"/>
          <w:color w:val="000000"/>
          <w:kern w:val="0"/>
          <w:sz w:val="32"/>
          <w:szCs w:val="32"/>
        </w:rPr>
        <w:t>主题片区红色文化资源，做好与抗战馆、北大红楼三馆</w:t>
      </w:r>
      <w:r>
        <w:rPr>
          <w:rFonts w:hint="eastAsia" w:ascii="仿宋_GB2312" w:hAnsi="宋体" w:eastAsia="仿宋_GB2312" w:cs="宋体"/>
          <w:color w:val="000000"/>
          <w:kern w:val="0"/>
          <w:sz w:val="32"/>
          <w:szCs w:val="32"/>
          <w:lang w:val="en-US" w:eastAsia="zh-CN"/>
        </w:rPr>
        <w:t>协同发展</w:t>
      </w:r>
      <w:r>
        <w:rPr>
          <w:rFonts w:hint="eastAsia" w:ascii="仿宋_GB2312" w:hAnsi="宋体" w:eastAsia="仿宋_GB2312" w:cs="宋体"/>
          <w:color w:val="000000"/>
          <w:kern w:val="0"/>
          <w:sz w:val="32"/>
          <w:szCs w:val="32"/>
        </w:rPr>
        <w:t>工作，实现优势互补，共同发展。</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2022年设定绩效指标15项，包括：</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展览陈列大于等于3场；</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宣传教育讲座场次大于等于6次；</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学术研究举办理论研讨会1次；</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日常运行保障安全运行天数365天；</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日常运行保障观众参观天数，做好服务保障大于等于300天；</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学术研究产出，出版刊物2种；</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宣传教育来馆参观人员意见反馈满意度大于等于85%；</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信息化运维及保障产出指标，信息化系统运行正常、互联网专线运行正常、等级保</w:t>
      </w:r>
      <w:r>
        <w:rPr>
          <w:rFonts w:hint="eastAsia" w:ascii="仿宋_GB2312" w:hAnsi="宋体" w:eastAsia="仿宋_GB2312" w:cs="宋体"/>
          <w:color w:val="000000"/>
          <w:kern w:val="0"/>
          <w:sz w:val="32"/>
          <w:szCs w:val="32"/>
          <w:lang w:val="en-US" w:eastAsia="zh-CN"/>
        </w:rPr>
        <w:t>护</w:t>
      </w:r>
      <w:r>
        <w:rPr>
          <w:rFonts w:hint="eastAsia" w:ascii="仿宋_GB2312" w:hAnsi="宋体" w:eastAsia="仿宋_GB2312" w:cs="宋体"/>
          <w:color w:val="000000"/>
          <w:kern w:val="0"/>
          <w:sz w:val="32"/>
          <w:szCs w:val="32"/>
        </w:rPr>
        <w:t>测评顺利完成；</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文物管理复仿制符合行业标准；</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学术研究确保各项活动的顺利举办；</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日常运行保障党建工作按照“三会一课”要求，完成学习、教育、活动组织；人才队伍建设，按需求编制数量招聘工作人员。重大事项100%依法依规；</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宣传教育为社会各界提供讲解服务，扩大</w:t>
      </w:r>
      <w:r>
        <w:rPr>
          <w:rFonts w:hint="eastAsia" w:ascii="仿宋_GB2312" w:hAnsi="宋体" w:eastAsia="仿宋_GB2312" w:cs="宋体"/>
          <w:color w:val="000000"/>
          <w:kern w:val="0"/>
          <w:sz w:val="32"/>
          <w:szCs w:val="32"/>
          <w:lang w:val="en-US" w:eastAsia="zh-CN"/>
        </w:rPr>
        <w:t>了香山革命纪念</w:t>
      </w:r>
      <w:r>
        <w:rPr>
          <w:rFonts w:hint="eastAsia" w:ascii="仿宋_GB2312" w:hAnsi="宋体" w:eastAsia="仿宋_GB2312" w:cs="宋体"/>
          <w:color w:val="000000"/>
          <w:kern w:val="0"/>
          <w:sz w:val="32"/>
          <w:szCs w:val="32"/>
        </w:rPr>
        <w:t>馆</w:t>
      </w:r>
      <w:r>
        <w:rPr>
          <w:rFonts w:hint="eastAsia" w:ascii="仿宋_GB2312" w:hAnsi="宋体" w:eastAsia="仿宋_GB2312" w:cs="宋体"/>
          <w:color w:val="000000"/>
          <w:kern w:val="0"/>
          <w:sz w:val="32"/>
          <w:szCs w:val="32"/>
          <w:lang w:val="en-US" w:eastAsia="zh-CN"/>
        </w:rPr>
        <w:t>的</w:t>
      </w:r>
      <w:r>
        <w:rPr>
          <w:rFonts w:hint="eastAsia" w:ascii="仿宋_GB2312" w:hAnsi="宋体" w:eastAsia="仿宋_GB2312" w:cs="宋体"/>
          <w:color w:val="000000"/>
          <w:kern w:val="0"/>
          <w:sz w:val="32"/>
          <w:szCs w:val="32"/>
        </w:rPr>
        <w:t>影响力；</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宣传教育提高纪念馆多层次社会影响力，打造品牌公信力。为馆内重点社教活动提供网络宣传技术服务，逐步形成品牌形象。通过舆情监测对纪念馆网络宣传和社会反响起到监测作用，提出网络传播工作指导建议；</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文物管理系统正常运行，有利于文物长期有效的管理保护；</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学术研究持续提升民众对香山革命历史的认</w:t>
      </w:r>
      <w:r>
        <w:rPr>
          <w:rFonts w:hint="eastAsia" w:ascii="仿宋_GB2312" w:hAnsi="宋体" w:eastAsia="仿宋_GB2312" w:cs="宋体"/>
          <w:color w:val="000000"/>
          <w:kern w:val="0"/>
          <w:sz w:val="32"/>
          <w:szCs w:val="32"/>
          <w:lang w:val="en-US" w:eastAsia="zh-CN"/>
        </w:rPr>
        <w:t>知</w:t>
      </w:r>
      <w:r>
        <w:rPr>
          <w:rFonts w:hint="eastAsia" w:ascii="仿宋_GB2312" w:hAnsi="宋体" w:eastAsia="仿宋_GB2312" w:cs="宋体"/>
          <w:color w:val="000000"/>
          <w:kern w:val="0"/>
          <w:sz w:val="32"/>
          <w:szCs w:val="32"/>
        </w:rPr>
        <w:t>；涵养民众的爱国主义情怀。</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2.部门决策情况</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香山革命纪念馆通过馆务会决策，办公会、专题会研究，以提交议题、</w:t>
      </w:r>
      <w:r>
        <w:rPr>
          <w:rFonts w:hint="eastAsia" w:ascii="仿宋_GB2312" w:hAnsi="宋体" w:eastAsia="仿宋_GB2312" w:cs="宋体"/>
          <w:color w:val="000000"/>
          <w:kern w:val="0"/>
          <w:sz w:val="32"/>
          <w:szCs w:val="32"/>
          <w:lang w:val="en-US" w:eastAsia="zh-CN"/>
        </w:rPr>
        <w:t>讨论</w:t>
      </w:r>
      <w:r>
        <w:rPr>
          <w:rFonts w:hint="eastAsia" w:ascii="仿宋_GB2312" w:hAnsi="宋体" w:eastAsia="仿宋_GB2312" w:cs="宋体"/>
          <w:color w:val="000000"/>
          <w:kern w:val="0"/>
          <w:sz w:val="32"/>
          <w:szCs w:val="32"/>
        </w:rPr>
        <w:t>、集体议定、议定执行等方式对重大决策、重要干部管理、重大项目安排、大额度资金使用进行研究、决策。</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（1）主要决策内容</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主要包括：香山革命纪念馆全局性的重大工作部署、中长期发展规划；资产类采购、配置处置等；人才队伍建设和干部人事制度改革中的重要问题；香山革命纪念馆财政预算资金年度安排、年中调整和年终决算以及预算在执行中的重大变动事项；重大工程项目建设和资金投入、使用等。</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（2）决策依据</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依据市委宣传部、市财政</w:t>
      </w:r>
      <w:r>
        <w:rPr>
          <w:rFonts w:hint="eastAsia" w:ascii="仿宋_GB2312" w:hAnsi="宋体" w:eastAsia="仿宋_GB2312" w:cs="宋体"/>
          <w:color w:val="000000"/>
          <w:kern w:val="0"/>
          <w:sz w:val="32"/>
          <w:szCs w:val="32"/>
          <w:lang w:val="en-US" w:eastAsia="zh-CN"/>
        </w:rPr>
        <w:t>局</w:t>
      </w:r>
      <w:r>
        <w:rPr>
          <w:rFonts w:hint="eastAsia" w:ascii="仿宋_GB2312" w:hAnsi="宋体" w:eastAsia="仿宋_GB2312" w:cs="宋体"/>
          <w:color w:val="000000"/>
          <w:kern w:val="0"/>
          <w:sz w:val="32"/>
          <w:szCs w:val="32"/>
        </w:rPr>
        <w:t>的相关</w:t>
      </w:r>
      <w:r>
        <w:rPr>
          <w:rFonts w:hint="eastAsia" w:ascii="仿宋_GB2312" w:hAnsi="宋体" w:eastAsia="仿宋_GB2312" w:cs="宋体"/>
          <w:color w:val="000000"/>
          <w:kern w:val="0"/>
          <w:sz w:val="32"/>
          <w:szCs w:val="32"/>
          <w:lang w:val="en-US" w:eastAsia="zh-CN"/>
        </w:rPr>
        <w:t>法律、</w:t>
      </w:r>
      <w:r>
        <w:rPr>
          <w:rFonts w:hint="eastAsia" w:ascii="仿宋_GB2312" w:hAnsi="宋体" w:eastAsia="仿宋_GB2312" w:cs="宋体"/>
          <w:color w:val="000000"/>
          <w:kern w:val="0"/>
          <w:sz w:val="32"/>
          <w:szCs w:val="32"/>
        </w:rPr>
        <w:t>法规</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结合</w:t>
      </w:r>
      <w:r>
        <w:rPr>
          <w:rFonts w:hint="eastAsia" w:ascii="仿宋_GB2312" w:hAnsi="宋体" w:eastAsia="仿宋_GB2312" w:cs="宋体"/>
          <w:color w:val="000000"/>
          <w:kern w:val="0"/>
          <w:sz w:val="32"/>
          <w:szCs w:val="32"/>
        </w:rPr>
        <w:t>香山革命纪念馆内控制度</w:t>
      </w:r>
      <w:r>
        <w:rPr>
          <w:rFonts w:hint="eastAsia" w:ascii="仿宋_GB2312" w:hAnsi="宋体" w:eastAsia="仿宋_GB2312" w:cs="宋体"/>
          <w:color w:val="000000"/>
          <w:kern w:val="0"/>
          <w:sz w:val="32"/>
          <w:szCs w:val="32"/>
          <w:lang w:val="en-US" w:eastAsia="zh-CN"/>
        </w:rPr>
        <w:t>及各项工作制度</w:t>
      </w:r>
      <w:r>
        <w:rPr>
          <w:rFonts w:hint="eastAsia" w:ascii="仿宋_GB2312" w:hAnsi="宋体" w:eastAsia="仿宋_GB2312" w:cs="宋体"/>
          <w:color w:val="000000"/>
          <w:kern w:val="0"/>
          <w:sz w:val="32"/>
          <w:szCs w:val="32"/>
        </w:rPr>
        <w:t>进行决策。</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（3）主要措施</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一是健全规章制度，规范决策程序。认真落实馆务会、办公会、专题会等议事规则，规范领导班子及主要负责人的决策权限、决策程序、决策内容。</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排查廉政风险，落实防控措施。结合廉政风险防范管理工作要求，围绕馆务会决策“三重一大”事项，对照查找每个环节容易产生腐败行为的风险点，依据风险发生概率及损失程度确定风险等级，并针对决策、执行过程和监督、检查、考核等关键环节，绘制风险防控流程图，进一步健全“三重一大”事项的风险防控措施。</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三是公开权力运行，扩大民主范围。除依法应当保密的事项外，馆务会要对“三重一大”事项的决策、执行和风险防控情况，及时信息公开。</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是实施监督检查，严格责任追究。各部室和党支部按要求把领导班子决策“三重一大”事项的风险防控情况纳入组织生活会、述职述廉和党风廉政建设责任制检查的重要内容，按照“谁决策、谁负责”的原则，建立健全重大决策失误责任追究制度。</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pPr>
      <w:r>
        <w:rPr>
          <w:rFonts w:hint="eastAsia" w:ascii="仿宋_GB2312" w:hAnsi="宋体" w:eastAsia="仿宋_GB2312" w:cs="宋体"/>
          <w:color w:val="000000"/>
          <w:kern w:val="0"/>
          <w:sz w:val="32"/>
          <w:szCs w:val="32"/>
        </w:rPr>
        <w:t>3.目标与职责任务相匹配、目标设置较合理。</w:t>
      </w:r>
    </w:p>
    <w:p>
      <w:pPr>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预算数5806.74万元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3957.2</w:t>
      </w:r>
      <w:r>
        <w:rPr>
          <w:rFonts w:hint="eastAsia" w:ascii="仿宋_GB2312" w:hAnsi="宋体" w:eastAsia="仿宋_GB2312" w:cs="宋体"/>
          <w:color w:val="000000"/>
          <w:kern w:val="0"/>
          <w:sz w:val="32"/>
          <w:szCs w:val="32"/>
          <w:lang w:val="en-US" w:eastAsia="zh-CN"/>
        </w:rPr>
        <w:t>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项目支出预算数1849.4</w:t>
      </w:r>
      <w:r>
        <w:rPr>
          <w:rFonts w:hint="eastAsia" w:ascii="仿宋_GB2312" w:hAnsi="宋体" w:eastAsia="仿宋_GB2312" w:cs="宋体"/>
          <w:color w:val="000000"/>
          <w:kern w:val="0"/>
          <w:sz w:val="32"/>
          <w:szCs w:val="32"/>
          <w:lang w:val="en-US" w:eastAsia="zh-CN"/>
        </w:rPr>
        <w:t>5</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5619.43</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3835.74</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1783.69</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lang w:val="en-US" w:eastAsia="zh-CN"/>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96.77%</w:t>
      </w:r>
      <w:r>
        <w:rPr>
          <w:rFonts w:hint="eastAsia" w:ascii="仿宋_GB2312" w:hAnsi="宋体" w:eastAsia="仿宋_GB2312" w:cs="宋体"/>
          <w:color w:val="000000"/>
          <w:kern w:val="0"/>
          <w:sz w:val="32"/>
          <w:szCs w:val="32"/>
        </w:rPr>
        <w:t>。</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楷体_GB2312" w:eastAsia="楷体_GB2312"/>
          <w:sz w:val="32"/>
          <w:szCs w:val="32"/>
        </w:rPr>
      </w:pPr>
      <w:r>
        <w:rPr>
          <w:rFonts w:hint="eastAsia" w:ascii="楷体_GB2312" w:eastAsia="楷体_GB2312"/>
          <w:sz w:val="32"/>
          <w:szCs w:val="32"/>
        </w:rPr>
        <w:t>（一）产出完成情况分析</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lang w:val="en-US" w:eastAsia="zh-CN"/>
        </w:rPr>
        <w:t>举办</w:t>
      </w:r>
      <w:r>
        <w:rPr>
          <w:rFonts w:hint="eastAsia" w:ascii="仿宋_GB2312" w:hAnsi="宋体" w:eastAsia="仿宋_GB2312" w:cs="宋体"/>
          <w:color w:val="000000"/>
          <w:kern w:val="0"/>
          <w:sz w:val="32"/>
          <w:szCs w:val="32"/>
        </w:rPr>
        <w:t>展览陈列3场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2022年</w:t>
      </w:r>
      <w:r>
        <w:rPr>
          <w:rFonts w:hint="eastAsia" w:ascii="仿宋_GB2312" w:hAnsi="宋体" w:eastAsia="仿宋_GB2312" w:cs="宋体"/>
          <w:color w:val="000000"/>
          <w:kern w:val="0"/>
          <w:sz w:val="32"/>
          <w:szCs w:val="32"/>
          <w:lang w:val="en-US" w:eastAsia="zh-CN"/>
        </w:rPr>
        <w:t>共举办</w:t>
      </w:r>
      <w:r>
        <w:rPr>
          <w:rFonts w:hint="eastAsia" w:ascii="仿宋_GB2312" w:hAnsi="宋体" w:eastAsia="仿宋_GB2312" w:cs="宋体"/>
          <w:color w:val="000000"/>
          <w:kern w:val="0"/>
          <w:sz w:val="32"/>
          <w:szCs w:val="32"/>
        </w:rPr>
        <w:t>临时性展览</w:t>
      </w:r>
      <w:r>
        <w:rPr>
          <w:rFonts w:hint="eastAsia" w:ascii="仿宋_GB2312" w:hAnsi="宋体" w:eastAsia="仿宋_GB2312" w:cs="宋体"/>
          <w:color w:val="000000"/>
          <w:kern w:val="0"/>
          <w:sz w:val="32"/>
          <w:szCs w:val="32"/>
          <w:lang w:val="en-US" w:eastAsia="zh-CN"/>
        </w:rPr>
        <w:t>3场</w:t>
      </w:r>
      <w:r>
        <w:rPr>
          <w:rFonts w:hint="eastAsia" w:ascii="仿宋_GB2312" w:hAnsi="宋体" w:eastAsia="仿宋_GB2312" w:cs="宋体"/>
          <w:color w:val="000000"/>
          <w:kern w:val="0"/>
          <w:sz w:val="32"/>
          <w:szCs w:val="32"/>
        </w:rPr>
        <w:t>，分别为中共中央驻地联展、红色电波中的领袖风范北大红楼巡展和党旗国旗军旗诞生史料图片展。</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lang w:val="en-US" w:eastAsia="zh-CN"/>
        </w:rPr>
        <w:t>宣传教育讲座6场。举办香山革命纪念地历史文化系列讲座</w:t>
      </w:r>
      <w:r>
        <w:rPr>
          <w:rFonts w:hint="eastAsia" w:ascii="仿宋_GB2312" w:hAnsi="宋体" w:eastAsia="仿宋_GB2312" w:cs="宋体"/>
          <w:color w:val="000000"/>
          <w:kern w:val="0"/>
          <w:sz w:val="32"/>
          <w:szCs w:val="32"/>
        </w:rPr>
        <w:t>6场</w:t>
      </w:r>
      <w:r>
        <w:rPr>
          <w:rFonts w:hint="eastAsia" w:ascii="仿宋_GB2312" w:hAnsi="宋体" w:eastAsia="仿宋_GB2312" w:cs="宋体"/>
          <w:color w:val="000000"/>
          <w:kern w:val="0"/>
          <w:sz w:val="32"/>
          <w:szCs w:val="32"/>
          <w:lang w:eastAsia="zh-CN"/>
        </w:rPr>
        <w:t>。</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（3）学术研究举办理论研讨会1次</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2022年9月，举办了“第三届香山革命精神与历史文化理论研讨会”。</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（4）日常运行保障安全运行天数365天，</w:t>
      </w:r>
      <w:r>
        <w:rPr>
          <w:rFonts w:hint="eastAsia" w:ascii="仿宋_GB2312" w:hAnsi="宋体" w:eastAsia="仿宋_GB2312" w:cs="宋体"/>
          <w:color w:val="000000"/>
          <w:kern w:val="0"/>
          <w:sz w:val="32"/>
          <w:szCs w:val="32"/>
          <w:lang w:val="en-US" w:eastAsia="zh-CN"/>
        </w:rPr>
        <w:t>安全运行全年。</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（5）日常运行保障观众参观天数，做好服务保障大于300天，</w:t>
      </w:r>
      <w:r>
        <w:rPr>
          <w:rFonts w:hint="eastAsia" w:ascii="仿宋_GB2312" w:hAnsi="宋体" w:eastAsia="仿宋_GB2312" w:cs="宋体"/>
          <w:color w:val="000000"/>
          <w:kern w:val="0"/>
          <w:sz w:val="32"/>
          <w:szCs w:val="32"/>
          <w:lang w:val="en-US" w:eastAsia="zh-CN"/>
        </w:rPr>
        <w:t>受疫情影响实际开馆天数为296天。</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（6）学术研究出版刊物2种</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因出版内容涉及重大选题，已报中宣部审核，尚未完成出版。</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w:t>
      </w:r>
      <w:r>
        <w:rPr>
          <w:rFonts w:hint="eastAsia" w:ascii="仿宋_GB2312" w:hAnsi="宋体" w:eastAsia="仿宋_GB2312" w:cs="宋体"/>
          <w:color w:val="000000"/>
          <w:kern w:val="0"/>
          <w:sz w:val="32"/>
          <w:szCs w:val="32"/>
          <w:lang w:val="en-US" w:eastAsia="zh-CN"/>
        </w:rPr>
        <w:t>满意度指标大于等于85%。</w:t>
      </w:r>
      <w:r>
        <w:rPr>
          <w:rFonts w:hint="eastAsia" w:ascii="仿宋_GB2312" w:hAnsi="宋体" w:eastAsia="仿宋_GB2312" w:cs="宋体"/>
          <w:color w:val="000000"/>
          <w:kern w:val="0"/>
          <w:sz w:val="32"/>
          <w:szCs w:val="32"/>
        </w:rPr>
        <w:t>来馆参观人员意见反馈满意度大于85%</w:t>
      </w:r>
      <w:r>
        <w:rPr>
          <w:rFonts w:hint="eastAsia" w:ascii="仿宋_GB2312" w:hAnsi="宋体" w:eastAsia="仿宋_GB2312" w:cs="宋体"/>
          <w:color w:val="000000"/>
          <w:kern w:val="0"/>
          <w:sz w:val="32"/>
          <w:szCs w:val="32"/>
          <w:lang w:eastAsia="zh-CN"/>
        </w:rPr>
        <w:t>。</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lang w:val="en-US" w:eastAsia="zh-CN"/>
        </w:rPr>
        <w:t>信息化运维及保障良好。</w:t>
      </w:r>
      <w:r>
        <w:rPr>
          <w:rFonts w:hint="eastAsia" w:ascii="仿宋_GB2312" w:hAnsi="宋体" w:eastAsia="仿宋_GB2312" w:cs="宋体"/>
          <w:color w:val="000000"/>
          <w:kern w:val="0"/>
          <w:sz w:val="32"/>
          <w:szCs w:val="32"/>
        </w:rPr>
        <w:t>信息化运维及保障，信息化系统运行正常、互联网专线运行正常、等级</w:t>
      </w:r>
      <w:r>
        <w:rPr>
          <w:rFonts w:hint="eastAsia" w:ascii="仿宋_GB2312" w:hAnsi="宋体" w:eastAsia="仿宋_GB2312" w:cs="宋体"/>
          <w:color w:val="000000"/>
          <w:kern w:val="0"/>
          <w:sz w:val="32"/>
          <w:szCs w:val="32"/>
          <w:lang w:val="en-US" w:eastAsia="zh-CN"/>
        </w:rPr>
        <w:t>保护</w:t>
      </w:r>
      <w:r>
        <w:rPr>
          <w:rFonts w:hint="eastAsia" w:ascii="仿宋_GB2312" w:hAnsi="宋体" w:eastAsia="仿宋_GB2312" w:cs="宋体"/>
          <w:color w:val="000000"/>
          <w:kern w:val="0"/>
          <w:sz w:val="32"/>
          <w:szCs w:val="32"/>
        </w:rPr>
        <w:t>测评顺利完成</w:t>
      </w:r>
      <w:r>
        <w:rPr>
          <w:rFonts w:hint="eastAsia" w:ascii="仿宋_GB2312" w:hAnsi="宋体" w:eastAsia="仿宋_GB2312" w:cs="宋体"/>
          <w:color w:val="000000"/>
          <w:kern w:val="0"/>
          <w:sz w:val="32"/>
          <w:szCs w:val="32"/>
          <w:lang w:eastAsia="zh-CN"/>
        </w:rPr>
        <w:t>。</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lang w:val="en-US" w:eastAsia="zh-CN"/>
        </w:rPr>
        <w:t>文物复仿制水平优。</w:t>
      </w:r>
      <w:r>
        <w:rPr>
          <w:rFonts w:hint="eastAsia" w:ascii="仿宋_GB2312" w:hAnsi="宋体" w:eastAsia="仿宋_GB2312" w:cs="宋体"/>
          <w:color w:val="000000"/>
          <w:kern w:val="0"/>
          <w:sz w:val="32"/>
          <w:szCs w:val="32"/>
        </w:rPr>
        <w:t>文物管理复仿制成果符合行业标准，质量</w:t>
      </w:r>
      <w:r>
        <w:rPr>
          <w:rFonts w:hint="eastAsia" w:ascii="仿宋_GB2312" w:hAnsi="宋体" w:eastAsia="仿宋_GB2312" w:cs="宋体"/>
          <w:color w:val="000000"/>
          <w:kern w:val="0"/>
          <w:sz w:val="32"/>
          <w:szCs w:val="32"/>
          <w:lang w:val="en-US" w:eastAsia="zh-CN"/>
        </w:rPr>
        <w:t>为</w:t>
      </w:r>
      <w:r>
        <w:rPr>
          <w:rFonts w:hint="eastAsia" w:ascii="仿宋_GB2312" w:hAnsi="宋体" w:eastAsia="仿宋_GB2312" w:cs="宋体"/>
          <w:color w:val="000000"/>
          <w:kern w:val="0"/>
          <w:sz w:val="32"/>
          <w:szCs w:val="32"/>
        </w:rPr>
        <w:t>优</w:t>
      </w:r>
      <w:r>
        <w:rPr>
          <w:rFonts w:hint="eastAsia" w:ascii="仿宋_GB2312" w:hAnsi="宋体" w:eastAsia="仿宋_GB2312" w:cs="宋体"/>
          <w:color w:val="000000"/>
          <w:kern w:val="0"/>
          <w:sz w:val="32"/>
          <w:szCs w:val="32"/>
          <w:lang w:eastAsia="zh-CN"/>
        </w:rPr>
        <w:t>。</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（10）</w:t>
      </w:r>
      <w:r>
        <w:rPr>
          <w:rFonts w:hint="eastAsia" w:ascii="仿宋_GB2312" w:hAnsi="宋体" w:eastAsia="仿宋_GB2312" w:cs="宋体"/>
          <w:color w:val="000000"/>
          <w:kern w:val="0"/>
          <w:sz w:val="32"/>
          <w:szCs w:val="32"/>
          <w:lang w:val="en-US" w:eastAsia="zh-CN"/>
        </w:rPr>
        <w:t>学术研究</w:t>
      </w:r>
      <w:r>
        <w:rPr>
          <w:rFonts w:hint="eastAsia" w:ascii="仿宋_GB2312" w:hAnsi="宋体" w:eastAsia="仿宋_GB2312" w:cs="宋体"/>
          <w:color w:val="000000"/>
          <w:kern w:val="0"/>
          <w:sz w:val="32"/>
          <w:szCs w:val="32"/>
        </w:rPr>
        <w:t>效果</w:t>
      </w:r>
      <w:r>
        <w:rPr>
          <w:rFonts w:hint="eastAsia" w:ascii="仿宋_GB2312" w:hAnsi="宋体" w:eastAsia="仿宋_GB2312" w:cs="宋体"/>
          <w:color w:val="000000"/>
          <w:kern w:val="0"/>
          <w:sz w:val="32"/>
          <w:szCs w:val="32"/>
          <w:lang w:val="en-US" w:eastAsia="zh-CN"/>
        </w:rPr>
        <w:t>良好。</w:t>
      </w:r>
      <w:r>
        <w:rPr>
          <w:rFonts w:hint="eastAsia" w:ascii="仿宋_GB2312" w:hAnsi="宋体" w:eastAsia="仿宋_GB2312" w:cs="宋体"/>
          <w:color w:val="000000"/>
          <w:kern w:val="0"/>
          <w:sz w:val="32"/>
          <w:szCs w:val="32"/>
        </w:rPr>
        <w:t>学术研究确保各项活动的顺利举办</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为新中国成立主题片区建设打下良好基础。</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（11）日常运行保障党建工作按照“三会一课”要求，完成学习、教育、活动组织；人才队伍建设，按需求编制数量招聘工作人员。重大事项全部依法依规决策</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 xml:space="preserve">日常运行保障全年安全稳定，未发生重大事故，决策合法合规。 </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（12）宣传教育为社会各界提供讲解服务</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服务质量为优。2022年为多批次、不同人群提供了相关服务，获得赞誉，</w:t>
      </w:r>
      <w:r>
        <w:rPr>
          <w:rFonts w:hint="eastAsia" w:ascii="仿宋_GB2312" w:hAnsi="宋体" w:eastAsia="仿宋_GB2312" w:cs="宋体"/>
          <w:color w:val="000000"/>
          <w:kern w:val="0"/>
          <w:sz w:val="32"/>
          <w:szCs w:val="32"/>
        </w:rPr>
        <w:t>扩大了</w:t>
      </w:r>
      <w:r>
        <w:rPr>
          <w:rFonts w:hint="eastAsia" w:ascii="仿宋_GB2312" w:hAnsi="宋体" w:eastAsia="仿宋_GB2312" w:cs="宋体"/>
          <w:color w:val="000000"/>
          <w:kern w:val="0"/>
          <w:sz w:val="32"/>
          <w:szCs w:val="32"/>
          <w:lang w:val="en-US" w:eastAsia="zh-CN"/>
        </w:rPr>
        <w:t>香山革命纪念</w:t>
      </w:r>
      <w:r>
        <w:rPr>
          <w:rFonts w:hint="eastAsia" w:ascii="仿宋_GB2312" w:hAnsi="宋体" w:eastAsia="仿宋_GB2312" w:cs="宋体"/>
          <w:color w:val="000000"/>
          <w:kern w:val="0"/>
          <w:sz w:val="32"/>
          <w:szCs w:val="32"/>
        </w:rPr>
        <w:t>馆</w:t>
      </w:r>
      <w:r>
        <w:rPr>
          <w:rFonts w:hint="eastAsia" w:ascii="仿宋_GB2312" w:hAnsi="宋体" w:eastAsia="仿宋_GB2312" w:cs="宋体"/>
          <w:color w:val="000000"/>
          <w:kern w:val="0"/>
          <w:sz w:val="32"/>
          <w:szCs w:val="32"/>
          <w:lang w:val="en-US" w:eastAsia="zh-CN"/>
        </w:rPr>
        <w:t>的</w:t>
      </w:r>
      <w:r>
        <w:rPr>
          <w:rFonts w:hint="eastAsia" w:ascii="仿宋_GB2312" w:hAnsi="宋体" w:eastAsia="仿宋_GB2312" w:cs="宋体"/>
          <w:color w:val="000000"/>
          <w:kern w:val="0"/>
          <w:sz w:val="32"/>
          <w:szCs w:val="32"/>
        </w:rPr>
        <w:t>影响力；</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13）宣传教育提高纪念馆多层次社会影响力，打造品牌公信力。为馆内重点社教活动提供网络宣传技术服务，形成一定品牌形象。通过舆情监测对纪念馆网络宣传和社会反响起到监测作用，提出了网络传播工作指导建议，效果良好</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质量为优。2022年香山革命纪念馆通过云直播、微信公众号、抖音号等多渠道宣传，不断扩大香山革命纪念馆的影响力。通过在不同时间节点，打造多样活动的方式，不断推陈出新，使香山革命纪念馆保持新闻活跃度，舆情态势良好。</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（14）文物管理系统</w:t>
      </w:r>
      <w:r>
        <w:rPr>
          <w:rFonts w:hint="eastAsia" w:ascii="仿宋_GB2312" w:hAnsi="宋体" w:eastAsia="仿宋_GB2312" w:cs="宋体"/>
          <w:color w:val="000000"/>
          <w:kern w:val="0"/>
          <w:sz w:val="32"/>
          <w:szCs w:val="32"/>
          <w:lang w:val="en-US" w:eastAsia="zh-CN"/>
        </w:rPr>
        <w:t>质量良好</w:t>
      </w:r>
      <w:r>
        <w:rPr>
          <w:rFonts w:hint="eastAsia" w:ascii="仿宋_GB2312" w:hAnsi="宋体" w:eastAsia="仿宋_GB2312" w:cs="宋体"/>
          <w:color w:val="000000"/>
          <w:kern w:val="0"/>
          <w:sz w:val="32"/>
          <w:szCs w:val="32"/>
        </w:rPr>
        <w:t>，有利于文物长期有效的管理保护</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 xml:space="preserve">2022年文物管理工作取得良好成绩，征集文物1000余件（套），同时对于馆内文物档案进行了更新，并完善了文物台账。 </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pPr>
      <w:r>
        <w:rPr>
          <w:rFonts w:hint="eastAsia" w:ascii="仿宋_GB2312" w:hAnsi="宋体" w:eastAsia="仿宋_GB2312" w:cs="宋体"/>
          <w:color w:val="000000"/>
          <w:kern w:val="0"/>
          <w:sz w:val="32"/>
          <w:szCs w:val="32"/>
        </w:rPr>
        <w:t>（15）学术研究持续提升民众对香山革命历史的认识，效果良好。</w:t>
      </w:r>
      <w:r>
        <w:rPr>
          <w:rFonts w:hint="eastAsia" w:ascii="仿宋_GB2312" w:hAnsi="宋体" w:eastAsia="仿宋_GB2312" w:cs="宋体"/>
          <w:color w:val="000000"/>
          <w:kern w:val="0"/>
          <w:sz w:val="32"/>
          <w:szCs w:val="32"/>
          <w:lang w:val="en-US" w:eastAsia="zh-CN"/>
        </w:rPr>
        <w:t>2022年，香山革命纪念馆通过媒体宣传、组织活动、刊物出版、推出专题展览等形式，不断扩大宣传面，提升知名度，取得了良好的效果。</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pageBreakBefore w:val="0"/>
        <w:widowControl w:val="0"/>
        <w:kinsoku/>
        <w:wordWrap/>
        <w:overflowPunct/>
        <w:topLinePunct w:val="0"/>
        <w:autoSpaceDE/>
        <w:autoSpaceDN/>
        <w:bidi w:val="0"/>
        <w:adjustRightInd/>
        <w:snapToGrid w:val="0"/>
        <w:spacing w:line="560" w:lineRule="exact"/>
        <w:ind w:firstLine="640" w:firstLineChars="200"/>
        <w:jc w:val="left"/>
        <w:textAlignment w:val="auto"/>
      </w:pPr>
      <w:r>
        <w:rPr>
          <w:rFonts w:hint="eastAsia" w:ascii="仿宋_GB2312" w:hAnsi="仿宋" w:eastAsia="仿宋_GB2312"/>
          <w:sz w:val="32"/>
          <w:szCs w:val="32"/>
        </w:rPr>
        <w:t>2022年香山革命纪念馆基本完成了年初设定的各项绩效目标。按照计划于1月初推出了“百川归海 人民至上”专题展览，</w:t>
      </w:r>
      <w:r>
        <w:rPr>
          <w:rFonts w:hint="eastAsia" w:ascii="仿宋_GB2312" w:hAnsi="仿宋" w:eastAsia="仿宋_GB2312"/>
          <w:sz w:val="32"/>
          <w:szCs w:val="32"/>
          <w:lang w:val="en-US" w:eastAsia="zh-CN"/>
        </w:rPr>
        <w:t>9月</w:t>
      </w:r>
      <w:r>
        <w:rPr>
          <w:rFonts w:hint="eastAsia" w:ascii="仿宋_GB2312" w:hAnsi="仿宋" w:eastAsia="仿宋_GB2312"/>
          <w:sz w:val="32"/>
          <w:szCs w:val="32"/>
        </w:rPr>
        <w:t>成功举办了“第三届香山革命精神与历史文化研讨会”，</w:t>
      </w:r>
      <w:r>
        <w:rPr>
          <w:rFonts w:hint="eastAsia" w:ascii="仿宋_GB2312" w:hAnsi="仿宋" w:eastAsia="仿宋_GB2312"/>
          <w:sz w:val="32"/>
          <w:szCs w:val="32"/>
          <w:lang w:val="en-US" w:eastAsia="zh-CN"/>
        </w:rPr>
        <w:t>全年</w:t>
      </w:r>
      <w:r>
        <w:rPr>
          <w:rFonts w:hint="eastAsia" w:ascii="仿宋_GB2312" w:hAnsi="仿宋" w:eastAsia="仿宋_GB2312"/>
          <w:sz w:val="32"/>
          <w:szCs w:val="32"/>
        </w:rPr>
        <w:t>征集到了1000余件（套）的文物史料，这些都为建设好“三个基地”，不断提升“三个水平”打下</w:t>
      </w:r>
      <w:r>
        <w:rPr>
          <w:rFonts w:hint="eastAsia" w:ascii="仿宋_GB2312" w:hAnsi="仿宋" w:eastAsia="仿宋_GB2312"/>
          <w:sz w:val="32"/>
          <w:szCs w:val="32"/>
          <w:lang w:val="en-US" w:eastAsia="zh-CN"/>
        </w:rPr>
        <w:t>了</w:t>
      </w:r>
      <w:r>
        <w:rPr>
          <w:rFonts w:hint="eastAsia" w:ascii="仿宋_GB2312" w:hAnsi="仿宋" w:eastAsia="仿宋_GB2312"/>
          <w:sz w:val="32"/>
          <w:szCs w:val="32"/>
        </w:rPr>
        <w:t>基础。</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pageBreakBefore w:val="0"/>
        <w:widowControl w:val="0"/>
        <w:kinsoku/>
        <w:wordWrap/>
        <w:overflowPunct/>
        <w:topLinePunct w:val="0"/>
        <w:autoSpaceDE/>
        <w:autoSpaceDN/>
        <w:bidi w:val="0"/>
        <w:adjustRightInd/>
        <w:spacing w:line="560" w:lineRule="exact"/>
        <w:ind w:left="105" w:leftChars="50" w:firstLine="315" w:firstLineChars="150"/>
        <w:jc w:val="left"/>
        <w:textAlignment w:val="auto"/>
      </w:pPr>
      <w:r>
        <w:rPr>
          <w:rFonts w:hint="eastAsia"/>
        </w:rPr>
        <w:t xml:space="preserve"> </w:t>
      </w:r>
      <w:r>
        <w:rPr>
          <w:rFonts w:hint="eastAsia" w:ascii="仿宋_GB2312" w:hAnsi="仿宋" w:eastAsia="仿宋_GB2312"/>
          <w:sz w:val="32"/>
          <w:szCs w:val="32"/>
        </w:rPr>
        <w:t>2022年香山革命纪念馆各项工作均按计划时间节点完成。</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hint="eastAsia"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仿宋" w:eastAsia="仿宋_GB2312"/>
          <w:sz w:val="32"/>
          <w:szCs w:val="32"/>
        </w:rPr>
        <w:t>2022年香山革命纪念馆受到疫情影响，有部分时间未开放，按照厉行节约的相关要求，关闭了部分照明区域，节约</w:t>
      </w:r>
      <w:r>
        <w:rPr>
          <w:rFonts w:hint="eastAsia" w:ascii="仿宋_GB2312" w:hAnsi="仿宋" w:eastAsia="仿宋_GB2312"/>
          <w:sz w:val="32"/>
          <w:szCs w:val="32"/>
          <w:lang w:val="en-US" w:eastAsia="zh-CN"/>
        </w:rPr>
        <w:t>了水电支出</w:t>
      </w:r>
      <w:r>
        <w:rPr>
          <w:rFonts w:hint="eastAsia" w:ascii="仿宋_GB2312" w:hAnsi="仿宋" w:eastAsia="仿宋_GB2312"/>
          <w:sz w:val="32"/>
          <w:szCs w:val="32"/>
        </w:rPr>
        <w:t>。基本支出-公用经费部分有一定的结余。</w:t>
      </w:r>
      <w:r>
        <w:rPr>
          <w:rFonts w:hint="eastAsia" w:ascii="仿宋_GB2312" w:hAnsi="宋体" w:eastAsia="仿宋_GB2312" w:cs="宋体"/>
          <w:color w:val="000000"/>
          <w:kern w:val="0"/>
          <w:sz w:val="32"/>
          <w:szCs w:val="32"/>
        </w:rPr>
        <w:t xml:space="preserve">                                   </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pageBreakBefore w:val="0"/>
        <w:widowControl w:val="0"/>
        <w:kinsoku/>
        <w:wordWrap/>
        <w:overflowPunct/>
        <w:topLinePunct w:val="0"/>
        <w:autoSpaceDE/>
        <w:autoSpaceDN/>
        <w:bidi w:val="0"/>
        <w:adjustRightInd/>
        <w:snapToGri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pStyle w:val="3"/>
        <w:keepNext/>
        <w:keepLines/>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香山革命纪念馆能够按照相关规定规范使用资金，不断提高资金的使用效益，预算执行完成度较好，按照厉行节约的原则，有一定资金结余。</w:t>
      </w:r>
    </w:p>
    <w:p>
      <w:pPr>
        <w:pStyle w:val="3"/>
        <w:keepNext/>
        <w:keepLines/>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2.社会效益</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left="17" w:leftChars="8" w:firstLine="617" w:firstLineChars="193"/>
        <w:jc w:val="left"/>
        <w:textAlignment w:val="auto"/>
        <w:outlineLvl w:val="9"/>
      </w:pPr>
      <w:r>
        <w:rPr>
          <w:rFonts w:hint="eastAsia" w:ascii="仿宋_GB2312" w:hAnsi="仿宋" w:eastAsia="仿宋_GB2312"/>
          <w:sz w:val="32"/>
          <w:szCs w:val="32"/>
        </w:rPr>
        <w:t>2022年香山革命纪念馆</w:t>
      </w:r>
      <w:r>
        <w:rPr>
          <w:rFonts w:hint="eastAsia" w:ascii="仿宋_GB2312" w:eastAsia="仿宋_GB2312"/>
          <w:color w:val="000000"/>
          <w:sz w:val="32"/>
          <w:szCs w:val="32"/>
        </w:rPr>
        <w:t>以习近平新时代中国特色社会主义思想为指导，学习宣传贯彻党的二十大精神，贯彻落实习近平总书记视察香山革命纪念地重要讲话精神</w:t>
      </w:r>
      <w:r>
        <w:rPr>
          <w:rFonts w:hint="eastAsia" w:ascii="仿宋_GB2312" w:hAnsi="仿宋_GB2312" w:eastAsia="仿宋_GB2312" w:cs="仿宋_GB2312"/>
          <w:color w:val="000000"/>
          <w:sz w:val="32"/>
          <w:szCs w:val="32"/>
        </w:rPr>
        <w:t>，</w:t>
      </w:r>
      <w:r>
        <w:rPr>
          <w:rFonts w:hint="eastAsia" w:ascii="仿宋_GB2312" w:hAnsi="仿宋" w:eastAsia="仿宋_GB2312"/>
          <w:color w:val="000000"/>
          <w:sz w:val="32"/>
          <w:szCs w:val="32"/>
        </w:rPr>
        <w:t>在市委宣传部坚强领导下，</w:t>
      </w:r>
      <w:r>
        <w:rPr>
          <w:rFonts w:hint="eastAsia" w:ascii="仿宋_GB2312" w:hAnsi="仿宋_GB2312" w:eastAsia="仿宋_GB2312" w:cs="仿宋_GB2312"/>
          <w:color w:val="000000"/>
          <w:sz w:val="32"/>
          <w:szCs w:val="32"/>
        </w:rPr>
        <w:t>着力推进</w:t>
      </w:r>
      <w:r>
        <w:rPr>
          <w:rFonts w:hint="eastAsia" w:ascii="仿宋_GB2312" w:hAnsi="黑体" w:eastAsia="仿宋_GB2312"/>
          <w:color w:val="000000"/>
          <w:sz w:val="32"/>
          <w:szCs w:val="32"/>
        </w:rPr>
        <w:t>新中国</w:t>
      </w:r>
      <w:r>
        <w:rPr>
          <w:rFonts w:hint="eastAsia" w:ascii="仿宋_GB2312" w:hAnsi="黑体" w:eastAsia="仿宋_GB2312"/>
          <w:color w:val="000000"/>
          <w:sz w:val="32"/>
          <w:szCs w:val="32"/>
          <w:lang w:val="en-US" w:eastAsia="zh-CN"/>
        </w:rPr>
        <w:t>成立</w:t>
      </w:r>
      <w:r>
        <w:rPr>
          <w:rFonts w:hint="eastAsia" w:ascii="仿宋_GB2312" w:hAnsi="黑体" w:eastAsia="仿宋_GB2312"/>
          <w:color w:val="000000"/>
          <w:sz w:val="32"/>
          <w:szCs w:val="32"/>
        </w:rPr>
        <w:t>主题片区建设</w:t>
      </w:r>
      <w:r>
        <w:rPr>
          <w:rFonts w:hint="eastAsia" w:ascii="仿宋_GB2312" w:hAnsi="仿宋" w:eastAsia="仿宋_GB2312" w:cs="宋体"/>
          <w:color w:val="000000"/>
          <w:spacing w:val="4"/>
          <w:kern w:val="0"/>
          <w:sz w:val="32"/>
          <w:szCs w:val="32"/>
        </w:rPr>
        <w:t>，</w:t>
      </w:r>
      <w:r>
        <w:rPr>
          <w:rFonts w:hint="eastAsia" w:ascii="仿宋_GB2312" w:hAnsi="仿宋" w:eastAsia="仿宋_GB2312"/>
          <w:color w:val="000000"/>
          <w:sz w:val="32"/>
          <w:szCs w:val="32"/>
        </w:rPr>
        <w:t>重点狠抓管理</w:t>
      </w:r>
      <w:r>
        <w:rPr>
          <w:rFonts w:hint="eastAsia" w:ascii="仿宋_GB2312" w:eastAsia="仿宋_GB2312"/>
          <w:color w:val="000000"/>
          <w:sz w:val="32"/>
          <w:szCs w:val="32"/>
        </w:rPr>
        <w:t>规范化、制度化建设，取得了优异的成绩</w:t>
      </w:r>
      <w:r>
        <w:rPr>
          <w:rFonts w:hint="eastAsia" w:ascii="仿宋_GB2312" w:hAnsi="仿宋" w:eastAsia="仿宋_GB2312"/>
          <w:sz w:val="32"/>
          <w:szCs w:val="32"/>
        </w:rPr>
        <w:t>。基本陈列</w:t>
      </w:r>
      <w:r>
        <w:rPr>
          <w:rFonts w:hint="eastAsia" w:ascii="仿宋_GB2312" w:eastAsia="仿宋_GB2312"/>
          <w:color w:val="000000"/>
          <w:sz w:val="32"/>
          <w:szCs w:val="32"/>
        </w:rPr>
        <w:t>《为新中国奠基——中共中央在香山》，以及陆续推出的《</w:t>
      </w:r>
      <w:r>
        <w:rPr>
          <w:rFonts w:hint="eastAsia" w:ascii="仿宋_GB2312" w:hAnsi="仿宋_GB2312" w:eastAsia="仿宋_GB2312" w:cs="仿宋_GB2312"/>
          <w:color w:val="000000"/>
          <w:sz w:val="32"/>
          <w:szCs w:val="32"/>
        </w:rPr>
        <w:t>红色电波中的领袖风范——毛泽东同志香山时期发布电报手稿</w:t>
      </w:r>
      <w:r>
        <w:rPr>
          <w:rFonts w:hint="eastAsia" w:ascii="仿宋_GB2312" w:hAnsi="仿宋_GB2312" w:eastAsia="仿宋_GB2312" w:cs="仿宋_GB2312"/>
          <w:color w:val="000000"/>
          <w:sz w:val="32"/>
          <w:szCs w:val="32"/>
          <w:lang w:val="en-US" w:eastAsia="zh-CN"/>
        </w:rPr>
        <w:t>专题展览</w:t>
      </w:r>
      <w:r>
        <w:rPr>
          <w:rFonts w:hint="eastAsia" w:ascii="仿宋_GB2312" w:eastAsia="仿宋_GB2312"/>
          <w:color w:val="000000"/>
          <w:sz w:val="32"/>
          <w:szCs w:val="32"/>
        </w:rPr>
        <w:t>》和《</w:t>
      </w:r>
      <w:r>
        <w:rPr>
          <w:rFonts w:hint="eastAsia" w:ascii="仿宋_GB2312" w:hAnsi="仿宋_GB2312" w:eastAsia="仿宋_GB2312" w:cs="仿宋_GB2312"/>
          <w:color w:val="000000"/>
          <w:sz w:val="32"/>
          <w:szCs w:val="32"/>
        </w:rPr>
        <w:t>百川归海 人民至上——香山时期中国共产党领导的协商建国实践专题展览</w:t>
      </w:r>
      <w:r>
        <w:rPr>
          <w:rFonts w:hint="eastAsia" w:ascii="仿宋_GB2312" w:eastAsia="仿宋_GB2312"/>
          <w:color w:val="000000"/>
          <w:sz w:val="32"/>
          <w:szCs w:val="32"/>
        </w:rPr>
        <w:t>》均获评全国范围优秀奖项。</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.可持续</w:t>
      </w:r>
      <w:r>
        <w:rPr>
          <w:rFonts w:ascii="仿宋_GB2312" w:hAnsi="宋体" w:eastAsia="仿宋_GB2312" w:cs="宋体"/>
          <w:color w:val="000000"/>
          <w:kern w:val="0"/>
          <w:sz w:val="32"/>
          <w:szCs w:val="32"/>
        </w:rPr>
        <w:t>性影响</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pPr>
      <w:r>
        <w:rPr>
          <w:rFonts w:hint="eastAsia" w:ascii="仿宋_GB2312" w:hAnsi="仿宋_GB2312" w:eastAsia="仿宋_GB2312" w:cs="仿宋_GB2312"/>
          <w:color w:val="000000"/>
          <w:sz w:val="32"/>
          <w:szCs w:val="32"/>
          <w:lang w:val="en-US" w:eastAsia="zh-CN"/>
        </w:rPr>
        <w:t>香山革命纪念馆</w:t>
      </w:r>
      <w:r>
        <w:rPr>
          <w:rFonts w:hint="eastAsia" w:ascii="仿宋_GB2312" w:hAnsi="仿宋_GB2312" w:eastAsia="仿宋_GB2312" w:cs="仿宋_GB2312"/>
          <w:color w:val="000000"/>
          <w:sz w:val="32"/>
          <w:szCs w:val="32"/>
        </w:rPr>
        <w:t>开放以来，纪念地累计接待社会各界参观团体及观众超670万人次；全网总阅读量超3675万人次；全年工作开局良好，不断提升“三个水平”，建设“三个基地”。</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pPr>
      <w:r>
        <w:rPr>
          <w:rFonts w:hint="eastAsia" w:ascii="仿宋_GB2312" w:hAnsi="仿宋_GB2312" w:eastAsia="仿宋_GB2312" w:cs="仿宋_GB2312"/>
          <w:color w:val="000000"/>
          <w:sz w:val="32"/>
          <w:szCs w:val="32"/>
        </w:rPr>
        <w:t>2022年度共设定部门绩效指标15个，15个绩效指标均得到执行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highlight w:val="none"/>
          <w:lang w:val="en-US" w:eastAsia="zh-CN"/>
        </w:rPr>
        <w:t>但个别项目内容受到疫情、政策等因素影响未能按计划时间实施</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rPr>
        <w:t>服务对象满意度大于85%，达到</w:t>
      </w:r>
      <w:r>
        <w:rPr>
          <w:rFonts w:hint="eastAsia" w:ascii="仿宋_GB2312" w:hAnsi="仿宋_GB2312" w:eastAsia="仿宋_GB2312" w:cs="仿宋_GB2312"/>
          <w:color w:val="000000"/>
          <w:sz w:val="32"/>
          <w:szCs w:val="32"/>
          <w:lang w:val="en-US" w:eastAsia="zh-CN"/>
        </w:rPr>
        <w:t>了</w:t>
      </w:r>
      <w:r>
        <w:rPr>
          <w:rFonts w:hint="eastAsia" w:ascii="仿宋_GB2312" w:hAnsi="仿宋_GB2312" w:eastAsia="仿宋_GB2312" w:cs="仿宋_GB2312"/>
          <w:color w:val="000000"/>
          <w:sz w:val="32"/>
          <w:szCs w:val="32"/>
        </w:rPr>
        <w:t>绩效目标要求。</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楷体_GB2312" w:eastAsia="楷体_GB2312"/>
          <w:sz w:val="32"/>
          <w:szCs w:val="32"/>
        </w:rPr>
      </w:pPr>
      <w:r>
        <w:rPr>
          <w:rFonts w:hint="eastAsia" w:ascii="楷体_GB2312" w:eastAsia="楷体_GB2312"/>
          <w:sz w:val="32"/>
          <w:szCs w:val="32"/>
        </w:rPr>
        <w:t>（一）财务管理</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根据《中华人民共和国预算法》《行政事业单位内部控制规范（试行）》《北京市市级基本支出预算管理办法》《北京市市级项目支出预算管理办法》等有关法律法规，制定了《香山革命纪念馆财务管理制度》</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香山革命纪念馆资金使用管理办法</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等</w:t>
      </w:r>
      <w:r>
        <w:rPr>
          <w:rFonts w:hint="eastAsia" w:ascii="仿宋_GB2312" w:hAnsi="宋体" w:eastAsia="仿宋_GB2312" w:cs="宋体"/>
          <w:color w:val="000000"/>
          <w:kern w:val="0"/>
          <w:sz w:val="32"/>
          <w:szCs w:val="32"/>
        </w:rPr>
        <w:t>。收支业务是香山革命纪念馆内部控制的重点，其目标包括：</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（1）各项收入符合国家法律法规的规定，确保应收尽收，应上缴的及时足额上缴到指定账户，没有账外账和“小金库”；</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（2）票据、印章和资金等保管合理合规，防止产生错误或舞弊；</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（3）各项支出符合规定的程序和规范，审批手续完备，支出真实合理，支出的效率和效果良好；</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rPr>
      </w:pPr>
      <w:r>
        <w:rPr>
          <w:rFonts w:hint="eastAsia" w:ascii="仿宋_GB2312" w:hAnsi="宋体" w:eastAsia="仿宋_GB2312" w:cs="宋体"/>
          <w:color w:val="000000"/>
          <w:kern w:val="0"/>
          <w:sz w:val="32"/>
          <w:szCs w:val="32"/>
        </w:rPr>
        <w:t>（4）各项收支均得到正确核算，相关财务信息真实完整。</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部门预算经市人大批准后，市财政局按照规定程序批复预算。香山革命纪念馆对按照法定程序批复的项目预算在单位内部进行指标分解、审批下达，细化实施方案和资金支付计划，压实项目管理责任，确保预算严格有效执行；认真遵守政府采购、资产管理、合同管理、绩效管理等财务管理相关规定。</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推行全过程绩效预算管理，建立健全绩效评价结果与资金预算安排和政策调整挂钩机制。对绩效好的政策和项目优先保障，对绩效一般的项目督促改进，对交叉重复、碎片化的政策和项目予以调整，对低效无效的政策和项目调减预算或暂缓安排。对长期沉淀的财政资金一律收回并按照有关规定统筹用于急需支持的领域。</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pPr>
      <w:r>
        <w:rPr>
          <w:rFonts w:hint="eastAsia" w:ascii="仿宋_GB2312" w:hAnsi="宋体" w:eastAsia="仿宋_GB2312" w:cs="宋体"/>
          <w:color w:val="000000"/>
          <w:kern w:val="0"/>
          <w:sz w:val="32"/>
          <w:szCs w:val="32"/>
        </w:rPr>
        <w:t>香山革命纪念馆</w:t>
      </w:r>
      <w:r>
        <w:rPr>
          <w:rFonts w:hint="eastAsia" w:ascii="仿宋_GB2312" w:hAnsi="宋体" w:eastAsia="仿宋_GB2312" w:cs="宋体"/>
          <w:color w:val="000000"/>
          <w:kern w:val="0"/>
          <w:sz w:val="32"/>
          <w:szCs w:val="32"/>
          <w:lang w:val="en-US" w:eastAsia="zh-CN"/>
        </w:rPr>
        <w:t>根据前期制定的</w:t>
      </w:r>
      <w:r>
        <w:rPr>
          <w:rFonts w:hint="eastAsia" w:ascii="仿宋_GB2312" w:hAnsi="宋体" w:eastAsia="仿宋_GB2312" w:cs="宋体"/>
          <w:color w:val="000000"/>
          <w:kern w:val="0"/>
          <w:sz w:val="32"/>
          <w:szCs w:val="32"/>
        </w:rPr>
        <w:t>《香山革命纪念馆议事规则》《香山革命纪念馆财务管理制度》《香山革命纪念馆固定资产管理办法》等各项内部控制制度</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整合</w:t>
      </w:r>
      <w:r>
        <w:rPr>
          <w:rFonts w:hint="eastAsia" w:ascii="仿宋_GB2312" w:hAnsi="宋体" w:eastAsia="仿宋_GB2312" w:cs="宋体"/>
          <w:color w:val="000000"/>
          <w:kern w:val="0"/>
          <w:sz w:val="32"/>
          <w:szCs w:val="32"/>
        </w:rPr>
        <w:t>制定了《香山革命纪念馆内部控制手册（草案）》。</w:t>
      </w:r>
      <w:r>
        <w:rPr>
          <w:rFonts w:hint="eastAsia" w:ascii="仿宋_GB2312" w:hAnsi="宋体" w:eastAsia="仿宋_GB2312" w:cs="宋体"/>
          <w:color w:val="000000"/>
          <w:kern w:val="0"/>
          <w:sz w:val="32"/>
          <w:szCs w:val="32"/>
          <w:lang w:val="en-US" w:eastAsia="zh-CN"/>
        </w:rPr>
        <w:t>内部控制</w:t>
      </w:r>
      <w:r>
        <w:rPr>
          <w:rFonts w:hint="eastAsia" w:ascii="仿宋_GB2312" w:hAnsi="宋体" w:eastAsia="仿宋_GB2312" w:cs="宋体"/>
          <w:color w:val="000000"/>
          <w:kern w:val="0"/>
          <w:sz w:val="32"/>
          <w:szCs w:val="32"/>
        </w:rPr>
        <w:t>得到了有效执行，把风险降到最低，同时确保预算执行更加顺畅、监督体系更加完善，使各项开支合规、合法。</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pPr>
      <w:r>
        <w:rPr>
          <w:rFonts w:hint="eastAsia" w:ascii="仿宋_GB2312" w:hAnsi="宋体" w:eastAsia="仿宋_GB2312" w:cs="宋体"/>
          <w:color w:val="000000"/>
          <w:kern w:val="0"/>
          <w:sz w:val="32"/>
          <w:szCs w:val="32"/>
        </w:rPr>
        <w:t>财务后勤部主要负责提供信息公开所需要的数据及说明。由预算岗填列预算相关数据，会计岗填报决算相关数据，并编写说明。根据信息公开要求，在门户网站进行公开。</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hint="eastAsia" w:ascii="楷体_GB2312" w:eastAsia="楷体_GB2312"/>
          <w:sz w:val="32"/>
          <w:szCs w:val="32"/>
        </w:rPr>
      </w:pPr>
      <w:r>
        <w:rPr>
          <w:rFonts w:hint="eastAsia" w:ascii="楷体_GB2312" w:eastAsia="楷体_GB2312"/>
          <w:sz w:val="32"/>
          <w:szCs w:val="32"/>
        </w:rPr>
        <w:t>（二）资产管理</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截至2022年末，香山革命纪念馆资产总额69082.318832 万元，其中：货币资金1968.970373 万元、财政应返还额度667.581445 万元。</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固定资产原值年初数为58692.164019万元，年末数为 69054.323750万元，增加10362.159731万元，主要是建馆初期由其他代建单位完成竣工决算后，进行了资产划拨，原值增加较大。同时本年有新购置固定资产入账。在建工程年初数为168.145115万元，年末数为32.246965万元，减少135.89815万元，本年内将已完工的展览展示工程进行了决算审计，调减在建工程余额。</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pPr>
      <w:r>
        <w:rPr>
          <w:rFonts w:hint="eastAsia" w:ascii="仿宋_GB2312" w:hAnsi="宋体" w:eastAsia="仿宋_GB2312" w:cs="宋体"/>
          <w:color w:val="000000"/>
          <w:kern w:val="0"/>
          <w:sz w:val="32"/>
          <w:szCs w:val="32"/>
        </w:rPr>
        <w:t>香山革命纪念馆制定了《香山革命纪念馆财务管理制度》《香山革命纪念馆资金支付管理办法》《香山革命纪念馆固定资产管理办法》等，明确了安全物业部等相关部室对固定资产管理职责。</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香山革命纪念馆根据《中华人民共和国预算法》《北京市预算绩效管理办法（试行）》等有关法律、法规、规定，结合香山革命纪念馆实际，制定了符合纪念馆的部门绩效管理流程。</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各部门职责：1</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财务后勤部是绩效管理的牵头部门，审核各预算部门提交的绩效目标，配合市财政局开展事前绩效评估工作；组织预算执行绩效跟踪，并按规定及时将执行中存在的问题和整改措施报市财政局；组织开展绩效自评工作，并配合市财政局开展财政评价和再评价工作。2</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相关部室根据年度工作计划和部门职责，编制年度预算，同时制定清晰、量化的绩效目标，加强项目论证和审核；执行过程中严格按预期的绩效目标组织项目实施；提供绩效评价所需要的相关资料及撰写项目自评报告；根据评价结果查找资金使用和管理中的薄弱环节，制定整改措施，改善绩效管理工作。</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市财政局绩效全过程跟踪管理的相关要求，财务后勤部及时统计预算执行中有关的绩效数据，按要求编制年度预算运行报告，向市财政局上报部门和项目绩效完成进度情况。当预算执行绩效与绩效目标发生偏离时，要及时向市财政局报告，并采取矫正措施。</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香山革命纪念馆所有项目在预算编制过程中均填报绩效目标申报表，明确项目总目标，以便进行绩效跟踪、绩效管理，在年度终结后均填报绩效自评表，进行绩效评价，形成闭环管理，指导预算工作，真正提高资金使用效率和效益。</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年度预算执行完毕，由财务后勤部牵头组织绩效评价工作，必要时可聘请有资质的第三方中介协助参与绩效自评工作。依据绩效目标，按照统一的评价标准和原则，对预算支出效果和管理情况进行客观公正的衡量比较和综合评价。</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部门主要的项目包含：运行保障类项目、事业发展类项目。</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运行保障类项目：主要是为了保障香山革命纪念馆正常、有序、高效运转的项目。包括内控服务项目、法律服务项目、智能化信息建设类项目等。此类项目的设置，主要运用专业第三方的力量，使纪念馆运行得到有效的保障。</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事业发展类项目：以香山革命纪念馆的宣传教育</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学术研究、展览展示等</w:t>
      </w:r>
      <w:r>
        <w:rPr>
          <w:rFonts w:hint="eastAsia" w:ascii="仿宋_GB2312" w:hAnsi="宋体" w:eastAsia="仿宋_GB2312" w:cs="宋体"/>
          <w:color w:val="000000"/>
          <w:kern w:val="0"/>
          <w:sz w:val="32"/>
          <w:szCs w:val="32"/>
        </w:rPr>
        <w:t>职能为主要目标，围绕该目标以临时性展览、对外宣讲、刊物出版、文化讲座等多种形式开展活动。同时，以深入研究历史为目标，开展文物征集、历史资料收集、理论研讨会等多种活动。</w:t>
      </w:r>
    </w:p>
    <w:p>
      <w:pPr>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香山革命纪念馆在2022年实施了2021年香山革命纪念馆整体绩效考评及2021年分项目绩效考评。</w:t>
      </w:r>
    </w:p>
    <w:p>
      <w:pPr>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在部门整体绩效考评中，香山革命纪念馆完成了年初设定的绩效目标，取得了较好的效果，经专家综合评定为“良好”。</w:t>
      </w:r>
    </w:p>
    <w:p>
      <w:pPr>
        <w:pageBreakBefore w:val="0"/>
        <w:widowControl w:val="0"/>
        <w:kinsoku/>
        <w:wordWrap/>
        <w:overflowPunct/>
        <w:topLinePunct w:val="0"/>
        <w:autoSpaceDE/>
        <w:autoSpaceDN/>
        <w:bidi w:val="0"/>
        <w:adjustRightInd/>
        <w:snapToGrid w:val="0"/>
        <w:spacing w:line="560" w:lineRule="exact"/>
        <w:ind w:firstLine="640" w:firstLineChars="200"/>
        <w:jc w:val="left"/>
        <w:textAlignment w:val="auto"/>
      </w:pPr>
      <w:r>
        <w:rPr>
          <w:rFonts w:hint="eastAsia" w:ascii="仿宋_GB2312" w:hAnsi="仿宋" w:eastAsia="仿宋_GB2312"/>
          <w:sz w:val="32"/>
          <w:szCs w:val="32"/>
        </w:rPr>
        <w:t>在分项目绩效考评中，2022年，香山革命纪念馆对2021年度部门项目支出实施了绩效评价，评价项目20个，占部门项目总数的95.24%，涉及金额1832.06万元</w:t>
      </w:r>
      <w:r>
        <w:rPr>
          <w:rFonts w:hint="eastAsia" w:ascii="仿宋_GB2312" w:hAnsi="仿宋" w:eastAsia="仿宋_GB2312"/>
          <w:sz w:val="32"/>
          <w:szCs w:val="32"/>
          <w:lang w:eastAsia="zh-CN"/>
        </w:rPr>
        <w:t>，</w:t>
      </w:r>
      <w:r>
        <w:rPr>
          <w:rFonts w:hint="eastAsia" w:ascii="仿宋_GB2312" w:hAnsi="仿宋" w:eastAsia="仿宋_GB2312"/>
          <w:sz w:val="32"/>
          <w:szCs w:val="32"/>
        </w:rPr>
        <w:t>有2个项目采用一般程序评价，18个项目采取简易自评。其中，部门评价项目2个，</w:t>
      </w:r>
      <w:r>
        <w:rPr>
          <w:rFonts w:hint="eastAsia" w:ascii="仿宋_GB2312" w:hAnsi="仿宋" w:eastAsia="仿宋_GB2312"/>
          <w:sz w:val="32"/>
          <w:szCs w:val="32"/>
          <w:lang w:val="en-US" w:eastAsia="zh-CN"/>
        </w:rPr>
        <w:t>采用一般评价程序，</w:t>
      </w:r>
      <w:r>
        <w:rPr>
          <w:rFonts w:hint="eastAsia" w:ascii="仿宋_GB2312" w:hAnsi="仿宋" w:eastAsia="仿宋_GB2312"/>
          <w:sz w:val="32"/>
          <w:szCs w:val="32"/>
        </w:rPr>
        <w:t>涉及金额869.30万元，评价得分在80（含）-90分的2个。单位自评项目18个，</w:t>
      </w:r>
      <w:r>
        <w:rPr>
          <w:rFonts w:hint="eastAsia" w:ascii="仿宋_GB2312" w:hAnsi="仿宋" w:eastAsia="仿宋_GB2312"/>
          <w:sz w:val="32"/>
          <w:szCs w:val="32"/>
          <w:lang w:val="en-US" w:eastAsia="zh-CN"/>
        </w:rPr>
        <w:t>采用简易自评方式，</w:t>
      </w:r>
      <w:r>
        <w:rPr>
          <w:rFonts w:hint="eastAsia" w:ascii="仿宋_GB2312" w:hAnsi="仿宋" w:eastAsia="仿宋_GB2312"/>
          <w:sz w:val="32"/>
          <w:szCs w:val="32"/>
        </w:rPr>
        <w:t>涉及金额1548.9万元，评价得分在90（含）-100分的9个、评价得分在80（含）-90分的9个；本年的绩效评价中，发现2021年存在预算编制与预算执行进度有较大偏差，个别项目的资料整理收集有待加强的问题。后期将根据相关意见，通过完善机制，开展绩效培训等相关措施不断改进。</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hint="eastAsia" w:ascii="楷体_GB2312" w:eastAsia="楷体_GB2312"/>
          <w:sz w:val="32"/>
          <w:szCs w:val="32"/>
        </w:rPr>
      </w:pPr>
      <w:r>
        <w:rPr>
          <w:rFonts w:hint="eastAsia" w:ascii="楷体_GB2312" w:eastAsia="楷体_GB2312"/>
          <w:sz w:val="32"/>
          <w:szCs w:val="32"/>
        </w:rPr>
        <w:t>（四）结转结余率</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结转结余率12.73%，2022年年末结转和结余资金共计739.187159万元。按照资金来源划分：财政拨款年末结转和结余合计667.581445万元；非财政拨款年末结转和结余71.605714万元。</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财政拨款年末结转和结余，其中基本支出结转和结余567.451131万元，项目支出结转和结余100.130314万元。</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pPr>
      <w:r>
        <w:rPr>
          <w:rFonts w:hint="eastAsia" w:ascii="仿宋_GB2312" w:hAnsi="宋体" w:eastAsia="仿宋_GB2312" w:cs="宋体"/>
          <w:color w:val="000000"/>
          <w:kern w:val="0"/>
          <w:sz w:val="32"/>
          <w:szCs w:val="32"/>
        </w:rPr>
        <w:t>非财政拨款年末结转和结余全部为项目支出结转和结余。</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2</w:t>
      </w:r>
      <w:r>
        <w:rPr>
          <w:rFonts w:hint="eastAsia" w:ascii="仿宋_GB2312" w:hAnsi="仿宋" w:eastAsia="仿宋_GB2312"/>
          <w:sz w:val="32"/>
          <w:szCs w:val="32"/>
        </w:rPr>
        <w:t>年，香山革命纪念馆预算收支安排均为5806.743553万元。2022年决算收入为6358.613474万元，差额为551.869921万元，增长幅度为9.5%；决算支出数为5619.426315万元，差额为187.317238万元，差异度为3.23%。</w:t>
      </w:r>
    </w:p>
    <w:p>
      <w:pPr>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2022年收入预、决算差异率总体在合理范围内，整体差异率为9.5%，差异率大部分来源于一般公共预算财政拨款收入。由于2022年有新入职人员，导致人员经费有所上涨，一般公共预算整体有所上涨。其他收入单项差异率较大，但占总体收入比重较小，故不成为影响本年收入预、决算差异的主要因素。</w:t>
      </w:r>
    </w:p>
    <w:p>
      <w:pPr>
        <w:pageBreakBefore w:val="0"/>
        <w:widowControl w:val="0"/>
        <w:kinsoku/>
        <w:wordWrap/>
        <w:overflowPunct/>
        <w:topLinePunct w:val="0"/>
        <w:autoSpaceDE/>
        <w:autoSpaceDN/>
        <w:bidi w:val="0"/>
        <w:adjustRightInd/>
        <w:snapToGrid w:val="0"/>
        <w:spacing w:line="560" w:lineRule="exact"/>
        <w:ind w:firstLine="640" w:firstLineChars="200"/>
        <w:jc w:val="left"/>
        <w:textAlignment w:val="auto"/>
      </w:pPr>
      <w:r>
        <w:rPr>
          <w:rFonts w:hint="eastAsia" w:ascii="仿宋_GB2312" w:hAnsi="仿宋" w:eastAsia="仿宋_GB2312"/>
          <w:sz w:val="32"/>
          <w:szCs w:val="32"/>
        </w:rPr>
        <w:t>2022年支出预、决算差异率整体为-3.23%，属于合理范围。由以上表格可以分析出，人员支出增长幅度较大，为29.19%，主要由于2022年有新招聘、调入人员补充人才力量。2022年年末在职人员比2021年增长14人，故人员支出增长较大。由于2022年按要求进行疫情防控，导致开放时间、接待人数有大幅下降，有些项目未开展，故公用经费及项目经费决算均比预算有所下降。</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通过自我评价，香山革命纪念馆综合得分87分，部门综合绩效评定结论为“良”，具体评分情况：</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当年预算执行情况。该指标分值20分，评价得分19分。预算执行比较到位，能够较好的按照预算管理相关制度执行，绩效及资产管理较规范，但存在执行差异。</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整体绩效目标实现情况。该指标分值60分，评分得分54分。各个职能、各个项目产出完成情况较好，职能实现效果明显，服务对象满意度达标。</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rPr>
      </w:pPr>
      <w:r>
        <w:rPr>
          <w:rFonts w:hint="eastAsia" w:ascii="仿宋_GB2312" w:hAnsi="宋体" w:eastAsia="仿宋_GB2312" w:cs="宋体"/>
          <w:color w:val="000000"/>
          <w:kern w:val="0"/>
          <w:sz w:val="32"/>
          <w:szCs w:val="32"/>
        </w:rPr>
        <w:t>预算管理情况。该指标分值20分，评分得分14分。部门财务管理制度较健全，资金使用合理合规，会计基础信息内容全面准确，按财政要求对资产和项目绩效进行了管理。</w:t>
      </w:r>
    </w:p>
    <w:p>
      <w:pPr>
        <w:pageBreakBefore w:val="0"/>
        <w:widowControl w:val="0"/>
        <w:kinsoku/>
        <w:wordWrap/>
        <w:overflowPunct/>
        <w:topLinePunct w:val="0"/>
        <w:autoSpaceDE/>
        <w:autoSpaceDN/>
        <w:bidi w:val="0"/>
        <w:adjustRightInd/>
        <w:spacing w:line="560" w:lineRule="exact"/>
        <w:ind w:left="105" w:leftChars="50" w:firstLine="480" w:firstLineChars="150"/>
        <w:jc w:val="left"/>
        <w:textAlignment w:val="auto"/>
        <w:rPr>
          <w:rFonts w:hint="eastAsia" w:ascii="楷体_GB2312" w:eastAsia="楷体_GB2312"/>
          <w:sz w:val="32"/>
          <w:szCs w:val="32"/>
        </w:rPr>
      </w:pPr>
      <w:r>
        <w:rPr>
          <w:rFonts w:hint="eastAsia" w:ascii="楷体_GB2312" w:eastAsia="楷体_GB2312"/>
          <w:sz w:val="32"/>
          <w:szCs w:val="32"/>
        </w:rPr>
        <w:t>（二）存在的问题及原因分析</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预算编制有待更严格</w:t>
      </w:r>
      <w:r>
        <w:rPr>
          <w:rFonts w:hint="eastAsia" w:ascii="仿宋_GB2312" w:hAnsi="宋体" w:eastAsia="仿宋_GB2312" w:cs="宋体"/>
          <w:color w:val="000000"/>
          <w:kern w:val="0"/>
          <w:sz w:val="32"/>
          <w:szCs w:val="32"/>
          <w:lang w:val="en-US" w:eastAsia="zh-CN"/>
        </w:rPr>
        <w:t>地</w:t>
      </w:r>
      <w:r>
        <w:rPr>
          <w:rFonts w:hint="eastAsia" w:ascii="仿宋_GB2312" w:hAnsi="宋体" w:eastAsia="仿宋_GB2312" w:cs="宋体"/>
          <w:color w:val="000000"/>
          <w:kern w:val="0"/>
          <w:sz w:val="32"/>
          <w:szCs w:val="32"/>
        </w:rPr>
        <w:t>执行，预算编制与实际支出项目有的仍存在差异</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需要更加科学合理地设置目标。</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rPr>
      </w:pPr>
      <w:r>
        <w:rPr>
          <w:rFonts w:hint="eastAsia" w:ascii="仿宋_GB2312" w:hAnsi="宋体" w:eastAsia="仿宋_GB2312" w:cs="宋体"/>
          <w:color w:val="000000"/>
          <w:kern w:val="0"/>
          <w:sz w:val="32"/>
          <w:szCs w:val="32"/>
        </w:rPr>
        <w:t>相关内部管理办法需根据实际执行情况进行</w:t>
      </w:r>
      <w:r>
        <w:rPr>
          <w:rFonts w:hint="eastAsia" w:ascii="仿宋_GB2312" w:hAnsi="宋体" w:eastAsia="仿宋_GB2312" w:cs="宋体"/>
          <w:color w:val="000000"/>
          <w:kern w:val="0"/>
          <w:sz w:val="32"/>
          <w:szCs w:val="32"/>
          <w:lang w:val="en-US" w:eastAsia="zh-CN"/>
        </w:rPr>
        <w:t>适时</w:t>
      </w:r>
      <w:r>
        <w:rPr>
          <w:rFonts w:hint="eastAsia" w:ascii="仿宋_GB2312" w:hAnsi="宋体" w:eastAsia="仿宋_GB2312" w:cs="宋体"/>
          <w:color w:val="000000"/>
          <w:kern w:val="0"/>
          <w:sz w:val="32"/>
          <w:szCs w:val="32"/>
        </w:rPr>
        <w:t>完善，需进一步优化决策流程等方面的管理，完善本部门管理办法。</w:t>
      </w:r>
    </w:p>
    <w:p>
      <w:pPr>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1、加强预算管理意识，提高财政资金的使用效益</w:t>
      </w:r>
    </w:p>
    <w:p>
      <w:pPr>
        <w:pageBreakBefore w:val="0"/>
        <w:widowControl w:val="0"/>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预算编制过程中，结合本单位的发展规划与目标，总结上一年度预算执行情况，合理编制当年预算和部门整体绩效指标；在预算支出整体评价中，客观、公正地进行事后绩效评价，考察绩效目标的实现程度，总结存在的问题，分析原因，并提出改进的建议，不断提</w:t>
      </w:r>
      <w:r>
        <w:rPr>
          <w:rFonts w:hint="eastAsia" w:ascii="仿宋_GB2312" w:hAnsi="宋体" w:eastAsia="仿宋_GB2312" w:cs="宋体"/>
          <w:color w:val="000000"/>
          <w:kern w:val="0"/>
          <w:sz w:val="32"/>
          <w:szCs w:val="32"/>
          <w:lang w:val="en-US" w:eastAsia="zh-CN"/>
        </w:rPr>
        <w:t>高</w:t>
      </w:r>
      <w:r>
        <w:rPr>
          <w:rFonts w:hint="eastAsia" w:ascii="仿宋_GB2312" w:hAnsi="宋体" w:eastAsia="仿宋_GB2312" w:cs="宋体"/>
          <w:color w:val="000000"/>
          <w:kern w:val="0"/>
          <w:sz w:val="32"/>
          <w:szCs w:val="32"/>
        </w:rPr>
        <w:t>预算绩效管理水平。</w:t>
      </w:r>
    </w:p>
    <w:p>
      <w:pPr>
        <w:pageBreakBefore w:val="0"/>
        <w:widowControl w:val="0"/>
        <w:numPr>
          <w:ilvl w:val="0"/>
          <w:numId w:val="2"/>
        </w:numPr>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科学编制预算。加强支出分析，增强对各项经济活动的预判能力，提高预算编制的科学性。</w:t>
      </w:r>
    </w:p>
    <w:p>
      <w:pPr>
        <w:pageBreakBefore w:val="0"/>
        <w:widowControl w:val="0"/>
        <w:numPr>
          <w:ilvl w:val="0"/>
          <w:numId w:val="2"/>
        </w:numPr>
        <w:tabs>
          <w:tab w:val="left" w:pos="0"/>
        </w:tabs>
        <w:kinsoku/>
        <w:wordWrap/>
        <w:overflowPunct/>
        <w:topLinePunct w:val="0"/>
        <w:autoSpaceDE/>
        <w:autoSpaceDN/>
        <w:bidi w:val="0"/>
        <w:adjustRightInd/>
        <w:spacing w:line="560" w:lineRule="exact"/>
        <w:ind w:left="17" w:leftChars="8" w:firstLine="617" w:firstLineChars="193"/>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加快执行进度。加强资金计划衔接，加快项目实施进度，落实项目进度跟踪和项目绩效评价制度，减少项目结转结余，提高资金使用效率。</w:t>
      </w:r>
    </w:p>
    <w:p>
      <w:pPr>
        <w:pStyle w:val="3"/>
        <w:numPr>
          <w:ilvl w:val="0"/>
          <w:numId w:val="0"/>
        </w:numPr>
        <w:ind w:leftChars="201"/>
        <w:rPr>
          <w:rFonts w:hint="eastAsia"/>
        </w:rPr>
      </w:pPr>
    </w:p>
    <w:p>
      <w:pPr>
        <w:rPr>
          <w:rFonts w:hint="eastAsia"/>
        </w:rPr>
      </w:pPr>
    </w:p>
    <w:p>
      <w:pPr>
        <w:pStyle w:val="3"/>
        <w:rPr>
          <w:rFonts w:hint="eastAsia"/>
        </w:rPr>
      </w:pPr>
    </w:p>
    <w:p>
      <w:pPr>
        <w:rPr>
          <w:rFonts w:hint="eastAsia"/>
        </w:rPr>
      </w:pPr>
    </w:p>
    <w:p>
      <w:pPr>
        <w:pStyle w:val="3"/>
        <w:rPr>
          <w:rFonts w:hint="eastAsia"/>
        </w:rPr>
      </w:pPr>
    </w:p>
    <w:p>
      <w:pPr>
        <w:pStyle w:val="3"/>
        <w:rPr>
          <w:rFonts w:hint="eastAsia"/>
        </w:rPr>
      </w:pPr>
    </w:p>
    <w:p>
      <w:pPr>
        <w:rPr>
          <w:rFonts w:hint="eastAsia"/>
        </w:rPr>
      </w:pPr>
    </w:p>
    <w:p>
      <w:pPr>
        <w:rPr>
          <w:rFonts w:hint="eastAsia"/>
        </w:rPr>
      </w:pPr>
    </w:p>
    <w:tbl>
      <w:tblPr>
        <w:tblStyle w:val="5"/>
        <w:tblpPr w:leftFromText="180" w:rightFromText="180" w:vertAnchor="text" w:horzAnchor="page" w:tblpX="1546" w:tblpY="522"/>
        <w:tblOverlap w:val="never"/>
        <w:tblW w:w="14579" w:type="dxa"/>
        <w:tblInd w:w="0" w:type="dxa"/>
        <w:tblLayout w:type="fixed"/>
        <w:tblCellMar>
          <w:top w:w="0" w:type="dxa"/>
          <w:left w:w="108" w:type="dxa"/>
          <w:bottom w:w="0" w:type="dxa"/>
          <w:right w:w="108" w:type="dxa"/>
        </w:tblCellMar>
      </w:tblPr>
      <w:tblGrid>
        <w:gridCol w:w="1148"/>
        <w:gridCol w:w="1153"/>
        <w:gridCol w:w="1498"/>
        <w:gridCol w:w="1658"/>
        <w:gridCol w:w="1600"/>
        <w:gridCol w:w="612"/>
        <w:gridCol w:w="488"/>
        <w:gridCol w:w="3075"/>
        <w:gridCol w:w="3320"/>
        <w:gridCol w:w="17"/>
        <w:gridCol w:w="10"/>
      </w:tblGrid>
      <w:tr>
        <w:tblPrEx>
          <w:tblLayout w:type="fixed"/>
          <w:tblCellMar>
            <w:top w:w="0" w:type="dxa"/>
            <w:left w:w="108" w:type="dxa"/>
            <w:bottom w:w="0" w:type="dxa"/>
            <w:right w:w="108" w:type="dxa"/>
          </w:tblCellMar>
        </w:tblPrEx>
        <w:trPr>
          <w:gridAfter w:val="1"/>
          <w:wAfter w:w="10" w:type="dxa"/>
          <w:cantSplit/>
          <w:trHeight w:val="90" w:hRule="atLeast"/>
        </w:trPr>
        <w:tc>
          <w:tcPr>
            <w:tcW w:w="14569" w:type="dxa"/>
            <w:gridSpan w:val="10"/>
            <w:tcBorders>
              <w:top w:val="nil"/>
              <w:left w:val="nil"/>
              <w:bottom w:val="single" w:color="auto" w:sz="4" w:space="0"/>
              <w:right w:val="nil"/>
            </w:tcBorders>
            <w:vAlign w:val="bottom"/>
          </w:tcPr>
          <w:p>
            <w:pPr>
              <w:widowControl/>
              <w:spacing w:line="360" w:lineRule="auto"/>
              <w:jc w:val="center"/>
              <w:rPr>
                <w:rFonts w:hint="eastAsia" w:ascii="方正小标宋简体" w:hAnsi="黑体" w:eastAsia="方正小标宋简体" w:cs="宋体"/>
                <w:color w:val="000000"/>
                <w:kern w:val="0"/>
                <w:sz w:val="44"/>
                <w:szCs w:val="44"/>
                <w:highlight w:val="yellow"/>
              </w:rPr>
            </w:pPr>
            <w:r>
              <w:rPr>
                <w:rFonts w:hint="eastAsia" w:ascii="方正小标宋简体" w:hAnsi="黑体" w:eastAsia="方正小标宋简体" w:cs="宋体"/>
                <w:color w:val="000000"/>
                <w:kern w:val="0"/>
                <w:sz w:val="44"/>
                <w:szCs w:val="44"/>
              </w:rPr>
              <w:t>2022年部门整体绩效评价指标体系评分表</w:t>
            </w:r>
          </w:p>
        </w:tc>
      </w:tr>
      <w:tr>
        <w:tblPrEx>
          <w:tblLayout w:type="fixed"/>
          <w:tblCellMar>
            <w:top w:w="0" w:type="dxa"/>
            <w:left w:w="108" w:type="dxa"/>
            <w:bottom w:w="0" w:type="dxa"/>
            <w:right w:w="108" w:type="dxa"/>
          </w:tblCellMar>
        </w:tblPrEx>
        <w:trPr>
          <w:gridAfter w:val="1"/>
          <w:wAfter w:w="10" w:type="dxa"/>
          <w:cantSplit/>
          <w:trHeight w:val="470" w:hRule="atLeast"/>
        </w:trPr>
        <w:tc>
          <w:tcPr>
            <w:tcW w:w="14569" w:type="dxa"/>
            <w:gridSpan w:val="10"/>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gridAfter w:val="1"/>
          <w:wAfter w:w="10" w:type="dxa"/>
          <w:cantSplit/>
          <w:trHeight w:val="660" w:hRule="atLeast"/>
        </w:trPr>
        <w:tc>
          <w:tcPr>
            <w:tcW w:w="11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5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4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65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61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8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3337" w:type="dxa"/>
            <w:gridSpan w:val="2"/>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gridAfter w:val="1"/>
          <w:wAfter w:w="10" w:type="dxa"/>
          <w:cantSplit/>
          <w:trHeight w:val="630" w:hRule="atLeast"/>
        </w:trPr>
        <w:tc>
          <w:tcPr>
            <w:tcW w:w="1148" w:type="dxa"/>
            <w:vMerge w:val="restart"/>
            <w:tcBorders>
              <w:top w:val="nil"/>
              <w:left w:val="single" w:color="auto" w:sz="4" w:space="0"/>
              <w:bottom w:val="single" w:color="000000"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15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4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5806.743553</w:t>
            </w:r>
          </w:p>
        </w:tc>
        <w:tc>
          <w:tcPr>
            <w:tcW w:w="1658"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5619.426315</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96.77　</w:t>
            </w:r>
          </w:p>
        </w:tc>
        <w:tc>
          <w:tcPr>
            <w:tcW w:w="6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4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19　</w:t>
            </w:r>
          </w:p>
        </w:tc>
        <w:tc>
          <w:tcPr>
            <w:tcW w:w="30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3337" w:type="dxa"/>
            <w:gridSpan w:val="2"/>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gridAfter w:val="1"/>
          <w:wAfter w:w="10" w:type="dxa"/>
          <w:cantSplit/>
          <w:trHeight w:val="600"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single" w:color="auto" w:sz="4" w:space="0"/>
              <w:left w:val="single" w:color="auto" w:sz="4" w:space="0"/>
              <w:bottom w:val="single" w:color="auto" w:sz="4" w:space="0"/>
              <w:right w:val="nil"/>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4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3957.285388</w:t>
            </w:r>
          </w:p>
        </w:tc>
        <w:tc>
          <w:tcPr>
            <w:tcW w:w="1658" w:type="dxa"/>
            <w:tcBorders>
              <w:top w:val="single" w:color="auto" w:sz="4" w:space="0"/>
              <w:left w:val="nil"/>
              <w:bottom w:val="single" w:color="auto" w:sz="4" w:space="0"/>
              <w:right w:val="single" w:color="auto" w:sz="4" w:space="0"/>
            </w:tcBorders>
            <w:vAlign w:val="center"/>
          </w:tcPr>
          <w:p>
            <w:pPr>
              <w:widowControl/>
              <w:spacing w:line="360" w:lineRule="auto"/>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3835.737876</w:t>
            </w:r>
          </w:p>
        </w:tc>
        <w:tc>
          <w:tcPr>
            <w:tcW w:w="16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top w:val="single" w:color="auto" w:sz="4" w:space="0"/>
              <w:left w:val="nil"/>
              <w:bottom w:val="single" w:color="auto" w:sz="4" w:space="0"/>
              <w:right w:val="nil"/>
            </w:tcBorders>
            <w:vAlign w:val="center"/>
          </w:tcPr>
          <w:p>
            <w:pPr>
              <w:widowControl/>
              <w:spacing w:line="360" w:lineRule="auto"/>
              <w:jc w:val="left"/>
              <w:rPr>
                <w:rFonts w:ascii="宋体" w:hAnsi="宋体" w:cs="宋体"/>
                <w:color w:val="000000"/>
                <w:kern w:val="0"/>
                <w:sz w:val="20"/>
                <w:szCs w:val="20"/>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0" w:type="dxa"/>
          <w:cantSplit/>
          <w:trHeight w:val="615"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single" w:color="auto" w:sz="4" w:space="0"/>
              <w:left w:val="single" w:color="auto" w:sz="4" w:space="0"/>
              <w:bottom w:val="single" w:color="auto" w:sz="4" w:space="0"/>
              <w:right w:val="nil"/>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49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1849.458165</w:t>
            </w:r>
          </w:p>
        </w:tc>
        <w:tc>
          <w:tcPr>
            <w:tcW w:w="1658" w:type="dxa"/>
            <w:tcBorders>
              <w:top w:val="single" w:color="auto" w:sz="4" w:space="0"/>
              <w:left w:val="nil"/>
              <w:bottom w:val="single" w:color="auto" w:sz="4" w:space="0"/>
              <w:right w:val="single" w:color="auto" w:sz="4" w:space="0"/>
            </w:tcBorders>
            <w:vAlign w:val="center"/>
          </w:tcPr>
          <w:p>
            <w:pPr>
              <w:widowControl/>
              <w:spacing w:line="360" w:lineRule="auto"/>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1783.688439</w:t>
            </w: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top w:val="single" w:color="auto" w:sz="4" w:space="0"/>
              <w:left w:val="nil"/>
              <w:bottom w:val="single" w:color="auto" w:sz="4" w:space="0"/>
              <w:right w:val="nil"/>
            </w:tcBorders>
            <w:vAlign w:val="center"/>
          </w:tcPr>
          <w:p>
            <w:pPr>
              <w:widowControl/>
              <w:spacing w:line="360" w:lineRule="auto"/>
              <w:jc w:val="left"/>
              <w:rPr>
                <w:rFonts w:ascii="宋体" w:hAnsi="宋体" w:cs="宋体"/>
                <w:color w:val="000000"/>
                <w:kern w:val="0"/>
                <w:sz w:val="20"/>
                <w:szCs w:val="20"/>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0" w:type="dxa"/>
          <w:cantSplit/>
          <w:trHeight w:val="2136"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49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65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6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top w:val="single" w:color="auto" w:sz="4" w:space="0"/>
              <w:left w:val="nil"/>
              <w:bottom w:val="single" w:color="auto" w:sz="4" w:space="0"/>
              <w:right w:val="nil"/>
            </w:tcBorders>
            <w:vAlign w:val="center"/>
          </w:tcPr>
          <w:p>
            <w:pPr>
              <w:widowControl/>
              <w:spacing w:line="360" w:lineRule="auto"/>
              <w:jc w:val="left"/>
              <w:rPr>
                <w:rFonts w:ascii="宋体" w:hAnsi="宋体" w:cs="宋体"/>
                <w:color w:val="000000"/>
                <w:kern w:val="0"/>
                <w:sz w:val="20"/>
                <w:szCs w:val="20"/>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0" w:type="dxa"/>
          <w:cantSplit/>
          <w:trHeight w:val="367" w:hRule="atLeast"/>
        </w:trPr>
        <w:tc>
          <w:tcPr>
            <w:tcW w:w="14569" w:type="dxa"/>
            <w:gridSpan w:val="10"/>
            <w:tcBorders>
              <w:top w:val="nil"/>
              <w:left w:val="single" w:color="auto" w:sz="4" w:space="0"/>
              <w:bottom w:val="single" w:color="auto" w:sz="4" w:space="0"/>
              <w:right w:val="single" w:color="auto" w:sz="4" w:space="0"/>
            </w:tcBorders>
            <w:vAlign w:val="center"/>
          </w:tcPr>
          <w:p>
            <w:pPr>
              <w:widowControl/>
              <w:spacing w:line="36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gridAfter w:val="1"/>
          <w:wAfter w:w="10" w:type="dxa"/>
          <w:cantSplit/>
          <w:trHeight w:val="499" w:hRule="atLeast"/>
        </w:trPr>
        <w:tc>
          <w:tcPr>
            <w:tcW w:w="114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15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4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16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1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8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33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gridAfter w:val="1"/>
          <w:wAfter w:w="10" w:type="dxa"/>
          <w:cantSplit/>
          <w:trHeight w:val="1196" w:hRule="atLeast"/>
        </w:trPr>
        <w:tc>
          <w:tcPr>
            <w:tcW w:w="114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153"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498"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Style w:val="6"/>
                <w:rFonts w:hint="default"/>
                <w:lang w:bidi="ar"/>
              </w:rPr>
              <w:t>展览陈列</w:t>
            </w:r>
          </w:p>
        </w:tc>
        <w:tc>
          <w:tcPr>
            <w:tcW w:w="1658"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产出指标数量指标举办场次≥3</w:t>
            </w:r>
          </w:p>
        </w:tc>
        <w:tc>
          <w:tcPr>
            <w:tcW w:w="1600"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产出指标数量指标举办场次≥3</w:t>
            </w:r>
          </w:p>
        </w:tc>
        <w:tc>
          <w:tcPr>
            <w:tcW w:w="612"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488" w:type="dxa"/>
            <w:vMerge w:val="restart"/>
            <w:tcBorders>
              <w:top w:val="single" w:color="auto" w:sz="4" w:space="0"/>
              <w:left w:val="nil"/>
              <w:right w:val="nil"/>
            </w:tcBorders>
            <w:vAlign w:val="center"/>
          </w:tcPr>
          <w:p>
            <w:pPr>
              <w:jc w:val="center"/>
              <w:rPr>
                <w:rFonts w:hint="eastAsia"/>
              </w:rPr>
            </w:pPr>
          </w:p>
          <w:p>
            <w:pPr>
              <w:jc w:val="center"/>
            </w:pPr>
            <w:r>
              <w:rPr>
                <w:rFonts w:hint="eastAsia"/>
              </w:rPr>
              <w:t>28</w:t>
            </w:r>
          </w:p>
        </w:tc>
        <w:tc>
          <w:tcPr>
            <w:tcW w:w="30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333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gridAfter w:val="1"/>
          <w:wAfter w:w="10" w:type="dxa"/>
          <w:cantSplit/>
          <w:trHeight w:val="1130"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153"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98"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Style w:val="6"/>
                <w:rFonts w:hint="default"/>
                <w:lang w:bidi="ar"/>
              </w:rPr>
              <w:t>宣传教育</w:t>
            </w:r>
          </w:p>
        </w:tc>
        <w:tc>
          <w:tcPr>
            <w:tcW w:w="1658"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产出指标数量指标讲座场次≥6</w:t>
            </w:r>
          </w:p>
        </w:tc>
        <w:tc>
          <w:tcPr>
            <w:tcW w:w="1600"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产出指标数量指标讲座场次≥6</w:t>
            </w:r>
          </w:p>
        </w:tc>
        <w:tc>
          <w:tcPr>
            <w:tcW w:w="612" w:type="dxa"/>
            <w:vMerge w:val="continue"/>
            <w:tcBorders>
              <w:top w:val="single" w:color="auto" w:sz="4" w:space="0"/>
              <w:left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left w:val="nil"/>
              <w:right w:val="nil"/>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0" w:type="dxa"/>
          <w:cantSplit/>
          <w:trHeight w:val="1258"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153"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Style w:val="6"/>
                <w:rFonts w:hint="default"/>
                <w:lang w:bidi="ar"/>
              </w:rPr>
              <w:t>学术研究</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产出指标数量指标举办理论研讨会＝1</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产出指标数量指标举办理论研讨会＝1</w:t>
            </w:r>
          </w:p>
        </w:tc>
        <w:tc>
          <w:tcPr>
            <w:tcW w:w="612" w:type="dxa"/>
            <w:vMerge w:val="continue"/>
            <w:tcBorders>
              <w:left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left w:val="nil"/>
              <w:right w:val="nil"/>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0" w:type="dxa"/>
          <w:cantSplit/>
          <w:trHeight w:val="686"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15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Style w:val="6"/>
                <w:rFonts w:hint="default"/>
                <w:lang w:bidi="ar"/>
              </w:rPr>
              <w:t>日常运行保障</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产出指标数量指标安全运行天数＝365</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产出指标数量指标安全运行天数＝365</w:t>
            </w:r>
          </w:p>
        </w:tc>
        <w:tc>
          <w:tcPr>
            <w:tcW w:w="612"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left w:val="nil"/>
              <w:right w:val="nil"/>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0" w:type="dxa"/>
          <w:cantSplit/>
          <w:trHeight w:val="815"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center"/>
            </w:pPr>
          </w:p>
        </w:tc>
        <w:tc>
          <w:tcPr>
            <w:tcW w:w="1153" w:type="dxa"/>
            <w:vMerge w:val="continue"/>
            <w:tcBorders>
              <w:left w:val="single" w:color="auto" w:sz="4" w:space="0"/>
              <w:bottom w:val="single" w:color="auto" w:sz="4" w:space="0"/>
              <w:right w:val="single" w:color="auto" w:sz="4" w:space="0"/>
            </w:tcBorders>
            <w:vAlign w:val="center"/>
          </w:tcPr>
          <w:p>
            <w:pPr>
              <w:widowControl/>
              <w:spacing w:line="360" w:lineRule="auto"/>
              <w:jc w:val="center"/>
            </w:pPr>
          </w:p>
        </w:tc>
        <w:tc>
          <w:tcPr>
            <w:tcW w:w="1498" w:type="dxa"/>
            <w:tcBorders>
              <w:top w:val="nil"/>
              <w:left w:val="nil"/>
              <w:bottom w:val="single" w:color="auto" w:sz="4" w:space="0"/>
              <w:right w:val="single" w:color="auto" w:sz="4" w:space="0"/>
            </w:tcBorders>
            <w:vAlign w:val="center"/>
          </w:tcPr>
          <w:p>
            <w:pPr>
              <w:widowControl/>
              <w:rPr>
                <w:rStyle w:val="6"/>
                <w:rFonts w:hint="default"/>
                <w:lang w:bidi="ar"/>
              </w:rPr>
            </w:pPr>
            <w:r>
              <w:rPr>
                <w:rStyle w:val="6"/>
                <w:rFonts w:hint="default"/>
                <w:lang w:bidi="ar"/>
              </w:rPr>
              <w:t>日常运行保障</w:t>
            </w:r>
          </w:p>
        </w:tc>
        <w:tc>
          <w:tcPr>
            <w:tcW w:w="1658" w:type="dxa"/>
            <w:tcBorders>
              <w:top w:val="nil"/>
              <w:left w:val="nil"/>
              <w:bottom w:val="single" w:color="auto" w:sz="4" w:space="0"/>
              <w:right w:val="single" w:color="auto" w:sz="4" w:space="0"/>
            </w:tcBorders>
            <w:vAlign w:val="center"/>
          </w:tcPr>
          <w:p>
            <w:pPr>
              <w:widowControl/>
              <w:jc w:val="left"/>
              <w:textAlignment w:val="center"/>
              <w:rPr>
                <w:rStyle w:val="6"/>
                <w:rFonts w:hint="default"/>
                <w:lang w:bidi="ar"/>
              </w:rPr>
            </w:pPr>
            <w:r>
              <w:rPr>
                <w:rFonts w:hint="eastAsia" w:ascii="宋体" w:hAnsi="宋体" w:cs="宋体"/>
                <w:color w:val="000000"/>
                <w:kern w:val="0"/>
                <w:sz w:val="22"/>
                <w:szCs w:val="22"/>
                <w:lang w:bidi="ar"/>
              </w:rPr>
              <w:t>效益指标社会效益指标保障观众参观天数，做好服务保障≥300</w:t>
            </w:r>
          </w:p>
        </w:tc>
        <w:tc>
          <w:tcPr>
            <w:tcW w:w="1600" w:type="dxa"/>
            <w:tcBorders>
              <w:top w:val="nil"/>
              <w:left w:val="nil"/>
              <w:bottom w:val="single" w:color="auto" w:sz="4" w:space="0"/>
              <w:right w:val="single" w:color="auto" w:sz="4" w:space="0"/>
            </w:tcBorders>
            <w:vAlign w:val="center"/>
          </w:tcPr>
          <w:p>
            <w:pPr>
              <w:widowControl/>
              <w:jc w:val="left"/>
              <w:textAlignment w:val="center"/>
              <w:rPr>
                <w:rStyle w:val="6"/>
                <w:rFonts w:hint="default" w:eastAsia="宋体"/>
                <w:lang w:val="en-US" w:eastAsia="zh-CN" w:bidi="ar"/>
              </w:rPr>
            </w:pPr>
            <w:r>
              <w:rPr>
                <w:rFonts w:hint="eastAsia" w:ascii="宋体" w:hAnsi="宋体" w:cs="宋体"/>
                <w:color w:val="000000"/>
                <w:kern w:val="0"/>
                <w:sz w:val="22"/>
                <w:szCs w:val="22"/>
                <w:lang w:bidi="ar"/>
              </w:rPr>
              <w:t>效益指标社会效益指标保障观众参观天数，做好服务保障</w:t>
            </w:r>
            <w:r>
              <w:rPr>
                <w:rFonts w:hint="eastAsia" w:ascii="宋体" w:hAnsi="宋体" w:cs="宋体"/>
                <w:color w:val="000000"/>
                <w:kern w:val="0"/>
                <w:sz w:val="22"/>
                <w:szCs w:val="22"/>
                <w:lang w:val="en-US" w:eastAsia="zh-CN" w:bidi="ar"/>
              </w:rPr>
              <w:t>=296天</w:t>
            </w:r>
          </w:p>
        </w:tc>
        <w:tc>
          <w:tcPr>
            <w:tcW w:w="612"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488" w:type="dxa"/>
            <w:vMerge w:val="continue"/>
            <w:tcBorders>
              <w:left w:val="nil"/>
              <w:right w:val="nil"/>
            </w:tcBorders>
            <w:vAlign w:val="center"/>
          </w:tcPr>
          <w:p>
            <w:pPr>
              <w:widowControl/>
              <w:spacing w:line="360" w:lineRule="auto"/>
              <w:jc w:val="center"/>
              <w:rPr>
                <w:rStyle w:val="6"/>
                <w:rFonts w:hint="default"/>
                <w:lang w:bidi="ar"/>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r>
      <w:tr>
        <w:tblPrEx>
          <w:tblLayout w:type="fixed"/>
          <w:tblCellMar>
            <w:top w:w="0" w:type="dxa"/>
            <w:left w:w="108" w:type="dxa"/>
            <w:bottom w:w="0" w:type="dxa"/>
            <w:right w:w="108" w:type="dxa"/>
          </w:tblCellMar>
        </w:tblPrEx>
        <w:trPr>
          <w:gridAfter w:val="1"/>
          <w:wAfter w:w="10" w:type="dxa"/>
          <w:cantSplit/>
          <w:trHeight w:val="786"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center"/>
              <w:rPr>
                <w:rStyle w:val="6"/>
                <w:rFonts w:hint="default"/>
                <w:lang w:bidi="ar"/>
              </w:rPr>
            </w:pPr>
          </w:p>
        </w:tc>
        <w:tc>
          <w:tcPr>
            <w:tcW w:w="1153"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Style w:val="6"/>
                <w:rFonts w:hint="default"/>
                <w:lang w:bidi="ar"/>
              </w:rPr>
              <w:t>学术研究</w:t>
            </w:r>
          </w:p>
        </w:tc>
        <w:tc>
          <w:tcPr>
            <w:tcW w:w="1658" w:type="dxa"/>
            <w:tcBorders>
              <w:top w:val="nil"/>
              <w:left w:val="nil"/>
              <w:bottom w:val="single" w:color="auto" w:sz="4" w:space="0"/>
              <w:right w:val="single" w:color="auto" w:sz="4" w:space="0"/>
            </w:tcBorders>
            <w:vAlign w:val="center"/>
          </w:tcPr>
          <w:p>
            <w:pPr>
              <w:widowControl/>
              <w:jc w:val="left"/>
              <w:textAlignment w:val="center"/>
              <w:rPr>
                <w:rStyle w:val="6"/>
                <w:rFonts w:hint="default"/>
                <w:lang w:bidi="ar"/>
              </w:rPr>
            </w:pPr>
            <w:r>
              <w:rPr>
                <w:rFonts w:hint="eastAsia" w:ascii="宋体" w:hAnsi="宋体" w:cs="宋体"/>
                <w:color w:val="000000"/>
                <w:kern w:val="0"/>
                <w:sz w:val="22"/>
                <w:szCs w:val="22"/>
                <w:lang w:bidi="ar"/>
              </w:rPr>
              <w:t>产出指标数量指标出版刊物＝2</w:t>
            </w:r>
          </w:p>
        </w:tc>
        <w:tc>
          <w:tcPr>
            <w:tcW w:w="1600" w:type="dxa"/>
            <w:tcBorders>
              <w:top w:val="nil"/>
              <w:left w:val="nil"/>
              <w:bottom w:val="single" w:color="auto" w:sz="4" w:space="0"/>
              <w:right w:val="single" w:color="auto" w:sz="4" w:space="0"/>
            </w:tcBorders>
            <w:vAlign w:val="center"/>
          </w:tcPr>
          <w:p>
            <w:pPr>
              <w:widowControl/>
              <w:jc w:val="left"/>
              <w:textAlignment w:val="center"/>
              <w:rPr>
                <w:rStyle w:val="6"/>
                <w:rFonts w:hint="default" w:eastAsia="宋体"/>
                <w:lang w:val="en-US" w:eastAsia="zh-CN" w:bidi="ar"/>
              </w:rPr>
            </w:pPr>
            <w:r>
              <w:rPr>
                <w:rStyle w:val="6"/>
                <w:rFonts w:hint="eastAsia" w:eastAsia="宋体"/>
                <w:lang w:val="en-US" w:eastAsia="zh-CN" w:bidi="ar"/>
              </w:rPr>
              <w:t>产出指标数量指标出版刊物=已报审未出版</w:t>
            </w:r>
          </w:p>
        </w:tc>
        <w:tc>
          <w:tcPr>
            <w:tcW w:w="612"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488" w:type="dxa"/>
            <w:vMerge w:val="continue"/>
            <w:tcBorders>
              <w:left w:val="nil"/>
              <w:right w:val="nil"/>
            </w:tcBorders>
            <w:vAlign w:val="center"/>
          </w:tcPr>
          <w:p>
            <w:pPr>
              <w:widowControl/>
              <w:spacing w:line="360" w:lineRule="auto"/>
              <w:jc w:val="center"/>
              <w:rPr>
                <w:rStyle w:val="6"/>
                <w:rFonts w:hint="default"/>
                <w:lang w:bidi="ar"/>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r>
      <w:tr>
        <w:tblPrEx>
          <w:tblLayout w:type="fixed"/>
          <w:tblCellMar>
            <w:top w:w="0" w:type="dxa"/>
            <w:left w:w="108" w:type="dxa"/>
            <w:bottom w:w="0" w:type="dxa"/>
            <w:right w:w="108" w:type="dxa"/>
          </w:tblCellMar>
        </w:tblPrEx>
        <w:trPr>
          <w:gridAfter w:val="1"/>
          <w:wAfter w:w="10" w:type="dxa"/>
          <w:cantSplit/>
          <w:trHeight w:val="861"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center"/>
              <w:rPr>
                <w:rStyle w:val="6"/>
                <w:rFonts w:hint="default"/>
                <w:lang w:bidi="ar"/>
              </w:rPr>
            </w:pPr>
          </w:p>
        </w:tc>
        <w:tc>
          <w:tcPr>
            <w:tcW w:w="1153"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1498"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Style w:val="6"/>
                <w:rFonts w:hint="default"/>
                <w:lang w:bidi="ar"/>
              </w:rPr>
              <w:t>宣传教育</w:t>
            </w:r>
          </w:p>
        </w:tc>
        <w:tc>
          <w:tcPr>
            <w:tcW w:w="1658"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Style w:val="6"/>
                <w:rFonts w:hint="default"/>
                <w:lang w:bidi="ar"/>
              </w:rPr>
            </w:pPr>
            <w:r>
              <w:rPr>
                <w:rFonts w:hint="eastAsia" w:ascii="宋体" w:hAnsi="宋体" w:cs="宋体"/>
                <w:color w:val="000000"/>
                <w:kern w:val="0"/>
                <w:sz w:val="22"/>
                <w:szCs w:val="22"/>
                <w:lang w:bidi="ar"/>
              </w:rPr>
              <w:t>满意度指标服务对象满意度指标来馆参观人员意见反馈≥85</w:t>
            </w:r>
          </w:p>
        </w:tc>
        <w:tc>
          <w:tcPr>
            <w:tcW w:w="1600" w:type="dxa"/>
            <w:tcBorders>
              <w:top w:val="nil"/>
              <w:left w:val="nil"/>
              <w:bottom w:val="single" w:color="auto" w:sz="4" w:space="0"/>
              <w:right w:val="single" w:color="auto" w:sz="4" w:space="0"/>
            </w:tcBorders>
            <w:vAlign w:val="center"/>
          </w:tcPr>
          <w:p>
            <w:pPr>
              <w:widowControl/>
              <w:jc w:val="left"/>
              <w:textAlignment w:val="center"/>
              <w:rPr>
                <w:rStyle w:val="6"/>
                <w:rFonts w:hint="default"/>
                <w:lang w:bidi="ar"/>
              </w:rPr>
            </w:pPr>
            <w:r>
              <w:rPr>
                <w:rFonts w:hint="eastAsia" w:ascii="宋体" w:hAnsi="宋体" w:cs="宋体"/>
                <w:color w:val="000000"/>
                <w:kern w:val="0"/>
                <w:sz w:val="22"/>
                <w:szCs w:val="22"/>
                <w:lang w:bidi="ar"/>
              </w:rPr>
              <w:t>满意度指标服务对象满意度指标来馆参观人员意见反馈≥85</w:t>
            </w:r>
          </w:p>
        </w:tc>
        <w:tc>
          <w:tcPr>
            <w:tcW w:w="612"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488" w:type="dxa"/>
            <w:vMerge w:val="continue"/>
            <w:tcBorders>
              <w:left w:val="nil"/>
              <w:bottom w:val="single" w:color="auto" w:sz="4" w:space="0"/>
              <w:right w:val="nil"/>
            </w:tcBorders>
            <w:vAlign w:val="center"/>
          </w:tcPr>
          <w:p>
            <w:pPr>
              <w:widowControl/>
              <w:spacing w:line="360" w:lineRule="auto"/>
              <w:jc w:val="center"/>
              <w:rPr>
                <w:rStyle w:val="6"/>
                <w:rFonts w:hint="default"/>
                <w:lang w:bidi="ar"/>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c>
          <w:tcPr>
            <w:tcW w:w="3337" w:type="dxa"/>
            <w:gridSpan w:val="2"/>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Style w:val="6"/>
                <w:rFonts w:hint="default"/>
                <w:lang w:bidi="ar"/>
              </w:rPr>
            </w:pPr>
          </w:p>
        </w:tc>
      </w:tr>
      <w:tr>
        <w:tblPrEx>
          <w:tblLayout w:type="fixed"/>
          <w:tblCellMar>
            <w:top w:w="0" w:type="dxa"/>
            <w:left w:w="108" w:type="dxa"/>
            <w:bottom w:w="0" w:type="dxa"/>
            <w:right w:w="108" w:type="dxa"/>
          </w:tblCellMar>
        </w:tblPrEx>
        <w:trPr>
          <w:gridAfter w:val="2"/>
          <w:wAfter w:w="27" w:type="dxa"/>
          <w:cantSplit/>
          <w:trHeight w:val="743"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498"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信息化运维及保障</w:t>
            </w:r>
          </w:p>
        </w:tc>
        <w:tc>
          <w:tcPr>
            <w:tcW w:w="1658"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产出指标质量指标信息化系统运行正常、互联网专线运行正常、等级保户测评顺利完成。定性良好</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产出指标质量指标信息化系统运行正常、互联网专线运行正常、等级保户测评顺利完成。定性良好</w:t>
            </w:r>
          </w:p>
        </w:tc>
        <w:tc>
          <w:tcPr>
            <w:tcW w:w="612"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488"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26　</w:t>
            </w:r>
          </w:p>
        </w:tc>
        <w:tc>
          <w:tcPr>
            <w:tcW w:w="3075"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3320"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gridAfter w:val="2"/>
          <w:wAfter w:w="27" w:type="dxa"/>
          <w:cantSplit/>
          <w:trHeight w:val="630"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498"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文物管理</w:t>
            </w:r>
          </w:p>
        </w:tc>
        <w:tc>
          <w:tcPr>
            <w:tcW w:w="1658"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产出指标质量指标复仿制符合行业标准定性优</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产出指标质量指标复仿制符合行业标准定性优</w:t>
            </w:r>
          </w:p>
        </w:tc>
        <w:tc>
          <w:tcPr>
            <w:tcW w:w="612"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2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2"/>
          <w:wAfter w:w="27" w:type="dxa"/>
          <w:cantSplit/>
          <w:trHeight w:val="690"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学术研究</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产出指标质量指标形成研究成果，确保各项活动的顺利举办。定性良好</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产出指标质量指标形成研究成果，确保各项活动的顺利举办。定性良好</w:t>
            </w:r>
          </w:p>
        </w:tc>
        <w:tc>
          <w:tcPr>
            <w:tcW w:w="612"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restart"/>
            <w:tcBorders>
              <w:left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restart"/>
            <w:tcBorders>
              <w:top w:val="nil"/>
              <w:left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2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2"/>
          <w:wAfter w:w="27" w:type="dxa"/>
          <w:cantSplit/>
          <w:trHeight w:val="257" w:hRule="atLeast"/>
        </w:trPr>
        <w:tc>
          <w:tcPr>
            <w:tcW w:w="11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日常运行保障</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产出指标质量指标党建工作按照“三会一课”要求，完成学习、教育、活动组织；人才队伍建设，按需求编制数量招聘工作人员。重大事项100%依法依规；定性优</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产出指标质量指标党建工作按照“三会一课”要求，完成学习、教育、活动组织；人才队伍建设，按需求编制数量招聘工作人员。重大事项100%依法依规；定性优</w:t>
            </w:r>
          </w:p>
        </w:tc>
        <w:tc>
          <w:tcPr>
            <w:tcW w:w="612"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488"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c>
          <w:tcPr>
            <w:tcW w:w="332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2"/>
          <w:wAfter w:w="27" w:type="dxa"/>
          <w:cantSplit/>
          <w:trHeight w:val="257" w:hRule="atLeast"/>
        </w:trPr>
        <w:tc>
          <w:tcPr>
            <w:tcW w:w="11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pPr>
          </w:p>
        </w:tc>
        <w:tc>
          <w:tcPr>
            <w:tcW w:w="11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宣传教育</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效益指标社会效益指标为社会各界提供讲解服务，扩大我馆影响力</w:t>
            </w:r>
            <w:r>
              <w:rPr>
                <w:rFonts w:hint="eastAsia" w:ascii="宋体" w:hAnsi="宋体" w:cs="宋体"/>
                <w:color w:val="000000"/>
                <w:kern w:val="0"/>
                <w:sz w:val="22"/>
                <w:szCs w:val="22"/>
                <w:lang w:eastAsia="zh-CN" w:bidi="ar"/>
              </w:rPr>
              <w:t>，</w:t>
            </w:r>
            <w:r>
              <w:rPr>
                <w:rFonts w:hint="eastAsia" w:ascii="宋体" w:hAnsi="宋体" w:cs="宋体"/>
                <w:color w:val="000000"/>
                <w:kern w:val="0"/>
                <w:sz w:val="22"/>
                <w:szCs w:val="22"/>
                <w:lang w:bidi="ar"/>
              </w:rPr>
              <w:t>定性优</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效益指标社会效益指标为社会各界提供讲解服务，扩大我馆影响力</w:t>
            </w:r>
            <w:r>
              <w:rPr>
                <w:rFonts w:hint="eastAsia" w:ascii="宋体" w:hAnsi="宋体" w:cs="宋体"/>
                <w:color w:val="000000"/>
                <w:kern w:val="0"/>
                <w:sz w:val="22"/>
                <w:szCs w:val="22"/>
                <w:lang w:eastAsia="zh-CN" w:bidi="ar"/>
              </w:rPr>
              <w:t>，</w:t>
            </w:r>
            <w:r>
              <w:rPr>
                <w:rFonts w:hint="eastAsia" w:ascii="宋体" w:hAnsi="宋体" w:cs="宋体"/>
                <w:color w:val="000000"/>
                <w:kern w:val="0"/>
                <w:sz w:val="22"/>
                <w:szCs w:val="22"/>
                <w:lang w:bidi="ar"/>
              </w:rPr>
              <w:t>定性优</w:t>
            </w:r>
          </w:p>
        </w:tc>
        <w:tc>
          <w:tcPr>
            <w:tcW w:w="612"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488"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32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2"/>
          <w:wAfter w:w="27" w:type="dxa"/>
          <w:cantSplit/>
          <w:trHeight w:val="257" w:hRule="atLeast"/>
        </w:trPr>
        <w:tc>
          <w:tcPr>
            <w:tcW w:w="11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11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宣传教育</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效益指标社会效益指标提高纪念馆多层次社会影响力，打造品牌公信力。为馆内重点社教活动提供网络宣传技术服务，逐步形成品牌形象。通过舆情监测对纪念馆网络宣传和社会反响起到监测作用，提出网络传播工作指导建议。定性良好</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效益指标社会效益指标提高纪念馆多层次社会影响力，打造品牌公信力。为馆内重点社教活动提供网络宣传技术服务，逐步形成品牌形象。通过舆情监测对纪念馆网络宣传和社会反响起到监测作用，提出网络传播工作指导建议。定性良好</w:t>
            </w:r>
          </w:p>
        </w:tc>
        <w:tc>
          <w:tcPr>
            <w:tcW w:w="612"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488"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32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2"/>
          <w:wAfter w:w="27" w:type="dxa"/>
          <w:cantSplit/>
          <w:trHeight w:val="257" w:hRule="atLeast"/>
        </w:trPr>
        <w:tc>
          <w:tcPr>
            <w:tcW w:w="1148"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11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文物管理</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2"/>
                <w:szCs w:val="22"/>
                <w:lang w:bidi="ar"/>
              </w:rPr>
              <w:t>效益指标可持续影响指标系统正常运行，有利于文物长期有效的管理保护</w:t>
            </w:r>
            <w:r>
              <w:rPr>
                <w:rFonts w:hint="eastAsia" w:ascii="宋体" w:hAnsi="宋体" w:cs="宋体"/>
                <w:color w:val="000000"/>
                <w:kern w:val="0"/>
                <w:sz w:val="22"/>
                <w:szCs w:val="22"/>
                <w:lang w:eastAsia="zh-CN" w:bidi="ar"/>
              </w:rPr>
              <w:t>，</w:t>
            </w:r>
            <w:r>
              <w:rPr>
                <w:rFonts w:hint="eastAsia" w:ascii="宋体" w:hAnsi="宋体" w:cs="宋体"/>
                <w:color w:val="000000"/>
                <w:kern w:val="0"/>
                <w:sz w:val="22"/>
                <w:szCs w:val="22"/>
                <w:lang w:bidi="ar"/>
              </w:rPr>
              <w:t>定性良好</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效益指标可持续影响指标系统正常运行，有利于文物长期有效的管理保护</w:t>
            </w:r>
            <w:r>
              <w:rPr>
                <w:rFonts w:hint="eastAsia" w:ascii="宋体" w:hAnsi="宋体" w:cs="宋体"/>
                <w:color w:val="000000"/>
                <w:kern w:val="0"/>
                <w:sz w:val="22"/>
                <w:szCs w:val="22"/>
                <w:lang w:eastAsia="zh-CN" w:bidi="ar"/>
              </w:rPr>
              <w:t>，</w:t>
            </w:r>
            <w:r>
              <w:rPr>
                <w:rFonts w:hint="eastAsia" w:ascii="宋体" w:hAnsi="宋体" w:cs="宋体"/>
                <w:color w:val="000000"/>
                <w:kern w:val="0"/>
                <w:sz w:val="22"/>
                <w:szCs w:val="22"/>
                <w:lang w:bidi="ar"/>
              </w:rPr>
              <w:t>定性良好</w:t>
            </w:r>
          </w:p>
        </w:tc>
        <w:tc>
          <w:tcPr>
            <w:tcW w:w="612"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488"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320" w:type="dxa"/>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2"/>
          <w:wAfter w:w="27" w:type="dxa"/>
          <w:cantSplit/>
          <w:trHeight w:val="2114" w:hRule="atLeast"/>
        </w:trPr>
        <w:tc>
          <w:tcPr>
            <w:tcW w:w="1148"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1153"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18"/>
                <w:szCs w:val="18"/>
                <w:lang w:bidi="ar"/>
              </w:rPr>
              <w:t>学术研究</w:t>
            </w:r>
          </w:p>
        </w:tc>
        <w:tc>
          <w:tcPr>
            <w:tcW w:w="1658"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效益指标可持续影响指标持续提升民众对香山革命历史的认识；涵养民众的爱国主义情怀。定性良好</w:t>
            </w:r>
          </w:p>
        </w:tc>
        <w:tc>
          <w:tcPr>
            <w:tcW w:w="160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效益指标可持续影响指标持续提升民众对香山革命历史的认识；涵养民众的爱国主义情怀。定性良好</w:t>
            </w:r>
          </w:p>
        </w:tc>
        <w:tc>
          <w:tcPr>
            <w:tcW w:w="612"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488"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075"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c>
          <w:tcPr>
            <w:tcW w:w="3320"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1"/>
          <w:wAfter w:w="10" w:type="dxa"/>
          <w:cantSplit/>
          <w:trHeight w:val="967" w:hRule="atLeast"/>
        </w:trPr>
        <w:tc>
          <w:tcPr>
            <w:tcW w:w="14569" w:type="dxa"/>
            <w:gridSpan w:val="10"/>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cantSplit/>
          <w:trHeight w:val="702" w:hRule="atLeast"/>
        </w:trPr>
        <w:tc>
          <w:tcPr>
            <w:tcW w:w="114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15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4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16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61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48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347"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230" w:hRule="atLeast"/>
        </w:trPr>
        <w:tc>
          <w:tcPr>
            <w:tcW w:w="114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15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4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良好</w:t>
            </w:r>
          </w:p>
        </w:tc>
        <w:tc>
          <w:tcPr>
            <w:tcW w:w="16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良好</w:t>
            </w:r>
          </w:p>
        </w:tc>
        <w:tc>
          <w:tcPr>
            <w:tcW w:w="61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8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　</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3347"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gridAfter w:val="2"/>
          <w:wAfter w:w="27" w:type="dxa"/>
          <w:cantSplit/>
          <w:trHeight w:val="2220" w:hRule="atLeast"/>
        </w:trPr>
        <w:tc>
          <w:tcPr>
            <w:tcW w:w="114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1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良好　</w:t>
            </w:r>
          </w:p>
        </w:tc>
        <w:tc>
          <w:tcPr>
            <w:tcW w:w="16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良好</w:t>
            </w:r>
          </w:p>
        </w:tc>
        <w:tc>
          <w:tcPr>
            <w:tcW w:w="61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48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32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gridAfter w:val="2"/>
          <w:wAfter w:w="27" w:type="dxa"/>
          <w:cantSplit/>
          <w:trHeight w:val="410"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49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65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信息全面准确　</w:t>
            </w:r>
          </w:p>
        </w:tc>
        <w:tc>
          <w:tcPr>
            <w:tcW w:w="160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信息全面准确</w:t>
            </w:r>
          </w:p>
        </w:tc>
        <w:tc>
          <w:tcPr>
            <w:tcW w:w="61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8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　</w:t>
            </w:r>
          </w:p>
        </w:tc>
        <w:tc>
          <w:tcPr>
            <w:tcW w:w="3075"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332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gridAfter w:val="2"/>
          <w:wAfter w:w="27" w:type="dxa"/>
          <w:cantSplit/>
          <w:trHeight w:val="2220"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4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6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管理制度完善执行良好</w:t>
            </w:r>
          </w:p>
        </w:tc>
        <w:tc>
          <w:tcPr>
            <w:tcW w:w="16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管理制度完善执行良好</w:t>
            </w:r>
          </w:p>
        </w:tc>
        <w:tc>
          <w:tcPr>
            <w:tcW w:w="61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　</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332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gridAfter w:val="2"/>
          <w:wAfter w:w="27" w:type="dxa"/>
          <w:cantSplit/>
          <w:trHeight w:val="1210"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49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65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按财政要求管理</w:t>
            </w:r>
          </w:p>
        </w:tc>
        <w:tc>
          <w:tcPr>
            <w:tcW w:w="16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按财政要求管理</w:t>
            </w:r>
          </w:p>
        </w:tc>
        <w:tc>
          <w:tcPr>
            <w:tcW w:w="61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8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　</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332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gridAfter w:val="2"/>
          <w:wAfter w:w="27" w:type="dxa"/>
          <w:cantSplit/>
          <w:trHeight w:val="394"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3156"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2021年</w:t>
            </w:r>
          </w:p>
        </w:tc>
        <w:tc>
          <w:tcPr>
            <w:tcW w:w="16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2022年</w:t>
            </w:r>
          </w:p>
        </w:tc>
        <w:tc>
          <w:tcPr>
            <w:tcW w:w="61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8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320"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gridAfter w:val="2"/>
          <w:wAfter w:w="27" w:type="dxa"/>
          <w:cantSplit/>
          <w:trHeight w:val="2229"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3156"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12.03%</w:t>
            </w:r>
          </w:p>
        </w:tc>
        <w:tc>
          <w:tcPr>
            <w:tcW w:w="160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2"/>
                <w:szCs w:val="22"/>
                <w:lang w:bidi="ar"/>
              </w:rPr>
              <w:t>12.73%　</w:t>
            </w:r>
          </w:p>
        </w:tc>
        <w:tc>
          <w:tcPr>
            <w:tcW w:w="61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8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　</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332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gridAfter w:val="2"/>
          <w:wAfter w:w="27" w:type="dxa"/>
          <w:cantSplit/>
          <w:trHeight w:val="981" w:hRule="atLeast"/>
        </w:trPr>
        <w:tc>
          <w:tcPr>
            <w:tcW w:w="114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color w:val="000000"/>
                <w:kern w:val="0"/>
                <w:sz w:val="20"/>
                <w:szCs w:val="20"/>
              </w:rPr>
            </w:pPr>
          </w:p>
        </w:tc>
        <w:tc>
          <w:tcPr>
            <w:tcW w:w="1153"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3156"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60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2"/>
                <w:szCs w:val="22"/>
                <w:lang w:bidi="ar"/>
              </w:rPr>
              <w:t>-3.23%</w:t>
            </w:r>
          </w:p>
        </w:tc>
        <w:tc>
          <w:tcPr>
            <w:tcW w:w="61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8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　</w:t>
            </w:r>
          </w:p>
        </w:tc>
        <w:tc>
          <w:tcPr>
            <w:tcW w:w="3075"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32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gridAfter w:val="2"/>
          <w:wAfter w:w="27" w:type="dxa"/>
          <w:cantSplit/>
          <w:trHeight w:val="484" w:hRule="atLeast"/>
        </w:trPr>
        <w:tc>
          <w:tcPr>
            <w:tcW w:w="7057"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61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88" w:type="dxa"/>
            <w:tcBorders>
              <w:top w:val="nil"/>
              <w:left w:val="nil"/>
              <w:bottom w:val="single" w:color="auto" w:sz="4" w:space="0"/>
              <w:right w:val="nil"/>
            </w:tcBorders>
            <w:vAlign w:val="center"/>
          </w:tcPr>
          <w:p>
            <w:pPr>
              <w:widowControl/>
              <w:spacing w:line="36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8</w:t>
            </w:r>
            <w:r>
              <w:rPr>
                <w:rFonts w:ascii="宋体" w:hAnsi="宋体" w:cs="宋体"/>
                <w:color w:val="000000"/>
                <w:kern w:val="0"/>
                <w:sz w:val="20"/>
                <w:szCs w:val="20"/>
              </w:rPr>
              <w:t>7</w:t>
            </w:r>
          </w:p>
        </w:tc>
        <w:tc>
          <w:tcPr>
            <w:tcW w:w="6395"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auto"/>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66EF4"/>
    <w:multiLevelType w:val="singleLevel"/>
    <w:tmpl w:val="1C966EF4"/>
    <w:lvl w:ilvl="0" w:tentative="0">
      <w:start w:val="2"/>
      <w:numFmt w:val="chineseCounting"/>
      <w:suff w:val="nothing"/>
      <w:lvlText w:val="（%1）"/>
      <w:lvlJc w:val="left"/>
      <w:rPr>
        <w:rFonts w:hint="eastAsia"/>
      </w:rPr>
    </w:lvl>
  </w:abstractNum>
  <w:abstractNum w:abstractNumId="1">
    <w:nsid w:val="76E3E7CE"/>
    <w:multiLevelType w:val="singleLevel"/>
    <w:tmpl w:val="76E3E7C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FB5C04"/>
    <w:rsid w:val="1A3100E3"/>
    <w:rsid w:val="62FB5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character" w:customStyle="1" w:styleId="6">
    <w:name w:val="font21"/>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2023-06-15T00:14:00Z</dcterms:created>
  <dc:creator>糊涂虫</dc:creator>
  <cp:lastModifiedBy>糊涂虫</cp:lastModifiedBy>
  <dcterms:modified xsi:type="dcterms:W3CDTF">2023-08-14T04:36:28Z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