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5000" w:type="pct"/>
        <w:jc w:val="center"/>
        <w:tblLayout w:type="autofit"/>
        <w:tblCellMar>
          <w:top w:w="0" w:type="dxa"/>
          <w:left w:w="108" w:type="dxa"/>
          <w:bottom w:w="0" w:type="dxa"/>
          <w:right w:w="108" w:type="dxa"/>
        </w:tblCellMar>
      </w:tblPr>
      <w:tblGrid>
        <w:gridCol w:w="616"/>
        <w:gridCol w:w="1042"/>
        <w:gridCol w:w="1181"/>
        <w:gridCol w:w="775"/>
        <w:gridCol w:w="1202"/>
        <w:gridCol w:w="302"/>
        <w:gridCol w:w="909"/>
        <w:gridCol w:w="1210"/>
        <w:gridCol w:w="531"/>
        <w:gridCol w:w="290"/>
        <w:gridCol w:w="430"/>
        <w:gridCol w:w="499"/>
        <w:gridCol w:w="867"/>
      </w:tblGrid>
      <w:tr>
        <w:tblPrEx>
          <w:tblCellMar>
            <w:top w:w="0" w:type="dxa"/>
            <w:left w:w="108" w:type="dxa"/>
            <w:bottom w:w="0" w:type="dxa"/>
            <w:right w:w="108" w:type="dxa"/>
          </w:tblCellMar>
        </w:tblPrEx>
        <w:trPr>
          <w:trHeight w:val="340" w:hRule="exact"/>
          <w:jc w:val="center"/>
        </w:trPr>
        <w:tc>
          <w:tcPr>
            <w:tcW w:w="84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项目名称</w:t>
            </w:r>
          </w:p>
        </w:tc>
        <w:tc>
          <w:tcPr>
            <w:tcW w:w="4157" w:type="pct"/>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北京市地震局预算绩效管理</w:t>
            </w:r>
          </w:p>
        </w:tc>
      </w:tr>
      <w:tr>
        <w:tblPrEx>
          <w:tblCellMar>
            <w:top w:w="0" w:type="dxa"/>
            <w:left w:w="108" w:type="dxa"/>
            <w:bottom w:w="0" w:type="dxa"/>
            <w:right w:w="108" w:type="dxa"/>
          </w:tblCellMar>
        </w:tblPrEx>
        <w:trPr>
          <w:trHeight w:val="340" w:hRule="exact"/>
          <w:jc w:val="center"/>
        </w:trPr>
        <w:tc>
          <w:tcPr>
            <w:tcW w:w="84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主管部门</w:t>
            </w:r>
          </w:p>
        </w:tc>
        <w:tc>
          <w:tcPr>
            <w:tcW w:w="2216"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北京市地震局</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实施单位</w:t>
            </w:r>
          </w:p>
        </w:tc>
        <w:tc>
          <w:tcPr>
            <w:tcW w:w="1327"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北京市地震局</w:t>
            </w:r>
          </w:p>
        </w:tc>
      </w:tr>
      <w:tr>
        <w:tblPrEx>
          <w:tblCellMar>
            <w:top w:w="0" w:type="dxa"/>
            <w:left w:w="108" w:type="dxa"/>
            <w:bottom w:w="0" w:type="dxa"/>
            <w:right w:w="108" w:type="dxa"/>
          </w:tblCellMar>
        </w:tblPrEx>
        <w:trPr>
          <w:trHeight w:val="340" w:hRule="exact"/>
          <w:jc w:val="center"/>
        </w:trPr>
        <w:tc>
          <w:tcPr>
            <w:tcW w:w="84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项目负责人</w:t>
            </w:r>
          </w:p>
        </w:tc>
        <w:tc>
          <w:tcPr>
            <w:tcW w:w="2216"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王薇</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联系电话</w:t>
            </w:r>
          </w:p>
        </w:tc>
        <w:tc>
          <w:tcPr>
            <w:tcW w:w="1327"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83012135</w:t>
            </w:r>
          </w:p>
        </w:tc>
      </w:tr>
      <w:tr>
        <w:tblPrEx>
          <w:tblCellMar>
            <w:top w:w="0" w:type="dxa"/>
            <w:left w:w="108" w:type="dxa"/>
            <w:bottom w:w="0" w:type="dxa"/>
            <w:right w:w="108" w:type="dxa"/>
          </w:tblCellMar>
        </w:tblPrEx>
        <w:trPr>
          <w:trHeight w:val="567" w:hRule="exact"/>
          <w:jc w:val="center"/>
        </w:trPr>
        <w:tc>
          <w:tcPr>
            <w:tcW w:w="842"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项目资金</w:t>
            </w:r>
            <w:r>
              <w:rPr>
                <w:rFonts w:hint="eastAsia" w:ascii="仿宋" w:hAnsi="仿宋" w:eastAsia="仿宋" w:cs="仿宋"/>
                <w:kern w:val="0"/>
                <w:sz w:val="21"/>
                <w:szCs w:val="21"/>
              </w:rPr>
              <w:br w:type="textWrapping"/>
            </w:r>
            <w:r>
              <w:rPr>
                <w:rFonts w:hint="eastAsia" w:ascii="仿宋" w:hAnsi="仿宋" w:eastAsia="仿宋" w:cs="仿宋"/>
                <w:kern w:val="0"/>
                <w:sz w:val="21"/>
                <w:szCs w:val="21"/>
              </w:rPr>
              <w:t>（万元）</w:t>
            </w:r>
          </w:p>
        </w:tc>
        <w:tc>
          <w:tcPr>
            <w:tcW w:w="9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610"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年初预</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算数</w:t>
            </w:r>
          </w:p>
        </w:tc>
        <w:tc>
          <w:tcPr>
            <w:tcW w:w="61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全年预</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算数</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全年</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执行数</w:t>
            </w:r>
          </w:p>
        </w:tc>
        <w:tc>
          <w:tcPr>
            <w:tcW w:w="4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47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执行率</w:t>
            </w:r>
          </w:p>
        </w:tc>
        <w:tc>
          <w:tcPr>
            <w:tcW w:w="439"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340" w:hRule="exact"/>
          <w:jc w:val="center"/>
        </w:trPr>
        <w:tc>
          <w:tcPr>
            <w:tcW w:w="84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9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年度资金总额</w:t>
            </w:r>
          </w:p>
        </w:tc>
        <w:tc>
          <w:tcPr>
            <w:tcW w:w="610"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48.6</w:t>
            </w:r>
          </w:p>
        </w:tc>
        <w:tc>
          <w:tcPr>
            <w:tcW w:w="61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48.6</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39.2</w:t>
            </w:r>
          </w:p>
        </w:tc>
        <w:tc>
          <w:tcPr>
            <w:tcW w:w="4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47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80.66%</w:t>
            </w:r>
          </w:p>
        </w:tc>
        <w:tc>
          <w:tcPr>
            <w:tcW w:w="439"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8.06</w:t>
            </w:r>
          </w:p>
        </w:tc>
      </w:tr>
      <w:tr>
        <w:tblPrEx>
          <w:tblCellMar>
            <w:top w:w="0" w:type="dxa"/>
            <w:left w:w="108" w:type="dxa"/>
            <w:bottom w:w="0" w:type="dxa"/>
            <w:right w:w="108" w:type="dxa"/>
          </w:tblCellMar>
        </w:tblPrEx>
        <w:trPr>
          <w:trHeight w:val="601" w:hRule="exact"/>
          <w:jc w:val="center"/>
        </w:trPr>
        <w:tc>
          <w:tcPr>
            <w:tcW w:w="84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其中：当年财政</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拨款</w:t>
            </w:r>
          </w:p>
        </w:tc>
        <w:tc>
          <w:tcPr>
            <w:tcW w:w="610"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48.6</w:t>
            </w:r>
          </w:p>
        </w:tc>
        <w:tc>
          <w:tcPr>
            <w:tcW w:w="61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48.6</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39.2</w:t>
            </w:r>
          </w:p>
        </w:tc>
        <w:tc>
          <w:tcPr>
            <w:tcW w:w="4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7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80.66%</w:t>
            </w:r>
          </w:p>
        </w:tc>
        <w:tc>
          <w:tcPr>
            <w:tcW w:w="439"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340" w:hRule="exact"/>
          <w:jc w:val="center"/>
        </w:trPr>
        <w:tc>
          <w:tcPr>
            <w:tcW w:w="84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上年结转资金</w:t>
            </w:r>
          </w:p>
        </w:tc>
        <w:tc>
          <w:tcPr>
            <w:tcW w:w="610"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61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7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39"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340" w:hRule="exact"/>
          <w:jc w:val="center"/>
        </w:trPr>
        <w:tc>
          <w:tcPr>
            <w:tcW w:w="84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 xml:space="preserve">  其他资金</w:t>
            </w:r>
          </w:p>
        </w:tc>
        <w:tc>
          <w:tcPr>
            <w:tcW w:w="610"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61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6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7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39"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340" w:hRule="exact"/>
          <w:jc w:val="center"/>
        </w:trPr>
        <w:tc>
          <w:tcPr>
            <w:tcW w:w="313"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年度总体目标</w:t>
            </w:r>
          </w:p>
        </w:tc>
        <w:tc>
          <w:tcPr>
            <w:tcW w:w="2745"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预期目标</w:t>
            </w:r>
          </w:p>
        </w:tc>
        <w:tc>
          <w:tcPr>
            <w:tcW w:w="1940"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实际完成情况</w:t>
            </w:r>
          </w:p>
        </w:tc>
      </w:tr>
      <w:tr>
        <w:tblPrEx>
          <w:tblCellMar>
            <w:top w:w="0" w:type="dxa"/>
            <w:left w:w="108" w:type="dxa"/>
            <w:bottom w:w="0" w:type="dxa"/>
            <w:right w:w="108" w:type="dxa"/>
          </w:tblCellMar>
        </w:tblPrEx>
        <w:trPr>
          <w:trHeight w:val="1984" w:hRule="exact"/>
          <w:jc w:val="center"/>
        </w:trPr>
        <w:tc>
          <w:tcPr>
            <w:tcW w:w="313"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2745" w:type="pct"/>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根据财政要求，开展绩效目标管理、项目预算评审、绩效跟踪、项目绩效自评及相关预算绩效管理研究等方面的工作，以进一步加强部门预算绩效管理，提升财政资金使用效益。</w:t>
            </w:r>
          </w:p>
        </w:tc>
        <w:tc>
          <w:tcPr>
            <w:tcW w:w="1940" w:type="pct"/>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为深化全过程预算绩效管理，提高成本绩效意识，提高预算执行效率和资金使用效益，根据财政要求，我单位2022年度完成了</w:t>
            </w:r>
            <w:r>
              <w:rPr>
                <w:rFonts w:hint="eastAsia" w:ascii="仿宋" w:hAnsi="仿宋" w:eastAsia="仿宋" w:cs="仿宋"/>
                <w:kern w:val="0"/>
                <w:sz w:val="21"/>
                <w:szCs w:val="21"/>
                <w:lang w:val="en-US" w:eastAsia="zh-CN"/>
              </w:rPr>
              <w:t>预算评审、成本绩效分析、绩效评价等工作，有效提升了我单位财政资金使用效益，</w:t>
            </w:r>
            <w:r>
              <w:rPr>
                <w:rFonts w:hint="eastAsia" w:ascii="仿宋" w:hAnsi="仿宋" w:eastAsia="仿宋" w:cs="仿宋"/>
                <w:kern w:val="0"/>
                <w:sz w:val="21"/>
                <w:szCs w:val="21"/>
              </w:rPr>
              <w:t>有效提高了单位绩效管理水平</w:t>
            </w:r>
            <w:r>
              <w:rPr>
                <w:rFonts w:hint="eastAsia" w:ascii="仿宋" w:hAnsi="仿宋" w:eastAsia="仿宋" w:cs="仿宋"/>
                <w:kern w:val="0"/>
                <w:sz w:val="21"/>
                <w:szCs w:val="21"/>
                <w:lang w:val="en-US" w:eastAsia="zh-CN"/>
              </w:rPr>
              <w:t>。</w:t>
            </w:r>
          </w:p>
        </w:tc>
      </w:tr>
      <w:tr>
        <w:tblPrEx>
          <w:tblCellMar>
            <w:top w:w="0" w:type="dxa"/>
            <w:left w:w="108" w:type="dxa"/>
            <w:bottom w:w="0" w:type="dxa"/>
            <w:right w:w="108" w:type="dxa"/>
          </w:tblCellMar>
        </w:tblPrEx>
        <w:trPr>
          <w:trHeight w:val="737" w:hRule="exact"/>
          <w:jc w:val="center"/>
        </w:trPr>
        <w:tc>
          <w:tcPr>
            <w:tcW w:w="31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绩</w:t>
            </w:r>
            <w:r>
              <w:rPr>
                <w:rFonts w:hint="eastAsia" w:ascii="仿宋" w:hAnsi="仿宋" w:eastAsia="仿宋" w:cs="仿宋"/>
                <w:kern w:val="0"/>
                <w:sz w:val="21"/>
                <w:szCs w:val="21"/>
              </w:rPr>
              <w:br w:type="textWrapping"/>
            </w:r>
            <w:r>
              <w:rPr>
                <w:rFonts w:hint="eastAsia" w:ascii="仿宋" w:hAnsi="仿宋" w:eastAsia="仿宋" w:cs="仿宋"/>
                <w:kern w:val="0"/>
                <w:sz w:val="21"/>
                <w:szCs w:val="21"/>
              </w:rPr>
              <w:t>效</w:t>
            </w:r>
            <w:r>
              <w:rPr>
                <w:rFonts w:hint="eastAsia" w:ascii="仿宋" w:hAnsi="仿宋" w:eastAsia="仿宋" w:cs="仿宋"/>
                <w:kern w:val="0"/>
                <w:sz w:val="21"/>
                <w:szCs w:val="21"/>
              </w:rPr>
              <w:br w:type="textWrapping"/>
            </w:r>
            <w:r>
              <w:rPr>
                <w:rFonts w:hint="eastAsia" w:ascii="仿宋" w:hAnsi="仿宋" w:eastAsia="仿宋" w:cs="仿宋"/>
                <w:kern w:val="0"/>
                <w:sz w:val="21"/>
                <w:szCs w:val="21"/>
              </w:rPr>
              <w:t>指</w:t>
            </w:r>
            <w:r>
              <w:rPr>
                <w:rFonts w:hint="eastAsia" w:ascii="仿宋" w:hAnsi="仿宋" w:eastAsia="仿宋" w:cs="仿宋"/>
                <w:kern w:val="0"/>
                <w:sz w:val="21"/>
                <w:szCs w:val="21"/>
              </w:rPr>
              <w:br w:type="textWrapping"/>
            </w:r>
            <w:r>
              <w:rPr>
                <w:rFonts w:hint="eastAsia" w:ascii="仿宋" w:hAnsi="仿宋" w:eastAsia="仿宋" w:cs="仿宋"/>
                <w:kern w:val="0"/>
                <w:sz w:val="21"/>
                <w:szCs w:val="21"/>
              </w:rPr>
              <w:t>标</w:t>
            </w:r>
          </w:p>
        </w:tc>
        <w:tc>
          <w:tcPr>
            <w:tcW w:w="52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59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三级指标</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年度</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指标值</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完成值</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得分</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偏差原因分析及改进</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措施</w:t>
            </w:r>
          </w:p>
        </w:tc>
      </w:tr>
      <w:tr>
        <w:tblPrEx>
          <w:tblCellMar>
            <w:top w:w="0" w:type="dxa"/>
            <w:left w:w="108" w:type="dxa"/>
            <w:bottom w:w="0" w:type="dxa"/>
            <w:right w:w="108" w:type="dxa"/>
          </w:tblCellMar>
        </w:tblPrEx>
        <w:trPr>
          <w:trHeight w:val="454"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产出指标</w:t>
            </w:r>
          </w:p>
        </w:tc>
        <w:tc>
          <w:tcPr>
            <w:tcW w:w="59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数量指标</w:t>
            </w: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绩效评分工作</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1项</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1项</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550"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其他预算绩效管理工作</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1项</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1项</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567"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完成项目绩效自评</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≥14个</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15个</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567"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完成绩效目标审核</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≥14个</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24个</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567"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完成项目预算评审</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≤35个</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24个</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1871"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完成绩效跟踪</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≥14个</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12个</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2.14</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根据实际项目数量开展，后续加强</w:t>
            </w:r>
            <w:r>
              <w:rPr>
                <w:rFonts w:hint="eastAsia" w:ascii="仿宋" w:hAnsi="仿宋" w:eastAsia="仿宋" w:cs="仿宋"/>
                <w:kern w:val="0"/>
                <w:sz w:val="21"/>
                <w:szCs w:val="21"/>
                <w:lang w:val="en-US" w:eastAsia="zh-CN"/>
              </w:rPr>
              <w:t>经验总结，合理预设年度目标。</w:t>
            </w:r>
          </w:p>
        </w:tc>
      </w:tr>
      <w:tr>
        <w:tblPrEx>
          <w:tblCellMar>
            <w:top w:w="0" w:type="dxa"/>
            <w:left w:w="108" w:type="dxa"/>
            <w:bottom w:w="0" w:type="dxa"/>
            <w:right w:w="108" w:type="dxa"/>
          </w:tblCellMar>
        </w:tblPrEx>
        <w:trPr>
          <w:trHeight w:val="1020"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质量指标</w:t>
            </w: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出具报告质量符合相关文件规定的质量要求</w:t>
            </w:r>
          </w:p>
        </w:tc>
        <w:tc>
          <w:tcPr>
            <w:tcW w:w="46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符合要求</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符合</w:t>
            </w:r>
            <w:r>
              <w:rPr>
                <w:rFonts w:hint="eastAsia" w:ascii="仿宋" w:hAnsi="仿宋" w:eastAsia="仿宋" w:cs="仿宋"/>
                <w:kern w:val="0"/>
                <w:sz w:val="21"/>
                <w:szCs w:val="21"/>
                <w:lang w:val="en-US" w:eastAsia="zh-CN"/>
              </w:rPr>
              <w:t>相关文件要求</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15</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794"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时效指标</w:t>
            </w: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制定工作计划、项目实施方案</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2022年1月</w:t>
            </w:r>
          </w:p>
        </w:tc>
        <w:tc>
          <w:tcPr>
            <w:tcW w:w="612"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1月</w:t>
            </w:r>
          </w:p>
        </w:tc>
        <w:tc>
          <w:tcPr>
            <w:tcW w:w="269"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65" w:type="pct"/>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1082"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按照北京市财政局关于预算绩效管理相关工作的时间进度安排执行</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2022年1月-12月</w:t>
            </w:r>
          </w:p>
        </w:tc>
        <w:tc>
          <w:tcPr>
            <w:tcW w:w="612"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1-12月</w:t>
            </w:r>
          </w:p>
        </w:tc>
        <w:tc>
          <w:tcPr>
            <w:tcW w:w="269"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65" w:type="pct"/>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910"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项目验收</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2022年12月</w:t>
            </w:r>
          </w:p>
        </w:tc>
        <w:tc>
          <w:tcPr>
            <w:tcW w:w="612"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12月</w:t>
            </w:r>
          </w:p>
        </w:tc>
        <w:tc>
          <w:tcPr>
            <w:tcW w:w="269"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365" w:type="pct"/>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4</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1074"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成本指标</w:t>
            </w:r>
          </w:p>
        </w:tc>
        <w:tc>
          <w:tcPr>
            <w:tcW w:w="1156" w:type="pct"/>
            <w:gridSpan w:val="3"/>
            <w:tcBorders>
              <w:top w:val="single" w:color="auto" w:sz="4" w:space="0"/>
              <w:left w:val="nil"/>
              <w:bottom w:val="single" w:color="auto" w:sz="4" w:space="0"/>
              <w:right w:val="single" w:color="auto" w:sz="4" w:space="0"/>
            </w:tcBorders>
            <w:vAlign w:val="center"/>
          </w:tcPr>
          <w:p>
            <w:pPr>
              <w:widowControl/>
              <w:jc w:val="left"/>
              <w:rPr>
                <w:rFonts w:hint="eastAsia" w:ascii="仿宋" w:hAnsi="仿宋" w:eastAsia="仿宋" w:cs="仿宋"/>
                <w:sz w:val="21"/>
                <w:szCs w:val="21"/>
              </w:rPr>
            </w:pPr>
            <w:r>
              <w:rPr>
                <w:rFonts w:hint="eastAsia" w:ascii="仿宋" w:hAnsi="仿宋" w:eastAsia="仿宋" w:cs="仿宋"/>
                <w:sz w:val="21"/>
                <w:szCs w:val="21"/>
              </w:rPr>
              <w:t>项目预算控制数</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≤48.6万元</w:t>
            </w:r>
          </w:p>
        </w:tc>
        <w:tc>
          <w:tcPr>
            <w:tcW w:w="612"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39.2万元</w:t>
            </w:r>
          </w:p>
        </w:tc>
        <w:tc>
          <w:tcPr>
            <w:tcW w:w="269"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365" w:type="pct"/>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2264"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效益指标</w:t>
            </w:r>
          </w:p>
        </w:tc>
        <w:tc>
          <w:tcPr>
            <w:tcW w:w="599"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社会效益</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1156" w:type="pct"/>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bidi="ar"/>
              </w:rPr>
              <w:t>财政资金的使用效益</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提升效果显著</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开展预算评审工作有效提升了资金的使用效益。</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13</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基本达到预期目标，绩效成果资料待更全面，后续进一步加强资料收集整理。</w:t>
            </w:r>
          </w:p>
        </w:tc>
      </w:tr>
      <w:tr>
        <w:tblPrEx>
          <w:tblCellMar>
            <w:top w:w="0" w:type="dxa"/>
            <w:left w:w="108" w:type="dxa"/>
            <w:bottom w:w="0" w:type="dxa"/>
            <w:right w:w="108" w:type="dxa"/>
          </w:tblCellMar>
        </w:tblPrEx>
        <w:trPr>
          <w:trHeight w:val="2114"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99"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156" w:type="pct"/>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bidi="ar"/>
              </w:rPr>
              <w:t>单位预算绩效管理水平效果显著</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有效提高</w:t>
            </w:r>
          </w:p>
        </w:tc>
        <w:tc>
          <w:tcPr>
            <w:tcW w:w="612" w:type="pct"/>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开展预算绩效管理工作有效提高了单位绩效管理水平。</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15</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13</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基本达到预期目标，绩效成果资料待更全面，后续进一步加强资料收集整理。</w:t>
            </w:r>
          </w:p>
        </w:tc>
      </w:tr>
      <w:tr>
        <w:tblPrEx>
          <w:tblCellMar>
            <w:top w:w="0" w:type="dxa"/>
            <w:left w:w="108" w:type="dxa"/>
            <w:bottom w:w="0" w:type="dxa"/>
            <w:right w:w="108" w:type="dxa"/>
          </w:tblCellMar>
        </w:tblPrEx>
        <w:trPr>
          <w:trHeight w:val="850" w:hRule="exact"/>
          <w:jc w:val="center"/>
        </w:trPr>
        <w:tc>
          <w:tcPr>
            <w:tcW w:w="31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8"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满意度</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指标</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服务对象满意度标</w:t>
            </w:r>
          </w:p>
        </w:tc>
        <w:tc>
          <w:tcPr>
            <w:tcW w:w="1156" w:type="pct"/>
            <w:gridSpan w:val="3"/>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相关人员投诉率</w:t>
            </w:r>
          </w:p>
        </w:tc>
        <w:tc>
          <w:tcPr>
            <w:tcW w:w="461"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0%</w:t>
            </w:r>
          </w:p>
        </w:tc>
        <w:tc>
          <w:tcPr>
            <w:tcW w:w="612"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0%</w:t>
            </w:r>
          </w:p>
        </w:tc>
        <w:tc>
          <w:tcPr>
            <w:tcW w:w="269" w:type="pct"/>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365" w:type="pct"/>
            <w:gridSpan w:val="2"/>
            <w:tcBorders>
              <w:top w:val="single" w:color="auto" w:sz="4" w:space="0"/>
              <w:left w:val="nil"/>
              <w:bottom w:val="single" w:color="auto" w:sz="4" w:space="0"/>
              <w:right w:val="single" w:color="auto" w:sz="4" w:space="0"/>
            </w:tcBorders>
            <w:vAlign w:val="center"/>
          </w:tcPr>
          <w:p>
            <w:pPr>
              <w:jc w:val="center"/>
              <w:rPr>
                <w:rFonts w:hint="eastAsia" w:ascii="仿宋" w:hAnsi="仿宋" w:eastAsia="仿宋" w:cs="仿宋"/>
                <w:sz w:val="21"/>
                <w:szCs w:val="21"/>
              </w:rPr>
            </w:pPr>
            <w:r>
              <w:rPr>
                <w:rFonts w:hint="eastAsia" w:ascii="仿宋" w:hAnsi="仿宋" w:eastAsia="仿宋" w:cs="仿宋"/>
                <w:sz w:val="21"/>
                <w:szCs w:val="21"/>
              </w:rPr>
              <w:t>10</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477" w:hRule="exact"/>
          <w:jc w:val="center"/>
        </w:trPr>
        <w:tc>
          <w:tcPr>
            <w:tcW w:w="3672" w:type="pct"/>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26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3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93.7</w:t>
            </w:r>
          </w:p>
        </w:tc>
        <w:tc>
          <w:tcPr>
            <w:tcW w:w="69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bl>
    <w:p>
      <w:pPr>
        <w:rPr>
          <w:rFonts w:ascii="仿宋_GB2312" w:eastAsia="仿宋_GB2312"/>
          <w:vanish/>
          <w:sz w:val="32"/>
          <w:szCs w:val="32"/>
        </w:rPr>
      </w:pPr>
    </w:p>
    <w:p>
      <w: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tbl>
      <w:tblPr>
        <w:tblStyle w:val="3"/>
        <w:tblpPr w:leftFromText="180" w:rightFromText="180" w:vertAnchor="text" w:horzAnchor="page" w:tblpX="1577" w:tblpY="235"/>
        <w:tblOverlap w:val="never"/>
        <w:tblW w:w="4999" w:type="pct"/>
        <w:tblInd w:w="0" w:type="dxa"/>
        <w:tblLayout w:type="autofit"/>
        <w:tblCellMar>
          <w:top w:w="0" w:type="dxa"/>
          <w:left w:w="108" w:type="dxa"/>
          <w:bottom w:w="0" w:type="dxa"/>
          <w:right w:w="108" w:type="dxa"/>
        </w:tblCellMar>
      </w:tblPr>
      <w:tblGrid>
        <w:gridCol w:w="636"/>
        <w:gridCol w:w="811"/>
        <w:gridCol w:w="1039"/>
        <w:gridCol w:w="993"/>
        <w:gridCol w:w="932"/>
        <w:gridCol w:w="1112"/>
        <w:gridCol w:w="1029"/>
        <w:gridCol w:w="836"/>
        <w:gridCol w:w="75"/>
        <w:gridCol w:w="692"/>
        <w:gridCol w:w="148"/>
        <w:gridCol w:w="773"/>
        <w:gridCol w:w="776"/>
      </w:tblGrid>
      <w:tr>
        <w:tblPrEx>
          <w:tblCellMar>
            <w:top w:w="0" w:type="dxa"/>
            <w:left w:w="108" w:type="dxa"/>
            <w:bottom w:w="0" w:type="dxa"/>
            <w:right w:w="108" w:type="dxa"/>
          </w:tblCellMar>
        </w:tblPrEx>
        <w:trPr>
          <w:trHeight w:val="397" w:hRule="exact"/>
        </w:trPr>
        <w:tc>
          <w:tcPr>
            <w:tcW w:w="735"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项目名称</w:t>
            </w:r>
          </w:p>
        </w:tc>
        <w:tc>
          <w:tcPr>
            <w:tcW w:w="4264" w:type="pct"/>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sz w:val="21"/>
                <w:szCs w:val="21"/>
              </w:rPr>
              <w:t>北京市地震监测台网运行维护</w:t>
            </w:r>
          </w:p>
        </w:tc>
      </w:tr>
      <w:tr>
        <w:tblPrEx>
          <w:tblCellMar>
            <w:top w:w="0" w:type="dxa"/>
            <w:left w:w="108" w:type="dxa"/>
            <w:bottom w:w="0" w:type="dxa"/>
            <w:right w:w="108" w:type="dxa"/>
          </w:tblCellMar>
        </w:tblPrEx>
        <w:trPr>
          <w:trHeight w:val="397" w:hRule="exact"/>
        </w:trPr>
        <w:tc>
          <w:tcPr>
            <w:tcW w:w="735"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主管部门</w:t>
            </w:r>
          </w:p>
        </w:tc>
        <w:tc>
          <w:tcPr>
            <w:tcW w:w="2068"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sz w:val="21"/>
                <w:szCs w:val="21"/>
              </w:rPr>
              <w:t>北京市地震局</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实施单位</w:t>
            </w:r>
          </w:p>
        </w:tc>
        <w:tc>
          <w:tcPr>
            <w:tcW w:w="1250"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sz w:val="21"/>
                <w:szCs w:val="21"/>
              </w:rPr>
              <w:t>北京市地震局</w:t>
            </w:r>
          </w:p>
        </w:tc>
      </w:tr>
      <w:tr>
        <w:tblPrEx>
          <w:tblCellMar>
            <w:top w:w="0" w:type="dxa"/>
            <w:left w:w="108" w:type="dxa"/>
            <w:bottom w:w="0" w:type="dxa"/>
            <w:right w:w="108" w:type="dxa"/>
          </w:tblCellMar>
        </w:tblPrEx>
        <w:trPr>
          <w:trHeight w:val="397" w:hRule="exact"/>
        </w:trPr>
        <w:tc>
          <w:tcPr>
            <w:tcW w:w="735"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项目负责人</w:t>
            </w:r>
          </w:p>
        </w:tc>
        <w:tc>
          <w:tcPr>
            <w:tcW w:w="2068"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sz w:val="21"/>
                <w:szCs w:val="21"/>
              </w:rPr>
              <w:t>白立新</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联系电话</w:t>
            </w:r>
          </w:p>
        </w:tc>
        <w:tc>
          <w:tcPr>
            <w:tcW w:w="1250"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83012153</w:t>
            </w:r>
          </w:p>
        </w:tc>
      </w:tr>
      <w:tr>
        <w:tblPrEx>
          <w:tblCellMar>
            <w:top w:w="0" w:type="dxa"/>
            <w:left w:w="108" w:type="dxa"/>
            <w:bottom w:w="0" w:type="dxa"/>
            <w:right w:w="108" w:type="dxa"/>
          </w:tblCellMar>
        </w:tblPrEx>
        <w:trPr>
          <w:trHeight w:val="680" w:hRule="exact"/>
        </w:trPr>
        <w:tc>
          <w:tcPr>
            <w:tcW w:w="735"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项目资金</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（万元）</w:t>
            </w:r>
          </w:p>
        </w:tc>
        <w:tc>
          <w:tcPr>
            <w:tcW w:w="103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7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年初预算数</w:t>
            </w:r>
          </w:p>
        </w:tc>
        <w:tc>
          <w:tcPr>
            <w:tcW w:w="5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全年预</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算数</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全年</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执行数</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执行率</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得分</w:t>
            </w:r>
          </w:p>
        </w:tc>
      </w:tr>
      <w:tr>
        <w:tblPrEx>
          <w:tblCellMar>
            <w:top w:w="0" w:type="dxa"/>
            <w:left w:w="108" w:type="dxa"/>
            <w:bottom w:w="0" w:type="dxa"/>
            <w:right w:w="108" w:type="dxa"/>
          </w:tblCellMar>
        </w:tblPrEx>
        <w:trPr>
          <w:trHeight w:val="397" w:hRule="exact"/>
        </w:trPr>
        <w:tc>
          <w:tcPr>
            <w:tcW w:w="7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031"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年度资金总额</w:t>
            </w:r>
          </w:p>
        </w:tc>
        <w:tc>
          <w:tcPr>
            <w:tcW w:w="47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108.11</w:t>
            </w:r>
          </w:p>
        </w:tc>
        <w:tc>
          <w:tcPr>
            <w:tcW w:w="5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108.11</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96.1277</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88.92%</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8.89</w:t>
            </w:r>
          </w:p>
        </w:tc>
      </w:tr>
      <w:tr>
        <w:tblPrEx>
          <w:tblCellMar>
            <w:top w:w="0" w:type="dxa"/>
            <w:left w:w="108" w:type="dxa"/>
            <w:bottom w:w="0" w:type="dxa"/>
            <w:right w:w="108" w:type="dxa"/>
          </w:tblCellMar>
        </w:tblPrEx>
        <w:trPr>
          <w:trHeight w:val="567" w:hRule="exact"/>
        </w:trPr>
        <w:tc>
          <w:tcPr>
            <w:tcW w:w="7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031"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其中：当年财政拨款</w:t>
            </w:r>
          </w:p>
        </w:tc>
        <w:tc>
          <w:tcPr>
            <w:tcW w:w="47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108.11</w:t>
            </w:r>
          </w:p>
        </w:tc>
        <w:tc>
          <w:tcPr>
            <w:tcW w:w="5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108.11</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96.1277</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88.92%</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397" w:hRule="exact"/>
        </w:trPr>
        <w:tc>
          <w:tcPr>
            <w:tcW w:w="7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031"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上年结转资金</w:t>
            </w:r>
          </w:p>
        </w:tc>
        <w:tc>
          <w:tcPr>
            <w:tcW w:w="47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5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397" w:hRule="exact"/>
        </w:trPr>
        <w:tc>
          <w:tcPr>
            <w:tcW w:w="73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1031"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其他资金</w:t>
            </w:r>
          </w:p>
        </w:tc>
        <w:tc>
          <w:tcPr>
            <w:tcW w:w="47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5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94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w:t>
            </w:r>
          </w:p>
        </w:tc>
      </w:tr>
      <w:tr>
        <w:tblPrEx>
          <w:tblCellMar>
            <w:top w:w="0" w:type="dxa"/>
            <w:left w:w="108" w:type="dxa"/>
            <w:bottom w:w="0" w:type="dxa"/>
            <w:right w:w="108" w:type="dxa"/>
          </w:tblCellMar>
        </w:tblPrEx>
        <w:trPr>
          <w:trHeight w:val="548" w:hRule="exact"/>
        </w:trPr>
        <w:tc>
          <w:tcPr>
            <w:tcW w:w="323"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年度总体目标</w:t>
            </w:r>
          </w:p>
        </w:tc>
        <w:tc>
          <w:tcPr>
            <w:tcW w:w="2480"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预期目标</w:t>
            </w:r>
          </w:p>
        </w:tc>
        <w:tc>
          <w:tcPr>
            <w:tcW w:w="2195" w:type="pct"/>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实际完成情况</w:t>
            </w:r>
          </w:p>
        </w:tc>
      </w:tr>
      <w:tr>
        <w:tblPrEx>
          <w:tblCellMar>
            <w:top w:w="0" w:type="dxa"/>
            <w:left w:w="108" w:type="dxa"/>
            <w:bottom w:w="0" w:type="dxa"/>
            <w:right w:w="108" w:type="dxa"/>
          </w:tblCellMar>
        </w:tblPrEx>
        <w:trPr>
          <w:trHeight w:val="2003" w:hRule="exact"/>
        </w:trPr>
        <w:tc>
          <w:tcPr>
            <w:tcW w:w="323"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2480" w:type="pct"/>
            <w:gridSpan w:val="5"/>
            <w:tcBorders>
              <w:top w:val="single" w:color="auto" w:sz="4" w:space="0"/>
              <w:left w:val="nil"/>
              <w:bottom w:val="single" w:color="auto" w:sz="4" w:space="0"/>
              <w:right w:val="single" w:color="auto" w:sz="4" w:space="0"/>
            </w:tcBorders>
            <w:vAlign w:val="center"/>
          </w:tcPr>
          <w:p>
            <w:pPr>
              <w:widowControl/>
              <w:numPr>
                <w:ilvl w:val="0"/>
                <w:numId w:val="1"/>
              </w:numPr>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完成台站看护费支付、地震数据采集器购置，无线通讯设备购置，强震仪设备改造等。</w:t>
            </w:r>
          </w:p>
          <w:p>
            <w:pPr>
              <w:widowControl/>
              <w:numPr>
                <w:ilvl w:val="0"/>
                <w:numId w:val="1"/>
              </w:numPr>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保障北京市地震监测台网正常运行。</w:t>
            </w:r>
          </w:p>
        </w:tc>
        <w:tc>
          <w:tcPr>
            <w:tcW w:w="2195" w:type="pct"/>
            <w:gridSpan w:val="7"/>
            <w:tcBorders>
              <w:top w:val="single" w:color="auto" w:sz="4" w:space="0"/>
              <w:left w:val="nil"/>
              <w:bottom w:val="single" w:color="auto" w:sz="4" w:space="0"/>
              <w:right w:val="single" w:color="auto" w:sz="4" w:space="0"/>
            </w:tcBorders>
            <w:vAlign w:val="center"/>
          </w:tcPr>
          <w:p>
            <w:pPr>
              <w:widowControl/>
              <w:numPr>
                <w:ilvl w:val="0"/>
                <w:numId w:val="2"/>
              </w:numPr>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完成4套6通道数据采集器设备采购支付；完成40套无线路由设备采购支付；完成10套etna老旧强震计升级改造采购支付；完成269台台站看护费支付。</w:t>
            </w:r>
          </w:p>
          <w:p>
            <w:pPr>
              <w:widowControl/>
              <w:numPr>
                <w:ilvl w:val="0"/>
                <w:numId w:val="2"/>
              </w:numPr>
              <w:spacing w:line="240" w:lineRule="exact"/>
              <w:jc w:val="left"/>
              <w:rPr>
                <w:rFonts w:hint="eastAsia" w:ascii="仿宋" w:hAnsi="仿宋" w:eastAsia="仿宋" w:cs="仿宋"/>
                <w:kern w:val="0"/>
                <w:sz w:val="21"/>
                <w:szCs w:val="21"/>
              </w:rPr>
            </w:pPr>
            <w:r>
              <w:rPr>
                <w:rFonts w:hint="eastAsia" w:ascii="仿宋" w:hAnsi="仿宋" w:eastAsia="仿宋" w:cs="仿宋"/>
                <w:kern w:val="0"/>
                <w:sz w:val="21"/>
                <w:szCs w:val="21"/>
              </w:rPr>
              <w:t>实现强震台站运行率90%，测震台站运行率99%，保障了北京地区地震监测台站可靠运行。</w:t>
            </w:r>
          </w:p>
        </w:tc>
      </w:tr>
      <w:tr>
        <w:tblPrEx>
          <w:tblCellMar>
            <w:top w:w="0" w:type="dxa"/>
            <w:left w:w="108" w:type="dxa"/>
            <w:bottom w:w="0" w:type="dxa"/>
            <w:right w:w="108" w:type="dxa"/>
          </w:tblCellMar>
        </w:tblPrEx>
        <w:trPr>
          <w:trHeight w:val="830" w:hRule="exact"/>
        </w:trPr>
        <w:tc>
          <w:tcPr>
            <w:tcW w:w="32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绩</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效</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指</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标</w:t>
            </w:r>
          </w:p>
        </w:tc>
        <w:tc>
          <w:tcPr>
            <w:tcW w:w="4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一级指标</w:t>
            </w:r>
          </w:p>
        </w:tc>
        <w:tc>
          <w:tcPr>
            <w:tcW w:w="52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二级指标</w:t>
            </w:r>
          </w:p>
        </w:tc>
        <w:tc>
          <w:tcPr>
            <w:tcW w:w="97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三级指标</w:t>
            </w:r>
          </w:p>
        </w:tc>
        <w:tc>
          <w:tcPr>
            <w:tcW w:w="563"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年度</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指标值</w:t>
            </w:r>
          </w:p>
        </w:tc>
        <w:tc>
          <w:tcPr>
            <w:tcW w:w="52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实际</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完成值</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分值</w:t>
            </w:r>
          </w:p>
        </w:tc>
        <w:tc>
          <w:tcPr>
            <w:tcW w:w="426"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得分</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偏差原因分析及改进</w:t>
            </w:r>
          </w:p>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措施</w:t>
            </w:r>
          </w:p>
        </w:tc>
      </w:tr>
      <w:tr>
        <w:tblPrEx>
          <w:tblCellMar>
            <w:top w:w="0" w:type="dxa"/>
            <w:left w:w="108" w:type="dxa"/>
            <w:bottom w:w="0" w:type="dxa"/>
            <w:right w:w="108" w:type="dxa"/>
          </w:tblCellMar>
        </w:tblPrEx>
        <w:trPr>
          <w:trHeight w:val="794"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产出指标</w:t>
            </w:r>
          </w:p>
        </w:tc>
        <w:tc>
          <w:tcPr>
            <w:tcW w:w="527"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数量指标</w:t>
            </w:r>
          </w:p>
        </w:tc>
        <w:tc>
          <w:tcPr>
            <w:tcW w:w="977" w:type="pct"/>
            <w:gridSpan w:val="2"/>
            <w:tcBorders>
              <w:top w:val="single" w:color="auto" w:sz="4" w:space="0"/>
              <w:left w:val="nil"/>
              <w:bottom w:val="single" w:color="auto" w:sz="4" w:space="0"/>
              <w:right w:val="single" w:color="auto" w:sz="4" w:space="0"/>
            </w:tcBorders>
            <w:vAlign w:val="center"/>
          </w:tcPr>
          <w:p>
            <w:pPr>
              <w:widowControl/>
              <w:spacing w:line="260" w:lineRule="exact"/>
              <w:jc w:val="left"/>
              <w:textAlignment w:val="center"/>
              <w:rPr>
                <w:rFonts w:hint="eastAsia" w:ascii="仿宋" w:hAnsi="仿宋" w:eastAsia="仿宋" w:cs="仿宋"/>
                <w:color w:val="000000"/>
                <w:kern w:val="0"/>
                <w:sz w:val="21"/>
                <w:szCs w:val="21"/>
              </w:rPr>
            </w:pPr>
            <w:r>
              <w:rPr>
                <w:rStyle w:val="5"/>
                <w:rFonts w:hint="eastAsia" w:ascii="仿宋" w:hAnsi="仿宋" w:eastAsia="仿宋" w:cs="仿宋"/>
                <w:sz w:val="21"/>
                <w:szCs w:val="21"/>
                <w:lang w:bidi="ar"/>
              </w:rPr>
              <w:t>地震数据采集器购置</w:t>
            </w:r>
          </w:p>
        </w:tc>
        <w:tc>
          <w:tcPr>
            <w:tcW w:w="563" w:type="pct"/>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4台</w:t>
            </w:r>
          </w:p>
        </w:tc>
        <w:tc>
          <w:tcPr>
            <w:tcW w:w="521" w:type="pct"/>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4台</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426"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794"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77" w:type="pct"/>
            <w:gridSpan w:val="2"/>
            <w:tcBorders>
              <w:top w:val="single" w:color="auto" w:sz="4" w:space="0"/>
              <w:left w:val="nil"/>
              <w:bottom w:val="single" w:color="auto" w:sz="4" w:space="0"/>
              <w:right w:val="single" w:color="auto" w:sz="4" w:space="0"/>
            </w:tcBorders>
            <w:vAlign w:val="center"/>
          </w:tcPr>
          <w:p>
            <w:pPr>
              <w:widowControl/>
              <w:spacing w:line="260" w:lineRule="exact"/>
              <w:jc w:val="left"/>
              <w:textAlignment w:val="center"/>
              <w:rPr>
                <w:rFonts w:hint="eastAsia" w:ascii="仿宋" w:hAnsi="仿宋" w:eastAsia="仿宋" w:cs="仿宋"/>
                <w:color w:val="000000"/>
                <w:kern w:val="0"/>
                <w:sz w:val="21"/>
                <w:szCs w:val="21"/>
              </w:rPr>
            </w:pPr>
            <w:r>
              <w:rPr>
                <w:rStyle w:val="5"/>
                <w:rFonts w:hint="eastAsia" w:ascii="仿宋" w:hAnsi="仿宋" w:eastAsia="仿宋" w:cs="仿宋"/>
                <w:sz w:val="21"/>
                <w:szCs w:val="21"/>
                <w:lang w:bidi="ar"/>
              </w:rPr>
              <w:t>Etna强震仪改造</w:t>
            </w:r>
          </w:p>
        </w:tc>
        <w:tc>
          <w:tcPr>
            <w:tcW w:w="563" w:type="pct"/>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10台</w:t>
            </w:r>
          </w:p>
        </w:tc>
        <w:tc>
          <w:tcPr>
            <w:tcW w:w="521" w:type="pct"/>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10台</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426"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794"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77" w:type="pct"/>
            <w:gridSpan w:val="2"/>
            <w:tcBorders>
              <w:top w:val="single" w:color="auto" w:sz="4" w:space="0"/>
              <w:left w:val="nil"/>
              <w:bottom w:val="single" w:color="auto" w:sz="4" w:space="0"/>
              <w:right w:val="single" w:color="auto" w:sz="4" w:space="0"/>
            </w:tcBorders>
            <w:vAlign w:val="center"/>
          </w:tcPr>
          <w:p>
            <w:pPr>
              <w:widowControl/>
              <w:spacing w:line="260" w:lineRule="exact"/>
              <w:jc w:val="left"/>
              <w:textAlignment w:val="center"/>
              <w:rPr>
                <w:rFonts w:hint="eastAsia" w:ascii="仿宋" w:hAnsi="仿宋" w:eastAsia="仿宋" w:cs="仿宋"/>
                <w:color w:val="000000"/>
                <w:kern w:val="0"/>
                <w:sz w:val="21"/>
                <w:szCs w:val="21"/>
              </w:rPr>
            </w:pPr>
            <w:r>
              <w:rPr>
                <w:rStyle w:val="5"/>
                <w:rFonts w:hint="eastAsia" w:ascii="仿宋" w:hAnsi="仿宋" w:eastAsia="仿宋" w:cs="仿宋"/>
                <w:sz w:val="21"/>
                <w:szCs w:val="21"/>
                <w:lang w:bidi="ar"/>
              </w:rPr>
              <w:t>无线通讯设备购置</w:t>
            </w:r>
          </w:p>
        </w:tc>
        <w:tc>
          <w:tcPr>
            <w:tcW w:w="563" w:type="pct"/>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40台</w:t>
            </w:r>
          </w:p>
        </w:tc>
        <w:tc>
          <w:tcPr>
            <w:tcW w:w="521" w:type="pct"/>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40台</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426"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6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3902"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977" w:type="pct"/>
            <w:gridSpan w:val="2"/>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kern w:val="0"/>
                <w:sz w:val="21"/>
                <w:szCs w:val="21"/>
              </w:rPr>
            </w:pPr>
            <w:r>
              <w:rPr>
                <w:rStyle w:val="5"/>
                <w:rFonts w:hint="eastAsia" w:ascii="仿宋" w:hAnsi="仿宋" w:eastAsia="仿宋" w:cs="仿宋"/>
                <w:sz w:val="21"/>
                <w:szCs w:val="21"/>
                <w:lang w:bidi="ar"/>
              </w:rPr>
              <w:t>台站看护费支付</w:t>
            </w:r>
          </w:p>
        </w:tc>
        <w:tc>
          <w:tcPr>
            <w:tcW w:w="563" w:type="pct"/>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310个</w:t>
            </w:r>
          </w:p>
        </w:tc>
        <w:tc>
          <w:tcPr>
            <w:tcW w:w="52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269个</w:t>
            </w:r>
          </w:p>
        </w:tc>
        <w:tc>
          <w:tcPr>
            <w:tcW w:w="462"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20</w:t>
            </w:r>
          </w:p>
        </w:tc>
        <w:tc>
          <w:tcPr>
            <w:tcW w:w="426"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17.35</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由于城市建设导致部分台站拆迁或改建，致使部分台站暂时停止观测，运维看护费随之停止发放。</w:t>
            </w:r>
          </w:p>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在以后项目执行过程中，更精准的预估改造情况，精确估算预算金额，做到足额发放。</w:t>
            </w:r>
          </w:p>
        </w:tc>
      </w:tr>
      <w:tr>
        <w:tblPrEx>
          <w:tblCellMar>
            <w:top w:w="0" w:type="dxa"/>
            <w:left w:w="108" w:type="dxa"/>
            <w:bottom w:w="0" w:type="dxa"/>
            <w:right w:w="108" w:type="dxa"/>
          </w:tblCellMar>
        </w:tblPrEx>
        <w:trPr>
          <w:trHeight w:val="790"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质量指标</w:t>
            </w:r>
          </w:p>
        </w:tc>
        <w:tc>
          <w:tcPr>
            <w:tcW w:w="977" w:type="pct"/>
            <w:gridSpan w:val="2"/>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bidi="ar"/>
              </w:rPr>
              <w:t>台站连通率</w:t>
            </w:r>
          </w:p>
        </w:tc>
        <w:tc>
          <w:tcPr>
            <w:tcW w:w="563"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≥85%</w:t>
            </w:r>
          </w:p>
        </w:tc>
        <w:tc>
          <w:tcPr>
            <w:tcW w:w="52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95%</w:t>
            </w:r>
          </w:p>
        </w:tc>
        <w:tc>
          <w:tcPr>
            <w:tcW w:w="462"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12.5</w:t>
            </w:r>
          </w:p>
        </w:tc>
        <w:tc>
          <w:tcPr>
            <w:tcW w:w="426"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10.5</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 w:hAnsi="仿宋" w:eastAsia="仿宋" w:cs="仿宋"/>
                <w:kern w:val="0"/>
                <w:sz w:val="21"/>
                <w:szCs w:val="21"/>
              </w:rPr>
            </w:pPr>
            <w:r>
              <w:rPr>
                <w:rFonts w:hint="eastAsia" w:ascii="仿宋" w:hAnsi="仿宋" w:eastAsia="仿宋" w:cs="仿宋"/>
                <w:kern w:val="0"/>
                <w:sz w:val="21"/>
                <w:szCs w:val="21"/>
              </w:rPr>
              <w:t>年度指标值设置需进一步完善。</w:t>
            </w:r>
          </w:p>
        </w:tc>
      </w:tr>
      <w:tr>
        <w:tblPrEx>
          <w:tblCellMar>
            <w:top w:w="0" w:type="dxa"/>
            <w:left w:w="108" w:type="dxa"/>
            <w:bottom w:w="0" w:type="dxa"/>
            <w:right w:w="108" w:type="dxa"/>
          </w:tblCellMar>
        </w:tblPrEx>
        <w:trPr>
          <w:trHeight w:val="858"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52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成本指标</w:t>
            </w:r>
          </w:p>
        </w:tc>
        <w:tc>
          <w:tcPr>
            <w:tcW w:w="977"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项目预算控制数</w:t>
            </w:r>
          </w:p>
        </w:tc>
        <w:tc>
          <w:tcPr>
            <w:tcW w:w="563"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≤108.11万元</w:t>
            </w:r>
          </w:p>
        </w:tc>
        <w:tc>
          <w:tcPr>
            <w:tcW w:w="52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96.1277万元</w:t>
            </w:r>
          </w:p>
        </w:tc>
        <w:tc>
          <w:tcPr>
            <w:tcW w:w="462"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w:t>
            </w:r>
          </w:p>
        </w:tc>
        <w:tc>
          <w:tcPr>
            <w:tcW w:w="426"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1105" w:hRule="exact"/>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c>
          <w:tcPr>
            <w:tcW w:w="412"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满意度指标</w:t>
            </w:r>
          </w:p>
        </w:tc>
        <w:tc>
          <w:tcPr>
            <w:tcW w:w="52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服务对象满意度标</w:t>
            </w:r>
          </w:p>
        </w:tc>
        <w:tc>
          <w:tcPr>
            <w:tcW w:w="977" w:type="pct"/>
            <w:gridSpan w:val="2"/>
            <w:tcBorders>
              <w:top w:val="single" w:color="auto" w:sz="4" w:space="0"/>
              <w:left w:val="nil"/>
              <w:bottom w:val="single" w:color="auto" w:sz="4" w:space="0"/>
              <w:right w:val="single" w:color="auto" w:sz="4" w:space="0"/>
            </w:tcBorders>
            <w:vAlign w:val="center"/>
          </w:tcPr>
          <w:p>
            <w:pPr>
              <w:widowControl/>
              <w:jc w:val="left"/>
              <w:textAlignment w:val="center"/>
              <w:rPr>
                <w:rFonts w:hint="eastAsia" w:ascii="仿宋" w:hAnsi="仿宋" w:eastAsia="仿宋" w:cs="仿宋"/>
                <w:color w:val="000000"/>
                <w:sz w:val="21"/>
                <w:szCs w:val="21"/>
              </w:rPr>
            </w:pPr>
            <w:r>
              <w:rPr>
                <w:rFonts w:hint="eastAsia" w:ascii="仿宋" w:hAnsi="仿宋" w:eastAsia="仿宋" w:cs="仿宋"/>
                <w:color w:val="000000"/>
                <w:kern w:val="0"/>
                <w:sz w:val="21"/>
                <w:szCs w:val="21"/>
                <w:lang w:bidi="ar"/>
              </w:rPr>
              <w:t>服务对象满意度指标</w:t>
            </w:r>
          </w:p>
        </w:tc>
        <w:tc>
          <w:tcPr>
            <w:tcW w:w="563"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90%</w:t>
            </w:r>
          </w:p>
        </w:tc>
        <w:tc>
          <w:tcPr>
            <w:tcW w:w="52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r>
              <w:rPr>
                <w:rFonts w:hint="eastAsia" w:ascii="仿宋" w:hAnsi="仿宋" w:eastAsia="仿宋" w:cs="仿宋"/>
                <w:kern w:val="0"/>
                <w:sz w:val="21"/>
                <w:szCs w:val="21"/>
              </w:rPr>
              <w:t>95%</w:t>
            </w:r>
          </w:p>
        </w:tc>
        <w:tc>
          <w:tcPr>
            <w:tcW w:w="462"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w:t>
            </w:r>
          </w:p>
        </w:tc>
        <w:tc>
          <w:tcPr>
            <w:tcW w:w="426"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hint="eastAsia" w:ascii="仿宋" w:hAnsi="仿宋" w:eastAsia="仿宋" w:cs="仿宋"/>
                <w:kern w:val="0"/>
                <w:sz w:val="21"/>
                <w:szCs w:val="21"/>
              </w:rPr>
            </w:pPr>
            <w:r>
              <w:rPr>
                <w:rFonts w:hint="eastAsia" w:ascii="仿宋" w:hAnsi="仿宋" w:eastAsia="仿宋" w:cs="仿宋"/>
                <w:color w:val="000000"/>
                <w:kern w:val="0"/>
                <w:sz w:val="21"/>
                <w:szCs w:val="21"/>
                <w:lang w:bidi="ar"/>
              </w:rPr>
              <w:t>10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r>
        <w:tblPrEx>
          <w:tblCellMar>
            <w:top w:w="0" w:type="dxa"/>
            <w:left w:w="108" w:type="dxa"/>
            <w:bottom w:w="0" w:type="dxa"/>
            <w:right w:w="108" w:type="dxa"/>
          </w:tblCellMar>
        </w:tblPrEx>
        <w:trPr>
          <w:trHeight w:val="477" w:hRule="exact"/>
        </w:trPr>
        <w:tc>
          <w:tcPr>
            <w:tcW w:w="3325" w:type="pct"/>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100</w:t>
            </w:r>
          </w:p>
        </w:tc>
        <w:tc>
          <w:tcPr>
            <w:tcW w:w="426"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94.24</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kern w:val="0"/>
                <w:sz w:val="21"/>
                <w:szCs w:val="21"/>
              </w:rPr>
            </w:pPr>
          </w:p>
        </w:tc>
      </w:tr>
    </w:tbl>
    <w:p>
      <w:pPr>
        <w:spacing w:line="240" w:lineRule="exact"/>
        <w:rPr>
          <w:rFonts w:ascii="仿宋_GB2312" w:hAnsi="宋体" w:eastAsia="仿宋_GB2312"/>
          <w:sz w:val="30"/>
          <w:szCs w:val="30"/>
        </w:rPr>
      </w:pPr>
    </w:p>
    <w:p>
      <w:pPr>
        <w:rPr>
          <w:rFonts w:ascii="仿宋_GB2312" w:eastAsia="仿宋_GB2312"/>
          <w:vanish/>
          <w:sz w:val="32"/>
          <w:szCs w:val="32"/>
        </w:rPr>
      </w:pPr>
    </w:p>
    <w:p>
      <w: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4999" w:type="pct"/>
        <w:tblInd w:w="0" w:type="dxa"/>
        <w:tblLayout w:type="autofit"/>
        <w:tblCellMar>
          <w:top w:w="0" w:type="dxa"/>
          <w:left w:w="108" w:type="dxa"/>
          <w:bottom w:w="0" w:type="dxa"/>
          <w:right w:w="108" w:type="dxa"/>
        </w:tblCellMar>
      </w:tblPr>
      <w:tblGrid>
        <w:gridCol w:w="626"/>
        <w:gridCol w:w="1118"/>
        <w:gridCol w:w="1114"/>
        <w:gridCol w:w="781"/>
        <w:gridCol w:w="923"/>
        <w:gridCol w:w="285"/>
        <w:gridCol w:w="1006"/>
        <w:gridCol w:w="951"/>
        <w:gridCol w:w="506"/>
        <w:gridCol w:w="99"/>
        <w:gridCol w:w="654"/>
        <w:gridCol w:w="244"/>
        <w:gridCol w:w="662"/>
        <w:gridCol w:w="883"/>
      </w:tblGrid>
      <w:tr>
        <w:tblPrEx>
          <w:tblCellMar>
            <w:top w:w="0" w:type="dxa"/>
            <w:left w:w="108" w:type="dxa"/>
            <w:bottom w:w="0" w:type="dxa"/>
            <w:right w:w="108" w:type="dxa"/>
          </w:tblCellMar>
        </w:tblPrEx>
        <w:trPr>
          <w:trHeight w:val="397" w:hRule="exact"/>
        </w:trPr>
        <w:tc>
          <w:tcPr>
            <w:tcW w:w="888"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项目名称</w:t>
            </w:r>
          </w:p>
        </w:tc>
        <w:tc>
          <w:tcPr>
            <w:tcW w:w="4111" w:type="pct"/>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地震信息网络通讯接入服务</w:t>
            </w:r>
          </w:p>
        </w:tc>
      </w:tr>
      <w:tr>
        <w:tblPrEx>
          <w:tblCellMar>
            <w:top w:w="0" w:type="dxa"/>
            <w:left w:w="108" w:type="dxa"/>
            <w:bottom w:w="0" w:type="dxa"/>
            <w:right w:w="108" w:type="dxa"/>
          </w:tblCellMar>
        </w:tblPrEx>
        <w:trPr>
          <w:trHeight w:val="397" w:hRule="exact"/>
        </w:trPr>
        <w:tc>
          <w:tcPr>
            <w:tcW w:w="888"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主管部门</w:t>
            </w:r>
          </w:p>
        </w:tc>
        <w:tc>
          <w:tcPr>
            <w:tcW w:w="209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实施单位</w:t>
            </w:r>
          </w:p>
        </w:tc>
        <w:tc>
          <w:tcPr>
            <w:tcW w:w="1295"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r>
      <w:tr>
        <w:tblPrEx>
          <w:tblCellMar>
            <w:top w:w="0" w:type="dxa"/>
            <w:left w:w="108" w:type="dxa"/>
            <w:bottom w:w="0" w:type="dxa"/>
            <w:right w:w="108" w:type="dxa"/>
          </w:tblCellMar>
        </w:tblPrEx>
        <w:trPr>
          <w:trHeight w:val="397" w:hRule="exact"/>
        </w:trPr>
        <w:tc>
          <w:tcPr>
            <w:tcW w:w="888"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项目负责人</w:t>
            </w:r>
          </w:p>
        </w:tc>
        <w:tc>
          <w:tcPr>
            <w:tcW w:w="209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sz w:val="21"/>
                <w:szCs w:val="21"/>
              </w:rPr>
              <w:t>温建农</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联系电话</w:t>
            </w:r>
          </w:p>
        </w:tc>
        <w:tc>
          <w:tcPr>
            <w:tcW w:w="1295"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83012205</w:t>
            </w:r>
          </w:p>
        </w:tc>
      </w:tr>
      <w:tr>
        <w:tblPrEx>
          <w:tblCellMar>
            <w:top w:w="0" w:type="dxa"/>
            <w:left w:w="108" w:type="dxa"/>
            <w:bottom w:w="0" w:type="dxa"/>
            <w:right w:w="108" w:type="dxa"/>
          </w:tblCellMar>
        </w:tblPrEx>
        <w:trPr>
          <w:trHeight w:val="624" w:hRule="exact"/>
        </w:trPr>
        <w:tc>
          <w:tcPr>
            <w:tcW w:w="888"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项目资金</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（万元）</w:t>
            </w:r>
          </w:p>
        </w:tc>
        <w:tc>
          <w:tcPr>
            <w:tcW w:w="96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6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年初预</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5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全年预</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全年</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执行数</w:t>
            </w:r>
          </w:p>
        </w:tc>
        <w:tc>
          <w:tcPr>
            <w:tcW w:w="384"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执行率</w:t>
            </w:r>
          </w:p>
        </w:tc>
        <w:tc>
          <w:tcPr>
            <w:tcW w:w="448"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得分</w:t>
            </w:r>
          </w:p>
        </w:tc>
      </w:tr>
      <w:tr>
        <w:tblPrEx>
          <w:tblCellMar>
            <w:top w:w="0" w:type="dxa"/>
            <w:left w:w="108" w:type="dxa"/>
            <w:bottom w:w="0" w:type="dxa"/>
            <w:right w:w="108" w:type="dxa"/>
          </w:tblCellMar>
        </w:tblPrEx>
        <w:trPr>
          <w:trHeight w:val="454" w:hRule="exact"/>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96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年度资金总额</w:t>
            </w:r>
          </w:p>
        </w:tc>
        <w:tc>
          <w:tcPr>
            <w:tcW w:w="6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156.37</w:t>
            </w:r>
          </w:p>
        </w:tc>
        <w:tc>
          <w:tcPr>
            <w:tcW w:w="5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156.37</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153.612</w:t>
            </w:r>
          </w:p>
        </w:tc>
        <w:tc>
          <w:tcPr>
            <w:tcW w:w="384"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98.24%</w:t>
            </w:r>
          </w:p>
        </w:tc>
        <w:tc>
          <w:tcPr>
            <w:tcW w:w="448"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9.82</w:t>
            </w:r>
          </w:p>
        </w:tc>
      </w:tr>
      <w:tr>
        <w:tblPrEx>
          <w:tblCellMar>
            <w:top w:w="0" w:type="dxa"/>
            <w:left w:w="108" w:type="dxa"/>
            <w:bottom w:w="0" w:type="dxa"/>
            <w:right w:w="108" w:type="dxa"/>
          </w:tblCellMar>
        </w:tblPrEx>
        <w:trPr>
          <w:trHeight w:val="601" w:hRule="exact"/>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96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其中：当年财政拨款</w:t>
            </w:r>
          </w:p>
        </w:tc>
        <w:tc>
          <w:tcPr>
            <w:tcW w:w="6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156.37</w:t>
            </w:r>
          </w:p>
        </w:tc>
        <w:tc>
          <w:tcPr>
            <w:tcW w:w="5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156.37</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153.612</w:t>
            </w:r>
          </w:p>
        </w:tc>
        <w:tc>
          <w:tcPr>
            <w:tcW w:w="384"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98.24%</w:t>
            </w:r>
          </w:p>
        </w:tc>
        <w:tc>
          <w:tcPr>
            <w:tcW w:w="448"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340" w:hRule="exact"/>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96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上年结转资金</w:t>
            </w:r>
          </w:p>
        </w:tc>
        <w:tc>
          <w:tcPr>
            <w:tcW w:w="6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84"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48"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340" w:hRule="exact"/>
        </w:trPr>
        <w:tc>
          <w:tcPr>
            <w:tcW w:w="88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96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其他资金</w:t>
            </w:r>
          </w:p>
        </w:tc>
        <w:tc>
          <w:tcPr>
            <w:tcW w:w="616"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512"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22"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84"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48"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340" w:hRule="exact"/>
        </w:trPr>
        <w:tc>
          <w:tcPr>
            <w:tcW w:w="319"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年度总体目标</w:t>
            </w:r>
          </w:p>
        </w:tc>
        <w:tc>
          <w:tcPr>
            <w:tcW w:w="2662"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预期目标</w:t>
            </w:r>
          </w:p>
        </w:tc>
        <w:tc>
          <w:tcPr>
            <w:tcW w:w="2017" w:type="pct"/>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实际完成情况</w:t>
            </w:r>
          </w:p>
        </w:tc>
      </w:tr>
      <w:tr>
        <w:tblPrEx>
          <w:tblCellMar>
            <w:top w:w="0" w:type="dxa"/>
            <w:left w:w="108" w:type="dxa"/>
            <w:bottom w:w="0" w:type="dxa"/>
            <w:right w:w="108" w:type="dxa"/>
          </w:tblCellMar>
        </w:tblPrEx>
        <w:trPr>
          <w:trHeight w:val="1597" w:hRule="exact"/>
        </w:trPr>
        <w:tc>
          <w:tcPr>
            <w:tcW w:w="31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2662"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实现404个监测站以专线（有线、无线）方式接入市地震局地震信息网络平台，保证地震监测预警、预测预报、风险探查、地震应急等系统的有效运行。</w:t>
            </w:r>
          </w:p>
        </w:tc>
        <w:tc>
          <w:tcPr>
            <w:tcW w:w="2017" w:type="pct"/>
            <w:gridSpan w:val="7"/>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完成</w:t>
            </w:r>
            <w:r>
              <w:rPr>
                <w:rFonts w:hint="eastAsia" w:ascii="仿宋_GB2312" w:hAnsi="仿宋" w:eastAsia="仿宋_GB2312" w:cs="仿宋"/>
                <w:kern w:val="0"/>
                <w:sz w:val="21"/>
                <w:szCs w:val="21"/>
              </w:rPr>
              <w:t>监测站以专线（有线、无线）方式接入市地震局地震信息网络平台，地震监测预警、预测预报、风险探查、地震应急等系统得以有效运行。</w:t>
            </w:r>
          </w:p>
        </w:tc>
      </w:tr>
      <w:tr>
        <w:tblPrEx>
          <w:tblCellMar>
            <w:top w:w="0" w:type="dxa"/>
            <w:left w:w="108" w:type="dxa"/>
            <w:bottom w:w="0" w:type="dxa"/>
            <w:right w:w="108" w:type="dxa"/>
          </w:tblCellMar>
        </w:tblPrEx>
        <w:trPr>
          <w:trHeight w:val="870" w:hRule="exact"/>
        </w:trPr>
        <w:tc>
          <w:tcPr>
            <w:tcW w:w="31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绩</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效</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指</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标</w:t>
            </w:r>
          </w:p>
        </w:tc>
        <w:tc>
          <w:tcPr>
            <w:tcW w:w="5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一级指标</w:t>
            </w:r>
          </w:p>
        </w:tc>
        <w:tc>
          <w:tcPr>
            <w:tcW w:w="56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二级指标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三级指标</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指标值</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实际</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完成值</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得分</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偏差原因分析及改进措施</w:t>
            </w:r>
          </w:p>
        </w:tc>
      </w:tr>
      <w:tr>
        <w:tblPrEx>
          <w:tblCellMar>
            <w:top w:w="0" w:type="dxa"/>
            <w:left w:w="108" w:type="dxa"/>
            <w:bottom w:w="0" w:type="dxa"/>
            <w:right w:w="108" w:type="dxa"/>
          </w:tblCellMar>
        </w:tblPrEx>
        <w:trPr>
          <w:trHeight w:val="567"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产出指标</w:t>
            </w:r>
          </w:p>
        </w:tc>
        <w:tc>
          <w:tcPr>
            <w:tcW w:w="567"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数量指标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带宽100Mbps光纤专线</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2条</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2条</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567"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left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带宽10Mbps光纤专线</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10条</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10条</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1560"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left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带宽2Mbps光纤专线</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59条</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70条</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业务调整，信道需求有所变动，增加光纤链路。后续加强需求调研。</w:t>
            </w:r>
          </w:p>
        </w:tc>
      </w:tr>
      <w:tr>
        <w:tblPrEx>
          <w:tblCellMar>
            <w:top w:w="0" w:type="dxa"/>
            <w:left w:w="108" w:type="dxa"/>
            <w:bottom w:w="0" w:type="dxa"/>
            <w:right w:w="108" w:type="dxa"/>
          </w:tblCellMar>
        </w:tblPrEx>
        <w:trPr>
          <w:trHeight w:val="1571"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left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无线</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336条</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245条</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2.18</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业务调整，信道需求有所变动。减少无线链路。后续加强需求调研。</w:t>
            </w:r>
          </w:p>
        </w:tc>
      </w:tr>
      <w:tr>
        <w:tblPrEx>
          <w:tblCellMar>
            <w:top w:w="0" w:type="dxa"/>
            <w:left w:w="108" w:type="dxa"/>
            <w:bottom w:w="0" w:type="dxa"/>
            <w:right w:w="108" w:type="dxa"/>
          </w:tblCellMar>
        </w:tblPrEx>
        <w:trPr>
          <w:trHeight w:val="907"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质量指标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光纤专线两端之间数据传输累计时延</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≤150ms</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≤150ms</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907"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光纤两端之间数据传输累计时延</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≤200ms</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≤200ms</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907"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无线两端之间数据传输累计时延</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≤1s</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≤1s</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6.00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2508"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时效指标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光纤专线信道</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 xml:space="preserve">2022年5月完成合同签订，2022年6月完成信道开通  </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2022年10月完成项目招标及合同签订及信道开通</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5</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4.00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因各业务系统信道需求有变化，需要重新进行调研，加之新冠疫情等因素，影响项目进度。后续加强项目调研工作。</w:t>
            </w:r>
          </w:p>
        </w:tc>
      </w:tr>
      <w:tr>
        <w:tblPrEx>
          <w:tblCellMar>
            <w:top w:w="0" w:type="dxa"/>
            <w:left w:w="108" w:type="dxa"/>
            <w:bottom w:w="0" w:type="dxa"/>
            <w:right w:w="108" w:type="dxa"/>
          </w:tblCellMar>
        </w:tblPrEx>
        <w:trPr>
          <w:trHeight w:val="2482"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无线信道</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 xml:space="preserve">2022年5月完成合同签订，2022年6月完成信道开通  </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2022年10月完成项目招标及合同签订及信道开通</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5</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4.00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因各业务系统信道需求有变化，需要重新进行调研，加之新冠疫情等因素，影响项目进度。后续加强项目调研工作。</w:t>
            </w:r>
          </w:p>
        </w:tc>
      </w:tr>
      <w:tr>
        <w:tblPrEx>
          <w:tblCellMar>
            <w:top w:w="0" w:type="dxa"/>
            <w:left w:w="108" w:type="dxa"/>
            <w:bottom w:w="0" w:type="dxa"/>
            <w:right w:w="108" w:type="dxa"/>
          </w:tblCellMar>
        </w:tblPrEx>
        <w:trPr>
          <w:trHeight w:val="1421"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成本指标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项目总成本</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156.37万元</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153.612万元</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9.82</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因项目支付采用公开招投标形式，金额与预算形成差距。</w:t>
            </w:r>
          </w:p>
        </w:tc>
      </w:tr>
      <w:tr>
        <w:tblPrEx>
          <w:tblCellMar>
            <w:top w:w="0" w:type="dxa"/>
            <w:left w:w="108" w:type="dxa"/>
            <w:bottom w:w="0" w:type="dxa"/>
            <w:right w:w="108" w:type="dxa"/>
          </w:tblCellMar>
        </w:tblPrEx>
        <w:trPr>
          <w:trHeight w:val="2378"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效益指标</w:t>
            </w:r>
          </w:p>
        </w:tc>
        <w:tc>
          <w:tcPr>
            <w:tcW w:w="56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社会效益指标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为北京地区地震监测、地震信息服务及地震应急指挥等业务提供可靠光纤专线信道和卫星信道，促进北京地区防震减灾能力提升</w:t>
            </w:r>
          </w:p>
        </w:tc>
        <w:tc>
          <w:tcPr>
            <w:tcW w:w="657" w:type="pct"/>
            <w:gridSpan w:val="2"/>
            <w:tcBorders>
              <w:top w:val="single" w:color="auto" w:sz="4" w:space="0"/>
              <w:left w:val="nil"/>
              <w:bottom w:val="single" w:color="auto" w:sz="4" w:space="0"/>
              <w:right w:val="single" w:color="auto" w:sz="4" w:space="0"/>
            </w:tcBorders>
            <w:vAlign w:val="center"/>
          </w:tcPr>
          <w:p>
            <w:pPr>
              <w:widowControl/>
              <w:tabs>
                <w:tab w:val="left" w:pos="406"/>
              </w:tabs>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较显著</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较显著</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30</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28.00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绩效成果资料待提升，后续进一步加强资料收集整理。</w:t>
            </w:r>
          </w:p>
        </w:tc>
      </w:tr>
      <w:tr>
        <w:tblPrEx>
          <w:tblCellMar>
            <w:top w:w="0" w:type="dxa"/>
            <w:left w:w="108" w:type="dxa"/>
            <w:bottom w:w="0" w:type="dxa"/>
            <w:right w:w="108" w:type="dxa"/>
          </w:tblCellMar>
        </w:tblPrEx>
        <w:trPr>
          <w:trHeight w:val="1309" w:hRule="exact"/>
        </w:trPr>
        <w:tc>
          <w:tcPr>
            <w:tcW w:w="31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c>
          <w:tcPr>
            <w:tcW w:w="568"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满意度</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指标</w:t>
            </w:r>
          </w:p>
        </w:tc>
        <w:tc>
          <w:tcPr>
            <w:tcW w:w="567"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服务对象满意度标</w:t>
            </w:r>
          </w:p>
        </w:tc>
        <w:tc>
          <w:tcPr>
            <w:tcW w:w="868"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使用单位满意度</w:t>
            </w:r>
          </w:p>
        </w:tc>
        <w:tc>
          <w:tcPr>
            <w:tcW w:w="65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90%以上</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90%以上</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9.00</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满意度调查待更全面，将进一步全面开展满意度调查及分析。</w:t>
            </w:r>
          </w:p>
        </w:tc>
      </w:tr>
      <w:tr>
        <w:tblPrEx>
          <w:tblCellMar>
            <w:top w:w="0" w:type="dxa"/>
            <w:left w:w="108" w:type="dxa"/>
            <w:bottom w:w="0" w:type="dxa"/>
            <w:right w:w="108" w:type="dxa"/>
          </w:tblCellMar>
        </w:tblPrEx>
        <w:trPr>
          <w:trHeight w:val="477" w:hRule="exact"/>
        </w:trPr>
        <w:tc>
          <w:tcPr>
            <w:tcW w:w="3446" w:type="pct"/>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总分</w:t>
            </w:r>
          </w:p>
        </w:tc>
        <w:tc>
          <w:tcPr>
            <w:tcW w:w="30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100</w:t>
            </w:r>
          </w:p>
        </w:tc>
        <w:tc>
          <w:tcPr>
            <w:tcW w:w="458"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93.82</w:t>
            </w:r>
          </w:p>
        </w:tc>
        <w:tc>
          <w:tcPr>
            <w:tcW w:w="78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仿宋" w:eastAsia="仿宋_GB2312" w:cs="仿宋"/>
                <w:kern w:val="0"/>
                <w:sz w:val="21"/>
                <w:szCs w:val="21"/>
              </w:rPr>
            </w:pPr>
          </w:p>
        </w:tc>
      </w:tr>
    </w:tbl>
    <w:p>
      <w:pPr>
        <w:rPr>
          <w:rFonts w:hint="eastAsia"/>
        </w:rPr>
      </w:pPr>
      <w:r>
        <w:rPr>
          <w:rFonts w:hint="eastAsia"/>
        </w:rP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pPr w:leftFromText="180" w:rightFromText="180" w:vertAnchor="text" w:horzAnchor="page" w:tblpX="1567" w:tblpY="247"/>
        <w:tblOverlap w:val="never"/>
        <w:tblW w:w="9038" w:type="dxa"/>
        <w:tblInd w:w="0" w:type="dxa"/>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384"/>
        <w:gridCol w:w="462"/>
        <w:gridCol w:w="710"/>
      </w:tblGrid>
      <w:tr>
        <w:tblPrEx>
          <w:tblCellMar>
            <w:top w:w="0" w:type="dxa"/>
            <w:left w:w="108" w:type="dxa"/>
            <w:bottom w:w="0" w:type="dxa"/>
            <w:right w:w="108" w:type="dxa"/>
          </w:tblCellMar>
        </w:tblPrEx>
        <w:trPr>
          <w:trHeight w:val="340" w:hRule="exact"/>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项目名称</w:t>
            </w:r>
          </w:p>
        </w:tc>
        <w:tc>
          <w:tcPr>
            <w:tcW w:w="7478"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北京市公众防震减灾科普素质提升项目</w:t>
            </w:r>
          </w:p>
        </w:tc>
      </w:tr>
      <w:tr>
        <w:tblPrEx>
          <w:tblCellMar>
            <w:top w:w="0" w:type="dxa"/>
            <w:left w:w="108" w:type="dxa"/>
            <w:bottom w:w="0" w:type="dxa"/>
            <w:right w:w="108" w:type="dxa"/>
          </w:tblCellMar>
        </w:tblPrEx>
        <w:trPr>
          <w:trHeight w:val="340" w:hRule="exact"/>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主管部门</w:t>
            </w:r>
          </w:p>
        </w:tc>
        <w:tc>
          <w:tcPr>
            <w:tcW w:w="40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实施单位</w:t>
            </w:r>
          </w:p>
        </w:tc>
        <w:tc>
          <w:tcPr>
            <w:tcW w:w="22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r>
      <w:tr>
        <w:tblPrEx>
          <w:tblCellMar>
            <w:top w:w="0" w:type="dxa"/>
            <w:left w:w="108" w:type="dxa"/>
            <w:bottom w:w="0" w:type="dxa"/>
            <w:right w:w="108" w:type="dxa"/>
          </w:tblCellMar>
        </w:tblPrEx>
        <w:trPr>
          <w:trHeight w:val="340" w:hRule="exact"/>
        </w:trPr>
        <w:tc>
          <w:tcPr>
            <w:tcW w:w="156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项目负责人</w:t>
            </w:r>
          </w:p>
        </w:tc>
        <w:tc>
          <w:tcPr>
            <w:tcW w:w="4091"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曹开</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联系电话</w:t>
            </w:r>
          </w:p>
        </w:tc>
        <w:tc>
          <w:tcPr>
            <w:tcW w:w="226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13693554226</w:t>
            </w:r>
          </w:p>
        </w:tc>
      </w:tr>
      <w:tr>
        <w:tblPrEx>
          <w:tblCellMar>
            <w:top w:w="0" w:type="dxa"/>
            <w:left w:w="108" w:type="dxa"/>
            <w:bottom w:w="0" w:type="dxa"/>
            <w:right w:w="108" w:type="dxa"/>
          </w:tblCellMar>
        </w:tblPrEx>
        <w:trPr>
          <w:trHeight w:val="567" w:hRule="exact"/>
        </w:trPr>
        <w:tc>
          <w:tcPr>
            <w:tcW w:w="156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项目资金</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（万元）</w:t>
            </w: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年初预</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全年预</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全年</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执行数</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执行率</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得分</w:t>
            </w:r>
          </w:p>
        </w:tc>
      </w:tr>
      <w:tr>
        <w:tblPrEx>
          <w:tblCellMar>
            <w:top w:w="0" w:type="dxa"/>
            <w:left w:w="108" w:type="dxa"/>
            <w:bottom w:w="0" w:type="dxa"/>
            <w:right w:w="108" w:type="dxa"/>
          </w:tblCellMar>
        </w:tblPrEx>
        <w:trPr>
          <w:trHeight w:val="515" w:hRule="exact"/>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年度资金总额</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145.186</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141.186</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140</w:t>
            </w:r>
            <w:r>
              <w:rPr>
                <w:rFonts w:hint="eastAsia" w:ascii="仿宋_GB2312" w:hAnsi="仿宋" w:eastAsia="仿宋_GB2312" w:cs="仿宋"/>
                <w:kern w:val="0"/>
                <w:sz w:val="21"/>
                <w:szCs w:val="21"/>
                <w:lang w:val="en-US" w:eastAsia="zh-CN"/>
              </w:rPr>
              <w:t>.</w:t>
            </w:r>
            <w:r>
              <w:rPr>
                <w:rFonts w:hint="eastAsia" w:ascii="仿宋_GB2312" w:hAnsi="仿宋" w:eastAsia="仿宋_GB2312" w:cs="仿宋"/>
                <w:kern w:val="0"/>
                <w:sz w:val="21"/>
                <w:szCs w:val="21"/>
              </w:rPr>
              <w:t>999728</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99.87%</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9.99</w:t>
            </w:r>
          </w:p>
        </w:tc>
      </w:tr>
      <w:tr>
        <w:tblPrEx>
          <w:tblCellMar>
            <w:top w:w="0" w:type="dxa"/>
            <w:left w:w="108" w:type="dxa"/>
            <w:bottom w:w="0" w:type="dxa"/>
            <w:right w:w="108" w:type="dxa"/>
          </w:tblCellMar>
        </w:tblPrEx>
        <w:trPr>
          <w:trHeight w:val="601" w:hRule="exact"/>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其中：当年财政</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拨款</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145.186</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141.186</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140</w:t>
            </w:r>
            <w:r>
              <w:rPr>
                <w:rFonts w:hint="eastAsia" w:ascii="仿宋_GB2312" w:hAnsi="仿宋" w:eastAsia="仿宋_GB2312" w:cs="仿宋"/>
                <w:kern w:val="0"/>
                <w:sz w:val="21"/>
                <w:szCs w:val="21"/>
                <w:lang w:val="en-US" w:eastAsia="zh-CN"/>
              </w:rPr>
              <w:t>.</w:t>
            </w:r>
            <w:r>
              <w:rPr>
                <w:rFonts w:hint="eastAsia" w:ascii="仿宋_GB2312" w:hAnsi="仿宋" w:eastAsia="仿宋_GB2312" w:cs="仿宋"/>
                <w:kern w:val="0"/>
                <w:sz w:val="21"/>
                <w:szCs w:val="21"/>
              </w:rPr>
              <w:t>999728</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99.87%</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340" w:hRule="exact"/>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 xml:space="preserve">  上年结转资金</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340" w:hRule="exact"/>
        </w:trPr>
        <w:tc>
          <w:tcPr>
            <w:tcW w:w="156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83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 xml:space="preserve">  其他资金</w:t>
            </w:r>
          </w:p>
        </w:tc>
        <w:tc>
          <w:tcPr>
            <w:tcW w:w="1127"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1132"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1127"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04"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846"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71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548" w:hRule="exact"/>
        </w:trPr>
        <w:tc>
          <w:tcPr>
            <w:tcW w:w="585"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年度总体目标</w:t>
            </w:r>
          </w:p>
        </w:tc>
        <w:tc>
          <w:tcPr>
            <w:tcW w:w="50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预期目标</w:t>
            </w:r>
          </w:p>
        </w:tc>
        <w:tc>
          <w:tcPr>
            <w:tcW w:w="338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实际完成情况</w:t>
            </w:r>
          </w:p>
        </w:tc>
      </w:tr>
      <w:tr>
        <w:tblPrEx>
          <w:tblCellMar>
            <w:top w:w="0" w:type="dxa"/>
            <w:left w:w="108" w:type="dxa"/>
            <w:bottom w:w="0" w:type="dxa"/>
            <w:right w:w="108" w:type="dxa"/>
          </w:tblCellMar>
        </w:tblPrEx>
        <w:trPr>
          <w:trHeight w:val="2208" w:hRule="exact"/>
        </w:trPr>
        <w:tc>
          <w:tcPr>
            <w:tcW w:w="585"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5066"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c>
          <w:tcPr>
            <w:tcW w:w="3387"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公众防震减灾科普素质提升项目通过组织开展地震安全宣传公益系列活动，扩大防震减灾文化和知识普及率和传播面，打造防震减灾品牌活动，可持续影响社会公众对防震减灾知识的获取，逐步实现提升社会公众防震减灾意识和自救互救技能。</w:t>
            </w:r>
          </w:p>
        </w:tc>
      </w:tr>
      <w:tr>
        <w:tblPrEx>
          <w:tblCellMar>
            <w:top w:w="0" w:type="dxa"/>
            <w:left w:w="108" w:type="dxa"/>
            <w:bottom w:w="0" w:type="dxa"/>
            <w:right w:w="108" w:type="dxa"/>
          </w:tblCellMar>
        </w:tblPrEx>
        <w:trPr>
          <w:trHeight w:val="896" w:hRule="exact"/>
        </w:trPr>
        <w:tc>
          <w:tcPr>
            <w:tcW w:w="58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绩</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效</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指</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标</w:t>
            </w:r>
          </w:p>
        </w:tc>
        <w:tc>
          <w:tcPr>
            <w:tcW w:w="97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一级指标</w:t>
            </w:r>
          </w:p>
        </w:tc>
        <w:tc>
          <w:tcPr>
            <w:tcW w:w="11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二级指标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三级指标</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指标值</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实际</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完成值</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得分</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偏差原因分析及改进措施</w:t>
            </w:r>
          </w:p>
        </w:tc>
      </w:tr>
      <w:tr>
        <w:tblPrEx>
          <w:tblCellMar>
            <w:top w:w="0" w:type="dxa"/>
            <w:left w:w="108" w:type="dxa"/>
            <w:bottom w:w="0" w:type="dxa"/>
            <w:right w:w="108" w:type="dxa"/>
          </w:tblCellMar>
        </w:tblPrEx>
        <w:trPr>
          <w:trHeight w:val="68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数量指标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组织防震减灾科普线下宣传活动</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不少于</w:t>
            </w:r>
            <w:r>
              <w:rPr>
                <w:rFonts w:hint="eastAsia" w:ascii="仿宋_GB2312" w:hAnsi="仿宋" w:eastAsia="仿宋_GB2312" w:cs="仿宋"/>
                <w:kern w:val="0"/>
                <w:sz w:val="21"/>
                <w:szCs w:val="21"/>
                <w:lang w:val="en-US" w:eastAsia="zh-CN"/>
              </w:rPr>
              <w:t>2</w:t>
            </w:r>
            <w:r>
              <w:rPr>
                <w:rFonts w:hint="eastAsia" w:ascii="仿宋_GB2312" w:hAnsi="仿宋" w:eastAsia="仿宋_GB2312" w:cs="仿宋"/>
                <w:kern w:val="0"/>
                <w:sz w:val="21"/>
                <w:szCs w:val="21"/>
              </w:rPr>
              <w:t>次</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8次</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1.80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预期目标设置不合理，</w:t>
            </w:r>
            <w:r>
              <w:rPr>
                <w:rFonts w:hint="eastAsia" w:ascii="仿宋_GB2312" w:hAnsi="仿宋" w:eastAsia="仿宋_GB2312" w:cs="仿宋"/>
                <w:kern w:val="0"/>
                <w:sz w:val="21"/>
                <w:szCs w:val="21"/>
              </w:rPr>
              <w:t>后续加强经验总结</w:t>
            </w:r>
            <w:r>
              <w:rPr>
                <w:rFonts w:hint="eastAsia" w:ascii="仿宋_GB2312" w:hAnsi="仿宋" w:eastAsia="仿宋_GB2312" w:cs="仿宋"/>
                <w:kern w:val="0"/>
                <w:sz w:val="21"/>
                <w:szCs w:val="21"/>
                <w:lang w:val="en-US" w:eastAsia="zh-CN"/>
              </w:rPr>
              <w:t>做好目标设置工作</w:t>
            </w: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68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组织培训沙龙</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不少于</w:t>
            </w:r>
            <w:r>
              <w:rPr>
                <w:rFonts w:hint="eastAsia" w:ascii="仿宋_GB2312" w:hAnsi="仿宋" w:eastAsia="仿宋_GB2312" w:cs="仿宋"/>
                <w:kern w:val="0"/>
                <w:sz w:val="21"/>
                <w:szCs w:val="21"/>
                <w:lang w:val="en-US" w:eastAsia="zh-CN"/>
              </w:rPr>
              <w:t>7</w:t>
            </w:r>
            <w:r>
              <w:rPr>
                <w:rFonts w:hint="eastAsia" w:ascii="仿宋_GB2312" w:hAnsi="仿宋" w:eastAsia="仿宋_GB2312" w:cs="仿宋"/>
                <w:kern w:val="0"/>
                <w:sz w:val="21"/>
                <w:szCs w:val="21"/>
              </w:rPr>
              <w:t>次</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2次</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0.57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疫情原因未完成</w:t>
            </w:r>
            <w:r>
              <w:rPr>
                <w:rFonts w:hint="eastAsia" w:ascii="仿宋_GB2312" w:hAnsi="仿宋" w:eastAsia="仿宋_GB2312" w:cs="仿宋"/>
                <w:kern w:val="0"/>
                <w:sz w:val="21"/>
                <w:szCs w:val="21"/>
              </w:rPr>
              <w:t>，后续加强经验总结</w:t>
            </w:r>
            <w:r>
              <w:rPr>
                <w:rFonts w:hint="eastAsia" w:ascii="仿宋_GB2312" w:hAnsi="仿宋" w:eastAsia="仿宋_GB2312" w:cs="仿宋"/>
                <w:kern w:val="0"/>
                <w:sz w:val="21"/>
                <w:szCs w:val="21"/>
                <w:lang w:val="en-US" w:eastAsia="zh-CN"/>
              </w:rPr>
              <w:t>做好保障措施</w:t>
            </w: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68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开发制作理论及实践课程</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不少于</w:t>
            </w:r>
            <w:r>
              <w:rPr>
                <w:rFonts w:hint="eastAsia" w:ascii="仿宋_GB2312" w:hAnsi="仿宋" w:eastAsia="仿宋_GB2312" w:cs="仿宋"/>
                <w:kern w:val="0"/>
                <w:sz w:val="21"/>
                <w:szCs w:val="21"/>
                <w:lang w:val="en-US" w:eastAsia="zh-CN"/>
              </w:rPr>
              <w:t>5</w:t>
            </w:r>
            <w:r>
              <w:rPr>
                <w:rFonts w:hint="eastAsia" w:ascii="仿宋_GB2312" w:hAnsi="仿宋" w:eastAsia="仿宋_GB2312" w:cs="仿宋"/>
                <w:kern w:val="0"/>
                <w:sz w:val="21"/>
                <w:szCs w:val="21"/>
              </w:rPr>
              <w:t>课时</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7课时</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11</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lang w:eastAsia="zh-CN"/>
              </w:rPr>
            </w:pPr>
            <w:r>
              <w:rPr>
                <w:rFonts w:hint="default" w:ascii="仿宋_GB2312" w:hAnsi="宋体" w:eastAsia="仿宋_GB2312" w:cs="仿宋_GB2312"/>
                <w:i w:val="0"/>
                <w:iCs w:val="0"/>
                <w:color w:val="000000"/>
                <w:kern w:val="0"/>
                <w:sz w:val="21"/>
                <w:szCs w:val="21"/>
                <w:u w:val="none"/>
                <w:lang w:val="en-US" w:eastAsia="zh-CN" w:bidi="ar"/>
              </w:rPr>
              <w:t xml:space="preserve">11.00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510"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质量指标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参加培训合格率</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&gt;95%</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95%</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20</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85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时效指标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北京市“5</w:t>
            </w:r>
            <w:r>
              <w:rPr>
                <w:rFonts w:hint="eastAsia" w:ascii="微软雅黑" w:hAnsi="微软雅黑" w:eastAsia="微软雅黑" w:cs="微软雅黑"/>
                <w:kern w:val="0"/>
                <w:sz w:val="21"/>
                <w:szCs w:val="21"/>
              </w:rPr>
              <w:t>•</w:t>
            </w:r>
            <w:r>
              <w:rPr>
                <w:rFonts w:hint="eastAsia" w:ascii="仿宋_GB2312" w:hAnsi="仿宋" w:eastAsia="仿宋_GB2312" w:cs="仿宋"/>
                <w:kern w:val="0"/>
                <w:sz w:val="21"/>
                <w:szCs w:val="21"/>
              </w:rPr>
              <w:t>12”防灾减灾日地震专场主会场活动</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5月底前</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5月底前</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85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第八届北京市防震减灾科普知识培训及讲解大赛</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4月底前</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4月底前</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850"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小讲解员及防灾科普训练营</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9月底前</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9月底前</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68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《城市与减灾》学术交流会</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11月底前</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11月底前</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680" w:hRule="atLeas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首都防震减灾科普大讲堂培训</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11月底前</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11月底前</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2.00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p>
        </w:tc>
      </w:tr>
      <w:tr>
        <w:tblPrEx>
          <w:tblCellMar>
            <w:top w:w="0" w:type="dxa"/>
            <w:left w:w="108" w:type="dxa"/>
            <w:bottom w:w="0" w:type="dxa"/>
            <w:right w:w="108" w:type="dxa"/>
          </w:tblCellMar>
        </w:tblPrEx>
        <w:trPr>
          <w:trHeight w:val="1175"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成本指标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项目成本</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w:t>
            </w:r>
            <w:r>
              <w:rPr>
                <w:rFonts w:hint="eastAsia" w:ascii="仿宋_GB2312" w:hAnsi="仿宋" w:eastAsia="仿宋_GB2312" w:cs="仿宋"/>
                <w:kern w:val="0"/>
                <w:sz w:val="21"/>
                <w:szCs w:val="21"/>
                <w:lang w:val="en-US" w:eastAsia="zh-CN"/>
              </w:rPr>
              <w:t>138.48</w:t>
            </w:r>
            <w:r>
              <w:rPr>
                <w:rFonts w:hint="eastAsia" w:ascii="仿宋_GB2312" w:hAnsi="仿宋" w:eastAsia="仿宋_GB2312" w:cs="仿宋"/>
                <w:kern w:val="0"/>
                <w:sz w:val="21"/>
                <w:szCs w:val="21"/>
              </w:rPr>
              <w:t>万元</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140</w:t>
            </w:r>
            <w:r>
              <w:rPr>
                <w:rFonts w:hint="eastAsia" w:ascii="仿宋_GB2312" w:hAnsi="仿宋" w:eastAsia="仿宋_GB2312" w:cs="仿宋"/>
                <w:kern w:val="0"/>
                <w:sz w:val="21"/>
                <w:szCs w:val="21"/>
                <w:lang w:val="en-US" w:eastAsia="zh-CN"/>
              </w:rPr>
              <w:t>.</w:t>
            </w:r>
            <w:r>
              <w:rPr>
                <w:rFonts w:hint="eastAsia" w:ascii="仿宋_GB2312" w:hAnsi="仿宋" w:eastAsia="仿宋_GB2312" w:cs="仿宋"/>
                <w:kern w:val="0"/>
                <w:sz w:val="21"/>
                <w:szCs w:val="21"/>
              </w:rPr>
              <w:t>999728万元</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10</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eastAsia" w:ascii="仿宋_GB2312" w:hAnsi="宋体" w:eastAsia="仿宋_GB2312" w:cs="仿宋_GB2312"/>
                <w:i w:val="0"/>
                <w:iCs w:val="0"/>
                <w:color w:val="000000"/>
                <w:kern w:val="0"/>
                <w:sz w:val="21"/>
                <w:szCs w:val="21"/>
                <w:u w:val="none"/>
                <w:lang w:val="en-US" w:eastAsia="zh-CN" w:bidi="ar"/>
              </w:rPr>
              <w:t>9.81</w:t>
            </w:r>
            <w:r>
              <w:rPr>
                <w:rFonts w:hint="default" w:ascii="仿宋_GB2312" w:hAnsi="宋体" w:eastAsia="仿宋_GB2312" w:cs="仿宋_GB2312"/>
                <w:i w:val="0"/>
                <w:iCs w:val="0"/>
                <w:color w:val="000000"/>
                <w:kern w:val="0"/>
                <w:sz w:val="21"/>
                <w:szCs w:val="21"/>
                <w:u w:val="none"/>
                <w:lang w:val="en-US" w:eastAsia="zh-CN" w:bidi="ar"/>
              </w:rPr>
              <w:t xml:space="preserve">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both"/>
              <w:rPr>
                <w:rFonts w:hint="default" w:ascii="仿宋_GB2312" w:hAnsi="仿宋" w:eastAsia="仿宋_GB2312" w:cs="仿宋"/>
                <w:kern w:val="0"/>
                <w:sz w:val="21"/>
                <w:szCs w:val="21"/>
                <w:lang w:val="en-US" w:eastAsia="zh-CN"/>
              </w:rPr>
            </w:pPr>
            <w:r>
              <w:rPr>
                <w:rFonts w:hint="eastAsia" w:ascii="仿宋_GB2312" w:hAnsi="仿宋" w:eastAsia="仿宋_GB2312" w:cs="仿宋"/>
                <w:kern w:val="0"/>
                <w:sz w:val="21"/>
                <w:szCs w:val="21"/>
                <w:lang w:val="en-US" w:eastAsia="zh-CN"/>
              </w:rPr>
              <w:t>按照实际支出执行，后期加强成本控制。</w:t>
            </w:r>
          </w:p>
        </w:tc>
      </w:tr>
      <w:tr>
        <w:tblPrEx>
          <w:tblCellMar>
            <w:top w:w="0" w:type="dxa"/>
            <w:left w:w="108" w:type="dxa"/>
            <w:bottom w:w="0" w:type="dxa"/>
            <w:right w:w="108" w:type="dxa"/>
          </w:tblCellMar>
        </w:tblPrEx>
        <w:trPr>
          <w:trHeight w:val="2268"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效益指标</w:t>
            </w:r>
          </w:p>
        </w:tc>
        <w:tc>
          <w:tcPr>
            <w:tcW w:w="1105"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社会效益</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指标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年度覆盖人次</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50</w:t>
            </w:r>
            <w:r>
              <w:rPr>
                <w:rFonts w:hint="eastAsia" w:ascii="仿宋_GB2312" w:hAnsi="仿宋" w:eastAsia="仿宋_GB2312" w:cs="仿宋"/>
                <w:kern w:val="0"/>
                <w:sz w:val="21"/>
                <w:szCs w:val="21"/>
              </w:rPr>
              <w:t>万人</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超2000万人次</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15</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 xml:space="preserve">10.50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达到预期目标，年度指标值设置不合理，后续加强经验总结做好指标设置。</w:t>
            </w:r>
          </w:p>
        </w:tc>
      </w:tr>
      <w:tr>
        <w:tblPrEx>
          <w:tblCellMar>
            <w:top w:w="0" w:type="dxa"/>
            <w:left w:w="108" w:type="dxa"/>
            <w:bottom w:w="0" w:type="dxa"/>
            <w:right w:w="108" w:type="dxa"/>
          </w:tblCellMar>
        </w:tblPrEx>
        <w:trPr>
          <w:trHeight w:val="1798"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活动媒体报道</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30</w:t>
            </w:r>
            <w:r>
              <w:rPr>
                <w:rFonts w:hint="eastAsia" w:ascii="仿宋_GB2312" w:hAnsi="仿宋" w:eastAsia="仿宋_GB2312" w:cs="仿宋"/>
                <w:kern w:val="0"/>
                <w:sz w:val="21"/>
                <w:szCs w:val="21"/>
              </w:rPr>
              <w:t>次</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20次</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10</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hAnsi="仿宋" w:eastAsia="仿宋_GB2312" w:cs="仿宋"/>
                <w:kern w:val="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6.67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lang w:val="en-US" w:eastAsia="zh-CN"/>
              </w:rPr>
              <w:t>疫情原因未完成</w:t>
            </w:r>
            <w:r>
              <w:rPr>
                <w:rFonts w:hint="eastAsia" w:ascii="仿宋_GB2312" w:hAnsi="仿宋" w:eastAsia="仿宋_GB2312" w:cs="仿宋"/>
                <w:kern w:val="0"/>
                <w:sz w:val="21"/>
                <w:szCs w:val="21"/>
              </w:rPr>
              <w:t>，后续加强经验总结</w:t>
            </w:r>
            <w:r>
              <w:rPr>
                <w:rFonts w:hint="eastAsia" w:ascii="仿宋_GB2312" w:hAnsi="仿宋" w:eastAsia="仿宋_GB2312" w:cs="仿宋"/>
                <w:kern w:val="0"/>
                <w:sz w:val="21"/>
                <w:szCs w:val="21"/>
                <w:lang w:val="en-US" w:eastAsia="zh-CN"/>
              </w:rPr>
              <w:t>做好保障措施</w:t>
            </w:r>
            <w:r>
              <w:rPr>
                <w:rFonts w:hint="eastAsia" w:ascii="仿宋_GB2312" w:hAnsi="仿宋" w:eastAsia="仿宋_GB2312" w:cs="仿宋"/>
                <w:kern w:val="0"/>
                <w:sz w:val="21"/>
                <w:szCs w:val="21"/>
              </w:rPr>
              <w:t>。</w:t>
            </w:r>
          </w:p>
        </w:tc>
      </w:tr>
      <w:tr>
        <w:tblPrEx>
          <w:tblCellMar>
            <w:top w:w="0" w:type="dxa"/>
            <w:left w:w="108" w:type="dxa"/>
            <w:bottom w:w="0" w:type="dxa"/>
            <w:right w:w="108" w:type="dxa"/>
          </w:tblCellMar>
        </w:tblPrEx>
        <w:trPr>
          <w:trHeight w:val="1928" w:hRule="exact"/>
        </w:trPr>
        <w:tc>
          <w:tcPr>
            <w:tcW w:w="58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c>
          <w:tcPr>
            <w:tcW w:w="97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满意度</w:t>
            </w:r>
          </w:p>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服务对象满意度标</w:t>
            </w:r>
          </w:p>
        </w:tc>
        <w:tc>
          <w:tcPr>
            <w:tcW w:w="213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满意度调查</w:t>
            </w:r>
          </w:p>
        </w:tc>
        <w:tc>
          <w:tcPr>
            <w:tcW w:w="849"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≥90%</w:t>
            </w:r>
          </w:p>
        </w:tc>
        <w:tc>
          <w:tcPr>
            <w:tcW w:w="84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90%</w:t>
            </w:r>
          </w:p>
        </w:tc>
        <w:tc>
          <w:tcPr>
            <w:tcW w:w="563"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rPr>
            </w:pPr>
            <w:r>
              <w:rPr>
                <w:rFonts w:hint="default" w:ascii="仿宋_GB2312" w:hAnsi="宋体" w:eastAsia="仿宋_GB2312" w:cs="仿宋_GB2312"/>
                <w:i w:val="0"/>
                <w:iCs w:val="0"/>
                <w:color w:val="000000"/>
                <w:kern w:val="0"/>
                <w:sz w:val="21"/>
                <w:szCs w:val="21"/>
                <w:u w:val="none"/>
                <w:lang w:val="en-US" w:eastAsia="zh-CN" w:bidi="ar"/>
              </w:rPr>
              <w:t>10</w:t>
            </w:r>
          </w:p>
        </w:tc>
        <w:tc>
          <w:tcPr>
            <w:tcW w:w="804" w:type="dxa"/>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仿宋_GB2312" w:hAnsi="仿宋" w:eastAsia="仿宋_GB2312" w:cs="仿宋"/>
                <w:kern w:val="0"/>
                <w:sz w:val="21"/>
                <w:szCs w:val="21"/>
                <w:lang w:eastAsia="zh-CN"/>
              </w:rPr>
            </w:pPr>
            <w:r>
              <w:rPr>
                <w:rFonts w:hint="default" w:ascii="仿宋_GB2312" w:hAnsi="宋体" w:eastAsia="仿宋_GB2312" w:cs="仿宋_GB2312"/>
                <w:i w:val="0"/>
                <w:iCs w:val="0"/>
                <w:color w:val="000000"/>
                <w:kern w:val="0"/>
                <w:sz w:val="21"/>
                <w:szCs w:val="21"/>
                <w:u w:val="none"/>
                <w:lang w:val="en-US" w:eastAsia="zh-CN" w:bidi="ar"/>
              </w:rPr>
              <w:t>9.</w:t>
            </w:r>
            <w:r>
              <w:rPr>
                <w:rFonts w:hint="eastAsia" w:ascii="仿宋_GB2312" w:hAnsi="宋体" w:eastAsia="仿宋_GB2312" w:cs="仿宋_GB2312"/>
                <w:i w:val="0"/>
                <w:iCs w:val="0"/>
                <w:color w:val="000000"/>
                <w:kern w:val="0"/>
                <w:sz w:val="21"/>
                <w:szCs w:val="21"/>
                <w:u w:val="none"/>
                <w:lang w:val="en-US" w:eastAsia="zh-CN" w:bidi="ar"/>
              </w:rPr>
              <w:t>70</w:t>
            </w:r>
            <w:r>
              <w:rPr>
                <w:rFonts w:hint="default" w:ascii="仿宋_GB2312" w:hAnsi="宋体" w:eastAsia="仿宋_GB2312" w:cs="仿宋_GB2312"/>
                <w:i w:val="0"/>
                <w:iCs w:val="0"/>
                <w:color w:val="000000"/>
                <w:kern w:val="0"/>
                <w:sz w:val="21"/>
                <w:szCs w:val="21"/>
                <w:u w:val="none"/>
                <w:lang w:val="en-US" w:eastAsia="zh-CN" w:bidi="ar"/>
              </w:rPr>
              <w:t xml:space="preserve"> </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满意度调查待更全面，将进一步全面开展满意度调查及分析。</w:t>
            </w:r>
          </w:p>
        </w:tc>
      </w:tr>
      <w:tr>
        <w:tblPrEx>
          <w:tblCellMar>
            <w:top w:w="0" w:type="dxa"/>
            <w:left w:w="108" w:type="dxa"/>
            <w:bottom w:w="0" w:type="dxa"/>
            <w:right w:w="108" w:type="dxa"/>
          </w:tblCellMar>
        </w:tblPrEx>
        <w:trPr>
          <w:trHeight w:val="477" w:hRule="exact"/>
        </w:trPr>
        <w:tc>
          <w:tcPr>
            <w:tcW w:w="649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总分</w:t>
            </w:r>
          </w:p>
        </w:tc>
        <w:tc>
          <w:tcPr>
            <w:tcW w:w="563"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r>
              <w:rPr>
                <w:rFonts w:hint="eastAsia" w:ascii="仿宋_GB2312" w:hAnsi="仿宋" w:eastAsia="仿宋_GB2312" w:cs="仿宋"/>
                <w:kern w:val="0"/>
                <w:sz w:val="21"/>
                <w:szCs w:val="21"/>
              </w:rPr>
              <w:t>100</w:t>
            </w:r>
          </w:p>
        </w:tc>
        <w:tc>
          <w:tcPr>
            <w:tcW w:w="804"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仿宋_GB2312" w:hAnsi="仿宋" w:eastAsia="仿宋_GB2312" w:cs="仿宋"/>
                <w:kern w:val="0"/>
                <w:sz w:val="21"/>
                <w:szCs w:val="21"/>
                <w:lang w:val="en-US" w:eastAsia="zh-CN"/>
              </w:rPr>
            </w:pPr>
            <w:r>
              <w:rPr>
                <w:rFonts w:hint="eastAsia" w:ascii="仿宋_GB2312" w:hAnsi="仿宋" w:eastAsia="仿宋_GB2312" w:cs="仿宋"/>
                <w:kern w:val="0"/>
                <w:sz w:val="21"/>
                <w:szCs w:val="21"/>
                <w:lang w:val="en-US" w:eastAsia="zh-CN"/>
              </w:rPr>
              <w:t>90.04</w:t>
            </w:r>
          </w:p>
        </w:tc>
        <w:tc>
          <w:tcPr>
            <w:tcW w:w="117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_GB2312" w:hAnsi="仿宋" w:eastAsia="仿宋_GB2312" w:cs="仿宋"/>
                <w:kern w:val="0"/>
                <w:sz w:val="21"/>
                <w:szCs w:val="21"/>
              </w:rPr>
            </w:pPr>
          </w:p>
        </w:tc>
      </w:tr>
    </w:tbl>
    <w:p>
      <w:pPr>
        <w:rPr>
          <w:rFonts w:ascii="仿宋_GB2312" w:eastAsia="仿宋_GB2312"/>
          <w:vanish/>
          <w:sz w:val="32"/>
          <w:szCs w:val="32"/>
        </w:rPr>
      </w:pPr>
    </w:p>
    <w:p>
      <w:pPr>
        <w:spacing w:line="520" w:lineRule="exact"/>
        <w:ind w:firstLine="420" w:firstLineChars="200"/>
      </w:pPr>
    </w:p>
    <w:p/>
    <w:p>
      <w:pPr>
        <w:rPr>
          <w:rFonts w:hint="eastAsia"/>
        </w:rPr>
      </w:pPr>
      <w:r>
        <w:rPr>
          <w:rFonts w:hint="eastAsia"/>
        </w:rP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6"/>
        <w:gridCol w:w="1062"/>
        <w:gridCol w:w="1202"/>
        <w:gridCol w:w="794"/>
        <w:gridCol w:w="1228"/>
        <w:gridCol w:w="305"/>
        <w:gridCol w:w="930"/>
        <w:gridCol w:w="926"/>
        <w:gridCol w:w="305"/>
        <w:gridCol w:w="307"/>
        <w:gridCol w:w="459"/>
        <w:gridCol w:w="416"/>
        <w:gridCol w:w="505"/>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2"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项目名称</w:t>
            </w:r>
          </w:p>
        </w:tc>
        <w:tc>
          <w:tcPr>
            <w:tcW w:w="4137" w:type="pct"/>
            <w:gridSpan w:val="1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北京市防震减灾政务新媒体及科普宣传网站运维项目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2"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主管部门</w:t>
            </w:r>
          </w:p>
        </w:tc>
        <w:tc>
          <w:tcPr>
            <w:tcW w:w="2263" w:type="pct"/>
            <w:gridSpan w:val="5"/>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实施单位</w:t>
            </w:r>
          </w:p>
        </w:tc>
        <w:tc>
          <w:tcPr>
            <w:tcW w:w="1250" w:type="pct"/>
            <w:gridSpan w:val="5"/>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北京市地震局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2"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项目负责人</w:t>
            </w:r>
          </w:p>
        </w:tc>
        <w:tc>
          <w:tcPr>
            <w:tcW w:w="2263" w:type="pct"/>
            <w:gridSpan w:val="5"/>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张宏宇</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联系电话</w:t>
            </w:r>
          </w:p>
        </w:tc>
        <w:tc>
          <w:tcPr>
            <w:tcW w:w="1250" w:type="pct"/>
            <w:gridSpan w:val="5"/>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83012253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62" w:type="pct"/>
            <w:gridSpan w:val="2"/>
            <w:vMerge w:val="restar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项目资金</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（万元）</w:t>
            </w:r>
          </w:p>
        </w:tc>
        <w:tc>
          <w:tcPr>
            <w:tcW w:w="1013" w:type="pct"/>
            <w:gridSpan w:val="2"/>
            <w:vAlign w:val="center"/>
          </w:tcPr>
          <w:p>
            <w:pPr>
              <w:widowControl/>
              <w:spacing w:line="240" w:lineRule="exact"/>
              <w:jc w:val="center"/>
              <w:rPr>
                <w:rFonts w:ascii="仿宋_GB2312" w:hAnsi="仿宋" w:eastAsia="仿宋_GB2312" w:cs="仿宋"/>
                <w:kern w:val="0"/>
                <w:sz w:val="21"/>
                <w:szCs w:val="21"/>
              </w:rPr>
            </w:pPr>
          </w:p>
        </w:tc>
        <w:tc>
          <w:tcPr>
            <w:tcW w:w="62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年初预</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626"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全年预</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算数</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全年</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执行数</w:t>
            </w:r>
          </w:p>
        </w:tc>
        <w:tc>
          <w:tcPr>
            <w:tcW w:w="38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467"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执行率</w:t>
            </w:r>
          </w:p>
        </w:tc>
        <w:tc>
          <w:tcPr>
            <w:tcW w:w="39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exact"/>
          <w:jc w:val="center"/>
        </w:trPr>
        <w:tc>
          <w:tcPr>
            <w:tcW w:w="862" w:type="pct"/>
            <w:gridSpan w:val="2"/>
            <w:vMerge w:val="continue"/>
            <w:vAlign w:val="center"/>
          </w:tcPr>
          <w:p>
            <w:pPr>
              <w:widowControl/>
              <w:spacing w:line="240" w:lineRule="exact"/>
              <w:jc w:val="center"/>
              <w:rPr>
                <w:rFonts w:ascii="仿宋_GB2312" w:hAnsi="仿宋" w:eastAsia="仿宋_GB2312" w:cs="仿宋"/>
                <w:kern w:val="0"/>
                <w:sz w:val="21"/>
                <w:szCs w:val="21"/>
              </w:rPr>
            </w:pPr>
          </w:p>
        </w:tc>
        <w:tc>
          <w:tcPr>
            <w:tcW w:w="1013" w:type="pct"/>
            <w:gridSpan w:val="2"/>
            <w:vAlign w:val="center"/>
          </w:tcPr>
          <w:p>
            <w:pPr>
              <w:widowControl/>
              <w:spacing w:line="240" w:lineRule="exact"/>
              <w:rPr>
                <w:rFonts w:ascii="仿宋_GB2312" w:hAnsi="仿宋" w:eastAsia="仿宋_GB2312" w:cs="仿宋"/>
                <w:kern w:val="0"/>
                <w:sz w:val="21"/>
                <w:szCs w:val="21"/>
              </w:rPr>
            </w:pPr>
            <w:r>
              <w:rPr>
                <w:rFonts w:hint="eastAsia" w:ascii="仿宋_GB2312" w:hAnsi="仿宋" w:eastAsia="仿宋_GB2312" w:cs="仿宋"/>
                <w:kern w:val="0"/>
                <w:sz w:val="21"/>
                <w:szCs w:val="21"/>
              </w:rPr>
              <w:t>年度资金总额</w:t>
            </w:r>
          </w:p>
        </w:tc>
        <w:tc>
          <w:tcPr>
            <w:tcW w:w="62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102.2</w:t>
            </w:r>
          </w:p>
        </w:tc>
        <w:tc>
          <w:tcPr>
            <w:tcW w:w="626"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102.2</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101.869</w:t>
            </w:r>
          </w:p>
        </w:tc>
        <w:tc>
          <w:tcPr>
            <w:tcW w:w="38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467"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99.67%</w:t>
            </w:r>
          </w:p>
        </w:tc>
        <w:tc>
          <w:tcPr>
            <w:tcW w:w="39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jc w:val="center"/>
        </w:trPr>
        <w:tc>
          <w:tcPr>
            <w:tcW w:w="862" w:type="pct"/>
            <w:gridSpan w:val="2"/>
            <w:vMerge w:val="continue"/>
            <w:vAlign w:val="center"/>
          </w:tcPr>
          <w:p>
            <w:pPr>
              <w:widowControl/>
              <w:spacing w:line="240" w:lineRule="exact"/>
              <w:jc w:val="center"/>
              <w:rPr>
                <w:rFonts w:ascii="仿宋_GB2312" w:hAnsi="仿宋" w:eastAsia="仿宋_GB2312" w:cs="仿宋"/>
                <w:kern w:val="0"/>
                <w:sz w:val="21"/>
                <w:szCs w:val="21"/>
              </w:rPr>
            </w:pPr>
          </w:p>
        </w:tc>
        <w:tc>
          <w:tcPr>
            <w:tcW w:w="101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其中：当年财政</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拨款</w:t>
            </w:r>
          </w:p>
        </w:tc>
        <w:tc>
          <w:tcPr>
            <w:tcW w:w="62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102.2</w:t>
            </w:r>
          </w:p>
        </w:tc>
        <w:tc>
          <w:tcPr>
            <w:tcW w:w="626"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102.2</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101.869</w:t>
            </w:r>
          </w:p>
        </w:tc>
        <w:tc>
          <w:tcPr>
            <w:tcW w:w="38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7"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99.67%</w:t>
            </w:r>
          </w:p>
        </w:tc>
        <w:tc>
          <w:tcPr>
            <w:tcW w:w="39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2" w:type="pct"/>
            <w:gridSpan w:val="2"/>
            <w:vMerge w:val="continue"/>
            <w:vAlign w:val="center"/>
          </w:tcPr>
          <w:p>
            <w:pPr>
              <w:widowControl/>
              <w:spacing w:line="240" w:lineRule="exact"/>
              <w:jc w:val="center"/>
              <w:rPr>
                <w:rFonts w:ascii="仿宋_GB2312" w:hAnsi="仿宋" w:eastAsia="仿宋_GB2312" w:cs="仿宋"/>
                <w:kern w:val="0"/>
                <w:sz w:val="21"/>
                <w:szCs w:val="21"/>
              </w:rPr>
            </w:pPr>
          </w:p>
        </w:tc>
        <w:tc>
          <w:tcPr>
            <w:tcW w:w="101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 xml:space="preserve">  上年结转资金</w:t>
            </w:r>
          </w:p>
        </w:tc>
        <w:tc>
          <w:tcPr>
            <w:tcW w:w="62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626"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8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7"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9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2" w:type="pct"/>
            <w:gridSpan w:val="2"/>
            <w:vMerge w:val="continue"/>
            <w:vAlign w:val="center"/>
          </w:tcPr>
          <w:p>
            <w:pPr>
              <w:widowControl/>
              <w:spacing w:line="240" w:lineRule="exact"/>
              <w:jc w:val="center"/>
              <w:rPr>
                <w:rFonts w:ascii="仿宋_GB2312" w:hAnsi="仿宋" w:eastAsia="仿宋_GB2312" w:cs="仿宋"/>
                <w:kern w:val="0"/>
                <w:sz w:val="21"/>
                <w:szCs w:val="21"/>
              </w:rPr>
            </w:pPr>
          </w:p>
        </w:tc>
        <w:tc>
          <w:tcPr>
            <w:tcW w:w="101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 xml:space="preserve">  其他资金</w:t>
            </w:r>
          </w:p>
        </w:tc>
        <w:tc>
          <w:tcPr>
            <w:tcW w:w="62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626"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623"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8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467"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c>
          <w:tcPr>
            <w:tcW w:w="393"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323" w:type="pct"/>
            <w:vMerge w:val="restar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年度总体目标</w:t>
            </w:r>
          </w:p>
        </w:tc>
        <w:tc>
          <w:tcPr>
            <w:tcW w:w="2802" w:type="pct"/>
            <w:gridSpan w:val="6"/>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预期目标</w:t>
            </w:r>
          </w:p>
        </w:tc>
        <w:tc>
          <w:tcPr>
            <w:tcW w:w="1874" w:type="pct"/>
            <w:gridSpan w:val="7"/>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2802" w:type="pct"/>
            <w:gridSpan w:val="6"/>
            <w:vAlign w:val="center"/>
          </w:tcPr>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1.基本满足日常及地震应急科普宣传工作的需要，积极回应社会关切，稳定舆论，各平台正常运行无重大故障；</w:t>
            </w:r>
          </w:p>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2.年度科普覆盖达到千万级，满意度较高；</w:t>
            </w:r>
          </w:p>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3.为北京市防灾减灾日等重要时间节点活动提供技术支持与展示保障。</w:t>
            </w:r>
          </w:p>
        </w:tc>
        <w:tc>
          <w:tcPr>
            <w:tcW w:w="1874" w:type="pct"/>
            <w:gridSpan w:val="7"/>
            <w:vAlign w:val="center"/>
          </w:tcPr>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1.完成全年防震减灾政务平台运维及地震应急科普宣传工作，积极回应社会关注稳定舆情，各平台正常运行全年未发生重大故障。</w:t>
            </w:r>
          </w:p>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2.年度科普覆盖人数达到4000万+，网络抽样调查满意度92%。</w:t>
            </w:r>
          </w:p>
          <w:p>
            <w:pPr>
              <w:widowControl/>
              <w:spacing w:line="240" w:lineRule="exact"/>
              <w:jc w:val="left"/>
              <w:rPr>
                <w:rFonts w:ascii="仿宋_GB2312" w:hAnsi="仿宋" w:eastAsia="仿宋_GB2312" w:cs="仿宋"/>
                <w:kern w:val="0"/>
                <w:sz w:val="21"/>
                <w:szCs w:val="21"/>
              </w:rPr>
            </w:pPr>
            <w:r>
              <w:rPr>
                <w:rFonts w:hint="eastAsia" w:ascii="仿宋_GB2312" w:hAnsi="仿宋" w:eastAsia="仿宋_GB2312" w:cs="仿宋"/>
                <w:kern w:val="0"/>
                <w:sz w:val="21"/>
                <w:szCs w:val="21"/>
              </w:rPr>
              <w:t>3.完成防灾减灾日、国际减灾日、全国科普日等重要时间节点线上线下科普活动10场。为重要时间节点活动提供技术支持与保障。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exact"/>
          <w:jc w:val="center"/>
        </w:trPr>
        <w:tc>
          <w:tcPr>
            <w:tcW w:w="323" w:type="pct"/>
            <w:vMerge w:val="restar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绩</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效</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指</w:t>
            </w:r>
            <w:r>
              <w:rPr>
                <w:rFonts w:hint="eastAsia" w:ascii="仿宋_GB2312" w:hAnsi="仿宋" w:eastAsia="仿宋_GB2312" w:cs="仿宋"/>
                <w:kern w:val="0"/>
                <w:sz w:val="21"/>
                <w:szCs w:val="21"/>
              </w:rPr>
              <w:br w:type="textWrapping"/>
            </w:r>
            <w:r>
              <w:rPr>
                <w:rFonts w:hint="eastAsia" w:ascii="仿宋_GB2312" w:hAnsi="仿宋" w:eastAsia="仿宋_GB2312" w:cs="仿宋"/>
                <w:kern w:val="0"/>
                <w:sz w:val="21"/>
                <w:szCs w:val="21"/>
              </w:rPr>
              <w:t>标</w:t>
            </w:r>
          </w:p>
        </w:tc>
        <w:tc>
          <w:tcPr>
            <w:tcW w:w="539"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一级指标</w:t>
            </w:r>
          </w:p>
        </w:tc>
        <w:tc>
          <w:tcPr>
            <w:tcW w:w="61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二级指标</w:t>
            </w:r>
          </w:p>
        </w:tc>
        <w:tc>
          <w:tcPr>
            <w:tcW w:w="1181" w:type="pct"/>
            <w:gridSpan w:val="3"/>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三级指标</w:t>
            </w:r>
          </w:p>
        </w:tc>
        <w:tc>
          <w:tcPr>
            <w:tcW w:w="47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年度</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指标值</w:t>
            </w:r>
          </w:p>
        </w:tc>
        <w:tc>
          <w:tcPr>
            <w:tcW w:w="468"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实际</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完成值</w:t>
            </w:r>
          </w:p>
        </w:tc>
        <w:tc>
          <w:tcPr>
            <w:tcW w:w="311"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分值</w:t>
            </w:r>
          </w:p>
        </w:tc>
        <w:tc>
          <w:tcPr>
            <w:tcW w:w="444"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得分</w:t>
            </w:r>
          </w:p>
        </w:tc>
        <w:tc>
          <w:tcPr>
            <w:tcW w:w="649"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偏差原因分析及改进措施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4"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Merge w:val="restar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产出指标</w:t>
            </w:r>
          </w:p>
        </w:tc>
        <w:tc>
          <w:tcPr>
            <w:tcW w:w="610" w:type="pct"/>
            <w:vMerge w:val="restar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数量指标</w:t>
            </w:r>
          </w:p>
        </w:tc>
        <w:tc>
          <w:tcPr>
            <w:tcW w:w="1181" w:type="pct"/>
            <w:gridSpan w:val="3"/>
            <w:vAlign w:val="center"/>
          </w:tcPr>
          <w:p>
            <w:pPr>
              <w:widowControl/>
              <w:spacing w:line="240" w:lineRule="exact"/>
              <w:jc w:val="left"/>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支持包括全市防灾减灾日活动在内的线上线下活动</w:t>
            </w:r>
          </w:p>
        </w:tc>
        <w:tc>
          <w:tcPr>
            <w:tcW w:w="47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8场以上</w:t>
            </w:r>
          </w:p>
        </w:tc>
        <w:tc>
          <w:tcPr>
            <w:tcW w:w="468"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10场</w:t>
            </w:r>
          </w:p>
        </w:tc>
        <w:tc>
          <w:tcPr>
            <w:tcW w:w="311"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15</w:t>
            </w:r>
          </w:p>
        </w:tc>
        <w:tc>
          <w:tcPr>
            <w:tcW w:w="444"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15</w:t>
            </w:r>
          </w:p>
        </w:tc>
        <w:tc>
          <w:tcPr>
            <w:tcW w:w="649" w:type="pct"/>
            <w:gridSpan w:val="2"/>
            <w:vAlign w:val="center"/>
          </w:tcPr>
          <w:p>
            <w:pPr>
              <w:widowControl/>
              <w:spacing w:line="240" w:lineRule="exact"/>
              <w:jc w:val="center"/>
              <w:rPr>
                <w:rFonts w:ascii="仿宋_GB2312" w:hAnsi="仿宋" w:eastAsia="仿宋_GB2312"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Merge w:val="continue"/>
            <w:vAlign w:val="center"/>
          </w:tcPr>
          <w:p>
            <w:pPr>
              <w:widowControl/>
              <w:spacing w:line="240" w:lineRule="exact"/>
              <w:jc w:val="center"/>
              <w:rPr>
                <w:rFonts w:ascii="仿宋_GB2312" w:hAnsi="仿宋" w:eastAsia="仿宋_GB2312" w:cs="仿宋"/>
                <w:kern w:val="0"/>
                <w:sz w:val="21"/>
                <w:szCs w:val="21"/>
              </w:rPr>
            </w:pPr>
          </w:p>
        </w:tc>
        <w:tc>
          <w:tcPr>
            <w:tcW w:w="610" w:type="pct"/>
            <w:vMerge w:val="continue"/>
            <w:vAlign w:val="center"/>
          </w:tcPr>
          <w:p>
            <w:pPr>
              <w:widowControl/>
              <w:spacing w:line="240" w:lineRule="exact"/>
              <w:jc w:val="center"/>
              <w:rPr>
                <w:rFonts w:ascii="仿宋_GB2312" w:hAnsi="仿宋" w:eastAsia="仿宋_GB2312" w:cs="仿宋"/>
                <w:kern w:val="0"/>
                <w:sz w:val="21"/>
                <w:szCs w:val="21"/>
              </w:rPr>
            </w:pPr>
          </w:p>
        </w:tc>
        <w:tc>
          <w:tcPr>
            <w:tcW w:w="1181" w:type="pct"/>
            <w:gridSpan w:val="3"/>
            <w:vAlign w:val="center"/>
          </w:tcPr>
          <w:p>
            <w:pPr>
              <w:widowControl/>
              <w:spacing w:line="240" w:lineRule="exact"/>
              <w:jc w:val="left"/>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微博全北京市排名</w:t>
            </w:r>
          </w:p>
        </w:tc>
        <w:tc>
          <w:tcPr>
            <w:tcW w:w="47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前30</w:t>
            </w:r>
          </w:p>
        </w:tc>
        <w:tc>
          <w:tcPr>
            <w:tcW w:w="468"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29</w:t>
            </w:r>
          </w:p>
        </w:tc>
        <w:tc>
          <w:tcPr>
            <w:tcW w:w="311"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15</w:t>
            </w:r>
          </w:p>
        </w:tc>
        <w:tc>
          <w:tcPr>
            <w:tcW w:w="444"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15</w:t>
            </w:r>
          </w:p>
        </w:tc>
        <w:tc>
          <w:tcPr>
            <w:tcW w:w="649" w:type="pct"/>
            <w:gridSpan w:val="2"/>
            <w:vAlign w:val="center"/>
          </w:tcPr>
          <w:p>
            <w:pPr>
              <w:widowControl/>
              <w:spacing w:line="240" w:lineRule="exact"/>
              <w:jc w:val="center"/>
              <w:rPr>
                <w:rFonts w:ascii="仿宋_GB2312" w:hAnsi="仿宋" w:eastAsia="仿宋_GB2312"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Merge w:val="continue"/>
            <w:vAlign w:val="center"/>
          </w:tcPr>
          <w:p>
            <w:pPr>
              <w:widowControl/>
              <w:spacing w:line="240" w:lineRule="exact"/>
              <w:jc w:val="center"/>
              <w:rPr>
                <w:rFonts w:ascii="仿宋_GB2312" w:hAnsi="仿宋" w:eastAsia="仿宋_GB2312" w:cs="仿宋"/>
                <w:kern w:val="0"/>
                <w:sz w:val="21"/>
                <w:szCs w:val="21"/>
              </w:rPr>
            </w:pPr>
          </w:p>
        </w:tc>
        <w:tc>
          <w:tcPr>
            <w:tcW w:w="61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质量指标</w:t>
            </w:r>
          </w:p>
        </w:tc>
        <w:tc>
          <w:tcPr>
            <w:tcW w:w="1181" w:type="pct"/>
            <w:gridSpan w:val="3"/>
            <w:vAlign w:val="center"/>
          </w:tcPr>
          <w:p>
            <w:pPr>
              <w:widowControl/>
              <w:spacing w:line="240" w:lineRule="exact"/>
              <w:jc w:val="left"/>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内容科学性</w:t>
            </w:r>
          </w:p>
        </w:tc>
        <w:tc>
          <w:tcPr>
            <w:tcW w:w="47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通过专家评审</w:t>
            </w:r>
          </w:p>
        </w:tc>
        <w:tc>
          <w:tcPr>
            <w:tcW w:w="468"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通过</w:t>
            </w:r>
          </w:p>
        </w:tc>
        <w:tc>
          <w:tcPr>
            <w:tcW w:w="311"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444"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10</w:t>
            </w:r>
          </w:p>
        </w:tc>
        <w:tc>
          <w:tcPr>
            <w:tcW w:w="649" w:type="pct"/>
            <w:gridSpan w:val="2"/>
            <w:vAlign w:val="center"/>
          </w:tcPr>
          <w:p>
            <w:pPr>
              <w:widowControl/>
              <w:spacing w:line="240" w:lineRule="exact"/>
              <w:jc w:val="center"/>
              <w:rPr>
                <w:rFonts w:ascii="仿宋_GB2312" w:hAnsi="仿宋" w:eastAsia="仿宋_GB2312" w:cs="仿宋"/>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4"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Merge w:val="continue"/>
            <w:vAlign w:val="center"/>
          </w:tcPr>
          <w:p>
            <w:pPr>
              <w:widowControl/>
              <w:spacing w:line="240" w:lineRule="exact"/>
              <w:jc w:val="center"/>
              <w:rPr>
                <w:rFonts w:ascii="仿宋_GB2312" w:hAnsi="仿宋" w:eastAsia="仿宋_GB2312" w:cs="仿宋"/>
                <w:kern w:val="0"/>
                <w:sz w:val="21"/>
                <w:szCs w:val="21"/>
              </w:rPr>
            </w:pPr>
          </w:p>
        </w:tc>
        <w:tc>
          <w:tcPr>
            <w:tcW w:w="61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时效指标</w:t>
            </w:r>
          </w:p>
        </w:tc>
        <w:tc>
          <w:tcPr>
            <w:tcW w:w="1181" w:type="pct"/>
            <w:gridSpan w:val="3"/>
            <w:vAlign w:val="center"/>
          </w:tcPr>
          <w:p>
            <w:pPr>
              <w:widowControl/>
              <w:jc w:val="left"/>
              <w:rPr>
                <w:rFonts w:ascii="仿宋_GB2312" w:hAnsi="仿宋" w:eastAsia="仿宋_GB2312" w:cs="仿宋"/>
                <w:kern w:val="0"/>
                <w:sz w:val="21"/>
                <w:szCs w:val="21"/>
              </w:rPr>
            </w:pPr>
            <w:r>
              <w:rPr>
                <w:rFonts w:hint="eastAsia" w:ascii="仿宋_GB2312" w:hAnsi="仿宋" w:eastAsia="仿宋_GB2312" w:cs="仿宋"/>
                <w:sz w:val="21"/>
                <w:szCs w:val="21"/>
              </w:rPr>
              <w:t>项目完成时限</w:t>
            </w:r>
          </w:p>
        </w:tc>
        <w:tc>
          <w:tcPr>
            <w:tcW w:w="470" w:type="pct"/>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12月</w:t>
            </w:r>
          </w:p>
        </w:tc>
        <w:tc>
          <w:tcPr>
            <w:tcW w:w="468" w:type="pct"/>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11月</w:t>
            </w:r>
          </w:p>
        </w:tc>
        <w:tc>
          <w:tcPr>
            <w:tcW w:w="311" w:type="pct"/>
            <w:gridSpan w:val="2"/>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10</w:t>
            </w:r>
          </w:p>
        </w:tc>
        <w:tc>
          <w:tcPr>
            <w:tcW w:w="444" w:type="pct"/>
            <w:gridSpan w:val="2"/>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9</w:t>
            </w:r>
          </w:p>
        </w:tc>
        <w:tc>
          <w:tcPr>
            <w:tcW w:w="649" w:type="pct"/>
            <w:gridSpan w:val="2"/>
            <w:vAlign w:val="center"/>
          </w:tcPr>
          <w:p>
            <w:pPr>
              <w:widowControl/>
              <w:spacing w:line="240" w:lineRule="exact"/>
              <w:rPr>
                <w:rFonts w:ascii="仿宋_GB2312" w:hAnsi="仿宋" w:eastAsia="仿宋_GB2312" w:cs="仿宋"/>
                <w:kern w:val="0"/>
                <w:sz w:val="21"/>
                <w:szCs w:val="21"/>
              </w:rPr>
            </w:pPr>
            <w:r>
              <w:rPr>
                <w:rFonts w:hint="eastAsia" w:ascii="仿宋_GB2312" w:hAnsi="仿宋" w:eastAsia="仿宋_GB2312" w:cs="仿宋"/>
                <w:kern w:val="0"/>
                <w:sz w:val="21"/>
                <w:szCs w:val="21"/>
              </w:rPr>
              <w:t>因疫情原因提前完成，后面加强项目管理。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3"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效益指标</w:t>
            </w:r>
          </w:p>
        </w:tc>
        <w:tc>
          <w:tcPr>
            <w:tcW w:w="61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社会效益</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指标</w:t>
            </w:r>
          </w:p>
        </w:tc>
        <w:tc>
          <w:tcPr>
            <w:tcW w:w="1181" w:type="pct"/>
            <w:gridSpan w:val="3"/>
            <w:vAlign w:val="center"/>
          </w:tcPr>
          <w:p>
            <w:pPr>
              <w:widowControl/>
              <w:spacing w:line="240" w:lineRule="exact"/>
              <w:jc w:val="left"/>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年度覆盖人次</w:t>
            </w:r>
          </w:p>
        </w:tc>
        <w:tc>
          <w:tcPr>
            <w:tcW w:w="47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3000万以上</w:t>
            </w:r>
          </w:p>
        </w:tc>
        <w:tc>
          <w:tcPr>
            <w:tcW w:w="468"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4000万+</w:t>
            </w:r>
          </w:p>
        </w:tc>
        <w:tc>
          <w:tcPr>
            <w:tcW w:w="311"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30</w:t>
            </w:r>
          </w:p>
        </w:tc>
        <w:tc>
          <w:tcPr>
            <w:tcW w:w="444" w:type="pct"/>
            <w:gridSpan w:val="2"/>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27</w:t>
            </w:r>
          </w:p>
        </w:tc>
        <w:tc>
          <w:tcPr>
            <w:tcW w:w="649" w:type="pct"/>
            <w:gridSpan w:val="2"/>
            <w:vAlign w:val="center"/>
          </w:tcPr>
          <w:p>
            <w:pPr>
              <w:widowControl/>
              <w:spacing w:line="240" w:lineRule="exact"/>
              <w:rPr>
                <w:rFonts w:ascii="仿宋_GB2312" w:hAnsi="仿宋" w:eastAsia="仿宋_GB2312" w:cs="仿宋"/>
                <w:kern w:val="0"/>
                <w:sz w:val="21"/>
                <w:szCs w:val="21"/>
              </w:rPr>
            </w:pPr>
            <w:r>
              <w:rPr>
                <w:rFonts w:hint="eastAsia" w:ascii="仿宋_GB2312" w:hAnsi="仿宋" w:eastAsia="仿宋_GB2312" w:cs="仿宋"/>
                <w:kern w:val="0"/>
                <w:sz w:val="21"/>
                <w:szCs w:val="21"/>
              </w:rPr>
              <w:t>绩效成果资料待提升，后续进一步加强资料收集整理，便于今后的工作开展。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exact"/>
          <w:jc w:val="center"/>
        </w:trPr>
        <w:tc>
          <w:tcPr>
            <w:tcW w:w="323" w:type="pct"/>
            <w:vMerge w:val="continue"/>
            <w:vAlign w:val="center"/>
          </w:tcPr>
          <w:p>
            <w:pPr>
              <w:widowControl/>
              <w:spacing w:line="240" w:lineRule="exact"/>
              <w:jc w:val="center"/>
              <w:rPr>
                <w:rFonts w:ascii="仿宋_GB2312" w:hAnsi="仿宋" w:eastAsia="仿宋_GB2312" w:cs="仿宋"/>
                <w:kern w:val="0"/>
                <w:sz w:val="21"/>
                <w:szCs w:val="21"/>
              </w:rPr>
            </w:pPr>
          </w:p>
        </w:tc>
        <w:tc>
          <w:tcPr>
            <w:tcW w:w="539"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满意度</w:t>
            </w:r>
          </w:p>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指标</w:t>
            </w:r>
          </w:p>
        </w:tc>
        <w:tc>
          <w:tcPr>
            <w:tcW w:w="610" w:type="pct"/>
            <w:vAlign w:val="center"/>
          </w:tcPr>
          <w:p>
            <w:pPr>
              <w:widowControl/>
              <w:spacing w:line="240" w:lineRule="exact"/>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服务对象满意度标</w:t>
            </w:r>
          </w:p>
        </w:tc>
        <w:tc>
          <w:tcPr>
            <w:tcW w:w="1181" w:type="pct"/>
            <w:gridSpan w:val="3"/>
            <w:vAlign w:val="center"/>
          </w:tcPr>
          <w:p>
            <w:pPr>
              <w:widowControl/>
              <w:spacing w:line="240" w:lineRule="exact"/>
              <w:jc w:val="left"/>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网络抽样调查满意度</w:t>
            </w:r>
          </w:p>
        </w:tc>
        <w:tc>
          <w:tcPr>
            <w:tcW w:w="470" w:type="pct"/>
            <w:vAlign w:val="center"/>
          </w:tcPr>
          <w:p>
            <w:pPr>
              <w:widowControl/>
              <w:jc w:val="center"/>
              <w:rPr>
                <w:rFonts w:ascii="仿宋_GB2312" w:hAnsi="仿宋" w:eastAsia="仿宋_GB2312" w:cs="仿宋"/>
                <w:kern w:val="0"/>
                <w:sz w:val="21"/>
                <w:szCs w:val="21"/>
              </w:rPr>
            </w:pPr>
            <w:r>
              <w:rPr>
                <w:rFonts w:hint="eastAsia" w:ascii="仿宋_GB2312" w:hAnsi="仿宋" w:eastAsia="仿宋_GB2312" w:cs="仿宋"/>
                <w:kern w:val="0"/>
                <w:sz w:val="21"/>
                <w:szCs w:val="21"/>
              </w:rPr>
              <w:t>大于80%</w:t>
            </w:r>
          </w:p>
        </w:tc>
        <w:tc>
          <w:tcPr>
            <w:tcW w:w="468" w:type="pct"/>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92%</w:t>
            </w:r>
          </w:p>
        </w:tc>
        <w:tc>
          <w:tcPr>
            <w:tcW w:w="311" w:type="pct"/>
            <w:gridSpan w:val="2"/>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10</w:t>
            </w:r>
          </w:p>
        </w:tc>
        <w:tc>
          <w:tcPr>
            <w:tcW w:w="444" w:type="pct"/>
            <w:gridSpan w:val="2"/>
            <w:vAlign w:val="center"/>
          </w:tcPr>
          <w:p>
            <w:pPr>
              <w:jc w:val="center"/>
              <w:rPr>
                <w:rFonts w:ascii="仿宋_GB2312" w:hAnsi="仿宋" w:eastAsia="仿宋_GB2312" w:cs="仿宋"/>
                <w:sz w:val="21"/>
                <w:szCs w:val="21"/>
              </w:rPr>
            </w:pPr>
            <w:r>
              <w:rPr>
                <w:rFonts w:hint="eastAsia" w:ascii="仿宋_GB2312" w:hAnsi="仿宋" w:eastAsia="仿宋_GB2312" w:cs="仿宋"/>
                <w:sz w:val="21"/>
                <w:szCs w:val="21"/>
              </w:rPr>
              <w:t>8</w:t>
            </w:r>
          </w:p>
        </w:tc>
        <w:tc>
          <w:tcPr>
            <w:tcW w:w="649" w:type="pct"/>
            <w:gridSpan w:val="2"/>
            <w:vAlign w:val="center"/>
          </w:tcPr>
          <w:p>
            <w:pPr>
              <w:widowControl/>
              <w:spacing w:line="240" w:lineRule="exact"/>
              <w:rPr>
                <w:rFonts w:ascii="仿宋_GB2312" w:hAnsi="仿宋" w:eastAsia="仿宋_GB2312" w:cs="仿宋"/>
                <w:kern w:val="0"/>
                <w:sz w:val="21"/>
                <w:szCs w:val="21"/>
              </w:rPr>
            </w:pPr>
            <w:r>
              <w:rPr>
                <w:rFonts w:hint="eastAsia" w:ascii="仿宋_GB2312" w:hAnsi="仿宋" w:eastAsia="仿宋_GB2312" w:cs="仿宋"/>
                <w:kern w:val="0"/>
                <w:sz w:val="21"/>
                <w:szCs w:val="21"/>
              </w:rPr>
              <w:t>满意度调查待更全面，将进一步全面开展满意度调查及分析。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jc w:val="center"/>
        </w:trPr>
        <w:tc>
          <w:tcPr>
            <w:tcW w:w="3594" w:type="pct"/>
            <w:gridSpan w:val="8"/>
            <w:vAlign w:val="center"/>
          </w:tcPr>
          <w:p>
            <w:pPr>
              <w:widowControl/>
              <w:spacing w:line="240" w:lineRule="exact"/>
              <w:jc w:val="center"/>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总分</w:t>
            </w:r>
          </w:p>
        </w:tc>
        <w:tc>
          <w:tcPr>
            <w:tcW w:w="311" w:type="pct"/>
            <w:gridSpan w:val="2"/>
            <w:vAlign w:val="center"/>
          </w:tcPr>
          <w:p>
            <w:pPr>
              <w:widowControl/>
              <w:spacing w:line="240" w:lineRule="exact"/>
              <w:jc w:val="center"/>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100</w:t>
            </w:r>
          </w:p>
        </w:tc>
        <w:tc>
          <w:tcPr>
            <w:tcW w:w="444" w:type="pct"/>
            <w:gridSpan w:val="2"/>
            <w:vAlign w:val="center"/>
          </w:tcPr>
          <w:p>
            <w:pPr>
              <w:widowControl/>
              <w:spacing w:line="240" w:lineRule="exact"/>
              <w:jc w:val="center"/>
              <w:rPr>
                <w:rFonts w:ascii="仿宋_GB2312" w:hAnsi="仿宋" w:eastAsia="仿宋_GB2312" w:cs="仿宋"/>
                <w:color w:val="000000"/>
                <w:kern w:val="0"/>
                <w:sz w:val="21"/>
                <w:szCs w:val="21"/>
              </w:rPr>
            </w:pPr>
            <w:r>
              <w:rPr>
                <w:rFonts w:hint="eastAsia" w:ascii="仿宋_GB2312" w:hAnsi="仿宋" w:eastAsia="仿宋_GB2312" w:cs="仿宋"/>
                <w:color w:val="000000"/>
                <w:kern w:val="0"/>
                <w:sz w:val="21"/>
                <w:szCs w:val="21"/>
              </w:rPr>
              <w:t>93.96</w:t>
            </w:r>
          </w:p>
        </w:tc>
        <w:tc>
          <w:tcPr>
            <w:tcW w:w="649" w:type="pct"/>
            <w:gridSpan w:val="2"/>
            <w:vAlign w:val="center"/>
          </w:tcPr>
          <w:p>
            <w:pPr>
              <w:widowControl/>
              <w:spacing w:line="240" w:lineRule="exact"/>
              <w:jc w:val="center"/>
              <w:rPr>
                <w:rFonts w:ascii="仿宋_GB2312" w:hAnsi="仿宋" w:eastAsia="仿宋_GB2312" w:cs="仿宋"/>
                <w:kern w:val="0"/>
                <w:sz w:val="21"/>
                <w:szCs w:val="21"/>
              </w:rPr>
            </w:pPr>
          </w:p>
        </w:tc>
      </w:tr>
    </w:tbl>
    <w:p>
      <w:pPr>
        <w:rPr>
          <w:rFonts w:ascii="仿宋_GB2312" w:eastAsia="仿宋_GB2312"/>
          <w:vanish/>
          <w:sz w:val="32"/>
          <w:szCs w:val="32"/>
        </w:rPr>
      </w:pPr>
    </w:p>
    <w:p>
      <w: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4999" w:type="pct"/>
        <w:jc w:val="center"/>
        <w:tblLayout w:type="autofit"/>
        <w:tblCellMar>
          <w:top w:w="0" w:type="dxa"/>
          <w:left w:w="108" w:type="dxa"/>
          <w:bottom w:w="0" w:type="dxa"/>
          <w:right w:w="108" w:type="dxa"/>
        </w:tblCellMar>
      </w:tblPr>
      <w:tblGrid>
        <w:gridCol w:w="618"/>
        <w:gridCol w:w="1044"/>
        <w:gridCol w:w="1185"/>
        <w:gridCol w:w="777"/>
        <w:gridCol w:w="1211"/>
        <w:gridCol w:w="288"/>
        <w:gridCol w:w="951"/>
        <w:gridCol w:w="951"/>
        <w:gridCol w:w="288"/>
        <w:gridCol w:w="290"/>
        <w:gridCol w:w="555"/>
        <w:gridCol w:w="186"/>
        <w:gridCol w:w="749"/>
        <w:gridCol w:w="759"/>
      </w:tblGrid>
      <w:tr>
        <w:tblPrEx>
          <w:tblCellMar>
            <w:top w:w="0" w:type="dxa"/>
            <w:left w:w="108" w:type="dxa"/>
            <w:bottom w:w="0" w:type="dxa"/>
            <w:right w:w="108" w:type="dxa"/>
          </w:tblCellMar>
        </w:tblPrEx>
        <w:trPr>
          <w:trHeight w:val="397" w:hRule="exact"/>
          <w:jc w:val="center"/>
        </w:trPr>
        <w:tc>
          <w:tcPr>
            <w:tcW w:w="86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项目名称</w:t>
            </w:r>
          </w:p>
        </w:tc>
        <w:tc>
          <w:tcPr>
            <w:tcW w:w="4137" w:type="pct"/>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spacing w:val="-1"/>
                <w:szCs w:val="21"/>
                <w:highlight w:val="none"/>
              </w:rPr>
              <w:t>北京副中心地下介质特性仿真及地震地质灾害应用</w:t>
            </w:r>
          </w:p>
        </w:tc>
      </w:tr>
      <w:tr>
        <w:tblPrEx>
          <w:tblCellMar>
            <w:top w:w="0" w:type="dxa"/>
            <w:left w:w="108" w:type="dxa"/>
            <w:bottom w:w="0" w:type="dxa"/>
            <w:right w:w="108" w:type="dxa"/>
          </w:tblCellMar>
        </w:tblPrEx>
        <w:trPr>
          <w:trHeight w:val="397" w:hRule="exact"/>
          <w:jc w:val="center"/>
        </w:trPr>
        <w:tc>
          <w:tcPr>
            <w:tcW w:w="86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主管部门</w:t>
            </w:r>
          </w:p>
        </w:tc>
        <w:tc>
          <w:tcPr>
            <w:tcW w:w="226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北京市地震局</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实施单位</w:t>
            </w:r>
          </w:p>
        </w:tc>
        <w:tc>
          <w:tcPr>
            <w:tcW w:w="1250"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北京市地震局</w:t>
            </w:r>
          </w:p>
        </w:tc>
      </w:tr>
      <w:tr>
        <w:tblPrEx>
          <w:tblCellMar>
            <w:top w:w="0" w:type="dxa"/>
            <w:left w:w="108" w:type="dxa"/>
            <w:bottom w:w="0" w:type="dxa"/>
            <w:right w:w="108" w:type="dxa"/>
          </w:tblCellMar>
        </w:tblPrEx>
        <w:trPr>
          <w:trHeight w:val="397" w:hRule="exact"/>
          <w:jc w:val="center"/>
        </w:trPr>
        <w:tc>
          <w:tcPr>
            <w:tcW w:w="862"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项目负责人</w:t>
            </w:r>
          </w:p>
        </w:tc>
        <w:tc>
          <w:tcPr>
            <w:tcW w:w="226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赵帅</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联系电话</w:t>
            </w:r>
          </w:p>
        </w:tc>
        <w:tc>
          <w:tcPr>
            <w:tcW w:w="1250"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13811333823</w:t>
            </w:r>
          </w:p>
        </w:tc>
      </w:tr>
      <w:tr>
        <w:tblPrEx>
          <w:tblCellMar>
            <w:top w:w="0" w:type="dxa"/>
            <w:left w:w="108" w:type="dxa"/>
            <w:bottom w:w="0" w:type="dxa"/>
            <w:right w:w="108" w:type="dxa"/>
          </w:tblCellMar>
        </w:tblPrEx>
        <w:trPr>
          <w:trHeight w:val="567" w:hRule="exact"/>
          <w:jc w:val="center"/>
        </w:trPr>
        <w:tc>
          <w:tcPr>
            <w:tcW w:w="862"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项目资金</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（万元）</w:t>
            </w:r>
          </w:p>
        </w:tc>
        <w:tc>
          <w:tcPr>
            <w:tcW w:w="101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2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年初预</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算数</w:t>
            </w:r>
          </w:p>
        </w:tc>
        <w:tc>
          <w:tcPr>
            <w:tcW w:w="626"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全年预</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算数</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全年</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执行数</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分值</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执行率</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得分</w:t>
            </w:r>
          </w:p>
        </w:tc>
      </w:tr>
      <w:tr>
        <w:tblPrEx>
          <w:tblCellMar>
            <w:top w:w="0" w:type="dxa"/>
            <w:left w:w="108" w:type="dxa"/>
            <w:bottom w:w="0" w:type="dxa"/>
            <w:right w:w="108" w:type="dxa"/>
          </w:tblCellMar>
        </w:tblPrEx>
        <w:trPr>
          <w:trHeight w:val="306" w:hRule="exact"/>
          <w:jc w:val="center"/>
        </w:trPr>
        <w:tc>
          <w:tcPr>
            <w:tcW w:w="86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01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年度资金总额</w:t>
            </w:r>
          </w:p>
        </w:tc>
        <w:tc>
          <w:tcPr>
            <w:tcW w:w="62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158</w:t>
            </w:r>
          </w:p>
        </w:tc>
        <w:tc>
          <w:tcPr>
            <w:tcW w:w="626"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158</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156.855</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99.28%</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9.93</w:t>
            </w:r>
          </w:p>
        </w:tc>
      </w:tr>
      <w:tr>
        <w:tblPrEx>
          <w:tblCellMar>
            <w:top w:w="0" w:type="dxa"/>
            <w:left w:w="108" w:type="dxa"/>
            <w:bottom w:w="0" w:type="dxa"/>
            <w:right w:w="108" w:type="dxa"/>
          </w:tblCellMar>
        </w:tblPrEx>
        <w:trPr>
          <w:trHeight w:val="601" w:hRule="exact"/>
          <w:jc w:val="center"/>
        </w:trPr>
        <w:tc>
          <w:tcPr>
            <w:tcW w:w="86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01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其中：当年财政</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拨款</w:t>
            </w:r>
          </w:p>
        </w:tc>
        <w:tc>
          <w:tcPr>
            <w:tcW w:w="62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158</w:t>
            </w:r>
          </w:p>
        </w:tc>
        <w:tc>
          <w:tcPr>
            <w:tcW w:w="626"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158</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156.855</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99.28%</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r>
      <w:tr>
        <w:tblPrEx>
          <w:tblCellMar>
            <w:top w:w="0" w:type="dxa"/>
            <w:left w:w="108" w:type="dxa"/>
            <w:bottom w:w="0" w:type="dxa"/>
            <w:right w:w="108" w:type="dxa"/>
          </w:tblCellMar>
        </w:tblPrEx>
        <w:trPr>
          <w:trHeight w:val="397" w:hRule="exact"/>
          <w:jc w:val="center"/>
        </w:trPr>
        <w:tc>
          <w:tcPr>
            <w:tcW w:w="86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01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上年结转资金</w:t>
            </w:r>
          </w:p>
        </w:tc>
        <w:tc>
          <w:tcPr>
            <w:tcW w:w="62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626"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r>
      <w:tr>
        <w:tblPrEx>
          <w:tblCellMar>
            <w:top w:w="0" w:type="dxa"/>
            <w:left w:w="108" w:type="dxa"/>
            <w:bottom w:w="0" w:type="dxa"/>
            <w:right w:w="108" w:type="dxa"/>
          </w:tblCellMar>
        </w:tblPrEx>
        <w:trPr>
          <w:trHeight w:val="397" w:hRule="exact"/>
          <w:jc w:val="center"/>
        </w:trPr>
        <w:tc>
          <w:tcPr>
            <w:tcW w:w="862"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013" w:type="pct"/>
            <w:gridSpan w:val="2"/>
            <w:tcBorders>
              <w:top w:val="single" w:color="auto" w:sz="4" w:space="0"/>
              <w:left w:val="nil"/>
              <w:bottom w:val="single" w:color="auto" w:sz="4" w:space="0"/>
              <w:right w:val="single" w:color="auto" w:sz="4" w:space="0"/>
            </w:tcBorders>
            <w:vAlign w:val="center"/>
          </w:tcPr>
          <w:p>
            <w:pPr>
              <w:widowControl/>
              <w:spacing w:line="240" w:lineRule="exact"/>
              <w:ind w:firstLine="420" w:firstLineChars="200"/>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其他资金</w:t>
            </w:r>
          </w:p>
        </w:tc>
        <w:tc>
          <w:tcPr>
            <w:tcW w:w="62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626"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623"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389"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w:t>
            </w:r>
          </w:p>
        </w:tc>
      </w:tr>
      <w:tr>
        <w:tblPrEx>
          <w:tblCellMar>
            <w:top w:w="0" w:type="dxa"/>
            <w:left w:w="108" w:type="dxa"/>
            <w:bottom w:w="0" w:type="dxa"/>
            <w:right w:w="108" w:type="dxa"/>
          </w:tblCellMar>
        </w:tblPrEx>
        <w:trPr>
          <w:trHeight w:val="548" w:hRule="exact"/>
          <w:jc w:val="center"/>
        </w:trPr>
        <w:tc>
          <w:tcPr>
            <w:tcW w:w="323"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年度总体目标</w:t>
            </w:r>
          </w:p>
        </w:tc>
        <w:tc>
          <w:tcPr>
            <w:tcW w:w="2802"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预期目标</w:t>
            </w:r>
          </w:p>
        </w:tc>
        <w:tc>
          <w:tcPr>
            <w:tcW w:w="1874" w:type="pct"/>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实际完成情况</w:t>
            </w:r>
          </w:p>
        </w:tc>
      </w:tr>
      <w:tr>
        <w:tblPrEx>
          <w:tblCellMar>
            <w:top w:w="0" w:type="dxa"/>
            <w:left w:w="108" w:type="dxa"/>
            <w:bottom w:w="0" w:type="dxa"/>
            <w:right w:w="108" w:type="dxa"/>
          </w:tblCellMar>
        </w:tblPrEx>
        <w:trPr>
          <w:trHeight w:val="1597" w:hRule="exact"/>
          <w:jc w:val="center"/>
        </w:trPr>
        <w:tc>
          <w:tcPr>
            <w:tcW w:w="323"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2802" w:type="pct"/>
            <w:gridSpan w:val="6"/>
            <w:tcBorders>
              <w:top w:val="single" w:color="auto" w:sz="4" w:space="0"/>
              <w:left w:val="nil"/>
              <w:bottom w:val="single" w:color="auto" w:sz="4" w:space="0"/>
              <w:right w:val="single" w:color="auto" w:sz="4" w:space="0"/>
            </w:tcBorders>
            <w:vAlign w:val="center"/>
          </w:tcPr>
          <w:p>
            <w:pPr>
              <w:pStyle w:val="6"/>
              <w:spacing w:line="265" w:lineRule="exact"/>
              <w:rPr>
                <w:rFonts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1.完成</w:t>
            </w:r>
            <w:r>
              <w:rPr>
                <w:rFonts w:hint="eastAsia" w:ascii="仿宋" w:hAnsi="仿宋" w:eastAsia="仿宋" w:cs="仿宋"/>
                <w:color w:val="auto"/>
                <w:spacing w:val="-55"/>
                <w:sz w:val="21"/>
                <w:szCs w:val="21"/>
                <w:highlight w:val="none"/>
                <w:lang w:eastAsia="zh-CN"/>
              </w:rPr>
              <w:t xml:space="preserve"> </w:t>
            </w:r>
            <w:r>
              <w:rPr>
                <w:rFonts w:hint="eastAsia" w:ascii="仿宋" w:hAnsi="仿宋" w:eastAsia="仿宋" w:cs="仿宋"/>
                <w:color w:val="auto"/>
                <w:spacing w:val="-1"/>
                <w:sz w:val="21"/>
                <w:szCs w:val="21"/>
                <w:highlight w:val="none"/>
                <w:lang w:eastAsia="zh-CN"/>
              </w:rPr>
              <w:t>2000</w:t>
            </w:r>
            <w:r>
              <w:rPr>
                <w:rFonts w:hint="eastAsia" w:ascii="仿宋" w:hAnsi="仿宋" w:eastAsia="仿宋" w:cs="仿宋"/>
                <w:color w:val="auto"/>
                <w:spacing w:val="-55"/>
                <w:sz w:val="21"/>
                <w:szCs w:val="21"/>
                <w:highlight w:val="none"/>
                <w:lang w:eastAsia="zh-CN"/>
              </w:rPr>
              <w:t xml:space="preserve"> </w:t>
            </w:r>
            <w:r>
              <w:rPr>
                <w:rFonts w:hint="eastAsia" w:ascii="仿宋" w:hAnsi="仿宋" w:eastAsia="仿宋" w:cs="仿宋"/>
                <w:color w:val="auto"/>
                <w:spacing w:val="-1"/>
                <w:sz w:val="21"/>
                <w:szCs w:val="21"/>
                <w:highlight w:val="none"/>
                <w:lang w:eastAsia="zh-CN"/>
              </w:rPr>
              <w:t>个地质勘查钻孔收集。</w:t>
            </w:r>
          </w:p>
          <w:p>
            <w:pPr>
              <w:pStyle w:val="6"/>
              <w:spacing w:before="24"/>
              <w:rPr>
                <w:rFonts w:ascii="仿宋" w:hAnsi="仿宋" w:eastAsia="仿宋" w:cs="仿宋"/>
                <w:color w:val="auto"/>
                <w:sz w:val="21"/>
                <w:szCs w:val="21"/>
                <w:highlight w:val="none"/>
                <w:lang w:eastAsia="zh-CN"/>
              </w:rPr>
            </w:pPr>
            <w:r>
              <w:rPr>
                <w:rFonts w:hint="eastAsia" w:ascii="仿宋" w:hAnsi="仿宋" w:eastAsia="仿宋" w:cs="仿宋"/>
                <w:color w:val="auto"/>
                <w:spacing w:val="-1"/>
                <w:sz w:val="21"/>
                <w:szCs w:val="21"/>
                <w:highlight w:val="none"/>
                <w:lang w:eastAsia="zh-CN"/>
              </w:rPr>
              <w:t>2.完成通州区中晚更新世地层钻孔剖面与地质环境分析。</w:t>
            </w:r>
          </w:p>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spacing w:val="-1"/>
                <w:szCs w:val="21"/>
                <w:highlight w:val="none"/>
              </w:rPr>
              <w:t>3.实现通州区地下结构情景仿真。</w:t>
            </w:r>
          </w:p>
        </w:tc>
        <w:tc>
          <w:tcPr>
            <w:tcW w:w="1874" w:type="pct"/>
            <w:gridSpan w:val="7"/>
            <w:tcBorders>
              <w:top w:val="single" w:color="auto" w:sz="4" w:space="0"/>
              <w:left w:val="nil"/>
              <w:bottom w:val="single" w:color="auto" w:sz="4" w:space="0"/>
              <w:right w:val="single" w:color="auto" w:sz="4" w:space="0"/>
            </w:tcBorders>
            <w:vAlign w:val="center"/>
          </w:tcPr>
          <w:p>
            <w:pPr>
              <w:pStyle w:val="6"/>
              <w:spacing w:line="265" w:lineRule="exact"/>
              <w:rPr>
                <w:rFonts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1.完成</w:t>
            </w:r>
            <w:r>
              <w:rPr>
                <w:rFonts w:hint="eastAsia" w:ascii="仿宋" w:hAnsi="仿宋" w:eastAsia="仿宋" w:cs="仿宋"/>
                <w:color w:val="auto"/>
                <w:spacing w:val="-55"/>
                <w:sz w:val="21"/>
                <w:szCs w:val="21"/>
                <w:highlight w:val="none"/>
                <w:lang w:eastAsia="zh-CN"/>
              </w:rPr>
              <w:t xml:space="preserve"> </w:t>
            </w:r>
            <w:r>
              <w:rPr>
                <w:rFonts w:hint="eastAsia" w:ascii="仿宋" w:hAnsi="仿宋" w:eastAsia="仿宋" w:cs="仿宋"/>
                <w:color w:val="auto"/>
                <w:spacing w:val="-1"/>
                <w:sz w:val="21"/>
                <w:szCs w:val="21"/>
                <w:highlight w:val="none"/>
                <w:lang w:eastAsia="zh-CN"/>
              </w:rPr>
              <w:t>2000</w:t>
            </w:r>
            <w:r>
              <w:rPr>
                <w:rFonts w:hint="eastAsia" w:ascii="仿宋" w:hAnsi="仿宋" w:eastAsia="仿宋" w:cs="仿宋"/>
                <w:color w:val="auto"/>
                <w:spacing w:val="-55"/>
                <w:sz w:val="21"/>
                <w:szCs w:val="21"/>
                <w:highlight w:val="none"/>
                <w:lang w:eastAsia="zh-CN"/>
              </w:rPr>
              <w:t xml:space="preserve"> </w:t>
            </w:r>
            <w:r>
              <w:rPr>
                <w:rFonts w:hint="eastAsia" w:ascii="仿宋" w:hAnsi="仿宋" w:eastAsia="仿宋" w:cs="仿宋"/>
                <w:color w:val="auto"/>
                <w:spacing w:val="-1"/>
                <w:sz w:val="21"/>
                <w:szCs w:val="21"/>
                <w:highlight w:val="none"/>
                <w:lang w:eastAsia="zh-CN"/>
              </w:rPr>
              <w:t>个地质勘查钻孔收集。</w:t>
            </w:r>
          </w:p>
          <w:p>
            <w:pPr>
              <w:pStyle w:val="6"/>
              <w:spacing w:before="24"/>
              <w:rPr>
                <w:rFonts w:ascii="仿宋" w:hAnsi="仿宋" w:eastAsia="仿宋" w:cs="仿宋"/>
                <w:color w:val="auto"/>
                <w:sz w:val="21"/>
                <w:szCs w:val="21"/>
                <w:highlight w:val="none"/>
                <w:lang w:eastAsia="zh-CN"/>
              </w:rPr>
            </w:pPr>
            <w:r>
              <w:rPr>
                <w:rFonts w:hint="eastAsia" w:ascii="仿宋" w:hAnsi="仿宋" w:eastAsia="仿宋" w:cs="仿宋"/>
                <w:color w:val="auto"/>
                <w:spacing w:val="-1"/>
                <w:sz w:val="21"/>
                <w:szCs w:val="21"/>
                <w:highlight w:val="none"/>
                <w:lang w:eastAsia="zh-CN"/>
              </w:rPr>
              <w:t>2.完成通州区中晚更新世地层钻孔剖面与地质环境分析。</w:t>
            </w:r>
          </w:p>
          <w:p>
            <w:pPr>
              <w:widowControl/>
              <w:spacing w:line="240" w:lineRule="exact"/>
              <w:jc w:val="both"/>
              <w:rPr>
                <w:rFonts w:ascii="仿宋" w:hAnsi="仿宋" w:eastAsia="仿宋" w:cs="仿宋"/>
                <w:color w:val="auto"/>
                <w:kern w:val="0"/>
                <w:szCs w:val="21"/>
                <w:highlight w:val="none"/>
              </w:rPr>
            </w:pPr>
            <w:r>
              <w:rPr>
                <w:rFonts w:hint="eastAsia" w:ascii="仿宋" w:hAnsi="仿宋" w:eastAsia="仿宋" w:cs="仿宋"/>
                <w:color w:val="auto"/>
                <w:spacing w:val="-1"/>
                <w:szCs w:val="21"/>
                <w:highlight w:val="none"/>
              </w:rPr>
              <w:t>3.实现通州区地下结构情景仿真。</w:t>
            </w:r>
          </w:p>
        </w:tc>
      </w:tr>
      <w:tr>
        <w:tblPrEx>
          <w:tblCellMar>
            <w:top w:w="0" w:type="dxa"/>
            <w:left w:w="108" w:type="dxa"/>
            <w:bottom w:w="0" w:type="dxa"/>
            <w:right w:w="108" w:type="dxa"/>
          </w:tblCellMar>
        </w:tblPrEx>
        <w:trPr>
          <w:trHeight w:val="830" w:hRule="exact"/>
          <w:jc w:val="center"/>
        </w:trPr>
        <w:tc>
          <w:tcPr>
            <w:tcW w:w="32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绩</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效</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指</w:t>
            </w:r>
            <w:r>
              <w:rPr>
                <w:rFonts w:hint="eastAsia" w:ascii="仿宋" w:hAnsi="仿宋" w:eastAsia="仿宋" w:cs="仿宋"/>
                <w:color w:val="auto"/>
                <w:kern w:val="0"/>
                <w:szCs w:val="21"/>
                <w:highlight w:val="none"/>
              </w:rPr>
              <w:br w:type="textWrapping"/>
            </w:r>
            <w:r>
              <w:rPr>
                <w:rFonts w:hint="eastAsia" w:ascii="仿宋" w:hAnsi="仿宋" w:eastAsia="仿宋" w:cs="仿宋"/>
                <w:color w:val="auto"/>
                <w:kern w:val="0"/>
                <w:szCs w:val="21"/>
                <w:highlight w:val="none"/>
              </w:rPr>
              <w:t>标</w:t>
            </w:r>
          </w:p>
        </w:tc>
        <w:tc>
          <w:tcPr>
            <w:tcW w:w="53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一级指标</w:t>
            </w:r>
          </w:p>
        </w:tc>
        <w:tc>
          <w:tcPr>
            <w:tcW w:w="61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二级指标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三级指标</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年度</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指标值</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实际</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完成值</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分值</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得分</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偏差原因分析及改进</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措施</w:t>
            </w:r>
          </w:p>
        </w:tc>
      </w:tr>
      <w:tr>
        <w:tblPrEx>
          <w:tblCellMar>
            <w:top w:w="0" w:type="dxa"/>
            <w:left w:w="108" w:type="dxa"/>
            <w:bottom w:w="0" w:type="dxa"/>
            <w:right w:w="108" w:type="dxa"/>
          </w:tblCellMar>
        </w:tblPrEx>
        <w:trPr>
          <w:trHeight w:val="646"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产出指标</w:t>
            </w:r>
          </w:p>
        </w:tc>
        <w:tc>
          <w:tcPr>
            <w:tcW w:w="61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数量指标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地质勘察钻孔收集</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2000个</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2000个</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06"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地下结构情景仿真</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1个</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1个</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680"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钻孔剖面建立及地质环境分析</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val="en-US" w:eastAsia="zh-CN"/>
              </w:rPr>
              <w:t>2</w:t>
            </w:r>
            <w:r>
              <w:rPr>
                <w:rFonts w:hint="eastAsia" w:ascii="仿宋" w:hAnsi="仿宋" w:eastAsia="仿宋" w:cs="仿宋"/>
                <w:color w:val="auto"/>
                <w:kern w:val="0"/>
                <w:szCs w:val="21"/>
                <w:highlight w:val="none"/>
              </w:rPr>
              <w:t>个</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2个</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376"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质量指标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平台质量验收通过率</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100%</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100%</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r>
              <w:rPr>
                <w:rFonts w:ascii="仿宋" w:hAnsi="仿宋" w:eastAsia="仿宋" w:cs="仿宋"/>
                <w:color w:val="auto"/>
                <w:kern w:val="0"/>
                <w:szCs w:val="21"/>
                <w:highlight w:val="none"/>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1077"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时效指标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钻孔收集完成时间</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2022.6</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2022.10</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疫情原因导致既定时间延迟。后续加强项目管理。</w:t>
            </w:r>
          </w:p>
        </w:tc>
      </w:tr>
      <w:tr>
        <w:tblPrEx>
          <w:tblCellMar>
            <w:top w:w="0" w:type="dxa"/>
            <w:left w:w="108" w:type="dxa"/>
            <w:bottom w:w="0" w:type="dxa"/>
            <w:right w:w="108" w:type="dxa"/>
          </w:tblCellMar>
        </w:tblPrEx>
        <w:trPr>
          <w:trHeight w:val="1077"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钻孔剖面建立及地质环境评价完成时间</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2022.8</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2022.12</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疫情原因导致既定时间延迟。后续加强项目管理。</w:t>
            </w:r>
          </w:p>
        </w:tc>
      </w:tr>
      <w:tr>
        <w:tblPrEx>
          <w:tblCellMar>
            <w:top w:w="0" w:type="dxa"/>
            <w:left w:w="108" w:type="dxa"/>
            <w:bottom w:w="0" w:type="dxa"/>
            <w:right w:w="108" w:type="dxa"/>
          </w:tblCellMar>
        </w:tblPrEx>
        <w:trPr>
          <w:trHeight w:val="1134"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情景仿真完成时间</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2022.10</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2022.12</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4</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3</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疫情原因导致既定时间延迟。后续加强项目管理。</w:t>
            </w:r>
          </w:p>
        </w:tc>
      </w:tr>
      <w:tr>
        <w:tblPrEx>
          <w:tblCellMar>
            <w:top w:w="0" w:type="dxa"/>
            <w:left w:w="108" w:type="dxa"/>
            <w:bottom w:w="0" w:type="dxa"/>
            <w:right w:w="108" w:type="dxa"/>
          </w:tblCellMar>
        </w:tblPrEx>
        <w:trPr>
          <w:trHeight w:val="806"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成本指标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钻孔工作成本</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与市场价格一致</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与市场价格一致</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lang w:val="en-US" w:eastAsia="zh-CN"/>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737"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61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环境评价及仿真构建成本</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与市场价格一致</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与市场价格一致</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5</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lang w:val="en-US" w:eastAsia="zh-CN"/>
              </w:rPr>
              <w:t>5</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1290"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效益指标</w:t>
            </w:r>
          </w:p>
        </w:tc>
        <w:tc>
          <w:tcPr>
            <w:tcW w:w="610"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社会效益</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满足大震下地震现场应急通讯保障能力</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满足</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基本满足</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30</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 w:hAnsi="仿宋" w:eastAsia="仿宋" w:cs="仿宋"/>
                <w:color w:val="auto"/>
                <w:kern w:val="0"/>
                <w:szCs w:val="21"/>
                <w:highlight w:val="none"/>
                <w:lang w:eastAsia="zh-CN"/>
              </w:rPr>
            </w:pPr>
            <w:r>
              <w:rPr>
                <w:rFonts w:hint="eastAsia" w:ascii="仿宋" w:hAnsi="仿宋" w:eastAsia="仿宋" w:cs="仿宋"/>
                <w:color w:val="auto"/>
                <w:kern w:val="0"/>
                <w:szCs w:val="21"/>
                <w:highlight w:val="none"/>
              </w:rPr>
              <w:t>2</w:t>
            </w:r>
            <w:r>
              <w:rPr>
                <w:rFonts w:hint="eastAsia" w:ascii="仿宋" w:hAnsi="仿宋" w:eastAsia="仿宋" w:cs="仿宋"/>
                <w:color w:val="auto"/>
                <w:kern w:val="0"/>
                <w:szCs w:val="21"/>
                <w:highlight w:val="none"/>
                <w:lang w:val="en-US" w:eastAsia="zh-CN"/>
              </w:rPr>
              <w:t>6</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基本达到预期目标，后续加强绩效资料收集整理。</w:t>
            </w:r>
          </w:p>
        </w:tc>
      </w:tr>
      <w:tr>
        <w:tblPrEx>
          <w:tblCellMar>
            <w:top w:w="0" w:type="dxa"/>
            <w:left w:w="108" w:type="dxa"/>
            <w:bottom w:w="0" w:type="dxa"/>
            <w:right w:w="108" w:type="dxa"/>
          </w:tblCellMar>
        </w:tblPrEx>
        <w:trPr>
          <w:trHeight w:val="567"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c>
          <w:tcPr>
            <w:tcW w:w="53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满意度</w:t>
            </w:r>
          </w:p>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指标</w:t>
            </w:r>
          </w:p>
        </w:tc>
        <w:tc>
          <w:tcPr>
            <w:tcW w:w="610"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服务对象满意度标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使用单位满意度</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满意</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满意</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10 </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w:t>
            </w:r>
            <w:r>
              <w:rPr>
                <w:rFonts w:ascii="仿宋" w:hAnsi="仿宋" w:eastAsia="仿宋" w:cs="仿宋"/>
                <w:color w:val="auto"/>
                <w:kern w:val="0"/>
                <w:szCs w:val="21"/>
                <w:highlight w:val="none"/>
              </w:rPr>
              <w:t>0</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r>
        <w:tblPrEx>
          <w:tblCellMar>
            <w:top w:w="0" w:type="dxa"/>
            <w:left w:w="108" w:type="dxa"/>
            <w:bottom w:w="0" w:type="dxa"/>
            <w:right w:w="108" w:type="dxa"/>
          </w:tblCellMar>
        </w:tblPrEx>
        <w:trPr>
          <w:trHeight w:val="477" w:hRule="exact"/>
          <w:jc w:val="center"/>
        </w:trPr>
        <w:tc>
          <w:tcPr>
            <w:tcW w:w="3594" w:type="pct"/>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总分</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r>
              <w:rPr>
                <w:rFonts w:hint="eastAsia" w:ascii="仿宋" w:hAnsi="仿宋" w:eastAsia="仿宋" w:cs="仿宋"/>
                <w:color w:val="auto"/>
                <w:kern w:val="0"/>
                <w:szCs w:val="21"/>
                <w:highlight w:val="none"/>
              </w:rPr>
              <w:t>100</w:t>
            </w:r>
          </w:p>
        </w:tc>
        <w:tc>
          <w:tcPr>
            <w:tcW w:w="31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lang w:val="en-US" w:eastAsia="zh-CN"/>
              </w:rPr>
              <w:t>92.93</w:t>
            </w:r>
          </w:p>
        </w:tc>
        <w:tc>
          <w:tcPr>
            <w:tcW w:w="78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color w:val="auto"/>
                <w:kern w:val="0"/>
                <w:szCs w:val="21"/>
                <w:highlight w:val="none"/>
              </w:rPr>
            </w:pPr>
          </w:p>
        </w:tc>
      </w:tr>
    </w:tbl>
    <w:p>
      <w:pPr>
        <w:rPr>
          <w:rFonts w:ascii="仿宋_GB2312" w:eastAsia="仿宋_GB2312"/>
          <w:vanish/>
          <w:sz w:val="32"/>
          <w:szCs w:val="32"/>
        </w:rPr>
      </w:pPr>
    </w:p>
    <w:p>
      <w:pPr>
        <w:spacing w:line="480" w:lineRule="exact"/>
        <w:jc w:val="center"/>
        <w:rPr>
          <w:rFonts w:ascii="方正小标宋简体" w:hAnsi="黑体" w:eastAsia="方正小标宋简体"/>
          <w:sz w:val="36"/>
          <w:szCs w:val="36"/>
        </w:rPr>
      </w:pPr>
      <w:r>
        <w:br w:type="column"/>
      </w: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9038" w:type="dxa"/>
        <w:jc w:val="center"/>
        <w:tblLayout w:type="fixed"/>
        <w:tblCellMar>
          <w:top w:w="0" w:type="dxa"/>
          <w:left w:w="108" w:type="dxa"/>
          <w:bottom w:w="0" w:type="dxa"/>
          <w:right w:w="108" w:type="dxa"/>
        </w:tblCellMar>
      </w:tblPr>
      <w:tblGrid>
        <w:gridCol w:w="585"/>
        <w:gridCol w:w="975"/>
        <w:gridCol w:w="1105"/>
        <w:gridCol w:w="727"/>
        <w:gridCol w:w="1127"/>
        <w:gridCol w:w="937"/>
        <w:gridCol w:w="850"/>
        <w:gridCol w:w="472"/>
        <w:gridCol w:w="95"/>
        <w:gridCol w:w="609"/>
        <w:gridCol w:w="242"/>
        <w:gridCol w:w="604"/>
        <w:gridCol w:w="710"/>
      </w:tblGrid>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7478"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北京市地震局预警系统融合备份项目</w:t>
            </w:r>
          </w:p>
        </w:tc>
      </w:tr>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389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北京市地震局</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北京市地震局</w:t>
            </w:r>
          </w:p>
        </w:tc>
      </w:tr>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3896"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sz w:val="21"/>
                <w:szCs w:val="21"/>
              </w:rPr>
              <w:t>温建农</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83012205</w:t>
            </w:r>
          </w:p>
        </w:tc>
      </w:tr>
      <w:tr>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年初预</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全年预</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全年</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114.18</w:t>
            </w: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114.18</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w:t>
            </w:r>
            <w:r>
              <w:rPr>
                <w:rFonts w:ascii="仿宋_GB2312" w:hAnsi="宋体" w:eastAsia="仿宋_GB2312" w:cs="宋体"/>
                <w:kern w:val="0"/>
                <w:sz w:val="21"/>
                <w:szCs w:val="21"/>
              </w:rPr>
              <w:t>14.15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99.97%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9.99</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其中：当年财政</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114.18</w:t>
            </w: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114.18</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114.15</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99.97%</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97"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97" w:hRule="atLeas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937"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132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1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48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358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1254"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4871"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1"/>
                <w:szCs w:val="21"/>
              </w:rPr>
            </w:pPr>
            <w:r>
              <w:rPr>
                <w:rFonts w:hint="eastAsia" w:ascii="仿宋_GB2312" w:hAnsi="宋体" w:eastAsia="仿宋_GB2312" w:cs="宋体"/>
                <w:kern w:val="0"/>
                <w:sz w:val="21"/>
                <w:szCs w:val="21"/>
              </w:rPr>
              <w:t>部署多系统融合、技术支撑、监控与运维、数据存储及京津冀数据备份，共4个系统模块。</w:t>
            </w:r>
          </w:p>
        </w:tc>
        <w:tc>
          <w:tcPr>
            <w:tcW w:w="3582"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完成部署多系统融合、技术支撑、监控与运维、数据存储及京津冀数据备份4个系统模块。</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39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1105"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机架服务器</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8</w:t>
            </w:r>
            <w:r>
              <w:rPr>
                <w:rFonts w:hint="eastAsia" w:ascii="仿宋_GB2312" w:hAnsi="宋体" w:eastAsia="仿宋_GB2312" w:cs="宋体"/>
                <w:kern w:val="0"/>
                <w:sz w:val="21"/>
                <w:szCs w:val="21"/>
              </w:rPr>
              <w:t>台</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8</w:t>
            </w:r>
            <w:r>
              <w:rPr>
                <w:rFonts w:hint="eastAsia" w:ascii="仿宋_GB2312" w:hAnsi="宋体" w:eastAsia="仿宋_GB2312" w:cs="宋体"/>
                <w:kern w:val="0"/>
                <w:sz w:val="21"/>
                <w:szCs w:val="21"/>
              </w:rPr>
              <w:t>台</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瘦终端</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4</w:t>
            </w:r>
            <w:r>
              <w:rPr>
                <w:rFonts w:ascii="仿宋_GB2312" w:hAnsi="宋体" w:eastAsia="仿宋_GB2312" w:cs="宋体"/>
                <w:kern w:val="0"/>
                <w:sz w:val="21"/>
                <w:szCs w:val="21"/>
              </w:rPr>
              <w:t>0台</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4</w:t>
            </w:r>
            <w:r>
              <w:rPr>
                <w:rFonts w:ascii="仿宋_GB2312" w:hAnsi="宋体" w:eastAsia="仿宋_GB2312" w:cs="宋体"/>
                <w:kern w:val="0"/>
                <w:sz w:val="21"/>
                <w:szCs w:val="21"/>
              </w:rPr>
              <w:t>0台</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万兆交换机</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2台</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2台</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ascii="仿宋_GB2312" w:hAnsi="宋体" w:eastAsia="仿宋_GB2312" w:cs="宋体"/>
                <w:kern w:val="0"/>
                <w:sz w:val="21"/>
                <w:szCs w:val="21"/>
              </w:rPr>
              <w:t>千兆交换机</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4台</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4台</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服务器CPU个数</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服务器CPU内核数</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w:t>
            </w:r>
            <w:r>
              <w:rPr>
                <w:rFonts w:ascii="仿宋_GB2312" w:hAnsi="宋体" w:eastAsia="仿宋_GB2312" w:cs="宋体"/>
                <w:kern w:val="0"/>
                <w:sz w:val="21"/>
                <w:szCs w:val="21"/>
              </w:rPr>
              <w:t>6</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w:t>
            </w:r>
            <w:r>
              <w:rPr>
                <w:rFonts w:ascii="仿宋_GB2312" w:hAnsi="宋体" w:eastAsia="仿宋_GB2312" w:cs="宋体"/>
                <w:kern w:val="0"/>
                <w:sz w:val="21"/>
                <w:szCs w:val="21"/>
              </w:rPr>
              <w:t>6</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服务器内存</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≥256GB</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r>
              <w:rPr>
                <w:rFonts w:ascii="仿宋_GB2312" w:hAnsi="宋体" w:eastAsia="仿宋_GB2312" w:cs="宋体"/>
                <w:kern w:val="0"/>
                <w:sz w:val="21"/>
                <w:szCs w:val="21"/>
              </w:rPr>
              <w:t>56</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9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服务器硬盘容量</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≥20TB</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3</w:t>
            </w:r>
            <w:r>
              <w:rPr>
                <w:rFonts w:ascii="仿宋_GB2312" w:hAnsi="宋体" w:eastAsia="仿宋_GB2312" w:cs="宋体"/>
                <w:kern w:val="0"/>
                <w:sz w:val="21"/>
                <w:szCs w:val="21"/>
              </w:rPr>
              <w:t>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每个虚拟桌面存储容量</w:t>
            </w:r>
          </w:p>
        </w:tc>
        <w:tc>
          <w:tcPr>
            <w:tcW w:w="93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Arial"/>
                <w:kern w:val="0"/>
                <w:sz w:val="21"/>
                <w:szCs w:val="21"/>
              </w:rPr>
            </w:pPr>
            <w:r>
              <w:rPr>
                <w:rFonts w:hint="eastAsia" w:ascii="仿宋" w:hAnsi="仿宋" w:eastAsia="仿宋" w:cs="Arial"/>
                <w:sz w:val="21"/>
                <w:szCs w:val="21"/>
              </w:rPr>
              <w:t>≥500GB</w:t>
            </w:r>
          </w:p>
          <w:p>
            <w:pPr>
              <w:widowControl/>
              <w:jc w:val="center"/>
              <w:rPr>
                <w:rFonts w:ascii="仿宋" w:hAnsi="仿宋" w:eastAsia="仿宋" w:cs="宋体"/>
                <w:kern w:val="0"/>
                <w:sz w:val="21"/>
                <w:szCs w:val="21"/>
              </w:rPr>
            </w:pP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5</w:t>
            </w:r>
            <w:r>
              <w:rPr>
                <w:rFonts w:ascii="仿宋_GB2312" w:hAnsi="宋体" w:eastAsia="仿宋_GB2312" w:cs="宋体"/>
                <w:kern w:val="0"/>
                <w:sz w:val="21"/>
                <w:szCs w:val="21"/>
              </w:rPr>
              <w:t>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虚拟桌面平均IOPS</w:t>
            </w:r>
          </w:p>
        </w:tc>
        <w:tc>
          <w:tcPr>
            <w:tcW w:w="937"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宋体"/>
                <w:kern w:val="0"/>
                <w:sz w:val="21"/>
                <w:szCs w:val="21"/>
              </w:rPr>
            </w:pPr>
            <w:r>
              <w:rPr>
                <w:rFonts w:hint="eastAsia" w:ascii="仿宋_GB2312" w:hAnsi="宋体" w:eastAsia="仿宋_GB2312" w:cs="宋体"/>
                <w:kern w:val="0"/>
                <w:sz w:val="21"/>
                <w:szCs w:val="21"/>
              </w:rPr>
              <w:t>≥</w:t>
            </w:r>
            <w:r>
              <w:rPr>
                <w:rFonts w:ascii="仿宋_GB2312" w:hAnsi="宋体" w:eastAsia="仿宋_GB2312" w:cs="宋体"/>
                <w:kern w:val="0"/>
                <w:sz w:val="21"/>
                <w:szCs w:val="21"/>
              </w:rPr>
              <w:t>40</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4</w:t>
            </w:r>
            <w:r>
              <w:rPr>
                <w:rFonts w:ascii="仿宋_GB2312" w:hAnsi="宋体" w:eastAsia="仿宋_GB2312" w:cs="宋体"/>
                <w:kern w:val="0"/>
                <w:sz w:val="21"/>
                <w:szCs w:val="21"/>
              </w:rPr>
              <w:t>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2</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305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合同签订及系统集成</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21"/>
                <w:szCs w:val="21"/>
              </w:rPr>
            </w:pPr>
            <w:r>
              <w:rPr>
                <w:rFonts w:hint="eastAsia" w:ascii="仿宋_GB2312" w:hAnsi="宋体" w:eastAsia="仿宋_GB2312" w:cs="宋体"/>
                <w:kern w:val="0"/>
                <w:sz w:val="21"/>
                <w:szCs w:val="21"/>
              </w:rPr>
              <w:t xml:space="preserve">2022年5月完成合同签定，2022年7月完成设备采购及系统集成。  </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仿宋_GB2312" w:hAnsi="宋体" w:eastAsia="仿宋_GB2312" w:cs="宋体"/>
                <w:kern w:val="0"/>
                <w:sz w:val="21"/>
                <w:szCs w:val="21"/>
                <w:lang w:eastAsia="zh-CN"/>
              </w:rPr>
            </w:pPr>
            <w:r>
              <w:rPr>
                <w:rFonts w:hint="eastAsia" w:ascii="仿宋_GB2312" w:hAnsi="宋体" w:eastAsia="仿宋_GB2312" w:cs="宋体"/>
                <w:kern w:val="0"/>
                <w:sz w:val="21"/>
                <w:szCs w:val="21"/>
              </w:rPr>
              <w:t>2022年7月完成合同签定，2022年</w:t>
            </w:r>
            <w:r>
              <w:rPr>
                <w:rFonts w:ascii="仿宋_GB2312" w:hAnsi="宋体" w:eastAsia="仿宋_GB2312" w:cs="宋体"/>
                <w:kern w:val="0"/>
                <w:sz w:val="21"/>
                <w:szCs w:val="21"/>
              </w:rPr>
              <w:t>11</w:t>
            </w:r>
            <w:r>
              <w:rPr>
                <w:rFonts w:hint="eastAsia" w:ascii="仿宋_GB2312" w:hAnsi="宋体" w:eastAsia="仿宋_GB2312" w:cs="宋体"/>
                <w:kern w:val="0"/>
                <w:sz w:val="21"/>
                <w:szCs w:val="21"/>
              </w:rPr>
              <w:t>月完成设备采购及系统集成</w:t>
            </w:r>
            <w:r>
              <w:rPr>
                <w:rFonts w:hint="eastAsia" w:ascii="仿宋_GB2312" w:hAnsi="宋体" w:eastAsia="仿宋_GB2312" w:cs="宋体"/>
                <w:kern w:val="0"/>
                <w:sz w:val="21"/>
                <w:szCs w:val="21"/>
                <w:lang w:eastAsia="zh-CN"/>
              </w:rPr>
              <w:t>。</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5</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因新冠疫情等因素，影响项目进度。</w:t>
            </w:r>
          </w:p>
        </w:tc>
      </w:tr>
      <w:tr>
        <w:tblPrEx>
          <w:tblCellMar>
            <w:top w:w="0" w:type="dxa"/>
            <w:left w:w="108" w:type="dxa"/>
            <w:bottom w:w="0" w:type="dxa"/>
            <w:right w:w="108" w:type="dxa"/>
          </w:tblCellMar>
        </w:tblPrEx>
        <w:trPr>
          <w:trHeight w:val="1548"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项目总成本</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114.18</w:t>
            </w:r>
            <w:r>
              <w:rPr>
                <w:rFonts w:hint="eastAsia" w:ascii="仿宋_GB2312" w:hAnsi="宋体" w:eastAsia="仿宋_GB2312" w:cs="宋体"/>
                <w:kern w:val="0"/>
                <w:sz w:val="21"/>
                <w:szCs w:val="21"/>
              </w:rPr>
              <w:t>万元</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114.15</w:t>
            </w:r>
            <w:r>
              <w:rPr>
                <w:rFonts w:hint="eastAsia" w:ascii="仿宋_GB2312" w:hAnsi="宋体" w:eastAsia="仿宋_GB2312" w:cs="宋体"/>
                <w:kern w:val="0"/>
                <w:sz w:val="21"/>
                <w:szCs w:val="21"/>
              </w:rPr>
              <w:t>万元</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9.99</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p>
        </w:tc>
      </w:tr>
      <w:tr>
        <w:tblPrEx>
          <w:tblCellMar>
            <w:top w:w="0" w:type="dxa"/>
            <w:left w:w="108" w:type="dxa"/>
            <w:bottom w:w="0" w:type="dxa"/>
            <w:right w:w="108" w:type="dxa"/>
          </w:tblCellMar>
        </w:tblPrEx>
        <w:trPr>
          <w:trHeight w:val="139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社会效益</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提升北京市地震局地震综合业务数据处理、存储能力。</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较显著</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显著</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30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ascii="仿宋_GB2312" w:hAnsi="宋体" w:eastAsia="仿宋_GB2312" w:cs="宋体"/>
                <w:kern w:val="0"/>
                <w:sz w:val="21"/>
                <w:szCs w:val="21"/>
              </w:rPr>
              <w:t>28</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绩效成果资料待提升，后续进一步加强资料收集整理。</w:t>
            </w:r>
          </w:p>
        </w:tc>
      </w:tr>
      <w:tr>
        <w:tblPrEx>
          <w:tblCellMar>
            <w:top w:w="0" w:type="dxa"/>
            <w:left w:w="108" w:type="dxa"/>
            <w:bottom w:w="0" w:type="dxa"/>
            <w:right w:w="108" w:type="dxa"/>
          </w:tblCellMar>
        </w:tblPrEx>
        <w:trPr>
          <w:trHeight w:val="153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85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使用单位满意度</w:t>
            </w:r>
          </w:p>
        </w:tc>
        <w:tc>
          <w:tcPr>
            <w:tcW w:w="93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90%以上</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90%以上</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w:t>
            </w:r>
            <w:r>
              <w:rPr>
                <w:rFonts w:ascii="仿宋_GB2312" w:hAnsi="宋体" w:eastAsia="仿宋_GB2312" w:cs="宋体"/>
                <w:kern w:val="0"/>
                <w:sz w:val="21"/>
                <w:szCs w:val="21"/>
              </w:rPr>
              <w:t>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8</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 w:val="21"/>
                <w:szCs w:val="21"/>
              </w:rPr>
            </w:pPr>
            <w:r>
              <w:rPr>
                <w:rFonts w:hint="eastAsia" w:ascii="仿宋_GB2312" w:hAnsi="宋体" w:eastAsia="仿宋_GB2312" w:cs="宋体"/>
                <w:kern w:val="0"/>
                <w:sz w:val="21"/>
                <w:szCs w:val="21"/>
              </w:rPr>
              <w:t>满意度调查待更全面，将进一步全面开展满意度调查及分析。</w:t>
            </w:r>
          </w:p>
        </w:tc>
      </w:tr>
      <w:tr>
        <w:tblPrEx>
          <w:tblCellMar>
            <w:top w:w="0" w:type="dxa"/>
            <w:left w:w="108" w:type="dxa"/>
            <w:bottom w:w="0" w:type="dxa"/>
            <w:right w:w="108" w:type="dxa"/>
          </w:tblCellMar>
        </w:tblPrEx>
        <w:trPr>
          <w:trHeight w:val="477" w:hRule="exact"/>
          <w:jc w:val="center"/>
        </w:trPr>
        <w:tc>
          <w:tcPr>
            <w:tcW w:w="6306"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总分</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r>
              <w:rPr>
                <w:rFonts w:hint="eastAsia" w:ascii="仿宋_GB2312" w:hAnsi="宋体" w:eastAsia="仿宋_GB2312" w:cs="宋体"/>
                <w:kern w:val="0"/>
                <w:sz w:val="21"/>
                <w:szCs w:val="21"/>
              </w:rPr>
              <w:t>93.98</w:t>
            </w:r>
          </w:p>
        </w:tc>
        <w:tc>
          <w:tcPr>
            <w:tcW w:w="131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21"/>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p>
      <w:pPr>
        <w:spacing w:line="520" w:lineRule="exact"/>
        <w:ind w:firstLine="420" w:firstLineChars="200"/>
      </w:pPr>
    </w:p>
    <w:p>
      <w: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4999" w:type="pct"/>
        <w:jc w:val="center"/>
        <w:tblLayout w:type="autofit"/>
        <w:tblCellMar>
          <w:top w:w="0" w:type="dxa"/>
          <w:left w:w="108" w:type="dxa"/>
          <w:bottom w:w="0" w:type="dxa"/>
          <w:right w:w="108" w:type="dxa"/>
        </w:tblCellMar>
      </w:tblPr>
      <w:tblGrid>
        <w:gridCol w:w="625"/>
        <w:gridCol w:w="864"/>
        <w:gridCol w:w="1380"/>
        <w:gridCol w:w="507"/>
        <w:gridCol w:w="1295"/>
        <w:gridCol w:w="491"/>
        <w:gridCol w:w="917"/>
        <w:gridCol w:w="917"/>
        <w:gridCol w:w="468"/>
        <w:gridCol w:w="121"/>
        <w:gridCol w:w="558"/>
        <w:gridCol w:w="185"/>
        <w:gridCol w:w="758"/>
        <w:gridCol w:w="766"/>
      </w:tblGrid>
      <w:tr>
        <w:tblPrEx>
          <w:tblCellMar>
            <w:top w:w="0" w:type="dxa"/>
            <w:left w:w="108" w:type="dxa"/>
            <w:bottom w:w="0" w:type="dxa"/>
            <w:right w:w="108" w:type="dxa"/>
          </w:tblCellMar>
        </w:tblPrEx>
        <w:trPr>
          <w:trHeight w:val="340" w:hRule="exact"/>
          <w:jc w:val="center"/>
        </w:trPr>
        <w:tc>
          <w:tcPr>
            <w:tcW w:w="76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项目名称</w:t>
            </w:r>
          </w:p>
        </w:tc>
        <w:tc>
          <w:tcPr>
            <w:tcW w:w="4232" w:type="pct"/>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2022年度监测预报预警基础能力提升项目</w:t>
            </w:r>
          </w:p>
        </w:tc>
      </w:tr>
      <w:tr>
        <w:tblPrEx>
          <w:tblCellMar>
            <w:top w:w="0" w:type="dxa"/>
            <w:left w:w="108" w:type="dxa"/>
            <w:bottom w:w="0" w:type="dxa"/>
            <w:right w:w="108" w:type="dxa"/>
          </w:tblCellMar>
        </w:tblPrEx>
        <w:trPr>
          <w:trHeight w:val="340" w:hRule="exact"/>
          <w:jc w:val="center"/>
        </w:trPr>
        <w:tc>
          <w:tcPr>
            <w:tcW w:w="76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主管部门</w:t>
            </w:r>
          </w:p>
        </w:tc>
        <w:tc>
          <w:tcPr>
            <w:tcW w:w="2358"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北京市地震局</w:t>
            </w:r>
          </w:p>
        </w:tc>
        <w:tc>
          <w:tcPr>
            <w:tcW w:w="711"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实施单位</w:t>
            </w:r>
          </w:p>
        </w:tc>
        <w:tc>
          <w:tcPr>
            <w:tcW w:w="1161"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北京市地震局</w:t>
            </w:r>
          </w:p>
        </w:tc>
      </w:tr>
      <w:tr>
        <w:tblPrEx>
          <w:tblCellMar>
            <w:top w:w="0" w:type="dxa"/>
            <w:left w:w="108" w:type="dxa"/>
            <w:bottom w:w="0" w:type="dxa"/>
            <w:right w:w="108" w:type="dxa"/>
          </w:tblCellMar>
        </w:tblPrEx>
        <w:trPr>
          <w:trHeight w:val="340" w:hRule="exact"/>
          <w:jc w:val="center"/>
        </w:trPr>
        <w:tc>
          <w:tcPr>
            <w:tcW w:w="767"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项目负责人</w:t>
            </w:r>
          </w:p>
        </w:tc>
        <w:tc>
          <w:tcPr>
            <w:tcW w:w="2358"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王治国</w:t>
            </w:r>
          </w:p>
        </w:tc>
        <w:tc>
          <w:tcPr>
            <w:tcW w:w="711"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联系电话</w:t>
            </w:r>
          </w:p>
        </w:tc>
        <w:tc>
          <w:tcPr>
            <w:tcW w:w="1161"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83012268</w:t>
            </w:r>
          </w:p>
        </w:tc>
      </w:tr>
      <w:tr>
        <w:tblPrEx>
          <w:tblCellMar>
            <w:top w:w="0" w:type="dxa"/>
            <w:left w:w="108" w:type="dxa"/>
            <w:bottom w:w="0" w:type="dxa"/>
            <w:right w:w="108" w:type="dxa"/>
          </w:tblCellMar>
        </w:tblPrEx>
        <w:trPr>
          <w:trHeight w:val="510" w:hRule="exact"/>
          <w:jc w:val="center"/>
        </w:trPr>
        <w:tc>
          <w:tcPr>
            <w:tcW w:w="767"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项目资金</w:t>
            </w:r>
            <w:r>
              <w:rPr>
                <w:rFonts w:hint="eastAsia" w:ascii="仿宋_GB2312" w:hAnsi="宋体" w:eastAsia="仿宋_GB2312" w:cs="仿宋"/>
                <w:color w:val="auto"/>
                <w:kern w:val="0"/>
                <w:szCs w:val="21"/>
              </w:rPr>
              <w:br w:type="textWrapping"/>
            </w:r>
            <w:r>
              <w:rPr>
                <w:rFonts w:hint="eastAsia" w:ascii="仿宋_GB2312" w:hAnsi="宋体" w:eastAsia="仿宋_GB2312" w:cs="仿宋"/>
                <w:color w:val="auto"/>
                <w:kern w:val="0"/>
                <w:szCs w:val="21"/>
              </w:rPr>
              <w:t>（万元）</w:t>
            </w:r>
          </w:p>
        </w:tc>
        <w:tc>
          <w:tcPr>
            <w:tcW w:w="96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6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年初预</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算数</w:t>
            </w:r>
          </w:p>
        </w:tc>
        <w:tc>
          <w:tcPr>
            <w:tcW w:w="72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全年预</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算数</w:t>
            </w:r>
          </w:p>
        </w:tc>
        <w:tc>
          <w:tcPr>
            <w:tcW w:w="711"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全年</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执行数</w:t>
            </w:r>
          </w:p>
        </w:tc>
        <w:tc>
          <w:tcPr>
            <w:tcW w:w="30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分值</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执行率</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得分</w:t>
            </w:r>
          </w:p>
        </w:tc>
      </w:tr>
      <w:tr>
        <w:tblPrEx>
          <w:tblCellMar>
            <w:top w:w="0" w:type="dxa"/>
            <w:left w:w="108" w:type="dxa"/>
            <w:bottom w:w="0" w:type="dxa"/>
            <w:right w:w="108" w:type="dxa"/>
          </w:tblCellMar>
        </w:tblPrEx>
        <w:trPr>
          <w:trHeight w:val="340" w:hRule="exact"/>
          <w:jc w:val="center"/>
        </w:trPr>
        <w:tc>
          <w:tcPr>
            <w:tcW w:w="76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969"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年度资金总额</w:t>
            </w:r>
          </w:p>
        </w:tc>
        <w:tc>
          <w:tcPr>
            <w:tcW w:w="663" w:type="pct"/>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83.806935</w:t>
            </w:r>
          </w:p>
        </w:tc>
        <w:tc>
          <w:tcPr>
            <w:tcW w:w="725" w:type="pct"/>
            <w:gridSpan w:val="2"/>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76.16293</w:t>
            </w:r>
            <w:r>
              <w:rPr>
                <w:rFonts w:ascii="仿宋_GB2312" w:hAnsi="宋体" w:eastAsia="仿宋_GB2312" w:cs="仿宋"/>
                <w:color w:val="auto"/>
                <w:szCs w:val="21"/>
              </w:rPr>
              <w:t>5</w:t>
            </w:r>
          </w:p>
        </w:tc>
        <w:tc>
          <w:tcPr>
            <w:tcW w:w="711" w:type="pct"/>
            <w:gridSpan w:val="2"/>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69</w:t>
            </w:r>
            <w:r>
              <w:rPr>
                <w:rFonts w:hint="eastAsia" w:ascii="仿宋_GB2312" w:hAnsi="宋体" w:eastAsia="仿宋_GB2312" w:cs="仿宋"/>
                <w:color w:val="auto"/>
                <w:szCs w:val="21"/>
                <w:lang w:val="en-US" w:eastAsia="zh-CN"/>
              </w:rPr>
              <w:t>.</w:t>
            </w:r>
            <w:r>
              <w:rPr>
                <w:rFonts w:hint="eastAsia" w:ascii="仿宋_GB2312" w:hAnsi="宋体" w:eastAsia="仿宋_GB2312" w:cs="仿宋"/>
                <w:color w:val="auto"/>
                <w:szCs w:val="21"/>
              </w:rPr>
              <w:t>620479</w:t>
            </w:r>
          </w:p>
        </w:tc>
        <w:tc>
          <w:tcPr>
            <w:tcW w:w="30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91.4%</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9.14</w:t>
            </w:r>
          </w:p>
        </w:tc>
      </w:tr>
      <w:tr>
        <w:tblPrEx>
          <w:tblCellMar>
            <w:top w:w="0" w:type="dxa"/>
            <w:left w:w="108" w:type="dxa"/>
            <w:bottom w:w="0" w:type="dxa"/>
            <w:right w:w="108" w:type="dxa"/>
          </w:tblCellMar>
        </w:tblPrEx>
        <w:trPr>
          <w:trHeight w:val="510" w:hRule="exact"/>
          <w:jc w:val="center"/>
        </w:trPr>
        <w:tc>
          <w:tcPr>
            <w:tcW w:w="76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969"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其中：当年财政拨款</w:t>
            </w:r>
          </w:p>
        </w:tc>
        <w:tc>
          <w:tcPr>
            <w:tcW w:w="663" w:type="pct"/>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83.806935</w:t>
            </w:r>
          </w:p>
        </w:tc>
        <w:tc>
          <w:tcPr>
            <w:tcW w:w="725" w:type="pct"/>
            <w:gridSpan w:val="2"/>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76.162935</w:t>
            </w:r>
          </w:p>
        </w:tc>
        <w:tc>
          <w:tcPr>
            <w:tcW w:w="711" w:type="pct"/>
            <w:gridSpan w:val="2"/>
            <w:tcBorders>
              <w:top w:val="nil"/>
              <w:left w:val="nil"/>
              <w:bottom w:val="single" w:color="auto" w:sz="4" w:space="0"/>
              <w:right w:val="single" w:color="auto" w:sz="4" w:space="0"/>
            </w:tcBorders>
            <w:vAlign w:val="center"/>
          </w:tcPr>
          <w:p>
            <w:pPr>
              <w:jc w:val="center"/>
              <w:rPr>
                <w:rFonts w:hint="eastAsia" w:ascii="仿宋_GB2312" w:hAnsi="宋体" w:eastAsia="仿宋_GB2312" w:cs="仿宋"/>
                <w:color w:val="auto"/>
                <w:szCs w:val="21"/>
              </w:rPr>
            </w:pPr>
            <w:r>
              <w:rPr>
                <w:rFonts w:hint="eastAsia" w:ascii="仿宋_GB2312" w:hAnsi="宋体" w:eastAsia="仿宋_GB2312" w:cs="仿宋"/>
                <w:color w:val="auto"/>
                <w:szCs w:val="21"/>
              </w:rPr>
              <w:t>69.620479</w:t>
            </w:r>
          </w:p>
        </w:tc>
        <w:tc>
          <w:tcPr>
            <w:tcW w:w="30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91.4%</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r>
      <w:tr>
        <w:tblPrEx>
          <w:tblCellMar>
            <w:top w:w="0" w:type="dxa"/>
            <w:left w:w="108" w:type="dxa"/>
            <w:bottom w:w="0" w:type="dxa"/>
            <w:right w:w="108" w:type="dxa"/>
          </w:tblCellMar>
        </w:tblPrEx>
        <w:trPr>
          <w:trHeight w:val="340" w:hRule="exact"/>
          <w:jc w:val="center"/>
        </w:trPr>
        <w:tc>
          <w:tcPr>
            <w:tcW w:w="76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969"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上年结转资金</w:t>
            </w:r>
          </w:p>
        </w:tc>
        <w:tc>
          <w:tcPr>
            <w:tcW w:w="6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72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711"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30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r>
      <w:tr>
        <w:tblPrEx>
          <w:tblCellMar>
            <w:top w:w="0" w:type="dxa"/>
            <w:left w:w="108" w:type="dxa"/>
            <w:bottom w:w="0" w:type="dxa"/>
            <w:right w:w="108" w:type="dxa"/>
          </w:tblCellMar>
        </w:tblPrEx>
        <w:trPr>
          <w:trHeight w:val="340" w:hRule="exact"/>
          <w:jc w:val="center"/>
        </w:trPr>
        <w:tc>
          <w:tcPr>
            <w:tcW w:w="76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969"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其他资金</w:t>
            </w:r>
          </w:p>
        </w:tc>
        <w:tc>
          <w:tcPr>
            <w:tcW w:w="66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725"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711"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30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46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c>
          <w:tcPr>
            <w:tcW w:w="393"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w:t>
            </w:r>
          </w:p>
        </w:tc>
      </w:tr>
      <w:tr>
        <w:tblPrEx>
          <w:tblCellMar>
            <w:top w:w="0" w:type="dxa"/>
            <w:left w:w="108" w:type="dxa"/>
            <w:bottom w:w="0" w:type="dxa"/>
            <w:right w:w="108" w:type="dxa"/>
          </w:tblCellMar>
        </w:tblPrEx>
        <w:trPr>
          <w:trHeight w:val="548" w:hRule="exact"/>
          <w:jc w:val="center"/>
        </w:trPr>
        <w:tc>
          <w:tcPr>
            <w:tcW w:w="323"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年度总体目标</w:t>
            </w:r>
          </w:p>
        </w:tc>
        <w:tc>
          <w:tcPr>
            <w:tcW w:w="2802"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预期目标</w:t>
            </w:r>
          </w:p>
        </w:tc>
        <w:tc>
          <w:tcPr>
            <w:tcW w:w="1873" w:type="pct"/>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实际完成情况</w:t>
            </w:r>
          </w:p>
        </w:tc>
      </w:tr>
      <w:tr>
        <w:tblPrEx>
          <w:tblCellMar>
            <w:top w:w="0" w:type="dxa"/>
            <w:left w:w="108" w:type="dxa"/>
            <w:bottom w:w="0" w:type="dxa"/>
            <w:right w:w="108" w:type="dxa"/>
          </w:tblCellMar>
        </w:tblPrEx>
        <w:trPr>
          <w:trHeight w:val="1108" w:hRule="exact"/>
          <w:jc w:val="center"/>
        </w:trPr>
        <w:tc>
          <w:tcPr>
            <w:tcW w:w="323"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2802" w:type="pct"/>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促进北京地区防震减灾能力的提升。</w:t>
            </w:r>
          </w:p>
        </w:tc>
        <w:tc>
          <w:tcPr>
            <w:tcW w:w="1873" w:type="pct"/>
            <w:gridSpan w:val="7"/>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有效促进了北京地区防震减灾能力提升，在地球化学、小震精定位等方面为地震预测预报提供了数据支撑。</w:t>
            </w:r>
          </w:p>
        </w:tc>
      </w:tr>
      <w:tr>
        <w:tblPrEx>
          <w:tblCellMar>
            <w:top w:w="0" w:type="dxa"/>
            <w:left w:w="108" w:type="dxa"/>
            <w:bottom w:w="0" w:type="dxa"/>
            <w:right w:w="108" w:type="dxa"/>
          </w:tblCellMar>
        </w:tblPrEx>
        <w:trPr>
          <w:trHeight w:val="830" w:hRule="exact"/>
          <w:jc w:val="center"/>
        </w:trPr>
        <w:tc>
          <w:tcPr>
            <w:tcW w:w="323"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绩</w:t>
            </w:r>
            <w:r>
              <w:rPr>
                <w:rFonts w:hint="eastAsia" w:ascii="仿宋_GB2312" w:hAnsi="宋体" w:eastAsia="仿宋_GB2312" w:cs="仿宋"/>
                <w:color w:val="auto"/>
                <w:kern w:val="0"/>
                <w:szCs w:val="21"/>
              </w:rPr>
              <w:br w:type="textWrapping"/>
            </w:r>
            <w:r>
              <w:rPr>
                <w:rFonts w:hint="eastAsia" w:ascii="仿宋_GB2312" w:hAnsi="宋体" w:eastAsia="仿宋_GB2312" w:cs="仿宋"/>
                <w:color w:val="auto"/>
                <w:kern w:val="0"/>
                <w:szCs w:val="21"/>
              </w:rPr>
              <w:t>效</w:t>
            </w:r>
            <w:r>
              <w:rPr>
                <w:rFonts w:hint="eastAsia" w:ascii="仿宋_GB2312" w:hAnsi="宋体" w:eastAsia="仿宋_GB2312" w:cs="仿宋"/>
                <w:color w:val="auto"/>
                <w:kern w:val="0"/>
                <w:szCs w:val="21"/>
              </w:rPr>
              <w:br w:type="textWrapping"/>
            </w:r>
            <w:r>
              <w:rPr>
                <w:rFonts w:hint="eastAsia" w:ascii="仿宋_GB2312" w:hAnsi="宋体" w:eastAsia="仿宋_GB2312" w:cs="仿宋"/>
                <w:color w:val="auto"/>
                <w:kern w:val="0"/>
                <w:szCs w:val="21"/>
              </w:rPr>
              <w:t>指</w:t>
            </w:r>
            <w:r>
              <w:rPr>
                <w:rFonts w:hint="eastAsia" w:ascii="仿宋_GB2312" w:hAnsi="宋体" w:eastAsia="仿宋_GB2312" w:cs="仿宋"/>
                <w:color w:val="auto"/>
                <w:kern w:val="0"/>
                <w:szCs w:val="21"/>
              </w:rPr>
              <w:br w:type="textWrapping"/>
            </w:r>
            <w:r>
              <w:rPr>
                <w:rFonts w:hint="eastAsia" w:ascii="仿宋_GB2312" w:hAnsi="宋体" w:eastAsia="仿宋_GB2312" w:cs="仿宋"/>
                <w:color w:val="auto"/>
                <w:kern w:val="0"/>
                <w:szCs w:val="21"/>
              </w:rPr>
              <w:t>标</w:t>
            </w:r>
          </w:p>
        </w:tc>
        <w:tc>
          <w:tcPr>
            <w:tcW w:w="44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一级指标</w:t>
            </w:r>
          </w:p>
        </w:tc>
        <w:tc>
          <w:tcPr>
            <w:tcW w:w="706"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二级指标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三级指标</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年度</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指标值</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实际</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完成值</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分值</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得分</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偏差原因分析及改进</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措施</w:t>
            </w:r>
          </w:p>
        </w:tc>
      </w:tr>
      <w:tr>
        <w:tblPrEx>
          <w:tblCellMar>
            <w:top w:w="0" w:type="dxa"/>
            <w:left w:w="108" w:type="dxa"/>
            <w:bottom w:w="0" w:type="dxa"/>
            <w:right w:w="108" w:type="dxa"/>
          </w:tblCellMar>
        </w:tblPrEx>
        <w:trPr>
          <w:trHeight w:val="851"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产出指标</w:t>
            </w:r>
          </w:p>
        </w:tc>
        <w:tc>
          <w:tcPr>
            <w:tcW w:w="706"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数量指标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指标1：北京及邻区重定位地震目录</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目录精度尚待进一步分析。</w:t>
            </w:r>
          </w:p>
        </w:tc>
      </w:tr>
      <w:tr>
        <w:tblPrEx>
          <w:tblCellMar>
            <w:top w:w="0" w:type="dxa"/>
            <w:left w:w="108" w:type="dxa"/>
            <w:bottom w:w="0" w:type="dxa"/>
            <w:right w:w="108" w:type="dxa"/>
          </w:tblCellMar>
        </w:tblPrEx>
        <w:trPr>
          <w:trHeight w:val="794"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7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指标2：进行连续观测的地球化学监测点数量</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2个</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2个</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p>
        </w:tc>
      </w:tr>
      <w:tr>
        <w:tblPrEx>
          <w:tblCellMar>
            <w:top w:w="0" w:type="dxa"/>
            <w:left w:w="108" w:type="dxa"/>
            <w:bottom w:w="0" w:type="dxa"/>
            <w:right w:w="108" w:type="dxa"/>
          </w:tblCellMar>
        </w:tblPrEx>
        <w:trPr>
          <w:trHeight w:val="794"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7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指标3：进行流动观测的地球化学监测点数量</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10个</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9个</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lang w:val="en-US" w:eastAsia="zh-CN"/>
              </w:rPr>
            </w:pPr>
            <w:r>
              <w:rPr>
                <w:rFonts w:hint="eastAsia" w:ascii="仿宋_GB2312" w:hAnsi="宋体" w:eastAsia="仿宋_GB2312" w:cs="仿宋"/>
                <w:color w:val="auto"/>
                <w:kern w:val="0"/>
                <w:szCs w:val="21"/>
                <w:lang w:val="en-US" w:eastAsia="zh-CN"/>
              </w:rPr>
              <w:t>9</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1个点位不在具备采样条件。</w:t>
            </w:r>
          </w:p>
        </w:tc>
      </w:tr>
      <w:tr>
        <w:tblPrEx>
          <w:tblCellMar>
            <w:top w:w="0" w:type="dxa"/>
            <w:left w:w="108" w:type="dxa"/>
            <w:bottom w:w="0" w:type="dxa"/>
            <w:right w:w="108" w:type="dxa"/>
          </w:tblCellMar>
        </w:tblPrEx>
        <w:trPr>
          <w:trHeight w:val="794"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7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指标4：北京地区水准等形变场数据成果数量</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4套</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4套</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p>
        </w:tc>
      </w:tr>
      <w:tr>
        <w:tblPrEx>
          <w:tblCellMar>
            <w:top w:w="0" w:type="dxa"/>
            <w:left w:w="108" w:type="dxa"/>
            <w:bottom w:w="0" w:type="dxa"/>
            <w:right w:w="108" w:type="dxa"/>
          </w:tblCellMar>
        </w:tblPrEx>
        <w:trPr>
          <w:trHeight w:val="794"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7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指标5：北京地区活动构造地震活动型参数计算成果</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参数种类仍需扩大。</w:t>
            </w:r>
          </w:p>
        </w:tc>
      </w:tr>
      <w:tr>
        <w:tblPrEx>
          <w:tblCellMar>
            <w:top w:w="0" w:type="dxa"/>
            <w:left w:w="108" w:type="dxa"/>
            <w:bottom w:w="0" w:type="dxa"/>
            <w:right w:w="108" w:type="dxa"/>
          </w:tblCellMar>
        </w:tblPrEx>
        <w:trPr>
          <w:trHeight w:val="709"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70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指标6：房山、门头沟非天然地震目录</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1套</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p>
        </w:tc>
      </w:tr>
      <w:tr>
        <w:tblPrEx>
          <w:tblCellMar>
            <w:top w:w="0" w:type="dxa"/>
            <w:left w:w="108" w:type="dxa"/>
            <w:bottom w:w="0" w:type="dxa"/>
            <w:right w:w="108" w:type="dxa"/>
          </w:tblCellMar>
        </w:tblPrEx>
        <w:trPr>
          <w:trHeight w:val="1006" w:hRule="exact"/>
          <w:jc w:val="center"/>
        </w:trPr>
        <w:tc>
          <w:tcPr>
            <w:tcW w:w="323"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c>
          <w:tcPr>
            <w:tcW w:w="444"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效益指标</w:t>
            </w:r>
          </w:p>
        </w:tc>
        <w:tc>
          <w:tcPr>
            <w:tcW w:w="706"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社会效益</w:t>
            </w:r>
          </w:p>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w:t>
            </w:r>
          </w:p>
        </w:tc>
        <w:tc>
          <w:tcPr>
            <w:tcW w:w="1181"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指标1：促进北京地区防震减灾能力的提升</w:t>
            </w:r>
          </w:p>
        </w:tc>
        <w:tc>
          <w:tcPr>
            <w:tcW w:w="470"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提升</w:t>
            </w:r>
          </w:p>
        </w:tc>
        <w:tc>
          <w:tcPr>
            <w:tcW w:w="468"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提升</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30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27</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完成项目目标，数据进一步应用尚待挖掘。</w:t>
            </w:r>
          </w:p>
        </w:tc>
      </w:tr>
      <w:tr>
        <w:tblPrEx>
          <w:tblCellMar>
            <w:top w:w="0" w:type="dxa"/>
            <w:left w:w="108" w:type="dxa"/>
            <w:bottom w:w="0" w:type="dxa"/>
            <w:right w:w="108" w:type="dxa"/>
          </w:tblCellMar>
        </w:tblPrEx>
        <w:trPr>
          <w:trHeight w:val="364" w:hRule="exact"/>
          <w:jc w:val="center"/>
        </w:trPr>
        <w:tc>
          <w:tcPr>
            <w:tcW w:w="3595" w:type="pct"/>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总分</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100</w:t>
            </w:r>
          </w:p>
        </w:tc>
        <w:tc>
          <w:tcPr>
            <w:tcW w:w="310"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r>
              <w:rPr>
                <w:rFonts w:hint="eastAsia" w:ascii="仿宋_GB2312" w:hAnsi="宋体" w:eastAsia="仿宋_GB2312" w:cs="仿宋"/>
                <w:color w:val="auto"/>
                <w:kern w:val="0"/>
                <w:szCs w:val="21"/>
              </w:rPr>
              <w:t>9</w:t>
            </w:r>
            <w:r>
              <w:rPr>
                <w:rFonts w:hint="eastAsia" w:ascii="仿宋_GB2312" w:hAnsi="宋体" w:eastAsia="仿宋_GB2312" w:cs="仿宋"/>
                <w:color w:val="auto"/>
                <w:kern w:val="0"/>
                <w:szCs w:val="21"/>
                <w:lang w:val="en-US" w:eastAsia="zh-CN"/>
              </w:rPr>
              <w:t>3</w:t>
            </w:r>
            <w:r>
              <w:rPr>
                <w:rFonts w:hint="eastAsia" w:ascii="仿宋_GB2312" w:hAnsi="宋体" w:eastAsia="仿宋_GB2312" w:cs="仿宋"/>
                <w:color w:val="auto"/>
                <w:kern w:val="0"/>
                <w:szCs w:val="21"/>
              </w:rPr>
              <w:t>.14</w:t>
            </w:r>
          </w:p>
        </w:tc>
        <w:tc>
          <w:tcPr>
            <w:tcW w:w="78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仿宋"/>
                <w:color w:val="auto"/>
                <w:kern w:val="0"/>
                <w:szCs w:val="21"/>
              </w:rPr>
            </w:pPr>
          </w:p>
        </w:tc>
      </w:tr>
    </w:tbl>
    <w:p>
      <w:pPr>
        <w:rPr>
          <w:rFonts w:ascii="仿宋_GB2312" w:eastAsia="仿宋_GB2312"/>
          <w:vanish/>
          <w:sz w:val="32"/>
          <w:szCs w:val="32"/>
        </w:rPr>
      </w:pPr>
    </w:p>
    <w:p>
      <w:pPr>
        <w:spacing w:line="520" w:lineRule="exact"/>
      </w:pPr>
    </w:p>
    <w:p>
      <w:pPr>
        <w:pStyle w:val="2"/>
        <w:ind w:left="0" w:leftChars="0" w:firstLine="0" w:firstLineChars="0"/>
      </w:pPr>
    </w:p>
    <w:p>
      <w:pPr>
        <w:pStyle w:val="2"/>
        <w:ind w:left="0" w:leftChars="0" w:firstLine="0" w:firstLineChars="0"/>
      </w:pPr>
    </w:p>
    <w:p>
      <w:pPr>
        <w:pStyle w:val="2"/>
        <w:ind w:left="0" w:leftChars="0" w:firstLine="0" w:firstLineChars="0"/>
        <w:rPr>
          <w:rFonts w:hint="eastAsia"/>
        </w:rPr>
      </w:pP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4997" w:type="pct"/>
        <w:jc w:val="center"/>
        <w:tblLayout w:type="autofit"/>
        <w:tblCellMar>
          <w:top w:w="0" w:type="dxa"/>
          <w:left w:w="108" w:type="dxa"/>
          <w:bottom w:w="0" w:type="dxa"/>
          <w:right w:w="108" w:type="dxa"/>
        </w:tblCellMar>
      </w:tblPr>
      <w:tblGrid>
        <w:gridCol w:w="571"/>
        <w:gridCol w:w="1004"/>
        <w:gridCol w:w="1140"/>
        <w:gridCol w:w="735"/>
        <w:gridCol w:w="1162"/>
        <w:gridCol w:w="248"/>
        <w:gridCol w:w="916"/>
        <w:gridCol w:w="1259"/>
        <w:gridCol w:w="288"/>
        <w:gridCol w:w="286"/>
        <w:gridCol w:w="607"/>
        <w:gridCol w:w="195"/>
        <w:gridCol w:w="748"/>
        <w:gridCol w:w="689"/>
      </w:tblGrid>
      <w:tr>
        <w:tblPrEx>
          <w:tblCellMar>
            <w:top w:w="0" w:type="dxa"/>
            <w:left w:w="108" w:type="dxa"/>
            <w:bottom w:w="0" w:type="dxa"/>
            <w:right w:w="108" w:type="dxa"/>
          </w:tblCellMar>
        </w:tblPrEx>
        <w:trPr>
          <w:trHeight w:val="397" w:hRule="exact"/>
          <w:jc w:val="center"/>
        </w:trPr>
        <w:tc>
          <w:tcPr>
            <w:tcW w:w="800"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项目名称</w:t>
            </w:r>
          </w:p>
        </w:tc>
        <w:tc>
          <w:tcPr>
            <w:tcW w:w="4199" w:type="pct"/>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北京市地震局震害评估技术提升与应急指挥系统控制、数据治理能力建设项目</w:t>
            </w:r>
          </w:p>
        </w:tc>
      </w:tr>
      <w:tr>
        <w:tblPrEx>
          <w:tblCellMar>
            <w:top w:w="0" w:type="dxa"/>
            <w:left w:w="108" w:type="dxa"/>
            <w:bottom w:w="0" w:type="dxa"/>
            <w:right w:w="108" w:type="dxa"/>
          </w:tblCellMar>
        </w:tblPrEx>
        <w:trPr>
          <w:trHeight w:val="397" w:hRule="exact"/>
          <w:jc w:val="center"/>
        </w:trPr>
        <w:tc>
          <w:tcPr>
            <w:tcW w:w="800"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主管部门</w:t>
            </w:r>
          </w:p>
        </w:tc>
        <w:tc>
          <w:tcPr>
            <w:tcW w:w="213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北京市地震局</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实施单位</w:t>
            </w:r>
          </w:p>
        </w:tc>
        <w:tc>
          <w:tcPr>
            <w:tcW w:w="1282"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北京市地震局</w:t>
            </w:r>
          </w:p>
        </w:tc>
      </w:tr>
      <w:tr>
        <w:tblPrEx>
          <w:tblCellMar>
            <w:top w:w="0" w:type="dxa"/>
            <w:left w:w="108" w:type="dxa"/>
            <w:bottom w:w="0" w:type="dxa"/>
            <w:right w:w="108" w:type="dxa"/>
          </w:tblCellMar>
        </w:tblPrEx>
        <w:trPr>
          <w:trHeight w:val="397" w:hRule="exact"/>
          <w:jc w:val="center"/>
        </w:trPr>
        <w:tc>
          <w:tcPr>
            <w:tcW w:w="800"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项目负责人</w:t>
            </w:r>
          </w:p>
        </w:tc>
        <w:tc>
          <w:tcPr>
            <w:tcW w:w="2133"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王飞</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联系电话</w:t>
            </w:r>
          </w:p>
        </w:tc>
        <w:tc>
          <w:tcPr>
            <w:tcW w:w="1282"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83012188</w:t>
            </w:r>
          </w:p>
        </w:tc>
      </w:tr>
      <w:tr>
        <w:tblPrEx>
          <w:tblCellMar>
            <w:top w:w="0" w:type="dxa"/>
            <w:left w:w="108" w:type="dxa"/>
            <w:bottom w:w="0" w:type="dxa"/>
            <w:right w:w="108" w:type="dxa"/>
          </w:tblCellMar>
        </w:tblPrEx>
        <w:trPr>
          <w:trHeight w:val="567" w:hRule="exact"/>
          <w:jc w:val="center"/>
        </w:trPr>
        <w:tc>
          <w:tcPr>
            <w:tcW w:w="800"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项目资金</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（万元）</w:t>
            </w:r>
          </w:p>
        </w:tc>
        <w:tc>
          <w:tcPr>
            <w:tcW w:w="95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90"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年初预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59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全年预</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算数</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全年</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执行数</w:t>
            </w:r>
          </w:p>
        </w:tc>
        <w:tc>
          <w:tcPr>
            <w:tcW w:w="45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47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执行率</w:t>
            </w:r>
          </w:p>
        </w:tc>
        <w:tc>
          <w:tcPr>
            <w:tcW w:w="349"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r>
      <w:tr>
        <w:tblPrEx>
          <w:tblCellMar>
            <w:top w:w="0" w:type="dxa"/>
            <w:left w:w="108" w:type="dxa"/>
            <w:bottom w:w="0" w:type="dxa"/>
            <w:right w:w="108" w:type="dxa"/>
          </w:tblCellMar>
        </w:tblPrEx>
        <w:trPr>
          <w:trHeight w:val="397" w:hRule="exact"/>
          <w:jc w:val="center"/>
        </w:trPr>
        <w:tc>
          <w:tcPr>
            <w:tcW w:w="80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5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年度资金总额</w:t>
            </w:r>
          </w:p>
        </w:tc>
        <w:tc>
          <w:tcPr>
            <w:tcW w:w="590"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50.797</w:t>
            </w:r>
          </w:p>
        </w:tc>
        <w:tc>
          <w:tcPr>
            <w:tcW w:w="59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47.271</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43.818746</w:t>
            </w:r>
          </w:p>
        </w:tc>
        <w:tc>
          <w:tcPr>
            <w:tcW w:w="45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7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92.69%</w:t>
            </w:r>
          </w:p>
        </w:tc>
        <w:tc>
          <w:tcPr>
            <w:tcW w:w="349"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9.26</w:t>
            </w:r>
          </w:p>
        </w:tc>
      </w:tr>
      <w:tr>
        <w:tblPrEx>
          <w:tblCellMar>
            <w:top w:w="0" w:type="dxa"/>
            <w:left w:w="108" w:type="dxa"/>
            <w:bottom w:w="0" w:type="dxa"/>
            <w:right w:w="108" w:type="dxa"/>
          </w:tblCellMar>
        </w:tblPrEx>
        <w:trPr>
          <w:trHeight w:val="510" w:hRule="exact"/>
          <w:jc w:val="center"/>
        </w:trPr>
        <w:tc>
          <w:tcPr>
            <w:tcW w:w="80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5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其中：当年财政</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拨款</w:t>
            </w:r>
          </w:p>
        </w:tc>
        <w:tc>
          <w:tcPr>
            <w:tcW w:w="590"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50.797</w:t>
            </w:r>
          </w:p>
        </w:tc>
        <w:tc>
          <w:tcPr>
            <w:tcW w:w="59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47.271</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43.818746</w:t>
            </w:r>
          </w:p>
        </w:tc>
        <w:tc>
          <w:tcPr>
            <w:tcW w:w="45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47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92.69%</w:t>
            </w:r>
          </w:p>
        </w:tc>
        <w:tc>
          <w:tcPr>
            <w:tcW w:w="349"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97" w:hRule="exact"/>
          <w:jc w:val="center"/>
        </w:trPr>
        <w:tc>
          <w:tcPr>
            <w:tcW w:w="80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5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上年结转资金</w:t>
            </w:r>
          </w:p>
        </w:tc>
        <w:tc>
          <w:tcPr>
            <w:tcW w:w="590"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59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45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47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349"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397" w:hRule="exact"/>
          <w:jc w:val="center"/>
        </w:trPr>
        <w:tc>
          <w:tcPr>
            <w:tcW w:w="80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952"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其他资金</w:t>
            </w:r>
          </w:p>
        </w:tc>
        <w:tc>
          <w:tcPr>
            <w:tcW w:w="590"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590"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78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453" w:type="pct"/>
            <w:gridSpan w:val="2"/>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47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c>
          <w:tcPr>
            <w:tcW w:w="349" w:type="pct"/>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w:t>
            </w:r>
          </w:p>
        </w:tc>
      </w:tr>
      <w:tr>
        <w:tblPrEx>
          <w:tblCellMar>
            <w:top w:w="0" w:type="dxa"/>
            <w:left w:w="108" w:type="dxa"/>
            <w:bottom w:w="0" w:type="dxa"/>
            <w:right w:w="108" w:type="dxa"/>
          </w:tblCellMar>
        </w:tblPrEx>
        <w:trPr>
          <w:trHeight w:val="548" w:hRule="exact"/>
          <w:jc w:val="center"/>
        </w:trPr>
        <w:tc>
          <w:tcPr>
            <w:tcW w:w="290"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年度总体目标</w:t>
            </w:r>
          </w:p>
        </w:tc>
        <w:tc>
          <w:tcPr>
            <w:tcW w:w="2643"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预期目标</w:t>
            </w:r>
          </w:p>
        </w:tc>
        <w:tc>
          <w:tcPr>
            <w:tcW w:w="2065" w:type="pct"/>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实际完成情况</w:t>
            </w:r>
          </w:p>
        </w:tc>
      </w:tr>
      <w:tr>
        <w:tblPrEx>
          <w:tblCellMar>
            <w:top w:w="0" w:type="dxa"/>
            <w:left w:w="108" w:type="dxa"/>
            <w:bottom w:w="0" w:type="dxa"/>
            <w:right w:w="108" w:type="dxa"/>
          </w:tblCellMar>
        </w:tblPrEx>
        <w:trPr>
          <w:trHeight w:val="5945" w:hRule="exact"/>
          <w:jc w:val="center"/>
        </w:trPr>
        <w:tc>
          <w:tcPr>
            <w:tcW w:w="290"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2643" w:type="pct"/>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基于多种机器学习算法，研究设计出一种适合本地化的机器学习预测模型，通过对真实建筑物的震害数据和震害模拟结果数据等样本数据，进行地震动时程文件和建筑物本身的工程特征提取、训练后，实现对城市海量单体建筑物快速非线性时程震害评估。</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根据已开展观测的建筑结构资料，建立典型建筑的结构评估模型，利用实时观测数据修正结构模型，开展建筑结构弹塑性时程分析。根据结构的工程需求参数，评估结构损失状态，统计计算结构修复费用、修复时间和人员伤亡，开展单体建筑抗震韧性评估。</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利用北京及周边地区有感地震的应急产出资料，优化应急处置对策模板，研发地震应急指挥系统的自动触发与远程控制系统，并将项目研究结果在应急指挥中心部署应用，提升北京市地震应急快速响应能力。</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（四）采用数字孪生技术对北京市防震减灾数据进行分析，开发地震可视化交互信息系统原型，实现地震数据信息融合可视化表达。</w:t>
            </w:r>
          </w:p>
        </w:tc>
        <w:tc>
          <w:tcPr>
            <w:tcW w:w="2065" w:type="pct"/>
            <w:gridSpan w:val="7"/>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基于多种机器学习算法，研究设计出一种适合本地化的机器学习预测模型，通过对真实建筑物的震害数据和震害模拟结果数据等样本数据，进行地震动时程文件和建筑物本身的工程特征提取、训练后，实现对城市海量单体建筑物快速非线性时程震害评估。</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根据已开展观测的建筑结构资料，建立典型建筑的结构评估模型，利用实时观测数据修正结构模型，开展建筑结构弹塑性时程分析。根据结构的工程需求参数，评估结构损失状态，统计计算结构修复费用、修复时间和人员伤亡，开展单体建筑抗震韧性评估。</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利用北京及周边地区有感地震的应急产出资料，优化应急处置对策模板，研发地震应急指挥系统的自动触发与远程控制系统，并将项目研究结果在应急指挥中心部署应用，提升北京市地震应急快速响应能力。</w:t>
            </w:r>
          </w:p>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（四）采用数字孪生技术对北京市防震减灾数据进行分析，开发地震可视化交互信息系统原型，实现地震数据信息融合可视化表达。</w:t>
            </w:r>
          </w:p>
        </w:tc>
      </w:tr>
      <w:tr>
        <w:tblPrEx>
          <w:tblCellMar>
            <w:top w:w="0" w:type="dxa"/>
            <w:left w:w="108" w:type="dxa"/>
            <w:bottom w:w="0" w:type="dxa"/>
            <w:right w:w="108" w:type="dxa"/>
          </w:tblCellMar>
        </w:tblPrEx>
        <w:trPr>
          <w:trHeight w:val="851" w:hRule="exact"/>
          <w:jc w:val="center"/>
        </w:trPr>
        <w:tc>
          <w:tcPr>
            <w:tcW w:w="290"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绩</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效</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指</w:t>
            </w:r>
            <w:r>
              <w:rPr>
                <w:rFonts w:hint="eastAsia" w:ascii="仿宋_GB2312" w:hAnsi="宋体" w:eastAsia="仿宋_GB2312" w:cs="宋体"/>
                <w:kern w:val="0"/>
                <w:sz w:val="21"/>
                <w:szCs w:val="21"/>
              </w:rPr>
              <w:br w:type="textWrapping"/>
            </w:r>
            <w:r>
              <w:rPr>
                <w:rFonts w:hint="eastAsia" w:ascii="仿宋_GB2312" w:hAnsi="宋体" w:eastAsia="仿宋_GB2312" w:cs="宋体"/>
                <w:kern w:val="0"/>
                <w:sz w:val="21"/>
                <w:szCs w:val="21"/>
              </w:rPr>
              <w:t>标</w:t>
            </w:r>
          </w:p>
        </w:tc>
        <w:tc>
          <w:tcPr>
            <w:tcW w:w="50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一级指标</w:t>
            </w:r>
          </w:p>
        </w:tc>
        <w:tc>
          <w:tcPr>
            <w:tcW w:w="579"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二级指标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三级指标</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年度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指标值</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实际</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完成值</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分值</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得分</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偏差原因分析及改进</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措施</w:t>
            </w:r>
          </w:p>
        </w:tc>
      </w:tr>
      <w:tr>
        <w:tblPrEx>
          <w:tblCellMar>
            <w:top w:w="0" w:type="dxa"/>
            <w:left w:w="108" w:type="dxa"/>
            <w:bottom w:w="0" w:type="dxa"/>
            <w:right w:w="108" w:type="dxa"/>
          </w:tblCellMar>
        </w:tblPrEx>
        <w:trPr>
          <w:trHeight w:val="680"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产出指标</w:t>
            </w:r>
          </w:p>
        </w:tc>
        <w:tc>
          <w:tcPr>
            <w:tcW w:w="579"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数量指标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地震灾害风险评估方法数量</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10"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vMerge w:val="continue"/>
            <w:tcBorders>
              <w:left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软件著作权项数</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10"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系统远程控制软件</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510"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质量指标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验收通过率</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682"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时效指标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成果发布时间</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2022年底</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2022</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865"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成本指标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预算投入金额</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≤50.787万元</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43.818746万元</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551"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效益指标</w:t>
            </w:r>
          </w:p>
        </w:tc>
        <w:tc>
          <w:tcPr>
            <w:tcW w:w="57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社会效益指标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方法示范效应</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可推广使用</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可推广使用</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15</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12</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示范应用效应待提升，后续进一步加强资料收集整理。</w:t>
            </w:r>
          </w:p>
        </w:tc>
      </w:tr>
      <w:tr>
        <w:tblPrEx>
          <w:tblCellMar>
            <w:top w:w="0" w:type="dxa"/>
            <w:left w:w="108" w:type="dxa"/>
            <w:bottom w:w="0" w:type="dxa"/>
            <w:right w:w="108" w:type="dxa"/>
          </w:tblCellMar>
        </w:tblPrEx>
        <w:trPr>
          <w:trHeight w:val="683"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7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系统远程控制能力</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显著提升</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显著提升</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15</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15</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r>
        <w:tblPrEx>
          <w:tblCellMar>
            <w:top w:w="0" w:type="dxa"/>
            <w:left w:w="108" w:type="dxa"/>
            <w:bottom w:w="0" w:type="dxa"/>
            <w:right w:w="108" w:type="dxa"/>
          </w:tblCellMar>
        </w:tblPrEx>
        <w:trPr>
          <w:trHeight w:val="1577" w:hRule="exact"/>
          <w:jc w:val="center"/>
        </w:trPr>
        <w:tc>
          <w:tcPr>
            <w:tcW w:w="290"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w:t>
            </w:r>
          </w:p>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指标</w:t>
            </w:r>
          </w:p>
        </w:tc>
        <w:tc>
          <w:tcPr>
            <w:tcW w:w="579"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服务对象满意度标</w:t>
            </w:r>
          </w:p>
        </w:tc>
        <w:tc>
          <w:tcPr>
            <w:tcW w:w="1089" w:type="pct"/>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使用部门满意度</w:t>
            </w:r>
          </w:p>
        </w:tc>
        <w:tc>
          <w:tcPr>
            <w:tcW w:w="464"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90%</w:t>
            </w:r>
          </w:p>
        </w:tc>
        <w:tc>
          <w:tcPr>
            <w:tcW w:w="63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90%</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8</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满意度调查待更全面，将进一步全面开展满意度调查及分析。</w:t>
            </w:r>
          </w:p>
        </w:tc>
      </w:tr>
      <w:tr>
        <w:tblPrEx>
          <w:tblCellMar>
            <w:top w:w="0" w:type="dxa"/>
            <w:left w:w="108" w:type="dxa"/>
            <w:bottom w:w="0" w:type="dxa"/>
            <w:right w:w="108" w:type="dxa"/>
          </w:tblCellMar>
        </w:tblPrEx>
        <w:trPr>
          <w:trHeight w:val="477" w:hRule="exact"/>
          <w:jc w:val="center"/>
        </w:trPr>
        <w:tc>
          <w:tcPr>
            <w:tcW w:w="3571" w:type="pct"/>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总分</w:t>
            </w:r>
          </w:p>
        </w:tc>
        <w:tc>
          <w:tcPr>
            <w:tcW w:w="291"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100</w:t>
            </w:r>
          </w:p>
        </w:tc>
        <w:tc>
          <w:tcPr>
            <w:tcW w:w="407"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94.26</w:t>
            </w:r>
          </w:p>
        </w:tc>
        <w:tc>
          <w:tcPr>
            <w:tcW w:w="729"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21"/>
                <w:szCs w:val="21"/>
              </w:rPr>
            </w:pPr>
          </w:p>
        </w:tc>
      </w:tr>
    </w:tbl>
    <w:p>
      <w:pPr>
        <w:rPr>
          <w:rFonts w:hint="eastAsia" w:ascii="仿宋_GB2312" w:eastAsia="仿宋_GB2312"/>
          <w:vanish/>
          <w:szCs w:val="21"/>
        </w:rPr>
      </w:pPr>
    </w:p>
    <w:p>
      <w:pPr>
        <w:widowControl/>
        <w:jc w:val="left"/>
        <w:rPr>
          <w:rFonts w:ascii="仿宋_GB2312" w:hAnsi="宋体" w:eastAsia="仿宋_GB2312" w:cs="宋体"/>
          <w:color w:val="000000"/>
          <w:kern w:val="0"/>
          <w:sz w:val="32"/>
          <w:szCs w:val="32"/>
        </w:rPr>
      </w:pPr>
    </w:p>
    <w:p>
      <w:pPr>
        <w:spacing w:line="520" w:lineRule="exact"/>
        <w:ind w:firstLine="420" w:firstLineChars="200"/>
      </w:pPr>
    </w:p>
    <w:p>
      <w:r>
        <w:br w:type="page"/>
      </w:r>
    </w:p>
    <w:p>
      <w:pPr>
        <w:spacing w:line="48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（2022年度）</w:t>
      </w:r>
    </w:p>
    <w:p>
      <w:pPr>
        <w:spacing w:line="240" w:lineRule="exact"/>
        <w:rPr>
          <w:rFonts w:ascii="仿宋_GB2312" w:hAnsi="宋体" w:eastAsia="仿宋_GB2312"/>
          <w:sz w:val="30"/>
          <w:szCs w:val="30"/>
        </w:rPr>
      </w:pPr>
    </w:p>
    <w:tbl>
      <w:tblPr>
        <w:tblStyle w:val="3"/>
        <w:tblW w:w="9162" w:type="dxa"/>
        <w:jc w:val="center"/>
        <w:tblLayout w:type="fixed"/>
        <w:tblCellMar>
          <w:top w:w="0" w:type="dxa"/>
          <w:left w:w="108" w:type="dxa"/>
          <w:bottom w:w="0" w:type="dxa"/>
          <w:right w:w="108" w:type="dxa"/>
        </w:tblCellMar>
      </w:tblPr>
      <w:tblGrid>
        <w:gridCol w:w="585"/>
        <w:gridCol w:w="975"/>
        <w:gridCol w:w="1105"/>
        <w:gridCol w:w="727"/>
        <w:gridCol w:w="1127"/>
        <w:gridCol w:w="68"/>
        <w:gridCol w:w="1064"/>
        <w:gridCol w:w="848"/>
        <w:gridCol w:w="279"/>
        <w:gridCol w:w="284"/>
        <w:gridCol w:w="420"/>
        <w:gridCol w:w="362"/>
        <w:gridCol w:w="484"/>
        <w:gridCol w:w="834"/>
      </w:tblGrid>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项目名称</w:t>
            </w:r>
          </w:p>
        </w:tc>
        <w:tc>
          <w:tcPr>
            <w:tcW w:w="760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szCs w:val="21"/>
              </w:rPr>
              <w:t>北京市地震局互联网接入服务</w:t>
            </w:r>
          </w:p>
        </w:tc>
      </w:tr>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北京市地震局</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实施单位</w:t>
            </w:r>
          </w:p>
        </w:tc>
        <w:tc>
          <w:tcPr>
            <w:tcW w:w="238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北京市地震局</w:t>
            </w:r>
          </w:p>
        </w:tc>
      </w:tr>
      <w:tr>
        <w:tblPrEx>
          <w:tblCellMar>
            <w:top w:w="0" w:type="dxa"/>
            <w:left w:w="108" w:type="dxa"/>
            <w:bottom w:w="0" w:type="dxa"/>
            <w:right w:w="108" w:type="dxa"/>
          </w:tblCellMar>
        </w:tblPrEx>
        <w:trPr>
          <w:trHeight w:val="397"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szCs w:val="21"/>
              </w:rPr>
              <w:t>温建农</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联系电话</w:t>
            </w:r>
          </w:p>
        </w:tc>
        <w:tc>
          <w:tcPr>
            <w:tcW w:w="2384"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83012205</w:t>
            </w:r>
          </w:p>
        </w:tc>
      </w:tr>
      <w:tr>
        <w:tblPrEx>
          <w:tblCellMar>
            <w:top w:w="0" w:type="dxa"/>
            <w:left w:w="108" w:type="dxa"/>
            <w:bottom w:w="0" w:type="dxa"/>
            <w:right w:w="108" w:type="dxa"/>
          </w:tblCellMar>
        </w:tblPrEx>
        <w:trPr>
          <w:trHeight w:val="624"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项目资金</w:t>
            </w:r>
            <w:r>
              <w:rPr>
                <w:rFonts w:hint="eastAsia" w:ascii="仿宋" w:hAnsi="仿宋" w:eastAsia="仿宋" w:cs="仿宋"/>
                <w:kern w:val="0"/>
                <w:szCs w:val="21"/>
              </w:rPr>
              <w:br w:type="textWrapping"/>
            </w:r>
            <w:r>
              <w:rPr>
                <w:rFonts w:hint="eastAsia" w:ascii="仿宋" w:hAnsi="仿宋" w:eastAsia="仿宋" w:cs="仿宋"/>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年初预</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算数</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全年预</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算数</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全年</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执行数</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执行率</w:t>
            </w:r>
          </w:p>
        </w:tc>
        <w:tc>
          <w:tcPr>
            <w:tcW w:w="834"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得分</w:t>
            </w:r>
          </w:p>
        </w:tc>
      </w:tr>
      <w:tr>
        <w:tblPrEx>
          <w:tblCellMar>
            <w:top w:w="0" w:type="dxa"/>
            <w:left w:w="108" w:type="dxa"/>
            <w:bottom w:w="0" w:type="dxa"/>
            <w:right w:w="108" w:type="dxa"/>
          </w:tblCellMar>
        </w:tblPrEx>
        <w:trPr>
          <w:trHeight w:val="454"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年度资金总额</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w:t>
            </w:r>
          </w:p>
        </w:tc>
        <w:tc>
          <w:tcPr>
            <w:tcW w:w="834"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10.00</w:t>
            </w:r>
          </w:p>
        </w:tc>
      </w:tr>
      <w:tr>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其中：当年财政拨款</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w:t>
            </w:r>
          </w:p>
        </w:tc>
        <w:tc>
          <w:tcPr>
            <w:tcW w:w="834"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r>
      <w:tr>
        <w:tblPrEx>
          <w:tblCellMar>
            <w:top w:w="0" w:type="dxa"/>
            <w:left w:w="108" w:type="dxa"/>
            <w:bottom w:w="0" w:type="dxa"/>
            <w:right w:w="108" w:type="dxa"/>
          </w:tblCellMar>
        </w:tblPrEx>
        <w:trPr>
          <w:trHeight w:val="39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上年结转资金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834"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r>
      <w:tr>
        <w:tblPrEx>
          <w:tblCellMar>
            <w:top w:w="0" w:type="dxa"/>
            <w:left w:w="108" w:type="dxa"/>
            <w:bottom w:w="0" w:type="dxa"/>
            <w:right w:w="108" w:type="dxa"/>
          </w:tblCellMar>
        </w:tblPrEx>
        <w:trPr>
          <w:trHeight w:val="39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其他资金</w:t>
            </w:r>
          </w:p>
        </w:tc>
        <w:tc>
          <w:tcPr>
            <w:tcW w:w="1127"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1132"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1127"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704" w:type="dxa"/>
            <w:gridSpan w:val="2"/>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c>
          <w:tcPr>
            <w:tcW w:w="834" w:type="dxa"/>
            <w:tcBorders>
              <w:top w:val="nil"/>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w:t>
            </w:r>
          </w:p>
        </w:tc>
      </w:tr>
      <w:tr>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预期目标</w:t>
            </w:r>
          </w:p>
        </w:tc>
        <w:tc>
          <w:tcPr>
            <w:tcW w:w="3511"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实际完成情况</w:t>
            </w:r>
          </w:p>
        </w:tc>
      </w:tr>
      <w:tr>
        <w:tblPrEx>
          <w:tblCellMar>
            <w:top w:w="0" w:type="dxa"/>
            <w:left w:w="108" w:type="dxa"/>
            <w:bottom w:w="0" w:type="dxa"/>
            <w:right w:w="108" w:type="dxa"/>
          </w:tblCellMar>
        </w:tblPrEx>
        <w:trPr>
          <w:trHeight w:val="1597" w:hRule="exact"/>
          <w:jc w:val="center"/>
        </w:trPr>
        <w:tc>
          <w:tcPr>
            <w:tcW w:w="58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 w:hAnsi="仿宋" w:eastAsia="仿宋" w:cs="仿宋"/>
                <w:kern w:val="0"/>
                <w:szCs w:val="21"/>
              </w:rPr>
            </w:pPr>
            <w:r>
              <w:rPr>
                <w:rFonts w:hint="eastAsia" w:ascii="仿宋" w:hAnsi="仿宋" w:eastAsia="仿宋" w:cs="仿宋"/>
                <w:kern w:val="0"/>
                <w:szCs w:val="21"/>
              </w:rPr>
              <w:t>通过两条互联网接入信道，实现北京市地震局日常办公、地震监测数据的传输及面向公众服务等业务。</w:t>
            </w:r>
          </w:p>
        </w:tc>
        <w:tc>
          <w:tcPr>
            <w:tcW w:w="3511" w:type="dxa"/>
            <w:gridSpan w:val="7"/>
            <w:tcBorders>
              <w:top w:val="single" w:color="auto" w:sz="4" w:space="0"/>
              <w:left w:val="nil"/>
              <w:bottom w:val="single" w:color="auto" w:sz="4" w:space="0"/>
              <w:right w:val="single" w:color="auto" w:sz="4" w:space="0"/>
            </w:tcBorders>
            <w:vAlign w:val="center"/>
          </w:tcPr>
          <w:p>
            <w:pPr>
              <w:widowControl/>
              <w:spacing w:line="240" w:lineRule="exact"/>
              <w:jc w:val="both"/>
              <w:rPr>
                <w:rFonts w:ascii="仿宋" w:hAnsi="仿宋" w:eastAsia="仿宋" w:cs="仿宋"/>
                <w:kern w:val="0"/>
                <w:szCs w:val="21"/>
              </w:rPr>
            </w:pPr>
            <w:r>
              <w:rPr>
                <w:rFonts w:hint="eastAsia" w:ascii="仿宋" w:hAnsi="仿宋" w:eastAsia="仿宋" w:cs="仿宋"/>
                <w:kern w:val="0"/>
                <w:szCs w:val="21"/>
              </w:rPr>
              <w:t>通过两条互联网接入信道，实现北京市地震局日常办公、地震监测数据的传输及面向公众服务等业务。</w:t>
            </w:r>
          </w:p>
        </w:tc>
      </w:tr>
      <w:tr>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绩</w:t>
            </w:r>
            <w:r>
              <w:rPr>
                <w:rFonts w:hint="eastAsia" w:ascii="仿宋" w:hAnsi="仿宋" w:eastAsia="仿宋" w:cs="仿宋"/>
                <w:kern w:val="0"/>
                <w:szCs w:val="21"/>
              </w:rPr>
              <w:br w:type="textWrapping"/>
            </w:r>
            <w:r>
              <w:rPr>
                <w:rFonts w:hint="eastAsia" w:ascii="仿宋" w:hAnsi="仿宋" w:eastAsia="仿宋" w:cs="仿宋"/>
                <w:kern w:val="0"/>
                <w:szCs w:val="21"/>
              </w:rPr>
              <w:t>效</w:t>
            </w:r>
            <w:r>
              <w:rPr>
                <w:rFonts w:hint="eastAsia" w:ascii="仿宋" w:hAnsi="仿宋" w:eastAsia="仿宋" w:cs="仿宋"/>
                <w:kern w:val="0"/>
                <w:szCs w:val="21"/>
              </w:rPr>
              <w:br w:type="textWrapping"/>
            </w:r>
            <w:r>
              <w:rPr>
                <w:rFonts w:hint="eastAsia" w:ascii="仿宋" w:hAnsi="仿宋" w:eastAsia="仿宋" w:cs="仿宋"/>
                <w:kern w:val="0"/>
                <w:szCs w:val="21"/>
              </w:rPr>
              <w:t>指</w:t>
            </w:r>
            <w:r>
              <w:rPr>
                <w:rFonts w:hint="eastAsia" w:ascii="仿宋" w:hAnsi="仿宋" w:eastAsia="仿宋" w:cs="仿宋"/>
                <w:kern w:val="0"/>
                <w:szCs w:val="21"/>
              </w:rPr>
              <w:br w:type="textWrapping"/>
            </w:r>
            <w:r>
              <w:rPr>
                <w:rFonts w:hint="eastAsia" w:ascii="仿宋" w:hAnsi="仿宋" w:eastAsia="仿宋" w:cs="仿宋"/>
                <w:kern w:val="0"/>
                <w:szCs w:val="21"/>
              </w:rPr>
              <w:t>标</w:t>
            </w:r>
          </w:p>
        </w:tc>
        <w:tc>
          <w:tcPr>
            <w:tcW w:w="97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一级指标</w:t>
            </w:r>
          </w:p>
        </w:tc>
        <w:tc>
          <w:tcPr>
            <w:tcW w:w="11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二级指标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三级指标</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年度</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指标值</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实际</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分值</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得分</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偏差原因分析及改进</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措施</w:t>
            </w:r>
          </w:p>
        </w:tc>
      </w:tr>
      <w:tr>
        <w:tblPrEx>
          <w:tblCellMar>
            <w:top w:w="0" w:type="dxa"/>
            <w:left w:w="108" w:type="dxa"/>
            <w:bottom w:w="0" w:type="dxa"/>
            <w:right w:w="108" w:type="dxa"/>
          </w:tblCellMar>
        </w:tblPrEx>
        <w:trPr>
          <w:trHeight w:val="62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数量指标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带宽80Mbps互联网光纤</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62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带宽100Mbps互联网光纤</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1条</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1条</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124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质量指标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光纤信道负载能力</w:t>
            </w:r>
          </w:p>
        </w:tc>
        <w:tc>
          <w:tcPr>
            <w:tcW w:w="1064"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kern w:val="0"/>
                <w:szCs w:val="21"/>
              </w:rPr>
            </w:pPr>
            <w:r>
              <w:rPr>
                <w:rFonts w:hint="eastAsia" w:ascii="仿宋" w:hAnsi="仿宋" w:eastAsia="仿宋" w:cs="仿宋"/>
                <w:szCs w:val="21"/>
              </w:rPr>
              <w:t>≥线路理论通信能力的80%</w:t>
            </w:r>
          </w:p>
          <w:p>
            <w:pPr>
              <w:widowControl/>
              <w:spacing w:line="240" w:lineRule="exact"/>
              <w:jc w:val="center"/>
              <w:rPr>
                <w:rFonts w:ascii="仿宋" w:hAnsi="仿宋" w:eastAsia="仿宋" w:cs="仿宋"/>
                <w:kern w:val="0"/>
                <w:szCs w:val="21"/>
              </w:rPr>
            </w:pPr>
          </w:p>
        </w:tc>
        <w:tc>
          <w:tcPr>
            <w:tcW w:w="848" w:type="dxa"/>
            <w:tcBorders>
              <w:top w:val="single" w:color="auto" w:sz="4" w:space="0"/>
              <w:left w:val="nil"/>
              <w:bottom w:val="single" w:color="auto" w:sz="4" w:space="0"/>
              <w:right w:val="single" w:color="auto" w:sz="4" w:space="0"/>
            </w:tcBorders>
            <w:vAlign w:val="center"/>
          </w:tcPr>
          <w:p>
            <w:pPr>
              <w:widowControl/>
              <w:jc w:val="center"/>
              <w:rPr>
                <w:rFonts w:ascii="仿宋" w:hAnsi="仿宋" w:eastAsia="仿宋" w:cs="仿宋"/>
                <w:kern w:val="0"/>
                <w:szCs w:val="21"/>
              </w:rPr>
            </w:pPr>
            <w:r>
              <w:rPr>
                <w:rFonts w:hint="eastAsia" w:ascii="仿宋" w:hAnsi="仿宋" w:eastAsia="仿宋" w:cs="仿宋"/>
                <w:szCs w:val="21"/>
              </w:rPr>
              <w:t>8</w:t>
            </w:r>
            <w:r>
              <w:rPr>
                <w:rFonts w:ascii="仿宋" w:hAnsi="仿宋" w:eastAsia="仿宋" w:cs="仿宋"/>
                <w:szCs w:val="21"/>
              </w:rPr>
              <w:t>9</w:t>
            </w:r>
            <w:r>
              <w:rPr>
                <w:rFonts w:hint="eastAsia" w:ascii="仿宋" w:hAnsi="仿宋" w:eastAsia="仿宋" w:cs="仿宋"/>
                <w:szCs w:val="21"/>
              </w:rPr>
              <w:t>%</w:t>
            </w:r>
          </w:p>
          <w:p>
            <w:pPr>
              <w:widowControl/>
              <w:spacing w:line="240" w:lineRule="exact"/>
              <w:jc w:val="center"/>
              <w:rPr>
                <w:rFonts w:ascii="仿宋" w:hAnsi="仿宋" w:eastAsia="仿宋" w:cs="仿宋"/>
                <w:kern w:val="0"/>
                <w:szCs w:val="21"/>
              </w:rPr>
            </w:pP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52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光纤两端之间数据传输累计时延</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≤200ms</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ascii="仿宋" w:hAnsi="仿宋" w:eastAsia="仿宋" w:cs="仿宋"/>
                <w:kern w:val="0"/>
                <w:szCs w:val="21"/>
              </w:rPr>
              <w:t>50</w:t>
            </w:r>
            <w:r>
              <w:rPr>
                <w:rFonts w:hint="eastAsia" w:ascii="仿宋" w:hAnsi="仿宋" w:eastAsia="仿宋" w:cs="仿宋"/>
                <w:kern w:val="0"/>
                <w:szCs w:val="21"/>
              </w:rPr>
              <w:t>ms</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215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时效指标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互联网接入信道</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2022年4月完成合同签订，2022年5月完成信道开通</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202年7月完成合同签订及信道开通</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8.00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因疫情等原因，导致项目延后，后续加强管理合理计划时间。</w:t>
            </w:r>
          </w:p>
        </w:tc>
      </w:tr>
      <w:tr>
        <w:tblPrEx>
          <w:tblCellMar>
            <w:top w:w="0" w:type="dxa"/>
            <w:left w:w="108" w:type="dxa"/>
            <w:bottom w:w="0" w:type="dxa"/>
            <w:right w:w="108" w:type="dxa"/>
          </w:tblCellMar>
        </w:tblPrEx>
        <w:trPr>
          <w:trHeight w:val="80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成本指标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项目总成本</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34.28万元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34.28万元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53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政府采购成本</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34.28万元</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34.28万元</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5.00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r>
        <w:tblPrEx>
          <w:tblCellMar>
            <w:top w:w="0" w:type="dxa"/>
            <w:left w:w="108" w:type="dxa"/>
            <w:bottom w:w="0" w:type="dxa"/>
            <w:right w:w="108" w:type="dxa"/>
          </w:tblCellMar>
        </w:tblPrEx>
        <w:trPr>
          <w:trHeight w:val="1554"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效益指标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社会效益</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指标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为北京地区地震监测、地震信息服务等业务提供可靠互联网信道，促进北京地区防震减灾能力的提升</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较显著</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较显著</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30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26.00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绩效成果资料待提升，后续进一步加强资料收集整理。</w:t>
            </w:r>
          </w:p>
        </w:tc>
      </w:tr>
      <w:tr>
        <w:tblPrEx>
          <w:tblCellMar>
            <w:top w:w="0" w:type="dxa"/>
            <w:left w:w="108" w:type="dxa"/>
            <w:bottom w:w="0" w:type="dxa"/>
            <w:right w:w="108" w:type="dxa"/>
          </w:tblCellMar>
        </w:tblPrEx>
        <w:trPr>
          <w:trHeight w:val="1625"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满意度</w:t>
            </w:r>
          </w:p>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服务对象满意度标</w:t>
            </w:r>
          </w:p>
        </w:tc>
        <w:tc>
          <w:tcPr>
            <w:tcW w:w="1922"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 w:hAnsi="仿宋" w:eastAsia="仿宋" w:cs="仿宋"/>
                <w:kern w:val="0"/>
                <w:szCs w:val="21"/>
              </w:rPr>
            </w:pPr>
            <w:r>
              <w:rPr>
                <w:rFonts w:hint="eastAsia" w:ascii="仿宋" w:hAnsi="仿宋" w:eastAsia="仿宋" w:cs="仿宋"/>
                <w:kern w:val="0"/>
                <w:szCs w:val="21"/>
              </w:rPr>
              <w:t>使用单位满意度</w:t>
            </w:r>
          </w:p>
        </w:tc>
        <w:tc>
          <w:tcPr>
            <w:tcW w:w="106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90%以上</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90%以上</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9.00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 w:hAnsi="仿宋" w:eastAsia="仿宋" w:cs="仿宋"/>
                <w:kern w:val="0"/>
                <w:szCs w:val="21"/>
              </w:rPr>
            </w:pPr>
            <w:r>
              <w:rPr>
                <w:rFonts w:hint="eastAsia" w:ascii="仿宋" w:hAnsi="仿宋" w:eastAsia="仿宋" w:cs="仿宋"/>
                <w:kern w:val="0"/>
                <w:szCs w:val="21"/>
              </w:rPr>
              <w:t>满意度调查待更全面，将进一步全面开展满意度调查及分析。</w:t>
            </w:r>
          </w:p>
        </w:tc>
      </w:tr>
      <w:tr>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100</w:t>
            </w:r>
          </w:p>
        </w:tc>
        <w:tc>
          <w:tcPr>
            <w:tcW w:w="78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r>
              <w:rPr>
                <w:rFonts w:hint="eastAsia" w:ascii="仿宋" w:hAnsi="仿宋" w:eastAsia="仿宋" w:cs="仿宋"/>
                <w:kern w:val="0"/>
                <w:szCs w:val="21"/>
              </w:rPr>
              <w:t>93.00</w:t>
            </w:r>
          </w:p>
        </w:tc>
        <w:tc>
          <w:tcPr>
            <w:tcW w:w="131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 w:hAnsi="仿宋" w:eastAsia="仿宋" w:cs="仿宋"/>
                <w:kern w:val="0"/>
                <w:szCs w:val="21"/>
              </w:rPr>
            </w:pPr>
          </w:p>
        </w:tc>
      </w:tr>
    </w:tbl>
    <w:p>
      <w:pPr>
        <w:rPr>
          <w:rFonts w:ascii="仿宋_GB2312" w:eastAsia="仿宋_GB2312"/>
          <w:vanish/>
          <w:sz w:val="32"/>
          <w:szCs w:val="32"/>
        </w:rPr>
      </w:pPr>
    </w:p>
    <w:p>
      <w:pPr>
        <w:spacing w:line="520" w:lineRule="exact"/>
        <w:ind w:firstLine="420" w:firstLineChars="200"/>
      </w:pPr>
    </w:p>
    <w:p>
      <w:pPr>
        <w:pStyle w:val="2"/>
        <w:ind w:left="0" w:leftChars="0" w:firstLine="0" w:firstLineChars="0"/>
      </w:pPr>
    </w:p>
    <w:p>
      <w:pPr>
        <w:pStyle w:val="2"/>
      </w:pPr>
    </w:p>
    <w:p>
      <w:pPr>
        <w:rPr>
          <w:rFonts w:hint="eastAsia" w:ascii="黑体" w:eastAsia="黑体"/>
          <w:sz w:val="32"/>
          <w:szCs w:val="32"/>
        </w:rPr>
      </w:pPr>
      <w:r>
        <w:rPr>
          <w:rFonts w:hint="eastAsia" w:ascii="黑体" w:eastAsia="黑体"/>
          <w:sz w:val="28"/>
          <w:szCs w:val="28"/>
        </w:rPr>
        <w:t xml:space="preserve">   </w:t>
      </w:r>
    </w:p>
    <w:p/>
    <w:p>
      <w:bookmarkStart w:id="0" w:name="_GoBack"/>
      <w:bookmarkEnd w:id="0"/>
    </w:p>
    <w:sectPr>
      <w:pgSz w:w="11906" w:h="16838"/>
      <w:pgMar w:top="1134" w:right="1134" w:bottom="1134" w:left="1134" w:header="851" w:footer="680"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F9668"/>
    <w:multiLevelType w:val="singleLevel"/>
    <w:tmpl w:val="967F9668"/>
    <w:lvl w:ilvl="0" w:tentative="0">
      <w:start w:val="1"/>
      <w:numFmt w:val="decimal"/>
      <w:lvlText w:val="%1."/>
      <w:lvlJc w:val="left"/>
      <w:pPr>
        <w:tabs>
          <w:tab w:val="left" w:pos="312"/>
        </w:tabs>
      </w:pPr>
    </w:lvl>
  </w:abstractNum>
  <w:abstractNum w:abstractNumId="1">
    <w:nsid w:val="7853C0DB"/>
    <w:multiLevelType w:val="singleLevel"/>
    <w:tmpl w:val="7853C0DB"/>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MDA0ZjQ1NjFkZGUxZTIyZDlkYjUxYmQwZjAzYjcifQ=="/>
  </w:docVars>
  <w:rsids>
    <w:rsidRoot w:val="00000000"/>
    <w:rsid w:val="433137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character" w:customStyle="1" w:styleId="5">
    <w:name w:val="font11"/>
    <w:basedOn w:val="4"/>
    <w:qFormat/>
    <w:uiPriority w:val="0"/>
    <w:rPr>
      <w:rFonts w:hint="eastAsia" w:ascii="宋体" w:hAnsi="宋体" w:eastAsia="宋体" w:cs="宋体"/>
      <w:color w:val="000000"/>
      <w:sz w:val="18"/>
      <w:szCs w:val="18"/>
      <w:u w:val="none"/>
    </w:rPr>
  </w:style>
  <w:style w:type="paragraph" w:customStyle="1" w:styleId="6">
    <w:name w:val="Table Paragraph"/>
    <w:basedOn w:val="1"/>
    <w:qFormat/>
    <w:uiPriority w:val="1"/>
    <w:pPr>
      <w:jc w:val="left"/>
    </w:pPr>
    <w:rPr>
      <w:rFonts w:asciiTheme="minorHAnsi" w:hAnsiTheme="minorHAnsi" w:eastAsiaTheme="minorEastAsia" w:cstheme="minorBidi"/>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lvwei</dc:creator>
  <cp:lastModifiedBy>吕伟</cp:lastModifiedBy>
  <dcterms:modified xsi:type="dcterms:W3CDTF">2023-06-15T00:55:19Z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C5169583234449869D3CC0ADB0B238B4_12</vt:lpwstr>
  </property>
</Properties>
</file>