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北京市地震局</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北京市震灾风险防治中心</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地震灾害情景构建与应用能力提升</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绩效评价报告</w:t>
      </w:r>
    </w:p>
    <w:p>
      <w:pPr>
        <w:pStyle w:val="3"/>
        <w:pageBreakBefore w:val="0"/>
        <w:widowControl w:val="0"/>
        <w:kinsoku/>
        <w:wordWrap/>
        <w:overflowPunct/>
        <w:topLinePunct w:val="0"/>
        <w:autoSpaceDE/>
        <w:autoSpaceDN/>
        <w:bidi w:val="0"/>
        <w:adjustRightInd/>
        <w:snapToGrid/>
        <w:spacing w:line="560" w:lineRule="exact"/>
        <w:ind w:firstLine="643"/>
        <w:textAlignment w:val="auto"/>
        <w:rPr>
          <w:rFonts w:hint="eastAsia" w:ascii="Calibri" w:hAnsi="Calibri" w:cs="Times New Roman"/>
          <w:b/>
          <w:bCs/>
        </w:rPr>
      </w:pPr>
      <w:bookmarkStart w:id="0" w:name="_Toc6761"/>
      <w:r>
        <w:rPr>
          <w:rFonts w:hint="eastAsia" w:ascii="Calibri" w:hAnsi="Calibri" w:cs="Times New Roman"/>
          <w:b/>
          <w:bCs/>
        </w:rPr>
        <w:t>一、基本情况</w:t>
      </w:r>
      <w:bookmarkEnd w:id="0"/>
    </w:p>
    <w:p>
      <w:pPr>
        <w:pStyle w:val="4"/>
        <w:pageBreakBefore w:val="0"/>
        <w:widowControl w:val="0"/>
        <w:kinsoku/>
        <w:wordWrap/>
        <w:overflowPunct/>
        <w:topLinePunct w:val="0"/>
        <w:autoSpaceDE/>
        <w:autoSpaceDN/>
        <w:bidi w:val="0"/>
        <w:adjustRightInd/>
        <w:snapToGrid/>
        <w:spacing w:before="120" w:after="120" w:line="560" w:lineRule="exact"/>
        <w:ind w:firstLine="643"/>
        <w:textAlignment w:val="auto"/>
        <w:rPr>
          <w:rFonts w:hint="eastAsia" w:ascii="楷体" w:hAnsi="楷体" w:eastAsia="楷体" w:cs="楷体"/>
          <w:b/>
          <w:bCs/>
        </w:rPr>
      </w:pPr>
      <w:bookmarkStart w:id="1" w:name="_Toc23756"/>
      <w:r>
        <w:rPr>
          <w:rFonts w:hint="eastAsia" w:ascii="楷体" w:hAnsi="楷体" w:eastAsia="楷体" w:cs="楷体"/>
          <w:b/>
          <w:bCs/>
        </w:rPr>
        <w:t>（一）项目概况</w:t>
      </w:r>
      <w:bookmarkEnd w:id="1"/>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1.项目背景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北京是我国的首都，历史上发生过多次大型地震，震情形势严峻复杂，至今已有近300年没有发生过6级以上地震。随着人口和经济的集约化程度越来越高，城市和工程系统更加易损，地震次生灾害和衍生灾害风险不断增加，灾害风险防治形势更加严峻和艰难。这也带来一个非常紧迫的问题：如果北京再次发生特大地震要</w:t>
      </w:r>
      <w:r>
        <w:rPr>
          <w:rFonts w:hint="eastAsia" w:ascii="仿宋" w:hAnsi="仿宋" w:eastAsia="仿宋" w:cs="仿宋"/>
          <w:sz w:val="32"/>
          <w:szCs w:val="32"/>
          <w:lang w:val="en-US" w:eastAsia="zh-CN"/>
        </w:rPr>
        <w:t>怎么办</w:t>
      </w:r>
      <w:r>
        <w:rPr>
          <w:rFonts w:hint="eastAsia" w:ascii="仿宋" w:hAnsi="仿宋" w:eastAsia="仿宋" w:cs="仿宋"/>
          <w:sz w:val="32"/>
          <w:szCs w:val="32"/>
        </w:rPr>
        <w:t>？地震灾害情景构建给我们指明了一条有效防范化解地震灾害风险的途径。情景构建可以提升城市应对灾害的抵抗能力、快速恢复能力和适应能力，凝聚辖区内整体力量对各类重大突发事件进行有效预防、准备、响应和恢复，有助于“有准备”地应对极端小概率或“几乎从未出现过”的突发事件，从而提高政府处理复杂、交叉重大突发事件的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因此，在北京近年来活动断层探测、承灾体调查和场地影响分析等工作成果的基础上，构建一套集标准化数据处理与管理分析、流程化地震灾害评估和模拟业务支撑、自动化产出和规范化服务应用于一体的地震灾害情景构建体系，为公众和各单位机构提供地震灾害风险区划、地震灾害风险防治建议、地震应急响应处置决策意见等服务，对于震前御灾、震中救灾和震后重建具有重要意义。</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 w:eastAsia="仿宋_GB2312" w:cs="仿宋"/>
          <w:b/>
          <w:sz w:val="32"/>
          <w:szCs w:val="32"/>
        </w:rPr>
      </w:pPr>
      <w:r>
        <w:rPr>
          <w:rFonts w:hint="eastAsia" w:ascii="仿宋_GB2312" w:hAnsi="仿宋" w:eastAsia="仿宋_GB2312" w:cs="仿宋"/>
          <w:b/>
          <w:sz w:val="32"/>
          <w:szCs w:val="32"/>
        </w:rPr>
        <w:t>2.主要内容及实施情况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项目的主要内容</w:t>
      </w:r>
      <w:r>
        <w:rPr>
          <w:rFonts w:hint="eastAsia" w:ascii="仿宋" w:hAnsi="仿宋" w:eastAsia="仿宋" w:cs="仿宋"/>
          <w:sz w:val="32"/>
          <w:szCs w:val="32"/>
          <w:lang w:val="en-US" w:eastAsia="zh-CN"/>
        </w:rPr>
        <w:t>为</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（1）标准化数据处理与整合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从北京市实际情况出发，构建符合基本情况的地震灾害基础数据库，服务于地震灾害情景构建及成果产出等多端应用。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同时，实现标准化数据库的综合管理和独立对外服务功能，包括</w:t>
      </w:r>
      <w:r>
        <w:rPr>
          <w:rFonts w:hint="eastAsia" w:ascii="仿宋" w:hAnsi="仿宋" w:eastAsia="仿宋" w:cs="仿宋"/>
          <w:sz w:val="32"/>
          <w:szCs w:val="32"/>
          <w:lang w:eastAsia="zh-CN"/>
        </w:rPr>
        <w:t>：</w:t>
      </w:r>
      <w:r>
        <w:rPr>
          <w:rFonts w:hint="eastAsia" w:ascii="仿宋" w:hAnsi="仿宋" w:eastAsia="仿宋" w:cs="仿宋"/>
          <w:sz w:val="32"/>
          <w:szCs w:val="32"/>
        </w:rPr>
        <w:t>管理功能、状态监控、数据安全管理、元数据管理、数据字典管理、数据同步更新、用户管理等功能，通过统一调用接口，提供满足不同要求的数据服务。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整合全国灾害风险普查成果数据与北京市已有数据成果，实现分库、分版本多套应用方式，提高数据利用率及情景构建的准确性。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（2）多维度地震灾害情景构建与评估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以构建现代化北京市地震灾害情景为目标，基于北京地区已开展的活动断层探测、场地放大效应研究、承灾体风险调查等工作成果，通过收集整理城市的基础地理、人文经济、基础设施、建筑物等基础信息，再依据地震危险性分析研究成果，开展公里网格分级分类模拟、单体建筑物多自由度震害模拟、有限元精细模拟、分级指标体系建设，满足不同时间尺度、不同精度的业务需求，实现市、区、街道（乡镇）、社区（村）等不同区域单元的平均统计、群体和单体建筑物定量地震风险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通过情景要素分析对地震影响场范围内的灾害情景进行快速构建，对灾害影响范围、各类损失情况、灾害可能状态等进行快速模拟与估计。经过多次反复推演，定量估计地震灾害后果，构建城市地震灾害情景及应对模型，并针对城市建设提出城市地震应急准备及减灾对策建议，弥补或改进抗震救灾薄弱环节，从而达到有效控制和降低潜在地震灾害风险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（3）自动化震害模拟与结果产出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实现震害模拟计算结果的体系化运维和管理，可通过叠加不同的基础数据，完成震害结果的可视化表达和渲染，并且支持将相关统计结果、查询分析结果，进行一体化整合，丰富表达方式及内容。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在此基础上，通过对相关专题数据、制图要素、幅面和报告模板进行定制，在确定相关震害模拟结果专题图件及报告产出的工作流程后，可实现相关专题产品的自动化产出。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（4）规范化应急服务与应用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为了更好的融入“全灾种、大应急“体系，丰富对外服务内涵，提升开放合作水平，可根据专业、政府、公众的不同需求，通过APP、微信等多种渠道，向外提供规范化、精准化的地震灾害风险信息应用服务，推动构建权责清晰、管理有序、规范科学、多元共治的城市地震灾害风险防治责任体系, 为国土空间规划、城市韧性建设、应急救援准备、大震巨灾应对等提供决策信息及服务。</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rPr>
      </w:pPr>
      <w:bookmarkStart w:id="2" w:name="_Toc24507"/>
      <w:r>
        <w:rPr>
          <w:rFonts w:hint="eastAsia" w:ascii="仿宋" w:hAnsi="仿宋" w:eastAsia="仿宋" w:cs="仿宋"/>
          <w:b/>
          <w:bCs/>
          <w:sz w:val="32"/>
          <w:szCs w:val="32"/>
        </w:rPr>
        <w:t>3. 资金投入和使用情况</w:t>
      </w:r>
      <w:bookmarkEnd w:id="2"/>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（1）资金投入情况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项目总资金投入171.00万元，全部为北京市财政资金。其中</w:t>
      </w:r>
      <w:r>
        <w:rPr>
          <w:rFonts w:hint="eastAsia" w:ascii="仿宋" w:hAnsi="仿宋" w:eastAsia="仿宋" w:cs="仿宋"/>
          <w:sz w:val="32"/>
          <w:szCs w:val="32"/>
          <w:lang w:eastAsia="zh-CN"/>
        </w:rPr>
        <w:t>：</w:t>
      </w:r>
      <w:r>
        <w:rPr>
          <w:rFonts w:hint="eastAsia" w:ascii="仿宋" w:hAnsi="仿宋" w:eastAsia="仿宋" w:cs="仿宋"/>
          <w:sz w:val="32"/>
          <w:szCs w:val="32"/>
        </w:rPr>
        <w:t>委托业务费44.00万元,无形资产购置125.00万元，专家咨询评审费2.00万元。项目资金到位率100%，不存在未足额到位或到位不及时情况，保证了项目的顺利实施。</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（2）资金使用情况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rPr>
        <w:t>项目实际支出169.28万元，超支0万元，结余1.72万元</w:t>
      </w:r>
      <w:r>
        <w:rPr>
          <w:rFonts w:hint="eastAsia" w:ascii="仿宋" w:hAnsi="仿宋" w:eastAsia="仿宋" w:cs="仿宋"/>
          <w:sz w:val="32"/>
          <w:szCs w:val="32"/>
          <w:lang w:eastAsia="zh-CN"/>
        </w:rPr>
        <w:t>，</w:t>
      </w:r>
      <w:r>
        <w:rPr>
          <w:rFonts w:hint="eastAsia" w:ascii="仿宋" w:hAnsi="仿宋" w:eastAsia="仿宋" w:cs="仿宋"/>
          <w:sz w:val="32"/>
          <w:szCs w:val="32"/>
        </w:rPr>
        <w:t>项目预算执行率98.99%</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具体情况如下：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①首付款：2022年9月签订两个合同后，支付合同总价的50%，即人民币62.34万元和21.91万元。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②尾款：合同承担方完成安装调试和验收培训服务，经项目单位验收通过后，支付合同总价款的50%，即人民币62.34万元和21.91万元。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③咨询评审费：项目于2022年6月-12月完成专家咨询工作，支付费用0.78万元。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结余资金原因：</w:t>
      </w:r>
      <w:r>
        <w:rPr>
          <w:rFonts w:hint="eastAsia" w:ascii="仿宋" w:hAnsi="仿宋" w:eastAsia="仿宋" w:cs="仿宋"/>
          <w:sz w:val="32"/>
          <w:szCs w:val="32"/>
        </w:rPr>
        <w:t>结余款项大部分为受疫情影响无法支出的咨询评审费，具体预算执行情况见下表</w:t>
      </w:r>
      <w:r>
        <w:rPr>
          <w:rFonts w:hint="eastAsia" w:ascii="仿宋" w:hAnsi="仿宋" w:eastAsia="仿宋" w:cs="仿宋"/>
          <w:sz w:val="32"/>
          <w:szCs w:val="32"/>
          <w:lang w:eastAsia="zh-CN"/>
        </w:rPr>
        <w:t>：</w:t>
      </w:r>
    </w:p>
    <w:p>
      <w:pPr>
        <w:spacing w:line="560" w:lineRule="exact"/>
        <w:jc w:val="center"/>
        <w:rPr>
          <w:rFonts w:hint="eastAsia" w:ascii="仿宋" w:hAnsi="仿宋" w:eastAsia="仿宋" w:cs="仿宋"/>
          <w:b/>
          <w:bCs/>
          <w:sz w:val="28"/>
          <w:szCs w:val="28"/>
          <w:lang w:val="en-US" w:eastAsia="zh-CN"/>
        </w:rPr>
      </w:pPr>
      <w:r>
        <w:rPr>
          <w:rFonts w:hint="eastAsia" w:ascii="仿宋" w:hAnsi="仿宋" w:eastAsia="仿宋" w:cs="仿宋"/>
          <w:b/>
          <w:bCs/>
          <w:sz w:val="28"/>
          <w:szCs w:val="28"/>
        </w:rPr>
        <w:t>预算执行情况</w:t>
      </w:r>
      <w:r>
        <w:rPr>
          <w:rFonts w:hint="eastAsia" w:ascii="仿宋" w:hAnsi="仿宋" w:eastAsia="仿宋" w:cs="仿宋"/>
          <w:b/>
          <w:bCs/>
          <w:sz w:val="28"/>
          <w:szCs w:val="28"/>
          <w:lang w:val="en-US" w:eastAsia="zh-CN"/>
        </w:rPr>
        <w:t>表</w:t>
      </w:r>
    </w:p>
    <w:tbl>
      <w:tblPr>
        <w:tblStyle w:val="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
        <w:gridCol w:w="1966"/>
        <w:gridCol w:w="1910"/>
        <w:gridCol w:w="1997"/>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71" w:type="pct"/>
            <w:noWrap w:val="0"/>
            <w:vAlign w:val="center"/>
          </w:tcPr>
          <w:p>
            <w:pPr>
              <w:widowControl/>
              <w:adjustRightInd w:val="0"/>
              <w:snapToGrid w:val="0"/>
              <w:jc w:val="center"/>
              <w:rPr>
                <w:rFonts w:hint="eastAsia" w:ascii="仿宋" w:hAnsi="仿宋" w:eastAsia="仿宋" w:cs="仿宋"/>
                <w:b/>
                <w:bCs/>
                <w:kern w:val="0"/>
                <w:sz w:val="28"/>
                <w:szCs w:val="28"/>
              </w:rPr>
            </w:pPr>
            <w:r>
              <w:rPr>
                <w:rFonts w:hint="eastAsia" w:ascii="仿宋" w:hAnsi="仿宋" w:eastAsia="仿宋" w:cs="仿宋"/>
                <w:b/>
                <w:bCs/>
                <w:kern w:val="0"/>
                <w:sz w:val="28"/>
                <w:szCs w:val="28"/>
              </w:rPr>
              <w:t>序号</w:t>
            </w:r>
          </w:p>
        </w:tc>
        <w:tc>
          <w:tcPr>
            <w:tcW w:w="1154" w:type="pct"/>
            <w:noWrap w:val="0"/>
            <w:vAlign w:val="center"/>
          </w:tcPr>
          <w:p>
            <w:pPr>
              <w:adjustRightInd w:val="0"/>
              <w:snapToGrid w:val="0"/>
              <w:jc w:val="center"/>
              <w:rPr>
                <w:rFonts w:hint="eastAsia" w:ascii="仿宋" w:hAnsi="仿宋" w:eastAsia="仿宋" w:cs="仿宋"/>
                <w:b/>
                <w:bCs/>
                <w:kern w:val="0"/>
                <w:sz w:val="28"/>
                <w:szCs w:val="28"/>
              </w:rPr>
            </w:pPr>
            <w:r>
              <w:rPr>
                <w:rFonts w:hint="eastAsia" w:ascii="仿宋" w:hAnsi="仿宋" w:eastAsia="仿宋" w:cs="仿宋"/>
                <w:b/>
                <w:bCs/>
                <w:kern w:val="0"/>
                <w:sz w:val="28"/>
                <w:szCs w:val="28"/>
              </w:rPr>
              <w:t>明细项目</w:t>
            </w:r>
          </w:p>
        </w:tc>
        <w:tc>
          <w:tcPr>
            <w:tcW w:w="1121" w:type="pct"/>
            <w:noWrap w:val="0"/>
            <w:vAlign w:val="center"/>
          </w:tcPr>
          <w:p>
            <w:pPr>
              <w:adjustRightInd w:val="0"/>
              <w:snapToGrid w:val="0"/>
              <w:jc w:val="center"/>
              <w:rPr>
                <w:rFonts w:hint="eastAsia" w:ascii="仿宋" w:hAnsi="仿宋" w:eastAsia="仿宋" w:cs="仿宋"/>
                <w:b/>
                <w:bCs/>
                <w:kern w:val="0"/>
                <w:sz w:val="28"/>
                <w:szCs w:val="28"/>
              </w:rPr>
            </w:pPr>
            <w:r>
              <w:rPr>
                <w:rFonts w:hint="eastAsia" w:ascii="仿宋" w:hAnsi="仿宋" w:eastAsia="仿宋" w:cs="仿宋"/>
                <w:b/>
                <w:bCs/>
                <w:kern w:val="0"/>
                <w:sz w:val="28"/>
                <w:szCs w:val="28"/>
              </w:rPr>
              <w:t>预算金额</w:t>
            </w:r>
          </w:p>
          <w:p>
            <w:pPr>
              <w:adjustRightInd w:val="0"/>
              <w:snapToGrid w:val="0"/>
              <w:jc w:val="center"/>
              <w:rPr>
                <w:rFonts w:hint="eastAsia" w:ascii="仿宋" w:hAnsi="仿宋" w:eastAsia="仿宋" w:cs="仿宋"/>
                <w:b/>
                <w:bCs/>
                <w:kern w:val="0"/>
                <w:sz w:val="28"/>
                <w:szCs w:val="28"/>
              </w:rPr>
            </w:pPr>
            <w:r>
              <w:rPr>
                <w:rFonts w:hint="eastAsia" w:ascii="仿宋" w:hAnsi="仿宋" w:eastAsia="仿宋" w:cs="仿宋"/>
                <w:b/>
                <w:bCs/>
                <w:kern w:val="0"/>
                <w:sz w:val="28"/>
                <w:szCs w:val="28"/>
              </w:rPr>
              <w:t>（万元）</w:t>
            </w:r>
          </w:p>
        </w:tc>
        <w:tc>
          <w:tcPr>
            <w:tcW w:w="1172" w:type="pct"/>
            <w:noWrap w:val="0"/>
            <w:vAlign w:val="center"/>
          </w:tcPr>
          <w:p>
            <w:pPr>
              <w:adjustRightInd w:val="0"/>
              <w:snapToGrid w:val="0"/>
              <w:jc w:val="center"/>
              <w:rPr>
                <w:rFonts w:hint="eastAsia" w:ascii="仿宋" w:hAnsi="仿宋" w:eastAsia="仿宋" w:cs="仿宋"/>
                <w:b/>
                <w:bCs/>
                <w:kern w:val="0"/>
                <w:sz w:val="28"/>
                <w:szCs w:val="28"/>
              </w:rPr>
            </w:pPr>
            <w:r>
              <w:rPr>
                <w:rFonts w:hint="eastAsia" w:ascii="仿宋" w:hAnsi="仿宋" w:eastAsia="仿宋" w:cs="仿宋"/>
                <w:b/>
                <w:bCs/>
                <w:kern w:val="0"/>
                <w:sz w:val="28"/>
                <w:szCs w:val="28"/>
              </w:rPr>
              <w:t>实际支出金额</w:t>
            </w:r>
          </w:p>
          <w:p>
            <w:pPr>
              <w:adjustRightInd w:val="0"/>
              <w:snapToGrid w:val="0"/>
              <w:jc w:val="center"/>
              <w:rPr>
                <w:rFonts w:hint="eastAsia" w:ascii="仿宋" w:hAnsi="仿宋" w:eastAsia="仿宋" w:cs="仿宋"/>
                <w:b/>
                <w:bCs/>
                <w:kern w:val="0"/>
                <w:sz w:val="28"/>
                <w:szCs w:val="28"/>
              </w:rPr>
            </w:pPr>
            <w:r>
              <w:rPr>
                <w:rFonts w:hint="eastAsia" w:ascii="仿宋" w:hAnsi="仿宋" w:eastAsia="仿宋" w:cs="仿宋"/>
                <w:b/>
                <w:bCs/>
                <w:kern w:val="0"/>
                <w:sz w:val="28"/>
                <w:szCs w:val="28"/>
              </w:rPr>
              <w:t>（万元）</w:t>
            </w:r>
          </w:p>
        </w:tc>
        <w:tc>
          <w:tcPr>
            <w:tcW w:w="980" w:type="pct"/>
            <w:noWrap w:val="0"/>
            <w:vAlign w:val="center"/>
          </w:tcPr>
          <w:p>
            <w:pPr>
              <w:adjustRightInd w:val="0"/>
              <w:snapToGrid w:val="0"/>
              <w:jc w:val="center"/>
              <w:rPr>
                <w:rFonts w:hint="eastAsia" w:ascii="仿宋" w:hAnsi="仿宋" w:eastAsia="仿宋" w:cs="仿宋"/>
                <w:b/>
                <w:bCs/>
                <w:kern w:val="0"/>
                <w:sz w:val="28"/>
                <w:szCs w:val="28"/>
              </w:rPr>
            </w:pPr>
            <w:r>
              <w:rPr>
                <w:rFonts w:hint="eastAsia" w:ascii="仿宋" w:hAnsi="仿宋" w:eastAsia="仿宋" w:cs="仿宋"/>
                <w:b/>
                <w:bCs/>
                <w:kern w:val="0"/>
                <w:sz w:val="28"/>
                <w:szCs w:val="28"/>
              </w:rPr>
              <w:t>结余金额</w:t>
            </w:r>
          </w:p>
          <w:p>
            <w:pPr>
              <w:adjustRightInd w:val="0"/>
              <w:snapToGrid w:val="0"/>
              <w:jc w:val="center"/>
              <w:rPr>
                <w:rFonts w:hint="eastAsia" w:ascii="仿宋" w:hAnsi="仿宋" w:eastAsia="仿宋" w:cs="仿宋"/>
                <w:b/>
                <w:bCs/>
                <w:kern w:val="0"/>
                <w:sz w:val="28"/>
                <w:szCs w:val="28"/>
              </w:rPr>
            </w:pPr>
            <w:r>
              <w:rPr>
                <w:rFonts w:hint="eastAsia" w:ascii="仿宋" w:hAnsi="仿宋" w:eastAsia="仿宋" w:cs="仿宋"/>
                <w:b/>
                <w:bCs/>
                <w:kern w:val="0"/>
                <w:sz w:val="28"/>
                <w:szCs w:val="2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71" w:type="pct"/>
            <w:noWrap w:val="0"/>
            <w:vAlign w:val="center"/>
          </w:tcPr>
          <w:p>
            <w:pPr>
              <w:adjustRightInd w:val="0"/>
              <w:snapToGrid w:val="0"/>
              <w:jc w:val="center"/>
              <w:rPr>
                <w:rFonts w:hint="eastAsia" w:ascii="仿宋" w:hAnsi="仿宋" w:eastAsia="仿宋" w:cs="仿宋"/>
                <w:kern w:val="0"/>
                <w:sz w:val="28"/>
                <w:szCs w:val="28"/>
              </w:rPr>
            </w:pPr>
            <w:r>
              <w:rPr>
                <w:rFonts w:hint="eastAsia" w:ascii="仿宋" w:hAnsi="仿宋" w:eastAsia="仿宋" w:cs="仿宋"/>
                <w:kern w:val="0"/>
                <w:sz w:val="28"/>
                <w:szCs w:val="28"/>
              </w:rPr>
              <w:t>1</w:t>
            </w:r>
          </w:p>
        </w:tc>
        <w:tc>
          <w:tcPr>
            <w:tcW w:w="1154" w:type="pct"/>
            <w:noWrap w:val="0"/>
            <w:vAlign w:val="center"/>
          </w:tcPr>
          <w:p>
            <w:pPr>
              <w:adjustRightInd w:val="0"/>
              <w:snapToGrid w:val="0"/>
              <w:jc w:val="center"/>
              <w:rPr>
                <w:rFonts w:hint="eastAsia" w:ascii="仿宋" w:hAnsi="仿宋" w:eastAsia="仿宋" w:cs="仿宋"/>
                <w:kern w:val="0"/>
                <w:sz w:val="28"/>
                <w:szCs w:val="28"/>
              </w:rPr>
            </w:pPr>
            <w:r>
              <w:rPr>
                <w:rFonts w:hint="eastAsia" w:ascii="仿宋" w:hAnsi="仿宋" w:eastAsia="仿宋" w:cs="仿宋"/>
                <w:kern w:val="0"/>
                <w:sz w:val="28"/>
                <w:szCs w:val="28"/>
              </w:rPr>
              <w:t>委托业务费</w:t>
            </w:r>
          </w:p>
        </w:tc>
        <w:tc>
          <w:tcPr>
            <w:tcW w:w="1121" w:type="pct"/>
            <w:noWrap w:val="0"/>
            <w:vAlign w:val="center"/>
          </w:tcPr>
          <w:p>
            <w:pPr>
              <w:adjustRightInd w:val="0"/>
              <w:snapToGrid w:val="0"/>
              <w:jc w:val="center"/>
              <w:rPr>
                <w:rFonts w:hint="eastAsia" w:ascii="仿宋" w:hAnsi="仿宋" w:eastAsia="仿宋" w:cs="仿宋"/>
                <w:kern w:val="0"/>
                <w:sz w:val="28"/>
                <w:szCs w:val="28"/>
              </w:rPr>
            </w:pPr>
            <w:r>
              <w:rPr>
                <w:rFonts w:hint="eastAsia" w:ascii="仿宋" w:hAnsi="仿宋" w:eastAsia="仿宋" w:cs="仿宋"/>
                <w:kern w:val="0"/>
                <w:sz w:val="28"/>
                <w:szCs w:val="28"/>
              </w:rPr>
              <w:t>44.00</w:t>
            </w:r>
          </w:p>
        </w:tc>
        <w:tc>
          <w:tcPr>
            <w:tcW w:w="1172" w:type="pct"/>
            <w:noWrap w:val="0"/>
            <w:vAlign w:val="center"/>
          </w:tcPr>
          <w:p>
            <w:pPr>
              <w:adjustRightInd w:val="0"/>
              <w:snapToGrid w:val="0"/>
              <w:jc w:val="center"/>
              <w:rPr>
                <w:rFonts w:hint="eastAsia" w:ascii="仿宋" w:hAnsi="仿宋" w:eastAsia="仿宋" w:cs="仿宋"/>
                <w:kern w:val="0"/>
                <w:sz w:val="28"/>
                <w:szCs w:val="28"/>
              </w:rPr>
            </w:pPr>
            <w:r>
              <w:rPr>
                <w:rFonts w:hint="eastAsia" w:ascii="仿宋" w:hAnsi="仿宋" w:eastAsia="仿宋" w:cs="仿宋"/>
                <w:kern w:val="0"/>
                <w:sz w:val="28"/>
                <w:szCs w:val="28"/>
              </w:rPr>
              <w:t>43.82</w:t>
            </w:r>
          </w:p>
        </w:tc>
        <w:tc>
          <w:tcPr>
            <w:tcW w:w="980" w:type="pct"/>
            <w:noWrap w:val="0"/>
            <w:vAlign w:val="center"/>
          </w:tcPr>
          <w:p>
            <w:pPr>
              <w:adjustRightInd w:val="0"/>
              <w:snapToGrid w:val="0"/>
              <w:jc w:val="center"/>
              <w:rPr>
                <w:rFonts w:hint="eastAsia" w:ascii="仿宋" w:hAnsi="仿宋" w:eastAsia="仿宋" w:cs="仿宋"/>
                <w:kern w:val="0"/>
                <w:sz w:val="28"/>
                <w:szCs w:val="28"/>
              </w:rPr>
            </w:pPr>
            <w:r>
              <w:rPr>
                <w:rFonts w:hint="eastAsia" w:ascii="仿宋" w:hAnsi="仿宋" w:eastAsia="仿宋" w:cs="仿宋"/>
                <w:kern w:val="0"/>
                <w:sz w:val="28"/>
                <w:szCs w:val="28"/>
              </w:rPr>
              <w:t>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71" w:type="pct"/>
            <w:noWrap w:val="0"/>
            <w:vAlign w:val="center"/>
          </w:tcPr>
          <w:p>
            <w:pPr>
              <w:adjustRightInd w:val="0"/>
              <w:snapToGrid w:val="0"/>
              <w:jc w:val="center"/>
              <w:rPr>
                <w:rFonts w:hint="eastAsia" w:ascii="仿宋" w:hAnsi="仿宋" w:eastAsia="仿宋" w:cs="仿宋"/>
                <w:kern w:val="0"/>
                <w:sz w:val="28"/>
                <w:szCs w:val="28"/>
              </w:rPr>
            </w:pPr>
            <w:r>
              <w:rPr>
                <w:rFonts w:hint="eastAsia" w:ascii="仿宋" w:hAnsi="仿宋" w:eastAsia="仿宋" w:cs="仿宋"/>
                <w:kern w:val="0"/>
                <w:sz w:val="28"/>
                <w:szCs w:val="28"/>
              </w:rPr>
              <w:t>2</w:t>
            </w:r>
          </w:p>
        </w:tc>
        <w:tc>
          <w:tcPr>
            <w:tcW w:w="1154" w:type="pct"/>
            <w:noWrap w:val="0"/>
            <w:vAlign w:val="center"/>
          </w:tcPr>
          <w:p>
            <w:pPr>
              <w:adjustRightInd w:val="0"/>
              <w:snapToGrid w:val="0"/>
              <w:jc w:val="center"/>
              <w:rPr>
                <w:rFonts w:hint="eastAsia" w:ascii="仿宋" w:hAnsi="仿宋" w:eastAsia="仿宋" w:cs="仿宋"/>
                <w:kern w:val="0"/>
                <w:sz w:val="28"/>
                <w:szCs w:val="28"/>
              </w:rPr>
            </w:pPr>
            <w:r>
              <w:rPr>
                <w:rFonts w:hint="eastAsia" w:ascii="仿宋" w:hAnsi="仿宋" w:eastAsia="仿宋" w:cs="仿宋"/>
                <w:kern w:val="0"/>
                <w:sz w:val="28"/>
                <w:szCs w:val="28"/>
              </w:rPr>
              <w:t>无形资产购置</w:t>
            </w:r>
          </w:p>
        </w:tc>
        <w:tc>
          <w:tcPr>
            <w:tcW w:w="1121" w:type="pct"/>
            <w:noWrap w:val="0"/>
            <w:vAlign w:val="center"/>
          </w:tcPr>
          <w:p>
            <w:pPr>
              <w:adjustRightInd w:val="0"/>
              <w:snapToGrid w:val="0"/>
              <w:jc w:val="center"/>
              <w:rPr>
                <w:rFonts w:hint="eastAsia" w:ascii="仿宋" w:hAnsi="仿宋" w:eastAsia="仿宋" w:cs="仿宋"/>
                <w:kern w:val="0"/>
                <w:sz w:val="28"/>
                <w:szCs w:val="28"/>
              </w:rPr>
            </w:pPr>
            <w:r>
              <w:rPr>
                <w:rFonts w:hint="eastAsia" w:ascii="仿宋" w:hAnsi="仿宋" w:eastAsia="仿宋" w:cs="仿宋"/>
                <w:kern w:val="0"/>
                <w:sz w:val="28"/>
                <w:szCs w:val="28"/>
              </w:rPr>
              <w:t>125.00</w:t>
            </w:r>
          </w:p>
        </w:tc>
        <w:tc>
          <w:tcPr>
            <w:tcW w:w="1172" w:type="pct"/>
            <w:noWrap w:val="0"/>
            <w:vAlign w:val="center"/>
          </w:tcPr>
          <w:p>
            <w:pPr>
              <w:adjustRightInd w:val="0"/>
              <w:snapToGrid w:val="0"/>
              <w:jc w:val="center"/>
              <w:rPr>
                <w:rFonts w:hint="eastAsia" w:ascii="仿宋" w:hAnsi="仿宋" w:eastAsia="仿宋" w:cs="仿宋"/>
                <w:kern w:val="0"/>
                <w:sz w:val="28"/>
                <w:szCs w:val="28"/>
              </w:rPr>
            </w:pPr>
            <w:r>
              <w:rPr>
                <w:rFonts w:hint="eastAsia" w:ascii="仿宋" w:hAnsi="仿宋" w:eastAsia="仿宋" w:cs="仿宋"/>
                <w:kern w:val="0"/>
                <w:sz w:val="28"/>
                <w:szCs w:val="28"/>
              </w:rPr>
              <w:t>124.68</w:t>
            </w:r>
          </w:p>
        </w:tc>
        <w:tc>
          <w:tcPr>
            <w:tcW w:w="980" w:type="pct"/>
            <w:noWrap w:val="0"/>
            <w:vAlign w:val="center"/>
          </w:tcPr>
          <w:p>
            <w:pPr>
              <w:adjustRightInd w:val="0"/>
              <w:snapToGrid w:val="0"/>
              <w:jc w:val="center"/>
              <w:rPr>
                <w:rFonts w:hint="eastAsia" w:ascii="仿宋" w:hAnsi="仿宋" w:eastAsia="仿宋" w:cs="仿宋"/>
                <w:kern w:val="0"/>
                <w:sz w:val="28"/>
                <w:szCs w:val="28"/>
              </w:rPr>
            </w:pPr>
            <w:r>
              <w:rPr>
                <w:rFonts w:hint="eastAsia" w:ascii="仿宋" w:hAnsi="仿宋" w:eastAsia="仿宋" w:cs="仿宋"/>
                <w:kern w:val="0"/>
                <w:sz w:val="28"/>
                <w:szCs w:val="28"/>
              </w:rPr>
              <w:t>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71" w:type="pct"/>
            <w:noWrap w:val="0"/>
            <w:vAlign w:val="center"/>
          </w:tcPr>
          <w:p>
            <w:pPr>
              <w:adjustRightInd w:val="0"/>
              <w:snapToGrid w:val="0"/>
              <w:jc w:val="center"/>
              <w:rPr>
                <w:rFonts w:hint="eastAsia" w:ascii="仿宋" w:hAnsi="仿宋" w:eastAsia="仿宋" w:cs="仿宋"/>
                <w:kern w:val="0"/>
                <w:sz w:val="28"/>
                <w:szCs w:val="28"/>
              </w:rPr>
            </w:pPr>
            <w:r>
              <w:rPr>
                <w:rFonts w:hint="eastAsia" w:ascii="仿宋" w:hAnsi="仿宋" w:eastAsia="仿宋" w:cs="仿宋"/>
                <w:kern w:val="0"/>
                <w:sz w:val="28"/>
                <w:szCs w:val="28"/>
              </w:rPr>
              <w:t>3</w:t>
            </w:r>
          </w:p>
        </w:tc>
        <w:tc>
          <w:tcPr>
            <w:tcW w:w="1154" w:type="pct"/>
            <w:noWrap w:val="0"/>
            <w:vAlign w:val="center"/>
          </w:tcPr>
          <w:p>
            <w:pPr>
              <w:adjustRightInd w:val="0"/>
              <w:snapToGrid w:val="0"/>
              <w:jc w:val="center"/>
              <w:rPr>
                <w:rFonts w:hint="eastAsia" w:ascii="仿宋" w:hAnsi="仿宋" w:eastAsia="仿宋" w:cs="仿宋"/>
                <w:kern w:val="0"/>
                <w:sz w:val="28"/>
                <w:szCs w:val="28"/>
              </w:rPr>
            </w:pPr>
            <w:r>
              <w:rPr>
                <w:rFonts w:hint="eastAsia" w:ascii="仿宋" w:hAnsi="仿宋" w:eastAsia="仿宋" w:cs="仿宋"/>
                <w:kern w:val="0"/>
                <w:sz w:val="28"/>
                <w:szCs w:val="28"/>
              </w:rPr>
              <w:t>咨询评审费</w:t>
            </w:r>
          </w:p>
        </w:tc>
        <w:tc>
          <w:tcPr>
            <w:tcW w:w="1121" w:type="pct"/>
            <w:noWrap w:val="0"/>
            <w:vAlign w:val="center"/>
          </w:tcPr>
          <w:p>
            <w:pPr>
              <w:adjustRightInd w:val="0"/>
              <w:snapToGrid w:val="0"/>
              <w:jc w:val="center"/>
              <w:rPr>
                <w:rFonts w:hint="eastAsia" w:ascii="仿宋" w:hAnsi="仿宋" w:eastAsia="仿宋" w:cs="仿宋"/>
                <w:kern w:val="0"/>
                <w:sz w:val="28"/>
                <w:szCs w:val="28"/>
              </w:rPr>
            </w:pPr>
            <w:r>
              <w:rPr>
                <w:rFonts w:hint="eastAsia" w:ascii="仿宋" w:hAnsi="仿宋" w:eastAsia="仿宋" w:cs="仿宋"/>
                <w:kern w:val="0"/>
                <w:sz w:val="28"/>
                <w:szCs w:val="28"/>
              </w:rPr>
              <w:t>2.00</w:t>
            </w:r>
          </w:p>
        </w:tc>
        <w:tc>
          <w:tcPr>
            <w:tcW w:w="1172" w:type="pct"/>
            <w:noWrap w:val="0"/>
            <w:vAlign w:val="center"/>
          </w:tcPr>
          <w:p>
            <w:pPr>
              <w:adjustRightInd w:val="0"/>
              <w:snapToGrid w:val="0"/>
              <w:jc w:val="center"/>
              <w:rPr>
                <w:rFonts w:hint="eastAsia" w:ascii="仿宋" w:hAnsi="仿宋" w:eastAsia="仿宋" w:cs="仿宋"/>
                <w:kern w:val="0"/>
                <w:sz w:val="28"/>
                <w:szCs w:val="28"/>
              </w:rPr>
            </w:pPr>
            <w:r>
              <w:rPr>
                <w:rFonts w:hint="eastAsia" w:ascii="仿宋" w:hAnsi="仿宋" w:eastAsia="仿宋" w:cs="仿宋"/>
                <w:kern w:val="0"/>
                <w:sz w:val="28"/>
                <w:szCs w:val="28"/>
              </w:rPr>
              <w:t>0.78</w:t>
            </w:r>
          </w:p>
        </w:tc>
        <w:tc>
          <w:tcPr>
            <w:tcW w:w="980" w:type="pct"/>
            <w:noWrap w:val="0"/>
            <w:vAlign w:val="center"/>
          </w:tcPr>
          <w:p>
            <w:pPr>
              <w:adjustRightInd w:val="0"/>
              <w:snapToGrid w:val="0"/>
              <w:jc w:val="center"/>
              <w:rPr>
                <w:rFonts w:hint="eastAsia" w:ascii="仿宋" w:hAnsi="仿宋" w:eastAsia="仿宋" w:cs="仿宋"/>
                <w:kern w:val="0"/>
                <w:sz w:val="28"/>
                <w:szCs w:val="28"/>
              </w:rPr>
            </w:pPr>
            <w:r>
              <w:rPr>
                <w:rFonts w:hint="eastAsia" w:ascii="仿宋" w:hAnsi="仿宋" w:eastAsia="仿宋" w:cs="仿宋"/>
                <w:kern w:val="0"/>
                <w:sz w:val="28"/>
                <w:szCs w:val="28"/>
              </w:rPr>
              <w:t>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25" w:type="pct"/>
            <w:gridSpan w:val="2"/>
            <w:noWrap w:val="0"/>
            <w:vAlign w:val="center"/>
          </w:tcPr>
          <w:p>
            <w:pPr>
              <w:adjustRightInd w:val="0"/>
              <w:snapToGrid w:val="0"/>
              <w:jc w:val="center"/>
              <w:rPr>
                <w:rFonts w:hint="eastAsia" w:ascii="仿宋" w:hAnsi="仿宋" w:eastAsia="仿宋" w:cs="仿宋"/>
                <w:b/>
                <w:bCs/>
                <w:kern w:val="0"/>
                <w:sz w:val="28"/>
                <w:szCs w:val="28"/>
              </w:rPr>
            </w:pPr>
            <w:r>
              <w:rPr>
                <w:rFonts w:hint="eastAsia" w:ascii="仿宋" w:hAnsi="仿宋" w:eastAsia="仿宋" w:cs="仿宋"/>
                <w:b/>
                <w:bCs/>
                <w:kern w:val="0"/>
                <w:sz w:val="28"/>
                <w:szCs w:val="28"/>
              </w:rPr>
              <w:t>合计</w:t>
            </w:r>
          </w:p>
        </w:tc>
        <w:tc>
          <w:tcPr>
            <w:tcW w:w="1121" w:type="pct"/>
            <w:noWrap w:val="0"/>
            <w:vAlign w:val="center"/>
          </w:tcPr>
          <w:p>
            <w:pPr>
              <w:adjustRightInd w:val="0"/>
              <w:snapToGrid w:val="0"/>
              <w:jc w:val="center"/>
              <w:rPr>
                <w:rFonts w:hint="eastAsia" w:ascii="仿宋" w:hAnsi="仿宋" w:eastAsia="仿宋" w:cs="仿宋"/>
                <w:b/>
                <w:bCs/>
                <w:kern w:val="0"/>
                <w:sz w:val="28"/>
                <w:szCs w:val="28"/>
              </w:rPr>
            </w:pPr>
            <w:r>
              <w:rPr>
                <w:rFonts w:hint="eastAsia" w:ascii="仿宋" w:hAnsi="仿宋" w:eastAsia="仿宋" w:cs="仿宋"/>
                <w:b/>
                <w:bCs/>
                <w:kern w:val="0"/>
                <w:sz w:val="28"/>
                <w:szCs w:val="28"/>
              </w:rPr>
              <w:t>171.00</w:t>
            </w:r>
          </w:p>
        </w:tc>
        <w:tc>
          <w:tcPr>
            <w:tcW w:w="1172" w:type="pct"/>
            <w:noWrap w:val="0"/>
            <w:vAlign w:val="center"/>
          </w:tcPr>
          <w:p>
            <w:pPr>
              <w:adjustRightInd w:val="0"/>
              <w:snapToGrid w:val="0"/>
              <w:jc w:val="center"/>
              <w:rPr>
                <w:rFonts w:hint="eastAsia" w:ascii="仿宋" w:hAnsi="仿宋" w:eastAsia="仿宋" w:cs="仿宋"/>
                <w:b/>
                <w:bCs/>
                <w:kern w:val="0"/>
                <w:sz w:val="28"/>
                <w:szCs w:val="28"/>
              </w:rPr>
            </w:pPr>
            <w:r>
              <w:rPr>
                <w:rFonts w:hint="eastAsia" w:ascii="仿宋" w:hAnsi="仿宋" w:eastAsia="仿宋" w:cs="仿宋"/>
                <w:b/>
                <w:bCs/>
                <w:kern w:val="0"/>
                <w:sz w:val="28"/>
                <w:szCs w:val="28"/>
              </w:rPr>
              <w:t>169.28</w:t>
            </w:r>
          </w:p>
        </w:tc>
        <w:tc>
          <w:tcPr>
            <w:tcW w:w="980" w:type="pct"/>
            <w:noWrap w:val="0"/>
            <w:vAlign w:val="center"/>
          </w:tcPr>
          <w:p>
            <w:pPr>
              <w:adjustRightInd w:val="0"/>
              <w:snapToGrid w:val="0"/>
              <w:jc w:val="center"/>
              <w:rPr>
                <w:rFonts w:hint="eastAsia" w:ascii="仿宋" w:hAnsi="仿宋" w:eastAsia="仿宋" w:cs="仿宋"/>
                <w:b/>
                <w:bCs/>
                <w:kern w:val="0"/>
                <w:sz w:val="28"/>
                <w:szCs w:val="28"/>
              </w:rPr>
            </w:pPr>
            <w:r>
              <w:rPr>
                <w:rFonts w:hint="eastAsia" w:ascii="仿宋" w:hAnsi="仿宋" w:eastAsia="仿宋" w:cs="仿宋"/>
                <w:b/>
                <w:bCs/>
                <w:kern w:val="0"/>
                <w:sz w:val="28"/>
                <w:szCs w:val="28"/>
              </w:rPr>
              <w:t>1.72</w:t>
            </w:r>
          </w:p>
        </w:tc>
      </w:tr>
    </w:tbl>
    <w:p>
      <w:pPr>
        <w:pStyle w:val="4"/>
        <w:pageBreakBefore w:val="0"/>
        <w:widowControl w:val="0"/>
        <w:kinsoku/>
        <w:wordWrap/>
        <w:overflowPunct/>
        <w:topLinePunct w:val="0"/>
        <w:autoSpaceDE/>
        <w:autoSpaceDN/>
        <w:bidi w:val="0"/>
        <w:adjustRightInd/>
        <w:snapToGrid/>
        <w:spacing w:before="120" w:after="120" w:line="560" w:lineRule="exact"/>
        <w:ind w:firstLine="643"/>
        <w:textAlignment w:val="auto"/>
        <w:rPr>
          <w:rFonts w:hint="eastAsia" w:ascii="楷体" w:hAnsi="楷体" w:eastAsia="楷体" w:cs="楷体"/>
          <w:b/>
          <w:bCs/>
          <w:lang w:val="en-US" w:eastAsia="zh-CN"/>
        </w:rPr>
      </w:pPr>
      <w:bookmarkStart w:id="3" w:name="_Toc556"/>
      <w:r>
        <w:rPr>
          <w:rFonts w:hint="eastAsia" w:ascii="楷体" w:hAnsi="楷体" w:eastAsia="楷体" w:cs="楷体"/>
          <w:b/>
          <w:bCs/>
          <w:lang w:val="en-US" w:eastAsia="zh-CN"/>
        </w:rPr>
        <w:t>（二）项目绩效目标</w:t>
      </w:r>
      <w:bookmarkEnd w:id="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在北京近年来活动断层探测、承灾体调查和场地影响分析等工作成果的基础上，构建了一套集标准化数据处理与管理分析、流程化地震灾害评估和模拟业务支撑、自动化产出和规范化服务应用于一体的地震灾害情景构建体系，为公众和各单位机构提供地震灾害风险区划、地震灾害风险防治建议、地震应急响应处置决策意见等服务，提升地震灾害情景构建的应用能力。</w:t>
      </w:r>
      <w:bookmarkStart w:id="4" w:name="_Hlk103337007"/>
    </w:p>
    <w:p>
      <w:pPr>
        <w:pStyle w:val="3"/>
        <w:pageBreakBefore w:val="0"/>
        <w:widowControl w:val="0"/>
        <w:kinsoku/>
        <w:wordWrap/>
        <w:overflowPunct/>
        <w:topLinePunct w:val="0"/>
        <w:autoSpaceDE/>
        <w:autoSpaceDN/>
        <w:bidi w:val="0"/>
        <w:adjustRightInd/>
        <w:snapToGrid/>
        <w:spacing w:line="560" w:lineRule="exact"/>
        <w:ind w:firstLine="643"/>
        <w:textAlignment w:val="auto"/>
        <w:rPr>
          <w:rFonts w:hint="eastAsia" w:ascii="Calibri" w:hAnsi="Calibri" w:cs="Times New Roman"/>
          <w:b/>
          <w:bCs/>
        </w:rPr>
      </w:pPr>
      <w:bookmarkStart w:id="5" w:name="_Toc4122"/>
      <w:bookmarkStart w:id="6" w:name="_Toc16419"/>
      <w:bookmarkStart w:id="7" w:name="_Toc103333169"/>
      <w:bookmarkStart w:id="8" w:name="_Toc135086613"/>
      <w:bookmarkStart w:id="9" w:name="_Toc135081890"/>
      <w:bookmarkStart w:id="10" w:name="_Toc103333170"/>
      <w:r>
        <w:rPr>
          <w:rFonts w:hint="eastAsia" w:ascii="Calibri" w:hAnsi="Calibri" w:cs="Times New Roman"/>
          <w:b/>
          <w:bCs/>
        </w:rPr>
        <w:t>二、绩效评价工作开展情况</w:t>
      </w:r>
      <w:bookmarkEnd w:id="5"/>
      <w:bookmarkEnd w:id="6"/>
      <w:bookmarkEnd w:id="7"/>
      <w:bookmarkEnd w:id="8"/>
      <w:bookmarkEnd w:id="9"/>
    </w:p>
    <w:p>
      <w:pPr>
        <w:pStyle w:val="4"/>
        <w:pageBreakBefore w:val="0"/>
        <w:widowControl w:val="0"/>
        <w:kinsoku/>
        <w:wordWrap/>
        <w:overflowPunct/>
        <w:topLinePunct w:val="0"/>
        <w:autoSpaceDE/>
        <w:autoSpaceDN/>
        <w:bidi w:val="0"/>
        <w:adjustRightInd/>
        <w:snapToGrid/>
        <w:spacing w:before="120" w:after="120" w:line="560" w:lineRule="exact"/>
        <w:ind w:firstLine="643"/>
        <w:textAlignment w:val="auto"/>
        <w:rPr>
          <w:rFonts w:hint="eastAsia" w:ascii="楷体" w:hAnsi="楷体" w:eastAsia="楷体" w:cs="楷体"/>
          <w:b/>
          <w:bCs/>
          <w:lang w:val="en-US" w:eastAsia="zh-CN"/>
        </w:rPr>
      </w:pPr>
      <w:bookmarkStart w:id="11" w:name="_Toc135081891"/>
      <w:bookmarkStart w:id="12" w:name="_Toc15090"/>
      <w:bookmarkStart w:id="13" w:name="_Toc135086614"/>
      <w:bookmarkStart w:id="14" w:name="_Toc24816"/>
      <w:r>
        <w:rPr>
          <w:rFonts w:hint="eastAsia" w:ascii="楷体" w:hAnsi="楷体" w:eastAsia="楷体" w:cs="楷体"/>
          <w:b/>
          <w:bCs/>
          <w:lang w:val="en-US" w:eastAsia="zh-CN"/>
        </w:rPr>
        <w:t>（一）绩效评价目的、对象和范围</w:t>
      </w:r>
      <w:bookmarkEnd w:id="11"/>
      <w:bookmarkEnd w:id="12"/>
      <w:bookmarkEnd w:id="13"/>
      <w:bookmarkEnd w:id="14"/>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ab/>
      </w:r>
      <w:r>
        <w:rPr>
          <w:rFonts w:hint="eastAsia" w:ascii="仿宋" w:hAnsi="仿宋" w:eastAsia="仿宋" w:cs="仿宋"/>
          <w:b/>
          <w:bCs/>
          <w:sz w:val="32"/>
          <w:szCs w:val="32"/>
        </w:rPr>
        <w:t>1.绩效评价目的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（1）完成“地震灾害情景构建与应用能力提升”项目的绩效评价工作。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（2）规范财政资金的使用管理，提高财政资金的使用效益和效率。通过绩效评价促进项目单位树立绩效理念，加强项目论证和提高管理水平，保障和促进事业的发展。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（3）完善项目管理模式。通过绩效评价对项目管理模式在执行过程中存在的不足提出合理化建议，完善项目管理模式。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（4）为后续该项目的预算申报和实施提供借鉴。</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2.绩效评价对象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绩效评价对象为“地震灾害情景构建与应用能力提升”项目。评价内容：从项目决策、过程管理、项目产出和效益四个方面评价项目绩效目标的设定情况、资金的投入使用情况、组织管理情况、绩效目标的实现程度及效果等。</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3.绩效评价范围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绩效评价的范围主要包括以下几个方面：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（1）决策情况；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（2）资金投入管理和使用情况；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（3）相关管理制度办法的健全性及执行情况；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（4）实现的产出情况；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（5）取得的效益情况；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（6）其他相关内容。</w:t>
      </w:r>
    </w:p>
    <w:p>
      <w:pPr>
        <w:pStyle w:val="4"/>
        <w:pageBreakBefore w:val="0"/>
        <w:widowControl w:val="0"/>
        <w:kinsoku/>
        <w:wordWrap/>
        <w:overflowPunct/>
        <w:topLinePunct w:val="0"/>
        <w:autoSpaceDE/>
        <w:autoSpaceDN/>
        <w:bidi w:val="0"/>
        <w:adjustRightInd/>
        <w:snapToGrid/>
        <w:spacing w:before="120" w:after="120" w:line="560" w:lineRule="exact"/>
        <w:ind w:firstLine="643"/>
        <w:textAlignment w:val="auto"/>
        <w:rPr>
          <w:rFonts w:hint="eastAsia" w:ascii="楷体" w:hAnsi="楷体" w:eastAsia="楷体" w:cs="楷体"/>
          <w:b/>
          <w:bCs/>
          <w:lang w:val="en-US" w:eastAsia="zh-CN"/>
        </w:rPr>
      </w:pPr>
      <w:bookmarkStart w:id="15" w:name="_Toc6568"/>
      <w:bookmarkStart w:id="16" w:name="_Toc135081892"/>
      <w:bookmarkStart w:id="17" w:name="_Toc135086615"/>
      <w:bookmarkStart w:id="18" w:name="_Toc32672"/>
      <w:r>
        <w:rPr>
          <w:rFonts w:hint="eastAsia" w:ascii="楷体" w:hAnsi="楷体" w:eastAsia="楷体" w:cs="楷体"/>
          <w:b/>
          <w:bCs/>
          <w:lang w:val="en-US" w:eastAsia="zh-CN"/>
        </w:rPr>
        <w:t>（二）绩效评价原则、评价指标体系、评价方法、评价标准</w:t>
      </w:r>
      <w:bookmarkEnd w:id="15"/>
      <w:bookmarkEnd w:id="16"/>
      <w:bookmarkEnd w:id="17"/>
      <w:bookmarkEnd w:id="18"/>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i w:val="0"/>
          <w:iCs w:val="0"/>
          <w:sz w:val="32"/>
          <w:szCs w:val="32"/>
        </w:rPr>
      </w:pPr>
      <w:r>
        <w:rPr>
          <w:rFonts w:hint="eastAsia" w:ascii="仿宋" w:hAnsi="仿宋" w:eastAsia="仿宋" w:cs="仿宋"/>
          <w:b/>
          <w:bCs/>
          <w:i w:val="0"/>
          <w:iCs w:val="0"/>
          <w:sz w:val="32"/>
          <w:szCs w:val="32"/>
        </w:rPr>
        <w:t>1.绩效评价原则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本次绩效评价遵循科学规范、公正公开、分级分类、绩效相关的原则，对项目决策、过程管理和产出及效益进行评价，全面、客观反映项目实施情况。具体说明如下：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（1）科学规范原则。绩效评价严格执行规定的程序，按照科学可行的要求，采用定量与定性分析相结合的方法。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（2）公正公开原则。绩效评价符合真实、客观、公正的要求，依法公开并接受监督。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（3）分级分类原则。绩效评价由北京市地震局根据评价对象的特点组织实施。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（4）绩效相关原则。绩效评价针对具体支出及其产出绩效进行，评价结果清晰反映支出和产出绩效之间的紧密对应关系。</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2. 评价指标体系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评价工作组接受委托后，根据北京市财政局《北京市项目支出绩效评价管理办法》（﹝2020﹞2146号）和“北京市财政局关于2023年推进全面实施预算绩效管理工作的预通知”（以下简称“通知”）等文件规定，结合项目特点，确定了评价指标体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该项目指标体系满分100分，分为项目决策、项目过程、项目产出和项目效益4个一级指标。具体各级指标如表1所示。</w:t>
      </w:r>
    </w:p>
    <w:p>
      <w:pPr>
        <w:adjustRightInd w:val="0"/>
        <w:snapToGrid w:val="0"/>
        <w:spacing w:line="360" w:lineRule="auto"/>
        <w:jc w:val="center"/>
        <w:rPr>
          <w:rFonts w:ascii="仿宋" w:hAnsi="仿宋" w:eastAsia="仿宋"/>
          <w:sz w:val="28"/>
          <w:szCs w:val="28"/>
        </w:rPr>
      </w:pPr>
      <w:r>
        <w:rPr>
          <w:rFonts w:hint="eastAsia" w:ascii="仿宋" w:hAnsi="仿宋" w:eastAsia="仿宋"/>
          <w:sz w:val="28"/>
          <w:szCs w:val="28"/>
        </w:rPr>
        <w:t>表1评价指标体系</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2"/>
        <w:gridCol w:w="922"/>
        <w:gridCol w:w="1110"/>
        <w:gridCol w:w="1922"/>
        <w:gridCol w:w="3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541" w:type="pct"/>
            <w:noWrap w:val="0"/>
            <w:vAlign w:val="center"/>
          </w:tcPr>
          <w:p>
            <w:pPr>
              <w:widowControl/>
              <w:jc w:val="center"/>
              <w:rPr>
                <w:rFonts w:hint="eastAsia" w:ascii="仿宋" w:hAnsi="仿宋" w:eastAsia="仿宋" w:cs="仿宋"/>
                <w:b/>
                <w:bCs/>
                <w:kern w:val="0"/>
                <w:sz w:val="20"/>
                <w:szCs w:val="20"/>
              </w:rPr>
            </w:pPr>
            <w:r>
              <w:rPr>
                <w:rFonts w:hint="eastAsia" w:ascii="仿宋" w:hAnsi="仿宋" w:eastAsia="仿宋" w:cs="仿宋"/>
                <w:b/>
                <w:bCs/>
                <w:kern w:val="0"/>
                <w:sz w:val="20"/>
                <w:szCs w:val="20"/>
              </w:rPr>
              <w:t>一级指标</w:t>
            </w:r>
          </w:p>
        </w:tc>
        <w:tc>
          <w:tcPr>
            <w:tcW w:w="541" w:type="pct"/>
            <w:noWrap w:val="0"/>
            <w:vAlign w:val="center"/>
          </w:tcPr>
          <w:p>
            <w:pPr>
              <w:widowControl/>
              <w:jc w:val="center"/>
              <w:rPr>
                <w:rFonts w:hint="eastAsia" w:ascii="仿宋" w:hAnsi="仿宋" w:eastAsia="仿宋" w:cs="仿宋"/>
                <w:b/>
                <w:bCs/>
                <w:kern w:val="0"/>
                <w:sz w:val="20"/>
                <w:szCs w:val="20"/>
              </w:rPr>
            </w:pPr>
            <w:r>
              <w:rPr>
                <w:rFonts w:hint="eastAsia" w:ascii="仿宋" w:hAnsi="仿宋" w:eastAsia="仿宋" w:cs="仿宋"/>
                <w:b/>
                <w:bCs/>
                <w:kern w:val="0"/>
                <w:sz w:val="20"/>
                <w:szCs w:val="20"/>
              </w:rPr>
              <w:t>二级指标</w:t>
            </w:r>
          </w:p>
        </w:tc>
        <w:tc>
          <w:tcPr>
            <w:tcW w:w="651" w:type="pct"/>
            <w:noWrap w:val="0"/>
            <w:vAlign w:val="center"/>
          </w:tcPr>
          <w:p>
            <w:pPr>
              <w:widowControl/>
              <w:jc w:val="center"/>
              <w:rPr>
                <w:rFonts w:hint="eastAsia" w:ascii="仿宋" w:hAnsi="仿宋" w:eastAsia="仿宋" w:cs="仿宋"/>
                <w:b/>
                <w:bCs/>
                <w:kern w:val="0"/>
                <w:sz w:val="20"/>
                <w:szCs w:val="20"/>
              </w:rPr>
            </w:pPr>
            <w:r>
              <w:rPr>
                <w:rFonts w:hint="eastAsia" w:ascii="仿宋" w:hAnsi="仿宋" w:eastAsia="仿宋" w:cs="仿宋"/>
                <w:b/>
                <w:bCs/>
                <w:kern w:val="0"/>
                <w:sz w:val="20"/>
                <w:szCs w:val="20"/>
              </w:rPr>
              <w:t>三级指标</w:t>
            </w:r>
          </w:p>
        </w:tc>
        <w:tc>
          <w:tcPr>
            <w:tcW w:w="1127" w:type="pct"/>
            <w:noWrap w:val="0"/>
            <w:vAlign w:val="center"/>
          </w:tcPr>
          <w:p>
            <w:pPr>
              <w:widowControl/>
              <w:jc w:val="center"/>
              <w:rPr>
                <w:rFonts w:hint="eastAsia" w:ascii="仿宋" w:hAnsi="仿宋" w:eastAsia="仿宋" w:cs="仿宋"/>
                <w:b/>
                <w:bCs/>
                <w:kern w:val="0"/>
                <w:sz w:val="20"/>
                <w:szCs w:val="20"/>
              </w:rPr>
            </w:pPr>
            <w:r>
              <w:rPr>
                <w:rFonts w:hint="eastAsia" w:ascii="仿宋" w:hAnsi="仿宋" w:eastAsia="仿宋" w:cs="仿宋"/>
                <w:b/>
                <w:bCs/>
                <w:kern w:val="0"/>
                <w:sz w:val="20"/>
                <w:szCs w:val="20"/>
              </w:rPr>
              <w:t>四级指标</w:t>
            </w:r>
          </w:p>
        </w:tc>
        <w:tc>
          <w:tcPr>
            <w:tcW w:w="2138" w:type="pct"/>
            <w:noWrap w:val="0"/>
            <w:vAlign w:val="center"/>
          </w:tcPr>
          <w:p>
            <w:pPr>
              <w:widowControl/>
              <w:jc w:val="center"/>
              <w:rPr>
                <w:rFonts w:hint="eastAsia" w:ascii="仿宋" w:hAnsi="仿宋" w:eastAsia="仿宋" w:cs="仿宋"/>
                <w:b/>
                <w:bCs/>
                <w:kern w:val="0"/>
                <w:sz w:val="20"/>
                <w:szCs w:val="20"/>
              </w:rPr>
            </w:pPr>
            <w:r>
              <w:rPr>
                <w:rFonts w:hint="eastAsia" w:ascii="仿宋" w:hAnsi="仿宋" w:eastAsia="仿宋" w:cs="仿宋"/>
                <w:b/>
                <w:bCs/>
                <w:kern w:val="0"/>
                <w:sz w:val="20"/>
                <w:szCs w:val="20"/>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9" w:hRule="atLeast"/>
        </w:trPr>
        <w:tc>
          <w:tcPr>
            <w:tcW w:w="541" w:type="pct"/>
            <w:vMerge w:val="restar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项目决策（15分）</w:t>
            </w:r>
          </w:p>
        </w:tc>
        <w:tc>
          <w:tcPr>
            <w:tcW w:w="541" w:type="pct"/>
            <w:vMerge w:val="restar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项目立项</w:t>
            </w:r>
          </w:p>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（6分）</w:t>
            </w:r>
          </w:p>
        </w:tc>
        <w:tc>
          <w:tcPr>
            <w:tcW w:w="651" w:type="pc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决策依据（3分）</w:t>
            </w:r>
          </w:p>
        </w:tc>
        <w:tc>
          <w:tcPr>
            <w:tcW w:w="1127" w:type="pc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立项依据充分性（3分）</w:t>
            </w:r>
          </w:p>
        </w:tc>
        <w:tc>
          <w:tcPr>
            <w:tcW w:w="2138" w:type="pct"/>
            <w:noWrap w:val="0"/>
            <w:vAlign w:val="center"/>
          </w:tcPr>
          <w:p>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项目决策依据充分（2.7[含]-3分）</w:t>
            </w:r>
            <w:r>
              <w:rPr>
                <w:rFonts w:hint="eastAsia" w:ascii="仿宋" w:hAnsi="仿宋" w:eastAsia="仿宋" w:cs="仿宋"/>
                <w:kern w:val="0"/>
                <w:sz w:val="20"/>
                <w:szCs w:val="20"/>
                <w:lang w:eastAsia="zh-CN"/>
              </w:rPr>
              <w:t>；</w:t>
            </w:r>
            <w:r>
              <w:rPr>
                <w:rFonts w:hint="eastAsia" w:ascii="仿宋" w:hAnsi="仿宋" w:eastAsia="仿宋" w:cs="仿宋"/>
                <w:kern w:val="0"/>
                <w:sz w:val="20"/>
                <w:szCs w:val="20"/>
              </w:rPr>
              <w:br w:type="textWrapping"/>
            </w:r>
            <w:r>
              <w:rPr>
                <w:rFonts w:hint="eastAsia" w:ascii="仿宋" w:hAnsi="仿宋" w:eastAsia="仿宋" w:cs="仿宋"/>
                <w:kern w:val="0"/>
                <w:sz w:val="20"/>
                <w:szCs w:val="20"/>
              </w:rPr>
              <w:t>项目决策依据比较充分（2.25[含]-2.7分）；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项目决策依据基本充分（1.8[含]-2.25分）；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项目决策依据不够充分（0-1.8分）。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trPr>
        <w:tc>
          <w:tcPr>
            <w:tcW w:w="541" w:type="pct"/>
            <w:vMerge w:val="continue"/>
            <w:noWrap w:val="0"/>
            <w:vAlign w:val="center"/>
          </w:tcPr>
          <w:p>
            <w:pPr>
              <w:widowControl/>
              <w:jc w:val="left"/>
              <w:rPr>
                <w:rFonts w:hint="eastAsia" w:ascii="仿宋" w:hAnsi="仿宋" w:eastAsia="仿宋" w:cs="仿宋"/>
                <w:kern w:val="0"/>
                <w:sz w:val="20"/>
                <w:szCs w:val="20"/>
              </w:rPr>
            </w:pPr>
          </w:p>
        </w:tc>
        <w:tc>
          <w:tcPr>
            <w:tcW w:w="541" w:type="pct"/>
            <w:vMerge w:val="continue"/>
            <w:noWrap w:val="0"/>
            <w:vAlign w:val="center"/>
          </w:tcPr>
          <w:p>
            <w:pPr>
              <w:widowControl/>
              <w:jc w:val="left"/>
              <w:rPr>
                <w:rFonts w:hint="eastAsia" w:ascii="仿宋" w:hAnsi="仿宋" w:eastAsia="仿宋" w:cs="仿宋"/>
                <w:kern w:val="0"/>
                <w:sz w:val="20"/>
                <w:szCs w:val="20"/>
              </w:rPr>
            </w:pPr>
          </w:p>
        </w:tc>
        <w:tc>
          <w:tcPr>
            <w:tcW w:w="651" w:type="pct"/>
            <w:noWrap w:val="0"/>
            <w:vAlign w:val="center"/>
          </w:tcPr>
          <w:p>
            <w:pPr>
              <w:widowControl/>
              <w:jc w:val="center"/>
              <w:rPr>
                <w:rFonts w:hint="eastAsia" w:ascii="仿宋" w:hAnsi="仿宋" w:eastAsia="仿宋" w:cs="仿宋"/>
                <w:kern w:val="0"/>
                <w:sz w:val="20"/>
                <w:szCs w:val="20"/>
                <w:lang w:eastAsia="zh-CN"/>
              </w:rPr>
            </w:pPr>
            <w:r>
              <w:rPr>
                <w:rFonts w:hint="eastAsia" w:ascii="仿宋" w:hAnsi="仿宋" w:eastAsia="仿宋" w:cs="仿宋"/>
                <w:kern w:val="0"/>
                <w:sz w:val="20"/>
                <w:szCs w:val="20"/>
              </w:rPr>
              <w:t>决策程序（3分</w:t>
            </w:r>
            <w:r>
              <w:rPr>
                <w:rFonts w:hint="eastAsia" w:ascii="仿宋" w:hAnsi="仿宋" w:eastAsia="仿宋" w:cs="仿宋"/>
                <w:kern w:val="0"/>
                <w:sz w:val="20"/>
                <w:szCs w:val="20"/>
                <w:lang w:eastAsia="zh-CN"/>
              </w:rPr>
              <w:t>）</w:t>
            </w:r>
          </w:p>
        </w:tc>
        <w:tc>
          <w:tcPr>
            <w:tcW w:w="1127" w:type="pc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立项程序规范性（3分）</w:t>
            </w:r>
          </w:p>
        </w:tc>
        <w:tc>
          <w:tcPr>
            <w:tcW w:w="2138" w:type="pct"/>
            <w:noWrap w:val="0"/>
            <w:vAlign w:val="center"/>
          </w:tcPr>
          <w:p>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项目申报及审批程序科学、规范（2.7[含]-3分）；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项目申报及审批程序比较科学、规范（2.25[含]-2.7分）；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项目申报及审批程序基本规范</w:t>
            </w:r>
          </w:p>
          <w:p>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（1.8[含]-2.25分）；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项目申报及审批程序不够科学、规范（0-1.8分）。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trPr>
        <w:tc>
          <w:tcPr>
            <w:tcW w:w="541" w:type="pct"/>
            <w:vMerge w:val="continue"/>
            <w:noWrap w:val="0"/>
            <w:vAlign w:val="center"/>
          </w:tcPr>
          <w:p>
            <w:pPr>
              <w:widowControl/>
              <w:jc w:val="left"/>
              <w:rPr>
                <w:rFonts w:hint="eastAsia" w:ascii="仿宋" w:hAnsi="仿宋" w:eastAsia="仿宋" w:cs="仿宋"/>
                <w:kern w:val="0"/>
                <w:sz w:val="20"/>
                <w:szCs w:val="20"/>
              </w:rPr>
            </w:pPr>
          </w:p>
        </w:tc>
        <w:tc>
          <w:tcPr>
            <w:tcW w:w="541" w:type="pct"/>
            <w:vMerge w:val="restar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绩效目标</w:t>
            </w:r>
          </w:p>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（6分）</w:t>
            </w:r>
          </w:p>
        </w:tc>
        <w:tc>
          <w:tcPr>
            <w:tcW w:w="651" w:type="pc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绩效目标合理性</w:t>
            </w:r>
          </w:p>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（3分）</w:t>
            </w:r>
          </w:p>
        </w:tc>
        <w:tc>
          <w:tcPr>
            <w:tcW w:w="1127" w:type="pc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目标明确、主题突出（3分）</w:t>
            </w:r>
          </w:p>
        </w:tc>
        <w:tc>
          <w:tcPr>
            <w:tcW w:w="2138" w:type="pct"/>
            <w:noWrap w:val="0"/>
            <w:vAlign w:val="center"/>
          </w:tcPr>
          <w:p>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整体目标明确、有效（2.7[含]-3分）；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整体目标比较明确、有效（2.25[含]-2.7分）；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整体目标基本明确、有效（1.8[含]-2.25分）；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整体目标不够明确、有效（0-1.8分）。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trPr>
        <w:tc>
          <w:tcPr>
            <w:tcW w:w="541" w:type="pct"/>
            <w:vMerge w:val="continue"/>
            <w:noWrap w:val="0"/>
            <w:vAlign w:val="center"/>
          </w:tcPr>
          <w:p>
            <w:pPr>
              <w:widowControl/>
              <w:jc w:val="left"/>
              <w:rPr>
                <w:rFonts w:hint="eastAsia" w:ascii="仿宋" w:hAnsi="仿宋" w:eastAsia="仿宋" w:cs="仿宋"/>
                <w:kern w:val="0"/>
                <w:sz w:val="20"/>
                <w:szCs w:val="20"/>
              </w:rPr>
            </w:pPr>
          </w:p>
        </w:tc>
        <w:tc>
          <w:tcPr>
            <w:tcW w:w="541" w:type="pct"/>
            <w:vMerge w:val="continue"/>
            <w:noWrap w:val="0"/>
            <w:vAlign w:val="center"/>
          </w:tcPr>
          <w:p>
            <w:pPr>
              <w:widowControl/>
              <w:jc w:val="left"/>
              <w:rPr>
                <w:rFonts w:hint="eastAsia" w:ascii="仿宋" w:hAnsi="仿宋" w:eastAsia="仿宋" w:cs="仿宋"/>
                <w:kern w:val="0"/>
                <w:sz w:val="20"/>
                <w:szCs w:val="20"/>
              </w:rPr>
            </w:pPr>
          </w:p>
        </w:tc>
        <w:tc>
          <w:tcPr>
            <w:tcW w:w="651" w:type="pc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绩效指标明确性</w:t>
            </w:r>
          </w:p>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（3分）</w:t>
            </w:r>
          </w:p>
        </w:tc>
        <w:tc>
          <w:tcPr>
            <w:tcW w:w="1127" w:type="pc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绩效指标细化、量化（3分）</w:t>
            </w:r>
          </w:p>
        </w:tc>
        <w:tc>
          <w:tcPr>
            <w:tcW w:w="2138" w:type="pct"/>
            <w:noWrap w:val="0"/>
            <w:vAlign w:val="center"/>
          </w:tcPr>
          <w:p>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绩效指标明确、全面（2.7[含]-3分）；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绩效指标比较明确、全面（2.25[含]-2.7分）；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绩效指标基本明确、全面（1.8[含]-2.25分）；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绩效指标不够明确、全面（0-1.8分）。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trPr>
        <w:tc>
          <w:tcPr>
            <w:tcW w:w="541" w:type="pct"/>
            <w:vMerge w:val="continue"/>
            <w:noWrap w:val="0"/>
            <w:vAlign w:val="center"/>
          </w:tcPr>
          <w:p>
            <w:pPr>
              <w:widowControl/>
              <w:jc w:val="left"/>
              <w:rPr>
                <w:rFonts w:hint="eastAsia" w:ascii="仿宋" w:hAnsi="仿宋" w:eastAsia="仿宋" w:cs="仿宋"/>
                <w:kern w:val="0"/>
                <w:sz w:val="20"/>
                <w:szCs w:val="20"/>
              </w:rPr>
            </w:pPr>
          </w:p>
        </w:tc>
        <w:tc>
          <w:tcPr>
            <w:tcW w:w="541" w:type="pct"/>
            <w:vMerge w:val="restar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资金投入</w:t>
            </w:r>
          </w:p>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（3分）</w:t>
            </w:r>
          </w:p>
        </w:tc>
        <w:tc>
          <w:tcPr>
            <w:tcW w:w="651" w:type="pct"/>
            <w:vMerge w:val="restar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预算管理（3分）</w:t>
            </w:r>
          </w:p>
        </w:tc>
        <w:tc>
          <w:tcPr>
            <w:tcW w:w="1127" w:type="pc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预算编制科学性（2分）</w:t>
            </w:r>
          </w:p>
        </w:tc>
        <w:tc>
          <w:tcPr>
            <w:tcW w:w="2138" w:type="pct"/>
            <w:noWrap w:val="0"/>
            <w:vAlign w:val="center"/>
          </w:tcPr>
          <w:p>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预算编制科学合理 （1.8[含]-2分)；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预算编制比较科学合理（1.5[含]-1.8分）；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预算编制基本科学合理（1.2[含]-1.5分）；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预算编制不够科学合理（0-1.2分）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2" w:hRule="atLeast"/>
        </w:trPr>
        <w:tc>
          <w:tcPr>
            <w:tcW w:w="541" w:type="pct"/>
            <w:vMerge w:val="continue"/>
            <w:noWrap w:val="0"/>
            <w:vAlign w:val="center"/>
          </w:tcPr>
          <w:p>
            <w:pPr>
              <w:widowControl/>
              <w:jc w:val="left"/>
              <w:rPr>
                <w:rFonts w:hint="eastAsia" w:ascii="仿宋" w:hAnsi="仿宋" w:eastAsia="仿宋" w:cs="仿宋"/>
                <w:kern w:val="0"/>
                <w:sz w:val="20"/>
                <w:szCs w:val="20"/>
              </w:rPr>
            </w:pPr>
          </w:p>
        </w:tc>
        <w:tc>
          <w:tcPr>
            <w:tcW w:w="541" w:type="pct"/>
            <w:vMerge w:val="continue"/>
            <w:noWrap w:val="0"/>
            <w:vAlign w:val="center"/>
          </w:tcPr>
          <w:p>
            <w:pPr>
              <w:widowControl/>
              <w:jc w:val="left"/>
              <w:rPr>
                <w:rFonts w:hint="eastAsia" w:ascii="仿宋" w:hAnsi="仿宋" w:eastAsia="仿宋" w:cs="仿宋"/>
                <w:kern w:val="0"/>
                <w:sz w:val="20"/>
                <w:szCs w:val="20"/>
              </w:rPr>
            </w:pPr>
          </w:p>
        </w:tc>
        <w:tc>
          <w:tcPr>
            <w:tcW w:w="651" w:type="pct"/>
            <w:vMerge w:val="continue"/>
            <w:noWrap w:val="0"/>
            <w:vAlign w:val="center"/>
          </w:tcPr>
          <w:p>
            <w:pPr>
              <w:widowControl/>
              <w:jc w:val="left"/>
              <w:rPr>
                <w:rFonts w:hint="eastAsia" w:ascii="仿宋" w:hAnsi="仿宋" w:eastAsia="仿宋" w:cs="仿宋"/>
                <w:kern w:val="0"/>
                <w:sz w:val="20"/>
                <w:szCs w:val="20"/>
              </w:rPr>
            </w:pPr>
          </w:p>
        </w:tc>
        <w:tc>
          <w:tcPr>
            <w:tcW w:w="1127" w:type="pc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预算编制的准确、细化（1分）</w:t>
            </w:r>
          </w:p>
        </w:tc>
        <w:tc>
          <w:tcPr>
            <w:tcW w:w="2138" w:type="pct"/>
            <w:noWrap w:val="0"/>
            <w:vAlign w:val="center"/>
          </w:tcPr>
          <w:p>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预算编制准确、细化 （0.9[含]-1分)；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预算编制比较准确、细化（0.75[含]-0.9分）；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预算编制基本准确、细化（0.6[含]-0.75分）；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预算编制不够准确、细化（0-0.6分）。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2" w:hRule="atLeast"/>
        </w:trPr>
        <w:tc>
          <w:tcPr>
            <w:tcW w:w="541" w:type="pct"/>
            <w:vMerge w:val="restar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项目管理（25分）</w:t>
            </w:r>
          </w:p>
        </w:tc>
        <w:tc>
          <w:tcPr>
            <w:tcW w:w="541" w:type="pct"/>
            <w:vMerge w:val="restar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资金管理</w:t>
            </w:r>
          </w:p>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（6分）</w:t>
            </w:r>
          </w:p>
        </w:tc>
        <w:tc>
          <w:tcPr>
            <w:tcW w:w="651" w:type="pc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资金到位（2分）</w:t>
            </w:r>
          </w:p>
        </w:tc>
        <w:tc>
          <w:tcPr>
            <w:tcW w:w="1127" w:type="pc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资金到位率</w:t>
            </w:r>
          </w:p>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（2分）</w:t>
            </w:r>
          </w:p>
        </w:tc>
        <w:tc>
          <w:tcPr>
            <w:tcW w:w="2138" w:type="pct"/>
            <w:noWrap w:val="0"/>
            <w:vAlign w:val="center"/>
          </w:tcPr>
          <w:p>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资金到位率90%[含]以上（1.8[含]-2分）；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资金到位率75%[含]以上（1.5[含]-1.8分）；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资金到位率60%[含]以上（1.2[含]-1.5分）；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资金到位率60%以下（0-1.2分）。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541" w:type="pct"/>
            <w:vMerge w:val="continue"/>
            <w:noWrap w:val="0"/>
            <w:vAlign w:val="center"/>
          </w:tcPr>
          <w:p>
            <w:pPr>
              <w:widowControl/>
              <w:jc w:val="left"/>
              <w:rPr>
                <w:rFonts w:hint="eastAsia" w:ascii="仿宋" w:hAnsi="仿宋" w:eastAsia="仿宋" w:cs="仿宋"/>
                <w:kern w:val="0"/>
                <w:sz w:val="20"/>
                <w:szCs w:val="20"/>
              </w:rPr>
            </w:pPr>
          </w:p>
        </w:tc>
        <w:tc>
          <w:tcPr>
            <w:tcW w:w="541" w:type="pct"/>
            <w:vMerge w:val="continue"/>
            <w:noWrap w:val="0"/>
            <w:vAlign w:val="center"/>
          </w:tcPr>
          <w:p>
            <w:pPr>
              <w:widowControl/>
              <w:jc w:val="left"/>
              <w:rPr>
                <w:rFonts w:hint="eastAsia" w:ascii="仿宋" w:hAnsi="仿宋" w:eastAsia="仿宋" w:cs="仿宋"/>
                <w:kern w:val="0"/>
                <w:sz w:val="20"/>
                <w:szCs w:val="20"/>
              </w:rPr>
            </w:pPr>
          </w:p>
        </w:tc>
        <w:tc>
          <w:tcPr>
            <w:tcW w:w="651" w:type="pc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预算执行（2分）</w:t>
            </w:r>
          </w:p>
        </w:tc>
        <w:tc>
          <w:tcPr>
            <w:tcW w:w="1127" w:type="pc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预算执行率</w:t>
            </w:r>
          </w:p>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（2分）</w:t>
            </w:r>
          </w:p>
        </w:tc>
        <w:tc>
          <w:tcPr>
            <w:tcW w:w="2138" w:type="pct"/>
            <w:noWrap w:val="0"/>
            <w:vAlign w:val="center"/>
          </w:tcPr>
          <w:p>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预算执行与批复一致（1.8[含]-2分）；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预算执行与批复比较一致（1.5[含]-1.8分）；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预算执行与批复基本一致（1.2[含]-1.5分）；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预算执行与批复不一致（0-1.2分）。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3" w:hRule="atLeast"/>
        </w:trPr>
        <w:tc>
          <w:tcPr>
            <w:tcW w:w="541" w:type="pct"/>
            <w:vMerge w:val="continue"/>
            <w:noWrap w:val="0"/>
            <w:vAlign w:val="center"/>
          </w:tcPr>
          <w:p>
            <w:pPr>
              <w:widowControl/>
              <w:jc w:val="left"/>
              <w:rPr>
                <w:rFonts w:hint="eastAsia" w:ascii="仿宋" w:hAnsi="仿宋" w:eastAsia="仿宋" w:cs="仿宋"/>
                <w:kern w:val="0"/>
                <w:sz w:val="20"/>
                <w:szCs w:val="20"/>
              </w:rPr>
            </w:pPr>
          </w:p>
        </w:tc>
        <w:tc>
          <w:tcPr>
            <w:tcW w:w="541" w:type="pct"/>
            <w:vMerge w:val="continue"/>
            <w:noWrap w:val="0"/>
            <w:vAlign w:val="center"/>
          </w:tcPr>
          <w:p>
            <w:pPr>
              <w:widowControl/>
              <w:jc w:val="left"/>
              <w:rPr>
                <w:rFonts w:hint="eastAsia" w:ascii="仿宋" w:hAnsi="仿宋" w:eastAsia="仿宋" w:cs="仿宋"/>
                <w:kern w:val="0"/>
                <w:sz w:val="20"/>
                <w:szCs w:val="20"/>
              </w:rPr>
            </w:pPr>
          </w:p>
        </w:tc>
        <w:tc>
          <w:tcPr>
            <w:tcW w:w="651" w:type="pc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资金使用（2分）</w:t>
            </w:r>
          </w:p>
        </w:tc>
        <w:tc>
          <w:tcPr>
            <w:tcW w:w="1127" w:type="pc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资金使用合规性（2分）</w:t>
            </w:r>
          </w:p>
        </w:tc>
        <w:tc>
          <w:tcPr>
            <w:tcW w:w="2138" w:type="pct"/>
            <w:noWrap w:val="0"/>
            <w:vAlign w:val="center"/>
          </w:tcPr>
          <w:p>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严格执行财务制度，会计核算规范</w:t>
            </w:r>
          </w:p>
          <w:p>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（1.8[含]-2分）；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执行财务制度，会计核算比较规范</w:t>
            </w:r>
          </w:p>
          <w:p>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（1.5[含]-1.8分）；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能够执行财务制度，会计核算基本规范（1.2[含]-1.5分）；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不执行财务制度，会计核算不规范（0-1.2分）。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3" w:hRule="atLeast"/>
        </w:trPr>
        <w:tc>
          <w:tcPr>
            <w:tcW w:w="541" w:type="pct"/>
            <w:vMerge w:val="continue"/>
            <w:noWrap w:val="0"/>
            <w:vAlign w:val="center"/>
          </w:tcPr>
          <w:p>
            <w:pPr>
              <w:widowControl/>
              <w:jc w:val="left"/>
              <w:rPr>
                <w:rFonts w:hint="eastAsia" w:ascii="仿宋" w:hAnsi="仿宋" w:eastAsia="仿宋" w:cs="仿宋"/>
                <w:kern w:val="0"/>
                <w:sz w:val="20"/>
                <w:szCs w:val="20"/>
              </w:rPr>
            </w:pPr>
          </w:p>
        </w:tc>
        <w:tc>
          <w:tcPr>
            <w:tcW w:w="541" w:type="pct"/>
            <w:vMerge w:val="restar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组织实施（19分）</w:t>
            </w:r>
          </w:p>
        </w:tc>
        <w:tc>
          <w:tcPr>
            <w:tcW w:w="651" w:type="pct"/>
            <w:vMerge w:val="restar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组织机构（5分）</w:t>
            </w:r>
          </w:p>
        </w:tc>
        <w:tc>
          <w:tcPr>
            <w:tcW w:w="1127" w:type="pc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组织建设（3分）</w:t>
            </w:r>
          </w:p>
        </w:tc>
        <w:tc>
          <w:tcPr>
            <w:tcW w:w="2138" w:type="pct"/>
            <w:noWrap w:val="0"/>
            <w:vAlign w:val="center"/>
          </w:tcPr>
          <w:p>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组织管理机构健全，责任明确（2.7[含]-3分）；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组织管理机构比较健全，责任比较明确（2.25[含]-2.7分）；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组织管理机构基本健全，责任基本明确（1.8[含]-2.25分）；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组织管理机构不够健全，责任不够明确</w:t>
            </w:r>
          </w:p>
          <w:p>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（0-1.8分）。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2" w:hRule="atLeast"/>
        </w:trPr>
        <w:tc>
          <w:tcPr>
            <w:tcW w:w="541" w:type="pct"/>
            <w:vMerge w:val="continue"/>
            <w:noWrap w:val="0"/>
            <w:vAlign w:val="center"/>
          </w:tcPr>
          <w:p>
            <w:pPr>
              <w:widowControl/>
              <w:jc w:val="left"/>
              <w:rPr>
                <w:rFonts w:hint="eastAsia" w:ascii="仿宋" w:hAnsi="仿宋" w:eastAsia="仿宋" w:cs="仿宋"/>
                <w:kern w:val="0"/>
                <w:sz w:val="20"/>
                <w:szCs w:val="20"/>
              </w:rPr>
            </w:pPr>
          </w:p>
        </w:tc>
        <w:tc>
          <w:tcPr>
            <w:tcW w:w="541" w:type="pct"/>
            <w:vMerge w:val="continue"/>
            <w:noWrap w:val="0"/>
            <w:vAlign w:val="center"/>
          </w:tcPr>
          <w:p>
            <w:pPr>
              <w:widowControl/>
              <w:jc w:val="left"/>
              <w:rPr>
                <w:rFonts w:hint="eastAsia" w:ascii="仿宋" w:hAnsi="仿宋" w:eastAsia="仿宋" w:cs="仿宋"/>
                <w:kern w:val="0"/>
                <w:sz w:val="20"/>
                <w:szCs w:val="20"/>
              </w:rPr>
            </w:pPr>
          </w:p>
        </w:tc>
        <w:tc>
          <w:tcPr>
            <w:tcW w:w="651" w:type="pct"/>
            <w:vMerge w:val="continue"/>
            <w:noWrap w:val="0"/>
            <w:vAlign w:val="center"/>
          </w:tcPr>
          <w:p>
            <w:pPr>
              <w:widowControl/>
              <w:jc w:val="center"/>
              <w:rPr>
                <w:rFonts w:hint="eastAsia" w:ascii="仿宋" w:hAnsi="仿宋" w:eastAsia="仿宋" w:cs="仿宋"/>
                <w:kern w:val="0"/>
                <w:sz w:val="20"/>
                <w:szCs w:val="20"/>
              </w:rPr>
            </w:pPr>
          </w:p>
        </w:tc>
        <w:tc>
          <w:tcPr>
            <w:tcW w:w="1127" w:type="pc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组织分工、职责（2分）</w:t>
            </w:r>
          </w:p>
        </w:tc>
        <w:tc>
          <w:tcPr>
            <w:tcW w:w="2138" w:type="pct"/>
            <w:noWrap w:val="0"/>
            <w:vAlign w:val="center"/>
          </w:tcPr>
          <w:p>
            <w:pPr>
              <w:widowControl/>
              <w:jc w:val="left"/>
              <w:rPr>
                <w:rFonts w:hint="eastAsia" w:ascii="仿宋" w:hAnsi="仿宋" w:eastAsia="仿宋" w:cs="仿宋"/>
                <w:kern w:val="0"/>
                <w:sz w:val="20"/>
                <w:szCs w:val="20"/>
                <w:lang w:eastAsia="zh-CN"/>
              </w:rPr>
            </w:pPr>
            <w:r>
              <w:rPr>
                <w:rFonts w:hint="eastAsia" w:ascii="仿宋" w:hAnsi="仿宋" w:eastAsia="仿宋" w:cs="仿宋"/>
                <w:kern w:val="0"/>
                <w:sz w:val="20"/>
                <w:szCs w:val="20"/>
              </w:rPr>
              <w:t>组织分工、职责明确（1.8[含]-2分）；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组织分工、职责比较明确（1.5[含]-1.8分）；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组织分工、职责基本明确（1.2[含]-1.5分）；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组织分工、职责不够明确（0-1.2分）</w:t>
            </w:r>
            <w:r>
              <w:rPr>
                <w:rFonts w:hint="eastAsia" w:ascii="仿宋" w:hAnsi="仿宋" w:eastAsia="仿宋" w:cs="仿宋"/>
                <w:kern w:val="0"/>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9" w:hRule="atLeast"/>
        </w:trPr>
        <w:tc>
          <w:tcPr>
            <w:tcW w:w="541" w:type="pct"/>
            <w:vMerge w:val="continue"/>
            <w:noWrap w:val="0"/>
            <w:vAlign w:val="center"/>
          </w:tcPr>
          <w:p>
            <w:pPr>
              <w:widowControl/>
              <w:jc w:val="left"/>
              <w:rPr>
                <w:rFonts w:hint="eastAsia" w:ascii="仿宋" w:hAnsi="仿宋" w:eastAsia="仿宋" w:cs="仿宋"/>
                <w:kern w:val="0"/>
                <w:sz w:val="20"/>
                <w:szCs w:val="20"/>
              </w:rPr>
            </w:pPr>
          </w:p>
        </w:tc>
        <w:tc>
          <w:tcPr>
            <w:tcW w:w="541" w:type="pct"/>
            <w:vMerge w:val="continue"/>
            <w:noWrap w:val="0"/>
            <w:vAlign w:val="center"/>
          </w:tcPr>
          <w:p>
            <w:pPr>
              <w:widowControl/>
              <w:jc w:val="left"/>
              <w:rPr>
                <w:rFonts w:hint="eastAsia" w:ascii="仿宋" w:hAnsi="仿宋" w:eastAsia="仿宋" w:cs="仿宋"/>
                <w:kern w:val="0"/>
                <w:sz w:val="20"/>
                <w:szCs w:val="20"/>
              </w:rPr>
            </w:pPr>
          </w:p>
        </w:tc>
        <w:tc>
          <w:tcPr>
            <w:tcW w:w="651" w:type="pct"/>
            <w:vMerge w:val="restar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制度建设（5分）</w:t>
            </w:r>
          </w:p>
        </w:tc>
        <w:tc>
          <w:tcPr>
            <w:tcW w:w="1127" w:type="pc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管理制度建设</w:t>
            </w:r>
          </w:p>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（3分）</w:t>
            </w:r>
          </w:p>
        </w:tc>
        <w:tc>
          <w:tcPr>
            <w:tcW w:w="2138" w:type="pct"/>
            <w:noWrap w:val="0"/>
            <w:vAlign w:val="center"/>
          </w:tcPr>
          <w:p>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管理制度健全、有效（2.7[含]-3分）；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管理制度比较健全、有效（2.25[含]-2.7分）；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管理制度基本健全、基本有效（1.8[含]-2.25分）；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 xml:space="preserve">管理制度不健全，基本无效（0-1.8分）。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4" w:hRule="atLeast"/>
        </w:trPr>
        <w:tc>
          <w:tcPr>
            <w:tcW w:w="541" w:type="pct"/>
            <w:vMerge w:val="continue"/>
            <w:noWrap w:val="0"/>
            <w:vAlign w:val="center"/>
          </w:tcPr>
          <w:p>
            <w:pPr>
              <w:widowControl/>
              <w:jc w:val="left"/>
              <w:rPr>
                <w:rFonts w:hint="eastAsia" w:ascii="仿宋" w:hAnsi="仿宋" w:eastAsia="仿宋" w:cs="仿宋"/>
                <w:kern w:val="0"/>
                <w:sz w:val="20"/>
                <w:szCs w:val="20"/>
              </w:rPr>
            </w:pPr>
          </w:p>
        </w:tc>
        <w:tc>
          <w:tcPr>
            <w:tcW w:w="541" w:type="pct"/>
            <w:vMerge w:val="continue"/>
            <w:noWrap w:val="0"/>
            <w:vAlign w:val="center"/>
          </w:tcPr>
          <w:p>
            <w:pPr>
              <w:widowControl/>
              <w:jc w:val="left"/>
              <w:rPr>
                <w:rFonts w:hint="eastAsia" w:ascii="仿宋" w:hAnsi="仿宋" w:eastAsia="仿宋" w:cs="仿宋"/>
                <w:kern w:val="0"/>
                <w:sz w:val="20"/>
                <w:szCs w:val="20"/>
              </w:rPr>
            </w:pPr>
          </w:p>
        </w:tc>
        <w:tc>
          <w:tcPr>
            <w:tcW w:w="651" w:type="pct"/>
            <w:vMerge w:val="continue"/>
            <w:noWrap w:val="0"/>
            <w:vAlign w:val="center"/>
          </w:tcPr>
          <w:p>
            <w:pPr>
              <w:widowControl/>
              <w:jc w:val="center"/>
              <w:rPr>
                <w:rFonts w:hint="eastAsia" w:ascii="仿宋" w:hAnsi="仿宋" w:eastAsia="仿宋" w:cs="仿宋"/>
                <w:kern w:val="0"/>
                <w:sz w:val="20"/>
                <w:szCs w:val="20"/>
              </w:rPr>
            </w:pPr>
          </w:p>
        </w:tc>
        <w:tc>
          <w:tcPr>
            <w:tcW w:w="1127" w:type="pc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方案编制（2分）</w:t>
            </w:r>
          </w:p>
        </w:tc>
        <w:tc>
          <w:tcPr>
            <w:tcW w:w="2138" w:type="pct"/>
            <w:noWrap w:val="0"/>
            <w:vAlign w:val="center"/>
          </w:tcPr>
          <w:p>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项目实施方案或计划编制合理、具体</w:t>
            </w:r>
          </w:p>
          <w:p>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（1.8[含]-2分）；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项目实施方案或计划编制比较合理，比较具体（1.5[含]-1.8分）；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项目实施方案或计划编制基本合理</w:t>
            </w:r>
          </w:p>
          <w:p>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（1.2[含]-1.5分）；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项目实施方案或计划编制不合理（0-1.2分）</w:t>
            </w:r>
            <w:r>
              <w:rPr>
                <w:rFonts w:hint="eastAsia" w:ascii="仿宋" w:hAnsi="仿宋" w:eastAsia="仿宋" w:cs="仿宋"/>
                <w:kern w:val="0"/>
                <w:sz w:val="20"/>
                <w:szCs w:val="20"/>
                <w:lang w:eastAsia="zh-CN"/>
              </w:rPr>
              <w:t>。</w:t>
            </w:r>
            <w:r>
              <w:rPr>
                <w:rFonts w:hint="eastAsia" w:ascii="仿宋" w:hAnsi="仿宋" w:eastAsia="仿宋" w:cs="仿宋"/>
                <w:kern w:val="0"/>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4" w:hRule="atLeast"/>
        </w:trPr>
        <w:tc>
          <w:tcPr>
            <w:tcW w:w="541" w:type="pct"/>
            <w:vMerge w:val="continue"/>
            <w:noWrap w:val="0"/>
            <w:vAlign w:val="center"/>
          </w:tcPr>
          <w:p>
            <w:pPr>
              <w:widowControl/>
              <w:jc w:val="left"/>
              <w:rPr>
                <w:rFonts w:hint="eastAsia" w:ascii="仿宋" w:hAnsi="仿宋" w:eastAsia="仿宋" w:cs="仿宋"/>
                <w:kern w:val="0"/>
                <w:sz w:val="20"/>
                <w:szCs w:val="20"/>
              </w:rPr>
            </w:pPr>
          </w:p>
        </w:tc>
        <w:tc>
          <w:tcPr>
            <w:tcW w:w="541" w:type="pct"/>
            <w:vMerge w:val="continue"/>
            <w:noWrap w:val="0"/>
            <w:vAlign w:val="center"/>
          </w:tcPr>
          <w:p>
            <w:pPr>
              <w:widowControl/>
              <w:jc w:val="left"/>
              <w:rPr>
                <w:rFonts w:hint="eastAsia" w:ascii="仿宋" w:hAnsi="仿宋" w:eastAsia="仿宋" w:cs="仿宋"/>
                <w:kern w:val="0"/>
                <w:sz w:val="20"/>
                <w:szCs w:val="20"/>
              </w:rPr>
            </w:pPr>
          </w:p>
        </w:tc>
        <w:tc>
          <w:tcPr>
            <w:tcW w:w="651" w:type="pct"/>
            <w:vMerge w:val="restar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过程控制（9分）</w:t>
            </w:r>
          </w:p>
        </w:tc>
        <w:tc>
          <w:tcPr>
            <w:tcW w:w="1127" w:type="pc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制度执行有效性（3分）</w:t>
            </w:r>
          </w:p>
        </w:tc>
        <w:tc>
          <w:tcPr>
            <w:tcW w:w="2138" w:type="pct"/>
            <w:noWrap w:val="0"/>
            <w:vAlign w:val="center"/>
          </w:tcPr>
          <w:p>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严格按项目管理制度组织实施（2.7[含]-3分）；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按项目目管理制度组织实施（2.25[含]-2.7分）；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基本按目管理制度组织实施（1.8[含]-2.25分）；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不按目管理制度组织实施（0-1.8分）。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541" w:type="pct"/>
            <w:vMerge w:val="continue"/>
            <w:noWrap w:val="0"/>
            <w:vAlign w:val="center"/>
          </w:tcPr>
          <w:p>
            <w:pPr>
              <w:widowControl/>
              <w:jc w:val="left"/>
              <w:rPr>
                <w:rFonts w:hint="eastAsia" w:ascii="仿宋" w:hAnsi="仿宋" w:eastAsia="仿宋" w:cs="仿宋"/>
                <w:kern w:val="0"/>
                <w:sz w:val="20"/>
                <w:szCs w:val="20"/>
              </w:rPr>
            </w:pPr>
          </w:p>
        </w:tc>
        <w:tc>
          <w:tcPr>
            <w:tcW w:w="541" w:type="pct"/>
            <w:vMerge w:val="continue"/>
            <w:noWrap w:val="0"/>
            <w:vAlign w:val="center"/>
          </w:tcPr>
          <w:p>
            <w:pPr>
              <w:widowControl/>
              <w:jc w:val="left"/>
              <w:rPr>
                <w:rFonts w:hint="eastAsia" w:ascii="仿宋" w:hAnsi="仿宋" w:eastAsia="仿宋" w:cs="仿宋"/>
                <w:kern w:val="0"/>
                <w:sz w:val="20"/>
                <w:szCs w:val="20"/>
              </w:rPr>
            </w:pPr>
          </w:p>
        </w:tc>
        <w:tc>
          <w:tcPr>
            <w:tcW w:w="651" w:type="pct"/>
            <w:vMerge w:val="continue"/>
            <w:noWrap w:val="0"/>
            <w:vAlign w:val="center"/>
          </w:tcPr>
          <w:p>
            <w:pPr>
              <w:widowControl/>
              <w:jc w:val="left"/>
              <w:rPr>
                <w:rFonts w:hint="eastAsia" w:ascii="仿宋" w:hAnsi="仿宋" w:eastAsia="仿宋" w:cs="仿宋"/>
                <w:kern w:val="0"/>
                <w:sz w:val="20"/>
                <w:szCs w:val="20"/>
              </w:rPr>
            </w:pPr>
          </w:p>
        </w:tc>
        <w:tc>
          <w:tcPr>
            <w:tcW w:w="1127" w:type="pc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方案实施（3分）</w:t>
            </w:r>
          </w:p>
        </w:tc>
        <w:tc>
          <w:tcPr>
            <w:tcW w:w="2138" w:type="pct"/>
            <w:noWrap w:val="0"/>
            <w:vAlign w:val="center"/>
          </w:tcPr>
          <w:p>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严格按项目实施方案计划组织实施</w:t>
            </w:r>
          </w:p>
          <w:p>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（2.7[含]-3分）；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按项目实施方案计划组织实施</w:t>
            </w:r>
          </w:p>
          <w:p>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（2.25[含]-2.7分）；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基本按项目实施方案计划组织实施（1.8[含]-2.25分）；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不按项目实施方案会计划组织实施（0-1.8分）。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4" w:hRule="atLeast"/>
        </w:trPr>
        <w:tc>
          <w:tcPr>
            <w:tcW w:w="541" w:type="pct"/>
            <w:vMerge w:val="continue"/>
            <w:noWrap w:val="0"/>
            <w:vAlign w:val="center"/>
          </w:tcPr>
          <w:p>
            <w:pPr>
              <w:widowControl/>
              <w:jc w:val="left"/>
              <w:rPr>
                <w:rFonts w:hint="eastAsia" w:ascii="仿宋" w:hAnsi="仿宋" w:eastAsia="仿宋" w:cs="仿宋"/>
                <w:kern w:val="0"/>
                <w:sz w:val="20"/>
                <w:szCs w:val="20"/>
              </w:rPr>
            </w:pPr>
          </w:p>
        </w:tc>
        <w:tc>
          <w:tcPr>
            <w:tcW w:w="541" w:type="pct"/>
            <w:vMerge w:val="continue"/>
            <w:noWrap w:val="0"/>
            <w:vAlign w:val="center"/>
          </w:tcPr>
          <w:p>
            <w:pPr>
              <w:widowControl/>
              <w:jc w:val="left"/>
              <w:rPr>
                <w:rFonts w:hint="eastAsia" w:ascii="仿宋" w:hAnsi="仿宋" w:eastAsia="仿宋" w:cs="仿宋"/>
                <w:kern w:val="0"/>
                <w:sz w:val="20"/>
                <w:szCs w:val="20"/>
              </w:rPr>
            </w:pPr>
          </w:p>
        </w:tc>
        <w:tc>
          <w:tcPr>
            <w:tcW w:w="651" w:type="pct"/>
            <w:vMerge w:val="continue"/>
            <w:noWrap w:val="0"/>
            <w:vAlign w:val="center"/>
          </w:tcPr>
          <w:p>
            <w:pPr>
              <w:widowControl/>
              <w:jc w:val="left"/>
              <w:rPr>
                <w:rFonts w:hint="eastAsia" w:ascii="仿宋" w:hAnsi="仿宋" w:eastAsia="仿宋" w:cs="仿宋"/>
                <w:kern w:val="0"/>
                <w:sz w:val="20"/>
                <w:szCs w:val="20"/>
              </w:rPr>
            </w:pPr>
          </w:p>
        </w:tc>
        <w:tc>
          <w:tcPr>
            <w:tcW w:w="1127" w:type="pc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项目验收（3分）</w:t>
            </w:r>
          </w:p>
        </w:tc>
        <w:tc>
          <w:tcPr>
            <w:tcW w:w="2138" w:type="pct"/>
            <w:noWrap w:val="0"/>
            <w:vAlign w:val="center"/>
          </w:tcPr>
          <w:p>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项目验收完整（2.7[含]-3分）；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项目验收比较完整（2.25[含]-2.7分）；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项目验收基本完整（1.8[含]-2.25分）；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未进行项目验收（0-1.8分）。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trPr>
        <w:tc>
          <w:tcPr>
            <w:tcW w:w="541" w:type="pct"/>
            <w:vMerge w:val="restar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项目产出（30分）</w:t>
            </w:r>
          </w:p>
        </w:tc>
        <w:tc>
          <w:tcPr>
            <w:tcW w:w="541" w:type="pc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产出数量（10分）</w:t>
            </w:r>
          </w:p>
        </w:tc>
        <w:tc>
          <w:tcPr>
            <w:tcW w:w="651" w:type="pc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产出数量（10分）</w:t>
            </w:r>
          </w:p>
        </w:tc>
        <w:tc>
          <w:tcPr>
            <w:tcW w:w="1127" w:type="pc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项目产出数量是否达到项目申报产出数量指标（10分）</w:t>
            </w:r>
          </w:p>
        </w:tc>
        <w:tc>
          <w:tcPr>
            <w:tcW w:w="2138" w:type="pct"/>
            <w:noWrap w:val="0"/>
            <w:vAlign w:val="center"/>
          </w:tcPr>
          <w:p>
            <w:pPr>
              <w:widowControl/>
              <w:jc w:val="left"/>
              <w:rPr>
                <w:rFonts w:hint="eastAsia" w:ascii="仿宋" w:hAnsi="仿宋" w:eastAsia="仿宋" w:cs="仿宋"/>
                <w:kern w:val="0"/>
                <w:sz w:val="20"/>
                <w:szCs w:val="20"/>
                <w:lang w:eastAsia="zh-CN"/>
              </w:rPr>
            </w:pPr>
            <w:r>
              <w:rPr>
                <w:rFonts w:hint="eastAsia" w:ascii="仿宋" w:hAnsi="仿宋" w:eastAsia="仿宋" w:cs="仿宋"/>
                <w:kern w:val="0"/>
                <w:sz w:val="20"/>
                <w:szCs w:val="20"/>
              </w:rPr>
              <w:t>项目产出数量完全达到绩效目标（9[含]-10分）；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项目产出数量达到绩效目标（7.5[含]-9分）；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项目产出数量基本达到绩效目标（6[含]-7.5分）；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项目产出数量没有达到绩效目标（0-6分）</w:t>
            </w:r>
            <w:r>
              <w:rPr>
                <w:rFonts w:hint="eastAsia" w:ascii="仿宋" w:hAnsi="仿宋" w:eastAsia="仿宋" w:cs="仿宋"/>
                <w:kern w:val="0"/>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2" w:hRule="atLeast"/>
        </w:trPr>
        <w:tc>
          <w:tcPr>
            <w:tcW w:w="541" w:type="pct"/>
            <w:vMerge w:val="continue"/>
            <w:noWrap w:val="0"/>
            <w:vAlign w:val="center"/>
          </w:tcPr>
          <w:p>
            <w:pPr>
              <w:widowControl/>
              <w:jc w:val="left"/>
              <w:rPr>
                <w:rFonts w:hint="eastAsia" w:ascii="仿宋" w:hAnsi="仿宋" w:eastAsia="仿宋" w:cs="仿宋"/>
                <w:kern w:val="0"/>
                <w:sz w:val="20"/>
                <w:szCs w:val="20"/>
              </w:rPr>
            </w:pPr>
          </w:p>
        </w:tc>
        <w:tc>
          <w:tcPr>
            <w:tcW w:w="541" w:type="pct"/>
            <w:vMerge w:val="restar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产出质量（10分）</w:t>
            </w:r>
          </w:p>
        </w:tc>
        <w:tc>
          <w:tcPr>
            <w:tcW w:w="651" w:type="pct"/>
            <w:vMerge w:val="restar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产出质量（10分）</w:t>
            </w:r>
          </w:p>
        </w:tc>
        <w:tc>
          <w:tcPr>
            <w:tcW w:w="1127" w:type="pc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预期目标完成的程度（5分）</w:t>
            </w:r>
          </w:p>
        </w:tc>
        <w:tc>
          <w:tcPr>
            <w:tcW w:w="2138" w:type="pct"/>
            <w:noWrap w:val="0"/>
            <w:vAlign w:val="center"/>
          </w:tcPr>
          <w:p>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项目预期目标完成完全达到绩效目标</w:t>
            </w:r>
          </w:p>
          <w:p>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（4.5[含]-5分）；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项目预期目标完成达到绩效目标</w:t>
            </w:r>
          </w:p>
          <w:p>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（3.75[含]-4.5分）；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项目预期目标完成基本达到绩效目标（3[含]-3.75分）；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项目预期目标完成没有达到绩效目标（0-3分）。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5" w:hRule="atLeast"/>
        </w:trPr>
        <w:tc>
          <w:tcPr>
            <w:tcW w:w="541" w:type="pct"/>
            <w:vMerge w:val="continue"/>
            <w:noWrap w:val="0"/>
            <w:vAlign w:val="center"/>
          </w:tcPr>
          <w:p>
            <w:pPr>
              <w:widowControl/>
              <w:jc w:val="left"/>
              <w:rPr>
                <w:rFonts w:hint="eastAsia" w:ascii="仿宋" w:hAnsi="仿宋" w:eastAsia="仿宋" w:cs="仿宋"/>
                <w:kern w:val="0"/>
                <w:sz w:val="20"/>
                <w:szCs w:val="20"/>
              </w:rPr>
            </w:pPr>
          </w:p>
        </w:tc>
        <w:tc>
          <w:tcPr>
            <w:tcW w:w="541" w:type="pct"/>
            <w:vMerge w:val="continue"/>
            <w:noWrap w:val="0"/>
            <w:vAlign w:val="center"/>
          </w:tcPr>
          <w:p>
            <w:pPr>
              <w:widowControl/>
              <w:jc w:val="left"/>
              <w:rPr>
                <w:rFonts w:hint="eastAsia" w:ascii="仿宋" w:hAnsi="仿宋" w:eastAsia="仿宋" w:cs="仿宋"/>
                <w:kern w:val="0"/>
                <w:sz w:val="20"/>
                <w:szCs w:val="20"/>
              </w:rPr>
            </w:pPr>
          </w:p>
        </w:tc>
        <w:tc>
          <w:tcPr>
            <w:tcW w:w="651" w:type="pct"/>
            <w:vMerge w:val="continue"/>
            <w:noWrap w:val="0"/>
            <w:vAlign w:val="center"/>
          </w:tcPr>
          <w:p>
            <w:pPr>
              <w:widowControl/>
              <w:jc w:val="center"/>
              <w:rPr>
                <w:rFonts w:hint="eastAsia" w:ascii="仿宋" w:hAnsi="仿宋" w:eastAsia="仿宋" w:cs="仿宋"/>
                <w:kern w:val="0"/>
                <w:sz w:val="20"/>
                <w:szCs w:val="20"/>
              </w:rPr>
            </w:pPr>
          </w:p>
        </w:tc>
        <w:tc>
          <w:tcPr>
            <w:tcW w:w="1127" w:type="pc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预期目标完成的质量（5分）</w:t>
            </w:r>
          </w:p>
        </w:tc>
        <w:tc>
          <w:tcPr>
            <w:tcW w:w="2138" w:type="pct"/>
            <w:noWrap w:val="0"/>
            <w:vAlign w:val="center"/>
          </w:tcPr>
          <w:p>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项目产出质量完全达到绩效目标（4.5[含]-5分）；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项目产出质量达到绩效目标（3.75[含]-4.5分）；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项目产出质量基本达到绩效目标</w:t>
            </w:r>
          </w:p>
          <w:p>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（3[含]-3.75分）；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项目产出质量没有达到绩效目标（0-3分）。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6" w:hRule="atLeast"/>
        </w:trPr>
        <w:tc>
          <w:tcPr>
            <w:tcW w:w="541" w:type="pct"/>
            <w:vMerge w:val="continue"/>
            <w:noWrap w:val="0"/>
            <w:vAlign w:val="center"/>
          </w:tcPr>
          <w:p>
            <w:pPr>
              <w:widowControl/>
              <w:jc w:val="left"/>
              <w:rPr>
                <w:rFonts w:hint="eastAsia" w:ascii="仿宋" w:hAnsi="仿宋" w:eastAsia="仿宋" w:cs="仿宋"/>
                <w:kern w:val="0"/>
                <w:sz w:val="20"/>
                <w:szCs w:val="20"/>
              </w:rPr>
            </w:pPr>
          </w:p>
        </w:tc>
        <w:tc>
          <w:tcPr>
            <w:tcW w:w="541" w:type="pc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产出时效</w:t>
            </w:r>
          </w:p>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（5分）</w:t>
            </w:r>
          </w:p>
        </w:tc>
        <w:tc>
          <w:tcPr>
            <w:tcW w:w="651" w:type="pc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完成及时性（5分）</w:t>
            </w:r>
          </w:p>
        </w:tc>
        <w:tc>
          <w:tcPr>
            <w:tcW w:w="1127" w:type="pc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项目按照时间节点完成相关工作（5分）</w:t>
            </w:r>
          </w:p>
        </w:tc>
        <w:tc>
          <w:tcPr>
            <w:tcW w:w="2138" w:type="pct"/>
            <w:noWrap w:val="0"/>
            <w:vAlign w:val="center"/>
          </w:tcPr>
          <w:p>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项目产出时效完全达到绩效目标（4.5[含]-5分）；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项目产出时效达到绩效目标（3.75[含]-4.5分）；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项目产出时效基本达到绩效目标</w:t>
            </w:r>
          </w:p>
          <w:p>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（3[含]-3.75分）；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 xml:space="preserve">项目产出时效没有达到绩效目标（0-3分）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2" w:hRule="atLeast"/>
        </w:trPr>
        <w:tc>
          <w:tcPr>
            <w:tcW w:w="541" w:type="pct"/>
            <w:vMerge w:val="continue"/>
            <w:noWrap w:val="0"/>
            <w:vAlign w:val="center"/>
          </w:tcPr>
          <w:p>
            <w:pPr>
              <w:widowControl/>
              <w:jc w:val="left"/>
              <w:rPr>
                <w:rFonts w:hint="eastAsia" w:ascii="仿宋" w:hAnsi="仿宋" w:eastAsia="仿宋" w:cs="仿宋"/>
                <w:kern w:val="0"/>
                <w:sz w:val="20"/>
                <w:szCs w:val="20"/>
              </w:rPr>
            </w:pPr>
          </w:p>
        </w:tc>
        <w:tc>
          <w:tcPr>
            <w:tcW w:w="541" w:type="pc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产出成本</w:t>
            </w:r>
          </w:p>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（5分）</w:t>
            </w:r>
          </w:p>
        </w:tc>
        <w:tc>
          <w:tcPr>
            <w:tcW w:w="651" w:type="pc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成本节约率（5分）</w:t>
            </w:r>
          </w:p>
        </w:tc>
        <w:tc>
          <w:tcPr>
            <w:tcW w:w="1127" w:type="pc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预算控制是否符合成本效益原则（5分）</w:t>
            </w:r>
          </w:p>
        </w:tc>
        <w:tc>
          <w:tcPr>
            <w:tcW w:w="2138" w:type="pct"/>
            <w:noWrap w:val="0"/>
            <w:vAlign w:val="center"/>
          </w:tcPr>
          <w:p>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项目产出成本完全达到绩效目标</w:t>
            </w:r>
          </w:p>
          <w:p>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（4.5[含]-5.0分）；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项目产出成本达到绩效目标（3.75[含]-4.5分）；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项目产出成本基本达到绩效目标</w:t>
            </w:r>
          </w:p>
          <w:p>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（3[含]-3.75分）；</w:t>
            </w:r>
            <w:r>
              <w:rPr>
                <w:rFonts w:hint="eastAsia" w:ascii="仿宋" w:hAnsi="仿宋" w:eastAsia="仿宋" w:cs="仿宋"/>
                <w:kern w:val="0"/>
                <w:sz w:val="20"/>
                <w:szCs w:val="20"/>
              </w:rPr>
              <w:br w:type="textWrapping"/>
            </w:r>
            <w:r>
              <w:rPr>
                <w:rFonts w:hint="eastAsia" w:ascii="仿宋" w:hAnsi="仿宋" w:eastAsia="仿宋" w:cs="仿宋"/>
                <w:kern w:val="0"/>
                <w:sz w:val="20"/>
                <w:szCs w:val="20"/>
              </w:rPr>
              <w:t>项目产出成本没有达到绩效目标（0-3分）。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7" w:hRule="atLeast"/>
        </w:trPr>
        <w:tc>
          <w:tcPr>
            <w:tcW w:w="541" w:type="pct"/>
            <w:vMerge w:val="restar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项目效益（30分）</w:t>
            </w:r>
          </w:p>
        </w:tc>
        <w:tc>
          <w:tcPr>
            <w:tcW w:w="541" w:type="pct"/>
            <w:vMerge w:val="restar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项目效益（30分）</w:t>
            </w:r>
          </w:p>
        </w:tc>
        <w:tc>
          <w:tcPr>
            <w:tcW w:w="651" w:type="pc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实施效益（20分）</w:t>
            </w:r>
          </w:p>
        </w:tc>
        <w:tc>
          <w:tcPr>
            <w:tcW w:w="1127" w:type="pc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sz w:val="20"/>
                <w:szCs w:val="20"/>
              </w:rPr>
              <w:t>提升对城市的地震应对服务能力（20分）</w:t>
            </w:r>
          </w:p>
        </w:tc>
        <w:tc>
          <w:tcPr>
            <w:tcW w:w="2138" w:type="pct"/>
            <w:noWrap w:val="0"/>
            <w:vAlign w:val="center"/>
          </w:tcPr>
          <w:p>
            <w:pPr>
              <w:widowControl/>
              <w:jc w:val="left"/>
              <w:rPr>
                <w:rFonts w:hint="eastAsia" w:ascii="仿宋" w:hAnsi="仿宋" w:eastAsia="仿宋" w:cs="仿宋"/>
                <w:sz w:val="20"/>
                <w:szCs w:val="20"/>
              </w:rPr>
            </w:pPr>
            <w:r>
              <w:rPr>
                <w:rFonts w:hint="eastAsia" w:ascii="仿宋" w:hAnsi="仿宋" w:eastAsia="仿宋" w:cs="仿宋"/>
                <w:sz w:val="20"/>
                <w:szCs w:val="20"/>
              </w:rPr>
              <w:t>提升对城市的地震应对服务能力作用明显</w:t>
            </w:r>
          </w:p>
          <w:p>
            <w:pPr>
              <w:widowControl/>
              <w:jc w:val="left"/>
              <w:rPr>
                <w:rFonts w:hint="eastAsia" w:ascii="仿宋" w:hAnsi="仿宋" w:eastAsia="仿宋" w:cs="仿宋"/>
                <w:sz w:val="20"/>
                <w:szCs w:val="20"/>
              </w:rPr>
            </w:pPr>
            <w:r>
              <w:rPr>
                <w:rFonts w:hint="eastAsia" w:ascii="仿宋" w:hAnsi="仿宋" w:eastAsia="仿宋" w:cs="仿宋"/>
                <w:sz w:val="20"/>
                <w:szCs w:val="20"/>
              </w:rPr>
              <w:t>（1</w:t>
            </w:r>
            <w:r>
              <w:rPr>
                <w:rFonts w:hint="eastAsia" w:ascii="仿宋" w:hAnsi="仿宋" w:eastAsia="仿宋" w:cs="仿宋"/>
                <w:sz w:val="20"/>
                <w:szCs w:val="20"/>
                <w:lang w:val="en-US" w:eastAsia="zh-CN"/>
              </w:rPr>
              <w:t>8</w:t>
            </w:r>
            <w:r>
              <w:rPr>
                <w:rFonts w:hint="eastAsia" w:ascii="仿宋" w:hAnsi="仿宋" w:eastAsia="仿宋" w:cs="仿宋"/>
                <w:sz w:val="20"/>
                <w:szCs w:val="20"/>
              </w:rPr>
              <w:t>分[含]-20分）</w:t>
            </w:r>
            <w:r>
              <w:rPr>
                <w:rFonts w:hint="eastAsia" w:ascii="仿宋" w:hAnsi="仿宋" w:eastAsia="仿宋" w:cs="仿宋"/>
                <w:sz w:val="20"/>
                <w:szCs w:val="20"/>
                <w:lang w:eastAsia="zh-CN"/>
              </w:rPr>
              <w:t>；</w:t>
            </w:r>
            <w:r>
              <w:rPr>
                <w:rFonts w:hint="eastAsia" w:ascii="仿宋" w:hAnsi="仿宋" w:eastAsia="仿宋" w:cs="仿宋"/>
                <w:sz w:val="20"/>
                <w:szCs w:val="20"/>
              </w:rPr>
              <w:br w:type="textWrapping"/>
            </w:r>
            <w:r>
              <w:rPr>
                <w:rFonts w:hint="eastAsia" w:ascii="仿宋" w:hAnsi="仿宋" w:eastAsia="仿宋" w:cs="仿宋"/>
                <w:sz w:val="20"/>
                <w:szCs w:val="20"/>
              </w:rPr>
              <w:t>提升对城市的地震应对服务能力作用比较明显（</w:t>
            </w:r>
            <w:r>
              <w:rPr>
                <w:rFonts w:hint="eastAsia" w:ascii="仿宋" w:hAnsi="仿宋" w:eastAsia="仿宋" w:cs="仿宋"/>
                <w:sz w:val="20"/>
                <w:szCs w:val="20"/>
                <w:lang w:val="en-US" w:eastAsia="zh-CN"/>
              </w:rPr>
              <w:t>15</w:t>
            </w:r>
            <w:r>
              <w:rPr>
                <w:rFonts w:hint="eastAsia" w:ascii="仿宋" w:hAnsi="仿宋" w:eastAsia="仿宋" w:cs="仿宋"/>
                <w:sz w:val="20"/>
                <w:szCs w:val="20"/>
              </w:rPr>
              <w:t>分[含]-1</w:t>
            </w:r>
            <w:r>
              <w:rPr>
                <w:rFonts w:hint="eastAsia" w:ascii="仿宋" w:hAnsi="仿宋" w:eastAsia="仿宋" w:cs="仿宋"/>
                <w:sz w:val="20"/>
                <w:szCs w:val="20"/>
                <w:lang w:val="en-US" w:eastAsia="zh-CN"/>
              </w:rPr>
              <w:t>8</w:t>
            </w:r>
            <w:r>
              <w:rPr>
                <w:rFonts w:hint="eastAsia" w:ascii="仿宋" w:hAnsi="仿宋" w:eastAsia="仿宋" w:cs="仿宋"/>
                <w:sz w:val="20"/>
                <w:szCs w:val="20"/>
              </w:rPr>
              <w:t>分）</w:t>
            </w:r>
            <w:r>
              <w:rPr>
                <w:rFonts w:hint="eastAsia" w:ascii="仿宋" w:hAnsi="仿宋" w:eastAsia="仿宋" w:cs="仿宋"/>
                <w:sz w:val="20"/>
                <w:szCs w:val="20"/>
                <w:lang w:eastAsia="zh-CN"/>
              </w:rPr>
              <w:t>；</w:t>
            </w:r>
            <w:r>
              <w:rPr>
                <w:rFonts w:hint="eastAsia" w:ascii="仿宋" w:hAnsi="仿宋" w:eastAsia="仿宋" w:cs="仿宋"/>
                <w:sz w:val="20"/>
                <w:szCs w:val="20"/>
              </w:rPr>
              <w:br w:type="textWrapping"/>
            </w:r>
            <w:r>
              <w:rPr>
                <w:rFonts w:hint="eastAsia" w:ascii="仿宋" w:hAnsi="仿宋" w:eastAsia="仿宋" w:cs="仿宋"/>
                <w:sz w:val="20"/>
                <w:szCs w:val="20"/>
              </w:rPr>
              <w:t>提升对城市的地震应对服务能力作用基本明显（</w:t>
            </w:r>
            <w:r>
              <w:rPr>
                <w:rFonts w:hint="eastAsia" w:ascii="仿宋" w:hAnsi="仿宋" w:eastAsia="仿宋" w:cs="仿宋"/>
                <w:sz w:val="20"/>
                <w:szCs w:val="20"/>
                <w:lang w:val="en-US" w:eastAsia="zh-CN"/>
              </w:rPr>
              <w:t>12</w:t>
            </w:r>
            <w:r>
              <w:rPr>
                <w:rFonts w:hint="eastAsia" w:ascii="仿宋" w:hAnsi="仿宋" w:eastAsia="仿宋" w:cs="仿宋"/>
                <w:sz w:val="20"/>
                <w:szCs w:val="20"/>
              </w:rPr>
              <w:t>分[含]-</w:t>
            </w:r>
            <w:r>
              <w:rPr>
                <w:rFonts w:hint="eastAsia" w:ascii="仿宋" w:hAnsi="仿宋" w:eastAsia="仿宋" w:cs="仿宋"/>
                <w:sz w:val="20"/>
                <w:szCs w:val="20"/>
                <w:lang w:val="en-US" w:eastAsia="zh-CN"/>
              </w:rPr>
              <w:t>15</w:t>
            </w:r>
            <w:r>
              <w:rPr>
                <w:rFonts w:hint="eastAsia" w:ascii="仿宋" w:hAnsi="仿宋" w:eastAsia="仿宋" w:cs="仿宋"/>
                <w:sz w:val="20"/>
                <w:szCs w:val="20"/>
              </w:rPr>
              <w:t>分）</w:t>
            </w:r>
            <w:r>
              <w:rPr>
                <w:rFonts w:hint="eastAsia" w:ascii="仿宋" w:hAnsi="仿宋" w:eastAsia="仿宋" w:cs="仿宋"/>
                <w:sz w:val="20"/>
                <w:szCs w:val="20"/>
                <w:lang w:eastAsia="zh-CN"/>
              </w:rPr>
              <w:t>；</w:t>
            </w:r>
            <w:r>
              <w:rPr>
                <w:rFonts w:hint="eastAsia" w:ascii="仿宋" w:hAnsi="仿宋" w:eastAsia="仿宋" w:cs="仿宋"/>
                <w:sz w:val="20"/>
                <w:szCs w:val="20"/>
              </w:rPr>
              <w:br w:type="textWrapping"/>
            </w:r>
            <w:r>
              <w:rPr>
                <w:rFonts w:hint="eastAsia" w:ascii="仿宋" w:hAnsi="仿宋" w:eastAsia="仿宋" w:cs="仿宋"/>
                <w:sz w:val="20"/>
                <w:szCs w:val="20"/>
              </w:rPr>
              <w:t>提升对城市的地震应对服务能力作用不太明显</w:t>
            </w:r>
          </w:p>
          <w:p>
            <w:pPr>
              <w:widowControl/>
              <w:jc w:val="left"/>
              <w:rPr>
                <w:rFonts w:hint="eastAsia" w:ascii="仿宋" w:hAnsi="仿宋" w:eastAsia="仿宋" w:cs="仿宋"/>
                <w:kern w:val="0"/>
                <w:sz w:val="20"/>
                <w:szCs w:val="20"/>
                <w:lang w:eastAsia="zh-CN"/>
              </w:rPr>
            </w:pPr>
            <w:r>
              <w:rPr>
                <w:rFonts w:hint="eastAsia" w:ascii="仿宋" w:hAnsi="仿宋" w:eastAsia="仿宋" w:cs="仿宋"/>
                <w:sz w:val="20"/>
                <w:szCs w:val="20"/>
              </w:rPr>
              <w:t>（0分[含]-</w:t>
            </w:r>
            <w:r>
              <w:rPr>
                <w:rFonts w:hint="eastAsia" w:ascii="仿宋" w:hAnsi="仿宋" w:eastAsia="仿宋" w:cs="仿宋"/>
                <w:sz w:val="20"/>
                <w:szCs w:val="20"/>
                <w:lang w:val="en-US" w:eastAsia="zh-CN"/>
              </w:rPr>
              <w:t>12</w:t>
            </w:r>
            <w:r>
              <w:rPr>
                <w:rFonts w:hint="eastAsia" w:ascii="仿宋" w:hAnsi="仿宋" w:eastAsia="仿宋" w:cs="仿宋"/>
                <w:sz w:val="20"/>
                <w:szCs w:val="20"/>
              </w:rPr>
              <w:t>分）</w:t>
            </w:r>
            <w:r>
              <w:rPr>
                <w:rFonts w:hint="eastAsia" w:ascii="仿宋" w:hAnsi="仿宋" w:eastAsia="仿宋" w:cs="仿宋"/>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9" w:hRule="atLeast"/>
        </w:trPr>
        <w:tc>
          <w:tcPr>
            <w:tcW w:w="541" w:type="pct"/>
            <w:vMerge w:val="continue"/>
            <w:noWrap w:val="0"/>
            <w:vAlign w:val="center"/>
          </w:tcPr>
          <w:p>
            <w:pPr>
              <w:widowControl/>
              <w:jc w:val="left"/>
              <w:rPr>
                <w:rFonts w:hint="eastAsia" w:ascii="仿宋" w:hAnsi="仿宋" w:eastAsia="仿宋" w:cs="仿宋"/>
                <w:kern w:val="0"/>
                <w:sz w:val="20"/>
                <w:szCs w:val="20"/>
              </w:rPr>
            </w:pPr>
          </w:p>
        </w:tc>
        <w:tc>
          <w:tcPr>
            <w:tcW w:w="541" w:type="pct"/>
            <w:vMerge w:val="continue"/>
            <w:noWrap w:val="0"/>
            <w:vAlign w:val="center"/>
          </w:tcPr>
          <w:p>
            <w:pPr>
              <w:widowControl/>
              <w:jc w:val="left"/>
              <w:rPr>
                <w:rFonts w:hint="eastAsia" w:ascii="仿宋" w:hAnsi="仿宋" w:eastAsia="仿宋" w:cs="仿宋"/>
                <w:kern w:val="0"/>
                <w:sz w:val="20"/>
                <w:szCs w:val="20"/>
              </w:rPr>
            </w:pPr>
          </w:p>
        </w:tc>
        <w:tc>
          <w:tcPr>
            <w:tcW w:w="651" w:type="pc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服务对象满意度（10分）</w:t>
            </w:r>
          </w:p>
        </w:tc>
        <w:tc>
          <w:tcPr>
            <w:tcW w:w="1127" w:type="pct"/>
            <w:noWrap w:val="0"/>
            <w:vAlign w:val="center"/>
          </w:tcPr>
          <w:p>
            <w:pPr>
              <w:widowControl/>
              <w:jc w:val="center"/>
              <w:rPr>
                <w:rFonts w:hint="eastAsia" w:ascii="仿宋" w:hAnsi="仿宋" w:eastAsia="仿宋" w:cs="仿宋"/>
                <w:kern w:val="0"/>
                <w:sz w:val="20"/>
                <w:szCs w:val="20"/>
              </w:rPr>
            </w:pPr>
            <w:r>
              <w:rPr>
                <w:rFonts w:hint="eastAsia" w:ascii="仿宋" w:hAnsi="仿宋" w:eastAsia="仿宋" w:cs="仿宋"/>
                <w:sz w:val="20"/>
                <w:szCs w:val="20"/>
              </w:rPr>
              <w:t>使用人员满意度（10分）</w:t>
            </w:r>
          </w:p>
        </w:tc>
        <w:tc>
          <w:tcPr>
            <w:tcW w:w="2138" w:type="pct"/>
            <w:noWrap w:val="0"/>
            <w:vAlign w:val="center"/>
          </w:tcPr>
          <w:p>
            <w:pPr>
              <w:widowControl/>
              <w:jc w:val="left"/>
              <w:rPr>
                <w:rFonts w:hint="eastAsia" w:ascii="仿宋" w:hAnsi="仿宋" w:eastAsia="仿宋" w:cs="仿宋"/>
                <w:sz w:val="20"/>
                <w:szCs w:val="20"/>
              </w:rPr>
            </w:pPr>
            <w:r>
              <w:rPr>
                <w:rFonts w:hint="eastAsia" w:ascii="仿宋" w:hAnsi="仿宋" w:eastAsia="仿宋" w:cs="仿宋"/>
                <w:sz w:val="20"/>
                <w:szCs w:val="20"/>
              </w:rPr>
              <w:t>服务对象明确，满意度高（9分[含]-10分）；</w:t>
            </w:r>
            <w:r>
              <w:rPr>
                <w:rFonts w:hint="eastAsia" w:ascii="仿宋" w:hAnsi="仿宋" w:eastAsia="仿宋" w:cs="仿宋"/>
                <w:sz w:val="20"/>
                <w:szCs w:val="20"/>
              </w:rPr>
              <w:br w:type="textWrapping"/>
            </w:r>
            <w:r>
              <w:rPr>
                <w:rFonts w:hint="eastAsia" w:ascii="仿宋" w:hAnsi="仿宋" w:eastAsia="仿宋" w:cs="仿宋"/>
                <w:sz w:val="20"/>
                <w:szCs w:val="20"/>
              </w:rPr>
              <w:t>服务对象比较明确，满意度较高</w:t>
            </w:r>
          </w:p>
          <w:p>
            <w:pPr>
              <w:widowControl/>
              <w:jc w:val="left"/>
              <w:rPr>
                <w:rFonts w:hint="eastAsia" w:ascii="仿宋" w:hAnsi="仿宋" w:eastAsia="仿宋" w:cs="仿宋"/>
                <w:sz w:val="20"/>
                <w:szCs w:val="20"/>
              </w:rPr>
            </w:pPr>
            <w:r>
              <w:rPr>
                <w:rFonts w:hint="eastAsia" w:ascii="仿宋" w:hAnsi="仿宋" w:eastAsia="仿宋" w:cs="仿宋"/>
                <w:sz w:val="20"/>
                <w:szCs w:val="20"/>
              </w:rPr>
              <w:t>（7.5分[含]-9分）；</w:t>
            </w:r>
            <w:r>
              <w:rPr>
                <w:rFonts w:hint="eastAsia" w:ascii="仿宋" w:hAnsi="仿宋" w:eastAsia="仿宋" w:cs="仿宋"/>
                <w:sz w:val="20"/>
                <w:szCs w:val="20"/>
              </w:rPr>
              <w:br w:type="textWrapping"/>
            </w:r>
            <w:r>
              <w:rPr>
                <w:rFonts w:hint="eastAsia" w:ascii="仿宋" w:hAnsi="仿宋" w:eastAsia="仿宋" w:cs="仿宋"/>
                <w:sz w:val="20"/>
                <w:szCs w:val="20"/>
              </w:rPr>
              <w:t>服务对象基本明确，满意度一般</w:t>
            </w:r>
          </w:p>
          <w:p>
            <w:pPr>
              <w:widowControl/>
              <w:jc w:val="left"/>
              <w:rPr>
                <w:rFonts w:hint="eastAsia" w:ascii="仿宋" w:hAnsi="仿宋" w:eastAsia="仿宋" w:cs="仿宋"/>
                <w:sz w:val="20"/>
                <w:szCs w:val="20"/>
              </w:rPr>
            </w:pPr>
            <w:r>
              <w:rPr>
                <w:rFonts w:hint="eastAsia" w:ascii="仿宋" w:hAnsi="仿宋" w:eastAsia="仿宋" w:cs="仿宋"/>
                <w:sz w:val="20"/>
                <w:szCs w:val="20"/>
              </w:rPr>
              <w:t xml:space="preserve">（6分[含]-7.5分）；  </w:t>
            </w:r>
            <w:r>
              <w:rPr>
                <w:rFonts w:hint="eastAsia" w:ascii="仿宋" w:hAnsi="仿宋" w:eastAsia="仿宋" w:cs="仿宋"/>
                <w:sz w:val="20"/>
                <w:szCs w:val="20"/>
                <w:lang w:val="en-US" w:eastAsia="zh-CN"/>
              </w:rPr>
              <w:t xml:space="preserve"> </w:t>
            </w:r>
            <w:r>
              <w:rPr>
                <w:rFonts w:hint="eastAsia" w:ascii="仿宋" w:hAnsi="仿宋" w:eastAsia="仿宋" w:cs="仿宋"/>
                <w:sz w:val="20"/>
                <w:szCs w:val="20"/>
              </w:rPr>
              <w:t xml:space="preserve">                                    服务对象不够明确，满意度较低</w:t>
            </w:r>
          </w:p>
          <w:p>
            <w:pPr>
              <w:widowControl/>
              <w:jc w:val="left"/>
              <w:rPr>
                <w:rFonts w:hint="eastAsia" w:ascii="仿宋" w:hAnsi="仿宋" w:eastAsia="仿宋" w:cs="仿宋"/>
                <w:kern w:val="0"/>
                <w:sz w:val="20"/>
                <w:szCs w:val="20"/>
              </w:rPr>
            </w:pPr>
            <w:r>
              <w:rPr>
                <w:rFonts w:hint="eastAsia" w:ascii="仿宋" w:hAnsi="仿宋" w:eastAsia="仿宋" w:cs="仿宋"/>
                <w:sz w:val="20"/>
                <w:szCs w:val="20"/>
              </w:rPr>
              <w:t xml:space="preserve">（0分[含]-6分）。   </w:t>
            </w:r>
          </w:p>
        </w:tc>
      </w:tr>
    </w:tbl>
    <w:p>
      <w:pPr>
        <w:spacing w:line="560" w:lineRule="exact"/>
        <w:ind w:firstLine="643" w:firstLineChars="200"/>
        <w:rPr>
          <w:rFonts w:ascii="仿宋" w:hAnsi="仿宋" w:eastAsia="仿宋"/>
          <w:b/>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b/>
          <w:bCs/>
          <w:sz w:val="32"/>
          <w:szCs w:val="32"/>
        </w:rPr>
      </w:pPr>
      <w:r>
        <w:rPr>
          <w:rFonts w:hint="eastAsia" w:ascii="仿宋" w:hAnsi="仿宋" w:eastAsia="仿宋" w:cs="仿宋"/>
          <w:b/>
          <w:bCs/>
          <w:sz w:val="32"/>
          <w:szCs w:val="32"/>
        </w:rPr>
        <w:t>3.绩效评价</w:t>
      </w:r>
      <w:r>
        <w:rPr>
          <w:rFonts w:hint="eastAsia" w:ascii="仿宋_GB2312" w:hAnsi="仿宋" w:eastAsia="仿宋_GB2312" w:cs="仿宋"/>
          <w:b/>
          <w:bCs/>
          <w:sz w:val="32"/>
          <w:szCs w:val="32"/>
        </w:rPr>
        <w:t>方法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本次绩效评价采用定量和定性评价相结合的比较分析法,总分由各项指标得分汇总形成。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定量指标得分按照以下方法评定：与年初指标值相比，完成指标值的，计该指标所赋全部分值；如果是由于年初指标值设定明显偏低造成的，要按照偏离度适度调减分值；未完成指标值的，按照完成值在指标值中所占比例记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定性指标得分按照以下方法评定：根据指标完成情况分为完全达成年度指标、基本达成年度指标且有一定效果、部分达成年度指标、未达成年度指标且效果较差4档，分别按照该指标对应分值区间100%-90%（含90%）、90-80%（含80%）、80%-60%（含60%）、60%-0合理确定分值。各项绩效指标得分汇总成该项目自评的总分。</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b/>
          <w:bCs/>
          <w:sz w:val="32"/>
          <w:szCs w:val="32"/>
        </w:rPr>
      </w:pPr>
      <w:r>
        <w:rPr>
          <w:rFonts w:hint="eastAsia" w:ascii="仿宋" w:hAnsi="仿宋" w:eastAsia="仿宋" w:cs="仿宋"/>
          <w:b/>
          <w:bCs/>
          <w:sz w:val="32"/>
          <w:szCs w:val="32"/>
        </w:rPr>
        <w:t>4.绩效评价标准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本次绩效评价采取评分和评级相结合的方式，具体分为4个等级：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综合得分90分（含）以上，绩效级别评定为优秀；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综合得分80分（含）-90分之间，绩效级别评定为良好；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综合得分60（含）-80分之间，绩效级别评定为中；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综合得分60分以下，绩效级别评定为差。</w:t>
      </w:r>
    </w:p>
    <w:p>
      <w:pPr>
        <w:pStyle w:val="4"/>
        <w:pageBreakBefore w:val="0"/>
        <w:widowControl w:val="0"/>
        <w:kinsoku/>
        <w:wordWrap/>
        <w:overflowPunct/>
        <w:topLinePunct w:val="0"/>
        <w:autoSpaceDE/>
        <w:autoSpaceDN/>
        <w:bidi w:val="0"/>
        <w:adjustRightInd/>
        <w:snapToGrid/>
        <w:spacing w:before="120" w:after="120" w:line="560" w:lineRule="exact"/>
        <w:ind w:firstLine="643"/>
        <w:textAlignment w:val="auto"/>
        <w:rPr>
          <w:rFonts w:hint="eastAsia" w:ascii="楷体" w:hAnsi="楷体" w:eastAsia="楷体" w:cs="楷体"/>
          <w:b/>
          <w:bCs/>
          <w:sz w:val="32"/>
          <w:szCs w:val="32"/>
        </w:rPr>
      </w:pPr>
      <w:bookmarkStart w:id="19" w:name="_Toc11446"/>
      <w:bookmarkStart w:id="20" w:name="_Toc135081893"/>
      <w:bookmarkStart w:id="21" w:name="_Toc21818"/>
      <w:bookmarkStart w:id="22" w:name="_Toc135086616"/>
      <w:r>
        <w:rPr>
          <w:rFonts w:hint="eastAsia" w:ascii="楷体" w:hAnsi="楷体" w:eastAsia="楷体" w:cs="楷体"/>
          <w:b/>
          <w:bCs/>
          <w:sz w:val="32"/>
          <w:szCs w:val="32"/>
        </w:rPr>
        <w:t>（三）绩效评价工作过程</w:t>
      </w:r>
      <w:bookmarkEnd w:id="19"/>
      <w:bookmarkEnd w:id="20"/>
      <w:bookmarkEnd w:id="21"/>
      <w:bookmarkEnd w:id="22"/>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1.基本情况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评价工作组接受委托后，根据 “通知”等文件规定，辅导、审核项目单位编写绩效自评报告；深入项目单位调研，了解项目情况；制定、细化项目评价指标体系；编制项目评价方案和专家工作手册，确定评价方法。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经过充分的前期准备，评价工作组于2023年5月11日组织了专家评价会。本次评价会专家组包括2名业务专家、1名财务专家、2名绩效管理专家。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评价组专家采用抽样、问询、复核方式详细了解了项目绩效执行情况，提出了有关意见，并详细填写了《专家评价书》。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根据专家组综合意见，评价工作组出具了“地震灾害情景构建与应用能力提升”</w:t>
      </w:r>
      <w:r>
        <w:rPr>
          <w:rFonts w:hint="eastAsia" w:ascii="仿宋" w:hAnsi="仿宋" w:eastAsia="仿宋" w:cs="仿宋"/>
          <w:sz w:val="32"/>
          <w:szCs w:val="32"/>
          <w:lang w:val="en-US" w:eastAsia="zh-CN"/>
        </w:rPr>
        <w:t>项目</w:t>
      </w:r>
      <w:r>
        <w:rPr>
          <w:rFonts w:hint="eastAsia" w:ascii="仿宋" w:hAnsi="仿宋" w:eastAsia="仿宋" w:cs="仿宋"/>
          <w:sz w:val="32"/>
          <w:szCs w:val="32"/>
        </w:rPr>
        <w:t>《专家意见汇总书》和《绩效评价报告》以及相关附件，并上报提交给北京市地震局。</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2.评价组织实施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绩效评价工作过程主要分为准备评价阶段、实施评价阶段、评价报告撰写三个阶段。</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rPr>
      </w:pPr>
      <w:bookmarkStart w:id="23" w:name="_Hlk103174272"/>
      <w:r>
        <w:rPr>
          <w:rFonts w:hint="eastAsia" w:ascii="仿宋" w:hAnsi="仿宋" w:eastAsia="仿宋" w:cs="仿宋"/>
          <w:b/>
          <w:bCs/>
          <w:sz w:val="32"/>
          <w:szCs w:val="32"/>
        </w:rPr>
        <w:t>准备评价阶段：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（1）明确评价依据、任务、时间、人员等事项。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（2）制定评价工作方案。评价工作组根据“通知”要求，制定评价组工作方案。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（3）组织针对性培训，评价工作组结合所负责项目的具体情况和特点对项目单位开展相关业务培训。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评价工作组对项目单位按要求填制的《绩效目标表》进行审核确认，对绩效目标的明确性和合理性进行分析和判断。对于缺少明确性和合理性、或绩效目标缺少详细内容的，评价工作组应辅导项目单位，按照绩效目标的确定原则，重新拟定绩效目标，并配合项目单位撰写绩效报告。</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rPr>
      </w:pPr>
      <w:bookmarkStart w:id="24" w:name="_Toc340589840"/>
      <w:r>
        <w:rPr>
          <w:rFonts w:hint="eastAsia" w:ascii="仿宋" w:hAnsi="仿宋" w:eastAsia="仿宋" w:cs="仿宋"/>
          <w:b/>
          <w:bCs/>
          <w:sz w:val="32"/>
          <w:szCs w:val="32"/>
        </w:rPr>
        <w:t>实施评价阶段</w:t>
      </w:r>
      <w:bookmarkEnd w:id="24"/>
      <w:r>
        <w:rPr>
          <w:rFonts w:hint="eastAsia" w:ascii="仿宋" w:hAnsi="仿宋" w:eastAsia="仿宋" w:cs="仿宋"/>
          <w:b/>
          <w:bCs/>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（1）开展调研，收集评价资料。按照北京市财政局制定的《项目绩效评价资料准备清单》，评价工作组人员赴项目单位调研，收集相关评价资料。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（2）审核资料。评价工作组在规定时间内按要求对各单位提交的绩效报告和所收集相关材料的完整性和真实性进行复核。</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（3）遴选业务专家，组成专家评价工作组。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（4）进一步研究制定指标体系。评价工作组根据项目实际情况，会同专家和项目单位细化评价指标，明确指标权重和评价标准，制定项目指标体系。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（5）编制专家资料手册，准备专家评价会议所需材料。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（6）召开专家评价会。</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rPr>
      </w:pPr>
      <w:bookmarkStart w:id="25" w:name="_Toc340589841"/>
      <w:r>
        <w:rPr>
          <w:rFonts w:hint="eastAsia" w:ascii="仿宋" w:hAnsi="仿宋" w:eastAsia="仿宋" w:cs="仿宋"/>
          <w:b/>
          <w:bCs/>
          <w:sz w:val="32"/>
          <w:szCs w:val="32"/>
        </w:rPr>
        <w:t>评价报告撰写阶段</w:t>
      </w:r>
      <w:bookmarkEnd w:id="25"/>
      <w:r>
        <w:rPr>
          <w:rFonts w:hint="eastAsia" w:ascii="仿宋" w:hAnsi="仿宋" w:eastAsia="仿宋" w:cs="仿宋"/>
          <w:b/>
          <w:bCs/>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（1）与项目单位沟通意见，在充分研究论证的基础上，修改和完善项目绩效评价报告。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（2）协助做好此次评价后续工作。</w:t>
      </w:r>
      <w:bookmarkEnd w:id="23"/>
    </w:p>
    <w:bookmarkEnd w:id="4"/>
    <w:bookmarkEnd w:id="10"/>
    <w:p>
      <w:pPr>
        <w:pStyle w:val="3"/>
        <w:pageBreakBefore w:val="0"/>
        <w:widowControl w:val="0"/>
        <w:kinsoku/>
        <w:wordWrap/>
        <w:overflowPunct/>
        <w:topLinePunct w:val="0"/>
        <w:autoSpaceDE/>
        <w:autoSpaceDN/>
        <w:bidi w:val="0"/>
        <w:adjustRightInd/>
        <w:snapToGrid/>
        <w:spacing w:line="560" w:lineRule="exact"/>
        <w:ind w:firstLine="643"/>
        <w:textAlignment w:val="auto"/>
        <w:rPr>
          <w:rFonts w:hint="eastAsia" w:ascii="Calibri" w:hAnsi="Calibri" w:cs="Times New Roman"/>
          <w:b/>
          <w:bCs/>
        </w:rPr>
      </w:pPr>
      <w:bookmarkStart w:id="26" w:name="_Toc9392"/>
      <w:bookmarkStart w:id="27" w:name="_Toc325442842"/>
      <w:r>
        <w:rPr>
          <w:rFonts w:hint="eastAsia" w:ascii="Calibri" w:hAnsi="Calibri" w:cs="Times New Roman"/>
          <w:b/>
          <w:bCs/>
        </w:rPr>
        <w:t>三、综合评价情况及评价结论</w:t>
      </w:r>
      <w:bookmarkEnd w:id="26"/>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该项目立项背景完善，决策依据充分，总体绩效目标明确，管理较严谨，实施效果显著。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该项目综合评价得分85.44分，级别评定“良好”。该项目得分情况具体如下表：</w:t>
      </w:r>
    </w:p>
    <w:tbl>
      <w:tblPr>
        <w:tblStyle w:val="6"/>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18"/>
        <w:gridCol w:w="2500"/>
        <w:gridCol w:w="2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64" w:type="pct"/>
            <w:vMerge w:val="restart"/>
            <w:shd w:val="clear" w:color="auto" w:fill="DCD8C2"/>
            <w:noWrap w:val="0"/>
            <w:vAlign w:val="center"/>
          </w:tcPr>
          <w:p>
            <w:pPr>
              <w:widowControl/>
              <w:jc w:val="center"/>
              <w:rPr>
                <w:rFonts w:hint="eastAsia" w:ascii="宋体" w:hAnsi="宋体" w:cs="宋体"/>
                <w:b/>
                <w:bCs/>
                <w:kern w:val="0"/>
                <w:sz w:val="28"/>
                <w:szCs w:val="28"/>
              </w:rPr>
            </w:pPr>
            <w:r>
              <w:rPr>
                <w:rFonts w:hint="eastAsia" w:ascii="宋体" w:hAnsi="宋体" w:cs="宋体"/>
                <w:b/>
                <w:bCs/>
                <w:kern w:val="0"/>
                <w:sz w:val="28"/>
                <w:szCs w:val="28"/>
              </w:rPr>
              <w:t>评价内容</w:t>
            </w:r>
          </w:p>
        </w:tc>
        <w:tc>
          <w:tcPr>
            <w:tcW w:w="1467" w:type="pct"/>
            <w:vMerge w:val="restart"/>
            <w:shd w:val="clear" w:color="auto" w:fill="DCD8C2"/>
            <w:noWrap w:val="0"/>
            <w:vAlign w:val="center"/>
          </w:tcPr>
          <w:p>
            <w:pPr>
              <w:widowControl/>
              <w:jc w:val="center"/>
              <w:rPr>
                <w:rFonts w:hint="eastAsia" w:ascii="宋体" w:hAnsi="宋体" w:cs="宋体"/>
                <w:b/>
                <w:bCs/>
                <w:kern w:val="0"/>
                <w:sz w:val="28"/>
                <w:szCs w:val="28"/>
              </w:rPr>
            </w:pPr>
            <w:r>
              <w:rPr>
                <w:rFonts w:hint="eastAsia" w:ascii="宋体" w:hAnsi="宋体" w:cs="宋体"/>
                <w:b/>
                <w:bCs/>
                <w:kern w:val="0"/>
                <w:sz w:val="28"/>
                <w:szCs w:val="28"/>
              </w:rPr>
              <w:t>该项分值</w:t>
            </w:r>
          </w:p>
        </w:tc>
        <w:tc>
          <w:tcPr>
            <w:tcW w:w="1467" w:type="pct"/>
            <w:vMerge w:val="restart"/>
            <w:shd w:val="clear" w:color="auto" w:fill="DCD8C2"/>
            <w:noWrap w:val="0"/>
            <w:vAlign w:val="center"/>
          </w:tcPr>
          <w:p>
            <w:pPr>
              <w:widowControl/>
              <w:jc w:val="center"/>
              <w:rPr>
                <w:rFonts w:hint="eastAsia" w:ascii="宋体" w:hAnsi="宋体" w:cs="宋体"/>
                <w:b/>
                <w:bCs/>
                <w:kern w:val="0"/>
                <w:sz w:val="28"/>
                <w:szCs w:val="28"/>
              </w:rPr>
            </w:pPr>
            <w:r>
              <w:rPr>
                <w:rFonts w:hint="eastAsia" w:ascii="宋体" w:hAnsi="宋体" w:cs="宋体"/>
                <w:b/>
                <w:bCs/>
                <w:kern w:val="0"/>
                <w:sz w:val="28"/>
                <w:szCs w:val="28"/>
              </w:rPr>
              <w:t>评价得分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64" w:type="pct"/>
            <w:vMerge w:val="continue"/>
            <w:shd w:val="clear" w:color="auto" w:fill="DCD8C2"/>
            <w:noWrap w:val="0"/>
            <w:vAlign w:val="center"/>
          </w:tcPr>
          <w:p>
            <w:pPr>
              <w:widowControl/>
              <w:jc w:val="center"/>
              <w:rPr>
                <w:rFonts w:hint="eastAsia" w:ascii="宋体" w:hAnsi="宋体" w:cs="宋体"/>
                <w:b/>
                <w:bCs/>
                <w:kern w:val="0"/>
                <w:sz w:val="28"/>
                <w:szCs w:val="28"/>
              </w:rPr>
            </w:pPr>
          </w:p>
        </w:tc>
        <w:tc>
          <w:tcPr>
            <w:tcW w:w="1467" w:type="pct"/>
            <w:vMerge w:val="continue"/>
            <w:shd w:val="clear" w:color="auto" w:fill="DCD8C2"/>
            <w:noWrap w:val="0"/>
            <w:vAlign w:val="center"/>
          </w:tcPr>
          <w:p>
            <w:pPr>
              <w:widowControl/>
              <w:jc w:val="center"/>
              <w:rPr>
                <w:rFonts w:hint="eastAsia" w:ascii="宋体" w:hAnsi="宋体" w:cs="宋体"/>
                <w:b/>
                <w:bCs/>
                <w:kern w:val="0"/>
                <w:sz w:val="28"/>
                <w:szCs w:val="28"/>
              </w:rPr>
            </w:pPr>
          </w:p>
        </w:tc>
        <w:tc>
          <w:tcPr>
            <w:tcW w:w="1467" w:type="pct"/>
            <w:vMerge w:val="continue"/>
            <w:shd w:val="clear" w:color="auto" w:fill="DCD8C2"/>
            <w:noWrap w:val="0"/>
            <w:vAlign w:val="center"/>
          </w:tcPr>
          <w:p>
            <w:pPr>
              <w:widowControl/>
              <w:jc w:val="center"/>
              <w:rPr>
                <w:rFonts w:hint="eastAsia" w:ascii="宋体" w:hAnsi="宋体" w:cs="宋体"/>
                <w:b/>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064" w:type="pct"/>
            <w:noWrap w:val="0"/>
            <w:vAlign w:val="center"/>
          </w:tcPr>
          <w:p>
            <w:pPr>
              <w:widowControl/>
              <w:jc w:val="center"/>
              <w:rPr>
                <w:rFonts w:hint="eastAsia" w:ascii="宋体" w:hAnsi="宋体" w:cs="宋体"/>
                <w:kern w:val="0"/>
                <w:sz w:val="28"/>
                <w:szCs w:val="28"/>
              </w:rPr>
            </w:pPr>
            <w:r>
              <w:rPr>
                <w:rFonts w:hint="eastAsia" w:ascii="宋体" w:hAnsi="宋体" w:cs="宋体"/>
                <w:kern w:val="0"/>
                <w:sz w:val="28"/>
                <w:szCs w:val="28"/>
              </w:rPr>
              <w:t>项目决策</w:t>
            </w:r>
          </w:p>
        </w:tc>
        <w:tc>
          <w:tcPr>
            <w:tcW w:w="1467" w:type="pct"/>
            <w:noWrap w:val="0"/>
            <w:vAlign w:val="center"/>
          </w:tcPr>
          <w:p>
            <w:pPr>
              <w:widowControl/>
              <w:jc w:val="center"/>
              <w:rPr>
                <w:rFonts w:hint="eastAsia" w:ascii="宋体" w:hAnsi="宋体" w:cs="宋体"/>
                <w:kern w:val="0"/>
                <w:sz w:val="28"/>
                <w:szCs w:val="28"/>
              </w:rPr>
            </w:pPr>
            <w:r>
              <w:rPr>
                <w:rFonts w:hint="eastAsia" w:ascii="宋体" w:hAnsi="宋体" w:cs="宋体"/>
                <w:kern w:val="0"/>
                <w:sz w:val="28"/>
                <w:szCs w:val="28"/>
              </w:rPr>
              <w:t>15</w:t>
            </w:r>
          </w:p>
        </w:tc>
        <w:tc>
          <w:tcPr>
            <w:tcW w:w="1467" w:type="pct"/>
            <w:noWrap w:val="0"/>
            <w:vAlign w:val="center"/>
          </w:tcPr>
          <w:p>
            <w:pPr>
              <w:widowControl/>
              <w:jc w:val="center"/>
              <w:rPr>
                <w:rFonts w:hint="eastAsia" w:ascii="宋体" w:hAnsi="宋体" w:cs="宋体"/>
                <w:kern w:val="0"/>
                <w:sz w:val="28"/>
                <w:szCs w:val="28"/>
              </w:rPr>
            </w:pPr>
            <w:r>
              <w:rPr>
                <w:rFonts w:hint="eastAsia" w:ascii="宋体" w:hAnsi="宋体" w:cs="宋体"/>
                <w:kern w:val="0"/>
                <w:sz w:val="28"/>
                <w:szCs w:val="28"/>
              </w:rPr>
              <w:t>13.96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064" w:type="pct"/>
            <w:noWrap w:val="0"/>
            <w:vAlign w:val="center"/>
          </w:tcPr>
          <w:p>
            <w:pPr>
              <w:widowControl/>
              <w:jc w:val="center"/>
              <w:rPr>
                <w:rFonts w:hint="eastAsia" w:ascii="宋体" w:hAnsi="宋体" w:cs="宋体"/>
                <w:kern w:val="0"/>
                <w:sz w:val="28"/>
                <w:szCs w:val="28"/>
              </w:rPr>
            </w:pPr>
            <w:r>
              <w:rPr>
                <w:rFonts w:hint="eastAsia" w:ascii="宋体" w:hAnsi="宋体" w:cs="宋体"/>
                <w:kern w:val="0"/>
                <w:sz w:val="28"/>
                <w:szCs w:val="28"/>
              </w:rPr>
              <w:t>项目过程</w:t>
            </w:r>
          </w:p>
        </w:tc>
        <w:tc>
          <w:tcPr>
            <w:tcW w:w="1467" w:type="pct"/>
            <w:noWrap w:val="0"/>
            <w:vAlign w:val="center"/>
          </w:tcPr>
          <w:p>
            <w:pPr>
              <w:widowControl/>
              <w:jc w:val="center"/>
              <w:rPr>
                <w:rFonts w:hint="eastAsia" w:ascii="宋体" w:hAnsi="宋体" w:cs="宋体"/>
                <w:kern w:val="0"/>
                <w:sz w:val="28"/>
                <w:szCs w:val="28"/>
              </w:rPr>
            </w:pPr>
            <w:r>
              <w:rPr>
                <w:rFonts w:hint="eastAsia" w:ascii="宋体" w:hAnsi="宋体" w:cs="宋体"/>
                <w:kern w:val="0"/>
                <w:sz w:val="28"/>
                <w:szCs w:val="28"/>
              </w:rPr>
              <w:t>25</w:t>
            </w:r>
          </w:p>
        </w:tc>
        <w:tc>
          <w:tcPr>
            <w:tcW w:w="1467" w:type="pct"/>
            <w:noWrap w:val="0"/>
            <w:vAlign w:val="center"/>
          </w:tcPr>
          <w:p>
            <w:pPr>
              <w:widowControl/>
              <w:jc w:val="center"/>
              <w:rPr>
                <w:rFonts w:hint="eastAsia" w:ascii="宋体" w:hAnsi="宋体" w:cs="宋体"/>
                <w:kern w:val="0"/>
                <w:sz w:val="28"/>
                <w:szCs w:val="28"/>
              </w:rPr>
            </w:pPr>
            <w:r>
              <w:rPr>
                <w:rFonts w:hint="eastAsia" w:ascii="宋体" w:hAnsi="宋体" w:cs="宋体"/>
                <w:kern w:val="0"/>
                <w:sz w:val="28"/>
                <w:szCs w:val="28"/>
              </w:rPr>
              <w:t>21.92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064" w:type="pct"/>
            <w:noWrap w:val="0"/>
            <w:vAlign w:val="center"/>
          </w:tcPr>
          <w:p>
            <w:pPr>
              <w:widowControl/>
              <w:jc w:val="center"/>
              <w:rPr>
                <w:rFonts w:hint="eastAsia" w:ascii="宋体" w:hAnsi="宋体" w:cs="宋体"/>
                <w:kern w:val="0"/>
                <w:sz w:val="28"/>
                <w:szCs w:val="28"/>
              </w:rPr>
            </w:pPr>
            <w:r>
              <w:rPr>
                <w:rFonts w:hint="eastAsia" w:ascii="宋体" w:hAnsi="宋体" w:cs="宋体"/>
                <w:kern w:val="0"/>
                <w:sz w:val="28"/>
                <w:szCs w:val="28"/>
              </w:rPr>
              <w:t>项目产出</w:t>
            </w:r>
          </w:p>
        </w:tc>
        <w:tc>
          <w:tcPr>
            <w:tcW w:w="1467" w:type="pct"/>
            <w:noWrap w:val="0"/>
            <w:vAlign w:val="center"/>
          </w:tcPr>
          <w:p>
            <w:pPr>
              <w:widowControl/>
              <w:jc w:val="center"/>
              <w:rPr>
                <w:rFonts w:hint="eastAsia" w:ascii="宋体" w:hAnsi="宋体" w:cs="宋体"/>
                <w:kern w:val="0"/>
                <w:sz w:val="28"/>
                <w:szCs w:val="28"/>
              </w:rPr>
            </w:pPr>
            <w:r>
              <w:rPr>
                <w:rFonts w:hint="eastAsia" w:ascii="宋体" w:hAnsi="宋体" w:cs="宋体"/>
                <w:kern w:val="0"/>
                <w:sz w:val="28"/>
                <w:szCs w:val="28"/>
              </w:rPr>
              <w:t>30</w:t>
            </w:r>
          </w:p>
        </w:tc>
        <w:tc>
          <w:tcPr>
            <w:tcW w:w="1467" w:type="pct"/>
            <w:noWrap w:val="0"/>
            <w:vAlign w:val="center"/>
          </w:tcPr>
          <w:p>
            <w:pPr>
              <w:widowControl/>
              <w:jc w:val="center"/>
              <w:rPr>
                <w:rFonts w:hint="eastAsia" w:ascii="宋体" w:hAnsi="宋体" w:cs="宋体"/>
                <w:kern w:val="0"/>
                <w:sz w:val="28"/>
                <w:szCs w:val="28"/>
              </w:rPr>
            </w:pPr>
            <w:r>
              <w:rPr>
                <w:rFonts w:hint="eastAsia" w:ascii="宋体" w:hAnsi="宋体" w:cs="宋体"/>
                <w:kern w:val="0"/>
                <w:sz w:val="28"/>
                <w:szCs w:val="28"/>
              </w:rPr>
              <w:t>25.36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064" w:type="pct"/>
            <w:noWrap w:val="0"/>
            <w:vAlign w:val="center"/>
          </w:tcPr>
          <w:p>
            <w:pPr>
              <w:widowControl/>
              <w:jc w:val="center"/>
              <w:rPr>
                <w:rFonts w:hint="eastAsia" w:ascii="宋体" w:hAnsi="宋体" w:cs="宋体"/>
                <w:kern w:val="0"/>
                <w:sz w:val="28"/>
                <w:szCs w:val="28"/>
              </w:rPr>
            </w:pPr>
            <w:r>
              <w:rPr>
                <w:rFonts w:hint="eastAsia" w:ascii="宋体" w:hAnsi="宋体" w:cs="宋体"/>
                <w:kern w:val="0"/>
                <w:sz w:val="28"/>
                <w:szCs w:val="28"/>
              </w:rPr>
              <w:t>项目效益</w:t>
            </w:r>
          </w:p>
        </w:tc>
        <w:tc>
          <w:tcPr>
            <w:tcW w:w="1467" w:type="pct"/>
            <w:noWrap w:val="0"/>
            <w:vAlign w:val="center"/>
          </w:tcPr>
          <w:p>
            <w:pPr>
              <w:widowControl/>
              <w:jc w:val="center"/>
              <w:rPr>
                <w:rFonts w:hint="eastAsia" w:ascii="宋体" w:hAnsi="宋体" w:cs="宋体"/>
                <w:kern w:val="0"/>
                <w:sz w:val="28"/>
                <w:szCs w:val="28"/>
              </w:rPr>
            </w:pPr>
            <w:r>
              <w:rPr>
                <w:rFonts w:hint="eastAsia" w:ascii="宋体" w:hAnsi="宋体" w:cs="宋体"/>
                <w:kern w:val="0"/>
                <w:sz w:val="28"/>
                <w:szCs w:val="28"/>
              </w:rPr>
              <w:t>30</w:t>
            </w:r>
          </w:p>
        </w:tc>
        <w:tc>
          <w:tcPr>
            <w:tcW w:w="1467" w:type="pct"/>
            <w:noWrap w:val="0"/>
            <w:vAlign w:val="center"/>
          </w:tcPr>
          <w:p>
            <w:pPr>
              <w:widowControl/>
              <w:jc w:val="center"/>
              <w:rPr>
                <w:rFonts w:hint="eastAsia" w:ascii="宋体" w:hAnsi="宋体" w:cs="宋体"/>
                <w:kern w:val="0"/>
                <w:sz w:val="28"/>
                <w:szCs w:val="28"/>
              </w:rPr>
            </w:pPr>
            <w:r>
              <w:rPr>
                <w:rFonts w:hint="eastAsia" w:ascii="宋体" w:hAnsi="宋体" w:cs="宋体"/>
                <w:kern w:val="0"/>
                <w:sz w:val="28"/>
                <w:szCs w:val="28"/>
              </w:rPr>
              <w:t>24.20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064" w:type="pct"/>
            <w:shd w:val="clear" w:color="auto" w:fill="DCD8C2"/>
            <w:noWrap w:val="0"/>
            <w:vAlign w:val="center"/>
          </w:tcPr>
          <w:p>
            <w:pPr>
              <w:widowControl/>
              <w:jc w:val="center"/>
              <w:rPr>
                <w:rFonts w:hint="eastAsia" w:ascii="宋体" w:hAnsi="宋体" w:cs="宋体"/>
                <w:kern w:val="0"/>
                <w:sz w:val="28"/>
                <w:szCs w:val="28"/>
              </w:rPr>
            </w:pPr>
            <w:r>
              <w:rPr>
                <w:rFonts w:hint="eastAsia" w:ascii="宋体" w:hAnsi="宋体" w:cs="宋体"/>
                <w:kern w:val="0"/>
                <w:sz w:val="28"/>
                <w:szCs w:val="28"/>
              </w:rPr>
              <w:t>综合评价</w:t>
            </w:r>
          </w:p>
        </w:tc>
        <w:tc>
          <w:tcPr>
            <w:tcW w:w="1467" w:type="pct"/>
            <w:shd w:val="clear" w:color="auto" w:fill="DCD8C2"/>
            <w:noWrap w:val="0"/>
            <w:vAlign w:val="center"/>
          </w:tcPr>
          <w:p>
            <w:pPr>
              <w:widowControl/>
              <w:jc w:val="center"/>
              <w:rPr>
                <w:rFonts w:hint="eastAsia" w:ascii="宋体" w:hAnsi="宋体" w:cs="宋体"/>
                <w:kern w:val="0"/>
                <w:sz w:val="28"/>
                <w:szCs w:val="28"/>
              </w:rPr>
            </w:pPr>
            <w:r>
              <w:rPr>
                <w:rFonts w:hint="eastAsia" w:ascii="宋体" w:hAnsi="宋体" w:cs="宋体"/>
                <w:kern w:val="0"/>
                <w:sz w:val="28"/>
                <w:szCs w:val="28"/>
              </w:rPr>
              <w:t>100</w:t>
            </w:r>
          </w:p>
        </w:tc>
        <w:tc>
          <w:tcPr>
            <w:tcW w:w="1467" w:type="pct"/>
            <w:shd w:val="clear" w:color="auto" w:fill="DCD8C2"/>
            <w:noWrap w:val="0"/>
            <w:vAlign w:val="center"/>
          </w:tcPr>
          <w:p>
            <w:pPr>
              <w:widowControl/>
              <w:jc w:val="center"/>
              <w:rPr>
                <w:rFonts w:hint="eastAsia" w:ascii="宋体" w:hAnsi="宋体" w:cs="宋体"/>
                <w:kern w:val="0"/>
                <w:sz w:val="28"/>
                <w:szCs w:val="28"/>
              </w:rPr>
            </w:pPr>
            <w:r>
              <w:rPr>
                <w:rFonts w:hint="eastAsia" w:ascii="宋体" w:hAnsi="宋体" w:cs="宋体"/>
                <w:kern w:val="0"/>
                <w:sz w:val="28"/>
                <w:szCs w:val="28"/>
              </w:rPr>
              <w:t>85.44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064" w:type="pct"/>
            <w:shd w:val="clear" w:color="auto" w:fill="DCD8C2"/>
            <w:noWrap w:val="0"/>
            <w:vAlign w:val="center"/>
          </w:tcPr>
          <w:p>
            <w:pPr>
              <w:widowControl/>
              <w:jc w:val="center"/>
              <w:rPr>
                <w:rFonts w:hint="eastAsia" w:ascii="宋体" w:hAnsi="宋体" w:cs="宋体"/>
                <w:b/>
                <w:bCs/>
                <w:kern w:val="0"/>
                <w:sz w:val="28"/>
                <w:szCs w:val="28"/>
              </w:rPr>
            </w:pPr>
            <w:r>
              <w:rPr>
                <w:rFonts w:hint="eastAsia" w:ascii="宋体" w:hAnsi="宋体" w:cs="宋体"/>
                <w:b/>
                <w:bCs/>
                <w:kern w:val="0"/>
                <w:sz w:val="28"/>
                <w:szCs w:val="28"/>
              </w:rPr>
              <w:t>绩效级别评定</w:t>
            </w:r>
          </w:p>
        </w:tc>
        <w:tc>
          <w:tcPr>
            <w:tcW w:w="2935" w:type="pct"/>
            <w:gridSpan w:val="2"/>
            <w:shd w:val="clear" w:color="auto" w:fill="DCD8C2"/>
            <w:noWrap w:val="0"/>
            <w:vAlign w:val="center"/>
          </w:tcPr>
          <w:p>
            <w:pPr>
              <w:jc w:val="center"/>
              <w:rPr>
                <w:rFonts w:hint="eastAsia" w:ascii="宋体" w:hAnsi="宋体" w:cs="宋体"/>
                <w:b/>
                <w:bCs/>
                <w:kern w:val="0"/>
                <w:sz w:val="28"/>
                <w:szCs w:val="28"/>
              </w:rPr>
            </w:pPr>
            <w:r>
              <w:rPr>
                <w:rFonts w:hint="eastAsia" w:ascii="宋体" w:hAnsi="宋体" w:cs="宋体"/>
                <w:b/>
                <w:bCs/>
                <w:kern w:val="0"/>
                <w:sz w:val="28"/>
                <w:szCs w:val="28"/>
              </w:rPr>
              <w:t>良好</w:t>
            </w:r>
          </w:p>
        </w:tc>
      </w:tr>
      <w:bookmarkEnd w:id="27"/>
    </w:tbl>
    <w:p>
      <w:pPr>
        <w:pStyle w:val="3"/>
        <w:pageBreakBefore w:val="0"/>
        <w:widowControl w:val="0"/>
        <w:kinsoku/>
        <w:wordWrap/>
        <w:overflowPunct/>
        <w:topLinePunct w:val="0"/>
        <w:autoSpaceDE/>
        <w:autoSpaceDN/>
        <w:bidi w:val="0"/>
        <w:adjustRightInd/>
        <w:snapToGrid/>
        <w:spacing w:line="560" w:lineRule="exact"/>
        <w:ind w:firstLine="643"/>
        <w:textAlignment w:val="auto"/>
        <w:rPr>
          <w:rFonts w:hint="eastAsia" w:ascii="Calibri" w:hAnsi="Calibri" w:cs="Times New Roman"/>
          <w:b/>
          <w:bCs/>
        </w:rPr>
      </w:pPr>
      <w:bookmarkStart w:id="28" w:name="_Toc12032"/>
      <w:r>
        <w:rPr>
          <w:rFonts w:hint="eastAsia" w:ascii="Calibri" w:hAnsi="Calibri" w:cs="Times New Roman"/>
          <w:b/>
          <w:bCs/>
        </w:rPr>
        <w:t>四、绩效评价指标分析</w:t>
      </w:r>
      <w:bookmarkEnd w:id="28"/>
    </w:p>
    <w:p>
      <w:pPr>
        <w:pStyle w:val="4"/>
        <w:pageBreakBefore w:val="0"/>
        <w:widowControl w:val="0"/>
        <w:kinsoku/>
        <w:wordWrap/>
        <w:overflowPunct/>
        <w:topLinePunct w:val="0"/>
        <w:autoSpaceDE/>
        <w:autoSpaceDN/>
        <w:bidi w:val="0"/>
        <w:adjustRightInd/>
        <w:snapToGrid/>
        <w:spacing w:before="120" w:after="120" w:line="560" w:lineRule="exact"/>
        <w:ind w:firstLine="643"/>
        <w:textAlignment w:val="auto"/>
        <w:rPr>
          <w:rFonts w:hint="eastAsia" w:ascii="楷体" w:hAnsi="楷体" w:eastAsia="楷体" w:cs="楷体"/>
          <w:b/>
          <w:bCs/>
        </w:rPr>
      </w:pPr>
      <w:bookmarkStart w:id="29" w:name="_Toc325442843"/>
      <w:bookmarkStart w:id="30" w:name="_Toc10629"/>
      <w:r>
        <w:rPr>
          <w:rFonts w:hint="eastAsia" w:ascii="楷体" w:hAnsi="楷体" w:eastAsia="楷体" w:cs="楷体"/>
          <w:b/>
          <w:bCs/>
        </w:rPr>
        <w:t>（一）</w:t>
      </w:r>
      <w:bookmarkEnd w:id="29"/>
      <w:r>
        <w:rPr>
          <w:rFonts w:hint="eastAsia" w:ascii="楷体" w:hAnsi="楷体" w:eastAsia="楷体" w:cs="楷体"/>
          <w:b/>
          <w:bCs/>
        </w:rPr>
        <w:t>项目决策情况</w:t>
      </w:r>
      <w:bookmarkEnd w:id="30"/>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1.项目立项分析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依据法律法规和中央决策部署的要求，北京市地震局制定了《“十四五”时期北京市防震减灾规划》，北京市地震局受中国地震局和北京市政府双重领导，担负着首都地区防震减灾的重要任务。在此基础上，申报了该项目，经市地震局预算申报程序，上报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_GB2312" w:hAnsi="仿宋" w:eastAsia="仿宋_GB2312" w:cs="仿宋"/>
          <w:sz w:val="32"/>
          <w:szCs w:val="32"/>
        </w:rPr>
        <w:t>评论</w:t>
      </w:r>
      <w:r>
        <w:rPr>
          <w:rFonts w:hint="eastAsia" w:ascii="仿宋" w:hAnsi="仿宋" w:eastAsia="仿宋" w:cs="仿宋"/>
          <w:sz w:val="32"/>
          <w:szCs w:val="32"/>
        </w:rPr>
        <w:t>分析</w:t>
      </w:r>
      <w:r>
        <w:rPr>
          <w:rFonts w:hint="eastAsia" w:ascii="仿宋_GB2312" w:hAnsi="仿宋" w:eastAsia="仿宋_GB2312" w:cs="仿宋"/>
          <w:sz w:val="32"/>
          <w:szCs w:val="32"/>
        </w:rPr>
        <w:t>认为</w:t>
      </w:r>
      <w:r>
        <w:rPr>
          <w:rFonts w:hint="eastAsia" w:ascii="仿宋_GB2312" w:hAnsi="仿宋" w:eastAsia="仿宋_GB2312" w:cs="仿宋"/>
          <w:sz w:val="32"/>
          <w:szCs w:val="32"/>
          <w:lang w:eastAsia="zh-CN"/>
        </w:rPr>
        <w:t>，</w:t>
      </w:r>
      <w:r>
        <w:rPr>
          <w:rFonts w:hint="eastAsia" w:ascii="仿宋" w:hAnsi="仿宋" w:eastAsia="仿宋" w:cs="仿宋"/>
          <w:sz w:val="32"/>
          <w:szCs w:val="32"/>
        </w:rPr>
        <w:t>该项目立项符合国家法律法规、相关政策、行业发展规划与部门职责，属于公共财政支持范围，项目决策依据较充分，决策程序较科学、规范，符合全面预算绩效管理需求。但其项目前期过程研讨论证情况说明不足，致使具体内容的确定依据支撑不足，具体绩效指标的设定不够完备。</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2.项目目标分析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eastAsia="仿宋_GB2312" w:cs="仿宋"/>
          <w:sz w:val="32"/>
          <w:szCs w:val="32"/>
        </w:rPr>
      </w:pPr>
      <w:r>
        <w:rPr>
          <w:rFonts w:hint="eastAsia" w:ascii="仿宋" w:hAnsi="仿宋" w:eastAsia="仿宋" w:cs="仿宋"/>
          <w:sz w:val="32"/>
          <w:szCs w:val="32"/>
        </w:rPr>
        <w:t>（1）</w:t>
      </w:r>
      <w:r>
        <w:rPr>
          <w:rFonts w:ascii="仿宋_GB2312" w:hAnsi="仿宋" w:eastAsia="仿宋_GB2312" w:cs="仿宋"/>
          <w:sz w:val="32"/>
          <w:szCs w:val="32"/>
        </w:rPr>
        <w:t>目标明确性分析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ascii="仿宋_GB2312" w:hAnsi="仿宋" w:eastAsia="仿宋_GB2312" w:cs="仿宋"/>
          <w:sz w:val="32"/>
          <w:szCs w:val="32"/>
        </w:rPr>
        <w:t>该项目按照</w:t>
      </w:r>
      <w:r>
        <w:rPr>
          <w:rFonts w:hint="eastAsia" w:ascii="仿宋_GB2312" w:hAnsi="仿宋" w:eastAsia="仿宋_GB2312" w:cs="仿宋"/>
          <w:sz w:val="32"/>
          <w:szCs w:val="32"/>
          <w:lang w:val="en-US" w:eastAsia="zh-CN"/>
        </w:rPr>
        <w:t>地震局</w:t>
      </w:r>
      <w:r>
        <w:rPr>
          <w:rFonts w:ascii="仿宋_GB2312" w:hAnsi="仿宋" w:eastAsia="仿宋_GB2312" w:cs="仿宋"/>
          <w:sz w:val="32"/>
          <w:szCs w:val="32"/>
        </w:rPr>
        <w:t>的总体工作部署，设置了较为明确的总体目标</w:t>
      </w:r>
      <w:r>
        <w:rPr>
          <w:rFonts w:hint="eastAsia" w:ascii="仿宋_GB2312" w:hAnsi="仿宋" w:eastAsia="仿宋_GB2312" w:cs="仿宋"/>
          <w:sz w:val="32"/>
          <w:szCs w:val="32"/>
        </w:rPr>
        <w:t>，总体目标设置较为明确。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w:t>
      </w:r>
      <w:r>
        <w:rPr>
          <w:rFonts w:hint="eastAsia" w:ascii="仿宋" w:hAnsi="仿宋" w:eastAsia="仿宋" w:cs="仿宋"/>
          <w:sz w:val="32"/>
          <w:szCs w:val="32"/>
        </w:rPr>
        <w:t>目标合理性分析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该项目依据政策要求和项目规划做出预算绩效目标，</w:t>
      </w:r>
      <w:r>
        <w:rPr>
          <w:rFonts w:hint="eastAsia" w:ascii="仿宋" w:hAnsi="仿宋" w:eastAsia="仿宋" w:cs="仿宋"/>
          <w:sz w:val="32"/>
          <w:szCs w:val="32"/>
          <w:lang w:val="en-US" w:eastAsia="zh-CN"/>
        </w:rPr>
        <w:t>目标</w:t>
      </w:r>
      <w:r>
        <w:rPr>
          <w:rFonts w:hint="eastAsia" w:ascii="仿宋" w:hAnsi="仿宋" w:eastAsia="仿宋" w:cs="仿宋"/>
          <w:sz w:val="32"/>
          <w:szCs w:val="32"/>
        </w:rPr>
        <w:t>与实际工作内容相关，预算的投入量与资金量相符</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评价分析认为</w:t>
      </w:r>
      <w:r>
        <w:rPr>
          <w:rFonts w:hint="eastAsia" w:ascii="仿宋" w:hAnsi="仿宋" w:eastAsia="仿宋" w:cs="仿宋"/>
          <w:sz w:val="32"/>
          <w:szCs w:val="32"/>
          <w:lang w:eastAsia="zh-CN"/>
        </w:rPr>
        <w:t>，</w:t>
      </w:r>
      <w:r>
        <w:rPr>
          <w:rFonts w:hint="eastAsia" w:ascii="仿宋" w:hAnsi="仿宋" w:eastAsia="仿宋" w:cs="仿宋"/>
          <w:sz w:val="32"/>
          <w:szCs w:val="32"/>
        </w:rPr>
        <w:t>该</w:t>
      </w:r>
      <w:r>
        <w:rPr>
          <w:rFonts w:hint="eastAsia" w:ascii="仿宋" w:hAnsi="仿宋" w:eastAsia="仿宋" w:cs="仿宋"/>
          <w:sz w:val="32"/>
          <w:szCs w:val="32"/>
          <w:lang w:val="en-US" w:eastAsia="zh-CN"/>
        </w:rPr>
        <w:t>项</w:t>
      </w:r>
      <w:r>
        <w:rPr>
          <w:rFonts w:hint="eastAsia" w:ascii="仿宋" w:hAnsi="仿宋" w:eastAsia="仿宋" w:cs="仿宋"/>
          <w:sz w:val="32"/>
          <w:szCs w:val="32"/>
        </w:rPr>
        <w:t>目的绩效目标设定较为合理。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
          <w:sz w:val="32"/>
          <w:szCs w:val="32"/>
          <w:lang w:val="en-US" w:eastAsia="zh-CN"/>
        </w:rPr>
      </w:pPr>
      <w:r>
        <w:rPr>
          <w:rFonts w:hint="eastAsia" w:ascii="仿宋_GB2312" w:hAnsi="仿宋" w:eastAsia="仿宋_GB2312" w:cs="仿宋"/>
          <w:sz w:val="32"/>
          <w:szCs w:val="32"/>
          <w:lang w:val="en-US" w:eastAsia="zh-CN"/>
        </w:rPr>
        <w:t>（3）目标细化程度分析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
          <w:sz w:val="32"/>
          <w:szCs w:val="32"/>
          <w:lang w:val="en-US" w:eastAsia="zh-CN"/>
        </w:rPr>
      </w:pPr>
      <w:r>
        <w:rPr>
          <w:rFonts w:hint="eastAsia" w:ascii="仿宋_GB2312" w:hAnsi="仿宋" w:eastAsia="仿宋_GB2312" w:cs="仿宋"/>
          <w:sz w:val="32"/>
          <w:szCs w:val="32"/>
          <w:lang w:val="en-US" w:eastAsia="zh-CN"/>
        </w:rPr>
        <w:t>项目单位根据年度工作计划，对绩效目标进行了分解，细化了各项指标。同时，在一级指标、二级指标的基础上细化了三级指标。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
          <w:sz w:val="32"/>
          <w:szCs w:val="32"/>
          <w:lang w:val="en-US" w:eastAsia="zh-CN"/>
        </w:rPr>
      </w:pPr>
      <w:r>
        <w:rPr>
          <w:rFonts w:hint="eastAsia" w:ascii="仿宋_GB2312" w:hAnsi="仿宋" w:eastAsia="仿宋_GB2312" w:cs="仿宋"/>
          <w:sz w:val="32"/>
          <w:szCs w:val="32"/>
          <w:lang w:val="en-US" w:eastAsia="zh-CN"/>
        </w:rPr>
        <w:t>评价分析认为，各项指标较为明确，目标设置较为合理。</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3.资金投入分析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ascii="仿宋_GB2312" w:hAnsi="仿宋" w:eastAsia="仿宋_GB2312" w:cs="仿宋"/>
          <w:sz w:val="32"/>
          <w:szCs w:val="32"/>
        </w:rPr>
        <w:t>项目委托第三方专业评审机构进行</w:t>
      </w:r>
      <w:r>
        <w:rPr>
          <w:rFonts w:hint="eastAsia" w:ascii="仿宋_GB2312" w:hAnsi="仿宋" w:eastAsia="仿宋_GB2312" w:cs="仿宋"/>
          <w:sz w:val="32"/>
          <w:szCs w:val="32"/>
        </w:rPr>
        <w:t>了预算</w:t>
      </w:r>
      <w:r>
        <w:rPr>
          <w:rFonts w:ascii="仿宋_GB2312" w:hAnsi="仿宋" w:eastAsia="仿宋_GB2312" w:cs="仿宋"/>
          <w:sz w:val="32"/>
          <w:szCs w:val="32"/>
        </w:rPr>
        <w:t>评审</w:t>
      </w:r>
      <w:r>
        <w:rPr>
          <w:rFonts w:hint="eastAsia" w:ascii="仿宋_GB2312" w:hAnsi="仿宋" w:eastAsia="仿宋_GB2312" w:cs="仿宋"/>
          <w:sz w:val="32"/>
          <w:szCs w:val="32"/>
          <w:lang w:eastAsia="zh-CN"/>
        </w:rPr>
        <w:t>，</w:t>
      </w:r>
      <w:r>
        <w:rPr>
          <w:rFonts w:hint="eastAsia" w:ascii="仿宋" w:hAnsi="仿宋" w:eastAsia="仿宋" w:cs="仿宋"/>
          <w:sz w:val="32"/>
          <w:szCs w:val="32"/>
        </w:rPr>
        <w:t>分析认为该项目预算编制目标有明确的标准，资金额度与年度目标相适应。</w:t>
      </w:r>
    </w:p>
    <w:p>
      <w:pPr>
        <w:pStyle w:val="4"/>
        <w:pageBreakBefore w:val="0"/>
        <w:widowControl w:val="0"/>
        <w:kinsoku/>
        <w:wordWrap/>
        <w:overflowPunct/>
        <w:topLinePunct w:val="0"/>
        <w:autoSpaceDE/>
        <w:autoSpaceDN/>
        <w:bidi w:val="0"/>
        <w:adjustRightInd/>
        <w:snapToGrid/>
        <w:spacing w:before="120" w:after="120" w:line="560" w:lineRule="exact"/>
        <w:ind w:firstLine="643"/>
        <w:textAlignment w:val="auto"/>
        <w:rPr>
          <w:rFonts w:hint="eastAsia" w:ascii="楷体" w:hAnsi="楷体" w:eastAsia="楷体" w:cs="楷体"/>
          <w:b/>
          <w:bCs/>
        </w:rPr>
      </w:pPr>
      <w:bookmarkStart w:id="31" w:name="_Toc23816"/>
      <w:r>
        <w:rPr>
          <w:rFonts w:hint="eastAsia" w:ascii="楷体" w:hAnsi="楷体" w:eastAsia="楷体" w:cs="楷体"/>
          <w:b/>
          <w:bCs/>
        </w:rPr>
        <w:t>（二）项目过程情况</w:t>
      </w:r>
      <w:bookmarkEnd w:id="31"/>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b/>
          <w:bCs/>
          <w:sz w:val="32"/>
          <w:szCs w:val="32"/>
        </w:rPr>
        <w:t>.资金使用及管理情况</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本项目总资金投入171.00万元，财政资金到位率100%，资金到位率高。预算执行率98.99%，执行率较高。</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项目资金的使用严格执行《北京市地震局财务支出管理办法》、《北京市地震局合同管理办法》、《北京市地震局行政事业类项目管理办法》等一系列规章制度，严格按照相关政策法规规定执行管理，有效防范财务风险。</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评价分析认为，该项目资金管理制度较为完善，严格执行国家和地方有关财务管理规定、财经纪律，同时严格执行</w:t>
      </w:r>
      <w:r>
        <w:rPr>
          <w:rFonts w:hint="eastAsia" w:ascii="仿宋" w:hAnsi="仿宋" w:eastAsia="仿宋" w:cs="仿宋"/>
          <w:sz w:val="32"/>
          <w:szCs w:val="32"/>
          <w:lang w:val="en-US" w:eastAsia="zh-CN"/>
        </w:rPr>
        <w:t>地震局</w:t>
      </w:r>
      <w:r>
        <w:rPr>
          <w:rFonts w:hint="eastAsia" w:ascii="仿宋" w:hAnsi="仿宋" w:eastAsia="仿宋" w:cs="仿宋"/>
          <w:sz w:val="32"/>
          <w:szCs w:val="32"/>
        </w:rPr>
        <w:t>相关规定，无截留、挤占、挪用、虚列支出的现象，项目无预算调整情况。</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2．项目组织实施情况</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项目所有采购内容均严格执行《北京市地震局财务支出管理办法》、《北京市地震局合同管理办法》、《北京市地震局行政事业类项目管理办法》等一系规章制度。所有采购过程均符合相关财务管理制度，且在项目执行过程中没有涉及到任何调整。</w:t>
      </w:r>
      <w:r>
        <w:rPr>
          <w:rFonts w:hint="eastAsia" w:ascii="仿宋" w:hAnsi="仿宋" w:eastAsia="仿宋" w:cs="仿宋"/>
          <w:sz w:val="32"/>
          <w:szCs w:val="32"/>
          <w:lang w:val="en-US" w:eastAsia="zh-CN"/>
        </w:rPr>
        <w:t>项目终期，</w:t>
      </w:r>
      <w:r>
        <w:rPr>
          <w:rFonts w:hint="eastAsia" w:ascii="仿宋" w:hAnsi="仿宋" w:eastAsia="仿宋" w:cs="仿宋"/>
          <w:sz w:val="32"/>
          <w:szCs w:val="32"/>
        </w:rPr>
        <w:t>项目</w:t>
      </w:r>
      <w:r>
        <w:rPr>
          <w:rFonts w:hint="eastAsia" w:ascii="仿宋" w:hAnsi="仿宋" w:eastAsia="仿宋" w:cs="仿宋"/>
          <w:sz w:val="32"/>
          <w:szCs w:val="32"/>
          <w:lang w:val="en-US" w:eastAsia="zh-CN"/>
        </w:rPr>
        <w:t>单位</w:t>
      </w:r>
      <w:r>
        <w:rPr>
          <w:rFonts w:hint="eastAsia" w:ascii="仿宋" w:hAnsi="仿宋" w:eastAsia="仿宋" w:cs="仿宋"/>
          <w:sz w:val="32"/>
          <w:szCs w:val="32"/>
        </w:rPr>
        <w:t>成立了项目验收组，对“地震灾害情景构建与应用能力提升”进行了项目验收，验收管理较科学。</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评价分析认为，该项目执行过程中，组织机构较健全，制度较完备，组织实施形式较科学，但其组织建设和组织分工的支撑材料不足。</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3．项目管理情况</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在项目执行的初期，根据项目总体目标与工作内容，项目组编写了项目实施方案，并在实施方案中对项目成员职能职责进行了明确分工。</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项目执行的期间，项目组成员实时跟进项目进度，与项目方开展了多次项目进度汇报会与协调会，确保了项目的顺利实施和完成。</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评价分析认为，项目管理基本规范、合理。</w:t>
      </w:r>
    </w:p>
    <w:p>
      <w:pPr>
        <w:pStyle w:val="4"/>
        <w:pageBreakBefore w:val="0"/>
        <w:widowControl w:val="0"/>
        <w:kinsoku/>
        <w:wordWrap/>
        <w:overflowPunct/>
        <w:topLinePunct w:val="0"/>
        <w:autoSpaceDE/>
        <w:autoSpaceDN/>
        <w:bidi w:val="0"/>
        <w:adjustRightInd/>
        <w:snapToGrid/>
        <w:spacing w:before="120" w:after="120" w:line="560" w:lineRule="exact"/>
        <w:ind w:firstLine="643"/>
        <w:textAlignment w:val="auto"/>
        <w:rPr>
          <w:rFonts w:hint="eastAsia" w:ascii="楷体" w:hAnsi="楷体" w:eastAsia="楷体" w:cs="楷体"/>
          <w:b/>
          <w:bCs/>
        </w:rPr>
      </w:pPr>
      <w:bookmarkStart w:id="32" w:name="_Toc19195"/>
      <w:r>
        <w:rPr>
          <w:rFonts w:hint="eastAsia" w:ascii="楷体" w:hAnsi="楷体" w:eastAsia="楷体" w:cs="楷体"/>
          <w:b/>
          <w:bCs/>
        </w:rPr>
        <w:t>（三）项目产出情况</w:t>
      </w:r>
      <w:bookmarkEnd w:id="32"/>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1．项目预期目标完成情况</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项目具体完成情况：数据标准化处理、更新与管理；流程化业务支撑；自动化结果产出和规范化服务应用；APP远程管理和智能推送。</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评价分析认为，</w:t>
      </w:r>
      <w:r>
        <w:rPr>
          <w:rFonts w:hint="eastAsia" w:ascii="仿宋" w:hAnsi="仿宋" w:eastAsia="仿宋" w:cs="仿宋"/>
          <w:sz w:val="32"/>
          <w:szCs w:val="32"/>
          <w:lang w:val="en-US" w:eastAsia="zh-CN"/>
        </w:rPr>
        <w:t>项目基本完成预期绩效目标，</w:t>
      </w:r>
      <w:r>
        <w:rPr>
          <w:rFonts w:hint="eastAsia" w:ascii="仿宋" w:hAnsi="仿宋" w:eastAsia="仿宋" w:cs="仿宋"/>
          <w:sz w:val="32"/>
          <w:szCs w:val="32"/>
        </w:rPr>
        <w:t>但个别绩效成果支撑材料不够完备。</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2.产出质量分析</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项目于2022年12月组织验收会，</w:t>
      </w:r>
      <w:r>
        <w:rPr>
          <w:rFonts w:hint="eastAsia" w:ascii="仿宋" w:hAnsi="仿宋" w:eastAsia="仿宋" w:cs="仿宋"/>
          <w:sz w:val="32"/>
          <w:szCs w:val="32"/>
        </w:rPr>
        <w:t>验收通过率100%。</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评价分析认为，通过该项目的实施，工作完成质量符合预期要求，项目目标完成质量较好。但是项目预期目标质量完成的支撑资料规范性不足。</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3.项目完成时效</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该项目原计划在2022年11月前完成项目验收，但受疫情的影响，于2022年12月完成</w:t>
      </w:r>
      <w:r>
        <w:rPr>
          <w:rFonts w:hint="eastAsia" w:ascii="仿宋" w:hAnsi="仿宋" w:eastAsia="仿宋" w:cs="仿宋"/>
          <w:sz w:val="32"/>
          <w:szCs w:val="32"/>
          <w:lang w:val="en-US" w:eastAsia="zh-CN"/>
        </w:rPr>
        <w:t>验收工作</w:t>
      </w:r>
      <w:r>
        <w:rPr>
          <w:rFonts w:hint="eastAsia" w:ascii="仿宋" w:hAnsi="仿宋" w:eastAsia="仿宋" w:cs="仿宋"/>
          <w:sz w:val="32"/>
          <w:szCs w:val="32"/>
        </w:rPr>
        <w:t>，执行进度基本按照既定计划执行。</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评价分析认为，项目验收虽</w:t>
      </w:r>
      <w:r>
        <w:rPr>
          <w:rFonts w:hint="eastAsia" w:ascii="仿宋" w:hAnsi="仿宋" w:eastAsia="仿宋" w:cs="仿宋"/>
          <w:sz w:val="32"/>
          <w:szCs w:val="32"/>
          <w:lang w:val="en-US" w:eastAsia="zh-CN"/>
        </w:rPr>
        <w:t>未</w:t>
      </w:r>
      <w:r>
        <w:rPr>
          <w:rFonts w:hint="eastAsia" w:ascii="仿宋" w:hAnsi="仿宋" w:eastAsia="仿宋" w:cs="仿宋"/>
          <w:sz w:val="32"/>
          <w:szCs w:val="32"/>
        </w:rPr>
        <w:t>按原计划完成，但因其受到了不可控的因素影响，并且其验收时间与原计划仅差一个月，故项目完成时效基本符合绩效目标。</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4.产出成本分析</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项目成本控制、节约情况：根据</w:t>
      </w:r>
      <w:r>
        <w:rPr>
          <w:rFonts w:hint="eastAsia" w:ascii="仿宋" w:hAnsi="仿宋" w:eastAsia="仿宋" w:cs="仿宋"/>
          <w:sz w:val="32"/>
          <w:szCs w:val="32"/>
          <w:lang w:val="en-US" w:eastAsia="zh-CN"/>
        </w:rPr>
        <w:t>地震</w:t>
      </w:r>
      <w:r>
        <w:rPr>
          <w:rFonts w:hint="eastAsia" w:ascii="仿宋" w:hAnsi="仿宋" w:eastAsia="仿宋" w:cs="仿宋"/>
          <w:sz w:val="32"/>
          <w:szCs w:val="32"/>
        </w:rPr>
        <w:t>局项目经费支出管理办法的规定，本项目在经费执行的过程中严格按照预算成本执行，无任何超支。项目总预算金额171.00万元，实际支出169.28万元，预算执行率98.99%，项目实际支出控制在预算批复额度内，并基本完成项目预期目标，达到了对成本的合理控制。</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ab/>
      </w:r>
      <w:r>
        <w:rPr>
          <w:rFonts w:hint="eastAsia" w:ascii="仿宋" w:hAnsi="仿宋" w:eastAsia="仿宋" w:cs="仿宋"/>
          <w:sz w:val="32"/>
          <w:szCs w:val="32"/>
        </w:rPr>
        <w:t>评价分析认为，项目产出成本控制到位，效果较好。但其成本控制的措施不明确。</w:t>
      </w:r>
    </w:p>
    <w:p>
      <w:pPr>
        <w:pStyle w:val="4"/>
        <w:pageBreakBefore w:val="0"/>
        <w:widowControl w:val="0"/>
        <w:kinsoku/>
        <w:wordWrap/>
        <w:overflowPunct/>
        <w:topLinePunct w:val="0"/>
        <w:autoSpaceDE/>
        <w:autoSpaceDN/>
        <w:bidi w:val="0"/>
        <w:adjustRightInd/>
        <w:snapToGrid/>
        <w:spacing w:before="120" w:after="120" w:line="560" w:lineRule="exact"/>
        <w:ind w:firstLine="643"/>
        <w:textAlignment w:val="auto"/>
        <w:rPr>
          <w:rFonts w:hint="eastAsia" w:ascii="楷体" w:hAnsi="楷体" w:eastAsia="楷体" w:cs="楷体"/>
          <w:b/>
          <w:bCs/>
        </w:rPr>
      </w:pPr>
      <w:bookmarkStart w:id="33" w:name="_Toc21145"/>
      <w:r>
        <w:rPr>
          <w:rFonts w:hint="eastAsia" w:ascii="楷体" w:hAnsi="楷体" w:eastAsia="楷体" w:cs="楷体"/>
          <w:b/>
          <w:bCs/>
        </w:rPr>
        <w:t>（四）项目效益情况</w:t>
      </w:r>
      <w:bookmarkEnd w:id="33"/>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项目</w:t>
      </w:r>
      <w:r>
        <w:rPr>
          <w:rFonts w:hint="eastAsia" w:ascii="仿宋" w:hAnsi="仿宋" w:eastAsia="仿宋" w:cs="仿宋"/>
          <w:sz w:val="32"/>
          <w:szCs w:val="32"/>
          <w:lang w:val="en-US" w:eastAsia="zh-CN"/>
        </w:rPr>
        <w:t>效益</w:t>
      </w:r>
      <w:r>
        <w:rPr>
          <w:rFonts w:hint="eastAsia" w:ascii="仿宋" w:hAnsi="仿宋" w:eastAsia="仿宋" w:cs="仿宋"/>
          <w:sz w:val="32"/>
          <w:szCs w:val="32"/>
        </w:rPr>
        <w:t>绩效完成情况如下表所示：</w:t>
      </w:r>
    </w:p>
    <w:tbl>
      <w:tblPr>
        <w:tblStyle w:val="6"/>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9"/>
        <w:gridCol w:w="3760"/>
        <w:gridCol w:w="34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745" w:type="pct"/>
            <w:noWrap w:val="0"/>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绩效目标</w:t>
            </w:r>
          </w:p>
        </w:tc>
        <w:tc>
          <w:tcPr>
            <w:tcW w:w="2207" w:type="pct"/>
            <w:noWrap w:val="0"/>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申报内容</w:t>
            </w:r>
          </w:p>
        </w:tc>
        <w:tc>
          <w:tcPr>
            <w:tcW w:w="2047" w:type="pct"/>
            <w:noWrap w:val="0"/>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实际完成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1" w:hRule="atLeast"/>
        </w:trPr>
        <w:tc>
          <w:tcPr>
            <w:tcW w:w="745" w:type="pct"/>
            <w:noWrap w:val="0"/>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效益指标值</w:t>
            </w:r>
          </w:p>
        </w:tc>
        <w:tc>
          <w:tcPr>
            <w:tcW w:w="2207" w:type="pct"/>
            <w:noWrap w:val="0"/>
            <w:vAlign w:val="center"/>
          </w:tcPr>
          <w:p>
            <w:pPr>
              <w:jc w:val="left"/>
              <w:rPr>
                <w:rFonts w:hint="eastAsia" w:ascii="仿宋" w:hAnsi="仿宋" w:eastAsia="仿宋" w:cs="仿宋"/>
                <w:bCs/>
                <w:sz w:val="24"/>
                <w:szCs w:val="24"/>
              </w:rPr>
            </w:pPr>
            <w:r>
              <w:rPr>
                <w:rFonts w:hint="eastAsia" w:ascii="仿宋" w:hAnsi="仿宋" w:eastAsia="仿宋" w:cs="仿宋"/>
                <w:bCs/>
                <w:sz w:val="24"/>
                <w:szCs w:val="24"/>
              </w:rPr>
              <w:t>为公众和各单位机构提供地震灾害风险区划、地震灾害风险防治建议、地震应急响应处置决策意见等服务，有效提升对城市的地震应对服务能力。</w:t>
            </w:r>
          </w:p>
        </w:tc>
        <w:tc>
          <w:tcPr>
            <w:tcW w:w="2047" w:type="pct"/>
            <w:noWrap w:val="0"/>
            <w:vAlign w:val="center"/>
          </w:tcPr>
          <w:p>
            <w:pPr>
              <w:jc w:val="left"/>
              <w:rPr>
                <w:rFonts w:hint="eastAsia" w:ascii="仿宋" w:hAnsi="仿宋" w:eastAsia="仿宋" w:cs="仿宋"/>
                <w:bCs/>
                <w:sz w:val="24"/>
                <w:szCs w:val="24"/>
              </w:rPr>
            </w:pPr>
            <w:r>
              <w:rPr>
                <w:rFonts w:hint="eastAsia" w:ascii="仿宋" w:hAnsi="仿宋" w:eastAsia="仿宋" w:cs="仿宋"/>
                <w:bCs/>
                <w:sz w:val="24"/>
                <w:szCs w:val="24"/>
              </w:rPr>
              <w:t>有效提升了城市的地震灾害防治能力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745" w:type="pct"/>
            <w:noWrap w:val="0"/>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满意度指标</w:t>
            </w:r>
          </w:p>
        </w:tc>
        <w:tc>
          <w:tcPr>
            <w:tcW w:w="2207" w:type="pct"/>
            <w:noWrap w:val="0"/>
            <w:vAlign w:val="center"/>
          </w:tcPr>
          <w:p>
            <w:pPr>
              <w:jc w:val="left"/>
              <w:rPr>
                <w:rFonts w:hint="eastAsia" w:ascii="仿宋" w:hAnsi="仿宋" w:eastAsia="仿宋" w:cs="仿宋"/>
                <w:bCs/>
                <w:sz w:val="24"/>
                <w:szCs w:val="24"/>
              </w:rPr>
            </w:pPr>
            <w:r>
              <w:rPr>
                <w:rFonts w:hint="eastAsia" w:ascii="仿宋" w:hAnsi="仿宋" w:eastAsia="仿宋" w:cs="仿宋"/>
                <w:bCs/>
                <w:sz w:val="24"/>
                <w:szCs w:val="24"/>
              </w:rPr>
              <w:t>使用人员满意度达90%以上。</w:t>
            </w:r>
          </w:p>
        </w:tc>
        <w:tc>
          <w:tcPr>
            <w:tcW w:w="2047" w:type="pct"/>
            <w:noWrap w:val="0"/>
            <w:vAlign w:val="center"/>
          </w:tcPr>
          <w:p>
            <w:pPr>
              <w:jc w:val="left"/>
              <w:rPr>
                <w:rFonts w:hint="eastAsia" w:ascii="仿宋" w:hAnsi="仿宋" w:eastAsia="仿宋" w:cs="仿宋"/>
                <w:bCs/>
                <w:sz w:val="24"/>
                <w:szCs w:val="24"/>
              </w:rPr>
            </w:pPr>
            <w:r>
              <w:rPr>
                <w:rFonts w:hint="eastAsia" w:ascii="仿宋" w:hAnsi="仿宋" w:eastAsia="仿宋" w:cs="仿宋"/>
                <w:bCs/>
                <w:sz w:val="24"/>
                <w:szCs w:val="24"/>
              </w:rPr>
              <w:t>满意度90%</w:t>
            </w:r>
          </w:p>
        </w:tc>
      </w:tr>
    </w:tbl>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评价分析认为，该项目按照预期计划，绩效目标基本完成，社会效益显著。但其结论缺乏支撑材料，并且满意度指标调查样本量较低，调查对象单一。</w:t>
      </w:r>
    </w:p>
    <w:p>
      <w:pPr>
        <w:pStyle w:val="3"/>
        <w:pageBreakBefore w:val="0"/>
        <w:widowControl w:val="0"/>
        <w:numPr>
          <w:ilvl w:val="0"/>
          <w:numId w:val="1"/>
        </w:numPr>
        <w:kinsoku/>
        <w:wordWrap/>
        <w:overflowPunct/>
        <w:topLinePunct w:val="0"/>
        <w:autoSpaceDE/>
        <w:autoSpaceDN/>
        <w:bidi w:val="0"/>
        <w:adjustRightInd/>
        <w:snapToGrid/>
        <w:spacing w:line="560" w:lineRule="exact"/>
        <w:ind w:firstLine="643"/>
        <w:textAlignment w:val="auto"/>
        <w:rPr>
          <w:rFonts w:hint="eastAsia" w:ascii="Calibri" w:hAnsi="Calibri" w:cs="Times New Roman"/>
          <w:b/>
          <w:bCs/>
        </w:rPr>
      </w:pPr>
      <w:bookmarkStart w:id="34" w:name="_Toc18063"/>
      <w:bookmarkStart w:id="35" w:name="_Toc103333179"/>
      <w:bookmarkStart w:id="36" w:name="_Hlk103335875"/>
      <w:r>
        <w:rPr>
          <w:rFonts w:hint="eastAsia" w:ascii="Calibri" w:hAnsi="Calibri" w:cs="Times New Roman"/>
          <w:b/>
          <w:bCs/>
        </w:rPr>
        <w:t>主要经验及做法、存在的问题</w:t>
      </w:r>
      <w:bookmarkEnd w:id="34"/>
    </w:p>
    <w:p>
      <w:pPr>
        <w:pStyle w:val="4"/>
        <w:pageBreakBefore w:val="0"/>
        <w:widowControl w:val="0"/>
        <w:kinsoku/>
        <w:wordWrap/>
        <w:overflowPunct/>
        <w:topLinePunct w:val="0"/>
        <w:autoSpaceDE/>
        <w:autoSpaceDN/>
        <w:bidi w:val="0"/>
        <w:adjustRightInd/>
        <w:snapToGrid/>
        <w:spacing w:before="120" w:after="120" w:line="560" w:lineRule="exact"/>
        <w:ind w:firstLine="643" w:firstLineChars="0"/>
        <w:textAlignment w:val="auto"/>
        <w:rPr>
          <w:rFonts w:hint="eastAsia" w:ascii="楷体" w:hAnsi="楷体" w:eastAsia="楷体" w:cs="楷体"/>
          <w:b/>
          <w:bCs/>
        </w:rPr>
      </w:pPr>
      <w:bookmarkStart w:id="37" w:name="_Toc97493898"/>
      <w:bookmarkStart w:id="38" w:name="_Toc3251"/>
      <w:r>
        <w:rPr>
          <w:rFonts w:hint="eastAsia" w:ascii="楷体" w:hAnsi="楷体" w:eastAsia="楷体" w:cs="楷体"/>
          <w:b/>
          <w:bCs/>
        </w:rPr>
        <w:t>（一）主要经验及做法</w:t>
      </w:r>
      <w:bookmarkEnd w:id="37"/>
      <w:bookmarkEnd w:id="38"/>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无</w:t>
      </w:r>
    </w:p>
    <w:p>
      <w:pPr>
        <w:pStyle w:val="4"/>
        <w:pageBreakBefore w:val="0"/>
        <w:widowControl w:val="0"/>
        <w:kinsoku/>
        <w:wordWrap/>
        <w:overflowPunct/>
        <w:topLinePunct w:val="0"/>
        <w:autoSpaceDE/>
        <w:autoSpaceDN/>
        <w:bidi w:val="0"/>
        <w:adjustRightInd/>
        <w:snapToGrid/>
        <w:spacing w:before="120" w:after="120" w:line="560" w:lineRule="exact"/>
        <w:ind w:firstLine="643" w:firstLineChars="0"/>
        <w:textAlignment w:val="auto"/>
        <w:rPr>
          <w:rFonts w:hint="eastAsia" w:ascii="楷体" w:hAnsi="楷体" w:eastAsia="楷体" w:cs="楷体"/>
          <w:b/>
          <w:bCs/>
        </w:rPr>
      </w:pPr>
      <w:bookmarkStart w:id="39" w:name="_Toc19683"/>
      <w:bookmarkStart w:id="40" w:name="_Hlk103335409"/>
      <w:r>
        <w:rPr>
          <w:rFonts w:hint="eastAsia" w:ascii="楷体" w:hAnsi="楷体" w:eastAsia="楷体" w:cs="楷体"/>
          <w:b/>
          <w:bCs/>
        </w:rPr>
        <w:t>（二）存在的问题</w:t>
      </w:r>
      <w:bookmarkEnd w:id="35"/>
      <w:bookmarkEnd w:id="39"/>
    </w:p>
    <w:bookmarkEnd w:id="36"/>
    <w:bookmarkEnd w:id="40"/>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1.绩效成果和效益完成情况总结不够，支撑材料不足。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项目绩效完成情况，仅对初始制定的项目绩效目标完成情况做出了简单的回答，没有进行具体的分析比较，绩效报告内容不完备，绩效成果支撑材料不全。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2.满意度调查科学性不足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满意度调查样本量较少且较为单一，仅局限于行业内专家，覆盖面不够广泛，服务对象和受益对象的设定不够完整。</w:t>
      </w:r>
    </w:p>
    <w:p>
      <w:pPr>
        <w:pStyle w:val="3"/>
        <w:pageBreakBefore w:val="0"/>
        <w:widowControl w:val="0"/>
        <w:numPr>
          <w:ilvl w:val="0"/>
          <w:numId w:val="1"/>
        </w:numPr>
        <w:kinsoku/>
        <w:wordWrap/>
        <w:overflowPunct/>
        <w:topLinePunct w:val="0"/>
        <w:autoSpaceDE/>
        <w:autoSpaceDN/>
        <w:bidi w:val="0"/>
        <w:adjustRightInd/>
        <w:snapToGrid/>
        <w:spacing w:line="560" w:lineRule="exact"/>
        <w:ind w:firstLine="643"/>
        <w:textAlignment w:val="auto"/>
        <w:rPr>
          <w:rFonts w:hint="eastAsia" w:ascii="Calibri" w:hAnsi="Calibri" w:cs="Times New Roman"/>
          <w:b/>
          <w:bCs/>
        </w:rPr>
      </w:pPr>
      <w:bookmarkStart w:id="41" w:name="_Toc10860"/>
      <w:r>
        <w:rPr>
          <w:rFonts w:hint="eastAsia" w:ascii="Calibri" w:hAnsi="Calibri" w:cs="Times New Roman"/>
          <w:b/>
          <w:bCs/>
        </w:rPr>
        <w:t>有关建议</w:t>
      </w:r>
      <w:bookmarkEnd w:id="4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w:t>
      </w:r>
      <w:r>
        <w:rPr>
          <w:rFonts w:hint="eastAsia" w:ascii="仿宋" w:hAnsi="仿宋" w:eastAsia="仿宋" w:cs="仿宋"/>
          <w:sz w:val="32"/>
          <w:szCs w:val="32"/>
          <w:lang w:eastAsia="zh-CN"/>
        </w:rPr>
        <w:t>）</w:t>
      </w:r>
      <w:r>
        <w:rPr>
          <w:rFonts w:hint="eastAsia" w:ascii="仿宋" w:hAnsi="仿宋" w:eastAsia="仿宋" w:cs="仿宋"/>
          <w:sz w:val="32"/>
          <w:szCs w:val="32"/>
        </w:rPr>
        <w:t>强化绩效意识，加强绩效材料的归集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项目单位应进一步强化绩效意识，对于项目执行过程中开展的相关监督管理和协调控制业务，特别是对于服务商的质量监管业务，注重材料留痕、归集、存档。对于绩效材料，认真梳理各项绩效成果和支撑材料，特别是能体现成果效益指标值实现程度的数据和资料，形成项目档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w:t>
      </w:r>
      <w:r>
        <w:rPr>
          <w:rFonts w:hint="eastAsia" w:ascii="仿宋" w:hAnsi="仿宋" w:eastAsia="仿宋" w:cs="仿宋"/>
          <w:sz w:val="32"/>
          <w:szCs w:val="32"/>
        </w:rPr>
        <w:t>拓展满意度调查覆盖面，为后续同类项目开展提供借鉴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严格开展服务对象满意度调查，深化调查内容，拓展调查对象，发现不足，为后续项目开展提供借鉴。比如，满意度调查可适度考虑组织管理人员、具体实施人员分类调查，调查内容可涵盖项目成果、产生效益、开展方式等多方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三</w:t>
      </w:r>
      <w:r>
        <w:rPr>
          <w:rFonts w:hint="eastAsia" w:ascii="仿宋" w:hAnsi="仿宋" w:eastAsia="仿宋" w:cs="仿宋"/>
          <w:sz w:val="32"/>
          <w:szCs w:val="32"/>
          <w:lang w:eastAsia="zh-CN"/>
        </w:rPr>
        <w:t>）</w:t>
      </w:r>
      <w:r>
        <w:rPr>
          <w:rFonts w:hint="eastAsia" w:ascii="仿宋" w:hAnsi="仿宋" w:eastAsia="仿宋" w:cs="仿宋"/>
          <w:sz w:val="32"/>
          <w:szCs w:val="32"/>
        </w:rPr>
        <w:t>进一步模拟多尺度、多时空、多条件的场景类型，为科学精准防灾减灾提供技术支撑。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四</w:t>
      </w:r>
      <w:r>
        <w:rPr>
          <w:rFonts w:hint="eastAsia" w:ascii="仿宋" w:hAnsi="仿宋" w:eastAsia="仿宋" w:cs="仿宋"/>
          <w:sz w:val="32"/>
          <w:szCs w:val="32"/>
          <w:lang w:eastAsia="zh-CN"/>
        </w:rPr>
        <w:t>）</w:t>
      </w:r>
      <w:r>
        <w:rPr>
          <w:rFonts w:hint="eastAsia" w:ascii="仿宋" w:hAnsi="仿宋" w:eastAsia="仿宋" w:cs="仿宋"/>
          <w:sz w:val="32"/>
          <w:szCs w:val="32"/>
        </w:rPr>
        <w:t>加强该体系后期的应用和维护规划。</w:t>
      </w:r>
    </w:p>
    <w:p>
      <w:pPr>
        <w:pStyle w:val="3"/>
        <w:pageBreakBefore w:val="0"/>
        <w:widowControl w:val="0"/>
        <w:numPr>
          <w:ilvl w:val="0"/>
          <w:numId w:val="1"/>
        </w:numPr>
        <w:kinsoku/>
        <w:wordWrap/>
        <w:overflowPunct/>
        <w:topLinePunct w:val="0"/>
        <w:autoSpaceDE/>
        <w:autoSpaceDN/>
        <w:bidi w:val="0"/>
        <w:adjustRightInd/>
        <w:snapToGrid/>
        <w:spacing w:line="560" w:lineRule="exact"/>
        <w:ind w:firstLine="643"/>
        <w:textAlignment w:val="auto"/>
        <w:rPr>
          <w:rFonts w:hint="eastAsia" w:ascii="Calibri" w:hAnsi="Calibri" w:cs="Times New Roman"/>
          <w:b/>
          <w:bCs/>
        </w:rPr>
      </w:pPr>
      <w:bookmarkStart w:id="42" w:name="_Toc30132"/>
      <w:bookmarkStart w:id="43" w:name="_Toc171772135"/>
      <w:bookmarkStart w:id="44" w:name="_Toc325442851"/>
      <w:bookmarkStart w:id="45" w:name="_Toc175710853"/>
      <w:r>
        <w:rPr>
          <w:rFonts w:hint="eastAsia" w:ascii="Calibri" w:hAnsi="Calibri" w:cs="Times New Roman"/>
          <w:b/>
          <w:bCs/>
        </w:rPr>
        <w:t>其他需要说明的问题</w:t>
      </w:r>
      <w:bookmarkEnd w:id="42"/>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无</w:t>
      </w:r>
      <w:bookmarkEnd w:id="43"/>
      <w:bookmarkEnd w:id="44"/>
      <w:bookmarkEnd w:id="45"/>
    </w:p>
    <w:p>
      <w:bookmarkStart w:id="46" w:name="_GoBack"/>
      <w:bookmarkEnd w:id="4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82D0E82"/>
    <w:multiLevelType w:val="singleLevel"/>
    <w:tmpl w:val="782D0E82"/>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ljMDA0ZjQ1NjFkZGUxZTIyZDlkYjUxYmQwZjAzYjcifQ=="/>
  </w:docVars>
  <w:rsids>
    <w:rsidRoot w:val="00000000"/>
    <w:rsid w:val="4BCB30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keepNext/>
      <w:keepLines/>
      <w:adjustRightInd w:val="0"/>
      <w:snapToGrid w:val="0"/>
      <w:spacing w:before="240" w:after="120" w:line="360" w:lineRule="auto"/>
      <w:ind w:firstLine="643" w:firstLineChars="200"/>
      <w:outlineLvl w:val="0"/>
    </w:pPr>
    <w:rPr>
      <w:rFonts w:ascii="黑体" w:hAnsi="黑体" w:eastAsia="黑体"/>
      <w:b/>
      <w:bCs/>
      <w:kern w:val="44"/>
      <w:sz w:val="32"/>
      <w:szCs w:val="32"/>
    </w:rPr>
  </w:style>
  <w:style w:type="paragraph" w:styleId="4">
    <w:name w:val="heading 2"/>
    <w:basedOn w:val="1"/>
    <w:next w:val="1"/>
    <w:unhideWhenUsed/>
    <w:qFormat/>
    <w:uiPriority w:val="9"/>
    <w:pPr>
      <w:keepNext/>
      <w:keepLines/>
      <w:adjustRightInd w:val="0"/>
      <w:snapToGrid w:val="0"/>
      <w:spacing w:before="240" w:after="120" w:line="360" w:lineRule="auto"/>
      <w:ind w:firstLine="643" w:firstLineChars="200"/>
      <w:outlineLvl w:val="1"/>
    </w:pPr>
    <w:rPr>
      <w:rFonts w:ascii="楷体" w:hAnsi="楷体" w:eastAsia="楷体" w:cstheme="majorBidi"/>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0"/>
    <w:pPr>
      <w:spacing w:after="120"/>
      <w:ind w:left="1440" w:leftChars="700" w:right="1440" w:rightChars="700"/>
    </w:pPr>
  </w:style>
  <w:style w:type="paragraph" w:styleId="5">
    <w:name w:val="footer"/>
    <w:basedOn w:val="1"/>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lvwei</dc:creator>
  <cp:lastModifiedBy>吕伟</cp:lastModifiedBy>
  <dcterms:modified xsi:type="dcterms:W3CDTF">2023-06-15T00:53:53Z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3AC06D311A1A441BAA66CC7B7EB7B060_12</vt:lpwstr>
  </property>
</Properties>
</file>