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hint="eastAsia"/>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北京市地震局</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Times New Roman" w:eastAsia="方正小标宋简体" w:cs="Times New Roman"/>
          <w:sz w:val="44"/>
          <w:szCs w:val="44"/>
        </w:rPr>
      </w:pPr>
      <w:bookmarkStart w:id="19" w:name="_GoBack"/>
      <w:bookmarkEnd w:id="19"/>
      <w:r>
        <w:rPr>
          <w:rFonts w:hint="eastAsia" w:ascii="方正小标宋简体" w:hAnsi="Times New Roman" w:eastAsia="方正小标宋简体" w:cs="Times New Roman"/>
          <w:sz w:val="44"/>
          <w:szCs w:val="44"/>
        </w:rPr>
        <w:t>2022年部门整体绩效评价报告</w:t>
      </w:r>
    </w:p>
    <w:p>
      <w:pPr>
        <w:pStyle w:val="3"/>
        <w:tabs>
          <w:tab w:val="left" w:pos="3900"/>
        </w:tabs>
        <w:spacing w:line="560" w:lineRule="exact"/>
        <w:rPr>
          <w:color w:val="auto"/>
        </w:rPr>
      </w:pPr>
      <w:bookmarkStart w:id="0" w:name="_Toc135319889"/>
      <w:r>
        <w:rPr>
          <w:rFonts w:hint="eastAsia"/>
          <w:color w:val="auto"/>
        </w:rPr>
        <w:t>一、部门概况</w:t>
      </w:r>
      <w:bookmarkEnd w:id="0"/>
      <w:r>
        <w:rPr>
          <w:color w:val="auto"/>
        </w:rPr>
        <w:tab/>
      </w:r>
    </w:p>
    <w:p>
      <w:pPr>
        <w:pStyle w:val="4"/>
        <w:spacing w:line="560" w:lineRule="exact"/>
        <w:rPr>
          <w:color w:val="auto"/>
        </w:rPr>
      </w:pPr>
      <w:bookmarkStart w:id="1" w:name="_Toc135319890"/>
      <w:r>
        <w:rPr>
          <w:rFonts w:hint="eastAsia"/>
          <w:color w:val="auto"/>
        </w:rPr>
        <w:t>（一）机构设置及职责工作任务情况</w:t>
      </w:r>
      <w:bookmarkEnd w:id="1"/>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3" w:firstLineChars="200"/>
        <w:textAlignment w:val="auto"/>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1.</w:t>
      </w:r>
      <w:r>
        <w:rPr>
          <w:rFonts w:hint="eastAsia" w:ascii="仿宋_GB2312" w:hAnsi="华文仿宋" w:eastAsia="仿宋_GB2312"/>
          <w:b/>
          <w:color w:val="auto"/>
          <w:kern w:val="0"/>
          <w:sz w:val="32"/>
          <w:szCs w:val="32"/>
        </w:rPr>
        <w:t>机构设置情况</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内设</w:t>
      </w:r>
      <w:r>
        <w:rPr>
          <w:color w:val="auto"/>
        </w:rPr>
        <w:fldChar w:fldCharType="begin"/>
      </w:r>
      <w:r>
        <w:rPr>
          <w:color w:val="auto"/>
        </w:rPr>
        <w:instrText xml:space="preserve"> HYPERLINK "http://www.bjdzj.gov.cn/bjsdzj/zwgk/jgsz/nsjg/2020113023591228449/index.html" \t "_blank" \o "办公室" </w:instrText>
      </w:r>
      <w:r>
        <w:rPr>
          <w:color w:val="auto"/>
        </w:rPr>
        <w:fldChar w:fldCharType="separate"/>
      </w:r>
      <w:r>
        <w:rPr>
          <w:rFonts w:hint="eastAsia" w:ascii="仿宋_GB2312" w:hAnsi="华文仿宋" w:eastAsia="仿宋_GB2312"/>
          <w:color w:val="auto"/>
          <w:kern w:val="0"/>
          <w:sz w:val="32"/>
          <w:szCs w:val="32"/>
        </w:rPr>
        <w:t>办公室</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r>
        <w:rPr>
          <w:color w:val="auto"/>
        </w:rPr>
        <w:fldChar w:fldCharType="begin"/>
      </w:r>
      <w:r>
        <w:rPr>
          <w:color w:val="auto"/>
        </w:rPr>
        <w:instrText xml:space="preserve"> HYPERLINK "http://www.bjdzj.gov.cn/bjsdzj/zwgk/jgsz/nsjg/2020113023591311539/index.html" \t "_blank" \o "监测预报与科技处（应急服务处）" </w:instrText>
      </w:r>
      <w:r>
        <w:rPr>
          <w:color w:val="auto"/>
        </w:rPr>
        <w:fldChar w:fldCharType="separate"/>
      </w:r>
      <w:r>
        <w:rPr>
          <w:rFonts w:hint="eastAsia" w:ascii="仿宋_GB2312" w:hAnsi="华文仿宋" w:eastAsia="仿宋_GB2312"/>
          <w:color w:val="auto"/>
          <w:kern w:val="0"/>
          <w:sz w:val="32"/>
          <w:szCs w:val="32"/>
        </w:rPr>
        <w:t>监测预报与科技处（应急服务处）</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r>
        <w:rPr>
          <w:color w:val="auto"/>
        </w:rPr>
        <w:fldChar w:fldCharType="begin"/>
      </w:r>
      <w:r>
        <w:rPr>
          <w:color w:val="auto"/>
        </w:rPr>
        <w:instrText xml:space="preserve"> HYPERLINK "http://www.bjdzj.gov.cn/bjsdzj/zwgk/jgsz/nsjg/2020113023591431091/index.html" \t "_blank" \o "震害防御处（公共服务处）" </w:instrText>
      </w:r>
      <w:r>
        <w:rPr>
          <w:color w:val="auto"/>
        </w:rPr>
        <w:fldChar w:fldCharType="separate"/>
      </w:r>
      <w:r>
        <w:rPr>
          <w:rFonts w:hint="eastAsia" w:ascii="仿宋_GB2312" w:hAnsi="华文仿宋" w:eastAsia="仿宋_GB2312"/>
          <w:color w:val="auto"/>
          <w:kern w:val="0"/>
          <w:sz w:val="32"/>
          <w:szCs w:val="32"/>
        </w:rPr>
        <w:t>震害防御处（公共服务处）</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r>
        <w:rPr>
          <w:color w:val="auto"/>
        </w:rPr>
        <w:fldChar w:fldCharType="begin"/>
      </w:r>
      <w:r>
        <w:rPr>
          <w:color w:val="auto"/>
        </w:rPr>
        <w:instrText xml:space="preserve"> HYPERLINK "http://www.bjdzj.gov.cn/bjsdzj/zwgk/jgsz/nsjg/2020113023591240760/index.html" \t "_blank" \o "规划财务处" </w:instrText>
      </w:r>
      <w:r>
        <w:rPr>
          <w:color w:val="auto"/>
        </w:rPr>
        <w:fldChar w:fldCharType="separate"/>
      </w:r>
      <w:r>
        <w:rPr>
          <w:rFonts w:hint="eastAsia" w:ascii="仿宋_GB2312" w:hAnsi="华文仿宋" w:eastAsia="仿宋_GB2312"/>
          <w:color w:val="auto"/>
          <w:kern w:val="0"/>
          <w:sz w:val="32"/>
          <w:szCs w:val="32"/>
        </w:rPr>
        <w:t>规划财务处</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r>
        <w:rPr>
          <w:color w:val="auto"/>
        </w:rPr>
        <w:fldChar w:fldCharType="begin"/>
      </w:r>
      <w:r>
        <w:rPr>
          <w:color w:val="auto"/>
        </w:rPr>
        <w:instrText xml:space="preserve"> HYPERLINK "http://www.bjdzj.gov.cn/bjsdzj/zwgk/jgsz/nsjg/2020113023591468733/index.html" \t "_blank" \o "人事教育处（离退休干部办公室）" </w:instrText>
      </w:r>
      <w:r>
        <w:rPr>
          <w:color w:val="auto"/>
        </w:rPr>
        <w:fldChar w:fldCharType="separate"/>
      </w:r>
      <w:r>
        <w:rPr>
          <w:rFonts w:hint="eastAsia" w:ascii="仿宋_GB2312" w:hAnsi="华文仿宋" w:eastAsia="仿宋_GB2312"/>
          <w:color w:val="auto"/>
          <w:kern w:val="0"/>
          <w:sz w:val="32"/>
          <w:szCs w:val="32"/>
        </w:rPr>
        <w:t>人事教育处（离退休干部办公室）</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r>
        <w:rPr>
          <w:color w:val="auto"/>
        </w:rPr>
        <w:fldChar w:fldCharType="begin"/>
      </w:r>
      <w:r>
        <w:rPr>
          <w:color w:val="auto"/>
        </w:rPr>
        <w:instrText xml:space="preserve"> HYPERLINK "http://www.bjdzj.gov.cn/bjsdzj/zwgk/jgsz/nsjg/2020113023591521588/index.html" \t "_blank" \o "机关党委" </w:instrText>
      </w:r>
      <w:r>
        <w:rPr>
          <w:color w:val="auto"/>
        </w:rPr>
        <w:fldChar w:fldCharType="separate"/>
      </w:r>
      <w:r>
        <w:rPr>
          <w:rFonts w:hint="eastAsia" w:ascii="仿宋_GB2312" w:hAnsi="华文仿宋" w:eastAsia="仿宋_GB2312"/>
          <w:color w:val="auto"/>
          <w:kern w:val="0"/>
          <w:sz w:val="32"/>
          <w:szCs w:val="32"/>
        </w:rPr>
        <w:t>机关党委</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r>
        <w:rPr>
          <w:color w:val="auto"/>
        </w:rPr>
        <w:fldChar w:fldCharType="begin"/>
      </w:r>
      <w:r>
        <w:rPr>
          <w:color w:val="auto"/>
        </w:rPr>
        <w:instrText xml:space="preserve"> HYPERLINK "http://www.bjdzj.gov.cn/bjsdzj/zwgk/jgsz/nsjg/2020113023591358150/index.html" \t "_blank" \o "纪检室" </w:instrText>
      </w:r>
      <w:r>
        <w:rPr>
          <w:color w:val="auto"/>
        </w:rPr>
        <w:fldChar w:fldCharType="separate"/>
      </w:r>
      <w:r>
        <w:rPr>
          <w:rFonts w:hint="eastAsia" w:ascii="仿宋_GB2312" w:hAnsi="华文仿宋" w:eastAsia="仿宋_GB2312"/>
          <w:color w:val="auto"/>
          <w:kern w:val="0"/>
          <w:sz w:val="32"/>
          <w:szCs w:val="32"/>
        </w:rPr>
        <w:t>纪检室</w:t>
      </w:r>
      <w:r>
        <w:rPr>
          <w:rFonts w:hint="eastAsia" w:ascii="仿宋_GB2312" w:hAnsi="华文仿宋" w:eastAsia="仿宋_GB2312"/>
          <w:color w:val="auto"/>
          <w:kern w:val="0"/>
          <w:sz w:val="32"/>
          <w:szCs w:val="32"/>
        </w:rPr>
        <w:fldChar w:fldCharType="end"/>
      </w:r>
      <w:r>
        <w:rPr>
          <w:rFonts w:ascii="仿宋_GB2312" w:hAnsi="华文仿宋" w:eastAsia="仿宋_GB2312"/>
          <w:color w:val="auto"/>
          <w:kern w:val="0"/>
          <w:sz w:val="32"/>
          <w:szCs w:val="32"/>
        </w:rPr>
        <w:t>7个内设机构。</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hint="eastAsia" w:ascii="仿宋_GB2312" w:hAnsi="华文仿宋" w:eastAsia="仿宋_GB2312"/>
          <w:color w:val="auto"/>
          <w:kern w:val="0"/>
          <w:sz w:val="32"/>
          <w:szCs w:val="32"/>
        </w:rPr>
      </w:pPr>
      <w:r>
        <w:rPr>
          <w:rFonts w:hint="eastAsia" w:ascii="仿宋_GB2312" w:hAnsi="华文仿宋" w:eastAsia="仿宋_GB2312"/>
          <w:color w:val="auto"/>
          <w:kern w:val="0"/>
          <w:sz w:val="32"/>
          <w:szCs w:val="32"/>
        </w:rPr>
        <w:t>下设</w:t>
      </w:r>
      <w:r>
        <w:rPr>
          <w:rFonts w:hint="eastAsia" w:ascii="仿宋_GB2312" w:hAnsi="华文仿宋" w:eastAsia="仿宋_GB2312"/>
          <w:color w:val="auto"/>
          <w:kern w:val="0"/>
          <w:sz w:val="32"/>
          <w:szCs w:val="32"/>
        </w:rPr>
        <w:fldChar w:fldCharType="begin"/>
      </w:r>
      <w:r>
        <w:rPr>
          <w:rFonts w:hint="eastAsia" w:ascii="仿宋_GB2312" w:hAnsi="华文仿宋" w:eastAsia="仿宋_GB2312"/>
          <w:color w:val="auto"/>
          <w:kern w:val="0"/>
          <w:sz w:val="32"/>
          <w:szCs w:val="32"/>
        </w:rPr>
        <w:instrText xml:space="preserve"> HYPERLINK "http://www.bjdzj.gov.cn/bjsdzj/zwgk/jgsz/sydw/2020120100025429909/index.html" \t "_blank" \o "北京地震台" </w:instrText>
      </w:r>
      <w:r>
        <w:rPr>
          <w:rFonts w:hint="eastAsia" w:ascii="仿宋_GB2312" w:hAnsi="华文仿宋" w:eastAsia="仿宋_GB2312"/>
          <w:color w:val="auto"/>
          <w:kern w:val="0"/>
          <w:sz w:val="32"/>
          <w:szCs w:val="32"/>
        </w:rPr>
        <w:fldChar w:fldCharType="separate"/>
      </w:r>
      <w:r>
        <w:rPr>
          <w:rFonts w:hint="eastAsia" w:ascii="仿宋_GB2312" w:hAnsi="华文仿宋" w:eastAsia="仿宋_GB2312"/>
          <w:color w:val="auto"/>
          <w:kern w:val="0"/>
          <w:sz w:val="32"/>
          <w:szCs w:val="32"/>
        </w:rPr>
        <w:t>北京地震台</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r>
        <w:rPr>
          <w:rFonts w:hint="eastAsia" w:ascii="仿宋_GB2312" w:hAnsi="华文仿宋" w:eastAsia="仿宋_GB2312"/>
          <w:color w:val="auto"/>
          <w:kern w:val="0"/>
          <w:sz w:val="32"/>
          <w:szCs w:val="32"/>
        </w:rPr>
        <w:fldChar w:fldCharType="begin"/>
      </w:r>
      <w:r>
        <w:rPr>
          <w:rFonts w:hint="eastAsia" w:ascii="仿宋_GB2312" w:hAnsi="华文仿宋" w:eastAsia="仿宋_GB2312"/>
          <w:color w:val="auto"/>
          <w:kern w:val="0"/>
          <w:sz w:val="32"/>
          <w:szCs w:val="32"/>
        </w:rPr>
        <w:instrText xml:space="preserve"> HYPERLINK "http://www.bjdzj.gov.cn/bjsdzj/zwgk/jgsz/sydw/2020120100025181758/index.html" \t "_blank" \o "北京市震灾风险防治中心" </w:instrText>
      </w:r>
      <w:r>
        <w:rPr>
          <w:rFonts w:hint="eastAsia" w:ascii="仿宋_GB2312" w:hAnsi="华文仿宋" w:eastAsia="仿宋_GB2312"/>
          <w:color w:val="auto"/>
          <w:kern w:val="0"/>
          <w:sz w:val="32"/>
          <w:szCs w:val="32"/>
        </w:rPr>
        <w:fldChar w:fldCharType="separate"/>
      </w:r>
      <w:r>
        <w:rPr>
          <w:rFonts w:hint="eastAsia" w:ascii="仿宋_GB2312" w:hAnsi="华文仿宋" w:eastAsia="仿宋_GB2312"/>
          <w:color w:val="auto"/>
          <w:kern w:val="0"/>
          <w:sz w:val="32"/>
          <w:szCs w:val="32"/>
        </w:rPr>
        <w:t>北京市震灾风险防治中心</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r>
        <w:rPr>
          <w:rFonts w:hint="eastAsia" w:ascii="仿宋_GB2312" w:hAnsi="华文仿宋" w:eastAsia="仿宋_GB2312"/>
          <w:color w:val="auto"/>
          <w:kern w:val="0"/>
          <w:sz w:val="32"/>
          <w:szCs w:val="32"/>
        </w:rPr>
        <w:fldChar w:fldCharType="begin"/>
      </w:r>
      <w:r>
        <w:rPr>
          <w:rFonts w:hint="eastAsia" w:ascii="仿宋_GB2312" w:hAnsi="华文仿宋" w:eastAsia="仿宋_GB2312"/>
          <w:color w:val="auto"/>
          <w:kern w:val="0"/>
          <w:sz w:val="32"/>
          <w:szCs w:val="32"/>
        </w:rPr>
        <w:instrText xml:space="preserve"> HYPERLINK "http://www.bjdzj.gov.cn/bjsdzj/zwgk/jgsz/sydw/2020120100025148696/index.html" \t "_blank" \o "北京市地震局信息中心（应急服务中心）" </w:instrText>
      </w:r>
      <w:r>
        <w:rPr>
          <w:rFonts w:hint="eastAsia" w:ascii="仿宋_GB2312" w:hAnsi="华文仿宋" w:eastAsia="仿宋_GB2312"/>
          <w:color w:val="auto"/>
          <w:kern w:val="0"/>
          <w:sz w:val="32"/>
          <w:szCs w:val="32"/>
        </w:rPr>
        <w:fldChar w:fldCharType="separate"/>
      </w:r>
      <w:r>
        <w:rPr>
          <w:rFonts w:hint="eastAsia" w:ascii="仿宋_GB2312" w:hAnsi="华文仿宋" w:eastAsia="仿宋_GB2312"/>
          <w:color w:val="auto"/>
          <w:kern w:val="0"/>
          <w:sz w:val="32"/>
          <w:szCs w:val="32"/>
        </w:rPr>
        <w:t>北京市地震局信息中心（应急服务中心）</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r>
        <w:rPr>
          <w:rFonts w:hint="eastAsia" w:ascii="仿宋_GB2312" w:hAnsi="华文仿宋" w:eastAsia="仿宋_GB2312"/>
          <w:color w:val="auto"/>
          <w:kern w:val="0"/>
          <w:sz w:val="32"/>
          <w:szCs w:val="32"/>
        </w:rPr>
        <w:fldChar w:fldCharType="begin"/>
      </w:r>
      <w:r>
        <w:rPr>
          <w:rFonts w:hint="eastAsia" w:ascii="仿宋_GB2312" w:hAnsi="华文仿宋" w:eastAsia="仿宋_GB2312"/>
          <w:color w:val="auto"/>
          <w:kern w:val="0"/>
          <w:sz w:val="32"/>
          <w:szCs w:val="32"/>
        </w:rPr>
        <w:instrText xml:space="preserve"> HYPERLINK "http://www.bjdzj.gov.cn/bjsdzj/zwgk/jgsz/sydw/2020120100025173037/index.html" \t "_blank" \o "北京市地震局财务与国有资产管理中心（后勤服务中心）" </w:instrText>
      </w:r>
      <w:r>
        <w:rPr>
          <w:rFonts w:hint="eastAsia" w:ascii="仿宋_GB2312" w:hAnsi="华文仿宋" w:eastAsia="仿宋_GB2312"/>
          <w:color w:val="auto"/>
          <w:kern w:val="0"/>
          <w:sz w:val="32"/>
          <w:szCs w:val="32"/>
        </w:rPr>
        <w:fldChar w:fldCharType="separate"/>
      </w:r>
      <w:r>
        <w:rPr>
          <w:rFonts w:hint="eastAsia" w:ascii="仿宋_GB2312" w:hAnsi="华文仿宋" w:eastAsia="仿宋_GB2312"/>
          <w:color w:val="auto"/>
          <w:kern w:val="0"/>
          <w:sz w:val="32"/>
          <w:szCs w:val="32"/>
        </w:rPr>
        <w:t>北京市地震局财务与国有资产管理中心（后勤服务中心）</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r>
        <w:rPr>
          <w:rFonts w:hint="eastAsia" w:ascii="仿宋_GB2312" w:hAnsi="华文仿宋" w:eastAsia="仿宋_GB2312"/>
          <w:color w:val="auto"/>
          <w:kern w:val="0"/>
          <w:sz w:val="32"/>
          <w:szCs w:val="32"/>
        </w:rPr>
        <w:fldChar w:fldCharType="begin"/>
      </w:r>
      <w:r>
        <w:rPr>
          <w:rFonts w:hint="eastAsia" w:ascii="仿宋_GB2312" w:hAnsi="华文仿宋" w:eastAsia="仿宋_GB2312"/>
          <w:color w:val="auto"/>
          <w:kern w:val="0"/>
          <w:sz w:val="32"/>
          <w:szCs w:val="32"/>
        </w:rPr>
        <w:instrText xml:space="preserve"> HYPERLINK "http://www.bjdzj.gov.cn/bjsdzj/zwgk/jgsz/sydw/2020120100025296022/index.html" \t "_blank" \o "北京市防震减灾宣教中心" </w:instrText>
      </w:r>
      <w:r>
        <w:rPr>
          <w:rFonts w:hint="eastAsia" w:ascii="仿宋_GB2312" w:hAnsi="华文仿宋" w:eastAsia="仿宋_GB2312"/>
          <w:color w:val="auto"/>
          <w:kern w:val="0"/>
          <w:sz w:val="32"/>
          <w:szCs w:val="32"/>
        </w:rPr>
        <w:fldChar w:fldCharType="separate"/>
      </w:r>
      <w:r>
        <w:rPr>
          <w:rFonts w:hint="eastAsia" w:ascii="仿宋_GB2312" w:hAnsi="华文仿宋" w:eastAsia="仿宋_GB2312"/>
          <w:color w:val="auto"/>
          <w:kern w:val="0"/>
          <w:sz w:val="32"/>
          <w:szCs w:val="32"/>
        </w:rPr>
        <w:t>北京市防震减灾宣教中心</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r>
        <w:rPr>
          <w:rFonts w:hint="eastAsia" w:ascii="仿宋_GB2312" w:hAnsi="华文仿宋" w:eastAsia="仿宋_GB2312"/>
          <w:color w:val="auto"/>
          <w:kern w:val="0"/>
          <w:sz w:val="32"/>
          <w:szCs w:val="32"/>
        </w:rPr>
        <w:fldChar w:fldCharType="begin"/>
      </w:r>
      <w:r>
        <w:rPr>
          <w:rFonts w:hint="eastAsia" w:ascii="仿宋_GB2312" w:hAnsi="华文仿宋" w:eastAsia="仿宋_GB2312"/>
          <w:color w:val="auto"/>
          <w:kern w:val="0"/>
          <w:sz w:val="32"/>
          <w:szCs w:val="32"/>
        </w:rPr>
        <w:instrText xml:space="preserve"> HYPERLINK "http://www.bjdzj.gov.cn/bjsdzj/zwgk/jgsz/sydw/2020120100025242591/index.html" \t "_blank" \o "北京市京津冀地震预测研究中心" </w:instrText>
      </w:r>
      <w:r>
        <w:rPr>
          <w:rFonts w:hint="eastAsia" w:ascii="仿宋_GB2312" w:hAnsi="华文仿宋" w:eastAsia="仿宋_GB2312"/>
          <w:color w:val="auto"/>
          <w:kern w:val="0"/>
          <w:sz w:val="32"/>
          <w:szCs w:val="32"/>
        </w:rPr>
        <w:fldChar w:fldCharType="separate"/>
      </w:r>
      <w:r>
        <w:rPr>
          <w:rFonts w:hint="eastAsia" w:ascii="仿宋_GB2312" w:hAnsi="华文仿宋" w:eastAsia="仿宋_GB2312"/>
          <w:color w:val="auto"/>
          <w:kern w:val="0"/>
          <w:sz w:val="32"/>
          <w:szCs w:val="32"/>
        </w:rPr>
        <w:t>北京市京津冀地震预测研究中心</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6个直属事业单位以及</w:t>
      </w:r>
      <w:r>
        <w:rPr>
          <w:rFonts w:hint="eastAsia" w:ascii="仿宋_GB2312" w:hAnsi="华文仿宋" w:eastAsia="仿宋_GB2312"/>
          <w:color w:val="auto"/>
          <w:kern w:val="0"/>
          <w:sz w:val="32"/>
          <w:szCs w:val="32"/>
        </w:rPr>
        <w:fldChar w:fldCharType="begin"/>
      </w:r>
      <w:r>
        <w:rPr>
          <w:rFonts w:hint="eastAsia" w:ascii="仿宋_GB2312" w:hAnsi="华文仿宋" w:eastAsia="仿宋_GB2312"/>
          <w:color w:val="auto"/>
          <w:kern w:val="0"/>
          <w:sz w:val="32"/>
          <w:szCs w:val="32"/>
        </w:rPr>
        <w:instrText xml:space="preserve"> HYPERLINK "http://www.bjdzj.gov.cn/bjsdzj/zwgk/jgsz/sydw/2021030415395570910/index.html" \t "_blank" \o "北京市地震局昌平地震监测中心站" </w:instrText>
      </w:r>
      <w:r>
        <w:rPr>
          <w:rFonts w:hint="eastAsia" w:ascii="仿宋_GB2312" w:hAnsi="华文仿宋" w:eastAsia="仿宋_GB2312"/>
          <w:color w:val="auto"/>
          <w:kern w:val="0"/>
          <w:sz w:val="32"/>
          <w:szCs w:val="32"/>
        </w:rPr>
        <w:fldChar w:fldCharType="separate"/>
      </w:r>
      <w:r>
        <w:rPr>
          <w:rFonts w:hint="eastAsia" w:ascii="仿宋_GB2312" w:hAnsi="华文仿宋" w:eastAsia="仿宋_GB2312"/>
          <w:color w:val="auto"/>
          <w:kern w:val="0"/>
          <w:sz w:val="32"/>
          <w:szCs w:val="32"/>
        </w:rPr>
        <w:t>北京市地震局昌平地震监测中心站</w:t>
      </w:r>
      <w:r>
        <w:rPr>
          <w:rFonts w:hint="eastAsia" w:ascii="仿宋_GB2312" w:hAnsi="华文仿宋" w:eastAsia="仿宋_GB2312"/>
          <w:color w:val="auto"/>
          <w:kern w:val="0"/>
          <w:sz w:val="32"/>
          <w:szCs w:val="32"/>
        </w:rPr>
        <w:fldChar w:fldCharType="end"/>
      </w:r>
      <w:r>
        <w:rPr>
          <w:rFonts w:hint="eastAsia" w:ascii="仿宋_GB2312" w:hAnsi="华文仿宋" w:eastAsia="仿宋_GB2312"/>
          <w:color w:val="auto"/>
          <w:kern w:val="0"/>
          <w:sz w:val="32"/>
          <w:szCs w:val="32"/>
        </w:rPr>
        <w:t>。</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hint="eastAsia" w:ascii="仿宋_GB2312" w:hAnsi="华文仿宋" w:eastAsia="仿宋_GB2312"/>
          <w:color w:val="auto"/>
          <w:kern w:val="0"/>
          <w:sz w:val="32"/>
          <w:szCs w:val="32"/>
        </w:rPr>
      </w:pPr>
      <w:r>
        <w:rPr>
          <w:rFonts w:hint="eastAsia" w:ascii="仿宋_GB2312" w:hAnsi="华文仿宋" w:eastAsia="仿宋_GB2312"/>
          <w:color w:val="auto"/>
          <w:kern w:val="0"/>
          <w:sz w:val="32"/>
          <w:szCs w:val="32"/>
        </w:rPr>
        <w:t>北京地区设有1个中心站、265个无人值守强震台、33个测震台和36个地球物理台站，为非独立核算机构，无单独账户。</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hint="eastAsia" w:ascii="仿宋_GB2312" w:hAnsi="华文仿宋" w:eastAsia="仿宋_GB2312"/>
          <w:color w:val="auto"/>
          <w:kern w:val="0"/>
          <w:sz w:val="32"/>
          <w:szCs w:val="32"/>
        </w:rPr>
      </w:pPr>
      <w:r>
        <w:rPr>
          <w:rFonts w:hint="eastAsia" w:ascii="仿宋_GB2312" w:hAnsi="华文仿宋" w:eastAsia="仿宋_GB2312"/>
          <w:color w:val="auto"/>
          <w:kern w:val="0"/>
          <w:sz w:val="32"/>
          <w:szCs w:val="32"/>
        </w:rPr>
        <w:t>人员编制220人，全部属于中央编制，其中，参照公务员管理人员编制45人，事业编制175人。截止2022年底，在职职工201人，其中参公43人，事业158人；退休115人，其中，参公退休人员28人，事业退休人员87人。</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3" w:firstLineChars="200"/>
        <w:textAlignment w:val="auto"/>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2.</w:t>
      </w:r>
      <w:r>
        <w:rPr>
          <w:rFonts w:hint="eastAsia" w:ascii="仿宋_GB2312" w:hAnsi="华文仿宋" w:eastAsia="仿宋_GB2312"/>
          <w:b/>
          <w:color w:val="auto"/>
          <w:kern w:val="0"/>
          <w:sz w:val="32"/>
          <w:szCs w:val="32"/>
        </w:rPr>
        <w:t>职责工作任务情况</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主要职责工作任务情况包括：</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1）负责起草北京市防震减灾政策、法规、规章和标准，并组织实施。</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2）组织编制北京市防震减灾规划并组织实施，推进防震减灾双重计划财务管理体制和相应经费渠道的建立和完善；牵头编制京津冀协同发展防震减灾专项规划。</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3）负责建立地震灾害风险防治体系、地震监测预报预警体系、地震科技创新体系和防震减灾社会治理体系。</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4）负责建立防震减灾信息系统，建立地震监测预警、灾情报告和风险报告制度，建立地震灾害风险信息共享机制，依法统一发布震情、灾情和地震灾害风险信息。</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5）负责编制北京市地震监测站网规划并组织实施，会同有关部门开展地震灾害风险调查、评估、防治，会同有关部门组织地震灾害调查与损失评估，参与制定地震灾后恢复重建规划。</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6）依法履行本行政区域内防震减灾监督管理职责，指导区、县防震减灾工作，依法开展防震减灾相关行政执法工作，承担地震行政复议、行政诉讼工作。</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7）负责本行政区域内地震行业质量与技术监督管理工作，负责地震标准宣传、贯彻、实施和监督，管理地震计量工作。</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8）组织防震减灾公共服务，负责防震减灾科学技术研究和成果推广应用，负责防震减灾科普宣传和培训工作。</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9）承担中国地震局和市委市政府交办的其他任务。</w:t>
      </w:r>
    </w:p>
    <w:p>
      <w:pPr>
        <w:pStyle w:val="4"/>
        <w:spacing w:before="360" w:line="560" w:lineRule="exact"/>
        <w:rPr>
          <w:color w:val="auto"/>
        </w:rPr>
      </w:pPr>
      <w:bookmarkStart w:id="2" w:name="_Toc135319891"/>
      <w:r>
        <w:rPr>
          <w:rFonts w:hint="eastAsia"/>
          <w:color w:val="auto"/>
        </w:rPr>
        <w:t>（二）部门整体绩效目标设立情况</w:t>
      </w:r>
      <w:bookmarkEnd w:id="2"/>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3" w:firstLineChars="200"/>
        <w:textAlignment w:val="auto"/>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1.部门绩效目标情况</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ascii="仿宋_GB2312" w:hAnsi="华文仿宋" w:eastAsia="仿宋_GB2312"/>
          <w:color w:val="auto"/>
          <w:kern w:val="0"/>
          <w:sz w:val="32"/>
          <w:szCs w:val="32"/>
        </w:rPr>
        <w:t>2022年度，根据上级的统一要求，结合职责分工，对照所执行的法律、法规、规章和本部门的“三定”规定、十四五规划等，反复进行了梳理、归纳，确定了202</w:t>
      </w:r>
      <w:r>
        <w:rPr>
          <w:rFonts w:hint="eastAsia" w:ascii="仿宋_GB2312" w:hAnsi="华文仿宋" w:eastAsia="仿宋_GB2312"/>
          <w:color w:val="auto"/>
          <w:kern w:val="0"/>
          <w:sz w:val="32"/>
          <w:szCs w:val="32"/>
        </w:rPr>
        <w:t>2</w:t>
      </w:r>
      <w:r>
        <w:rPr>
          <w:rFonts w:ascii="仿宋_GB2312" w:hAnsi="华文仿宋" w:eastAsia="仿宋_GB2312"/>
          <w:color w:val="auto"/>
          <w:kern w:val="0"/>
          <w:sz w:val="32"/>
          <w:szCs w:val="32"/>
        </w:rPr>
        <w:t>年部门绩效目标。</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部门绩效目标设定如下：</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通过建立地震监测与探测体系，提高地震风险识别与预测评估能力；通过制定监测产出和服务清单，规范台网资源管理，提升台网监测服务能力；强化震情监视跟踪和地震趋势研判规范管理，做好重点时段和重大活动地震安全保障服务；通过防震减灾宣传和舆情引导，不断提升全市防震减灾科普宣传效果，提高社会影响力。</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具体绩效指标设定如下：</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绩效指标一：地震监测产出指标质量指标无线两端之间数据传输累计时延≤1秒；</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绩效指标二：地震监测产出指标质量指标光纤两端之间数据传输累计时延≤200m/s；</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绩效指标三：地震监测产出指标质量指标光纤专线两端之间数据传输累计时延≤150m/s；</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绩效指标四：科普与宣传产出指标数量指标防震减灾科普线下宣传活动≥5次；</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绩效指标五：科普与宣传产出指标数量指标培训沙龙≥2次；</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绩效指标六：科普与宣传效益指标社会效益指标提升影响，媒体报道≥30次；</w:t>
      </w:r>
      <w:r>
        <w:rPr>
          <w:rFonts w:hint="eastAsia" w:ascii="仿宋_GB2312" w:hAnsi="华文仿宋" w:eastAsia="仿宋_GB2312"/>
          <w:color w:val="auto"/>
          <w:kern w:val="0"/>
          <w:sz w:val="32"/>
          <w:szCs w:val="32"/>
        </w:rPr>
        <w:tab/>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绩效指标七：科普与宣传效益指标社会效益指标年度覆盖人次≥50万人；</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绩效指标八：地震灾害预防产出指标数量指标地震灾害情景构建体系1套；</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绩效指标九：地震灾害产出指标数量指标产出地震灾害风险评估方法数量1项；</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绩效指标十：地震监测产出指标数量指标北京市地震监测台网正常运转，台站连通率</w:t>
      </w:r>
      <w:r>
        <w:rPr>
          <w:rFonts w:hint="eastAsia" w:ascii="仿宋_GB2312" w:hAnsi="华文仿宋" w:eastAsia="仿宋_GB2312"/>
          <w:color w:val="auto"/>
          <w:kern w:val="0"/>
          <w:sz w:val="32"/>
          <w:szCs w:val="32"/>
        </w:rPr>
        <w:tab/>
      </w:r>
      <w:r>
        <w:rPr>
          <w:rFonts w:hint="eastAsia" w:ascii="仿宋_GB2312" w:hAnsi="华文仿宋" w:eastAsia="仿宋_GB2312"/>
          <w:color w:val="auto"/>
          <w:kern w:val="0"/>
          <w:sz w:val="32"/>
          <w:szCs w:val="32"/>
        </w:rPr>
        <w:t>≥85%；</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绩效指标十一：地震监测提升北京市地震局地震综合业务数据处理、存储能力。</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3" w:firstLineChars="200"/>
        <w:textAlignment w:val="auto"/>
        <w:rPr>
          <w:color w:val="auto"/>
        </w:rPr>
      </w:pPr>
      <w:r>
        <w:rPr>
          <w:rFonts w:ascii="仿宋_GB2312" w:hAnsi="华文仿宋" w:eastAsia="仿宋_GB2312"/>
          <w:b/>
          <w:color w:val="auto"/>
          <w:kern w:val="0"/>
          <w:sz w:val="32"/>
          <w:szCs w:val="32"/>
        </w:rPr>
        <w:t>2.绩效目标设立依据</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 w:hAnsi="仿宋" w:eastAsia="仿宋"/>
          <w:color w:val="auto"/>
          <w:sz w:val="32"/>
          <w:szCs w:val="32"/>
        </w:rPr>
      </w:pPr>
      <w:r>
        <w:rPr>
          <w:rFonts w:hint="eastAsia" w:ascii="仿宋_GB2312" w:hAnsi="华文仿宋" w:eastAsia="仿宋_GB2312"/>
          <w:color w:val="auto"/>
          <w:kern w:val="0"/>
          <w:sz w:val="32"/>
          <w:szCs w:val="32"/>
        </w:rPr>
        <w:t>坚持政治统领、规划引领、提升服务的总体思路，认真贯彻落实中国地震局党组和北京市委市政府的工作部署，积极有效应对显著地震事件，全力推进“十四五”开好局起好步。在依据《北京市“十四五”时期防震减灾规划》、《“十四五”防震减灾科普规划》以及上年工作总结和《</w:t>
      </w:r>
      <w:r>
        <w:rPr>
          <w:rFonts w:hint="eastAsia" w:ascii="仿宋_GB2312" w:hAnsi="仿宋_GB2312" w:eastAsia="仿宋_GB2312" w:cs="仿宋_GB2312"/>
          <w:color w:val="auto"/>
          <w:kern w:val="0"/>
          <w:sz w:val="31"/>
          <w:szCs w:val="31"/>
          <w:lang w:bidi="ar"/>
        </w:rPr>
        <w:t>北京市地震局2022年度重点工作任务清单》</w:t>
      </w:r>
      <w:r>
        <w:rPr>
          <w:rFonts w:hint="eastAsia" w:ascii="仿宋_GB2312" w:hAnsi="华文仿宋" w:eastAsia="仿宋_GB2312"/>
          <w:color w:val="auto"/>
          <w:kern w:val="0"/>
          <w:sz w:val="32"/>
          <w:szCs w:val="32"/>
        </w:rPr>
        <w:t>基础上，设定了绩效目标，设立依据充分，决策程序规范。</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3" w:firstLineChars="200"/>
        <w:textAlignment w:val="auto"/>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3.目标与</w:t>
      </w:r>
      <w:r>
        <w:rPr>
          <w:rFonts w:hint="eastAsia" w:ascii="仿宋_GB2312" w:hAnsi="华文仿宋" w:eastAsia="仿宋_GB2312"/>
          <w:b/>
          <w:color w:val="auto"/>
          <w:kern w:val="0"/>
          <w:sz w:val="32"/>
          <w:szCs w:val="32"/>
        </w:rPr>
        <w:t>职责任务匹配情况</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从上述指标值设定情况与</w:t>
      </w:r>
      <w:r>
        <w:rPr>
          <w:rFonts w:ascii="仿宋_GB2312" w:hAnsi="华文仿宋" w:eastAsia="仿宋_GB2312"/>
          <w:color w:val="auto"/>
          <w:kern w:val="0"/>
          <w:sz w:val="32"/>
          <w:szCs w:val="32"/>
        </w:rPr>
        <w:t>2022年重点任务对应分析来看，总体目标与职责任务匹配较好，基本完整的反映了市地震局重点工作任务和部门职责，但在绩效指标设置上仍不完备，覆盖面不够全面，多项实际已开展的重要绩效成果未在年初绩效指标中体现。</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3" w:firstLineChars="200"/>
        <w:textAlignment w:val="auto"/>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4.目标合理性</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left="17" w:leftChars="8" w:firstLine="640" w:firstLineChars="200"/>
        <w:textAlignment w:val="auto"/>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围绕部门工作设定了总体绩效目标，并在此基础上细化绩效指标，所设立目标与市地震局职责密切相关，多数指标比较具体、明确，基本符合绩效目标设定要求，较合理。但总体绩效目标与具体绩效指标的匹配性有待进一步加强，指标的细化、量化程度不够。</w:t>
      </w:r>
    </w:p>
    <w:p>
      <w:pPr>
        <w:pStyle w:val="3"/>
        <w:spacing w:line="560" w:lineRule="exact"/>
        <w:rPr>
          <w:color w:val="auto"/>
        </w:rPr>
      </w:pPr>
      <w:bookmarkStart w:id="3" w:name="_Toc135319892"/>
      <w:r>
        <w:rPr>
          <w:rFonts w:hint="eastAsia"/>
          <w:color w:val="auto"/>
        </w:rPr>
        <w:t>二</w:t>
      </w:r>
      <w:r>
        <w:rPr>
          <w:color w:val="auto"/>
        </w:rPr>
        <w:t>、预算执行情况</w:t>
      </w:r>
      <w:bookmarkEnd w:id="3"/>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ascii="仿宋_GB2312" w:hAnsi="华文仿宋" w:eastAsia="仿宋_GB2312"/>
          <w:color w:val="auto"/>
          <w:kern w:val="0"/>
          <w:sz w:val="32"/>
          <w:szCs w:val="32"/>
        </w:rPr>
        <w:t>2022年全年预算数7260.53万元，其中，基本支出预算数4660.60万元，项目支出预算数2599.93万元，其他支出</w:t>
      </w:r>
      <w:r>
        <w:rPr>
          <w:rFonts w:hint="eastAsia" w:ascii="仿宋_GB2312" w:hAnsi="华文仿宋" w:eastAsia="仿宋_GB2312"/>
          <w:color w:val="auto"/>
          <w:kern w:val="0"/>
          <w:sz w:val="32"/>
          <w:szCs w:val="32"/>
        </w:rPr>
        <w:t>预算数</w:t>
      </w:r>
      <w:r>
        <w:rPr>
          <w:rFonts w:ascii="仿宋_GB2312" w:hAnsi="华文仿宋" w:eastAsia="仿宋_GB2312"/>
          <w:color w:val="auto"/>
          <w:kern w:val="0"/>
          <w:sz w:val="32"/>
          <w:szCs w:val="32"/>
        </w:rPr>
        <w:t>0万元</w:t>
      </w: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资金总体</w:t>
      </w:r>
      <w:r>
        <w:rPr>
          <w:rFonts w:hint="eastAsia" w:ascii="仿宋_GB2312" w:hAnsi="华文仿宋" w:eastAsia="仿宋_GB2312"/>
          <w:color w:val="auto"/>
          <w:kern w:val="0"/>
          <w:sz w:val="32"/>
          <w:szCs w:val="32"/>
        </w:rPr>
        <w:t>支出</w:t>
      </w:r>
      <w:r>
        <w:rPr>
          <w:rFonts w:ascii="仿宋_GB2312" w:hAnsi="华文仿宋" w:eastAsia="仿宋_GB2312"/>
          <w:color w:val="auto"/>
          <w:kern w:val="0"/>
          <w:sz w:val="32"/>
          <w:szCs w:val="32"/>
        </w:rPr>
        <w:t>6879.41万元，其中，基本支出4,597.46万元，项目支出2,281.95万元，其他支出0万元，年末结转结余391.12万元。预算执行率94.75%</w:t>
      </w:r>
      <w:r>
        <w:rPr>
          <w:rFonts w:hint="eastAsia" w:ascii="仿宋_GB2312" w:hAnsi="华文仿宋" w:eastAsia="仿宋_GB2312"/>
          <w:color w:val="auto"/>
          <w:kern w:val="0"/>
          <w:sz w:val="32"/>
          <w:szCs w:val="32"/>
        </w:rPr>
        <w:t>。</w:t>
      </w:r>
    </w:p>
    <w:p>
      <w:pPr>
        <w:pStyle w:val="3"/>
        <w:spacing w:line="560" w:lineRule="exact"/>
        <w:rPr>
          <w:color w:val="auto"/>
        </w:rPr>
      </w:pPr>
      <w:bookmarkStart w:id="4" w:name="_Toc135319893"/>
      <w:r>
        <w:rPr>
          <w:rFonts w:hint="eastAsia"/>
          <w:color w:val="auto"/>
        </w:rPr>
        <w:t>三</w:t>
      </w:r>
      <w:r>
        <w:rPr>
          <w:color w:val="auto"/>
        </w:rPr>
        <w:t>、整体绩效目标实现情况</w:t>
      </w:r>
      <w:bookmarkEnd w:id="4"/>
    </w:p>
    <w:p>
      <w:pPr>
        <w:pStyle w:val="4"/>
        <w:spacing w:line="560" w:lineRule="exact"/>
        <w:rPr>
          <w:color w:val="auto"/>
        </w:rPr>
      </w:pPr>
      <w:bookmarkStart w:id="5" w:name="_Toc135319894"/>
      <w:r>
        <w:rPr>
          <w:rFonts w:hint="eastAsia"/>
          <w:color w:val="auto"/>
        </w:rPr>
        <w:t>（一）产出完成情况分析</w:t>
      </w:r>
      <w:bookmarkEnd w:id="5"/>
    </w:p>
    <w:p>
      <w:pPr>
        <w:tabs>
          <w:tab w:val="left" w:pos="0"/>
        </w:tabs>
        <w:spacing w:line="560" w:lineRule="exact"/>
        <w:ind w:left="17" w:leftChars="8" w:firstLine="620" w:firstLineChars="193"/>
        <w:rPr>
          <w:rFonts w:ascii="仿宋_GB2312" w:hAnsi="华文仿宋" w:eastAsia="仿宋_GB2312"/>
          <w:b/>
          <w:color w:val="auto"/>
        </w:rPr>
      </w:pPr>
      <w:r>
        <w:rPr>
          <w:rFonts w:ascii="仿宋_GB2312" w:hAnsi="华文仿宋" w:eastAsia="仿宋_GB2312"/>
          <w:b/>
          <w:color w:val="auto"/>
          <w:kern w:val="0"/>
          <w:sz w:val="32"/>
          <w:szCs w:val="32"/>
        </w:rPr>
        <w:t>1.产出数量</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人员经费，保障了人员工资、社会保险、住房公积金等必要人员经费开支，保证人员办公正常运行。</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公用经费和项目经费保障了各项重点工作的开展。</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ascii="仿宋_GB2312" w:hAnsi="华文仿宋" w:eastAsia="仿宋_GB2312"/>
          <w:color w:val="auto"/>
          <w:kern w:val="0"/>
          <w:sz w:val="32"/>
          <w:szCs w:val="32"/>
        </w:rPr>
        <w:t>2022年北京市财政共下达1</w:t>
      </w:r>
      <w:r>
        <w:rPr>
          <w:rFonts w:hint="eastAsia" w:ascii="仿宋_GB2312" w:hAnsi="华文仿宋" w:eastAsia="仿宋_GB2312"/>
          <w:color w:val="auto"/>
          <w:kern w:val="0"/>
          <w:sz w:val="32"/>
          <w:szCs w:val="32"/>
        </w:rPr>
        <w:t>1</w:t>
      </w:r>
      <w:r>
        <w:rPr>
          <w:rFonts w:ascii="仿宋_GB2312" w:hAnsi="华文仿宋" w:eastAsia="仿宋_GB2312"/>
          <w:color w:val="auto"/>
          <w:kern w:val="0"/>
          <w:sz w:val="32"/>
          <w:szCs w:val="32"/>
        </w:rPr>
        <w:t>个项目，资金合计</w:t>
      </w:r>
      <w:r>
        <w:rPr>
          <w:rFonts w:hint="eastAsia" w:ascii="仿宋_GB2312" w:hAnsi="宋体" w:eastAsia="仿宋_GB2312"/>
          <w:color w:val="auto"/>
          <w:sz w:val="32"/>
          <w:szCs w:val="32"/>
        </w:rPr>
        <w:t>1172.53</w:t>
      </w:r>
      <w:r>
        <w:rPr>
          <w:rFonts w:ascii="仿宋_GB2312" w:hAnsi="华文仿宋" w:eastAsia="仿宋_GB2312"/>
          <w:color w:val="auto"/>
          <w:kern w:val="0"/>
          <w:sz w:val="32"/>
          <w:szCs w:val="32"/>
        </w:rPr>
        <w:t>万元。按照北京市财政局相关要求，1</w:t>
      </w:r>
      <w:r>
        <w:rPr>
          <w:rFonts w:hint="eastAsia" w:ascii="仿宋_GB2312" w:hAnsi="华文仿宋" w:eastAsia="仿宋_GB2312"/>
          <w:color w:val="auto"/>
          <w:kern w:val="0"/>
          <w:sz w:val="32"/>
          <w:szCs w:val="32"/>
        </w:rPr>
        <w:t>1</w:t>
      </w:r>
      <w:r>
        <w:rPr>
          <w:rFonts w:ascii="仿宋_GB2312" w:hAnsi="华文仿宋" w:eastAsia="仿宋_GB2312"/>
          <w:color w:val="auto"/>
          <w:kern w:val="0"/>
          <w:sz w:val="32"/>
          <w:szCs w:val="32"/>
        </w:rPr>
        <w:t>个项目纳入绩效管理，均填报了绩效目标申报表，绩效目标填报覆盖率100%，项目基本实现了预期绩效目标。</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总结2</w:t>
      </w:r>
      <w:r>
        <w:rPr>
          <w:rFonts w:ascii="仿宋_GB2312" w:hAnsi="华文仿宋" w:eastAsia="仿宋_GB2312"/>
          <w:color w:val="auto"/>
          <w:kern w:val="0"/>
          <w:sz w:val="32"/>
          <w:szCs w:val="32"/>
        </w:rPr>
        <w:t>022</w:t>
      </w:r>
      <w:r>
        <w:rPr>
          <w:rFonts w:hint="eastAsia" w:ascii="仿宋_GB2312" w:hAnsi="华文仿宋" w:eastAsia="仿宋_GB2312"/>
          <w:color w:val="auto"/>
          <w:kern w:val="0"/>
          <w:sz w:val="32"/>
          <w:szCs w:val="32"/>
        </w:rPr>
        <w:t>年市地震局各项工作任务，评价认为，较好的完成了各项产出数量指标，各项工作开展取得了较好的绩效。</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ascii="仿宋_GB2312" w:hAnsi="华文仿宋" w:eastAsia="仿宋_GB2312"/>
          <w:color w:val="auto"/>
          <w:kern w:val="0"/>
          <w:sz w:val="32"/>
          <w:szCs w:val="32"/>
        </w:rPr>
        <w:t>具体产出数量情况分析如下：</w:t>
      </w:r>
    </w:p>
    <w:p>
      <w:pPr>
        <w:tabs>
          <w:tab w:val="left" w:pos="0"/>
        </w:tabs>
        <w:spacing w:line="560" w:lineRule="exact"/>
        <w:ind w:left="17" w:leftChars="8" w:firstLine="620" w:firstLineChars="193"/>
        <w:rPr>
          <w:rFonts w:ascii="仿宋_GB2312" w:hAnsi="华文仿宋" w:eastAsia="仿宋_GB2312"/>
          <w:color w:val="auto"/>
          <w:kern w:val="0"/>
          <w:sz w:val="32"/>
          <w:szCs w:val="32"/>
        </w:rPr>
      </w:pPr>
      <w:r>
        <w:rPr>
          <w:rFonts w:hint="eastAsia" w:ascii="仿宋_GB2312" w:hAnsi="华文仿宋" w:eastAsia="仿宋_GB2312"/>
          <w:b/>
          <w:color w:val="auto"/>
          <w:kern w:val="0"/>
          <w:sz w:val="32"/>
          <w:szCs w:val="32"/>
        </w:rPr>
        <w:t>（</w:t>
      </w:r>
      <w:r>
        <w:rPr>
          <w:rFonts w:ascii="仿宋_GB2312" w:hAnsi="华文仿宋" w:eastAsia="仿宋_GB2312"/>
          <w:b/>
          <w:color w:val="auto"/>
          <w:kern w:val="0"/>
          <w:sz w:val="32"/>
          <w:szCs w:val="32"/>
        </w:rPr>
        <w:t>1）</w:t>
      </w:r>
      <w:r>
        <w:rPr>
          <w:rFonts w:hint="eastAsia" w:ascii="仿宋_GB2312" w:hAnsi="华文仿宋" w:eastAsia="仿宋_GB2312"/>
          <w:b/>
          <w:color w:val="auto"/>
          <w:kern w:val="0"/>
          <w:sz w:val="32"/>
          <w:szCs w:val="32"/>
        </w:rPr>
        <w:t>不断推进完善防震减灾业务体系</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一是积极推动重大项目落实落地，完成“十四五”时期北京地区地震风险探查项目建议书编制（初稿）。</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二是延庆地区地震监测能力建设项目顺利开工，目前已完成现场施工和仪器安装，项目新建宽频带地震观测点</w:t>
      </w:r>
      <w:r>
        <w:rPr>
          <w:rFonts w:ascii="仿宋_GB2312" w:hAnsi="华文仿宋" w:eastAsia="仿宋_GB2312"/>
          <w:color w:val="auto"/>
          <w:kern w:val="0"/>
          <w:sz w:val="32"/>
          <w:szCs w:val="32"/>
        </w:rPr>
        <w:t>39</w:t>
      </w:r>
      <w:r>
        <w:rPr>
          <w:rFonts w:hint="eastAsia" w:ascii="仿宋_GB2312" w:hAnsi="华文仿宋" w:eastAsia="仿宋_GB2312"/>
          <w:color w:val="auto"/>
          <w:kern w:val="0"/>
          <w:sz w:val="32"/>
          <w:szCs w:val="32"/>
        </w:rPr>
        <w:t>个、地球化学观测点</w:t>
      </w:r>
      <w:r>
        <w:rPr>
          <w:rFonts w:ascii="仿宋_GB2312" w:hAnsi="华文仿宋" w:eastAsia="仿宋_GB2312"/>
          <w:color w:val="auto"/>
          <w:kern w:val="0"/>
          <w:sz w:val="32"/>
          <w:szCs w:val="32"/>
        </w:rPr>
        <w:t>5</w:t>
      </w:r>
      <w:r>
        <w:rPr>
          <w:rFonts w:hint="eastAsia" w:ascii="仿宋_GB2312" w:hAnsi="华文仿宋" w:eastAsia="仿宋_GB2312"/>
          <w:color w:val="auto"/>
          <w:kern w:val="0"/>
          <w:sz w:val="32"/>
          <w:szCs w:val="32"/>
        </w:rPr>
        <w:t>个、</w:t>
      </w:r>
      <w:r>
        <w:rPr>
          <w:rFonts w:ascii="仿宋_GB2312" w:hAnsi="华文仿宋" w:eastAsia="仿宋_GB2312"/>
          <w:color w:val="auto"/>
          <w:kern w:val="0"/>
          <w:sz w:val="32"/>
          <w:szCs w:val="32"/>
        </w:rPr>
        <w:t>GNSS</w:t>
      </w:r>
      <w:r>
        <w:rPr>
          <w:rFonts w:hint="eastAsia" w:ascii="仿宋_GB2312" w:hAnsi="华文仿宋" w:eastAsia="仿宋_GB2312"/>
          <w:color w:val="auto"/>
          <w:kern w:val="0"/>
          <w:sz w:val="32"/>
          <w:szCs w:val="32"/>
        </w:rPr>
        <w:t>观测点</w:t>
      </w:r>
      <w:r>
        <w:rPr>
          <w:rFonts w:ascii="仿宋_GB2312" w:hAnsi="华文仿宋" w:eastAsia="仿宋_GB2312"/>
          <w:color w:val="auto"/>
          <w:kern w:val="0"/>
          <w:sz w:val="32"/>
          <w:szCs w:val="32"/>
        </w:rPr>
        <w:t>2</w:t>
      </w:r>
      <w:r>
        <w:rPr>
          <w:rFonts w:hint="eastAsia" w:ascii="仿宋_GB2312" w:hAnsi="华文仿宋" w:eastAsia="仿宋_GB2312"/>
          <w:color w:val="auto"/>
          <w:kern w:val="0"/>
          <w:sz w:val="32"/>
          <w:szCs w:val="32"/>
        </w:rPr>
        <w:t>个，大大提高了</w:t>
      </w:r>
      <w:r>
        <w:rPr>
          <w:rFonts w:hint="eastAsia" w:ascii="仿宋_GB2312" w:hAnsi="华文仿宋" w:eastAsia="仿宋_GB2312"/>
          <w:color w:val="auto"/>
          <w:kern w:val="0"/>
          <w:sz w:val="32"/>
          <w:szCs w:val="32"/>
          <w:lang w:val="en-US" w:eastAsia="zh-CN"/>
        </w:rPr>
        <w:t>北</w:t>
      </w:r>
      <w:r>
        <w:rPr>
          <w:rFonts w:hint="eastAsia" w:ascii="仿宋_GB2312" w:hAnsi="华文仿宋" w:eastAsia="仿宋_GB2312"/>
          <w:color w:val="auto"/>
          <w:kern w:val="0"/>
          <w:sz w:val="32"/>
          <w:szCs w:val="32"/>
        </w:rPr>
        <w:t>京西北区域地震观测能力。</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三是制定印发信息化建设、防震减灾科普、震防领域基础业务建设等系列三年行动计划。</w:t>
      </w:r>
    </w:p>
    <w:p>
      <w:pPr>
        <w:tabs>
          <w:tab w:val="left" w:pos="0"/>
        </w:tabs>
        <w:spacing w:line="560" w:lineRule="exact"/>
        <w:ind w:left="17" w:leftChars="8" w:firstLine="620" w:firstLineChars="193"/>
        <w:rPr>
          <w:rFonts w:ascii="仿宋_GB2312" w:hAnsi="华文仿宋" w:eastAsia="仿宋_GB2312"/>
          <w:b/>
          <w:color w:val="auto"/>
          <w:kern w:val="0"/>
          <w:sz w:val="32"/>
          <w:szCs w:val="32"/>
        </w:rPr>
      </w:pPr>
      <w:r>
        <w:rPr>
          <w:rFonts w:hint="eastAsia" w:ascii="仿宋_GB2312" w:hAnsi="华文仿宋" w:eastAsia="仿宋_GB2312"/>
          <w:b/>
          <w:color w:val="auto"/>
          <w:kern w:val="0"/>
          <w:sz w:val="32"/>
          <w:szCs w:val="32"/>
        </w:rPr>
        <w:t>（</w:t>
      </w:r>
      <w:r>
        <w:rPr>
          <w:rFonts w:ascii="仿宋_GB2312" w:hAnsi="华文仿宋" w:eastAsia="仿宋_GB2312"/>
          <w:b/>
          <w:color w:val="auto"/>
          <w:kern w:val="0"/>
          <w:sz w:val="32"/>
          <w:szCs w:val="32"/>
        </w:rPr>
        <w:t>2）</w:t>
      </w:r>
      <w:r>
        <w:rPr>
          <w:rFonts w:hint="eastAsia" w:ascii="仿宋_GB2312" w:hAnsi="华文仿宋" w:eastAsia="仿宋_GB2312"/>
          <w:b/>
          <w:color w:val="auto"/>
          <w:kern w:val="0"/>
          <w:sz w:val="32"/>
          <w:szCs w:val="32"/>
        </w:rPr>
        <w:t>圆满完成年度重大活动地震安全保障工作</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一是抓住冬奥地震安保的重大契机，开展一年半的精心准备，完成</w:t>
      </w:r>
      <w:r>
        <w:rPr>
          <w:rFonts w:ascii="仿宋_GB2312" w:hAnsi="华文仿宋" w:eastAsia="仿宋_GB2312"/>
          <w:color w:val="auto"/>
          <w:kern w:val="0"/>
          <w:sz w:val="32"/>
          <w:szCs w:val="32"/>
        </w:rPr>
        <w:t>17</w:t>
      </w:r>
      <w:r>
        <w:rPr>
          <w:rFonts w:hint="eastAsia" w:ascii="仿宋_GB2312" w:hAnsi="华文仿宋" w:eastAsia="仿宋_GB2312"/>
          <w:color w:val="auto"/>
          <w:kern w:val="0"/>
          <w:sz w:val="32"/>
          <w:szCs w:val="32"/>
        </w:rPr>
        <w:t>方面</w:t>
      </w:r>
      <w:r>
        <w:rPr>
          <w:rFonts w:ascii="仿宋_GB2312" w:hAnsi="华文仿宋" w:eastAsia="仿宋_GB2312"/>
          <w:color w:val="auto"/>
          <w:kern w:val="0"/>
          <w:sz w:val="32"/>
          <w:szCs w:val="32"/>
        </w:rPr>
        <w:t>34</w:t>
      </w:r>
      <w:r>
        <w:rPr>
          <w:rFonts w:hint="eastAsia" w:ascii="仿宋_GB2312" w:hAnsi="华文仿宋" w:eastAsia="仿宋_GB2312"/>
          <w:color w:val="auto"/>
          <w:kern w:val="0"/>
          <w:sz w:val="32"/>
          <w:szCs w:val="32"/>
        </w:rPr>
        <w:t>项工作措施，全局干部职工全力奋战</w:t>
      </w:r>
      <w:r>
        <w:rPr>
          <w:rFonts w:ascii="仿宋_GB2312" w:hAnsi="华文仿宋" w:eastAsia="仿宋_GB2312"/>
          <w:color w:val="auto"/>
          <w:kern w:val="0"/>
          <w:sz w:val="32"/>
          <w:szCs w:val="32"/>
        </w:rPr>
        <w:t>51</w:t>
      </w:r>
      <w:r>
        <w:rPr>
          <w:rFonts w:hint="eastAsia" w:ascii="仿宋_GB2312" w:hAnsi="华文仿宋" w:eastAsia="仿宋_GB2312"/>
          <w:color w:val="auto"/>
          <w:kern w:val="0"/>
          <w:sz w:val="32"/>
          <w:szCs w:val="32"/>
        </w:rPr>
        <w:t>天决战决胜期，高效处置</w:t>
      </w:r>
      <w:r>
        <w:rPr>
          <w:rFonts w:ascii="仿宋_GB2312" w:hAnsi="华文仿宋" w:eastAsia="仿宋_GB2312"/>
          <w:color w:val="auto"/>
          <w:kern w:val="0"/>
          <w:sz w:val="32"/>
          <w:szCs w:val="32"/>
        </w:rPr>
        <w:t>3</w:t>
      </w:r>
      <w:r>
        <w:rPr>
          <w:rFonts w:hint="eastAsia" w:ascii="仿宋_GB2312" w:hAnsi="华文仿宋" w:eastAsia="仿宋_GB2312"/>
          <w:color w:val="auto"/>
          <w:kern w:val="0"/>
          <w:sz w:val="32"/>
          <w:szCs w:val="32"/>
        </w:rPr>
        <w:t>次有感地震事件，优秀个人和集体得到应急管理部的表彰，“冬奥场馆设施地震影响专项评估”受到市委主要领导批示肯定，形成的一整套固定化工作流程和标准化服务产品作为中国地震局公共服务试点案例。</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二是积极应用奥运安保好的做法，积极打造精准化地震安全保障服务模式，探索重大活动地震安保“北京之路”，获取全市高考考点、汛期水库和地质灾害风险点、党的二十大会场及驻地等分布信息，有针对性定制“安民告示”和重要场址影响报告，快速回应党委政府和社会公众关切。</w:t>
      </w:r>
    </w:p>
    <w:p>
      <w:pPr>
        <w:tabs>
          <w:tab w:val="left" w:pos="0"/>
        </w:tabs>
        <w:spacing w:line="560" w:lineRule="exact"/>
        <w:ind w:left="17" w:leftChars="8" w:firstLine="620" w:firstLineChars="193"/>
        <w:rPr>
          <w:rFonts w:ascii="仿宋_GB2312" w:hAnsi="华文仿宋" w:eastAsia="仿宋_GB2312"/>
          <w:color w:val="auto"/>
          <w:kern w:val="0"/>
          <w:sz w:val="32"/>
          <w:szCs w:val="32"/>
        </w:rPr>
      </w:pPr>
      <w:r>
        <w:rPr>
          <w:rFonts w:hint="eastAsia" w:ascii="仿宋_GB2312" w:hAnsi="华文仿宋" w:eastAsia="仿宋_GB2312"/>
          <w:b/>
          <w:color w:val="auto"/>
          <w:kern w:val="0"/>
          <w:sz w:val="32"/>
          <w:szCs w:val="32"/>
        </w:rPr>
        <w:t>（</w:t>
      </w:r>
      <w:r>
        <w:rPr>
          <w:rFonts w:ascii="仿宋_GB2312" w:hAnsi="华文仿宋" w:eastAsia="仿宋_GB2312"/>
          <w:b/>
          <w:color w:val="auto"/>
          <w:kern w:val="0"/>
          <w:sz w:val="32"/>
          <w:szCs w:val="32"/>
        </w:rPr>
        <w:t>3）</w:t>
      </w:r>
      <w:r>
        <w:rPr>
          <w:rFonts w:hint="eastAsia" w:ascii="仿宋_GB2312" w:hAnsi="华文仿宋" w:eastAsia="仿宋_GB2312"/>
          <w:b/>
          <w:color w:val="auto"/>
          <w:kern w:val="0"/>
          <w:sz w:val="32"/>
          <w:szCs w:val="32"/>
        </w:rPr>
        <w:t>持续探索超大城市防震减灾破题</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一是推进《北京市</w:t>
      </w:r>
      <w:r>
        <w:rPr>
          <w:rFonts w:ascii="仿宋_GB2312" w:hAnsi="华文仿宋" w:eastAsia="仿宋_GB2312"/>
          <w:color w:val="auto"/>
          <w:kern w:val="0"/>
          <w:sz w:val="32"/>
          <w:szCs w:val="32"/>
        </w:rPr>
        <w:t>2022</w:t>
      </w:r>
      <w:r>
        <w:rPr>
          <w:rFonts w:hint="eastAsia" w:ascii="仿宋_GB2312" w:hAnsi="华文仿宋" w:eastAsia="仿宋_GB2312"/>
          <w:color w:val="auto"/>
          <w:kern w:val="0"/>
          <w:sz w:val="32"/>
          <w:szCs w:val="32"/>
        </w:rPr>
        <w:t>年推进韧性城市建设重点工作方案》中</w:t>
      </w:r>
      <w:r>
        <w:rPr>
          <w:rFonts w:ascii="仿宋_GB2312" w:hAnsi="华文仿宋" w:eastAsia="仿宋_GB2312"/>
          <w:color w:val="auto"/>
          <w:kern w:val="0"/>
          <w:sz w:val="32"/>
          <w:szCs w:val="32"/>
        </w:rPr>
        <w:t>18</w:t>
      </w:r>
      <w:r>
        <w:rPr>
          <w:rFonts w:hint="eastAsia" w:ascii="仿宋_GB2312" w:hAnsi="华文仿宋" w:eastAsia="仿宋_GB2312"/>
          <w:color w:val="auto"/>
          <w:kern w:val="0"/>
          <w:sz w:val="32"/>
          <w:szCs w:val="32"/>
        </w:rPr>
        <w:t>项任务落实，把地震安全韧性城市要求融入城市规划建设管理发展之中。</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二是推进破坏性地震情景构建工作，设定冬季在顺义区发生</w:t>
      </w:r>
      <w:r>
        <w:rPr>
          <w:rFonts w:ascii="仿宋_GB2312" w:hAnsi="华文仿宋" w:eastAsia="仿宋_GB2312"/>
          <w:color w:val="auto"/>
          <w:kern w:val="0"/>
          <w:sz w:val="32"/>
          <w:szCs w:val="32"/>
        </w:rPr>
        <w:t>7.0</w:t>
      </w:r>
      <w:r>
        <w:rPr>
          <w:rFonts w:hint="eastAsia" w:ascii="仿宋_GB2312" w:hAnsi="华文仿宋" w:eastAsia="仿宋_GB2312"/>
          <w:color w:val="auto"/>
          <w:kern w:val="0"/>
          <w:sz w:val="32"/>
          <w:szCs w:val="32"/>
        </w:rPr>
        <w:t>级地震，开展破坏性地震影响场构建工作，为全市的地震情景构建提供精细化的地震动输入。</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三是开展编制《建（构）筑物与应急设施地震安全韧性建设指南》《城市社区地震安全韧性评估技术规范》等多项标准的编制，完成北京市医院地震韧性研究。</w:t>
      </w:r>
    </w:p>
    <w:p>
      <w:pPr>
        <w:tabs>
          <w:tab w:val="left" w:pos="0"/>
        </w:tabs>
        <w:spacing w:line="560" w:lineRule="exact"/>
        <w:ind w:left="17" w:leftChars="8" w:firstLine="620" w:firstLineChars="193"/>
        <w:rPr>
          <w:rFonts w:ascii="仿宋_GB2312" w:hAnsi="华文仿宋" w:eastAsia="仿宋_GB2312"/>
          <w:b/>
          <w:color w:val="auto"/>
          <w:kern w:val="0"/>
          <w:sz w:val="32"/>
          <w:szCs w:val="32"/>
        </w:rPr>
      </w:pPr>
      <w:r>
        <w:rPr>
          <w:rFonts w:hint="eastAsia" w:ascii="仿宋_GB2312" w:hAnsi="华文仿宋" w:eastAsia="仿宋_GB2312"/>
          <w:b/>
          <w:color w:val="auto"/>
          <w:kern w:val="0"/>
          <w:sz w:val="32"/>
          <w:szCs w:val="32"/>
        </w:rPr>
        <w:t>（</w:t>
      </w:r>
      <w:r>
        <w:rPr>
          <w:rFonts w:ascii="仿宋_GB2312" w:hAnsi="华文仿宋" w:eastAsia="仿宋_GB2312"/>
          <w:b/>
          <w:color w:val="auto"/>
          <w:kern w:val="0"/>
          <w:sz w:val="32"/>
          <w:szCs w:val="32"/>
        </w:rPr>
        <w:t>4）</w:t>
      </w:r>
      <w:r>
        <w:rPr>
          <w:rFonts w:hint="eastAsia" w:ascii="仿宋_GB2312" w:hAnsi="华文仿宋" w:eastAsia="仿宋_GB2312"/>
          <w:b/>
          <w:color w:val="auto"/>
          <w:kern w:val="0"/>
          <w:sz w:val="32"/>
          <w:szCs w:val="32"/>
        </w:rPr>
        <w:t>着力提高地震监测预测预警能力</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一是扎实做好震情监视跟踪。圆满完成全年震情值守，及时产出监测产品，北京地震台网基准站平均运行率</w:t>
      </w:r>
      <w:r>
        <w:rPr>
          <w:rFonts w:ascii="仿宋_GB2312" w:hAnsi="华文仿宋" w:eastAsia="仿宋_GB2312"/>
          <w:color w:val="auto"/>
          <w:kern w:val="0"/>
          <w:sz w:val="32"/>
          <w:szCs w:val="32"/>
        </w:rPr>
        <w:t>99.54%</w:t>
      </w:r>
      <w:r>
        <w:rPr>
          <w:rFonts w:hint="eastAsia" w:ascii="仿宋_GB2312" w:hAnsi="华文仿宋" w:eastAsia="仿宋_GB2312"/>
          <w:color w:val="auto"/>
          <w:kern w:val="0"/>
          <w:sz w:val="32"/>
          <w:szCs w:val="32"/>
        </w:rPr>
        <w:t>，基本站平均运行率</w:t>
      </w:r>
      <w:r>
        <w:rPr>
          <w:rFonts w:ascii="仿宋_GB2312" w:hAnsi="华文仿宋" w:eastAsia="仿宋_GB2312"/>
          <w:color w:val="auto"/>
          <w:kern w:val="0"/>
          <w:sz w:val="32"/>
          <w:szCs w:val="32"/>
        </w:rPr>
        <w:t>98.81%</w:t>
      </w:r>
      <w:r>
        <w:rPr>
          <w:rFonts w:hint="eastAsia" w:ascii="仿宋_GB2312" w:hAnsi="华文仿宋" w:eastAsia="仿宋_GB2312"/>
          <w:color w:val="auto"/>
          <w:kern w:val="0"/>
          <w:sz w:val="32"/>
          <w:szCs w:val="32"/>
        </w:rPr>
        <w:t>，一般站平均运行率</w:t>
      </w:r>
      <w:r>
        <w:rPr>
          <w:rFonts w:ascii="仿宋_GB2312" w:hAnsi="华文仿宋" w:eastAsia="仿宋_GB2312"/>
          <w:color w:val="auto"/>
          <w:kern w:val="0"/>
          <w:sz w:val="32"/>
          <w:szCs w:val="32"/>
        </w:rPr>
        <w:t>98.80%</w:t>
      </w:r>
      <w:r>
        <w:rPr>
          <w:rFonts w:hint="eastAsia" w:ascii="仿宋_GB2312" w:hAnsi="华文仿宋" w:eastAsia="仿宋_GB2312"/>
          <w:color w:val="auto"/>
          <w:kern w:val="0"/>
          <w:sz w:val="32"/>
          <w:szCs w:val="32"/>
        </w:rPr>
        <w:t>，运行率均达到或优于中国地震局标准。持续推进地震监测市区“一张网”建设，顺义区地震监测台网项目成功立项并进入实施阶段。强化京津冀联合会商和异常核实机制，牵头制定《京津冀地区</w:t>
      </w:r>
      <w:r>
        <w:rPr>
          <w:rFonts w:ascii="仿宋_GB2312" w:hAnsi="华文仿宋" w:eastAsia="仿宋_GB2312"/>
          <w:color w:val="auto"/>
          <w:kern w:val="0"/>
          <w:sz w:val="32"/>
          <w:szCs w:val="32"/>
        </w:rPr>
        <w:t xml:space="preserve">2022 </w:t>
      </w:r>
      <w:r>
        <w:rPr>
          <w:rFonts w:hint="eastAsia" w:ascii="仿宋_GB2312" w:hAnsi="华文仿宋" w:eastAsia="仿宋_GB2312"/>
          <w:color w:val="auto"/>
          <w:kern w:val="0"/>
          <w:sz w:val="32"/>
          <w:szCs w:val="32"/>
        </w:rPr>
        <w:t>年度震情短临跟踪和会商研判技术方案》及分区分级会商落实方案，持续开展北京地区强震态势研究，牵头组织开展京津冀年中、年度震情会商，较好把握了北京及周边震情趋势。</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二是大力推进地震预警工程。制定</w:t>
      </w:r>
      <w:r>
        <w:rPr>
          <w:rFonts w:ascii="仿宋_GB2312" w:hAnsi="华文仿宋" w:eastAsia="仿宋_GB2312"/>
          <w:color w:val="auto"/>
          <w:kern w:val="0"/>
          <w:sz w:val="32"/>
          <w:szCs w:val="32"/>
        </w:rPr>
        <w:t>50</w:t>
      </w:r>
      <w:r>
        <w:rPr>
          <w:rFonts w:hint="eastAsia" w:ascii="仿宋_GB2312" w:hAnsi="华文仿宋" w:eastAsia="仿宋_GB2312"/>
          <w:color w:val="auto"/>
          <w:kern w:val="0"/>
          <w:sz w:val="32"/>
          <w:szCs w:val="32"/>
        </w:rPr>
        <w:t>余项速报预警制度流程，形成完整制度体系。积极调整预警与速报值班值守人员布局，加强系统巡检力量，确保系统正常运行。</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三是进一步规范地震信息服务。制定和实施《北京市地震局地震速报信息发布及报送策略（</w:t>
      </w:r>
      <w:r>
        <w:rPr>
          <w:rFonts w:ascii="仿宋_GB2312" w:hAnsi="华文仿宋" w:eastAsia="仿宋_GB2312"/>
          <w:color w:val="auto"/>
          <w:kern w:val="0"/>
          <w:sz w:val="32"/>
          <w:szCs w:val="32"/>
        </w:rPr>
        <w:t>2022</w:t>
      </w:r>
      <w:r>
        <w:rPr>
          <w:rFonts w:hint="eastAsia" w:ascii="仿宋_GB2312" w:hAnsi="华文仿宋" w:eastAsia="仿宋_GB2312"/>
          <w:color w:val="auto"/>
          <w:kern w:val="0"/>
          <w:sz w:val="32"/>
          <w:szCs w:val="32"/>
        </w:rPr>
        <w:t>版）》、《北京市地震局烈度速报与预警系统网络安全预案》等制度，开展网络安全</w:t>
      </w:r>
      <w:r>
        <w:rPr>
          <w:rFonts w:ascii="仿宋_GB2312" w:hAnsi="华文仿宋" w:eastAsia="仿宋_GB2312"/>
          <w:color w:val="auto"/>
          <w:kern w:val="0"/>
          <w:sz w:val="32"/>
          <w:szCs w:val="32"/>
        </w:rPr>
        <w:t>72</w:t>
      </w:r>
      <w:r>
        <w:rPr>
          <w:rFonts w:hint="eastAsia" w:ascii="仿宋_GB2312" w:hAnsi="华文仿宋" w:eastAsia="仿宋_GB2312"/>
          <w:color w:val="auto"/>
          <w:kern w:val="0"/>
          <w:sz w:val="32"/>
          <w:szCs w:val="32"/>
        </w:rPr>
        <w:t>项评估要点自查及整改，网络安全水平显著提升，信息网络运行稳定。</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四是加强开放合作。与中国铁路北京局集团、太原局集团签订框架合作协议，推动地震预警行业应用</w:t>
      </w:r>
    </w:p>
    <w:p>
      <w:pPr>
        <w:tabs>
          <w:tab w:val="left" w:pos="0"/>
        </w:tabs>
        <w:spacing w:line="560" w:lineRule="exact"/>
        <w:ind w:left="17" w:leftChars="8" w:firstLine="620" w:firstLineChars="193"/>
        <w:rPr>
          <w:rFonts w:ascii="仿宋_GB2312" w:hAnsi="华文仿宋" w:eastAsia="仿宋_GB2312"/>
          <w:b/>
          <w:color w:val="auto"/>
          <w:kern w:val="0"/>
          <w:sz w:val="32"/>
          <w:szCs w:val="32"/>
        </w:rPr>
      </w:pPr>
      <w:r>
        <w:rPr>
          <w:rFonts w:hint="eastAsia" w:ascii="仿宋_GB2312" w:hAnsi="华文仿宋" w:eastAsia="仿宋_GB2312"/>
          <w:b/>
          <w:color w:val="auto"/>
          <w:kern w:val="0"/>
          <w:sz w:val="32"/>
          <w:szCs w:val="32"/>
        </w:rPr>
        <w:t>（</w:t>
      </w:r>
      <w:r>
        <w:rPr>
          <w:rFonts w:ascii="仿宋_GB2312" w:hAnsi="华文仿宋" w:eastAsia="仿宋_GB2312"/>
          <w:b/>
          <w:color w:val="auto"/>
          <w:kern w:val="0"/>
          <w:sz w:val="32"/>
          <w:szCs w:val="32"/>
        </w:rPr>
        <w:t>5）</w:t>
      </w:r>
      <w:r>
        <w:rPr>
          <w:rFonts w:hint="eastAsia" w:ascii="仿宋_GB2312" w:hAnsi="华文仿宋" w:eastAsia="仿宋_GB2312"/>
          <w:b/>
          <w:color w:val="auto"/>
          <w:kern w:val="0"/>
          <w:sz w:val="32"/>
          <w:szCs w:val="32"/>
        </w:rPr>
        <w:t>着力完善震防基础业务体系</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圆满完成地震灾害风险普查年度任务和成果审核汇交，以“两项重点工程”为载体，强化业务能力和管理措施。</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一是充实基础数据。收集超</w:t>
      </w:r>
      <w:r>
        <w:rPr>
          <w:rFonts w:ascii="仿宋_GB2312" w:hAnsi="华文仿宋" w:eastAsia="仿宋_GB2312"/>
          <w:color w:val="auto"/>
          <w:kern w:val="0"/>
          <w:sz w:val="32"/>
          <w:szCs w:val="32"/>
        </w:rPr>
        <w:t>2000</w:t>
      </w:r>
      <w:r>
        <w:rPr>
          <w:rFonts w:hint="eastAsia" w:ascii="仿宋_GB2312" w:hAnsi="华文仿宋" w:eastAsia="仿宋_GB2312"/>
          <w:color w:val="auto"/>
          <w:kern w:val="0"/>
          <w:sz w:val="32"/>
          <w:szCs w:val="32"/>
        </w:rPr>
        <w:t>万平米房屋数据，全面开展北京重大基础设施底数摸排；建立我市房屋设施加固工程信息报送工作机制，完成</w:t>
      </w:r>
      <w:r>
        <w:rPr>
          <w:rFonts w:ascii="仿宋_GB2312" w:hAnsi="华文仿宋" w:eastAsia="仿宋_GB2312"/>
          <w:color w:val="auto"/>
          <w:kern w:val="0"/>
          <w:sz w:val="32"/>
          <w:szCs w:val="32"/>
        </w:rPr>
        <w:t>2022</w:t>
      </w:r>
      <w:r>
        <w:rPr>
          <w:rFonts w:hint="eastAsia" w:ascii="仿宋_GB2312" w:hAnsi="华文仿宋" w:eastAsia="仿宋_GB2312"/>
          <w:color w:val="auto"/>
          <w:kern w:val="0"/>
          <w:sz w:val="32"/>
          <w:szCs w:val="32"/>
        </w:rPr>
        <w:t>年度抗震设防信息采集任务。</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二是夯实探查基础。编制完成北京市</w:t>
      </w:r>
      <w:r>
        <w:rPr>
          <w:rFonts w:ascii="仿宋_GB2312" w:hAnsi="华文仿宋" w:eastAsia="仿宋_GB2312"/>
          <w:color w:val="auto"/>
          <w:kern w:val="0"/>
          <w:sz w:val="32"/>
          <w:szCs w:val="32"/>
        </w:rPr>
        <w:t>1:25</w:t>
      </w:r>
      <w:r>
        <w:rPr>
          <w:rFonts w:hint="eastAsia" w:ascii="仿宋_GB2312" w:hAnsi="华文仿宋" w:eastAsia="仿宋_GB2312"/>
          <w:color w:val="auto"/>
          <w:kern w:val="0"/>
          <w:sz w:val="32"/>
          <w:szCs w:val="32"/>
        </w:rPr>
        <w:t>万地震构造图，编制完成朝阳等</w:t>
      </w:r>
      <w:r>
        <w:rPr>
          <w:rFonts w:ascii="仿宋_GB2312" w:hAnsi="华文仿宋" w:eastAsia="仿宋_GB2312"/>
          <w:color w:val="auto"/>
          <w:kern w:val="0"/>
          <w:sz w:val="32"/>
          <w:szCs w:val="32"/>
        </w:rPr>
        <w:t>9</w:t>
      </w:r>
      <w:r>
        <w:rPr>
          <w:rFonts w:hint="eastAsia" w:ascii="仿宋_GB2312" w:hAnsi="华文仿宋" w:eastAsia="仿宋_GB2312"/>
          <w:color w:val="auto"/>
          <w:kern w:val="0"/>
          <w:sz w:val="32"/>
          <w:szCs w:val="32"/>
        </w:rPr>
        <w:t>个区</w:t>
      </w:r>
      <w:r>
        <w:rPr>
          <w:rFonts w:ascii="仿宋_GB2312" w:hAnsi="华文仿宋" w:eastAsia="仿宋_GB2312"/>
          <w:color w:val="auto"/>
          <w:kern w:val="0"/>
          <w:sz w:val="32"/>
          <w:szCs w:val="32"/>
        </w:rPr>
        <w:t>1:5</w:t>
      </w:r>
      <w:r>
        <w:rPr>
          <w:rFonts w:hint="eastAsia" w:ascii="仿宋_GB2312" w:hAnsi="华文仿宋" w:eastAsia="仿宋_GB2312"/>
          <w:color w:val="auto"/>
          <w:kern w:val="0"/>
          <w:sz w:val="32"/>
          <w:szCs w:val="32"/>
          <w:lang w:val="en-US" w:eastAsia="zh-CN"/>
        </w:rPr>
        <w:t>万</w:t>
      </w:r>
      <w:r>
        <w:rPr>
          <w:rFonts w:hint="eastAsia" w:ascii="仿宋_GB2312" w:hAnsi="华文仿宋" w:eastAsia="仿宋_GB2312"/>
          <w:color w:val="auto"/>
          <w:kern w:val="0"/>
          <w:sz w:val="32"/>
          <w:szCs w:val="32"/>
        </w:rPr>
        <w:t>活动断层分布图，全面梳理北京市地震风险工作底数，形成北京市级层面探查工作的技术储备、工作方法和人才队伍。</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三是拓展区划业务。开展北京市地震危险性区划，完成全市</w:t>
      </w:r>
      <w:r>
        <w:rPr>
          <w:rFonts w:ascii="仿宋_GB2312" w:hAnsi="华文仿宋" w:eastAsia="仿宋_GB2312"/>
          <w:color w:val="auto"/>
          <w:kern w:val="0"/>
          <w:sz w:val="32"/>
          <w:szCs w:val="32"/>
        </w:rPr>
        <w:t>30</w:t>
      </w:r>
      <w:r>
        <w:rPr>
          <w:rFonts w:hint="eastAsia" w:ascii="仿宋_GB2312" w:hAnsi="华文仿宋" w:eastAsia="仿宋_GB2312"/>
          <w:color w:val="auto"/>
          <w:kern w:val="0"/>
          <w:sz w:val="32"/>
          <w:szCs w:val="32"/>
        </w:rPr>
        <w:t>″网格多概率</w:t>
      </w:r>
      <w:r>
        <w:rPr>
          <w:rFonts w:ascii="仿宋_GB2312" w:hAnsi="华文仿宋" w:eastAsia="仿宋_GB2312"/>
          <w:color w:val="auto"/>
          <w:kern w:val="0"/>
          <w:sz w:val="32"/>
          <w:szCs w:val="32"/>
        </w:rPr>
        <w:t>1:25</w:t>
      </w:r>
      <w:r>
        <w:rPr>
          <w:rFonts w:hint="eastAsia" w:ascii="仿宋_GB2312" w:hAnsi="华文仿宋" w:eastAsia="仿宋_GB2312"/>
          <w:color w:val="auto"/>
          <w:kern w:val="0"/>
          <w:sz w:val="32"/>
          <w:szCs w:val="32"/>
        </w:rPr>
        <w:t>万地震危险图编制、以区为单位的地震灾害风险区划和北京市平谷区、通州区</w:t>
      </w:r>
      <w:r>
        <w:rPr>
          <w:rFonts w:ascii="仿宋_GB2312" w:hAnsi="华文仿宋" w:eastAsia="仿宋_GB2312"/>
          <w:color w:val="auto"/>
          <w:kern w:val="0"/>
          <w:sz w:val="32"/>
          <w:szCs w:val="32"/>
        </w:rPr>
        <w:t>1:5</w:t>
      </w:r>
      <w:r>
        <w:rPr>
          <w:rFonts w:hint="eastAsia" w:ascii="仿宋_GB2312" w:hAnsi="华文仿宋" w:eastAsia="仿宋_GB2312"/>
          <w:color w:val="auto"/>
          <w:kern w:val="0"/>
          <w:sz w:val="32"/>
          <w:szCs w:val="32"/>
        </w:rPr>
        <w:t>万活动断层避让区划，矢量数据提交全国地震风险普查数据共享平台。</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四是创新评估工作。完成市、区两级公里网格地震灾害风险评估和海淀、昌平典型区域地震灾害损失精细化预评估工作；完成北京市地震灾害情景构建系统建设，完成不同烈度影响下的全市地震灾害情景构建，全面摸清全市房屋风险底数，审查专家认为系统达到国内先进水平；完成本地化地震灾害快速评估系统的研发，实现分钟级别的地震灾害快速评估报告、应急专题图件的快速产出。</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五是优化抗震设防管理。“重大工程抗震设防要求的审定”纳入北京市行政许可清单新增事项；联合市规自委印发了《北京市区域性地震安全性评价工作实施细则》，对区评进行全过程监管。经市政府同意，市规自委、市住建委、市人防办、市通信管理局、市地震局五部门联合印发《北京市关于深化建设工程施工图审查制度改革实施方案》和</w:t>
      </w:r>
      <w:r>
        <w:rPr>
          <w:rFonts w:ascii="仿宋_GB2312" w:hAnsi="华文仿宋" w:eastAsia="仿宋_GB2312"/>
          <w:color w:val="auto"/>
          <w:kern w:val="0"/>
          <w:sz w:val="32"/>
          <w:szCs w:val="32"/>
        </w:rPr>
        <w:t>3</w:t>
      </w:r>
      <w:r>
        <w:rPr>
          <w:rFonts w:hint="eastAsia" w:ascii="仿宋_GB2312" w:hAnsi="华文仿宋" w:eastAsia="仿宋_GB2312"/>
          <w:color w:val="auto"/>
          <w:kern w:val="0"/>
          <w:sz w:val="32"/>
          <w:szCs w:val="32"/>
        </w:rPr>
        <w:t>个相应的管理制度，首次形成多部门施工图审查联动机制。</w:t>
      </w:r>
    </w:p>
    <w:p>
      <w:pPr>
        <w:tabs>
          <w:tab w:val="left" w:pos="0"/>
        </w:tabs>
        <w:spacing w:line="560" w:lineRule="exact"/>
        <w:ind w:left="17" w:leftChars="8" w:firstLine="620" w:firstLineChars="193"/>
        <w:rPr>
          <w:rFonts w:ascii="仿宋_GB2312" w:hAnsi="华文仿宋" w:eastAsia="仿宋_GB2312"/>
          <w:b/>
          <w:color w:val="auto"/>
          <w:kern w:val="0"/>
          <w:sz w:val="32"/>
          <w:szCs w:val="32"/>
        </w:rPr>
      </w:pPr>
      <w:r>
        <w:rPr>
          <w:rFonts w:hint="eastAsia" w:ascii="仿宋_GB2312" w:hAnsi="华文仿宋" w:eastAsia="仿宋_GB2312"/>
          <w:b/>
          <w:color w:val="auto"/>
          <w:kern w:val="0"/>
          <w:sz w:val="32"/>
          <w:szCs w:val="32"/>
        </w:rPr>
        <w:t>（</w:t>
      </w:r>
      <w:r>
        <w:rPr>
          <w:rFonts w:ascii="仿宋_GB2312" w:hAnsi="华文仿宋" w:eastAsia="仿宋_GB2312"/>
          <w:b/>
          <w:color w:val="auto"/>
          <w:kern w:val="0"/>
          <w:sz w:val="32"/>
          <w:szCs w:val="32"/>
        </w:rPr>
        <w:t>6）</w:t>
      </w:r>
      <w:r>
        <w:rPr>
          <w:rFonts w:hint="eastAsia" w:ascii="仿宋_GB2312" w:hAnsi="华文仿宋" w:eastAsia="仿宋_GB2312"/>
          <w:b/>
          <w:color w:val="auto"/>
          <w:kern w:val="0"/>
          <w:sz w:val="32"/>
          <w:szCs w:val="32"/>
        </w:rPr>
        <w:t>着力提升防震减灾公共服务水平</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一是探索防震减灾公共服务。开展公共服务实践、科技转化等试点工作，筹措经费</w:t>
      </w:r>
      <w:r>
        <w:rPr>
          <w:rFonts w:ascii="仿宋_GB2312" w:hAnsi="华文仿宋" w:eastAsia="仿宋_GB2312"/>
          <w:color w:val="auto"/>
          <w:kern w:val="0"/>
          <w:sz w:val="32"/>
          <w:szCs w:val="32"/>
        </w:rPr>
        <w:t>1200</w:t>
      </w:r>
      <w:r>
        <w:rPr>
          <w:rFonts w:hint="eastAsia" w:ascii="仿宋_GB2312" w:hAnsi="华文仿宋" w:eastAsia="仿宋_GB2312"/>
          <w:color w:val="auto"/>
          <w:kern w:val="0"/>
          <w:sz w:val="32"/>
          <w:szCs w:val="32"/>
        </w:rPr>
        <w:t>余万元，不断提升防震减灾工作成效和社会影响力。</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二是强化公共服务法治基础。与市人大城建环保委共同开展《北京市实施</w:t>
      </w:r>
      <w:r>
        <w:rPr>
          <w:rFonts w:ascii="仿宋_GB2312" w:hAnsi="华文仿宋" w:eastAsia="仿宋_GB2312"/>
          <w:color w:val="auto"/>
          <w:kern w:val="0"/>
          <w:sz w:val="32"/>
          <w:szCs w:val="32"/>
        </w:rPr>
        <w:t>&lt;</w:t>
      </w:r>
      <w:r>
        <w:rPr>
          <w:rFonts w:hint="eastAsia" w:ascii="仿宋_GB2312" w:hAnsi="华文仿宋" w:eastAsia="仿宋_GB2312"/>
          <w:color w:val="auto"/>
          <w:kern w:val="0"/>
          <w:sz w:val="32"/>
          <w:szCs w:val="32"/>
        </w:rPr>
        <w:t>中华人民共和国防震减灾法</w:t>
      </w:r>
      <w:r>
        <w:rPr>
          <w:rFonts w:ascii="仿宋_GB2312" w:hAnsi="华文仿宋" w:eastAsia="仿宋_GB2312"/>
          <w:color w:val="auto"/>
          <w:kern w:val="0"/>
          <w:sz w:val="32"/>
          <w:szCs w:val="32"/>
        </w:rPr>
        <w:t>&gt;</w:t>
      </w:r>
      <w:r>
        <w:rPr>
          <w:rFonts w:hint="eastAsia" w:ascii="仿宋_GB2312" w:hAnsi="华文仿宋" w:eastAsia="仿宋_GB2312"/>
          <w:color w:val="auto"/>
          <w:kern w:val="0"/>
          <w:sz w:val="32"/>
          <w:szCs w:val="32"/>
        </w:rPr>
        <w:t>规定》实施和防震减灾执法情况调研，加快推动防震减灾地方法规修订；积极推进《北京市地震预警管理办法》立法，办法草案于</w:t>
      </w:r>
      <w:r>
        <w:rPr>
          <w:rFonts w:ascii="仿宋_GB2312" w:hAnsi="华文仿宋" w:eastAsia="仿宋_GB2312"/>
          <w:color w:val="auto"/>
          <w:kern w:val="0"/>
          <w:sz w:val="32"/>
          <w:szCs w:val="32"/>
        </w:rPr>
        <w:t>12</w:t>
      </w:r>
      <w:r>
        <w:rPr>
          <w:rFonts w:hint="eastAsia" w:ascii="仿宋_GB2312" w:hAnsi="华文仿宋" w:eastAsia="仿宋_GB2312"/>
          <w:color w:val="auto"/>
          <w:kern w:val="0"/>
          <w:sz w:val="32"/>
          <w:szCs w:val="32"/>
        </w:rPr>
        <w:t>月</w:t>
      </w:r>
      <w:r>
        <w:rPr>
          <w:rFonts w:ascii="仿宋_GB2312" w:hAnsi="华文仿宋" w:eastAsia="仿宋_GB2312"/>
          <w:color w:val="auto"/>
          <w:kern w:val="0"/>
          <w:sz w:val="32"/>
          <w:szCs w:val="32"/>
        </w:rPr>
        <w:t>6</w:t>
      </w:r>
      <w:r>
        <w:rPr>
          <w:rFonts w:hint="eastAsia" w:ascii="仿宋_GB2312" w:hAnsi="华文仿宋" w:eastAsia="仿宋_GB2312"/>
          <w:color w:val="auto"/>
          <w:kern w:val="0"/>
          <w:sz w:val="32"/>
          <w:szCs w:val="32"/>
        </w:rPr>
        <w:t>日市政府常务会审议通过。</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三是加快标准的制修订。与北京市市场监督管理局联合印发《北京市防震减灾标准体系》，相关重点任务纳入首都标准化战略纲要，开创防震减灾地方标准建设系统化、体系化和规范化的新范式。</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四是加强防震减灾行政执法工作。防震减灾行政执法和培训纳入对区委区政府的考核；抗震</w:t>
      </w:r>
      <w:r>
        <w:rPr>
          <w:rFonts w:hint="eastAsia" w:ascii="仿宋_GB2312" w:hAnsi="华文仿宋" w:eastAsia="仿宋_GB2312"/>
          <w:color w:val="auto"/>
          <w:kern w:val="0"/>
          <w:sz w:val="32"/>
          <w:szCs w:val="32"/>
          <w:lang w:val="en-US" w:eastAsia="zh-CN"/>
        </w:rPr>
        <w:t>设防</w:t>
      </w:r>
      <w:r>
        <w:rPr>
          <w:rFonts w:hint="eastAsia" w:ascii="仿宋_GB2312" w:hAnsi="华文仿宋" w:eastAsia="仿宋_GB2312"/>
          <w:color w:val="auto"/>
          <w:kern w:val="0"/>
          <w:sz w:val="32"/>
          <w:szCs w:val="32"/>
        </w:rPr>
        <w:t>情况列入</w:t>
      </w:r>
      <w:r>
        <w:rPr>
          <w:rFonts w:ascii="仿宋_GB2312" w:hAnsi="华文仿宋" w:eastAsia="仿宋_GB2312"/>
          <w:color w:val="auto"/>
          <w:kern w:val="0"/>
          <w:sz w:val="32"/>
          <w:szCs w:val="32"/>
        </w:rPr>
        <w:t>2022</w:t>
      </w:r>
      <w:r>
        <w:rPr>
          <w:rFonts w:hint="eastAsia" w:ascii="仿宋_GB2312" w:hAnsi="华文仿宋" w:eastAsia="仿宋_GB2312"/>
          <w:color w:val="auto"/>
          <w:kern w:val="0"/>
          <w:sz w:val="32"/>
          <w:szCs w:val="32"/>
        </w:rPr>
        <w:t>年市“双随机、一公开”监管工作，与应急等部门开展对丰台区丽泽商务区、平谷区海子水库的防震减灾行政执法检查。</w:t>
      </w:r>
    </w:p>
    <w:p>
      <w:pPr>
        <w:tabs>
          <w:tab w:val="left" w:pos="0"/>
        </w:tabs>
        <w:spacing w:line="560" w:lineRule="exact"/>
        <w:ind w:left="17" w:leftChars="8" w:firstLine="617" w:firstLineChars="193"/>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五是以科普高质量发展更好服务政府公众。与市委党校合作，制作《地震科普</w:t>
      </w:r>
      <w:r>
        <w:rPr>
          <w:rFonts w:ascii="仿宋_GB2312" w:hAnsi="华文仿宋" w:eastAsia="仿宋_GB2312"/>
          <w:color w:val="auto"/>
          <w:kern w:val="0"/>
          <w:sz w:val="32"/>
          <w:szCs w:val="32"/>
        </w:rPr>
        <w:t xml:space="preserve"> </w:t>
      </w:r>
      <w:r>
        <w:rPr>
          <w:rFonts w:hint="eastAsia" w:ascii="仿宋_GB2312" w:hAnsi="华文仿宋" w:eastAsia="仿宋_GB2312"/>
          <w:color w:val="auto"/>
          <w:kern w:val="0"/>
          <w:sz w:val="32"/>
          <w:szCs w:val="32"/>
        </w:rPr>
        <w:t>共创未来》宣传片，走进党校课堂，得到各级党校培训班学员的好评；与市教委、市民族宗教委、市科协联合组织实施“地震科普</w:t>
      </w:r>
      <w:r>
        <w:rPr>
          <w:rFonts w:ascii="仿宋_GB2312" w:hAnsi="华文仿宋" w:eastAsia="仿宋_GB2312"/>
          <w:color w:val="auto"/>
          <w:kern w:val="0"/>
          <w:sz w:val="32"/>
          <w:szCs w:val="32"/>
        </w:rPr>
        <w:t xml:space="preserve"> </w:t>
      </w:r>
      <w:r>
        <w:rPr>
          <w:rFonts w:hint="eastAsia" w:ascii="仿宋_GB2312" w:hAnsi="华文仿宋" w:eastAsia="仿宋_GB2312"/>
          <w:color w:val="auto"/>
          <w:kern w:val="0"/>
          <w:sz w:val="32"/>
          <w:szCs w:val="32"/>
        </w:rPr>
        <w:t>携手同行”主题活动，形成市区两级多部门科普服务合力；聚焦公众防震减灾科学素质提升，坚持“网微端刊”媒体融合发展理念，创作</w:t>
      </w:r>
      <w:r>
        <w:rPr>
          <w:rFonts w:ascii="仿宋_GB2312" w:hAnsi="华文仿宋" w:eastAsia="仿宋_GB2312"/>
          <w:color w:val="auto"/>
          <w:kern w:val="0"/>
          <w:sz w:val="32"/>
          <w:szCs w:val="32"/>
        </w:rPr>
        <w:t>10</w:t>
      </w:r>
      <w:r>
        <w:rPr>
          <w:rFonts w:hint="eastAsia" w:ascii="仿宋_GB2312" w:hAnsi="华文仿宋" w:eastAsia="仿宋_GB2312"/>
          <w:color w:val="auto"/>
          <w:kern w:val="0"/>
          <w:sz w:val="32"/>
          <w:szCs w:val="32"/>
        </w:rPr>
        <w:t>余个“</w:t>
      </w:r>
      <w:r>
        <w:rPr>
          <w:rFonts w:ascii="仿宋_GB2312" w:hAnsi="华文仿宋" w:eastAsia="仿宋_GB2312"/>
          <w:color w:val="auto"/>
          <w:kern w:val="0"/>
          <w:sz w:val="32"/>
          <w:szCs w:val="32"/>
        </w:rPr>
        <w:t>10</w:t>
      </w:r>
      <w:r>
        <w:rPr>
          <w:rFonts w:hint="eastAsia" w:ascii="仿宋_GB2312" w:hAnsi="华文仿宋" w:eastAsia="仿宋_GB2312"/>
          <w:color w:val="auto"/>
          <w:kern w:val="0"/>
          <w:sz w:val="32"/>
          <w:szCs w:val="32"/>
        </w:rPr>
        <w:t>万</w:t>
      </w:r>
      <w:r>
        <w:rPr>
          <w:rFonts w:ascii="仿宋_GB2312" w:hAnsi="华文仿宋" w:eastAsia="仿宋_GB2312"/>
          <w:color w:val="auto"/>
          <w:kern w:val="0"/>
          <w:sz w:val="32"/>
          <w:szCs w:val="32"/>
        </w:rPr>
        <w:t>+</w:t>
      </w:r>
      <w:r>
        <w:rPr>
          <w:rFonts w:hint="eastAsia" w:ascii="仿宋_GB2312" w:hAnsi="华文仿宋" w:eastAsia="仿宋_GB2312"/>
          <w:color w:val="auto"/>
          <w:kern w:val="0"/>
          <w:sz w:val="32"/>
          <w:szCs w:val="32"/>
        </w:rPr>
        <w:t>”宣传科普产品，年度阅读量超</w:t>
      </w:r>
      <w:r>
        <w:rPr>
          <w:rFonts w:ascii="仿宋_GB2312" w:hAnsi="华文仿宋" w:eastAsia="仿宋_GB2312"/>
          <w:color w:val="auto"/>
          <w:kern w:val="0"/>
          <w:sz w:val="32"/>
          <w:szCs w:val="32"/>
        </w:rPr>
        <w:t>5</w:t>
      </w:r>
      <w:r>
        <w:rPr>
          <w:rFonts w:hint="eastAsia" w:ascii="仿宋_GB2312" w:hAnsi="华文仿宋" w:eastAsia="仿宋_GB2312"/>
          <w:color w:val="auto"/>
          <w:kern w:val="0"/>
          <w:sz w:val="32"/>
          <w:szCs w:val="32"/>
        </w:rPr>
        <w:t>千万人次，例如依托地震系统“震知道”科普融媒体账号，开展泸定</w:t>
      </w:r>
      <w:r>
        <w:rPr>
          <w:rFonts w:ascii="仿宋_GB2312" w:hAnsi="华文仿宋" w:eastAsia="仿宋_GB2312"/>
          <w:color w:val="auto"/>
          <w:kern w:val="0"/>
          <w:sz w:val="32"/>
          <w:szCs w:val="32"/>
        </w:rPr>
        <w:t>6.8</w:t>
      </w:r>
      <w:r>
        <w:rPr>
          <w:rFonts w:hint="eastAsia" w:ascii="仿宋_GB2312" w:hAnsi="华文仿宋" w:eastAsia="仿宋_GB2312"/>
          <w:color w:val="auto"/>
          <w:kern w:val="0"/>
          <w:sz w:val="32"/>
          <w:szCs w:val="32"/>
        </w:rPr>
        <w:t>级等震后应急科普宣传，发布</w:t>
      </w:r>
      <w:r>
        <w:rPr>
          <w:rFonts w:ascii="仿宋_GB2312" w:hAnsi="华文仿宋" w:eastAsia="仿宋_GB2312"/>
          <w:color w:val="auto"/>
          <w:kern w:val="0"/>
          <w:sz w:val="32"/>
          <w:szCs w:val="32"/>
        </w:rPr>
        <w:t>20</w:t>
      </w:r>
      <w:r>
        <w:rPr>
          <w:rFonts w:hint="eastAsia" w:ascii="仿宋_GB2312" w:hAnsi="华文仿宋" w:eastAsia="仿宋_GB2312"/>
          <w:color w:val="auto"/>
          <w:kern w:val="0"/>
          <w:sz w:val="32"/>
          <w:szCs w:val="32"/>
        </w:rPr>
        <w:t>余部应急科普产品，年内新增粉丝</w:t>
      </w:r>
      <w:r>
        <w:rPr>
          <w:rFonts w:ascii="仿宋_GB2312" w:hAnsi="华文仿宋" w:eastAsia="仿宋_GB2312"/>
          <w:color w:val="auto"/>
          <w:kern w:val="0"/>
          <w:sz w:val="32"/>
          <w:szCs w:val="32"/>
        </w:rPr>
        <w:t>1</w:t>
      </w:r>
      <w:r>
        <w:rPr>
          <w:rFonts w:hint="eastAsia" w:ascii="仿宋_GB2312" w:hAnsi="华文仿宋" w:eastAsia="仿宋_GB2312"/>
          <w:color w:val="auto"/>
          <w:kern w:val="0"/>
          <w:sz w:val="32"/>
          <w:szCs w:val="32"/>
        </w:rPr>
        <w:t>万余人。</w:t>
      </w:r>
    </w:p>
    <w:p>
      <w:pPr>
        <w:tabs>
          <w:tab w:val="left" w:pos="0"/>
        </w:tabs>
        <w:spacing w:line="560" w:lineRule="exact"/>
        <w:ind w:left="17" w:leftChars="8" w:firstLine="620" w:firstLineChars="193"/>
        <w:rPr>
          <w:rFonts w:hint="eastAsia" w:ascii="仿宋_GB2312" w:hAnsi="华文仿宋" w:eastAsia="仿宋_GB2312"/>
          <w:b/>
          <w:color w:val="auto"/>
          <w:kern w:val="0"/>
          <w:sz w:val="32"/>
          <w:szCs w:val="32"/>
        </w:rPr>
      </w:pPr>
      <w:r>
        <w:rPr>
          <w:rFonts w:hint="eastAsia" w:ascii="仿宋_GB2312" w:hAnsi="华文仿宋" w:eastAsia="仿宋_GB2312"/>
          <w:b/>
          <w:color w:val="auto"/>
          <w:kern w:val="0"/>
          <w:sz w:val="32"/>
          <w:szCs w:val="32"/>
          <w:lang w:eastAsia="zh-CN"/>
        </w:rPr>
        <w:t>（</w:t>
      </w:r>
      <w:r>
        <w:rPr>
          <w:rFonts w:hint="eastAsia" w:ascii="仿宋_GB2312" w:hAnsi="华文仿宋" w:eastAsia="仿宋_GB2312"/>
          <w:b/>
          <w:color w:val="auto"/>
          <w:kern w:val="0"/>
          <w:sz w:val="32"/>
          <w:szCs w:val="32"/>
          <w:lang w:val="en-US" w:eastAsia="zh-CN"/>
        </w:rPr>
        <w:t>7</w:t>
      </w:r>
      <w:r>
        <w:rPr>
          <w:rFonts w:hint="eastAsia" w:ascii="仿宋_GB2312" w:hAnsi="华文仿宋" w:eastAsia="仿宋_GB2312"/>
          <w:b/>
          <w:color w:val="auto"/>
          <w:kern w:val="0"/>
          <w:sz w:val="32"/>
          <w:szCs w:val="32"/>
          <w:lang w:eastAsia="zh-CN"/>
        </w:rPr>
        <w:t>）</w:t>
      </w:r>
      <w:r>
        <w:rPr>
          <w:rFonts w:hint="eastAsia" w:ascii="仿宋_GB2312" w:hAnsi="华文仿宋" w:eastAsia="仿宋_GB2312"/>
          <w:b/>
          <w:color w:val="auto"/>
          <w:kern w:val="0"/>
          <w:sz w:val="32"/>
          <w:szCs w:val="32"/>
        </w:rPr>
        <w:t>着力强化人才科技支撑保障</w:t>
      </w:r>
    </w:p>
    <w:p>
      <w:pPr>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一是持续打造过硬干部队伍。</w:t>
      </w:r>
      <w:r>
        <w:rPr>
          <w:rFonts w:ascii="仿宋_GB2312" w:hAnsi="华文仿宋" w:eastAsia="仿宋_GB2312"/>
          <w:color w:val="auto"/>
          <w:kern w:val="0"/>
          <w:sz w:val="32"/>
          <w:szCs w:val="32"/>
        </w:rPr>
        <w:t>2022</w:t>
      </w:r>
      <w:r>
        <w:rPr>
          <w:rFonts w:hint="eastAsia" w:ascii="仿宋_GB2312" w:hAnsi="华文仿宋" w:eastAsia="仿宋_GB2312"/>
          <w:color w:val="auto"/>
          <w:kern w:val="0"/>
          <w:sz w:val="32"/>
          <w:szCs w:val="32"/>
        </w:rPr>
        <w:t>年共派出</w:t>
      </w:r>
      <w:r>
        <w:rPr>
          <w:rFonts w:ascii="仿宋_GB2312" w:hAnsi="华文仿宋" w:eastAsia="仿宋_GB2312"/>
          <w:color w:val="auto"/>
          <w:kern w:val="0"/>
          <w:sz w:val="32"/>
          <w:szCs w:val="32"/>
        </w:rPr>
        <w:t>10</w:t>
      </w:r>
      <w:r>
        <w:rPr>
          <w:rFonts w:hint="eastAsia" w:ascii="仿宋_GB2312" w:hAnsi="华文仿宋" w:eastAsia="仿宋_GB2312"/>
          <w:color w:val="auto"/>
          <w:kern w:val="0"/>
          <w:sz w:val="32"/>
          <w:szCs w:val="32"/>
        </w:rPr>
        <w:t>名处级以上人员参加北京市和中国地震局组织的干部培训班，干部队伍整体结构和素质逐步优化。</w:t>
      </w:r>
    </w:p>
    <w:p>
      <w:pPr>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二是强化科技支撑，围绕核心业务，致力于开展应用研究、解决实际问题、培养科研素质、营造科研氛围连续</w:t>
      </w:r>
      <w:r>
        <w:rPr>
          <w:rFonts w:ascii="仿宋_GB2312" w:hAnsi="华文仿宋" w:eastAsia="仿宋_GB2312"/>
          <w:color w:val="auto"/>
          <w:kern w:val="0"/>
          <w:sz w:val="32"/>
          <w:szCs w:val="32"/>
        </w:rPr>
        <w:t>3</w:t>
      </w:r>
      <w:r>
        <w:rPr>
          <w:rFonts w:hint="eastAsia" w:ascii="仿宋_GB2312" w:hAnsi="华文仿宋" w:eastAsia="仿宋_GB2312"/>
          <w:color w:val="auto"/>
          <w:kern w:val="0"/>
          <w:sz w:val="32"/>
          <w:szCs w:val="32"/>
        </w:rPr>
        <w:t>年针对性设立重点、面上和技术微创新项目</w:t>
      </w:r>
      <w:r>
        <w:rPr>
          <w:rFonts w:ascii="仿宋_GB2312" w:hAnsi="华文仿宋" w:eastAsia="仿宋_GB2312"/>
          <w:color w:val="auto"/>
          <w:kern w:val="0"/>
          <w:sz w:val="32"/>
          <w:szCs w:val="32"/>
        </w:rPr>
        <w:t>80</w:t>
      </w:r>
      <w:r>
        <w:rPr>
          <w:rFonts w:hint="eastAsia" w:ascii="仿宋_GB2312" w:hAnsi="华文仿宋" w:eastAsia="仿宋_GB2312"/>
          <w:color w:val="auto"/>
          <w:kern w:val="0"/>
          <w:sz w:val="32"/>
          <w:szCs w:val="32"/>
        </w:rPr>
        <w:t>余项，支持经费近</w:t>
      </w:r>
      <w:r>
        <w:rPr>
          <w:rFonts w:ascii="仿宋_GB2312" w:hAnsi="华文仿宋" w:eastAsia="仿宋_GB2312"/>
          <w:color w:val="auto"/>
          <w:kern w:val="0"/>
          <w:sz w:val="32"/>
          <w:szCs w:val="32"/>
        </w:rPr>
        <w:t>550</w:t>
      </w:r>
      <w:r>
        <w:rPr>
          <w:rFonts w:hint="eastAsia" w:ascii="仿宋_GB2312" w:hAnsi="华文仿宋" w:eastAsia="仿宋_GB2312"/>
          <w:color w:val="auto"/>
          <w:kern w:val="0"/>
          <w:sz w:val="32"/>
          <w:szCs w:val="32"/>
        </w:rPr>
        <w:t>万元，干部职工从事科技活动的素质和热情大幅提升。</w:t>
      </w:r>
    </w:p>
    <w:p>
      <w:pPr>
        <w:ind w:firstLine="640" w:firstLineChars="200"/>
        <w:rPr>
          <w:color w:val="auto"/>
        </w:rPr>
      </w:pPr>
      <w:r>
        <w:rPr>
          <w:rFonts w:hint="eastAsia" w:ascii="仿宋_GB2312" w:hAnsi="华文仿宋" w:eastAsia="仿宋_GB2312"/>
          <w:color w:val="auto"/>
          <w:kern w:val="0"/>
          <w:sz w:val="32"/>
          <w:szCs w:val="32"/>
        </w:rPr>
        <w:t>三是积极推进援藏、援疆工作。受援双方积极沟通确定援助项目，分别制定北京市地震局“十四五”对口援藏、援疆框架协议及实施方案，充分利用局现有人才、技术等优势从重点项目、资金、干部人才等三个方面开展具体援助工作。</w:t>
      </w:r>
    </w:p>
    <w:p>
      <w:pPr>
        <w:tabs>
          <w:tab w:val="left" w:pos="0"/>
        </w:tabs>
        <w:spacing w:line="560" w:lineRule="exact"/>
        <w:ind w:left="17" w:leftChars="8" w:firstLine="620" w:firstLineChars="193"/>
        <w:rPr>
          <w:rFonts w:ascii="仿宋_GB2312" w:hAnsi="华文仿宋" w:eastAsia="仿宋_GB2312"/>
          <w:b/>
          <w:color w:val="auto"/>
          <w:kern w:val="0"/>
          <w:sz w:val="32"/>
          <w:szCs w:val="32"/>
        </w:rPr>
      </w:pPr>
      <w:r>
        <w:rPr>
          <w:rFonts w:hint="eastAsia" w:ascii="仿宋_GB2312" w:hAnsi="华文仿宋" w:eastAsia="仿宋_GB2312"/>
          <w:b/>
          <w:color w:val="auto"/>
          <w:kern w:val="0"/>
          <w:sz w:val="32"/>
          <w:szCs w:val="32"/>
        </w:rPr>
        <w:t>（</w:t>
      </w:r>
      <w:r>
        <w:rPr>
          <w:rFonts w:ascii="仿宋_GB2312" w:hAnsi="华文仿宋" w:eastAsia="仿宋_GB2312"/>
          <w:b/>
          <w:color w:val="auto"/>
          <w:kern w:val="0"/>
          <w:sz w:val="32"/>
          <w:szCs w:val="32"/>
        </w:rPr>
        <w:t>8）</w:t>
      </w:r>
      <w:r>
        <w:rPr>
          <w:rFonts w:hint="eastAsia" w:ascii="仿宋_GB2312" w:hAnsi="华文仿宋" w:eastAsia="仿宋_GB2312"/>
          <w:b/>
          <w:color w:val="auto"/>
          <w:kern w:val="0"/>
          <w:sz w:val="32"/>
          <w:szCs w:val="32"/>
        </w:rPr>
        <w:t>纵深推进全面从严治党</w:t>
      </w:r>
    </w:p>
    <w:p>
      <w:pPr>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一是认真开展“挺纪立规、强化责任”思想大讨论。全面查找制度漏洞，完善制度和责任体系，查找风险点</w:t>
      </w:r>
      <w:r>
        <w:rPr>
          <w:rFonts w:ascii="仿宋_GB2312" w:hAnsi="华文仿宋" w:eastAsia="仿宋_GB2312"/>
          <w:color w:val="auto"/>
          <w:kern w:val="0"/>
          <w:sz w:val="32"/>
          <w:szCs w:val="32"/>
        </w:rPr>
        <w:t>15</w:t>
      </w:r>
      <w:r>
        <w:rPr>
          <w:rFonts w:hint="eastAsia" w:ascii="仿宋_GB2312" w:hAnsi="华文仿宋" w:eastAsia="仿宋_GB2312"/>
          <w:color w:val="auto"/>
          <w:kern w:val="0"/>
          <w:sz w:val="32"/>
          <w:szCs w:val="32"/>
        </w:rPr>
        <w:t>个，制订整改措施</w:t>
      </w:r>
      <w:r>
        <w:rPr>
          <w:rFonts w:ascii="仿宋_GB2312" w:hAnsi="华文仿宋" w:eastAsia="仿宋_GB2312"/>
          <w:color w:val="auto"/>
          <w:kern w:val="0"/>
          <w:sz w:val="32"/>
          <w:szCs w:val="32"/>
        </w:rPr>
        <w:t>34</w:t>
      </w:r>
      <w:r>
        <w:rPr>
          <w:rFonts w:hint="eastAsia" w:ascii="仿宋_GB2312" w:hAnsi="华文仿宋" w:eastAsia="仿宋_GB2312"/>
          <w:color w:val="auto"/>
          <w:kern w:val="0"/>
          <w:sz w:val="32"/>
          <w:szCs w:val="32"/>
        </w:rPr>
        <w:t>项，完善关键业务技术岗位和重点风险隐患岗位规范</w:t>
      </w:r>
      <w:r>
        <w:rPr>
          <w:rFonts w:ascii="仿宋_GB2312" w:hAnsi="华文仿宋" w:eastAsia="仿宋_GB2312"/>
          <w:color w:val="auto"/>
          <w:kern w:val="0"/>
          <w:sz w:val="32"/>
          <w:szCs w:val="32"/>
        </w:rPr>
        <w:t>25</w:t>
      </w:r>
      <w:r>
        <w:rPr>
          <w:rFonts w:hint="eastAsia" w:ascii="仿宋_GB2312" w:hAnsi="华文仿宋" w:eastAsia="仿宋_GB2312"/>
          <w:color w:val="auto"/>
          <w:kern w:val="0"/>
          <w:sz w:val="32"/>
          <w:szCs w:val="32"/>
        </w:rPr>
        <w:t>项。</w:t>
      </w:r>
    </w:p>
    <w:p>
      <w:pPr>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二是强化全面从严治党主体责任。召开全面从严治党专题会商会，坚持问题和目标导向，制定整改措施</w:t>
      </w:r>
      <w:r>
        <w:rPr>
          <w:rFonts w:ascii="仿宋_GB2312" w:hAnsi="华文仿宋" w:eastAsia="仿宋_GB2312"/>
          <w:color w:val="auto"/>
          <w:kern w:val="0"/>
          <w:sz w:val="32"/>
          <w:szCs w:val="32"/>
        </w:rPr>
        <w:t>19</w:t>
      </w:r>
      <w:r>
        <w:rPr>
          <w:rFonts w:hint="eastAsia" w:ascii="仿宋_GB2312" w:hAnsi="华文仿宋" w:eastAsia="仿宋_GB2312"/>
          <w:color w:val="auto"/>
          <w:kern w:val="0"/>
          <w:sz w:val="32"/>
          <w:szCs w:val="32"/>
        </w:rPr>
        <w:t>项并推进落实，北京局党组落实全面从严治党主体责任获得市直机关工委现场督查组的充分肯定。</w:t>
      </w:r>
    </w:p>
    <w:p>
      <w:pPr>
        <w:ind w:firstLine="640" w:firstLineChars="200"/>
        <w:rPr>
          <w:rFonts w:hint="eastAsia" w:ascii="仿宋_GB2312" w:hAnsi="华文仿宋" w:eastAsia="仿宋_GB2312"/>
          <w:color w:val="auto"/>
          <w:kern w:val="0"/>
          <w:sz w:val="32"/>
          <w:szCs w:val="32"/>
          <w:lang w:eastAsia="zh-CN"/>
        </w:rPr>
      </w:pPr>
      <w:r>
        <w:rPr>
          <w:rFonts w:hint="eastAsia" w:ascii="仿宋_GB2312" w:hAnsi="华文仿宋" w:eastAsia="仿宋_GB2312"/>
          <w:color w:val="auto"/>
          <w:kern w:val="0"/>
          <w:sz w:val="32"/>
          <w:szCs w:val="32"/>
        </w:rPr>
        <w:t>三是对照《</w:t>
      </w:r>
      <w:r>
        <w:rPr>
          <w:rFonts w:ascii="仿宋_GB2312" w:hAnsi="华文仿宋" w:eastAsia="仿宋_GB2312"/>
          <w:color w:val="auto"/>
          <w:kern w:val="0"/>
          <w:sz w:val="32"/>
          <w:szCs w:val="32"/>
        </w:rPr>
        <w:t>2021-2022</w:t>
      </w:r>
      <w:r>
        <w:rPr>
          <w:rFonts w:hint="eastAsia" w:ascii="仿宋_GB2312" w:hAnsi="华文仿宋" w:eastAsia="仿宋_GB2312"/>
          <w:color w:val="auto"/>
          <w:kern w:val="0"/>
          <w:sz w:val="32"/>
          <w:szCs w:val="32"/>
        </w:rPr>
        <w:t>年中国地震局选人用人专项检查发现的问题通报》，举一反三主动开展自查，制定整改工作台账，提出</w:t>
      </w:r>
      <w:r>
        <w:rPr>
          <w:rFonts w:ascii="仿宋_GB2312" w:hAnsi="华文仿宋" w:eastAsia="仿宋_GB2312"/>
          <w:color w:val="auto"/>
          <w:kern w:val="0"/>
          <w:sz w:val="32"/>
          <w:szCs w:val="32"/>
        </w:rPr>
        <w:t>36</w:t>
      </w:r>
      <w:r>
        <w:rPr>
          <w:rFonts w:hint="eastAsia" w:ascii="仿宋_GB2312" w:hAnsi="华文仿宋" w:eastAsia="仿宋_GB2312"/>
          <w:color w:val="auto"/>
          <w:kern w:val="0"/>
          <w:sz w:val="32"/>
          <w:szCs w:val="32"/>
        </w:rPr>
        <w:t>项整改措施并完成阶段性任务</w:t>
      </w:r>
      <w:r>
        <w:rPr>
          <w:rFonts w:hint="eastAsia" w:ascii="仿宋_GB2312" w:hAnsi="华文仿宋" w:eastAsia="仿宋_GB2312"/>
          <w:color w:val="auto"/>
          <w:kern w:val="0"/>
          <w:sz w:val="32"/>
          <w:szCs w:val="32"/>
          <w:lang w:eastAsia="zh-CN"/>
        </w:rPr>
        <w:t>。</w:t>
      </w:r>
    </w:p>
    <w:p>
      <w:pPr>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四是强化监督执纪问责。聚焦招标采购等重点问题持续推进廉政风险排查，做实做细日常监督；深入基层蹲点开展微生态调研，广泛开展谈心谈话，开展年轻干部教育监督管理专题调研，进一步加强廉政警示教育。纪检工作成效受到中国地震局直属机关纪委和北京市直机关纪工委的肯定。</w:t>
      </w:r>
    </w:p>
    <w:p>
      <w:pPr>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五是统筹做好离退休干部、财务管理、保密、信访、安全、统战群团等各项工作，单位政治生态持续改善。</w:t>
      </w:r>
    </w:p>
    <w:p>
      <w:pPr>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综上，北京防震减灾工作和北京局各项事业发展取得了明显成效。</w:t>
      </w:r>
      <w:r>
        <w:rPr>
          <w:rFonts w:ascii="仿宋_GB2312" w:hAnsi="华文仿宋" w:eastAsia="仿宋_GB2312"/>
          <w:color w:val="auto"/>
          <w:kern w:val="0"/>
          <w:sz w:val="32"/>
          <w:szCs w:val="32"/>
        </w:rPr>
        <w:t xml:space="preserve"> </w:t>
      </w:r>
    </w:p>
    <w:p>
      <w:pPr>
        <w:tabs>
          <w:tab w:val="left" w:pos="0"/>
        </w:tabs>
        <w:spacing w:line="560" w:lineRule="exact"/>
        <w:ind w:left="17" w:leftChars="8" w:firstLine="620" w:firstLineChars="193"/>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2.产出质量</w:t>
      </w:r>
    </w:p>
    <w:p>
      <w:pPr>
        <w:spacing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2022年，积极开展各项重点工作，履行部门职责，通过预算执行和年度目标的完成，保质保量的完成了各项工作。</w:t>
      </w:r>
    </w:p>
    <w:p>
      <w:pPr>
        <w:spacing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比如：</w:t>
      </w:r>
    </w:p>
    <w:p>
      <w:pPr>
        <w:spacing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（1）通过2022年度工作的开展，大应急体制下防震减灾工作机制不断完善，应急响应支撑能力不断提高；</w:t>
      </w:r>
    </w:p>
    <w:p>
      <w:pPr>
        <w:spacing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（2）完成了北京地震预警台网建设和运行，京津冀具备强震秒级预警能力，预警一体化业务基本形成；</w:t>
      </w:r>
    </w:p>
    <w:p>
      <w:pPr>
        <w:spacing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（3）地震灾害风险防范业务体系不断深化，初步明确了优先发展风险普查、情景构建、韧性建设等业务；</w:t>
      </w:r>
    </w:p>
    <w:p>
      <w:pPr>
        <w:spacing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（4）全面推行支部工作法，促进党建业务深度融合，机关党建工作受到市委组织部的点名表扬；</w:t>
      </w:r>
    </w:p>
    <w:p>
      <w:pPr>
        <w:spacing w:line="560" w:lineRule="exact"/>
        <w:ind w:firstLine="640" w:firstLineChars="200"/>
        <w:rPr>
          <w:rFonts w:hint="eastAsia" w:ascii="仿宋_GB2312" w:hAnsi="华文仿宋" w:eastAsia="仿宋_GB2312"/>
          <w:color w:val="auto"/>
          <w:kern w:val="0"/>
          <w:sz w:val="32"/>
          <w:szCs w:val="32"/>
          <w:lang w:eastAsia="zh-CN"/>
        </w:rPr>
      </w:pPr>
      <w:r>
        <w:rPr>
          <w:rFonts w:hint="eastAsia" w:ascii="仿宋_GB2312" w:hAnsi="华文仿宋" w:eastAsia="仿宋_GB2312"/>
          <w:color w:val="auto"/>
          <w:kern w:val="0"/>
          <w:sz w:val="32"/>
          <w:szCs w:val="32"/>
        </w:rPr>
        <w:t>（5）通过“挺纪立规、强化责任”思想大讨论，全局职工干事创业精气神得到提升、工作的规矩规范意识显著增强</w:t>
      </w:r>
      <w:r>
        <w:rPr>
          <w:rFonts w:hint="eastAsia" w:ascii="仿宋_GB2312" w:hAnsi="华文仿宋" w:eastAsia="仿宋_GB2312"/>
          <w:color w:val="auto"/>
          <w:kern w:val="0"/>
          <w:sz w:val="32"/>
          <w:szCs w:val="32"/>
          <w:lang w:eastAsia="zh-CN"/>
        </w:rPr>
        <w:t>；</w:t>
      </w:r>
    </w:p>
    <w:p>
      <w:pPr>
        <w:spacing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6</w:t>
      </w:r>
      <w:r>
        <w:rPr>
          <w:rFonts w:hint="eastAsia" w:ascii="仿宋_GB2312" w:hAnsi="华文仿宋" w:eastAsia="仿宋_GB2312"/>
          <w:color w:val="auto"/>
          <w:kern w:val="0"/>
          <w:sz w:val="32"/>
          <w:szCs w:val="32"/>
        </w:rPr>
        <w:t>）北京地震台网基准站</w:t>
      </w:r>
      <w:r>
        <w:rPr>
          <w:rFonts w:ascii="仿宋_GB2312" w:hAnsi="华文仿宋" w:eastAsia="仿宋_GB2312"/>
          <w:color w:val="auto"/>
          <w:kern w:val="0"/>
          <w:sz w:val="32"/>
          <w:szCs w:val="32"/>
        </w:rPr>
        <w:t>运行率均达到或优于中国地震局标准</w:t>
      </w:r>
      <w:r>
        <w:rPr>
          <w:rFonts w:hint="eastAsia" w:ascii="仿宋_GB2312" w:hAnsi="华文仿宋" w:eastAsia="仿宋_GB2312"/>
          <w:color w:val="auto"/>
          <w:kern w:val="0"/>
          <w:sz w:val="32"/>
          <w:szCs w:val="32"/>
        </w:rPr>
        <w:t>；通过</w:t>
      </w:r>
      <w:r>
        <w:rPr>
          <w:rFonts w:ascii="仿宋_GB2312" w:hAnsi="华文仿宋" w:eastAsia="仿宋_GB2312"/>
          <w:color w:val="auto"/>
          <w:kern w:val="0"/>
          <w:sz w:val="32"/>
          <w:szCs w:val="32"/>
        </w:rPr>
        <w:t>开展网络安全72项评估要点自查及整改，网络安全水平显著提升，信息网络运行稳定</w:t>
      </w:r>
      <w:r>
        <w:rPr>
          <w:rFonts w:hint="eastAsia" w:ascii="仿宋_GB2312" w:hAnsi="华文仿宋" w:eastAsia="仿宋_GB2312"/>
          <w:color w:val="auto"/>
          <w:kern w:val="0"/>
          <w:sz w:val="32"/>
          <w:szCs w:val="32"/>
        </w:rPr>
        <w:t>；</w:t>
      </w:r>
    </w:p>
    <w:p>
      <w:pPr>
        <w:spacing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7</w:t>
      </w:r>
      <w:r>
        <w:rPr>
          <w:rFonts w:hint="eastAsia" w:ascii="仿宋_GB2312" w:hAnsi="华文仿宋" w:eastAsia="仿宋_GB2312"/>
          <w:color w:val="auto"/>
          <w:kern w:val="0"/>
          <w:sz w:val="32"/>
          <w:szCs w:val="32"/>
        </w:rPr>
        <w:t>）通过完成北京市地震灾害情景构建系统建设，完成不同烈度影响下的全市地震灾害情景构建，全面摸清全市房屋风险底数，审查专家认为系统达到国内先进水平；</w:t>
      </w:r>
    </w:p>
    <w:p>
      <w:pPr>
        <w:spacing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8</w:t>
      </w:r>
      <w:r>
        <w:rPr>
          <w:rFonts w:hint="eastAsia" w:ascii="仿宋_GB2312" w:hAnsi="华文仿宋" w:eastAsia="仿宋_GB2312"/>
          <w:color w:val="auto"/>
          <w:kern w:val="0"/>
          <w:sz w:val="32"/>
          <w:szCs w:val="32"/>
        </w:rPr>
        <w:t>）“冬奥场馆设施地震影响专项评估”受到市委主要领导批示肯定，形成的一整套固定化工作流程和标准化服务产品作为中国地震局公共服务试点案例；</w:t>
      </w:r>
    </w:p>
    <w:p>
      <w:pPr>
        <w:spacing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9</w:t>
      </w:r>
      <w:r>
        <w:rPr>
          <w:rFonts w:hint="eastAsia" w:ascii="仿宋_GB2312" w:hAnsi="华文仿宋" w:eastAsia="仿宋_GB2312"/>
          <w:color w:val="auto"/>
          <w:kern w:val="0"/>
          <w:sz w:val="32"/>
          <w:szCs w:val="32"/>
        </w:rPr>
        <w:t>）参与完成的《城市建筑与基础设施安全控制理论与关键技术》项目获得北京市科技进步一等奖，实现了科学技术类获奖等次的新突破等。</w:t>
      </w:r>
    </w:p>
    <w:p>
      <w:pPr>
        <w:spacing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综上，评价分析认为产出质量较高。</w:t>
      </w:r>
    </w:p>
    <w:p>
      <w:pPr>
        <w:spacing w:before="62" w:beforeLines="20" w:after="62" w:afterLines="20" w:line="560" w:lineRule="exact"/>
        <w:ind w:firstLine="643" w:firstLineChars="200"/>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3.产出进度</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2022年各项工作基本按照进度计划开展，产出进度控制较好。</w:t>
      </w:r>
    </w:p>
    <w:p>
      <w:pPr>
        <w:spacing w:before="62" w:beforeLines="20" w:after="62" w:afterLines="20" w:line="560" w:lineRule="exact"/>
        <w:ind w:firstLine="643" w:firstLineChars="200"/>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4.</w:t>
      </w:r>
      <w:r>
        <w:rPr>
          <w:rFonts w:hint="eastAsia" w:ascii="仿宋_GB2312" w:hAnsi="华文仿宋" w:eastAsia="仿宋_GB2312"/>
          <w:b/>
          <w:color w:val="auto"/>
          <w:kern w:val="0"/>
          <w:sz w:val="32"/>
          <w:szCs w:val="32"/>
        </w:rPr>
        <w:t>产出</w:t>
      </w:r>
      <w:r>
        <w:rPr>
          <w:rFonts w:ascii="仿宋_GB2312" w:hAnsi="华文仿宋" w:eastAsia="仿宋_GB2312"/>
          <w:b/>
          <w:color w:val="auto"/>
          <w:kern w:val="0"/>
          <w:sz w:val="32"/>
          <w:szCs w:val="32"/>
        </w:rPr>
        <w:t>成本</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2022年预算严格执行市财政压缩一般公用支出的要求，过“紧”日子。预算执行过程中，严格执行相关财务管理制度，应采尽采，各项支出有明确支出标准的严格按照支出标准执行，避免超预算支出。针对各类重点项目，委托第三方专业机构开展预算评审，提高预算申报的科学性、准确性。评价分析认为，2022年在完成各项任务的同时，产出成本控制较好。</w:t>
      </w:r>
    </w:p>
    <w:p>
      <w:pPr>
        <w:pStyle w:val="4"/>
        <w:spacing w:line="560" w:lineRule="exact"/>
        <w:rPr>
          <w:color w:val="auto"/>
        </w:rPr>
      </w:pPr>
      <w:bookmarkStart w:id="6" w:name="_Toc135319895"/>
      <w:r>
        <w:rPr>
          <w:rFonts w:hint="eastAsia"/>
          <w:color w:val="auto"/>
        </w:rPr>
        <w:t>（二）效果</w:t>
      </w:r>
      <w:r>
        <w:rPr>
          <w:color w:val="auto"/>
        </w:rPr>
        <w:t>实现情况分析</w:t>
      </w:r>
      <w:bookmarkEnd w:id="6"/>
    </w:p>
    <w:p>
      <w:pPr>
        <w:spacing w:before="62" w:beforeLines="20" w:after="62" w:afterLines="20" w:line="560" w:lineRule="exact"/>
        <w:ind w:firstLine="643" w:firstLineChars="200"/>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1.社会效益</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2022年本单位整体支出基本实现了预期绩效目标，产生了较好的社会效益。比如，通过建立地震灾害情景构建体系，提升地震灾害情景构建的应用能力；通过开展地震灾害情景构建工作，提升大震下地震现场应急通讯保障能力；通过防震减灾科普宣传，扩大公众防震减灾文化知识普及率和传播面，提升全市防震减灾科普宣传效果，提高社会影响力；通过不断探索防震减灾公共服务，开展公共服务实践、科技转化等试点工作，不断提升防震减灾工作成效和社会影响力。</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评价分析认为，2022年绩效产出社会效益较高。</w:t>
      </w:r>
    </w:p>
    <w:p>
      <w:pPr>
        <w:spacing w:before="62" w:beforeLines="20" w:after="62" w:afterLines="20" w:line="560" w:lineRule="exact"/>
        <w:ind w:firstLine="643" w:firstLineChars="200"/>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2.环境效益</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2022年各类工作开展过程中，注重资源的节约利用。个别项目执行过程中，避免对环境的污染和资源的浪费，环保理念较强，环境效益得到了一定的体现。</w:t>
      </w:r>
    </w:p>
    <w:p>
      <w:pPr>
        <w:spacing w:before="62" w:beforeLines="20" w:after="62" w:afterLines="20" w:line="560" w:lineRule="exact"/>
        <w:ind w:firstLine="643" w:firstLineChars="200"/>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3.可持续性影响</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2</w:t>
      </w:r>
      <w:r>
        <w:rPr>
          <w:rFonts w:ascii="仿宋_GB2312" w:hAnsi="华文仿宋" w:eastAsia="仿宋_GB2312"/>
          <w:color w:val="auto"/>
          <w:kern w:val="0"/>
          <w:sz w:val="32"/>
          <w:szCs w:val="32"/>
        </w:rPr>
        <w:t>022</w:t>
      </w:r>
      <w:r>
        <w:rPr>
          <w:rFonts w:hint="eastAsia" w:ascii="仿宋_GB2312" w:hAnsi="华文仿宋" w:eastAsia="仿宋_GB2312"/>
          <w:color w:val="auto"/>
          <w:kern w:val="0"/>
          <w:sz w:val="32"/>
          <w:szCs w:val="32"/>
        </w:rPr>
        <w:t>年，各项工作的开展都为未来发展垫定了良好的基础，比如，制定和实施《北京市地震局地震速报信息发布及报送策略（2022版）》、《北京市地震局烈度速报与预警系统网络安全预案》等制度；制定印发信息化建设、防震减灾科普、震防领域基础业务建设等系列三年行动计划。与市委党校合作，制作《地震科普 共创未来》宣传片，走进党校课堂，得到各级党校培训班学员的好评；组织干部培训班，使得干部队伍整体结构和素质逐步优化等；通过</w:t>
      </w:r>
      <w:r>
        <w:rPr>
          <w:rFonts w:ascii="仿宋_GB2312" w:hAnsi="华文仿宋" w:eastAsia="仿宋_GB2312"/>
          <w:color w:val="auto"/>
          <w:kern w:val="0"/>
          <w:sz w:val="32"/>
          <w:szCs w:val="32"/>
        </w:rPr>
        <w:t>与中国铁路北京局集团、太原</w:t>
      </w:r>
      <w:r>
        <w:rPr>
          <w:rFonts w:hint="eastAsia" w:ascii="仿宋_GB2312" w:hAnsi="华文仿宋" w:eastAsia="仿宋_GB2312"/>
          <w:color w:val="auto"/>
          <w:kern w:val="0"/>
          <w:sz w:val="32"/>
          <w:szCs w:val="32"/>
        </w:rPr>
        <w:t>局集团签订框架合作协议，推动地震预警行业应用，加强了开放合作；收集了超</w:t>
      </w:r>
      <w:r>
        <w:rPr>
          <w:rFonts w:ascii="仿宋_GB2312" w:hAnsi="华文仿宋" w:eastAsia="仿宋_GB2312"/>
          <w:color w:val="auto"/>
          <w:kern w:val="0"/>
          <w:sz w:val="32"/>
          <w:szCs w:val="32"/>
        </w:rPr>
        <w:t>2000万平米房屋数据，全面开展北京重大基础设施底数摸排</w:t>
      </w:r>
      <w:r>
        <w:rPr>
          <w:rFonts w:hint="eastAsia" w:ascii="仿宋_GB2312" w:hAnsi="华文仿宋" w:eastAsia="仿宋_GB2312"/>
          <w:color w:val="auto"/>
          <w:kern w:val="0"/>
          <w:sz w:val="32"/>
          <w:szCs w:val="32"/>
        </w:rPr>
        <w:t>，基础数据的夯实具有较好的可持续影响；经市政府同意，市规自委、市住建委、市人防办、市通信管理局、市地震局五部门联合印发《北京市关于深化建设工程施工图审查制度改革实施方案》和</w:t>
      </w:r>
      <w:r>
        <w:rPr>
          <w:rFonts w:ascii="仿宋_GB2312" w:hAnsi="华文仿宋" w:eastAsia="仿宋_GB2312"/>
          <w:color w:val="auto"/>
          <w:kern w:val="0"/>
          <w:sz w:val="32"/>
          <w:szCs w:val="32"/>
        </w:rPr>
        <w:t>3个相应的管理制度，首次形成多部门施工图审查联动机制</w:t>
      </w:r>
      <w:r>
        <w:rPr>
          <w:rFonts w:hint="eastAsia" w:ascii="仿宋_GB2312" w:hAnsi="华文仿宋" w:eastAsia="仿宋_GB2312"/>
          <w:color w:val="auto"/>
          <w:kern w:val="0"/>
          <w:sz w:val="32"/>
          <w:szCs w:val="32"/>
        </w:rPr>
        <w:t>。</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综上，评价分析认为，2022年多项绩效成果产生了较好的可持续性影响。</w:t>
      </w:r>
    </w:p>
    <w:p>
      <w:pPr>
        <w:pStyle w:val="3"/>
        <w:spacing w:line="560" w:lineRule="exact"/>
        <w:rPr>
          <w:color w:val="auto"/>
        </w:rPr>
      </w:pPr>
      <w:bookmarkStart w:id="7" w:name="_Toc135319896"/>
      <w:r>
        <w:rPr>
          <w:rFonts w:hint="eastAsia"/>
          <w:color w:val="auto"/>
        </w:rPr>
        <w:t>四</w:t>
      </w:r>
      <w:r>
        <w:rPr>
          <w:color w:val="auto"/>
        </w:rPr>
        <w:t>、预算管理</w:t>
      </w:r>
      <w:r>
        <w:rPr>
          <w:rFonts w:hint="eastAsia"/>
          <w:color w:val="auto"/>
        </w:rPr>
        <w:t>情况分</w:t>
      </w:r>
      <w:r>
        <w:rPr>
          <w:color w:val="auto"/>
        </w:rPr>
        <w:t>析</w:t>
      </w:r>
      <w:bookmarkEnd w:id="7"/>
    </w:p>
    <w:p>
      <w:pPr>
        <w:pStyle w:val="4"/>
        <w:spacing w:line="560" w:lineRule="exact"/>
        <w:rPr>
          <w:color w:val="auto"/>
        </w:rPr>
      </w:pPr>
      <w:bookmarkStart w:id="8" w:name="_Toc135319897"/>
      <w:r>
        <w:rPr>
          <w:rFonts w:hint="eastAsia"/>
          <w:color w:val="auto"/>
        </w:rPr>
        <w:t>（一）财务管理</w:t>
      </w:r>
      <w:bookmarkEnd w:id="8"/>
    </w:p>
    <w:p>
      <w:pPr>
        <w:spacing w:before="62" w:beforeLines="20" w:after="62" w:afterLines="20" w:line="560" w:lineRule="exact"/>
        <w:ind w:firstLine="643" w:firstLineChars="200"/>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1.财务管理制度健全性</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为规范预算管理，健全内部控制制度，补充完善各类管理制度，涵盖了预算管理、支出管理、审批程序、固定资产、政府采购等全方位，制度体系健全。</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评价分析认为，财务管理制度较健全，对规范预算执行和绩效目标的实现具有重要的指导作用。</w:t>
      </w:r>
    </w:p>
    <w:p>
      <w:pPr>
        <w:spacing w:before="62" w:beforeLines="20" w:after="62" w:afterLines="20" w:line="560" w:lineRule="exact"/>
        <w:ind w:firstLine="643" w:firstLineChars="200"/>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2.资金使用合</w:t>
      </w:r>
      <w:r>
        <w:rPr>
          <w:rFonts w:hint="eastAsia" w:ascii="仿宋_GB2312" w:hAnsi="华文仿宋" w:eastAsia="仿宋_GB2312"/>
          <w:b/>
          <w:color w:val="auto"/>
          <w:kern w:val="0"/>
          <w:sz w:val="32"/>
          <w:szCs w:val="32"/>
        </w:rPr>
        <w:t>规性</w:t>
      </w:r>
      <w:r>
        <w:rPr>
          <w:rFonts w:ascii="仿宋_GB2312" w:hAnsi="华文仿宋" w:eastAsia="仿宋_GB2312"/>
          <w:b/>
          <w:color w:val="auto"/>
          <w:kern w:val="0"/>
          <w:sz w:val="32"/>
          <w:szCs w:val="32"/>
        </w:rPr>
        <w:t>和安全性</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部门预算经批准后，按照市财政局批复的项目预算在单位内部进行指标分解、审批下达，细化实施方案和资金支付计划，压实项目管理责任，确保预算严格有效执行；认真遵守政府采购、资产管理、合同管理、绩效管理等财政财务管理相关规定。</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制定《北京市地震局内部控制手册》，其中包括《北京市地震局财务收支管理办法》、《北京市地震局财务报销实施细则》等各项内部控制制度。上述制度均得到了有效执行，把风险降低到最低，同时确保预算执行更加顺畅、监督体系更加完善，使各项开支合规、合法。</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从经费支出情况看，制度执行较好，财务记账较为规范，支出凭单、发票等附件较为齐全，资金使用合规性较强，保障了资金使用的安全性，不存在资金挪用等严重违规情况。</w:t>
      </w:r>
    </w:p>
    <w:p>
      <w:pPr>
        <w:spacing w:before="62" w:beforeLines="20" w:after="62" w:afterLines="20" w:line="560" w:lineRule="exact"/>
        <w:ind w:firstLine="643" w:firstLineChars="200"/>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3.</w:t>
      </w:r>
      <w:r>
        <w:rPr>
          <w:rFonts w:hint="eastAsia" w:ascii="仿宋_GB2312" w:hAnsi="华文仿宋" w:eastAsia="仿宋_GB2312"/>
          <w:b/>
          <w:color w:val="auto"/>
          <w:kern w:val="0"/>
          <w:sz w:val="32"/>
          <w:szCs w:val="32"/>
        </w:rPr>
        <w:t>会计</w:t>
      </w:r>
      <w:r>
        <w:rPr>
          <w:rFonts w:ascii="仿宋_GB2312" w:hAnsi="华文仿宋" w:eastAsia="仿宋_GB2312"/>
          <w:b/>
          <w:color w:val="auto"/>
          <w:kern w:val="0"/>
          <w:sz w:val="32"/>
          <w:szCs w:val="32"/>
        </w:rPr>
        <w:t>基础信息完善性</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严格执行《政府会计制度》规范使用会计科目，完整呈现会计基础信息，规范性较强。</w:t>
      </w:r>
    </w:p>
    <w:p>
      <w:pPr>
        <w:pStyle w:val="4"/>
        <w:spacing w:line="560" w:lineRule="exact"/>
        <w:rPr>
          <w:color w:val="auto"/>
        </w:rPr>
      </w:pPr>
      <w:bookmarkStart w:id="9" w:name="_Toc135319898"/>
      <w:r>
        <w:rPr>
          <w:rFonts w:hint="eastAsia"/>
          <w:color w:val="auto"/>
        </w:rPr>
        <w:t>（二）资产管理</w:t>
      </w:r>
      <w:bookmarkEnd w:id="9"/>
    </w:p>
    <w:p>
      <w:pPr>
        <w:spacing w:before="62" w:beforeLines="20" w:after="62" w:afterLines="20" w:line="560" w:lineRule="exact"/>
        <w:ind w:firstLine="640" w:firstLineChars="200"/>
        <w:rPr>
          <w:rFonts w:hint="eastAsia" w:ascii="仿宋_GB2312" w:hAnsi="华文仿宋" w:eastAsia="仿宋_GB2312"/>
          <w:color w:val="auto"/>
          <w:kern w:val="0"/>
          <w:sz w:val="32"/>
          <w:szCs w:val="32"/>
        </w:rPr>
      </w:pPr>
      <w:r>
        <w:rPr>
          <w:rFonts w:hint="eastAsia" w:ascii="仿宋_GB2312" w:hAnsi="华文仿宋" w:eastAsia="仿宋_GB2312"/>
          <w:color w:val="auto"/>
          <w:kern w:val="0"/>
          <w:sz w:val="32"/>
          <w:szCs w:val="32"/>
        </w:rPr>
        <w:t>2022年末资产总量12182.89万元，包括货币资金247.24万元，财政应返还额度370.79万元，固定资产净值10731.9</w:t>
      </w:r>
      <w:r>
        <w:rPr>
          <w:rFonts w:hint="eastAsia" w:ascii="仿宋_GB2312" w:hAnsi="华文仿宋" w:eastAsia="仿宋_GB2312"/>
          <w:color w:val="auto"/>
          <w:kern w:val="0"/>
          <w:sz w:val="32"/>
          <w:szCs w:val="32"/>
          <w:lang w:val="en-US" w:eastAsia="zh-CN"/>
        </w:rPr>
        <w:t>7</w:t>
      </w:r>
      <w:r>
        <w:rPr>
          <w:rFonts w:hint="eastAsia" w:ascii="仿宋_GB2312" w:hAnsi="华文仿宋" w:eastAsia="仿宋_GB2312"/>
          <w:color w:val="auto"/>
          <w:kern w:val="0"/>
          <w:sz w:val="32"/>
          <w:szCs w:val="32"/>
        </w:rPr>
        <w:t>万元，在建工程832.89万元。</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根据《事业单位国有资产管理暂行办法》（财</w:t>
      </w:r>
      <w:r>
        <w:rPr>
          <w:rFonts w:ascii="仿宋_GB2312" w:hAnsi="华文仿宋" w:eastAsia="仿宋_GB2312"/>
          <w:color w:val="auto"/>
          <w:kern w:val="0"/>
          <w:sz w:val="32"/>
          <w:szCs w:val="32"/>
        </w:rPr>
        <w:t>政部令第 36 号）、《中国地震局国有资产管理暂行办法》（中震财函〔2016〕25 号）、《北京市行政事业单位固定资产管理暂 行办法》（京财绩效〔2007〕1959 号）、《北京市市级行政事业单 位国有资产处置管理办法》（京财资产〔2015〕33 号）等有关规定</w:t>
      </w:r>
      <w:r>
        <w:rPr>
          <w:rFonts w:hint="eastAsia" w:ascii="仿宋_GB2312" w:hAnsi="华文仿宋" w:eastAsia="仿宋_GB2312"/>
          <w:color w:val="auto"/>
          <w:kern w:val="0"/>
          <w:sz w:val="32"/>
          <w:szCs w:val="32"/>
        </w:rPr>
        <w:t>，制定了《北京市地震局国有资产管理实施细则》，用以指导资产管理工作。</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评价分析认为，2022年度严格执行资产管理相关制度，维护了国有资产的安全完整、合理配置和有效利用，有利于保障整体的运行和绩效目标的实现，未发现资产违规使用和超额配置资产等情况。分析过程中发现，个别采购类支出形成的资产管理工作有待进一步加强。</w:t>
      </w:r>
    </w:p>
    <w:p>
      <w:pPr>
        <w:pStyle w:val="4"/>
        <w:spacing w:line="560" w:lineRule="exact"/>
        <w:rPr>
          <w:color w:val="auto"/>
        </w:rPr>
      </w:pPr>
      <w:bookmarkStart w:id="10" w:name="_Toc135319899"/>
      <w:r>
        <w:rPr>
          <w:rFonts w:hint="eastAsia"/>
          <w:color w:val="auto"/>
        </w:rPr>
        <w:t>（三）绩效</w:t>
      </w:r>
      <w:r>
        <w:rPr>
          <w:color w:val="auto"/>
        </w:rPr>
        <w:t>管理</w:t>
      </w:r>
      <w:bookmarkEnd w:id="10"/>
    </w:p>
    <w:p>
      <w:pPr>
        <w:spacing w:before="62" w:beforeLines="20" w:after="62" w:afterLines="20" w:line="560" w:lineRule="exact"/>
        <w:ind w:firstLine="643" w:firstLineChars="200"/>
        <w:rPr>
          <w:rFonts w:ascii="仿宋_GB2312" w:hAnsi="华文仿宋" w:eastAsia="仿宋_GB2312"/>
          <w:b/>
          <w:color w:val="auto"/>
          <w:kern w:val="0"/>
          <w:sz w:val="32"/>
          <w:szCs w:val="32"/>
        </w:rPr>
      </w:pPr>
      <w:r>
        <w:rPr>
          <w:rFonts w:ascii="仿宋_GB2312" w:hAnsi="华文仿宋" w:eastAsia="仿宋_GB2312"/>
          <w:b/>
          <w:color w:val="auto"/>
          <w:kern w:val="0"/>
          <w:sz w:val="32"/>
          <w:szCs w:val="32"/>
        </w:rPr>
        <w:t>1.组织机构设置情况</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规划</w:t>
      </w:r>
      <w:r>
        <w:rPr>
          <w:rFonts w:ascii="仿宋_GB2312" w:hAnsi="华文仿宋" w:eastAsia="仿宋_GB2312"/>
          <w:color w:val="auto"/>
          <w:kern w:val="0"/>
          <w:sz w:val="32"/>
          <w:szCs w:val="32"/>
        </w:rPr>
        <w:t>财务处负责组织开展绩效评价工作</w:t>
      </w:r>
      <w:r>
        <w:rPr>
          <w:rFonts w:hint="eastAsia" w:ascii="仿宋_GB2312" w:hAnsi="华文仿宋" w:eastAsia="仿宋_GB2312"/>
          <w:color w:val="auto"/>
          <w:kern w:val="0"/>
          <w:sz w:val="32"/>
          <w:szCs w:val="32"/>
        </w:rPr>
        <w:t>，业务部门配合,共同开展预算绩效管理工作。</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评价分析认为，绩效管理组织机构设置较明确、合理。</w:t>
      </w:r>
    </w:p>
    <w:p>
      <w:pPr>
        <w:spacing w:before="62" w:beforeLines="20" w:after="62" w:afterLines="20" w:line="560" w:lineRule="exact"/>
        <w:ind w:firstLine="643" w:firstLineChars="200"/>
        <w:rPr>
          <w:rFonts w:ascii="仿宋_GB2312" w:hAnsi="华文仿宋" w:eastAsia="仿宋_GB2312"/>
          <w:b/>
          <w:color w:val="auto"/>
          <w:kern w:val="0"/>
          <w:sz w:val="32"/>
          <w:szCs w:val="32"/>
        </w:rPr>
      </w:pPr>
      <w:bookmarkStart w:id="11" w:name="_Toc103649420"/>
      <w:r>
        <w:rPr>
          <w:rFonts w:ascii="仿宋_GB2312" w:hAnsi="华文仿宋" w:eastAsia="仿宋_GB2312"/>
          <w:b/>
          <w:color w:val="auto"/>
          <w:kern w:val="0"/>
          <w:sz w:val="32"/>
          <w:szCs w:val="32"/>
        </w:rPr>
        <w:t>2.绩效措施</w:t>
      </w:r>
      <w:bookmarkEnd w:id="11"/>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为有效开展绩效管理，2022年委托第三方专业机构组织开展了项目支出绩效评价，对重点项目进行了抽查，在预算绩效管理工作成为常态化的情况下，积极开展绩效管理工作的推进和实施。</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同时，在《北京市地震局预算管理办法》中，明确规定了“</w:t>
      </w:r>
      <w:r>
        <w:rPr>
          <w:rFonts w:ascii="仿宋_GB2312" w:hAnsi="华文仿宋" w:eastAsia="仿宋_GB2312"/>
          <w:color w:val="auto"/>
          <w:kern w:val="0"/>
          <w:sz w:val="32"/>
          <w:szCs w:val="32"/>
        </w:rPr>
        <w:t>绩效评价结果可在一定范围予以公开</w:t>
      </w: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将预算执行与预算申报、绩效奖励挂钩</w:t>
      </w:r>
      <w:r>
        <w:rPr>
          <w:rFonts w:hint="eastAsia" w:ascii="仿宋_GB2312" w:hAnsi="华文仿宋" w:eastAsia="仿宋_GB2312"/>
          <w:color w:val="auto"/>
          <w:kern w:val="0"/>
          <w:sz w:val="32"/>
          <w:szCs w:val="32"/>
        </w:rPr>
        <w:t>”等绩效措施。</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评价分析认为，绩效措施较明确、科学、合理，对预算执行和绩效实现具有较好的促进作用。</w:t>
      </w:r>
    </w:p>
    <w:p>
      <w:pPr>
        <w:pStyle w:val="4"/>
        <w:spacing w:line="560" w:lineRule="exact"/>
        <w:rPr>
          <w:color w:val="auto"/>
        </w:rPr>
      </w:pPr>
      <w:bookmarkStart w:id="12" w:name="_Toc135319900"/>
      <w:r>
        <w:rPr>
          <w:rFonts w:hint="eastAsia"/>
          <w:color w:val="auto"/>
        </w:rPr>
        <w:t>（四）结转结余率</w:t>
      </w:r>
      <w:bookmarkEnd w:id="12"/>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2022年支出预算总额</w:t>
      </w:r>
      <w:r>
        <w:rPr>
          <w:rFonts w:ascii="仿宋_GB2312" w:hAnsi="华文仿宋" w:eastAsia="仿宋_GB2312"/>
          <w:color w:val="auto"/>
          <w:kern w:val="0"/>
          <w:sz w:val="32"/>
          <w:szCs w:val="32"/>
        </w:rPr>
        <w:t>7260.53</w:t>
      </w:r>
      <w:r>
        <w:rPr>
          <w:rFonts w:hint="eastAsia" w:ascii="仿宋_GB2312" w:hAnsi="华文仿宋" w:eastAsia="仿宋_GB2312"/>
          <w:color w:val="auto"/>
          <w:kern w:val="0"/>
          <w:sz w:val="32"/>
          <w:szCs w:val="32"/>
        </w:rPr>
        <w:t>万元，实际支出6879.41万元，结转结余391.12万元，结转结余率5.</w:t>
      </w:r>
      <w:r>
        <w:rPr>
          <w:rFonts w:ascii="仿宋_GB2312" w:hAnsi="华文仿宋" w:eastAsia="仿宋_GB2312"/>
          <w:color w:val="auto"/>
          <w:kern w:val="0"/>
          <w:sz w:val="32"/>
          <w:szCs w:val="32"/>
        </w:rPr>
        <w:t>38</w:t>
      </w:r>
      <w:r>
        <w:rPr>
          <w:rFonts w:hint="eastAsia" w:ascii="仿宋_GB2312" w:hAnsi="华文仿宋" w:eastAsia="仿宋_GB2312"/>
          <w:color w:val="auto"/>
          <w:kern w:val="0"/>
          <w:sz w:val="32"/>
          <w:szCs w:val="32"/>
          <w:lang w:val="en-US" w:eastAsia="zh-CN"/>
        </w:rPr>
        <w:t>%</w:t>
      </w:r>
      <w:r>
        <w:rPr>
          <w:rFonts w:hint="eastAsia" w:ascii="仿宋_GB2312" w:hAnsi="华文仿宋" w:eastAsia="仿宋_GB2312"/>
          <w:color w:val="auto"/>
          <w:kern w:val="0"/>
          <w:sz w:val="32"/>
          <w:szCs w:val="32"/>
        </w:rPr>
        <w:t>。</w:t>
      </w:r>
    </w:p>
    <w:p>
      <w:pPr>
        <w:pStyle w:val="4"/>
        <w:spacing w:line="560" w:lineRule="exact"/>
        <w:rPr>
          <w:color w:val="auto"/>
        </w:rPr>
      </w:pPr>
      <w:bookmarkStart w:id="13" w:name="_Toc135319901"/>
      <w:r>
        <w:rPr>
          <w:rFonts w:hint="eastAsia"/>
          <w:color w:val="auto"/>
        </w:rPr>
        <w:t>（五）部门</w:t>
      </w:r>
      <w:r>
        <w:rPr>
          <w:color w:val="auto"/>
        </w:rPr>
        <w:t>预决算差异率</w:t>
      </w:r>
      <w:bookmarkEnd w:id="13"/>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ascii="仿宋_GB2312" w:hAnsi="华文仿宋" w:eastAsia="仿宋_GB2312"/>
          <w:color w:val="auto"/>
          <w:kern w:val="0"/>
          <w:sz w:val="32"/>
          <w:szCs w:val="32"/>
        </w:rPr>
        <w:t>2022年年初预算收入</w:t>
      </w:r>
      <w:r>
        <w:rPr>
          <w:rFonts w:hint="eastAsia" w:ascii="仿宋_GB2312" w:hAnsi="华文仿宋" w:eastAsia="仿宋_GB2312"/>
          <w:color w:val="auto"/>
          <w:kern w:val="0"/>
          <w:sz w:val="32"/>
          <w:szCs w:val="32"/>
        </w:rPr>
        <w:t>总额6698.57万元，决算收入总额</w:t>
      </w:r>
      <w:r>
        <w:rPr>
          <w:rFonts w:ascii="仿宋_GB2312" w:hAnsi="华文仿宋" w:eastAsia="仿宋_GB2312"/>
          <w:color w:val="auto"/>
          <w:kern w:val="0"/>
          <w:sz w:val="32"/>
          <w:szCs w:val="32"/>
        </w:rPr>
        <w:t>7270.53万元，收入预决算差额571.96万元，差异率8.54%</w:t>
      </w:r>
      <w:r>
        <w:rPr>
          <w:rFonts w:hint="eastAsia" w:ascii="仿宋_GB2312" w:hAnsi="华文仿宋" w:eastAsia="仿宋_GB2312"/>
          <w:color w:val="auto"/>
          <w:kern w:val="0"/>
          <w:sz w:val="32"/>
          <w:szCs w:val="32"/>
          <w:lang w:eastAsia="zh-CN"/>
        </w:rPr>
        <w:t>。</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2022年年初预算支出总额</w:t>
      </w:r>
      <w:r>
        <w:rPr>
          <w:rFonts w:ascii="仿宋_GB2312" w:hAnsi="华文仿宋" w:eastAsia="仿宋_GB2312"/>
          <w:color w:val="auto"/>
          <w:kern w:val="0"/>
          <w:sz w:val="32"/>
          <w:szCs w:val="32"/>
        </w:rPr>
        <w:t>6698.57</w:t>
      </w:r>
      <w:r>
        <w:rPr>
          <w:rFonts w:hint="eastAsia" w:ascii="仿宋_GB2312" w:hAnsi="华文仿宋" w:eastAsia="仿宋_GB2312"/>
          <w:color w:val="auto"/>
          <w:kern w:val="0"/>
          <w:sz w:val="32"/>
          <w:szCs w:val="32"/>
        </w:rPr>
        <w:t>万元，决算支出总额</w:t>
      </w:r>
      <w:r>
        <w:rPr>
          <w:rFonts w:ascii="仿宋_GB2312" w:hAnsi="华文仿宋" w:eastAsia="仿宋_GB2312"/>
          <w:color w:val="auto"/>
          <w:kern w:val="0"/>
          <w:sz w:val="32"/>
          <w:szCs w:val="32"/>
        </w:rPr>
        <w:t>6879.41万元，决算总额比预算</w:t>
      </w:r>
      <w:r>
        <w:rPr>
          <w:rFonts w:hint="eastAsia" w:ascii="仿宋_GB2312" w:hAnsi="华文仿宋" w:eastAsia="仿宋_GB2312"/>
          <w:color w:val="auto"/>
          <w:kern w:val="0"/>
          <w:sz w:val="32"/>
          <w:szCs w:val="32"/>
        </w:rPr>
        <w:t>总额</w:t>
      </w:r>
      <w:r>
        <w:rPr>
          <w:rFonts w:ascii="仿宋_GB2312" w:hAnsi="华文仿宋" w:eastAsia="仿宋_GB2312"/>
          <w:color w:val="auto"/>
          <w:kern w:val="0"/>
          <w:sz w:val="32"/>
          <w:szCs w:val="32"/>
        </w:rPr>
        <w:t>增加180.84万元</w:t>
      </w:r>
      <w:r>
        <w:rPr>
          <w:rFonts w:hint="eastAsia" w:ascii="仿宋_GB2312" w:hAnsi="华文仿宋" w:eastAsia="仿宋_GB2312"/>
          <w:color w:val="auto"/>
          <w:kern w:val="0"/>
          <w:sz w:val="32"/>
          <w:szCs w:val="32"/>
        </w:rPr>
        <w:t>，差异率2</w:t>
      </w:r>
      <w:r>
        <w:rPr>
          <w:rFonts w:ascii="仿宋_GB2312" w:hAnsi="华文仿宋" w:eastAsia="仿宋_GB2312"/>
          <w:color w:val="auto"/>
          <w:kern w:val="0"/>
          <w:sz w:val="32"/>
          <w:szCs w:val="32"/>
        </w:rPr>
        <w:t>.</w:t>
      </w:r>
      <w:r>
        <w:rPr>
          <w:rFonts w:hint="eastAsia" w:ascii="仿宋_GB2312" w:hAnsi="华文仿宋" w:eastAsia="仿宋_GB2312"/>
          <w:color w:val="auto"/>
          <w:kern w:val="0"/>
          <w:sz w:val="32"/>
          <w:szCs w:val="32"/>
          <w:lang w:val="en-US" w:eastAsia="zh-CN"/>
        </w:rPr>
        <w:t>7</w:t>
      </w:r>
      <w:r>
        <w:rPr>
          <w:rFonts w:ascii="仿宋_GB2312" w:hAnsi="华文仿宋" w:eastAsia="仿宋_GB2312"/>
          <w:color w:val="auto"/>
          <w:kern w:val="0"/>
          <w:sz w:val="32"/>
          <w:szCs w:val="32"/>
        </w:rPr>
        <w:t>%</w:t>
      </w:r>
      <w:r>
        <w:rPr>
          <w:rFonts w:hint="eastAsia" w:ascii="仿宋_GB2312" w:hAnsi="华文仿宋" w:eastAsia="仿宋_GB2312"/>
          <w:color w:val="auto"/>
          <w:kern w:val="0"/>
          <w:sz w:val="32"/>
          <w:szCs w:val="32"/>
        </w:rPr>
        <w:t>，预决算基本持平。</w:t>
      </w:r>
    </w:p>
    <w:p>
      <w:pPr>
        <w:pStyle w:val="3"/>
        <w:spacing w:line="560" w:lineRule="exact"/>
        <w:rPr>
          <w:color w:val="auto"/>
        </w:rPr>
      </w:pPr>
      <w:bookmarkStart w:id="14" w:name="_Toc135319902"/>
      <w:r>
        <w:rPr>
          <w:rFonts w:hint="eastAsia"/>
          <w:color w:val="auto"/>
        </w:rPr>
        <w:t>五、总体</w:t>
      </w:r>
      <w:r>
        <w:rPr>
          <w:color w:val="auto"/>
        </w:rPr>
        <w:t>评价结论</w:t>
      </w:r>
      <w:bookmarkEnd w:id="14"/>
    </w:p>
    <w:p>
      <w:pPr>
        <w:pStyle w:val="4"/>
        <w:spacing w:line="560" w:lineRule="exact"/>
        <w:rPr>
          <w:color w:val="auto"/>
        </w:rPr>
      </w:pPr>
      <w:bookmarkStart w:id="15" w:name="_Toc135319903"/>
      <w:r>
        <w:rPr>
          <w:rFonts w:hint="eastAsia"/>
          <w:color w:val="auto"/>
        </w:rPr>
        <w:t>（一）评价</w:t>
      </w:r>
      <w:r>
        <w:rPr>
          <w:color w:val="auto"/>
        </w:rPr>
        <w:t>得分</w:t>
      </w:r>
      <w:r>
        <w:rPr>
          <w:rFonts w:hint="eastAsia"/>
          <w:color w:val="auto"/>
        </w:rPr>
        <w:t>情况</w:t>
      </w:r>
      <w:bookmarkEnd w:id="15"/>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经评价，部门整体支出绩效评价综合得分</w:t>
      </w:r>
      <w:r>
        <w:rPr>
          <w:rFonts w:ascii="仿宋_GB2312" w:hAnsi="华文仿宋" w:eastAsia="仿宋_GB2312"/>
          <w:color w:val="auto"/>
          <w:kern w:val="0"/>
          <w:sz w:val="32"/>
          <w:szCs w:val="32"/>
        </w:rPr>
        <w:t>88.10分，其中，</w:t>
      </w:r>
      <w:r>
        <w:rPr>
          <w:rFonts w:hint="eastAsia" w:ascii="仿宋_GB2312" w:hAnsi="华文仿宋" w:eastAsia="仿宋_GB2312"/>
          <w:color w:val="auto"/>
          <w:kern w:val="0"/>
          <w:sz w:val="32"/>
          <w:szCs w:val="32"/>
        </w:rPr>
        <w:t>预算执行情况</w:t>
      </w:r>
      <w:r>
        <w:rPr>
          <w:rFonts w:ascii="仿宋_GB2312" w:hAnsi="华文仿宋" w:eastAsia="仿宋_GB2312"/>
          <w:color w:val="auto"/>
          <w:kern w:val="0"/>
          <w:sz w:val="32"/>
          <w:szCs w:val="32"/>
        </w:rPr>
        <w:t>18</w:t>
      </w:r>
      <w:r>
        <w:rPr>
          <w:rFonts w:hint="eastAsia" w:ascii="仿宋_GB2312" w:hAnsi="华文仿宋" w:eastAsia="仿宋_GB2312"/>
          <w:color w:val="auto"/>
          <w:kern w:val="0"/>
          <w:sz w:val="32"/>
          <w:szCs w:val="32"/>
        </w:rPr>
        <w:t>.</w:t>
      </w:r>
      <w:r>
        <w:rPr>
          <w:rFonts w:ascii="仿宋_GB2312" w:hAnsi="华文仿宋" w:eastAsia="仿宋_GB2312"/>
          <w:color w:val="auto"/>
          <w:kern w:val="0"/>
          <w:sz w:val="32"/>
          <w:szCs w:val="32"/>
        </w:rPr>
        <w:t>5分（满分20分），</w:t>
      </w:r>
      <w:r>
        <w:rPr>
          <w:rFonts w:hint="eastAsia" w:ascii="仿宋_GB2312" w:hAnsi="华文仿宋" w:eastAsia="仿宋_GB2312"/>
          <w:color w:val="auto"/>
          <w:kern w:val="0"/>
          <w:sz w:val="32"/>
          <w:szCs w:val="32"/>
        </w:rPr>
        <w:t>整体绩效目标实现情况</w:t>
      </w:r>
      <w:r>
        <w:rPr>
          <w:rFonts w:ascii="仿宋_GB2312" w:hAnsi="华文仿宋" w:eastAsia="仿宋_GB2312"/>
          <w:color w:val="auto"/>
          <w:kern w:val="0"/>
          <w:sz w:val="32"/>
          <w:szCs w:val="32"/>
        </w:rPr>
        <w:t>53分（满分60分），</w:t>
      </w:r>
      <w:r>
        <w:rPr>
          <w:rFonts w:hint="eastAsia" w:ascii="仿宋_GB2312" w:hAnsi="华文仿宋" w:eastAsia="仿宋_GB2312"/>
          <w:color w:val="auto"/>
          <w:kern w:val="0"/>
          <w:sz w:val="32"/>
          <w:szCs w:val="32"/>
        </w:rPr>
        <w:t>预算管理情况16.6</w:t>
      </w:r>
      <w:r>
        <w:rPr>
          <w:rFonts w:ascii="仿宋_GB2312" w:hAnsi="华文仿宋" w:eastAsia="仿宋_GB2312"/>
          <w:color w:val="auto"/>
          <w:kern w:val="0"/>
          <w:sz w:val="32"/>
          <w:szCs w:val="32"/>
        </w:rPr>
        <w:t>分（满分20分），绩效评定结论为“</w:t>
      </w:r>
      <w:r>
        <w:rPr>
          <w:rFonts w:hint="eastAsia" w:ascii="仿宋_GB2312" w:hAnsi="华文仿宋" w:eastAsia="仿宋_GB2312"/>
          <w:color w:val="auto"/>
          <w:kern w:val="0"/>
          <w:sz w:val="32"/>
          <w:szCs w:val="32"/>
        </w:rPr>
        <w:t>良好</w:t>
      </w:r>
      <w:r>
        <w:rPr>
          <w:rFonts w:ascii="仿宋_GB2312" w:hAnsi="华文仿宋" w:eastAsia="仿宋_GB2312"/>
          <w:color w:val="auto"/>
          <w:kern w:val="0"/>
          <w:sz w:val="32"/>
          <w:szCs w:val="32"/>
        </w:rPr>
        <w:t>”。</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具体各指标得分情况如表所示。</w:t>
      </w:r>
    </w:p>
    <w:p>
      <w:pPr>
        <w:adjustRightInd w:val="0"/>
        <w:snapToGrid w:val="0"/>
        <w:spacing w:line="560" w:lineRule="exact"/>
        <w:jc w:val="center"/>
        <w:rPr>
          <w:rFonts w:ascii="仿宋_GB2312" w:hAnsi="仿宋" w:eastAsia="仿宋_GB2312" w:cs="仿宋"/>
          <w:color w:val="auto"/>
          <w:sz w:val="24"/>
        </w:rPr>
      </w:pPr>
      <w:r>
        <w:rPr>
          <w:rFonts w:hint="eastAsia" w:ascii="仿宋_GB2312" w:hAnsi="仿宋" w:eastAsia="仿宋_GB2312" w:cs="仿宋"/>
          <w:color w:val="auto"/>
          <w:sz w:val="24"/>
        </w:rPr>
        <w:t>绩效评价各项指标得分情况表</w:t>
      </w:r>
    </w:p>
    <w:tbl>
      <w:tblPr>
        <w:tblStyle w:val="8"/>
        <w:tblW w:w="5000" w:type="pct"/>
        <w:tblInd w:w="0" w:type="dxa"/>
        <w:tblLayout w:type="autofit"/>
        <w:tblCellMar>
          <w:top w:w="0" w:type="dxa"/>
          <w:left w:w="108" w:type="dxa"/>
          <w:bottom w:w="0" w:type="dxa"/>
          <w:right w:w="108" w:type="dxa"/>
        </w:tblCellMar>
      </w:tblPr>
      <w:tblGrid>
        <w:gridCol w:w="1696"/>
        <w:gridCol w:w="2665"/>
        <w:gridCol w:w="1984"/>
        <w:gridCol w:w="2177"/>
      </w:tblGrid>
      <w:tr>
        <w:tblPrEx>
          <w:tblCellMar>
            <w:top w:w="0" w:type="dxa"/>
            <w:left w:w="108" w:type="dxa"/>
            <w:bottom w:w="0" w:type="dxa"/>
            <w:right w:w="108" w:type="dxa"/>
          </w:tblCellMar>
        </w:tblPrEx>
        <w:trPr>
          <w:trHeight w:val="397" w:hRule="exact"/>
        </w:trPr>
        <w:tc>
          <w:tcPr>
            <w:tcW w:w="995" w:type="pct"/>
            <w:tcBorders>
              <w:top w:val="single" w:color="auto" w:sz="4" w:space="0"/>
              <w:left w:val="single" w:color="auto" w:sz="4" w:space="0"/>
              <w:bottom w:val="single" w:color="auto" w:sz="4" w:space="0"/>
              <w:right w:val="single" w:color="auto" w:sz="4" w:space="0"/>
            </w:tcBorders>
            <w:shd w:val="clear" w:color="000000" w:fill="F2F2F2"/>
            <w:vAlign w:val="center"/>
          </w:tcPr>
          <w:p>
            <w:pPr>
              <w:widowControl/>
              <w:jc w:val="center"/>
              <w:rPr>
                <w:rFonts w:ascii="仿宋" w:hAnsi="仿宋" w:eastAsia="仿宋" w:cs="仿宋"/>
                <w:b/>
                <w:bCs/>
                <w:color w:val="auto"/>
                <w:kern w:val="0"/>
                <w:sz w:val="24"/>
              </w:rPr>
            </w:pPr>
            <w:r>
              <w:rPr>
                <w:rFonts w:hint="eastAsia" w:ascii="仿宋" w:hAnsi="仿宋" w:eastAsia="仿宋" w:cs="仿宋"/>
                <w:b/>
                <w:bCs/>
                <w:color w:val="auto"/>
                <w:kern w:val="0"/>
                <w:sz w:val="24"/>
              </w:rPr>
              <w:t>序号</w:t>
            </w:r>
          </w:p>
        </w:tc>
        <w:tc>
          <w:tcPr>
            <w:tcW w:w="1563" w:type="pct"/>
            <w:tcBorders>
              <w:top w:val="single" w:color="auto" w:sz="4" w:space="0"/>
              <w:left w:val="nil"/>
              <w:bottom w:val="single" w:color="auto" w:sz="4" w:space="0"/>
              <w:right w:val="single" w:color="auto" w:sz="4" w:space="0"/>
            </w:tcBorders>
            <w:shd w:val="clear" w:color="000000" w:fill="F2F2F2"/>
            <w:vAlign w:val="center"/>
          </w:tcPr>
          <w:p>
            <w:pPr>
              <w:widowControl/>
              <w:jc w:val="center"/>
              <w:rPr>
                <w:rFonts w:ascii="仿宋" w:hAnsi="仿宋" w:eastAsia="仿宋" w:cs="仿宋"/>
                <w:b/>
                <w:bCs/>
                <w:color w:val="auto"/>
                <w:kern w:val="0"/>
                <w:sz w:val="24"/>
              </w:rPr>
            </w:pPr>
            <w:r>
              <w:rPr>
                <w:rFonts w:hint="eastAsia" w:ascii="仿宋" w:hAnsi="仿宋" w:eastAsia="仿宋" w:cs="仿宋"/>
                <w:b/>
                <w:bCs/>
                <w:color w:val="auto"/>
                <w:kern w:val="0"/>
                <w:sz w:val="24"/>
              </w:rPr>
              <w:t>一级指标</w:t>
            </w:r>
          </w:p>
        </w:tc>
        <w:tc>
          <w:tcPr>
            <w:tcW w:w="1164" w:type="pct"/>
            <w:tcBorders>
              <w:top w:val="single" w:color="auto" w:sz="4" w:space="0"/>
              <w:left w:val="nil"/>
              <w:bottom w:val="single" w:color="auto" w:sz="4" w:space="0"/>
              <w:right w:val="single" w:color="auto" w:sz="4" w:space="0"/>
            </w:tcBorders>
            <w:shd w:val="clear" w:color="000000" w:fill="F2F2F2"/>
            <w:vAlign w:val="center"/>
          </w:tcPr>
          <w:p>
            <w:pPr>
              <w:widowControl/>
              <w:jc w:val="center"/>
              <w:rPr>
                <w:rFonts w:ascii="仿宋" w:hAnsi="仿宋" w:eastAsia="仿宋" w:cs="仿宋"/>
                <w:b/>
                <w:bCs/>
                <w:color w:val="auto"/>
                <w:kern w:val="0"/>
                <w:sz w:val="24"/>
              </w:rPr>
            </w:pPr>
            <w:r>
              <w:rPr>
                <w:rFonts w:hint="eastAsia" w:ascii="仿宋" w:hAnsi="仿宋" w:eastAsia="仿宋" w:cs="仿宋"/>
                <w:b/>
                <w:bCs/>
                <w:color w:val="auto"/>
                <w:kern w:val="0"/>
                <w:sz w:val="24"/>
              </w:rPr>
              <w:t>分值</w:t>
            </w:r>
          </w:p>
        </w:tc>
        <w:tc>
          <w:tcPr>
            <w:tcW w:w="1277" w:type="pct"/>
            <w:tcBorders>
              <w:top w:val="single" w:color="auto" w:sz="4" w:space="0"/>
              <w:left w:val="nil"/>
              <w:bottom w:val="single" w:color="auto" w:sz="4" w:space="0"/>
              <w:right w:val="single" w:color="auto" w:sz="4" w:space="0"/>
            </w:tcBorders>
            <w:shd w:val="clear" w:color="000000" w:fill="F2F2F2"/>
            <w:vAlign w:val="center"/>
          </w:tcPr>
          <w:p>
            <w:pPr>
              <w:widowControl/>
              <w:jc w:val="center"/>
              <w:rPr>
                <w:rFonts w:ascii="仿宋" w:hAnsi="仿宋" w:eastAsia="仿宋" w:cs="仿宋"/>
                <w:b/>
                <w:bCs/>
                <w:color w:val="auto"/>
                <w:kern w:val="0"/>
                <w:sz w:val="24"/>
              </w:rPr>
            </w:pPr>
            <w:r>
              <w:rPr>
                <w:rFonts w:hint="eastAsia" w:ascii="仿宋" w:hAnsi="仿宋" w:eastAsia="仿宋" w:cs="仿宋"/>
                <w:b/>
                <w:bCs/>
                <w:color w:val="auto"/>
                <w:kern w:val="0"/>
                <w:sz w:val="24"/>
              </w:rPr>
              <w:t>得分</w:t>
            </w:r>
          </w:p>
        </w:tc>
      </w:tr>
      <w:tr>
        <w:tblPrEx>
          <w:tblCellMar>
            <w:top w:w="0" w:type="dxa"/>
            <w:left w:w="108" w:type="dxa"/>
            <w:bottom w:w="0" w:type="dxa"/>
            <w:right w:w="108" w:type="dxa"/>
          </w:tblCellMar>
        </w:tblPrEx>
        <w:trPr>
          <w:trHeight w:val="397" w:hRule="exact"/>
        </w:trPr>
        <w:tc>
          <w:tcPr>
            <w:tcW w:w="995"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 w:hAnsi="仿宋" w:eastAsia="仿宋" w:cs="仿宋"/>
                <w:color w:val="auto"/>
                <w:kern w:val="0"/>
                <w:sz w:val="24"/>
              </w:rPr>
            </w:pPr>
            <w:r>
              <w:rPr>
                <w:rFonts w:hint="eastAsia" w:ascii="仿宋" w:hAnsi="仿宋" w:eastAsia="仿宋" w:cs="仿宋"/>
                <w:color w:val="auto"/>
                <w:kern w:val="0"/>
                <w:sz w:val="24"/>
              </w:rPr>
              <w:t>一</w:t>
            </w:r>
          </w:p>
        </w:tc>
        <w:tc>
          <w:tcPr>
            <w:tcW w:w="1563" w:type="pct"/>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仿宋"/>
                <w:color w:val="auto"/>
                <w:kern w:val="0"/>
                <w:sz w:val="24"/>
              </w:rPr>
            </w:pPr>
            <w:r>
              <w:rPr>
                <w:rFonts w:hint="eastAsia" w:ascii="仿宋" w:hAnsi="仿宋" w:eastAsia="仿宋" w:cs="仿宋"/>
                <w:color w:val="auto"/>
                <w:kern w:val="0"/>
                <w:sz w:val="24"/>
              </w:rPr>
              <w:t>预算执行情况</w:t>
            </w:r>
          </w:p>
        </w:tc>
        <w:tc>
          <w:tcPr>
            <w:tcW w:w="1164"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仿宋"/>
                <w:color w:val="auto"/>
                <w:kern w:val="0"/>
                <w:sz w:val="24"/>
              </w:rPr>
            </w:pPr>
            <w:r>
              <w:rPr>
                <w:rFonts w:hint="eastAsia" w:ascii="仿宋" w:hAnsi="仿宋" w:eastAsia="仿宋" w:cs="仿宋"/>
                <w:color w:val="auto"/>
                <w:kern w:val="0"/>
                <w:sz w:val="24"/>
              </w:rPr>
              <w:t>20</w:t>
            </w:r>
          </w:p>
        </w:tc>
        <w:tc>
          <w:tcPr>
            <w:tcW w:w="1277"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仿宋"/>
                <w:color w:val="auto"/>
                <w:kern w:val="0"/>
                <w:sz w:val="24"/>
              </w:rPr>
            </w:pPr>
            <w:r>
              <w:rPr>
                <w:rFonts w:hint="eastAsia" w:ascii="仿宋" w:hAnsi="仿宋" w:eastAsia="仿宋" w:cs="仿宋"/>
                <w:color w:val="auto"/>
                <w:kern w:val="0"/>
                <w:sz w:val="24"/>
              </w:rPr>
              <w:t>18</w:t>
            </w:r>
            <w:r>
              <w:rPr>
                <w:rFonts w:ascii="仿宋" w:hAnsi="仿宋" w:eastAsia="仿宋" w:cs="仿宋"/>
                <w:color w:val="auto"/>
                <w:kern w:val="0"/>
                <w:sz w:val="24"/>
              </w:rPr>
              <w:t>.5</w:t>
            </w:r>
          </w:p>
        </w:tc>
      </w:tr>
      <w:tr>
        <w:tblPrEx>
          <w:tblCellMar>
            <w:top w:w="0" w:type="dxa"/>
            <w:left w:w="108" w:type="dxa"/>
            <w:bottom w:w="0" w:type="dxa"/>
            <w:right w:w="108" w:type="dxa"/>
          </w:tblCellMar>
        </w:tblPrEx>
        <w:trPr>
          <w:trHeight w:val="397" w:hRule="exact"/>
        </w:trPr>
        <w:tc>
          <w:tcPr>
            <w:tcW w:w="995"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 w:hAnsi="仿宋" w:eastAsia="仿宋" w:cs="仿宋"/>
                <w:color w:val="auto"/>
                <w:kern w:val="0"/>
                <w:sz w:val="24"/>
              </w:rPr>
            </w:pPr>
            <w:r>
              <w:rPr>
                <w:rFonts w:hint="eastAsia" w:ascii="仿宋" w:hAnsi="仿宋" w:eastAsia="仿宋" w:cs="仿宋"/>
                <w:color w:val="auto"/>
                <w:kern w:val="0"/>
                <w:sz w:val="24"/>
              </w:rPr>
              <w:t>二</w:t>
            </w:r>
          </w:p>
        </w:tc>
        <w:tc>
          <w:tcPr>
            <w:tcW w:w="1563" w:type="pct"/>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仿宋"/>
                <w:color w:val="auto"/>
                <w:kern w:val="0"/>
                <w:sz w:val="24"/>
              </w:rPr>
            </w:pPr>
            <w:r>
              <w:rPr>
                <w:rFonts w:hint="eastAsia" w:ascii="仿宋" w:hAnsi="仿宋" w:eastAsia="仿宋" w:cs="仿宋"/>
                <w:color w:val="auto"/>
                <w:kern w:val="0"/>
                <w:sz w:val="24"/>
              </w:rPr>
              <w:t>整体绩效目标实现情况</w:t>
            </w:r>
          </w:p>
        </w:tc>
        <w:tc>
          <w:tcPr>
            <w:tcW w:w="1164"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仿宋"/>
                <w:color w:val="auto"/>
                <w:kern w:val="0"/>
                <w:sz w:val="24"/>
              </w:rPr>
            </w:pPr>
            <w:r>
              <w:rPr>
                <w:rFonts w:hint="eastAsia" w:ascii="仿宋" w:hAnsi="仿宋" w:eastAsia="仿宋" w:cs="仿宋"/>
                <w:color w:val="auto"/>
                <w:kern w:val="0"/>
                <w:sz w:val="24"/>
              </w:rPr>
              <w:t>60</w:t>
            </w:r>
          </w:p>
        </w:tc>
        <w:tc>
          <w:tcPr>
            <w:tcW w:w="1277"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仿宋"/>
                <w:color w:val="auto"/>
                <w:kern w:val="0"/>
                <w:sz w:val="24"/>
              </w:rPr>
            </w:pPr>
            <w:r>
              <w:rPr>
                <w:rFonts w:ascii="仿宋" w:hAnsi="仿宋" w:eastAsia="仿宋" w:cs="仿宋"/>
                <w:color w:val="auto"/>
                <w:kern w:val="0"/>
                <w:sz w:val="24"/>
              </w:rPr>
              <w:t>53</w:t>
            </w:r>
          </w:p>
        </w:tc>
      </w:tr>
      <w:tr>
        <w:tblPrEx>
          <w:tblCellMar>
            <w:top w:w="0" w:type="dxa"/>
            <w:left w:w="108" w:type="dxa"/>
            <w:bottom w:w="0" w:type="dxa"/>
            <w:right w:w="108" w:type="dxa"/>
          </w:tblCellMar>
        </w:tblPrEx>
        <w:trPr>
          <w:trHeight w:val="397" w:hRule="exact"/>
        </w:trPr>
        <w:tc>
          <w:tcPr>
            <w:tcW w:w="995"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 w:hAnsi="仿宋" w:eastAsia="仿宋" w:cs="仿宋"/>
                <w:color w:val="auto"/>
                <w:kern w:val="0"/>
                <w:sz w:val="24"/>
              </w:rPr>
            </w:pPr>
            <w:r>
              <w:rPr>
                <w:rFonts w:hint="eastAsia" w:ascii="仿宋" w:hAnsi="仿宋" w:eastAsia="仿宋" w:cs="仿宋"/>
                <w:color w:val="auto"/>
                <w:kern w:val="0"/>
                <w:sz w:val="24"/>
              </w:rPr>
              <w:t>三</w:t>
            </w:r>
          </w:p>
        </w:tc>
        <w:tc>
          <w:tcPr>
            <w:tcW w:w="1563" w:type="pct"/>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仿宋"/>
                <w:color w:val="auto"/>
                <w:kern w:val="0"/>
                <w:sz w:val="24"/>
              </w:rPr>
            </w:pPr>
            <w:r>
              <w:rPr>
                <w:rFonts w:hint="eastAsia" w:ascii="仿宋" w:hAnsi="仿宋" w:eastAsia="仿宋" w:cs="仿宋"/>
                <w:color w:val="auto"/>
                <w:kern w:val="0"/>
                <w:sz w:val="24"/>
              </w:rPr>
              <w:t>预算管理情况</w:t>
            </w:r>
          </w:p>
        </w:tc>
        <w:tc>
          <w:tcPr>
            <w:tcW w:w="1164"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仿宋"/>
                <w:color w:val="auto"/>
                <w:kern w:val="0"/>
                <w:sz w:val="24"/>
              </w:rPr>
            </w:pPr>
            <w:r>
              <w:rPr>
                <w:rFonts w:hint="eastAsia" w:ascii="仿宋" w:hAnsi="仿宋" w:eastAsia="仿宋" w:cs="仿宋"/>
                <w:color w:val="auto"/>
                <w:kern w:val="0"/>
                <w:sz w:val="24"/>
              </w:rPr>
              <w:t>20</w:t>
            </w:r>
          </w:p>
        </w:tc>
        <w:tc>
          <w:tcPr>
            <w:tcW w:w="1277"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仿宋"/>
                <w:color w:val="auto"/>
                <w:kern w:val="0"/>
                <w:sz w:val="24"/>
              </w:rPr>
            </w:pPr>
            <w:r>
              <w:rPr>
                <w:rFonts w:hint="eastAsia" w:ascii="仿宋" w:hAnsi="仿宋" w:eastAsia="仿宋" w:cs="仿宋"/>
                <w:color w:val="auto"/>
                <w:kern w:val="0"/>
                <w:sz w:val="24"/>
              </w:rPr>
              <w:t>16.6</w:t>
            </w:r>
          </w:p>
        </w:tc>
      </w:tr>
      <w:tr>
        <w:tblPrEx>
          <w:tblCellMar>
            <w:top w:w="0" w:type="dxa"/>
            <w:left w:w="108" w:type="dxa"/>
            <w:bottom w:w="0" w:type="dxa"/>
            <w:right w:w="108" w:type="dxa"/>
          </w:tblCellMar>
        </w:tblPrEx>
        <w:trPr>
          <w:trHeight w:val="397" w:hRule="exact"/>
        </w:trPr>
        <w:tc>
          <w:tcPr>
            <w:tcW w:w="2558" w:type="pct"/>
            <w:gridSpan w:val="2"/>
            <w:tcBorders>
              <w:top w:val="single" w:color="auto" w:sz="4" w:space="0"/>
              <w:left w:val="single" w:color="auto" w:sz="4" w:space="0"/>
              <w:bottom w:val="single" w:color="auto" w:sz="4" w:space="0"/>
              <w:right w:val="single" w:color="000000" w:sz="4" w:space="0"/>
            </w:tcBorders>
            <w:shd w:val="clear" w:color="000000" w:fill="F2F2F2"/>
            <w:noWrap/>
            <w:vAlign w:val="center"/>
          </w:tcPr>
          <w:p>
            <w:pPr>
              <w:widowControl/>
              <w:jc w:val="center"/>
              <w:rPr>
                <w:rFonts w:ascii="仿宋" w:hAnsi="仿宋" w:eastAsia="仿宋" w:cs="仿宋"/>
                <w:color w:val="auto"/>
                <w:kern w:val="0"/>
                <w:sz w:val="24"/>
              </w:rPr>
            </w:pPr>
            <w:r>
              <w:rPr>
                <w:rFonts w:hint="eastAsia" w:ascii="仿宋" w:hAnsi="仿宋" w:eastAsia="仿宋" w:cs="仿宋"/>
                <w:color w:val="auto"/>
                <w:kern w:val="0"/>
                <w:sz w:val="24"/>
              </w:rPr>
              <w:t>总计</w:t>
            </w:r>
          </w:p>
        </w:tc>
        <w:tc>
          <w:tcPr>
            <w:tcW w:w="1164" w:type="pct"/>
            <w:tcBorders>
              <w:top w:val="nil"/>
              <w:left w:val="nil"/>
              <w:bottom w:val="single" w:color="auto" w:sz="4" w:space="0"/>
              <w:right w:val="single" w:color="auto" w:sz="4" w:space="0"/>
            </w:tcBorders>
            <w:shd w:val="clear" w:color="000000" w:fill="F2F2F2"/>
            <w:noWrap/>
            <w:vAlign w:val="center"/>
          </w:tcPr>
          <w:p>
            <w:pPr>
              <w:widowControl/>
              <w:jc w:val="center"/>
              <w:rPr>
                <w:rFonts w:ascii="仿宋" w:hAnsi="仿宋" w:eastAsia="仿宋" w:cs="仿宋"/>
                <w:color w:val="auto"/>
                <w:kern w:val="0"/>
                <w:sz w:val="24"/>
              </w:rPr>
            </w:pPr>
            <w:r>
              <w:rPr>
                <w:rFonts w:hint="eastAsia" w:ascii="仿宋" w:hAnsi="仿宋" w:eastAsia="仿宋" w:cs="仿宋"/>
                <w:color w:val="auto"/>
                <w:kern w:val="0"/>
                <w:sz w:val="24"/>
              </w:rPr>
              <w:t>100</w:t>
            </w:r>
          </w:p>
        </w:tc>
        <w:tc>
          <w:tcPr>
            <w:tcW w:w="1277" w:type="pct"/>
            <w:tcBorders>
              <w:top w:val="nil"/>
              <w:left w:val="nil"/>
              <w:bottom w:val="single" w:color="auto" w:sz="4" w:space="0"/>
              <w:right w:val="single" w:color="auto" w:sz="4" w:space="0"/>
            </w:tcBorders>
            <w:shd w:val="clear" w:color="000000" w:fill="F2F2F2"/>
            <w:noWrap/>
            <w:vAlign w:val="center"/>
          </w:tcPr>
          <w:p>
            <w:pPr>
              <w:widowControl/>
              <w:jc w:val="center"/>
              <w:rPr>
                <w:rFonts w:ascii="仿宋" w:hAnsi="仿宋" w:eastAsia="仿宋" w:cs="仿宋"/>
                <w:color w:val="auto"/>
                <w:kern w:val="0"/>
                <w:sz w:val="24"/>
              </w:rPr>
            </w:pPr>
            <w:r>
              <w:rPr>
                <w:rFonts w:hint="eastAsia" w:ascii="仿宋" w:hAnsi="仿宋" w:eastAsia="仿宋" w:cs="仿宋"/>
                <w:color w:val="auto"/>
                <w:kern w:val="0"/>
                <w:sz w:val="24"/>
              </w:rPr>
              <w:t>8</w:t>
            </w:r>
            <w:r>
              <w:rPr>
                <w:rFonts w:ascii="仿宋" w:hAnsi="仿宋" w:eastAsia="仿宋" w:cs="仿宋"/>
                <w:color w:val="auto"/>
                <w:kern w:val="0"/>
                <w:sz w:val="24"/>
              </w:rPr>
              <w:t>8</w:t>
            </w:r>
            <w:r>
              <w:rPr>
                <w:rFonts w:hint="eastAsia" w:ascii="仿宋" w:hAnsi="仿宋" w:eastAsia="仿宋" w:cs="仿宋"/>
                <w:color w:val="auto"/>
                <w:kern w:val="0"/>
                <w:sz w:val="24"/>
              </w:rPr>
              <w:t>.</w:t>
            </w:r>
            <w:r>
              <w:rPr>
                <w:rFonts w:ascii="仿宋" w:hAnsi="仿宋" w:eastAsia="仿宋" w:cs="仿宋"/>
                <w:color w:val="auto"/>
                <w:kern w:val="0"/>
                <w:sz w:val="24"/>
              </w:rPr>
              <w:t>1</w:t>
            </w:r>
            <w:r>
              <w:rPr>
                <w:rFonts w:hint="eastAsia" w:ascii="仿宋" w:hAnsi="仿宋" w:eastAsia="仿宋" w:cs="仿宋"/>
                <w:color w:val="auto"/>
                <w:kern w:val="0"/>
                <w:sz w:val="24"/>
              </w:rPr>
              <w:t>0</w:t>
            </w:r>
          </w:p>
        </w:tc>
      </w:tr>
    </w:tbl>
    <w:p>
      <w:pPr>
        <w:pStyle w:val="4"/>
        <w:spacing w:line="560" w:lineRule="exact"/>
        <w:rPr>
          <w:color w:val="auto"/>
        </w:rPr>
      </w:pPr>
      <w:bookmarkStart w:id="16" w:name="_Toc135319904"/>
      <w:r>
        <w:rPr>
          <w:rFonts w:hint="eastAsia"/>
          <w:color w:val="auto"/>
        </w:rPr>
        <w:t>（二）存在的问题及原因分析</w:t>
      </w:r>
      <w:bookmarkEnd w:id="16"/>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（1）部分项目前期论证力度不够，项目经费技术方案研讨论证、预算评审等决策过程不够充分，</w:t>
      </w:r>
      <w:r>
        <w:rPr>
          <w:rFonts w:hint="eastAsia" w:ascii="仿宋_GB2312" w:hAnsi="华文仿宋" w:eastAsia="仿宋_GB2312"/>
          <w:color w:val="auto"/>
          <w:kern w:val="0"/>
          <w:sz w:val="32"/>
          <w:szCs w:val="32"/>
          <w:lang w:val="en-US" w:eastAsia="zh-CN"/>
        </w:rPr>
        <w:t>缺少</w:t>
      </w:r>
      <w:r>
        <w:rPr>
          <w:rFonts w:hint="eastAsia" w:ascii="仿宋_GB2312" w:hAnsi="华文仿宋" w:eastAsia="仿宋_GB2312"/>
          <w:color w:val="auto"/>
          <w:kern w:val="0"/>
          <w:sz w:val="32"/>
          <w:szCs w:val="32"/>
        </w:rPr>
        <w:t>材料支撑。</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（2）项目绩效目标表欠科学，部门整体绩效目标表和部分项目的绩效目标表填报不够规范，绩效指标不能完整反映目标。部分项目绩效目标的设定不够具体、细致，可量化程度不足。</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hint="eastAsia" w:ascii="仿宋_GB2312" w:hAnsi="华文仿宋" w:eastAsia="仿宋_GB2312"/>
          <w:color w:val="auto"/>
          <w:kern w:val="0"/>
          <w:sz w:val="32"/>
          <w:szCs w:val="32"/>
        </w:rPr>
        <w:t>（3）部门绩效产出、效果以及项目的过程资料不充分。部分项目未及时、完整的收集项目过程的文件资料，导致项目决策、管理以及绩效信息未能完整、充分体现。未及时开展满意度调查，部分已开展满意度调查的其科学性不足，满意度调查</w:t>
      </w:r>
      <w:r>
        <w:rPr>
          <w:rFonts w:hint="eastAsia" w:ascii="仿宋_GB2312" w:hAnsi="华文仿宋" w:eastAsia="仿宋_GB2312"/>
          <w:color w:val="auto"/>
          <w:kern w:val="0"/>
          <w:sz w:val="32"/>
          <w:szCs w:val="32"/>
          <w:lang w:val="en-US" w:eastAsia="zh-CN"/>
        </w:rPr>
        <w:t>样本量</w:t>
      </w:r>
      <w:r>
        <w:rPr>
          <w:rFonts w:hint="eastAsia" w:ascii="仿宋_GB2312" w:hAnsi="华文仿宋" w:eastAsia="仿宋_GB2312"/>
          <w:color w:val="auto"/>
          <w:kern w:val="0"/>
          <w:sz w:val="32"/>
          <w:szCs w:val="32"/>
        </w:rPr>
        <w:t>较单一，覆盖面不够广泛，未进行满意度调查结果应用。</w:t>
      </w:r>
    </w:p>
    <w:p>
      <w:pPr>
        <w:pStyle w:val="3"/>
        <w:spacing w:line="560" w:lineRule="exact"/>
        <w:rPr>
          <w:color w:val="auto"/>
        </w:rPr>
      </w:pPr>
      <w:bookmarkStart w:id="17" w:name="_Toc135319905"/>
      <w:r>
        <w:rPr>
          <w:rFonts w:hint="eastAsia"/>
          <w:color w:val="auto"/>
        </w:rPr>
        <w:t>六、措施建议</w:t>
      </w:r>
      <w:bookmarkEnd w:id="17"/>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ascii="仿宋_GB2312" w:hAnsi="华文仿宋" w:eastAsia="仿宋_GB2312"/>
          <w:color w:val="auto"/>
          <w:kern w:val="0"/>
          <w:sz w:val="32"/>
          <w:szCs w:val="32"/>
        </w:rPr>
        <w:t>1.</w:t>
      </w:r>
      <w:r>
        <w:rPr>
          <w:rFonts w:hint="eastAsia" w:ascii="仿宋_GB2312" w:hAnsi="华文仿宋" w:eastAsia="仿宋_GB2312"/>
          <w:color w:val="auto"/>
          <w:kern w:val="0"/>
          <w:sz w:val="32"/>
          <w:szCs w:val="32"/>
        </w:rPr>
        <w:t>加强各类支出的事前统筹和论证。结合单位中长期规划，提前筹划下一年度任务，明确拟开展重点工作，科学设定项目绩效目标；加强绩效管理相关文件学习，提高绩效指标的细化、量化水平。</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ascii="仿宋_GB2312" w:hAnsi="华文仿宋" w:eastAsia="仿宋_GB2312"/>
          <w:color w:val="auto"/>
          <w:kern w:val="0"/>
          <w:sz w:val="32"/>
          <w:szCs w:val="32"/>
        </w:rPr>
        <w:t>2.</w:t>
      </w:r>
      <w:r>
        <w:rPr>
          <w:rFonts w:hint="eastAsia" w:ascii="仿宋_GB2312" w:hAnsi="华文仿宋" w:eastAsia="仿宋_GB2312"/>
          <w:color w:val="auto"/>
          <w:kern w:val="0"/>
          <w:sz w:val="32"/>
          <w:szCs w:val="32"/>
        </w:rPr>
        <w:t>强化各部门绩效管理理念，把财政绩效评价作为一项重要工作来抓。加强项目绩效目标表科学填报。及时撰写部门整体绩效报告，深入推进绩效管理工作，提升部门整体绩效管理水平。梳理单位年度履职履责工作情况，健全完善绩效相关制度办法，切实加强组织领导。</w:t>
      </w:r>
    </w:p>
    <w:p>
      <w:pPr>
        <w:spacing w:before="62" w:beforeLines="20" w:after="62" w:afterLines="20" w:line="560" w:lineRule="exact"/>
        <w:ind w:firstLine="640" w:firstLineChars="200"/>
        <w:rPr>
          <w:rFonts w:ascii="仿宋_GB2312" w:hAnsi="华文仿宋" w:eastAsia="仿宋_GB2312"/>
          <w:color w:val="auto"/>
          <w:kern w:val="0"/>
          <w:sz w:val="32"/>
          <w:szCs w:val="32"/>
        </w:rPr>
      </w:pPr>
      <w:r>
        <w:rPr>
          <w:rFonts w:ascii="仿宋_GB2312" w:hAnsi="华文仿宋" w:eastAsia="仿宋_GB2312"/>
          <w:color w:val="auto"/>
          <w:kern w:val="0"/>
          <w:sz w:val="32"/>
          <w:szCs w:val="32"/>
        </w:rPr>
        <w:t>3.</w:t>
      </w:r>
      <w:r>
        <w:rPr>
          <w:rFonts w:hint="eastAsia" w:ascii="仿宋_GB2312" w:hAnsi="华文仿宋" w:eastAsia="仿宋_GB2312"/>
          <w:color w:val="auto"/>
          <w:kern w:val="0"/>
          <w:sz w:val="32"/>
          <w:szCs w:val="32"/>
        </w:rPr>
        <w:t>规范绩效材料归集。提高绩效管理理念，完善绩效资料整理归集，充分体现单位的绩效实现情况。</w:t>
      </w:r>
    </w:p>
    <w:p>
      <w:pPr>
        <w:pStyle w:val="3"/>
        <w:spacing w:line="560" w:lineRule="exact"/>
        <w:rPr>
          <w:rFonts w:hint="eastAsia"/>
          <w:color w:val="auto"/>
        </w:rPr>
      </w:pPr>
      <w:bookmarkStart w:id="18" w:name="_Toc135319906"/>
      <w:r>
        <w:rPr>
          <w:rFonts w:hint="eastAsia"/>
          <w:color w:val="auto"/>
        </w:rPr>
        <w:t>附表：评分表</w:t>
      </w:r>
      <w:bookmarkEnd w:id="18"/>
    </w:p>
    <w:p>
      <w:pPr>
        <w:spacing w:line="560" w:lineRule="exact"/>
        <w:ind w:firstLine="640" w:firstLineChars="200"/>
        <w:rPr>
          <w:rFonts w:ascii="仿宋" w:hAnsi="仿宋" w:eastAsia="仿宋"/>
          <w:color w:val="auto"/>
          <w:sz w:val="32"/>
          <w:szCs w:val="32"/>
        </w:rPr>
        <w:sectPr>
          <w:pgSz w:w="11906" w:h="16838"/>
          <w:pgMar w:top="1440" w:right="1800" w:bottom="1440" w:left="1800" w:header="851" w:footer="992" w:gutter="0"/>
          <w:pgNumType w:start="1"/>
          <w:cols w:space="425" w:num="1"/>
          <w:docGrid w:type="lines" w:linePitch="312" w:charSpace="0"/>
        </w:sectPr>
      </w:pPr>
    </w:p>
    <w:p>
      <w:pPr>
        <w:pStyle w:val="5"/>
      </w:pPr>
    </w:p>
    <w:p>
      <w:pPr>
        <w:tabs>
          <w:tab w:val="left" w:pos="1838"/>
        </w:tabs>
        <w:rPr>
          <w:rFonts w:ascii="仿宋" w:hAnsi="仿宋" w:eastAsia="仿宋"/>
          <w:color w:val="auto"/>
          <w:sz w:val="32"/>
          <w:szCs w:val="32"/>
        </w:rPr>
      </w:pPr>
      <w:r>
        <w:rPr>
          <w:rFonts w:ascii="仿宋" w:hAnsi="仿宋" w:eastAsia="仿宋"/>
          <w:color w:val="auto"/>
          <w:sz w:val="32"/>
          <w:szCs w:val="32"/>
        </w:rPr>
        <w:tab/>
      </w:r>
    </w:p>
    <w:tbl>
      <w:tblPr>
        <w:tblStyle w:val="8"/>
        <w:tblW w:w="5000" w:type="pct"/>
        <w:tblInd w:w="0" w:type="dxa"/>
        <w:tblLayout w:type="autofit"/>
        <w:tblCellMar>
          <w:top w:w="0" w:type="dxa"/>
          <w:left w:w="108" w:type="dxa"/>
          <w:bottom w:w="0" w:type="dxa"/>
          <w:right w:w="108" w:type="dxa"/>
        </w:tblCellMar>
      </w:tblPr>
      <w:tblGrid>
        <w:gridCol w:w="1124"/>
        <w:gridCol w:w="1130"/>
        <w:gridCol w:w="1351"/>
        <w:gridCol w:w="1322"/>
        <w:gridCol w:w="982"/>
        <w:gridCol w:w="828"/>
        <w:gridCol w:w="828"/>
        <w:gridCol w:w="3658"/>
        <w:gridCol w:w="3563"/>
      </w:tblGrid>
      <w:tr>
        <w:tblPrEx>
          <w:tblCellMar>
            <w:top w:w="0" w:type="dxa"/>
            <w:left w:w="108" w:type="dxa"/>
            <w:bottom w:w="0" w:type="dxa"/>
            <w:right w:w="108" w:type="dxa"/>
          </w:tblCellMar>
        </w:tblPrEx>
        <w:trPr>
          <w:cantSplit/>
          <w:trHeight w:val="90" w:hRule="atLeast"/>
        </w:trPr>
        <w:tc>
          <w:tcPr>
            <w:tcW w:w="5000" w:type="pct"/>
            <w:gridSpan w:val="9"/>
            <w:tcBorders>
              <w:top w:val="nil"/>
              <w:left w:val="nil"/>
              <w:bottom w:val="single" w:color="auto" w:sz="4" w:space="0"/>
              <w:right w:val="nil"/>
            </w:tcBorders>
            <w:noWrap/>
            <w:vAlign w:val="bottom"/>
          </w:tcPr>
          <w:p>
            <w:pPr>
              <w:widowControl/>
              <w:jc w:val="center"/>
              <w:rPr>
                <w:rFonts w:ascii="方正小标宋简体" w:hAnsi="黑体" w:eastAsia="方正小标宋简体" w:cs="宋体"/>
                <w:color w:val="auto"/>
                <w:kern w:val="0"/>
                <w:sz w:val="44"/>
                <w:szCs w:val="44"/>
              </w:rPr>
            </w:pPr>
            <w:r>
              <w:rPr>
                <w:rFonts w:hint="eastAsia" w:ascii="方正小标宋简体" w:hAnsi="黑体" w:eastAsia="方正小标宋简体" w:cs="宋体"/>
                <w:color w:val="auto"/>
                <w:kern w:val="0"/>
                <w:sz w:val="44"/>
                <w:szCs w:val="44"/>
              </w:rPr>
              <w:t>2022年部门整体绩效评价指标体系评分表</w:t>
            </w:r>
          </w:p>
        </w:tc>
      </w:tr>
      <w:tr>
        <w:tblPrEx>
          <w:tblCellMar>
            <w:top w:w="0" w:type="dxa"/>
            <w:left w:w="108" w:type="dxa"/>
            <w:bottom w:w="0" w:type="dxa"/>
            <w:right w:w="108" w:type="dxa"/>
          </w:tblCellMar>
        </w:tblPrEx>
        <w:trPr>
          <w:cantSplit/>
          <w:trHeight w:val="470" w:hRule="atLeast"/>
        </w:trPr>
        <w:tc>
          <w:tcPr>
            <w:tcW w:w="5000" w:type="pct"/>
            <w:gridSpan w:val="9"/>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一、</w:t>
            </w:r>
            <w:r>
              <w:rPr>
                <w:rFonts w:hint="eastAsia" w:ascii="宋体" w:hAnsi="宋体" w:cs="宋体"/>
                <w:color w:val="auto"/>
                <w:kern w:val="0"/>
                <w:sz w:val="20"/>
                <w:szCs w:val="20"/>
              </w:rPr>
              <w:t>当年预算执行情况（20分）</w:t>
            </w:r>
          </w:p>
        </w:tc>
      </w:tr>
      <w:tr>
        <w:tblPrEx>
          <w:tblCellMar>
            <w:top w:w="0" w:type="dxa"/>
            <w:left w:w="108" w:type="dxa"/>
            <w:bottom w:w="0" w:type="dxa"/>
            <w:right w:w="108" w:type="dxa"/>
          </w:tblCellMar>
        </w:tblPrEx>
        <w:trPr>
          <w:cantSplit/>
          <w:trHeight w:val="660" w:hRule="atLeast"/>
        </w:trPr>
        <w:tc>
          <w:tcPr>
            <w:tcW w:w="38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一</w:t>
            </w:r>
            <w:r>
              <w:rPr>
                <w:rFonts w:ascii="宋体" w:hAnsi="宋体" w:cs="宋体"/>
                <w:color w:val="auto"/>
                <w:kern w:val="0"/>
                <w:sz w:val="20"/>
                <w:szCs w:val="20"/>
              </w:rPr>
              <w:t>级指标</w:t>
            </w:r>
            <w:r>
              <w:rPr>
                <w:rFonts w:hint="eastAsia" w:ascii="宋体" w:hAnsi="宋体" w:cs="宋体"/>
                <w:color w:val="auto"/>
                <w:kern w:val="0"/>
                <w:sz w:val="20"/>
                <w:szCs w:val="20"/>
              </w:rPr>
              <w:t>　</w:t>
            </w:r>
          </w:p>
        </w:tc>
        <w:tc>
          <w:tcPr>
            <w:tcW w:w="38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二</w:t>
            </w:r>
            <w:r>
              <w:rPr>
                <w:rFonts w:ascii="宋体" w:hAnsi="宋体" w:cs="宋体"/>
                <w:color w:val="auto"/>
                <w:kern w:val="0"/>
                <w:sz w:val="20"/>
                <w:szCs w:val="20"/>
              </w:rPr>
              <w:t>级指标</w:t>
            </w:r>
            <w:r>
              <w:rPr>
                <w:rFonts w:hint="eastAsia" w:ascii="宋体" w:hAnsi="宋体" w:cs="宋体"/>
                <w:color w:val="auto"/>
                <w:kern w:val="0"/>
                <w:sz w:val="20"/>
                <w:szCs w:val="20"/>
              </w:rPr>
              <w:t>　</w:t>
            </w:r>
          </w:p>
        </w:tc>
        <w:tc>
          <w:tcPr>
            <w:tcW w:w="45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预算数（万元）</w:t>
            </w:r>
          </w:p>
        </w:tc>
        <w:tc>
          <w:tcPr>
            <w:tcW w:w="446"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执行数（万元）</w:t>
            </w:r>
          </w:p>
        </w:tc>
        <w:tc>
          <w:tcPr>
            <w:tcW w:w="33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预算执行率</w:t>
            </w:r>
          </w:p>
        </w:tc>
        <w:tc>
          <w:tcPr>
            <w:tcW w:w="28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分值</w:t>
            </w:r>
          </w:p>
        </w:tc>
        <w:tc>
          <w:tcPr>
            <w:tcW w:w="28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得分</w:t>
            </w:r>
          </w:p>
        </w:tc>
        <w:tc>
          <w:tcPr>
            <w:tcW w:w="123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指标解释</w:t>
            </w:r>
          </w:p>
        </w:tc>
        <w:tc>
          <w:tcPr>
            <w:tcW w:w="1202"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评分标准</w:t>
            </w:r>
          </w:p>
        </w:tc>
      </w:tr>
      <w:tr>
        <w:tblPrEx>
          <w:tblCellMar>
            <w:top w:w="0" w:type="dxa"/>
            <w:left w:w="108" w:type="dxa"/>
            <w:bottom w:w="0" w:type="dxa"/>
            <w:right w:w="108" w:type="dxa"/>
          </w:tblCellMar>
        </w:tblPrEx>
        <w:trPr>
          <w:cantSplit/>
          <w:trHeight w:val="881" w:hRule="atLeast"/>
        </w:trPr>
        <w:tc>
          <w:tcPr>
            <w:tcW w:w="380" w:type="pct"/>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当年预算执行情况（20）</w:t>
            </w:r>
          </w:p>
        </w:tc>
        <w:tc>
          <w:tcPr>
            <w:tcW w:w="38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资金总体</w:t>
            </w:r>
          </w:p>
        </w:tc>
        <w:tc>
          <w:tcPr>
            <w:tcW w:w="45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7260.534811</w:t>
            </w:r>
          </w:p>
        </w:tc>
        <w:tc>
          <w:tcPr>
            <w:tcW w:w="446"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6879.418089</w:t>
            </w:r>
          </w:p>
        </w:tc>
        <w:tc>
          <w:tcPr>
            <w:tcW w:w="33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r>
              <w:rPr>
                <w:rFonts w:ascii="宋体" w:hAnsi="宋体" w:cs="宋体"/>
                <w:color w:val="auto"/>
                <w:kern w:val="0"/>
                <w:sz w:val="20"/>
                <w:szCs w:val="20"/>
              </w:rPr>
              <w:t>94.75%</w:t>
            </w:r>
            <w:r>
              <w:rPr>
                <w:rFonts w:hint="eastAsia" w:ascii="宋体" w:hAnsi="宋体" w:cs="宋体"/>
                <w:color w:val="auto"/>
                <w:kern w:val="0"/>
                <w:sz w:val="18"/>
                <w:szCs w:val="18"/>
              </w:rPr>
              <w:t>　</w:t>
            </w:r>
          </w:p>
        </w:tc>
        <w:tc>
          <w:tcPr>
            <w:tcW w:w="280"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20</w:t>
            </w:r>
          </w:p>
        </w:tc>
        <w:tc>
          <w:tcPr>
            <w:tcW w:w="280"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18</w:t>
            </w:r>
            <w:r>
              <w:rPr>
                <w:rFonts w:hint="eastAsia" w:ascii="宋体" w:hAnsi="宋体" w:cs="宋体"/>
                <w:color w:val="auto"/>
                <w:kern w:val="0"/>
                <w:sz w:val="20"/>
                <w:szCs w:val="20"/>
              </w:rPr>
              <w:t>．5　</w:t>
            </w:r>
          </w:p>
        </w:tc>
        <w:tc>
          <w:tcPr>
            <w:tcW w:w="1237"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部门全年执行数与全年预算数的比率。资金总体=基本支出+项目支出+其他</w:t>
            </w:r>
          </w:p>
        </w:tc>
        <w:tc>
          <w:tcPr>
            <w:tcW w:w="1202" w:type="pct"/>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①得分一档最高不能超过该指标分值上限（20分）。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cantSplit/>
          <w:trHeight w:val="1230"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基本支出</w:t>
            </w:r>
          </w:p>
        </w:tc>
        <w:tc>
          <w:tcPr>
            <w:tcW w:w="45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4660.601765</w:t>
            </w:r>
          </w:p>
        </w:tc>
        <w:tc>
          <w:tcPr>
            <w:tcW w:w="446"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4597.462898</w:t>
            </w:r>
          </w:p>
        </w:tc>
        <w:tc>
          <w:tcPr>
            <w:tcW w:w="33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w:t>
            </w:r>
          </w:p>
        </w:tc>
        <w:tc>
          <w:tcPr>
            <w:tcW w:w="28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280" w:type="pct"/>
            <w:vMerge w:val="continue"/>
            <w:tcBorders>
              <w:top w:val="single" w:color="auto" w:sz="4" w:space="0"/>
              <w:left w:val="nil"/>
              <w:bottom w:val="single" w:color="auto" w:sz="4" w:space="0"/>
              <w:right w:val="nil"/>
            </w:tcBorders>
            <w:vAlign w:val="center"/>
          </w:tcPr>
          <w:p>
            <w:pPr>
              <w:widowControl/>
              <w:jc w:val="left"/>
              <w:rPr>
                <w:rFonts w:ascii="宋体" w:hAnsi="宋体" w:cs="宋体"/>
                <w:color w:val="auto"/>
                <w:kern w:val="0"/>
                <w:sz w:val="20"/>
                <w:szCs w:val="20"/>
              </w:rPr>
            </w:pPr>
          </w:p>
        </w:tc>
        <w:tc>
          <w:tcPr>
            <w:tcW w:w="123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0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r>
      <w:tr>
        <w:tblPrEx>
          <w:tblCellMar>
            <w:top w:w="0" w:type="dxa"/>
            <w:left w:w="108" w:type="dxa"/>
            <w:bottom w:w="0" w:type="dxa"/>
            <w:right w:w="108" w:type="dxa"/>
          </w:tblCellMar>
        </w:tblPrEx>
        <w:trPr>
          <w:cantSplit/>
          <w:trHeight w:val="1338"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项目支出</w:t>
            </w:r>
          </w:p>
        </w:tc>
        <w:tc>
          <w:tcPr>
            <w:tcW w:w="45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2599.933046</w:t>
            </w:r>
          </w:p>
        </w:tc>
        <w:tc>
          <w:tcPr>
            <w:tcW w:w="446"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2281.955191</w:t>
            </w:r>
          </w:p>
        </w:tc>
        <w:tc>
          <w:tcPr>
            <w:tcW w:w="33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28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280" w:type="pct"/>
            <w:vMerge w:val="continue"/>
            <w:tcBorders>
              <w:top w:val="single" w:color="auto" w:sz="4" w:space="0"/>
              <w:left w:val="nil"/>
              <w:bottom w:val="single" w:color="auto" w:sz="4" w:space="0"/>
              <w:right w:val="nil"/>
            </w:tcBorders>
            <w:vAlign w:val="center"/>
          </w:tcPr>
          <w:p>
            <w:pPr>
              <w:widowControl/>
              <w:jc w:val="left"/>
              <w:rPr>
                <w:rFonts w:ascii="宋体" w:hAnsi="宋体" w:cs="宋体"/>
                <w:color w:val="auto"/>
                <w:kern w:val="0"/>
                <w:sz w:val="20"/>
                <w:szCs w:val="20"/>
              </w:rPr>
            </w:pPr>
          </w:p>
        </w:tc>
        <w:tc>
          <w:tcPr>
            <w:tcW w:w="123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0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r>
      <w:tr>
        <w:tblPrEx>
          <w:tblCellMar>
            <w:top w:w="0" w:type="dxa"/>
            <w:left w:w="108" w:type="dxa"/>
            <w:bottom w:w="0" w:type="dxa"/>
            <w:right w:w="108" w:type="dxa"/>
          </w:tblCellMar>
        </w:tblPrEx>
        <w:trPr>
          <w:cantSplit/>
          <w:trHeight w:val="2136"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其他</w:t>
            </w:r>
          </w:p>
        </w:tc>
        <w:tc>
          <w:tcPr>
            <w:tcW w:w="457"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　</w:t>
            </w:r>
            <w:r>
              <w:rPr>
                <w:rFonts w:ascii="宋体" w:hAnsi="宋体" w:cs="宋体"/>
                <w:color w:val="auto"/>
                <w:kern w:val="0"/>
                <w:sz w:val="20"/>
                <w:szCs w:val="20"/>
              </w:rPr>
              <w:t>0</w:t>
            </w:r>
          </w:p>
        </w:tc>
        <w:tc>
          <w:tcPr>
            <w:tcW w:w="446"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0</w:t>
            </w:r>
          </w:p>
        </w:tc>
        <w:tc>
          <w:tcPr>
            <w:tcW w:w="33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28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280" w:type="pct"/>
            <w:vMerge w:val="continue"/>
            <w:tcBorders>
              <w:top w:val="single" w:color="auto" w:sz="4" w:space="0"/>
              <w:left w:val="nil"/>
              <w:bottom w:val="single" w:color="auto" w:sz="4" w:space="0"/>
              <w:right w:val="nil"/>
            </w:tcBorders>
            <w:vAlign w:val="center"/>
          </w:tcPr>
          <w:p>
            <w:pPr>
              <w:widowControl/>
              <w:jc w:val="left"/>
              <w:rPr>
                <w:rFonts w:ascii="宋体" w:hAnsi="宋体" w:cs="宋体"/>
                <w:color w:val="auto"/>
                <w:kern w:val="0"/>
                <w:sz w:val="20"/>
                <w:szCs w:val="20"/>
              </w:rPr>
            </w:pPr>
          </w:p>
        </w:tc>
        <w:tc>
          <w:tcPr>
            <w:tcW w:w="123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0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r>
      <w:tr>
        <w:tblPrEx>
          <w:tblCellMar>
            <w:top w:w="0" w:type="dxa"/>
            <w:left w:w="108" w:type="dxa"/>
            <w:bottom w:w="0" w:type="dxa"/>
            <w:right w:w="108" w:type="dxa"/>
          </w:tblCellMar>
        </w:tblPrEx>
        <w:trPr>
          <w:cantSplit/>
          <w:trHeight w:val="479" w:hRule="atLeast"/>
        </w:trPr>
        <w:tc>
          <w:tcPr>
            <w:tcW w:w="5000" w:type="pct"/>
            <w:gridSpan w:val="9"/>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二</w:t>
            </w:r>
            <w:r>
              <w:rPr>
                <w:rFonts w:ascii="宋体" w:hAnsi="宋体" w:cs="宋体"/>
                <w:color w:val="auto"/>
                <w:kern w:val="0"/>
                <w:sz w:val="18"/>
                <w:szCs w:val="18"/>
              </w:rPr>
              <w:t>、</w:t>
            </w:r>
            <w:r>
              <w:rPr>
                <w:rFonts w:hint="eastAsia" w:ascii="宋体" w:hAnsi="宋体" w:cs="宋体"/>
                <w:color w:val="auto"/>
                <w:kern w:val="0"/>
                <w:sz w:val="20"/>
                <w:szCs w:val="20"/>
              </w:rPr>
              <w:t>整体绩效目标实现情况（60分）</w:t>
            </w:r>
          </w:p>
        </w:tc>
      </w:tr>
      <w:tr>
        <w:tblPrEx>
          <w:tblCellMar>
            <w:top w:w="0" w:type="dxa"/>
            <w:left w:w="108" w:type="dxa"/>
            <w:bottom w:w="0" w:type="dxa"/>
            <w:right w:w="108" w:type="dxa"/>
          </w:tblCellMar>
        </w:tblPrEx>
        <w:trPr>
          <w:cantSplit/>
          <w:trHeight w:val="499" w:hRule="atLeast"/>
        </w:trPr>
        <w:tc>
          <w:tcPr>
            <w:tcW w:w="38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一</w:t>
            </w:r>
            <w:r>
              <w:rPr>
                <w:rFonts w:ascii="宋体" w:hAnsi="宋体" w:cs="宋体"/>
                <w:color w:val="auto"/>
                <w:kern w:val="0"/>
                <w:sz w:val="20"/>
                <w:szCs w:val="20"/>
              </w:rPr>
              <w:t>级指标</w:t>
            </w:r>
          </w:p>
        </w:tc>
        <w:tc>
          <w:tcPr>
            <w:tcW w:w="382"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二</w:t>
            </w:r>
            <w:r>
              <w:rPr>
                <w:rFonts w:ascii="宋体" w:hAnsi="宋体" w:cs="宋体"/>
                <w:color w:val="auto"/>
                <w:kern w:val="0"/>
                <w:sz w:val="20"/>
                <w:szCs w:val="20"/>
              </w:rPr>
              <w:t>级指标</w:t>
            </w:r>
            <w:r>
              <w:rPr>
                <w:rFonts w:hint="eastAsia" w:ascii="宋体" w:hAnsi="宋体" w:cs="宋体"/>
                <w:color w:val="auto"/>
                <w:kern w:val="0"/>
                <w:sz w:val="20"/>
                <w:szCs w:val="20"/>
              </w:rPr>
              <w:t>　</w:t>
            </w:r>
          </w:p>
        </w:tc>
        <w:tc>
          <w:tcPr>
            <w:tcW w:w="457"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三</w:t>
            </w:r>
            <w:r>
              <w:rPr>
                <w:rFonts w:ascii="宋体" w:hAnsi="宋体" w:cs="宋体"/>
                <w:color w:val="auto"/>
                <w:kern w:val="0"/>
                <w:sz w:val="20"/>
                <w:szCs w:val="20"/>
              </w:rPr>
              <w:t>级指标</w:t>
            </w:r>
            <w:r>
              <w:rPr>
                <w:rFonts w:hint="eastAsia" w:ascii="宋体" w:hAnsi="宋体" w:cs="宋体"/>
                <w:color w:val="auto"/>
                <w:kern w:val="0"/>
                <w:sz w:val="20"/>
                <w:szCs w:val="20"/>
              </w:rPr>
              <w:t>　</w:t>
            </w:r>
          </w:p>
        </w:tc>
        <w:tc>
          <w:tcPr>
            <w:tcW w:w="446"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指标值</w:t>
            </w:r>
          </w:p>
        </w:tc>
        <w:tc>
          <w:tcPr>
            <w:tcW w:w="33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完成值</w:t>
            </w:r>
          </w:p>
        </w:tc>
        <w:tc>
          <w:tcPr>
            <w:tcW w:w="28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分值</w:t>
            </w:r>
          </w:p>
        </w:tc>
        <w:tc>
          <w:tcPr>
            <w:tcW w:w="280" w:type="pct"/>
            <w:tcBorders>
              <w:top w:val="single" w:color="auto" w:sz="4" w:space="0"/>
              <w:left w:val="nil"/>
              <w:bottom w:val="single" w:color="auto" w:sz="4" w:space="0"/>
              <w:right w:val="nil"/>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得分</w:t>
            </w:r>
          </w:p>
        </w:tc>
        <w:tc>
          <w:tcPr>
            <w:tcW w:w="123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指标</w:t>
            </w:r>
            <w:r>
              <w:rPr>
                <w:rFonts w:ascii="宋体" w:hAnsi="宋体" w:cs="宋体"/>
                <w:bCs/>
                <w:color w:val="auto"/>
                <w:kern w:val="0"/>
                <w:sz w:val="18"/>
                <w:szCs w:val="18"/>
              </w:rPr>
              <w:t>解释</w:t>
            </w:r>
          </w:p>
        </w:tc>
        <w:tc>
          <w:tcPr>
            <w:tcW w:w="120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评</w:t>
            </w:r>
            <w:r>
              <w:rPr>
                <w:rFonts w:ascii="宋体" w:hAnsi="宋体" w:cs="宋体"/>
                <w:color w:val="auto"/>
                <w:kern w:val="0"/>
                <w:sz w:val="18"/>
                <w:szCs w:val="18"/>
              </w:rPr>
              <w:t>分标准</w:t>
            </w:r>
          </w:p>
        </w:tc>
      </w:tr>
      <w:tr>
        <w:trPr>
          <w:cantSplit/>
          <w:trHeight w:val="1196" w:hRule="atLeast"/>
        </w:trPr>
        <w:tc>
          <w:tcPr>
            <w:tcW w:w="38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整体绩效目标实现情况（60）</w:t>
            </w:r>
          </w:p>
        </w:tc>
        <w:tc>
          <w:tcPr>
            <w:tcW w:w="382" w:type="pct"/>
            <w:vMerge w:val="restart"/>
            <w:tcBorders>
              <w:top w:val="single" w:color="auto" w:sz="4" w:space="0"/>
              <w:left w:val="nil"/>
              <w:right w:val="single" w:color="auto" w:sz="4" w:space="0"/>
            </w:tcBorders>
            <w:vAlign w:val="center"/>
          </w:tcPr>
          <w:p>
            <w:pPr>
              <w:widowControl/>
              <w:jc w:val="center"/>
              <w:rPr>
                <w:rFonts w:ascii="宋体" w:hAnsi="宋体" w:cs="宋体"/>
                <w:color w:val="auto"/>
                <w:kern w:val="0"/>
                <w:sz w:val="20"/>
                <w:szCs w:val="20"/>
              </w:rPr>
            </w:pPr>
          </w:p>
          <w:p>
            <w:pPr>
              <w:jc w:val="center"/>
              <w:rPr>
                <w:rFonts w:ascii="宋体" w:hAnsi="宋体" w:cs="宋体"/>
                <w:color w:val="auto"/>
                <w:kern w:val="0"/>
                <w:sz w:val="20"/>
                <w:szCs w:val="20"/>
              </w:rPr>
            </w:pPr>
            <w:r>
              <w:rPr>
                <w:rFonts w:hint="eastAsia" w:ascii="宋体" w:hAnsi="宋体" w:cs="宋体"/>
                <w:color w:val="auto"/>
                <w:kern w:val="0"/>
                <w:sz w:val="20"/>
                <w:szCs w:val="20"/>
              </w:rPr>
              <w:t>产出（30）</w:t>
            </w:r>
          </w:p>
        </w:tc>
        <w:tc>
          <w:tcPr>
            <w:tcW w:w="457"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p>
          <w:p>
            <w:pPr>
              <w:jc w:val="center"/>
              <w:rPr>
                <w:rFonts w:ascii="宋体" w:hAnsi="宋体" w:cs="宋体"/>
                <w:color w:val="auto"/>
                <w:kern w:val="0"/>
                <w:sz w:val="20"/>
                <w:szCs w:val="20"/>
              </w:rPr>
            </w:pPr>
            <w:r>
              <w:rPr>
                <w:rFonts w:hint="eastAsia" w:ascii="宋体" w:hAnsi="宋体" w:cs="宋体"/>
                <w:color w:val="auto"/>
                <w:kern w:val="0"/>
                <w:sz w:val="20"/>
                <w:szCs w:val="20"/>
              </w:rPr>
              <w:t>产出数量</w:t>
            </w:r>
          </w:p>
        </w:tc>
        <w:tc>
          <w:tcPr>
            <w:tcW w:w="446" w:type="pct"/>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0"/>
                <w:szCs w:val="20"/>
              </w:rPr>
            </w:pPr>
            <w:r>
              <w:rPr>
                <w:rFonts w:hint="eastAsia" w:ascii="宋体" w:hAnsi="宋体" w:cs="宋体"/>
                <w:color w:val="auto"/>
                <w:kern w:val="0"/>
                <w:sz w:val="20"/>
                <w:szCs w:val="20"/>
              </w:rPr>
              <w:t>完成各项年度工作任务。</w:t>
            </w:r>
          </w:p>
        </w:tc>
        <w:tc>
          <w:tcPr>
            <w:tcW w:w="330" w:type="pct"/>
            <w:tcBorders>
              <w:top w:val="single" w:color="auto" w:sz="4" w:space="0"/>
              <w:left w:val="nil"/>
              <w:bottom w:val="single" w:color="auto" w:sz="4" w:space="0"/>
              <w:right w:val="single" w:color="auto" w:sz="4" w:space="0"/>
            </w:tcBorders>
            <w:vAlign w:val="center"/>
          </w:tcPr>
          <w:p>
            <w:pPr>
              <w:jc w:val="center"/>
              <w:rPr>
                <w:rFonts w:ascii="宋体" w:hAnsi="宋体" w:cs="宋体"/>
                <w:color w:val="auto"/>
                <w:kern w:val="0"/>
                <w:sz w:val="20"/>
                <w:szCs w:val="20"/>
              </w:rPr>
            </w:pPr>
            <w:r>
              <w:rPr>
                <w:rFonts w:hint="eastAsia" w:ascii="宋体" w:hAnsi="宋体" w:cs="宋体"/>
                <w:color w:val="auto"/>
                <w:kern w:val="0"/>
                <w:sz w:val="20"/>
                <w:szCs w:val="20"/>
              </w:rPr>
              <w:t>完成　</w:t>
            </w:r>
          </w:p>
        </w:tc>
        <w:tc>
          <w:tcPr>
            <w:tcW w:w="280" w:type="pct"/>
            <w:vMerge w:val="restar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p>
          <w:p>
            <w:pPr>
              <w:jc w:val="center"/>
              <w:rPr>
                <w:rFonts w:ascii="宋体" w:hAnsi="宋体" w:cs="宋体"/>
                <w:color w:val="auto"/>
                <w:kern w:val="0"/>
                <w:sz w:val="20"/>
                <w:szCs w:val="20"/>
              </w:rPr>
            </w:pPr>
            <w:r>
              <w:rPr>
                <w:rFonts w:hint="eastAsia" w:ascii="宋体" w:hAnsi="宋体" w:cs="宋体"/>
                <w:color w:val="auto"/>
                <w:kern w:val="0"/>
                <w:sz w:val="20"/>
                <w:szCs w:val="20"/>
              </w:rPr>
              <w:t>30</w:t>
            </w:r>
          </w:p>
        </w:tc>
        <w:tc>
          <w:tcPr>
            <w:tcW w:w="280" w:type="pct"/>
            <w:vMerge w:val="restart"/>
            <w:tcBorders>
              <w:top w:val="single" w:color="auto" w:sz="4" w:space="0"/>
              <w:left w:val="nil"/>
              <w:right w:val="nil"/>
            </w:tcBorders>
            <w:vAlign w:val="center"/>
          </w:tcPr>
          <w:p>
            <w:pPr>
              <w:jc w:val="center"/>
              <w:rPr>
                <w:rFonts w:ascii="宋体" w:hAnsi="宋体" w:cs="宋体"/>
                <w:color w:val="auto"/>
                <w:kern w:val="0"/>
                <w:sz w:val="20"/>
                <w:szCs w:val="20"/>
              </w:rPr>
            </w:pPr>
            <w:r>
              <w:rPr>
                <w:rFonts w:ascii="宋体" w:hAnsi="宋体" w:cs="宋体"/>
                <w:color w:val="auto"/>
                <w:kern w:val="0"/>
                <w:sz w:val="20"/>
                <w:szCs w:val="20"/>
              </w:rPr>
              <w:t>26</w:t>
            </w:r>
          </w:p>
        </w:tc>
        <w:tc>
          <w:tcPr>
            <w:tcW w:w="1237"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产出数量</w:t>
            </w:r>
            <w:r>
              <w:rPr>
                <w:rFonts w:hint="eastAsia" w:ascii="宋体" w:hAnsi="宋体" w:cs="宋体"/>
                <w:color w:val="auto"/>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auto"/>
                <w:kern w:val="0"/>
                <w:sz w:val="18"/>
                <w:szCs w:val="18"/>
              </w:rPr>
              <w:t>产出质量</w:t>
            </w:r>
            <w:r>
              <w:rPr>
                <w:rFonts w:hint="eastAsia" w:ascii="宋体" w:hAnsi="宋体" w:cs="宋体"/>
                <w:color w:val="auto"/>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auto"/>
                <w:kern w:val="0"/>
                <w:sz w:val="18"/>
                <w:szCs w:val="18"/>
              </w:rPr>
              <w:t>产出进度：</w:t>
            </w:r>
            <w:r>
              <w:rPr>
                <w:rFonts w:hint="eastAsia" w:ascii="宋体" w:hAnsi="宋体" w:cs="宋体"/>
                <w:color w:val="auto"/>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auto"/>
                <w:kern w:val="0"/>
                <w:sz w:val="18"/>
                <w:szCs w:val="18"/>
              </w:rPr>
              <w:t>产出成本</w:t>
            </w:r>
            <w:r>
              <w:rPr>
                <w:rFonts w:hint="eastAsia" w:ascii="宋体" w:hAnsi="宋体" w:cs="宋体"/>
                <w:color w:val="auto"/>
                <w:kern w:val="0"/>
                <w:sz w:val="18"/>
                <w:szCs w:val="18"/>
              </w:rPr>
              <w:t>：单位产出相对于上一年度的节约额；②单位产出相对于市场同类产出的节约额；③部门公用经费的控制情况。</w:t>
            </w:r>
          </w:p>
        </w:tc>
        <w:tc>
          <w:tcPr>
            <w:tcW w:w="1202"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部门根据本单位情况自行确定并选择产出指标，合理确定各项指标权重。可量化的指标按照比率*单项指标分值即为该指标得分。如果不能定量评价，则以定性的方式进行自评。</w:t>
            </w:r>
          </w:p>
          <w:p>
            <w:pPr>
              <w:widowControl/>
              <w:jc w:val="left"/>
              <w:rPr>
                <w:rFonts w:ascii="宋体" w:hAnsi="宋体" w:cs="宋体"/>
                <w:color w:val="auto"/>
                <w:kern w:val="0"/>
                <w:sz w:val="18"/>
                <w:szCs w:val="18"/>
              </w:rPr>
            </w:pPr>
          </w:p>
        </w:tc>
      </w:tr>
      <w:tr>
        <w:tblPrEx>
          <w:tblCellMar>
            <w:top w:w="0" w:type="dxa"/>
            <w:left w:w="108" w:type="dxa"/>
            <w:bottom w:w="0" w:type="dxa"/>
            <w:right w:w="108" w:type="dxa"/>
          </w:tblCellMar>
        </w:tblPrEx>
        <w:trPr>
          <w:cantSplit/>
          <w:trHeight w:val="1130"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vMerge w:val="continue"/>
            <w:tcBorders>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457"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产出质量</w:t>
            </w:r>
          </w:p>
        </w:tc>
        <w:tc>
          <w:tcPr>
            <w:tcW w:w="446" w:type="pct"/>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0"/>
                <w:szCs w:val="20"/>
              </w:rPr>
            </w:pPr>
            <w:r>
              <w:rPr>
                <w:rFonts w:hint="eastAsia" w:ascii="宋体" w:hAnsi="宋体" w:cs="宋体"/>
                <w:color w:val="auto"/>
                <w:kern w:val="0"/>
                <w:sz w:val="20"/>
                <w:szCs w:val="20"/>
              </w:rPr>
              <w:t>根据各项任务要求，保质保量完成</w:t>
            </w:r>
          </w:p>
        </w:tc>
        <w:tc>
          <w:tcPr>
            <w:tcW w:w="330" w:type="pct"/>
            <w:tcBorders>
              <w:top w:val="single" w:color="auto" w:sz="4" w:space="0"/>
              <w:left w:val="nil"/>
              <w:bottom w:val="single" w:color="auto" w:sz="4" w:space="0"/>
              <w:right w:val="single" w:color="auto" w:sz="4" w:space="0"/>
            </w:tcBorders>
            <w:vAlign w:val="center"/>
          </w:tcPr>
          <w:p>
            <w:pPr>
              <w:jc w:val="center"/>
              <w:rPr>
                <w:color w:val="auto"/>
              </w:rPr>
            </w:pPr>
            <w:r>
              <w:rPr>
                <w:rFonts w:hint="eastAsia" w:ascii="宋体" w:hAnsi="宋体" w:cs="宋体"/>
                <w:color w:val="auto"/>
                <w:kern w:val="0"/>
                <w:sz w:val="20"/>
                <w:szCs w:val="20"/>
              </w:rPr>
              <w:t>完成</w:t>
            </w:r>
          </w:p>
        </w:tc>
        <w:tc>
          <w:tcPr>
            <w:tcW w:w="280" w:type="pct"/>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280" w:type="pct"/>
            <w:vMerge w:val="continue"/>
            <w:tcBorders>
              <w:left w:val="nil"/>
              <w:right w:val="nil"/>
            </w:tcBorders>
            <w:noWrap/>
            <w:vAlign w:val="center"/>
          </w:tcPr>
          <w:p>
            <w:pPr>
              <w:widowControl/>
              <w:jc w:val="center"/>
              <w:rPr>
                <w:rFonts w:ascii="宋体" w:hAnsi="宋体" w:cs="宋体"/>
                <w:color w:val="auto"/>
                <w:kern w:val="0"/>
                <w:sz w:val="20"/>
                <w:szCs w:val="20"/>
              </w:rPr>
            </w:pPr>
          </w:p>
        </w:tc>
        <w:tc>
          <w:tcPr>
            <w:tcW w:w="123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0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r>
      <w:tr>
        <w:tblPrEx>
          <w:tblCellMar>
            <w:top w:w="0" w:type="dxa"/>
            <w:left w:w="108" w:type="dxa"/>
            <w:bottom w:w="0" w:type="dxa"/>
            <w:right w:w="108" w:type="dxa"/>
          </w:tblCellMar>
        </w:tblPrEx>
        <w:trPr>
          <w:cantSplit/>
          <w:trHeight w:val="1258"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vMerge w:val="continue"/>
            <w:tcBorders>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457" w:type="pct"/>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产出进度</w:t>
            </w:r>
          </w:p>
        </w:tc>
        <w:tc>
          <w:tcPr>
            <w:tcW w:w="446" w:type="pct"/>
            <w:tcBorders>
              <w:top w:val="nil"/>
              <w:left w:val="nil"/>
              <w:bottom w:val="single" w:color="auto" w:sz="4" w:space="0"/>
              <w:right w:val="single" w:color="auto" w:sz="4" w:space="0"/>
            </w:tcBorders>
            <w:vAlign w:val="center"/>
          </w:tcPr>
          <w:p>
            <w:pPr>
              <w:rPr>
                <w:color w:val="auto"/>
                <w:sz w:val="20"/>
                <w:szCs w:val="20"/>
              </w:rPr>
            </w:pPr>
            <w:r>
              <w:rPr>
                <w:rFonts w:hint="eastAsia" w:ascii="宋体" w:hAnsi="宋体" w:cs="宋体"/>
                <w:color w:val="auto"/>
                <w:kern w:val="0"/>
                <w:sz w:val="20"/>
                <w:szCs w:val="20"/>
              </w:rPr>
              <w:t>按照预算批复，完成全年收支指标及工作任务。根据市财政进度要求执行。　</w:t>
            </w:r>
          </w:p>
        </w:tc>
        <w:tc>
          <w:tcPr>
            <w:tcW w:w="330" w:type="pct"/>
            <w:tcBorders>
              <w:top w:val="nil"/>
              <w:left w:val="nil"/>
              <w:bottom w:val="single" w:color="auto" w:sz="4" w:space="0"/>
              <w:right w:val="single" w:color="auto" w:sz="4" w:space="0"/>
            </w:tcBorders>
            <w:vAlign w:val="center"/>
          </w:tcPr>
          <w:p>
            <w:pPr>
              <w:jc w:val="center"/>
              <w:rPr>
                <w:color w:val="auto"/>
              </w:rPr>
            </w:pPr>
            <w:r>
              <w:rPr>
                <w:rFonts w:hint="eastAsia" w:ascii="宋体" w:hAnsi="宋体" w:cs="宋体"/>
                <w:color w:val="auto"/>
                <w:kern w:val="0"/>
                <w:sz w:val="20"/>
                <w:szCs w:val="20"/>
              </w:rPr>
              <w:t>完成</w:t>
            </w:r>
          </w:p>
        </w:tc>
        <w:tc>
          <w:tcPr>
            <w:tcW w:w="280" w:type="pct"/>
            <w:vMerge w:val="continue"/>
            <w:tcBorders>
              <w:left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280" w:type="pct"/>
            <w:vMerge w:val="continue"/>
            <w:tcBorders>
              <w:left w:val="nil"/>
              <w:right w:val="nil"/>
            </w:tcBorders>
            <w:noWrap/>
            <w:vAlign w:val="center"/>
          </w:tcPr>
          <w:p>
            <w:pPr>
              <w:widowControl/>
              <w:jc w:val="center"/>
              <w:rPr>
                <w:rFonts w:ascii="宋体" w:hAnsi="宋体" w:cs="宋体"/>
                <w:color w:val="auto"/>
                <w:kern w:val="0"/>
                <w:sz w:val="20"/>
                <w:szCs w:val="20"/>
              </w:rPr>
            </w:pPr>
          </w:p>
        </w:tc>
        <w:tc>
          <w:tcPr>
            <w:tcW w:w="123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0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r>
      <w:tr>
        <w:tblPrEx>
          <w:tblCellMar>
            <w:top w:w="0" w:type="dxa"/>
            <w:left w:w="108" w:type="dxa"/>
            <w:bottom w:w="0" w:type="dxa"/>
            <w:right w:w="108" w:type="dxa"/>
          </w:tblCellMar>
        </w:tblPrEx>
        <w:trPr>
          <w:cantSplit/>
          <w:trHeight w:val="975"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457" w:type="pct"/>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产出成本</w:t>
            </w:r>
          </w:p>
        </w:tc>
        <w:tc>
          <w:tcPr>
            <w:tcW w:w="446" w:type="pct"/>
            <w:tcBorders>
              <w:top w:val="nil"/>
              <w:left w:val="nil"/>
              <w:bottom w:val="single" w:color="auto" w:sz="4" w:space="0"/>
              <w:right w:val="single" w:color="auto" w:sz="4" w:space="0"/>
            </w:tcBorders>
            <w:vAlign w:val="center"/>
          </w:tcPr>
          <w:p>
            <w:pPr>
              <w:rPr>
                <w:rFonts w:ascii="宋体" w:hAnsi="宋体" w:cs="宋体"/>
                <w:color w:val="auto"/>
                <w:kern w:val="0"/>
                <w:sz w:val="20"/>
                <w:szCs w:val="20"/>
              </w:rPr>
            </w:pPr>
            <w:r>
              <w:rPr>
                <w:rFonts w:hint="eastAsia" w:ascii="宋体" w:hAnsi="宋体" w:cs="宋体"/>
                <w:color w:val="auto"/>
                <w:kern w:val="0"/>
                <w:sz w:val="20"/>
                <w:szCs w:val="20"/>
              </w:rPr>
              <w:t>严格按照要求编制预算，严格执行预算，少花钱多办事，严格控制实施成本。　</w:t>
            </w:r>
          </w:p>
        </w:tc>
        <w:tc>
          <w:tcPr>
            <w:tcW w:w="330" w:type="pct"/>
            <w:tcBorders>
              <w:top w:val="nil"/>
              <w:left w:val="nil"/>
              <w:bottom w:val="single" w:color="auto" w:sz="4" w:space="0"/>
              <w:right w:val="single" w:color="auto" w:sz="4" w:space="0"/>
            </w:tcBorders>
            <w:vAlign w:val="center"/>
          </w:tcPr>
          <w:p>
            <w:pPr>
              <w:jc w:val="center"/>
              <w:rPr>
                <w:color w:val="auto"/>
              </w:rPr>
            </w:pPr>
            <w:r>
              <w:rPr>
                <w:rFonts w:hint="eastAsia" w:ascii="宋体" w:hAnsi="宋体" w:cs="宋体"/>
                <w:color w:val="auto"/>
                <w:kern w:val="0"/>
                <w:sz w:val="20"/>
                <w:szCs w:val="20"/>
              </w:rPr>
              <w:t>完成</w:t>
            </w:r>
          </w:p>
        </w:tc>
        <w:tc>
          <w:tcPr>
            <w:tcW w:w="280" w:type="pct"/>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280" w:type="pct"/>
            <w:vMerge w:val="continue"/>
            <w:tcBorders>
              <w:left w:val="nil"/>
              <w:bottom w:val="single" w:color="auto" w:sz="4" w:space="0"/>
              <w:right w:val="nil"/>
            </w:tcBorders>
            <w:noWrap/>
            <w:vAlign w:val="center"/>
          </w:tcPr>
          <w:p>
            <w:pPr>
              <w:widowControl/>
              <w:jc w:val="center"/>
              <w:rPr>
                <w:rFonts w:ascii="宋体" w:hAnsi="宋体" w:cs="宋体"/>
                <w:color w:val="auto"/>
                <w:kern w:val="0"/>
                <w:sz w:val="20"/>
                <w:szCs w:val="20"/>
              </w:rPr>
            </w:pPr>
          </w:p>
        </w:tc>
        <w:tc>
          <w:tcPr>
            <w:tcW w:w="123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0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r>
      <w:tr>
        <w:tblPrEx>
          <w:tblCellMar>
            <w:top w:w="0" w:type="dxa"/>
            <w:left w:w="108" w:type="dxa"/>
            <w:bottom w:w="0" w:type="dxa"/>
            <w:right w:w="108" w:type="dxa"/>
          </w:tblCellMar>
        </w:tblPrEx>
        <w:trPr>
          <w:cantSplit/>
          <w:trHeight w:val="675"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效果（30）</w:t>
            </w:r>
          </w:p>
        </w:tc>
        <w:tc>
          <w:tcPr>
            <w:tcW w:w="457" w:type="pct"/>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社会效益</w:t>
            </w:r>
          </w:p>
        </w:tc>
        <w:tc>
          <w:tcPr>
            <w:tcW w:w="446" w:type="pct"/>
            <w:tcBorders>
              <w:top w:val="nil"/>
              <w:left w:val="nil"/>
              <w:bottom w:val="single" w:color="auto" w:sz="4" w:space="0"/>
              <w:right w:val="single" w:color="auto" w:sz="4" w:space="0"/>
            </w:tcBorders>
            <w:vAlign w:val="center"/>
          </w:tcPr>
          <w:p>
            <w:pPr>
              <w:rPr>
                <w:rFonts w:ascii="宋体" w:hAnsi="宋体" w:cs="宋体"/>
                <w:color w:val="auto"/>
                <w:kern w:val="0"/>
                <w:sz w:val="20"/>
                <w:szCs w:val="20"/>
              </w:rPr>
            </w:pPr>
            <w:r>
              <w:rPr>
                <w:rFonts w:hint="eastAsia" w:ascii="宋体" w:hAnsi="宋体" w:cs="宋体"/>
                <w:color w:val="auto"/>
                <w:kern w:val="0"/>
                <w:sz w:val="20"/>
                <w:szCs w:val="20"/>
              </w:rPr>
              <w:t>不断提升全市防震减灾能力，减少社会损失。</w:t>
            </w:r>
          </w:p>
        </w:tc>
        <w:tc>
          <w:tcPr>
            <w:tcW w:w="330" w:type="pct"/>
            <w:tcBorders>
              <w:top w:val="nil"/>
              <w:left w:val="nil"/>
              <w:bottom w:val="single" w:color="auto" w:sz="4" w:space="0"/>
              <w:right w:val="single" w:color="auto" w:sz="4" w:space="0"/>
            </w:tcBorders>
            <w:vAlign w:val="center"/>
          </w:tcPr>
          <w:p>
            <w:pPr>
              <w:jc w:val="center"/>
              <w:rPr>
                <w:color w:val="auto"/>
              </w:rPr>
            </w:pPr>
            <w:r>
              <w:rPr>
                <w:rFonts w:hint="eastAsia" w:ascii="宋体" w:hAnsi="宋体" w:cs="宋体"/>
                <w:color w:val="auto"/>
                <w:kern w:val="0"/>
                <w:sz w:val="20"/>
                <w:szCs w:val="20"/>
              </w:rPr>
              <w:t>完成</w:t>
            </w:r>
          </w:p>
        </w:tc>
        <w:tc>
          <w:tcPr>
            <w:tcW w:w="280" w:type="pct"/>
            <w:vMerge w:val="restar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30</w:t>
            </w:r>
          </w:p>
        </w:tc>
        <w:tc>
          <w:tcPr>
            <w:tcW w:w="280" w:type="pct"/>
            <w:vMerge w:val="restart"/>
            <w:tcBorders>
              <w:top w:val="nil"/>
              <w:left w:val="nil"/>
              <w:right w:val="nil"/>
            </w:tcBorders>
            <w:noWrap/>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27</w:t>
            </w:r>
          </w:p>
        </w:tc>
        <w:tc>
          <w:tcPr>
            <w:tcW w:w="1237" w:type="pct"/>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经济效益</w:t>
            </w:r>
            <w:r>
              <w:rPr>
                <w:rFonts w:hint="eastAsia" w:ascii="宋体" w:hAnsi="宋体" w:cs="宋体"/>
                <w:color w:val="auto"/>
                <w:kern w:val="0"/>
                <w:sz w:val="18"/>
                <w:szCs w:val="18"/>
              </w:rPr>
              <w:t>：部门（单位）履行职责对经济发展所带来的直接或间接影响。</w:t>
            </w:r>
            <w:r>
              <w:rPr>
                <w:rFonts w:hint="eastAsia" w:ascii="宋体" w:hAnsi="宋体" w:cs="宋体"/>
                <w:b/>
                <w:bCs/>
                <w:color w:val="auto"/>
                <w:kern w:val="0"/>
                <w:sz w:val="18"/>
                <w:szCs w:val="18"/>
              </w:rPr>
              <w:t>社会效益</w:t>
            </w:r>
            <w:r>
              <w:rPr>
                <w:rFonts w:hint="eastAsia" w:ascii="宋体" w:hAnsi="宋体" w:cs="宋体"/>
                <w:color w:val="auto"/>
                <w:kern w:val="0"/>
                <w:sz w:val="18"/>
                <w:szCs w:val="18"/>
              </w:rPr>
              <w:t>：部门（单位）履行职责对社会发展所带来的直接或间接影响。</w:t>
            </w:r>
            <w:r>
              <w:rPr>
                <w:rFonts w:hint="eastAsia" w:ascii="宋体" w:hAnsi="宋体" w:cs="宋体"/>
                <w:b/>
                <w:bCs/>
                <w:color w:val="auto"/>
                <w:kern w:val="0"/>
                <w:sz w:val="18"/>
                <w:szCs w:val="18"/>
              </w:rPr>
              <w:t>环境效益</w:t>
            </w:r>
            <w:r>
              <w:rPr>
                <w:rFonts w:hint="eastAsia" w:ascii="宋体" w:hAnsi="宋体" w:cs="宋体"/>
                <w:color w:val="auto"/>
                <w:kern w:val="0"/>
                <w:sz w:val="18"/>
                <w:szCs w:val="18"/>
              </w:rPr>
              <w:t>：部门（单位）履行职责对环境所带来的直接或间接影响。</w:t>
            </w:r>
            <w:r>
              <w:rPr>
                <w:rFonts w:hint="eastAsia" w:ascii="宋体" w:hAnsi="宋体" w:cs="宋体"/>
                <w:b/>
                <w:bCs/>
                <w:color w:val="auto"/>
                <w:kern w:val="0"/>
                <w:sz w:val="18"/>
                <w:szCs w:val="18"/>
              </w:rPr>
              <w:t>可持续性影响：</w:t>
            </w:r>
            <w:r>
              <w:rPr>
                <w:rFonts w:hint="eastAsia" w:ascii="宋体" w:hAnsi="宋体" w:cs="宋体"/>
                <w:color w:val="auto"/>
                <w:kern w:val="0"/>
                <w:sz w:val="18"/>
                <w:szCs w:val="18"/>
              </w:rPr>
              <w:t>部门绩效目标实现的长效机制建设情况，部门工作效率提升措施的创新。</w:t>
            </w:r>
            <w:r>
              <w:rPr>
                <w:rFonts w:hint="eastAsia" w:ascii="宋体" w:hAnsi="宋体" w:cs="宋体"/>
                <w:b/>
                <w:bCs/>
                <w:color w:val="auto"/>
                <w:kern w:val="0"/>
                <w:sz w:val="18"/>
                <w:szCs w:val="18"/>
              </w:rPr>
              <w:t>服务对象满意度</w:t>
            </w:r>
            <w:r>
              <w:rPr>
                <w:rFonts w:hint="eastAsia" w:ascii="宋体" w:hAnsi="宋体" w:cs="宋体"/>
                <w:color w:val="auto"/>
                <w:kern w:val="0"/>
                <w:sz w:val="18"/>
                <w:szCs w:val="18"/>
              </w:rPr>
              <w:t>：部门（单位）的服务对象对部门履职效果的满意程度。</w:t>
            </w:r>
          </w:p>
          <w:p>
            <w:pPr>
              <w:widowControl/>
              <w:jc w:val="left"/>
              <w:rPr>
                <w:rFonts w:ascii="宋体" w:hAnsi="宋体" w:cs="宋体"/>
                <w:color w:val="auto"/>
                <w:kern w:val="0"/>
                <w:sz w:val="18"/>
                <w:szCs w:val="18"/>
              </w:rPr>
            </w:pPr>
          </w:p>
        </w:tc>
        <w:tc>
          <w:tcPr>
            <w:tcW w:w="1202" w:type="pct"/>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cantSplit/>
          <w:trHeight w:val="630"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457" w:type="pct"/>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可持续性影响</w:t>
            </w:r>
          </w:p>
        </w:tc>
        <w:tc>
          <w:tcPr>
            <w:tcW w:w="446" w:type="pct"/>
            <w:tcBorders>
              <w:top w:val="nil"/>
              <w:left w:val="nil"/>
              <w:bottom w:val="single" w:color="auto" w:sz="4" w:space="0"/>
              <w:right w:val="single" w:color="auto" w:sz="4" w:space="0"/>
            </w:tcBorders>
            <w:vAlign w:val="center"/>
          </w:tcPr>
          <w:p>
            <w:pPr>
              <w:rPr>
                <w:rFonts w:ascii="宋体" w:hAnsi="宋体" w:cs="宋体"/>
                <w:color w:val="auto"/>
                <w:kern w:val="0"/>
                <w:sz w:val="20"/>
                <w:szCs w:val="20"/>
              </w:rPr>
            </w:pPr>
            <w:r>
              <w:rPr>
                <w:rFonts w:hint="eastAsia" w:ascii="宋体" w:hAnsi="宋体" w:cs="宋体"/>
                <w:color w:val="auto"/>
                <w:kern w:val="0"/>
                <w:sz w:val="20"/>
                <w:szCs w:val="20"/>
              </w:rPr>
              <w:t>提升北京市地震局地震综合业务数据处理、存储能力。</w:t>
            </w:r>
          </w:p>
        </w:tc>
        <w:tc>
          <w:tcPr>
            <w:tcW w:w="330" w:type="pct"/>
            <w:tcBorders>
              <w:top w:val="nil"/>
              <w:left w:val="nil"/>
              <w:bottom w:val="single" w:color="auto" w:sz="4" w:space="0"/>
              <w:right w:val="single" w:color="auto" w:sz="4" w:space="0"/>
            </w:tcBorders>
            <w:vAlign w:val="center"/>
          </w:tcPr>
          <w:p>
            <w:pPr>
              <w:jc w:val="center"/>
              <w:rPr>
                <w:color w:val="auto"/>
              </w:rPr>
            </w:pPr>
            <w:r>
              <w:rPr>
                <w:rFonts w:hint="eastAsia" w:ascii="宋体" w:hAnsi="宋体" w:cs="宋体"/>
                <w:color w:val="auto"/>
                <w:kern w:val="0"/>
                <w:sz w:val="20"/>
                <w:szCs w:val="20"/>
              </w:rPr>
              <w:t>完成</w:t>
            </w:r>
          </w:p>
        </w:tc>
        <w:tc>
          <w:tcPr>
            <w:tcW w:w="280"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280" w:type="pct"/>
            <w:vMerge w:val="continue"/>
            <w:tcBorders>
              <w:left w:val="nil"/>
              <w:right w:val="nil"/>
            </w:tcBorders>
            <w:noWrap/>
            <w:vAlign w:val="center"/>
          </w:tcPr>
          <w:p>
            <w:pPr>
              <w:widowControl/>
              <w:jc w:val="center"/>
              <w:rPr>
                <w:rFonts w:ascii="宋体" w:hAnsi="宋体" w:cs="宋体"/>
                <w:color w:val="auto"/>
                <w:kern w:val="0"/>
                <w:sz w:val="20"/>
                <w:szCs w:val="20"/>
              </w:rPr>
            </w:pPr>
          </w:p>
        </w:tc>
        <w:tc>
          <w:tcPr>
            <w:tcW w:w="123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0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r>
      <w:tr>
        <w:tblPrEx>
          <w:tblCellMar>
            <w:top w:w="0" w:type="dxa"/>
            <w:left w:w="108" w:type="dxa"/>
            <w:bottom w:w="0" w:type="dxa"/>
            <w:right w:w="108" w:type="dxa"/>
          </w:tblCellMar>
        </w:tblPrEx>
        <w:trPr>
          <w:cantSplit/>
          <w:trHeight w:val="690"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457" w:type="pct"/>
            <w:tcBorders>
              <w:top w:val="nil"/>
              <w:left w:val="nil"/>
              <w:bottom w:val="single" w:color="auto" w:sz="4" w:space="0"/>
              <w:right w:val="single" w:color="auto" w:sz="4" w:space="0"/>
            </w:tcBorders>
            <w:vAlign w:val="center"/>
          </w:tcPr>
          <w:p>
            <w:pPr>
              <w:widowControl/>
              <w:rPr>
                <w:rFonts w:ascii="宋体" w:hAnsi="宋体" w:cs="宋体"/>
                <w:color w:val="auto"/>
                <w:kern w:val="0"/>
                <w:sz w:val="20"/>
                <w:szCs w:val="20"/>
              </w:rPr>
            </w:pPr>
            <w:r>
              <w:rPr>
                <w:rFonts w:hint="eastAsia" w:ascii="宋体" w:hAnsi="宋体" w:cs="宋体"/>
                <w:color w:val="auto"/>
                <w:kern w:val="0"/>
                <w:sz w:val="20"/>
                <w:szCs w:val="20"/>
              </w:rPr>
              <w:t>服务对象满意度</w:t>
            </w:r>
          </w:p>
        </w:tc>
        <w:tc>
          <w:tcPr>
            <w:tcW w:w="446" w:type="pct"/>
            <w:tcBorders>
              <w:top w:val="nil"/>
              <w:left w:val="nil"/>
              <w:bottom w:val="single" w:color="auto" w:sz="4" w:space="0"/>
              <w:right w:val="single" w:color="auto" w:sz="4" w:space="0"/>
            </w:tcBorders>
            <w:vAlign w:val="center"/>
          </w:tcPr>
          <w:p>
            <w:pPr>
              <w:widowControl/>
              <w:adjustRightInd w:val="0"/>
              <w:snapToGrid w:val="0"/>
              <w:jc w:val="left"/>
              <w:rPr>
                <w:rFonts w:ascii="宋体" w:hAnsi="宋体" w:cs="宋体"/>
                <w:color w:val="auto"/>
                <w:kern w:val="0"/>
                <w:sz w:val="20"/>
                <w:szCs w:val="20"/>
              </w:rPr>
            </w:pPr>
          </w:p>
        </w:tc>
        <w:tc>
          <w:tcPr>
            <w:tcW w:w="330" w:type="pct"/>
            <w:tcBorders>
              <w:top w:val="nil"/>
              <w:left w:val="nil"/>
              <w:bottom w:val="single" w:color="auto" w:sz="4" w:space="0"/>
              <w:right w:val="single" w:color="auto" w:sz="4" w:space="0"/>
            </w:tcBorders>
            <w:vAlign w:val="center"/>
          </w:tcPr>
          <w:p>
            <w:pPr>
              <w:jc w:val="center"/>
              <w:rPr>
                <w:color w:val="auto"/>
              </w:rPr>
            </w:pPr>
            <w:r>
              <w:rPr>
                <w:rFonts w:hint="eastAsia" w:ascii="宋体" w:hAnsi="宋体" w:cs="宋体"/>
                <w:color w:val="auto"/>
                <w:kern w:val="0"/>
                <w:sz w:val="20"/>
                <w:szCs w:val="20"/>
              </w:rPr>
              <w:t>完成</w:t>
            </w:r>
          </w:p>
        </w:tc>
        <w:tc>
          <w:tcPr>
            <w:tcW w:w="280"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280" w:type="pct"/>
            <w:vMerge w:val="continue"/>
            <w:tcBorders>
              <w:left w:val="nil"/>
              <w:bottom w:val="single" w:color="auto" w:sz="4" w:space="0"/>
              <w:right w:val="nil"/>
            </w:tcBorders>
            <w:noWrap/>
            <w:vAlign w:val="center"/>
          </w:tcPr>
          <w:p>
            <w:pPr>
              <w:widowControl/>
              <w:jc w:val="center"/>
              <w:rPr>
                <w:rFonts w:ascii="宋体" w:hAnsi="宋体" w:cs="宋体"/>
                <w:color w:val="auto"/>
                <w:kern w:val="0"/>
                <w:sz w:val="20"/>
                <w:szCs w:val="20"/>
              </w:rPr>
            </w:pPr>
          </w:p>
        </w:tc>
        <w:tc>
          <w:tcPr>
            <w:tcW w:w="123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0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r>
      <w:tr>
        <w:tblPrEx>
          <w:tblCellMar>
            <w:top w:w="0" w:type="dxa"/>
            <w:left w:w="108" w:type="dxa"/>
            <w:bottom w:w="0" w:type="dxa"/>
            <w:right w:w="108" w:type="dxa"/>
          </w:tblCellMar>
        </w:tblPrEx>
        <w:trPr>
          <w:cantSplit/>
          <w:trHeight w:val="487" w:hRule="atLeast"/>
        </w:trPr>
        <w:tc>
          <w:tcPr>
            <w:tcW w:w="5000" w:type="pct"/>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三</w:t>
            </w:r>
            <w:r>
              <w:rPr>
                <w:rFonts w:ascii="宋体" w:hAnsi="宋体" w:cs="宋体"/>
                <w:color w:val="auto"/>
                <w:kern w:val="0"/>
                <w:sz w:val="18"/>
                <w:szCs w:val="18"/>
              </w:rPr>
              <w:t>、</w:t>
            </w:r>
            <w:r>
              <w:rPr>
                <w:rFonts w:hint="eastAsia" w:ascii="宋体" w:hAnsi="宋体" w:cs="宋体"/>
                <w:color w:val="auto"/>
                <w:kern w:val="0"/>
                <w:sz w:val="20"/>
                <w:szCs w:val="20"/>
              </w:rPr>
              <w:t>预算管理情况（20分）</w:t>
            </w:r>
          </w:p>
        </w:tc>
      </w:tr>
      <w:tr>
        <w:tblPrEx>
          <w:tblCellMar>
            <w:top w:w="0" w:type="dxa"/>
            <w:left w:w="108" w:type="dxa"/>
            <w:bottom w:w="0" w:type="dxa"/>
            <w:right w:w="108" w:type="dxa"/>
          </w:tblCellMar>
        </w:tblPrEx>
        <w:trPr>
          <w:cantSplit/>
          <w:trHeight w:val="702" w:hRule="atLeast"/>
        </w:trPr>
        <w:tc>
          <w:tcPr>
            <w:tcW w:w="38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一</w:t>
            </w:r>
            <w:r>
              <w:rPr>
                <w:rFonts w:ascii="宋体" w:hAnsi="宋体" w:cs="宋体"/>
                <w:color w:val="auto"/>
                <w:kern w:val="0"/>
                <w:sz w:val="20"/>
                <w:szCs w:val="20"/>
              </w:rPr>
              <w:t>级指标</w:t>
            </w:r>
          </w:p>
        </w:tc>
        <w:tc>
          <w:tcPr>
            <w:tcW w:w="38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二</w:t>
            </w:r>
            <w:r>
              <w:rPr>
                <w:rFonts w:ascii="宋体" w:hAnsi="宋体" w:cs="宋体"/>
                <w:color w:val="auto"/>
                <w:kern w:val="0"/>
                <w:sz w:val="20"/>
                <w:szCs w:val="20"/>
              </w:rPr>
              <w:t>级指标</w:t>
            </w:r>
          </w:p>
        </w:tc>
        <w:tc>
          <w:tcPr>
            <w:tcW w:w="457"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三</w:t>
            </w:r>
            <w:r>
              <w:rPr>
                <w:rFonts w:ascii="宋体" w:hAnsi="宋体" w:cs="宋体"/>
                <w:color w:val="auto"/>
                <w:kern w:val="0"/>
                <w:sz w:val="20"/>
                <w:szCs w:val="20"/>
              </w:rPr>
              <w:t>级指标</w:t>
            </w:r>
          </w:p>
        </w:tc>
        <w:tc>
          <w:tcPr>
            <w:tcW w:w="446"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指标</w:t>
            </w:r>
            <w:r>
              <w:rPr>
                <w:rFonts w:ascii="宋体" w:hAnsi="宋体" w:cs="宋体"/>
                <w:color w:val="auto"/>
                <w:kern w:val="0"/>
                <w:sz w:val="20"/>
                <w:szCs w:val="20"/>
              </w:rPr>
              <w:t>值</w:t>
            </w:r>
          </w:p>
        </w:tc>
        <w:tc>
          <w:tcPr>
            <w:tcW w:w="33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完成</w:t>
            </w:r>
            <w:r>
              <w:rPr>
                <w:rFonts w:ascii="宋体" w:hAnsi="宋体" w:cs="宋体"/>
                <w:color w:val="auto"/>
                <w:kern w:val="0"/>
                <w:sz w:val="20"/>
                <w:szCs w:val="20"/>
              </w:rPr>
              <w:t>值</w:t>
            </w:r>
          </w:p>
        </w:tc>
        <w:tc>
          <w:tcPr>
            <w:tcW w:w="280"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分</w:t>
            </w:r>
            <w:r>
              <w:rPr>
                <w:rFonts w:ascii="宋体" w:hAnsi="宋体" w:cs="宋体"/>
                <w:color w:val="auto"/>
                <w:kern w:val="0"/>
                <w:sz w:val="20"/>
                <w:szCs w:val="20"/>
              </w:rPr>
              <w:t>值</w:t>
            </w:r>
          </w:p>
        </w:tc>
        <w:tc>
          <w:tcPr>
            <w:tcW w:w="280" w:type="pct"/>
            <w:tcBorders>
              <w:top w:val="single" w:color="auto" w:sz="4" w:space="0"/>
              <w:left w:val="nil"/>
              <w:bottom w:val="single" w:color="auto" w:sz="4" w:space="0"/>
              <w:right w:val="nil"/>
            </w:tcBorders>
            <w:noWrap/>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得</w:t>
            </w:r>
            <w:r>
              <w:rPr>
                <w:rFonts w:ascii="宋体" w:hAnsi="宋体" w:cs="宋体"/>
                <w:color w:val="auto"/>
                <w:kern w:val="0"/>
                <w:sz w:val="20"/>
                <w:szCs w:val="20"/>
              </w:rPr>
              <w:t>分</w:t>
            </w:r>
          </w:p>
        </w:tc>
        <w:tc>
          <w:tcPr>
            <w:tcW w:w="123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Cs/>
                <w:color w:val="auto"/>
                <w:kern w:val="0"/>
                <w:sz w:val="18"/>
                <w:szCs w:val="18"/>
              </w:rPr>
              <w:t>指标</w:t>
            </w:r>
            <w:r>
              <w:rPr>
                <w:rFonts w:ascii="宋体" w:hAnsi="宋体" w:cs="宋体"/>
                <w:bCs/>
                <w:color w:val="auto"/>
                <w:kern w:val="0"/>
                <w:sz w:val="18"/>
                <w:szCs w:val="18"/>
              </w:rPr>
              <w:t>解释</w:t>
            </w:r>
          </w:p>
        </w:tc>
        <w:tc>
          <w:tcPr>
            <w:tcW w:w="1202"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评</w:t>
            </w:r>
            <w:r>
              <w:rPr>
                <w:rFonts w:ascii="宋体" w:hAnsi="宋体" w:cs="宋体"/>
                <w:color w:val="auto"/>
                <w:kern w:val="0"/>
                <w:sz w:val="18"/>
                <w:szCs w:val="18"/>
              </w:rPr>
              <w:t>分标准</w:t>
            </w:r>
          </w:p>
        </w:tc>
      </w:tr>
      <w:tr>
        <w:trPr>
          <w:cantSplit/>
          <w:trHeight w:val="1230" w:hRule="atLeast"/>
        </w:trPr>
        <w:tc>
          <w:tcPr>
            <w:tcW w:w="38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预算管理情况（20）</w:t>
            </w:r>
          </w:p>
        </w:tc>
        <w:tc>
          <w:tcPr>
            <w:tcW w:w="382"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财务管理（4）</w:t>
            </w:r>
          </w:p>
        </w:tc>
        <w:tc>
          <w:tcPr>
            <w:tcW w:w="457"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财务管理制度健全性</w:t>
            </w:r>
          </w:p>
        </w:tc>
        <w:tc>
          <w:tcPr>
            <w:tcW w:w="446"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项目管理制度、财务管理制度等健全</w:t>
            </w:r>
          </w:p>
        </w:tc>
        <w:tc>
          <w:tcPr>
            <w:tcW w:w="33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较健全　</w:t>
            </w:r>
          </w:p>
        </w:tc>
        <w:tc>
          <w:tcPr>
            <w:tcW w:w="280"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1</w:t>
            </w:r>
          </w:p>
        </w:tc>
        <w:tc>
          <w:tcPr>
            <w:tcW w:w="280" w:type="pct"/>
            <w:tcBorders>
              <w:top w:val="single" w:color="auto" w:sz="4" w:space="0"/>
              <w:left w:val="nil"/>
              <w:bottom w:val="single" w:color="auto" w:sz="4" w:space="0"/>
              <w:right w:val="nil"/>
            </w:tcBorders>
            <w:noWrap/>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0</w:t>
            </w:r>
            <w:r>
              <w:rPr>
                <w:rFonts w:ascii="宋体" w:hAnsi="宋体" w:cs="宋体"/>
                <w:color w:val="auto"/>
                <w:kern w:val="0"/>
                <w:sz w:val="20"/>
                <w:szCs w:val="20"/>
              </w:rPr>
              <w:t>.8</w:t>
            </w:r>
            <w:r>
              <w:rPr>
                <w:rFonts w:hint="eastAsia" w:ascii="宋体" w:hAnsi="宋体" w:cs="宋体"/>
                <w:color w:val="auto"/>
                <w:kern w:val="0"/>
                <w:sz w:val="20"/>
                <w:szCs w:val="20"/>
              </w:rPr>
              <w:t>　</w:t>
            </w:r>
          </w:p>
        </w:tc>
        <w:tc>
          <w:tcPr>
            <w:tcW w:w="1237"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财务管理制度健全性:</w:t>
            </w:r>
            <w:r>
              <w:rPr>
                <w:rFonts w:hint="eastAsia" w:ascii="宋体" w:hAnsi="宋体" w:cs="宋体"/>
                <w:color w:val="auto"/>
                <w:kern w:val="0"/>
                <w:sz w:val="18"/>
                <w:szCs w:val="18"/>
              </w:rPr>
              <w:t>部门（单位）为加强财务管理、规范财务行为而制定的管理制度。</w:t>
            </w:r>
          </w:p>
          <w:p>
            <w:pPr>
              <w:widowControl/>
              <w:jc w:val="left"/>
              <w:rPr>
                <w:rFonts w:ascii="宋体" w:hAnsi="宋体" w:cs="宋体"/>
                <w:color w:val="auto"/>
                <w:kern w:val="0"/>
                <w:sz w:val="18"/>
                <w:szCs w:val="18"/>
              </w:rPr>
            </w:pPr>
          </w:p>
        </w:tc>
        <w:tc>
          <w:tcPr>
            <w:tcW w:w="1202"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①预算资金管理办法、绩效跟踪管理办法、资产管理办法等各项制度是否健全；②部门内部财务管理制度是否完整、合规；③会计核算制度是否完整、合规。每有一项不合格扣</w:t>
            </w:r>
            <w:r>
              <w:rPr>
                <w:rFonts w:ascii="宋体" w:hAnsi="宋体" w:cs="宋体"/>
                <w:color w:val="auto"/>
                <w:kern w:val="0"/>
                <w:sz w:val="18"/>
                <w:szCs w:val="18"/>
              </w:rPr>
              <w:t>0.5分，</w:t>
            </w:r>
            <w:r>
              <w:rPr>
                <w:rFonts w:hint="eastAsia" w:ascii="宋体" w:hAnsi="宋体" w:cs="宋体"/>
                <w:color w:val="auto"/>
                <w:kern w:val="0"/>
                <w:sz w:val="18"/>
                <w:szCs w:val="18"/>
              </w:rPr>
              <w:t>扣完为止。</w:t>
            </w:r>
          </w:p>
        </w:tc>
      </w:tr>
      <w:tr>
        <w:tblPrEx>
          <w:tblCellMar>
            <w:top w:w="0" w:type="dxa"/>
            <w:left w:w="108" w:type="dxa"/>
            <w:bottom w:w="0" w:type="dxa"/>
            <w:right w:w="108" w:type="dxa"/>
          </w:tblCellMar>
        </w:tblPrEx>
        <w:trPr>
          <w:cantSplit/>
          <w:trHeight w:val="2220" w:hRule="atLeast"/>
        </w:trPr>
        <w:tc>
          <w:tcPr>
            <w:tcW w:w="380"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457"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资金使用合规性和安全性</w:t>
            </w:r>
          </w:p>
        </w:tc>
        <w:tc>
          <w:tcPr>
            <w:tcW w:w="446"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　符合单位内、外部各项财经纪律、办法要求</w:t>
            </w:r>
          </w:p>
        </w:tc>
        <w:tc>
          <w:tcPr>
            <w:tcW w:w="33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　基本规范</w:t>
            </w:r>
          </w:p>
        </w:tc>
        <w:tc>
          <w:tcPr>
            <w:tcW w:w="280"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2</w:t>
            </w:r>
          </w:p>
        </w:tc>
        <w:tc>
          <w:tcPr>
            <w:tcW w:w="280" w:type="pct"/>
            <w:tcBorders>
              <w:top w:val="single" w:color="auto" w:sz="4" w:space="0"/>
              <w:left w:val="nil"/>
              <w:bottom w:val="single" w:color="auto" w:sz="4" w:space="0"/>
              <w:right w:val="nil"/>
            </w:tcBorders>
            <w:noWrap/>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1.5</w:t>
            </w:r>
          </w:p>
        </w:tc>
        <w:tc>
          <w:tcPr>
            <w:tcW w:w="1237"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资金使用合规性和安全性:</w:t>
            </w:r>
            <w:r>
              <w:rPr>
                <w:rFonts w:hint="eastAsia" w:ascii="宋体" w:hAnsi="宋体" w:cs="宋体"/>
                <w:color w:val="auto"/>
                <w:kern w:val="0"/>
                <w:sz w:val="18"/>
                <w:szCs w:val="18"/>
              </w:rPr>
              <w:t>部门（单位）使用预算资金是否符合相关的预算财务管理制度的规定，是否符合相关规定的开支范围，用以反映考核部门（单位）预算资金的规范运行和安全运行情况。</w:t>
            </w:r>
          </w:p>
          <w:p>
            <w:pPr>
              <w:widowControl/>
              <w:jc w:val="left"/>
              <w:rPr>
                <w:rFonts w:ascii="宋体" w:hAnsi="宋体" w:cs="宋体"/>
                <w:color w:val="auto"/>
                <w:kern w:val="0"/>
                <w:sz w:val="18"/>
                <w:szCs w:val="18"/>
              </w:rPr>
            </w:pPr>
          </w:p>
        </w:tc>
        <w:tc>
          <w:tcPr>
            <w:tcW w:w="1202"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cantSplit/>
          <w:trHeight w:val="410"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p>
        </w:tc>
        <w:tc>
          <w:tcPr>
            <w:tcW w:w="457" w:type="pct"/>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会计基础信息完善性</w:t>
            </w:r>
          </w:p>
        </w:tc>
        <w:tc>
          <w:tcPr>
            <w:tcW w:w="446" w:type="pct"/>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符合会计基础规范　</w:t>
            </w:r>
          </w:p>
        </w:tc>
        <w:tc>
          <w:tcPr>
            <w:tcW w:w="330" w:type="pct"/>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符合要求　</w:t>
            </w:r>
          </w:p>
        </w:tc>
        <w:tc>
          <w:tcPr>
            <w:tcW w:w="280" w:type="pct"/>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1</w:t>
            </w:r>
          </w:p>
        </w:tc>
        <w:tc>
          <w:tcPr>
            <w:tcW w:w="280" w:type="pct"/>
            <w:tcBorders>
              <w:top w:val="nil"/>
              <w:left w:val="nil"/>
              <w:bottom w:val="single" w:color="auto" w:sz="4" w:space="0"/>
              <w:right w:val="nil"/>
            </w:tcBorders>
            <w:noWrap/>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0.8</w:t>
            </w:r>
            <w:r>
              <w:rPr>
                <w:rFonts w:hint="eastAsia" w:ascii="宋体" w:hAnsi="宋体" w:cs="宋体"/>
                <w:color w:val="auto"/>
                <w:kern w:val="0"/>
                <w:sz w:val="20"/>
                <w:szCs w:val="20"/>
              </w:rPr>
              <w:t>　</w:t>
            </w:r>
          </w:p>
        </w:tc>
        <w:tc>
          <w:tcPr>
            <w:tcW w:w="1237" w:type="pc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会计基础信息完善性:</w:t>
            </w:r>
            <w:r>
              <w:rPr>
                <w:rFonts w:hint="eastAsia" w:ascii="宋体" w:hAnsi="宋体" w:cs="宋体"/>
                <w:color w:val="auto"/>
                <w:kern w:val="0"/>
                <w:sz w:val="18"/>
                <w:szCs w:val="18"/>
              </w:rPr>
              <w:t>部门（单位）会计基础信息情况。</w:t>
            </w:r>
          </w:p>
          <w:p>
            <w:pPr>
              <w:widowControl/>
              <w:jc w:val="left"/>
              <w:rPr>
                <w:rFonts w:ascii="宋体" w:hAnsi="宋体" w:cs="宋体"/>
                <w:color w:val="auto"/>
                <w:kern w:val="0"/>
                <w:sz w:val="18"/>
                <w:szCs w:val="18"/>
              </w:rPr>
            </w:pPr>
          </w:p>
        </w:tc>
        <w:tc>
          <w:tcPr>
            <w:tcW w:w="1202" w:type="pct"/>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cantSplit/>
          <w:trHeight w:val="2220"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资产管理（4）</w:t>
            </w:r>
          </w:p>
        </w:tc>
        <w:tc>
          <w:tcPr>
            <w:tcW w:w="45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资产管理规范性</w:t>
            </w:r>
          </w:p>
        </w:tc>
        <w:tc>
          <w:tcPr>
            <w:tcW w:w="446"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资产采购、日常管理符合资产管理相关规定</w:t>
            </w:r>
          </w:p>
        </w:tc>
        <w:tc>
          <w:tcPr>
            <w:tcW w:w="330"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20"/>
                <w:szCs w:val="20"/>
              </w:rPr>
            </w:pPr>
            <w:r>
              <w:rPr>
                <w:rFonts w:hint="eastAsia" w:ascii="宋体" w:hAnsi="宋体" w:cs="宋体"/>
                <w:color w:val="auto"/>
                <w:sz w:val="20"/>
                <w:szCs w:val="20"/>
              </w:rPr>
              <w:t>基本规范</w:t>
            </w:r>
          </w:p>
        </w:tc>
        <w:tc>
          <w:tcPr>
            <w:tcW w:w="28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28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3</w:t>
            </w:r>
          </w:p>
        </w:tc>
        <w:tc>
          <w:tcPr>
            <w:tcW w:w="1237"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资产管理规范性:</w:t>
            </w:r>
            <w:r>
              <w:rPr>
                <w:rFonts w:hint="eastAsia" w:ascii="宋体" w:hAnsi="宋体" w:cs="宋体"/>
                <w:color w:val="auto"/>
                <w:kern w:val="0"/>
                <w:sz w:val="18"/>
                <w:szCs w:val="18"/>
              </w:rPr>
              <w:t>部门（单位）的资产是否保持安全完整，资产配置是否合理，资产使用和资产处理是否规范，用以反映和考核部门（单位）资产管理的整体水平。</w:t>
            </w:r>
          </w:p>
        </w:tc>
        <w:tc>
          <w:tcPr>
            <w:tcW w:w="1202"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cantSplit/>
          <w:trHeight w:val="1427"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绩效管理（4）</w:t>
            </w:r>
          </w:p>
        </w:tc>
        <w:tc>
          <w:tcPr>
            <w:tcW w:w="457"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绩效管理情况</w:t>
            </w:r>
          </w:p>
        </w:tc>
        <w:tc>
          <w:tcPr>
            <w:tcW w:w="446"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绩效管理组织情况</w:t>
            </w:r>
          </w:p>
        </w:tc>
        <w:tc>
          <w:tcPr>
            <w:tcW w:w="330"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重视绩效管理，组织较好</w:t>
            </w:r>
          </w:p>
        </w:tc>
        <w:tc>
          <w:tcPr>
            <w:tcW w:w="28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280" w:type="pct"/>
            <w:tcBorders>
              <w:top w:val="single" w:color="auto" w:sz="4" w:space="0"/>
              <w:left w:val="nil"/>
              <w:bottom w:val="single" w:color="auto" w:sz="4" w:space="0"/>
              <w:right w:val="nil"/>
            </w:tcBorders>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2.5</w:t>
            </w:r>
          </w:p>
        </w:tc>
        <w:tc>
          <w:tcPr>
            <w:tcW w:w="1237"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b/>
                <w:bCs/>
                <w:color w:val="auto"/>
                <w:kern w:val="0"/>
                <w:sz w:val="18"/>
                <w:szCs w:val="18"/>
              </w:rPr>
              <w:t>绩效管理情况:</w:t>
            </w:r>
            <w:r>
              <w:rPr>
                <w:rFonts w:hint="eastAsia" w:ascii="宋体" w:hAnsi="宋体" w:cs="宋体"/>
                <w:color w:val="auto"/>
                <w:kern w:val="0"/>
                <w:sz w:val="18"/>
                <w:szCs w:val="18"/>
              </w:rPr>
              <w:t>考核部门（单位）在绩效管理信息的汇总和应用情况。</w:t>
            </w:r>
          </w:p>
          <w:p>
            <w:pPr>
              <w:widowControl/>
              <w:jc w:val="left"/>
              <w:rPr>
                <w:rFonts w:ascii="宋体" w:hAnsi="宋体" w:cs="宋体"/>
                <w:color w:val="auto"/>
                <w:kern w:val="0"/>
                <w:sz w:val="18"/>
                <w:szCs w:val="18"/>
              </w:rPr>
            </w:pPr>
          </w:p>
        </w:tc>
        <w:tc>
          <w:tcPr>
            <w:tcW w:w="1202"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cantSplit/>
          <w:trHeight w:val="2229"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tcBorders>
              <w:top w:val="nil"/>
              <w:left w:val="nil"/>
              <w:bottom w:val="single" w:color="auto" w:sz="4" w:space="0"/>
              <w:right w:val="single" w:color="auto" w:sz="4" w:space="0"/>
            </w:tcBorders>
            <w:vAlign w:val="center"/>
          </w:tcPr>
          <w:p>
            <w:pPr>
              <w:widowControl/>
              <w:rPr>
                <w:rFonts w:ascii="宋体" w:hAnsi="宋体" w:cs="宋体"/>
                <w:color w:val="auto"/>
                <w:kern w:val="0"/>
                <w:sz w:val="20"/>
                <w:szCs w:val="20"/>
              </w:rPr>
            </w:pPr>
            <w:r>
              <w:rPr>
                <w:rFonts w:hint="eastAsia" w:ascii="宋体" w:hAnsi="宋体" w:cs="宋体"/>
                <w:color w:val="auto"/>
                <w:kern w:val="0"/>
                <w:sz w:val="20"/>
                <w:szCs w:val="20"/>
              </w:rPr>
              <w:t>结转结余率（4）</w:t>
            </w:r>
          </w:p>
        </w:tc>
        <w:tc>
          <w:tcPr>
            <w:tcW w:w="904" w:type="pct"/>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7</w:t>
            </w:r>
            <w:r>
              <w:rPr>
                <w:rFonts w:ascii="宋体" w:hAnsi="宋体" w:cs="宋体"/>
                <w:color w:val="auto"/>
                <w:kern w:val="0"/>
                <w:sz w:val="20"/>
                <w:szCs w:val="20"/>
              </w:rPr>
              <w:t>.09%</w:t>
            </w:r>
            <w:r>
              <w:rPr>
                <w:rFonts w:hint="eastAsia" w:ascii="宋体" w:hAnsi="宋体" w:cs="宋体"/>
                <w:color w:val="auto"/>
                <w:kern w:val="0"/>
                <w:sz w:val="20"/>
                <w:szCs w:val="20"/>
              </w:rPr>
              <w:t>　</w:t>
            </w:r>
          </w:p>
        </w:tc>
        <w:tc>
          <w:tcPr>
            <w:tcW w:w="330" w:type="pct"/>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5.38%　</w:t>
            </w:r>
          </w:p>
        </w:tc>
        <w:tc>
          <w:tcPr>
            <w:tcW w:w="280" w:type="pct"/>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280" w:type="pct"/>
            <w:tcBorders>
              <w:top w:val="nil"/>
              <w:left w:val="nil"/>
              <w:bottom w:val="single" w:color="auto" w:sz="4" w:space="0"/>
              <w:right w:val="nil"/>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4　</w:t>
            </w:r>
          </w:p>
        </w:tc>
        <w:tc>
          <w:tcPr>
            <w:tcW w:w="1237"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结转结余率=结转结余总额</w:t>
            </w:r>
            <w:r>
              <w:rPr>
                <w:rFonts w:ascii="宋体" w:hAnsi="宋体" w:cs="宋体"/>
                <w:color w:val="auto"/>
                <w:kern w:val="0"/>
                <w:sz w:val="18"/>
                <w:szCs w:val="18"/>
              </w:rPr>
              <w:t>/支出预算数×100%。</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结转结余总额：部门（单位）本年度的结转资金与结余资金之和。</w:t>
            </w:r>
          </w:p>
        </w:tc>
        <w:tc>
          <w:tcPr>
            <w:tcW w:w="1202"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cantSplit/>
          <w:trHeight w:val="981" w:hRule="atLeast"/>
        </w:trPr>
        <w:tc>
          <w:tcPr>
            <w:tcW w:w="38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20"/>
                <w:szCs w:val="20"/>
              </w:rPr>
            </w:pPr>
          </w:p>
        </w:tc>
        <w:tc>
          <w:tcPr>
            <w:tcW w:w="382" w:type="pct"/>
            <w:tcBorders>
              <w:top w:val="nil"/>
              <w:left w:val="nil"/>
              <w:bottom w:val="single" w:color="auto" w:sz="4" w:space="0"/>
              <w:right w:val="single" w:color="auto" w:sz="4" w:space="0"/>
            </w:tcBorders>
            <w:vAlign w:val="center"/>
          </w:tcPr>
          <w:p>
            <w:pPr>
              <w:widowControl/>
              <w:rPr>
                <w:rFonts w:ascii="宋体" w:hAnsi="宋体" w:cs="宋体"/>
                <w:color w:val="auto"/>
                <w:kern w:val="0"/>
                <w:sz w:val="20"/>
                <w:szCs w:val="20"/>
              </w:rPr>
            </w:pPr>
            <w:r>
              <w:rPr>
                <w:rFonts w:hint="eastAsia" w:ascii="宋体" w:hAnsi="宋体" w:cs="宋体"/>
                <w:color w:val="auto"/>
                <w:kern w:val="0"/>
                <w:sz w:val="20"/>
                <w:szCs w:val="20"/>
              </w:rPr>
              <w:t>部门预决算差异率（4）</w:t>
            </w:r>
          </w:p>
        </w:tc>
        <w:tc>
          <w:tcPr>
            <w:tcW w:w="904" w:type="pct"/>
            <w:gridSpan w:val="2"/>
            <w:tcBorders>
              <w:top w:val="single" w:color="auto" w:sz="4" w:space="0"/>
              <w:left w:val="nil"/>
              <w:bottom w:val="single" w:color="auto" w:sz="4" w:space="0"/>
              <w:right w:val="nil"/>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w:t>
            </w:r>
          </w:p>
        </w:tc>
        <w:tc>
          <w:tcPr>
            <w:tcW w:w="330" w:type="pc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2</w:t>
            </w:r>
            <w:r>
              <w:rPr>
                <w:rFonts w:hint="eastAsia" w:ascii="宋体" w:hAnsi="宋体" w:cs="宋体"/>
                <w:color w:val="auto"/>
                <w:kern w:val="0"/>
                <w:sz w:val="20"/>
                <w:szCs w:val="20"/>
                <w:lang w:val="en-US" w:eastAsia="zh-CN"/>
              </w:rPr>
              <w:t>.7</w:t>
            </w:r>
            <w:r>
              <w:rPr>
                <w:rFonts w:hint="eastAsia" w:ascii="宋体" w:hAnsi="宋体" w:cs="宋体"/>
                <w:color w:val="auto"/>
                <w:kern w:val="0"/>
                <w:sz w:val="20"/>
                <w:szCs w:val="20"/>
              </w:rPr>
              <w:t>%</w:t>
            </w:r>
          </w:p>
        </w:tc>
        <w:tc>
          <w:tcPr>
            <w:tcW w:w="280" w:type="pct"/>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4</w:t>
            </w:r>
          </w:p>
        </w:tc>
        <w:tc>
          <w:tcPr>
            <w:tcW w:w="280" w:type="pct"/>
            <w:tcBorders>
              <w:top w:val="nil"/>
              <w:left w:val="nil"/>
              <w:bottom w:val="single" w:color="auto" w:sz="4" w:space="0"/>
              <w:right w:val="nil"/>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4　</w:t>
            </w:r>
          </w:p>
        </w:tc>
        <w:tc>
          <w:tcPr>
            <w:tcW w:w="1237" w:type="pc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通过年度部门决算与年初部门预算对比，对部门的年度支出情况进行考核，衡量部门预算的约束力。</w:t>
            </w:r>
          </w:p>
        </w:tc>
        <w:tc>
          <w:tcPr>
            <w:tcW w:w="1202" w:type="pct"/>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部门预决算差异率高于市级平均差异率（28.3%）的，每高出10%（含），扣0.4分，扣完为止。</w:t>
            </w:r>
          </w:p>
        </w:tc>
      </w:tr>
      <w:tr>
        <w:tblPrEx>
          <w:tblCellMar>
            <w:top w:w="0" w:type="dxa"/>
            <w:left w:w="108" w:type="dxa"/>
            <w:bottom w:w="0" w:type="dxa"/>
            <w:right w:w="108" w:type="dxa"/>
          </w:tblCellMar>
        </w:tblPrEx>
        <w:trPr>
          <w:cantSplit/>
          <w:trHeight w:val="484" w:hRule="atLeast"/>
        </w:trPr>
        <w:tc>
          <w:tcPr>
            <w:tcW w:w="1997" w:type="pct"/>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合计</w:t>
            </w:r>
          </w:p>
        </w:tc>
        <w:tc>
          <w:tcPr>
            <w:tcW w:w="280" w:type="pct"/>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rPr>
              <w:t>100</w:t>
            </w:r>
          </w:p>
        </w:tc>
        <w:tc>
          <w:tcPr>
            <w:tcW w:w="280" w:type="pct"/>
            <w:tcBorders>
              <w:top w:val="nil"/>
              <w:left w:val="nil"/>
              <w:bottom w:val="single" w:color="auto" w:sz="4" w:space="0"/>
              <w:right w:val="nil"/>
            </w:tcBorders>
            <w:vAlign w:val="center"/>
          </w:tcPr>
          <w:p>
            <w:pPr>
              <w:widowControl/>
              <w:jc w:val="center"/>
              <w:rPr>
                <w:rFonts w:ascii="宋体" w:hAnsi="宋体" w:cs="宋体"/>
                <w:color w:val="auto"/>
                <w:kern w:val="0"/>
                <w:sz w:val="20"/>
                <w:szCs w:val="20"/>
              </w:rPr>
            </w:pPr>
            <w:r>
              <w:rPr>
                <w:rFonts w:ascii="宋体" w:hAnsi="宋体" w:cs="宋体"/>
                <w:color w:val="auto"/>
                <w:kern w:val="0"/>
                <w:sz w:val="20"/>
                <w:szCs w:val="20"/>
              </w:rPr>
              <w:t>88.1</w:t>
            </w:r>
            <w:r>
              <w:rPr>
                <w:rFonts w:hint="eastAsia" w:ascii="宋体" w:hAnsi="宋体" w:cs="宋体"/>
                <w:color w:val="auto"/>
                <w:kern w:val="0"/>
                <w:sz w:val="20"/>
                <w:szCs w:val="20"/>
              </w:rPr>
              <w:t>　</w:t>
            </w:r>
          </w:p>
        </w:tc>
        <w:tc>
          <w:tcPr>
            <w:tcW w:w="2440" w:type="pct"/>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　</w:t>
            </w:r>
          </w:p>
        </w:tc>
      </w:tr>
    </w:tbl>
    <w:p>
      <w:pPr>
        <w:tabs>
          <w:tab w:val="left" w:pos="1838"/>
        </w:tabs>
        <w:rPr>
          <w:rFonts w:ascii="仿宋" w:hAnsi="仿宋" w:eastAsia="仿宋"/>
          <w:color w:val="auto"/>
          <w:sz w:val="32"/>
          <w:szCs w:val="32"/>
        </w:rPr>
        <w:sectPr>
          <w:footerReference r:id="rId3" w:type="default"/>
          <w:pgSz w:w="16838" w:h="11906" w:orient="landscape"/>
          <w:pgMar w:top="1134" w:right="1134" w:bottom="1134" w:left="1134" w:header="851" w:footer="680" w:gutter="0"/>
          <w:cols w:space="720" w:num="1"/>
          <w:docGrid w:type="linesAndChars" w:linePitch="312" w:charSpace="0"/>
        </w:sectPr>
      </w:pPr>
    </w:p>
    <w:p/>
    <w:sectPr>
      <w:pgSz w:w="11906" w:h="16838"/>
      <w:pgMar w:top="1134" w:right="1134" w:bottom="1134" w:left="1134" w:header="851" w:footer="680"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MDA0ZjQ1NjFkZGUxZTIyZDlkYjUxYmQwZjAzYjcifQ=="/>
  </w:docVars>
  <w:rsids>
    <w:rsidRoot w:val="00294110"/>
    <w:rsid w:val="000E6A2D"/>
    <w:rsid w:val="00294110"/>
    <w:rsid w:val="00970772"/>
    <w:rsid w:val="00A7398F"/>
    <w:rsid w:val="00EB151C"/>
    <w:rsid w:val="02ED5065"/>
    <w:rsid w:val="085B1D6F"/>
    <w:rsid w:val="0BC96FF0"/>
    <w:rsid w:val="13225964"/>
    <w:rsid w:val="253D5FB8"/>
    <w:rsid w:val="29D90FEF"/>
    <w:rsid w:val="2E7A61FC"/>
    <w:rsid w:val="34C86EAA"/>
    <w:rsid w:val="392E47B3"/>
    <w:rsid w:val="42244A63"/>
    <w:rsid w:val="4CC21042"/>
    <w:rsid w:val="4CDD5E7C"/>
    <w:rsid w:val="4FFE6835"/>
    <w:rsid w:val="52662470"/>
    <w:rsid w:val="5DB524FD"/>
    <w:rsid w:val="66B861BB"/>
    <w:rsid w:val="7060454A"/>
    <w:rsid w:val="79256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adjustRightInd w:val="0"/>
      <w:snapToGrid w:val="0"/>
      <w:spacing w:before="240" w:after="120" w:line="360" w:lineRule="auto"/>
      <w:ind w:firstLine="643" w:firstLineChars="200"/>
      <w:outlineLvl w:val="0"/>
    </w:pPr>
    <w:rPr>
      <w:rFonts w:ascii="黑体" w:hAnsi="黑体" w:eastAsia="黑体"/>
      <w:b/>
      <w:bCs/>
      <w:kern w:val="44"/>
      <w:sz w:val="32"/>
      <w:szCs w:val="32"/>
    </w:rPr>
  </w:style>
  <w:style w:type="paragraph" w:styleId="4">
    <w:name w:val="heading 2"/>
    <w:basedOn w:val="1"/>
    <w:next w:val="1"/>
    <w:unhideWhenUsed/>
    <w:qFormat/>
    <w:uiPriority w:val="9"/>
    <w:pPr>
      <w:keepNext/>
      <w:keepLines/>
      <w:adjustRightInd w:val="0"/>
      <w:snapToGrid w:val="0"/>
      <w:spacing w:before="240" w:after="120" w:line="360" w:lineRule="auto"/>
      <w:ind w:firstLine="643" w:firstLineChars="200"/>
      <w:outlineLvl w:val="1"/>
    </w:pPr>
    <w:rPr>
      <w:rFonts w:ascii="楷体" w:hAnsi="楷体" w:eastAsia="楷体" w:cstheme="majorBidi"/>
      <w:b/>
      <w:bCs/>
      <w:sz w:val="32"/>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1440" w:rightChars="700"/>
    </w:pPr>
  </w:style>
  <w:style w:type="paragraph" w:styleId="5">
    <w:name w:val="Normal Indent"/>
    <w:basedOn w:val="1"/>
    <w:qFormat/>
    <w:uiPriority w:val="0"/>
    <w:pPr>
      <w:ind w:firstLine="200" w:firstLineChars="200"/>
    </w:pPr>
  </w:style>
  <w:style w:type="paragraph" w:styleId="6">
    <w:name w:val="footer"/>
    <w:basedOn w:val="1"/>
    <w:link w:val="12"/>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1"/>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0">
    <w:name w:val="page number"/>
    <w:qFormat/>
    <w:uiPriority w:val="0"/>
  </w:style>
  <w:style w:type="character" w:customStyle="1" w:styleId="11">
    <w:name w:val="页眉 Char"/>
    <w:basedOn w:val="9"/>
    <w:link w:val="7"/>
    <w:qFormat/>
    <w:uiPriority w:val="99"/>
    <w:rPr>
      <w:sz w:val="18"/>
      <w:szCs w:val="18"/>
    </w:rPr>
  </w:style>
  <w:style w:type="character" w:customStyle="1" w:styleId="12">
    <w:name w:val="页脚 Char"/>
    <w:basedOn w:val="9"/>
    <w:link w:val="6"/>
    <w:qFormat/>
    <w:uiPriority w:val="99"/>
    <w:rPr>
      <w:sz w:val="18"/>
      <w:szCs w:val="18"/>
    </w:rPr>
  </w:style>
  <w:style w:type="character" w:customStyle="1" w:styleId="13">
    <w:name w:val="font11"/>
    <w:basedOn w:val="9"/>
    <w:qFormat/>
    <w:uiPriority w:val="0"/>
    <w:rPr>
      <w:rFonts w:hint="eastAsia" w:ascii="宋体" w:hAnsi="宋体" w:eastAsia="宋体" w:cs="宋体"/>
      <w:color w:val="000000"/>
      <w:sz w:val="18"/>
      <w:szCs w:val="18"/>
      <w:u w:val="none"/>
    </w:rPr>
  </w:style>
  <w:style w:type="paragraph" w:customStyle="1" w:styleId="14">
    <w:name w:val="Table Paragraph"/>
    <w:basedOn w:val="1"/>
    <w:qFormat/>
    <w:uiPriority w:val="1"/>
    <w:pPr>
      <w:jc w:val="left"/>
    </w:pPr>
    <w:rPr>
      <w:rFonts w:asciiTheme="minorHAnsi" w:hAnsiTheme="minorHAnsi" w:eastAsiaTheme="minorEastAsia" w:cstheme="minorBidi"/>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11576</Words>
  <Characters>12166</Characters>
  <Lines>35</Lines>
  <Paragraphs>9</Paragraphs>
  <TotalTime>16</TotalTime>
  <ScaleCrop>false</ScaleCrop>
  <LinksUpToDate>false</LinksUpToDate>
  <CharactersWithSpaces>12210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2023-06-07T07:52:00Z</dcterms:created>
  <dc:creator>崔宇</dc:creator>
  <cp:lastModifiedBy>吕伟</cp:lastModifiedBy>
  <dcterms:modified xsi:type="dcterms:W3CDTF">2023-06-15T00:57:16Z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30379F61F9E2415487B6F0B0CA81A94A_13</vt:lpwstr>
  </property>
</Properties>
</file>