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263" w:rsidRDefault="00A86263" w:rsidP="00A86263">
      <w:pPr>
        <w:spacing w:line="560" w:lineRule="exact"/>
        <w:jc w:val="center"/>
        <w:rPr>
          <w:rFonts w:ascii="方正小标宋简体" w:eastAsia="方正小标宋简体"/>
          <w:sz w:val="36"/>
          <w:szCs w:val="36"/>
        </w:rPr>
      </w:pPr>
      <w:bookmarkStart w:id="0" w:name="_GoBack"/>
      <w:bookmarkEnd w:id="0"/>
      <w:r>
        <w:rPr>
          <w:rFonts w:ascii="方正小标宋简体" w:eastAsia="方正小标宋简体" w:hint="eastAsia"/>
          <w:sz w:val="36"/>
          <w:szCs w:val="36"/>
        </w:rPr>
        <w:t>北京市气象局部门整体绩效评价报告</w:t>
      </w:r>
    </w:p>
    <w:p w:rsidR="00A86263" w:rsidRDefault="00A86263" w:rsidP="00A86263">
      <w:pPr>
        <w:jc w:val="center"/>
        <w:rPr>
          <w:rFonts w:ascii="仿宋_GB2312"/>
          <w:szCs w:val="30"/>
        </w:rPr>
      </w:pPr>
    </w:p>
    <w:p w:rsidR="00A86263" w:rsidRDefault="00A86263" w:rsidP="00A862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A86263" w:rsidRDefault="00A86263" w:rsidP="00A86263">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1.部门职责</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根据《中华人民共和国气象法》和中央机构编制委员会印发的《地方国家气象系统机构改革方案》的有关规定，北京市气象局（以下简称“市气象局”）的主要职责是：</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1）制定地方气象事业发展规划、计划，并负责本行政区域内气象事业发展规划、计划及气象业务建设的组织实施；负责本行政区域内重要气象设施建设项目的审查；对本行政区域内的气象活动进行指导、监督和行业管理。</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（2）按照职责权限审批气象台</w:t>
      </w:r>
      <w:proofErr w:type="gramStart"/>
      <w:r w:rsidRPr="0087729C">
        <w:rPr>
          <w:rFonts w:ascii="仿宋_GB2312" w:eastAsia="仿宋_GB2312" w:hint="eastAsia"/>
          <w:sz w:val="28"/>
          <w:szCs w:val="28"/>
        </w:rPr>
        <w:t>站调整</w:t>
      </w:r>
      <w:proofErr w:type="gramEnd"/>
      <w:r w:rsidRPr="0087729C">
        <w:rPr>
          <w:rFonts w:ascii="仿宋_GB2312" w:eastAsia="仿宋_GB2312" w:hint="eastAsia"/>
          <w:sz w:val="28"/>
          <w:szCs w:val="28"/>
        </w:rPr>
        <w:t>计划，组织管理本行政区域内气象探测资料的汇总、分发；依法保护气象探测环境；管理本行政区域内涉外气象活动。</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（3）在本行政区域内组织对重大灾害性天气跨地区、跨部门的联合监测、预报工作，及时提出气象灾害防御措施，并对重大气象灾害</w:t>
      </w:r>
      <w:proofErr w:type="gramStart"/>
      <w:r w:rsidRPr="0087729C">
        <w:rPr>
          <w:rFonts w:ascii="仿宋_GB2312" w:eastAsia="仿宋_GB2312" w:hint="eastAsia"/>
          <w:sz w:val="28"/>
          <w:szCs w:val="28"/>
        </w:rPr>
        <w:t>作出</w:t>
      </w:r>
      <w:proofErr w:type="gramEnd"/>
      <w:r w:rsidRPr="0087729C">
        <w:rPr>
          <w:rFonts w:ascii="仿宋_GB2312" w:eastAsia="仿宋_GB2312" w:hint="eastAsia"/>
          <w:sz w:val="28"/>
          <w:szCs w:val="28"/>
        </w:rPr>
        <w:t>评估，为本级人民政府组织防御气象灾害提供决策依据；管理本行政区域内公众气象预报、灾害性天气警报以及农业气象预报、城市气象预报、火险等级气象预报等专业气象预报的发布。</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4）制定人工影响天气方案，并在本级人民政府的领导和协调下，管理、指导和实施人工影响天气作业；组织管理雷电灾害防御工作，会同有关部门指导对可能遭受袭击的建筑物、构筑物和其他设施安装的雷电灾害防护装置的监测</w:t>
      </w:r>
      <w:r w:rsidRPr="0087729C">
        <w:rPr>
          <w:rFonts w:ascii="仿宋_GB2312" w:eastAsia="仿宋_GB2312" w:hint="eastAsia"/>
          <w:sz w:val="28"/>
          <w:szCs w:val="28"/>
        </w:rPr>
        <w:lastRenderedPageBreak/>
        <w:t>工作。</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（5）负责向本级人民政府和同级有关部门提出利用、保护气候资源和推广应用气候资源区划等成果的建议；组织对气候资源开发利用项目进行气候可行性论证。</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（6）组织开展气象法制宣传教育，负责监督有关气象法规的实施，对违反《中华人民共和国气象法》有关规定的行为依法进行处罚，承担有关行政复议和行政诉讼。</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7）统一领导和管理本行政区域内气象部门的计划财务、机构编制、人事劳动、科研和培训以及业务建设等工作；会同区县人民政府对所辖气象机构实施以部门为主的双重管理；会同地方党委和人民政府做好当地气象部门的精神文明建设和思想政治工作。</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（8）承担中国气象局和北京市人民政府交办的其它事宜。</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2.机构设置</w:t>
      </w:r>
    </w:p>
    <w:p w:rsidR="00A86263" w:rsidRPr="0087729C"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市气象局为一级预算单位，包括25个二级预算单位，即市气象局本级、9个直属事业单位、14个区气象局以及1个代管事业单位</w:t>
      </w:r>
      <w:r w:rsidR="00B257DA">
        <w:rPr>
          <w:rFonts w:ascii="仿宋_GB2312" w:eastAsia="仿宋_GB2312" w:hint="eastAsia"/>
          <w:sz w:val="28"/>
          <w:szCs w:val="28"/>
        </w:rPr>
        <w:t>北京市人工影响天气中心</w:t>
      </w:r>
      <w:r w:rsidRPr="0087729C">
        <w:rPr>
          <w:rFonts w:ascii="仿宋_GB2312" w:eastAsia="仿宋_GB2312" w:hint="eastAsia"/>
          <w:sz w:val="28"/>
          <w:szCs w:val="28"/>
        </w:rPr>
        <w:t>。其中，</w:t>
      </w:r>
      <w:r w:rsidR="00B257DA">
        <w:rPr>
          <w:rFonts w:ascii="仿宋_GB2312" w:eastAsia="仿宋_GB2312" w:hint="eastAsia"/>
          <w:sz w:val="28"/>
          <w:szCs w:val="28"/>
        </w:rPr>
        <w:t>北京市人工影响天气中心</w:t>
      </w:r>
      <w:r w:rsidRPr="0087729C">
        <w:rPr>
          <w:rFonts w:ascii="仿宋_GB2312" w:eastAsia="仿宋_GB2312" w:hint="eastAsia"/>
          <w:sz w:val="28"/>
          <w:szCs w:val="28"/>
        </w:rPr>
        <w:t>成立于1990年，为北京市农业农村局直属全额拨款事业单位，基本和项目经费纳入北京市财政预算，其日常管理由市气象局代管。</w:t>
      </w:r>
    </w:p>
    <w:p w:rsidR="00A86263" w:rsidRDefault="00A86263" w:rsidP="00A86263">
      <w:pPr>
        <w:pStyle w:val="a0"/>
        <w:ind w:firstLine="560"/>
        <w:rPr>
          <w:rFonts w:ascii="仿宋_GB2312" w:eastAsia="仿宋_GB2312"/>
          <w:sz w:val="28"/>
          <w:szCs w:val="28"/>
        </w:rPr>
      </w:pPr>
      <w:r w:rsidRPr="0087729C">
        <w:rPr>
          <w:rFonts w:ascii="仿宋_GB2312" w:eastAsia="仿宋_GB2312" w:hint="eastAsia"/>
          <w:sz w:val="28"/>
          <w:szCs w:val="28"/>
        </w:rPr>
        <w:t>市气象局内设机构为办公室、观测与预报处、应急减灾处、科技发展处、计划财务处、人事处、政策法规处、党组纪检组、机关党委办公室及离退休干部办公室。直属事业单位为北京市气象台、北京市气候中心、北京城市气象研究院、</w:t>
      </w:r>
      <w:r w:rsidRPr="0087729C">
        <w:rPr>
          <w:rFonts w:ascii="仿宋_GB2312" w:eastAsia="仿宋_GB2312" w:hint="eastAsia"/>
          <w:sz w:val="28"/>
          <w:szCs w:val="28"/>
        </w:rPr>
        <w:lastRenderedPageBreak/>
        <w:t>京津</w:t>
      </w:r>
      <w:proofErr w:type="gramStart"/>
      <w:r w:rsidRPr="0087729C">
        <w:rPr>
          <w:rFonts w:ascii="仿宋_GB2312" w:eastAsia="仿宋_GB2312" w:hint="eastAsia"/>
          <w:sz w:val="28"/>
          <w:szCs w:val="28"/>
        </w:rPr>
        <w:t>冀环境</w:t>
      </w:r>
      <w:proofErr w:type="gramEnd"/>
      <w:r w:rsidRPr="0087729C">
        <w:rPr>
          <w:rFonts w:ascii="仿宋_GB2312" w:eastAsia="仿宋_GB2312" w:hint="eastAsia"/>
          <w:sz w:val="28"/>
          <w:szCs w:val="28"/>
        </w:rPr>
        <w:t>气象预报预警中心、北京市气象服务中心、北京市灾害防御中心、北京市气象信息中心、北京市气象探测中心、北京市气象局机关服务中心。区设气象局为海淀、朝阳、丰台、石景山、门头沟、房山、通州、顺义、大兴、昌平、平谷、怀柔、密云、延庆区气象局。</w:t>
      </w:r>
    </w:p>
    <w:p w:rsidR="00A86263" w:rsidRPr="00DF4CA9" w:rsidRDefault="00A86263" w:rsidP="00A86263">
      <w:pPr>
        <w:pStyle w:val="a0"/>
        <w:ind w:firstLine="560"/>
        <w:rPr>
          <w:rFonts w:ascii="仿宋_GB2312" w:eastAsia="仿宋_GB2312"/>
          <w:sz w:val="28"/>
          <w:szCs w:val="28"/>
        </w:rPr>
      </w:pPr>
      <w:r w:rsidRPr="00DF4CA9">
        <w:rPr>
          <w:rFonts w:ascii="仿宋_GB2312" w:eastAsia="仿宋_GB2312" w:hint="eastAsia"/>
          <w:sz w:val="28"/>
          <w:szCs w:val="28"/>
        </w:rPr>
        <w:t>3.2022年度工作任务</w:t>
      </w:r>
    </w:p>
    <w:p w:rsidR="00A86263" w:rsidRPr="0087729C" w:rsidRDefault="00A86263" w:rsidP="00A86263">
      <w:pPr>
        <w:pStyle w:val="a0"/>
        <w:ind w:firstLine="560"/>
        <w:rPr>
          <w:rFonts w:ascii="仿宋_GB2312" w:eastAsia="仿宋_GB2312"/>
          <w:sz w:val="28"/>
          <w:szCs w:val="28"/>
        </w:rPr>
      </w:pPr>
      <w:r w:rsidRPr="00DF4CA9">
        <w:rPr>
          <w:rFonts w:ascii="仿宋_GB2312" w:eastAsia="仿宋_GB2312" w:hint="eastAsia"/>
          <w:sz w:val="28"/>
          <w:szCs w:val="28"/>
        </w:rPr>
        <w:t>持续贯彻落实党的十九大和十九届二中、三中、四中、五中、六中全会以及习近平总书记关于气象工作的重要指示精神，按照争当气象事业高质量发展和气象强国建设的“排头兵”，争创气象服务经济社会高质量发展的“示范区”的要求,坚持和深化“三型”工作思路，重点在务实、创新上下功夫，珍惜和厚</w:t>
      </w:r>
      <w:proofErr w:type="gramStart"/>
      <w:r w:rsidRPr="00DF4CA9">
        <w:rPr>
          <w:rFonts w:ascii="仿宋_GB2312" w:eastAsia="仿宋_GB2312" w:hint="eastAsia"/>
          <w:sz w:val="28"/>
          <w:szCs w:val="28"/>
        </w:rPr>
        <w:t>植健康</w:t>
      </w:r>
      <w:proofErr w:type="gramEnd"/>
      <w:r w:rsidRPr="00DF4CA9">
        <w:rPr>
          <w:rFonts w:ascii="仿宋_GB2312" w:eastAsia="仿宋_GB2312" w:hint="eastAsia"/>
          <w:sz w:val="28"/>
          <w:szCs w:val="28"/>
        </w:rPr>
        <w:t>的政治生态，不断营造鼓励创新的工作氛围和激励人才发展的良好环境，开创首都气象事业高质量发展新局面。</w:t>
      </w:r>
    </w:p>
    <w:p w:rsidR="00A86263" w:rsidRDefault="00A86263" w:rsidP="00A86263">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A86263" w:rsidRPr="000D13D6" w:rsidRDefault="00A86263" w:rsidP="00A86263">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北京</w:t>
      </w:r>
      <w:r w:rsidRPr="000D13D6">
        <w:rPr>
          <w:rFonts w:ascii="仿宋_GB2312" w:eastAsia="仿宋_GB2312" w:hint="eastAsia"/>
          <w:sz w:val="28"/>
          <w:szCs w:val="28"/>
        </w:rPr>
        <w:t>市气象局依据《北京市“十四五”时期气象事业发展规划》《2022年全市气象局长会议工作报告》中的年度重点工作计划和职责编报了部门整体绩效目标。北京市财政局在批复市气象局2022年度部门预算时，一并批复了部门整体绩效目标，详见表1。</w:t>
      </w: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pStyle w:val="a0"/>
        <w:ind w:firstLine="420"/>
      </w:pPr>
    </w:p>
    <w:p w:rsidR="00A86263" w:rsidRPr="000D13D6" w:rsidRDefault="00A86263" w:rsidP="00A86263">
      <w:pPr>
        <w:pStyle w:val="a0"/>
        <w:ind w:firstLine="420"/>
      </w:pP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adjustRightInd w:val="0"/>
        <w:snapToGrid w:val="0"/>
        <w:spacing w:line="360" w:lineRule="auto"/>
        <w:ind w:firstLineChars="200" w:firstLine="560"/>
        <w:jc w:val="center"/>
        <w:rPr>
          <w:rFonts w:ascii="黑体" w:eastAsia="黑体" w:hAnsi="黑体"/>
          <w:sz w:val="28"/>
          <w:szCs w:val="28"/>
        </w:rPr>
      </w:pPr>
    </w:p>
    <w:p w:rsidR="00A86263" w:rsidRDefault="00A86263" w:rsidP="00A86263">
      <w:pPr>
        <w:pStyle w:val="a0"/>
        <w:ind w:firstLine="420"/>
      </w:pPr>
    </w:p>
    <w:p w:rsidR="00A86263" w:rsidRDefault="00A86263" w:rsidP="00A86263">
      <w:pPr>
        <w:adjustRightInd w:val="0"/>
        <w:snapToGrid w:val="0"/>
        <w:spacing w:line="360" w:lineRule="auto"/>
        <w:ind w:firstLineChars="200" w:firstLine="560"/>
        <w:jc w:val="center"/>
        <w:rPr>
          <w:rFonts w:ascii="仿宋_GB2312" w:eastAsia="仿宋_GB2312" w:hAnsi="Arial" w:cs="Arial"/>
          <w:kern w:val="0"/>
          <w:sz w:val="32"/>
          <w:szCs w:val="32"/>
        </w:rPr>
      </w:pPr>
      <w:r>
        <w:rPr>
          <w:rFonts w:ascii="黑体" w:eastAsia="黑体" w:hAnsi="黑体" w:hint="eastAsia"/>
          <w:sz w:val="28"/>
          <w:szCs w:val="28"/>
        </w:rPr>
        <w:t>表1：北京市气象局2022年度部门整体绩效目标表</w:t>
      </w:r>
    </w:p>
    <w:tbl>
      <w:tblPr>
        <w:tblW w:w="8744" w:type="dxa"/>
        <w:jc w:val="center"/>
        <w:tblLook w:val="04A0" w:firstRow="1" w:lastRow="0" w:firstColumn="1" w:lastColumn="0" w:noHBand="0" w:noVBand="1"/>
      </w:tblPr>
      <w:tblGrid>
        <w:gridCol w:w="1791"/>
        <w:gridCol w:w="1343"/>
        <w:gridCol w:w="2062"/>
        <w:gridCol w:w="1703"/>
        <w:gridCol w:w="1845"/>
      </w:tblGrid>
      <w:tr w:rsidR="00A86263" w:rsidTr="004A4B5D">
        <w:trPr>
          <w:trHeight w:val="427"/>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部门（单位）名称</w:t>
            </w:r>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北京市气象局</w:t>
            </w:r>
          </w:p>
        </w:tc>
      </w:tr>
      <w:tr w:rsidR="00A86263" w:rsidTr="004A4B5D">
        <w:trPr>
          <w:trHeight w:val="291"/>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Pr="006F0EF9" w:rsidRDefault="00A86263" w:rsidP="004A4B5D">
            <w:pPr>
              <w:widowControl/>
              <w:jc w:val="center"/>
              <w:textAlignment w:val="center"/>
              <w:rPr>
                <w:rFonts w:ascii="宋体" w:hAnsi="宋体" w:cs="宋体"/>
                <w:color w:val="000000"/>
                <w:sz w:val="16"/>
                <w:szCs w:val="16"/>
              </w:rPr>
            </w:pPr>
            <w:r w:rsidRPr="006F0EF9">
              <w:rPr>
                <w:rFonts w:ascii="宋体" w:hAnsi="宋体" w:cs="宋体"/>
                <w:color w:val="000000"/>
                <w:kern w:val="0"/>
                <w:sz w:val="16"/>
                <w:szCs w:val="16"/>
              </w:rPr>
              <w:t>部门（单位）负责人</w:t>
            </w:r>
          </w:p>
        </w:tc>
        <w:tc>
          <w:tcPr>
            <w:tcW w:w="3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张祖强</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联系电话</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68400739</w:t>
            </w:r>
          </w:p>
        </w:tc>
      </w:tr>
      <w:tr w:rsidR="00A86263" w:rsidTr="004A4B5D">
        <w:trPr>
          <w:trHeight w:val="395"/>
          <w:jc w:val="center"/>
        </w:trPr>
        <w:tc>
          <w:tcPr>
            <w:tcW w:w="17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部门（单位）总体资金情况(万元）</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资金总体</w:t>
            </w:r>
          </w:p>
        </w:tc>
        <w:tc>
          <w:tcPr>
            <w:tcW w:w="5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right"/>
              <w:textAlignment w:val="center"/>
              <w:rPr>
                <w:rFonts w:ascii="宋体" w:hAnsi="宋体" w:cs="宋体"/>
                <w:color w:val="000000"/>
                <w:sz w:val="20"/>
                <w:szCs w:val="20"/>
              </w:rPr>
            </w:pPr>
            <w:r w:rsidRPr="00757D2E">
              <w:rPr>
                <w:rFonts w:ascii="宋体" w:hAnsi="宋体" w:cs="宋体" w:hint="eastAsia"/>
                <w:color w:val="000000"/>
                <w:kern w:val="0"/>
                <w:sz w:val="20"/>
                <w:szCs w:val="20"/>
              </w:rPr>
              <w:t>14,114.36</w:t>
            </w:r>
            <w:r w:rsidRPr="00757D2E">
              <w:rPr>
                <w:rStyle w:val="a7"/>
                <w:rFonts w:ascii="宋体" w:hAnsi="宋体" w:cs="宋体"/>
                <w:color w:val="000000"/>
                <w:kern w:val="0"/>
                <w:sz w:val="20"/>
                <w:szCs w:val="20"/>
              </w:rPr>
              <w:footnoteReference w:id="1"/>
            </w:r>
          </w:p>
        </w:tc>
      </w:tr>
      <w:tr w:rsidR="00A86263" w:rsidTr="004A4B5D">
        <w:trPr>
          <w:trHeight w:val="401"/>
          <w:jc w:val="center"/>
        </w:trPr>
        <w:tc>
          <w:tcPr>
            <w:tcW w:w="17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jc w:val="center"/>
              <w:rPr>
                <w:rFonts w:ascii="宋体" w:hAnsi="宋体" w:cs="宋体"/>
                <w:color w:val="000000"/>
                <w:sz w:val="20"/>
                <w:szCs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基本支出</w:t>
            </w:r>
          </w:p>
        </w:tc>
        <w:tc>
          <w:tcPr>
            <w:tcW w:w="5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9D5B29">
            <w:pPr>
              <w:widowControl/>
              <w:jc w:val="right"/>
              <w:textAlignment w:val="center"/>
              <w:rPr>
                <w:rFonts w:ascii="宋体" w:hAnsi="宋体" w:cs="宋体"/>
                <w:color w:val="000000"/>
                <w:sz w:val="20"/>
                <w:szCs w:val="20"/>
              </w:rPr>
            </w:pPr>
            <w:r>
              <w:rPr>
                <w:rFonts w:ascii="宋体" w:hAnsi="宋体" w:cs="宋体" w:hint="eastAsia"/>
                <w:color w:val="000000"/>
                <w:sz w:val="20"/>
                <w:szCs w:val="20"/>
              </w:rPr>
              <w:t>1,726.3</w:t>
            </w:r>
            <w:r w:rsidR="009D5B29">
              <w:rPr>
                <w:rFonts w:ascii="宋体" w:hAnsi="宋体" w:cs="宋体" w:hint="eastAsia"/>
                <w:color w:val="000000"/>
                <w:sz w:val="20"/>
                <w:szCs w:val="20"/>
              </w:rPr>
              <w:t>5</w:t>
            </w:r>
          </w:p>
        </w:tc>
      </w:tr>
      <w:tr w:rsidR="00A86263" w:rsidTr="004A4B5D">
        <w:trPr>
          <w:trHeight w:val="420"/>
          <w:jc w:val="center"/>
        </w:trPr>
        <w:tc>
          <w:tcPr>
            <w:tcW w:w="17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jc w:val="center"/>
              <w:rPr>
                <w:rFonts w:ascii="宋体" w:hAnsi="宋体" w:cs="宋体"/>
                <w:color w:val="000000"/>
                <w:sz w:val="20"/>
                <w:szCs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项目支出</w:t>
            </w:r>
          </w:p>
        </w:tc>
        <w:tc>
          <w:tcPr>
            <w:tcW w:w="5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right"/>
              <w:textAlignment w:val="center"/>
              <w:rPr>
                <w:rFonts w:ascii="宋体" w:hAnsi="宋体" w:cs="宋体"/>
                <w:color w:val="000000"/>
                <w:sz w:val="20"/>
                <w:szCs w:val="20"/>
              </w:rPr>
            </w:pPr>
            <w:r>
              <w:rPr>
                <w:rFonts w:ascii="宋体" w:hAnsi="宋体" w:cs="宋体" w:hint="eastAsia"/>
                <w:color w:val="000000"/>
                <w:sz w:val="20"/>
                <w:szCs w:val="20"/>
              </w:rPr>
              <w:t>12,388.01</w:t>
            </w:r>
          </w:p>
        </w:tc>
      </w:tr>
      <w:tr w:rsidR="00A86263" w:rsidTr="004A4B5D">
        <w:trPr>
          <w:trHeight w:val="412"/>
          <w:jc w:val="center"/>
        </w:trPr>
        <w:tc>
          <w:tcPr>
            <w:tcW w:w="17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jc w:val="center"/>
              <w:rPr>
                <w:rFonts w:ascii="宋体" w:hAnsi="宋体" w:cs="宋体"/>
                <w:color w:val="000000"/>
                <w:sz w:val="20"/>
                <w:szCs w:val="20"/>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其他</w:t>
            </w:r>
          </w:p>
        </w:tc>
        <w:tc>
          <w:tcPr>
            <w:tcW w:w="5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9D5B29" w:rsidP="004A4B5D">
            <w:pPr>
              <w:widowControl/>
              <w:jc w:val="right"/>
              <w:textAlignment w:val="center"/>
              <w:rPr>
                <w:rFonts w:ascii="宋体" w:hAnsi="宋体" w:cs="宋体"/>
                <w:color w:val="000000"/>
                <w:sz w:val="20"/>
                <w:szCs w:val="20"/>
              </w:rPr>
            </w:pPr>
            <w:r>
              <w:rPr>
                <w:rFonts w:ascii="宋体" w:hAnsi="宋体" w:cs="宋体" w:hint="eastAsia"/>
                <w:color w:val="000000"/>
                <w:sz w:val="20"/>
                <w:szCs w:val="20"/>
              </w:rPr>
              <w:t>0</w:t>
            </w:r>
            <w:r w:rsidR="00A86263">
              <w:rPr>
                <w:rFonts w:ascii="宋体" w:hAnsi="宋体" w:cs="宋体" w:hint="eastAsia"/>
                <w:color w:val="000000"/>
                <w:sz w:val="20"/>
                <w:szCs w:val="20"/>
              </w:rPr>
              <w:t>.00</w:t>
            </w:r>
          </w:p>
        </w:tc>
      </w:tr>
      <w:tr w:rsidR="00A86263" w:rsidTr="004A4B5D">
        <w:trPr>
          <w:trHeight w:val="624"/>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部门（单位）绩效目标</w:t>
            </w:r>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color w:val="000000"/>
                <w:sz w:val="20"/>
                <w:szCs w:val="20"/>
              </w:rPr>
            </w:pPr>
            <w:r>
              <w:rPr>
                <w:rFonts w:hint="eastAsia"/>
                <w:sz w:val="20"/>
                <w:szCs w:val="20"/>
              </w:rPr>
              <w:t>落实中国气象局和北京市委市政府各项工作部署，全力保障冬奥气象服务，全面提升气象服务首都高质量发展能力。</w:t>
            </w:r>
          </w:p>
        </w:tc>
      </w:tr>
      <w:tr w:rsidR="00A86263" w:rsidTr="004A4B5D">
        <w:trPr>
          <w:trHeight w:val="356"/>
          <w:jc w:val="center"/>
        </w:trPr>
        <w:tc>
          <w:tcPr>
            <w:tcW w:w="87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b/>
                <w:bCs/>
                <w:color w:val="000000"/>
                <w:sz w:val="20"/>
                <w:szCs w:val="20"/>
              </w:rPr>
            </w:pPr>
            <w:r>
              <w:rPr>
                <w:rFonts w:ascii="宋体" w:hAnsi="宋体" w:cs="宋体"/>
                <w:b/>
                <w:bCs/>
                <w:color w:val="000000"/>
                <w:kern w:val="0"/>
                <w:sz w:val="20"/>
                <w:szCs w:val="20"/>
              </w:rPr>
              <w:t>绩效指标</w:t>
            </w:r>
          </w:p>
        </w:tc>
      </w:tr>
      <w:tr w:rsidR="00A86263" w:rsidTr="004A4B5D">
        <w:trPr>
          <w:trHeight w:val="418"/>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绩效指标</w:t>
            </w:r>
            <w:proofErr w:type="gramStart"/>
            <w:r>
              <w:rPr>
                <w:rFonts w:ascii="宋体" w:hAnsi="宋体" w:cs="宋体"/>
                <w:color w:val="000000"/>
                <w:kern w:val="0"/>
                <w:sz w:val="20"/>
                <w:szCs w:val="20"/>
              </w:rPr>
              <w:t>一</w:t>
            </w:r>
            <w:proofErr w:type="gramEnd"/>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气象服务活动中完成大型活动保障1次</w:t>
            </w:r>
          </w:p>
        </w:tc>
      </w:tr>
      <w:tr w:rsidR="00A86263" w:rsidTr="004A4B5D">
        <w:trPr>
          <w:trHeight w:val="410"/>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绩效指标二</w:t>
            </w:r>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科普管理活动中获得服务对象满意度：好。</w:t>
            </w:r>
          </w:p>
        </w:tc>
      </w:tr>
      <w:tr w:rsidR="00A86263" w:rsidTr="004A4B5D">
        <w:trPr>
          <w:trHeight w:val="416"/>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绩效指标三</w:t>
            </w:r>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color w:val="000000"/>
                <w:sz w:val="20"/>
                <w:szCs w:val="20"/>
              </w:rPr>
            </w:pPr>
            <w:r>
              <w:rPr>
                <w:rFonts w:hint="eastAsia"/>
                <w:sz w:val="20"/>
                <w:szCs w:val="20"/>
              </w:rPr>
              <w:t>高质量发展</w:t>
            </w:r>
          </w:p>
        </w:tc>
      </w:tr>
      <w:tr w:rsidR="00A86263" w:rsidTr="004A4B5D">
        <w:trPr>
          <w:trHeight w:val="409"/>
          <w:jc w:val="center"/>
        </w:trPr>
        <w:tc>
          <w:tcPr>
            <w:tcW w:w="1791" w:type="dxa"/>
            <w:tcBorders>
              <w:top w:val="single" w:sz="4" w:space="0" w:color="000000"/>
              <w:left w:val="single" w:sz="4" w:space="0" w:color="000000"/>
              <w:bottom w:val="nil"/>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绩效指标四</w:t>
            </w:r>
          </w:p>
        </w:tc>
        <w:tc>
          <w:tcPr>
            <w:tcW w:w="6953" w:type="dxa"/>
            <w:gridSpan w:val="4"/>
            <w:tcBorders>
              <w:top w:val="single" w:sz="4" w:space="0" w:color="000000"/>
              <w:left w:val="single" w:sz="4" w:space="0" w:color="000000"/>
              <w:bottom w:val="nil"/>
              <w:right w:val="single" w:sz="4" w:space="0" w:color="000000"/>
            </w:tcBorders>
            <w:shd w:val="clear" w:color="auto" w:fill="auto"/>
            <w:vAlign w:val="center"/>
          </w:tcPr>
          <w:p w:rsidR="00A86263" w:rsidRDefault="00A86263" w:rsidP="004A4B5D">
            <w:pPr>
              <w:widowControl/>
              <w:jc w:val="left"/>
              <w:textAlignment w:val="center"/>
              <w:rPr>
                <w:rFonts w:ascii="宋体" w:hAnsi="宋体" w:cs="宋体"/>
                <w:color w:val="000000"/>
                <w:sz w:val="20"/>
                <w:szCs w:val="20"/>
              </w:rPr>
            </w:pPr>
            <w:r>
              <w:rPr>
                <w:rFonts w:hint="eastAsia"/>
                <w:sz w:val="20"/>
                <w:szCs w:val="20"/>
              </w:rPr>
              <w:t>做好各项气象服务</w:t>
            </w:r>
          </w:p>
        </w:tc>
      </w:tr>
      <w:tr w:rsidR="00A86263" w:rsidTr="004A4B5D">
        <w:trPr>
          <w:trHeight w:val="624"/>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widowControl/>
              <w:jc w:val="center"/>
              <w:textAlignment w:val="center"/>
              <w:rPr>
                <w:rFonts w:ascii="宋体" w:hAnsi="宋体" w:cs="宋体"/>
                <w:color w:val="000000"/>
                <w:sz w:val="20"/>
                <w:szCs w:val="20"/>
              </w:rPr>
            </w:pPr>
            <w:r>
              <w:rPr>
                <w:rFonts w:ascii="宋体" w:hAnsi="宋体" w:cs="宋体"/>
                <w:color w:val="000000"/>
                <w:kern w:val="0"/>
                <w:sz w:val="20"/>
                <w:szCs w:val="20"/>
              </w:rPr>
              <w:t>其他说明的问题</w:t>
            </w:r>
          </w:p>
        </w:tc>
        <w:tc>
          <w:tcPr>
            <w:tcW w:w="69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86263" w:rsidRDefault="00A86263" w:rsidP="004A4B5D">
            <w:pPr>
              <w:jc w:val="left"/>
              <w:rPr>
                <w:rFonts w:ascii="宋体" w:hAnsi="宋体" w:cs="宋体"/>
                <w:color w:val="000000"/>
                <w:sz w:val="20"/>
                <w:szCs w:val="20"/>
              </w:rPr>
            </w:pPr>
            <w:r>
              <w:rPr>
                <w:rFonts w:ascii="宋体" w:hAnsi="宋体" w:cs="宋体" w:hint="eastAsia"/>
                <w:color w:val="000000"/>
                <w:sz w:val="20"/>
                <w:szCs w:val="20"/>
              </w:rPr>
              <w:t>无。</w:t>
            </w:r>
          </w:p>
        </w:tc>
      </w:tr>
    </w:tbl>
    <w:p w:rsidR="00A86263" w:rsidRPr="000D13D6" w:rsidRDefault="00A86263" w:rsidP="00A86263">
      <w:pPr>
        <w:pStyle w:val="a0"/>
        <w:ind w:firstLine="420"/>
      </w:pPr>
    </w:p>
    <w:p w:rsidR="00A86263" w:rsidRDefault="00A86263" w:rsidP="00A86263">
      <w:pPr>
        <w:adjustRightInd w:val="0"/>
        <w:snapToGrid w:val="0"/>
        <w:spacing w:line="360" w:lineRule="auto"/>
        <w:ind w:firstLineChars="200" w:firstLine="640"/>
        <w:rPr>
          <w:rFonts w:ascii="仿宋_GB2312" w:eastAsia="仿宋_GB2312" w:hAnsi="Arial" w:cs="Arial"/>
          <w:kern w:val="0"/>
          <w:sz w:val="32"/>
          <w:szCs w:val="32"/>
        </w:rPr>
      </w:pPr>
    </w:p>
    <w:p w:rsidR="00A86263" w:rsidRDefault="00A86263" w:rsidP="00A86263">
      <w:pPr>
        <w:adjustRightInd w:val="0"/>
        <w:snapToGrid w:val="0"/>
        <w:spacing w:line="360" w:lineRule="auto"/>
        <w:ind w:firstLineChars="200" w:firstLine="640"/>
        <w:rPr>
          <w:rFonts w:ascii="仿宋_GB2312" w:eastAsia="仿宋_GB2312" w:hAnsi="Arial" w:cs="Arial"/>
          <w:kern w:val="0"/>
          <w:sz w:val="32"/>
          <w:szCs w:val="32"/>
        </w:rPr>
      </w:pPr>
      <w:r>
        <w:rPr>
          <w:rFonts w:ascii="仿宋_GB2312" w:eastAsia="仿宋_GB2312" w:hAnsi="Arial" w:cs="Arial" w:hint="eastAsia"/>
          <w:kern w:val="0"/>
          <w:sz w:val="32"/>
          <w:szCs w:val="32"/>
        </w:rPr>
        <w:lastRenderedPageBreak/>
        <w:t>市气象局设定的2022年度部门整体绩效目标与部门职能、气象事业发展规划较匹配，绩效指标与绩效目标较相关。</w:t>
      </w:r>
    </w:p>
    <w:p w:rsidR="00A86263" w:rsidRDefault="00A86263" w:rsidP="00A862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A86263" w:rsidRDefault="00A86263" w:rsidP="00A86263">
      <w:pPr>
        <w:spacing w:line="600" w:lineRule="exact"/>
        <w:ind w:firstLineChars="200" w:firstLine="640"/>
        <w:rPr>
          <w:rFonts w:ascii="仿宋_GB2312" w:eastAsia="仿宋_GB2312" w:hAnsi="宋体" w:cs="宋体"/>
          <w:color w:val="000000"/>
          <w:kern w:val="0"/>
          <w:sz w:val="32"/>
          <w:szCs w:val="32"/>
        </w:rPr>
      </w:pPr>
      <w:r w:rsidRPr="006B7887">
        <w:rPr>
          <w:rFonts w:ascii="仿宋_GB2312" w:eastAsia="仿宋_GB2312" w:hAnsi="宋体" w:cs="宋体" w:hint="eastAsia"/>
          <w:color w:val="000000"/>
          <w:kern w:val="0"/>
          <w:sz w:val="32"/>
          <w:szCs w:val="32"/>
        </w:rPr>
        <w:t>2022年全年预算数18919.52万元，其中，基本支出预算数1804.28万元，项目支出预算数17115.2</w:t>
      </w:r>
      <w:r w:rsidR="00D64B96">
        <w:rPr>
          <w:rFonts w:ascii="仿宋_GB2312" w:eastAsia="仿宋_GB2312" w:hAnsi="宋体" w:cs="宋体" w:hint="eastAsia"/>
          <w:color w:val="000000"/>
          <w:kern w:val="0"/>
          <w:sz w:val="32"/>
          <w:szCs w:val="32"/>
        </w:rPr>
        <w:t>4</w:t>
      </w:r>
      <w:r w:rsidRPr="006B7887">
        <w:rPr>
          <w:rFonts w:ascii="仿宋_GB2312" w:eastAsia="仿宋_GB2312" w:hAnsi="宋体" w:cs="宋体" w:hint="eastAsia"/>
          <w:color w:val="000000"/>
          <w:kern w:val="0"/>
          <w:sz w:val="32"/>
          <w:szCs w:val="32"/>
        </w:rPr>
        <w:t>万元。资金总体支出17875.76万元，预算执行率为94.48%，其中，基本支出1606.66万元，预算执行率为89.05%；项目支出16269.1</w:t>
      </w:r>
      <w:r w:rsidR="00D134E5">
        <w:rPr>
          <w:rFonts w:ascii="仿宋_GB2312" w:eastAsia="仿宋_GB2312" w:hAnsi="宋体" w:cs="宋体" w:hint="eastAsia"/>
          <w:color w:val="000000"/>
          <w:kern w:val="0"/>
          <w:sz w:val="32"/>
          <w:szCs w:val="32"/>
        </w:rPr>
        <w:t>0</w:t>
      </w:r>
      <w:r w:rsidRPr="006B7887">
        <w:rPr>
          <w:rFonts w:ascii="仿宋_GB2312" w:eastAsia="仿宋_GB2312" w:hAnsi="宋体" w:cs="宋体" w:hint="eastAsia"/>
          <w:color w:val="000000"/>
          <w:kern w:val="0"/>
          <w:sz w:val="32"/>
          <w:szCs w:val="32"/>
        </w:rPr>
        <w:t>万元，预算执行率为95.06%。</w:t>
      </w:r>
    </w:p>
    <w:p w:rsidR="00A86263" w:rsidRDefault="00A86263" w:rsidP="00A8626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A86263" w:rsidRDefault="00A86263" w:rsidP="00A862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A86263" w:rsidRPr="006A570B" w:rsidRDefault="00A86263" w:rsidP="00A86263">
      <w:pPr>
        <w:pStyle w:val="a0"/>
        <w:ind w:firstLine="640"/>
        <w:rPr>
          <w:rFonts w:ascii="仿宋_GB2312" w:eastAsia="仿宋_GB2312" w:hAnsi="宋体" w:cs="宋体"/>
          <w:color w:val="000000"/>
          <w:kern w:val="0"/>
          <w:sz w:val="32"/>
          <w:szCs w:val="32"/>
        </w:rPr>
      </w:pPr>
      <w:r w:rsidRPr="006A570B">
        <w:rPr>
          <w:rFonts w:ascii="仿宋_GB2312" w:eastAsia="仿宋_GB2312" w:hAnsi="宋体" w:cs="宋体" w:hint="eastAsia"/>
          <w:color w:val="000000"/>
          <w:kern w:val="0"/>
          <w:sz w:val="32"/>
          <w:szCs w:val="32"/>
        </w:rPr>
        <w:t>2022年市气象局重点任务基本完成，具体情况如下：</w:t>
      </w:r>
    </w:p>
    <w:p w:rsidR="00A86263" w:rsidRDefault="00A86263" w:rsidP="00A86263">
      <w:pPr>
        <w:pStyle w:val="a0"/>
        <w:ind w:firstLine="640"/>
        <w:rPr>
          <w:rFonts w:ascii="仿宋_GB2312" w:eastAsia="仿宋_GB2312" w:hAnsi="宋体" w:cs="宋体"/>
          <w:color w:val="000000"/>
          <w:kern w:val="0"/>
          <w:sz w:val="32"/>
          <w:szCs w:val="32"/>
        </w:rPr>
      </w:pPr>
      <w:r w:rsidRPr="006A570B">
        <w:rPr>
          <w:rFonts w:ascii="仿宋_GB2312" w:eastAsia="仿宋_GB2312" w:hAnsi="宋体" w:cs="宋体" w:hint="eastAsia"/>
          <w:color w:val="000000"/>
          <w:kern w:val="0"/>
          <w:sz w:val="32"/>
          <w:szCs w:val="32"/>
        </w:rPr>
        <w:t>气象监测、预报方面，完成冬奥会8个竞赛场馆及7个非竞赛场馆的高影响天气预报，科学支撑由于天气原因的15次赛程调整。完成党的二十大、全国“两会”、</w:t>
      </w:r>
      <w:proofErr w:type="gramStart"/>
      <w:r w:rsidRPr="006A570B">
        <w:rPr>
          <w:rFonts w:ascii="仿宋_GB2312" w:eastAsia="仿宋_GB2312" w:hAnsi="宋体" w:cs="宋体" w:hint="eastAsia"/>
          <w:color w:val="000000"/>
          <w:kern w:val="0"/>
          <w:sz w:val="32"/>
          <w:szCs w:val="32"/>
        </w:rPr>
        <w:t>服贸会</w:t>
      </w:r>
      <w:proofErr w:type="gramEnd"/>
      <w:r w:rsidRPr="006A570B">
        <w:rPr>
          <w:rFonts w:ascii="仿宋_GB2312" w:eastAsia="仿宋_GB2312" w:hAnsi="宋体" w:cs="宋体" w:hint="eastAsia"/>
          <w:color w:val="000000"/>
          <w:kern w:val="0"/>
          <w:sz w:val="32"/>
          <w:szCs w:val="32"/>
        </w:rPr>
        <w:t>等其他30余项重大活动保障任务。首次实现在我国中纬度山区复杂地形下开展冬季多维度气象综合观测、复杂山地“百米级、分钟级”精细化气象预报、冬奥专用气象信息报告的全自动化以及首次部署“云+端”核心业务系统。初步实现气象服务由“外挂式”向“嵌入式”转变，数字化气象服务赋能行业覆盖率达35%。</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highlight w:val="yellow"/>
        </w:rPr>
      </w:pPr>
      <w:r w:rsidRPr="006A570B">
        <w:rPr>
          <w:rFonts w:ascii="仿宋_GB2312" w:eastAsia="仿宋_GB2312" w:hAnsi="宋体" w:cs="宋体" w:hint="eastAsia"/>
          <w:color w:val="000000"/>
          <w:kern w:val="0"/>
          <w:sz w:val="32"/>
          <w:szCs w:val="32"/>
        </w:rPr>
        <w:t>气象探测设施设备维护方面，</w:t>
      </w:r>
      <w:r>
        <w:rPr>
          <w:rFonts w:ascii="仿宋_GB2312" w:eastAsia="仿宋_GB2312" w:hAnsi="宋体" w:cs="宋体" w:hint="eastAsia"/>
          <w:color w:val="000000"/>
          <w:kern w:val="0"/>
          <w:sz w:val="32"/>
          <w:szCs w:val="32"/>
        </w:rPr>
        <w:t>维持对空作业空域申报系统等</w:t>
      </w:r>
      <w:r w:rsidR="00A07763">
        <w:rPr>
          <w:rFonts w:ascii="仿宋_GB2312" w:eastAsia="仿宋_GB2312" w:hAnsi="宋体" w:cs="宋体" w:hint="eastAsia"/>
          <w:color w:val="000000"/>
          <w:kern w:val="0"/>
          <w:sz w:val="32"/>
          <w:szCs w:val="32"/>
        </w:rPr>
        <w:t>多</w:t>
      </w:r>
      <w:r>
        <w:rPr>
          <w:rFonts w:ascii="仿宋_GB2312" w:eastAsia="仿宋_GB2312" w:hAnsi="宋体" w:cs="宋体" w:hint="eastAsia"/>
          <w:color w:val="000000"/>
          <w:kern w:val="0"/>
          <w:sz w:val="32"/>
          <w:szCs w:val="32"/>
        </w:rPr>
        <w:t>条专线正常运转，保证雷达伺服、发射、</w:t>
      </w:r>
      <w:r>
        <w:rPr>
          <w:rFonts w:ascii="仿宋_GB2312" w:eastAsia="仿宋_GB2312" w:hAnsi="宋体" w:cs="宋体" w:hint="eastAsia"/>
          <w:color w:val="000000"/>
          <w:kern w:val="0"/>
          <w:sz w:val="32"/>
          <w:szCs w:val="32"/>
        </w:rPr>
        <w:lastRenderedPageBreak/>
        <w:t>工控、接收、天线</w:t>
      </w:r>
      <w:r w:rsidR="00A07763">
        <w:rPr>
          <w:rFonts w:ascii="仿宋_GB2312" w:eastAsia="仿宋_GB2312" w:hAnsi="宋体" w:cs="宋体" w:hint="eastAsia"/>
          <w:color w:val="000000"/>
          <w:kern w:val="0"/>
          <w:sz w:val="32"/>
          <w:szCs w:val="32"/>
        </w:rPr>
        <w:t>多</w:t>
      </w:r>
      <w:r w:rsidR="00586721">
        <w:rPr>
          <w:rFonts w:ascii="仿宋_GB2312" w:eastAsia="仿宋_GB2312" w:hAnsi="宋体" w:cs="宋体" w:hint="eastAsia"/>
          <w:color w:val="000000"/>
          <w:kern w:val="0"/>
          <w:sz w:val="32"/>
          <w:szCs w:val="32"/>
        </w:rPr>
        <w:t>个分机正常运行，</w:t>
      </w:r>
      <w:r>
        <w:rPr>
          <w:rFonts w:ascii="仿宋_GB2312" w:eastAsia="仿宋_GB2312" w:hAnsi="宋体" w:cs="宋体" w:hint="eastAsia"/>
          <w:color w:val="000000"/>
          <w:kern w:val="0"/>
          <w:sz w:val="32"/>
          <w:szCs w:val="32"/>
        </w:rPr>
        <w:t>保障X波段雷达、</w:t>
      </w:r>
      <w:proofErr w:type="gramStart"/>
      <w:r>
        <w:rPr>
          <w:rFonts w:ascii="仿宋_GB2312" w:eastAsia="仿宋_GB2312" w:hAnsi="宋体" w:cs="宋体" w:hint="eastAsia"/>
          <w:color w:val="000000"/>
          <w:kern w:val="0"/>
          <w:sz w:val="32"/>
          <w:szCs w:val="32"/>
        </w:rPr>
        <w:t>车载云</w:t>
      </w:r>
      <w:proofErr w:type="gramEnd"/>
      <w:r>
        <w:rPr>
          <w:rFonts w:ascii="仿宋_GB2312" w:eastAsia="仿宋_GB2312" w:hAnsi="宋体" w:cs="宋体" w:hint="eastAsia"/>
          <w:color w:val="000000"/>
          <w:kern w:val="0"/>
          <w:sz w:val="32"/>
          <w:szCs w:val="32"/>
        </w:rPr>
        <w:t>雷达、车载风廓线、激光雷达、微雨雷达、全天空成像仪、微波辐射计和成像雨滴谱仪等</w:t>
      </w:r>
      <w:r w:rsidR="00A07763">
        <w:rPr>
          <w:rFonts w:ascii="仿宋_GB2312" w:eastAsia="仿宋_GB2312" w:hAnsi="宋体" w:cs="宋体" w:hint="eastAsia"/>
          <w:color w:val="000000"/>
          <w:kern w:val="0"/>
          <w:sz w:val="32"/>
          <w:szCs w:val="32"/>
        </w:rPr>
        <w:t>多</w:t>
      </w:r>
      <w:r>
        <w:rPr>
          <w:rFonts w:ascii="仿宋_GB2312" w:eastAsia="仿宋_GB2312" w:hAnsi="宋体" w:cs="宋体" w:hint="eastAsia"/>
          <w:color w:val="000000"/>
          <w:kern w:val="0"/>
          <w:sz w:val="32"/>
          <w:szCs w:val="32"/>
        </w:rPr>
        <w:t>套设备整体正常运行，各探测设备保养</w:t>
      </w:r>
      <w:proofErr w:type="gramStart"/>
      <w:r>
        <w:rPr>
          <w:rFonts w:ascii="仿宋_GB2312" w:eastAsia="仿宋_GB2312" w:hAnsi="宋体" w:cs="宋体" w:hint="eastAsia"/>
          <w:color w:val="000000"/>
          <w:kern w:val="0"/>
          <w:sz w:val="32"/>
          <w:szCs w:val="32"/>
        </w:rPr>
        <w:t>维护按</w:t>
      </w:r>
      <w:proofErr w:type="gramEnd"/>
      <w:r>
        <w:rPr>
          <w:rFonts w:ascii="仿宋_GB2312" w:eastAsia="仿宋_GB2312" w:hAnsi="宋体" w:cs="宋体" w:hint="eastAsia"/>
          <w:color w:val="000000"/>
          <w:kern w:val="0"/>
          <w:sz w:val="32"/>
          <w:szCs w:val="32"/>
        </w:rPr>
        <w:t>年度计划完成。</w:t>
      </w:r>
    </w:p>
    <w:p w:rsidR="00A86263" w:rsidRPr="006A570B" w:rsidRDefault="00A86263" w:rsidP="00A86263">
      <w:pPr>
        <w:pStyle w:val="a0"/>
        <w:ind w:firstLine="640"/>
        <w:rPr>
          <w:rFonts w:ascii="仿宋_GB2312" w:eastAsia="仿宋_GB2312" w:hAnsi="宋体" w:cs="宋体"/>
          <w:color w:val="000000"/>
          <w:kern w:val="0"/>
          <w:sz w:val="32"/>
          <w:szCs w:val="32"/>
        </w:rPr>
      </w:pPr>
      <w:r w:rsidRPr="006A570B">
        <w:rPr>
          <w:rFonts w:ascii="仿宋_GB2312" w:eastAsia="仿宋_GB2312" w:hAnsi="宋体" w:cs="宋体" w:hint="eastAsia"/>
          <w:color w:val="000000"/>
          <w:kern w:val="0"/>
          <w:sz w:val="32"/>
          <w:szCs w:val="32"/>
        </w:rPr>
        <w:t>人工影响天气方面，</w:t>
      </w:r>
      <w:r>
        <w:rPr>
          <w:rFonts w:ascii="仿宋_GB2312" w:eastAsia="仿宋_GB2312" w:hAnsi="宋体" w:cs="宋体" w:hint="eastAsia"/>
          <w:color w:val="000000"/>
          <w:kern w:val="0"/>
          <w:sz w:val="32"/>
          <w:szCs w:val="32"/>
        </w:rPr>
        <w:t>完成了两库增雨作业；开展水源涵养区生态保护修复和林业生态修复人工影响天气作业，按计划开展了进行日常人工增雨、防雹作业，完成火箭作业。</w:t>
      </w:r>
    </w:p>
    <w:p w:rsidR="00A86263" w:rsidRPr="006A570B" w:rsidRDefault="00A86263" w:rsidP="00A86263">
      <w:pPr>
        <w:pStyle w:val="a0"/>
        <w:ind w:firstLine="640"/>
        <w:rPr>
          <w:rFonts w:ascii="仿宋_GB2312" w:eastAsia="仿宋_GB2312" w:hAnsi="宋体" w:cs="宋体"/>
          <w:color w:val="000000"/>
          <w:kern w:val="0"/>
          <w:sz w:val="32"/>
          <w:szCs w:val="32"/>
        </w:rPr>
      </w:pPr>
      <w:r w:rsidRPr="006A570B">
        <w:rPr>
          <w:rFonts w:ascii="仿宋_GB2312" w:eastAsia="仿宋_GB2312" w:hAnsi="宋体" w:cs="宋体" w:hint="eastAsia"/>
          <w:color w:val="000000"/>
          <w:kern w:val="0"/>
          <w:sz w:val="32"/>
          <w:szCs w:val="32"/>
        </w:rPr>
        <w:t>气象管理及科研方面，建立重大</w:t>
      </w:r>
      <w:proofErr w:type="gramStart"/>
      <w:r w:rsidRPr="006A570B">
        <w:rPr>
          <w:rFonts w:ascii="仿宋_GB2312" w:eastAsia="仿宋_GB2312" w:hAnsi="宋体" w:cs="宋体" w:hint="eastAsia"/>
          <w:color w:val="000000"/>
          <w:kern w:val="0"/>
          <w:sz w:val="32"/>
          <w:szCs w:val="32"/>
        </w:rPr>
        <w:t>天气过程国省和</w:t>
      </w:r>
      <w:proofErr w:type="gramEnd"/>
      <w:r w:rsidRPr="006A570B">
        <w:rPr>
          <w:rFonts w:ascii="仿宋_GB2312" w:eastAsia="仿宋_GB2312" w:hAnsi="宋体" w:cs="宋体" w:hint="eastAsia"/>
          <w:color w:val="000000"/>
          <w:kern w:val="0"/>
          <w:sz w:val="32"/>
          <w:szCs w:val="32"/>
        </w:rPr>
        <w:t>京津</w:t>
      </w:r>
      <w:proofErr w:type="gramStart"/>
      <w:r w:rsidRPr="006A570B">
        <w:rPr>
          <w:rFonts w:ascii="仿宋_GB2312" w:eastAsia="仿宋_GB2312" w:hAnsi="宋体" w:cs="宋体" w:hint="eastAsia"/>
          <w:color w:val="000000"/>
          <w:kern w:val="0"/>
          <w:sz w:val="32"/>
          <w:szCs w:val="32"/>
        </w:rPr>
        <w:t>冀区域</w:t>
      </w:r>
      <w:proofErr w:type="gramEnd"/>
      <w:r w:rsidRPr="006A570B">
        <w:rPr>
          <w:rFonts w:ascii="仿宋_GB2312" w:eastAsia="仿宋_GB2312" w:hAnsi="宋体" w:cs="宋体" w:hint="eastAsia"/>
          <w:color w:val="000000"/>
          <w:kern w:val="0"/>
          <w:sz w:val="32"/>
          <w:szCs w:val="32"/>
        </w:rPr>
        <w:t>预报协同联动机制。深化观测-模式-预报互动，组建</w:t>
      </w:r>
      <w:r w:rsidR="000A40BE">
        <w:rPr>
          <w:rFonts w:ascii="仿宋_GB2312" w:eastAsia="仿宋_GB2312" w:hAnsi="宋体" w:cs="宋体" w:hint="eastAsia"/>
          <w:color w:val="000000"/>
          <w:kern w:val="0"/>
          <w:sz w:val="32"/>
          <w:szCs w:val="32"/>
        </w:rPr>
        <w:t>多</w:t>
      </w:r>
      <w:r w:rsidRPr="006A570B">
        <w:rPr>
          <w:rFonts w:ascii="仿宋_GB2312" w:eastAsia="仿宋_GB2312" w:hAnsi="宋体" w:cs="宋体" w:hint="eastAsia"/>
          <w:color w:val="000000"/>
          <w:kern w:val="0"/>
          <w:sz w:val="32"/>
          <w:szCs w:val="32"/>
        </w:rPr>
        <w:t>个观测预报互动小组</w:t>
      </w:r>
      <w:r>
        <w:rPr>
          <w:rFonts w:ascii="仿宋_GB2312" w:eastAsia="仿宋_GB2312" w:hint="eastAsia"/>
          <w:sz w:val="32"/>
          <w:szCs w:val="32"/>
        </w:rPr>
        <w:t>。研发北京组网雷达协同观测试验系统，</w:t>
      </w:r>
      <w:r>
        <w:rPr>
          <w:rFonts w:ascii="仿宋_GB2312" w:eastAsia="仿宋_GB2312" w:hAnsi="仿宋" w:hint="eastAsia"/>
          <w:sz w:val="32"/>
          <w:szCs w:val="32"/>
        </w:rPr>
        <w:t>实现北京X波段雷达自动协同控制。</w:t>
      </w:r>
      <w:r>
        <w:rPr>
          <w:rFonts w:ascii="仿宋_GB2312" w:eastAsia="仿宋_GB2312" w:hint="eastAsia"/>
          <w:sz w:val="32"/>
          <w:szCs w:val="32"/>
        </w:rPr>
        <w:t>深化数字气象台建设，短时临近天气监测预警一体化平台升级优化，区域数值预报模式系统“定制化”运行，实现概率预报。深度参与防汛等</w:t>
      </w:r>
      <w:r w:rsidR="000A40BE">
        <w:rPr>
          <w:rFonts w:ascii="仿宋_GB2312" w:eastAsia="仿宋_GB2312" w:hint="eastAsia"/>
          <w:sz w:val="32"/>
          <w:szCs w:val="32"/>
        </w:rPr>
        <w:t>多</w:t>
      </w:r>
      <w:r>
        <w:rPr>
          <w:rFonts w:ascii="仿宋_GB2312" w:eastAsia="仿宋_GB2312" w:hint="eastAsia"/>
          <w:sz w:val="32"/>
          <w:szCs w:val="32"/>
        </w:rPr>
        <w:t>部应急预案修订，助力细化以预警信号为先导的“三停”措施。探索“气象+”赋能旅游等产业发展，首次试点开展气象景观评选活动，创新研发数字化降水实况电子风险地图，推出杨柳飞絮、花粉过敏、蚊虫叮咬、心脑血管指数等健康气象服务产品。</w:t>
      </w:r>
    </w:p>
    <w:p w:rsidR="00A86263" w:rsidRDefault="00A86263" w:rsidP="00A862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市气象局2022年度各项工作完成质量较好</w:t>
      </w:r>
      <w:r>
        <w:rPr>
          <w:rFonts w:ascii="仿宋_GB2312" w:eastAsia="仿宋_GB2312" w:hint="eastAsia"/>
          <w:sz w:val="32"/>
          <w:szCs w:val="32"/>
        </w:rPr>
        <w:t>晴雨预报准确率92.2%，比2021年提高4.1个百分点。暴雨、冰雹、大风预警提前量分别为99.7、75、734分钟。</w:t>
      </w:r>
      <w:r>
        <w:rPr>
          <w:rFonts w:ascii="仿宋_GB2312" w:eastAsia="仿宋_GB2312" w:hAnsi="宋体" w:cs="宋体" w:hint="eastAsia"/>
          <w:color w:val="000000"/>
          <w:kern w:val="0"/>
          <w:sz w:val="32"/>
          <w:szCs w:val="32"/>
        </w:rPr>
        <w:t>人工增雨作业期内平均增雨效果率达到13.8%；探测、监测设备和大型仪器维护保养率达到100%，均正常运行；两库增雨作业年平均</w:t>
      </w:r>
      <w:proofErr w:type="gramStart"/>
      <w:r>
        <w:rPr>
          <w:rFonts w:ascii="仿宋_GB2312" w:eastAsia="仿宋_GB2312" w:hAnsi="宋体" w:cs="宋体" w:hint="eastAsia"/>
          <w:color w:val="000000"/>
          <w:kern w:val="0"/>
          <w:sz w:val="32"/>
          <w:szCs w:val="32"/>
        </w:rPr>
        <w:t>增雨率达到</w:t>
      </w:r>
      <w:proofErr w:type="gramEnd"/>
      <w:r>
        <w:rPr>
          <w:rFonts w:ascii="仿宋_GB2312" w:eastAsia="仿宋_GB2312" w:hAnsi="宋体" w:cs="宋体" w:hint="eastAsia"/>
          <w:color w:val="000000"/>
          <w:kern w:val="0"/>
          <w:sz w:val="32"/>
          <w:szCs w:val="32"/>
        </w:rPr>
        <w:t>18.8%。</w:t>
      </w:r>
      <w:r>
        <w:rPr>
          <w:rFonts w:ascii="仿宋_GB2312" w:eastAsia="仿宋_GB2312" w:hAnsi="宋体" w:cs="宋体" w:hint="eastAsia"/>
          <w:color w:val="000000"/>
          <w:kern w:val="0"/>
          <w:sz w:val="32"/>
          <w:szCs w:val="32"/>
        </w:rPr>
        <w:lastRenderedPageBreak/>
        <w:t>市气象局各项工作完成质量较好。</w:t>
      </w:r>
    </w:p>
    <w:p w:rsidR="00A86263" w:rsidRDefault="00A86263" w:rsidP="00A862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市气象局2022年度各项工作基本按照计划进度序时完成，个别工作任务因疫情原因推迟或者取消。</w:t>
      </w:r>
    </w:p>
    <w:p w:rsidR="00A86263" w:rsidRPr="006A570B" w:rsidRDefault="00A86263" w:rsidP="00A86263">
      <w:pPr>
        <w:pStyle w:val="a0"/>
        <w:ind w:firstLine="420"/>
      </w:pPr>
    </w:p>
    <w:p w:rsidR="00A86263" w:rsidRDefault="00A86263" w:rsidP="00A862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2022年度各项支出严格按照少花钱、多办事的原则执行，通过政府采购、磋商等方式，严格控制支出成本。市气象局2022年部门预算财政拨款公用经费为132.33万元，部门决算公用经费支出为126.38万元，公用经费控制率</w:t>
      </w:r>
      <w:r>
        <w:rPr>
          <w:rStyle w:val="a7"/>
          <w:rFonts w:ascii="仿宋_GB2312" w:eastAsia="仿宋_GB2312" w:hAnsi="宋体" w:cs="宋体" w:hint="eastAsia"/>
          <w:color w:val="000000"/>
          <w:kern w:val="0"/>
          <w:sz w:val="32"/>
          <w:szCs w:val="32"/>
        </w:rPr>
        <w:footnoteReference w:id="2"/>
      </w:r>
      <w:r>
        <w:rPr>
          <w:rFonts w:ascii="仿宋_GB2312" w:eastAsia="仿宋_GB2312" w:hAnsi="宋体" w:cs="宋体" w:hint="eastAsia"/>
          <w:color w:val="000000"/>
          <w:kern w:val="0"/>
          <w:sz w:val="32"/>
          <w:szCs w:val="32"/>
        </w:rPr>
        <w:t>为95.50%</w:t>
      </w:r>
      <w:r w:rsidR="00586721">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 xml:space="preserve">市气象局成本控制总体较好。                                     </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及时提供关键农时气象灾害监测预报、实施人工防雹、人工增雨雪作业，为防灾减灾提供决策支撑，有效降低了极端天气造成的经济损失。</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首次发布干热风风险预警、推出林业有害生物防治作业气象指数，助力乡村振兴发展。</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一是通过气象监测、预报服务工作的实施，提供各</w:t>
      </w:r>
      <w:proofErr w:type="gramStart"/>
      <w:r>
        <w:rPr>
          <w:rFonts w:ascii="仿宋_GB2312" w:eastAsia="仿宋_GB2312" w:hAnsi="宋体" w:cs="宋体" w:hint="eastAsia"/>
          <w:color w:val="000000"/>
          <w:kern w:val="0"/>
          <w:sz w:val="32"/>
          <w:szCs w:val="32"/>
        </w:rPr>
        <w:t>类决策</w:t>
      </w:r>
      <w:proofErr w:type="gramEnd"/>
      <w:r>
        <w:rPr>
          <w:rFonts w:ascii="仿宋_GB2312" w:eastAsia="仿宋_GB2312" w:hAnsi="宋体" w:cs="宋体" w:hint="eastAsia"/>
          <w:color w:val="000000"/>
          <w:kern w:val="0"/>
          <w:sz w:val="32"/>
          <w:szCs w:val="32"/>
        </w:rPr>
        <w:t>服务材料，及时提供监测预报、气象预警信</w:t>
      </w:r>
      <w:r>
        <w:rPr>
          <w:rFonts w:ascii="仿宋_GB2312" w:eastAsia="仿宋_GB2312" w:hAnsi="宋体" w:cs="宋体" w:hint="eastAsia"/>
          <w:color w:val="000000"/>
          <w:kern w:val="0"/>
          <w:sz w:val="32"/>
          <w:szCs w:val="32"/>
        </w:rPr>
        <w:lastRenderedPageBreak/>
        <w:t>号、风险预警等，为城市安全运行各行业、各决策部门，以及冬奥会、</w:t>
      </w:r>
      <w:r w:rsidRPr="00521ED4">
        <w:rPr>
          <w:rFonts w:ascii="仿宋_GB2312" w:eastAsia="仿宋_GB2312" w:hint="eastAsia"/>
          <w:color w:val="000000"/>
          <w:sz w:val="32"/>
          <w:szCs w:val="32"/>
        </w:rPr>
        <w:t>二十大、全国“两会”、</w:t>
      </w:r>
      <w:proofErr w:type="gramStart"/>
      <w:r w:rsidRPr="00521ED4">
        <w:rPr>
          <w:rFonts w:ascii="仿宋_GB2312" w:eastAsia="仿宋_GB2312" w:hint="eastAsia"/>
          <w:color w:val="000000"/>
          <w:sz w:val="32"/>
          <w:szCs w:val="32"/>
        </w:rPr>
        <w:t>服贸会</w:t>
      </w:r>
      <w:proofErr w:type="gramEnd"/>
      <w:r w:rsidRPr="00521ED4">
        <w:rPr>
          <w:rFonts w:ascii="仿宋_GB2312" w:eastAsia="仿宋_GB2312" w:hint="eastAsia"/>
          <w:color w:val="000000"/>
          <w:sz w:val="32"/>
          <w:szCs w:val="32"/>
        </w:rPr>
        <w:t>等重大活动</w:t>
      </w:r>
      <w:r>
        <w:rPr>
          <w:rFonts w:ascii="仿宋_GB2312" w:eastAsia="仿宋_GB2312" w:hAnsi="宋体" w:cs="宋体" w:hint="eastAsia"/>
          <w:color w:val="000000"/>
          <w:kern w:val="0"/>
          <w:sz w:val="32"/>
          <w:szCs w:val="32"/>
        </w:rPr>
        <w:t>提供了精准、细致的气象预报、保障服务。</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二是气象综合探测系统可靠、稳定运行，及时高效地</w:t>
      </w:r>
      <w:proofErr w:type="gramStart"/>
      <w:r>
        <w:rPr>
          <w:rFonts w:ascii="仿宋_GB2312" w:eastAsia="仿宋_GB2312" w:hAnsi="宋体" w:cs="宋体" w:hint="eastAsia"/>
          <w:color w:val="000000"/>
          <w:kern w:val="0"/>
          <w:sz w:val="32"/>
          <w:szCs w:val="32"/>
        </w:rPr>
        <w:t>向设施</w:t>
      </w:r>
      <w:proofErr w:type="gramEnd"/>
      <w:r>
        <w:rPr>
          <w:rFonts w:ascii="仿宋_GB2312" w:eastAsia="仿宋_GB2312" w:hAnsi="宋体" w:cs="宋体" w:hint="eastAsia"/>
          <w:color w:val="000000"/>
          <w:kern w:val="0"/>
          <w:sz w:val="32"/>
          <w:szCs w:val="32"/>
        </w:rPr>
        <w:t>生产农户和农业相关管理部门提供气象预报预警、转折性天气和灾害性等天气过程的服务产品和短信，减少了气象灾害损失，也为雾</w:t>
      </w:r>
      <w:proofErr w:type="gramStart"/>
      <w:r>
        <w:rPr>
          <w:rFonts w:ascii="仿宋_GB2312" w:eastAsia="仿宋_GB2312" w:hAnsi="宋体" w:cs="宋体" w:hint="eastAsia"/>
          <w:color w:val="000000"/>
          <w:kern w:val="0"/>
          <w:sz w:val="32"/>
          <w:szCs w:val="32"/>
        </w:rPr>
        <w:t>霾</w:t>
      </w:r>
      <w:proofErr w:type="gramEnd"/>
      <w:r>
        <w:rPr>
          <w:rFonts w:ascii="仿宋_GB2312" w:eastAsia="仿宋_GB2312" w:hAnsi="宋体" w:cs="宋体" w:hint="eastAsia"/>
          <w:color w:val="000000"/>
          <w:kern w:val="0"/>
          <w:sz w:val="32"/>
          <w:szCs w:val="32"/>
        </w:rPr>
        <w:t>预警及天气预报提供了数据支持。</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三是通过开展相关课题研究、研发北京组网雷达协同观测试验系统、</w:t>
      </w:r>
      <w:r>
        <w:rPr>
          <w:rFonts w:ascii="仿宋_GB2312" w:eastAsia="仿宋_GB2312" w:hAnsi="黑体" w:cs="黑体" w:hint="eastAsia"/>
          <w:bCs/>
          <w:sz w:val="32"/>
          <w:szCs w:val="32"/>
        </w:rPr>
        <w:t>开展北京复杂地形下雷暴规律分析，</w:t>
      </w:r>
      <w:r>
        <w:rPr>
          <w:rFonts w:ascii="仿宋_GB2312" w:eastAsia="仿宋_GB2312" w:hint="eastAsia"/>
          <w:sz w:val="32"/>
          <w:szCs w:val="32"/>
        </w:rPr>
        <w:t>城市气象科技成果全国推广应用</w:t>
      </w:r>
      <w:r>
        <w:rPr>
          <w:rFonts w:ascii="仿宋_GB2312" w:eastAsia="仿宋_GB2312" w:hAnsi="宋体" w:cs="宋体" w:hint="eastAsia"/>
          <w:color w:val="000000"/>
          <w:kern w:val="0"/>
          <w:sz w:val="32"/>
          <w:szCs w:val="32"/>
        </w:rPr>
        <w:t>等，进一步强化科技创新能力，加快了成果转化与应用，有效促进了气象事业高质量发展和气象强国建设。</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四是开展防雷隐患大排查大整治，排查防雷安全重点单位。</w:t>
      </w:r>
      <w:r w:rsidR="000A40BE">
        <w:rPr>
          <w:rFonts w:ascii="仿宋_GB2312" w:eastAsia="仿宋_GB2312" w:hAnsi="宋体" w:cs="宋体" w:hint="eastAsia"/>
          <w:color w:val="000000"/>
          <w:kern w:val="0"/>
          <w:sz w:val="32"/>
          <w:szCs w:val="32"/>
        </w:rPr>
        <w:t>与多个</w:t>
      </w:r>
      <w:r>
        <w:rPr>
          <w:rFonts w:ascii="仿宋_GB2312" w:eastAsia="仿宋_GB2312" w:hAnsi="宋体" w:cs="宋体" w:hint="eastAsia"/>
          <w:color w:val="000000"/>
          <w:kern w:val="0"/>
          <w:sz w:val="32"/>
          <w:szCs w:val="32"/>
        </w:rPr>
        <w:t>部门联合印发《北京市成品油流通综合监管指导意见》，防雷安全</w:t>
      </w:r>
      <w:proofErr w:type="gramStart"/>
      <w:r>
        <w:rPr>
          <w:rFonts w:ascii="仿宋_GB2312" w:eastAsia="仿宋_GB2312" w:hAnsi="宋体" w:cs="宋体" w:hint="eastAsia"/>
          <w:color w:val="000000"/>
          <w:kern w:val="0"/>
          <w:sz w:val="32"/>
          <w:szCs w:val="32"/>
        </w:rPr>
        <w:t>全</w:t>
      </w:r>
      <w:proofErr w:type="gramEnd"/>
      <w:r>
        <w:rPr>
          <w:rFonts w:ascii="仿宋_GB2312" w:eastAsia="仿宋_GB2312" w:hAnsi="宋体" w:cs="宋体" w:hint="eastAsia"/>
          <w:color w:val="000000"/>
          <w:kern w:val="0"/>
          <w:sz w:val="32"/>
          <w:szCs w:val="32"/>
        </w:rPr>
        <w:t>链条监管纳入首次成品油流通综合监管体系，压实安全生产责任。深度参与防汛等</w:t>
      </w:r>
      <w:r w:rsidR="000A40BE">
        <w:rPr>
          <w:rFonts w:ascii="仿宋_GB2312" w:eastAsia="仿宋_GB2312" w:hAnsi="宋体" w:cs="宋体" w:hint="eastAsia"/>
          <w:color w:val="000000"/>
          <w:kern w:val="0"/>
          <w:sz w:val="32"/>
          <w:szCs w:val="32"/>
        </w:rPr>
        <w:t>多</w:t>
      </w:r>
      <w:r>
        <w:rPr>
          <w:rFonts w:ascii="仿宋_GB2312" w:eastAsia="仿宋_GB2312" w:hAnsi="宋体" w:cs="宋体" w:hint="eastAsia"/>
          <w:color w:val="000000"/>
          <w:kern w:val="0"/>
          <w:sz w:val="32"/>
          <w:szCs w:val="32"/>
        </w:rPr>
        <w:t>部应急预案修订，助力细化以预警信号为先导的“三停”措施，优化城市安全运行防灾减灾能力建设。</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3.生态效益</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实施人工防雹作业和相关的管理工作，健全北京经济技术开发区、重点站区预报预警联动机制，开展融入式服务。深化国家战略保障服务，开展生态气候监测评估，开展水源涵养区生态保护修复和林业生态</w:t>
      </w:r>
      <w:r>
        <w:rPr>
          <w:rFonts w:ascii="仿宋_GB2312" w:eastAsia="仿宋_GB2312" w:hAnsi="宋体" w:cs="宋体" w:hint="eastAsia"/>
          <w:color w:val="000000"/>
          <w:kern w:val="0"/>
          <w:sz w:val="32"/>
          <w:szCs w:val="32"/>
        </w:rPr>
        <w:lastRenderedPageBreak/>
        <w:t>修复人工影响天气作业。</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4.服务对象</w:t>
      </w:r>
      <w:r>
        <w:rPr>
          <w:rFonts w:ascii="仿宋_GB2312" w:eastAsia="仿宋_GB2312" w:hAnsi="宋体" w:cs="宋体"/>
          <w:color w:val="000000"/>
          <w:kern w:val="0"/>
          <w:sz w:val="32"/>
          <w:szCs w:val="32"/>
        </w:rPr>
        <w:t>满意度</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主管部门、市民、各行业对市气象局提供的气象服务均较为满意，未收到投诉情况。但对反映满意度佐证资料的整理分析尚需进一步加强。</w:t>
      </w:r>
    </w:p>
    <w:p w:rsidR="00A86263" w:rsidRDefault="00A86263" w:rsidP="00A8626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在预算管理、收支管理、合同管理、项目管理、政府采购等工作中，参照财政部、北京市财政局、中国气象局等部门制定的相关办法执行。同时结合市气象局具体情况制定了《北京市气象局大额资金使用管理办法（试行）》《预算支出进度管理若干规定（暂行）》《北京市气象局基本建设财务管理办法》《北京市气象局财务报销管理暂行办法》等管理制度。财务管理制度较为健全，为部门资金使用管理提供了有效制度保障。</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，资金使用符合国家财经法规和财务管理制度规定以及有关专项资金管理办法的规定，资金的拨付有完整的审批程序和手续，项目的重大开支经过评估论证，资金支出符合部门预算批</w:t>
      </w:r>
      <w:r>
        <w:rPr>
          <w:rFonts w:ascii="仿宋_GB2312" w:eastAsia="仿宋_GB2312" w:hAnsi="宋体" w:cs="宋体" w:hint="eastAsia"/>
          <w:color w:val="000000"/>
          <w:kern w:val="0"/>
          <w:sz w:val="32"/>
          <w:szCs w:val="32"/>
        </w:rPr>
        <w:lastRenderedPageBreak/>
        <w:t>复的用途，资金使用符合政府采购的程序和流程，也符合公务卡结算相关制度和规定。</w:t>
      </w:r>
    </w:p>
    <w:p w:rsidR="00A86263" w:rsidRDefault="00A86263" w:rsidP="00A8626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A86263" w:rsidRPr="00243F99"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市气象局对北京市气象数据中心、北京市人工影响天气中心、北京城市气象研究院和北京市通州区气象局等4家单位的会计记账进行</w:t>
      </w:r>
      <w:proofErr w:type="gramStart"/>
      <w:r>
        <w:rPr>
          <w:rFonts w:ascii="仿宋_GB2312" w:eastAsia="仿宋_GB2312" w:hAnsi="宋体" w:cs="宋体" w:hint="eastAsia"/>
          <w:color w:val="000000"/>
          <w:kern w:val="0"/>
          <w:sz w:val="32"/>
          <w:szCs w:val="32"/>
        </w:rPr>
        <w:t>了抽凭查验</w:t>
      </w:r>
      <w:proofErr w:type="gramEnd"/>
      <w:r>
        <w:rPr>
          <w:rFonts w:ascii="仿宋_GB2312" w:eastAsia="仿宋_GB2312" w:hAnsi="宋体" w:cs="宋体" w:hint="eastAsia"/>
          <w:color w:val="000000"/>
          <w:kern w:val="0"/>
          <w:sz w:val="32"/>
          <w:szCs w:val="32"/>
        </w:rPr>
        <w:t>，基础数据信息和会计信息资料均较为真实、完整、准确。</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按照中国气象局、北京市资产管理相关制度和要求，结合市气象局具体情况制定了《北京市气象局国有资产管理办法》（暂行）、《北京市气象局国有资产处置办法》（暂行）及《北京市气象局国有资产管理职责划分办法》（暂行），进一步明确了国有资产使用和处置的具体管理要求，以及资产管理具体职责划分。</w:t>
      </w:r>
    </w:p>
    <w:p w:rsidR="00A86263" w:rsidRPr="00066DC1"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市气象局严格按照相关要求进行部门资产管理，资产设有专人管理，建有固定资产台账，资产配置、使用、处置等程序规范、手续齐全，部门大额固定资产利用率为100%。</w:t>
      </w:r>
      <w:r w:rsidRPr="00066DC1">
        <w:rPr>
          <w:rFonts w:ascii="仿宋_GB2312" w:eastAsia="仿宋_GB2312" w:hAnsi="宋体" w:cs="宋体" w:hint="eastAsia"/>
          <w:color w:val="000000"/>
          <w:kern w:val="0"/>
          <w:sz w:val="32"/>
          <w:szCs w:val="32"/>
        </w:rPr>
        <w:t>固定资产主要为电脑、打印机、办公桌椅、文件柜、烟炉、探测仪、摄像机、监视器、保险箱（炮弹、火箭弹）、火箭架、观测仪、越野车等，均处于在用状态。</w:t>
      </w:r>
      <w:r>
        <w:rPr>
          <w:rFonts w:ascii="仿宋_GB2312" w:eastAsia="仿宋_GB2312" w:hAnsi="宋体" w:cs="宋体" w:hint="eastAsia"/>
          <w:color w:val="000000"/>
          <w:kern w:val="0"/>
          <w:sz w:val="32"/>
          <w:szCs w:val="32"/>
        </w:rPr>
        <w:t>固定资产标签按照要求粘贴，在</w:t>
      </w:r>
      <w:r w:rsidR="00796831">
        <w:rPr>
          <w:rFonts w:ascii="仿宋_GB2312" w:eastAsia="仿宋_GB2312" w:hAnsi="宋体" w:cs="宋体" w:hint="eastAsia"/>
          <w:color w:val="000000"/>
          <w:kern w:val="0"/>
          <w:sz w:val="32"/>
          <w:szCs w:val="32"/>
        </w:rPr>
        <w:t>22年</w:t>
      </w:r>
      <w:r>
        <w:rPr>
          <w:rFonts w:ascii="仿宋_GB2312" w:eastAsia="仿宋_GB2312" w:hAnsi="宋体" w:cs="宋体" w:hint="eastAsia"/>
          <w:color w:val="000000"/>
          <w:kern w:val="0"/>
          <w:sz w:val="32"/>
          <w:szCs w:val="32"/>
        </w:rPr>
        <w:t>12月底进行了固定资产清查，形成了固定资产盘查清单。市气象局资产管理较为规范。</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市气象局2022年度绩效管理工作严格按照北京市财政局预算绩效管理要求执行，相关材料按照规定时间汇总上报。主要完成以下工作：</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绩效目标填报、审核。各业务处室（单位）根据年度工作任务以及预算申报规定，随项目预算申报，填报项目支出绩效目标表。组织对所有项目的绩效目标进行审核，审核不合格的退回相关处室（单位）进行修改直至合格；审核通过的项目上报市财政部门。</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2.半年绩效跟踪。及时跟进各项</w:t>
      </w:r>
      <w:proofErr w:type="gramStart"/>
      <w:r>
        <w:rPr>
          <w:rFonts w:ascii="仿宋_GB2312" w:eastAsia="仿宋_GB2312" w:hAnsi="宋体" w:cs="宋体" w:hint="eastAsia"/>
          <w:color w:val="000000"/>
          <w:kern w:val="0"/>
          <w:sz w:val="32"/>
          <w:szCs w:val="32"/>
        </w:rPr>
        <w:t>目执行</w:t>
      </w:r>
      <w:proofErr w:type="gramEnd"/>
      <w:r>
        <w:rPr>
          <w:rFonts w:ascii="仿宋_GB2312" w:eastAsia="仿宋_GB2312" w:hAnsi="宋体" w:cs="宋体" w:hint="eastAsia"/>
          <w:color w:val="000000"/>
          <w:kern w:val="0"/>
          <w:sz w:val="32"/>
          <w:szCs w:val="32"/>
        </w:rPr>
        <w:t>进度，按要求开展半年绩效跟踪。各单位撰写半年工作总结，对本单位工作完成情况进行总结。对截至2022年6月30日的项目预算执行率、目标执行情况、目标执行偏差原因分析及对策等进行跟踪，填写《2022年项目绩效跟踪汇总表》，撰写《2022年北京市市级财政支出半年绩效跟踪报告》，于8月底上报财政部门。对于绩效目标偏离情况及时进行矫正，督促相关单位落实整改。</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（3）绩效自评。市气象局依据《北京市财政局关于开展2022年全面预算绩效管理工作的通知》（</w:t>
      </w:r>
      <w:proofErr w:type="gramStart"/>
      <w:r>
        <w:rPr>
          <w:rFonts w:ascii="仿宋_GB2312" w:eastAsia="仿宋_GB2312" w:hAnsi="宋体" w:cs="宋体" w:hint="eastAsia"/>
          <w:color w:val="000000"/>
          <w:kern w:val="0"/>
          <w:sz w:val="32"/>
          <w:szCs w:val="32"/>
        </w:rPr>
        <w:t>京财绩效</w:t>
      </w:r>
      <w:proofErr w:type="gramEnd"/>
      <w:r>
        <w:rPr>
          <w:rFonts w:ascii="仿宋_GB2312" w:eastAsia="仿宋_GB2312" w:hAnsi="宋体" w:cs="宋体" w:hint="eastAsia"/>
          <w:color w:val="000000"/>
          <w:kern w:val="0"/>
          <w:sz w:val="32"/>
          <w:szCs w:val="32"/>
        </w:rPr>
        <w:t>〔2022〕669号)文件要求，在2022年4-5月份，对市气象局2021年填报绩效目标的财政项目开展了绩效自评，其中，对气象综合探测系统维持费项目实施了普通程序绩效评价，涉及金额</w:t>
      </w:r>
      <w:r w:rsidRPr="009204B8">
        <w:rPr>
          <w:rFonts w:ascii="仿宋_GB2312" w:eastAsia="仿宋_GB2312" w:hAnsi="宋体" w:cs="宋体" w:hint="eastAsia"/>
          <w:color w:val="000000"/>
          <w:kern w:val="0"/>
          <w:sz w:val="32"/>
          <w:szCs w:val="32"/>
        </w:rPr>
        <w:t>1109.01</w:t>
      </w:r>
      <w:r>
        <w:rPr>
          <w:rFonts w:ascii="仿宋_GB2312" w:eastAsia="仿宋_GB2312" w:hAnsi="宋体" w:cs="宋体" w:hint="eastAsia"/>
          <w:color w:val="000000"/>
          <w:kern w:val="0"/>
          <w:sz w:val="32"/>
          <w:szCs w:val="32"/>
        </w:rPr>
        <w:t>万元，评价得分为</w:t>
      </w:r>
      <w:r w:rsidRPr="009204B8">
        <w:rPr>
          <w:rFonts w:ascii="仿宋_GB2312" w:eastAsia="仿宋_GB2312" w:hAnsi="宋体" w:cs="宋体" w:hint="eastAsia"/>
          <w:color w:val="000000"/>
          <w:kern w:val="0"/>
          <w:sz w:val="32"/>
          <w:szCs w:val="32"/>
        </w:rPr>
        <w:t>88.42</w:t>
      </w:r>
      <w:r>
        <w:rPr>
          <w:rFonts w:ascii="仿宋_GB2312" w:eastAsia="仿宋_GB2312" w:hAnsi="宋体" w:cs="宋体" w:hint="eastAsia"/>
          <w:color w:val="000000"/>
          <w:kern w:val="0"/>
          <w:sz w:val="32"/>
          <w:szCs w:val="32"/>
        </w:rPr>
        <w:t>；</w:t>
      </w:r>
      <w:r w:rsidRPr="009204B8">
        <w:rPr>
          <w:rFonts w:ascii="仿宋_GB2312" w:eastAsia="仿宋_GB2312" w:hAnsi="宋体" w:cs="宋体" w:hint="eastAsia"/>
          <w:color w:val="000000"/>
          <w:kern w:val="0"/>
          <w:sz w:val="32"/>
          <w:szCs w:val="32"/>
        </w:rPr>
        <w:t>41</w:t>
      </w:r>
      <w:r>
        <w:rPr>
          <w:rFonts w:ascii="仿宋_GB2312" w:eastAsia="仿宋_GB2312" w:hAnsi="宋体" w:cs="宋体" w:hint="eastAsia"/>
          <w:color w:val="000000"/>
          <w:kern w:val="0"/>
          <w:sz w:val="32"/>
          <w:szCs w:val="32"/>
        </w:rPr>
        <w:t>个填报绩效目标的项目实施了简易程序自评，自评得分均在90分以上，并将绩效自评材料整理汇总后于5月20日上报北京市财政局。</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（四）结转结余率</w:t>
      </w:r>
    </w:p>
    <w:p w:rsidR="00A86263"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市气象局2022年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预算数为18919.52万元，年末结转结余数为1043.75万元，结转结余率</w:t>
      </w:r>
      <w:r>
        <w:rPr>
          <w:rStyle w:val="a7"/>
          <w:rFonts w:ascii="仿宋_GB2312" w:eastAsia="仿宋_GB2312" w:hAnsi="宋体" w:cs="宋体" w:hint="eastAsia"/>
          <w:color w:val="000000"/>
          <w:kern w:val="0"/>
          <w:sz w:val="32"/>
          <w:szCs w:val="32"/>
        </w:rPr>
        <w:footnoteReference w:id="3"/>
      </w:r>
      <w:r>
        <w:rPr>
          <w:rFonts w:ascii="仿宋_GB2312" w:eastAsia="仿宋_GB2312" w:hAnsi="宋体" w:cs="宋体" w:hint="eastAsia"/>
          <w:color w:val="000000"/>
          <w:kern w:val="0"/>
          <w:sz w:val="32"/>
          <w:szCs w:val="32"/>
        </w:rPr>
        <w:t>为5.52%，较2021年度的12.12%大幅下降。</w:t>
      </w:r>
    </w:p>
    <w:p w:rsidR="00A86263" w:rsidRDefault="00A86263" w:rsidP="00A86263">
      <w:pPr>
        <w:adjustRightInd w:val="0"/>
        <w:snapToGrid w:val="0"/>
        <w:spacing w:line="360" w:lineRule="auto"/>
        <w:ind w:firstLineChars="200" w:firstLine="64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A86263" w:rsidRPr="003E7B09" w:rsidRDefault="00A86263" w:rsidP="00A8626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市气象局2022年部门支出预算年初数为14114.36万元，支出决算总数为17875.76万元，差异率为26.65%，低于北京市市级部门平均差异率，主要差异原因是</w:t>
      </w:r>
      <w:r w:rsidRPr="003E7B09">
        <w:rPr>
          <w:rFonts w:ascii="仿宋_GB2312" w:eastAsia="仿宋_GB2312" w:hAnsi="宋体" w:cs="宋体" w:hint="eastAsia"/>
          <w:color w:val="000000"/>
          <w:kern w:val="0"/>
          <w:sz w:val="32"/>
          <w:szCs w:val="32"/>
        </w:rPr>
        <w:t>年中追加重大活动经费、基本</w:t>
      </w:r>
      <w:r w:rsidR="00FD1D98">
        <w:rPr>
          <w:rFonts w:ascii="仿宋_GB2312" w:eastAsia="仿宋_GB2312" w:hAnsi="宋体" w:cs="宋体" w:hint="eastAsia"/>
          <w:color w:val="000000"/>
          <w:kern w:val="0"/>
          <w:sz w:val="32"/>
          <w:szCs w:val="32"/>
        </w:rPr>
        <w:t>建设</w:t>
      </w:r>
      <w:r w:rsidR="00D772D0">
        <w:rPr>
          <w:rFonts w:ascii="仿宋_GB2312" w:eastAsia="仿宋_GB2312" w:hAnsi="宋体" w:cs="宋体" w:hint="eastAsia"/>
          <w:color w:val="000000"/>
          <w:kern w:val="0"/>
          <w:sz w:val="32"/>
          <w:szCs w:val="32"/>
        </w:rPr>
        <w:t>经费金额较多</w:t>
      </w:r>
      <w:r w:rsidR="00FD1D98">
        <w:rPr>
          <w:rFonts w:ascii="仿宋_GB2312" w:eastAsia="仿宋_GB2312" w:hAnsi="宋体" w:cs="宋体" w:hint="eastAsia"/>
          <w:color w:val="000000"/>
          <w:kern w:val="0"/>
          <w:sz w:val="32"/>
          <w:szCs w:val="32"/>
        </w:rPr>
        <w:t>,支出也相应增加</w:t>
      </w:r>
      <w:r>
        <w:rPr>
          <w:rFonts w:ascii="仿宋_GB2312" w:eastAsia="仿宋_GB2312" w:hAnsi="宋体" w:cs="宋体" w:hint="eastAsia"/>
          <w:color w:val="000000"/>
          <w:kern w:val="0"/>
          <w:sz w:val="32"/>
          <w:szCs w:val="32"/>
        </w:rPr>
        <w:t>。</w:t>
      </w:r>
    </w:p>
    <w:p w:rsidR="00A86263" w:rsidRDefault="00A86263" w:rsidP="00A86263">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A86263" w:rsidRDefault="00A86263" w:rsidP="00A86263">
      <w:pPr>
        <w:adjustRightInd w:val="0"/>
        <w:snapToGrid w:val="0"/>
        <w:spacing w:line="360" w:lineRule="auto"/>
        <w:ind w:firstLineChars="200" w:firstLine="640"/>
        <w:rPr>
          <w:rFonts w:ascii="仿宋_GB2312" w:eastAsia="仿宋_GB2312" w:hAnsi="仿宋" w:cs="仿宋"/>
          <w:iCs/>
          <w:sz w:val="32"/>
          <w:szCs w:val="32"/>
        </w:rPr>
      </w:pPr>
      <w:r>
        <w:rPr>
          <w:rFonts w:ascii="仿宋_GB2312" w:eastAsia="仿宋_GB2312" w:hAnsi="宋体" w:cs="宋体" w:hint="eastAsia"/>
          <w:color w:val="000000"/>
          <w:kern w:val="0"/>
          <w:sz w:val="32"/>
          <w:szCs w:val="32"/>
        </w:rPr>
        <w:t>2022年市气象局完成了气象监测、预报服务工作，为城市安全运行各行业、各决策部门以及重大活动提供了精准、细致的气象预报、保障服务；气象综合探测系统可靠、稳定运行，及时高效</w:t>
      </w:r>
      <w:proofErr w:type="gramStart"/>
      <w:r>
        <w:rPr>
          <w:rFonts w:ascii="仿宋_GB2312" w:eastAsia="仿宋_GB2312" w:hAnsi="宋体" w:cs="宋体" w:hint="eastAsia"/>
          <w:color w:val="000000"/>
          <w:kern w:val="0"/>
          <w:sz w:val="32"/>
          <w:szCs w:val="32"/>
        </w:rPr>
        <w:t>向设施</w:t>
      </w:r>
      <w:proofErr w:type="gramEnd"/>
      <w:r>
        <w:rPr>
          <w:rFonts w:ascii="仿宋_GB2312" w:eastAsia="仿宋_GB2312" w:hAnsi="宋体" w:cs="宋体" w:hint="eastAsia"/>
          <w:color w:val="000000"/>
          <w:kern w:val="0"/>
          <w:sz w:val="32"/>
          <w:szCs w:val="32"/>
        </w:rPr>
        <w:t>生产农户和农业相关管理部门提供气象预报预警、转折性天气和灾害性等天气过程的服务产品和短信，减少了气象灾害损失；人工增雨作业期内平均增雨效果率达到13.8%，全市降水量有所增加，生态环境得到进一步改善；并举办各种形式的气象科普活动，气象科普影响力进一步提升。经评价，市气象局2022年部门整体支出综合评价得分为95分，评价等级为“优”，得分情况见表2。</w:t>
      </w:r>
    </w:p>
    <w:p w:rsidR="00A86263" w:rsidRDefault="00A86263" w:rsidP="00A86263">
      <w:pPr>
        <w:snapToGrid w:val="0"/>
        <w:spacing w:line="360" w:lineRule="auto"/>
        <w:jc w:val="center"/>
        <w:rPr>
          <w:rFonts w:ascii="黑体" w:eastAsia="黑体" w:hAnsi="黑体"/>
          <w:sz w:val="24"/>
          <w:szCs w:val="32"/>
        </w:rPr>
      </w:pPr>
      <w:r>
        <w:rPr>
          <w:rFonts w:ascii="黑体" w:eastAsia="黑体" w:hAnsi="黑体" w:hint="eastAsia"/>
          <w:sz w:val="28"/>
          <w:szCs w:val="28"/>
        </w:rPr>
        <w:lastRenderedPageBreak/>
        <w:t>表2：综合评价得分情况表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5"/>
        <w:gridCol w:w="1950"/>
        <w:gridCol w:w="1840"/>
        <w:gridCol w:w="2239"/>
      </w:tblGrid>
      <w:tr w:rsidR="00A86263" w:rsidTr="004A4B5D">
        <w:trPr>
          <w:cantSplit/>
          <w:trHeight w:val="533"/>
          <w:tblHeader/>
          <w:jc w:val="center"/>
        </w:trPr>
        <w:tc>
          <w:tcPr>
            <w:tcW w:w="2475" w:type="dxa"/>
            <w:shd w:val="clear" w:color="auto" w:fill="BEBEBE"/>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一级指标</w:t>
            </w:r>
          </w:p>
        </w:tc>
        <w:tc>
          <w:tcPr>
            <w:tcW w:w="1950" w:type="dxa"/>
            <w:shd w:val="clear" w:color="auto" w:fill="BEBEBE"/>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分值</w:t>
            </w:r>
          </w:p>
        </w:tc>
        <w:tc>
          <w:tcPr>
            <w:tcW w:w="1840" w:type="dxa"/>
            <w:shd w:val="clear" w:color="auto" w:fill="BEBEBE"/>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得分</w:t>
            </w:r>
          </w:p>
        </w:tc>
        <w:tc>
          <w:tcPr>
            <w:tcW w:w="2239" w:type="dxa"/>
            <w:shd w:val="clear" w:color="auto" w:fill="BEBEBE"/>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得分率</w:t>
            </w:r>
          </w:p>
        </w:tc>
      </w:tr>
      <w:tr w:rsidR="00A86263" w:rsidTr="004A4B5D">
        <w:trPr>
          <w:cantSplit/>
          <w:trHeight w:val="533"/>
          <w:jc w:val="center"/>
        </w:trPr>
        <w:tc>
          <w:tcPr>
            <w:tcW w:w="2475"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当年预算执行情况</w:t>
            </w:r>
          </w:p>
        </w:tc>
        <w:tc>
          <w:tcPr>
            <w:tcW w:w="1950"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20.00</w:t>
            </w:r>
          </w:p>
        </w:tc>
        <w:tc>
          <w:tcPr>
            <w:tcW w:w="1840"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18.90</w:t>
            </w:r>
          </w:p>
        </w:tc>
        <w:tc>
          <w:tcPr>
            <w:tcW w:w="2239"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94.50%</w:t>
            </w:r>
          </w:p>
        </w:tc>
      </w:tr>
      <w:tr w:rsidR="00A86263" w:rsidTr="004A4B5D">
        <w:trPr>
          <w:cantSplit/>
          <w:trHeight w:val="533"/>
          <w:jc w:val="center"/>
        </w:trPr>
        <w:tc>
          <w:tcPr>
            <w:tcW w:w="2475"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整体绩效目标实现情况</w:t>
            </w:r>
          </w:p>
        </w:tc>
        <w:tc>
          <w:tcPr>
            <w:tcW w:w="1950"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60.00</w:t>
            </w:r>
          </w:p>
        </w:tc>
        <w:tc>
          <w:tcPr>
            <w:tcW w:w="1840"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57.00</w:t>
            </w:r>
          </w:p>
        </w:tc>
        <w:tc>
          <w:tcPr>
            <w:tcW w:w="2239"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95.00%</w:t>
            </w:r>
          </w:p>
        </w:tc>
      </w:tr>
      <w:tr w:rsidR="00A86263" w:rsidTr="004A4B5D">
        <w:trPr>
          <w:cantSplit/>
          <w:trHeight w:val="533"/>
          <w:jc w:val="center"/>
        </w:trPr>
        <w:tc>
          <w:tcPr>
            <w:tcW w:w="2475"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预算管理情况</w:t>
            </w:r>
          </w:p>
        </w:tc>
        <w:tc>
          <w:tcPr>
            <w:tcW w:w="1950" w:type="dxa"/>
            <w:vAlign w:val="center"/>
          </w:tcPr>
          <w:p w:rsidR="00A86263" w:rsidRDefault="00A86263" w:rsidP="004A4B5D">
            <w:pPr>
              <w:widowControl/>
              <w:adjustRightInd w:val="0"/>
              <w:snapToGrid w:val="0"/>
              <w:jc w:val="center"/>
              <w:rPr>
                <w:rFonts w:ascii="宋体" w:hAnsi="宋体" w:cs="宋体"/>
                <w:kern w:val="0"/>
                <w:sz w:val="20"/>
                <w:szCs w:val="20"/>
              </w:rPr>
            </w:pPr>
            <w:r>
              <w:rPr>
                <w:rFonts w:ascii="宋体" w:hAnsi="宋体" w:cs="宋体" w:hint="eastAsia"/>
                <w:kern w:val="0"/>
                <w:sz w:val="20"/>
                <w:szCs w:val="20"/>
              </w:rPr>
              <w:t>20.00</w:t>
            </w:r>
          </w:p>
        </w:tc>
        <w:tc>
          <w:tcPr>
            <w:tcW w:w="1840"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19.10</w:t>
            </w:r>
          </w:p>
        </w:tc>
        <w:tc>
          <w:tcPr>
            <w:tcW w:w="2239" w:type="dxa"/>
            <w:vAlign w:val="center"/>
          </w:tcPr>
          <w:p w:rsidR="00A86263" w:rsidRDefault="00A86263" w:rsidP="004A4B5D">
            <w:pPr>
              <w:widowControl/>
              <w:jc w:val="center"/>
              <w:textAlignment w:val="center"/>
              <w:rPr>
                <w:rFonts w:ascii="宋体" w:hAnsi="宋体" w:cs="宋体"/>
                <w:b/>
                <w:bCs/>
                <w:kern w:val="0"/>
                <w:sz w:val="20"/>
                <w:szCs w:val="20"/>
              </w:rPr>
            </w:pPr>
            <w:r>
              <w:rPr>
                <w:rFonts w:ascii="宋体" w:hAnsi="宋体" w:cs="宋体" w:hint="eastAsia"/>
                <w:color w:val="000000"/>
                <w:kern w:val="0"/>
                <w:sz w:val="20"/>
                <w:szCs w:val="20"/>
              </w:rPr>
              <w:t>95.50%</w:t>
            </w:r>
          </w:p>
        </w:tc>
      </w:tr>
      <w:tr w:rsidR="00A86263" w:rsidTr="004A4B5D">
        <w:trPr>
          <w:cantSplit/>
          <w:trHeight w:val="533"/>
          <w:jc w:val="center"/>
        </w:trPr>
        <w:tc>
          <w:tcPr>
            <w:tcW w:w="2475" w:type="dxa"/>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合　计</w:t>
            </w:r>
          </w:p>
        </w:tc>
        <w:tc>
          <w:tcPr>
            <w:tcW w:w="1950" w:type="dxa"/>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b/>
                <w:bCs/>
                <w:kern w:val="0"/>
                <w:sz w:val="20"/>
                <w:szCs w:val="20"/>
              </w:rPr>
              <w:t>100</w:t>
            </w:r>
            <w:r>
              <w:rPr>
                <w:rFonts w:ascii="宋体" w:hAnsi="宋体" w:cs="宋体" w:hint="eastAsia"/>
                <w:b/>
                <w:bCs/>
                <w:kern w:val="0"/>
                <w:sz w:val="20"/>
                <w:szCs w:val="20"/>
              </w:rPr>
              <w:t>.00</w:t>
            </w:r>
          </w:p>
        </w:tc>
        <w:tc>
          <w:tcPr>
            <w:tcW w:w="1840" w:type="dxa"/>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95.00</w:t>
            </w:r>
          </w:p>
        </w:tc>
        <w:tc>
          <w:tcPr>
            <w:tcW w:w="2239" w:type="dxa"/>
            <w:vAlign w:val="center"/>
          </w:tcPr>
          <w:p w:rsidR="00A86263" w:rsidRDefault="00A86263" w:rsidP="004A4B5D">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95.00%</w:t>
            </w:r>
          </w:p>
        </w:tc>
      </w:tr>
    </w:tbl>
    <w:p w:rsidR="00A86263" w:rsidRPr="00CE10D4" w:rsidRDefault="00A86263" w:rsidP="00A86263">
      <w:pPr>
        <w:pStyle w:val="a0"/>
        <w:ind w:firstLine="420"/>
      </w:pPr>
    </w:p>
    <w:p w:rsidR="00A86263" w:rsidRDefault="00A86263" w:rsidP="00A862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A86263" w:rsidRDefault="00A86263" w:rsidP="00A8626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通过部门整体绩效评价工作的开展，市气象局在部门预算绩效管理工作中还存在不足：</w:t>
      </w:r>
    </w:p>
    <w:p w:rsidR="00A86263" w:rsidRDefault="00A86263" w:rsidP="00A86263">
      <w:pPr>
        <w:adjustRightInd w:val="0"/>
        <w:snapToGrid w:val="0"/>
        <w:spacing w:line="360" w:lineRule="auto"/>
        <w:ind w:firstLineChars="200" w:firstLine="643"/>
        <w:outlineLvl w:val="2"/>
        <w:rPr>
          <w:rFonts w:ascii="仿宋_GB2312" w:eastAsia="仿宋_GB2312"/>
          <w:sz w:val="32"/>
          <w:szCs w:val="32"/>
        </w:rPr>
      </w:pPr>
      <w:r>
        <w:rPr>
          <w:rFonts w:ascii="仿宋_GB2312" w:eastAsia="仿宋_GB2312" w:hint="eastAsia"/>
          <w:b/>
          <w:bCs/>
          <w:sz w:val="32"/>
          <w:szCs w:val="32"/>
        </w:rPr>
        <w:t>1.绩效目标及指标设置不够科学</w:t>
      </w:r>
      <w:r w:rsidR="00EA691E">
        <w:rPr>
          <w:rFonts w:ascii="仿宋_GB2312" w:eastAsia="仿宋_GB2312" w:hint="eastAsia"/>
          <w:b/>
          <w:bCs/>
          <w:sz w:val="32"/>
          <w:szCs w:val="32"/>
        </w:rPr>
        <w:t>明确</w:t>
      </w:r>
    </w:p>
    <w:p w:rsidR="00A86263" w:rsidRDefault="00A86263" w:rsidP="00A86263">
      <w:pPr>
        <w:adjustRightInd w:val="0"/>
        <w:snapToGrid w:val="0"/>
        <w:spacing w:line="360" w:lineRule="auto"/>
        <w:ind w:firstLineChars="200" w:firstLine="640"/>
        <w:rPr>
          <w:rFonts w:ascii="仿宋_GB2312" w:eastAsia="仿宋_GB2312" w:hAnsi="仿宋_GB2312" w:cs="仿宋_GB2312"/>
          <w:sz w:val="32"/>
          <w:szCs w:val="32"/>
          <w:highlight w:val="yellow"/>
        </w:rPr>
      </w:pPr>
      <w:r>
        <w:rPr>
          <w:rFonts w:ascii="仿宋_GB2312" w:eastAsia="仿宋_GB2312" w:hint="eastAsia"/>
          <w:sz w:val="32"/>
          <w:szCs w:val="32"/>
        </w:rPr>
        <w:t>部分项目绩效目标及指标设置不够科学</w:t>
      </w:r>
      <w:r w:rsidR="00EA691E">
        <w:rPr>
          <w:rFonts w:ascii="仿宋_GB2312" w:eastAsia="仿宋_GB2312" w:hint="eastAsia"/>
          <w:sz w:val="32"/>
          <w:szCs w:val="32"/>
        </w:rPr>
        <w:t>明确</w:t>
      </w:r>
      <w:r>
        <w:rPr>
          <w:rFonts w:ascii="仿宋_GB2312" w:eastAsia="仿宋_GB2312" w:hint="eastAsia"/>
          <w:sz w:val="32"/>
          <w:szCs w:val="32"/>
        </w:rPr>
        <w:t>，存在绩效目标及指标设置不够齐全、指标</w:t>
      </w:r>
      <w:proofErr w:type="gramStart"/>
      <w:r>
        <w:rPr>
          <w:rFonts w:ascii="仿宋_GB2312" w:eastAsia="仿宋_GB2312" w:hint="eastAsia"/>
          <w:sz w:val="32"/>
          <w:szCs w:val="32"/>
        </w:rPr>
        <w:t>值不够</w:t>
      </w:r>
      <w:proofErr w:type="gramEnd"/>
      <w:r>
        <w:rPr>
          <w:rFonts w:ascii="仿宋_GB2312" w:eastAsia="仿宋_GB2312" w:hint="eastAsia"/>
          <w:sz w:val="32"/>
          <w:szCs w:val="32"/>
        </w:rPr>
        <w:t>清晰明确。</w:t>
      </w:r>
    </w:p>
    <w:p w:rsidR="00A86263" w:rsidRDefault="00A86263" w:rsidP="00A86263">
      <w:pPr>
        <w:adjustRightInd w:val="0"/>
        <w:snapToGrid w:val="0"/>
        <w:spacing w:line="360" w:lineRule="auto"/>
        <w:ind w:firstLineChars="200" w:firstLine="643"/>
        <w:outlineLvl w:val="2"/>
        <w:rPr>
          <w:rFonts w:ascii="仿宋_GB2312" w:eastAsia="仿宋_GB2312" w:hAnsi="仿宋_GB2312" w:cs="仿宋_GB2312"/>
          <w:sz w:val="32"/>
          <w:szCs w:val="32"/>
        </w:rPr>
      </w:pPr>
      <w:r>
        <w:rPr>
          <w:rFonts w:ascii="仿宋_GB2312" w:eastAsia="仿宋_GB2312" w:hAnsi="仿宋_GB2312" w:cs="仿宋_GB2312" w:hint="eastAsia"/>
          <w:b/>
          <w:bCs/>
          <w:sz w:val="32"/>
          <w:szCs w:val="32"/>
        </w:rPr>
        <w:t>2.过程管理不够精细</w:t>
      </w:r>
    </w:p>
    <w:p w:rsidR="00A86263" w:rsidRDefault="00EA691E" w:rsidP="00A86263">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过程管理还不够精细，部分项目实施存在考核制度不够完善</w:t>
      </w:r>
      <w:r w:rsidR="00A86263">
        <w:rPr>
          <w:rFonts w:ascii="仿宋_GB2312" w:eastAsia="仿宋_GB2312" w:hAnsi="仿宋_GB2312" w:cs="仿宋_GB2312" w:hint="eastAsia"/>
          <w:sz w:val="32"/>
          <w:szCs w:val="32"/>
        </w:rPr>
        <w:t>，项目实施规范性、有效性有待进一步提升。</w:t>
      </w:r>
    </w:p>
    <w:p w:rsidR="00A86263" w:rsidRDefault="00A86263" w:rsidP="00A862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A86263" w:rsidRDefault="00A86263" w:rsidP="00A86263">
      <w:pPr>
        <w:adjustRightInd w:val="0"/>
        <w:snapToGrid w:val="0"/>
        <w:spacing w:line="360" w:lineRule="auto"/>
        <w:ind w:firstLineChars="200" w:firstLine="640"/>
        <w:outlineLvl w:val="1"/>
        <w:rPr>
          <w:rFonts w:ascii="仿宋_GB2312" w:eastAsia="仿宋_GB2312"/>
          <w:sz w:val="32"/>
          <w:szCs w:val="32"/>
        </w:rPr>
      </w:pPr>
      <w:bookmarkStart w:id="1" w:name="_Toc950"/>
      <w:bookmarkStart w:id="2" w:name="_Toc15630"/>
      <w:bookmarkStart w:id="3" w:name="_Toc31246"/>
      <w:bookmarkStart w:id="4" w:name="_Toc14519"/>
      <w:bookmarkStart w:id="5" w:name="_Toc7440"/>
      <w:bookmarkStart w:id="6" w:name="_Toc6782"/>
      <w:bookmarkStart w:id="7" w:name="_Toc20371"/>
      <w:r>
        <w:rPr>
          <w:rFonts w:ascii="楷体_GB2312" w:eastAsia="楷体_GB2312" w:hAnsi="楷体_GB2312" w:cs="楷体_GB2312" w:hint="eastAsia"/>
          <w:bCs/>
          <w:sz w:val="32"/>
          <w:szCs w:val="32"/>
        </w:rPr>
        <w:t>（一）加大培训力度，合理编制绩效目标及指标</w:t>
      </w:r>
      <w:bookmarkEnd w:id="1"/>
      <w:bookmarkEnd w:id="2"/>
    </w:p>
    <w:p w:rsidR="00A86263" w:rsidRDefault="00A86263" w:rsidP="00A86263">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lastRenderedPageBreak/>
        <w:t>市气象局</w:t>
      </w:r>
      <w:r w:rsidR="00F004A9">
        <w:rPr>
          <w:rFonts w:ascii="仿宋_GB2312" w:eastAsia="仿宋_GB2312" w:hint="eastAsia"/>
          <w:sz w:val="32"/>
          <w:szCs w:val="32"/>
        </w:rPr>
        <w:t>将</w:t>
      </w:r>
      <w:r>
        <w:rPr>
          <w:rFonts w:ascii="仿宋_GB2312" w:eastAsia="仿宋_GB2312" w:hint="eastAsia"/>
          <w:sz w:val="32"/>
          <w:szCs w:val="32"/>
        </w:rPr>
        <w:t>继续加强</w:t>
      </w:r>
      <w:r w:rsidR="00F004A9">
        <w:rPr>
          <w:rFonts w:ascii="仿宋_GB2312" w:eastAsia="仿宋_GB2312" w:hint="eastAsia"/>
          <w:sz w:val="32"/>
          <w:szCs w:val="32"/>
        </w:rPr>
        <w:t>对预算绩效管理相关人员</w:t>
      </w:r>
      <w:r w:rsidR="00CC1020">
        <w:rPr>
          <w:rFonts w:ascii="仿宋_GB2312" w:eastAsia="仿宋_GB2312" w:hint="eastAsia"/>
          <w:sz w:val="32"/>
          <w:szCs w:val="32"/>
        </w:rPr>
        <w:t>进行</w:t>
      </w:r>
      <w:r>
        <w:rPr>
          <w:rFonts w:ascii="仿宋_GB2312" w:eastAsia="仿宋_GB2312" w:hint="eastAsia"/>
          <w:sz w:val="32"/>
          <w:szCs w:val="32"/>
        </w:rPr>
        <w:t>财政绩效目标管理有关文件的学习</w:t>
      </w:r>
      <w:r w:rsidR="00F004A9">
        <w:rPr>
          <w:rFonts w:ascii="仿宋_GB2312" w:eastAsia="仿宋_GB2312" w:hint="eastAsia"/>
          <w:sz w:val="32"/>
          <w:szCs w:val="32"/>
        </w:rPr>
        <w:t>。如加强对</w:t>
      </w:r>
      <w:r>
        <w:rPr>
          <w:rFonts w:ascii="仿宋_GB2312" w:eastAsia="仿宋_GB2312" w:hint="eastAsia"/>
          <w:sz w:val="32"/>
          <w:szCs w:val="32"/>
        </w:rPr>
        <w:t>《关于印发&lt;中央部门项目支出核心绩效目标和指标设置及取值指引（试行）&gt;的通知》（财预〔2021〕101号）</w:t>
      </w:r>
      <w:r w:rsidR="00F004A9">
        <w:rPr>
          <w:rFonts w:ascii="仿宋_GB2312" w:eastAsia="仿宋_GB2312" w:hint="eastAsia"/>
          <w:sz w:val="32"/>
          <w:szCs w:val="32"/>
        </w:rPr>
        <w:t>文件</w:t>
      </w:r>
      <w:r>
        <w:rPr>
          <w:rFonts w:ascii="仿宋_GB2312" w:eastAsia="仿宋_GB2312" w:hint="eastAsia"/>
          <w:sz w:val="32"/>
          <w:szCs w:val="32"/>
        </w:rPr>
        <w:t>中的“绩效指标设置原则”“绩效指标的类型和设置要求”“</w:t>
      </w:r>
      <w:r>
        <w:rPr>
          <w:rFonts w:ascii="仿宋_GB2312" w:eastAsia="仿宋_GB2312" w:hint="eastAsia"/>
          <w:color w:val="2C2C2C"/>
          <w:sz w:val="32"/>
          <w:szCs w:val="32"/>
        </w:rPr>
        <w:t>绩效指标值设定依据</w:t>
      </w:r>
      <w:r>
        <w:rPr>
          <w:rFonts w:ascii="仿宋_GB2312" w:eastAsia="仿宋_GB2312" w:hint="eastAsia"/>
          <w:sz w:val="32"/>
          <w:szCs w:val="32"/>
        </w:rPr>
        <w:t>”“</w:t>
      </w:r>
      <w:r>
        <w:rPr>
          <w:rFonts w:ascii="仿宋_GB2312" w:eastAsia="仿宋_GB2312" w:hint="eastAsia"/>
          <w:color w:val="2C2C2C"/>
          <w:sz w:val="32"/>
          <w:szCs w:val="32"/>
        </w:rPr>
        <w:t>指标分值权重</w:t>
      </w:r>
      <w:r>
        <w:rPr>
          <w:rFonts w:ascii="仿宋_GB2312" w:eastAsia="仿宋_GB2312" w:hint="eastAsia"/>
          <w:sz w:val="32"/>
          <w:szCs w:val="32"/>
        </w:rPr>
        <w:t>”等</w:t>
      </w:r>
      <w:r w:rsidR="00F004A9">
        <w:rPr>
          <w:rFonts w:ascii="仿宋_GB2312" w:eastAsia="仿宋_GB2312" w:hint="eastAsia"/>
          <w:sz w:val="32"/>
          <w:szCs w:val="32"/>
        </w:rPr>
        <w:t>相关</w:t>
      </w:r>
      <w:r>
        <w:rPr>
          <w:rFonts w:ascii="仿宋_GB2312" w:eastAsia="仿宋_GB2312" w:hint="eastAsia"/>
          <w:sz w:val="32"/>
          <w:szCs w:val="32"/>
        </w:rPr>
        <w:t>内容</w:t>
      </w:r>
      <w:r w:rsidR="00F004A9">
        <w:rPr>
          <w:rFonts w:ascii="仿宋_GB2312" w:eastAsia="仿宋_GB2312" w:hint="eastAsia"/>
          <w:sz w:val="32"/>
          <w:szCs w:val="32"/>
        </w:rPr>
        <w:t>的培训学习。</w:t>
      </w:r>
      <w:r>
        <w:rPr>
          <w:rFonts w:ascii="仿宋_GB2312" w:eastAsia="仿宋_GB2312" w:hint="eastAsia"/>
          <w:sz w:val="32"/>
          <w:szCs w:val="32"/>
        </w:rPr>
        <w:t>根据部门职责、机构设置和项目年度计划开展内容设置绩效目标及指</w:t>
      </w:r>
      <w:r w:rsidR="00CC1020">
        <w:rPr>
          <w:rFonts w:ascii="仿宋_GB2312" w:eastAsia="仿宋_GB2312" w:hint="eastAsia"/>
          <w:sz w:val="32"/>
          <w:szCs w:val="32"/>
        </w:rPr>
        <w:t>标，确保年度绩效目标与预算相匹配，绩效指标细化、量化、可考核。</w:t>
      </w:r>
      <w:r>
        <w:rPr>
          <w:rFonts w:ascii="仿宋_GB2312" w:eastAsia="仿宋_GB2312" w:hint="eastAsia"/>
          <w:sz w:val="32"/>
          <w:szCs w:val="32"/>
        </w:rPr>
        <w:t>加</w:t>
      </w:r>
      <w:r>
        <w:rPr>
          <w:rFonts w:ascii="仿宋_GB2312" w:eastAsia="仿宋_GB2312" w:hAnsi="仿宋_GB2312" w:cs="仿宋_GB2312" w:hint="eastAsia"/>
          <w:sz w:val="32"/>
          <w:szCs w:val="32"/>
        </w:rPr>
        <w:t>大绩效目标审核力度，进一步提升预算绩效管理水平。</w:t>
      </w:r>
    </w:p>
    <w:p w:rsidR="00A86263" w:rsidRDefault="00A86263" w:rsidP="00A86263">
      <w:pPr>
        <w:adjustRightInd w:val="0"/>
        <w:snapToGrid w:val="0"/>
        <w:spacing w:line="360" w:lineRule="auto"/>
        <w:ind w:firstLineChars="200" w:firstLine="640"/>
        <w:outlineLvl w:val="1"/>
        <w:rPr>
          <w:rFonts w:ascii="仿宋_GB2312" w:eastAsia="楷体_GB2312" w:hAnsi="仿宋_GB2312" w:cs="仿宋_GB2312"/>
          <w:sz w:val="32"/>
          <w:szCs w:val="32"/>
        </w:rPr>
      </w:pPr>
      <w:bookmarkStart w:id="8" w:name="_Toc67"/>
      <w:bookmarkStart w:id="9" w:name="_Toc12332"/>
      <w:r>
        <w:rPr>
          <w:rFonts w:ascii="楷体_GB2312" w:eastAsia="楷体_GB2312" w:hAnsi="楷体_GB2312" w:cs="楷体_GB2312" w:hint="eastAsia"/>
          <w:bCs/>
          <w:sz w:val="32"/>
          <w:szCs w:val="32"/>
        </w:rPr>
        <w:t>（二）加强过程管理，提高项目实施质量</w:t>
      </w:r>
      <w:bookmarkEnd w:id="8"/>
      <w:bookmarkEnd w:id="9"/>
    </w:p>
    <w:p w:rsidR="00A86263" w:rsidRDefault="00A86263" w:rsidP="00A86263">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t>市气象局</w:t>
      </w:r>
      <w:r w:rsidR="00F004A9">
        <w:rPr>
          <w:rFonts w:ascii="仿宋_GB2312" w:eastAsia="仿宋_GB2312" w:hint="eastAsia"/>
          <w:sz w:val="32"/>
          <w:szCs w:val="32"/>
        </w:rPr>
        <w:t>将</w:t>
      </w:r>
      <w:r w:rsidR="00A67C8A">
        <w:rPr>
          <w:rFonts w:ascii="仿宋_GB2312" w:eastAsia="仿宋_GB2312" w:hint="eastAsia"/>
          <w:sz w:val="32"/>
          <w:szCs w:val="32"/>
        </w:rPr>
        <w:t>努力</w:t>
      </w:r>
      <w:r>
        <w:rPr>
          <w:rFonts w:ascii="仿宋_GB2312" w:eastAsia="仿宋_GB2312" w:hint="eastAsia"/>
          <w:sz w:val="32"/>
          <w:szCs w:val="32"/>
        </w:rPr>
        <w:t>提升</w:t>
      </w:r>
      <w:r w:rsidR="00A67C8A">
        <w:rPr>
          <w:rFonts w:ascii="仿宋_GB2312" w:eastAsia="仿宋_GB2312" w:hint="eastAsia"/>
          <w:sz w:val="32"/>
          <w:szCs w:val="32"/>
        </w:rPr>
        <w:t>项目</w:t>
      </w:r>
      <w:r>
        <w:rPr>
          <w:rFonts w:ascii="仿宋_GB2312" w:eastAsia="仿宋_GB2312" w:hint="eastAsia"/>
          <w:sz w:val="32"/>
          <w:szCs w:val="32"/>
        </w:rPr>
        <w:t>实施质量和精细化管理水平</w:t>
      </w:r>
      <w:r w:rsidR="00A67C8A">
        <w:rPr>
          <w:rFonts w:ascii="仿宋_GB2312" w:eastAsia="仿宋_GB2312" w:hint="eastAsia"/>
          <w:sz w:val="32"/>
          <w:szCs w:val="32"/>
        </w:rPr>
        <w:t>，</w:t>
      </w:r>
      <w:r>
        <w:rPr>
          <w:rFonts w:ascii="仿宋_GB2312" w:eastAsia="仿宋_GB2312" w:hint="eastAsia"/>
          <w:sz w:val="32"/>
          <w:szCs w:val="32"/>
        </w:rPr>
        <w:t>完善项目过程管理相关制度，明确</w:t>
      </w:r>
      <w:r w:rsidR="00A67C8A">
        <w:rPr>
          <w:rFonts w:ascii="仿宋_GB2312" w:eastAsia="仿宋_GB2312" w:hint="eastAsia"/>
          <w:sz w:val="32"/>
          <w:szCs w:val="32"/>
        </w:rPr>
        <w:t>有关</w:t>
      </w:r>
      <w:r>
        <w:rPr>
          <w:rFonts w:ascii="仿宋_GB2312" w:eastAsia="仿宋_GB2312" w:hint="eastAsia"/>
          <w:sz w:val="32"/>
          <w:szCs w:val="32"/>
        </w:rPr>
        <w:t>管理要求，确保项目实施质量。</w:t>
      </w:r>
    </w:p>
    <w:bookmarkEnd w:id="3"/>
    <w:bookmarkEnd w:id="4"/>
    <w:bookmarkEnd w:id="5"/>
    <w:bookmarkEnd w:id="6"/>
    <w:bookmarkEnd w:id="7"/>
    <w:p w:rsidR="00A86263" w:rsidRPr="00FD61E7" w:rsidRDefault="00FD61E7" w:rsidP="00FD61E7">
      <w:pPr>
        <w:spacing w:line="600" w:lineRule="exact"/>
        <w:ind w:firstLineChars="200" w:firstLine="640"/>
        <w:rPr>
          <w:rFonts w:ascii="黑体" w:eastAsia="黑体" w:hAnsi="黑体" w:cs="宋体"/>
          <w:color w:val="000000"/>
          <w:kern w:val="0"/>
          <w:sz w:val="32"/>
          <w:szCs w:val="32"/>
        </w:rPr>
      </w:pPr>
      <w:r w:rsidRPr="00FD61E7">
        <w:rPr>
          <w:rFonts w:ascii="黑体" w:eastAsia="黑体" w:hAnsi="黑体" w:cs="宋体" w:hint="eastAsia"/>
          <w:color w:val="000000"/>
          <w:kern w:val="0"/>
          <w:sz w:val="32"/>
          <w:szCs w:val="32"/>
        </w:rPr>
        <w:t>七、</w:t>
      </w:r>
      <w:r w:rsidR="00A86263" w:rsidRPr="00FD61E7">
        <w:rPr>
          <w:rFonts w:ascii="黑体" w:eastAsia="黑体" w:hAnsi="黑体" w:cs="宋体" w:hint="eastAsia"/>
          <w:color w:val="000000"/>
          <w:kern w:val="0"/>
          <w:sz w:val="32"/>
          <w:szCs w:val="32"/>
        </w:rPr>
        <w:t>2022年部门整体绩效评价指标体系评分表</w:t>
      </w:r>
    </w:p>
    <w:p w:rsidR="00A86263" w:rsidRPr="008B26B0" w:rsidRDefault="00A86263" w:rsidP="00FD61E7">
      <w:pPr>
        <w:pStyle w:val="a0"/>
        <w:ind w:firstLine="640"/>
        <w:rPr>
          <w:rFonts w:ascii="仿宋_GB2312" w:eastAsia="仿宋_GB2312" w:hAnsi="仿宋_GB2312" w:cs="仿宋_GB2312"/>
          <w:sz w:val="32"/>
          <w:szCs w:val="32"/>
        </w:rPr>
      </w:pPr>
      <w:r w:rsidRPr="008B26B0">
        <w:rPr>
          <w:rFonts w:ascii="仿宋_GB2312" w:eastAsia="仿宋_GB2312" w:hAnsi="仿宋_GB2312" w:cs="仿宋_GB2312" w:hint="eastAsia"/>
          <w:sz w:val="32"/>
          <w:szCs w:val="32"/>
        </w:rPr>
        <w:t>详见附件</w:t>
      </w:r>
      <w:r>
        <w:rPr>
          <w:rFonts w:ascii="仿宋_GB2312" w:eastAsia="仿宋_GB2312" w:hAnsi="仿宋_GB2312" w:cs="仿宋_GB2312" w:hint="eastAsia"/>
          <w:sz w:val="32"/>
          <w:szCs w:val="32"/>
        </w:rPr>
        <w:t>。</w:t>
      </w:r>
    </w:p>
    <w:p w:rsidR="00570FB9" w:rsidRDefault="00570FB9"/>
    <w:sectPr w:rsidR="00570FB9" w:rsidSect="00AD7218">
      <w:footerReference w:type="even" r:id="rId8"/>
      <w:footerReference w:type="default" r:id="rId9"/>
      <w:pgSz w:w="16838" w:h="11906" w:orient="landscape"/>
      <w:pgMar w:top="1134" w:right="1134" w:bottom="1134" w:left="1134" w:header="851" w:footer="680"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6BF" w:rsidRDefault="009F26BF" w:rsidP="00A86263">
      <w:r>
        <w:separator/>
      </w:r>
    </w:p>
  </w:endnote>
  <w:endnote w:type="continuationSeparator" w:id="0">
    <w:p w:rsidR="009F26BF" w:rsidRDefault="009F26BF" w:rsidP="00A86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18" w:rsidRDefault="00705EF1">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15</w:t>
    </w:r>
    <w:r>
      <w:fldChar w:fldCharType="end"/>
    </w:r>
  </w:p>
  <w:p w:rsidR="004A1618" w:rsidRDefault="009F26B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18" w:rsidRDefault="00705EF1">
    <w:pPr>
      <w:pStyle w:val="a4"/>
      <w:framePr w:wrap="around" w:vAnchor="text" w:hAnchor="margin" w:xAlign="center" w:y="1"/>
      <w:rPr>
        <w:rStyle w:val="a5"/>
      </w:rPr>
    </w:pPr>
    <w:r>
      <w:fldChar w:fldCharType="begin"/>
    </w:r>
    <w:r>
      <w:rPr>
        <w:rStyle w:val="a5"/>
      </w:rPr>
      <w:instrText xml:space="preserve">PAGE  </w:instrText>
    </w:r>
    <w:r>
      <w:fldChar w:fldCharType="separate"/>
    </w:r>
    <w:r w:rsidR="00CC1020">
      <w:rPr>
        <w:rStyle w:val="a5"/>
        <w:noProof/>
      </w:rPr>
      <w:t>1</w:t>
    </w:r>
    <w:r>
      <w:fldChar w:fldCharType="end"/>
    </w:r>
  </w:p>
  <w:p w:rsidR="004A1618" w:rsidRDefault="009F26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6BF" w:rsidRDefault="009F26BF" w:rsidP="00A86263">
      <w:r>
        <w:separator/>
      </w:r>
    </w:p>
  </w:footnote>
  <w:footnote w:type="continuationSeparator" w:id="0">
    <w:p w:rsidR="009F26BF" w:rsidRDefault="009F26BF" w:rsidP="00A86263">
      <w:r>
        <w:continuationSeparator/>
      </w:r>
    </w:p>
  </w:footnote>
  <w:footnote w:id="1">
    <w:p w:rsidR="00A86263" w:rsidRDefault="00A86263" w:rsidP="00A86263">
      <w:pPr>
        <w:pStyle w:val="a6"/>
      </w:pPr>
      <w:r>
        <w:rPr>
          <w:rStyle w:val="a7"/>
        </w:rPr>
        <w:footnoteRef/>
      </w:r>
      <w:r>
        <w:t xml:space="preserve"> </w:t>
      </w:r>
      <w:r>
        <w:rPr>
          <w:rFonts w:hint="eastAsia"/>
        </w:rPr>
        <w:t>部门整体支出年初</w:t>
      </w:r>
      <w:r w:rsidR="00302596">
        <w:rPr>
          <w:rFonts w:hint="eastAsia"/>
        </w:rPr>
        <w:t>预算</w:t>
      </w:r>
      <w:r>
        <w:rPr>
          <w:rFonts w:hint="eastAsia"/>
        </w:rPr>
        <w:t>数。</w:t>
      </w:r>
    </w:p>
  </w:footnote>
  <w:footnote w:id="2">
    <w:p w:rsidR="00A86263" w:rsidRDefault="00A86263" w:rsidP="00A86263">
      <w:pPr>
        <w:pStyle w:val="a6"/>
      </w:pPr>
      <w:r>
        <w:rPr>
          <w:rStyle w:val="a7"/>
        </w:rPr>
        <w:footnoteRef/>
      </w:r>
      <w:r>
        <w:t xml:space="preserve"> </w:t>
      </w:r>
      <w:r>
        <w:rPr>
          <w:rFonts w:hint="eastAsia"/>
        </w:rPr>
        <w:t>公用经费控制率</w:t>
      </w:r>
      <w:r>
        <w:rPr>
          <w:rFonts w:hint="eastAsia"/>
        </w:rPr>
        <w:t>=</w:t>
      </w:r>
      <w:r>
        <w:rPr>
          <w:rFonts w:hint="eastAsia"/>
        </w:rPr>
        <w:t>（实际支出公用经费总额</w:t>
      </w:r>
      <w:r>
        <w:rPr>
          <w:rFonts w:hint="eastAsia"/>
        </w:rPr>
        <w:t>/</w:t>
      </w:r>
      <w:r>
        <w:rPr>
          <w:rFonts w:hint="eastAsia"/>
        </w:rPr>
        <w:t>预算安排公用经费总额）×</w:t>
      </w:r>
      <w:r>
        <w:rPr>
          <w:rFonts w:hint="eastAsia"/>
        </w:rPr>
        <w:t>100%</w:t>
      </w:r>
      <w:r>
        <w:rPr>
          <w:rFonts w:hint="eastAsia"/>
        </w:rPr>
        <w:t>。</w:t>
      </w:r>
    </w:p>
  </w:footnote>
  <w:footnote w:id="3">
    <w:p w:rsidR="00A86263" w:rsidRDefault="00A86263" w:rsidP="00A86263">
      <w:pPr>
        <w:pStyle w:val="a6"/>
      </w:pPr>
      <w:r>
        <w:rPr>
          <w:rStyle w:val="a7"/>
        </w:rPr>
        <w:footnoteRef/>
      </w:r>
      <w:r>
        <w:t xml:space="preserve"> </w:t>
      </w:r>
      <w:r>
        <w:rPr>
          <w:rFonts w:hint="eastAsia"/>
        </w:rPr>
        <w:t>结转结余率</w:t>
      </w:r>
      <w:r>
        <w:rPr>
          <w:rFonts w:hint="eastAsia"/>
        </w:rPr>
        <w:t>=</w:t>
      </w:r>
      <w:r>
        <w:rPr>
          <w:rFonts w:hint="eastAsia"/>
        </w:rPr>
        <w:t>结转结余总额</w:t>
      </w:r>
      <w:r>
        <w:rPr>
          <w:rFonts w:hint="eastAsia"/>
        </w:rPr>
        <w:t>/</w:t>
      </w:r>
      <w:r>
        <w:rPr>
          <w:rFonts w:hint="eastAsia"/>
        </w:rPr>
        <w:t>支出预算数×</w:t>
      </w:r>
      <w:r>
        <w:rPr>
          <w:rFonts w:hint="eastAsia"/>
        </w:rPr>
        <w:t>100%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63"/>
    <w:rsid w:val="000A40BE"/>
    <w:rsid w:val="001122EE"/>
    <w:rsid w:val="0015111E"/>
    <w:rsid w:val="00302596"/>
    <w:rsid w:val="0033667E"/>
    <w:rsid w:val="00415B65"/>
    <w:rsid w:val="004F424C"/>
    <w:rsid w:val="00570FB9"/>
    <w:rsid w:val="00586721"/>
    <w:rsid w:val="007009BE"/>
    <w:rsid w:val="00705EF1"/>
    <w:rsid w:val="0070730B"/>
    <w:rsid w:val="00757D2E"/>
    <w:rsid w:val="00796831"/>
    <w:rsid w:val="009C6B70"/>
    <w:rsid w:val="009D5B29"/>
    <w:rsid w:val="009F26BF"/>
    <w:rsid w:val="00A07763"/>
    <w:rsid w:val="00A67C8A"/>
    <w:rsid w:val="00A86263"/>
    <w:rsid w:val="00B257DA"/>
    <w:rsid w:val="00CC1020"/>
    <w:rsid w:val="00D134E5"/>
    <w:rsid w:val="00D64B96"/>
    <w:rsid w:val="00D772D0"/>
    <w:rsid w:val="00EA691E"/>
    <w:rsid w:val="00F004A9"/>
    <w:rsid w:val="00FD1D98"/>
    <w:rsid w:val="00FD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qFormat="1"/>
    <w:lsdException w:name="foot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86263"/>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86263"/>
    <w:pPr>
      <w:ind w:firstLineChars="200" w:firstLine="200"/>
    </w:pPr>
  </w:style>
  <w:style w:type="paragraph" w:styleId="a4">
    <w:name w:val="footer"/>
    <w:basedOn w:val="a"/>
    <w:link w:val="Char"/>
    <w:rsid w:val="00A86263"/>
    <w:pPr>
      <w:tabs>
        <w:tab w:val="center" w:pos="4153"/>
        <w:tab w:val="right" w:pos="8306"/>
      </w:tabs>
      <w:snapToGrid w:val="0"/>
      <w:jc w:val="left"/>
    </w:pPr>
    <w:rPr>
      <w:sz w:val="18"/>
      <w:szCs w:val="18"/>
    </w:rPr>
  </w:style>
  <w:style w:type="character" w:customStyle="1" w:styleId="Char">
    <w:name w:val="页脚 Char"/>
    <w:basedOn w:val="a1"/>
    <w:link w:val="a4"/>
    <w:rsid w:val="00A86263"/>
    <w:rPr>
      <w:rFonts w:ascii="Times New Roman" w:eastAsia="宋体" w:hAnsi="Times New Roman" w:cs="Times New Roman"/>
      <w:sz w:val="18"/>
      <w:szCs w:val="18"/>
    </w:rPr>
  </w:style>
  <w:style w:type="character" w:styleId="a5">
    <w:name w:val="page number"/>
    <w:rsid w:val="00A86263"/>
  </w:style>
  <w:style w:type="paragraph" w:styleId="a6">
    <w:name w:val="footnote text"/>
    <w:basedOn w:val="a"/>
    <w:link w:val="Char0"/>
    <w:uiPriority w:val="99"/>
    <w:semiHidden/>
    <w:unhideWhenUsed/>
    <w:qFormat/>
    <w:rsid w:val="00A86263"/>
    <w:pPr>
      <w:snapToGrid w:val="0"/>
      <w:jc w:val="left"/>
    </w:pPr>
    <w:rPr>
      <w:sz w:val="18"/>
    </w:rPr>
  </w:style>
  <w:style w:type="character" w:customStyle="1" w:styleId="Char0">
    <w:name w:val="脚注文本 Char"/>
    <w:basedOn w:val="a1"/>
    <w:link w:val="a6"/>
    <w:uiPriority w:val="99"/>
    <w:semiHidden/>
    <w:rsid w:val="00A86263"/>
    <w:rPr>
      <w:rFonts w:ascii="Times New Roman" w:eastAsia="宋体" w:hAnsi="Times New Roman" w:cs="Times New Roman"/>
      <w:sz w:val="18"/>
      <w:szCs w:val="24"/>
    </w:rPr>
  </w:style>
  <w:style w:type="character" w:styleId="a7">
    <w:name w:val="footnote reference"/>
    <w:uiPriority w:val="99"/>
    <w:semiHidden/>
    <w:unhideWhenUsed/>
    <w:qFormat/>
    <w:rsid w:val="00A86263"/>
    <w:rPr>
      <w:vertAlign w:val="superscript"/>
    </w:rPr>
  </w:style>
  <w:style w:type="paragraph" w:styleId="a8">
    <w:name w:val="header"/>
    <w:basedOn w:val="a"/>
    <w:link w:val="Char1"/>
    <w:uiPriority w:val="99"/>
    <w:unhideWhenUsed/>
    <w:rsid w:val="00757D2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8"/>
    <w:uiPriority w:val="99"/>
    <w:rsid w:val="00757D2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qFormat="1"/>
    <w:lsdException w:name="foot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86263"/>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86263"/>
    <w:pPr>
      <w:ind w:firstLineChars="200" w:firstLine="200"/>
    </w:pPr>
  </w:style>
  <w:style w:type="paragraph" w:styleId="a4">
    <w:name w:val="footer"/>
    <w:basedOn w:val="a"/>
    <w:link w:val="Char"/>
    <w:rsid w:val="00A86263"/>
    <w:pPr>
      <w:tabs>
        <w:tab w:val="center" w:pos="4153"/>
        <w:tab w:val="right" w:pos="8306"/>
      </w:tabs>
      <w:snapToGrid w:val="0"/>
      <w:jc w:val="left"/>
    </w:pPr>
    <w:rPr>
      <w:sz w:val="18"/>
      <w:szCs w:val="18"/>
    </w:rPr>
  </w:style>
  <w:style w:type="character" w:customStyle="1" w:styleId="Char">
    <w:name w:val="页脚 Char"/>
    <w:basedOn w:val="a1"/>
    <w:link w:val="a4"/>
    <w:rsid w:val="00A86263"/>
    <w:rPr>
      <w:rFonts w:ascii="Times New Roman" w:eastAsia="宋体" w:hAnsi="Times New Roman" w:cs="Times New Roman"/>
      <w:sz w:val="18"/>
      <w:szCs w:val="18"/>
    </w:rPr>
  </w:style>
  <w:style w:type="character" w:styleId="a5">
    <w:name w:val="page number"/>
    <w:rsid w:val="00A86263"/>
  </w:style>
  <w:style w:type="paragraph" w:styleId="a6">
    <w:name w:val="footnote text"/>
    <w:basedOn w:val="a"/>
    <w:link w:val="Char0"/>
    <w:uiPriority w:val="99"/>
    <w:semiHidden/>
    <w:unhideWhenUsed/>
    <w:qFormat/>
    <w:rsid w:val="00A86263"/>
    <w:pPr>
      <w:snapToGrid w:val="0"/>
      <w:jc w:val="left"/>
    </w:pPr>
    <w:rPr>
      <w:sz w:val="18"/>
    </w:rPr>
  </w:style>
  <w:style w:type="character" w:customStyle="1" w:styleId="Char0">
    <w:name w:val="脚注文本 Char"/>
    <w:basedOn w:val="a1"/>
    <w:link w:val="a6"/>
    <w:uiPriority w:val="99"/>
    <w:semiHidden/>
    <w:rsid w:val="00A86263"/>
    <w:rPr>
      <w:rFonts w:ascii="Times New Roman" w:eastAsia="宋体" w:hAnsi="Times New Roman" w:cs="Times New Roman"/>
      <w:sz w:val="18"/>
      <w:szCs w:val="24"/>
    </w:rPr>
  </w:style>
  <w:style w:type="character" w:styleId="a7">
    <w:name w:val="footnote reference"/>
    <w:uiPriority w:val="99"/>
    <w:semiHidden/>
    <w:unhideWhenUsed/>
    <w:qFormat/>
    <w:rsid w:val="00A86263"/>
    <w:rPr>
      <w:vertAlign w:val="superscript"/>
    </w:rPr>
  </w:style>
  <w:style w:type="paragraph" w:styleId="a8">
    <w:name w:val="header"/>
    <w:basedOn w:val="a"/>
    <w:link w:val="Char1"/>
    <w:uiPriority w:val="99"/>
    <w:unhideWhenUsed/>
    <w:rsid w:val="00757D2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8"/>
    <w:uiPriority w:val="99"/>
    <w:rsid w:val="00757D2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4FE38-65A4-4976-82BF-3EE49B32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990</Words>
  <Characters>5643</Characters>
  <Application>Microsoft Office Word</Application>
  <DocSecurity>0</DocSecurity>
  <Lines>47</Lines>
  <Paragraphs>13</Paragraphs>
  <ScaleCrop>false</ScaleCrop>
  <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dc:creator>
  <cp:lastModifiedBy>崔振东</cp:lastModifiedBy>
  <cp:revision>12</cp:revision>
  <dcterms:created xsi:type="dcterms:W3CDTF">2023-06-08T14:20:00Z</dcterms:created>
  <dcterms:modified xsi:type="dcterms:W3CDTF">2023-08-24T06:58:00Z</dcterms:modified>
</cp:coreProperties>
</file>