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C1D" w:rsidRDefault="00901C1D">
      <w:bookmarkStart w:id="0" w:name="_Toc6053"/>
    </w:p>
    <w:p w:rsidR="00901C1D" w:rsidRDefault="00965F36">
      <w:pPr>
        <w:pStyle w:val="a6"/>
        <w:tabs>
          <w:tab w:val="left" w:pos="1137"/>
          <w:tab w:val="left" w:pos="1343"/>
        </w:tabs>
        <w:spacing w:line="500" w:lineRule="exact"/>
        <w:ind w:firstLine="0"/>
        <w:jc w:val="center"/>
        <w:rPr>
          <w:rFonts w:ascii="方正小标宋简体" w:eastAsia="方正小标宋简体" w:hAnsi="方正小标宋简体" w:cs="方正小标宋简体"/>
          <w:bCs/>
          <w:sz w:val="44"/>
          <w:szCs w:val="44"/>
          <w:lang w:eastAsia="zh-CN"/>
        </w:rPr>
      </w:pPr>
      <w:bookmarkStart w:id="1" w:name="_Toc684"/>
      <w:bookmarkStart w:id="2" w:name="_Toc18391"/>
      <w:r>
        <w:rPr>
          <w:rFonts w:ascii="方正小标宋简体" w:eastAsia="方正小标宋简体" w:hAnsi="方正小标宋简体" w:cs="方正小标宋简体" w:hint="eastAsia"/>
          <w:bCs/>
          <w:sz w:val="44"/>
          <w:szCs w:val="44"/>
          <w:lang w:eastAsia="zh-CN"/>
        </w:rPr>
        <w:t>北京市延庆区</w:t>
      </w:r>
      <w:bookmarkEnd w:id="0"/>
      <w:bookmarkEnd w:id="1"/>
      <w:bookmarkEnd w:id="2"/>
      <w:r>
        <w:rPr>
          <w:rFonts w:ascii="方正小标宋简体" w:eastAsia="方正小标宋简体" w:hAnsi="方正小标宋简体" w:cs="方正小标宋简体" w:hint="eastAsia"/>
          <w:bCs/>
          <w:sz w:val="44"/>
          <w:szCs w:val="44"/>
          <w:lang w:eastAsia="zh-CN"/>
        </w:rPr>
        <w:t>人民法院</w:t>
      </w:r>
    </w:p>
    <w:p w:rsidR="00901C1D" w:rsidRDefault="00965F36">
      <w:pPr>
        <w:pStyle w:val="a6"/>
        <w:tabs>
          <w:tab w:val="left" w:pos="1137"/>
          <w:tab w:val="left" w:pos="1343"/>
        </w:tabs>
        <w:spacing w:line="500" w:lineRule="exact"/>
        <w:ind w:firstLine="0"/>
        <w:jc w:val="center"/>
        <w:rPr>
          <w:rFonts w:ascii="黑体" w:eastAsia="黑体" w:hAnsi="黑体"/>
          <w:b/>
          <w:sz w:val="44"/>
          <w:szCs w:val="44"/>
          <w:lang w:eastAsia="zh-CN"/>
        </w:rPr>
      </w:pPr>
      <w:r>
        <w:rPr>
          <w:rFonts w:ascii="方正小标宋简体" w:eastAsia="方正小标宋简体" w:hAnsi="方正小标宋简体" w:cs="方正小标宋简体" w:hint="eastAsia"/>
          <w:bCs/>
          <w:sz w:val="44"/>
          <w:szCs w:val="44"/>
          <w:lang w:eastAsia="zh-CN"/>
        </w:rPr>
        <w:t>信息化运维费项目</w:t>
      </w:r>
      <w:bookmarkStart w:id="3" w:name="_Toc11438"/>
      <w:bookmarkStart w:id="4" w:name="_Toc15113"/>
      <w:bookmarkStart w:id="5" w:name="_Toc13892"/>
      <w:r>
        <w:rPr>
          <w:rFonts w:ascii="方正小标宋简体" w:eastAsia="方正小标宋简体" w:hAnsi="方正小标宋简体" w:cs="方正小标宋简体" w:hint="eastAsia"/>
          <w:bCs/>
          <w:sz w:val="44"/>
          <w:szCs w:val="44"/>
          <w:lang w:eastAsia="zh-CN"/>
        </w:rPr>
        <w:t>绩效评价报告</w:t>
      </w:r>
      <w:bookmarkEnd w:id="3"/>
      <w:bookmarkEnd w:id="4"/>
      <w:bookmarkEnd w:id="5"/>
    </w:p>
    <w:p w:rsidR="00901C1D" w:rsidRDefault="00965F36">
      <w:pPr>
        <w:pStyle w:val="1"/>
        <w:keepNext w:val="0"/>
        <w:keepLines w:val="0"/>
        <w:widowControl/>
        <w:numPr>
          <w:ilvl w:val="0"/>
          <w:numId w:val="1"/>
        </w:numPr>
        <w:spacing w:before="0" w:after="0" w:line="520" w:lineRule="atLeast"/>
        <w:contextualSpacing/>
        <w:jc w:val="left"/>
        <w:rPr>
          <w:rFonts w:ascii="黑体" w:eastAsia="黑体" w:hAnsi="黑体" w:cs="黑体"/>
          <w:b w:val="0"/>
          <w:kern w:val="0"/>
          <w:sz w:val="32"/>
          <w:szCs w:val="32"/>
          <w:lang w:bidi="en-US"/>
        </w:rPr>
      </w:pPr>
      <w:bookmarkStart w:id="6" w:name="_Toc19521"/>
      <w:bookmarkStart w:id="7" w:name="_Toc10582"/>
      <w:bookmarkStart w:id="8" w:name="_Toc8864"/>
      <w:bookmarkStart w:id="9" w:name="_Toc8074"/>
      <w:bookmarkStart w:id="10" w:name="_Toc77203339"/>
      <w:bookmarkStart w:id="11" w:name="_Toc516663569"/>
      <w:r>
        <w:rPr>
          <w:rFonts w:ascii="黑体" w:eastAsia="黑体" w:hAnsi="黑体" w:cs="黑体" w:hint="eastAsia"/>
          <w:b w:val="0"/>
          <w:kern w:val="0"/>
          <w:sz w:val="32"/>
          <w:szCs w:val="32"/>
          <w:lang w:bidi="en-US"/>
        </w:rPr>
        <w:t>基本情况</w:t>
      </w:r>
      <w:bookmarkEnd w:id="6"/>
      <w:bookmarkEnd w:id="7"/>
      <w:bookmarkEnd w:id="8"/>
      <w:bookmarkEnd w:id="9"/>
      <w:bookmarkEnd w:id="10"/>
    </w:p>
    <w:p w:rsidR="00901C1D" w:rsidRDefault="00965F36">
      <w:pPr>
        <w:numPr>
          <w:ilvl w:val="0"/>
          <w:numId w:val="2"/>
        </w:numPr>
        <w:spacing w:line="560" w:lineRule="exact"/>
        <w:outlineLvl w:val="1"/>
        <w:rPr>
          <w:rFonts w:ascii="楷体_GB2312" w:eastAsia="楷体_GB2312" w:hAnsi="楷体" w:cs="仿宋_GB2312"/>
          <w:bCs/>
          <w:sz w:val="32"/>
          <w:szCs w:val="32"/>
        </w:rPr>
      </w:pPr>
      <w:bookmarkStart w:id="12" w:name="_Toc24756"/>
      <w:bookmarkStart w:id="13" w:name="_Toc8611"/>
      <w:bookmarkStart w:id="14" w:name="_Toc21450"/>
      <w:bookmarkStart w:id="15" w:name="_Toc77203340"/>
      <w:bookmarkStart w:id="16" w:name="_Toc1076"/>
      <w:bookmarkStart w:id="17" w:name="_Toc516663571"/>
      <w:bookmarkStart w:id="18" w:name="_Toc508205330"/>
      <w:bookmarkEnd w:id="11"/>
      <w:r>
        <w:rPr>
          <w:rFonts w:ascii="楷体_GB2312" w:eastAsia="楷体_GB2312" w:hAnsi="楷体" w:cs="仿宋_GB2312" w:hint="eastAsia"/>
          <w:bCs/>
          <w:sz w:val="32"/>
          <w:szCs w:val="32"/>
        </w:rPr>
        <w:t>项目</w:t>
      </w:r>
      <w:bookmarkEnd w:id="12"/>
      <w:bookmarkEnd w:id="13"/>
      <w:bookmarkEnd w:id="14"/>
      <w:bookmarkEnd w:id="15"/>
      <w:bookmarkEnd w:id="16"/>
      <w:r>
        <w:rPr>
          <w:rFonts w:ascii="楷体_GB2312" w:eastAsia="楷体_GB2312" w:hAnsi="楷体" w:cs="仿宋_GB2312" w:hint="eastAsia"/>
          <w:bCs/>
          <w:sz w:val="32"/>
          <w:szCs w:val="32"/>
        </w:rPr>
        <w:t>概况</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1</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项目背景</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北京市延庆区人民法院（以下简称“延庆区法院”），积极响应北京市高级人民法院信息化建设的总体部署，建立了较为完备的信息化系统以及数据网、语音网、视频网等网络应用平台，不但满足了法院审判与法院管理等各方面的需求，而且积极为相关部门、社会，提供必要的信息服务。</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目前，延庆区法院建成的信息系统主要包括：审判业务系统、电子卷宗系统、谈话应用系统、数字审委会系统、高清监控系统、信息中心展示系统、</w:t>
      </w:r>
      <w:r>
        <w:rPr>
          <w:rFonts w:ascii="仿宋_GB2312" w:eastAsia="仿宋_GB2312" w:hAnsi="仿宋" w:cs="Times New Roman" w:hint="eastAsia"/>
          <w:kern w:val="0"/>
          <w:sz w:val="28"/>
          <w:szCs w:val="28"/>
          <w:lang w:bidi="en-US"/>
        </w:rPr>
        <w:t>GPS</w:t>
      </w:r>
      <w:r>
        <w:rPr>
          <w:rFonts w:ascii="仿宋_GB2312" w:eastAsia="仿宋_GB2312" w:hAnsi="仿宋" w:cs="Times New Roman" w:hint="eastAsia"/>
          <w:kern w:val="0"/>
          <w:sz w:val="28"/>
          <w:szCs w:val="28"/>
          <w:lang w:bidi="en-US"/>
        </w:rPr>
        <w:t>车辆定位系统、法庭手动报警系统、室内外大屏显示系统、车辆出入系统、门禁系统、电话系统、人民陪审员系统、</w:t>
      </w:r>
      <w:r>
        <w:rPr>
          <w:rFonts w:ascii="仿宋_GB2312" w:eastAsia="仿宋_GB2312" w:hAnsi="仿宋" w:cs="Times New Roman" w:hint="eastAsia"/>
          <w:kern w:val="0"/>
          <w:sz w:val="28"/>
          <w:szCs w:val="28"/>
          <w:lang w:bidi="en-US"/>
        </w:rPr>
        <w:t>Cocall</w:t>
      </w:r>
      <w:r>
        <w:rPr>
          <w:rFonts w:ascii="仿宋_GB2312" w:eastAsia="仿宋_GB2312" w:hAnsi="仿宋" w:cs="Times New Roman" w:hint="eastAsia"/>
          <w:kern w:val="0"/>
          <w:sz w:val="28"/>
          <w:szCs w:val="28"/>
          <w:lang w:bidi="en-US"/>
        </w:rPr>
        <w:t>管理系统、执行办案系统、执行案款系统、数字法庭系统、电子签章管理系统、绿色机房系统、终端系统。</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延庆区法院庭审活动多，技术与业务保障任务重，随着信息系统的扩充完善和日益复杂，需引入专业技术人员、团队对信息系统进行专项维护、巡检、故障解决及分析总结，以保障各项信息</w:t>
      </w:r>
      <w:r>
        <w:rPr>
          <w:rFonts w:ascii="仿宋_GB2312" w:eastAsia="仿宋_GB2312" w:hAnsi="仿宋" w:cs="Times New Roman" w:hint="eastAsia"/>
          <w:kern w:val="0"/>
          <w:sz w:val="28"/>
          <w:szCs w:val="28"/>
          <w:lang w:bidi="en-US"/>
        </w:rPr>
        <w:t>化系统的稳定性和安全性，确保系统正常运行。</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2</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主要内容及实施情况</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lastRenderedPageBreak/>
        <w:t>（</w:t>
      </w:r>
      <w:r>
        <w:rPr>
          <w:rFonts w:ascii="仿宋_GB2312" w:eastAsia="仿宋_GB2312" w:hAnsi="仿宋" w:cs="Times New Roman" w:hint="eastAsia"/>
          <w:kern w:val="0"/>
          <w:sz w:val="28"/>
          <w:szCs w:val="28"/>
          <w:lang w:bidi="en-US"/>
        </w:rPr>
        <w:t>1</w:t>
      </w:r>
      <w:r>
        <w:rPr>
          <w:rFonts w:ascii="仿宋_GB2312" w:eastAsia="仿宋_GB2312" w:hAnsi="仿宋" w:cs="Times New Roman" w:hint="eastAsia"/>
          <w:kern w:val="0"/>
          <w:sz w:val="28"/>
          <w:szCs w:val="28"/>
          <w:lang w:bidi="en-US"/>
        </w:rPr>
        <w:t>）主要内容</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kern w:val="0"/>
          <w:sz w:val="28"/>
          <w:szCs w:val="28"/>
          <w:lang w:bidi="en-US"/>
        </w:rPr>
        <w:t>根据</w:t>
      </w:r>
      <w:r>
        <w:rPr>
          <w:rFonts w:ascii="仿宋_GB2312" w:eastAsia="仿宋_GB2312" w:hAnsi="仿宋" w:cs="Times New Roman" w:hint="eastAsia"/>
          <w:kern w:val="0"/>
          <w:sz w:val="28"/>
          <w:szCs w:val="28"/>
          <w:lang w:bidi="en-US"/>
        </w:rPr>
        <w:t>延庆</w:t>
      </w:r>
      <w:r>
        <w:rPr>
          <w:rFonts w:ascii="仿宋_GB2312" w:eastAsia="仿宋_GB2312" w:hAnsi="仿宋" w:cs="Times New Roman"/>
          <w:kern w:val="0"/>
          <w:sz w:val="28"/>
          <w:szCs w:val="28"/>
          <w:lang w:bidi="en-US"/>
        </w:rPr>
        <w:t>区法院信息化运维现状，</w:t>
      </w:r>
      <w:r>
        <w:rPr>
          <w:rFonts w:ascii="仿宋_GB2312" w:eastAsia="仿宋_GB2312" w:hAnsi="仿宋" w:cs="Times New Roman" w:hint="eastAsia"/>
          <w:kern w:val="0"/>
          <w:sz w:val="28"/>
          <w:szCs w:val="28"/>
          <w:lang w:bidi="en-US"/>
        </w:rPr>
        <w:t>2022</w:t>
      </w:r>
      <w:r>
        <w:rPr>
          <w:rFonts w:ascii="仿宋_GB2312" w:eastAsia="仿宋_GB2312" w:hAnsi="仿宋" w:cs="Times New Roman" w:hint="eastAsia"/>
          <w:kern w:val="0"/>
          <w:sz w:val="28"/>
          <w:szCs w:val="28"/>
          <w:lang w:bidi="en-US"/>
        </w:rPr>
        <w:t>年度信</w:t>
      </w:r>
      <w:r>
        <w:rPr>
          <w:rFonts w:ascii="仿宋_GB2312" w:eastAsia="仿宋_GB2312" w:hAnsi="仿宋" w:cs="Times New Roman"/>
          <w:kern w:val="0"/>
          <w:sz w:val="28"/>
          <w:szCs w:val="28"/>
          <w:lang w:bidi="en-US"/>
        </w:rPr>
        <w:t>息化运维内容分为</w:t>
      </w:r>
      <w:r>
        <w:rPr>
          <w:rFonts w:ascii="仿宋_GB2312" w:eastAsia="仿宋_GB2312" w:hAnsi="仿宋" w:cs="Times New Roman" w:hint="eastAsia"/>
          <w:kern w:val="0"/>
          <w:sz w:val="28"/>
          <w:szCs w:val="28"/>
          <w:lang w:bidi="en-US"/>
        </w:rPr>
        <w:t>两大</w:t>
      </w:r>
      <w:r>
        <w:rPr>
          <w:rFonts w:ascii="仿宋_GB2312" w:eastAsia="仿宋_GB2312" w:hAnsi="仿宋" w:cs="Times New Roman"/>
          <w:kern w:val="0"/>
          <w:sz w:val="28"/>
          <w:szCs w:val="28"/>
          <w:lang w:bidi="en-US"/>
        </w:rPr>
        <w:t>部分</w:t>
      </w:r>
      <w:r>
        <w:rPr>
          <w:rFonts w:ascii="仿宋_GB2312" w:eastAsia="仿宋_GB2312" w:hAnsi="仿宋" w:cs="Times New Roman" w:hint="eastAsia"/>
          <w:kern w:val="0"/>
          <w:sz w:val="28"/>
          <w:szCs w:val="28"/>
          <w:lang w:bidi="en-US"/>
        </w:rPr>
        <w:t>，信</w:t>
      </w:r>
      <w:r>
        <w:rPr>
          <w:rFonts w:ascii="仿宋_GB2312" w:eastAsia="仿宋_GB2312" w:hAnsi="仿宋" w:cs="Times New Roman"/>
          <w:kern w:val="0"/>
          <w:sz w:val="28"/>
          <w:szCs w:val="28"/>
          <w:lang w:bidi="en-US"/>
        </w:rPr>
        <w:t>息化基础环境运维</w:t>
      </w:r>
      <w:r>
        <w:rPr>
          <w:rFonts w:ascii="仿宋_GB2312" w:eastAsia="仿宋_GB2312" w:hAnsi="仿宋" w:cs="Times New Roman" w:hint="eastAsia"/>
          <w:kern w:val="0"/>
          <w:sz w:val="28"/>
          <w:szCs w:val="28"/>
          <w:lang w:bidi="en-US"/>
        </w:rPr>
        <w:t>和</w:t>
      </w:r>
      <w:r>
        <w:rPr>
          <w:rFonts w:ascii="仿宋_GB2312" w:eastAsia="仿宋_GB2312" w:hAnsi="仿宋" w:cs="Times New Roman"/>
          <w:kern w:val="0"/>
          <w:sz w:val="28"/>
          <w:szCs w:val="28"/>
          <w:lang w:bidi="en-US"/>
        </w:rPr>
        <w:t>信息安全系统运维。</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其中，信</w:t>
      </w:r>
      <w:r>
        <w:rPr>
          <w:rFonts w:ascii="仿宋_GB2312" w:eastAsia="仿宋_GB2312" w:hAnsi="仿宋" w:cs="Times New Roman"/>
          <w:kern w:val="0"/>
          <w:sz w:val="28"/>
          <w:szCs w:val="28"/>
          <w:lang w:bidi="en-US"/>
        </w:rPr>
        <w:t>息化基础环境运维</w:t>
      </w:r>
      <w:r>
        <w:rPr>
          <w:rFonts w:ascii="仿宋_GB2312" w:eastAsia="仿宋_GB2312" w:hAnsi="仿宋" w:cs="Times New Roman" w:hint="eastAsia"/>
          <w:kern w:val="0"/>
          <w:sz w:val="28"/>
          <w:szCs w:val="28"/>
          <w:lang w:bidi="en-US"/>
        </w:rPr>
        <w:t>主要</w:t>
      </w:r>
      <w:r>
        <w:rPr>
          <w:rFonts w:ascii="仿宋_GB2312" w:eastAsia="仿宋_GB2312" w:hAnsi="仿宋" w:cs="Times New Roman"/>
          <w:kern w:val="0"/>
          <w:sz w:val="28"/>
          <w:szCs w:val="28"/>
          <w:lang w:bidi="en-US"/>
        </w:rPr>
        <w:t>包括</w:t>
      </w:r>
      <w:r>
        <w:rPr>
          <w:rFonts w:ascii="仿宋_GB2312" w:eastAsia="仿宋_GB2312" w:hAnsi="仿宋" w:cs="Times New Roman" w:hint="eastAsia"/>
          <w:kern w:val="0"/>
          <w:sz w:val="28"/>
          <w:szCs w:val="28"/>
          <w:lang w:bidi="en-US"/>
        </w:rPr>
        <w:t>：</w:t>
      </w:r>
      <w:r>
        <w:rPr>
          <w:rFonts w:ascii="仿宋_GB2312" w:eastAsia="仿宋_GB2312" w:hAnsi="仿宋" w:cs="Times New Roman"/>
          <w:kern w:val="0"/>
          <w:sz w:val="28"/>
          <w:szCs w:val="28"/>
          <w:lang w:bidi="en-US"/>
        </w:rPr>
        <w:t>主机网络、审判业务系统、电子卷宗系统、谈话应用系统、数字审委会系统、高清监控系统、信息中心展示系统、</w:t>
      </w:r>
      <w:r>
        <w:rPr>
          <w:rFonts w:ascii="仿宋_GB2312" w:eastAsia="仿宋_GB2312" w:hAnsi="仿宋" w:cs="Times New Roman"/>
          <w:kern w:val="0"/>
          <w:sz w:val="28"/>
          <w:szCs w:val="28"/>
          <w:lang w:bidi="en-US"/>
        </w:rPr>
        <w:t>GPS</w:t>
      </w:r>
      <w:r>
        <w:rPr>
          <w:rFonts w:ascii="仿宋_GB2312" w:eastAsia="仿宋_GB2312" w:hAnsi="仿宋" w:cs="Times New Roman"/>
          <w:kern w:val="0"/>
          <w:sz w:val="28"/>
          <w:szCs w:val="28"/>
          <w:lang w:bidi="en-US"/>
        </w:rPr>
        <w:t>车辆定位系统、法庭手动报警系统、室内外大屏显示系统、车辆出入系统、门禁系统、电话系统、人民陪审员系统、</w:t>
      </w:r>
      <w:r>
        <w:rPr>
          <w:rFonts w:ascii="仿宋_GB2312" w:eastAsia="仿宋_GB2312" w:hAnsi="仿宋" w:cs="Times New Roman"/>
          <w:kern w:val="0"/>
          <w:sz w:val="28"/>
          <w:szCs w:val="28"/>
          <w:lang w:bidi="en-US"/>
        </w:rPr>
        <w:t>Cocall</w:t>
      </w:r>
      <w:r>
        <w:rPr>
          <w:rFonts w:ascii="仿宋_GB2312" w:eastAsia="仿宋_GB2312" w:hAnsi="仿宋" w:cs="Times New Roman"/>
          <w:kern w:val="0"/>
          <w:sz w:val="28"/>
          <w:szCs w:val="28"/>
          <w:lang w:bidi="en-US"/>
        </w:rPr>
        <w:t>管理系统、执行办案系统、执行案款系统、数字法庭系统、电子签章管理系统、绿色机房系统、终端系统、网上办公等运维工作。</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其中，信</w:t>
      </w:r>
      <w:r>
        <w:rPr>
          <w:rFonts w:ascii="仿宋_GB2312" w:eastAsia="仿宋_GB2312" w:hAnsi="仿宋" w:cs="Times New Roman"/>
          <w:kern w:val="0"/>
          <w:sz w:val="28"/>
          <w:szCs w:val="28"/>
          <w:lang w:bidi="en-US"/>
        </w:rPr>
        <w:t>息安全系统运维</w:t>
      </w:r>
      <w:r>
        <w:rPr>
          <w:rFonts w:ascii="仿宋_GB2312" w:eastAsia="仿宋_GB2312" w:hAnsi="仿宋" w:cs="Times New Roman" w:hint="eastAsia"/>
          <w:kern w:val="0"/>
          <w:sz w:val="28"/>
          <w:szCs w:val="28"/>
          <w:lang w:bidi="en-US"/>
        </w:rPr>
        <w:t>主要</w:t>
      </w:r>
      <w:r>
        <w:rPr>
          <w:rFonts w:ascii="仿宋_GB2312" w:eastAsia="仿宋_GB2312" w:hAnsi="仿宋" w:cs="Times New Roman"/>
          <w:kern w:val="0"/>
          <w:sz w:val="28"/>
          <w:szCs w:val="28"/>
          <w:lang w:bidi="en-US"/>
        </w:rPr>
        <w:t>包括</w:t>
      </w:r>
      <w:r>
        <w:rPr>
          <w:rFonts w:ascii="仿宋_GB2312" w:eastAsia="仿宋_GB2312" w:hAnsi="仿宋" w:cs="Times New Roman" w:hint="eastAsia"/>
          <w:kern w:val="0"/>
          <w:sz w:val="28"/>
          <w:szCs w:val="28"/>
          <w:lang w:bidi="en-US"/>
        </w:rPr>
        <w:t>：安全设备运行维护，数据安全维护，规范安全管理体系等。</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w:t>
      </w:r>
      <w:r>
        <w:rPr>
          <w:rFonts w:ascii="仿宋_GB2312" w:eastAsia="仿宋_GB2312" w:hAnsi="仿宋" w:cs="Times New Roman" w:hint="eastAsia"/>
          <w:kern w:val="0"/>
          <w:sz w:val="28"/>
          <w:szCs w:val="28"/>
          <w:lang w:bidi="en-US"/>
        </w:rPr>
        <w:t>2</w:t>
      </w:r>
      <w:r>
        <w:rPr>
          <w:rFonts w:ascii="仿宋_GB2312" w:eastAsia="仿宋_GB2312" w:hAnsi="仿宋" w:cs="Times New Roman" w:hint="eastAsia"/>
          <w:kern w:val="0"/>
          <w:sz w:val="28"/>
          <w:szCs w:val="28"/>
          <w:lang w:bidi="en-US"/>
        </w:rPr>
        <w:t>）实施情况</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基础环境运维</w:t>
      </w:r>
      <w:r>
        <w:rPr>
          <w:rFonts w:ascii="仿宋_GB2312" w:eastAsia="仿宋_GB2312" w:hAnsi="仿宋" w:cs="Times New Roman"/>
          <w:kern w:val="0"/>
          <w:sz w:val="28"/>
          <w:szCs w:val="28"/>
          <w:lang w:bidi="en-US"/>
        </w:rPr>
        <w:t>共处理服务事件</w:t>
      </w:r>
      <w:r>
        <w:rPr>
          <w:rFonts w:ascii="仿宋_GB2312" w:eastAsia="仿宋_GB2312" w:hint="eastAsia"/>
          <w:sz w:val="32"/>
          <w:szCs w:val="32"/>
        </w:rPr>
        <w:t>7,924</w:t>
      </w:r>
      <w:r>
        <w:rPr>
          <w:rFonts w:ascii="仿宋_GB2312" w:eastAsia="仿宋_GB2312" w:hAnsi="仿宋" w:cs="Times New Roman"/>
          <w:kern w:val="0"/>
          <w:sz w:val="28"/>
          <w:szCs w:val="28"/>
          <w:lang w:bidi="en-US"/>
        </w:rPr>
        <w:t>件，其中应用类问题</w:t>
      </w:r>
      <w:r>
        <w:rPr>
          <w:rFonts w:ascii="仿宋_GB2312" w:eastAsia="仿宋_GB2312" w:hAnsi="仿宋" w:cs="Times New Roman"/>
          <w:kern w:val="0"/>
          <w:sz w:val="28"/>
          <w:szCs w:val="28"/>
          <w:lang w:bidi="en-US"/>
        </w:rPr>
        <w:t>2542</w:t>
      </w:r>
      <w:r>
        <w:rPr>
          <w:rFonts w:ascii="仿宋_GB2312" w:eastAsia="仿宋_GB2312" w:hAnsi="仿宋" w:cs="Times New Roman"/>
          <w:kern w:val="0"/>
          <w:sz w:val="28"/>
          <w:szCs w:val="28"/>
          <w:lang w:bidi="en-US"/>
        </w:rPr>
        <w:t>件，主机存储</w:t>
      </w:r>
      <w:r>
        <w:rPr>
          <w:rFonts w:ascii="仿宋_GB2312" w:eastAsia="仿宋_GB2312" w:hAnsi="仿宋" w:cs="Times New Roman"/>
          <w:kern w:val="0"/>
          <w:sz w:val="28"/>
          <w:szCs w:val="28"/>
          <w:lang w:bidi="en-US"/>
        </w:rPr>
        <w:t>类问题</w:t>
      </w:r>
      <w:r>
        <w:rPr>
          <w:rFonts w:ascii="仿宋_GB2312" w:eastAsia="仿宋_GB2312" w:hAnsi="仿宋" w:cs="Times New Roman"/>
          <w:kern w:val="0"/>
          <w:sz w:val="28"/>
          <w:szCs w:val="28"/>
          <w:lang w:bidi="en-US"/>
        </w:rPr>
        <w:t>57</w:t>
      </w:r>
      <w:r>
        <w:rPr>
          <w:rFonts w:ascii="仿宋_GB2312" w:eastAsia="仿宋_GB2312" w:hAnsi="仿宋" w:cs="Times New Roman"/>
          <w:kern w:val="0"/>
          <w:sz w:val="28"/>
          <w:szCs w:val="28"/>
          <w:lang w:bidi="en-US"/>
        </w:rPr>
        <w:t>件，音视频及会议保障类问题</w:t>
      </w:r>
      <w:r>
        <w:rPr>
          <w:rFonts w:ascii="仿宋_GB2312" w:eastAsia="仿宋_GB2312" w:hAnsi="仿宋" w:cs="Times New Roman"/>
          <w:kern w:val="0"/>
          <w:sz w:val="28"/>
          <w:szCs w:val="28"/>
          <w:lang w:bidi="en-US"/>
        </w:rPr>
        <w:t>757</w:t>
      </w:r>
      <w:r>
        <w:rPr>
          <w:rFonts w:ascii="仿宋_GB2312" w:eastAsia="仿宋_GB2312" w:hAnsi="仿宋" w:cs="Times New Roman"/>
          <w:kern w:val="0"/>
          <w:sz w:val="28"/>
          <w:szCs w:val="28"/>
          <w:lang w:bidi="en-US"/>
        </w:rPr>
        <w:t>件，桌面终端类问题</w:t>
      </w:r>
      <w:r>
        <w:rPr>
          <w:rFonts w:ascii="仿宋_GB2312" w:eastAsia="仿宋_GB2312" w:hAnsi="仿宋" w:cs="Times New Roman"/>
          <w:kern w:val="0"/>
          <w:sz w:val="28"/>
          <w:szCs w:val="28"/>
          <w:lang w:bidi="en-US"/>
        </w:rPr>
        <w:t>2234</w:t>
      </w:r>
      <w:r>
        <w:rPr>
          <w:rFonts w:ascii="仿宋_GB2312" w:eastAsia="仿宋_GB2312" w:hAnsi="仿宋" w:cs="Times New Roman"/>
          <w:kern w:val="0"/>
          <w:sz w:val="28"/>
          <w:szCs w:val="28"/>
          <w:lang w:bidi="en-US"/>
        </w:rPr>
        <w:t>件，云法庭开庭</w:t>
      </w:r>
      <w:r>
        <w:rPr>
          <w:rFonts w:ascii="仿宋_GB2312" w:eastAsia="仿宋_GB2312" w:hAnsi="仿宋" w:cs="Times New Roman"/>
          <w:kern w:val="0"/>
          <w:sz w:val="28"/>
          <w:szCs w:val="28"/>
          <w:lang w:bidi="en-US"/>
        </w:rPr>
        <w:t>2334</w:t>
      </w:r>
      <w:r>
        <w:rPr>
          <w:rFonts w:ascii="仿宋_GB2312" w:eastAsia="仿宋_GB2312" w:hAnsi="仿宋" w:cs="Times New Roman"/>
          <w:kern w:val="0"/>
          <w:sz w:val="28"/>
          <w:szCs w:val="28"/>
          <w:lang w:bidi="en-US"/>
        </w:rPr>
        <w:t>次。输出巡检</w:t>
      </w:r>
      <w:r>
        <w:rPr>
          <w:rFonts w:ascii="仿宋_GB2312" w:eastAsia="仿宋_GB2312" w:hAnsi="仿宋" w:cs="Times New Roman"/>
          <w:kern w:val="0"/>
          <w:sz w:val="28"/>
          <w:szCs w:val="28"/>
          <w:lang w:bidi="en-US"/>
        </w:rPr>
        <w:t>219</w:t>
      </w:r>
      <w:r>
        <w:rPr>
          <w:rFonts w:ascii="仿宋_GB2312" w:eastAsia="仿宋_GB2312" w:hAnsi="仿宋" w:cs="Times New Roman"/>
          <w:kern w:val="0"/>
          <w:sz w:val="28"/>
          <w:szCs w:val="28"/>
          <w:lang w:bidi="en-US"/>
        </w:rPr>
        <w:t>次，周报</w:t>
      </w:r>
      <w:r>
        <w:rPr>
          <w:rFonts w:ascii="仿宋_GB2312" w:eastAsia="仿宋_GB2312" w:hAnsi="仿宋" w:cs="Times New Roman"/>
          <w:kern w:val="0"/>
          <w:sz w:val="28"/>
          <w:szCs w:val="28"/>
          <w:lang w:bidi="en-US"/>
        </w:rPr>
        <w:t>144</w:t>
      </w:r>
      <w:r>
        <w:rPr>
          <w:rFonts w:ascii="仿宋_GB2312" w:eastAsia="仿宋_GB2312" w:hAnsi="仿宋" w:cs="Times New Roman"/>
          <w:kern w:val="0"/>
          <w:sz w:val="28"/>
          <w:szCs w:val="28"/>
          <w:lang w:bidi="en-US"/>
        </w:rPr>
        <w:t>份。系统变更</w:t>
      </w:r>
      <w:r>
        <w:rPr>
          <w:rFonts w:ascii="仿宋_GB2312" w:eastAsia="仿宋_GB2312" w:hAnsi="仿宋" w:cs="Times New Roman"/>
          <w:kern w:val="0"/>
          <w:sz w:val="28"/>
          <w:szCs w:val="28"/>
          <w:lang w:bidi="en-US"/>
        </w:rPr>
        <w:t>21</w:t>
      </w:r>
      <w:r>
        <w:rPr>
          <w:rFonts w:ascii="仿宋_GB2312" w:eastAsia="仿宋_GB2312" w:hAnsi="仿宋" w:cs="Times New Roman"/>
          <w:kern w:val="0"/>
          <w:sz w:val="28"/>
          <w:szCs w:val="28"/>
          <w:lang w:bidi="en-US"/>
        </w:rPr>
        <w:t>次。整体工作</w:t>
      </w:r>
      <w:r>
        <w:rPr>
          <w:rFonts w:ascii="仿宋_GB2312" w:eastAsia="仿宋_GB2312" w:hAnsi="仿宋" w:cs="Times New Roman" w:hint="eastAsia"/>
          <w:kern w:val="0"/>
          <w:sz w:val="28"/>
          <w:szCs w:val="28"/>
          <w:lang w:bidi="en-US"/>
        </w:rPr>
        <w:t>实施情况</w:t>
      </w:r>
      <w:r>
        <w:rPr>
          <w:rFonts w:ascii="仿宋_GB2312" w:eastAsia="仿宋_GB2312" w:hAnsi="仿宋" w:cs="Times New Roman"/>
          <w:kern w:val="0"/>
          <w:sz w:val="28"/>
          <w:szCs w:val="28"/>
          <w:lang w:bidi="en-US"/>
        </w:rPr>
        <w:t>良好</w:t>
      </w:r>
      <w:r>
        <w:rPr>
          <w:rFonts w:ascii="仿宋_GB2312" w:eastAsia="仿宋_GB2312" w:hAnsi="仿宋" w:cs="Times New Roman" w:hint="eastAsia"/>
          <w:kern w:val="0"/>
          <w:sz w:val="28"/>
          <w:szCs w:val="28"/>
          <w:lang w:bidi="en-US"/>
        </w:rPr>
        <w:t>，</w:t>
      </w:r>
      <w:r>
        <w:rPr>
          <w:rFonts w:ascii="仿宋_GB2312" w:eastAsia="仿宋_GB2312" w:hAnsi="仿宋" w:cs="Times New Roman"/>
          <w:kern w:val="0"/>
          <w:sz w:val="28"/>
          <w:szCs w:val="28"/>
          <w:lang w:bidi="en-US"/>
        </w:rPr>
        <w:t>通过项目验收。</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信</w:t>
      </w:r>
      <w:r>
        <w:rPr>
          <w:rFonts w:ascii="仿宋_GB2312" w:eastAsia="仿宋_GB2312" w:hAnsi="仿宋" w:cs="Times New Roman"/>
          <w:kern w:val="0"/>
          <w:sz w:val="28"/>
          <w:szCs w:val="28"/>
          <w:lang w:bidi="en-US"/>
        </w:rPr>
        <w:t>息安全系统运维</w:t>
      </w:r>
      <w:r>
        <w:rPr>
          <w:rFonts w:ascii="仿宋_GB2312" w:eastAsia="仿宋_GB2312" w:hAnsi="仿宋" w:cs="Times New Roman" w:hint="eastAsia"/>
          <w:kern w:val="0"/>
          <w:sz w:val="28"/>
          <w:szCs w:val="28"/>
          <w:lang w:bidi="en-US"/>
        </w:rPr>
        <w:t>输出日常巡检记录表</w:t>
      </w:r>
      <w:r>
        <w:rPr>
          <w:rFonts w:ascii="仿宋_GB2312" w:eastAsia="仿宋_GB2312" w:hAnsi="仿宋" w:cs="Times New Roman" w:hint="eastAsia"/>
          <w:kern w:val="0"/>
          <w:sz w:val="28"/>
          <w:szCs w:val="28"/>
          <w:lang w:bidi="en-US"/>
        </w:rPr>
        <w:t>250</w:t>
      </w:r>
      <w:r>
        <w:rPr>
          <w:rFonts w:ascii="仿宋_GB2312" w:eastAsia="仿宋_GB2312" w:hAnsi="仿宋" w:cs="Times New Roman" w:hint="eastAsia"/>
          <w:kern w:val="0"/>
          <w:sz w:val="28"/>
          <w:szCs w:val="28"/>
          <w:lang w:bidi="en-US"/>
        </w:rPr>
        <w:t>份，</w:t>
      </w:r>
      <w:r>
        <w:rPr>
          <w:rFonts w:ascii="仿宋_GB2312" w:eastAsia="仿宋_GB2312" w:hAnsi="仿宋" w:cs="Times New Roman"/>
          <w:kern w:val="0"/>
          <w:sz w:val="28"/>
          <w:szCs w:val="28"/>
          <w:lang w:bidi="en-US"/>
        </w:rPr>
        <w:t>安全月报、策略变更单、运维白皮书</w:t>
      </w:r>
      <w:r>
        <w:rPr>
          <w:rFonts w:ascii="仿宋_GB2312" w:eastAsia="仿宋_GB2312" w:hAnsi="仿宋" w:cs="Times New Roman" w:hint="eastAsia"/>
          <w:kern w:val="0"/>
          <w:sz w:val="28"/>
          <w:szCs w:val="28"/>
          <w:lang w:bidi="en-US"/>
        </w:rPr>
        <w:t>、保密专项检查材料</w:t>
      </w:r>
      <w:r>
        <w:rPr>
          <w:rFonts w:ascii="仿宋_GB2312" w:eastAsia="仿宋_GB2312" w:hAnsi="仿宋" w:cs="Times New Roman"/>
          <w:kern w:val="0"/>
          <w:sz w:val="28"/>
          <w:szCs w:val="28"/>
          <w:lang w:bidi="en-US"/>
        </w:rPr>
        <w:t>等项目文档齐备。整体工作</w:t>
      </w:r>
      <w:r>
        <w:rPr>
          <w:rFonts w:ascii="仿宋_GB2312" w:eastAsia="仿宋_GB2312" w:hAnsi="仿宋" w:cs="Times New Roman" w:hint="eastAsia"/>
          <w:kern w:val="0"/>
          <w:sz w:val="28"/>
          <w:szCs w:val="28"/>
          <w:lang w:bidi="en-US"/>
        </w:rPr>
        <w:t>实施情况</w:t>
      </w:r>
      <w:r>
        <w:rPr>
          <w:rFonts w:ascii="仿宋_GB2312" w:eastAsia="仿宋_GB2312" w:hAnsi="仿宋" w:cs="Times New Roman"/>
          <w:kern w:val="0"/>
          <w:sz w:val="28"/>
          <w:szCs w:val="28"/>
          <w:lang w:bidi="en-US"/>
        </w:rPr>
        <w:t>良好</w:t>
      </w:r>
      <w:r>
        <w:rPr>
          <w:rFonts w:ascii="仿宋_GB2312" w:eastAsia="仿宋_GB2312" w:hAnsi="仿宋" w:cs="Times New Roman" w:hint="eastAsia"/>
          <w:kern w:val="0"/>
          <w:sz w:val="28"/>
          <w:szCs w:val="28"/>
          <w:lang w:bidi="en-US"/>
        </w:rPr>
        <w:t>，</w:t>
      </w:r>
      <w:r>
        <w:rPr>
          <w:rFonts w:ascii="仿宋_GB2312" w:eastAsia="仿宋_GB2312" w:hAnsi="仿宋" w:cs="Times New Roman"/>
          <w:kern w:val="0"/>
          <w:sz w:val="28"/>
          <w:szCs w:val="28"/>
          <w:lang w:bidi="en-US"/>
        </w:rPr>
        <w:t>通过项目验收。</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3</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资金投入和使用情况</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w:t>
      </w:r>
      <w:r>
        <w:rPr>
          <w:rFonts w:ascii="仿宋_GB2312" w:eastAsia="仿宋_GB2312" w:hAnsi="仿宋" w:cs="Times New Roman" w:hint="eastAsia"/>
          <w:kern w:val="0"/>
          <w:sz w:val="28"/>
          <w:szCs w:val="28"/>
          <w:lang w:bidi="en-US"/>
        </w:rPr>
        <w:t>1</w:t>
      </w:r>
      <w:r>
        <w:rPr>
          <w:rFonts w:ascii="仿宋_GB2312" w:eastAsia="仿宋_GB2312" w:hAnsi="仿宋" w:cs="Times New Roman" w:hint="eastAsia"/>
          <w:kern w:val="0"/>
          <w:sz w:val="28"/>
          <w:szCs w:val="28"/>
          <w:lang w:bidi="en-US"/>
        </w:rPr>
        <w:t>）资金投入</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依据京财公检法指</w:t>
      </w:r>
      <w:r>
        <w:rPr>
          <w:rFonts w:ascii="仿宋_GB2312" w:eastAsia="仿宋_GB2312" w:hAnsi="仿宋" w:cs="Times New Roman" w:hint="eastAsia"/>
          <w:kern w:val="0"/>
          <w:sz w:val="28"/>
          <w:szCs w:val="28"/>
          <w:lang w:bidi="en-US"/>
        </w:rPr>
        <w:t>[2022]156</w:t>
      </w:r>
      <w:r>
        <w:rPr>
          <w:rFonts w:ascii="仿宋_GB2312" w:eastAsia="仿宋_GB2312" w:hAnsi="仿宋" w:cs="Times New Roman" w:hint="eastAsia"/>
          <w:kern w:val="0"/>
          <w:sz w:val="28"/>
          <w:szCs w:val="28"/>
          <w:lang w:bidi="en-US"/>
        </w:rPr>
        <w:t>号《北京市财政局关于批复北京市</w:t>
      </w:r>
      <w:r>
        <w:rPr>
          <w:rFonts w:ascii="仿宋_GB2312" w:eastAsia="仿宋_GB2312" w:hAnsi="仿宋" w:cs="Times New Roman" w:hint="eastAsia"/>
          <w:kern w:val="0"/>
          <w:sz w:val="28"/>
          <w:szCs w:val="28"/>
          <w:lang w:bidi="en-US"/>
        </w:rPr>
        <w:lastRenderedPageBreak/>
        <w:t>延庆区人民法院</w:t>
      </w:r>
      <w:r>
        <w:rPr>
          <w:rFonts w:ascii="仿宋_GB2312" w:eastAsia="仿宋_GB2312" w:hAnsi="仿宋" w:cs="Times New Roman" w:hint="eastAsia"/>
          <w:kern w:val="0"/>
          <w:sz w:val="28"/>
          <w:szCs w:val="28"/>
          <w:lang w:bidi="en-US"/>
        </w:rPr>
        <w:t>2022</w:t>
      </w:r>
      <w:r>
        <w:rPr>
          <w:rFonts w:ascii="仿宋_GB2312" w:eastAsia="仿宋_GB2312" w:hAnsi="仿宋" w:cs="Times New Roman" w:hint="eastAsia"/>
          <w:kern w:val="0"/>
          <w:sz w:val="28"/>
          <w:szCs w:val="28"/>
          <w:lang w:bidi="en-US"/>
        </w:rPr>
        <w:t>年预算的函》，年初预算批复项目资金</w:t>
      </w:r>
      <w:r>
        <w:rPr>
          <w:rFonts w:ascii="仿宋_GB2312" w:eastAsia="仿宋_GB2312" w:hAnsi="仿宋" w:cs="Times New Roman" w:hint="eastAsia"/>
          <w:kern w:val="0"/>
          <w:sz w:val="28"/>
          <w:szCs w:val="28"/>
          <w:lang w:bidi="en-US"/>
        </w:rPr>
        <w:t>910,000.00</w:t>
      </w:r>
      <w:r>
        <w:rPr>
          <w:rFonts w:ascii="仿宋_GB2312" w:eastAsia="仿宋_GB2312" w:hAnsi="仿宋" w:cs="Times New Roman" w:hint="eastAsia"/>
          <w:kern w:val="0"/>
          <w:sz w:val="28"/>
          <w:szCs w:val="28"/>
          <w:lang w:bidi="en-US"/>
        </w:rPr>
        <w:t>元，实际到位资金</w:t>
      </w:r>
      <w:r>
        <w:rPr>
          <w:rFonts w:ascii="仿宋_GB2312" w:eastAsia="仿宋_GB2312" w:hAnsi="仿宋" w:cs="Times New Roman" w:hint="eastAsia"/>
          <w:kern w:val="0"/>
          <w:sz w:val="28"/>
          <w:szCs w:val="28"/>
          <w:lang w:bidi="en-US"/>
        </w:rPr>
        <w:t>910,000.00</w:t>
      </w:r>
      <w:r>
        <w:rPr>
          <w:rFonts w:ascii="仿宋_GB2312" w:eastAsia="仿宋_GB2312" w:hAnsi="仿宋" w:cs="Times New Roman" w:hint="eastAsia"/>
          <w:kern w:val="0"/>
          <w:sz w:val="28"/>
          <w:szCs w:val="28"/>
          <w:lang w:bidi="en-US"/>
        </w:rPr>
        <w:t>元。</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w:t>
      </w:r>
      <w:r>
        <w:rPr>
          <w:rFonts w:ascii="仿宋_GB2312" w:eastAsia="仿宋_GB2312" w:hAnsi="仿宋" w:cs="Times New Roman" w:hint="eastAsia"/>
          <w:kern w:val="0"/>
          <w:sz w:val="28"/>
          <w:szCs w:val="28"/>
          <w:lang w:bidi="en-US"/>
        </w:rPr>
        <w:t>2</w:t>
      </w:r>
      <w:r>
        <w:rPr>
          <w:rFonts w:ascii="仿宋_GB2312" w:eastAsia="仿宋_GB2312" w:hAnsi="仿宋" w:cs="Times New Roman" w:hint="eastAsia"/>
          <w:kern w:val="0"/>
          <w:sz w:val="28"/>
          <w:szCs w:val="28"/>
          <w:lang w:bidi="en-US"/>
        </w:rPr>
        <w:t>）使用情况</w:t>
      </w:r>
    </w:p>
    <w:p w:rsidR="00901C1D" w:rsidRDefault="00965F36">
      <w:pPr>
        <w:spacing w:line="520" w:lineRule="atLeast"/>
        <w:ind w:firstLineChars="200" w:firstLine="56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截至</w:t>
      </w:r>
      <w:r>
        <w:rPr>
          <w:rFonts w:ascii="仿宋_GB2312" w:eastAsia="仿宋_GB2312" w:hAnsi="仿宋" w:cs="Times New Roman" w:hint="eastAsia"/>
          <w:kern w:val="0"/>
          <w:sz w:val="28"/>
          <w:szCs w:val="28"/>
          <w:lang w:bidi="en-US"/>
        </w:rPr>
        <w:t>2022</w:t>
      </w:r>
      <w:r>
        <w:rPr>
          <w:rFonts w:ascii="仿宋_GB2312" w:eastAsia="仿宋_GB2312" w:hAnsi="仿宋" w:cs="Times New Roman" w:hint="eastAsia"/>
          <w:kern w:val="0"/>
          <w:sz w:val="28"/>
          <w:szCs w:val="28"/>
          <w:lang w:bidi="en-US"/>
        </w:rPr>
        <w:t>年</w:t>
      </w:r>
      <w:r>
        <w:rPr>
          <w:rFonts w:ascii="仿宋_GB2312" w:eastAsia="仿宋_GB2312" w:hAnsi="仿宋" w:cs="Times New Roman" w:hint="eastAsia"/>
          <w:kern w:val="0"/>
          <w:sz w:val="28"/>
          <w:szCs w:val="28"/>
          <w:lang w:bidi="en-US"/>
        </w:rPr>
        <w:t>12</w:t>
      </w:r>
      <w:r>
        <w:rPr>
          <w:rFonts w:ascii="仿宋_GB2312" w:eastAsia="仿宋_GB2312" w:hAnsi="仿宋" w:cs="Times New Roman" w:hint="eastAsia"/>
          <w:kern w:val="0"/>
          <w:sz w:val="28"/>
          <w:szCs w:val="28"/>
          <w:lang w:bidi="en-US"/>
        </w:rPr>
        <w:t>月</w:t>
      </w:r>
      <w:r>
        <w:rPr>
          <w:rFonts w:ascii="仿宋_GB2312" w:eastAsia="仿宋_GB2312" w:hAnsi="仿宋" w:cs="Times New Roman" w:hint="eastAsia"/>
          <w:kern w:val="0"/>
          <w:sz w:val="28"/>
          <w:szCs w:val="28"/>
          <w:lang w:bidi="en-US"/>
        </w:rPr>
        <w:t>31</w:t>
      </w:r>
      <w:r>
        <w:rPr>
          <w:rFonts w:ascii="仿宋_GB2312" w:eastAsia="仿宋_GB2312" w:hAnsi="仿宋" w:cs="Times New Roman" w:hint="eastAsia"/>
          <w:kern w:val="0"/>
          <w:sz w:val="28"/>
          <w:szCs w:val="28"/>
          <w:lang w:bidi="en-US"/>
        </w:rPr>
        <w:t>日，依据延庆</w:t>
      </w:r>
      <w:r>
        <w:rPr>
          <w:rFonts w:ascii="仿宋_GB2312" w:eastAsia="仿宋_GB2312" w:hAnsi="仿宋" w:cs="Times New Roman"/>
          <w:kern w:val="0"/>
          <w:sz w:val="28"/>
          <w:szCs w:val="28"/>
          <w:lang w:bidi="en-US"/>
        </w:rPr>
        <w:t>区法院</w:t>
      </w:r>
      <w:r>
        <w:rPr>
          <w:rFonts w:ascii="仿宋_GB2312" w:eastAsia="仿宋_GB2312" w:hAnsi="仿宋" w:cs="Times New Roman" w:hint="eastAsia"/>
          <w:kern w:val="0"/>
          <w:sz w:val="28"/>
          <w:szCs w:val="28"/>
          <w:lang w:bidi="en-US"/>
        </w:rPr>
        <w:t>相关合同及资金审批流程，已实际支付资金</w:t>
      </w:r>
      <w:r>
        <w:rPr>
          <w:rFonts w:ascii="仿宋_GB2312" w:eastAsia="仿宋_GB2312" w:hAnsi="仿宋" w:cs="Times New Roman" w:hint="eastAsia"/>
          <w:kern w:val="0"/>
          <w:sz w:val="28"/>
          <w:szCs w:val="28"/>
          <w:lang w:bidi="en-US"/>
        </w:rPr>
        <w:t>910,000.00</w:t>
      </w:r>
      <w:r>
        <w:rPr>
          <w:rFonts w:ascii="仿宋_GB2312" w:eastAsia="仿宋_GB2312" w:hAnsi="仿宋" w:cs="Times New Roman" w:hint="eastAsia"/>
          <w:kern w:val="0"/>
          <w:sz w:val="28"/>
          <w:szCs w:val="28"/>
          <w:lang w:bidi="en-US"/>
        </w:rPr>
        <w:t>元，预算资金执行率为</w:t>
      </w:r>
      <w:r>
        <w:rPr>
          <w:rFonts w:ascii="仿宋_GB2312" w:eastAsia="仿宋_GB2312" w:hAnsi="仿宋" w:cs="Times New Roman" w:hint="eastAsia"/>
          <w:kern w:val="0"/>
          <w:sz w:val="28"/>
          <w:szCs w:val="28"/>
          <w:lang w:bidi="en-US"/>
        </w:rPr>
        <w:t>100.00%</w:t>
      </w:r>
      <w:r>
        <w:rPr>
          <w:rFonts w:ascii="仿宋_GB2312" w:eastAsia="仿宋_GB2312" w:hAnsi="仿宋" w:cs="Times New Roman" w:hint="eastAsia"/>
          <w:kern w:val="0"/>
          <w:sz w:val="28"/>
          <w:szCs w:val="28"/>
          <w:lang w:bidi="en-US"/>
        </w:rPr>
        <w:t>。</w:t>
      </w:r>
    </w:p>
    <w:p w:rsidR="00901C1D" w:rsidRDefault="00965F36">
      <w:pPr>
        <w:numPr>
          <w:ilvl w:val="0"/>
          <w:numId w:val="2"/>
        </w:numPr>
        <w:spacing w:line="560" w:lineRule="exact"/>
        <w:outlineLvl w:val="1"/>
        <w:rPr>
          <w:rFonts w:ascii="楷体_GB2312" w:eastAsia="楷体_GB2312" w:hAnsi="楷体" w:cs="仿宋_GB2312"/>
          <w:bCs/>
          <w:sz w:val="32"/>
          <w:szCs w:val="32"/>
        </w:rPr>
      </w:pPr>
      <w:bookmarkStart w:id="19" w:name="_Toc20164"/>
      <w:bookmarkStart w:id="20" w:name="_Toc23047"/>
      <w:bookmarkStart w:id="21" w:name="_Toc11266"/>
      <w:bookmarkStart w:id="22" w:name="_Toc77203343"/>
      <w:bookmarkStart w:id="23" w:name="_Toc27184"/>
      <w:r>
        <w:rPr>
          <w:rFonts w:ascii="楷体_GB2312" w:eastAsia="楷体_GB2312" w:hAnsi="楷体" w:cs="仿宋_GB2312" w:hint="eastAsia"/>
          <w:bCs/>
          <w:sz w:val="32"/>
          <w:szCs w:val="32"/>
        </w:rPr>
        <w:t>项目绩效目标</w:t>
      </w:r>
      <w:bookmarkEnd w:id="19"/>
      <w:bookmarkEnd w:id="20"/>
      <w:bookmarkEnd w:id="21"/>
      <w:bookmarkEnd w:id="22"/>
      <w:bookmarkEnd w:id="23"/>
    </w:p>
    <w:p w:rsidR="00901C1D" w:rsidRDefault="00965F36">
      <w:pPr>
        <w:spacing w:line="560" w:lineRule="exact"/>
        <w:ind w:firstLineChars="200" w:firstLine="560"/>
        <w:outlineLvl w:val="2"/>
        <w:rPr>
          <w:rFonts w:ascii="仿宋_GB2312" w:eastAsia="仿宋_GB2312" w:hAnsi="仿宋_GB2312" w:cs="仿宋_GB2312"/>
          <w:bCs/>
          <w:sz w:val="28"/>
          <w:szCs w:val="28"/>
        </w:rPr>
      </w:pPr>
      <w:bookmarkStart w:id="24" w:name="_Toc3189"/>
      <w:bookmarkStart w:id="25" w:name="_Toc12601"/>
      <w:bookmarkStart w:id="26" w:name="_Toc77203345"/>
      <w:bookmarkStart w:id="27" w:name="_Toc23154"/>
      <w:bookmarkStart w:id="28" w:name="_Toc27840"/>
      <w:r>
        <w:rPr>
          <w:rFonts w:ascii="仿宋_GB2312" w:eastAsia="仿宋_GB2312" w:hAnsi="仿宋_GB2312" w:cs="仿宋_GB2312" w:hint="eastAsia"/>
          <w:bCs/>
          <w:sz w:val="28"/>
          <w:szCs w:val="28"/>
        </w:rPr>
        <w:t>1</w:t>
      </w:r>
      <w:r>
        <w:rPr>
          <w:rFonts w:ascii="仿宋_GB2312" w:eastAsia="仿宋_GB2312" w:hAnsi="仿宋_GB2312" w:cs="仿宋_GB2312" w:hint="eastAsia"/>
          <w:kern w:val="44"/>
          <w:sz w:val="28"/>
          <w:szCs w:val="28"/>
        </w:rPr>
        <w:t>.</w:t>
      </w:r>
      <w:r>
        <w:rPr>
          <w:rFonts w:ascii="仿宋_GB2312" w:eastAsia="仿宋_GB2312" w:hAnsi="仿宋_GB2312" w:cs="仿宋_GB2312" w:hint="eastAsia"/>
          <w:bCs/>
          <w:sz w:val="28"/>
          <w:szCs w:val="28"/>
        </w:rPr>
        <w:t>总体目标</w:t>
      </w:r>
      <w:bookmarkEnd w:id="24"/>
      <w:bookmarkEnd w:id="25"/>
      <w:bookmarkEnd w:id="26"/>
      <w:bookmarkEnd w:id="27"/>
      <w:bookmarkEnd w:id="28"/>
    </w:p>
    <w:p w:rsidR="00901C1D" w:rsidRDefault="00965F36">
      <w:pPr>
        <w:pStyle w:val="af2"/>
        <w:ind w:firstLineChars="200" w:firstLine="560"/>
        <w:jc w:val="left"/>
        <w:rPr>
          <w:rFonts w:ascii="仿宋_GB2312" w:hAnsi="仿宋"/>
          <w:kern w:val="0"/>
          <w:sz w:val="28"/>
          <w:szCs w:val="28"/>
          <w:lang w:eastAsia="zh-CN" w:bidi="en-US"/>
        </w:rPr>
      </w:pPr>
      <w:r>
        <w:rPr>
          <w:rFonts w:ascii="仿宋_GB2312" w:hAnsi="仿宋" w:hint="eastAsia"/>
          <w:kern w:val="0"/>
          <w:sz w:val="28"/>
          <w:szCs w:val="28"/>
          <w:lang w:eastAsia="zh-CN" w:bidi="en-US"/>
        </w:rPr>
        <w:t>在完善信息化建设的基础上，通过科学规范的信息化运维服务，提高延庆区法院各项信息化系统的稳定性和安全性，保障全部信息系统的正常运行，为法院各项工作提供高效、可靠、优质的信息技术支持与服务。</w:t>
      </w:r>
    </w:p>
    <w:p w:rsidR="00901C1D" w:rsidRDefault="00965F36">
      <w:pPr>
        <w:pStyle w:val="af2"/>
        <w:ind w:firstLineChars="200" w:firstLine="560"/>
        <w:jc w:val="left"/>
        <w:rPr>
          <w:rFonts w:ascii="仿宋_GB2312" w:hAnsi="仿宋"/>
          <w:kern w:val="0"/>
          <w:sz w:val="28"/>
          <w:szCs w:val="28"/>
          <w:lang w:eastAsia="zh-CN" w:bidi="en-US"/>
        </w:rPr>
      </w:pPr>
      <w:r>
        <w:rPr>
          <w:rFonts w:ascii="仿宋_GB2312" w:hAnsi="仿宋" w:hint="eastAsia"/>
          <w:kern w:val="0"/>
          <w:sz w:val="28"/>
          <w:szCs w:val="28"/>
          <w:lang w:eastAsia="zh-CN" w:bidi="en-US"/>
        </w:rPr>
        <w:t>2</w:t>
      </w:r>
      <w:r>
        <w:rPr>
          <w:rFonts w:ascii="仿宋_GB2312" w:hAnsi="仿宋_GB2312" w:cs="仿宋_GB2312" w:hint="eastAsia"/>
          <w:kern w:val="44"/>
          <w:sz w:val="28"/>
          <w:szCs w:val="28"/>
          <w:lang w:eastAsia="zh-CN"/>
        </w:rPr>
        <w:t>.</w:t>
      </w:r>
      <w:r>
        <w:rPr>
          <w:rFonts w:ascii="仿宋_GB2312" w:hAnsi="仿宋" w:hint="eastAsia"/>
          <w:kern w:val="0"/>
          <w:sz w:val="28"/>
          <w:szCs w:val="28"/>
          <w:lang w:eastAsia="zh-CN" w:bidi="en-US"/>
        </w:rPr>
        <w:t>年度目标</w:t>
      </w:r>
    </w:p>
    <w:p w:rsidR="00901C1D" w:rsidRDefault="00965F36">
      <w:pPr>
        <w:pStyle w:val="af2"/>
        <w:ind w:firstLineChars="200" w:firstLine="560"/>
        <w:jc w:val="left"/>
        <w:rPr>
          <w:rFonts w:ascii="仿宋_GB2312" w:hAnsi="仿宋"/>
          <w:kern w:val="0"/>
          <w:sz w:val="32"/>
          <w:szCs w:val="32"/>
          <w:lang w:eastAsia="zh-CN" w:bidi="en-US"/>
        </w:rPr>
      </w:pPr>
      <w:r>
        <w:rPr>
          <w:rFonts w:ascii="仿宋_GB2312" w:hAnsi="仿宋" w:hint="eastAsia"/>
          <w:kern w:val="0"/>
          <w:sz w:val="28"/>
          <w:szCs w:val="28"/>
          <w:lang w:eastAsia="zh-CN" w:bidi="en-US"/>
        </w:rPr>
        <w:t>在本年度内完成信息化基础环境运维和信息安全系统运维工作。确保信息化相关软、硬件持续、稳定、安全运行，对网络信息内容实时监测，及时提供舆情预警、报告等服务。</w:t>
      </w:r>
    </w:p>
    <w:p w:rsidR="00901C1D" w:rsidRDefault="00965F36">
      <w:pPr>
        <w:pStyle w:val="1"/>
        <w:keepNext w:val="0"/>
        <w:keepLines w:val="0"/>
        <w:widowControl/>
        <w:numPr>
          <w:ilvl w:val="0"/>
          <w:numId w:val="1"/>
        </w:numPr>
        <w:spacing w:before="0" w:after="0" w:line="520" w:lineRule="atLeast"/>
        <w:contextualSpacing/>
        <w:jc w:val="left"/>
        <w:rPr>
          <w:rFonts w:ascii="黑体" w:eastAsia="黑体" w:hAnsi="黑体" w:cs="黑体"/>
          <w:b w:val="0"/>
          <w:kern w:val="0"/>
          <w:sz w:val="32"/>
          <w:szCs w:val="32"/>
          <w:lang w:bidi="en-US"/>
        </w:rPr>
      </w:pPr>
      <w:bookmarkStart w:id="29" w:name="_Toc20080"/>
      <w:bookmarkStart w:id="30" w:name="_Toc77203349"/>
      <w:bookmarkStart w:id="31" w:name="_Toc14759"/>
      <w:bookmarkStart w:id="32" w:name="_Toc10472"/>
      <w:bookmarkStart w:id="33" w:name="_Toc26593"/>
      <w:bookmarkStart w:id="34" w:name="_Toc516663573"/>
      <w:bookmarkEnd w:id="17"/>
      <w:bookmarkEnd w:id="18"/>
      <w:r>
        <w:rPr>
          <w:rFonts w:ascii="黑体" w:eastAsia="黑体" w:hAnsi="黑体" w:cs="黑体" w:hint="eastAsia"/>
          <w:b w:val="0"/>
          <w:kern w:val="0"/>
          <w:sz w:val="32"/>
          <w:szCs w:val="32"/>
          <w:lang w:bidi="en-US"/>
        </w:rPr>
        <w:t>绩效评价工作</w:t>
      </w:r>
      <w:bookmarkEnd w:id="29"/>
      <w:bookmarkEnd w:id="30"/>
      <w:bookmarkEnd w:id="31"/>
      <w:bookmarkEnd w:id="32"/>
      <w:bookmarkEnd w:id="33"/>
      <w:r>
        <w:rPr>
          <w:rFonts w:ascii="黑体" w:eastAsia="黑体" w:hAnsi="黑体" w:cs="黑体" w:hint="eastAsia"/>
          <w:b w:val="0"/>
          <w:kern w:val="0"/>
          <w:sz w:val="32"/>
          <w:szCs w:val="32"/>
          <w:lang w:bidi="en-US"/>
        </w:rPr>
        <w:t>开展情况</w:t>
      </w:r>
    </w:p>
    <w:p w:rsidR="00901C1D" w:rsidRDefault="00965F36">
      <w:pPr>
        <w:numPr>
          <w:ilvl w:val="0"/>
          <w:numId w:val="3"/>
        </w:numPr>
        <w:spacing w:line="560" w:lineRule="exact"/>
        <w:outlineLvl w:val="1"/>
        <w:rPr>
          <w:rFonts w:ascii="楷体_GB2312" w:eastAsia="楷体_GB2312" w:hAnsi="楷体_GB2312" w:cs="楷体_GB2312"/>
          <w:bCs/>
          <w:sz w:val="32"/>
          <w:szCs w:val="32"/>
        </w:rPr>
      </w:pPr>
      <w:bookmarkStart w:id="35" w:name="_Toc28297"/>
      <w:bookmarkStart w:id="36" w:name="_Toc15183"/>
      <w:bookmarkStart w:id="37" w:name="_Toc26854"/>
      <w:bookmarkStart w:id="38" w:name="_Toc21515"/>
      <w:bookmarkStart w:id="39" w:name="_Toc77203350"/>
      <w:bookmarkEnd w:id="34"/>
      <w:r>
        <w:rPr>
          <w:rFonts w:ascii="楷体_GB2312" w:eastAsia="楷体_GB2312" w:hAnsi="楷体_GB2312" w:cs="楷体_GB2312" w:hint="eastAsia"/>
          <w:bCs/>
          <w:sz w:val="32"/>
          <w:szCs w:val="32"/>
        </w:rPr>
        <w:t>绩效评价方法</w:t>
      </w:r>
      <w:bookmarkEnd w:id="35"/>
      <w:bookmarkEnd w:id="36"/>
      <w:bookmarkEnd w:id="37"/>
      <w:bookmarkEnd w:id="38"/>
      <w:bookmarkEnd w:id="39"/>
    </w:p>
    <w:p w:rsidR="00901C1D" w:rsidRDefault="00965F36">
      <w:pPr>
        <w:ind w:firstLineChars="200" w:firstLine="560"/>
        <w:rPr>
          <w:rFonts w:ascii="仿宋_GB2312" w:eastAsia="仿宋_GB2312" w:hAnsi="仿宋" w:cs="Times New Roman"/>
          <w:kern w:val="0"/>
          <w:sz w:val="32"/>
          <w:szCs w:val="32"/>
          <w:lang w:bidi="en-US"/>
        </w:rPr>
      </w:pPr>
      <w:r>
        <w:rPr>
          <w:rFonts w:ascii="仿宋_GB2312" w:eastAsia="仿宋_GB2312" w:hAnsi="仿宋" w:cs="Times New Roman" w:hint="eastAsia"/>
          <w:kern w:val="0"/>
          <w:sz w:val="28"/>
          <w:szCs w:val="28"/>
          <w:lang w:bidi="en-US"/>
        </w:rPr>
        <w:t>本次评价运用成本效益法、比较法、因素分析法、调查评判法等方法，同时通过文献资料搜索、多因素分析来支撑评价的逻辑紧密性与客观性。本次评价坚持定量优先、定量与定性相结合的方式，遵循科学规范、公正公开、分级分类、绩效相关的基本原则。</w:t>
      </w:r>
    </w:p>
    <w:p w:rsidR="00901C1D" w:rsidRDefault="00965F36">
      <w:pPr>
        <w:pStyle w:val="af1"/>
        <w:numPr>
          <w:ilvl w:val="0"/>
          <w:numId w:val="4"/>
        </w:numPr>
        <w:spacing w:line="560" w:lineRule="exact"/>
        <w:ind w:firstLineChars="0"/>
        <w:outlineLvl w:val="2"/>
        <w:rPr>
          <w:rFonts w:ascii="楷体_GB2312" w:eastAsia="楷体_GB2312" w:hAnsi="楷体_GB2312" w:cs="楷体_GB2312"/>
          <w:bCs/>
          <w:sz w:val="32"/>
          <w:szCs w:val="32"/>
        </w:rPr>
      </w:pPr>
      <w:bookmarkStart w:id="40" w:name="_Toc15141"/>
      <w:bookmarkStart w:id="41" w:name="_Toc27040"/>
      <w:bookmarkStart w:id="42" w:name="_Toc168"/>
      <w:bookmarkStart w:id="43" w:name="_Toc77203351"/>
      <w:bookmarkStart w:id="44" w:name="_Toc516663575"/>
      <w:r>
        <w:rPr>
          <w:rFonts w:ascii="楷体_GB2312" w:eastAsia="楷体_GB2312" w:hAnsi="楷体_GB2312" w:cs="楷体_GB2312" w:hint="eastAsia"/>
          <w:bCs/>
          <w:sz w:val="32"/>
          <w:szCs w:val="32"/>
        </w:rPr>
        <w:t>指标体系设定</w:t>
      </w:r>
      <w:bookmarkEnd w:id="40"/>
      <w:bookmarkEnd w:id="41"/>
      <w:bookmarkEnd w:id="42"/>
      <w:bookmarkEnd w:id="43"/>
    </w:p>
    <w:p w:rsidR="00901C1D" w:rsidRDefault="00965F36">
      <w:pPr>
        <w:ind w:firstLine="640"/>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lastRenderedPageBreak/>
        <w:t>本次绩效评价指标体系包括决策、过程、产出、效益</w:t>
      </w:r>
      <w:r>
        <w:rPr>
          <w:rFonts w:ascii="仿宋_GB2312" w:eastAsia="仿宋_GB2312" w:hAnsi="仿宋" w:cs="Times New Roman" w:hint="eastAsia"/>
          <w:kern w:val="0"/>
          <w:sz w:val="28"/>
          <w:szCs w:val="28"/>
          <w:lang w:bidi="en-US"/>
        </w:rPr>
        <w:t>4</w:t>
      </w:r>
      <w:r>
        <w:rPr>
          <w:rFonts w:ascii="仿宋_GB2312" w:eastAsia="仿宋_GB2312" w:hAnsi="仿宋" w:cs="Times New Roman" w:hint="eastAsia"/>
          <w:kern w:val="0"/>
          <w:sz w:val="28"/>
          <w:szCs w:val="28"/>
          <w:lang w:bidi="en-US"/>
        </w:rPr>
        <w:t>个一级指标。在各项指标权重设定方面，我们主要依据《北京市项目支出绩效评价管理办法》（京财绩效〔</w:t>
      </w:r>
      <w:r>
        <w:rPr>
          <w:rFonts w:ascii="仿宋_GB2312" w:eastAsia="仿宋_GB2312" w:hAnsi="仿宋" w:cs="Times New Roman" w:hint="eastAsia"/>
          <w:kern w:val="0"/>
          <w:sz w:val="28"/>
          <w:szCs w:val="28"/>
          <w:lang w:bidi="en-US"/>
        </w:rPr>
        <w:t>2020</w:t>
      </w:r>
      <w:r>
        <w:rPr>
          <w:rFonts w:ascii="仿宋_GB2312" w:eastAsia="仿宋_GB2312" w:hAnsi="仿宋" w:cs="Times New Roman" w:hint="eastAsia"/>
          <w:kern w:val="0"/>
          <w:sz w:val="28"/>
          <w:szCs w:val="28"/>
          <w:lang w:bidi="en-US"/>
        </w:rPr>
        <w:t>〕</w:t>
      </w:r>
      <w:r>
        <w:rPr>
          <w:rFonts w:ascii="仿宋_GB2312" w:eastAsia="仿宋_GB2312" w:hAnsi="仿宋" w:cs="Times New Roman" w:hint="eastAsia"/>
          <w:kern w:val="0"/>
          <w:sz w:val="28"/>
          <w:szCs w:val="28"/>
          <w:lang w:bidi="en-US"/>
        </w:rPr>
        <w:t>2146</w:t>
      </w:r>
      <w:r>
        <w:rPr>
          <w:rFonts w:ascii="仿宋_GB2312" w:eastAsia="仿宋_GB2312" w:hAnsi="仿宋" w:cs="Times New Roman" w:hint="eastAsia"/>
          <w:kern w:val="0"/>
          <w:sz w:val="28"/>
          <w:szCs w:val="28"/>
          <w:lang w:bidi="en-US"/>
        </w:rPr>
        <w:t>号）中体现绩效结果导向，更加注重产出和效益原则，产出、效益指标权重不低于</w:t>
      </w:r>
      <w:r>
        <w:rPr>
          <w:rFonts w:ascii="仿宋_GB2312" w:eastAsia="仿宋_GB2312" w:hAnsi="仿宋" w:cs="Times New Roman" w:hint="eastAsia"/>
          <w:kern w:val="0"/>
          <w:sz w:val="28"/>
          <w:szCs w:val="28"/>
          <w:lang w:bidi="en-US"/>
        </w:rPr>
        <w:t>60%</w:t>
      </w:r>
      <w:r>
        <w:rPr>
          <w:rFonts w:ascii="仿宋_GB2312" w:eastAsia="仿宋_GB2312" w:hAnsi="仿宋" w:cs="Times New Roman" w:hint="eastAsia"/>
          <w:kern w:val="0"/>
          <w:sz w:val="28"/>
          <w:szCs w:val="28"/>
          <w:lang w:bidi="en-US"/>
        </w:rPr>
        <w:t>，本项目产出、效益指标权重为</w:t>
      </w:r>
      <w:r>
        <w:rPr>
          <w:rFonts w:ascii="仿宋_GB2312" w:eastAsia="仿宋_GB2312" w:hAnsi="仿宋" w:cs="Times New Roman" w:hint="eastAsia"/>
          <w:kern w:val="0"/>
          <w:sz w:val="28"/>
          <w:szCs w:val="28"/>
          <w:lang w:bidi="en-US"/>
        </w:rPr>
        <w:t>70</w:t>
      </w:r>
      <w:r>
        <w:rPr>
          <w:rFonts w:ascii="仿宋_GB2312" w:eastAsia="仿宋_GB2312" w:hAnsi="仿宋" w:cs="Times New Roman" w:hint="eastAsia"/>
          <w:kern w:val="0"/>
          <w:sz w:val="28"/>
          <w:szCs w:val="28"/>
          <w:lang w:bidi="en-US"/>
        </w:rPr>
        <w:t>%</w:t>
      </w:r>
      <w:r>
        <w:rPr>
          <w:rFonts w:ascii="仿宋_GB2312" w:eastAsia="仿宋_GB2312" w:hAnsi="仿宋" w:cs="Times New Roman" w:hint="eastAsia"/>
          <w:kern w:val="0"/>
          <w:sz w:val="28"/>
          <w:szCs w:val="28"/>
          <w:lang w:bidi="en-US"/>
        </w:rPr>
        <w:t>。根据对各指标的重要性和影响力大小的理解给予相应的权重分值，并采取定性与定量分析相结合的方法分别记分。</w:t>
      </w:r>
    </w:p>
    <w:p w:rsidR="00901C1D" w:rsidRDefault="00965F36">
      <w:pPr>
        <w:pStyle w:val="a3"/>
        <w:ind w:firstLine="709"/>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1</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决策指标：主要评价项目立项依据、目标和资金情况。决策指标包括项目立项、绩效目标和资金投入</w:t>
      </w:r>
      <w:r>
        <w:rPr>
          <w:rFonts w:ascii="仿宋_GB2312" w:eastAsia="仿宋_GB2312" w:hAnsi="仿宋" w:cs="Times New Roman" w:hint="eastAsia"/>
          <w:kern w:val="0"/>
          <w:sz w:val="28"/>
          <w:szCs w:val="28"/>
          <w:lang w:bidi="en-US"/>
        </w:rPr>
        <w:t>3</w:t>
      </w:r>
      <w:r>
        <w:rPr>
          <w:rFonts w:ascii="仿宋_GB2312" w:eastAsia="仿宋_GB2312" w:hAnsi="仿宋" w:cs="Times New Roman" w:hint="eastAsia"/>
          <w:kern w:val="0"/>
          <w:sz w:val="28"/>
          <w:szCs w:val="28"/>
          <w:lang w:bidi="en-US"/>
        </w:rPr>
        <w:t>个二级指标，以及立项依据充分性、立项程序规范性、绩效目标合理性、绩效指标明确性、预算编制科学性和资金分配合理性</w:t>
      </w:r>
      <w:bookmarkStart w:id="45" w:name="_Hlk73315744"/>
      <w:r>
        <w:rPr>
          <w:rFonts w:ascii="仿宋_GB2312" w:eastAsia="仿宋_GB2312" w:hAnsi="仿宋" w:cs="Times New Roman" w:hint="eastAsia"/>
          <w:kern w:val="0"/>
          <w:sz w:val="28"/>
          <w:szCs w:val="28"/>
          <w:lang w:bidi="en-US"/>
        </w:rPr>
        <w:t>6</w:t>
      </w:r>
      <w:r>
        <w:rPr>
          <w:rFonts w:ascii="仿宋_GB2312" w:eastAsia="仿宋_GB2312" w:hAnsi="仿宋" w:cs="Times New Roman" w:hint="eastAsia"/>
          <w:kern w:val="0"/>
          <w:sz w:val="28"/>
          <w:szCs w:val="28"/>
          <w:lang w:bidi="en-US"/>
        </w:rPr>
        <w:t>个三级指标。</w:t>
      </w:r>
      <w:bookmarkEnd w:id="45"/>
      <w:r>
        <w:rPr>
          <w:rFonts w:ascii="仿宋_GB2312" w:eastAsia="仿宋_GB2312" w:hAnsi="仿宋" w:cs="Times New Roman" w:hint="eastAsia"/>
          <w:kern w:val="0"/>
          <w:sz w:val="28"/>
          <w:szCs w:val="28"/>
          <w:lang w:bidi="en-US"/>
        </w:rPr>
        <w:t>决策类指标权重共计</w:t>
      </w:r>
      <w:r>
        <w:rPr>
          <w:rFonts w:ascii="仿宋_GB2312" w:eastAsia="仿宋_GB2312" w:hAnsi="仿宋" w:cs="Times New Roman" w:hint="eastAsia"/>
          <w:kern w:val="0"/>
          <w:sz w:val="28"/>
          <w:szCs w:val="28"/>
          <w:lang w:bidi="en-US"/>
        </w:rPr>
        <w:t>10</w:t>
      </w:r>
      <w:r>
        <w:rPr>
          <w:rFonts w:ascii="仿宋_GB2312" w:eastAsia="仿宋_GB2312" w:hAnsi="仿宋" w:cs="Times New Roman" w:hint="eastAsia"/>
          <w:kern w:val="0"/>
          <w:sz w:val="28"/>
          <w:szCs w:val="28"/>
          <w:lang w:bidi="en-US"/>
        </w:rPr>
        <w:t>分。</w:t>
      </w:r>
    </w:p>
    <w:p w:rsidR="00901C1D" w:rsidRDefault="00965F36">
      <w:pPr>
        <w:pStyle w:val="a3"/>
        <w:ind w:firstLine="709"/>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2</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过程指标：主要评价项目资金在实施过程中的流程及监督管理情况。过程指标包括资金管理和组织实施</w:t>
      </w:r>
      <w:r>
        <w:rPr>
          <w:rFonts w:ascii="仿宋_GB2312" w:eastAsia="仿宋_GB2312" w:hAnsi="仿宋" w:cs="Times New Roman" w:hint="eastAsia"/>
          <w:kern w:val="0"/>
          <w:sz w:val="28"/>
          <w:szCs w:val="28"/>
          <w:lang w:bidi="en-US"/>
        </w:rPr>
        <w:t>2</w:t>
      </w:r>
      <w:r>
        <w:rPr>
          <w:rFonts w:ascii="仿宋_GB2312" w:eastAsia="仿宋_GB2312" w:hAnsi="仿宋" w:cs="Times New Roman" w:hint="eastAsia"/>
          <w:kern w:val="0"/>
          <w:sz w:val="28"/>
          <w:szCs w:val="28"/>
          <w:lang w:bidi="en-US"/>
        </w:rPr>
        <w:t>个二级指标，以及资金到位率、预算执行率、资金使用合规性、管理制度</w:t>
      </w:r>
      <w:r>
        <w:rPr>
          <w:rFonts w:ascii="仿宋_GB2312" w:eastAsia="仿宋_GB2312" w:hAnsi="仿宋" w:cs="Times New Roman" w:hint="eastAsia"/>
          <w:kern w:val="0"/>
          <w:sz w:val="28"/>
          <w:szCs w:val="28"/>
          <w:lang w:bidi="en-US"/>
        </w:rPr>
        <w:t>健全性、制度执行有效性和实施方案有效性</w:t>
      </w:r>
      <w:r>
        <w:rPr>
          <w:rFonts w:ascii="仿宋_GB2312" w:eastAsia="仿宋_GB2312" w:hAnsi="仿宋" w:cs="Times New Roman" w:hint="eastAsia"/>
          <w:kern w:val="0"/>
          <w:sz w:val="28"/>
          <w:szCs w:val="28"/>
          <w:lang w:bidi="en-US"/>
        </w:rPr>
        <w:t>6</w:t>
      </w:r>
      <w:r>
        <w:rPr>
          <w:rFonts w:ascii="仿宋_GB2312" w:eastAsia="仿宋_GB2312" w:hAnsi="仿宋" w:cs="Times New Roman" w:hint="eastAsia"/>
          <w:kern w:val="0"/>
          <w:sz w:val="28"/>
          <w:szCs w:val="28"/>
          <w:lang w:bidi="en-US"/>
        </w:rPr>
        <w:t>个三级指标。过程类指标权重共计</w:t>
      </w:r>
      <w:r>
        <w:rPr>
          <w:rFonts w:ascii="仿宋_GB2312" w:eastAsia="仿宋_GB2312" w:hAnsi="仿宋" w:cs="Times New Roman" w:hint="eastAsia"/>
          <w:kern w:val="0"/>
          <w:sz w:val="28"/>
          <w:szCs w:val="28"/>
          <w:lang w:bidi="en-US"/>
        </w:rPr>
        <w:t>20</w:t>
      </w:r>
      <w:r>
        <w:rPr>
          <w:rFonts w:ascii="仿宋_GB2312" w:eastAsia="仿宋_GB2312" w:hAnsi="仿宋" w:cs="Times New Roman" w:hint="eastAsia"/>
          <w:kern w:val="0"/>
          <w:sz w:val="28"/>
          <w:szCs w:val="28"/>
          <w:lang w:bidi="en-US"/>
        </w:rPr>
        <w:t>分。</w:t>
      </w:r>
    </w:p>
    <w:p w:rsidR="00901C1D" w:rsidRDefault="00965F36" w:rsidP="00075CA6">
      <w:pPr>
        <w:pStyle w:val="a3"/>
        <w:ind w:firstLineChars="131" w:firstLine="367"/>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t xml:space="preserve"> 3</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产出指标：主要评价项目实施的完成情况。产出指标均包括产出数量、产出质量、产出时效、产出成本</w:t>
      </w:r>
      <w:r>
        <w:rPr>
          <w:rFonts w:ascii="仿宋_GB2312" w:eastAsia="仿宋_GB2312" w:hAnsi="仿宋" w:cs="Times New Roman" w:hint="eastAsia"/>
          <w:kern w:val="0"/>
          <w:sz w:val="28"/>
          <w:szCs w:val="28"/>
          <w:lang w:bidi="en-US"/>
        </w:rPr>
        <w:t>4</w:t>
      </w:r>
      <w:r>
        <w:rPr>
          <w:rFonts w:ascii="仿宋_GB2312" w:eastAsia="仿宋_GB2312" w:hAnsi="仿宋" w:cs="Times New Roman" w:hint="eastAsia"/>
          <w:kern w:val="0"/>
          <w:sz w:val="28"/>
          <w:szCs w:val="28"/>
          <w:lang w:bidi="en-US"/>
        </w:rPr>
        <w:t>个二级指标，以及实际完成率、质量达标率、完成及时性、成本节约率</w:t>
      </w:r>
      <w:r>
        <w:rPr>
          <w:rFonts w:ascii="仿宋_GB2312" w:eastAsia="仿宋_GB2312" w:hAnsi="仿宋" w:cs="Times New Roman" w:hint="eastAsia"/>
          <w:kern w:val="0"/>
          <w:sz w:val="28"/>
          <w:szCs w:val="28"/>
          <w:lang w:bidi="en-US"/>
        </w:rPr>
        <w:t>4</w:t>
      </w:r>
      <w:r>
        <w:rPr>
          <w:rFonts w:ascii="仿宋_GB2312" w:eastAsia="仿宋_GB2312" w:hAnsi="仿宋" w:cs="Times New Roman" w:hint="eastAsia"/>
          <w:kern w:val="0"/>
          <w:sz w:val="28"/>
          <w:szCs w:val="28"/>
          <w:lang w:bidi="en-US"/>
        </w:rPr>
        <w:t>个三级指标。产出类指标权重共计</w:t>
      </w:r>
      <w:r>
        <w:rPr>
          <w:rFonts w:ascii="仿宋_GB2312" w:eastAsia="仿宋_GB2312" w:hAnsi="仿宋" w:cs="Times New Roman" w:hint="eastAsia"/>
          <w:kern w:val="0"/>
          <w:sz w:val="28"/>
          <w:szCs w:val="28"/>
          <w:lang w:bidi="en-US"/>
        </w:rPr>
        <w:t>40</w:t>
      </w:r>
      <w:r>
        <w:rPr>
          <w:rFonts w:ascii="仿宋_GB2312" w:eastAsia="仿宋_GB2312" w:hAnsi="仿宋" w:cs="Times New Roman" w:hint="eastAsia"/>
          <w:kern w:val="0"/>
          <w:sz w:val="28"/>
          <w:szCs w:val="28"/>
          <w:lang w:bidi="en-US"/>
        </w:rPr>
        <w:t>分。</w:t>
      </w:r>
    </w:p>
    <w:p w:rsidR="00901C1D" w:rsidRDefault="00965F36" w:rsidP="00075CA6">
      <w:pPr>
        <w:pStyle w:val="a3"/>
        <w:ind w:firstLineChars="177" w:firstLine="496"/>
        <w:rPr>
          <w:rFonts w:ascii="仿宋_GB2312" w:eastAsia="仿宋_GB2312" w:hAnsi="仿宋" w:cs="Times New Roman"/>
          <w:kern w:val="0"/>
          <w:sz w:val="28"/>
          <w:szCs w:val="28"/>
          <w:lang w:bidi="en-US"/>
        </w:rPr>
      </w:pPr>
      <w:r>
        <w:rPr>
          <w:rFonts w:ascii="仿宋_GB2312" w:eastAsia="仿宋_GB2312" w:hAnsi="仿宋" w:cs="Times New Roman" w:hint="eastAsia"/>
          <w:kern w:val="0"/>
          <w:sz w:val="28"/>
          <w:szCs w:val="28"/>
          <w:lang w:bidi="en-US"/>
        </w:rPr>
        <w:lastRenderedPageBreak/>
        <w:t>4</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效益指标：主要评价项目实施所取得的效果。包括实施效益和满意度</w:t>
      </w:r>
      <w:r>
        <w:rPr>
          <w:rFonts w:ascii="仿宋_GB2312" w:eastAsia="仿宋_GB2312" w:hAnsi="仿宋" w:cs="Times New Roman" w:hint="eastAsia"/>
          <w:kern w:val="0"/>
          <w:sz w:val="28"/>
          <w:szCs w:val="28"/>
          <w:lang w:bidi="en-US"/>
        </w:rPr>
        <w:t>2</w:t>
      </w:r>
      <w:r>
        <w:rPr>
          <w:rFonts w:ascii="仿宋_GB2312" w:eastAsia="仿宋_GB2312" w:hAnsi="仿宋" w:cs="Times New Roman" w:hint="eastAsia"/>
          <w:kern w:val="0"/>
          <w:sz w:val="28"/>
          <w:szCs w:val="28"/>
          <w:lang w:bidi="en-US"/>
        </w:rPr>
        <w:t>个三级指标。实施效益从社会效益、经济效益、可持续影响、满意度</w:t>
      </w:r>
      <w:r>
        <w:rPr>
          <w:rFonts w:ascii="仿宋_GB2312" w:eastAsia="仿宋_GB2312" w:hAnsi="仿宋" w:cs="Times New Roman" w:hint="eastAsia"/>
          <w:kern w:val="0"/>
          <w:sz w:val="28"/>
          <w:szCs w:val="28"/>
          <w:lang w:bidi="en-US"/>
        </w:rPr>
        <w:t>4</w:t>
      </w:r>
      <w:r>
        <w:rPr>
          <w:rFonts w:ascii="仿宋_GB2312" w:eastAsia="仿宋_GB2312" w:hAnsi="仿宋" w:cs="Times New Roman" w:hint="eastAsia"/>
          <w:kern w:val="0"/>
          <w:sz w:val="28"/>
          <w:szCs w:val="28"/>
          <w:lang w:bidi="en-US"/>
        </w:rPr>
        <w:t>个方面进行评价。效益类指标权重共计</w:t>
      </w:r>
      <w:r>
        <w:rPr>
          <w:rFonts w:ascii="仿宋_GB2312" w:eastAsia="仿宋_GB2312" w:hAnsi="仿宋" w:cs="Times New Roman" w:hint="eastAsia"/>
          <w:kern w:val="0"/>
          <w:sz w:val="28"/>
          <w:szCs w:val="28"/>
          <w:lang w:bidi="en-US"/>
        </w:rPr>
        <w:t>30</w:t>
      </w:r>
      <w:r>
        <w:rPr>
          <w:rFonts w:ascii="仿宋_GB2312" w:eastAsia="仿宋_GB2312" w:hAnsi="仿宋" w:cs="Times New Roman" w:hint="eastAsia"/>
          <w:kern w:val="0"/>
          <w:sz w:val="28"/>
          <w:szCs w:val="28"/>
          <w:lang w:bidi="en-US"/>
        </w:rPr>
        <w:t>分。</w:t>
      </w:r>
    </w:p>
    <w:p w:rsidR="00901C1D" w:rsidRDefault="00965F36">
      <w:pPr>
        <w:pStyle w:val="af1"/>
        <w:numPr>
          <w:ilvl w:val="0"/>
          <w:numId w:val="4"/>
        </w:numPr>
        <w:spacing w:line="560" w:lineRule="exact"/>
        <w:ind w:firstLineChars="0"/>
        <w:outlineLvl w:val="2"/>
        <w:rPr>
          <w:rFonts w:ascii="楷体_GB2312" w:eastAsia="楷体_GB2312" w:hAnsi="楷体_GB2312" w:cs="楷体_GB2312"/>
          <w:bCs/>
          <w:sz w:val="32"/>
          <w:szCs w:val="32"/>
        </w:rPr>
      </w:pPr>
      <w:bookmarkStart w:id="46" w:name="_Toc77203352"/>
      <w:bookmarkStart w:id="47" w:name="_Toc22673"/>
      <w:bookmarkStart w:id="48" w:name="_Toc18090"/>
      <w:bookmarkStart w:id="49" w:name="_Toc1742"/>
      <w:r>
        <w:rPr>
          <w:rFonts w:ascii="楷体_GB2312" w:eastAsia="楷体_GB2312" w:hAnsi="楷体_GB2312" w:cs="楷体_GB2312" w:hint="eastAsia"/>
          <w:bCs/>
          <w:sz w:val="32"/>
          <w:szCs w:val="32"/>
        </w:rPr>
        <w:t>绩效评价工作过程</w:t>
      </w:r>
      <w:bookmarkEnd w:id="46"/>
      <w:bookmarkEnd w:id="47"/>
      <w:bookmarkEnd w:id="48"/>
      <w:bookmarkEnd w:id="49"/>
    </w:p>
    <w:p w:rsidR="00901C1D" w:rsidRDefault="00965F36">
      <w:pPr>
        <w:pStyle w:val="a3"/>
        <w:ind w:firstLine="567"/>
        <w:rPr>
          <w:rFonts w:ascii="仿宋_GB2312" w:eastAsia="仿宋_GB2312" w:hAnsi="仿宋" w:cs="Times New Roman"/>
          <w:kern w:val="0"/>
          <w:sz w:val="28"/>
          <w:szCs w:val="28"/>
          <w:lang w:bidi="en-US"/>
        </w:rPr>
      </w:pPr>
      <w:bookmarkStart w:id="50" w:name="_Toc24877"/>
      <w:bookmarkStart w:id="51" w:name="_Toc27215"/>
      <w:bookmarkStart w:id="52" w:name="_Toc5141"/>
      <w:r>
        <w:rPr>
          <w:rFonts w:ascii="仿宋_GB2312" w:eastAsia="仿宋_GB2312" w:hAnsi="仿宋" w:cs="Times New Roman" w:hint="eastAsia"/>
          <w:kern w:val="0"/>
          <w:sz w:val="28"/>
          <w:szCs w:val="28"/>
          <w:lang w:bidi="en-US"/>
        </w:rPr>
        <w:t>1</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前期调研</w:t>
      </w:r>
      <w:bookmarkEnd w:id="50"/>
      <w:bookmarkEnd w:id="51"/>
      <w:bookmarkEnd w:id="52"/>
      <w:r>
        <w:rPr>
          <w:rFonts w:ascii="仿宋_GB2312" w:eastAsia="仿宋_GB2312" w:hAnsi="仿宋" w:cs="Times New Roman" w:hint="eastAsia"/>
          <w:kern w:val="0"/>
          <w:sz w:val="28"/>
          <w:szCs w:val="28"/>
          <w:lang w:bidi="en-US"/>
        </w:rPr>
        <w:t>。评价组与项目实施单位进行沟通，并搜集相关政策文件、项目资料以及相关财务收支凭证、合同、管理制度等，进行分析、评估。</w:t>
      </w:r>
    </w:p>
    <w:p w:rsidR="00901C1D" w:rsidRDefault="00965F36">
      <w:pPr>
        <w:pStyle w:val="a3"/>
        <w:ind w:firstLine="567"/>
        <w:rPr>
          <w:rFonts w:ascii="仿宋_GB2312" w:eastAsia="仿宋_GB2312" w:hAnsi="仿宋" w:cs="Times New Roman"/>
          <w:kern w:val="0"/>
          <w:sz w:val="28"/>
          <w:szCs w:val="28"/>
          <w:lang w:bidi="en-US"/>
        </w:rPr>
      </w:pPr>
      <w:bookmarkStart w:id="53" w:name="_Toc28449"/>
      <w:bookmarkStart w:id="54" w:name="_Toc2438"/>
      <w:bookmarkStart w:id="55" w:name="_Toc10687"/>
      <w:r>
        <w:rPr>
          <w:rFonts w:ascii="仿宋_GB2312" w:eastAsia="仿宋_GB2312" w:hAnsi="仿宋" w:cs="Times New Roman" w:hint="eastAsia"/>
          <w:kern w:val="0"/>
          <w:sz w:val="28"/>
          <w:szCs w:val="28"/>
          <w:lang w:bidi="en-US"/>
        </w:rPr>
        <w:t>2</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方案制定</w:t>
      </w:r>
      <w:bookmarkEnd w:id="53"/>
      <w:bookmarkEnd w:id="54"/>
      <w:bookmarkEnd w:id="55"/>
      <w:r>
        <w:rPr>
          <w:rFonts w:ascii="仿宋_GB2312" w:eastAsia="仿宋_GB2312" w:hAnsi="仿宋" w:cs="Times New Roman" w:hint="eastAsia"/>
          <w:kern w:val="0"/>
          <w:sz w:val="28"/>
          <w:szCs w:val="28"/>
          <w:lang w:bidi="en-US"/>
        </w:rPr>
        <w:t>。了解年度项目实施内容、实施流程，根据项目资金实际情况和绩效管理要求制定工作方案。</w:t>
      </w:r>
    </w:p>
    <w:p w:rsidR="00901C1D" w:rsidRDefault="00965F36">
      <w:pPr>
        <w:pStyle w:val="a3"/>
        <w:ind w:firstLine="567"/>
        <w:rPr>
          <w:rFonts w:ascii="仿宋_GB2312" w:eastAsia="仿宋_GB2312" w:hAnsi="仿宋" w:cs="Times New Roman"/>
          <w:kern w:val="0"/>
          <w:sz w:val="28"/>
          <w:szCs w:val="28"/>
          <w:lang w:bidi="en-US"/>
        </w:rPr>
      </w:pPr>
      <w:bookmarkStart w:id="56" w:name="_Toc16449"/>
      <w:bookmarkStart w:id="57" w:name="_Toc20872"/>
      <w:bookmarkStart w:id="58" w:name="_Toc26043"/>
      <w:r>
        <w:rPr>
          <w:rFonts w:ascii="仿宋_GB2312" w:eastAsia="仿宋_GB2312" w:hAnsi="仿宋" w:cs="Times New Roman" w:hint="eastAsia"/>
          <w:kern w:val="0"/>
          <w:sz w:val="28"/>
          <w:szCs w:val="28"/>
          <w:lang w:bidi="en-US"/>
        </w:rPr>
        <w:t>3</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数据采集</w:t>
      </w:r>
      <w:bookmarkEnd w:id="56"/>
      <w:bookmarkEnd w:id="57"/>
      <w:bookmarkEnd w:id="58"/>
      <w:r>
        <w:rPr>
          <w:rFonts w:ascii="仿宋_GB2312" w:eastAsia="仿宋_GB2312" w:hAnsi="仿宋" w:cs="Times New Roman" w:hint="eastAsia"/>
          <w:kern w:val="0"/>
          <w:sz w:val="28"/>
          <w:szCs w:val="28"/>
          <w:lang w:bidi="en-US"/>
        </w:rPr>
        <w:t>。按照现场评价通知中的现场调研时间安排，到项目单位进行调研访谈、核查资料和分析评价。</w:t>
      </w:r>
    </w:p>
    <w:p w:rsidR="00901C1D" w:rsidRDefault="00965F36">
      <w:pPr>
        <w:pStyle w:val="a3"/>
        <w:spacing w:after="0" w:line="240" w:lineRule="auto"/>
        <w:ind w:firstLineChars="200" w:firstLine="560"/>
        <w:jc w:val="both"/>
        <w:outlineLvl w:val="3"/>
        <w:rPr>
          <w:rFonts w:ascii="仿宋_GB2312" w:eastAsia="仿宋_GB2312" w:hAnsi="仿宋" w:cs="Times New Roman"/>
          <w:b/>
          <w:bCs/>
          <w:kern w:val="0"/>
          <w:sz w:val="28"/>
          <w:szCs w:val="28"/>
          <w:lang w:bidi="en-US"/>
        </w:rPr>
      </w:pPr>
      <w:bookmarkStart w:id="59" w:name="_Toc4349"/>
      <w:bookmarkStart w:id="60" w:name="_Toc24237"/>
      <w:bookmarkStart w:id="61" w:name="_Toc6779"/>
      <w:r>
        <w:rPr>
          <w:rFonts w:ascii="仿宋_GB2312" w:eastAsia="仿宋_GB2312" w:hAnsi="仿宋" w:cs="Times New Roman" w:hint="eastAsia"/>
          <w:kern w:val="0"/>
          <w:sz w:val="28"/>
          <w:szCs w:val="28"/>
          <w:lang w:bidi="en-US"/>
        </w:rPr>
        <w:t>4</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召开专家评价会</w:t>
      </w:r>
      <w:r>
        <w:rPr>
          <w:rFonts w:ascii="仿宋_GB2312" w:eastAsia="仿宋_GB2312" w:hAnsi="仿宋" w:cs="Times New Roman" w:hint="eastAsia"/>
          <w:b/>
          <w:bCs/>
          <w:kern w:val="0"/>
          <w:sz w:val="28"/>
          <w:szCs w:val="28"/>
          <w:lang w:bidi="en-US"/>
        </w:rPr>
        <w:t>。</w:t>
      </w:r>
      <w:r>
        <w:rPr>
          <w:rFonts w:ascii="仿宋_GB2312" w:eastAsia="仿宋_GB2312" w:hAnsi="仿宋" w:cs="Times New Roman" w:hint="eastAsia"/>
          <w:kern w:val="0"/>
          <w:sz w:val="28"/>
          <w:szCs w:val="28"/>
          <w:lang w:bidi="en-US"/>
        </w:rPr>
        <w:t>遴选业务专家、管理专家和财务专家进行分析评价，向专家提供数据采集资料，组织召开专家评价会，形成专家意见。</w:t>
      </w:r>
    </w:p>
    <w:p w:rsidR="00901C1D" w:rsidRDefault="00965F36">
      <w:pPr>
        <w:pStyle w:val="a3"/>
        <w:ind w:firstLineChars="200" w:firstLine="560"/>
        <w:rPr>
          <w:rFonts w:ascii="仿宋_GB2312" w:eastAsia="仿宋_GB2312" w:hAnsi="仿宋" w:cs="Times New Roman"/>
          <w:kern w:val="0"/>
          <w:sz w:val="32"/>
          <w:szCs w:val="32"/>
          <w:lang w:bidi="en-US"/>
        </w:rPr>
      </w:pPr>
      <w:r>
        <w:rPr>
          <w:rFonts w:ascii="仿宋_GB2312" w:eastAsia="仿宋_GB2312" w:hAnsi="仿宋" w:cs="Times New Roman" w:hint="eastAsia"/>
          <w:kern w:val="0"/>
          <w:sz w:val="28"/>
          <w:szCs w:val="28"/>
          <w:lang w:bidi="en-US"/>
        </w:rPr>
        <w:t>5</w:t>
      </w:r>
      <w:r>
        <w:rPr>
          <w:rFonts w:ascii="仿宋_GB2312" w:eastAsia="仿宋_GB2312" w:hAnsi="仿宋_GB2312" w:cs="仿宋_GB2312" w:hint="eastAsia"/>
          <w:kern w:val="44"/>
          <w:sz w:val="28"/>
          <w:szCs w:val="28"/>
        </w:rPr>
        <w:t>.</w:t>
      </w:r>
      <w:r>
        <w:rPr>
          <w:rFonts w:ascii="仿宋_GB2312" w:eastAsia="仿宋_GB2312" w:hAnsi="仿宋" w:cs="Times New Roman" w:hint="eastAsia"/>
          <w:kern w:val="0"/>
          <w:sz w:val="28"/>
          <w:szCs w:val="28"/>
          <w:lang w:bidi="en-US"/>
        </w:rPr>
        <w:t>综合分析及报告撰写</w:t>
      </w:r>
      <w:bookmarkEnd w:id="59"/>
      <w:bookmarkEnd w:id="60"/>
      <w:bookmarkEnd w:id="61"/>
      <w:r>
        <w:rPr>
          <w:rFonts w:ascii="仿宋_GB2312" w:eastAsia="仿宋_GB2312" w:hAnsi="仿宋" w:cs="Times New Roman" w:hint="eastAsia"/>
          <w:kern w:val="0"/>
          <w:sz w:val="28"/>
          <w:szCs w:val="28"/>
          <w:lang w:bidi="en-US"/>
        </w:rPr>
        <w:t>。</w:t>
      </w:r>
    </w:p>
    <w:p w:rsidR="00901C1D" w:rsidRDefault="00965F36">
      <w:pPr>
        <w:pStyle w:val="1"/>
        <w:keepNext w:val="0"/>
        <w:keepLines w:val="0"/>
        <w:widowControl/>
        <w:numPr>
          <w:ilvl w:val="0"/>
          <w:numId w:val="1"/>
        </w:numPr>
        <w:spacing w:before="0" w:after="0" w:line="520" w:lineRule="atLeast"/>
        <w:ind w:firstLine="709"/>
        <w:contextualSpacing/>
        <w:jc w:val="left"/>
        <w:rPr>
          <w:rFonts w:ascii="黑体" w:eastAsia="黑体" w:hAnsi="黑体" w:cs="黑体"/>
          <w:b w:val="0"/>
          <w:kern w:val="0"/>
          <w:sz w:val="32"/>
          <w:szCs w:val="32"/>
          <w:lang w:bidi="en-US"/>
        </w:rPr>
      </w:pPr>
      <w:bookmarkStart w:id="62" w:name="_Toc13026"/>
      <w:bookmarkStart w:id="63" w:name="_Toc9623"/>
      <w:bookmarkStart w:id="64" w:name="_Toc77203353"/>
      <w:bookmarkStart w:id="65" w:name="_Toc25668"/>
      <w:bookmarkStart w:id="66" w:name="_Toc1216"/>
      <w:bookmarkStart w:id="67" w:name="_Toc516663576"/>
      <w:bookmarkEnd w:id="44"/>
      <w:r>
        <w:rPr>
          <w:rFonts w:ascii="黑体" w:eastAsia="黑体" w:hAnsi="黑体" w:cs="黑体" w:hint="eastAsia"/>
          <w:b w:val="0"/>
          <w:kern w:val="0"/>
          <w:sz w:val="32"/>
          <w:szCs w:val="32"/>
          <w:lang w:bidi="en-US"/>
        </w:rPr>
        <w:t>综合评价情况及评价结论</w:t>
      </w:r>
    </w:p>
    <w:p w:rsidR="00901C1D" w:rsidRDefault="00965F36" w:rsidP="00075CA6">
      <w:pPr>
        <w:spacing w:line="520" w:lineRule="atLeast"/>
        <w:ind w:firstLineChars="221" w:firstLine="619"/>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经综合评价，本项目绩效评价得分</w:t>
      </w:r>
      <w:r>
        <w:rPr>
          <w:rFonts w:ascii="仿宋_GB2312" w:eastAsia="仿宋_GB2312" w:hAnsi="仿宋_GB2312" w:cs="仿宋_GB2312" w:hint="eastAsia"/>
          <w:kern w:val="44"/>
          <w:sz w:val="28"/>
          <w:szCs w:val="28"/>
        </w:rPr>
        <w:t>87.84</w:t>
      </w:r>
      <w:r>
        <w:rPr>
          <w:rFonts w:ascii="仿宋_GB2312" w:eastAsia="仿宋_GB2312" w:hAnsi="仿宋_GB2312" w:cs="仿宋_GB2312" w:hint="eastAsia"/>
          <w:kern w:val="44"/>
          <w:sz w:val="28"/>
          <w:szCs w:val="28"/>
        </w:rPr>
        <w:t>分。参考财政部《关于印发</w:t>
      </w:r>
      <w:r>
        <w:rPr>
          <w:rFonts w:ascii="仿宋_GB2312" w:eastAsia="仿宋_GB2312" w:hAnsi="仿宋_GB2312" w:cs="仿宋_GB2312" w:hint="eastAsia"/>
          <w:kern w:val="44"/>
          <w:sz w:val="28"/>
          <w:szCs w:val="28"/>
        </w:rPr>
        <w:t>&lt;</w:t>
      </w:r>
      <w:r>
        <w:rPr>
          <w:rFonts w:ascii="仿宋_GB2312" w:eastAsia="仿宋_GB2312" w:hAnsi="仿宋_GB2312" w:cs="仿宋_GB2312" w:hint="eastAsia"/>
          <w:kern w:val="44"/>
          <w:sz w:val="28"/>
          <w:szCs w:val="28"/>
        </w:rPr>
        <w:t>项目支出绩效评价管理办法</w:t>
      </w:r>
      <w:r>
        <w:rPr>
          <w:rFonts w:ascii="仿宋_GB2312" w:eastAsia="仿宋_GB2312" w:hAnsi="仿宋_GB2312" w:cs="仿宋_GB2312" w:hint="eastAsia"/>
          <w:kern w:val="44"/>
          <w:sz w:val="28"/>
          <w:szCs w:val="28"/>
        </w:rPr>
        <w:t>&gt;</w:t>
      </w:r>
      <w:r>
        <w:rPr>
          <w:rFonts w:ascii="仿宋_GB2312" w:eastAsia="仿宋_GB2312" w:hAnsi="仿宋_GB2312" w:cs="仿宋_GB2312" w:hint="eastAsia"/>
          <w:kern w:val="44"/>
          <w:sz w:val="28"/>
          <w:szCs w:val="28"/>
        </w:rPr>
        <w:t>的通知》（财预〔</w:t>
      </w:r>
      <w:r>
        <w:rPr>
          <w:rFonts w:ascii="仿宋_GB2312" w:eastAsia="仿宋_GB2312" w:hAnsi="仿宋_GB2312" w:cs="仿宋_GB2312" w:hint="eastAsia"/>
          <w:kern w:val="44"/>
          <w:sz w:val="28"/>
          <w:szCs w:val="28"/>
        </w:rPr>
        <w:t>2020</w:t>
      </w:r>
      <w:r>
        <w:rPr>
          <w:rFonts w:ascii="仿宋_GB2312" w:eastAsia="仿宋_GB2312" w:hAnsi="仿宋_GB2312" w:cs="仿宋_GB2312" w:hint="eastAsia"/>
          <w:kern w:val="44"/>
          <w:sz w:val="28"/>
          <w:szCs w:val="28"/>
        </w:rPr>
        <w:t>〕</w:t>
      </w:r>
      <w:r>
        <w:rPr>
          <w:rFonts w:ascii="仿宋_GB2312" w:eastAsia="仿宋_GB2312" w:hAnsi="仿宋_GB2312" w:cs="仿宋_GB2312" w:hint="eastAsia"/>
          <w:kern w:val="44"/>
          <w:sz w:val="28"/>
          <w:szCs w:val="28"/>
        </w:rPr>
        <w:t>10</w:t>
      </w:r>
      <w:r>
        <w:rPr>
          <w:rFonts w:ascii="仿宋_GB2312" w:eastAsia="仿宋_GB2312" w:hAnsi="仿宋_GB2312" w:cs="仿宋_GB2312" w:hint="eastAsia"/>
          <w:kern w:val="44"/>
          <w:sz w:val="28"/>
          <w:szCs w:val="28"/>
        </w:rPr>
        <w:t>号）文件的评价标准，项目评分</w:t>
      </w:r>
      <w:r>
        <w:rPr>
          <w:rFonts w:ascii="仿宋_GB2312" w:eastAsia="仿宋_GB2312" w:hAnsi="仿宋_GB2312" w:cs="仿宋_GB2312" w:hint="eastAsia"/>
          <w:kern w:val="44"/>
          <w:sz w:val="28"/>
          <w:szCs w:val="28"/>
        </w:rPr>
        <w:t>90</w:t>
      </w:r>
      <w:r>
        <w:rPr>
          <w:rFonts w:ascii="仿宋_GB2312" w:eastAsia="仿宋_GB2312" w:hAnsi="仿宋_GB2312" w:cs="仿宋_GB2312" w:hint="eastAsia"/>
          <w:kern w:val="44"/>
          <w:sz w:val="28"/>
          <w:szCs w:val="28"/>
        </w:rPr>
        <w:t>（含）</w:t>
      </w:r>
      <w:r>
        <w:rPr>
          <w:rFonts w:ascii="仿宋_GB2312" w:eastAsia="仿宋_GB2312" w:hAnsi="仿宋_GB2312" w:cs="仿宋_GB2312" w:hint="eastAsia"/>
          <w:kern w:val="44"/>
          <w:sz w:val="28"/>
          <w:szCs w:val="28"/>
        </w:rPr>
        <w:t>-100</w:t>
      </w:r>
      <w:r>
        <w:rPr>
          <w:rFonts w:ascii="仿宋_GB2312" w:eastAsia="仿宋_GB2312" w:hAnsi="仿宋_GB2312" w:cs="仿宋_GB2312" w:hint="eastAsia"/>
          <w:kern w:val="44"/>
          <w:sz w:val="28"/>
          <w:szCs w:val="28"/>
        </w:rPr>
        <w:t>分为优、</w:t>
      </w:r>
      <w:r>
        <w:rPr>
          <w:rFonts w:ascii="仿宋_GB2312" w:eastAsia="仿宋_GB2312" w:hAnsi="仿宋_GB2312" w:cs="仿宋_GB2312" w:hint="eastAsia"/>
          <w:kern w:val="44"/>
          <w:sz w:val="28"/>
          <w:szCs w:val="28"/>
        </w:rPr>
        <w:t>80</w:t>
      </w:r>
      <w:r>
        <w:rPr>
          <w:rFonts w:ascii="仿宋_GB2312" w:eastAsia="仿宋_GB2312" w:hAnsi="仿宋_GB2312" w:cs="仿宋_GB2312" w:hint="eastAsia"/>
          <w:kern w:val="44"/>
          <w:sz w:val="28"/>
          <w:szCs w:val="28"/>
        </w:rPr>
        <w:t>（含）</w:t>
      </w:r>
      <w:r>
        <w:rPr>
          <w:rFonts w:ascii="仿宋_GB2312" w:eastAsia="仿宋_GB2312" w:hAnsi="仿宋_GB2312" w:cs="仿宋_GB2312" w:hint="eastAsia"/>
          <w:kern w:val="44"/>
          <w:sz w:val="28"/>
          <w:szCs w:val="28"/>
        </w:rPr>
        <w:t>-90</w:t>
      </w:r>
      <w:r>
        <w:rPr>
          <w:rFonts w:ascii="仿宋_GB2312" w:eastAsia="仿宋_GB2312" w:hAnsi="仿宋_GB2312" w:cs="仿宋_GB2312" w:hint="eastAsia"/>
          <w:kern w:val="44"/>
          <w:sz w:val="28"/>
          <w:szCs w:val="28"/>
        </w:rPr>
        <w:t>分为良、</w:t>
      </w:r>
      <w:r>
        <w:rPr>
          <w:rFonts w:ascii="仿宋_GB2312" w:eastAsia="仿宋_GB2312" w:hAnsi="仿宋_GB2312" w:cs="仿宋_GB2312" w:hint="eastAsia"/>
          <w:kern w:val="44"/>
          <w:sz w:val="28"/>
          <w:szCs w:val="28"/>
        </w:rPr>
        <w:t>60</w:t>
      </w:r>
      <w:r>
        <w:rPr>
          <w:rFonts w:ascii="仿宋_GB2312" w:eastAsia="仿宋_GB2312" w:hAnsi="仿宋_GB2312" w:cs="仿宋_GB2312" w:hint="eastAsia"/>
          <w:kern w:val="44"/>
          <w:sz w:val="28"/>
          <w:szCs w:val="28"/>
        </w:rPr>
        <w:t>（含）</w:t>
      </w:r>
      <w:r>
        <w:rPr>
          <w:rFonts w:ascii="仿宋_GB2312" w:eastAsia="仿宋_GB2312" w:hAnsi="仿宋_GB2312" w:cs="仿宋_GB2312" w:hint="eastAsia"/>
          <w:kern w:val="44"/>
          <w:sz w:val="28"/>
          <w:szCs w:val="28"/>
        </w:rPr>
        <w:t>-80</w:t>
      </w:r>
      <w:r>
        <w:rPr>
          <w:rFonts w:ascii="仿宋_GB2312" w:eastAsia="仿宋_GB2312" w:hAnsi="仿宋_GB2312" w:cs="仿宋_GB2312" w:hint="eastAsia"/>
          <w:kern w:val="44"/>
          <w:sz w:val="28"/>
          <w:szCs w:val="28"/>
        </w:rPr>
        <w:t>分为中、</w:t>
      </w:r>
      <w:r>
        <w:rPr>
          <w:rFonts w:ascii="仿宋_GB2312" w:eastAsia="仿宋_GB2312" w:hAnsi="仿宋_GB2312" w:cs="仿宋_GB2312" w:hint="eastAsia"/>
          <w:kern w:val="44"/>
          <w:sz w:val="28"/>
          <w:szCs w:val="28"/>
        </w:rPr>
        <w:t>60</w:t>
      </w:r>
      <w:r>
        <w:rPr>
          <w:rFonts w:ascii="仿宋_GB2312" w:eastAsia="仿宋_GB2312" w:hAnsi="仿宋_GB2312" w:cs="仿宋_GB2312" w:hint="eastAsia"/>
          <w:kern w:val="44"/>
          <w:sz w:val="28"/>
          <w:szCs w:val="28"/>
        </w:rPr>
        <w:t>分以下为差，该项目综合绩效评价级别为</w:t>
      </w:r>
      <w:r>
        <w:rPr>
          <w:rFonts w:ascii="仿宋_GB2312" w:eastAsia="仿宋_GB2312" w:hAnsi="仿宋_GB2312" w:cs="仿宋_GB2312" w:hint="eastAsia"/>
          <w:kern w:val="44"/>
          <w:sz w:val="28"/>
          <w:szCs w:val="28"/>
        </w:rPr>
        <w:t xml:space="preserve"> </w:t>
      </w:r>
      <w:r>
        <w:rPr>
          <w:rFonts w:ascii="仿宋_GB2312" w:eastAsia="仿宋_GB2312" w:hAnsi="仿宋_GB2312" w:cs="仿宋_GB2312" w:hint="eastAsia"/>
          <w:kern w:val="44"/>
          <w:sz w:val="28"/>
          <w:szCs w:val="28"/>
        </w:rPr>
        <w:t>“良”。本项目得分情况汇总表如下：</w:t>
      </w:r>
    </w:p>
    <w:tbl>
      <w:tblPr>
        <w:tblW w:w="8095" w:type="dxa"/>
        <w:tblInd w:w="93" w:type="dxa"/>
        <w:tblLook w:val="04A0"/>
      </w:tblPr>
      <w:tblGrid>
        <w:gridCol w:w="3134"/>
        <w:gridCol w:w="1701"/>
        <w:gridCol w:w="1559"/>
        <w:gridCol w:w="1701"/>
      </w:tblGrid>
      <w:tr w:rsidR="00901C1D">
        <w:trPr>
          <w:trHeight w:val="348"/>
        </w:trPr>
        <w:tc>
          <w:tcPr>
            <w:tcW w:w="3134" w:type="dxa"/>
            <w:tcBorders>
              <w:top w:val="single" w:sz="12" w:space="0" w:color="auto"/>
              <w:left w:val="nil"/>
              <w:bottom w:val="single" w:sz="8" w:space="0" w:color="auto"/>
              <w:right w:val="dotted" w:sz="4"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lastRenderedPageBreak/>
              <w:t>一级指标</w:t>
            </w:r>
          </w:p>
        </w:tc>
        <w:tc>
          <w:tcPr>
            <w:tcW w:w="1701" w:type="dxa"/>
            <w:tcBorders>
              <w:top w:val="single" w:sz="12" w:space="0" w:color="auto"/>
              <w:left w:val="nil"/>
              <w:bottom w:val="single" w:sz="8" w:space="0" w:color="auto"/>
              <w:right w:val="dotted" w:sz="4"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分值</w:t>
            </w:r>
          </w:p>
        </w:tc>
        <w:tc>
          <w:tcPr>
            <w:tcW w:w="1559" w:type="dxa"/>
            <w:tcBorders>
              <w:top w:val="single" w:sz="12" w:space="0" w:color="auto"/>
              <w:left w:val="nil"/>
              <w:bottom w:val="single" w:sz="8" w:space="0" w:color="auto"/>
              <w:right w:val="dotted" w:sz="4"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w:t>
            </w:r>
          </w:p>
        </w:tc>
        <w:tc>
          <w:tcPr>
            <w:tcW w:w="1701" w:type="dxa"/>
            <w:tcBorders>
              <w:top w:val="single" w:sz="12" w:space="0" w:color="auto"/>
              <w:left w:val="nil"/>
              <w:bottom w:val="single" w:sz="8" w:space="0" w:color="auto"/>
              <w:right w:val="nil"/>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得分率</w:t>
            </w:r>
          </w:p>
        </w:tc>
      </w:tr>
      <w:tr w:rsidR="00901C1D">
        <w:trPr>
          <w:trHeight w:val="285"/>
        </w:trPr>
        <w:tc>
          <w:tcPr>
            <w:tcW w:w="3134" w:type="dxa"/>
            <w:tcBorders>
              <w:top w:val="nil"/>
              <w:left w:val="nil"/>
              <w:bottom w:val="dotted" w:sz="4" w:space="0" w:color="auto"/>
              <w:right w:val="dotted" w:sz="4" w:space="0" w:color="auto"/>
            </w:tcBorders>
            <w:shd w:val="clear" w:color="auto" w:fill="auto"/>
            <w:noWrap/>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决策（</w:t>
            </w:r>
            <w:r>
              <w:rPr>
                <w:rFonts w:ascii="仿宋" w:eastAsia="仿宋" w:hAnsi="仿宋" w:cs="宋体" w:hint="eastAsia"/>
                <w:color w:val="000000"/>
                <w:kern w:val="0"/>
                <w:sz w:val="24"/>
                <w:szCs w:val="24"/>
              </w:rPr>
              <w:t>10%</w:t>
            </w:r>
            <w:r>
              <w:rPr>
                <w:rFonts w:ascii="仿宋" w:eastAsia="仿宋" w:hAnsi="仿宋" w:cs="宋体" w:hint="eastAsia"/>
                <w:color w:val="000000"/>
                <w:kern w:val="0"/>
                <w:sz w:val="24"/>
                <w:szCs w:val="24"/>
              </w:rPr>
              <w:t>）</w:t>
            </w:r>
          </w:p>
        </w:tc>
        <w:tc>
          <w:tcPr>
            <w:tcW w:w="1701" w:type="dxa"/>
            <w:tcBorders>
              <w:top w:val="nil"/>
              <w:left w:val="nil"/>
              <w:bottom w:val="dotted" w:sz="4" w:space="0" w:color="auto"/>
              <w:right w:val="dotted" w:sz="4" w:space="0" w:color="auto"/>
            </w:tcBorders>
            <w:shd w:val="clear" w:color="auto" w:fill="auto"/>
            <w:noWrap/>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w:t>
            </w:r>
          </w:p>
        </w:tc>
        <w:tc>
          <w:tcPr>
            <w:tcW w:w="1559" w:type="dxa"/>
            <w:tcBorders>
              <w:top w:val="nil"/>
              <w:left w:val="nil"/>
              <w:bottom w:val="dotted" w:sz="4" w:space="0" w:color="auto"/>
              <w:right w:val="dotted" w:sz="4" w:space="0" w:color="auto"/>
            </w:tcBorders>
            <w:shd w:val="clear" w:color="auto" w:fill="auto"/>
            <w:noWrap/>
            <w:vAlign w:val="center"/>
          </w:tcPr>
          <w:p w:rsidR="00901C1D" w:rsidRDefault="00965F36">
            <w:pPr>
              <w:widowControl/>
              <w:textAlignment w:val="center"/>
              <w:rPr>
                <w:rFonts w:ascii="仿宋" w:eastAsia="仿宋" w:hAnsi="仿宋" w:cs="仿宋"/>
                <w:color w:val="000000"/>
                <w:kern w:val="0"/>
                <w:sz w:val="24"/>
                <w:szCs w:val="24"/>
              </w:rPr>
            </w:pPr>
            <w:r>
              <w:rPr>
                <w:rFonts w:ascii="仿宋_GB2312" w:eastAsia="仿宋_GB2312" w:hAnsi="宋体" w:cs="仿宋_GB2312" w:hint="eastAsia"/>
                <w:color w:val="000000"/>
                <w:kern w:val="0"/>
                <w:sz w:val="24"/>
                <w:szCs w:val="24"/>
              </w:rPr>
              <w:t xml:space="preserve">8.80 </w:t>
            </w:r>
          </w:p>
        </w:tc>
        <w:tc>
          <w:tcPr>
            <w:tcW w:w="1701" w:type="dxa"/>
            <w:tcBorders>
              <w:top w:val="nil"/>
              <w:left w:val="nil"/>
              <w:bottom w:val="dotted" w:sz="4" w:space="0" w:color="auto"/>
              <w:right w:val="nil"/>
            </w:tcBorders>
            <w:shd w:val="clear" w:color="auto" w:fill="auto"/>
            <w:noWrap/>
            <w:vAlign w:val="center"/>
          </w:tcPr>
          <w:p w:rsidR="00901C1D" w:rsidRDefault="00965F36">
            <w:pPr>
              <w:widowControl/>
              <w:jc w:val="center"/>
              <w:textAlignment w:val="center"/>
              <w:rPr>
                <w:rFonts w:ascii="仿宋" w:eastAsia="仿宋" w:hAnsi="仿宋" w:cs="仿宋"/>
                <w:color w:val="000000"/>
                <w:kern w:val="0"/>
                <w:sz w:val="24"/>
                <w:szCs w:val="24"/>
              </w:rPr>
            </w:pPr>
            <w:r>
              <w:rPr>
                <w:rFonts w:ascii="仿宋_GB2312" w:eastAsia="仿宋_GB2312" w:hAnsi="宋体" w:cs="仿宋_GB2312" w:hint="eastAsia"/>
                <w:color w:val="000000"/>
                <w:kern w:val="0"/>
                <w:sz w:val="24"/>
                <w:szCs w:val="24"/>
              </w:rPr>
              <w:t>88.00%</w:t>
            </w:r>
          </w:p>
        </w:tc>
      </w:tr>
      <w:tr w:rsidR="00901C1D">
        <w:trPr>
          <w:trHeight w:val="285"/>
        </w:trPr>
        <w:tc>
          <w:tcPr>
            <w:tcW w:w="3134" w:type="dxa"/>
            <w:tcBorders>
              <w:top w:val="nil"/>
              <w:left w:val="nil"/>
              <w:bottom w:val="dotted" w:sz="4" w:space="0" w:color="auto"/>
              <w:right w:val="dotted" w:sz="4" w:space="0" w:color="auto"/>
            </w:tcBorders>
            <w:shd w:val="clear" w:color="auto" w:fill="auto"/>
            <w:noWrap/>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过程（</w:t>
            </w:r>
            <w:r>
              <w:rPr>
                <w:rFonts w:ascii="仿宋" w:eastAsia="仿宋" w:hAnsi="仿宋" w:cs="宋体" w:hint="eastAsia"/>
                <w:color w:val="000000"/>
                <w:kern w:val="0"/>
                <w:sz w:val="24"/>
                <w:szCs w:val="24"/>
              </w:rPr>
              <w:t>20%</w:t>
            </w:r>
            <w:r>
              <w:rPr>
                <w:rFonts w:ascii="仿宋" w:eastAsia="仿宋" w:hAnsi="仿宋" w:cs="宋体" w:hint="eastAsia"/>
                <w:color w:val="000000"/>
                <w:kern w:val="0"/>
                <w:sz w:val="24"/>
                <w:szCs w:val="24"/>
              </w:rPr>
              <w:t>）</w:t>
            </w:r>
          </w:p>
        </w:tc>
        <w:tc>
          <w:tcPr>
            <w:tcW w:w="1701" w:type="dxa"/>
            <w:tcBorders>
              <w:top w:val="nil"/>
              <w:left w:val="nil"/>
              <w:bottom w:val="dotted" w:sz="4" w:space="0" w:color="auto"/>
              <w:right w:val="dotted" w:sz="4" w:space="0" w:color="auto"/>
            </w:tcBorders>
            <w:shd w:val="clear" w:color="auto" w:fill="auto"/>
            <w:noWrap/>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20</w:t>
            </w:r>
          </w:p>
        </w:tc>
        <w:tc>
          <w:tcPr>
            <w:tcW w:w="1559" w:type="dxa"/>
            <w:tcBorders>
              <w:top w:val="nil"/>
              <w:left w:val="nil"/>
              <w:bottom w:val="dotted" w:sz="4" w:space="0" w:color="auto"/>
              <w:right w:val="dotted" w:sz="4" w:space="0" w:color="auto"/>
            </w:tcBorders>
            <w:shd w:val="clear" w:color="auto" w:fill="auto"/>
            <w:noWrap/>
            <w:vAlign w:val="center"/>
          </w:tcPr>
          <w:p w:rsidR="00901C1D" w:rsidRDefault="00965F36">
            <w:pPr>
              <w:widowControl/>
              <w:textAlignment w:val="center"/>
              <w:rPr>
                <w:rFonts w:ascii="仿宋" w:eastAsia="仿宋" w:hAnsi="仿宋" w:cs="仿宋"/>
                <w:color w:val="000000"/>
                <w:kern w:val="0"/>
                <w:sz w:val="24"/>
                <w:szCs w:val="24"/>
              </w:rPr>
            </w:pPr>
            <w:r>
              <w:rPr>
                <w:rFonts w:ascii="仿宋_GB2312" w:eastAsia="仿宋_GB2312" w:hAnsi="宋体" w:cs="仿宋_GB2312" w:hint="eastAsia"/>
                <w:color w:val="000000"/>
                <w:kern w:val="0"/>
                <w:sz w:val="24"/>
                <w:szCs w:val="24"/>
              </w:rPr>
              <w:t xml:space="preserve">17.32 </w:t>
            </w:r>
          </w:p>
        </w:tc>
        <w:tc>
          <w:tcPr>
            <w:tcW w:w="1701" w:type="dxa"/>
            <w:tcBorders>
              <w:top w:val="nil"/>
              <w:left w:val="nil"/>
              <w:bottom w:val="dotted" w:sz="4" w:space="0" w:color="auto"/>
              <w:right w:val="nil"/>
            </w:tcBorders>
            <w:shd w:val="clear" w:color="auto" w:fill="auto"/>
            <w:noWrap/>
            <w:vAlign w:val="center"/>
          </w:tcPr>
          <w:p w:rsidR="00901C1D" w:rsidRDefault="00965F36">
            <w:pPr>
              <w:widowControl/>
              <w:jc w:val="center"/>
              <w:textAlignment w:val="center"/>
              <w:rPr>
                <w:rFonts w:ascii="仿宋" w:eastAsia="仿宋" w:hAnsi="仿宋" w:cs="仿宋"/>
                <w:color w:val="000000"/>
                <w:kern w:val="0"/>
                <w:sz w:val="24"/>
                <w:szCs w:val="24"/>
              </w:rPr>
            </w:pPr>
            <w:r>
              <w:rPr>
                <w:rFonts w:ascii="仿宋_GB2312" w:eastAsia="仿宋_GB2312" w:hAnsi="宋体" w:cs="仿宋_GB2312" w:hint="eastAsia"/>
                <w:color w:val="000000"/>
                <w:kern w:val="0"/>
                <w:sz w:val="24"/>
                <w:szCs w:val="24"/>
              </w:rPr>
              <w:t>86.60%</w:t>
            </w:r>
          </w:p>
        </w:tc>
      </w:tr>
      <w:tr w:rsidR="00901C1D">
        <w:trPr>
          <w:trHeight w:val="285"/>
        </w:trPr>
        <w:tc>
          <w:tcPr>
            <w:tcW w:w="3134" w:type="dxa"/>
            <w:tcBorders>
              <w:top w:val="nil"/>
              <w:left w:val="nil"/>
              <w:bottom w:val="dotted" w:sz="4" w:space="0" w:color="auto"/>
              <w:right w:val="dotted" w:sz="4" w:space="0" w:color="auto"/>
            </w:tcBorders>
            <w:shd w:val="clear" w:color="auto" w:fill="auto"/>
            <w:noWrap/>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产出（</w:t>
            </w:r>
            <w:r>
              <w:rPr>
                <w:rFonts w:ascii="仿宋" w:eastAsia="仿宋" w:hAnsi="仿宋" w:cs="宋体" w:hint="eastAsia"/>
                <w:color w:val="000000"/>
                <w:kern w:val="0"/>
                <w:sz w:val="24"/>
                <w:szCs w:val="24"/>
              </w:rPr>
              <w:t>40%</w:t>
            </w:r>
            <w:r>
              <w:rPr>
                <w:rFonts w:ascii="仿宋" w:eastAsia="仿宋" w:hAnsi="仿宋" w:cs="宋体" w:hint="eastAsia"/>
                <w:color w:val="000000"/>
                <w:kern w:val="0"/>
                <w:sz w:val="24"/>
                <w:szCs w:val="24"/>
              </w:rPr>
              <w:t>）</w:t>
            </w:r>
          </w:p>
        </w:tc>
        <w:tc>
          <w:tcPr>
            <w:tcW w:w="1701" w:type="dxa"/>
            <w:tcBorders>
              <w:top w:val="nil"/>
              <w:left w:val="nil"/>
              <w:bottom w:val="dotted" w:sz="4" w:space="0" w:color="auto"/>
              <w:right w:val="dotted" w:sz="4" w:space="0" w:color="auto"/>
            </w:tcBorders>
            <w:shd w:val="clear" w:color="auto" w:fill="auto"/>
            <w:noWrap/>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40</w:t>
            </w:r>
          </w:p>
        </w:tc>
        <w:tc>
          <w:tcPr>
            <w:tcW w:w="1559" w:type="dxa"/>
            <w:tcBorders>
              <w:top w:val="nil"/>
              <w:left w:val="nil"/>
              <w:bottom w:val="dotted" w:sz="4" w:space="0" w:color="auto"/>
              <w:right w:val="dotted" w:sz="4" w:space="0" w:color="auto"/>
            </w:tcBorders>
            <w:shd w:val="clear" w:color="auto" w:fill="auto"/>
            <w:noWrap/>
            <w:vAlign w:val="center"/>
          </w:tcPr>
          <w:p w:rsidR="00901C1D" w:rsidRDefault="00965F36">
            <w:pPr>
              <w:widowControl/>
              <w:textAlignment w:val="center"/>
              <w:rPr>
                <w:rFonts w:ascii="仿宋" w:eastAsia="仿宋" w:hAnsi="仿宋" w:cs="仿宋"/>
                <w:color w:val="000000"/>
                <w:kern w:val="0"/>
                <w:sz w:val="24"/>
                <w:szCs w:val="24"/>
              </w:rPr>
            </w:pPr>
            <w:r>
              <w:rPr>
                <w:rFonts w:ascii="仿宋_GB2312" w:eastAsia="仿宋_GB2312" w:hAnsi="宋体" w:cs="仿宋_GB2312" w:hint="eastAsia"/>
                <w:color w:val="000000"/>
                <w:kern w:val="0"/>
                <w:sz w:val="24"/>
                <w:szCs w:val="24"/>
              </w:rPr>
              <w:t xml:space="preserve">36.92 </w:t>
            </w:r>
          </w:p>
        </w:tc>
        <w:tc>
          <w:tcPr>
            <w:tcW w:w="1701" w:type="dxa"/>
            <w:tcBorders>
              <w:top w:val="nil"/>
              <w:left w:val="nil"/>
              <w:bottom w:val="dotted" w:sz="4" w:space="0" w:color="auto"/>
              <w:right w:val="nil"/>
            </w:tcBorders>
            <w:shd w:val="clear" w:color="auto" w:fill="auto"/>
            <w:noWrap/>
            <w:vAlign w:val="center"/>
          </w:tcPr>
          <w:p w:rsidR="00901C1D" w:rsidRDefault="00965F36">
            <w:pPr>
              <w:widowControl/>
              <w:jc w:val="center"/>
              <w:textAlignment w:val="center"/>
              <w:rPr>
                <w:rFonts w:ascii="仿宋" w:eastAsia="仿宋" w:hAnsi="仿宋" w:cs="仿宋"/>
                <w:color w:val="000000"/>
                <w:kern w:val="0"/>
                <w:sz w:val="24"/>
                <w:szCs w:val="24"/>
              </w:rPr>
            </w:pPr>
            <w:r>
              <w:rPr>
                <w:rFonts w:ascii="仿宋_GB2312" w:eastAsia="仿宋_GB2312" w:hAnsi="宋体" w:cs="仿宋_GB2312" w:hint="eastAsia"/>
                <w:color w:val="000000"/>
                <w:kern w:val="0"/>
                <w:sz w:val="24"/>
                <w:szCs w:val="24"/>
              </w:rPr>
              <w:t>92.30%</w:t>
            </w:r>
          </w:p>
        </w:tc>
      </w:tr>
      <w:tr w:rsidR="00901C1D">
        <w:trPr>
          <w:trHeight w:val="285"/>
        </w:trPr>
        <w:tc>
          <w:tcPr>
            <w:tcW w:w="3134" w:type="dxa"/>
            <w:tcBorders>
              <w:top w:val="nil"/>
              <w:left w:val="nil"/>
              <w:bottom w:val="dotted" w:sz="4" w:space="0" w:color="auto"/>
              <w:right w:val="dotted" w:sz="4" w:space="0" w:color="auto"/>
            </w:tcBorders>
            <w:shd w:val="clear" w:color="auto" w:fill="auto"/>
            <w:noWrap/>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效益（</w:t>
            </w:r>
            <w:r>
              <w:rPr>
                <w:rFonts w:ascii="仿宋" w:eastAsia="仿宋" w:hAnsi="仿宋" w:cs="宋体" w:hint="eastAsia"/>
                <w:color w:val="000000"/>
                <w:kern w:val="0"/>
                <w:sz w:val="24"/>
                <w:szCs w:val="24"/>
              </w:rPr>
              <w:t>30%</w:t>
            </w:r>
            <w:r>
              <w:rPr>
                <w:rFonts w:ascii="仿宋" w:eastAsia="仿宋" w:hAnsi="仿宋" w:cs="宋体" w:hint="eastAsia"/>
                <w:color w:val="000000"/>
                <w:kern w:val="0"/>
                <w:sz w:val="24"/>
                <w:szCs w:val="24"/>
              </w:rPr>
              <w:t>）</w:t>
            </w:r>
          </w:p>
        </w:tc>
        <w:tc>
          <w:tcPr>
            <w:tcW w:w="1701" w:type="dxa"/>
            <w:tcBorders>
              <w:top w:val="nil"/>
              <w:left w:val="nil"/>
              <w:bottom w:val="dotted" w:sz="4" w:space="0" w:color="auto"/>
              <w:right w:val="dotted" w:sz="4" w:space="0" w:color="auto"/>
            </w:tcBorders>
            <w:shd w:val="clear" w:color="auto" w:fill="auto"/>
            <w:noWrap/>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30</w:t>
            </w:r>
          </w:p>
        </w:tc>
        <w:tc>
          <w:tcPr>
            <w:tcW w:w="1559" w:type="dxa"/>
            <w:tcBorders>
              <w:top w:val="nil"/>
              <w:left w:val="nil"/>
              <w:bottom w:val="dotted" w:sz="4" w:space="0" w:color="auto"/>
              <w:right w:val="dotted" w:sz="4" w:space="0" w:color="auto"/>
            </w:tcBorders>
            <w:shd w:val="clear" w:color="auto" w:fill="auto"/>
            <w:noWrap/>
            <w:vAlign w:val="center"/>
          </w:tcPr>
          <w:p w:rsidR="00901C1D" w:rsidRDefault="00965F36">
            <w:pPr>
              <w:widowControl/>
              <w:textAlignment w:val="center"/>
              <w:rPr>
                <w:rFonts w:ascii="仿宋" w:eastAsia="仿宋" w:hAnsi="仿宋" w:cs="仿宋"/>
                <w:color w:val="000000"/>
                <w:kern w:val="0"/>
                <w:sz w:val="24"/>
                <w:szCs w:val="24"/>
              </w:rPr>
            </w:pPr>
            <w:r>
              <w:rPr>
                <w:rFonts w:ascii="仿宋_GB2312" w:eastAsia="仿宋_GB2312" w:hAnsi="宋体" w:cs="仿宋_GB2312" w:hint="eastAsia"/>
                <w:color w:val="000000"/>
                <w:kern w:val="0"/>
                <w:sz w:val="24"/>
                <w:szCs w:val="24"/>
              </w:rPr>
              <w:t xml:space="preserve">24.80 </w:t>
            </w:r>
          </w:p>
        </w:tc>
        <w:tc>
          <w:tcPr>
            <w:tcW w:w="1701" w:type="dxa"/>
            <w:tcBorders>
              <w:top w:val="nil"/>
              <w:left w:val="nil"/>
              <w:bottom w:val="dotted" w:sz="4" w:space="0" w:color="auto"/>
              <w:right w:val="nil"/>
            </w:tcBorders>
            <w:shd w:val="clear" w:color="auto" w:fill="auto"/>
            <w:noWrap/>
            <w:vAlign w:val="center"/>
          </w:tcPr>
          <w:p w:rsidR="00901C1D" w:rsidRDefault="00965F36">
            <w:pPr>
              <w:widowControl/>
              <w:jc w:val="center"/>
              <w:textAlignment w:val="center"/>
              <w:rPr>
                <w:rFonts w:ascii="仿宋" w:eastAsia="仿宋" w:hAnsi="仿宋" w:cs="仿宋"/>
                <w:color w:val="000000"/>
                <w:kern w:val="0"/>
                <w:sz w:val="24"/>
                <w:szCs w:val="24"/>
              </w:rPr>
            </w:pPr>
            <w:r>
              <w:rPr>
                <w:rFonts w:ascii="仿宋_GB2312" w:eastAsia="仿宋_GB2312" w:hAnsi="宋体" w:cs="仿宋_GB2312" w:hint="eastAsia"/>
                <w:color w:val="000000"/>
                <w:kern w:val="0"/>
                <w:sz w:val="24"/>
                <w:szCs w:val="24"/>
              </w:rPr>
              <w:t>82.67%</w:t>
            </w:r>
          </w:p>
        </w:tc>
      </w:tr>
      <w:tr w:rsidR="00901C1D">
        <w:trPr>
          <w:trHeight w:val="300"/>
        </w:trPr>
        <w:tc>
          <w:tcPr>
            <w:tcW w:w="3134" w:type="dxa"/>
            <w:tcBorders>
              <w:top w:val="nil"/>
              <w:left w:val="nil"/>
              <w:bottom w:val="single" w:sz="12" w:space="0" w:color="auto"/>
              <w:right w:val="dotted" w:sz="4" w:space="0" w:color="auto"/>
            </w:tcBorders>
            <w:shd w:val="clear" w:color="auto" w:fill="auto"/>
            <w:noWrap/>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合</w:t>
            </w:r>
            <w:r>
              <w:rPr>
                <w:rFonts w:ascii="仿宋" w:eastAsia="仿宋" w:hAnsi="仿宋" w:cs="宋体" w:hint="eastAsia"/>
                <w:b/>
                <w:color w:val="000000"/>
                <w:kern w:val="0"/>
                <w:sz w:val="24"/>
                <w:szCs w:val="24"/>
              </w:rPr>
              <w:t xml:space="preserve">  </w:t>
            </w:r>
            <w:r>
              <w:rPr>
                <w:rFonts w:ascii="仿宋" w:eastAsia="仿宋" w:hAnsi="仿宋" w:cs="宋体" w:hint="eastAsia"/>
                <w:b/>
                <w:color w:val="000000"/>
                <w:kern w:val="0"/>
                <w:sz w:val="24"/>
                <w:szCs w:val="24"/>
              </w:rPr>
              <w:t>计</w:t>
            </w:r>
          </w:p>
        </w:tc>
        <w:tc>
          <w:tcPr>
            <w:tcW w:w="1701" w:type="dxa"/>
            <w:tcBorders>
              <w:top w:val="nil"/>
              <w:left w:val="nil"/>
              <w:bottom w:val="single" w:sz="12" w:space="0" w:color="auto"/>
              <w:right w:val="dotted" w:sz="4" w:space="0" w:color="auto"/>
            </w:tcBorders>
            <w:shd w:val="clear" w:color="auto" w:fill="auto"/>
            <w:noWrap/>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100</w:t>
            </w:r>
          </w:p>
        </w:tc>
        <w:tc>
          <w:tcPr>
            <w:tcW w:w="1559" w:type="dxa"/>
            <w:tcBorders>
              <w:top w:val="nil"/>
              <w:left w:val="nil"/>
              <w:bottom w:val="single" w:sz="12" w:space="0" w:color="auto"/>
              <w:right w:val="dotted" w:sz="4" w:space="0" w:color="auto"/>
            </w:tcBorders>
            <w:shd w:val="clear" w:color="auto" w:fill="auto"/>
            <w:noWrap/>
            <w:vAlign w:val="center"/>
          </w:tcPr>
          <w:p w:rsidR="00901C1D" w:rsidRDefault="00965F36">
            <w:pPr>
              <w:widowControl/>
              <w:textAlignment w:val="center"/>
              <w:rPr>
                <w:rFonts w:ascii="仿宋" w:eastAsia="仿宋" w:hAnsi="仿宋" w:cs="仿宋"/>
                <w:b/>
                <w:color w:val="000000"/>
                <w:kern w:val="0"/>
                <w:sz w:val="24"/>
                <w:szCs w:val="24"/>
              </w:rPr>
            </w:pPr>
            <w:r>
              <w:rPr>
                <w:rFonts w:ascii="仿宋_GB2312" w:eastAsia="仿宋_GB2312" w:hAnsi="宋体" w:cs="仿宋_GB2312" w:hint="eastAsia"/>
                <w:b/>
                <w:bCs/>
                <w:color w:val="000000"/>
                <w:kern w:val="0"/>
                <w:sz w:val="24"/>
                <w:szCs w:val="24"/>
              </w:rPr>
              <w:t xml:space="preserve">87.84 </w:t>
            </w:r>
          </w:p>
        </w:tc>
        <w:tc>
          <w:tcPr>
            <w:tcW w:w="1701" w:type="dxa"/>
            <w:tcBorders>
              <w:top w:val="nil"/>
              <w:left w:val="nil"/>
              <w:bottom w:val="single" w:sz="12" w:space="0" w:color="auto"/>
              <w:right w:val="nil"/>
            </w:tcBorders>
            <w:shd w:val="clear" w:color="auto" w:fill="auto"/>
            <w:noWrap/>
            <w:vAlign w:val="center"/>
          </w:tcPr>
          <w:p w:rsidR="00901C1D" w:rsidRDefault="00965F36">
            <w:pPr>
              <w:widowControl/>
              <w:jc w:val="center"/>
              <w:textAlignment w:val="center"/>
              <w:rPr>
                <w:rFonts w:ascii="仿宋" w:eastAsia="仿宋" w:hAnsi="仿宋" w:cs="仿宋"/>
                <w:b/>
                <w:color w:val="000000"/>
                <w:kern w:val="0"/>
                <w:sz w:val="24"/>
                <w:szCs w:val="24"/>
              </w:rPr>
            </w:pPr>
            <w:r>
              <w:rPr>
                <w:rFonts w:ascii="仿宋_GB2312" w:eastAsia="仿宋_GB2312" w:hAnsi="宋体" w:cs="仿宋_GB2312" w:hint="eastAsia"/>
                <w:b/>
                <w:bCs/>
                <w:color w:val="000000"/>
                <w:kern w:val="0"/>
                <w:sz w:val="24"/>
                <w:szCs w:val="24"/>
              </w:rPr>
              <w:t>87.84%</w:t>
            </w:r>
          </w:p>
        </w:tc>
      </w:tr>
    </w:tbl>
    <w:p w:rsidR="00901C1D" w:rsidRDefault="00901C1D"/>
    <w:p w:rsidR="00901C1D" w:rsidRDefault="00965F36">
      <w:pPr>
        <w:pStyle w:val="1"/>
        <w:keepNext w:val="0"/>
        <w:keepLines w:val="0"/>
        <w:widowControl/>
        <w:numPr>
          <w:ilvl w:val="0"/>
          <w:numId w:val="1"/>
        </w:numPr>
        <w:spacing w:before="0" w:after="0" w:line="520" w:lineRule="atLeast"/>
        <w:ind w:firstLine="709"/>
        <w:contextualSpacing/>
        <w:jc w:val="left"/>
        <w:rPr>
          <w:rFonts w:ascii="黑体" w:eastAsia="黑体" w:hAnsi="黑体" w:cs="黑体"/>
          <w:b w:val="0"/>
          <w:kern w:val="0"/>
          <w:sz w:val="32"/>
          <w:szCs w:val="32"/>
          <w:lang w:bidi="en-US"/>
        </w:rPr>
      </w:pPr>
      <w:r>
        <w:rPr>
          <w:rFonts w:ascii="黑体" w:eastAsia="黑体" w:hAnsi="黑体" w:cs="黑体" w:hint="eastAsia"/>
          <w:b w:val="0"/>
          <w:kern w:val="0"/>
          <w:sz w:val="32"/>
          <w:szCs w:val="32"/>
          <w:lang w:bidi="en-US"/>
        </w:rPr>
        <w:t>绩效评价指标分析</w:t>
      </w:r>
      <w:bookmarkEnd w:id="62"/>
      <w:bookmarkEnd w:id="63"/>
      <w:bookmarkEnd w:id="64"/>
      <w:bookmarkEnd w:id="65"/>
      <w:bookmarkEnd w:id="66"/>
    </w:p>
    <w:p w:rsidR="00901C1D" w:rsidRDefault="00965F36">
      <w:pPr>
        <w:numPr>
          <w:ilvl w:val="0"/>
          <w:numId w:val="5"/>
        </w:numPr>
        <w:spacing w:line="560" w:lineRule="exact"/>
        <w:ind w:firstLine="567"/>
        <w:outlineLvl w:val="1"/>
        <w:rPr>
          <w:rFonts w:ascii="楷体_GB2312" w:eastAsia="楷体_GB2312" w:hAnsi="楷体_GB2312" w:cs="楷体_GB2312"/>
          <w:bCs/>
          <w:sz w:val="32"/>
          <w:szCs w:val="32"/>
        </w:rPr>
      </w:pPr>
      <w:bookmarkStart w:id="68" w:name="_Toc30167"/>
      <w:bookmarkStart w:id="69" w:name="_Toc4274"/>
      <w:bookmarkStart w:id="70" w:name="_Toc30811"/>
      <w:bookmarkStart w:id="71" w:name="_Toc23775"/>
      <w:bookmarkStart w:id="72" w:name="_Toc77203354"/>
      <w:r>
        <w:rPr>
          <w:rFonts w:ascii="楷体_GB2312" w:eastAsia="楷体_GB2312" w:hAnsi="楷体_GB2312" w:cs="楷体_GB2312" w:hint="eastAsia"/>
          <w:bCs/>
          <w:sz w:val="32"/>
          <w:szCs w:val="32"/>
        </w:rPr>
        <w:t>项目</w:t>
      </w:r>
      <w:bookmarkEnd w:id="68"/>
      <w:bookmarkEnd w:id="69"/>
      <w:bookmarkEnd w:id="70"/>
      <w:bookmarkEnd w:id="71"/>
      <w:r>
        <w:rPr>
          <w:rFonts w:ascii="楷体_GB2312" w:eastAsia="楷体_GB2312" w:hAnsi="楷体_GB2312" w:cs="楷体_GB2312" w:hint="eastAsia"/>
          <w:bCs/>
          <w:sz w:val="32"/>
          <w:szCs w:val="32"/>
        </w:rPr>
        <w:t>决策情况</w:t>
      </w:r>
      <w:bookmarkEnd w:id="72"/>
    </w:p>
    <w:p w:rsidR="00901C1D" w:rsidRDefault="00965F36">
      <w:pPr>
        <w:ind w:firstLineChars="200" w:firstLine="560"/>
        <w:rPr>
          <w:rFonts w:ascii="仿宋_GB2312" w:eastAsia="仿宋_GB2312" w:hAnsi="仿宋_GB2312" w:cs="仿宋_GB2312"/>
          <w:kern w:val="44"/>
          <w:sz w:val="32"/>
          <w:szCs w:val="32"/>
        </w:rPr>
      </w:pPr>
      <w:r>
        <w:rPr>
          <w:rFonts w:ascii="仿宋_GB2312" w:eastAsia="仿宋_GB2312" w:hAnsi="仿宋_GB2312" w:cs="仿宋_GB2312" w:hint="eastAsia"/>
          <w:kern w:val="44"/>
          <w:sz w:val="28"/>
          <w:szCs w:val="28"/>
        </w:rPr>
        <w:t>决策评价分析从项目立项、绩效目标和资金投入三个方面六个三级指标对项目决策进行考察，决策指标分值共计</w:t>
      </w:r>
      <w:r>
        <w:rPr>
          <w:rFonts w:ascii="仿宋_GB2312" w:eastAsia="仿宋_GB2312" w:hAnsi="仿宋_GB2312" w:cs="仿宋_GB2312" w:hint="eastAsia"/>
          <w:kern w:val="44"/>
          <w:sz w:val="28"/>
          <w:szCs w:val="28"/>
        </w:rPr>
        <w:t>10</w:t>
      </w:r>
      <w:r>
        <w:rPr>
          <w:rFonts w:ascii="仿宋_GB2312" w:eastAsia="仿宋_GB2312" w:hAnsi="仿宋_GB2312" w:cs="仿宋_GB2312" w:hint="eastAsia"/>
          <w:kern w:val="44"/>
          <w:sz w:val="28"/>
          <w:szCs w:val="28"/>
        </w:rPr>
        <w:t>分，本项目实际得分</w:t>
      </w:r>
      <w:r>
        <w:rPr>
          <w:rFonts w:ascii="仿宋_GB2312" w:eastAsia="仿宋_GB2312" w:hAnsi="仿宋_GB2312" w:cs="仿宋_GB2312" w:hint="eastAsia"/>
          <w:kern w:val="44"/>
          <w:sz w:val="28"/>
          <w:szCs w:val="28"/>
        </w:rPr>
        <w:t>8.80</w:t>
      </w:r>
      <w:r>
        <w:rPr>
          <w:rFonts w:ascii="仿宋_GB2312" w:eastAsia="仿宋_GB2312" w:hAnsi="仿宋_GB2312" w:cs="仿宋_GB2312" w:hint="eastAsia"/>
          <w:kern w:val="44"/>
          <w:sz w:val="28"/>
          <w:szCs w:val="28"/>
        </w:rPr>
        <w:t>分，得分率为</w:t>
      </w:r>
      <w:r>
        <w:rPr>
          <w:rFonts w:ascii="仿宋_GB2312" w:eastAsia="仿宋_GB2312" w:hAnsi="仿宋_GB2312" w:cs="仿宋_GB2312" w:hint="eastAsia"/>
          <w:kern w:val="44"/>
          <w:sz w:val="28"/>
          <w:szCs w:val="28"/>
        </w:rPr>
        <w:t>88.00%</w:t>
      </w:r>
      <w:r>
        <w:rPr>
          <w:rFonts w:ascii="仿宋_GB2312" w:eastAsia="仿宋_GB2312" w:hAnsi="仿宋_GB2312" w:cs="仿宋_GB2312" w:hint="eastAsia"/>
          <w:kern w:val="44"/>
          <w:sz w:val="28"/>
          <w:szCs w:val="28"/>
        </w:rPr>
        <w:t>。具体情况如下表：</w:t>
      </w:r>
    </w:p>
    <w:tbl>
      <w:tblPr>
        <w:tblW w:w="8662" w:type="dxa"/>
        <w:tblInd w:w="93" w:type="dxa"/>
        <w:tblBorders>
          <w:top w:val="single" w:sz="12" w:space="0" w:color="auto"/>
          <w:bottom w:val="single" w:sz="12" w:space="0" w:color="auto"/>
          <w:insideH w:val="dotted" w:sz="4" w:space="0" w:color="auto"/>
          <w:insideV w:val="dotted" w:sz="4" w:space="0" w:color="auto"/>
        </w:tblBorders>
        <w:tblLook w:val="04A0"/>
      </w:tblPr>
      <w:tblGrid>
        <w:gridCol w:w="1080"/>
        <w:gridCol w:w="3188"/>
        <w:gridCol w:w="1080"/>
        <w:gridCol w:w="1080"/>
        <w:gridCol w:w="1080"/>
        <w:gridCol w:w="1154"/>
      </w:tblGrid>
      <w:tr w:rsidR="00901C1D">
        <w:trPr>
          <w:trHeight w:val="300"/>
        </w:trPr>
        <w:tc>
          <w:tcPr>
            <w:tcW w:w="1080"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序号</w:t>
            </w:r>
          </w:p>
        </w:tc>
        <w:tc>
          <w:tcPr>
            <w:tcW w:w="3188"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三级指标内容</w:t>
            </w:r>
          </w:p>
        </w:tc>
        <w:tc>
          <w:tcPr>
            <w:tcW w:w="1080"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权重</w:t>
            </w:r>
          </w:p>
        </w:tc>
        <w:tc>
          <w:tcPr>
            <w:tcW w:w="1080"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目标值</w:t>
            </w:r>
          </w:p>
        </w:tc>
        <w:tc>
          <w:tcPr>
            <w:tcW w:w="1080"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w:t>
            </w:r>
          </w:p>
        </w:tc>
        <w:tc>
          <w:tcPr>
            <w:tcW w:w="1154"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得分率</w:t>
            </w:r>
          </w:p>
        </w:tc>
      </w:tr>
      <w:tr w:rsidR="00901C1D">
        <w:trPr>
          <w:trHeight w:val="90"/>
        </w:trPr>
        <w:tc>
          <w:tcPr>
            <w:tcW w:w="1080"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188"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立项依据充分性</w:t>
            </w:r>
          </w:p>
        </w:tc>
        <w:tc>
          <w:tcPr>
            <w:tcW w:w="1080"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1080"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充分</w:t>
            </w:r>
          </w:p>
        </w:tc>
        <w:tc>
          <w:tcPr>
            <w:tcW w:w="1080"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2.00 </w:t>
            </w:r>
          </w:p>
        </w:tc>
        <w:tc>
          <w:tcPr>
            <w:tcW w:w="1154"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100.00%</w:t>
            </w:r>
          </w:p>
        </w:tc>
      </w:tr>
      <w:tr w:rsidR="00901C1D">
        <w:trPr>
          <w:trHeight w:val="270"/>
        </w:trPr>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3188"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立项程序规范性</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规范</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2.00 </w:t>
            </w:r>
          </w:p>
        </w:tc>
        <w:tc>
          <w:tcPr>
            <w:tcW w:w="1154"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100.00%</w:t>
            </w:r>
          </w:p>
        </w:tc>
      </w:tr>
      <w:tr w:rsidR="00901C1D">
        <w:trPr>
          <w:trHeight w:val="270"/>
        </w:trPr>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p>
        </w:tc>
        <w:tc>
          <w:tcPr>
            <w:tcW w:w="3188"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绩效目标合理性</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合理</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1.70 </w:t>
            </w:r>
          </w:p>
        </w:tc>
        <w:tc>
          <w:tcPr>
            <w:tcW w:w="1154"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85.00%</w:t>
            </w:r>
          </w:p>
        </w:tc>
      </w:tr>
      <w:tr w:rsidR="00901C1D">
        <w:trPr>
          <w:trHeight w:val="312"/>
        </w:trPr>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3188"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绩效指标明确性</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明确</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1.70 </w:t>
            </w:r>
          </w:p>
        </w:tc>
        <w:tc>
          <w:tcPr>
            <w:tcW w:w="1154"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85.00%</w:t>
            </w:r>
          </w:p>
        </w:tc>
      </w:tr>
      <w:tr w:rsidR="00901C1D">
        <w:trPr>
          <w:trHeight w:val="270"/>
        </w:trPr>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5</w:t>
            </w:r>
          </w:p>
        </w:tc>
        <w:tc>
          <w:tcPr>
            <w:tcW w:w="3188"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预算编制科学性</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科学</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0.70 </w:t>
            </w:r>
          </w:p>
        </w:tc>
        <w:tc>
          <w:tcPr>
            <w:tcW w:w="1154"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70.00%</w:t>
            </w:r>
          </w:p>
        </w:tc>
      </w:tr>
      <w:tr w:rsidR="00901C1D">
        <w:trPr>
          <w:trHeight w:val="270"/>
        </w:trPr>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6</w:t>
            </w:r>
          </w:p>
        </w:tc>
        <w:tc>
          <w:tcPr>
            <w:tcW w:w="3188"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资金分配合理性</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合理</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0.70 </w:t>
            </w:r>
          </w:p>
        </w:tc>
        <w:tc>
          <w:tcPr>
            <w:tcW w:w="1154"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70.00%</w:t>
            </w:r>
          </w:p>
        </w:tc>
      </w:tr>
      <w:tr w:rsidR="00901C1D">
        <w:trPr>
          <w:trHeight w:val="285"/>
        </w:trPr>
        <w:tc>
          <w:tcPr>
            <w:tcW w:w="1080" w:type="dxa"/>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 xml:space="preserve">　</w:t>
            </w:r>
          </w:p>
        </w:tc>
        <w:tc>
          <w:tcPr>
            <w:tcW w:w="3188" w:type="dxa"/>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分值合计</w:t>
            </w:r>
          </w:p>
        </w:tc>
        <w:tc>
          <w:tcPr>
            <w:tcW w:w="1080" w:type="dxa"/>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10</w:t>
            </w:r>
          </w:p>
        </w:tc>
        <w:tc>
          <w:tcPr>
            <w:tcW w:w="1080" w:type="dxa"/>
            <w:shd w:val="clear" w:color="auto" w:fill="auto"/>
            <w:vAlign w:val="center"/>
          </w:tcPr>
          <w:p w:rsidR="00901C1D" w:rsidRDefault="00965F36">
            <w:pPr>
              <w:widowControl/>
              <w:rPr>
                <w:rFonts w:ascii="仿宋" w:eastAsia="仿宋" w:hAnsi="仿宋" w:cs="宋体"/>
                <w:b/>
                <w:color w:val="000000"/>
                <w:kern w:val="0"/>
                <w:sz w:val="24"/>
                <w:szCs w:val="24"/>
              </w:rPr>
            </w:pPr>
            <w:r>
              <w:rPr>
                <w:rFonts w:ascii="仿宋" w:eastAsia="仿宋" w:hAnsi="仿宋" w:cs="宋体" w:hint="eastAsia"/>
                <w:b/>
                <w:color w:val="000000"/>
                <w:kern w:val="0"/>
                <w:sz w:val="24"/>
                <w:szCs w:val="24"/>
              </w:rPr>
              <w:t xml:space="preserve">　</w:t>
            </w:r>
          </w:p>
        </w:tc>
        <w:tc>
          <w:tcPr>
            <w:tcW w:w="1080" w:type="dxa"/>
            <w:shd w:val="clear" w:color="auto" w:fill="auto"/>
            <w:vAlign w:val="center"/>
          </w:tcPr>
          <w:p w:rsidR="00901C1D" w:rsidRDefault="00965F36">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 xml:space="preserve">8.80 </w:t>
            </w:r>
          </w:p>
        </w:tc>
        <w:tc>
          <w:tcPr>
            <w:tcW w:w="1154" w:type="dxa"/>
            <w:shd w:val="clear" w:color="auto" w:fill="auto"/>
            <w:vAlign w:val="center"/>
          </w:tcPr>
          <w:p w:rsidR="00901C1D" w:rsidRDefault="00965F36">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88.00%</w:t>
            </w:r>
          </w:p>
        </w:tc>
      </w:tr>
    </w:tbl>
    <w:p w:rsidR="00901C1D" w:rsidRDefault="00965F36">
      <w:pPr>
        <w:numPr>
          <w:ilvl w:val="0"/>
          <w:numId w:val="6"/>
        </w:numPr>
        <w:spacing w:line="560" w:lineRule="exact"/>
        <w:ind w:firstLineChars="200" w:firstLine="560"/>
        <w:outlineLvl w:val="2"/>
        <w:rPr>
          <w:rFonts w:ascii="仿宋_GB2312" w:eastAsia="仿宋_GB2312" w:hAnsi="仿宋_GB2312" w:cs="仿宋_GB2312"/>
          <w:bCs/>
          <w:sz w:val="28"/>
          <w:szCs w:val="28"/>
        </w:rPr>
      </w:pPr>
      <w:bookmarkStart w:id="73" w:name="_Toc7092"/>
      <w:bookmarkStart w:id="74" w:name="_Toc3411"/>
      <w:bookmarkStart w:id="75" w:name="_Toc32544"/>
      <w:bookmarkStart w:id="76" w:name="_Toc77203355"/>
      <w:r>
        <w:rPr>
          <w:rFonts w:ascii="仿宋_GB2312" w:eastAsia="仿宋_GB2312" w:hAnsi="仿宋_GB2312" w:cs="仿宋_GB2312" w:hint="eastAsia"/>
          <w:bCs/>
          <w:sz w:val="28"/>
          <w:szCs w:val="28"/>
        </w:rPr>
        <w:t>项目立项分析</w:t>
      </w:r>
      <w:bookmarkEnd w:id="73"/>
      <w:bookmarkEnd w:id="74"/>
      <w:bookmarkEnd w:id="75"/>
      <w:bookmarkEnd w:id="76"/>
    </w:p>
    <w:p w:rsidR="00901C1D" w:rsidRDefault="00965F36" w:rsidP="00075CA6">
      <w:pPr>
        <w:ind w:firstLineChars="221" w:firstLine="619"/>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w:t>
      </w:r>
      <w:r>
        <w:rPr>
          <w:rFonts w:ascii="仿宋_GB2312" w:eastAsia="仿宋_GB2312" w:hAnsi="仿宋_GB2312" w:cs="仿宋_GB2312" w:hint="eastAsia"/>
          <w:kern w:val="44"/>
          <w:sz w:val="28"/>
          <w:szCs w:val="28"/>
        </w:rPr>
        <w:t>1</w:t>
      </w:r>
      <w:r>
        <w:rPr>
          <w:rFonts w:ascii="仿宋_GB2312" w:eastAsia="仿宋_GB2312" w:hAnsi="仿宋_GB2312" w:cs="仿宋_GB2312" w:hint="eastAsia"/>
          <w:kern w:val="44"/>
          <w:sz w:val="28"/>
          <w:szCs w:val="28"/>
        </w:rPr>
        <w:t>）立项依据充分性分析</w:t>
      </w:r>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cs="仿宋_GB2312" w:hint="eastAsia"/>
          <w:sz w:val="28"/>
          <w:szCs w:val="28"/>
        </w:rPr>
        <w:t>项目</w:t>
      </w:r>
      <w:r>
        <w:rPr>
          <w:rFonts w:ascii="仿宋_GB2312" w:eastAsia="仿宋_GB2312" w:hAnsi="仿宋_GB2312" w:cs="仿宋_GB2312" w:hint="eastAsia"/>
          <w:kern w:val="44"/>
          <w:sz w:val="28"/>
          <w:szCs w:val="28"/>
        </w:rPr>
        <w:t>立项依据符合国家和北京市的相关规定，与项目单位职责密切相关，立项依据充分。该项指标权重分为</w:t>
      </w:r>
      <w:r>
        <w:rPr>
          <w:rFonts w:ascii="仿宋_GB2312" w:eastAsia="仿宋_GB2312" w:hAnsi="仿宋_GB2312" w:cs="仿宋_GB2312" w:hint="eastAsia"/>
          <w:kern w:val="44"/>
          <w:sz w:val="28"/>
          <w:szCs w:val="28"/>
        </w:rPr>
        <w:t>2</w:t>
      </w:r>
      <w:r>
        <w:rPr>
          <w:rFonts w:ascii="仿宋_GB2312" w:eastAsia="仿宋_GB2312" w:hAnsi="仿宋_GB2312" w:cs="仿宋_GB2312" w:hint="eastAsia"/>
          <w:kern w:val="44"/>
          <w:sz w:val="28"/>
          <w:szCs w:val="28"/>
        </w:rPr>
        <w:t>分，根据评分规则评价得</w:t>
      </w:r>
      <w:r>
        <w:rPr>
          <w:rFonts w:ascii="仿宋_GB2312" w:eastAsia="仿宋_GB2312" w:hAnsi="仿宋_GB2312" w:cs="仿宋_GB2312" w:hint="eastAsia"/>
          <w:kern w:val="44"/>
          <w:sz w:val="28"/>
          <w:szCs w:val="28"/>
        </w:rPr>
        <w:t>2</w:t>
      </w:r>
      <w:r>
        <w:rPr>
          <w:rFonts w:ascii="仿宋_GB2312" w:eastAsia="仿宋_GB2312" w:hAnsi="仿宋_GB2312" w:cs="仿宋_GB2312" w:hint="eastAsia"/>
          <w:kern w:val="44"/>
          <w:sz w:val="28"/>
          <w:szCs w:val="28"/>
        </w:rPr>
        <w:t>分。</w:t>
      </w:r>
    </w:p>
    <w:p w:rsidR="00901C1D" w:rsidRDefault="00965F36" w:rsidP="00075CA6">
      <w:pPr>
        <w:ind w:firstLineChars="221" w:firstLine="619"/>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w:t>
      </w:r>
      <w:r>
        <w:rPr>
          <w:rFonts w:ascii="仿宋_GB2312" w:eastAsia="仿宋_GB2312" w:hAnsi="仿宋_GB2312" w:cs="仿宋_GB2312" w:hint="eastAsia"/>
          <w:kern w:val="44"/>
          <w:sz w:val="28"/>
          <w:szCs w:val="28"/>
        </w:rPr>
        <w:t>2</w:t>
      </w:r>
      <w:r>
        <w:rPr>
          <w:rFonts w:ascii="仿宋_GB2312" w:eastAsia="仿宋_GB2312" w:hAnsi="仿宋_GB2312" w:cs="仿宋_GB2312" w:hint="eastAsia"/>
          <w:kern w:val="44"/>
          <w:sz w:val="28"/>
          <w:szCs w:val="28"/>
        </w:rPr>
        <w:t>）立项程序规范性分析</w:t>
      </w:r>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项目为机构运行保障延续性项目，项目申请、设立过程符合相关要求，程序规范。</w:t>
      </w:r>
      <w:r>
        <w:rPr>
          <w:rFonts w:ascii="仿宋_GB2312" w:eastAsia="仿宋_GB2312" w:hAnsi="仿宋_GB2312" w:cs="仿宋_GB2312"/>
          <w:kern w:val="44"/>
          <w:sz w:val="28"/>
          <w:szCs w:val="28"/>
        </w:rPr>
        <w:t>该项指标权重分为</w:t>
      </w:r>
      <w:r>
        <w:rPr>
          <w:rFonts w:ascii="仿宋_GB2312" w:eastAsia="仿宋_GB2312" w:hAnsi="仿宋_GB2312" w:cs="仿宋_GB2312"/>
          <w:kern w:val="44"/>
          <w:sz w:val="28"/>
          <w:szCs w:val="28"/>
        </w:rPr>
        <w:t>2</w:t>
      </w:r>
      <w:r>
        <w:rPr>
          <w:rFonts w:ascii="仿宋_GB2312" w:eastAsia="仿宋_GB2312" w:hAnsi="仿宋_GB2312" w:cs="仿宋_GB2312"/>
          <w:kern w:val="44"/>
          <w:sz w:val="28"/>
          <w:szCs w:val="28"/>
        </w:rPr>
        <w:t>分，根据评分规则评价得</w:t>
      </w:r>
      <w:r>
        <w:rPr>
          <w:rFonts w:ascii="仿宋_GB2312" w:eastAsia="仿宋_GB2312" w:hAnsi="仿宋_GB2312" w:cs="仿宋_GB2312" w:hint="eastAsia"/>
          <w:kern w:val="44"/>
          <w:sz w:val="28"/>
          <w:szCs w:val="28"/>
        </w:rPr>
        <w:t>2</w:t>
      </w:r>
      <w:r>
        <w:rPr>
          <w:rFonts w:ascii="仿宋_GB2312" w:eastAsia="仿宋_GB2312" w:hAnsi="仿宋_GB2312" w:cs="仿宋_GB2312"/>
          <w:kern w:val="44"/>
          <w:sz w:val="28"/>
          <w:szCs w:val="28"/>
        </w:rPr>
        <w:t>分。</w:t>
      </w:r>
    </w:p>
    <w:p w:rsidR="00901C1D" w:rsidRDefault="00965F36">
      <w:pPr>
        <w:numPr>
          <w:ilvl w:val="0"/>
          <w:numId w:val="6"/>
        </w:numPr>
        <w:spacing w:line="560" w:lineRule="exact"/>
        <w:ind w:firstLineChars="200" w:firstLine="560"/>
        <w:outlineLvl w:val="2"/>
        <w:rPr>
          <w:rFonts w:ascii="仿宋_GB2312" w:eastAsia="仿宋_GB2312" w:hAnsi="仿宋_GB2312" w:cs="仿宋_GB2312"/>
          <w:bCs/>
          <w:sz w:val="28"/>
          <w:szCs w:val="28"/>
        </w:rPr>
      </w:pPr>
      <w:bookmarkStart w:id="77" w:name="_Toc30046"/>
      <w:bookmarkStart w:id="78" w:name="_Toc32625"/>
      <w:bookmarkStart w:id="79" w:name="_Toc7603"/>
      <w:bookmarkStart w:id="80" w:name="_Toc77203356"/>
      <w:r>
        <w:rPr>
          <w:rFonts w:ascii="仿宋_GB2312" w:eastAsia="仿宋_GB2312" w:hAnsi="仿宋_GB2312" w:cs="仿宋_GB2312" w:hint="eastAsia"/>
          <w:bCs/>
          <w:sz w:val="28"/>
          <w:szCs w:val="28"/>
        </w:rPr>
        <w:t>绩效目标分析</w:t>
      </w:r>
      <w:bookmarkEnd w:id="77"/>
      <w:bookmarkEnd w:id="78"/>
      <w:bookmarkEnd w:id="79"/>
      <w:bookmarkEnd w:id="80"/>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lastRenderedPageBreak/>
        <w:t>（</w:t>
      </w:r>
      <w:r>
        <w:rPr>
          <w:rFonts w:ascii="仿宋_GB2312" w:eastAsia="仿宋_GB2312" w:hAnsi="仿宋_GB2312" w:cs="仿宋_GB2312" w:hint="eastAsia"/>
          <w:kern w:val="44"/>
          <w:sz w:val="28"/>
          <w:szCs w:val="28"/>
        </w:rPr>
        <w:t>1</w:t>
      </w:r>
      <w:r>
        <w:rPr>
          <w:rFonts w:ascii="仿宋_GB2312" w:eastAsia="仿宋_GB2312" w:hAnsi="仿宋_GB2312" w:cs="仿宋_GB2312" w:hint="eastAsia"/>
          <w:kern w:val="44"/>
          <w:sz w:val="28"/>
          <w:szCs w:val="28"/>
        </w:rPr>
        <w:t>）绩效目标合理性分析</w:t>
      </w:r>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绩效目标设定比较宏观，不够具体、明确。该项指标权重分为</w:t>
      </w:r>
      <w:r>
        <w:rPr>
          <w:rFonts w:ascii="仿宋_GB2312" w:eastAsia="仿宋_GB2312" w:hAnsi="仿宋_GB2312" w:cs="仿宋_GB2312" w:hint="eastAsia"/>
          <w:kern w:val="44"/>
          <w:sz w:val="28"/>
          <w:szCs w:val="28"/>
        </w:rPr>
        <w:t>2</w:t>
      </w:r>
      <w:r>
        <w:rPr>
          <w:rFonts w:ascii="仿宋_GB2312" w:eastAsia="仿宋_GB2312" w:hAnsi="仿宋_GB2312" w:cs="仿宋_GB2312" w:hint="eastAsia"/>
          <w:kern w:val="44"/>
          <w:sz w:val="28"/>
          <w:szCs w:val="28"/>
        </w:rPr>
        <w:t>分，根据评分规则评价得</w:t>
      </w:r>
      <w:r>
        <w:rPr>
          <w:rFonts w:ascii="仿宋_GB2312" w:eastAsia="仿宋_GB2312" w:hAnsi="仿宋_GB2312" w:cs="仿宋_GB2312" w:hint="eastAsia"/>
          <w:kern w:val="44"/>
          <w:sz w:val="28"/>
          <w:szCs w:val="28"/>
        </w:rPr>
        <w:t>1.7</w:t>
      </w:r>
      <w:r>
        <w:rPr>
          <w:rFonts w:ascii="仿宋_GB2312" w:eastAsia="仿宋_GB2312" w:hAnsi="仿宋_GB2312" w:cs="仿宋_GB2312" w:hint="eastAsia"/>
          <w:kern w:val="44"/>
          <w:sz w:val="28"/>
          <w:szCs w:val="28"/>
        </w:rPr>
        <w:t>分。</w:t>
      </w:r>
      <w:r>
        <w:rPr>
          <w:rFonts w:ascii="仿宋_GB2312" w:eastAsia="仿宋_GB2312" w:hAnsi="仿宋_GB2312" w:cs="仿宋_GB2312" w:hint="eastAsia"/>
          <w:kern w:val="44"/>
          <w:sz w:val="28"/>
          <w:szCs w:val="28"/>
        </w:rPr>
        <w:t xml:space="preserve">                                                                                          </w:t>
      </w:r>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w:t>
      </w:r>
      <w:r>
        <w:rPr>
          <w:rFonts w:ascii="仿宋_GB2312" w:eastAsia="仿宋_GB2312" w:hAnsi="仿宋_GB2312" w:cs="仿宋_GB2312" w:hint="eastAsia"/>
          <w:kern w:val="44"/>
          <w:sz w:val="28"/>
          <w:szCs w:val="28"/>
        </w:rPr>
        <w:t>2</w:t>
      </w:r>
      <w:r>
        <w:rPr>
          <w:rFonts w:ascii="仿宋_GB2312" w:eastAsia="仿宋_GB2312" w:hAnsi="仿宋_GB2312" w:cs="仿宋_GB2312" w:hint="eastAsia"/>
          <w:kern w:val="44"/>
          <w:sz w:val="28"/>
          <w:szCs w:val="28"/>
        </w:rPr>
        <w:t>）绩效指标明确性分析</w:t>
      </w:r>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绩效指标不够明确，数量、标准不够细化、明确，指标可量化性、可衡量性不足。该项指标权重分</w:t>
      </w:r>
      <w:r>
        <w:rPr>
          <w:rFonts w:ascii="仿宋_GB2312" w:eastAsia="仿宋_GB2312" w:hAnsi="仿宋_GB2312" w:cs="仿宋_GB2312" w:hint="eastAsia"/>
          <w:kern w:val="44"/>
          <w:sz w:val="28"/>
          <w:szCs w:val="28"/>
        </w:rPr>
        <w:t>2</w:t>
      </w:r>
      <w:r>
        <w:rPr>
          <w:rFonts w:ascii="仿宋_GB2312" w:eastAsia="仿宋_GB2312" w:hAnsi="仿宋_GB2312" w:cs="仿宋_GB2312" w:hint="eastAsia"/>
          <w:kern w:val="44"/>
          <w:sz w:val="28"/>
          <w:szCs w:val="28"/>
        </w:rPr>
        <w:t>分，根据评分规则评价得</w:t>
      </w:r>
      <w:r>
        <w:rPr>
          <w:rFonts w:ascii="仿宋_GB2312" w:eastAsia="仿宋_GB2312" w:hAnsi="仿宋_GB2312" w:cs="仿宋_GB2312" w:hint="eastAsia"/>
          <w:kern w:val="44"/>
          <w:sz w:val="28"/>
          <w:szCs w:val="28"/>
        </w:rPr>
        <w:t>1.7</w:t>
      </w:r>
      <w:r>
        <w:rPr>
          <w:rFonts w:ascii="仿宋_GB2312" w:eastAsia="仿宋_GB2312" w:hAnsi="仿宋_GB2312" w:cs="仿宋_GB2312" w:hint="eastAsia"/>
          <w:kern w:val="44"/>
          <w:sz w:val="28"/>
          <w:szCs w:val="28"/>
        </w:rPr>
        <w:t>分。</w:t>
      </w:r>
    </w:p>
    <w:p w:rsidR="00901C1D" w:rsidRDefault="00965F36">
      <w:pPr>
        <w:numPr>
          <w:ilvl w:val="0"/>
          <w:numId w:val="6"/>
        </w:numPr>
        <w:spacing w:line="560" w:lineRule="exact"/>
        <w:ind w:firstLineChars="200" w:firstLine="560"/>
        <w:outlineLvl w:val="2"/>
        <w:rPr>
          <w:rFonts w:ascii="仿宋_GB2312" w:eastAsia="仿宋_GB2312" w:hAnsi="仿宋_GB2312" w:cs="仿宋_GB2312"/>
          <w:bCs/>
          <w:sz w:val="28"/>
          <w:szCs w:val="28"/>
        </w:rPr>
      </w:pPr>
      <w:bookmarkStart w:id="81" w:name="_Toc22133"/>
      <w:bookmarkStart w:id="82" w:name="_Toc16986"/>
      <w:bookmarkStart w:id="83" w:name="_Toc11073"/>
      <w:bookmarkStart w:id="84" w:name="_Toc77203357"/>
      <w:r>
        <w:rPr>
          <w:rFonts w:ascii="仿宋_GB2312" w:eastAsia="仿宋_GB2312" w:hAnsi="仿宋_GB2312" w:cs="仿宋_GB2312" w:hint="eastAsia"/>
          <w:bCs/>
          <w:sz w:val="28"/>
          <w:szCs w:val="28"/>
        </w:rPr>
        <w:t>资金投</w:t>
      </w:r>
      <w:r>
        <w:rPr>
          <w:rFonts w:ascii="仿宋_GB2312" w:eastAsia="仿宋_GB2312" w:hAnsi="仿宋_GB2312" w:cs="仿宋_GB2312" w:hint="eastAsia"/>
          <w:bCs/>
          <w:sz w:val="28"/>
          <w:szCs w:val="28"/>
        </w:rPr>
        <w:t>入分析</w:t>
      </w:r>
      <w:bookmarkEnd w:id="81"/>
      <w:bookmarkEnd w:id="82"/>
      <w:bookmarkEnd w:id="83"/>
      <w:bookmarkEnd w:id="84"/>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w:t>
      </w:r>
      <w:r>
        <w:rPr>
          <w:rFonts w:ascii="仿宋_GB2312" w:eastAsia="仿宋_GB2312" w:hAnsi="仿宋_GB2312" w:cs="仿宋_GB2312" w:hint="eastAsia"/>
          <w:kern w:val="44"/>
          <w:sz w:val="28"/>
          <w:szCs w:val="28"/>
        </w:rPr>
        <w:t>1</w:t>
      </w:r>
      <w:r>
        <w:rPr>
          <w:rFonts w:ascii="仿宋_GB2312" w:eastAsia="仿宋_GB2312" w:hAnsi="仿宋_GB2312" w:cs="仿宋_GB2312" w:hint="eastAsia"/>
          <w:kern w:val="44"/>
          <w:sz w:val="28"/>
          <w:szCs w:val="28"/>
        </w:rPr>
        <w:t>）预算编制科学性</w:t>
      </w:r>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项目预算编制科学性不足，缺少预算测算依据和细化预算内容。该项指标权重分</w:t>
      </w:r>
      <w:r>
        <w:rPr>
          <w:rFonts w:ascii="仿宋_GB2312" w:eastAsia="仿宋_GB2312" w:hAnsi="仿宋_GB2312" w:cs="仿宋_GB2312" w:hint="eastAsia"/>
          <w:kern w:val="44"/>
          <w:sz w:val="28"/>
          <w:szCs w:val="28"/>
        </w:rPr>
        <w:t>1</w:t>
      </w:r>
      <w:r>
        <w:rPr>
          <w:rFonts w:ascii="仿宋_GB2312" w:eastAsia="仿宋_GB2312" w:hAnsi="仿宋_GB2312" w:cs="仿宋_GB2312" w:hint="eastAsia"/>
          <w:kern w:val="44"/>
          <w:sz w:val="28"/>
          <w:szCs w:val="28"/>
        </w:rPr>
        <w:t>分，根据评分规则评价得</w:t>
      </w:r>
      <w:r>
        <w:rPr>
          <w:rFonts w:ascii="仿宋_GB2312" w:eastAsia="仿宋_GB2312" w:hAnsi="仿宋_GB2312" w:cs="仿宋_GB2312" w:hint="eastAsia"/>
          <w:kern w:val="44"/>
          <w:sz w:val="28"/>
          <w:szCs w:val="28"/>
        </w:rPr>
        <w:t>0.7</w:t>
      </w:r>
      <w:r>
        <w:rPr>
          <w:rFonts w:ascii="仿宋_GB2312" w:eastAsia="仿宋_GB2312" w:hAnsi="仿宋_GB2312" w:cs="仿宋_GB2312" w:hint="eastAsia"/>
          <w:kern w:val="44"/>
          <w:sz w:val="28"/>
          <w:szCs w:val="28"/>
        </w:rPr>
        <w:t>分。</w:t>
      </w:r>
    </w:p>
    <w:p w:rsidR="00901C1D" w:rsidRDefault="00965F36">
      <w:pPr>
        <w:numPr>
          <w:ilvl w:val="0"/>
          <w:numId w:val="7"/>
        </w:num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资金分配合理性</w:t>
      </w:r>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由于项目缺少预算测算依据和细化的预算内容，资金分配的合理性无法判定。该项指标权重分</w:t>
      </w:r>
      <w:r>
        <w:rPr>
          <w:rFonts w:ascii="仿宋_GB2312" w:eastAsia="仿宋_GB2312" w:hAnsi="仿宋_GB2312" w:cs="仿宋_GB2312" w:hint="eastAsia"/>
          <w:kern w:val="44"/>
          <w:sz w:val="28"/>
          <w:szCs w:val="28"/>
        </w:rPr>
        <w:t>1</w:t>
      </w:r>
      <w:r>
        <w:rPr>
          <w:rFonts w:ascii="仿宋_GB2312" w:eastAsia="仿宋_GB2312" w:hAnsi="仿宋_GB2312" w:cs="仿宋_GB2312" w:hint="eastAsia"/>
          <w:kern w:val="44"/>
          <w:sz w:val="28"/>
          <w:szCs w:val="28"/>
        </w:rPr>
        <w:t>分，根据评分规则评价得</w:t>
      </w:r>
      <w:r>
        <w:rPr>
          <w:rFonts w:ascii="仿宋_GB2312" w:eastAsia="仿宋_GB2312" w:hAnsi="仿宋_GB2312" w:cs="仿宋_GB2312" w:hint="eastAsia"/>
          <w:kern w:val="44"/>
          <w:sz w:val="28"/>
          <w:szCs w:val="28"/>
        </w:rPr>
        <w:t>0.7</w:t>
      </w:r>
      <w:r>
        <w:rPr>
          <w:rFonts w:ascii="仿宋_GB2312" w:eastAsia="仿宋_GB2312" w:hAnsi="仿宋_GB2312" w:cs="仿宋_GB2312" w:hint="eastAsia"/>
          <w:kern w:val="44"/>
          <w:sz w:val="28"/>
          <w:szCs w:val="28"/>
        </w:rPr>
        <w:t>分。</w:t>
      </w:r>
    </w:p>
    <w:p w:rsidR="00901C1D" w:rsidRDefault="00965F36">
      <w:pPr>
        <w:numPr>
          <w:ilvl w:val="0"/>
          <w:numId w:val="5"/>
        </w:numPr>
        <w:spacing w:line="560" w:lineRule="exact"/>
        <w:outlineLvl w:val="1"/>
        <w:rPr>
          <w:rFonts w:ascii="楷体_GB2312" w:eastAsia="楷体_GB2312" w:hAnsi="楷体_GB2312" w:cs="楷体_GB2312"/>
          <w:bCs/>
          <w:sz w:val="32"/>
          <w:szCs w:val="32"/>
        </w:rPr>
      </w:pPr>
      <w:bookmarkStart w:id="85" w:name="_Toc21291"/>
      <w:bookmarkStart w:id="86" w:name="_Toc9756"/>
      <w:bookmarkStart w:id="87" w:name="_Toc14468"/>
      <w:bookmarkStart w:id="88" w:name="_Toc4843"/>
      <w:bookmarkStart w:id="89" w:name="_Toc77203358"/>
      <w:r>
        <w:rPr>
          <w:rFonts w:ascii="楷体_GB2312" w:eastAsia="楷体_GB2312" w:hAnsi="楷体_GB2312" w:cs="楷体_GB2312" w:hint="eastAsia"/>
          <w:bCs/>
          <w:sz w:val="32"/>
          <w:szCs w:val="32"/>
        </w:rPr>
        <w:t>项目</w:t>
      </w:r>
      <w:bookmarkEnd w:id="85"/>
      <w:bookmarkEnd w:id="86"/>
      <w:bookmarkEnd w:id="87"/>
      <w:bookmarkEnd w:id="88"/>
      <w:r>
        <w:rPr>
          <w:rFonts w:ascii="楷体_GB2312" w:eastAsia="楷体_GB2312" w:hAnsi="楷体_GB2312" w:cs="楷体_GB2312" w:hint="eastAsia"/>
          <w:bCs/>
          <w:sz w:val="32"/>
          <w:szCs w:val="32"/>
        </w:rPr>
        <w:t>过程情况</w:t>
      </w:r>
      <w:bookmarkEnd w:id="89"/>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过程部分从资金管理和组织实施两个方面六个三级指标对项目进行考察，过程类指标分值为</w:t>
      </w:r>
      <w:r>
        <w:rPr>
          <w:rFonts w:ascii="仿宋_GB2312" w:eastAsia="仿宋_GB2312" w:hAnsi="仿宋_GB2312" w:cs="仿宋_GB2312" w:hint="eastAsia"/>
          <w:kern w:val="44"/>
          <w:sz w:val="28"/>
          <w:szCs w:val="28"/>
        </w:rPr>
        <w:t>20</w:t>
      </w:r>
      <w:r>
        <w:rPr>
          <w:rFonts w:ascii="仿宋_GB2312" w:eastAsia="仿宋_GB2312" w:hAnsi="仿宋_GB2312" w:cs="仿宋_GB2312" w:hint="eastAsia"/>
          <w:kern w:val="44"/>
          <w:sz w:val="28"/>
          <w:szCs w:val="28"/>
        </w:rPr>
        <w:t>分，本项目实际得分</w:t>
      </w:r>
      <w:r>
        <w:rPr>
          <w:rFonts w:ascii="仿宋_GB2312" w:eastAsia="仿宋_GB2312" w:hAnsi="仿宋_GB2312" w:cs="仿宋_GB2312" w:hint="eastAsia"/>
          <w:kern w:val="44"/>
          <w:sz w:val="28"/>
          <w:szCs w:val="28"/>
        </w:rPr>
        <w:t>17.32</w:t>
      </w:r>
      <w:r>
        <w:rPr>
          <w:rFonts w:ascii="仿宋_GB2312" w:eastAsia="仿宋_GB2312" w:hAnsi="仿宋_GB2312" w:cs="仿宋_GB2312" w:hint="eastAsia"/>
          <w:kern w:val="44"/>
          <w:sz w:val="28"/>
          <w:szCs w:val="28"/>
        </w:rPr>
        <w:t>分，得分率</w:t>
      </w:r>
      <w:r>
        <w:rPr>
          <w:rFonts w:ascii="仿宋_GB2312" w:eastAsia="仿宋_GB2312" w:hAnsi="仿宋_GB2312" w:cs="仿宋_GB2312" w:hint="eastAsia"/>
          <w:kern w:val="44"/>
          <w:sz w:val="28"/>
          <w:szCs w:val="28"/>
        </w:rPr>
        <w:t>86.60%</w:t>
      </w:r>
      <w:r>
        <w:rPr>
          <w:rFonts w:ascii="仿宋_GB2312" w:eastAsia="仿宋_GB2312" w:hAnsi="仿宋_GB2312" w:cs="仿宋_GB2312" w:hint="eastAsia"/>
          <w:kern w:val="44"/>
          <w:sz w:val="28"/>
          <w:szCs w:val="28"/>
        </w:rPr>
        <w:t>。具体如下表：</w:t>
      </w:r>
    </w:p>
    <w:tbl>
      <w:tblPr>
        <w:tblW w:w="8517" w:type="dxa"/>
        <w:tblInd w:w="93" w:type="dxa"/>
        <w:tblBorders>
          <w:top w:val="single" w:sz="12" w:space="0" w:color="auto"/>
          <w:bottom w:val="single" w:sz="12" w:space="0" w:color="auto"/>
          <w:insideH w:val="dotted" w:sz="4" w:space="0" w:color="auto"/>
          <w:insideV w:val="dotted" w:sz="4" w:space="0" w:color="auto"/>
        </w:tblBorders>
        <w:tblLook w:val="04A0"/>
      </w:tblPr>
      <w:tblGrid>
        <w:gridCol w:w="1055"/>
        <w:gridCol w:w="3071"/>
        <w:gridCol w:w="1055"/>
        <w:gridCol w:w="1067"/>
        <w:gridCol w:w="1073"/>
        <w:gridCol w:w="1196"/>
      </w:tblGrid>
      <w:tr w:rsidR="00901C1D">
        <w:trPr>
          <w:trHeight w:val="300"/>
        </w:trPr>
        <w:tc>
          <w:tcPr>
            <w:tcW w:w="1055"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序号</w:t>
            </w:r>
          </w:p>
        </w:tc>
        <w:tc>
          <w:tcPr>
            <w:tcW w:w="3071"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三级指标内容</w:t>
            </w:r>
          </w:p>
        </w:tc>
        <w:tc>
          <w:tcPr>
            <w:tcW w:w="1055"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权重</w:t>
            </w:r>
          </w:p>
        </w:tc>
        <w:tc>
          <w:tcPr>
            <w:tcW w:w="1067"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目标值</w:t>
            </w:r>
          </w:p>
        </w:tc>
        <w:tc>
          <w:tcPr>
            <w:tcW w:w="1073"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w:t>
            </w:r>
          </w:p>
        </w:tc>
        <w:tc>
          <w:tcPr>
            <w:tcW w:w="1196"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得分率</w:t>
            </w:r>
          </w:p>
        </w:tc>
      </w:tr>
      <w:tr w:rsidR="00901C1D">
        <w:trPr>
          <w:trHeight w:val="315"/>
        </w:trPr>
        <w:tc>
          <w:tcPr>
            <w:tcW w:w="1055"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071"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资金到位率</w:t>
            </w:r>
          </w:p>
        </w:tc>
        <w:tc>
          <w:tcPr>
            <w:tcW w:w="1055"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1067"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c>
          <w:tcPr>
            <w:tcW w:w="1073"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2.00 </w:t>
            </w:r>
          </w:p>
        </w:tc>
        <w:tc>
          <w:tcPr>
            <w:tcW w:w="1196"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100.00%</w:t>
            </w:r>
          </w:p>
        </w:tc>
      </w:tr>
      <w:tr w:rsidR="00901C1D">
        <w:trPr>
          <w:trHeight w:val="315"/>
        </w:trPr>
        <w:tc>
          <w:tcPr>
            <w:tcW w:w="1055"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3071"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预算执行率</w:t>
            </w:r>
          </w:p>
        </w:tc>
        <w:tc>
          <w:tcPr>
            <w:tcW w:w="1055"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1067"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c>
          <w:tcPr>
            <w:tcW w:w="1073"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4.00 </w:t>
            </w:r>
          </w:p>
        </w:tc>
        <w:tc>
          <w:tcPr>
            <w:tcW w:w="1196"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100.00%</w:t>
            </w:r>
          </w:p>
        </w:tc>
      </w:tr>
      <w:tr w:rsidR="00901C1D">
        <w:trPr>
          <w:trHeight w:val="315"/>
        </w:trPr>
        <w:tc>
          <w:tcPr>
            <w:tcW w:w="1055"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p>
        </w:tc>
        <w:tc>
          <w:tcPr>
            <w:tcW w:w="3071"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资金使用合规性</w:t>
            </w:r>
          </w:p>
        </w:tc>
        <w:tc>
          <w:tcPr>
            <w:tcW w:w="1055"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1067"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规范</w:t>
            </w:r>
          </w:p>
        </w:tc>
        <w:tc>
          <w:tcPr>
            <w:tcW w:w="1073"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4.00 </w:t>
            </w:r>
          </w:p>
        </w:tc>
        <w:tc>
          <w:tcPr>
            <w:tcW w:w="1196"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100.00%</w:t>
            </w:r>
          </w:p>
        </w:tc>
      </w:tr>
      <w:tr w:rsidR="00901C1D">
        <w:trPr>
          <w:trHeight w:val="315"/>
        </w:trPr>
        <w:tc>
          <w:tcPr>
            <w:tcW w:w="1055"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3071"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管理制度健全性</w:t>
            </w:r>
          </w:p>
        </w:tc>
        <w:tc>
          <w:tcPr>
            <w:tcW w:w="1055"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1067"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健全</w:t>
            </w:r>
          </w:p>
        </w:tc>
        <w:tc>
          <w:tcPr>
            <w:tcW w:w="1073"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3.00 </w:t>
            </w:r>
          </w:p>
        </w:tc>
        <w:tc>
          <w:tcPr>
            <w:tcW w:w="1196"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75.00%</w:t>
            </w:r>
          </w:p>
        </w:tc>
      </w:tr>
      <w:tr w:rsidR="00901C1D">
        <w:trPr>
          <w:trHeight w:val="315"/>
        </w:trPr>
        <w:tc>
          <w:tcPr>
            <w:tcW w:w="1055"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5</w:t>
            </w:r>
          </w:p>
        </w:tc>
        <w:tc>
          <w:tcPr>
            <w:tcW w:w="3071"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制度执行有效性</w:t>
            </w:r>
          </w:p>
        </w:tc>
        <w:tc>
          <w:tcPr>
            <w:tcW w:w="1055"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1067"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有效</w:t>
            </w:r>
          </w:p>
        </w:tc>
        <w:tc>
          <w:tcPr>
            <w:tcW w:w="1073"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2.60 </w:t>
            </w:r>
          </w:p>
        </w:tc>
        <w:tc>
          <w:tcPr>
            <w:tcW w:w="1196"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65.00%</w:t>
            </w:r>
          </w:p>
        </w:tc>
      </w:tr>
      <w:tr w:rsidR="00901C1D">
        <w:trPr>
          <w:trHeight w:val="315"/>
        </w:trPr>
        <w:tc>
          <w:tcPr>
            <w:tcW w:w="1055"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6</w:t>
            </w:r>
          </w:p>
        </w:tc>
        <w:tc>
          <w:tcPr>
            <w:tcW w:w="3071"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实施方案有效性</w:t>
            </w:r>
          </w:p>
        </w:tc>
        <w:tc>
          <w:tcPr>
            <w:tcW w:w="1055"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1067"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有效</w:t>
            </w:r>
          </w:p>
        </w:tc>
        <w:tc>
          <w:tcPr>
            <w:tcW w:w="1073"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1.72 </w:t>
            </w:r>
          </w:p>
        </w:tc>
        <w:tc>
          <w:tcPr>
            <w:tcW w:w="1196"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86.00%</w:t>
            </w:r>
          </w:p>
        </w:tc>
      </w:tr>
      <w:tr w:rsidR="00901C1D">
        <w:trPr>
          <w:trHeight w:val="315"/>
        </w:trPr>
        <w:tc>
          <w:tcPr>
            <w:tcW w:w="1055" w:type="dxa"/>
            <w:shd w:val="clear" w:color="auto" w:fill="auto"/>
            <w:vAlign w:val="center"/>
          </w:tcPr>
          <w:p w:rsidR="00901C1D" w:rsidRDefault="00965F36">
            <w:pPr>
              <w:widowControl/>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3071" w:type="dxa"/>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分值合计</w:t>
            </w:r>
          </w:p>
        </w:tc>
        <w:tc>
          <w:tcPr>
            <w:tcW w:w="1055" w:type="dxa"/>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20</w:t>
            </w:r>
          </w:p>
        </w:tc>
        <w:tc>
          <w:tcPr>
            <w:tcW w:w="1067" w:type="dxa"/>
            <w:shd w:val="clear" w:color="auto" w:fill="auto"/>
            <w:vAlign w:val="center"/>
          </w:tcPr>
          <w:p w:rsidR="00901C1D" w:rsidRDefault="00965F36">
            <w:pPr>
              <w:widowControl/>
              <w:rPr>
                <w:rFonts w:ascii="仿宋" w:eastAsia="仿宋" w:hAnsi="仿宋" w:cs="宋体"/>
                <w:b/>
                <w:color w:val="000000"/>
                <w:kern w:val="0"/>
                <w:sz w:val="24"/>
                <w:szCs w:val="24"/>
              </w:rPr>
            </w:pPr>
            <w:r>
              <w:rPr>
                <w:rFonts w:ascii="仿宋" w:eastAsia="仿宋" w:hAnsi="仿宋" w:cs="宋体" w:hint="eastAsia"/>
                <w:b/>
                <w:color w:val="000000"/>
                <w:kern w:val="0"/>
                <w:sz w:val="24"/>
                <w:szCs w:val="24"/>
              </w:rPr>
              <w:t xml:space="preserve">　</w:t>
            </w:r>
          </w:p>
        </w:tc>
        <w:tc>
          <w:tcPr>
            <w:tcW w:w="1073" w:type="dxa"/>
            <w:shd w:val="clear" w:color="auto" w:fill="auto"/>
            <w:vAlign w:val="center"/>
          </w:tcPr>
          <w:p w:rsidR="00901C1D" w:rsidRDefault="00965F36">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 xml:space="preserve">17.32 </w:t>
            </w:r>
          </w:p>
        </w:tc>
        <w:tc>
          <w:tcPr>
            <w:tcW w:w="1196" w:type="dxa"/>
            <w:shd w:val="clear" w:color="auto" w:fill="auto"/>
            <w:vAlign w:val="center"/>
          </w:tcPr>
          <w:p w:rsidR="00901C1D" w:rsidRDefault="00965F36">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86.60%</w:t>
            </w:r>
          </w:p>
        </w:tc>
      </w:tr>
    </w:tbl>
    <w:p w:rsidR="00901C1D" w:rsidRDefault="00901C1D">
      <w:pPr>
        <w:outlineLvl w:val="3"/>
        <w:rPr>
          <w:rFonts w:ascii="宋体" w:eastAsia="宋体" w:hAnsi="宋体" w:cs="仿宋_GB2312"/>
          <w:kern w:val="44"/>
          <w:szCs w:val="21"/>
        </w:rPr>
      </w:pPr>
    </w:p>
    <w:p w:rsidR="00901C1D" w:rsidRDefault="00965F36">
      <w:pPr>
        <w:numPr>
          <w:ilvl w:val="0"/>
          <w:numId w:val="8"/>
        </w:numPr>
        <w:spacing w:line="560" w:lineRule="exact"/>
        <w:ind w:firstLineChars="200" w:firstLine="560"/>
        <w:outlineLvl w:val="2"/>
        <w:rPr>
          <w:rFonts w:ascii="仿宋_GB2312" w:eastAsia="仿宋_GB2312" w:hAnsi="仿宋_GB2312" w:cs="仿宋_GB2312"/>
          <w:bCs/>
          <w:sz w:val="28"/>
          <w:szCs w:val="28"/>
        </w:rPr>
      </w:pPr>
      <w:bookmarkStart w:id="90" w:name="_Toc77203359"/>
      <w:r>
        <w:rPr>
          <w:rFonts w:ascii="仿宋_GB2312" w:eastAsia="仿宋_GB2312" w:hAnsi="仿宋_GB2312" w:cs="仿宋_GB2312" w:hint="eastAsia"/>
          <w:bCs/>
          <w:sz w:val="28"/>
          <w:szCs w:val="28"/>
        </w:rPr>
        <w:lastRenderedPageBreak/>
        <w:t>资金使用及管理情况</w:t>
      </w:r>
      <w:bookmarkEnd w:id="90"/>
    </w:p>
    <w:p w:rsidR="00901C1D" w:rsidRDefault="00965F36">
      <w:pPr>
        <w:numPr>
          <w:ilvl w:val="0"/>
          <w:numId w:val="9"/>
        </w:numPr>
        <w:rPr>
          <w:rFonts w:ascii="仿宋_GB2312" w:eastAsia="仿宋_GB2312" w:hAnsi="仿宋_GB2312" w:cs="仿宋_GB2312"/>
          <w:bCs/>
          <w:kern w:val="0"/>
          <w:sz w:val="28"/>
          <w:szCs w:val="28"/>
        </w:rPr>
      </w:pPr>
      <w:bookmarkStart w:id="91" w:name="_Toc31939"/>
      <w:bookmarkStart w:id="92" w:name="_Toc28045"/>
      <w:bookmarkStart w:id="93" w:name="_Toc18405"/>
      <w:r>
        <w:rPr>
          <w:rFonts w:ascii="仿宋_GB2312" w:eastAsia="仿宋_GB2312" w:hAnsi="仿宋_GB2312" w:cs="仿宋_GB2312" w:hint="eastAsia"/>
          <w:bCs/>
          <w:kern w:val="0"/>
          <w:sz w:val="28"/>
          <w:szCs w:val="28"/>
        </w:rPr>
        <w:t>资金到位率</w:t>
      </w:r>
      <w:bookmarkEnd w:id="91"/>
      <w:bookmarkEnd w:id="92"/>
      <w:bookmarkEnd w:id="93"/>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w:t>
      </w:r>
      <w:r>
        <w:rPr>
          <w:rFonts w:ascii="仿宋_GB2312" w:eastAsia="仿宋_GB2312" w:hAnsi="仿宋_GB2312" w:cs="仿宋_GB2312" w:hint="eastAsia"/>
          <w:kern w:val="44"/>
          <w:sz w:val="28"/>
          <w:szCs w:val="28"/>
        </w:rPr>
        <w:t>2022</w:t>
      </w:r>
      <w:r>
        <w:rPr>
          <w:rFonts w:ascii="仿宋_GB2312" w:eastAsia="仿宋_GB2312" w:hAnsi="仿宋_GB2312" w:cs="仿宋_GB2312" w:hint="eastAsia"/>
          <w:kern w:val="44"/>
          <w:sz w:val="28"/>
          <w:szCs w:val="28"/>
        </w:rPr>
        <w:t>年预算批复</w:t>
      </w:r>
      <w:r>
        <w:rPr>
          <w:rFonts w:ascii="仿宋_GB2312" w:eastAsia="仿宋_GB2312" w:hAnsi="仿宋_GB2312" w:cs="仿宋_GB2312" w:hint="eastAsia"/>
          <w:kern w:val="44"/>
          <w:sz w:val="28"/>
          <w:szCs w:val="28"/>
        </w:rPr>
        <w:t>910,000.00</w:t>
      </w:r>
      <w:r>
        <w:rPr>
          <w:rFonts w:ascii="仿宋_GB2312" w:eastAsia="仿宋_GB2312" w:hAnsi="仿宋_GB2312" w:cs="仿宋_GB2312" w:hint="eastAsia"/>
          <w:kern w:val="44"/>
          <w:sz w:val="28"/>
          <w:szCs w:val="28"/>
        </w:rPr>
        <w:t>元，实际到位资金</w:t>
      </w:r>
      <w:r>
        <w:rPr>
          <w:rFonts w:ascii="仿宋_GB2312" w:eastAsia="仿宋_GB2312" w:hAnsi="仿宋_GB2312" w:cs="仿宋_GB2312" w:hint="eastAsia"/>
          <w:kern w:val="44"/>
          <w:sz w:val="28"/>
          <w:szCs w:val="28"/>
        </w:rPr>
        <w:t>910,000.00</w:t>
      </w:r>
      <w:r>
        <w:rPr>
          <w:rFonts w:ascii="仿宋_GB2312" w:eastAsia="仿宋_GB2312" w:hAnsi="仿宋_GB2312" w:cs="仿宋_GB2312" w:hint="eastAsia"/>
          <w:kern w:val="44"/>
          <w:sz w:val="28"/>
          <w:szCs w:val="28"/>
        </w:rPr>
        <w:t>元，资金到位率</w:t>
      </w:r>
      <w:r>
        <w:rPr>
          <w:rFonts w:ascii="仿宋_GB2312" w:eastAsia="仿宋_GB2312" w:hAnsi="仿宋_GB2312" w:cs="仿宋_GB2312" w:hint="eastAsia"/>
          <w:kern w:val="44"/>
          <w:sz w:val="28"/>
          <w:szCs w:val="28"/>
        </w:rPr>
        <w:t>100%</w:t>
      </w:r>
      <w:r>
        <w:rPr>
          <w:rFonts w:ascii="仿宋_GB2312" w:eastAsia="仿宋_GB2312" w:hAnsi="仿宋_GB2312" w:cs="仿宋_GB2312" w:hint="eastAsia"/>
          <w:kern w:val="44"/>
          <w:sz w:val="28"/>
          <w:szCs w:val="28"/>
        </w:rPr>
        <w:t>。该项指标权重分</w:t>
      </w:r>
      <w:r>
        <w:rPr>
          <w:rFonts w:ascii="仿宋_GB2312" w:eastAsia="仿宋_GB2312" w:hAnsi="仿宋_GB2312" w:cs="仿宋_GB2312" w:hint="eastAsia"/>
          <w:kern w:val="44"/>
          <w:sz w:val="28"/>
          <w:szCs w:val="28"/>
        </w:rPr>
        <w:t>2</w:t>
      </w:r>
      <w:r>
        <w:rPr>
          <w:rFonts w:ascii="仿宋_GB2312" w:eastAsia="仿宋_GB2312" w:hAnsi="仿宋_GB2312" w:cs="仿宋_GB2312" w:hint="eastAsia"/>
          <w:kern w:val="44"/>
          <w:sz w:val="28"/>
          <w:szCs w:val="28"/>
        </w:rPr>
        <w:t>分，根据评分规则评价得分</w:t>
      </w:r>
      <w:r>
        <w:rPr>
          <w:rFonts w:ascii="仿宋_GB2312" w:eastAsia="仿宋_GB2312" w:hAnsi="仿宋_GB2312" w:cs="仿宋_GB2312" w:hint="eastAsia"/>
          <w:kern w:val="44"/>
          <w:sz w:val="28"/>
          <w:szCs w:val="28"/>
        </w:rPr>
        <w:t>2</w:t>
      </w:r>
      <w:r>
        <w:rPr>
          <w:rFonts w:ascii="仿宋_GB2312" w:eastAsia="仿宋_GB2312" w:hAnsi="仿宋_GB2312" w:cs="仿宋_GB2312" w:hint="eastAsia"/>
          <w:kern w:val="44"/>
          <w:sz w:val="28"/>
          <w:szCs w:val="28"/>
        </w:rPr>
        <w:t>分。</w:t>
      </w:r>
    </w:p>
    <w:p w:rsidR="00901C1D" w:rsidRDefault="00965F36">
      <w:pPr>
        <w:numPr>
          <w:ilvl w:val="0"/>
          <w:numId w:val="9"/>
        </w:numPr>
        <w:rPr>
          <w:rFonts w:ascii="仿宋_GB2312" w:eastAsia="仿宋_GB2312" w:hAnsi="仿宋_GB2312" w:cs="仿宋_GB2312"/>
          <w:bCs/>
          <w:kern w:val="0"/>
          <w:sz w:val="28"/>
          <w:szCs w:val="28"/>
        </w:rPr>
      </w:pPr>
      <w:bookmarkStart w:id="94" w:name="_Toc32425"/>
      <w:bookmarkStart w:id="95" w:name="_Toc26175"/>
      <w:bookmarkStart w:id="96" w:name="_Toc19603"/>
      <w:r>
        <w:rPr>
          <w:rFonts w:ascii="仿宋_GB2312" w:eastAsia="仿宋_GB2312" w:hAnsi="仿宋_GB2312" w:cs="仿宋_GB2312" w:hint="eastAsia"/>
          <w:bCs/>
          <w:kern w:val="0"/>
          <w:sz w:val="28"/>
          <w:szCs w:val="28"/>
        </w:rPr>
        <w:t>预算执行率</w:t>
      </w:r>
      <w:bookmarkEnd w:id="94"/>
      <w:bookmarkEnd w:id="95"/>
      <w:bookmarkEnd w:id="96"/>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w:t>
      </w:r>
      <w:r>
        <w:rPr>
          <w:rFonts w:ascii="仿宋_GB2312" w:eastAsia="仿宋_GB2312" w:hAnsi="仿宋_GB2312" w:cs="仿宋_GB2312" w:hint="eastAsia"/>
          <w:kern w:val="44"/>
          <w:sz w:val="28"/>
          <w:szCs w:val="28"/>
        </w:rPr>
        <w:t>2022</w:t>
      </w:r>
      <w:r>
        <w:rPr>
          <w:rFonts w:ascii="仿宋_GB2312" w:eastAsia="仿宋_GB2312" w:hAnsi="仿宋_GB2312" w:cs="仿宋_GB2312" w:hint="eastAsia"/>
          <w:kern w:val="44"/>
          <w:sz w:val="28"/>
          <w:szCs w:val="28"/>
        </w:rPr>
        <w:t>年最终获批资金预算</w:t>
      </w:r>
      <w:r>
        <w:rPr>
          <w:rFonts w:ascii="仿宋_GB2312" w:eastAsia="仿宋_GB2312" w:hAnsi="仿宋_GB2312" w:cs="仿宋_GB2312" w:hint="eastAsia"/>
          <w:kern w:val="44"/>
          <w:sz w:val="28"/>
          <w:szCs w:val="28"/>
        </w:rPr>
        <w:t>910,000.00</w:t>
      </w:r>
      <w:r>
        <w:rPr>
          <w:rFonts w:ascii="仿宋_GB2312" w:eastAsia="仿宋_GB2312" w:hAnsi="仿宋_GB2312" w:cs="仿宋_GB2312" w:hint="eastAsia"/>
          <w:kern w:val="44"/>
          <w:sz w:val="28"/>
          <w:szCs w:val="28"/>
        </w:rPr>
        <w:t>元，截至</w:t>
      </w:r>
      <w:r>
        <w:rPr>
          <w:rFonts w:ascii="仿宋_GB2312" w:eastAsia="仿宋_GB2312" w:hAnsi="仿宋_GB2312" w:cs="仿宋_GB2312" w:hint="eastAsia"/>
          <w:kern w:val="44"/>
          <w:sz w:val="28"/>
          <w:szCs w:val="28"/>
        </w:rPr>
        <w:t>2022</w:t>
      </w:r>
      <w:r>
        <w:rPr>
          <w:rFonts w:ascii="仿宋_GB2312" w:eastAsia="仿宋_GB2312" w:hAnsi="仿宋_GB2312" w:cs="仿宋_GB2312" w:hint="eastAsia"/>
          <w:kern w:val="44"/>
          <w:sz w:val="28"/>
          <w:szCs w:val="28"/>
        </w:rPr>
        <w:t>年</w:t>
      </w:r>
      <w:r>
        <w:rPr>
          <w:rFonts w:ascii="仿宋_GB2312" w:eastAsia="仿宋_GB2312" w:hAnsi="仿宋_GB2312" w:cs="仿宋_GB2312" w:hint="eastAsia"/>
          <w:kern w:val="44"/>
          <w:sz w:val="28"/>
          <w:szCs w:val="28"/>
        </w:rPr>
        <w:t>12</w:t>
      </w:r>
      <w:r>
        <w:rPr>
          <w:rFonts w:ascii="仿宋_GB2312" w:eastAsia="仿宋_GB2312" w:hAnsi="仿宋_GB2312" w:cs="仿宋_GB2312" w:hint="eastAsia"/>
          <w:kern w:val="44"/>
          <w:sz w:val="28"/>
          <w:szCs w:val="28"/>
        </w:rPr>
        <w:t>月</w:t>
      </w:r>
      <w:r>
        <w:rPr>
          <w:rFonts w:ascii="仿宋_GB2312" w:eastAsia="仿宋_GB2312" w:hAnsi="仿宋_GB2312" w:cs="仿宋_GB2312" w:hint="eastAsia"/>
          <w:kern w:val="44"/>
          <w:sz w:val="28"/>
          <w:szCs w:val="28"/>
        </w:rPr>
        <w:t>31</w:t>
      </w:r>
      <w:r>
        <w:rPr>
          <w:rFonts w:ascii="仿宋_GB2312" w:eastAsia="仿宋_GB2312" w:hAnsi="仿宋_GB2312" w:cs="仿宋_GB2312" w:hint="eastAsia"/>
          <w:kern w:val="44"/>
          <w:sz w:val="28"/>
          <w:szCs w:val="28"/>
        </w:rPr>
        <w:t>日，已实际支付资金</w:t>
      </w:r>
      <w:r>
        <w:rPr>
          <w:rFonts w:ascii="仿宋_GB2312" w:eastAsia="仿宋_GB2312" w:hAnsi="仿宋_GB2312" w:cs="仿宋_GB2312" w:hint="eastAsia"/>
          <w:kern w:val="44"/>
          <w:sz w:val="28"/>
          <w:szCs w:val="28"/>
        </w:rPr>
        <w:t>910,000.00</w:t>
      </w:r>
      <w:r>
        <w:rPr>
          <w:rFonts w:ascii="仿宋_GB2312" w:eastAsia="仿宋_GB2312" w:hAnsi="仿宋_GB2312" w:cs="仿宋_GB2312" w:hint="eastAsia"/>
          <w:kern w:val="44"/>
          <w:sz w:val="28"/>
          <w:szCs w:val="28"/>
        </w:rPr>
        <w:t>元，预算执行率为</w:t>
      </w:r>
      <w:r>
        <w:rPr>
          <w:rFonts w:ascii="仿宋_GB2312" w:eastAsia="仿宋_GB2312" w:hAnsi="仿宋_GB2312" w:cs="仿宋_GB2312" w:hint="eastAsia"/>
          <w:kern w:val="44"/>
          <w:sz w:val="28"/>
          <w:szCs w:val="28"/>
        </w:rPr>
        <w:t>100.00%</w:t>
      </w:r>
      <w:r>
        <w:rPr>
          <w:rFonts w:ascii="仿宋_GB2312" w:eastAsia="仿宋_GB2312" w:hAnsi="仿宋_GB2312" w:cs="仿宋_GB2312" w:hint="eastAsia"/>
          <w:kern w:val="44"/>
          <w:sz w:val="28"/>
          <w:szCs w:val="28"/>
        </w:rPr>
        <w:t>。</w:t>
      </w:r>
      <w:r>
        <w:rPr>
          <w:rFonts w:ascii="仿宋_GB2312" w:eastAsia="仿宋_GB2312" w:hAnsi="仿宋_GB2312" w:cs="仿宋_GB2312"/>
          <w:kern w:val="44"/>
          <w:sz w:val="28"/>
          <w:szCs w:val="28"/>
        </w:rPr>
        <w:t>该项指标权重分</w:t>
      </w:r>
      <w:r>
        <w:rPr>
          <w:rFonts w:ascii="仿宋_GB2312" w:eastAsia="仿宋_GB2312" w:hAnsi="仿宋_GB2312" w:cs="仿宋_GB2312" w:hint="eastAsia"/>
          <w:kern w:val="44"/>
          <w:sz w:val="28"/>
          <w:szCs w:val="28"/>
        </w:rPr>
        <w:t>4</w:t>
      </w:r>
      <w:r>
        <w:rPr>
          <w:rFonts w:ascii="仿宋_GB2312" w:eastAsia="仿宋_GB2312" w:hAnsi="仿宋_GB2312" w:cs="仿宋_GB2312"/>
          <w:kern w:val="44"/>
          <w:sz w:val="28"/>
          <w:szCs w:val="28"/>
        </w:rPr>
        <w:t>分，根据评分规则评价得分</w:t>
      </w:r>
      <w:r>
        <w:rPr>
          <w:rFonts w:ascii="仿宋_GB2312" w:eastAsia="仿宋_GB2312" w:hAnsi="仿宋_GB2312" w:cs="仿宋_GB2312" w:hint="eastAsia"/>
          <w:kern w:val="44"/>
          <w:sz w:val="28"/>
          <w:szCs w:val="28"/>
        </w:rPr>
        <w:t>4</w:t>
      </w:r>
      <w:r>
        <w:rPr>
          <w:rFonts w:ascii="仿宋_GB2312" w:eastAsia="仿宋_GB2312" w:hAnsi="仿宋_GB2312" w:cs="仿宋_GB2312"/>
          <w:kern w:val="44"/>
          <w:sz w:val="28"/>
          <w:szCs w:val="28"/>
        </w:rPr>
        <w:t>分。</w:t>
      </w:r>
    </w:p>
    <w:p w:rsidR="00901C1D" w:rsidRDefault="00965F36">
      <w:pPr>
        <w:numPr>
          <w:ilvl w:val="0"/>
          <w:numId w:val="9"/>
        </w:numPr>
        <w:rPr>
          <w:rFonts w:ascii="仿宋_GB2312" w:eastAsia="仿宋_GB2312" w:hAnsi="仿宋_GB2312" w:cs="仿宋_GB2312"/>
          <w:bCs/>
          <w:kern w:val="44"/>
          <w:sz w:val="28"/>
          <w:szCs w:val="28"/>
        </w:rPr>
      </w:pPr>
      <w:bookmarkStart w:id="97" w:name="_Toc7531"/>
      <w:bookmarkStart w:id="98" w:name="_Toc26289"/>
      <w:bookmarkStart w:id="99" w:name="_Toc567"/>
      <w:r>
        <w:rPr>
          <w:rFonts w:ascii="仿宋_GB2312" w:eastAsia="仿宋_GB2312" w:hAnsi="仿宋_GB2312" w:cs="仿宋_GB2312" w:hint="eastAsia"/>
          <w:bCs/>
          <w:kern w:val="44"/>
          <w:sz w:val="28"/>
          <w:szCs w:val="28"/>
        </w:rPr>
        <w:t>资金使用合规性</w:t>
      </w:r>
      <w:bookmarkEnd w:id="97"/>
      <w:bookmarkEnd w:id="98"/>
      <w:bookmarkEnd w:id="99"/>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kern w:val="44"/>
          <w:sz w:val="28"/>
          <w:szCs w:val="28"/>
        </w:rPr>
        <w:t>项目专项经费使用基本符合国家和本市财经法规，符合</w:t>
      </w:r>
      <w:r>
        <w:rPr>
          <w:rFonts w:ascii="仿宋_GB2312" w:eastAsia="仿宋_GB2312" w:hAnsi="仿宋_GB2312" w:cs="仿宋_GB2312" w:hint="eastAsia"/>
          <w:kern w:val="44"/>
          <w:sz w:val="28"/>
          <w:szCs w:val="28"/>
        </w:rPr>
        <w:t>延庆区法院</w:t>
      </w:r>
      <w:r>
        <w:rPr>
          <w:rFonts w:ascii="仿宋_GB2312" w:eastAsia="仿宋_GB2312" w:hAnsi="仿宋_GB2312" w:cs="仿宋_GB2312"/>
          <w:kern w:val="44"/>
          <w:sz w:val="28"/>
          <w:szCs w:val="28"/>
        </w:rPr>
        <w:t>财务内控规定；资金拨付有较完整的审批程序和手续，资金使用和项目规定的用途和内容相符</w:t>
      </w:r>
      <w:r>
        <w:rPr>
          <w:rFonts w:ascii="仿宋_GB2312" w:eastAsia="仿宋_GB2312" w:hAnsi="仿宋_GB2312" w:cs="仿宋_GB2312" w:hint="eastAsia"/>
          <w:kern w:val="44"/>
          <w:sz w:val="28"/>
          <w:szCs w:val="28"/>
        </w:rPr>
        <w:t>。该项指标权重分</w:t>
      </w:r>
      <w:r>
        <w:rPr>
          <w:rFonts w:ascii="仿宋_GB2312" w:eastAsia="仿宋_GB2312" w:hAnsi="仿宋_GB2312" w:cs="仿宋_GB2312" w:hint="eastAsia"/>
          <w:kern w:val="44"/>
          <w:sz w:val="28"/>
          <w:szCs w:val="28"/>
        </w:rPr>
        <w:t>4</w:t>
      </w:r>
      <w:r>
        <w:rPr>
          <w:rFonts w:ascii="仿宋_GB2312" w:eastAsia="仿宋_GB2312" w:hAnsi="仿宋_GB2312" w:cs="仿宋_GB2312" w:hint="eastAsia"/>
          <w:kern w:val="44"/>
          <w:sz w:val="28"/>
          <w:szCs w:val="28"/>
        </w:rPr>
        <w:t>分，根据评分规则评价得分</w:t>
      </w:r>
      <w:r>
        <w:rPr>
          <w:rFonts w:ascii="仿宋_GB2312" w:eastAsia="仿宋_GB2312" w:hAnsi="仿宋_GB2312" w:cs="仿宋_GB2312" w:hint="eastAsia"/>
          <w:kern w:val="44"/>
          <w:sz w:val="28"/>
          <w:szCs w:val="28"/>
        </w:rPr>
        <w:t>4.00</w:t>
      </w:r>
      <w:r>
        <w:rPr>
          <w:rFonts w:ascii="仿宋_GB2312" w:eastAsia="仿宋_GB2312" w:hAnsi="仿宋_GB2312" w:cs="仿宋_GB2312" w:hint="eastAsia"/>
          <w:kern w:val="44"/>
          <w:sz w:val="28"/>
          <w:szCs w:val="28"/>
        </w:rPr>
        <w:t>分。</w:t>
      </w:r>
    </w:p>
    <w:p w:rsidR="00901C1D" w:rsidRDefault="00965F36">
      <w:pPr>
        <w:numPr>
          <w:ilvl w:val="0"/>
          <w:numId w:val="8"/>
        </w:numPr>
        <w:spacing w:line="560" w:lineRule="exact"/>
        <w:ind w:firstLineChars="200" w:firstLine="560"/>
        <w:outlineLvl w:val="2"/>
        <w:rPr>
          <w:rFonts w:ascii="仿宋_GB2312" w:eastAsia="仿宋_GB2312" w:hAnsi="仿宋_GB2312" w:cs="仿宋_GB2312"/>
          <w:bCs/>
          <w:sz w:val="28"/>
          <w:szCs w:val="28"/>
        </w:rPr>
      </w:pPr>
      <w:bookmarkStart w:id="100" w:name="_Toc77203360"/>
      <w:r>
        <w:rPr>
          <w:rFonts w:ascii="仿宋_GB2312" w:eastAsia="仿宋_GB2312" w:hAnsi="仿宋_GB2312" w:cs="仿宋_GB2312" w:hint="eastAsia"/>
          <w:bCs/>
          <w:sz w:val="28"/>
          <w:szCs w:val="28"/>
        </w:rPr>
        <w:t>组织管理情况</w:t>
      </w:r>
      <w:bookmarkEnd w:id="100"/>
    </w:p>
    <w:p w:rsidR="00901C1D" w:rsidRDefault="00965F36">
      <w:pPr>
        <w:numPr>
          <w:ilvl w:val="2"/>
          <w:numId w:val="10"/>
        </w:numPr>
        <w:rPr>
          <w:rFonts w:ascii="仿宋_GB2312" w:eastAsia="仿宋_GB2312" w:hAnsi="仿宋_GB2312" w:cs="仿宋_GB2312"/>
          <w:bCs/>
          <w:kern w:val="0"/>
          <w:sz w:val="28"/>
          <w:szCs w:val="28"/>
        </w:rPr>
      </w:pPr>
      <w:bookmarkStart w:id="101" w:name="_Toc8558"/>
      <w:bookmarkStart w:id="102" w:name="_Toc22748"/>
      <w:bookmarkStart w:id="103" w:name="_Toc31766"/>
      <w:r>
        <w:rPr>
          <w:rFonts w:ascii="仿宋_GB2312" w:eastAsia="仿宋_GB2312" w:hAnsi="仿宋_GB2312" w:cs="仿宋_GB2312" w:hint="eastAsia"/>
          <w:bCs/>
          <w:kern w:val="0"/>
          <w:sz w:val="28"/>
          <w:szCs w:val="28"/>
        </w:rPr>
        <w:t>管理制度健全性</w:t>
      </w:r>
      <w:bookmarkEnd w:id="101"/>
      <w:bookmarkEnd w:id="102"/>
      <w:bookmarkEnd w:id="103"/>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项目单位提供了相关管理制度文件，管理制度基本合法、合规、健全。但有关信息系统运维的相关管理制度呈现不够充分。</w:t>
      </w:r>
      <w:r>
        <w:rPr>
          <w:rFonts w:ascii="仿宋_GB2312" w:eastAsia="仿宋_GB2312" w:hAnsi="仿宋_GB2312" w:cs="仿宋_GB2312"/>
          <w:kern w:val="44"/>
          <w:sz w:val="28"/>
          <w:szCs w:val="28"/>
        </w:rPr>
        <w:t>该项指标权重分</w:t>
      </w:r>
      <w:r>
        <w:rPr>
          <w:rFonts w:ascii="仿宋_GB2312" w:eastAsia="仿宋_GB2312" w:hAnsi="仿宋_GB2312" w:cs="仿宋_GB2312" w:hint="eastAsia"/>
          <w:kern w:val="44"/>
          <w:sz w:val="28"/>
          <w:szCs w:val="28"/>
        </w:rPr>
        <w:t>4</w:t>
      </w:r>
      <w:r>
        <w:rPr>
          <w:rFonts w:ascii="仿宋_GB2312" w:eastAsia="仿宋_GB2312" w:hAnsi="仿宋_GB2312" w:cs="仿宋_GB2312"/>
          <w:kern w:val="44"/>
          <w:sz w:val="28"/>
          <w:szCs w:val="28"/>
        </w:rPr>
        <w:t>分，根据评分规则评价得分</w:t>
      </w:r>
      <w:r>
        <w:rPr>
          <w:rFonts w:ascii="仿宋_GB2312" w:eastAsia="仿宋_GB2312" w:hAnsi="仿宋_GB2312" w:cs="仿宋_GB2312" w:hint="eastAsia"/>
          <w:kern w:val="44"/>
          <w:sz w:val="28"/>
          <w:szCs w:val="28"/>
        </w:rPr>
        <w:t>3.00</w:t>
      </w:r>
      <w:r>
        <w:rPr>
          <w:rFonts w:ascii="仿宋_GB2312" w:eastAsia="仿宋_GB2312" w:hAnsi="仿宋_GB2312" w:cs="仿宋_GB2312"/>
          <w:kern w:val="44"/>
          <w:sz w:val="28"/>
          <w:szCs w:val="28"/>
        </w:rPr>
        <w:t>分。</w:t>
      </w:r>
    </w:p>
    <w:p w:rsidR="00901C1D" w:rsidRDefault="00965F36">
      <w:pPr>
        <w:numPr>
          <w:ilvl w:val="2"/>
          <w:numId w:val="10"/>
        </w:numPr>
        <w:rPr>
          <w:rFonts w:ascii="仿宋_GB2312" w:eastAsia="仿宋_GB2312" w:hAnsi="仿宋_GB2312" w:cs="仿宋_GB2312"/>
          <w:bCs/>
          <w:kern w:val="0"/>
          <w:sz w:val="28"/>
          <w:szCs w:val="28"/>
        </w:rPr>
      </w:pPr>
      <w:bookmarkStart w:id="104" w:name="_Toc8657"/>
      <w:bookmarkStart w:id="105" w:name="_Toc26951"/>
      <w:bookmarkStart w:id="106" w:name="_Toc23471"/>
      <w:r>
        <w:rPr>
          <w:rFonts w:ascii="仿宋_GB2312" w:eastAsia="仿宋_GB2312" w:hAnsi="仿宋_GB2312" w:cs="仿宋_GB2312" w:hint="eastAsia"/>
          <w:bCs/>
          <w:kern w:val="0"/>
          <w:sz w:val="28"/>
          <w:szCs w:val="28"/>
        </w:rPr>
        <w:t>制度执行有效性</w:t>
      </w:r>
      <w:bookmarkEnd w:id="104"/>
      <w:bookmarkEnd w:id="105"/>
      <w:bookmarkEnd w:id="106"/>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项目运维服务商的遴选信息不充分，合同的订立不够严谨。</w:t>
      </w:r>
      <w:r>
        <w:rPr>
          <w:rFonts w:ascii="仿宋_GB2312" w:eastAsia="仿宋_GB2312" w:hAnsi="仿宋_GB2312" w:cs="仿宋_GB2312"/>
          <w:kern w:val="44"/>
          <w:sz w:val="28"/>
          <w:szCs w:val="28"/>
        </w:rPr>
        <w:t>该项指标权重分</w:t>
      </w:r>
      <w:r>
        <w:rPr>
          <w:rFonts w:ascii="仿宋_GB2312" w:eastAsia="仿宋_GB2312" w:hAnsi="仿宋_GB2312" w:cs="仿宋_GB2312" w:hint="eastAsia"/>
          <w:kern w:val="44"/>
          <w:sz w:val="28"/>
          <w:szCs w:val="28"/>
        </w:rPr>
        <w:t>4</w:t>
      </w:r>
      <w:r>
        <w:rPr>
          <w:rFonts w:ascii="仿宋_GB2312" w:eastAsia="仿宋_GB2312" w:hAnsi="仿宋_GB2312" w:cs="仿宋_GB2312"/>
          <w:kern w:val="44"/>
          <w:sz w:val="28"/>
          <w:szCs w:val="28"/>
        </w:rPr>
        <w:t>分，根据评分规则评价得分</w:t>
      </w:r>
      <w:r>
        <w:rPr>
          <w:rFonts w:ascii="仿宋_GB2312" w:eastAsia="仿宋_GB2312" w:hAnsi="仿宋_GB2312" w:cs="仿宋_GB2312" w:hint="eastAsia"/>
          <w:kern w:val="44"/>
          <w:sz w:val="28"/>
          <w:szCs w:val="28"/>
        </w:rPr>
        <w:t>2.60</w:t>
      </w:r>
      <w:r>
        <w:rPr>
          <w:rFonts w:ascii="仿宋_GB2312" w:eastAsia="仿宋_GB2312" w:hAnsi="仿宋_GB2312" w:cs="仿宋_GB2312"/>
          <w:kern w:val="44"/>
          <w:sz w:val="28"/>
          <w:szCs w:val="28"/>
        </w:rPr>
        <w:t>分。</w:t>
      </w:r>
    </w:p>
    <w:p w:rsidR="00901C1D" w:rsidRDefault="00965F36">
      <w:pPr>
        <w:numPr>
          <w:ilvl w:val="2"/>
          <w:numId w:val="10"/>
        </w:numPr>
        <w:rPr>
          <w:rFonts w:ascii="仿宋_GB2312" w:eastAsia="仿宋_GB2312" w:hAnsi="仿宋_GB2312" w:cs="仿宋_GB2312"/>
          <w:bCs/>
          <w:kern w:val="0"/>
          <w:sz w:val="28"/>
          <w:szCs w:val="28"/>
        </w:rPr>
      </w:pPr>
      <w:bookmarkStart w:id="107" w:name="_Toc32499"/>
      <w:bookmarkStart w:id="108" w:name="_Toc13188"/>
      <w:bookmarkStart w:id="109" w:name="_Toc15495"/>
      <w:r>
        <w:rPr>
          <w:rFonts w:ascii="仿宋_GB2312" w:eastAsia="仿宋_GB2312" w:hAnsi="仿宋_GB2312" w:cs="仿宋_GB2312" w:hint="eastAsia"/>
          <w:bCs/>
          <w:kern w:val="0"/>
          <w:sz w:val="28"/>
          <w:szCs w:val="28"/>
        </w:rPr>
        <w:lastRenderedPageBreak/>
        <w:t>实施方案有效性</w:t>
      </w:r>
      <w:bookmarkEnd w:id="107"/>
      <w:bookmarkEnd w:id="108"/>
      <w:bookmarkEnd w:id="109"/>
    </w:p>
    <w:p w:rsidR="00901C1D" w:rsidRDefault="00965F36">
      <w:pPr>
        <w:ind w:firstLineChars="200" w:firstLine="560"/>
        <w:rPr>
          <w:rFonts w:ascii="仿宋_GB2312" w:eastAsia="仿宋_GB2312" w:hAnsi="仿宋_GB2312" w:cs="仿宋_GB2312"/>
          <w:kern w:val="44"/>
          <w:sz w:val="32"/>
          <w:szCs w:val="32"/>
        </w:rPr>
      </w:pPr>
      <w:r>
        <w:rPr>
          <w:rFonts w:ascii="仿宋_GB2312" w:eastAsia="仿宋_GB2312" w:hAnsi="仿宋_GB2312" w:cs="仿宋_GB2312" w:hint="eastAsia"/>
          <w:bCs/>
          <w:kern w:val="0"/>
          <w:sz w:val="28"/>
          <w:szCs w:val="28"/>
        </w:rPr>
        <w:t>实施方案未能完全</w:t>
      </w:r>
      <w:r>
        <w:rPr>
          <w:rFonts w:ascii="仿宋_GB2312" w:eastAsia="仿宋_GB2312" w:hAnsi="仿宋_GB2312" w:cs="仿宋_GB2312" w:hint="eastAsia"/>
          <w:kern w:val="44"/>
          <w:sz w:val="28"/>
          <w:szCs w:val="28"/>
        </w:rPr>
        <w:t>体现出项目实施主体对项目实施全过程进行有效管理，实施方案的有效性不足。该项指标权重分</w:t>
      </w:r>
      <w:r>
        <w:rPr>
          <w:rFonts w:ascii="仿宋_GB2312" w:eastAsia="仿宋_GB2312" w:hAnsi="仿宋_GB2312" w:cs="仿宋_GB2312" w:hint="eastAsia"/>
          <w:kern w:val="44"/>
          <w:sz w:val="28"/>
          <w:szCs w:val="28"/>
        </w:rPr>
        <w:t>2</w:t>
      </w:r>
      <w:r>
        <w:rPr>
          <w:rFonts w:ascii="仿宋_GB2312" w:eastAsia="仿宋_GB2312" w:hAnsi="仿宋_GB2312" w:cs="仿宋_GB2312" w:hint="eastAsia"/>
          <w:kern w:val="44"/>
          <w:sz w:val="28"/>
          <w:szCs w:val="28"/>
        </w:rPr>
        <w:t>分，根据评分规则评价得分</w:t>
      </w:r>
      <w:r>
        <w:rPr>
          <w:rFonts w:ascii="仿宋_GB2312" w:eastAsia="仿宋_GB2312" w:hAnsi="仿宋_GB2312" w:cs="仿宋_GB2312" w:hint="eastAsia"/>
          <w:kern w:val="44"/>
          <w:sz w:val="28"/>
          <w:szCs w:val="28"/>
        </w:rPr>
        <w:t>1.72</w:t>
      </w:r>
      <w:r>
        <w:rPr>
          <w:rFonts w:ascii="仿宋_GB2312" w:eastAsia="仿宋_GB2312" w:hAnsi="仿宋_GB2312" w:cs="仿宋_GB2312" w:hint="eastAsia"/>
          <w:kern w:val="44"/>
          <w:sz w:val="28"/>
          <w:szCs w:val="28"/>
        </w:rPr>
        <w:t>分。</w:t>
      </w:r>
    </w:p>
    <w:p w:rsidR="00901C1D" w:rsidRDefault="00965F36">
      <w:pPr>
        <w:numPr>
          <w:ilvl w:val="0"/>
          <w:numId w:val="5"/>
        </w:numPr>
        <w:spacing w:line="560" w:lineRule="exact"/>
        <w:outlineLvl w:val="1"/>
        <w:rPr>
          <w:rFonts w:ascii="楷体_GB2312" w:eastAsia="楷体_GB2312" w:hAnsi="楷体_GB2312" w:cs="楷体_GB2312"/>
          <w:bCs/>
          <w:sz w:val="32"/>
          <w:szCs w:val="32"/>
        </w:rPr>
      </w:pPr>
      <w:bookmarkStart w:id="110" w:name="_Toc13844"/>
      <w:bookmarkStart w:id="111" w:name="_Toc968"/>
      <w:bookmarkStart w:id="112" w:name="_Toc32517"/>
      <w:bookmarkStart w:id="113" w:name="_Toc77203361"/>
      <w:bookmarkStart w:id="114" w:name="_Toc5531"/>
      <w:r>
        <w:rPr>
          <w:rFonts w:ascii="楷体_GB2312" w:eastAsia="楷体_GB2312" w:hAnsi="楷体_GB2312" w:cs="楷体_GB2312" w:hint="eastAsia"/>
          <w:bCs/>
          <w:sz w:val="32"/>
          <w:szCs w:val="32"/>
        </w:rPr>
        <w:t>项目产出评价分析</w:t>
      </w:r>
      <w:bookmarkEnd w:id="110"/>
      <w:bookmarkEnd w:id="111"/>
      <w:bookmarkEnd w:id="112"/>
      <w:bookmarkEnd w:id="113"/>
      <w:bookmarkEnd w:id="114"/>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产出部分从产出数量、产出质量、产出时效和产出成本四个方面共四个三级指标对项目进行考察，产出类指标分值共计</w:t>
      </w:r>
      <w:r>
        <w:rPr>
          <w:rFonts w:ascii="仿宋_GB2312" w:eastAsia="仿宋_GB2312" w:hAnsi="仿宋_GB2312" w:cs="仿宋_GB2312" w:hint="eastAsia"/>
          <w:kern w:val="44"/>
          <w:sz w:val="28"/>
          <w:szCs w:val="28"/>
        </w:rPr>
        <w:t>40</w:t>
      </w:r>
      <w:r>
        <w:rPr>
          <w:rFonts w:ascii="仿宋_GB2312" w:eastAsia="仿宋_GB2312" w:hAnsi="仿宋_GB2312" w:cs="仿宋_GB2312" w:hint="eastAsia"/>
          <w:kern w:val="44"/>
          <w:sz w:val="28"/>
          <w:szCs w:val="28"/>
        </w:rPr>
        <w:t>分，本项目得分</w:t>
      </w:r>
      <w:r>
        <w:rPr>
          <w:rFonts w:ascii="仿宋_GB2312" w:eastAsia="仿宋_GB2312" w:hAnsi="仿宋_GB2312" w:cs="仿宋_GB2312" w:hint="eastAsia"/>
          <w:kern w:val="44"/>
          <w:sz w:val="28"/>
          <w:szCs w:val="28"/>
        </w:rPr>
        <w:t>36.92</w:t>
      </w:r>
      <w:r>
        <w:rPr>
          <w:rFonts w:ascii="仿宋_GB2312" w:eastAsia="仿宋_GB2312" w:hAnsi="仿宋_GB2312" w:cs="仿宋_GB2312" w:hint="eastAsia"/>
          <w:kern w:val="44"/>
          <w:sz w:val="28"/>
          <w:szCs w:val="28"/>
        </w:rPr>
        <w:t>分，得分率为</w:t>
      </w:r>
      <w:r>
        <w:rPr>
          <w:rFonts w:ascii="仿宋_GB2312" w:eastAsia="仿宋_GB2312" w:hAnsi="仿宋_GB2312" w:cs="仿宋_GB2312" w:hint="eastAsia"/>
          <w:kern w:val="44"/>
          <w:sz w:val="28"/>
          <w:szCs w:val="28"/>
        </w:rPr>
        <w:t xml:space="preserve">92.30% </w:t>
      </w:r>
      <w:r>
        <w:rPr>
          <w:rFonts w:ascii="仿宋_GB2312" w:eastAsia="仿宋_GB2312" w:hAnsi="仿宋_GB2312" w:cs="仿宋_GB2312" w:hint="eastAsia"/>
          <w:kern w:val="44"/>
          <w:sz w:val="28"/>
          <w:szCs w:val="28"/>
        </w:rPr>
        <w:t>，具体得分情况如下表：</w:t>
      </w:r>
    </w:p>
    <w:tbl>
      <w:tblPr>
        <w:tblW w:w="8698" w:type="dxa"/>
        <w:tblInd w:w="93" w:type="dxa"/>
        <w:tblBorders>
          <w:top w:val="single" w:sz="12" w:space="0" w:color="auto"/>
          <w:bottom w:val="single" w:sz="12" w:space="0" w:color="auto"/>
          <w:insideH w:val="dotted" w:sz="4" w:space="0" w:color="auto"/>
          <w:insideV w:val="dotted" w:sz="4" w:space="0" w:color="auto"/>
        </w:tblBorders>
        <w:tblLook w:val="04A0"/>
      </w:tblPr>
      <w:tblGrid>
        <w:gridCol w:w="1080"/>
        <w:gridCol w:w="3188"/>
        <w:gridCol w:w="1080"/>
        <w:gridCol w:w="1080"/>
        <w:gridCol w:w="1080"/>
        <w:gridCol w:w="1190"/>
      </w:tblGrid>
      <w:tr w:rsidR="00901C1D">
        <w:trPr>
          <w:trHeight w:val="480"/>
        </w:trPr>
        <w:tc>
          <w:tcPr>
            <w:tcW w:w="1080"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序号</w:t>
            </w:r>
          </w:p>
        </w:tc>
        <w:tc>
          <w:tcPr>
            <w:tcW w:w="3188"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三级指标内容</w:t>
            </w:r>
          </w:p>
        </w:tc>
        <w:tc>
          <w:tcPr>
            <w:tcW w:w="1080"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权重</w:t>
            </w:r>
          </w:p>
        </w:tc>
        <w:tc>
          <w:tcPr>
            <w:tcW w:w="1080"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目标值</w:t>
            </w:r>
          </w:p>
        </w:tc>
        <w:tc>
          <w:tcPr>
            <w:tcW w:w="1080"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w:t>
            </w:r>
          </w:p>
        </w:tc>
        <w:tc>
          <w:tcPr>
            <w:tcW w:w="1190"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得分率</w:t>
            </w:r>
          </w:p>
        </w:tc>
      </w:tr>
      <w:tr w:rsidR="00901C1D">
        <w:trPr>
          <w:trHeight w:val="290"/>
        </w:trPr>
        <w:tc>
          <w:tcPr>
            <w:tcW w:w="1080"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188"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实际完成率</w:t>
            </w:r>
          </w:p>
        </w:tc>
        <w:tc>
          <w:tcPr>
            <w:tcW w:w="1080"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15</w:t>
            </w:r>
          </w:p>
        </w:tc>
        <w:tc>
          <w:tcPr>
            <w:tcW w:w="1080"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c>
          <w:tcPr>
            <w:tcW w:w="1080"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14.00 </w:t>
            </w:r>
          </w:p>
        </w:tc>
        <w:tc>
          <w:tcPr>
            <w:tcW w:w="1190"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93.33%</w:t>
            </w:r>
          </w:p>
        </w:tc>
      </w:tr>
      <w:tr w:rsidR="00901C1D">
        <w:trPr>
          <w:trHeight w:val="270"/>
        </w:trPr>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3188"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质量达标率</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15</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14.00 </w:t>
            </w:r>
          </w:p>
        </w:tc>
        <w:tc>
          <w:tcPr>
            <w:tcW w:w="119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93.33%</w:t>
            </w:r>
          </w:p>
        </w:tc>
      </w:tr>
      <w:tr w:rsidR="00901C1D">
        <w:trPr>
          <w:trHeight w:val="270"/>
        </w:trPr>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p>
        </w:tc>
        <w:tc>
          <w:tcPr>
            <w:tcW w:w="3188"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完成及时性</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5</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及时</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5.00 </w:t>
            </w:r>
          </w:p>
        </w:tc>
        <w:tc>
          <w:tcPr>
            <w:tcW w:w="119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100.00%</w:t>
            </w:r>
          </w:p>
        </w:tc>
      </w:tr>
      <w:tr w:rsidR="00901C1D">
        <w:trPr>
          <w:trHeight w:val="270"/>
        </w:trPr>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3188"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成本节约率</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5</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达标</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3.92 </w:t>
            </w:r>
          </w:p>
        </w:tc>
        <w:tc>
          <w:tcPr>
            <w:tcW w:w="119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78.40%</w:t>
            </w:r>
          </w:p>
        </w:tc>
      </w:tr>
      <w:tr w:rsidR="00901C1D">
        <w:trPr>
          <w:trHeight w:val="285"/>
        </w:trPr>
        <w:tc>
          <w:tcPr>
            <w:tcW w:w="1080" w:type="dxa"/>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 xml:space="preserve">　</w:t>
            </w:r>
          </w:p>
        </w:tc>
        <w:tc>
          <w:tcPr>
            <w:tcW w:w="3188" w:type="dxa"/>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分值合计</w:t>
            </w:r>
          </w:p>
        </w:tc>
        <w:tc>
          <w:tcPr>
            <w:tcW w:w="1080" w:type="dxa"/>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40</w:t>
            </w:r>
          </w:p>
        </w:tc>
        <w:tc>
          <w:tcPr>
            <w:tcW w:w="1080" w:type="dxa"/>
            <w:shd w:val="clear" w:color="auto" w:fill="auto"/>
            <w:vAlign w:val="center"/>
          </w:tcPr>
          <w:p w:rsidR="00901C1D" w:rsidRDefault="00965F36">
            <w:pPr>
              <w:widowControl/>
              <w:rPr>
                <w:rFonts w:ascii="仿宋" w:eastAsia="仿宋" w:hAnsi="仿宋" w:cs="宋体"/>
                <w:b/>
                <w:color w:val="000000"/>
                <w:kern w:val="0"/>
                <w:sz w:val="24"/>
                <w:szCs w:val="24"/>
              </w:rPr>
            </w:pPr>
            <w:r>
              <w:rPr>
                <w:rFonts w:ascii="仿宋" w:eastAsia="仿宋" w:hAnsi="仿宋" w:cs="宋体" w:hint="eastAsia"/>
                <w:b/>
                <w:color w:val="000000"/>
                <w:kern w:val="0"/>
                <w:sz w:val="24"/>
                <w:szCs w:val="24"/>
              </w:rPr>
              <w:t xml:space="preserve">　</w:t>
            </w:r>
          </w:p>
        </w:tc>
        <w:tc>
          <w:tcPr>
            <w:tcW w:w="1080" w:type="dxa"/>
            <w:shd w:val="clear" w:color="auto" w:fill="auto"/>
            <w:vAlign w:val="center"/>
          </w:tcPr>
          <w:p w:rsidR="00901C1D" w:rsidRDefault="00965F36">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 xml:space="preserve">36.92 </w:t>
            </w:r>
          </w:p>
        </w:tc>
        <w:tc>
          <w:tcPr>
            <w:tcW w:w="1190" w:type="dxa"/>
            <w:shd w:val="clear" w:color="auto" w:fill="auto"/>
            <w:vAlign w:val="center"/>
          </w:tcPr>
          <w:p w:rsidR="00901C1D" w:rsidRDefault="00965F36">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92.30%</w:t>
            </w:r>
          </w:p>
        </w:tc>
      </w:tr>
    </w:tbl>
    <w:p w:rsidR="00901C1D" w:rsidRDefault="00965F36">
      <w:pPr>
        <w:numPr>
          <w:ilvl w:val="0"/>
          <w:numId w:val="11"/>
        </w:numPr>
        <w:spacing w:line="560" w:lineRule="exact"/>
        <w:ind w:firstLineChars="200" w:firstLine="560"/>
        <w:outlineLvl w:val="2"/>
        <w:rPr>
          <w:rFonts w:ascii="仿宋_GB2312" w:eastAsia="仿宋_GB2312" w:hAnsi="仿宋_GB2312" w:cs="仿宋_GB2312"/>
          <w:bCs/>
          <w:sz w:val="28"/>
          <w:szCs w:val="28"/>
        </w:rPr>
      </w:pPr>
      <w:bookmarkStart w:id="115" w:name="_Toc12068"/>
      <w:bookmarkStart w:id="116" w:name="_Toc5885"/>
      <w:bookmarkStart w:id="117" w:name="_Toc30363"/>
      <w:bookmarkStart w:id="118" w:name="_Toc25502"/>
      <w:bookmarkStart w:id="119" w:name="_Toc77203362"/>
      <w:bookmarkStart w:id="120" w:name="_Toc23579"/>
      <w:bookmarkStart w:id="121" w:name="_Toc371"/>
      <w:r>
        <w:rPr>
          <w:rFonts w:ascii="仿宋_GB2312" w:eastAsia="仿宋_GB2312" w:hAnsi="仿宋_GB2312" w:cs="仿宋_GB2312" w:hint="eastAsia"/>
          <w:bCs/>
          <w:sz w:val="28"/>
          <w:szCs w:val="28"/>
        </w:rPr>
        <w:t>项目完成数量</w:t>
      </w:r>
      <w:bookmarkEnd w:id="115"/>
      <w:bookmarkEnd w:id="116"/>
      <w:bookmarkEnd w:id="117"/>
      <w:bookmarkEnd w:id="118"/>
      <w:bookmarkEnd w:id="119"/>
      <w:bookmarkEnd w:id="120"/>
      <w:bookmarkEnd w:id="121"/>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项目验收程序、相关资料的有效性不足，绩效成果的呈现不够充分。该项指标权重</w:t>
      </w:r>
      <w:r>
        <w:rPr>
          <w:rFonts w:ascii="仿宋_GB2312" w:eastAsia="仿宋_GB2312" w:hAnsi="仿宋_GB2312" w:cs="仿宋_GB2312" w:hint="eastAsia"/>
          <w:kern w:val="44"/>
          <w:sz w:val="28"/>
          <w:szCs w:val="28"/>
        </w:rPr>
        <w:t>15</w:t>
      </w:r>
      <w:r>
        <w:rPr>
          <w:rFonts w:ascii="仿宋_GB2312" w:eastAsia="仿宋_GB2312" w:hAnsi="仿宋_GB2312" w:cs="仿宋_GB2312" w:hint="eastAsia"/>
          <w:kern w:val="44"/>
          <w:sz w:val="28"/>
          <w:szCs w:val="28"/>
        </w:rPr>
        <w:t>分，根据评分规则评价得分</w:t>
      </w:r>
      <w:r>
        <w:rPr>
          <w:rFonts w:ascii="仿宋_GB2312" w:eastAsia="仿宋_GB2312" w:hAnsi="仿宋_GB2312" w:cs="仿宋_GB2312" w:hint="eastAsia"/>
          <w:kern w:val="44"/>
          <w:sz w:val="28"/>
          <w:szCs w:val="28"/>
        </w:rPr>
        <w:t>14.00</w:t>
      </w:r>
      <w:r>
        <w:rPr>
          <w:rFonts w:ascii="仿宋_GB2312" w:eastAsia="仿宋_GB2312" w:hAnsi="仿宋_GB2312" w:cs="仿宋_GB2312" w:hint="eastAsia"/>
          <w:kern w:val="44"/>
          <w:sz w:val="28"/>
          <w:szCs w:val="28"/>
        </w:rPr>
        <w:t>分。</w:t>
      </w:r>
    </w:p>
    <w:p w:rsidR="00901C1D" w:rsidRDefault="00965F36">
      <w:pPr>
        <w:numPr>
          <w:ilvl w:val="0"/>
          <w:numId w:val="11"/>
        </w:numPr>
        <w:spacing w:line="560" w:lineRule="exact"/>
        <w:ind w:firstLineChars="200" w:firstLine="560"/>
        <w:outlineLvl w:val="2"/>
        <w:rPr>
          <w:rFonts w:ascii="仿宋_GB2312" w:eastAsia="仿宋_GB2312" w:hAnsi="仿宋_GB2312" w:cs="仿宋_GB2312"/>
          <w:bCs/>
          <w:sz w:val="28"/>
          <w:szCs w:val="28"/>
        </w:rPr>
      </w:pPr>
      <w:bookmarkStart w:id="122" w:name="_Toc7442"/>
      <w:bookmarkStart w:id="123" w:name="_Toc77203363"/>
      <w:bookmarkStart w:id="124" w:name="_Toc27027"/>
      <w:bookmarkStart w:id="125" w:name="_Toc384"/>
      <w:bookmarkStart w:id="126" w:name="_Toc29327"/>
      <w:r>
        <w:rPr>
          <w:rFonts w:ascii="仿宋_GB2312" w:eastAsia="仿宋_GB2312" w:hAnsi="仿宋_GB2312" w:cs="仿宋_GB2312" w:hint="eastAsia"/>
          <w:bCs/>
          <w:sz w:val="28"/>
          <w:szCs w:val="28"/>
        </w:rPr>
        <w:t>项目效率性分析</w:t>
      </w:r>
      <w:bookmarkEnd w:id="122"/>
      <w:bookmarkEnd w:id="123"/>
      <w:bookmarkEnd w:id="124"/>
      <w:bookmarkEnd w:id="125"/>
      <w:bookmarkEnd w:id="126"/>
    </w:p>
    <w:p w:rsidR="00901C1D" w:rsidRDefault="00965F36">
      <w:pPr>
        <w:ind w:firstLineChars="200" w:firstLine="560"/>
        <w:rPr>
          <w:rFonts w:ascii="仿宋_GB2312" w:eastAsia="仿宋_GB2312" w:hAnsi="仿宋_GB2312" w:cs="仿宋_GB2312"/>
          <w:bCs/>
          <w:kern w:val="44"/>
          <w:sz w:val="28"/>
          <w:szCs w:val="28"/>
        </w:rPr>
      </w:pPr>
      <w:r>
        <w:rPr>
          <w:rFonts w:ascii="仿宋_GB2312" w:eastAsia="仿宋_GB2312" w:hAnsi="仿宋_GB2312" w:cs="仿宋_GB2312" w:hint="eastAsia"/>
          <w:bCs/>
          <w:kern w:val="44"/>
          <w:sz w:val="28"/>
          <w:szCs w:val="28"/>
        </w:rPr>
        <w:t>（</w:t>
      </w:r>
      <w:r>
        <w:rPr>
          <w:rFonts w:ascii="仿宋_GB2312" w:eastAsia="仿宋_GB2312" w:hAnsi="仿宋_GB2312" w:cs="仿宋_GB2312" w:hint="eastAsia"/>
          <w:bCs/>
          <w:kern w:val="44"/>
          <w:sz w:val="28"/>
          <w:szCs w:val="28"/>
        </w:rPr>
        <w:t>1</w:t>
      </w:r>
      <w:r>
        <w:rPr>
          <w:rFonts w:ascii="仿宋_GB2312" w:eastAsia="仿宋_GB2312" w:hAnsi="仿宋_GB2312" w:cs="仿宋_GB2312" w:hint="eastAsia"/>
          <w:bCs/>
          <w:kern w:val="44"/>
          <w:sz w:val="28"/>
          <w:szCs w:val="28"/>
        </w:rPr>
        <w:t>）项目完成质量</w:t>
      </w:r>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缺乏信息系统运维的明确质量标准，项目验收的有效性不足。该项指标权重</w:t>
      </w:r>
      <w:r>
        <w:rPr>
          <w:rFonts w:ascii="仿宋_GB2312" w:eastAsia="仿宋_GB2312" w:hAnsi="仿宋_GB2312" w:cs="仿宋_GB2312" w:hint="eastAsia"/>
          <w:kern w:val="44"/>
          <w:sz w:val="28"/>
          <w:szCs w:val="28"/>
        </w:rPr>
        <w:t>15</w:t>
      </w:r>
      <w:r>
        <w:rPr>
          <w:rFonts w:ascii="仿宋_GB2312" w:eastAsia="仿宋_GB2312" w:hAnsi="仿宋_GB2312" w:cs="仿宋_GB2312" w:hint="eastAsia"/>
          <w:kern w:val="44"/>
          <w:sz w:val="28"/>
          <w:szCs w:val="28"/>
        </w:rPr>
        <w:t>分，根据评分规则评价得分</w:t>
      </w:r>
      <w:r>
        <w:rPr>
          <w:rFonts w:ascii="仿宋_GB2312" w:eastAsia="仿宋_GB2312" w:hAnsi="仿宋_GB2312" w:cs="仿宋_GB2312" w:hint="eastAsia"/>
          <w:kern w:val="44"/>
          <w:sz w:val="28"/>
          <w:szCs w:val="28"/>
        </w:rPr>
        <w:t>14.00</w:t>
      </w:r>
      <w:r>
        <w:rPr>
          <w:rFonts w:ascii="仿宋_GB2312" w:eastAsia="仿宋_GB2312" w:hAnsi="仿宋_GB2312" w:cs="仿宋_GB2312" w:hint="eastAsia"/>
          <w:kern w:val="44"/>
          <w:sz w:val="28"/>
          <w:szCs w:val="28"/>
        </w:rPr>
        <w:t>分。</w:t>
      </w:r>
    </w:p>
    <w:p w:rsidR="00901C1D" w:rsidRDefault="00965F36">
      <w:pPr>
        <w:ind w:left="400" w:firstLineChars="100" w:firstLine="280"/>
        <w:rPr>
          <w:rFonts w:ascii="仿宋_GB2312" w:eastAsia="仿宋_GB2312" w:hAnsi="仿宋_GB2312" w:cs="仿宋_GB2312"/>
          <w:bCs/>
          <w:kern w:val="44"/>
          <w:sz w:val="28"/>
          <w:szCs w:val="28"/>
        </w:rPr>
      </w:pPr>
      <w:r>
        <w:rPr>
          <w:rFonts w:ascii="仿宋_GB2312" w:eastAsia="仿宋_GB2312" w:hAnsi="仿宋_GB2312" w:cs="仿宋_GB2312" w:hint="eastAsia"/>
          <w:bCs/>
          <w:kern w:val="44"/>
          <w:sz w:val="28"/>
          <w:szCs w:val="28"/>
        </w:rPr>
        <w:t>（</w:t>
      </w:r>
      <w:r>
        <w:rPr>
          <w:rFonts w:ascii="仿宋_GB2312" w:eastAsia="仿宋_GB2312" w:hAnsi="仿宋_GB2312" w:cs="仿宋_GB2312" w:hint="eastAsia"/>
          <w:bCs/>
          <w:kern w:val="44"/>
          <w:sz w:val="28"/>
          <w:szCs w:val="28"/>
        </w:rPr>
        <w:t>2</w:t>
      </w:r>
      <w:r>
        <w:rPr>
          <w:rFonts w:ascii="仿宋_GB2312" w:eastAsia="仿宋_GB2312" w:hAnsi="仿宋_GB2312" w:cs="仿宋_GB2312" w:hint="eastAsia"/>
          <w:bCs/>
          <w:kern w:val="44"/>
          <w:sz w:val="28"/>
          <w:szCs w:val="28"/>
        </w:rPr>
        <w:t>）项目的实施进度</w:t>
      </w:r>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项目在年度内按计划完成。</w:t>
      </w:r>
      <w:r>
        <w:rPr>
          <w:rFonts w:ascii="仿宋_GB2312" w:eastAsia="仿宋_GB2312" w:hAnsi="仿宋_GB2312" w:cs="仿宋_GB2312"/>
          <w:kern w:val="44"/>
          <w:sz w:val="28"/>
          <w:szCs w:val="28"/>
        </w:rPr>
        <w:t>该项指标权重</w:t>
      </w:r>
      <w:r>
        <w:rPr>
          <w:rFonts w:ascii="仿宋_GB2312" w:eastAsia="仿宋_GB2312" w:hAnsi="仿宋_GB2312" w:cs="仿宋_GB2312"/>
          <w:kern w:val="44"/>
          <w:sz w:val="28"/>
          <w:szCs w:val="28"/>
        </w:rPr>
        <w:t>5</w:t>
      </w:r>
      <w:r>
        <w:rPr>
          <w:rFonts w:ascii="仿宋_GB2312" w:eastAsia="仿宋_GB2312" w:hAnsi="仿宋_GB2312" w:cs="仿宋_GB2312"/>
          <w:kern w:val="44"/>
          <w:sz w:val="28"/>
          <w:szCs w:val="28"/>
        </w:rPr>
        <w:t>分，根据评分规则评价得分</w:t>
      </w:r>
      <w:r>
        <w:rPr>
          <w:rFonts w:ascii="仿宋_GB2312" w:eastAsia="仿宋_GB2312" w:hAnsi="仿宋_GB2312" w:cs="仿宋_GB2312" w:hint="eastAsia"/>
          <w:kern w:val="44"/>
          <w:sz w:val="28"/>
          <w:szCs w:val="28"/>
        </w:rPr>
        <w:t>5.00</w:t>
      </w:r>
      <w:r>
        <w:rPr>
          <w:rFonts w:ascii="仿宋_GB2312" w:eastAsia="仿宋_GB2312" w:hAnsi="仿宋_GB2312" w:cs="仿宋_GB2312"/>
          <w:kern w:val="44"/>
          <w:sz w:val="28"/>
          <w:szCs w:val="28"/>
        </w:rPr>
        <w:t>分。</w:t>
      </w:r>
    </w:p>
    <w:p w:rsidR="00901C1D" w:rsidRDefault="00965F36">
      <w:pPr>
        <w:numPr>
          <w:ilvl w:val="0"/>
          <w:numId w:val="11"/>
        </w:numPr>
        <w:spacing w:line="560" w:lineRule="exact"/>
        <w:ind w:firstLineChars="200" w:firstLine="560"/>
        <w:outlineLvl w:val="2"/>
        <w:rPr>
          <w:rFonts w:ascii="仿宋_GB2312" w:eastAsia="仿宋_GB2312" w:hAnsi="仿宋_GB2312" w:cs="仿宋_GB2312"/>
          <w:bCs/>
          <w:sz w:val="28"/>
          <w:szCs w:val="28"/>
        </w:rPr>
      </w:pPr>
      <w:bookmarkStart w:id="127" w:name="_Toc18244"/>
      <w:bookmarkStart w:id="128" w:name="_Toc1484"/>
      <w:bookmarkStart w:id="129" w:name="_Toc25211"/>
      <w:bookmarkStart w:id="130" w:name="_Toc14040"/>
      <w:bookmarkStart w:id="131" w:name="_Toc4559"/>
      <w:bookmarkStart w:id="132" w:name="_Toc32143"/>
      <w:bookmarkStart w:id="133" w:name="_Toc77203364"/>
      <w:r>
        <w:rPr>
          <w:rFonts w:ascii="仿宋_GB2312" w:eastAsia="仿宋_GB2312" w:hAnsi="仿宋_GB2312" w:cs="仿宋_GB2312" w:hint="eastAsia"/>
          <w:bCs/>
          <w:sz w:val="28"/>
          <w:szCs w:val="28"/>
        </w:rPr>
        <w:t>项目产出成本</w:t>
      </w:r>
      <w:bookmarkEnd w:id="127"/>
      <w:bookmarkEnd w:id="128"/>
      <w:r>
        <w:rPr>
          <w:rFonts w:ascii="仿宋_GB2312" w:eastAsia="仿宋_GB2312" w:hAnsi="仿宋_GB2312" w:cs="仿宋_GB2312" w:hint="eastAsia"/>
          <w:bCs/>
          <w:sz w:val="28"/>
          <w:szCs w:val="28"/>
        </w:rPr>
        <w:t>节约率</w:t>
      </w:r>
      <w:bookmarkEnd w:id="129"/>
      <w:bookmarkEnd w:id="130"/>
      <w:bookmarkEnd w:id="131"/>
      <w:bookmarkEnd w:id="132"/>
      <w:bookmarkEnd w:id="133"/>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lastRenderedPageBreak/>
        <w:t>2022</w:t>
      </w:r>
      <w:r>
        <w:rPr>
          <w:rFonts w:ascii="仿宋_GB2312" w:eastAsia="仿宋_GB2312" w:hAnsi="仿宋_GB2312" w:cs="仿宋_GB2312" w:hint="eastAsia"/>
          <w:kern w:val="44"/>
          <w:sz w:val="28"/>
          <w:szCs w:val="28"/>
        </w:rPr>
        <w:t>年批复项目资金</w:t>
      </w:r>
      <w:r>
        <w:rPr>
          <w:rFonts w:ascii="仿宋_GB2312" w:eastAsia="仿宋_GB2312" w:hAnsi="仿宋_GB2312" w:cs="仿宋_GB2312" w:hint="eastAsia"/>
          <w:kern w:val="44"/>
          <w:sz w:val="28"/>
          <w:szCs w:val="28"/>
        </w:rPr>
        <w:t>910,000.00</w:t>
      </w:r>
      <w:r>
        <w:rPr>
          <w:rFonts w:ascii="仿宋_GB2312" w:eastAsia="仿宋_GB2312" w:hAnsi="仿宋_GB2312" w:cs="仿宋_GB2312" w:hint="eastAsia"/>
          <w:kern w:val="44"/>
          <w:sz w:val="28"/>
          <w:szCs w:val="28"/>
        </w:rPr>
        <w:t>元，截至</w:t>
      </w:r>
      <w:r>
        <w:rPr>
          <w:rFonts w:ascii="仿宋_GB2312" w:eastAsia="仿宋_GB2312" w:hAnsi="仿宋_GB2312" w:cs="仿宋_GB2312" w:hint="eastAsia"/>
          <w:kern w:val="44"/>
          <w:sz w:val="28"/>
          <w:szCs w:val="28"/>
        </w:rPr>
        <w:t>2022</w:t>
      </w:r>
      <w:r>
        <w:rPr>
          <w:rFonts w:ascii="仿宋_GB2312" w:eastAsia="仿宋_GB2312" w:hAnsi="仿宋_GB2312" w:cs="仿宋_GB2312" w:hint="eastAsia"/>
          <w:kern w:val="44"/>
          <w:sz w:val="28"/>
          <w:szCs w:val="28"/>
        </w:rPr>
        <w:t>年</w:t>
      </w:r>
      <w:r>
        <w:rPr>
          <w:rFonts w:ascii="仿宋_GB2312" w:eastAsia="仿宋_GB2312" w:hAnsi="仿宋_GB2312" w:cs="仿宋_GB2312" w:hint="eastAsia"/>
          <w:kern w:val="44"/>
          <w:sz w:val="28"/>
          <w:szCs w:val="28"/>
        </w:rPr>
        <w:t>12</w:t>
      </w:r>
      <w:r>
        <w:rPr>
          <w:rFonts w:ascii="仿宋_GB2312" w:eastAsia="仿宋_GB2312" w:hAnsi="仿宋_GB2312" w:cs="仿宋_GB2312" w:hint="eastAsia"/>
          <w:kern w:val="44"/>
          <w:sz w:val="28"/>
          <w:szCs w:val="28"/>
        </w:rPr>
        <w:t>月</w:t>
      </w:r>
      <w:r>
        <w:rPr>
          <w:rFonts w:ascii="仿宋_GB2312" w:eastAsia="仿宋_GB2312" w:hAnsi="仿宋_GB2312" w:cs="仿宋_GB2312" w:hint="eastAsia"/>
          <w:kern w:val="44"/>
          <w:sz w:val="28"/>
          <w:szCs w:val="28"/>
        </w:rPr>
        <w:t>31</w:t>
      </w:r>
      <w:r>
        <w:rPr>
          <w:rFonts w:ascii="仿宋_GB2312" w:eastAsia="仿宋_GB2312" w:hAnsi="仿宋_GB2312" w:cs="仿宋_GB2312" w:hint="eastAsia"/>
          <w:kern w:val="44"/>
          <w:sz w:val="28"/>
          <w:szCs w:val="28"/>
        </w:rPr>
        <w:t>日已支付资金</w:t>
      </w:r>
      <w:r>
        <w:rPr>
          <w:rFonts w:ascii="仿宋_GB2312" w:eastAsia="仿宋_GB2312" w:hAnsi="仿宋_GB2312" w:cs="仿宋_GB2312" w:hint="eastAsia"/>
          <w:kern w:val="44"/>
          <w:sz w:val="28"/>
          <w:szCs w:val="28"/>
        </w:rPr>
        <w:t>910,000.00</w:t>
      </w:r>
      <w:r>
        <w:rPr>
          <w:rFonts w:ascii="仿宋_GB2312" w:eastAsia="仿宋_GB2312" w:hAnsi="仿宋_GB2312" w:cs="仿宋_GB2312" w:hint="eastAsia"/>
          <w:kern w:val="44"/>
          <w:sz w:val="28"/>
          <w:szCs w:val="28"/>
        </w:rPr>
        <w:t>元，预算执行率为</w:t>
      </w:r>
      <w:r>
        <w:rPr>
          <w:rFonts w:ascii="仿宋_GB2312" w:eastAsia="仿宋_GB2312" w:hAnsi="仿宋_GB2312" w:cs="仿宋_GB2312" w:hint="eastAsia"/>
          <w:kern w:val="44"/>
          <w:sz w:val="28"/>
          <w:szCs w:val="28"/>
        </w:rPr>
        <w:t>100.00%</w:t>
      </w:r>
      <w:r>
        <w:rPr>
          <w:rFonts w:ascii="仿宋_GB2312" w:eastAsia="仿宋_GB2312" w:hAnsi="仿宋_GB2312" w:cs="仿宋_GB2312" w:hint="eastAsia"/>
          <w:kern w:val="44"/>
          <w:sz w:val="28"/>
          <w:szCs w:val="28"/>
        </w:rPr>
        <w:t>，资金节约率为</w:t>
      </w:r>
      <w:r>
        <w:rPr>
          <w:rFonts w:ascii="仿宋_GB2312" w:eastAsia="仿宋_GB2312" w:hAnsi="仿宋_GB2312" w:cs="仿宋_GB2312" w:hint="eastAsia"/>
          <w:kern w:val="44"/>
          <w:sz w:val="28"/>
          <w:szCs w:val="28"/>
        </w:rPr>
        <w:t>0.00%</w:t>
      </w:r>
      <w:r>
        <w:rPr>
          <w:rFonts w:ascii="仿宋_GB2312" w:eastAsia="仿宋_GB2312" w:hAnsi="仿宋_GB2312" w:cs="仿宋_GB2312" w:hint="eastAsia"/>
          <w:kern w:val="44"/>
          <w:sz w:val="28"/>
          <w:szCs w:val="28"/>
        </w:rPr>
        <w:t>。项目成本控制措施不够明确，对于延续性项目的成本测算信息不足。该项指标权重分</w:t>
      </w:r>
      <w:r>
        <w:rPr>
          <w:rFonts w:ascii="仿宋_GB2312" w:eastAsia="仿宋_GB2312" w:hAnsi="仿宋_GB2312" w:cs="仿宋_GB2312" w:hint="eastAsia"/>
          <w:kern w:val="44"/>
          <w:sz w:val="28"/>
          <w:szCs w:val="28"/>
        </w:rPr>
        <w:t>5</w:t>
      </w:r>
      <w:r>
        <w:rPr>
          <w:rFonts w:ascii="仿宋_GB2312" w:eastAsia="仿宋_GB2312" w:hAnsi="仿宋_GB2312" w:cs="仿宋_GB2312" w:hint="eastAsia"/>
          <w:kern w:val="44"/>
          <w:sz w:val="28"/>
          <w:szCs w:val="28"/>
        </w:rPr>
        <w:t>分，根据评分规则评价得分</w:t>
      </w:r>
      <w:r>
        <w:rPr>
          <w:rFonts w:ascii="仿宋_GB2312" w:eastAsia="仿宋_GB2312" w:hAnsi="仿宋_GB2312" w:cs="仿宋_GB2312" w:hint="eastAsia"/>
          <w:kern w:val="44"/>
          <w:sz w:val="28"/>
          <w:szCs w:val="28"/>
        </w:rPr>
        <w:t>3.92</w:t>
      </w:r>
      <w:r>
        <w:rPr>
          <w:rFonts w:ascii="仿宋_GB2312" w:eastAsia="仿宋_GB2312" w:hAnsi="仿宋_GB2312" w:cs="仿宋_GB2312" w:hint="eastAsia"/>
          <w:kern w:val="44"/>
          <w:sz w:val="28"/>
          <w:szCs w:val="28"/>
        </w:rPr>
        <w:t>分。</w:t>
      </w:r>
    </w:p>
    <w:p w:rsidR="00901C1D" w:rsidRDefault="00965F36">
      <w:pPr>
        <w:numPr>
          <w:ilvl w:val="0"/>
          <w:numId w:val="5"/>
        </w:numPr>
        <w:spacing w:line="560" w:lineRule="exact"/>
        <w:outlineLvl w:val="1"/>
        <w:rPr>
          <w:rFonts w:ascii="楷体_GB2312" w:eastAsia="楷体_GB2312" w:hAnsi="楷体_GB2312" w:cs="楷体_GB2312"/>
          <w:bCs/>
          <w:sz w:val="32"/>
          <w:szCs w:val="32"/>
        </w:rPr>
      </w:pPr>
      <w:bookmarkStart w:id="134" w:name="_Toc26692"/>
      <w:bookmarkStart w:id="135" w:name="_Toc10930"/>
      <w:bookmarkStart w:id="136" w:name="_Toc77203365"/>
      <w:bookmarkStart w:id="137" w:name="_Toc24895"/>
      <w:bookmarkStart w:id="138" w:name="_Toc27826"/>
      <w:r>
        <w:rPr>
          <w:rFonts w:ascii="楷体_GB2312" w:eastAsia="楷体_GB2312" w:hAnsi="楷体_GB2312" w:cs="楷体_GB2312" w:hint="eastAsia"/>
          <w:bCs/>
          <w:sz w:val="32"/>
          <w:szCs w:val="32"/>
        </w:rPr>
        <w:t>项目效益性分析</w:t>
      </w:r>
      <w:bookmarkEnd w:id="134"/>
      <w:bookmarkEnd w:id="135"/>
      <w:bookmarkEnd w:id="136"/>
      <w:bookmarkEnd w:id="137"/>
      <w:bookmarkEnd w:id="138"/>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效益部分从实施效益和服务对象满意度两个方面两个三级指标对项目进行考察，其中实施效益包括经济、社会和可持续影响，效益类指标共计</w:t>
      </w:r>
      <w:r>
        <w:rPr>
          <w:rFonts w:ascii="仿宋_GB2312" w:eastAsia="仿宋_GB2312" w:hAnsi="仿宋_GB2312" w:cs="仿宋_GB2312" w:hint="eastAsia"/>
          <w:kern w:val="44"/>
          <w:sz w:val="28"/>
          <w:szCs w:val="28"/>
        </w:rPr>
        <w:t>30</w:t>
      </w:r>
      <w:r>
        <w:rPr>
          <w:rFonts w:ascii="仿宋_GB2312" w:eastAsia="仿宋_GB2312" w:hAnsi="仿宋_GB2312" w:cs="仿宋_GB2312" w:hint="eastAsia"/>
          <w:kern w:val="44"/>
          <w:sz w:val="28"/>
          <w:szCs w:val="28"/>
        </w:rPr>
        <w:t>分，本项目实际得分</w:t>
      </w:r>
      <w:r>
        <w:rPr>
          <w:rFonts w:ascii="仿宋_GB2312" w:eastAsia="仿宋_GB2312" w:hAnsi="仿宋_GB2312" w:cs="仿宋_GB2312" w:hint="eastAsia"/>
          <w:kern w:val="44"/>
          <w:sz w:val="28"/>
          <w:szCs w:val="28"/>
        </w:rPr>
        <w:t>24.8</w:t>
      </w:r>
      <w:r>
        <w:rPr>
          <w:rFonts w:ascii="仿宋_GB2312" w:eastAsia="仿宋_GB2312" w:hAnsi="仿宋_GB2312" w:cs="仿宋_GB2312" w:hint="eastAsia"/>
          <w:kern w:val="44"/>
          <w:sz w:val="28"/>
          <w:szCs w:val="28"/>
        </w:rPr>
        <w:t>分，得分率</w:t>
      </w:r>
      <w:r>
        <w:rPr>
          <w:rFonts w:ascii="仿宋_GB2312" w:eastAsia="仿宋_GB2312" w:hAnsi="仿宋_GB2312" w:cs="仿宋_GB2312" w:hint="eastAsia"/>
          <w:kern w:val="44"/>
          <w:sz w:val="28"/>
          <w:szCs w:val="28"/>
        </w:rPr>
        <w:t>82.67%</w:t>
      </w:r>
      <w:r>
        <w:rPr>
          <w:rFonts w:ascii="仿宋_GB2312" w:eastAsia="仿宋_GB2312" w:hAnsi="仿宋_GB2312" w:cs="仿宋_GB2312" w:hint="eastAsia"/>
          <w:kern w:val="44"/>
          <w:sz w:val="28"/>
          <w:szCs w:val="28"/>
        </w:rPr>
        <w:t>。各指标的实际得分情况如下表：</w:t>
      </w:r>
    </w:p>
    <w:tbl>
      <w:tblPr>
        <w:tblW w:w="8379" w:type="dxa"/>
        <w:tblInd w:w="93" w:type="dxa"/>
        <w:tblBorders>
          <w:top w:val="single" w:sz="12" w:space="0" w:color="auto"/>
          <w:bottom w:val="single" w:sz="12" w:space="0" w:color="auto"/>
          <w:insideH w:val="dotted" w:sz="4" w:space="0" w:color="auto"/>
          <w:insideV w:val="dotted" w:sz="4" w:space="0" w:color="auto"/>
        </w:tblBorders>
        <w:tblLook w:val="04A0"/>
      </w:tblPr>
      <w:tblGrid>
        <w:gridCol w:w="1080"/>
        <w:gridCol w:w="2763"/>
        <w:gridCol w:w="1080"/>
        <w:gridCol w:w="1080"/>
        <w:gridCol w:w="1080"/>
        <w:gridCol w:w="1296"/>
      </w:tblGrid>
      <w:tr w:rsidR="00901C1D">
        <w:trPr>
          <w:trHeight w:val="480"/>
        </w:trPr>
        <w:tc>
          <w:tcPr>
            <w:tcW w:w="1080"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序号</w:t>
            </w:r>
          </w:p>
        </w:tc>
        <w:tc>
          <w:tcPr>
            <w:tcW w:w="2763"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三级指标内容</w:t>
            </w:r>
          </w:p>
        </w:tc>
        <w:tc>
          <w:tcPr>
            <w:tcW w:w="1080"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权重</w:t>
            </w:r>
          </w:p>
        </w:tc>
        <w:tc>
          <w:tcPr>
            <w:tcW w:w="1080"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目标值</w:t>
            </w:r>
          </w:p>
        </w:tc>
        <w:tc>
          <w:tcPr>
            <w:tcW w:w="1080"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w:t>
            </w:r>
          </w:p>
        </w:tc>
        <w:tc>
          <w:tcPr>
            <w:tcW w:w="1296" w:type="dxa"/>
            <w:tcBorders>
              <w:top w:val="single" w:sz="12" w:space="0" w:color="auto"/>
              <w:bottom w:val="single" w:sz="6" w:space="0" w:color="auto"/>
            </w:tcBorders>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得分率</w:t>
            </w:r>
          </w:p>
        </w:tc>
      </w:tr>
      <w:tr w:rsidR="00901C1D">
        <w:trPr>
          <w:trHeight w:val="270"/>
        </w:trPr>
        <w:tc>
          <w:tcPr>
            <w:tcW w:w="1080"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2763"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实施效益</w:t>
            </w:r>
          </w:p>
        </w:tc>
        <w:tc>
          <w:tcPr>
            <w:tcW w:w="1080"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20</w:t>
            </w:r>
          </w:p>
        </w:tc>
        <w:tc>
          <w:tcPr>
            <w:tcW w:w="1080"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c>
          <w:tcPr>
            <w:tcW w:w="1080"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18.80 </w:t>
            </w:r>
          </w:p>
        </w:tc>
        <w:tc>
          <w:tcPr>
            <w:tcW w:w="1296" w:type="dxa"/>
            <w:tcBorders>
              <w:top w:val="single" w:sz="6" w:space="0" w:color="auto"/>
            </w:tcBorders>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94.00%</w:t>
            </w:r>
          </w:p>
        </w:tc>
      </w:tr>
      <w:tr w:rsidR="00901C1D">
        <w:trPr>
          <w:trHeight w:val="270"/>
        </w:trPr>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2763"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满意度</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c>
          <w:tcPr>
            <w:tcW w:w="1080"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6.00 </w:t>
            </w:r>
          </w:p>
        </w:tc>
        <w:tc>
          <w:tcPr>
            <w:tcW w:w="1296" w:type="dxa"/>
            <w:shd w:val="clear" w:color="auto" w:fill="auto"/>
            <w:vAlign w:val="center"/>
          </w:tcPr>
          <w:p w:rsidR="00901C1D" w:rsidRDefault="00965F36">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60.00%</w:t>
            </w:r>
          </w:p>
        </w:tc>
      </w:tr>
      <w:tr w:rsidR="00901C1D">
        <w:trPr>
          <w:trHeight w:val="285"/>
        </w:trPr>
        <w:tc>
          <w:tcPr>
            <w:tcW w:w="1080" w:type="dxa"/>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 xml:space="preserve">　</w:t>
            </w:r>
          </w:p>
        </w:tc>
        <w:tc>
          <w:tcPr>
            <w:tcW w:w="2763" w:type="dxa"/>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分值合计</w:t>
            </w:r>
          </w:p>
        </w:tc>
        <w:tc>
          <w:tcPr>
            <w:tcW w:w="1080" w:type="dxa"/>
            <w:shd w:val="clear" w:color="auto" w:fill="auto"/>
            <w:vAlign w:val="center"/>
          </w:tcPr>
          <w:p w:rsidR="00901C1D" w:rsidRDefault="00965F36">
            <w:pPr>
              <w:widowControl/>
              <w:jc w:val="center"/>
              <w:rPr>
                <w:rFonts w:ascii="仿宋" w:eastAsia="仿宋" w:hAnsi="仿宋" w:cs="宋体"/>
                <w:b/>
                <w:color w:val="000000"/>
                <w:kern w:val="0"/>
                <w:sz w:val="24"/>
                <w:szCs w:val="24"/>
              </w:rPr>
            </w:pPr>
            <w:r>
              <w:rPr>
                <w:rFonts w:ascii="仿宋" w:eastAsia="仿宋" w:hAnsi="仿宋" w:cs="宋体" w:hint="eastAsia"/>
                <w:b/>
                <w:color w:val="000000"/>
                <w:kern w:val="0"/>
                <w:sz w:val="24"/>
                <w:szCs w:val="24"/>
              </w:rPr>
              <w:t>30</w:t>
            </w:r>
          </w:p>
        </w:tc>
        <w:tc>
          <w:tcPr>
            <w:tcW w:w="1080" w:type="dxa"/>
            <w:shd w:val="clear" w:color="auto" w:fill="auto"/>
            <w:vAlign w:val="center"/>
          </w:tcPr>
          <w:p w:rsidR="00901C1D" w:rsidRDefault="00965F36">
            <w:pPr>
              <w:widowControl/>
              <w:rPr>
                <w:rFonts w:ascii="仿宋" w:eastAsia="仿宋" w:hAnsi="仿宋" w:cs="宋体"/>
                <w:b/>
                <w:color w:val="000000"/>
                <w:kern w:val="0"/>
                <w:sz w:val="24"/>
                <w:szCs w:val="24"/>
              </w:rPr>
            </w:pPr>
            <w:r>
              <w:rPr>
                <w:rFonts w:ascii="仿宋" w:eastAsia="仿宋" w:hAnsi="仿宋" w:cs="宋体" w:hint="eastAsia"/>
                <w:b/>
                <w:color w:val="000000"/>
                <w:kern w:val="0"/>
                <w:sz w:val="24"/>
                <w:szCs w:val="24"/>
              </w:rPr>
              <w:t xml:space="preserve">　</w:t>
            </w:r>
          </w:p>
        </w:tc>
        <w:tc>
          <w:tcPr>
            <w:tcW w:w="1080" w:type="dxa"/>
            <w:shd w:val="clear" w:color="auto" w:fill="auto"/>
            <w:vAlign w:val="center"/>
          </w:tcPr>
          <w:p w:rsidR="00901C1D" w:rsidRDefault="00965F36">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 xml:space="preserve">24.80 </w:t>
            </w:r>
          </w:p>
        </w:tc>
        <w:tc>
          <w:tcPr>
            <w:tcW w:w="1296" w:type="dxa"/>
            <w:shd w:val="clear" w:color="auto" w:fill="auto"/>
            <w:vAlign w:val="center"/>
          </w:tcPr>
          <w:p w:rsidR="00901C1D" w:rsidRDefault="00965F36">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82.67%</w:t>
            </w:r>
          </w:p>
        </w:tc>
      </w:tr>
    </w:tbl>
    <w:p w:rsidR="00901C1D" w:rsidRDefault="00901C1D">
      <w:pPr>
        <w:rPr>
          <w:rFonts w:ascii="宋体" w:eastAsia="宋体" w:hAnsi="宋体" w:cs="仿宋_GB2312"/>
          <w:b/>
          <w:kern w:val="44"/>
          <w:szCs w:val="21"/>
        </w:rPr>
      </w:pPr>
    </w:p>
    <w:p w:rsidR="00901C1D" w:rsidRDefault="00965F36">
      <w:pPr>
        <w:numPr>
          <w:ilvl w:val="0"/>
          <w:numId w:val="12"/>
        </w:numPr>
        <w:spacing w:line="560" w:lineRule="exact"/>
        <w:ind w:firstLineChars="200" w:firstLine="560"/>
        <w:outlineLvl w:val="2"/>
        <w:rPr>
          <w:rFonts w:ascii="仿宋_GB2312" w:eastAsia="仿宋_GB2312" w:hAnsi="仿宋_GB2312" w:cs="仿宋_GB2312"/>
          <w:bCs/>
          <w:sz w:val="28"/>
          <w:szCs w:val="28"/>
        </w:rPr>
      </w:pPr>
      <w:bookmarkStart w:id="139" w:name="_Toc77203366"/>
      <w:bookmarkStart w:id="140" w:name="_Toc11656"/>
      <w:bookmarkStart w:id="141" w:name="_Toc8883"/>
      <w:bookmarkStart w:id="142" w:name="_Toc23857"/>
      <w:r>
        <w:rPr>
          <w:rFonts w:ascii="仿宋_GB2312" w:eastAsia="仿宋_GB2312" w:hAnsi="仿宋_GB2312" w:cs="仿宋_GB2312" w:hint="eastAsia"/>
          <w:bCs/>
          <w:sz w:val="28"/>
          <w:szCs w:val="28"/>
        </w:rPr>
        <w:t>实施效益</w:t>
      </w:r>
      <w:bookmarkEnd w:id="139"/>
      <w:bookmarkEnd w:id="140"/>
      <w:bookmarkEnd w:id="141"/>
      <w:bookmarkEnd w:id="142"/>
    </w:p>
    <w:p w:rsidR="00901C1D" w:rsidRDefault="00965F36">
      <w:pPr>
        <w:numPr>
          <w:ilvl w:val="0"/>
          <w:numId w:val="13"/>
        </w:num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项目实施对经济和社会的影响</w:t>
      </w:r>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推进网上办事、无纸化办公，提高办事效率，节约办公经费；增加平台覆盖面，提升数据共享度，促进政务公开、社会公众监督。该项指标权重分</w:t>
      </w:r>
      <w:r>
        <w:rPr>
          <w:rFonts w:ascii="仿宋_GB2312" w:eastAsia="仿宋_GB2312" w:hAnsi="仿宋_GB2312" w:cs="仿宋_GB2312" w:hint="eastAsia"/>
          <w:kern w:val="44"/>
          <w:sz w:val="28"/>
          <w:szCs w:val="28"/>
        </w:rPr>
        <w:t>15</w:t>
      </w:r>
      <w:r>
        <w:rPr>
          <w:rFonts w:ascii="仿宋_GB2312" w:eastAsia="仿宋_GB2312" w:hAnsi="仿宋_GB2312" w:cs="仿宋_GB2312" w:hint="eastAsia"/>
          <w:kern w:val="44"/>
          <w:sz w:val="28"/>
          <w:szCs w:val="28"/>
        </w:rPr>
        <w:t>分，根据评分规则评价得分</w:t>
      </w:r>
      <w:r>
        <w:rPr>
          <w:rFonts w:ascii="仿宋_GB2312" w:eastAsia="仿宋_GB2312" w:hAnsi="仿宋_GB2312" w:cs="仿宋_GB2312" w:hint="eastAsia"/>
          <w:kern w:val="44"/>
          <w:sz w:val="28"/>
          <w:szCs w:val="28"/>
        </w:rPr>
        <w:t>15.00</w:t>
      </w:r>
      <w:r>
        <w:rPr>
          <w:rFonts w:ascii="仿宋_GB2312" w:eastAsia="仿宋_GB2312" w:hAnsi="仿宋_GB2312" w:cs="仿宋_GB2312" w:hint="eastAsia"/>
          <w:kern w:val="44"/>
          <w:sz w:val="28"/>
          <w:szCs w:val="28"/>
        </w:rPr>
        <w:t>分。</w:t>
      </w:r>
    </w:p>
    <w:p w:rsidR="00901C1D" w:rsidRDefault="00965F36">
      <w:pPr>
        <w:numPr>
          <w:ilvl w:val="0"/>
          <w:numId w:val="13"/>
        </w:num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项目可持续影响</w:t>
      </w:r>
    </w:p>
    <w:p w:rsidR="00901C1D" w:rsidRDefault="00965F36">
      <w:pPr>
        <w:ind w:firstLineChars="200" w:firstLine="560"/>
        <w:rPr>
          <w:rFonts w:ascii="仿宋_GB2312" w:eastAsia="仿宋_GB2312" w:hAnsi="仿宋_GB2312" w:cs="仿宋_GB2312"/>
          <w:kern w:val="44"/>
          <w:sz w:val="28"/>
          <w:szCs w:val="28"/>
        </w:rPr>
      </w:pPr>
      <w:r w:rsidRPr="00075CA6">
        <w:rPr>
          <w:rFonts w:ascii="仿宋_GB2312" w:eastAsia="仿宋_GB2312" w:hAnsi="仿宋_GB2312" w:cs="仿宋_GB2312" w:hint="eastAsia"/>
          <w:kern w:val="44"/>
          <w:sz w:val="28"/>
          <w:szCs w:val="28"/>
        </w:rPr>
        <w:t>项目为保障延续性项目，信息化系统不断发展完善，对延庆区法院提高审执工作效率、促进司法公开，产生积极的可持续影响，但可持续影响指标设置不够明确，相关管理机制和对第三方的监管要求不明晰。该项指标权重分</w:t>
      </w:r>
      <w:r w:rsidRPr="00075CA6">
        <w:rPr>
          <w:rFonts w:ascii="仿宋_GB2312" w:eastAsia="仿宋_GB2312" w:hAnsi="仿宋_GB2312" w:cs="仿宋_GB2312" w:hint="eastAsia"/>
          <w:kern w:val="44"/>
          <w:sz w:val="28"/>
          <w:szCs w:val="28"/>
        </w:rPr>
        <w:t>5</w:t>
      </w:r>
      <w:r w:rsidRPr="00075CA6">
        <w:rPr>
          <w:rFonts w:ascii="仿宋_GB2312" w:eastAsia="仿宋_GB2312" w:hAnsi="仿宋_GB2312" w:cs="仿宋_GB2312" w:hint="eastAsia"/>
          <w:kern w:val="44"/>
          <w:sz w:val="28"/>
          <w:szCs w:val="28"/>
        </w:rPr>
        <w:t>分，根据评分规则评价得分</w:t>
      </w:r>
      <w:r w:rsidRPr="00075CA6">
        <w:rPr>
          <w:rFonts w:ascii="仿宋_GB2312" w:eastAsia="仿宋_GB2312" w:hAnsi="仿宋_GB2312" w:cs="仿宋_GB2312" w:hint="eastAsia"/>
          <w:kern w:val="44"/>
          <w:sz w:val="28"/>
          <w:szCs w:val="28"/>
        </w:rPr>
        <w:t>3.8</w:t>
      </w:r>
      <w:r w:rsidRPr="00075CA6">
        <w:rPr>
          <w:rFonts w:ascii="仿宋_GB2312" w:eastAsia="仿宋_GB2312" w:hAnsi="仿宋_GB2312" w:cs="仿宋_GB2312" w:hint="eastAsia"/>
          <w:kern w:val="44"/>
          <w:sz w:val="28"/>
          <w:szCs w:val="28"/>
        </w:rPr>
        <w:t>分。</w:t>
      </w:r>
    </w:p>
    <w:p w:rsidR="00901C1D" w:rsidRDefault="00965F36">
      <w:pPr>
        <w:numPr>
          <w:ilvl w:val="0"/>
          <w:numId w:val="12"/>
        </w:numPr>
        <w:spacing w:line="560" w:lineRule="exact"/>
        <w:ind w:firstLineChars="200" w:firstLine="560"/>
        <w:outlineLvl w:val="2"/>
        <w:rPr>
          <w:rFonts w:ascii="仿宋_GB2312" w:eastAsia="仿宋_GB2312" w:hAnsi="仿宋_GB2312" w:cs="仿宋_GB2312"/>
          <w:bCs/>
          <w:sz w:val="28"/>
          <w:szCs w:val="28"/>
        </w:rPr>
      </w:pPr>
      <w:bookmarkStart w:id="143" w:name="_Toc22456"/>
      <w:bookmarkStart w:id="144" w:name="_Toc5403"/>
      <w:bookmarkStart w:id="145" w:name="_Toc77203367"/>
      <w:bookmarkStart w:id="146" w:name="_Toc19554"/>
      <w:r>
        <w:rPr>
          <w:rFonts w:ascii="仿宋_GB2312" w:eastAsia="仿宋_GB2312" w:hAnsi="仿宋_GB2312" w:cs="仿宋_GB2312" w:hint="eastAsia"/>
          <w:bCs/>
          <w:sz w:val="28"/>
          <w:szCs w:val="28"/>
        </w:rPr>
        <w:lastRenderedPageBreak/>
        <w:t>服务对象满意度</w:t>
      </w:r>
      <w:bookmarkEnd w:id="143"/>
      <w:bookmarkEnd w:id="144"/>
      <w:bookmarkEnd w:id="145"/>
      <w:bookmarkEnd w:id="146"/>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项目未发生投诉、重大事故，但满意度调查和分析不足。</w:t>
      </w:r>
      <w:r>
        <w:rPr>
          <w:rFonts w:ascii="仿宋_GB2312" w:eastAsia="仿宋_GB2312" w:hAnsi="仿宋_GB2312" w:cs="仿宋_GB2312"/>
          <w:kern w:val="44"/>
          <w:sz w:val="28"/>
          <w:szCs w:val="28"/>
        </w:rPr>
        <w:t>该项指标权重分</w:t>
      </w:r>
      <w:r>
        <w:rPr>
          <w:rFonts w:ascii="仿宋_GB2312" w:eastAsia="仿宋_GB2312" w:hAnsi="仿宋_GB2312" w:cs="仿宋_GB2312" w:hint="eastAsia"/>
          <w:kern w:val="44"/>
          <w:sz w:val="28"/>
          <w:szCs w:val="28"/>
        </w:rPr>
        <w:t>10</w:t>
      </w:r>
      <w:r>
        <w:rPr>
          <w:rFonts w:ascii="仿宋_GB2312" w:eastAsia="仿宋_GB2312" w:hAnsi="仿宋_GB2312" w:cs="仿宋_GB2312"/>
          <w:kern w:val="44"/>
          <w:sz w:val="28"/>
          <w:szCs w:val="28"/>
        </w:rPr>
        <w:t>分，根据评分规则评价得分</w:t>
      </w:r>
      <w:r>
        <w:rPr>
          <w:rFonts w:ascii="仿宋_GB2312" w:eastAsia="仿宋_GB2312" w:hAnsi="仿宋_GB2312" w:cs="仿宋_GB2312" w:hint="eastAsia"/>
          <w:kern w:val="44"/>
          <w:sz w:val="28"/>
          <w:szCs w:val="28"/>
        </w:rPr>
        <w:t>6</w:t>
      </w:r>
      <w:r>
        <w:rPr>
          <w:rFonts w:ascii="仿宋_GB2312" w:eastAsia="仿宋_GB2312" w:hAnsi="仿宋_GB2312" w:cs="仿宋_GB2312"/>
          <w:kern w:val="44"/>
          <w:sz w:val="28"/>
          <w:szCs w:val="28"/>
        </w:rPr>
        <w:t>分。</w:t>
      </w:r>
    </w:p>
    <w:p w:rsidR="00901C1D" w:rsidRDefault="00965F36">
      <w:pPr>
        <w:pStyle w:val="1"/>
        <w:keepNext w:val="0"/>
        <w:keepLines w:val="0"/>
        <w:widowControl/>
        <w:numPr>
          <w:ilvl w:val="0"/>
          <w:numId w:val="1"/>
        </w:numPr>
        <w:spacing w:before="0" w:after="0" w:line="520" w:lineRule="atLeast"/>
        <w:contextualSpacing/>
        <w:jc w:val="left"/>
        <w:rPr>
          <w:rFonts w:ascii="黑体" w:eastAsia="黑体" w:hAnsi="黑体" w:cs="黑体"/>
          <w:b w:val="0"/>
          <w:kern w:val="0"/>
          <w:sz w:val="32"/>
          <w:szCs w:val="32"/>
          <w:lang w:bidi="en-US"/>
        </w:rPr>
      </w:pPr>
      <w:bookmarkStart w:id="147" w:name="_Toc15272"/>
      <w:bookmarkStart w:id="148" w:name="_Toc9678"/>
      <w:bookmarkStart w:id="149" w:name="_Toc516663580"/>
      <w:bookmarkStart w:id="150" w:name="_Toc77203369"/>
      <w:bookmarkStart w:id="151" w:name="_Toc30795"/>
      <w:bookmarkStart w:id="152" w:name="_Toc29005"/>
      <w:bookmarkEnd w:id="67"/>
      <w:r>
        <w:rPr>
          <w:rFonts w:ascii="黑体" w:eastAsia="黑体" w:hAnsi="黑体" w:cs="黑体" w:hint="eastAsia"/>
          <w:b w:val="0"/>
          <w:kern w:val="0"/>
          <w:sz w:val="32"/>
          <w:szCs w:val="32"/>
          <w:lang w:bidi="en-US"/>
        </w:rPr>
        <w:t>主要经验及做法、</w:t>
      </w:r>
      <w:r>
        <w:rPr>
          <w:rFonts w:ascii="黑体" w:eastAsia="黑体" w:hAnsi="黑体" w:cs="黑体" w:hint="eastAsia"/>
          <w:b w:val="0"/>
          <w:kern w:val="0"/>
          <w:sz w:val="32"/>
          <w:szCs w:val="32"/>
          <w:lang w:bidi="en-US"/>
        </w:rPr>
        <w:t>存在的问题</w:t>
      </w:r>
      <w:bookmarkEnd w:id="147"/>
      <w:bookmarkEnd w:id="148"/>
      <w:bookmarkEnd w:id="149"/>
      <w:bookmarkEnd w:id="150"/>
      <w:bookmarkEnd w:id="151"/>
      <w:bookmarkEnd w:id="152"/>
      <w:r>
        <w:rPr>
          <w:rFonts w:ascii="黑体" w:eastAsia="黑体" w:hAnsi="黑体" w:cs="黑体" w:hint="eastAsia"/>
          <w:b w:val="0"/>
          <w:kern w:val="0"/>
          <w:sz w:val="32"/>
          <w:szCs w:val="32"/>
          <w:lang w:bidi="en-US"/>
        </w:rPr>
        <w:t>及原因分析</w:t>
      </w:r>
    </w:p>
    <w:p w:rsidR="00901C1D" w:rsidRDefault="00965F36">
      <w:pPr>
        <w:numPr>
          <w:ilvl w:val="0"/>
          <w:numId w:val="14"/>
        </w:numPr>
        <w:spacing w:line="560" w:lineRule="exact"/>
        <w:outlineLvl w:val="1"/>
        <w:rPr>
          <w:rFonts w:ascii="楷体_GB2312" w:eastAsia="楷体_GB2312" w:hAnsi="楷体_GB2312" w:cs="楷体_GB2312"/>
          <w:bCs/>
          <w:sz w:val="32"/>
          <w:szCs w:val="32"/>
        </w:rPr>
      </w:pPr>
      <w:bookmarkStart w:id="153" w:name="_Toc15285"/>
      <w:bookmarkStart w:id="154" w:name="_Toc31070"/>
      <w:bookmarkStart w:id="155" w:name="_Toc14536"/>
      <w:bookmarkStart w:id="156" w:name="_Toc77203370"/>
      <w:r>
        <w:rPr>
          <w:rFonts w:ascii="楷体_GB2312" w:eastAsia="楷体_GB2312" w:hAnsi="楷体_GB2312" w:cs="楷体_GB2312" w:hint="eastAsia"/>
          <w:bCs/>
          <w:sz w:val="32"/>
          <w:szCs w:val="32"/>
        </w:rPr>
        <w:t>项目决策方面</w:t>
      </w:r>
      <w:bookmarkEnd w:id="153"/>
      <w:bookmarkEnd w:id="154"/>
      <w:bookmarkEnd w:id="155"/>
      <w:bookmarkEnd w:id="156"/>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1.</w:t>
      </w:r>
      <w:r>
        <w:rPr>
          <w:rFonts w:ascii="仿宋_GB2312" w:eastAsia="仿宋_GB2312" w:hAnsi="仿宋_GB2312" w:cs="仿宋_GB2312" w:hint="eastAsia"/>
          <w:kern w:val="44"/>
          <w:sz w:val="28"/>
          <w:szCs w:val="28"/>
        </w:rPr>
        <w:t>项目绩效目标和指标设定不够准</w:t>
      </w:r>
      <w:bookmarkStart w:id="157" w:name="_GoBack"/>
      <w:bookmarkEnd w:id="157"/>
      <w:r>
        <w:rPr>
          <w:rFonts w:ascii="仿宋_GB2312" w:eastAsia="仿宋_GB2312" w:hAnsi="仿宋_GB2312" w:cs="仿宋_GB2312" w:hint="eastAsia"/>
          <w:kern w:val="44"/>
          <w:sz w:val="28"/>
          <w:szCs w:val="28"/>
        </w:rPr>
        <w:t>确和明确。质量指标不够明确，未能约定应用系统故障次数、硬件、软件维护故障次数等具体质量要求。时效指标未能明确故障应急响应时间、故障修复时间等要求。效益指标不够量化，未能明确应用系统使用率、硬件使用率、系统正常运行率等要求。</w:t>
      </w:r>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2.</w:t>
      </w:r>
      <w:r>
        <w:rPr>
          <w:rFonts w:ascii="仿宋_GB2312" w:eastAsia="仿宋_GB2312" w:hAnsi="仿宋_GB2312" w:cs="仿宋_GB2312" w:hint="eastAsia"/>
          <w:kern w:val="44"/>
          <w:sz w:val="28"/>
          <w:szCs w:val="28"/>
        </w:rPr>
        <w:t>预算编制科学性不足。预算编制不够细化，项目预算</w:t>
      </w:r>
      <w:r>
        <w:rPr>
          <w:rFonts w:ascii="仿宋_GB2312" w:eastAsia="仿宋_GB2312" w:hAnsi="仿宋_GB2312" w:cs="仿宋_GB2312" w:hint="eastAsia"/>
          <w:kern w:val="44"/>
          <w:sz w:val="28"/>
          <w:szCs w:val="28"/>
        </w:rPr>
        <w:t>91</w:t>
      </w:r>
      <w:r>
        <w:rPr>
          <w:rFonts w:ascii="仿宋_GB2312" w:eastAsia="仿宋_GB2312" w:hAnsi="仿宋_GB2312" w:cs="仿宋_GB2312" w:hint="eastAsia"/>
          <w:kern w:val="44"/>
          <w:sz w:val="28"/>
          <w:szCs w:val="28"/>
        </w:rPr>
        <w:t>万元，包括两大项内容，</w:t>
      </w:r>
      <w:r>
        <w:rPr>
          <w:rFonts w:ascii="仿宋_GB2312" w:eastAsia="仿宋_GB2312" w:hAnsi="仿宋" w:cs="Times New Roman" w:hint="eastAsia"/>
          <w:kern w:val="0"/>
          <w:sz w:val="28"/>
          <w:szCs w:val="28"/>
          <w:lang w:bidi="en-US"/>
        </w:rPr>
        <w:t>信</w:t>
      </w:r>
      <w:r>
        <w:rPr>
          <w:rFonts w:ascii="仿宋_GB2312" w:eastAsia="仿宋_GB2312" w:hAnsi="仿宋" w:cs="Times New Roman"/>
          <w:kern w:val="0"/>
          <w:sz w:val="28"/>
          <w:szCs w:val="28"/>
          <w:lang w:bidi="en-US"/>
        </w:rPr>
        <w:t>息化基础环境运维</w:t>
      </w:r>
      <w:r>
        <w:rPr>
          <w:rFonts w:ascii="仿宋_GB2312" w:eastAsia="仿宋_GB2312" w:hAnsi="仿宋" w:cs="Times New Roman" w:hint="eastAsia"/>
          <w:kern w:val="0"/>
          <w:sz w:val="28"/>
          <w:szCs w:val="28"/>
          <w:lang w:bidi="en-US"/>
        </w:rPr>
        <w:t>和</w:t>
      </w:r>
      <w:r>
        <w:rPr>
          <w:rFonts w:ascii="仿宋_GB2312" w:eastAsia="仿宋_GB2312" w:hAnsi="仿宋" w:cs="Times New Roman"/>
          <w:kern w:val="0"/>
          <w:sz w:val="28"/>
          <w:szCs w:val="28"/>
          <w:lang w:bidi="en-US"/>
        </w:rPr>
        <w:t>信息安全系统运维</w:t>
      </w:r>
      <w:r>
        <w:rPr>
          <w:rFonts w:ascii="仿宋_GB2312" w:eastAsia="仿宋_GB2312" w:hAnsi="仿宋_GB2312" w:cs="仿宋_GB2312" w:hint="eastAsia"/>
          <w:kern w:val="44"/>
          <w:sz w:val="28"/>
          <w:szCs w:val="28"/>
        </w:rPr>
        <w:t>，但细化不足，对于工作量和预算测算标准缺少说明，预算测算信息不足，未明确各项运维的工作量和标准的细化内容。</w:t>
      </w:r>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以上</w:t>
      </w:r>
      <w:r>
        <w:rPr>
          <w:rFonts w:ascii="仿宋_GB2312" w:eastAsia="仿宋_GB2312" w:hAnsi="仿宋_GB2312" w:cs="仿宋_GB2312" w:hint="eastAsia"/>
          <w:kern w:val="44"/>
          <w:sz w:val="28"/>
          <w:szCs w:val="28"/>
        </w:rPr>
        <w:t>1-2</w:t>
      </w:r>
      <w:r>
        <w:rPr>
          <w:rFonts w:ascii="仿宋_GB2312" w:eastAsia="仿宋_GB2312" w:hAnsi="仿宋_GB2312" w:cs="仿宋_GB2312" w:hint="eastAsia"/>
          <w:kern w:val="44"/>
          <w:sz w:val="28"/>
          <w:szCs w:val="28"/>
        </w:rPr>
        <w:t>问题属于限期整改类，应在评价结束后在下一年度内完成整改。</w:t>
      </w:r>
    </w:p>
    <w:p w:rsidR="00901C1D" w:rsidRDefault="00965F36">
      <w:pPr>
        <w:numPr>
          <w:ilvl w:val="0"/>
          <w:numId w:val="14"/>
        </w:numPr>
        <w:spacing w:line="560" w:lineRule="exact"/>
        <w:outlineLvl w:val="1"/>
        <w:rPr>
          <w:rFonts w:ascii="楷体_GB2312" w:eastAsia="楷体_GB2312" w:hAnsi="楷体_GB2312" w:cs="楷体_GB2312"/>
          <w:bCs/>
          <w:sz w:val="32"/>
          <w:szCs w:val="32"/>
        </w:rPr>
      </w:pPr>
      <w:bookmarkStart w:id="158" w:name="_Toc3318"/>
      <w:bookmarkStart w:id="159" w:name="_Toc4802"/>
      <w:bookmarkStart w:id="160" w:name="_Toc77203371"/>
      <w:bookmarkStart w:id="161" w:name="_Toc9417"/>
      <w:r>
        <w:rPr>
          <w:rFonts w:ascii="楷体_GB2312" w:eastAsia="楷体_GB2312" w:hAnsi="楷体_GB2312" w:cs="楷体_GB2312" w:hint="eastAsia"/>
          <w:bCs/>
          <w:sz w:val="32"/>
          <w:szCs w:val="32"/>
        </w:rPr>
        <w:t>项目过程管理方面</w:t>
      </w:r>
      <w:bookmarkEnd w:id="158"/>
      <w:bookmarkEnd w:id="159"/>
      <w:bookmarkEnd w:id="160"/>
      <w:bookmarkEnd w:id="161"/>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1.</w:t>
      </w:r>
      <w:r>
        <w:rPr>
          <w:rFonts w:ascii="仿宋_GB2312" w:eastAsia="仿宋_GB2312" w:hAnsi="仿宋_GB2312" w:cs="仿宋_GB2312" w:hint="eastAsia"/>
          <w:kern w:val="44"/>
          <w:sz w:val="28"/>
          <w:szCs w:val="28"/>
        </w:rPr>
        <w:t>项目实施方案的有效性不足。项目实施方案为第三方运维服务商进行信息系统运维的工作计划，现有实施方案中未能体现延庆区法院对系统运维的采购方式、进度、质量、验收等要求，与项目实施方案中体现项目实施主体有效管理项目的基本要求不符，实施方案的有效性不足。</w:t>
      </w:r>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lastRenderedPageBreak/>
        <w:t>2.</w:t>
      </w:r>
      <w:r>
        <w:rPr>
          <w:rFonts w:ascii="仿宋_GB2312" w:eastAsia="仿宋_GB2312" w:hAnsi="仿宋_GB2312" w:cs="仿宋_GB2312" w:hint="eastAsia"/>
          <w:kern w:val="44"/>
          <w:sz w:val="28"/>
          <w:szCs w:val="28"/>
        </w:rPr>
        <w:t>对于第三方运维服务商的遴选不够规范。延庆区法院于</w:t>
      </w:r>
      <w:r>
        <w:rPr>
          <w:rFonts w:ascii="仿宋_GB2312" w:eastAsia="仿宋_GB2312" w:hAnsi="仿宋_GB2312" w:cs="仿宋_GB2312" w:hint="eastAsia"/>
          <w:kern w:val="44"/>
          <w:sz w:val="28"/>
          <w:szCs w:val="28"/>
        </w:rPr>
        <w:t>2022</w:t>
      </w:r>
      <w:r>
        <w:rPr>
          <w:rFonts w:ascii="仿宋_GB2312" w:eastAsia="仿宋_GB2312" w:hAnsi="仿宋_GB2312" w:cs="仿宋_GB2312" w:hint="eastAsia"/>
          <w:kern w:val="44"/>
          <w:sz w:val="28"/>
          <w:szCs w:val="28"/>
        </w:rPr>
        <w:t>年</w:t>
      </w:r>
      <w:r>
        <w:rPr>
          <w:rFonts w:ascii="仿宋_GB2312" w:eastAsia="仿宋_GB2312" w:hAnsi="仿宋_GB2312" w:cs="仿宋_GB2312" w:hint="eastAsia"/>
          <w:kern w:val="44"/>
          <w:sz w:val="28"/>
          <w:szCs w:val="28"/>
        </w:rPr>
        <w:t>10</w:t>
      </w:r>
      <w:r>
        <w:rPr>
          <w:rFonts w:ascii="仿宋_GB2312" w:eastAsia="仿宋_GB2312" w:hAnsi="仿宋_GB2312" w:cs="仿宋_GB2312" w:hint="eastAsia"/>
          <w:kern w:val="44"/>
          <w:sz w:val="28"/>
          <w:szCs w:val="28"/>
        </w:rPr>
        <w:t>月</w:t>
      </w:r>
      <w:r>
        <w:rPr>
          <w:rFonts w:ascii="仿宋_GB2312" w:eastAsia="仿宋_GB2312" w:hAnsi="仿宋_GB2312" w:cs="仿宋_GB2312" w:hint="eastAsia"/>
          <w:kern w:val="44"/>
          <w:sz w:val="28"/>
          <w:szCs w:val="28"/>
        </w:rPr>
        <w:t>31</w:t>
      </w:r>
      <w:r>
        <w:rPr>
          <w:rFonts w:ascii="仿宋_GB2312" w:eastAsia="仿宋_GB2312" w:hAnsi="仿宋_GB2312" w:cs="仿宋_GB2312" w:hint="eastAsia"/>
          <w:kern w:val="44"/>
          <w:sz w:val="28"/>
          <w:szCs w:val="28"/>
        </w:rPr>
        <w:t>日与基础环境运维服务商北京华宇信息技术有限公司签订了基础环境运维服务合同，合同标的金额</w:t>
      </w:r>
      <w:r>
        <w:rPr>
          <w:rFonts w:ascii="仿宋_GB2312" w:eastAsia="仿宋_GB2312" w:hAnsi="仿宋_GB2312" w:cs="仿宋_GB2312" w:hint="eastAsia"/>
          <w:kern w:val="44"/>
          <w:sz w:val="28"/>
          <w:szCs w:val="28"/>
        </w:rPr>
        <w:t>60.00</w:t>
      </w:r>
      <w:r>
        <w:rPr>
          <w:rFonts w:ascii="仿宋_GB2312" w:eastAsia="仿宋_GB2312" w:hAnsi="仿宋_GB2312" w:cs="仿宋_GB2312" w:hint="eastAsia"/>
          <w:kern w:val="44"/>
          <w:sz w:val="28"/>
          <w:szCs w:val="28"/>
        </w:rPr>
        <w:t>万元，但未见对第三方运维服务商的遴选信息。</w:t>
      </w:r>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3.</w:t>
      </w:r>
      <w:r>
        <w:rPr>
          <w:rFonts w:ascii="仿宋_GB2312" w:eastAsia="仿宋_GB2312" w:hAnsi="仿宋_GB2312" w:cs="仿宋_GB2312" w:hint="eastAsia"/>
          <w:kern w:val="44"/>
          <w:sz w:val="28"/>
          <w:szCs w:val="28"/>
        </w:rPr>
        <w:t>合同倒签。延庆区法院与基础环境运维服务商北京华宇信息技术有限公司签署的运维服务合同时间为</w:t>
      </w:r>
      <w:r>
        <w:rPr>
          <w:rFonts w:ascii="仿宋_GB2312" w:eastAsia="仿宋_GB2312" w:hAnsi="仿宋_GB2312" w:cs="仿宋_GB2312" w:hint="eastAsia"/>
          <w:kern w:val="44"/>
          <w:sz w:val="28"/>
          <w:szCs w:val="28"/>
        </w:rPr>
        <w:t>2022</w:t>
      </w:r>
      <w:r>
        <w:rPr>
          <w:rFonts w:ascii="仿宋_GB2312" w:eastAsia="仿宋_GB2312" w:hAnsi="仿宋_GB2312" w:cs="仿宋_GB2312" w:hint="eastAsia"/>
          <w:kern w:val="44"/>
          <w:sz w:val="28"/>
          <w:szCs w:val="28"/>
        </w:rPr>
        <w:t>年</w:t>
      </w:r>
      <w:r>
        <w:rPr>
          <w:rFonts w:ascii="仿宋_GB2312" w:eastAsia="仿宋_GB2312" w:hAnsi="仿宋_GB2312" w:cs="仿宋_GB2312" w:hint="eastAsia"/>
          <w:kern w:val="44"/>
          <w:sz w:val="28"/>
          <w:szCs w:val="28"/>
        </w:rPr>
        <w:t>10</w:t>
      </w:r>
      <w:r>
        <w:rPr>
          <w:rFonts w:ascii="仿宋_GB2312" w:eastAsia="仿宋_GB2312" w:hAnsi="仿宋_GB2312" w:cs="仿宋_GB2312" w:hint="eastAsia"/>
          <w:kern w:val="44"/>
          <w:sz w:val="28"/>
          <w:szCs w:val="28"/>
        </w:rPr>
        <w:t>月</w:t>
      </w:r>
      <w:r>
        <w:rPr>
          <w:rFonts w:ascii="仿宋_GB2312" w:eastAsia="仿宋_GB2312" w:hAnsi="仿宋_GB2312" w:cs="仿宋_GB2312" w:hint="eastAsia"/>
          <w:kern w:val="44"/>
          <w:sz w:val="28"/>
          <w:szCs w:val="28"/>
        </w:rPr>
        <w:t>31</w:t>
      </w:r>
      <w:r>
        <w:rPr>
          <w:rFonts w:ascii="仿宋_GB2312" w:eastAsia="仿宋_GB2312" w:hAnsi="仿宋_GB2312" w:cs="仿宋_GB2312" w:hint="eastAsia"/>
          <w:kern w:val="44"/>
          <w:sz w:val="28"/>
          <w:szCs w:val="28"/>
        </w:rPr>
        <w:t>日，而实际运维服务的时间为</w:t>
      </w:r>
      <w:r>
        <w:rPr>
          <w:rFonts w:ascii="仿宋_GB2312" w:eastAsia="仿宋_GB2312" w:hAnsi="仿宋_GB2312" w:cs="仿宋_GB2312" w:hint="eastAsia"/>
          <w:kern w:val="44"/>
          <w:sz w:val="28"/>
          <w:szCs w:val="28"/>
        </w:rPr>
        <w:t>2022</w:t>
      </w:r>
      <w:r>
        <w:rPr>
          <w:rFonts w:ascii="仿宋_GB2312" w:eastAsia="仿宋_GB2312" w:hAnsi="仿宋_GB2312" w:cs="仿宋_GB2312" w:hint="eastAsia"/>
          <w:kern w:val="44"/>
          <w:sz w:val="28"/>
          <w:szCs w:val="28"/>
        </w:rPr>
        <w:t>年</w:t>
      </w:r>
      <w:r>
        <w:rPr>
          <w:rFonts w:ascii="仿宋_GB2312" w:eastAsia="仿宋_GB2312" w:hAnsi="仿宋_GB2312" w:cs="仿宋_GB2312" w:hint="eastAsia"/>
          <w:kern w:val="44"/>
          <w:sz w:val="28"/>
          <w:szCs w:val="28"/>
        </w:rPr>
        <w:t>4</w:t>
      </w:r>
      <w:r>
        <w:rPr>
          <w:rFonts w:ascii="仿宋_GB2312" w:eastAsia="仿宋_GB2312" w:hAnsi="仿宋_GB2312" w:cs="仿宋_GB2312" w:hint="eastAsia"/>
          <w:kern w:val="44"/>
          <w:sz w:val="28"/>
          <w:szCs w:val="28"/>
        </w:rPr>
        <w:t>月</w:t>
      </w:r>
      <w:r>
        <w:rPr>
          <w:rFonts w:ascii="仿宋_GB2312" w:eastAsia="仿宋_GB2312" w:hAnsi="仿宋_GB2312" w:cs="仿宋_GB2312" w:hint="eastAsia"/>
          <w:kern w:val="44"/>
          <w:sz w:val="28"/>
          <w:szCs w:val="28"/>
        </w:rPr>
        <w:t>1</w:t>
      </w:r>
      <w:r>
        <w:rPr>
          <w:rFonts w:ascii="仿宋_GB2312" w:eastAsia="仿宋_GB2312" w:hAnsi="仿宋_GB2312" w:cs="仿宋_GB2312" w:hint="eastAsia"/>
          <w:kern w:val="44"/>
          <w:sz w:val="28"/>
          <w:szCs w:val="28"/>
        </w:rPr>
        <w:t>日至</w:t>
      </w:r>
      <w:r>
        <w:rPr>
          <w:rFonts w:ascii="仿宋_GB2312" w:eastAsia="仿宋_GB2312" w:hAnsi="仿宋_GB2312" w:cs="仿宋_GB2312" w:hint="eastAsia"/>
          <w:kern w:val="44"/>
          <w:sz w:val="28"/>
          <w:szCs w:val="28"/>
        </w:rPr>
        <w:t>2023</w:t>
      </w:r>
      <w:r>
        <w:rPr>
          <w:rFonts w:ascii="仿宋_GB2312" w:eastAsia="仿宋_GB2312" w:hAnsi="仿宋_GB2312" w:cs="仿宋_GB2312" w:hint="eastAsia"/>
          <w:kern w:val="44"/>
          <w:sz w:val="28"/>
          <w:szCs w:val="28"/>
        </w:rPr>
        <w:t>年</w:t>
      </w:r>
      <w:r>
        <w:rPr>
          <w:rFonts w:ascii="仿宋_GB2312" w:eastAsia="仿宋_GB2312" w:hAnsi="仿宋_GB2312" w:cs="仿宋_GB2312" w:hint="eastAsia"/>
          <w:kern w:val="44"/>
          <w:sz w:val="28"/>
          <w:szCs w:val="28"/>
        </w:rPr>
        <w:t>3</w:t>
      </w:r>
      <w:r>
        <w:rPr>
          <w:rFonts w:ascii="仿宋_GB2312" w:eastAsia="仿宋_GB2312" w:hAnsi="仿宋_GB2312" w:cs="仿宋_GB2312" w:hint="eastAsia"/>
          <w:kern w:val="44"/>
          <w:sz w:val="28"/>
          <w:szCs w:val="28"/>
        </w:rPr>
        <w:t>月</w:t>
      </w:r>
      <w:r>
        <w:rPr>
          <w:rFonts w:ascii="仿宋_GB2312" w:eastAsia="仿宋_GB2312" w:hAnsi="仿宋_GB2312" w:cs="仿宋_GB2312" w:hint="eastAsia"/>
          <w:kern w:val="44"/>
          <w:sz w:val="28"/>
          <w:szCs w:val="28"/>
        </w:rPr>
        <w:t>31</w:t>
      </w:r>
      <w:r>
        <w:rPr>
          <w:rFonts w:ascii="仿宋_GB2312" w:eastAsia="仿宋_GB2312" w:hAnsi="仿宋_GB2312" w:cs="仿宋_GB2312" w:hint="eastAsia"/>
          <w:kern w:val="44"/>
          <w:sz w:val="28"/>
          <w:szCs w:val="28"/>
        </w:rPr>
        <w:t>日。</w:t>
      </w:r>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与安全运维服务商网际天娇信息安全技术服务（北京）有限公司签署的运维服务合同时间为</w:t>
      </w:r>
      <w:r>
        <w:rPr>
          <w:rFonts w:ascii="仿宋_GB2312" w:eastAsia="仿宋_GB2312" w:hAnsi="仿宋_GB2312" w:cs="仿宋_GB2312" w:hint="eastAsia"/>
          <w:kern w:val="44"/>
          <w:sz w:val="28"/>
          <w:szCs w:val="28"/>
        </w:rPr>
        <w:t>2022</w:t>
      </w:r>
      <w:r>
        <w:rPr>
          <w:rFonts w:ascii="仿宋_GB2312" w:eastAsia="仿宋_GB2312" w:hAnsi="仿宋_GB2312" w:cs="仿宋_GB2312" w:hint="eastAsia"/>
          <w:kern w:val="44"/>
          <w:sz w:val="28"/>
          <w:szCs w:val="28"/>
        </w:rPr>
        <w:t>年</w:t>
      </w:r>
      <w:r>
        <w:rPr>
          <w:rFonts w:ascii="仿宋_GB2312" w:eastAsia="仿宋_GB2312" w:hAnsi="仿宋_GB2312" w:cs="仿宋_GB2312" w:hint="eastAsia"/>
          <w:kern w:val="44"/>
          <w:sz w:val="28"/>
          <w:szCs w:val="28"/>
        </w:rPr>
        <w:t>6</w:t>
      </w:r>
      <w:r>
        <w:rPr>
          <w:rFonts w:ascii="仿宋_GB2312" w:eastAsia="仿宋_GB2312" w:hAnsi="仿宋_GB2312" w:cs="仿宋_GB2312" w:hint="eastAsia"/>
          <w:kern w:val="44"/>
          <w:sz w:val="28"/>
          <w:szCs w:val="28"/>
        </w:rPr>
        <w:t>月</w:t>
      </w:r>
      <w:r>
        <w:rPr>
          <w:rFonts w:ascii="仿宋_GB2312" w:eastAsia="仿宋_GB2312" w:hAnsi="仿宋_GB2312" w:cs="仿宋_GB2312" w:hint="eastAsia"/>
          <w:kern w:val="44"/>
          <w:sz w:val="28"/>
          <w:szCs w:val="28"/>
        </w:rPr>
        <w:t>17</w:t>
      </w:r>
      <w:r>
        <w:rPr>
          <w:rFonts w:ascii="仿宋_GB2312" w:eastAsia="仿宋_GB2312" w:hAnsi="仿宋_GB2312" w:cs="仿宋_GB2312" w:hint="eastAsia"/>
          <w:kern w:val="44"/>
          <w:sz w:val="28"/>
          <w:szCs w:val="28"/>
        </w:rPr>
        <w:t>日，而实际运维服务的时间为</w:t>
      </w:r>
      <w:r>
        <w:rPr>
          <w:rFonts w:ascii="仿宋_GB2312" w:eastAsia="仿宋_GB2312" w:hAnsi="仿宋_GB2312" w:cs="仿宋_GB2312" w:hint="eastAsia"/>
          <w:kern w:val="44"/>
          <w:sz w:val="28"/>
          <w:szCs w:val="28"/>
        </w:rPr>
        <w:t>2021</w:t>
      </w:r>
      <w:r>
        <w:rPr>
          <w:rFonts w:ascii="仿宋_GB2312" w:eastAsia="仿宋_GB2312" w:hAnsi="仿宋_GB2312" w:cs="仿宋_GB2312" w:hint="eastAsia"/>
          <w:kern w:val="44"/>
          <w:sz w:val="28"/>
          <w:szCs w:val="28"/>
        </w:rPr>
        <w:t>年</w:t>
      </w:r>
      <w:r>
        <w:rPr>
          <w:rFonts w:ascii="仿宋_GB2312" w:eastAsia="仿宋_GB2312" w:hAnsi="仿宋_GB2312" w:cs="仿宋_GB2312" w:hint="eastAsia"/>
          <w:kern w:val="44"/>
          <w:sz w:val="28"/>
          <w:szCs w:val="28"/>
        </w:rPr>
        <w:t>12</w:t>
      </w:r>
      <w:r>
        <w:rPr>
          <w:rFonts w:ascii="仿宋_GB2312" w:eastAsia="仿宋_GB2312" w:hAnsi="仿宋_GB2312" w:cs="仿宋_GB2312" w:hint="eastAsia"/>
          <w:kern w:val="44"/>
          <w:sz w:val="28"/>
          <w:szCs w:val="28"/>
        </w:rPr>
        <w:t>月</w:t>
      </w:r>
      <w:r>
        <w:rPr>
          <w:rFonts w:ascii="仿宋_GB2312" w:eastAsia="仿宋_GB2312" w:hAnsi="仿宋_GB2312" w:cs="仿宋_GB2312" w:hint="eastAsia"/>
          <w:kern w:val="44"/>
          <w:sz w:val="28"/>
          <w:szCs w:val="28"/>
        </w:rPr>
        <w:t>31</w:t>
      </w:r>
      <w:r>
        <w:rPr>
          <w:rFonts w:ascii="仿宋_GB2312" w:eastAsia="仿宋_GB2312" w:hAnsi="仿宋_GB2312" w:cs="仿宋_GB2312" w:hint="eastAsia"/>
          <w:kern w:val="44"/>
          <w:sz w:val="28"/>
          <w:szCs w:val="28"/>
        </w:rPr>
        <w:t>日至</w:t>
      </w:r>
      <w:r>
        <w:rPr>
          <w:rFonts w:ascii="仿宋_GB2312" w:eastAsia="仿宋_GB2312" w:hAnsi="仿宋_GB2312" w:cs="仿宋_GB2312" w:hint="eastAsia"/>
          <w:kern w:val="44"/>
          <w:sz w:val="28"/>
          <w:szCs w:val="28"/>
        </w:rPr>
        <w:t>2022</w:t>
      </w:r>
      <w:r>
        <w:rPr>
          <w:rFonts w:ascii="仿宋_GB2312" w:eastAsia="仿宋_GB2312" w:hAnsi="仿宋_GB2312" w:cs="仿宋_GB2312" w:hint="eastAsia"/>
          <w:kern w:val="44"/>
          <w:sz w:val="28"/>
          <w:szCs w:val="28"/>
        </w:rPr>
        <w:t>年</w:t>
      </w:r>
      <w:r>
        <w:rPr>
          <w:rFonts w:ascii="仿宋_GB2312" w:eastAsia="仿宋_GB2312" w:hAnsi="仿宋_GB2312" w:cs="仿宋_GB2312" w:hint="eastAsia"/>
          <w:kern w:val="44"/>
          <w:sz w:val="28"/>
          <w:szCs w:val="28"/>
        </w:rPr>
        <w:t>12</w:t>
      </w:r>
      <w:r>
        <w:rPr>
          <w:rFonts w:ascii="仿宋_GB2312" w:eastAsia="仿宋_GB2312" w:hAnsi="仿宋_GB2312" w:cs="仿宋_GB2312" w:hint="eastAsia"/>
          <w:kern w:val="44"/>
          <w:sz w:val="28"/>
          <w:szCs w:val="28"/>
        </w:rPr>
        <w:t>月</w:t>
      </w:r>
      <w:r>
        <w:rPr>
          <w:rFonts w:ascii="仿宋_GB2312" w:eastAsia="仿宋_GB2312" w:hAnsi="仿宋_GB2312" w:cs="仿宋_GB2312" w:hint="eastAsia"/>
          <w:kern w:val="44"/>
          <w:sz w:val="28"/>
          <w:szCs w:val="28"/>
        </w:rPr>
        <w:t>31</w:t>
      </w:r>
      <w:r>
        <w:rPr>
          <w:rFonts w:ascii="仿宋_GB2312" w:eastAsia="仿宋_GB2312" w:hAnsi="仿宋_GB2312" w:cs="仿宋_GB2312" w:hint="eastAsia"/>
          <w:kern w:val="44"/>
          <w:sz w:val="28"/>
          <w:szCs w:val="28"/>
        </w:rPr>
        <w:t>日。合同签订时间均</w:t>
      </w:r>
      <w:r>
        <w:rPr>
          <w:rFonts w:ascii="仿宋_GB2312" w:eastAsia="仿宋_GB2312" w:hAnsi="仿宋_GB2312" w:cs="仿宋_GB2312" w:hint="eastAsia"/>
          <w:kern w:val="44"/>
          <w:sz w:val="28"/>
          <w:szCs w:val="28"/>
        </w:rPr>
        <w:t>滞后于合同约定的实际运维时间。</w:t>
      </w:r>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4.</w:t>
      </w:r>
      <w:r>
        <w:rPr>
          <w:rFonts w:ascii="仿宋_GB2312" w:eastAsia="仿宋_GB2312" w:hAnsi="仿宋_GB2312" w:cs="仿宋_GB2312" w:hint="eastAsia"/>
          <w:kern w:val="44"/>
          <w:sz w:val="28"/>
          <w:szCs w:val="28"/>
        </w:rPr>
        <w:t>对第三方运维的监管机制不够明晰，缺乏相应的管理制度，缺少监管信息。</w:t>
      </w:r>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以上问题属于限期整改类，应在评价结束后在下一年度内完成整改。</w:t>
      </w:r>
    </w:p>
    <w:p w:rsidR="00901C1D" w:rsidRDefault="00965F36">
      <w:pPr>
        <w:numPr>
          <w:ilvl w:val="0"/>
          <w:numId w:val="14"/>
        </w:numPr>
        <w:spacing w:line="560" w:lineRule="exact"/>
        <w:outlineLvl w:val="1"/>
        <w:rPr>
          <w:rFonts w:ascii="楷体_GB2312" w:eastAsia="楷体_GB2312" w:hAnsi="楷体_GB2312" w:cs="楷体_GB2312"/>
          <w:bCs/>
          <w:sz w:val="32"/>
          <w:szCs w:val="32"/>
        </w:rPr>
      </w:pPr>
      <w:r>
        <w:rPr>
          <w:rFonts w:ascii="楷体_GB2312" w:eastAsia="楷体_GB2312" w:hAnsi="楷体_GB2312" w:cs="楷体_GB2312" w:hint="eastAsia"/>
          <w:bCs/>
          <w:sz w:val="32"/>
          <w:szCs w:val="32"/>
        </w:rPr>
        <w:t>项目效益方面</w:t>
      </w:r>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1.</w:t>
      </w:r>
      <w:r>
        <w:rPr>
          <w:rFonts w:ascii="仿宋_GB2312" w:eastAsia="仿宋_GB2312" w:hAnsi="仿宋_GB2312" w:cs="仿宋_GB2312" w:hint="eastAsia"/>
          <w:kern w:val="44"/>
          <w:sz w:val="28"/>
          <w:szCs w:val="28"/>
        </w:rPr>
        <w:t>项目绩效成果呈现的不够充分，缺少相关支撑信息。对于未来的运维模式和管理机制呈现的不够充分，项目的可持续性影响说明不够充分，项目管理要素不完整。</w:t>
      </w:r>
      <w:r>
        <w:rPr>
          <w:rFonts w:ascii="仿宋_GB2312" w:eastAsia="仿宋_GB2312" w:hAnsi="仿宋_GB2312" w:cs="仿宋_GB2312" w:hint="eastAsia"/>
          <w:kern w:val="44"/>
          <w:sz w:val="28"/>
          <w:szCs w:val="28"/>
        </w:rPr>
        <w:t xml:space="preserve"> </w:t>
      </w:r>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2.</w:t>
      </w:r>
      <w:r>
        <w:rPr>
          <w:rFonts w:ascii="仿宋_GB2312" w:eastAsia="仿宋_GB2312" w:hAnsi="仿宋_GB2312" w:cs="仿宋_GB2312" w:hint="eastAsia"/>
          <w:kern w:val="44"/>
          <w:sz w:val="28"/>
          <w:szCs w:val="28"/>
        </w:rPr>
        <w:t>满意度调查不够充分。未见相关满意度调查信息，满意度信息不足。</w:t>
      </w:r>
      <w:r>
        <w:rPr>
          <w:rFonts w:ascii="仿宋_GB2312" w:eastAsia="仿宋_GB2312" w:hAnsi="仿宋_GB2312" w:cs="仿宋_GB2312" w:hint="eastAsia"/>
          <w:kern w:val="44"/>
          <w:sz w:val="28"/>
          <w:szCs w:val="28"/>
        </w:rPr>
        <w:t xml:space="preserve">  </w:t>
      </w:r>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以上问题属于限期整改类，应在评价结束后在下一年度内完成整</w:t>
      </w:r>
      <w:r>
        <w:rPr>
          <w:rFonts w:ascii="仿宋_GB2312" w:eastAsia="仿宋_GB2312" w:hAnsi="仿宋_GB2312" w:cs="仿宋_GB2312" w:hint="eastAsia"/>
          <w:kern w:val="44"/>
          <w:sz w:val="28"/>
          <w:szCs w:val="28"/>
        </w:rPr>
        <w:lastRenderedPageBreak/>
        <w:t>改。</w:t>
      </w:r>
    </w:p>
    <w:p w:rsidR="00901C1D" w:rsidRDefault="00965F36">
      <w:pPr>
        <w:pStyle w:val="1"/>
        <w:keepNext w:val="0"/>
        <w:keepLines w:val="0"/>
        <w:widowControl/>
        <w:numPr>
          <w:ilvl w:val="0"/>
          <w:numId w:val="1"/>
        </w:numPr>
        <w:spacing w:before="0" w:after="0" w:line="520" w:lineRule="atLeast"/>
        <w:contextualSpacing/>
        <w:jc w:val="left"/>
        <w:rPr>
          <w:rFonts w:ascii="黑体" w:eastAsia="黑体" w:hAnsi="黑体" w:cs="黑体"/>
          <w:b w:val="0"/>
          <w:kern w:val="0"/>
          <w:sz w:val="32"/>
          <w:szCs w:val="32"/>
          <w:lang w:bidi="en-US"/>
        </w:rPr>
      </w:pPr>
      <w:bookmarkStart w:id="162" w:name="_Toc516663581"/>
      <w:bookmarkStart w:id="163" w:name="_Toc12454"/>
      <w:bookmarkStart w:id="164" w:name="_Toc77203374"/>
      <w:bookmarkStart w:id="165" w:name="_Toc8825"/>
      <w:bookmarkStart w:id="166" w:name="_Toc16337"/>
      <w:bookmarkStart w:id="167" w:name="_Toc13469"/>
      <w:r>
        <w:rPr>
          <w:rFonts w:ascii="黑体" w:eastAsia="黑体" w:hAnsi="黑体" w:cs="黑体" w:hint="eastAsia"/>
          <w:b w:val="0"/>
          <w:kern w:val="0"/>
          <w:sz w:val="32"/>
          <w:szCs w:val="32"/>
          <w:lang w:bidi="en-US"/>
        </w:rPr>
        <w:t>有关建议</w:t>
      </w:r>
      <w:bookmarkEnd w:id="162"/>
      <w:bookmarkEnd w:id="163"/>
      <w:bookmarkEnd w:id="164"/>
      <w:bookmarkEnd w:id="165"/>
      <w:bookmarkEnd w:id="166"/>
      <w:bookmarkEnd w:id="167"/>
    </w:p>
    <w:p w:rsidR="00901C1D" w:rsidRDefault="00965F36">
      <w:pPr>
        <w:numPr>
          <w:ilvl w:val="0"/>
          <w:numId w:val="15"/>
        </w:numPr>
        <w:spacing w:line="560" w:lineRule="exact"/>
        <w:outlineLvl w:val="1"/>
        <w:rPr>
          <w:rFonts w:ascii="楷体_GB2312" w:eastAsia="楷体_GB2312" w:hAnsi="楷体_GB2312" w:cs="楷体_GB2312"/>
          <w:bCs/>
          <w:sz w:val="32"/>
          <w:szCs w:val="32"/>
        </w:rPr>
      </w:pPr>
      <w:bookmarkStart w:id="168" w:name="_Toc10391"/>
      <w:bookmarkStart w:id="169" w:name="_Toc12160"/>
      <w:bookmarkStart w:id="170" w:name="_Toc77203375"/>
      <w:bookmarkStart w:id="171" w:name="_Toc23802"/>
      <w:bookmarkStart w:id="172" w:name="_Toc516663582"/>
      <w:r>
        <w:rPr>
          <w:rFonts w:ascii="楷体_GB2312" w:eastAsia="楷体_GB2312" w:hAnsi="楷体_GB2312" w:cs="楷体_GB2312" w:hint="eastAsia"/>
          <w:bCs/>
          <w:sz w:val="32"/>
          <w:szCs w:val="32"/>
        </w:rPr>
        <w:t>项目决策方面</w:t>
      </w:r>
      <w:bookmarkEnd w:id="168"/>
      <w:bookmarkEnd w:id="169"/>
      <w:bookmarkEnd w:id="170"/>
      <w:bookmarkEnd w:id="171"/>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1.</w:t>
      </w:r>
      <w:r>
        <w:rPr>
          <w:rFonts w:ascii="仿宋_GB2312" w:eastAsia="仿宋_GB2312" w:hAnsi="仿宋_GB2312" w:cs="仿宋_GB2312" w:hint="eastAsia"/>
          <w:kern w:val="44"/>
          <w:sz w:val="28"/>
          <w:szCs w:val="28"/>
        </w:rPr>
        <w:t>明确项目绩效目标，细化</w:t>
      </w:r>
      <w:r>
        <w:rPr>
          <w:rFonts w:ascii="仿宋_GB2312" w:eastAsia="仿宋_GB2312" w:hAnsi="仿宋_GB2312" w:cs="仿宋_GB2312" w:hint="eastAsia"/>
          <w:kern w:val="44"/>
          <w:sz w:val="28"/>
          <w:szCs w:val="28"/>
        </w:rPr>
        <w:t>绩效指标的设定。明确各项维护质量标准，提高绩效指标的的针对性和可量化性，以便方便考核、评估绩效目标的实现程度。</w:t>
      </w:r>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2.</w:t>
      </w:r>
      <w:r>
        <w:rPr>
          <w:rFonts w:ascii="仿宋_GB2312" w:eastAsia="仿宋_GB2312" w:hAnsi="仿宋_GB2312" w:cs="仿宋_GB2312" w:hint="eastAsia"/>
          <w:kern w:val="44"/>
          <w:sz w:val="28"/>
          <w:szCs w:val="28"/>
        </w:rPr>
        <w:t>合理测算项目预算。信息化运维作为持续性项目，应根据历史数据，合理测算运维的工作量和相关标准，明确甲乙方负责的内容，科学测算项目预算，避免项目预算固化。</w:t>
      </w:r>
    </w:p>
    <w:p w:rsidR="00901C1D" w:rsidRDefault="00965F36">
      <w:pPr>
        <w:numPr>
          <w:ilvl w:val="0"/>
          <w:numId w:val="15"/>
        </w:numPr>
        <w:spacing w:line="560" w:lineRule="exact"/>
        <w:outlineLvl w:val="1"/>
        <w:rPr>
          <w:rFonts w:ascii="楷体_GB2312" w:eastAsia="楷体_GB2312" w:hAnsi="楷体_GB2312" w:cs="楷体_GB2312"/>
          <w:bCs/>
          <w:sz w:val="32"/>
          <w:szCs w:val="32"/>
        </w:rPr>
      </w:pPr>
      <w:bookmarkStart w:id="173" w:name="_Toc4124"/>
      <w:bookmarkStart w:id="174" w:name="_Toc77203376"/>
      <w:bookmarkStart w:id="175" w:name="_Toc22545"/>
      <w:bookmarkStart w:id="176" w:name="_Toc29302"/>
      <w:r>
        <w:rPr>
          <w:rFonts w:ascii="楷体_GB2312" w:eastAsia="楷体_GB2312" w:hAnsi="楷体_GB2312" w:cs="楷体_GB2312" w:hint="eastAsia"/>
          <w:bCs/>
          <w:sz w:val="32"/>
          <w:szCs w:val="32"/>
        </w:rPr>
        <w:t>项目管理方面</w:t>
      </w:r>
      <w:bookmarkEnd w:id="173"/>
      <w:bookmarkEnd w:id="174"/>
      <w:bookmarkEnd w:id="175"/>
      <w:bookmarkEnd w:id="176"/>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1.</w:t>
      </w:r>
      <w:r>
        <w:rPr>
          <w:rFonts w:ascii="仿宋_GB2312" w:eastAsia="仿宋_GB2312" w:hAnsi="仿宋_GB2312" w:cs="仿宋_GB2312" w:hint="eastAsia"/>
          <w:kern w:val="44"/>
          <w:sz w:val="28"/>
          <w:szCs w:val="28"/>
        </w:rPr>
        <w:t>完善、优化项目实施方案。实施方案中要体现项目实施主体对信息系统运维的采购方式、实施进度、工作质量、项目验收等具体要求，提高实施方案的有效性。</w:t>
      </w:r>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2.</w:t>
      </w:r>
      <w:r>
        <w:rPr>
          <w:rFonts w:ascii="仿宋_GB2312" w:eastAsia="仿宋_GB2312" w:hAnsi="仿宋_GB2312" w:cs="仿宋_GB2312" w:hint="eastAsia"/>
          <w:kern w:val="44"/>
          <w:sz w:val="28"/>
          <w:szCs w:val="28"/>
        </w:rPr>
        <w:t>规范第三方运维服务商的遴选机制、程序。加强过程管理，严格规范第三方服务商遴选过程、完善相关手续。</w:t>
      </w:r>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3.</w:t>
      </w:r>
      <w:r>
        <w:rPr>
          <w:rFonts w:ascii="仿宋_GB2312" w:eastAsia="仿宋_GB2312" w:hAnsi="仿宋_GB2312" w:cs="仿宋_GB2312" w:hint="eastAsia"/>
          <w:kern w:val="44"/>
          <w:sz w:val="28"/>
          <w:szCs w:val="28"/>
        </w:rPr>
        <w:t>提高项目管理的精细化水平。作为持续性项目，应建立健全对第三方运维和监管的管理制度，加强对第三方运维的监管和验收，提高项目管理的制度化和规范化水平。</w:t>
      </w:r>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4.</w:t>
      </w:r>
      <w:r>
        <w:rPr>
          <w:rFonts w:ascii="仿宋_GB2312" w:eastAsia="仿宋_GB2312" w:hAnsi="仿宋_GB2312" w:cs="仿宋_GB2312" w:hint="eastAsia"/>
          <w:kern w:val="44"/>
          <w:sz w:val="28"/>
          <w:szCs w:val="28"/>
        </w:rPr>
        <w:t>严格遵守政府采购法、合同法，避免出现管理风险。加强合同管理，避免出现合同倒签的情况，合同订立需与合同履行期限一致。</w:t>
      </w:r>
    </w:p>
    <w:p w:rsidR="00901C1D" w:rsidRDefault="00965F36">
      <w:pPr>
        <w:numPr>
          <w:ilvl w:val="0"/>
          <w:numId w:val="15"/>
        </w:numPr>
        <w:spacing w:line="560" w:lineRule="exact"/>
        <w:outlineLvl w:val="1"/>
        <w:rPr>
          <w:rFonts w:ascii="楷体_GB2312" w:eastAsia="楷体_GB2312" w:hAnsi="楷体_GB2312" w:cs="楷体_GB2312"/>
          <w:bCs/>
          <w:sz w:val="32"/>
          <w:szCs w:val="32"/>
        </w:rPr>
      </w:pPr>
      <w:bookmarkStart w:id="177" w:name="_Toc18925"/>
      <w:bookmarkStart w:id="178" w:name="_Toc10175"/>
      <w:bookmarkStart w:id="179" w:name="_Toc77203378"/>
      <w:bookmarkStart w:id="180" w:name="_Toc16303"/>
      <w:r>
        <w:rPr>
          <w:rFonts w:ascii="楷体_GB2312" w:eastAsia="楷体_GB2312" w:hAnsi="楷体_GB2312" w:cs="楷体_GB2312" w:hint="eastAsia"/>
          <w:bCs/>
          <w:sz w:val="32"/>
          <w:szCs w:val="32"/>
        </w:rPr>
        <w:t>项目效益方面</w:t>
      </w:r>
      <w:bookmarkEnd w:id="177"/>
      <w:bookmarkEnd w:id="178"/>
      <w:bookmarkEnd w:id="179"/>
      <w:bookmarkEnd w:id="180"/>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1.</w:t>
      </w:r>
      <w:r>
        <w:rPr>
          <w:rFonts w:ascii="仿宋_GB2312" w:eastAsia="仿宋_GB2312" w:hAnsi="仿宋_GB2312" w:cs="仿宋_GB2312" w:hint="eastAsia"/>
          <w:kern w:val="44"/>
          <w:sz w:val="28"/>
          <w:szCs w:val="28"/>
        </w:rPr>
        <w:t>注重项目绩效成果的归集工作，并及时进行分析、评价，形成</w:t>
      </w:r>
      <w:r>
        <w:rPr>
          <w:rFonts w:ascii="仿宋_GB2312" w:eastAsia="仿宋_GB2312" w:hAnsi="仿宋_GB2312" w:cs="仿宋_GB2312" w:hint="eastAsia"/>
          <w:kern w:val="44"/>
          <w:sz w:val="28"/>
          <w:szCs w:val="28"/>
        </w:rPr>
        <w:lastRenderedPageBreak/>
        <w:t>绩效报告，体现财政资金使用的效益性。</w:t>
      </w:r>
    </w:p>
    <w:p w:rsidR="00901C1D" w:rsidRDefault="00965F36">
      <w:pPr>
        <w:ind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2.</w:t>
      </w:r>
      <w:r>
        <w:rPr>
          <w:rFonts w:ascii="仿宋_GB2312" w:eastAsia="仿宋_GB2312" w:hAnsi="仿宋_GB2312" w:cs="仿宋_GB2312" w:hint="eastAsia"/>
          <w:kern w:val="44"/>
          <w:sz w:val="28"/>
          <w:szCs w:val="28"/>
        </w:rPr>
        <w:t>重视服务对象满意度的分析与评估，以便发现问题对信息系统持续改进，提高工作效率与质量。</w:t>
      </w:r>
    </w:p>
    <w:p w:rsidR="00901C1D" w:rsidRDefault="00965F36">
      <w:pPr>
        <w:pStyle w:val="1"/>
        <w:keepNext w:val="0"/>
        <w:keepLines w:val="0"/>
        <w:widowControl/>
        <w:numPr>
          <w:ilvl w:val="0"/>
          <w:numId w:val="1"/>
        </w:numPr>
        <w:spacing w:before="0" w:after="0" w:line="520" w:lineRule="atLeast"/>
        <w:contextualSpacing/>
        <w:jc w:val="left"/>
        <w:rPr>
          <w:rFonts w:ascii="黑体" w:eastAsia="黑体" w:hAnsi="黑体" w:cs="黑体"/>
          <w:b w:val="0"/>
          <w:kern w:val="0"/>
          <w:sz w:val="32"/>
          <w:szCs w:val="32"/>
          <w:lang w:bidi="en-US"/>
        </w:rPr>
      </w:pPr>
      <w:bookmarkStart w:id="181" w:name="_Toc13431"/>
      <w:bookmarkStart w:id="182" w:name="_Toc77203379"/>
      <w:bookmarkStart w:id="183" w:name="_Toc26739"/>
      <w:bookmarkStart w:id="184" w:name="_Toc969"/>
      <w:bookmarkStart w:id="185" w:name="_Toc25246"/>
      <w:r>
        <w:rPr>
          <w:rFonts w:ascii="黑体" w:eastAsia="黑体" w:hAnsi="黑体" w:cs="黑体" w:hint="eastAsia"/>
          <w:b w:val="0"/>
          <w:kern w:val="0"/>
          <w:sz w:val="32"/>
          <w:szCs w:val="32"/>
          <w:lang w:bidi="en-US"/>
        </w:rPr>
        <w:t>其他需要说明的问题</w:t>
      </w:r>
    </w:p>
    <w:p w:rsidR="00901C1D" w:rsidRDefault="00965F36">
      <w:pPr>
        <w:ind w:firstLineChars="200" w:firstLine="560"/>
        <w:rPr>
          <w:rFonts w:ascii="仿宋_GB2312" w:eastAsia="仿宋_GB2312" w:hAnsi="仿宋_GB2312" w:cs="仿宋_GB2312"/>
          <w:kern w:val="44"/>
          <w:sz w:val="28"/>
          <w:szCs w:val="28"/>
        </w:rPr>
      </w:pPr>
      <w:r>
        <w:rPr>
          <w:rFonts w:ascii="仿宋_GB2312" w:eastAsia="仿宋_GB2312" w:hAnsi="仿宋_GB2312" w:cs="仿宋_GB2312" w:hint="eastAsia"/>
          <w:kern w:val="44"/>
          <w:sz w:val="28"/>
          <w:szCs w:val="28"/>
        </w:rPr>
        <w:t>无。</w:t>
      </w:r>
    </w:p>
    <w:bookmarkEnd w:id="172"/>
    <w:bookmarkEnd w:id="181"/>
    <w:bookmarkEnd w:id="182"/>
    <w:bookmarkEnd w:id="183"/>
    <w:bookmarkEnd w:id="184"/>
    <w:bookmarkEnd w:id="185"/>
    <w:p w:rsidR="00901C1D" w:rsidRDefault="00901C1D">
      <w:pPr>
        <w:widowControl/>
        <w:spacing w:line="520" w:lineRule="atLeast"/>
        <w:ind w:leftChars="200" w:left="420"/>
        <w:jc w:val="left"/>
        <w:rPr>
          <w:rFonts w:ascii="仿宋_GB2312" w:eastAsia="仿宋_GB2312" w:hAnsi="仿宋" w:cs="Times New Roman"/>
          <w:kern w:val="0"/>
          <w:sz w:val="28"/>
          <w:szCs w:val="28"/>
          <w:lang w:bidi="en-US"/>
        </w:rPr>
      </w:pPr>
    </w:p>
    <w:p w:rsidR="00901C1D" w:rsidRDefault="00901C1D">
      <w:pPr>
        <w:widowControl/>
        <w:spacing w:line="520" w:lineRule="atLeast"/>
        <w:ind w:leftChars="200" w:left="420"/>
        <w:jc w:val="left"/>
        <w:rPr>
          <w:rFonts w:ascii="仿宋_GB2312" w:eastAsia="仿宋_GB2312" w:hAnsi="仿宋" w:cs="Times New Roman"/>
          <w:kern w:val="0"/>
          <w:sz w:val="28"/>
          <w:szCs w:val="28"/>
          <w:lang w:bidi="en-US"/>
        </w:rPr>
      </w:pPr>
    </w:p>
    <w:sectPr w:rsidR="00901C1D" w:rsidSect="00901C1D">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F36" w:rsidRDefault="00965F36" w:rsidP="00901C1D">
      <w:r>
        <w:separator/>
      </w:r>
    </w:p>
  </w:endnote>
  <w:endnote w:type="continuationSeparator" w:id="1">
    <w:p w:rsidR="00965F36" w:rsidRDefault="00965F36" w:rsidP="00901C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1D" w:rsidRDefault="00901C1D">
    <w:pPr>
      <w:pStyle w:val="a9"/>
    </w:pPr>
    <w:r>
      <w:pict>
        <v:shapetype id="_x0000_t202" coordsize="21600,21600" o:spt="202" path="m,l,21600r21600,l21600,xe">
          <v:stroke joinstyle="miter"/>
          <v:path gradientshapeok="t" o:connecttype="rect"/>
        </v:shapetype>
        <v:shape id="_x0000_s2049" type="#_x0000_t202" style="position:absolute;margin-left:0;margin-top:0;width:4.6pt;height:11pt;z-index:251659264;mso-wrap-style:none;mso-position-horizontal:center;mso-position-horizontal-relative:margin"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vbGRr0QAAAAIBAAAPAAAAAAAAAAEAIAAAACIAAABkcnMvZG93bnJldi54bWxQSwECFAAUAAAA&#10;CACHTuJA4oSfyi4CAABSBAAADgAAAAAAAAABACAAAAAgAQAAZHJzL2Uyb0RvYy54bWxQSwUGAAAA&#10;AAYABgBZAQAAwAUAAAAA&#10;" filled="f" stroked="f" strokeweight=".5pt">
          <v:textbox style="mso-fit-shape-to-text:t" inset="0,0,0,0">
            <w:txbxContent>
              <w:p w:rsidR="00901C1D" w:rsidRDefault="00901C1D">
                <w:pPr>
                  <w:pStyle w:val="a9"/>
                </w:pPr>
                <w:r>
                  <w:rPr>
                    <w:rFonts w:hint="eastAsia"/>
                  </w:rPr>
                  <w:fldChar w:fldCharType="begin"/>
                </w:r>
                <w:r w:rsidR="00965F36">
                  <w:rPr>
                    <w:rFonts w:hint="eastAsia"/>
                  </w:rPr>
                  <w:instrText xml:space="preserve"> PAGE  \* MERGEFORMAT </w:instrText>
                </w:r>
                <w:r>
                  <w:rPr>
                    <w:rFonts w:hint="eastAsia"/>
                  </w:rPr>
                  <w:fldChar w:fldCharType="separate"/>
                </w:r>
                <w:r w:rsidR="00075CA6">
                  <w:rPr>
                    <w:noProof/>
                  </w:rPr>
                  <w:t>11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F36" w:rsidRDefault="00965F36" w:rsidP="00901C1D">
      <w:r>
        <w:separator/>
      </w:r>
    </w:p>
  </w:footnote>
  <w:footnote w:type="continuationSeparator" w:id="1">
    <w:p w:rsidR="00965F36" w:rsidRDefault="00965F36" w:rsidP="00901C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1003ED"/>
    <w:multiLevelType w:val="singleLevel"/>
    <w:tmpl w:val="801003ED"/>
    <w:lvl w:ilvl="0">
      <w:start w:val="1"/>
      <w:numFmt w:val="decimal"/>
      <w:suff w:val="nothing"/>
      <w:lvlText w:val="（%1）"/>
      <w:lvlJc w:val="left"/>
      <w:pPr>
        <w:ind w:left="640" w:firstLine="0"/>
      </w:pPr>
    </w:lvl>
  </w:abstractNum>
  <w:abstractNum w:abstractNumId="1">
    <w:nsid w:val="8320A65E"/>
    <w:multiLevelType w:val="singleLevel"/>
    <w:tmpl w:val="8320A65E"/>
    <w:lvl w:ilvl="0">
      <w:start w:val="1"/>
      <w:numFmt w:val="chineseCounting"/>
      <w:suff w:val="nothing"/>
      <w:lvlText w:val="%1、"/>
      <w:lvlJc w:val="left"/>
      <w:pPr>
        <w:ind w:left="0" w:firstLine="420"/>
      </w:pPr>
      <w:rPr>
        <w:rFonts w:hint="eastAsia"/>
      </w:rPr>
    </w:lvl>
  </w:abstractNum>
  <w:abstractNum w:abstractNumId="2">
    <w:nsid w:val="9750FE19"/>
    <w:multiLevelType w:val="singleLevel"/>
    <w:tmpl w:val="9750FE19"/>
    <w:lvl w:ilvl="0">
      <w:start w:val="1"/>
      <w:numFmt w:val="chineseCounting"/>
      <w:suff w:val="nothing"/>
      <w:lvlText w:val="（%1）"/>
      <w:lvlJc w:val="left"/>
      <w:pPr>
        <w:ind w:left="0" w:firstLine="420"/>
      </w:pPr>
      <w:rPr>
        <w:rFonts w:hint="eastAsia"/>
      </w:rPr>
    </w:lvl>
  </w:abstractNum>
  <w:abstractNum w:abstractNumId="3">
    <w:nsid w:val="B0274473"/>
    <w:multiLevelType w:val="singleLevel"/>
    <w:tmpl w:val="B0274473"/>
    <w:lvl w:ilvl="0">
      <w:start w:val="2"/>
      <w:numFmt w:val="decimal"/>
      <w:suff w:val="nothing"/>
      <w:lvlText w:val="（%1）"/>
      <w:lvlJc w:val="left"/>
    </w:lvl>
  </w:abstractNum>
  <w:abstractNum w:abstractNumId="4">
    <w:nsid w:val="B3B88104"/>
    <w:multiLevelType w:val="singleLevel"/>
    <w:tmpl w:val="B3B88104"/>
    <w:lvl w:ilvl="0">
      <w:start w:val="1"/>
      <w:numFmt w:val="decimal"/>
      <w:suff w:val="nothing"/>
      <w:lvlText w:val="（%1）"/>
      <w:lvlJc w:val="left"/>
    </w:lvl>
  </w:abstractNum>
  <w:abstractNum w:abstractNumId="5">
    <w:nsid w:val="CD296E4C"/>
    <w:multiLevelType w:val="singleLevel"/>
    <w:tmpl w:val="CD296E4C"/>
    <w:lvl w:ilvl="0">
      <w:start w:val="1"/>
      <w:numFmt w:val="chineseCounting"/>
      <w:suff w:val="nothing"/>
      <w:lvlText w:val="（%1）"/>
      <w:lvlJc w:val="left"/>
      <w:pPr>
        <w:ind w:left="0" w:firstLine="420"/>
      </w:pPr>
      <w:rPr>
        <w:rFonts w:hint="eastAsia"/>
      </w:rPr>
    </w:lvl>
  </w:abstractNum>
  <w:abstractNum w:abstractNumId="6">
    <w:nsid w:val="CE30C9CC"/>
    <w:multiLevelType w:val="singleLevel"/>
    <w:tmpl w:val="CE30C9CC"/>
    <w:lvl w:ilvl="0">
      <w:start w:val="1"/>
      <w:numFmt w:val="chineseCounting"/>
      <w:suff w:val="nothing"/>
      <w:lvlText w:val="（%1）"/>
      <w:lvlJc w:val="left"/>
      <w:pPr>
        <w:ind w:left="0" w:firstLine="420"/>
      </w:pPr>
      <w:rPr>
        <w:rFonts w:hint="eastAsia"/>
      </w:rPr>
    </w:lvl>
  </w:abstractNum>
  <w:abstractNum w:abstractNumId="7">
    <w:nsid w:val="0F7AB233"/>
    <w:multiLevelType w:val="multilevel"/>
    <w:tmpl w:val="0F7AB233"/>
    <w:lvl w:ilvl="0">
      <w:start w:val="1"/>
      <w:numFmt w:val="chineseCounting"/>
      <w:suff w:val="nothing"/>
      <w:lvlText w:val="%1、"/>
      <w:lvlJc w:val="left"/>
      <w:pPr>
        <w:ind w:left="0" w:firstLine="400"/>
      </w:pPr>
      <w:rPr>
        <w:rFonts w:hint="eastAsia"/>
      </w:rPr>
    </w:lvl>
    <w:lvl w:ilvl="1">
      <w:start w:val="1"/>
      <w:numFmt w:val="decimal"/>
      <w:suff w:val="nothing"/>
      <w:lvlText w:val="%2．"/>
      <w:lvlJc w:val="left"/>
      <w:pPr>
        <w:ind w:left="0" w:firstLine="400"/>
      </w:pPr>
      <w:rPr>
        <w:rFonts w:hint="eastAsia"/>
      </w:rPr>
    </w:lvl>
    <w:lvl w:ilvl="2">
      <w:start w:val="1"/>
      <w:numFmt w:val="decimal"/>
      <w:suff w:val="nothing"/>
      <w:lvlText w:val="（%3）"/>
      <w:lvlJc w:val="left"/>
      <w:pPr>
        <w:ind w:left="0" w:firstLine="402"/>
      </w:pPr>
      <w:rPr>
        <w:rFonts w:hint="eastAsia"/>
      </w:rPr>
    </w:lvl>
    <w:lvl w:ilvl="3">
      <w:start w:val="1"/>
      <w:numFmt w:val="decimalEnclosedCircleChinese"/>
      <w:suff w:val="nothing"/>
      <w:lvlText w:val="%4 "/>
      <w:lvlJc w:val="left"/>
      <w:pPr>
        <w:ind w:left="0" w:firstLine="402"/>
      </w:pPr>
      <w:rPr>
        <w:rFonts w:hint="eastAsia"/>
      </w:rPr>
    </w:lvl>
    <w:lvl w:ilvl="4">
      <w:start w:val="1"/>
      <w:numFmt w:val="decimal"/>
      <w:suff w:val="nothing"/>
      <w:lvlText w:val="%5）"/>
      <w:lvlJc w:val="left"/>
      <w:pPr>
        <w:ind w:left="0" w:firstLine="402"/>
      </w:pPr>
      <w:rPr>
        <w:rFonts w:hint="eastAsia"/>
      </w:rPr>
    </w:lvl>
    <w:lvl w:ilvl="5">
      <w:start w:val="1"/>
      <w:numFmt w:val="lowerLetter"/>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Roman"/>
      <w:suff w:val="nothing"/>
      <w:lvlText w:val="%8. "/>
      <w:lvlJc w:val="left"/>
      <w:pPr>
        <w:ind w:left="0" w:firstLine="402"/>
      </w:pPr>
      <w:rPr>
        <w:rFonts w:hint="eastAsia"/>
      </w:rPr>
    </w:lvl>
    <w:lvl w:ilvl="8">
      <w:start w:val="1"/>
      <w:numFmt w:val="lowerRoman"/>
      <w:suff w:val="nothing"/>
      <w:lvlText w:val="%9）"/>
      <w:lvlJc w:val="left"/>
      <w:pPr>
        <w:ind w:left="0" w:firstLine="402"/>
      </w:pPr>
      <w:rPr>
        <w:rFonts w:hint="eastAsia"/>
      </w:rPr>
    </w:lvl>
  </w:abstractNum>
  <w:abstractNum w:abstractNumId="8">
    <w:nsid w:val="2F1AF8B5"/>
    <w:multiLevelType w:val="singleLevel"/>
    <w:tmpl w:val="2F1AF8B5"/>
    <w:lvl w:ilvl="0">
      <w:start w:val="1"/>
      <w:numFmt w:val="chineseCounting"/>
      <w:suff w:val="nothing"/>
      <w:lvlText w:val="（%1）"/>
      <w:lvlJc w:val="left"/>
      <w:pPr>
        <w:ind w:left="0" w:firstLine="420"/>
      </w:pPr>
      <w:rPr>
        <w:rFonts w:hint="eastAsia"/>
      </w:rPr>
    </w:lvl>
  </w:abstractNum>
  <w:abstractNum w:abstractNumId="9">
    <w:nsid w:val="3DD6BE6C"/>
    <w:multiLevelType w:val="singleLevel"/>
    <w:tmpl w:val="3DD6BE6C"/>
    <w:lvl w:ilvl="0">
      <w:start w:val="1"/>
      <w:numFmt w:val="decimal"/>
      <w:suff w:val="nothing"/>
      <w:lvlText w:val="%1．"/>
      <w:lvlJc w:val="left"/>
      <w:pPr>
        <w:ind w:left="0" w:firstLine="400"/>
      </w:pPr>
      <w:rPr>
        <w:rFonts w:hint="default"/>
      </w:rPr>
    </w:lvl>
  </w:abstractNum>
  <w:abstractNum w:abstractNumId="10">
    <w:nsid w:val="44F120BD"/>
    <w:multiLevelType w:val="singleLevel"/>
    <w:tmpl w:val="44F120BD"/>
    <w:lvl w:ilvl="0">
      <w:start w:val="1"/>
      <w:numFmt w:val="decimal"/>
      <w:suff w:val="nothing"/>
      <w:lvlText w:val="%1．"/>
      <w:lvlJc w:val="left"/>
      <w:pPr>
        <w:ind w:left="0" w:firstLine="400"/>
      </w:pPr>
      <w:rPr>
        <w:rFonts w:hint="default"/>
      </w:rPr>
    </w:lvl>
  </w:abstractNum>
  <w:abstractNum w:abstractNumId="11">
    <w:nsid w:val="5D1403D9"/>
    <w:multiLevelType w:val="multilevel"/>
    <w:tmpl w:val="5D1403D9"/>
    <w:lvl w:ilvl="0">
      <w:start w:val="2"/>
      <w:numFmt w:val="japaneseCounting"/>
      <w:lvlText w:val="（%1）"/>
      <w:lvlJc w:val="left"/>
      <w:pPr>
        <w:ind w:left="1720" w:hanging="1080"/>
      </w:pPr>
      <w:rPr>
        <w:rFonts w:ascii="楷体_GB2312" w:eastAsia="楷体_GB2312" w:hAnsi="楷体_GB2312" w:cs="楷体_GB2312"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2">
    <w:nsid w:val="68085586"/>
    <w:multiLevelType w:val="singleLevel"/>
    <w:tmpl w:val="68085586"/>
    <w:lvl w:ilvl="0">
      <w:start w:val="1"/>
      <w:numFmt w:val="decimal"/>
      <w:suff w:val="nothing"/>
      <w:lvlText w:val="%1．"/>
      <w:lvlJc w:val="left"/>
      <w:pPr>
        <w:ind w:left="0" w:firstLine="400"/>
      </w:pPr>
      <w:rPr>
        <w:rFonts w:hint="default"/>
      </w:rPr>
    </w:lvl>
  </w:abstractNum>
  <w:abstractNum w:abstractNumId="13">
    <w:nsid w:val="7760CF9C"/>
    <w:multiLevelType w:val="singleLevel"/>
    <w:tmpl w:val="7760CF9C"/>
    <w:lvl w:ilvl="0">
      <w:start w:val="1"/>
      <w:numFmt w:val="chineseCounting"/>
      <w:suff w:val="nothing"/>
      <w:lvlText w:val="（%1）"/>
      <w:lvlJc w:val="left"/>
      <w:pPr>
        <w:ind w:left="0" w:firstLine="420"/>
      </w:pPr>
      <w:rPr>
        <w:rFonts w:hint="eastAsia"/>
      </w:rPr>
    </w:lvl>
  </w:abstractNum>
  <w:abstractNum w:abstractNumId="14">
    <w:nsid w:val="7D465CD0"/>
    <w:multiLevelType w:val="singleLevel"/>
    <w:tmpl w:val="7D465CD0"/>
    <w:lvl w:ilvl="0">
      <w:start w:val="1"/>
      <w:numFmt w:val="decimal"/>
      <w:suff w:val="nothing"/>
      <w:lvlText w:val="%1．"/>
      <w:lvlJc w:val="left"/>
      <w:pPr>
        <w:ind w:left="0" w:firstLine="400"/>
      </w:pPr>
      <w:rPr>
        <w:rFonts w:hint="default"/>
      </w:rPr>
    </w:lvl>
  </w:abstractNum>
  <w:num w:numId="1">
    <w:abstractNumId w:val="1"/>
  </w:num>
  <w:num w:numId="2">
    <w:abstractNumId w:val="13"/>
  </w:num>
  <w:num w:numId="3">
    <w:abstractNumId w:val="8"/>
  </w:num>
  <w:num w:numId="4">
    <w:abstractNumId w:val="11"/>
  </w:num>
  <w:num w:numId="5">
    <w:abstractNumId w:val="2"/>
  </w:num>
  <w:num w:numId="6">
    <w:abstractNumId w:val="9"/>
  </w:num>
  <w:num w:numId="7">
    <w:abstractNumId w:val="3"/>
  </w:num>
  <w:num w:numId="8">
    <w:abstractNumId w:val="10"/>
  </w:num>
  <w:num w:numId="9">
    <w:abstractNumId w:val="0"/>
  </w:num>
  <w:num w:numId="10">
    <w:abstractNumId w:val="7"/>
  </w:num>
  <w:num w:numId="11">
    <w:abstractNumId w:val="12"/>
  </w:num>
  <w:num w:numId="12">
    <w:abstractNumId w:val="14"/>
  </w:num>
  <w:num w:numId="13">
    <w:abstractNumId w:val="4"/>
  </w:num>
  <w:num w:numId="14">
    <w:abstractNumId w:val="6"/>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DVmNWM0ZGUzZmIwNjQ4NTA0NmMyYTBkMjc5YjMyMTUifQ=="/>
  </w:docVars>
  <w:rsids>
    <w:rsidRoot w:val="004824CF"/>
    <w:rsid w:val="000113AD"/>
    <w:rsid w:val="000116E3"/>
    <w:rsid w:val="000120A3"/>
    <w:rsid w:val="00017A8A"/>
    <w:rsid w:val="00027EF1"/>
    <w:rsid w:val="00030E57"/>
    <w:rsid w:val="00031B71"/>
    <w:rsid w:val="000470B5"/>
    <w:rsid w:val="00047CA8"/>
    <w:rsid w:val="00051071"/>
    <w:rsid w:val="00061F38"/>
    <w:rsid w:val="00062C04"/>
    <w:rsid w:val="00075CA6"/>
    <w:rsid w:val="000847AF"/>
    <w:rsid w:val="000A4A46"/>
    <w:rsid w:val="000A7A1A"/>
    <w:rsid w:val="000B347C"/>
    <w:rsid w:val="000B777A"/>
    <w:rsid w:val="000C310D"/>
    <w:rsid w:val="000C3A23"/>
    <w:rsid w:val="000C662E"/>
    <w:rsid w:val="000D1468"/>
    <w:rsid w:val="000D3B57"/>
    <w:rsid w:val="000F0C0F"/>
    <w:rsid w:val="000F7E5D"/>
    <w:rsid w:val="00101119"/>
    <w:rsid w:val="00106F7F"/>
    <w:rsid w:val="0011296F"/>
    <w:rsid w:val="001177C1"/>
    <w:rsid w:val="00124BFA"/>
    <w:rsid w:val="0014520C"/>
    <w:rsid w:val="00145727"/>
    <w:rsid w:val="00145AE8"/>
    <w:rsid w:val="00146E66"/>
    <w:rsid w:val="001519A9"/>
    <w:rsid w:val="00153BD5"/>
    <w:rsid w:val="00176EB8"/>
    <w:rsid w:val="001822CD"/>
    <w:rsid w:val="0018651E"/>
    <w:rsid w:val="001874E2"/>
    <w:rsid w:val="001919C2"/>
    <w:rsid w:val="001937DB"/>
    <w:rsid w:val="001A09D0"/>
    <w:rsid w:val="001A1752"/>
    <w:rsid w:val="001A3E81"/>
    <w:rsid w:val="001E02E7"/>
    <w:rsid w:val="001E6F98"/>
    <w:rsid w:val="001F5575"/>
    <w:rsid w:val="00200A7F"/>
    <w:rsid w:val="00211C70"/>
    <w:rsid w:val="002460B1"/>
    <w:rsid w:val="0025099B"/>
    <w:rsid w:val="00250B4B"/>
    <w:rsid w:val="00260C68"/>
    <w:rsid w:val="002675C2"/>
    <w:rsid w:val="0027082C"/>
    <w:rsid w:val="00270D84"/>
    <w:rsid w:val="00275677"/>
    <w:rsid w:val="00287F7E"/>
    <w:rsid w:val="0029037F"/>
    <w:rsid w:val="00296B3C"/>
    <w:rsid w:val="002A1EA8"/>
    <w:rsid w:val="002A431A"/>
    <w:rsid w:val="002A63D3"/>
    <w:rsid w:val="002C06F4"/>
    <w:rsid w:val="002C27DF"/>
    <w:rsid w:val="002D0AAC"/>
    <w:rsid w:val="002D184A"/>
    <w:rsid w:val="002D2472"/>
    <w:rsid w:val="002D2D1C"/>
    <w:rsid w:val="002D782B"/>
    <w:rsid w:val="002E378B"/>
    <w:rsid w:val="002F35CA"/>
    <w:rsid w:val="00301EF3"/>
    <w:rsid w:val="00307088"/>
    <w:rsid w:val="0031046C"/>
    <w:rsid w:val="00312255"/>
    <w:rsid w:val="00313862"/>
    <w:rsid w:val="00320E2B"/>
    <w:rsid w:val="003268B4"/>
    <w:rsid w:val="00327B49"/>
    <w:rsid w:val="00336665"/>
    <w:rsid w:val="00347422"/>
    <w:rsid w:val="003538B0"/>
    <w:rsid w:val="00354D5E"/>
    <w:rsid w:val="003556D5"/>
    <w:rsid w:val="00387403"/>
    <w:rsid w:val="00394A41"/>
    <w:rsid w:val="003A1BFB"/>
    <w:rsid w:val="003B64C0"/>
    <w:rsid w:val="003C06E3"/>
    <w:rsid w:val="003D27EC"/>
    <w:rsid w:val="003D64A6"/>
    <w:rsid w:val="003D6BAF"/>
    <w:rsid w:val="003D7214"/>
    <w:rsid w:val="003F6A00"/>
    <w:rsid w:val="00404407"/>
    <w:rsid w:val="00407005"/>
    <w:rsid w:val="0040755A"/>
    <w:rsid w:val="00424462"/>
    <w:rsid w:val="00425818"/>
    <w:rsid w:val="00427CD2"/>
    <w:rsid w:val="00431894"/>
    <w:rsid w:val="00434DFA"/>
    <w:rsid w:val="00453294"/>
    <w:rsid w:val="004603EC"/>
    <w:rsid w:val="004645C5"/>
    <w:rsid w:val="004824CF"/>
    <w:rsid w:val="004855E5"/>
    <w:rsid w:val="00486024"/>
    <w:rsid w:val="0048650A"/>
    <w:rsid w:val="00490CB0"/>
    <w:rsid w:val="004A3D6E"/>
    <w:rsid w:val="004A47D1"/>
    <w:rsid w:val="004B2099"/>
    <w:rsid w:val="004B25D3"/>
    <w:rsid w:val="004C3BA2"/>
    <w:rsid w:val="004D5207"/>
    <w:rsid w:val="004D66AB"/>
    <w:rsid w:val="004D6BFA"/>
    <w:rsid w:val="004E485B"/>
    <w:rsid w:val="004F4841"/>
    <w:rsid w:val="00510D33"/>
    <w:rsid w:val="005114F8"/>
    <w:rsid w:val="00512E92"/>
    <w:rsid w:val="00514C3D"/>
    <w:rsid w:val="00521DAE"/>
    <w:rsid w:val="005348FE"/>
    <w:rsid w:val="00534AAB"/>
    <w:rsid w:val="0054037B"/>
    <w:rsid w:val="00555466"/>
    <w:rsid w:val="0055753B"/>
    <w:rsid w:val="00571E86"/>
    <w:rsid w:val="00573425"/>
    <w:rsid w:val="0058068B"/>
    <w:rsid w:val="00584E12"/>
    <w:rsid w:val="005B097F"/>
    <w:rsid w:val="005C1710"/>
    <w:rsid w:val="005C1CD3"/>
    <w:rsid w:val="005C72DD"/>
    <w:rsid w:val="005D1606"/>
    <w:rsid w:val="005E318B"/>
    <w:rsid w:val="005E3E47"/>
    <w:rsid w:val="005E676A"/>
    <w:rsid w:val="005E7E34"/>
    <w:rsid w:val="005F6AAB"/>
    <w:rsid w:val="00600F0F"/>
    <w:rsid w:val="00601989"/>
    <w:rsid w:val="006231CB"/>
    <w:rsid w:val="006269B3"/>
    <w:rsid w:val="0063479D"/>
    <w:rsid w:val="006442D4"/>
    <w:rsid w:val="00647344"/>
    <w:rsid w:val="00652B6D"/>
    <w:rsid w:val="0065679B"/>
    <w:rsid w:val="00660792"/>
    <w:rsid w:val="00663C7C"/>
    <w:rsid w:val="00667E1D"/>
    <w:rsid w:val="006752CC"/>
    <w:rsid w:val="00675819"/>
    <w:rsid w:val="006771B1"/>
    <w:rsid w:val="006A2B3E"/>
    <w:rsid w:val="006A2DB3"/>
    <w:rsid w:val="006A38CE"/>
    <w:rsid w:val="006B197A"/>
    <w:rsid w:val="006B3FCA"/>
    <w:rsid w:val="006B586A"/>
    <w:rsid w:val="006E1613"/>
    <w:rsid w:val="006E21A8"/>
    <w:rsid w:val="006E27F9"/>
    <w:rsid w:val="006F5DFD"/>
    <w:rsid w:val="006F6121"/>
    <w:rsid w:val="00706307"/>
    <w:rsid w:val="00715B01"/>
    <w:rsid w:val="00725074"/>
    <w:rsid w:val="00725C0C"/>
    <w:rsid w:val="00726133"/>
    <w:rsid w:val="00737F5E"/>
    <w:rsid w:val="007429DD"/>
    <w:rsid w:val="00754D59"/>
    <w:rsid w:val="0075567D"/>
    <w:rsid w:val="007600AB"/>
    <w:rsid w:val="007619A2"/>
    <w:rsid w:val="00762939"/>
    <w:rsid w:val="00765A5F"/>
    <w:rsid w:val="00770CBD"/>
    <w:rsid w:val="00783535"/>
    <w:rsid w:val="007A30B5"/>
    <w:rsid w:val="007A4706"/>
    <w:rsid w:val="007D210A"/>
    <w:rsid w:val="007E7F54"/>
    <w:rsid w:val="007F01D1"/>
    <w:rsid w:val="007F35C4"/>
    <w:rsid w:val="007F6CAF"/>
    <w:rsid w:val="00801E29"/>
    <w:rsid w:val="00802CF2"/>
    <w:rsid w:val="00804224"/>
    <w:rsid w:val="00806262"/>
    <w:rsid w:val="00821CB8"/>
    <w:rsid w:val="00834CB7"/>
    <w:rsid w:val="00834D9A"/>
    <w:rsid w:val="0084137F"/>
    <w:rsid w:val="00843285"/>
    <w:rsid w:val="00845193"/>
    <w:rsid w:val="008571B6"/>
    <w:rsid w:val="00865547"/>
    <w:rsid w:val="00872A62"/>
    <w:rsid w:val="00875EF9"/>
    <w:rsid w:val="0088255C"/>
    <w:rsid w:val="00883530"/>
    <w:rsid w:val="00890BFF"/>
    <w:rsid w:val="008948FF"/>
    <w:rsid w:val="008965BD"/>
    <w:rsid w:val="008A098E"/>
    <w:rsid w:val="008A6A01"/>
    <w:rsid w:val="008A6F04"/>
    <w:rsid w:val="008B3F87"/>
    <w:rsid w:val="008B5774"/>
    <w:rsid w:val="008C30F1"/>
    <w:rsid w:val="008C6719"/>
    <w:rsid w:val="008D4501"/>
    <w:rsid w:val="008D6E8A"/>
    <w:rsid w:val="00901C1D"/>
    <w:rsid w:val="0090533F"/>
    <w:rsid w:val="00906A71"/>
    <w:rsid w:val="00907AA8"/>
    <w:rsid w:val="00913C84"/>
    <w:rsid w:val="0091722D"/>
    <w:rsid w:val="00934D3F"/>
    <w:rsid w:val="0093625A"/>
    <w:rsid w:val="00950AFB"/>
    <w:rsid w:val="00952DDA"/>
    <w:rsid w:val="00953181"/>
    <w:rsid w:val="00960F4F"/>
    <w:rsid w:val="00965F36"/>
    <w:rsid w:val="0096650B"/>
    <w:rsid w:val="00970EBF"/>
    <w:rsid w:val="00973D11"/>
    <w:rsid w:val="009916FA"/>
    <w:rsid w:val="009C0F46"/>
    <w:rsid w:val="009C14CE"/>
    <w:rsid w:val="009C1D38"/>
    <w:rsid w:val="009D3760"/>
    <w:rsid w:val="009E5F9B"/>
    <w:rsid w:val="009E6674"/>
    <w:rsid w:val="009F3CA0"/>
    <w:rsid w:val="009F3FCC"/>
    <w:rsid w:val="00A04436"/>
    <w:rsid w:val="00A3553E"/>
    <w:rsid w:val="00A50C4D"/>
    <w:rsid w:val="00A80155"/>
    <w:rsid w:val="00A81C92"/>
    <w:rsid w:val="00A94314"/>
    <w:rsid w:val="00AB06FB"/>
    <w:rsid w:val="00AB4021"/>
    <w:rsid w:val="00AB40A2"/>
    <w:rsid w:val="00AB448A"/>
    <w:rsid w:val="00AC0B2B"/>
    <w:rsid w:val="00AC28E8"/>
    <w:rsid w:val="00AC2EB0"/>
    <w:rsid w:val="00AD61D0"/>
    <w:rsid w:val="00AE3FC8"/>
    <w:rsid w:val="00AE4D2B"/>
    <w:rsid w:val="00AF00F5"/>
    <w:rsid w:val="00AF5329"/>
    <w:rsid w:val="00B11274"/>
    <w:rsid w:val="00B12487"/>
    <w:rsid w:val="00B21DCE"/>
    <w:rsid w:val="00B25E00"/>
    <w:rsid w:val="00B30CE4"/>
    <w:rsid w:val="00B510E4"/>
    <w:rsid w:val="00B6486A"/>
    <w:rsid w:val="00B70470"/>
    <w:rsid w:val="00B706A4"/>
    <w:rsid w:val="00BA53CA"/>
    <w:rsid w:val="00BB202D"/>
    <w:rsid w:val="00BB3104"/>
    <w:rsid w:val="00BB3893"/>
    <w:rsid w:val="00BC17D3"/>
    <w:rsid w:val="00BD6C39"/>
    <w:rsid w:val="00BE2FE4"/>
    <w:rsid w:val="00C21B7A"/>
    <w:rsid w:val="00C3142F"/>
    <w:rsid w:val="00C34783"/>
    <w:rsid w:val="00C51E2C"/>
    <w:rsid w:val="00C520C7"/>
    <w:rsid w:val="00C547AC"/>
    <w:rsid w:val="00C55D3B"/>
    <w:rsid w:val="00C56D59"/>
    <w:rsid w:val="00C602E8"/>
    <w:rsid w:val="00C63D4D"/>
    <w:rsid w:val="00C818A7"/>
    <w:rsid w:val="00C903DA"/>
    <w:rsid w:val="00C90E81"/>
    <w:rsid w:val="00C91E18"/>
    <w:rsid w:val="00CA108C"/>
    <w:rsid w:val="00CA4754"/>
    <w:rsid w:val="00CA4CF0"/>
    <w:rsid w:val="00CA5946"/>
    <w:rsid w:val="00CB288E"/>
    <w:rsid w:val="00CB3363"/>
    <w:rsid w:val="00CC686D"/>
    <w:rsid w:val="00CF419C"/>
    <w:rsid w:val="00D11C9E"/>
    <w:rsid w:val="00D14279"/>
    <w:rsid w:val="00D14591"/>
    <w:rsid w:val="00D15B44"/>
    <w:rsid w:val="00D3539E"/>
    <w:rsid w:val="00D4594A"/>
    <w:rsid w:val="00D45A1C"/>
    <w:rsid w:val="00D5364D"/>
    <w:rsid w:val="00D53D26"/>
    <w:rsid w:val="00D57672"/>
    <w:rsid w:val="00D60609"/>
    <w:rsid w:val="00D6771A"/>
    <w:rsid w:val="00D67EE8"/>
    <w:rsid w:val="00D706A6"/>
    <w:rsid w:val="00D73044"/>
    <w:rsid w:val="00D7383E"/>
    <w:rsid w:val="00D75078"/>
    <w:rsid w:val="00D80E1B"/>
    <w:rsid w:val="00D95887"/>
    <w:rsid w:val="00DB2954"/>
    <w:rsid w:val="00DB7C74"/>
    <w:rsid w:val="00DC0E8A"/>
    <w:rsid w:val="00DC1120"/>
    <w:rsid w:val="00DC6AB1"/>
    <w:rsid w:val="00DC77E5"/>
    <w:rsid w:val="00DD0050"/>
    <w:rsid w:val="00DE504A"/>
    <w:rsid w:val="00DE632A"/>
    <w:rsid w:val="00E001D7"/>
    <w:rsid w:val="00E14EB6"/>
    <w:rsid w:val="00E304BF"/>
    <w:rsid w:val="00E34015"/>
    <w:rsid w:val="00E36E71"/>
    <w:rsid w:val="00E55BC5"/>
    <w:rsid w:val="00E62AB4"/>
    <w:rsid w:val="00E839A4"/>
    <w:rsid w:val="00E87163"/>
    <w:rsid w:val="00EA037D"/>
    <w:rsid w:val="00EA0438"/>
    <w:rsid w:val="00EC7275"/>
    <w:rsid w:val="00ED22A3"/>
    <w:rsid w:val="00ED5DF2"/>
    <w:rsid w:val="00EE4EC8"/>
    <w:rsid w:val="00F00D3E"/>
    <w:rsid w:val="00F1307A"/>
    <w:rsid w:val="00F16848"/>
    <w:rsid w:val="00F21D69"/>
    <w:rsid w:val="00F3467A"/>
    <w:rsid w:val="00F41A1F"/>
    <w:rsid w:val="00F60299"/>
    <w:rsid w:val="00F60EFF"/>
    <w:rsid w:val="00F6301B"/>
    <w:rsid w:val="00F7225C"/>
    <w:rsid w:val="00F72CA9"/>
    <w:rsid w:val="00F87058"/>
    <w:rsid w:val="00FA021A"/>
    <w:rsid w:val="00FA3A47"/>
    <w:rsid w:val="00FA5E76"/>
    <w:rsid w:val="00FB31B4"/>
    <w:rsid w:val="00FB3728"/>
    <w:rsid w:val="00FB6632"/>
    <w:rsid w:val="00FD04AD"/>
    <w:rsid w:val="00FF0482"/>
    <w:rsid w:val="00FF0B06"/>
    <w:rsid w:val="00FF1B6C"/>
    <w:rsid w:val="00FF2926"/>
    <w:rsid w:val="01871852"/>
    <w:rsid w:val="01FA75C2"/>
    <w:rsid w:val="02151F5D"/>
    <w:rsid w:val="0233386D"/>
    <w:rsid w:val="02916500"/>
    <w:rsid w:val="02B9341E"/>
    <w:rsid w:val="02CB1CF7"/>
    <w:rsid w:val="02F23728"/>
    <w:rsid w:val="02F42E5E"/>
    <w:rsid w:val="042876E7"/>
    <w:rsid w:val="04594368"/>
    <w:rsid w:val="048E7480"/>
    <w:rsid w:val="04B46E6D"/>
    <w:rsid w:val="05876BD1"/>
    <w:rsid w:val="05BF7509"/>
    <w:rsid w:val="05C05B2C"/>
    <w:rsid w:val="05C83080"/>
    <w:rsid w:val="05CF3896"/>
    <w:rsid w:val="05D45367"/>
    <w:rsid w:val="062036DC"/>
    <w:rsid w:val="06485B93"/>
    <w:rsid w:val="065A3ABE"/>
    <w:rsid w:val="06C35A28"/>
    <w:rsid w:val="06EC048E"/>
    <w:rsid w:val="071F37E4"/>
    <w:rsid w:val="07AB458E"/>
    <w:rsid w:val="07B65858"/>
    <w:rsid w:val="07DE4453"/>
    <w:rsid w:val="07E86406"/>
    <w:rsid w:val="07FA208D"/>
    <w:rsid w:val="08021F03"/>
    <w:rsid w:val="081F66DD"/>
    <w:rsid w:val="085963BE"/>
    <w:rsid w:val="08763A67"/>
    <w:rsid w:val="08AC4379"/>
    <w:rsid w:val="08C36EB5"/>
    <w:rsid w:val="09591C60"/>
    <w:rsid w:val="097A7FD3"/>
    <w:rsid w:val="099F6326"/>
    <w:rsid w:val="09AC51F4"/>
    <w:rsid w:val="09DA6BC1"/>
    <w:rsid w:val="09DF1555"/>
    <w:rsid w:val="09F72B37"/>
    <w:rsid w:val="0A1827D7"/>
    <w:rsid w:val="0A197091"/>
    <w:rsid w:val="0AAE58EC"/>
    <w:rsid w:val="0AF055C0"/>
    <w:rsid w:val="0B056D1D"/>
    <w:rsid w:val="0B0C55A3"/>
    <w:rsid w:val="0B354959"/>
    <w:rsid w:val="0BE64C7B"/>
    <w:rsid w:val="0C7A28A0"/>
    <w:rsid w:val="0CAE01EE"/>
    <w:rsid w:val="0CDD56B7"/>
    <w:rsid w:val="0D0176CE"/>
    <w:rsid w:val="0D480AAD"/>
    <w:rsid w:val="0D8E2C6D"/>
    <w:rsid w:val="0DB1596D"/>
    <w:rsid w:val="0DE533FE"/>
    <w:rsid w:val="0DFE246D"/>
    <w:rsid w:val="0E1A3C41"/>
    <w:rsid w:val="0E1C5C8A"/>
    <w:rsid w:val="0E9235F2"/>
    <w:rsid w:val="0EB87440"/>
    <w:rsid w:val="0F2C6214"/>
    <w:rsid w:val="0F73140B"/>
    <w:rsid w:val="0F827BE2"/>
    <w:rsid w:val="0F8459E7"/>
    <w:rsid w:val="0FD91EF8"/>
    <w:rsid w:val="106F4679"/>
    <w:rsid w:val="107C0AC4"/>
    <w:rsid w:val="10960BEB"/>
    <w:rsid w:val="10A55AC5"/>
    <w:rsid w:val="10AA558E"/>
    <w:rsid w:val="10C5422A"/>
    <w:rsid w:val="10E76023"/>
    <w:rsid w:val="10EC02A4"/>
    <w:rsid w:val="113035A1"/>
    <w:rsid w:val="113911B0"/>
    <w:rsid w:val="114950F1"/>
    <w:rsid w:val="114A6B08"/>
    <w:rsid w:val="11AC051D"/>
    <w:rsid w:val="11CF0642"/>
    <w:rsid w:val="11E90AE8"/>
    <w:rsid w:val="11FC13A8"/>
    <w:rsid w:val="122825AB"/>
    <w:rsid w:val="123A47A4"/>
    <w:rsid w:val="12761959"/>
    <w:rsid w:val="12844B5F"/>
    <w:rsid w:val="12BE53D5"/>
    <w:rsid w:val="12F81301"/>
    <w:rsid w:val="13841283"/>
    <w:rsid w:val="13A96608"/>
    <w:rsid w:val="13AC4C0C"/>
    <w:rsid w:val="13B87E82"/>
    <w:rsid w:val="14081F50"/>
    <w:rsid w:val="140F746A"/>
    <w:rsid w:val="14264FE0"/>
    <w:rsid w:val="14B92F7F"/>
    <w:rsid w:val="14C43166"/>
    <w:rsid w:val="150E4DA7"/>
    <w:rsid w:val="151632A6"/>
    <w:rsid w:val="152D38D2"/>
    <w:rsid w:val="153616F9"/>
    <w:rsid w:val="155E4C4D"/>
    <w:rsid w:val="15842905"/>
    <w:rsid w:val="15887D48"/>
    <w:rsid w:val="158C0FC4"/>
    <w:rsid w:val="159700A9"/>
    <w:rsid w:val="15CB2FC8"/>
    <w:rsid w:val="15DD0268"/>
    <w:rsid w:val="15FB517D"/>
    <w:rsid w:val="161C36A4"/>
    <w:rsid w:val="161E74F7"/>
    <w:rsid w:val="162F0A5F"/>
    <w:rsid w:val="16342FB8"/>
    <w:rsid w:val="164D0F49"/>
    <w:rsid w:val="165450C8"/>
    <w:rsid w:val="16955512"/>
    <w:rsid w:val="16A20B69"/>
    <w:rsid w:val="16A6065A"/>
    <w:rsid w:val="16D231FD"/>
    <w:rsid w:val="16F9596D"/>
    <w:rsid w:val="173E6AE4"/>
    <w:rsid w:val="17471444"/>
    <w:rsid w:val="1763654B"/>
    <w:rsid w:val="176606D1"/>
    <w:rsid w:val="1783551C"/>
    <w:rsid w:val="1787183D"/>
    <w:rsid w:val="17BA717E"/>
    <w:rsid w:val="17D411EF"/>
    <w:rsid w:val="18132663"/>
    <w:rsid w:val="186D4723"/>
    <w:rsid w:val="18D67438"/>
    <w:rsid w:val="18EB3F81"/>
    <w:rsid w:val="191C404E"/>
    <w:rsid w:val="19353F17"/>
    <w:rsid w:val="198C70D4"/>
    <w:rsid w:val="1A18150E"/>
    <w:rsid w:val="1A4C59BC"/>
    <w:rsid w:val="1AA337EE"/>
    <w:rsid w:val="1AA75E35"/>
    <w:rsid w:val="1ABA2925"/>
    <w:rsid w:val="1AED4CEE"/>
    <w:rsid w:val="1AFA0BF0"/>
    <w:rsid w:val="1AFF47DC"/>
    <w:rsid w:val="1B1738D4"/>
    <w:rsid w:val="1B631DDD"/>
    <w:rsid w:val="1B733B75"/>
    <w:rsid w:val="1C01726E"/>
    <w:rsid w:val="1C502ABD"/>
    <w:rsid w:val="1C821221"/>
    <w:rsid w:val="1C945D59"/>
    <w:rsid w:val="1C9A47BD"/>
    <w:rsid w:val="1CBB4733"/>
    <w:rsid w:val="1CEE616B"/>
    <w:rsid w:val="1D293CB5"/>
    <w:rsid w:val="1D6E5D93"/>
    <w:rsid w:val="1D794BDF"/>
    <w:rsid w:val="1D8036C3"/>
    <w:rsid w:val="1D9C0459"/>
    <w:rsid w:val="1DA02655"/>
    <w:rsid w:val="1DB536C5"/>
    <w:rsid w:val="1E193E07"/>
    <w:rsid w:val="1E1F39B9"/>
    <w:rsid w:val="1E2E630E"/>
    <w:rsid w:val="1E562965"/>
    <w:rsid w:val="1E5D0C3B"/>
    <w:rsid w:val="1E6D26F3"/>
    <w:rsid w:val="1EA506FE"/>
    <w:rsid w:val="1EC612D4"/>
    <w:rsid w:val="1EE77A61"/>
    <w:rsid w:val="1EE82D37"/>
    <w:rsid w:val="1F356024"/>
    <w:rsid w:val="1F547D36"/>
    <w:rsid w:val="1FBD28F6"/>
    <w:rsid w:val="1FFE5062"/>
    <w:rsid w:val="200E7F92"/>
    <w:rsid w:val="204964BA"/>
    <w:rsid w:val="20786BD9"/>
    <w:rsid w:val="208C6B12"/>
    <w:rsid w:val="209239FD"/>
    <w:rsid w:val="20FC73FD"/>
    <w:rsid w:val="21257143"/>
    <w:rsid w:val="21AD6D40"/>
    <w:rsid w:val="21BF2747"/>
    <w:rsid w:val="21E12424"/>
    <w:rsid w:val="220F3557"/>
    <w:rsid w:val="22552843"/>
    <w:rsid w:val="22664960"/>
    <w:rsid w:val="226F0499"/>
    <w:rsid w:val="22A56D19"/>
    <w:rsid w:val="22B8577A"/>
    <w:rsid w:val="233A6B89"/>
    <w:rsid w:val="233D06CE"/>
    <w:rsid w:val="234436D4"/>
    <w:rsid w:val="23703CB9"/>
    <w:rsid w:val="23A35F91"/>
    <w:rsid w:val="23C927A8"/>
    <w:rsid w:val="23CD6CF2"/>
    <w:rsid w:val="24133523"/>
    <w:rsid w:val="245C2091"/>
    <w:rsid w:val="24713750"/>
    <w:rsid w:val="24831FDA"/>
    <w:rsid w:val="254E4396"/>
    <w:rsid w:val="255274E3"/>
    <w:rsid w:val="25627E42"/>
    <w:rsid w:val="256F2C00"/>
    <w:rsid w:val="25710085"/>
    <w:rsid w:val="257C53A7"/>
    <w:rsid w:val="25F0369F"/>
    <w:rsid w:val="2699536E"/>
    <w:rsid w:val="26A24ACF"/>
    <w:rsid w:val="27AA1890"/>
    <w:rsid w:val="27D43D1A"/>
    <w:rsid w:val="27FA25B3"/>
    <w:rsid w:val="280B2A12"/>
    <w:rsid w:val="280D3B8A"/>
    <w:rsid w:val="280F5E8D"/>
    <w:rsid w:val="285443B9"/>
    <w:rsid w:val="286F2FA1"/>
    <w:rsid w:val="28A576A5"/>
    <w:rsid w:val="28D505A3"/>
    <w:rsid w:val="2924732A"/>
    <w:rsid w:val="292A5CD7"/>
    <w:rsid w:val="298E4C8F"/>
    <w:rsid w:val="29A12C44"/>
    <w:rsid w:val="29B82CB2"/>
    <w:rsid w:val="29FB1394"/>
    <w:rsid w:val="2A3717E6"/>
    <w:rsid w:val="2A9A7ECE"/>
    <w:rsid w:val="2A9D67A7"/>
    <w:rsid w:val="2ABE21FE"/>
    <w:rsid w:val="2B2552E7"/>
    <w:rsid w:val="2B2A2FA5"/>
    <w:rsid w:val="2B55755F"/>
    <w:rsid w:val="2BEC74D1"/>
    <w:rsid w:val="2BF36EA8"/>
    <w:rsid w:val="2BFE204A"/>
    <w:rsid w:val="2C477D91"/>
    <w:rsid w:val="2C646B95"/>
    <w:rsid w:val="2C6941AB"/>
    <w:rsid w:val="2C90730E"/>
    <w:rsid w:val="2CA13945"/>
    <w:rsid w:val="2CA7500E"/>
    <w:rsid w:val="2D283FDF"/>
    <w:rsid w:val="2D872CCF"/>
    <w:rsid w:val="2DEA7573"/>
    <w:rsid w:val="2DEB0EAF"/>
    <w:rsid w:val="2E150147"/>
    <w:rsid w:val="2E3B1F69"/>
    <w:rsid w:val="2E452049"/>
    <w:rsid w:val="2E626351"/>
    <w:rsid w:val="2E8E117F"/>
    <w:rsid w:val="2E9458AA"/>
    <w:rsid w:val="2EAE40F8"/>
    <w:rsid w:val="2EDC0400"/>
    <w:rsid w:val="2EEA7A87"/>
    <w:rsid w:val="2F520F27"/>
    <w:rsid w:val="2F7155EC"/>
    <w:rsid w:val="2FA25366"/>
    <w:rsid w:val="2FAD1429"/>
    <w:rsid w:val="301A1FCC"/>
    <w:rsid w:val="301E0747"/>
    <w:rsid w:val="304A4F45"/>
    <w:rsid w:val="305C1993"/>
    <w:rsid w:val="30C773D6"/>
    <w:rsid w:val="30D37E45"/>
    <w:rsid w:val="30D750F1"/>
    <w:rsid w:val="311D6966"/>
    <w:rsid w:val="317C04DD"/>
    <w:rsid w:val="31886E82"/>
    <w:rsid w:val="318D0861"/>
    <w:rsid w:val="31EC01A1"/>
    <w:rsid w:val="320317B2"/>
    <w:rsid w:val="3207424E"/>
    <w:rsid w:val="320E349A"/>
    <w:rsid w:val="325915B4"/>
    <w:rsid w:val="325F115A"/>
    <w:rsid w:val="328C0C95"/>
    <w:rsid w:val="328D5BA3"/>
    <w:rsid w:val="32BF2D77"/>
    <w:rsid w:val="32FA388A"/>
    <w:rsid w:val="33216BD9"/>
    <w:rsid w:val="337F22D4"/>
    <w:rsid w:val="33D053DE"/>
    <w:rsid w:val="33D53F47"/>
    <w:rsid w:val="33E45440"/>
    <w:rsid w:val="33F6119B"/>
    <w:rsid w:val="342E0FF9"/>
    <w:rsid w:val="342F7A89"/>
    <w:rsid w:val="34614C5E"/>
    <w:rsid w:val="348B0B67"/>
    <w:rsid w:val="34A41893"/>
    <w:rsid w:val="34D870ED"/>
    <w:rsid w:val="34DB550E"/>
    <w:rsid w:val="351F2835"/>
    <w:rsid w:val="35650230"/>
    <w:rsid w:val="35E825E5"/>
    <w:rsid w:val="36533F02"/>
    <w:rsid w:val="369E0EF6"/>
    <w:rsid w:val="36A94F0A"/>
    <w:rsid w:val="36AD4E95"/>
    <w:rsid w:val="36C577D4"/>
    <w:rsid w:val="373C0FEE"/>
    <w:rsid w:val="37631D52"/>
    <w:rsid w:val="379003FF"/>
    <w:rsid w:val="37F1012E"/>
    <w:rsid w:val="380F2752"/>
    <w:rsid w:val="38543DC8"/>
    <w:rsid w:val="38550D30"/>
    <w:rsid w:val="38554E37"/>
    <w:rsid w:val="3861534B"/>
    <w:rsid w:val="38832151"/>
    <w:rsid w:val="3890595B"/>
    <w:rsid w:val="38BE2F41"/>
    <w:rsid w:val="38C033A5"/>
    <w:rsid w:val="38FA1F08"/>
    <w:rsid w:val="397F785A"/>
    <w:rsid w:val="39E4143D"/>
    <w:rsid w:val="3A865B06"/>
    <w:rsid w:val="3A946897"/>
    <w:rsid w:val="3AA768DE"/>
    <w:rsid w:val="3AAA04B4"/>
    <w:rsid w:val="3ACB0B41"/>
    <w:rsid w:val="3AF137E3"/>
    <w:rsid w:val="3AF35CDF"/>
    <w:rsid w:val="3B1B2FFF"/>
    <w:rsid w:val="3B417784"/>
    <w:rsid w:val="3B59615D"/>
    <w:rsid w:val="3B7B68ED"/>
    <w:rsid w:val="3B8D4E54"/>
    <w:rsid w:val="3BC728D0"/>
    <w:rsid w:val="3C1B6030"/>
    <w:rsid w:val="3C2A3A07"/>
    <w:rsid w:val="3CA34797"/>
    <w:rsid w:val="3CA52FDE"/>
    <w:rsid w:val="3CCA31C7"/>
    <w:rsid w:val="3D0243F7"/>
    <w:rsid w:val="3D10334B"/>
    <w:rsid w:val="3D17730C"/>
    <w:rsid w:val="3D501BA7"/>
    <w:rsid w:val="3D8449A1"/>
    <w:rsid w:val="3DA22991"/>
    <w:rsid w:val="3DAB52CC"/>
    <w:rsid w:val="3DEE4511"/>
    <w:rsid w:val="3E1508B5"/>
    <w:rsid w:val="3E42660A"/>
    <w:rsid w:val="3E90275C"/>
    <w:rsid w:val="3E9D3EC9"/>
    <w:rsid w:val="3EDA3DFC"/>
    <w:rsid w:val="3F877E48"/>
    <w:rsid w:val="3FE427A7"/>
    <w:rsid w:val="3FFC1167"/>
    <w:rsid w:val="40291570"/>
    <w:rsid w:val="40B10E42"/>
    <w:rsid w:val="40B36C44"/>
    <w:rsid w:val="40BA4B7E"/>
    <w:rsid w:val="40D52426"/>
    <w:rsid w:val="4153125A"/>
    <w:rsid w:val="41723778"/>
    <w:rsid w:val="419D4283"/>
    <w:rsid w:val="41CA01DE"/>
    <w:rsid w:val="41E37787"/>
    <w:rsid w:val="423C69EA"/>
    <w:rsid w:val="424E2033"/>
    <w:rsid w:val="4255348D"/>
    <w:rsid w:val="427A213E"/>
    <w:rsid w:val="42BA6DF8"/>
    <w:rsid w:val="42EE6118"/>
    <w:rsid w:val="43160C6C"/>
    <w:rsid w:val="431F0359"/>
    <w:rsid w:val="43340C18"/>
    <w:rsid w:val="43516107"/>
    <w:rsid w:val="435C019A"/>
    <w:rsid w:val="436C25BC"/>
    <w:rsid w:val="43776D56"/>
    <w:rsid w:val="437A3E83"/>
    <w:rsid w:val="43F37F35"/>
    <w:rsid w:val="441428A0"/>
    <w:rsid w:val="4431412F"/>
    <w:rsid w:val="4454331F"/>
    <w:rsid w:val="453250A4"/>
    <w:rsid w:val="4554734F"/>
    <w:rsid w:val="458918DA"/>
    <w:rsid w:val="459E5A67"/>
    <w:rsid w:val="45C46415"/>
    <w:rsid w:val="45C9701F"/>
    <w:rsid w:val="45D466E2"/>
    <w:rsid w:val="45F428E0"/>
    <w:rsid w:val="46076AE9"/>
    <w:rsid w:val="46090F87"/>
    <w:rsid w:val="462F3918"/>
    <w:rsid w:val="46613521"/>
    <w:rsid w:val="46872807"/>
    <w:rsid w:val="46B725E2"/>
    <w:rsid w:val="46C403FE"/>
    <w:rsid w:val="46E17EB6"/>
    <w:rsid w:val="46F54B62"/>
    <w:rsid w:val="47471AB7"/>
    <w:rsid w:val="478C25E5"/>
    <w:rsid w:val="47EE0A00"/>
    <w:rsid w:val="480929E4"/>
    <w:rsid w:val="484418FD"/>
    <w:rsid w:val="488050EA"/>
    <w:rsid w:val="488B752C"/>
    <w:rsid w:val="48984FC5"/>
    <w:rsid w:val="48AB6F46"/>
    <w:rsid w:val="48C22822"/>
    <w:rsid w:val="490B5F77"/>
    <w:rsid w:val="491D3EFC"/>
    <w:rsid w:val="49225C15"/>
    <w:rsid w:val="49252F99"/>
    <w:rsid w:val="495F4514"/>
    <w:rsid w:val="49C622E4"/>
    <w:rsid w:val="49F07BA6"/>
    <w:rsid w:val="4A095FF6"/>
    <w:rsid w:val="4A253068"/>
    <w:rsid w:val="4A323552"/>
    <w:rsid w:val="4A4259CA"/>
    <w:rsid w:val="4A82036E"/>
    <w:rsid w:val="4AEB4B7F"/>
    <w:rsid w:val="4AFA0812"/>
    <w:rsid w:val="4B0C49C6"/>
    <w:rsid w:val="4B0E33CA"/>
    <w:rsid w:val="4B141895"/>
    <w:rsid w:val="4B2801FD"/>
    <w:rsid w:val="4B285466"/>
    <w:rsid w:val="4B776719"/>
    <w:rsid w:val="4B846DFD"/>
    <w:rsid w:val="4B8F4302"/>
    <w:rsid w:val="4B9E7909"/>
    <w:rsid w:val="4BD4700F"/>
    <w:rsid w:val="4BEA0B92"/>
    <w:rsid w:val="4BEE22DF"/>
    <w:rsid w:val="4BF038AE"/>
    <w:rsid w:val="4BFD4E69"/>
    <w:rsid w:val="4BFE6267"/>
    <w:rsid w:val="4C567E51"/>
    <w:rsid w:val="4C883D82"/>
    <w:rsid w:val="4CEC5B28"/>
    <w:rsid w:val="4CFC0FF6"/>
    <w:rsid w:val="4D0C4969"/>
    <w:rsid w:val="4D9D3829"/>
    <w:rsid w:val="4DC66910"/>
    <w:rsid w:val="4DDE1EAC"/>
    <w:rsid w:val="4DF55447"/>
    <w:rsid w:val="4E0A269E"/>
    <w:rsid w:val="4E21623C"/>
    <w:rsid w:val="4E3B0634"/>
    <w:rsid w:val="4E4940E5"/>
    <w:rsid w:val="4E7740AE"/>
    <w:rsid w:val="4F0C47F7"/>
    <w:rsid w:val="4F134A42"/>
    <w:rsid w:val="4F5906D5"/>
    <w:rsid w:val="4F5A192F"/>
    <w:rsid w:val="4F76776A"/>
    <w:rsid w:val="4F787D04"/>
    <w:rsid w:val="4FA91166"/>
    <w:rsid w:val="4FAE1D52"/>
    <w:rsid w:val="4FBC5831"/>
    <w:rsid w:val="4FD00ACF"/>
    <w:rsid w:val="4FEA2911"/>
    <w:rsid w:val="4FFC1D50"/>
    <w:rsid w:val="50393A9E"/>
    <w:rsid w:val="50493828"/>
    <w:rsid w:val="50B4107E"/>
    <w:rsid w:val="51446AA1"/>
    <w:rsid w:val="5147420C"/>
    <w:rsid w:val="51777DFD"/>
    <w:rsid w:val="51A23E50"/>
    <w:rsid w:val="51E43733"/>
    <w:rsid w:val="51E72140"/>
    <w:rsid w:val="5219315D"/>
    <w:rsid w:val="52372B85"/>
    <w:rsid w:val="52C53E09"/>
    <w:rsid w:val="52D464CF"/>
    <w:rsid w:val="52E5233B"/>
    <w:rsid w:val="532E2075"/>
    <w:rsid w:val="533F5418"/>
    <w:rsid w:val="535216A1"/>
    <w:rsid w:val="539E3E71"/>
    <w:rsid w:val="539E6D4B"/>
    <w:rsid w:val="53A65B5F"/>
    <w:rsid w:val="53BD07B5"/>
    <w:rsid w:val="53F81EBC"/>
    <w:rsid w:val="54154DBE"/>
    <w:rsid w:val="543C5B7E"/>
    <w:rsid w:val="544A3D1E"/>
    <w:rsid w:val="54640A90"/>
    <w:rsid w:val="54660E4D"/>
    <w:rsid w:val="549A28A4"/>
    <w:rsid w:val="54A92AE8"/>
    <w:rsid w:val="54BB7994"/>
    <w:rsid w:val="54D566F1"/>
    <w:rsid w:val="54F77CF7"/>
    <w:rsid w:val="54FE110E"/>
    <w:rsid w:val="55486565"/>
    <w:rsid w:val="55766E6E"/>
    <w:rsid w:val="557D644E"/>
    <w:rsid w:val="55854469"/>
    <w:rsid w:val="55937A20"/>
    <w:rsid w:val="559636FD"/>
    <w:rsid w:val="559E3374"/>
    <w:rsid w:val="55A40F21"/>
    <w:rsid w:val="55E31E7D"/>
    <w:rsid w:val="56113D7B"/>
    <w:rsid w:val="56757125"/>
    <w:rsid w:val="56A0282F"/>
    <w:rsid w:val="56F3111F"/>
    <w:rsid w:val="56FB2013"/>
    <w:rsid w:val="570B0B2B"/>
    <w:rsid w:val="577A63FD"/>
    <w:rsid w:val="57933D94"/>
    <w:rsid w:val="57B66DEA"/>
    <w:rsid w:val="58000950"/>
    <w:rsid w:val="58306174"/>
    <w:rsid w:val="58415292"/>
    <w:rsid w:val="584E1402"/>
    <w:rsid w:val="590E6880"/>
    <w:rsid w:val="598704B1"/>
    <w:rsid w:val="599B21FE"/>
    <w:rsid w:val="59B63CDD"/>
    <w:rsid w:val="5A32680C"/>
    <w:rsid w:val="5A3769F1"/>
    <w:rsid w:val="5A631883"/>
    <w:rsid w:val="5A751DEA"/>
    <w:rsid w:val="5A8913F1"/>
    <w:rsid w:val="5A9912BD"/>
    <w:rsid w:val="5ABA77FD"/>
    <w:rsid w:val="5AC74793"/>
    <w:rsid w:val="5AE00572"/>
    <w:rsid w:val="5AE753D1"/>
    <w:rsid w:val="5AE96334"/>
    <w:rsid w:val="5B25059C"/>
    <w:rsid w:val="5B90055D"/>
    <w:rsid w:val="5C1C1FAB"/>
    <w:rsid w:val="5C3D6937"/>
    <w:rsid w:val="5C6977DE"/>
    <w:rsid w:val="5C74228C"/>
    <w:rsid w:val="5C772F12"/>
    <w:rsid w:val="5CBD35D4"/>
    <w:rsid w:val="5CE70D7E"/>
    <w:rsid w:val="5D287866"/>
    <w:rsid w:val="5D7B346D"/>
    <w:rsid w:val="5D997B9D"/>
    <w:rsid w:val="5E1060A2"/>
    <w:rsid w:val="5E2345E1"/>
    <w:rsid w:val="5E4C1698"/>
    <w:rsid w:val="5E592D62"/>
    <w:rsid w:val="5E6261E1"/>
    <w:rsid w:val="5E70058E"/>
    <w:rsid w:val="5E7B56A3"/>
    <w:rsid w:val="5E98670E"/>
    <w:rsid w:val="5F052ABF"/>
    <w:rsid w:val="5F0D7FD9"/>
    <w:rsid w:val="5F472550"/>
    <w:rsid w:val="5F4B2345"/>
    <w:rsid w:val="5F603322"/>
    <w:rsid w:val="5F8108E9"/>
    <w:rsid w:val="601B1346"/>
    <w:rsid w:val="603C3A0F"/>
    <w:rsid w:val="604068A7"/>
    <w:rsid w:val="60AB4119"/>
    <w:rsid w:val="60E20DDA"/>
    <w:rsid w:val="60E824E1"/>
    <w:rsid w:val="6136410C"/>
    <w:rsid w:val="61407CF7"/>
    <w:rsid w:val="61601925"/>
    <w:rsid w:val="61665FE8"/>
    <w:rsid w:val="617A5F38"/>
    <w:rsid w:val="621C2B4B"/>
    <w:rsid w:val="622F1809"/>
    <w:rsid w:val="62301725"/>
    <w:rsid w:val="62726741"/>
    <w:rsid w:val="62E55AA2"/>
    <w:rsid w:val="631F3C4B"/>
    <w:rsid w:val="634F08A9"/>
    <w:rsid w:val="63ED42CD"/>
    <w:rsid w:val="640F141E"/>
    <w:rsid w:val="642A7489"/>
    <w:rsid w:val="64553E02"/>
    <w:rsid w:val="645E6B2B"/>
    <w:rsid w:val="646B211F"/>
    <w:rsid w:val="648F335C"/>
    <w:rsid w:val="64B43692"/>
    <w:rsid w:val="64D127DF"/>
    <w:rsid w:val="64FA4A6C"/>
    <w:rsid w:val="65024186"/>
    <w:rsid w:val="65097BA0"/>
    <w:rsid w:val="6523360F"/>
    <w:rsid w:val="652553AF"/>
    <w:rsid w:val="65BC6026"/>
    <w:rsid w:val="65BD2897"/>
    <w:rsid w:val="65DD5A69"/>
    <w:rsid w:val="66540909"/>
    <w:rsid w:val="667E3A3F"/>
    <w:rsid w:val="66931603"/>
    <w:rsid w:val="66BD2D49"/>
    <w:rsid w:val="66D306CB"/>
    <w:rsid w:val="6711031F"/>
    <w:rsid w:val="67196606"/>
    <w:rsid w:val="67204E8B"/>
    <w:rsid w:val="673246DF"/>
    <w:rsid w:val="676324C3"/>
    <w:rsid w:val="677F6346"/>
    <w:rsid w:val="67B11913"/>
    <w:rsid w:val="67BF15D1"/>
    <w:rsid w:val="67F90CA0"/>
    <w:rsid w:val="681C3DB2"/>
    <w:rsid w:val="68250D23"/>
    <w:rsid w:val="682C3F7D"/>
    <w:rsid w:val="68367C0B"/>
    <w:rsid w:val="684C3601"/>
    <w:rsid w:val="68923B67"/>
    <w:rsid w:val="68AD2729"/>
    <w:rsid w:val="68CD2DF1"/>
    <w:rsid w:val="68ED3493"/>
    <w:rsid w:val="69180510"/>
    <w:rsid w:val="695B4A24"/>
    <w:rsid w:val="696738C0"/>
    <w:rsid w:val="69B875FD"/>
    <w:rsid w:val="69FD14B4"/>
    <w:rsid w:val="6A5F216E"/>
    <w:rsid w:val="6A94371C"/>
    <w:rsid w:val="6A994DB4"/>
    <w:rsid w:val="6A9F242C"/>
    <w:rsid w:val="6ACE4BFE"/>
    <w:rsid w:val="6AE35B67"/>
    <w:rsid w:val="6AEB57B0"/>
    <w:rsid w:val="6B190D2E"/>
    <w:rsid w:val="6B43739A"/>
    <w:rsid w:val="6B9A098B"/>
    <w:rsid w:val="6BA719DB"/>
    <w:rsid w:val="6BAE4965"/>
    <w:rsid w:val="6BE242D3"/>
    <w:rsid w:val="6BEA59EE"/>
    <w:rsid w:val="6C0703C8"/>
    <w:rsid w:val="6C327B3B"/>
    <w:rsid w:val="6C932FC3"/>
    <w:rsid w:val="6CF472C9"/>
    <w:rsid w:val="6CF748E0"/>
    <w:rsid w:val="6D025E6E"/>
    <w:rsid w:val="6D3904DD"/>
    <w:rsid w:val="6D567A0A"/>
    <w:rsid w:val="6D6500DA"/>
    <w:rsid w:val="6DC003E5"/>
    <w:rsid w:val="6E097153"/>
    <w:rsid w:val="6E6B7519"/>
    <w:rsid w:val="6EE8472C"/>
    <w:rsid w:val="6F3F39FB"/>
    <w:rsid w:val="6F421F46"/>
    <w:rsid w:val="6F5D478C"/>
    <w:rsid w:val="6F97347C"/>
    <w:rsid w:val="6F9A7E28"/>
    <w:rsid w:val="6FBB0C95"/>
    <w:rsid w:val="6FC27788"/>
    <w:rsid w:val="70123010"/>
    <w:rsid w:val="701814CC"/>
    <w:rsid w:val="706A3949"/>
    <w:rsid w:val="70B93805"/>
    <w:rsid w:val="70E611B1"/>
    <w:rsid w:val="713D6905"/>
    <w:rsid w:val="71817DDF"/>
    <w:rsid w:val="718330AE"/>
    <w:rsid w:val="719D77B4"/>
    <w:rsid w:val="719E4338"/>
    <w:rsid w:val="719E532A"/>
    <w:rsid w:val="71B62CB1"/>
    <w:rsid w:val="71CE6BCA"/>
    <w:rsid w:val="722F0678"/>
    <w:rsid w:val="723A1ED0"/>
    <w:rsid w:val="72477A52"/>
    <w:rsid w:val="7252121A"/>
    <w:rsid w:val="72671BC0"/>
    <w:rsid w:val="728C3ECF"/>
    <w:rsid w:val="733704AF"/>
    <w:rsid w:val="73502F45"/>
    <w:rsid w:val="7352749C"/>
    <w:rsid w:val="73997999"/>
    <w:rsid w:val="73A41284"/>
    <w:rsid w:val="73BC23E0"/>
    <w:rsid w:val="73C4683B"/>
    <w:rsid w:val="73CD1EF7"/>
    <w:rsid w:val="73FC037B"/>
    <w:rsid w:val="742F7C25"/>
    <w:rsid w:val="748441E9"/>
    <w:rsid w:val="74B447DD"/>
    <w:rsid w:val="74DA0E50"/>
    <w:rsid w:val="74F27449"/>
    <w:rsid w:val="75207D73"/>
    <w:rsid w:val="75D6158B"/>
    <w:rsid w:val="76697C65"/>
    <w:rsid w:val="767321F3"/>
    <w:rsid w:val="769A4F57"/>
    <w:rsid w:val="76B16007"/>
    <w:rsid w:val="76F50AF3"/>
    <w:rsid w:val="771D7F03"/>
    <w:rsid w:val="77412296"/>
    <w:rsid w:val="77585F7B"/>
    <w:rsid w:val="7762452D"/>
    <w:rsid w:val="778E39B8"/>
    <w:rsid w:val="77B1060A"/>
    <w:rsid w:val="77B6520E"/>
    <w:rsid w:val="77C4682D"/>
    <w:rsid w:val="77E32918"/>
    <w:rsid w:val="783249FD"/>
    <w:rsid w:val="78565B21"/>
    <w:rsid w:val="78A34761"/>
    <w:rsid w:val="78EF6251"/>
    <w:rsid w:val="794D276D"/>
    <w:rsid w:val="7960471F"/>
    <w:rsid w:val="79913615"/>
    <w:rsid w:val="79927E6B"/>
    <w:rsid w:val="799405C8"/>
    <w:rsid w:val="79AC6640"/>
    <w:rsid w:val="7A1D3082"/>
    <w:rsid w:val="7ACD0A2E"/>
    <w:rsid w:val="7B3F7B7E"/>
    <w:rsid w:val="7B482534"/>
    <w:rsid w:val="7BB94FCC"/>
    <w:rsid w:val="7BC92AB9"/>
    <w:rsid w:val="7C093CE8"/>
    <w:rsid w:val="7C2A65B5"/>
    <w:rsid w:val="7C6C3C18"/>
    <w:rsid w:val="7CA0289E"/>
    <w:rsid w:val="7CEC0F0F"/>
    <w:rsid w:val="7CEC58EA"/>
    <w:rsid w:val="7CEF7382"/>
    <w:rsid w:val="7CF94051"/>
    <w:rsid w:val="7D0E5A5A"/>
    <w:rsid w:val="7D175381"/>
    <w:rsid w:val="7D3C1910"/>
    <w:rsid w:val="7D617936"/>
    <w:rsid w:val="7D6B5811"/>
    <w:rsid w:val="7D94748A"/>
    <w:rsid w:val="7D9A6AAF"/>
    <w:rsid w:val="7DC51861"/>
    <w:rsid w:val="7DD21995"/>
    <w:rsid w:val="7DE30112"/>
    <w:rsid w:val="7E422113"/>
    <w:rsid w:val="7E431733"/>
    <w:rsid w:val="7E4960BC"/>
    <w:rsid w:val="7EA076E5"/>
    <w:rsid w:val="7EE46585"/>
    <w:rsid w:val="7EF03B35"/>
    <w:rsid w:val="7F403EC5"/>
    <w:rsid w:val="7F6452A1"/>
    <w:rsid w:val="7F967E36"/>
    <w:rsid w:val="7FC3739A"/>
    <w:rsid w:val="7FE642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iPriority="0" w:unhideWhenUsed="0" w:qFormat="1"/>
    <w:lsdException w:name="Date" w:qFormat="1"/>
    <w:lsdException w:name="Body Text Indent 2"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C1D"/>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901C1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01C1D"/>
    <w:pPr>
      <w:keepNext/>
      <w:keepLines/>
      <w:spacing w:line="520" w:lineRule="atLeast"/>
      <w:ind w:firstLineChars="200" w:firstLine="200"/>
      <w:outlineLvl w:val="1"/>
    </w:pPr>
    <w:rPr>
      <w:rFonts w:asciiTheme="majorHAnsi" w:eastAsiaTheme="majorEastAsia" w:hAnsiTheme="majorHAnsi" w:cstheme="majorBidi"/>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901C1D"/>
    <w:pPr>
      <w:widowControl/>
      <w:autoSpaceDE w:val="0"/>
      <w:autoSpaceDN w:val="0"/>
      <w:adjustRightInd w:val="0"/>
      <w:spacing w:after="200" w:line="360" w:lineRule="atLeast"/>
      <w:ind w:firstLine="420"/>
      <w:jc w:val="left"/>
    </w:pPr>
    <w:rPr>
      <w:rFonts w:ascii="宋体" w:eastAsia="宋体"/>
      <w:sz w:val="24"/>
      <w:szCs w:val="21"/>
    </w:rPr>
  </w:style>
  <w:style w:type="paragraph" w:styleId="a4">
    <w:name w:val="annotation text"/>
    <w:basedOn w:val="a"/>
    <w:link w:val="Char0"/>
    <w:uiPriority w:val="99"/>
    <w:semiHidden/>
    <w:unhideWhenUsed/>
    <w:qFormat/>
    <w:rsid w:val="00901C1D"/>
    <w:pPr>
      <w:jc w:val="left"/>
    </w:pPr>
  </w:style>
  <w:style w:type="paragraph" w:styleId="a5">
    <w:name w:val="Body Text"/>
    <w:basedOn w:val="a"/>
    <w:link w:val="Char1"/>
    <w:qFormat/>
    <w:rsid w:val="00901C1D"/>
    <w:pPr>
      <w:widowControl/>
      <w:autoSpaceDE w:val="0"/>
      <w:autoSpaceDN w:val="0"/>
      <w:adjustRightInd w:val="0"/>
      <w:spacing w:after="200" w:line="400" w:lineRule="atLeast"/>
      <w:jc w:val="left"/>
    </w:pPr>
    <w:rPr>
      <w:rFonts w:ascii="宋体" w:eastAsia="宋体" w:hAnsi="Cambria" w:cs="Times New Roman"/>
      <w:color w:val="000000"/>
      <w:kern w:val="0"/>
      <w:sz w:val="24"/>
      <w:lang w:eastAsia="en-US" w:bidi="en-US"/>
    </w:rPr>
  </w:style>
  <w:style w:type="paragraph" w:styleId="a6">
    <w:name w:val="Body Text Indent"/>
    <w:basedOn w:val="a"/>
    <w:link w:val="Char2"/>
    <w:qFormat/>
    <w:rsid w:val="00901C1D"/>
    <w:pPr>
      <w:widowControl/>
      <w:spacing w:after="200" w:line="276" w:lineRule="auto"/>
      <w:ind w:firstLine="420"/>
      <w:jc w:val="left"/>
    </w:pPr>
    <w:rPr>
      <w:rFonts w:ascii="Cambria" w:eastAsia="宋体" w:hAnsi="Cambria" w:cs="Times New Roman"/>
      <w:kern w:val="0"/>
      <w:sz w:val="22"/>
      <w:lang w:eastAsia="en-US" w:bidi="en-US"/>
    </w:rPr>
  </w:style>
  <w:style w:type="paragraph" w:styleId="3">
    <w:name w:val="toc 3"/>
    <w:basedOn w:val="a"/>
    <w:next w:val="a"/>
    <w:uiPriority w:val="39"/>
    <w:unhideWhenUsed/>
    <w:qFormat/>
    <w:rsid w:val="00901C1D"/>
    <w:pPr>
      <w:widowControl/>
      <w:spacing w:after="100" w:line="276" w:lineRule="auto"/>
      <w:ind w:left="440"/>
      <w:jc w:val="left"/>
    </w:pPr>
    <w:rPr>
      <w:kern w:val="0"/>
      <w:sz w:val="22"/>
    </w:rPr>
  </w:style>
  <w:style w:type="paragraph" w:styleId="a7">
    <w:name w:val="Date"/>
    <w:basedOn w:val="a"/>
    <w:next w:val="a"/>
    <w:link w:val="Char3"/>
    <w:uiPriority w:val="99"/>
    <w:semiHidden/>
    <w:unhideWhenUsed/>
    <w:qFormat/>
    <w:rsid w:val="00901C1D"/>
    <w:pPr>
      <w:ind w:leftChars="2500" w:left="100"/>
    </w:pPr>
  </w:style>
  <w:style w:type="paragraph" w:styleId="20">
    <w:name w:val="Body Text Indent 2"/>
    <w:basedOn w:val="a"/>
    <w:link w:val="2Char0"/>
    <w:qFormat/>
    <w:rsid w:val="00901C1D"/>
    <w:pPr>
      <w:widowControl/>
      <w:spacing w:after="200" w:line="420" w:lineRule="atLeast"/>
      <w:ind w:firstLine="480"/>
      <w:jc w:val="left"/>
    </w:pPr>
    <w:rPr>
      <w:rFonts w:ascii="Cambria" w:eastAsia="宋体" w:hAnsi="Cambria" w:cs="Times New Roman"/>
      <w:kern w:val="0"/>
      <w:sz w:val="24"/>
      <w:lang w:eastAsia="en-US" w:bidi="en-US"/>
    </w:rPr>
  </w:style>
  <w:style w:type="paragraph" w:styleId="a8">
    <w:name w:val="Balloon Text"/>
    <w:basedOn w:val="a"/>
    <w:link w:val="Char4"/>
    <w:uiPriority w:val="99"/>
    <w:semiHidden/>
    <w:unhideWhenUsed/>
    <w:qFormat/>
    <w:rsid w:val="00901C1D"/>
    <w:rPr>
      <w:sz w:val="18"/>
      <w:szCs w:val="18"/>
    </w:rPr>
  </w:style>
  <w:style w:type="paragraph" w:styleId="a9">
    <w:name w:val="footer"/>
    <w:basedOn w:val="a"/>
    <w:link w:val="Char5"/>
    <w:uiPriority w:val="99"/>
    <w:unhideWhenUsed/>
    <w:qFormat/>
    <w:rsid w:val="00901C1D"/>
    <w:pPr>
      <w:tabs>
        <w:tab w:val="center" w:pos="4153"/>
        <w:tab w:val="right" w:pos="8306"/>
      </w:tabs>
      <w:snapToGrid w:val="0"/>
      <w:jc w:val="left"/>
    </w:pPr>
    <w:rPr>
      <w:sz w:val="18"/>
      <w:szCs w:val="18"/>
    </w:rPr>
  </w:style>
  <w:style w:type="paragraph" w:styleId="aa">
    <w:name w:val="header"/>
    <w:basedOn w:val="a"/>
    <w:link w:val="Char6"/>
    <w:unhideWhenUsed/>
    <w:qFormat/>
    <w:rsid w:val="00901C1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901C1D"/>
    <w:pPr>
      <w:widowControl/>
      <w:tabs>
        <w:tab w:val="right" w:leader="dot" w:pos="8296"/>
      </w:tabs>
      <w:spacing w:line="520" w:lineRule="atLeast"/>
      <w:jc w:val="left"/>
    </w:pPr>
    <w:rPr>
      <w:kern w:val="0"/>
      <w:sz w:val="28"/>
      <w:szCs w:val="28"/>
    </w:rPr>
  </w:style>
  <w:style w:type="paragraph" w:styleId="ab">
    <w:name w:val="Subtitle"/>
    <w:basedOn w:val="a"/>
    <w:next w:val="a"/>
    <w:link w:val="Char7"/>
    <w:qFormat/>
    <w:rsid w:val="00901C1D"/>
    <w:pPr>
      <w:spacing w:line="312" w:lineRule="auto"/>
      <w:ind w:firstLineChars="200" w:firstLine="200"/>
      <w:jc w:val="left"/>
      <w:outlineLvl w:val="2"/>
    </w:pPr>
    <w:rPr>
      <w:rFonts w:asciiTheme="majorHAnsi" w:eastAsia="黑体" w:hAnsiTheme="majorHAnsi" w:cstheme="majorBidi"/>
      <w:bCs/>
      <w:kern w:val="28"/>
      <w:sz w:val="24"/>
      <w:szCs w:val="32"/>
    </w:rPr>
  </w:style>
  <w:style w:type="paragraph" w:styleId="21">
    <w:name w:val="toc 2"/>
    <w:basedOn w:val="a"/>
    <w:next w:val="a"/>
    <w:uiPriority w:val="39"/>
    <w:unhideWhenUsed/>
    <w:qFormat/>
    <w:rsid w:val="00901C1D"/>
    <w:pPr>
      <w:widowControl/>
      <w:spacing w:after="100" w:line="276" w:lineRule="auto"/>
      <w:ind w:left="220"/>
      <w:jc w:val="left"/>
    </w:pPr>
    <w:rPr>
      <w:kern w:val="0"/>
      <w:sz w:val="22"/>
    </w:rPr>
  </w:style>
  <w:style w:type="paragraph" w:styleId="ac">
    <w:name w:val="annotation subject"/>
    <w:basedOn w:val="a4"/>
    <w:next w:val="a4"/>
    <w:link w:val="Char8"/>
    <w:uiPriority w:val="99"/>
    <w:semiHidden/>
    <w:unhideWhenUsed/>
    <w:qFormat/>
    <w:rsid w:val="00901C1D"/>
    <w:rPr>
      <w:b/>
      <w:bCs/>
    </w:rPr>
  </w:style>
  <w:style w:type="table" w:styleId="ad">
    <w:name w:val="Table Grid"/>
    <w:basedOn w:val="a1"/>
    <w:uiPriority w:val="59"/>
    <w:qFormat/>
    <w:rsid w:val="00901C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qFormat/>
    <w:rsid w:val="00901C1D"/>
  </w:style>
  <w:style w:type="character" w:styleId="af">
    <w:name w:val="Hyperlink"/>
    <w:basedOn w:val="a0"/>
    <w:uiPriority w:val="99"/>
    <w:unhideWhenUsed/>
    <w:qFormat/>
    <w:rsid w:val="00901C1D"/>
    <w:rPr>
      <w:color w:val="0000FF" w:themeColor="hyperlink"/>
      <w:u w:val="single"/>
    </w:rPr>
  </w:style>
  <w:style w:type="character" w:styleId="af0">
    <w:name w:val="annotation reference"/>
    <w:basedOn w:val="a0"/>
    <w:uiPriority w:val="99"/>
    <w:semiHidden/>
    <w:unhideWhenUsed/>
    <w:qFormat/>
    <w:rsid w:val="00901C1D"/>
    <w:rPr>
      <w:sz w:val="21"/>
      <w:szCs w:val="21"/>
    </w:rPr>
  </w:style>
  <w:style w:type="character" w:customStyle="1" w:styleId="Char6">
    <w:name w:val="页眉 Char"/>
    <w:basedOn w:val="a0"/>
    <w:link w:val="aa"/>
    <w:uiPriority w:val="99"/>
    <w:semiHidden/>
    <w:qFormat/>
    <w:rsid w:val="00901C1D"/>
    <w:rPr>
      <w:sz w:val="18"/>
      <w:szCs w:val="18"/>
    </w:rPr>
  </w:style>
  <w:style w:type="character" w:customStyle="1" w:styleId="Char5">
    <w:name w:val="页脚 Char"/>
    <w:basedOn w:val="a0"/>
    <w:link w:val="a9"/>
    <w:uiPriority w:val="99"/>
    <w:qFormat/>
    <w:rsid w:val="00901C1D"/>
    <w:rPr>
      <w:sz w:val="18"/>
      <w:szCs w:val="18"/>
    </w:rPr>
  </w:style>
  <w:style w:type="character" w:customStyle="1" w:styleId="1Char">
    <w:name w:val="标题 1 Char"/>
    <w:basedOn w:val="a0"/>
    <w:link w:val="1"/>
    <w:uiPriority w:val="9"/>
    <w:qFormat/>
    <w:rsid w:val="00901C1D"/>
    <w:rPr>
      <w:b/>
      <w:bCs/>
      <w:kern w:val="44"/>
      <w:sz w:val="44"/>
      <w:szCs w:val="44"/>
    </w:rPr>
  </w:style>
  <w:style w:type="paragraph" w:styleId="af1">
    <w:name w:val="List Paragraph"/>
    <w:basedOn w:val="a"/>
    <w:uiPriority w:val="34"/>
    <w:qFormat/>
    <w:rsid w:val="00901C1D"/>
    <w:pPr>
      <w:ind w:firstLineChars="200" w:firstLine="420"/>
    </w:pPr>
  </w:style>
  <w:style w:type="character" w:customStyle="1" w:styleId="Char4">
    <w:name w:val="批注框文本 Char"/>
    <w:basedOn w:val="a0"/>
    <w:link w:val="a8"/>
    <w:uiPriority w:val="99"/>
    <w:semiHidden/>
    <w:qFormat/>
    <w:rsid w:val="00901C1D"/>
    <w:rPr>
      <w:sz w:val="18"/>
      <w:szCs w:val="18"/>
    </w:rPr>
  </w:style>
  <w:style w:type="paragraph" w:customStyle="1" w:styleId="TOC1">
    <w:name w:val="TOC 标题1"/>
    <w:basedOn w:val="1"/>
    <w:next w:val="a"/>
    <w:uiPriority w:val="39"/>
    <w:semiHidden/>
    <w:unhideWhenUsed/>
    <w:qFormat/>
    <w:rsid w:val="00901C1D"/>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uiPriority w:val="9"/>
    <w:qFormat/>
    <w:rsid w:val="00901C1D"/>
    <w:rPr>
      <w:rFonts w:asciiTheme="majorHAnsi" w:eastAsiaTheme="majorEastAsia" w:hAnsiTheme="majorHAnsi" w:cstheme="majorBidi"/>
      <w:bCs/>
      <w:sz w:val="24"/>
      <w:szCs w:val="32"/>
    </w:rPr>
  </w:style>
  <w:style w:type="character" w:customStyle="1" w:styleId="2Char0">
    <w:name w:val="正文文本缩进 2 Char"/>
    <w:basedOn w:val="a0"/>
    <w:link w:val="20"/>
    <w:qFormat/>
    <w:rsid w:val="00901C1D"/>
    <w:rPr>
      <w:rFonts w:ascii="Cambria" w:eastAsia="宋体" w:hAnsi="Cambria" w:cs="Times New Roman"/>
      <w:kern w:val="0"/>
      <w:sz w:val="24"/>
      <w:lang w:eastAsia="en-US" w:bidi="en-US"/>
    </w:rPr>
  </w:style>
  <w:style w:type="character" w:customStyle="1" w:styleId="Char">
    <w:name w:val="正文缩进 Char"/>
    <w:link w:val="a3"/>
    <w:qFormat/>
    <w:rsid w:val="00901C1D"/>
    <w:rPr>
      <w:rFonts w:ascii="宋体" w:eastAsia="宋体"/>
      <w:sz w:val="24"/>
      <w:szCs w:val="21"/>
    </w:rPr>
  </w:style>
  <w:style w:type="character" w:customStyle="1" w:styleId="Char2">
    <w:name w:val="正文文本缩进 Char"/>
    <w:basedOn w:val="a0"/>
    <w:link w:val="a6"/>
    <w:qFormat/>
    <w:rsid w:val="00901C1D"/>
    <w:rPr>
      <w:rFonts w:ascii="Cambria" w:eastAsia="宋体" w:hAnsi="Cambria" w:cs="Times New Roman"/>
      <w:kern w:val="0"/>
      <w:sz w:val="22"/>
      <w:lang w:eastAsia="en-US" w:bidi="en-US"/>
    </w:rPr>
  </w:style>
  <w:style w:type="character" w:customStyle="1" w:styleId="Char1">
    <w:name w:val="正文文本 Char"/>
    <w:basedOn w:val="a0"/>
    <w:link w:val="a5"/>
    <w:qFormat/>
    <w:rsid w:val="00901C1D"/>
    <w:rPr>
      <w:rFonts w:ascii="宋体" w:eastAsia="宋体" w:hAnsi="Cambria" w:cs="Times New Roman"/>
      <w:color w:val="000000"/>
      <w:kern w:val="0"/>
      <w:sz w:val="24"/>
      <w:lang w:eastAsia="en-US" w:bidi="en-US"/>
    </w:rPr>
  </w:style>
  <w:style w:type="character" w:customStyle="1" w:styleId="Char0">
    <w:name w:val="批注文字 Char"/>
    <w:basedOn w:val="a0"/>
    <w:link w:val="a4"/>
    <w:uiPriority w:val="99"/>
    <w:semiHidden/>
    <w:qFormat/>
    <w:rsid w:val="00901C1D"/>
  </w:style>
  <w:style w:type="character" w:customStyle="1" w:styleId="Char8">
    <w:name w:val="批注主题 Char"/>
    <w:basedOn w:val="Char0"/>
    <w:link w:val="ac"/>
    <w:uiPriority w:val="99"/>
    <w:semiHidden/>
    <w:qFormat/>
    <w:rsid w:val="00901C1D"/>
    <w:rPr>
      <w:b/>
      <w:bCs/>
    </w:rPr>
  </w:style>
  <w:style w:type="character" w:customStyle="1" w:styleId="Char3">
    <w:name w:val="日期 Char"/>
    <w:basedOn w:val="a0"/>
    <w:link w:val="a7"/>
    <w:uiPriority w:val="99"/>
    <w:semiHidden/>
    <w:qFormat/>
    <w:rsid w:val="00901C1D"/>
  </w:style>
  <w:style w:type="character" w:customStyle="1" w:styleId="Char7">
    <w:name w:val="副标题 Char"/>
    <w:basedOn w:val="a0"/>
    <w:link w:val="ab"/>
    <w:qFormat/>
    <w:rsid w:val="00901C1D"/>
    <w:rPr>
      <w:rFonts w:asciiTheme="majorHAnsi" w:eastAsia="黑体" w:hAnsiTheme="majorHAnsi" w:cstheme="majorBidi"/>
      <w:bCs/>
      <w:kern w:val="28"/>
      <w:sz w:val="24"/>
      <w:szCs w:val="32"/>
    </w:rPr>
  </w:style>
  <w:style w:type="paragraph" w:customStyle="1" w:styleId="af2">
    <w:name w:val="表格"/>
    <w:basedOn w:val="a"/>
    <w:qFormat/>
    <w:rsid w:val="00901C1D"/>
    <w:pPr>
      <w:jc w:val="center"/>
    </w:pPr>
    <w:rPr>
      <w:rFonts w:ascii="Verdana" w:eastAsia="仿宋_GB2312" w:hAnsi="Verdana" w:cs="Times New Roman"/>
      <w:lang w:eastAsia="en-US"/>
    </w:rPr>
  </w:style>
  <w:style w:type="paragraph" w:customStyle="1" w:styleId="WPSOffice1">
    <w:name w:val="WPSOffice手动目录 1"/>
    <w:qFormat/>
    <w:rsid w:val="00901C1D"/>
  </w:style>
  <w:style w:type="paragraph" w:customStyle="1" w:styleId="WPSOffice2">
    <w:name w:val="WPSOffice手动目录 2"/>
    <w:qFormat/>
    <w:rsid w:val="00901C1D"/>
    <w:pPr>
      <w:ind w:leftChars="200" w:left="200"/>
    </w:pPr>
  </w:style>
  <w:style w:type="paragraph" w:customStyle="1" w:styleId="WPSOffice3">
    <w:name w:val="WPSOffice手动目录 3"/>
    <w:qFormat/>
    <w:rsid w:val="00901C1D"/>
    <w:pPr>
      <w:ind w:leftChars="400" w:left="40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5AC035D6-8221-4EAB-848F-FE853C2B6D2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14</Pages>
  <Words>1038</Words>
  <Characters>5923</Characters>
  <Application>Microsoft Office Word</Application>
  <DocSecurity>0</DocSecurity>
  <Lines>49</Lines>
  <Paragraphs>13</Paragraphs>
  <ScaleCrop>false</ScaleCrop>
  <Company>Microsoft</Company>
  <LinksUpToDate>false</LinksUpToDate>
  <CharactersWithSpaces>6948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5</cp:revision>
  <cp:lastPrinted>2020-08-20T02:36:00Z</cp:lastPrinted>
  <dcterms:created xsi:type="dcterms:W3CDTF">2021-08-21T02:11:00Z</dcterms:created>
  <dcterms:modified xsi:type="dcterms:W3CDTF">2023-06-07T02:38:00Z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1EAC2A526C85435CB2ADF04681E7AAA9</vt:lpwstr>
  </property>
</Properties>
</file>