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pPr>
    </w:p>
    <w:p>
      <w:pPr>
        <w:jc w:val="center"/>
        <w:rPr>
          <w:b/>
          <w:bCs/>
          <w:sz w:val="52"/>
          <w:szCs w:val="52"/>
        </w:rPr>
      </w:pPr>
    </w:p>
    <w:p>
      <w:pPr>
        <w:jc w:val="center"/>
        <w:rPr>
          <w:rFonts w:hint="eastAsia"/>
          <w:b/>
          <w:bCs/>
          <w:sz w:val="52"/>
          <w:szCs w:val="52"/>
        </w:rPr>
      </w:pPr>
      <w:r>
        <w:rPr>
          <w:rFonts w:hint="eastAsia"/>
          <w:b/>
          <w:bCs/>
          <w:sz w:val="52"/>
          <w:szCs w:val="52"/>
        </w:rPr>
        <w:t>北京市大兴区人民法院</w:t>
      </w:r>
    </w:p>
    <w:p>
      <w:pPr>
        <w:jc w:val="center"/>
        <w:rPr>
          <w:b/>
          <w:bCs/>
          <w:sz w:val="52"/>
        </w:rPr>
      </w:pPr>
      <w:r>
        <w:rPr>
          <w:rFonts w:hint="eastAsia"/>
          <w:b/>
          <w:bCs/>
          <w:sz w:val="52"/>
          <w:szCs w:val="52"/>
        </w:rPr>
        <w:t>司法救助金项目绩效评价报告</w:t>
      </w:r>
    </w:p>
    <w:p>
      <w:pPr>
        <w:jc w:val="center"/>
        <w:rPr>
          <w:rFonts w:eastAsia="黑体"/>
          <w:sz w:val="30"/>
        </w:rPr>
      </w:pPr>
    </w:p>
    <w:p>
      <w:pPr>
        <w:jc w:val="center"/>
        <w:rPr>
          <w:rFonts w:eastAsia="黑体"/>
          <w:sz w:val="30"/>
        </w:rPr>
      </w:pPr>
    </w:p>
    <w:p>
      <w:pPr>
        <w:jc w:val="center"/>
        <w:rPr>
          <w:rFonts w:eastAsia="黑体"/>
          <w:sz w:val="30"/>
        </w:rPr>
      </w:pPr>
    </w:p>
    <w:p>
      <w:pPr>
        <w:jc w:val="center"/>
        <w:rPr>
          <w:rFonts w:eastAsia="黑体"/>
          <w:sz w:val="30"/>
        </w:rPr>
      </w:pPr>
    </w:p>
    <w:p>
      <w:pPr>
        <w:jc w:val="center"/>
        <w:rPr>
          <w:rFonts w:eastAsia="黑体"/>
          <w:sz w:val="30"/>
        </w:rPr>
      </w:pPr>
    </w:p>
    <w:p>
      <w:pPr>
        <w:spacing w:before="156" w:beforeLines="50"/>
        <w:ind w:firstLine="960" w:firstLineChars="300"/>
        <w:rPr>
          <w:rFonts w:ascii="宋体" w:hAnsi="宋体"/>
          <w:sz w:val="32"/>
          <w:szCs w:val="32"/>
          <w:u w:val="single"/>
        </w:rPr>
      </w:pPr>
      <w:r>
        <w:rPr>
          <w:rFonts w:hint="eastAsia" w:ascii="宋体" w:hAnsi="宋体"/>
          <w:sz w:val="32"/>
          <w:szCs w:val="32"/>
        </w:rPr>
        <w:t xml:space="preserve">项目单位  </w:t>
      </w:r>
      <w:r>
        <w:rPr>
          <w:rFonts w:hint="eastAsia" w:ascii="宋体" w:hAnsi="宋体"/>
          <w:sz w:val="32"/>
          <w:szCs w:val="32"/>
          <w:u w:val="single"/>
        </w:rPr>
        <w:t xml:space="preserve">    北京市大兴区人民法院          </w:t>
      </w:r>
    </w:p>
    <w:p>
      <w:pPr>
        <w:spacing w:before="156" w:beforeLines="50"/>
        <w:ind w:left="4478" w:leftChars="456" w:hanging="3520" w:hangingChars="1100"/>
        <w:rPr>
          <w:rFonts w:ascii="宋体" w:hAnsi="宋体"/>
          <w:sz w:val="32"/>
          <w:szCs w:val="32"/>
          <w:u w:val="single"/>
        </w:rPr>
      </w:pPr>
      <w:r>
        <w:rPr>
          <w:rFonts w:hint="eastAsia" w:ascii="宋体" w:hAnsi="宋体"/>
          <w:sz w:val="32"/>
          <w:szCs w:val="32"/>
        </w:rPr>
        <w:t xml:space="preserve">项目名称  </w:t>
      </w:r>
      <w:r>
        <w:rPr>
          <w:rFonts w:hint="eastAsia" w:ascii="宋体" w:hAnsi="宋体"/>
          <w:sz w:val="32"/>
          <w:szCs w:val="32"/>
          <w:u w:val="single"/>
        </w:rPr>
        <w:t xml:space="preserve">    </w:t>
      </w:r>
      <w:r>
        <w:rPr>
          <w:rFonts w:ascii="宋体" w:hAnsi="宋体"/>
          <w:sz w:val="32"/>
          <w:szCs w:val="32"/>
          <w:u w:val="single"/>
        </w:rPr>
        <w:t xml:space="preserve">    </w:t>
      </w:r>
      <w:r>
        <w:rPr>
          <w:rFonts w:hint="eastAsia" w:ascii="宋体" w:hAnsi="宋体"/>
          <w:sz w:val="32"/>
          <w:szCs w:val="32"/>
          <w:u w:val="single"/>
        </w:rPr>
        <w:t xml:space="preserve">司法救助金项目            </w:t>
      </w:r>
    </w:p>
    <w:p>
      <w:pPr>
        <w:spacing w:before="156" w:beforeLines="50" w:line="340" w:lineRule="exact"/>
        <w:ind w:firstLine="960" w:firstLineChars="300"/>
        <w:jc w:val="left"/>
        <w:rPr>
          <w:rFonts w:ascii="宋体" w:hAnsi="宋体"/>
          <w:sz w:val="32"/>
          <w:szCs w:val="32"/>
        </w:rPr>
      </w:pPr>
      <w:r>
        <w:rPr>
          <w:rFonts w:hint="eastAsia" w:ascii="宋体" w:hAnsi="宋体"/>
          <w:sz w:val="32"/>
          <w:szCs w:val="32"/>
        </w:rPr>
        <w:t>参与评价</w:t>
      </w:r>
    </w:p>
    <w:p>
      <w:pPr>
        <w:spacing w:before="156" w:beforeLines="50" w:line="340" w:lineRule="exact"/>
        <w:ind w:firstLine="937" w:firstLineChars="293"/>
        <w:jc w:val="left"/>
        <w:rPr>
          <w:rFonts w:eastAsia="黑体"/>
          <w:sz w:val="30"/>
          <w:u w:val="single"/>
        </w:rPr>
      </w:pPr>
      <w:r>
        <w:rPr>
          <w:rFonts w:hint="eastAsia" w:ascii="宋体" w:hAnsi="宋体"/>
          <w:sz w:val="32"/>
          <w:szCs w:val="32"/>
        </w:rPr>
        <w:t xml:space="preserve">中介机构  </w:t>
      </w:r>
      <w:r>
        <w:rPr>
          <w:rFonts w:hint="eastAsia" w:ascii="宋体" w:hAnsi="宋体"/>
          <w:sz w:val="32"/>
          <w:szCs w:val="32"/>
          <w:u w:val="single"/>
        </w:rPr>
        <w:t xml:space="preserve"> 北京正衡东亚会计师事务所有限公司 </w:t>
      </w:r>
    </w:p>
    <w:p>
      <w:pPr>
        <w:spacing w:before="156" w:beforeLines="50"/>
        <w:rPr>
          <w:rFonts w:eastAsia="黑体"/>
          <w:sz w:val="36"/>
          <w:szCs w:val="36"/>
        </w:rPr>
      </w:pPr>
    </w:p>
    <w:p>
      <w:pPr>
        <w:rPr>
          <w:rFonts w:eastAsia="黑体"/>
          <w:sz w:val="36"/>
          <w:szCs w:val="36"/>
        </w:rPr>
      </w:pPr>
    </w:p>
    <w:p>
      <w:pPr>
        <w:rPr>
          <w:rFonts w:eastAsia="黑体"/>
          <w:sz w:val="36"/>
          <w:szCs w:val="36"/>
        </w:rPr>
      </w:pPr>
    </w:p>
    <w:p>
      <w:pPr>
        <w:jc w:val="center"/>
        <w:rPr>
          <w:rFonts w:ascii="宋体" w:hAnsi="宋体"/>
          <w:sz w:val="32"/>
          <w:szCs w:val="32"/>
          <w:u w:val="single"/>
        </w:rPr>
      </w:pPr>
    </w:p>
    <w:p>
      <w:pPr>
        <w:jc w:val="center"/>
        <w:rPr>
          <w:rFonts w:hint="eastAsia" w:ascii="黑体" w:eastAsia="黑体"/>
          <w:sz w:val="36"/>
          <w:szCs w:val="36"/>
        </w:rPr>
      </w:pPr>
    </w:p>
    <w:p>
      <w:pPr>
        <w:jc w:val="center"/>
        <w:rPr>
          <w:rFonts w:ascii="黑体" w:eastAsia="黑体"/>
          <w:sz w:val="36"/>
          <w:szCs w:val="36"/>
        </w:rPr>
      </w:pPr>
    </w:p>
    <w:p>
      <w:pPr>
        <w:jc w:val="center"/>
        <w:rPr>
          <w:rFonts w:hint="eastAsia" w:ascii="黑体" w:eastAsia="黑体"/>
          <w:sz w:val="36"/>
          <w:szCs w:val="36"/>
        </w:rPr>
      </w:pPr>
    </w:p>
    <w:p>
      <w:pPr>
        <w:rPr>
          <w:rFonts w:ascii="黑体" w:hAnsi="黑体" w:eastAsia="黑体" w:cs="黑体"/>
          <w:sz w:val="32"/>
          <w:szCs w:val="32"/>
          <w:highlight w:val="yellow"/>
        </w:rPr>
      </w:pPr>
      <w:r>
        <w:rPr>
          <w:rFonts w:ascii="黑体" w:hAnsi="黑体" w:eastAsia="黑体" w:cs="黑体"/>
          <w:sz w:val="32"/>
          <w:szCs w:val="32"/>
        </w:rPr>
        <w:t xml:space="preserve"> </w:t>
      </w:r>
    </w:p>
    <w:p>
      <w:pPr>
        <w:spacing w:line="500" w:lineRule="exact"/>
        <w:jc w:val="center"/>
        <w:rPr>
          <w:rFonts w:ascii="黑体" w:hAnsi="黑体" w:eastAsia="黑体" w:cs="宋体"/>
          <w:sz w:val="30"/>
          <w:szCs w:val="30"/>
        </w:rPr>
      </w:pPr>
      <w:r>
        <w:rPr>
          <w:rFonts w:hint="eastAsia" w:ascii="黑体" w:hAnsi="黑体" w:eastAsia="黑体" w:cs="宋体"/>
          <w:sz w:val="30"/>
          <w:szCs w:val="30"/>
        </w:rPr>
        <w:t>目录</w:t>
      </w:r>
    </w:p>
    <w:p>
      <w:pPr>
        <w:spacing w:line="500" w:lineRule="exact"/>
        <w:jc w:val="center"/>
        <w:rPr>
          <w:rFonts w:ascii="宋体" w:hAnsi="宋体" w:cs="宋体"/>
          <w:sz w:val="28"/>
          <w:szCs w:val="28"/>
        </w:rPr>
      </w:pPr>
    </w:p>
    <w:p>
      <w:pPr>
        <w:pStyle w:val="11"/>
        <w:tabs>
          <w:tab w:val="right" w:leader="dot" w:pos="8296"/>
        </w:tabs>
        <w:rPr>
          <w:rFonts w:asciiTheme="minorHAnsi" w:hAnsiTheme="minorHAnsi" w:eastAsiaTheme="minorEastAsia" w:cstheme="minorBidi"/>
          <w:sz w:val="28"/>
          <w:szCs w:val="28"/>
          <w14:ligatures w14:val="standardContextual"/>
        </w:rPr>
      </w:pPr>
      <w:r>
        <w:rPr>
          <w:rFonts w:hint="eastAsia" w:cs="宋体" w:asciiTheme="minorEastAsia" w:hAnsiTheme="minorEastAsia" w:eastAsiaTheme="minorEastAsia"/>
          <w:sz w:val="28"/>
          <w:szCs w:val="28"/>
        </w:rPr>
        <w:fldChar w:fldCharType="begin"/>
      </w:r>
      <w:r>
        <w:rPr>
          <w:rFonts w:hint="eastAsia" w:cs="宋体" w:asciiTheme="minorEastAsia" w:hAnsiTheme="minorEastAsia" w:eastAsiaTheme="minorEastAsia"/>
          <w:sz w:val="28"/>
          <w:szCs w:val="28"/>
        </w:rPr>
        <w:instrText xml:space="preserve"> TOC \o "1-3" \h \z \u </w:instrText>
      </w:r>
      <w:r>
        <w:rPr>
          <w:rFonts w:hint="eastAsia" w:cs="宋体" w:asciiTheme="minorEastAsia" w:hAnsiTheme="minorEastAsia" w:eastAsiaTheme="minorEastAsia"/>
          <w:sz w:val="28"/>
          <w:szCs w:val="28"/>
        </w:rPr>
        <w:fldChar w:fldCharType="separate"/>
      </w:r>
      <w:r>
        <w:fldChar w:fldCharType="begin"/>
      </w:r>
      <w:r>
        <w:instrText xml:space="preserve"> HYPERLINK \l "_Toc135944565" </w:instrText>
      </w:r>
      <w:r>
        <w:fldChar w:fldCharType="separate"/>
      </w:r>
      <w:r>
        <w:rPr>
          <w:rStyle w:val="16"/>
          <w:rFonts w:ascii="黑体" w:hAnsi="黑体" w:eastAsia="黑体"/>
          <w:sz w:val="28"/>
          <w:szCs w:val="28"/>
        </w:rPr>
        <w:t>一、基本情况</w:t>
      </w:r>
      <w:r>
        <w:rPr>
          <w:sz w:val="28"/>
          <w:szCs w:val="28"/>
        </w:rPr>
        <w:tab/>
      </w:r>
      <w:r>
        <w:rPr>
          <w:sz w:val="28"/>
          <w:szCs w:val="28"/>
        </w:rPr>
        <w:fldChar w:fldCharType="begin"/>
      </w:r>
      <w:r>
        <w:rPr>
          <w:sz w:val="28"/>
          <w:szCs w:val="28"/>
        </w:rPr>
        <w:instrText xml:space="preserve"> PAGEREF _Toc135944565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"_Toc135944566" </w:instrText>
      </w:r>
      <w:r>
        <w:fldChar w:fldCharType="separate"/>
      </w:r>
      <w:r>
        <w:rPr>
          <w:rStyle w:val="16"/>
          <w:rFonts w:ascii="楷体_GB2312" w:hAnsi="Arial" w:eastAsia="楷体_GB2312" w:cs="Arial"/>
          <w:bCs/>
          <w:sz w:val="28"/>
          <w:szCs w:val="28"/>
        </w:rPr>
        <w:t>（一）项目概况</w:t>
      </w:r>
      <w:r>
        <w:rPr>
          <w:sz w:val="28"/>
          <w:szCs w:val="28"/>
        </w:rPr>
        <w:tab/>
      </w:r>
      <w:r>
        <w:rPr>
          <w:sz w:val="28"/>
          <w:szCs w:val="28"/>
        </w:rPr>
        <w:fldChar w:fldCharType="begin"/>
      </w:r>
      <w:r>
        <w:rPr>
          <w:sz w:val="28"/>
          <w:szCs w:val="28"/>
        </w:rPr>
        <w:instrText xml:space="preserve"> PAGEREF _Toc135944566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"_Toc135944568" </w:instrText>
      </w:r>
      <w:r>
        <w:fldChar w:fldCharType="separate"/>
      </w:r>
      <w:r>
        <w:rPr>
          <w:rStyle w:val="16"/>
          <w:rFonts w:ascii="楷体_GB2312" w:hAnsi="Arial" w:eastAsia="楷体_GB2312" w:cs="Arial"/>
          <w:bCs/>
          <w:sz w:val="28"/>
          <w:szCs w:val="28"/>
        </w:rPr>
        <w:t>（二）项目绩效目标</w:t>
      </w:r>
      <w:r>
        <w:rPr>
          <w:sz w:val="28"/>
          <w:szCs w:val="28"/>
        </w:rPr>
        <w:tab/>
      </w:r>
      <w:r>
        <w:rPr>
          <w:sz w:val="28"/>
          <w:szCs w:val="28"/>
        </w:rPr>
        <w:fldChar w:fldCharType="begin"/>
      </w:r>
      <w:r>
        <w:rPr>
          <w:sz w:val="28"/>
          <w:szCs w:val="28"/>
        </w:rPr>
        <w:instrText xml:space="preserve"> PAGEREF _Toc135944568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"_Toc135944569" </w:instrText>
      </w:r>
      <w:r>
        <w:fldChar w:fldCharType="separate"/>
      </w:r>
      <w:r>
        <w:rPr>
          <w:rStyle w:val="16"/>
          <w:rFonts w:ascii="黑体" w:hAnsi="黑体" w:eastAsia="黑体"/>
          <w:sz w:val="28"/>
          <w:szCs w:val="28"/>
        </w:rPr>
        <w:t>二、绩效评价工作开展情况</w:t>
      </w:r>
      <w:r>
        <w:rPr>
          <w:sz w:val="28"/>
          <w:szCs w:val="28"/>
        </w:rPr>
        <w:tab/>
      </w:r>
      <w:r>
        <w:rPr>
          <w:sz w:val="28"/>
          <w:szCs w:val="28"/>
        </w:rPr>
        <w:fldChar w:fldCharType="begin"/>
      </w:r>
      <w:r>
        <w:rPr>
          <w:sz w:val="28"/>
          <w:szCs w:val="28"/>
        </w:rPr>
        <w:instrText xml:space="preserve"> PAGEREF _Toc135944569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"_Toc135944570" </w:instrText>
      </w:r>
      <w:r>
        <w:fldChar w:fldCharType="separate"/>
      </w:r>
      <w:r>
        <w:rPr>
          <w:rStyle w:val="16"/>
          <w:rFonts w:ascii="楷体_GB2312" w:hAnsi="Arial" w:eastAsia="楷体_GB2312" w:cs="Arial"/>
          <w:bCs/>
          <w:sz w:val="28"/>
          <w:szCs w:val="28"/>
        </w:rPr>
        <w:t>（一）绩效评价目的、对象和范围</w:t>
      </w:r>
      <w:r>
        <w:rPr>
          <w:sz w:val="28"/>
          <w:szCs w:val="28"/>
        </w:rPr>
        <w:tab/>
      </w:r>
      <w:r>
        <w:rPr>
          <w:sz w:val="28"/>
          <w:szCs w:val="28"/>
        </w:rPr>
        <w:fldChar w:fldCharType="begin"/>
      </w:r>
      <w:r>
        <w:rPr>
          <w:sz w:val="28"/>
          <w:szCs w:val="28"/>
        </w:rPr>
        <w:instrText xml:space="preserve"> PAGEREF _Toc135944570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"_Toc135944571" </w:instrText>
      </w:r>
      <w:r>
        <w:fldChar w:fldCharType="separate"/>
      </w:r>
      <w:r>
        <w:rPr>
          <w:rStyle w:val="16"/>
          <w:rFonts w:ascii="楷体_GB2312" w:hAnsi="Arial" w:eastAsia="楷体_GB2312" w:cs="Arial"/>
          <w:bCs/>
          <w:sz w:val="28"/>
          <w:szCs w:val="28"/>
        </w:rPr>
        <w:t>（二）绩效评价原则、评价方法、评价标准、评价指标体系</w:t>
      </w:r>
      <w:r>
        <w:rPr>
          <w:sz w:val="28"/>
          <w:szCs w:val="28"/>
        </w:rPr>
        <w:tab/>
      </w:r>
      <w:r>
        <w:rPr>
          <w:sz w:val="28"/>
          <w:szCs w:val="28"/>
        </w:rPr>
        <w:fldChar w:fldCharType="begin"/>
      </w:r>
      <w:r>
        <w:rPr>
          <w:sz w:val="28"/>
          <w:szCs w:val="28"/>
        </w:rPr>
        <w:instrText xml:space="preserve"> PAGEREF _Toc135944571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"_Toc135944572" </w:instrText>
      </w:r>
      <w:r>
        <w:fldChar w:fldCharType="separate"/>
      </w:r>
      <w:r>
        <w:rPr>
          <w:rStyle w:val="16"/>
          <w:rFonts w:ascii="楷体_GB2312" w:hAnsi="Arial" w:eastAsia="楷体_GB2312" w:cs="Arial"/>
          <w:bCs/>
          <w:sz w:val="28"/>
          <w:szCs w:val="28"/>
        </w:rPr>
        <w:t>（三）绩效评价工作过程</w:t>
      </w:r>
      <w:r>
        <w:rPr>
          <w:sz w:val="28"/>
          <w:szCs w:val="28"/>
        </w:rPr>
        <w:tab/>
      </w:r>
      <w:r>
        <w:rPr>
          <w:sz w:val="28"/>
          <w:szCs w:val="28"/>
        </w:rPr>
        <w:fldChar w:fldCharType="begin"/>
      </w:r>
      <w:r>
        <w:rPr>
          <w:sz w:val="28"/>
          <w:szCs w:val="28"/>
        </w:rPr>
        <w:instrText xml:space="preserve"> PAGEREF _Toc135944572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"_Toc135944573" </w:instrText>
      </w:r>
      <w:r>
        <w:fldChar w:fldCharType="separate"/>
      </w:r>
      <w:r>
        <w:rPr>
          <w:rStyle w:val="16"/>
          <w:rFonts w:ascii="黑体" w:hAnsi="黑体" w:eastAsia="黑体"/>
          <w:sz w:val="28"/>
          <w:szCs w:val="28"/>
        </w:rPr>
        <w:t>三、综合评价情况及评价结论</w:t>
      </w:r>
      <w:r>
        <w:rPr>
          <w:sz w:val="28"/>
          <w:szCs w:val="28"/>
        </w:rPr>
        <w:tab/>
      </w:r>
      <w:r>
        <w:rPr>
          <w:sz w:val="28"/>
          <w:szCs w:val="28"/>
        </w:rPr>
        <w:fldChar w:fldCharType="begin"/>
      </w:r>
      <w:r>
        <w:rPr>
          <w:sz w:val="28"/>
          <w:szCs w:val="28"/>
        </w:rPr>
        <w:instrText xml:space="preserve"> PAGEREF _Toc135944573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"_Toc135944574" </w:instrText>
      </w:r>
      <w:r>
        <w:fldChar w:fldCharType="separate"/>
      </w:r>
      <w:r>
        <w:rPr>
          <w:rStyle w:val="16"/>
          <w:rFonts w:ascii="黑体" w:hAnsi="黑体" w:eastAsia="黑体"/>
          <w:sz w:val="28"/>
          <w:szCs w:val="28"/>
        </w:rPr>
        <w:t>四、绩效评价指标分析</w:t>
      </w:r>
      <w:r>
        <w:rPr>
          <w:sz w:val="28"/>
          <w:szCs w:val="28"/>
        </w:rPr>
        <w:tab/>
      </w:r>
      <w:r>
        <w:rPr>
          <w:sz w:val="28"/>
          <w:szCs w:val="28"/>
        </w:rPr>
        <w:fldChar w:fldCharType="begin"/>
      </w:r>
      <w:r>
        <w:rPr>
          <w:sz w:val="28"/>
          <w:szCs w:val="28"/>
        </w:rPr>
        <w:instrText xml:space="preserve"> PAGEREF _Toc135944574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"_Toc135944575" </w:instrText>
      </w:r>
      <w:r>
        <w:fldChar w:fldCharType="separate"/>
      </w:r>
      <w:r>
        <w:rPr>
          <w:rStyle w:val="16"/>
          <w:rFonts w:ascii="楷体_GB2312" w:hAnsi="Arial" w:eastAsia="楷体_GB2312" w:cs="Arial"/>
          <w:bCs/>
          <w:sz w:val="28"/>
          <w:szCs w:val="28"/>
        </w:rPr>
        <w:t>（一）项目决策情况</w:t>
      </w:r>
      <w:r>
        <w:rPr>
          <w:sz w:val="28"/>
          <w:szCs w:val="28"/>
        </w:rPr>
        <w:tab/>
      </w:r>
      <w:r>
        <w:rPr>
          <w:sz w:val="28"/>
          <w:szCs w:val="28"/>
        </w:rPr>
        <w:fldChar w:fldCharType="begin"/>
      </w:r>
      <w:r>
        <w:rPr>
          <w:sz w:val="28"/>
          <w:szCs w:val="28"/>
        </w:rPr>
        <w:instrText xml:space="preserve"> PAGEREF _Toc135944575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"_Toc135944576" </w:instrText>
      </w:r>
      <w:r>
        <w:fldChar w:fldCharType="separate"/>
      </w:r>
      <w:r>
        <w:rPr>
          <w:rStyle w:val="16"/>
          <w:rFonts w:ascii="楷体_GB2312" w:hAnsi="Arial" w:eastAsia="楷体_GB2312" w:cs="Arial"/>
          <w:bCs/>
          <w:sz w:val="28"/>
          <w:szCs w:val="28"/>
        </w:rPr>
        <w:t>（二）项目过程情况</w:t>
      </w:r>
      <w:r>
        <w:rPr>
          <w:sz w:val="28"/>
          <w:szCs w:val="28"/>
        </w:rPr>
        <w:tab/>
      </w:r>
      <w:r>
        <w:rPr>
          <w:sz w:val="28"/>
          <w:szCs w:val="28"/>
        </w:rPr>
        <w:fldChar w:fldCharType="begin"/>
      </w:r>
      <w:r>
        <w:rPr>
          <w:sz w:val="28"/>
          <w:szCs w:val="28"/>
        </w:rPr>
        <w:instrText xml:space="preserve"> PAGEREF _Toc135944576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"_Toc135944577" </w:instrText>
      </w:r>
      <w:r>
        <w:fldChar w:fldCharType="separate"/>
      </w:r>
      <w:r>
        <w:rPr>
          <w:rStyle w:val="16"/>
          <w:rFonts w:ascii="楷体_GB2312" w:hAnsi="Arial" w:eastAsia="楷体_GB2312" w:cs="Arial"/>
          <w:bCs/>
          <w:sz w:val="28"/>
          <w:szCs w:val="28"/>
        </w:rPr>
        <w:t>（三）项目产出情况</w:t>
      </w:r>
      <w:r>
        <w:rPr>
          <w:sz w:val="28"/>
          <w:szCs w:val="28"/>
        </w:rPr>
        <w:tab/>
      </w:r>
      <w:r>
        <w:rPr>
          <w:sz w:val="28"/>
          <w:szCs w:val="28"/>
        </w:rPr>
        <w:fldChar w:fldCharType="begin"/>
      </w:r>
      <w:r>
        <w:rPr>
          <w:sz w:val="28"/>
          <w:szCs w:val="28"/>
        </w:rPr>
        <w:instrText xml:space="preserve"> PAGEREF _Toc135944577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"_Toc135944578" </w:instrText>
      </w:r>
      <w:r>
        <w:fldChar w:fldCharType="separate"/>
      </w:r>
      <w:r>
        <w:rPr>
          <w:rStyle w:val="16"/>
          <w:rFonts w:ascii="楷体_GB2312" w:hAnsi="Arial" w:eastAsia="楷体_GB2312" w:cs="Arial"/>
          <w:bCs/>
          <w:sz w:val="28"/>
          <w:szCs w:val="28"/>
        </w:rPr>
        <w:t>（四）项目效益情况</w:t>
      </w:r>
      <w:r>
        <w:rPr>
          <w:sz w:val="28"/>
          <w:szCs w:val="28"/>
        </w:rPr>
        <w:tab/>
      </w:r>
      <w:r>
        <w:rPr>
          <w:sz w:val="28"/>
          <w:szCs w:val="28"/>
        </w:rPr>
        <w:fldChar w:fldCharType="begin"/>
      </w:r>
      <w:r>
        <w:rPr>
          <w:sz w:val="28"/>
          <w:szCs w:val="28"/>
        </w:rPr>
        <w:instrText xml:space="preserve"> PAGEREF _Toc135944578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"_Toc135944579" </w:instrText>
      </w:r>
      <w:r>
        <w:fldChar w:fldCharType="separate"/>
      </w:r>
      <w:r>
        <w:rPr>
          <w:rStyle w:val="16"/>
          <w:rFonts w:ascii="黑体" w:hAnsi="黑体" w:eastAsia="黑体"/>
          <w:sz w:val="28"/>
          <w:szCs w:val="28"/>
        </w:rPr>
        <w:t>五、主要经验及做法、存在的问题及原因分析</w:t>
      </w:r>
      <w:r>
        <w:rPr>
          <w:sz w:val="28"/>
          <w:szCs w:val="28"/>
        </w:rPr>
        <w:tab/>
      </w:r>
      <w:r>
        <w:rPr>
          <w:sz w:val="28"/>
          <w:szCs w:val="28"/>
        </w:rPr>
        <w:fldChar w:fldCharType="begin"/>
      </w:r>
      <w:r>
        <w:rPr>
          <w:sz w:val="28"/>
          <w:szCs w:val="28"/>
        </w:rPr>
        <w:instrText xml:space="preserve"> PAGEREF _Toc135944579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"_Toc135944580" </w:instrText>
      </w:r>
      <w:r>
        <w:fldChar w:fldCharType="separate"/>
      </w:r>
      <w:r>
        <w:rPr>
          <w:rStyle w:val="16"/>
          <w:rFonts w:ascii="楷体_GB2312" w:hAnsi="Arial" w:eastAsia="楷体_GB2312" w:cs="Arial"/>
          <w:bCs/>
          <w:sz w:val="28"/>
          <w:szCs w:val="28"/>
        </w:rPr>
        <w:t>（一）主要经验及做法</w:t>
      </w:r>
      <w:r>
        <w:rPr>
          <w:sz w:val="28"/>
          <w:szCs w:val="28"/>
        </w:rPr>
        <w:tab/>
      </w:r>
      <w:r>
        <w:rPr>
          <w:sz w:val="28"/>
          <w:szCs w:val="28"/>
        </w:rPr>
        <w:fldChar w:fldCharType="begin"/>
      </w:r>
      <w:r>
        <w:rPr>
          <w:sz w:val="28"/>
          <w:szCs w:val="28"/>
        </w:rPr>
        <w:instrText xml:space="preserve"> PAGEREF _Toc135944580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"_Toc135944581" </w:instrText>
      </w:r>
      <w:r>
        <w:fldChar w:fldCharType="separate"/>
      </w:r>
      <w:r>
        <w:rPr>
          <w:rStyle w:val="16"/>
          <w:rFonts w:ascii="楷体_GB2312" w:hAnsi="Arial" w:eastAsia="楷体_GB2312" w:cs="Arial"/>
          <w:bCs/>
          <w:sz w:val="28"/>
          <w:szCs w:val="28"/>
        </w:rPr>
        <w:t>（二）存在的问题及原因分析</w:t>
      </w:r>
      <w:r>
        <w:rPr>
          <w:sz w:val="28"/>
          <w:szCs w:val="28"/>
        </w:rPr>
        <w:tab/>
      </w:r>
      <w:r>
        <w:rPr>
          <w:sz w:val="28"/>
          <w:szCs w:val="28"/>
        </w:rPr>
        <w:fldChar w:fldCharType="begin"/>
      </w:r>
      <w:r>
        <w:rPr>
          <w:sz w:val="28"/>
          <w:szCs w:val="28"/>
        </w:rPr>
        <w:instrText xml:space="preserve"> PAGEREF _Toc135944581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"_Toc135944582" </w:instrText>
      </w:r>
      <w:r>
        <w:fldChar w:fldCharType="separate"/>
      </w:r>
      <w:r>
        <w:rPr>
          <w:rStyle w:val="16"/>
          <w:rFonts w:ascii="黑体" w:hAnsi="黑体" w:eastAsia="黑体"/>
          <w:sz w:val="28"/>
          <w:szCs w:val="28"/>
        </w:rPr>
        <w:t>六、有关建议</w:t>
      </w:r>
      <w:r>
        <w:rPr>
          <w:sz w:val="28"/>
          <w:szCs w:val="28"/>
        </w:rPr>
        <w:tab/>
      </w:r>
      <w:r>
        <w:rPr>
          <w:sz w:val="28"/>
          <w:szCs w:val="28"/>
        </w:rPr>
        <w:fldChar w:fldCharType="begin"/>
      </w:r>
      <w:r>
        <w:rPr>
          <w:sz w:val="28"/>
          <w:szCs w:val="28"/>
        </w:rPr>
        <w:instrText xml:space="preserve"> PAGEREF _Toc135944582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11"/>
        <w:tabs>
          <w:tab w:val="right" w:leader="dot" w:pos="8296"/>
        </w:tabs>
        <w:rPr>
          <w:rFonts w:asciiTheme="minorHAnsi" w:hAnsiTheme="minorHAnsi" w:eastAsiaTheme="minorEastAsia" w:cstheme="minorBidi"/>
          <w:sz w:val="28"/>
          <w:szCs w:val="28"/>
          <w14:ligatures w14:val="standardContextual"/>
        </w:rPr>
      </w:pPr>
      <w:r>
        <w:fldChar w:fldCharType="begin"/>
      </w:r>
      <w:r>
        <w:instrText xml:space="preserve"> HYPERLINK \l "_Toc135944583" </w:instrText>
      </w:r>
      <w:r>
        <w:fldChar w:fldCharType="separate"/>
      </w:r>
      <w:r>
        <w:rPr>
          <w:rStyle w:val="16"/>
          <w:rFonts w:ascii="黑体" w:hAnsi="黑体" w:eastAsia="黑体"/>
          <w:sz w:val="28"/>
          <w:szCs w:val="28"/>
        </w:rPr>
        <w:t>七、其他需要说明的问题</w:t>
      </w:r>
      <w:r>
        <w:rPr>
          <w:sz w:val="28"/>
          <w:szCs w:val="28"/>
        </w:rPr>
        <w:tab/>
      </w:r>
      <w:r>
        <w:rPr>
          <w:sz w:val="28"/>
          <w:szCs w:val="28"/>
        </w:rPr>
        <w:fldChar w:fldCharType="begin"/>
      </w:r>
      <w:r>
        <w:rPr>
          <w:sz w:val="28"/>
          <w:szCs w:val="28"/>
        </w:rPr>
        <w:instrText xml:space="preserve"> PAGEREF _Toc135944583 \h </w:instrText>
      </w:r>
      <w:r>
        <w:rPr>
          <w:sz w:val="28"/>
          <w:szCs w:val="28"/>
        </w:rPr>
        <w:fldChar w:fldCharType="separate"/>
      </w:r>
      <w:r>
        <w:rPr>
          <w:sz w:val="28"/>
          <w:szCs w:val="28"/>
        </w:rPr>
        <w:t>14</w:t>
      </w:r>
      <w:r>
        <w:rPr>
          <w:sz w:val="28"/>
          <w:szCs w:val="28"/>
        </w:rPr>
        <w:fldChar w:fldCharType="end"/>
      </w:r>
      <w:r>
        <w:rPr>
          <w:sz w:val="28"/>
          <w:szCs w:val="28"/>
        </w:rPr>
        <w:fldChar w:fldCharType="end"/>
      </w:r>
    </w:p>
    <w:p>
      <w:pPr>
        <w:spacing w:line="360" w:lineRule="auto"/>
        <w:rPr>
          <w:rFonts w:ascii="宋体" w:hAnsi="宋体"/>
          <w:sz w:val="28"/>
          <w:szCs w:val="28"/>
        </w:rPr>
      </w:pPr>
      <w:r>
        <w:rPr>
          <w:rFonts w:hint="eastAsia" w:cs="宋体" w:asciiTheme="minorEastAsia" w:hAnsiTheme="minorEastAsia" w:eastAsiaTheme="minorEastAsia"/>
          <w:sz w:val="28"/>
          <w:szCs w:val="28"/>
        </w:rPr>
        <w:fldChar w:fldCharType="end"/>
      </w:r>
    </w:p>
    <w:p>
      <w:pPr>
        <w:rPr>
          <w:rFonts w:ascii="宋体" w:hAnsi="宋体"/>
          <w:b/>
          <w:snapToGrid w:val="0"/>
          <w:kern w:val="0"/>
          <w:sz w:val="44"/>
          <w:szCs w:val="44"/>
        </w:rPr>
        <w:sectPr>
          <w:pgSz w:w="11906" w:h="16838"/>
          <w:pgMar w:top="1440" w:right="1800" w:bottom="1440" w:left="1800" w:header="851" w:footer="992" w:gutter="0"/>
          <w:pgNumType w:start="1"/>
          <w:cols w:space="720" w:num="1"/>
          <w:docGrid w:type="lines" w:linePitch="312" w:charSpace="0"/>
        </w:sectPr>
      </w:pPr>
    </w:p>
    <w:p>
      <w:pPr>
        <w:rPr>
          <w:rFonts w:ascii="宋体" w:hAnsi="宋体"/>
          <w:b/>
          <w:snapToGrid w:val="0"/>
          <w:kern w:val="0"/>
          <w:sz w:val="44"/>
          <w:szCs w:val="44"/>
        </w:rPr>
        <w:sectPr>
          <w:type w:val="continuous"/>
          <w:pgSz w:w="11906" w:h="16838"/>
          <w:pgMar w:top="1440" w:right="1800" w:bottom="1440" w:left="1800" w:header="851" w:footer="992" w:gutter="0"/>
          <w:pgNumType w:start="1"/>
          <w:cols w:space="720" w:num="1"/>
          <w:docGrid w:type="lines" w:linePitch="312" w:charSpace="0"/>
        </w:sectPr>
      </w:pPr>
    </w:p>
    <w:p>
      <w:pPr>
        <w:adjustRightInd w:val="0"/>
        <w:spacing w:line="500" w:lineRule="exact"/>
        <w:rPr>
          <w:rFonts w:ascii="仿宋" w:hAnsi="仿宋" w:eastAsia="仿宋"/>
          <w:sz w:val="28"/>
          <w:szCs w:val="28"/>
        </w:rPr>
      </w:pPr>
      <w:bookmarkStart w:id="0" w:name="_Toc428524876"/>
      <w:bookmarkStart w:id="1" w:name="_Toc428415223"/>
      <w:bookmarkStart w:id="2" w:name="_Toc485728084"/>
      <w:bookmarkStart w:id="3" w:name="_Toc485728072"/>
      <w:bookmarkStart w:id="4" w:name="_Toc425537590"/>
      <w:bookmarkStart w:id="5" w:name="_Toc429685098"/>
      <w:bookmarkStart w:id="6" w:name="_Toc428414998"/>
      <w:bookmarkStart w:id="7" w:name="_Toc428717947"/>
      <w:bookmarkStart w:id="8" w:name="_Toc26449"/>
      <w:bookmarkStart w:id="9" w:name="_Toc30166268"/>
    </w:p>
    <w:p>
      <w:pPr>
        <w:spacing w:line="560" w:lineRule="exact"/>
        <w:jc w:val="center"/>
        <w:rPr>
          <w:rFonts w:ascii="黑体" w:hAnsi="黑体" w:eastAsia="黑体"/>
          <w:sz w:val="44"/>
          <w:szCs w:val="44"/>
        </w:rPr>
      </w:pPr>
      <w:r>
        <w:rPr>
          <w:rFonts w:hint="eastAsia" w:ascii="黑体" w:hAnsi="黑体" w:eastAsia="黑体"/>
          <w:sz w:val="44"/>
          <w:szCs w:val="44"/>
        </w:rPr>
        <w:t>北京市大兴区人民法院</w:t>
      </w:r>
    </w:p>
    <w:p>
      <w:pPr>
        <w:spacing w:line="560" w:lineRule="exact"/>
        <w:jc w:val="center"/>
        <w:rPr>
          <w:rFonts w:ascii="黑体" w:hAnsi="黑体" w:eastAsia="黑体"/>
          <w:sz w:val="44"/>
          <w:szCs w:val="44"/>
        </w:rPr>
      </w:pPr>
      <w:r>
        <w:rPr>
          <w:rFonts w:hint="eastAsia" w:ascii="黑体" w:hAnsi="黑体" w:eastAsia="黑体"/>
          <w:sz w:val="44"/>
          <w:szCs w:val="44"/>
        </w:rPr>
        <w:t>司法救助金项目绩效评价报告</w:t>
      </w:r>
    </w:p>
    <w:p>
      <w:pPr>
        <w:ind w:firstLine="600"/>
        <w:jc w:val="right"/>
        <w:rPr>
          <w:rFonts w:ascii="仿宋" w:hAnsi="仿宋" w:eastAsia="仿宋" w:cs="宋体"/>
          <w:sz w:val="24"/>
        </w:rPr>
      </w:pPr>
      <w:r>
        <w:rPr>
          <w:rFonts w:hint="eastAsia" w:ascii="仿宋" w:hAnsi="仿宋" w:eastAsia="仿宋" w:cs="仿宋"/>
          <w:sz w:val="28"/>
          <w:szCs w:val="28"/>
        </w:rPr>
        <w:t>正衡东亚专审【2023】049号</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为加强预算绩效管理，强化支出责任，建立科学、合理的财政支出绩效评价管理体系，提高财政资金使用效益，同时为提高财政支出管理水平，检验财政支出预期目标实现程度，考核财政支出效率和综合效果，为以后年度财政资金安排提供重要依据，根据《中共北京市委 北京市人民政府关于全面实施预算绩效管理的实施意见》（京发〔2019〕12号）、《北京市项目支出绩效评价管理办法》（京财绩效〔2020〕2146号）等文件规定，北京正衡东亚会计师事务所有限公司接受北京市大兴区人民法院（以下简称“区法院”）的委托，成立了项目绩效考评工作组，对区法院实施的“司法救助金”项目（以下简称“该项目”）的绩效情况实施评价，形成本绩效评价报告。</w:t>
      </w:r>
    </w:p>
    <w:p>
      <w:pPr>
        <w:pStyle w:val="3"/>
        <w:tabs>
          <w:tab w:val="left" w:pos="588"/>
        </w:tabs>
        <w:spacing w:before="0" w:after="0" w:line="500" w:lineRule="exact"/>
        <w:ind w:firstLine="640" w:firstLineChars="200"/>
        <w:rPr>
          <w:rFonts w:ascii="黑体" w:hAnsi="黑体" w:eastAsia="黑体"/>
          <w:b w:val="0"/>
          <w:kern w:val="44"/>
          <w:sz w:val="28"/>
          <w:szCs w:val="28"/>
        </w:rPr>
      </w:pPr>
      <w:bookmarkStart w:id="10" w:name="_Toc135944565"/>
      <w:r>
        <w:rPr>
          <w:rFonts w:hint="eastAsia" w:ascii="黑体" w:hAnsi="黑体" w:eastAsia="黑体" w:cs="Times New Roman"/>
          <w:b w:val="0"/>
          <w:bCs w:val="0"/>
        </w:rPr>
        <w:t>一、基本情况</w:t>
      </w:r>
      <w:bookmarkEnd w:id="10"/>
    </w:p>
    <w:p>
      <w:pPr>
        <w:widowControl/>
        <w:spacing w:line="560" w:lineRule="exact"/>
        <w:ind w:firstLine="640" w:firstLineChars="200"/>
        <w:outlineLvl w:val="1"/>
        <w:rPr>
          <w:rFonts w:ascii="楷体_GB2312" w:hAnsi="Arial" w:eastAsia="楷体_GB2312" w:cs="Arial"/>
          <w:bCs/>
          <w:sz w:val="32"/>
          <w:szCs w:val="32"/>
        </w:rPr>
      </w:pPr>
      <w:bookmarkStart w:id="11" w:name="_Toc135944566"/>
      <w:r>
        <w:rPr>
          <w:rFonts w:hint="eastAsia" w:ascii="楷体_GB2312" w:hAnsi="Arial" w:eastAsia="楷体_GB2312" w:cs="Arial"/>
          <w:bCs/>
          <w:sz w:val="32"/>
          <w:szCs w:val="32"/>
        </w:rPr>
        <w:t>（一）项目概况</w:t>
      </w:r>
      <w:bookmarkEnd w:id="11"/>
    </w:p>
    <w:p>
      <w:pPr>
        <w:spacing w:line="560" w:lineRule="exact"/>
        <w:ind w:left="640"/>
        <w:rPr>
          <w:rFonts w:hint="eastAsia"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.项目背景</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为适应中国特色社会主义司法制度的内在要求，改善民生、健全社会保障体系，在审判、执行、办理信访过程中，对权利受到侵害但无力获得有效赔偿的当事人，国家给予适当经济救助，帮助他们摆脱生活困境。为维护司法公正，确保法律面前人人平等的法律原则得以真正实现，区法院以法律化、制度化的形式，对部分经济困难、诉讼前陷入困境或者特殊案件的当事人提供司法救助。</w:t>
      </w:r>
    </w:p>
    <w:p>
      <w:pPr>
        <w:spacing w:line="560" w:lineRule="exact"/>
        <w:ind w:left="640"/>
        <w:rPr>
          <w:rFonts w:hint="eastAsia"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.项目主要内容及实施情况</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主要内容为区法院在审判、执行、办理信访工作中，对权利受到侵害，无法获得有效赔偿的当事人，采取辅助性救济措施。为规范区法院司法救助工作，区法院根据《最高人民法院关于加强和规范人民法院国家司法救助工作的意见》、《人民法院国家司法救助案件办理程序规定（试行）》、《北京市高级人民法院关于规范国家司法救助工作的实施细则》，结合司法救助工作实际，制定、修订了《北京市大兴区人民法院国家司法救助制度实施细则(修订版)》，并按照文件规定选取、认定救助人员，按照救助标准发放救助金。</w:t>
      </w:r>
    </w:p>
    <w:p>
      <w:pPr>
        <w:widowControl/>
        <w:shd w:val="clear" w:color="auto" w:fill="FFFFFF"/>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w:t>
      </w:r>
      <w:r>
        <w:rPr>
          <w:rFonts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t>资金投入和使用情况</w:t>
      </w:r>
    </w:p>
    <w:p>
      <w:pPr>
        <w:widowControl/>
        <w:spacing w:line="560" w:lineRule="exact"/>
        <w:ind w:firstLine="640" w:firstLineChars="200"/>
        <w:outlineLvl w:val="1"/>
        <w:rPr>
          <w:rFonts w:ascii="仿宋" w:hAnsi="仿宋" w:eastAsia="仿宋"/>
          <w:sz w:val="32"/>
          <w:szCs w:val="32"/>
        </w:rPr>
      </w:pPr>
      <w:bookmarkStart w:id="12" w:name="_Toc135944567"/>
      <w:bookmarkStart w:id="13" w:name="_Toc428415212"/>
      <w:bookmarkStart w:id="14" w:name="_Toc27528"/>
      <w:bookmarkStart w:id="15" w:name="_Toc485728073"/>
      <w:bookmarkStart w:id="16" w:name="_Toc428414987"/>
      <w:bookmarkStart w:id="17" w:name="_Toc428524865"/>
      <w:bookmarkStart w:id="18" w:name="_Toc425537579"/>
      <w:r>
        <w:rPr>
          <w:rFonts w:hint="eastAsia" w:ascii="仿宋" w:hAnsi="仿宋" w:eastAsia="仿宋"/>
          <w:sz w:val="32"/>
          <w:szCs w:val="32"/>
        </w:rPr>
        <w:t>该项目2</w:t>
      </w:r>
      <w:r>
        <w:rPr>
          <w:rFonts w:ascii="仿宋" w:hAnsi="仿宋" w:eastAsia="仿宋"/>
          <w:sz w:val="32"/>
          <w:szCs w:val="32"/>
        </w:rPr>
        <w:t>022</w:t>
      </w:r>
      <w:r>
        <w:rPr>
          <w:rFonts w:hint="eastAsia" w:ascii="仿宋" w:hAnsi="仿宋" w:eastAsia="仿宋"/>
          <w:sz w:val="32"/>
          <w:szCs w:val="32"/>
        </w:rPr>
        <w:t>年预算批复资金120.00万元，市财政核减收回项目资金24.00万元，项目实际支出96.00万元，全部用于8个司法救助案件的救助金发放。</w:t>
      </w:r>
      <w:bookmarkEnd w:id="12"/>
    </w:p>
    <w:p>
      <w:pPr>
        <w:widowControl/>
        <w:spacing w:line="560" w:lineRule="exact"/>
        <w:ind w:firstLine="640" w:firstLineChars="200"/>
        <w:outlineLvl w:val="1"/>
        <w:rPr>
          <w:rFonts w:ascii="楷体_GB2312" w:hAnsi="Arial" w:eastAsia="楷体_GB2312" w:cs="Arial"/>
          <w:bCs/>
          <w:sz w:val="32"/>
          <w:szCs w:val="32"/>
        </w:rPr>
      </w:pPr>
      <w:bookmarkStart w:id="19" w:name="_Toc135944568"/>
      <w:r>
        <w:rPr>
          <w:rFonts w:hint="eastAsia" w:ascii="楷体_GB2312" w:hAnsi="Arial" w:eastAsia="楷体_GB2312" w:cs="Arial"/>
          <w:bCs/>
          <w:sz w:val="32"/>
          <w:szCs w:val="32"/>
        </w:rPr>
        <w:t>（二）项目绩效目标</w:t>
      </w:r>
      <w:bookmarkEnd w:id="13"/>
      <w:bookmarkEnd w:id="14"/>
      <w:bookmarkEnd w:id="15"/>
      <w:bookmarkEnd w:id="16"/>
      <w:bookmarkEnd w:id="17"/>
      <w:bookmarkEnd w:id="18"/>
      <w:bookmarkEnd w:id="19"/>
    </w:p>
    <w:p>
      <w:pPr>
        <w:spacing w:line="500" w:lineRule="exact"/>
        <w:ind w:firstLine="640" w:firstLineChars="200"/>
        <w:rPr>
          <w:rFonts w:ascii="仿宋" w:hAnsi="仿宋" w:eastAsia="仿宋"/>
          <w:sz w:val="32"/>
          <w:szCs w:val="32"/>
        </w:rPr>
      </w:pPr>
      <w:r>
        <w:rPr>
          <w:rFonts w:hint="eastAsia" w:ascii="仿宋" w:hAnsi="仿宋" w:eastAsia="仿宋"/>
          <w:sz w:val="32"/>
          <w:szCs w:val="32"/>
        </w:rPr>
        <w:t>1.年度指标</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为适应中国特色社会主义司法制度的内在要求，改善民生、健全社会保障体系，人民法院在审判、执行、办理信访过程中，对权利受到侵害但无力获得有效赔偿的当事人，由国家给予适当经济救助，帮助他们摆脱生活困境。</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2.产出指标</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 数量指标：2022年度司法救助案件数不低于6件；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（2）质量指标：确保被救助人解决实际生活困难，息诉罢访；</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（3）时效指标：司法救助案件审理期限不超过10个工作日；</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（4）成本指标：2</w:t>
      </w:r>
      <w:r>
        <w:rPr>
          <w:rFonts w:ascii="仿宋" w:hAnsi="仿宋" w:eastAsia="仿宋"/>
          <w:sz w:val="32"/>
          <w:szCs w:val="32"/>
        </w:rPr>
        <w:t>022</w:t>
      </w:r>
      <w:r>
        <w:rPr>
          <w:rFonts w:hint="eastAsia" w:ascii="仿宋" w:hAnsi="仿宋" w:eastAsia="仿宋"/>
          <w:sz w:val="32"/>
          <w:szCs w:val="32"/>
        </w:rPr>
        <w:t>年度司法救助总金额不超过120.00万元；</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满意度指标</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救助后区法院做结案处理，当事人确保息诉罢访。</w:t>
      </w:r>
    </w:p>
    <w:p>
      <w:pPr>
        <w:pStyle w:val="3"/>
        <w:tabs>
          <w:tab w:val="left" w:pos="588"/>
        </w:tabs>
        <w:spacing w:before="0" w:after="0" w:line="500" w:lineRule="exact"/>
        <w:ind w:firstLine="640" w:firstLineChars="200"/>
        <w:rPr>
          <w:rFonts w:ascii="黑体" w:hAnsi="黑体" w:eastAsia="黑体" w:cs="Times New Roman"/>
          <w:b w:val="0"/>
          <w:bCs w:val="0"/>
        </w:rPr>
      </w:pPr>
      <w:bookmarkStart w:id="20" w:name="_Toc135944569"/>
      <w:r>
        <w:rPr>
          <w:rFonts w:hint="eastAsia" w:ascii="黑体" w:hAnsi="黑体" w:eastAsia="黑体" w:cs="Times New Roman"/>
          <w:b w:val="0"/>
          <w:bCs w:val="0"/>
        </w:rPr>
        <w:t>二、绩效评价工作开展情况</w:t>
      </w:r>
      <w:bookmarkEnd w:id="20"/>
    </w:p>
    <w:p>
      <w:pPr>
        <w:widowControl/>
        <w:spacing w:line="560" w:lineRule="exact"/>
        <w:ind w:firstLine="640" w:firstLineChars="200"/>
        <w:outlineLvl w:val="1"/>
        <w:rPr>
          <w:rFonts w:ascii="楷体_GB2312" w:hAnsi="Arial" w:eastAsia="楷体_GB2312" w:cs="Arial"/>
          <w:bCs/>
          <w:sz w:val="32"/>
          <w:szCs w:val="32"/>
        </w:rPr>
      </w:pPr>
      <w:bookmarkStart w:id="21" w:name="_Toc135944570"/>
      <w:r>
        <w:rPr>
          <w:rFonts w:hint="eastAsia" w:ascii="楷体_GB2312" w:hAnsi="Arial" w:eastAsia="楷体_GB2312" w:cs="Arial"/>
          <w:bCs/>
          <w:sz w:val="32"/>
          <w:szCs w:val="32"/>
        </w:rPr>
        <w:t>（一）绩效评价目的、对象和范围</w:t>
      </w:r>
      <w:bookmarkEnd w:id="21"/>
    </w:p>
    <w:p>
      <w:pPr>
        <w:spacing w:line="50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绩效评价目的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通过绩效评价，衡量和考核区法院使用财政资金的绩效实现情况，了解、分析和检验专项资金使用是否达到预期目标，资金管理是否规范，资金使用是否有效。绩效评价工作组通过对该项目的项目决策、项目管理、项目绩效三方面进行评价，通过评价发现问题，提出改进意见和建议，促进预算资金分配的规范化、资源配置的合理性，采取切实措施进一步改进和加强财政支出项目管理，从而有效提高财政资金的使用效益。</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绩效评价对象和范围</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本次评价对象为区法院2022年司法救助金项目，重点评价司法救助金项目的立项依据、制度建立、过程管理、资金使用、产出数量、质量和效益。</w:t>
      </w:r>
    </w:p>
    <w:p>
      <w:pPr>
        <w:widowControl/>
        <w:spacing w:line="560" w:lineRule="exact"/>
        <w:ind w:firstLine="640" w:firstLineChars="200"/>
        <w:outlineLvl w:val="1"/>
        <w:rPr>
          <w:rFonts w:ascii="楷体_GB2312" w:hAnsi="Arial" w:eastAsia="楷体_GB2312" w:cs="Arial"/>
          <w:bCs/>
          <w:sz w:val="32"/>
          <w:szCs w:val="32"/>
        </w:rPr>
      </w:pPr>
      <w:bookmarkStart w:id="22" w:name="_Toc135944571"/>
      <w:r>
        <w:rPr>
          <w:rFonts w:hint="eastAsia" w:ascii="楷体_GB2312" w:hAnsi="Arial" w:eastAsia="楷体_GB2312" w:cs="Arial"/>
          <w:bCs/>
          <w:sz w:val="32"/>
          <w:szCs w:val="32"/>
        </w:rPr>
        <w:t>（二）绩效评价原则、评价方法、评价标准、评价指标体系</w:t>
      </w:r>
      <w:bookmarkEnd w:id="22"/>
    </w:p>
    <w:p>
      <w:pPr>
        <w:spacing w:line="500" w:lineRule="exact"/>
        <w:ind w:firstLine="640" w:firstLineChars="200"/>
        <w:rPr>
          <w:rFonts w:ascii="仿宋" w:hAnsi="仿宋" w:eastAsia="仿宋"/>
          <w:sz w:val="32"/>
          <w:szCs w:val="32"/>
        </w:rPr>
      </w:pPr>
      <w:r>
        <w:rPr>
          <w:rFonts w:hint="eastAsia" w:ascii="仿宋" w:hAnsi="仿宋" w:eastAsia="仿宋"/>
          <w:sz w:val="32"/>
          <w:szCs w:val="32"/>
        </w:rPr>
        <w:t>1.绩效评价原则</w:t>
      </w:r>
      <w:r>
        <w:rPr>
          <w:rFonts w:ascii="仿宋" w:hAnsi="仿宋" w:eastAsia="仿宋"/>
          <w:sz w:val="32"/>
          <w:szCs w:val="32"/>
        </w:rPr>
        <w:tab/>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（1）科学公正。绩效评价应当运用科学合理的方法，按照规范的程序，对项目绩效进行客观、公正的反映。</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（3）激励约束。绩效评价结果应用与预算安排、政策调整、改进管理实质性挂钩，体现奖优罚劣和激励相容导向，有效要安排、低效要减压、无效要问责。</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（4）公开透明。绩效评价结果应依法依规公开，并自觉接受社会监督。</w:t>
      </w:r>
    </w:p>
    <w:p>
      <w:pPr>
        <w:spacing w:line="500" w:lineRule="exact"/>
        <w:ind w:firstLine="640" w:firstLineChars="200"/>
        <w:rPr>
          <w:rFonts w:hint="eastAsia" w:ascii="仿宋" w:hAnsi="仿宋" w:eastAsia="仿宋"/>
          <w:sz w:val="32"/>
          <w:szCs w:val="32"/>
        </w:rPr>
      </w:pPr>
      <w:r>
        <w:rPr>
          <w:rFonts w:ascii="仿宋" w:hAnsi="仿宋" w:eastAsia="仿宋"/>
          <w:sz w:val="32"/>
          <w:szCs w:val="32"/>
        </w:rPr>
        <w:t>2.</w:t>
      </w:r>
      <w:r>
        <w:rPr>
          <w:rFonts w:hint="eastAsia" w:ascii="仿宋" w:hAnsi="仿宋" w:eastAsia="仿宋"/>
          <w:sz w:val="32"/>
          <w:szCs w:val="32"/>
        </w:rPr>
        <w:t>评价方法</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本次评价采用成本效益分析法、比较法、因素分析法、公众评判法以及其他方法等一种或多种方法相结合的方法进行评价。</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成本效益分析法。是指将投入与产出、效益进行关联性分析的方法。</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比较法。是指将实施情况与绩效目标、历史情况、不同部门和地区同类支出情况进行比较的方法。</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因素分析法。是指综合分析影响绩效目标实现、实施效果的内外部因素的方法。</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公众评判法。是指通过专家评估、公众问卷及抽样调查的方式进行评判的方法。</w:t>
      </w:r>
    </w:p>
    <w:p>
      <w:pPr>
        <w:spacing w:line="500" w:lineRule="exac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评价标准</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本次绩效评价标准包括计划标准、行业标准、历史标准等用于对绩效指标完成情况进行比较。总分一般设置为100分，等级一般划分为4档：90（含）-100分为优、80（含）-90分为良、60（含）-80分为中、60分以下为差。</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计划标准。指以预先制定的目标、计划、预算、定额作为评价标准。</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行业标准。指参照国家公布的行业指标数据制定的评价标准。</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历史标准。指参照历史数据制定的评价标准，为体现绩效改进的原则，在可实现的条件下应当确定相对较高的评价标准。</w:t>
      </w:r>
    </w:p>
    <w:p>
      <w:pPr>
        <w:spacing w:line="500" w:lineRule="exact"/>
        <w:ind w:firstLine="640" w:firstLineChars="200"/>
        <w:rPr>
          <w:rFonts w:ascii="仿宋" w:hAnsi="仿宋" w:eastAsia="仿宋"/>
          <w:sz w:val="32"/>
          <w:szCs w:val="32"/>
        </w:rPr>
      </w:pPr>
      <w:r>
        <w:rPr>
          <w:rFonts w:ascii="仿宋" w:hAnsi="仿宋" w:eastAsia="仿宋"/>
          <w:sz w:val="32"/>
          <w:szCs w:val="32"/>
        </w:rPr>
        <w:t>4.评价指标体系</w:t>
      </w:r>
    </w:p>
    <w:p>
      <w:pPr>
        <w:spacing w:line="500" w:lineRule="exact"/>
        <w:ind w:firstLine="640" w:firstLineChars="200"/>
        <w:rPr>
          <w:rFonts w:ascii="仿宋" w:hAnsi="仿宋" w:eastAsia="仿宋"/>
          <w:sz w:val="32"/>
          <w:szCs w:val="32"/>
        </w:rPr>
      </w:pPr>
      <w:r>
        <w:rPr>
          <w:rFonts w:ascii="仿宋" w:hAnsi="仿宋" w:eastAsia="仿宋"/>
          <w:sz w:val="32"/>
          <w:szCs w:val="32"/>
        </w:rPr>
        <w:t>根据</w:t>
      </w:r>
      <w:r>
        <w:rPr>
          <w:rFonts w:hint="eastAsia" w:ascii="仿宋" w:hAnsi="仿宋" w:eastAsia="仿宋"/>
          <w:sz w:val="32"/>
          <w:szCs w:val="32"/>
        </w:rPr>
        <w:t>北京市财政局关于印发《北京市项目支出绩效评价管理办法》的通知</w:t>
      </w:r>
      <w:r>
        <w:rPr>
          <w:rFonts w:ascii="仿宋" w:hAnsi="仿宋" w:eastAsia="仿宋"/>
          <w:sz w:val="32"/>
          <w:szCs w:val="32"/>
        </w:rPr>
        <w:t>，评价工作组结合</w:t>
      </w:r>
      <w:r>
        <w:rPr>
          <w:rFonts w:hint="eastAsia" w:ascii="仿宋" w:hAnsi="仿宋" w:eastAsia="仿宋"/>
          <w:sz w:val="32"/>
          <w:szCs w:val="32"/>
        </w:rPr>
        <w:t>该</w:t>
      </w:r>
      <w:r>
        <w:rPr>
          <w:rFonts w:ascii="仿宋" w:hAnsi="仿宋" w:eastAsia="仿宋"/>
          <w:sz w:val="32"/>
          <w:szCs w:val="32"/>
        </w:rPr>
        <w:t>项目的特点及资金使用的具体</w:t>
      </w:r>
      <w:r>
        <w:rPr>
          <w:rFonts w:hint="eastAsia" w:ascii="仿宋" w:hAnsi="仿宋" w:eastAsia="仿宋"/>
          <w:sz w:val="32"/>
          <w:szCs w:val="32"/>
        </w:rPr>
        <w:t>情</w:t>
      </w:r>
      <w:r>
        <w:rPr>
          <w:rFonts w:ascii="仿宋" w:hAnsi="仿宋" w:eastAsia="仿宋"/>
          <w:sz w:val="32"/>
          <w:szCs w:val="32"/>
        </w:rPr>
        <w:t>况</w:t>
      </w:r>
      <w:r>
        <w:rPr>
          <w:rFonts w:hint="eastAsia" w:ascii="仿宋" w:hAnsi="仿宋" w:eastAsia="仿宋"/>
          <w:sz w:val="32"/>
          <w:szCs w:val="32"/>
        </w:rPr>
        <w:t>，</w:t>
      </w:r>
      <w:r>
        <w:rPr>
          <w:rFonts w:ascii="仿宋" w:hAnsi="仿宋" w:eastAsia="仿宋"/>
          <w:sz w:val="32"/>
          <w:szCs w:val="32"/>
        </w:rPr>
        <w:t>以资金使用结果为导向，设定了本次评价指标内容和权重</w:t>
      </w:r>
      <w:r>
        <w:rPr>
          <w:rFonts w:hint="eastAsia" w:ascii="仿宋" w:hAnsi="仿宋" w:eastAsia="仿宋"/>
          <w:sz w:val="32"/>
          <w:szCs w:val="32"/>
        </w:rPr>
        <w:t>，</w:t>
      </w:r>
      <w:r>
        <w:rPr>
          <w:rFonts w:ascii="仿宋" w:hAnsi="仿宋" w:eastAsia="仿宋"/>
          <w:sz w:val="32"/>
          <w:szCs w:val="32"/>
        </w:rPr>
        <w:t>重点对项目决策、项目</w:t>
      </w:r>
      <w:r>
        <w:rPr>
          <w:rFonts w:hint="eastAsia" w:ascii="仿宋" w:hAnsi="仿宋" w:eastAsia="仿宋"/>
          <w:sz w:val="32"/>
          <w:szCs w:val="32"/>
        </w:rPr>
        <w:t>过程</w:t>
      </w:r>
      <w:r>
        <w:rPr>
          <w:rFonts w:ascii="仿宋" w:hAnsi="仿宋" w:eastAsia="仿宋"/>
          <w:sz w:val="32"/>
          <w:szCs w:val="32"/>
        </w:rPr>
        <w:t>、项目</w:t>
      </w:r>
      <w:r>
        <w:rPr>
          <w:rFonts w:hint="eastAsia" w:ascii="仿宋" w:hAnsi="仿宋" w:eastAsia="仿宋"/>
          <w:sz w:val="32"/>
          <w:szCs w:val="32"/>
        </w:rPr>
        <w:t>产出</w:t>
      </w:r>
      <w:r>
        <w:rPr>
          <w:rFonts w:ascii="仿宋" w:hAnsi="仿宋" w:eastAsia="仿宋"/>
          <w:sz w:val="32"/>
          <w:szCs w:val="32"/>
        </w:rPr>
        <w:t>、项目效益进行综合评价</w:t>
      </w:r>
      <w:r>
        <w:rPr>
          <w:rFonts w:hint="eastAsia" w:ascii="仿宋" w:hAnsi="仿宋" w:eastAsia="仿宋"/>
          <w:sz w:val="32"/>
          <w:szCs w:val="32"/>
        </w:rPr>
        <w:t>。评价指标体系详见附表。</w:t>
      </w:r>
    </w:p>
    <w:p>
      <w:pPr>
        <w:widowControl/>
        <w:spacing w:line="560" w:lineRule="exact"/>
        <w:ind w:firstLine="640" w:firstLineChars="200"/>
        <w:outlineLvl w:val="1"/>
        <w:rPr>
          <w:rFonts w:ascii="楷体_GB2312" w:hAnsi="Arial" w:eastAsia="楷体_GB2312" w:cs="Arial"/>
          <w:bCs/>
          <w:sz w:val="32"/>
          <w:szCs w:val="32"/>
        </w:rPr>
      </w:pPr>
      <w:bookmarkStart w:id="23" w:name="_Toc456878641"/>
      <w:bookmarkStart w:id="24" w:name="_Toc135944572"/>
      <w:r>
        <w:rPr>
          <w:rFonts w:hint="eastAsia" w:ascii="楷体_GB2312" w:hAnsi="Arial" w:eastAsia="楷体_GB2312" w:cs="Arial"/>
          <w:bCs/>
          <w:sz w:val="32"/>
          <w:szCs w:val="32"/>
        </w:rPr>
        <w:t>（三）</w:t>
      </w:r>
      <w:bookmarkEnd w:id="23"/>
      <w:r>
        <w:rPr>
          <w:rFonts w:hint="eastAsia" w:ascii="楷体_GB2312" w:hAnsi="Arial" w:eastAsia="楷体_GB2312" w:cs="Arial"/>
          <w:bCs/>
          <w:sz w:val="32"/>
          <w:szCs w:val="32"/>
        </w:rPr>
        <w:t>绩效评价工作过程</w:t>
      </w:r>
      <w:bookmarkEnd w:id="24"/>
    </w:p>
    <w:p>
      <w:pPr>
        <w:spacing w:line="500" w:lineRule="exact"/>
        <w:ind w:firstLine="640" w:firstLineChars="200"/>
        <w:rPr>
          <w:rFonts w:ascii="仿宋" w:hAnsi="仿宋" w:eastAsia="仿宋"/>
          <w:sz w:val="32"/>
          <w:szCs w:val="32"/>
        </w:rPr>
      </w:pPr>
      <w:r>
        <w:rPr>
          <w:rFonts w:hint="eastAsia" w:ascii="仿宋" w:hAnsi="仿宋" w:eastAsia="仿宋"/>
          <w:sz w:val="32"/>
          <w:szCs w:val="32"/>
        </w:rPr>
        <w:t>绩效评价工作过程主要分为评价准备、实施、总结三个阶段。</w:t>
      </w:r>
    </w:p>
    <w:p>
      <w:pPr>
        <w:spacing w:line="5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.评价准备阶段</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（1）成立绩效评价工作组。202</w:t>
      </w:r>
      <w:r>
        <w:rPr>
          <w:rFonts w:ascii="仿宋" w:hAnsi="仿宋" w:eastAsia="仿宋"/>
          <w:sz w:val="32"/>
          <w:szCs w:val="32"/>
        </w:rPr>
        <w:t>3</w:t>
      </w:r>
      <w:r>
        <w:rPr>
          <w:rFonts w:hint="eastAsia" w:ascii="仿宋" w:hAnsi="仿宋" w:eastAsia="仿宋"/>
          <w:sz w:val="32"/>
          <w:szCs w:val="32"/>
        </w:rPr>
        <w:t>年5月</w:t>
      </w:r>
      <w:r>
        <w:rPr>
          <w:rFonts w:ascii="仿宋" w:hAnsi="仿宋" w:eastAsia="仿宋"/>
          <w:sz w:val="32"/>
          <w:szCs w:val="32"/>
        </w:rPr>
        <w:t>12</w:t>
      </w:r>
      <w:r>
        <w:rPr>
          <w:rFonts w:hint="eastAsia" w:ascii="仿宋" w:hAnsi="仿宋" w:eastAsia="仿宋"/>
          <w:sz w:val="32"/>
          <w:szCs w:val="32"/>
        </w:rPr>
        <w:t>日，成立项目绩效评价工作组，对该项目进行绩效评价。评价工作组成员3人，设组长1名，组员2名，明确了评价工作组各成员的职责及绩效评价工作要求，确保绩效评价工作的有序开展。</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（2）制定工作方案，明确时间进度要求。评价工作组根据取得的首批资料了解项目基本情况，认真研究制定绩效评价工作方案，确定评价思路，明确责任主体、具体工作内容和进度安排等事项。</w:t>
      </w:r>
    </w:p>
    <w:p>
      <w:pPr>
        <w:spacing w:line="50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.评价实施阶段</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收集整理资料。评价工作组于2022年5月1</w:t>
      </w:r>
      <w:r>
        <w:rPr>
          <w:rFonts w:ascii="仿宋" w:hAnsi="仿宋" w:eastAsia="仿宋"/>
          <w:sz w:val="32"/>
          <w:szCs w:val="32"/>
        </w:rPr>
        <w:t>9</w:t>
      </w:r>
      <w:r>
        <w:rPr>
          <w:rFonts w:hint="eastAsia" w:ascii="仿宋" w:hAnsi="仿宋" w:eastAsia="仿宋"/>
          <w:sz w:val="32"/>
          <w:szCs w:val="32"/>
        </w:rPr>
        <w:t>日前收取了项目的首批资料，对资料进行核实、整理，形成工作底稿。将补充资料意见反馈给区法院。</w:t>
      </w:r>
    </w:p>
    <w:p>
      <w:pPr>
        <w:spacing w:line="500" w:lineRule="exac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.评价总结阶段</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（1）撰写评价报告。评价工作组汇总项目情况，完成项目绩效评价报告初稿。</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（2）沟通初步评价意见。绩效评价报告初稿完成后，评价工作组就报告中所反映的问题与区法院进行沟通。</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（3）完成正式绩效评价报告。评价工作组在区法院反馈意见的基础上，对报告内容进行完善，完成正式绩效评价报告。</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（4）报送绩效评价报告。评价工作组将定稿并装订成册的绩效评价报告报送给区法院。</w:t>
      </w:r>
    </w:p>
    <w:p>
      <w:pPr>
        <w:pStyle w:val="3"/>
        <w:tabs>
          <w:tab w:val="left" w:pos="588"/>
        </w:tabs>
        <w:spacing w:before="0" w:after="0" w:line="500" w:lineRule="exact"/>
        <w:ind w:firstLine="640" w:firstLineChars="200"/>
        <w:rPr>
          <w:rFonts w:ascii="黑体" w:hAnsi="黑体" w:eastAsia="黑体" w:cs="Times New Roman"/>
          <w:b w:val="0"/>
          <w:bCs w:val="0"/>
        </w:rPr>
      </w:pPr>
      <w:bookmarkStart w:id="25" w:name="_Toc135944573"/>
      <w:r>
        <w:rPr>
          <w:rFonts w:hint="eastAsia" w:ascii="黑体" w:hAnsi="黑体" w:eastAsia="黑体" w:cs="Times New Roman"/>
          <w:b w:val="0"/>
          <w:bCs w:val="0"/>
        </w:rPr>
        <w:t>三、</w:t>
      </w:r>
      <w:bookmarkStart w:id="26" w:name="_Toc485728078"/>
      <w:bookmarkStart w:id="27" w:name="_Toc428415217"/>
      <w:bookmarkStart w:id="28" w:name="_Toc5062"/>
      <w:bookmarkStart w:id="29" w:name="_Toc425537584"/>
      <w:bookmarkStart w:id="30" w:name="_Toc428524870"/>
      <w:bookmarkStart w:id="31" w:name="_Toc428414992"/>
      <w:r>
        <w:rPr>
          <w:rFonts w:hint="eastAsia" w:ascii="黑体" w:hAnsi="黑体" w:eastAsia="黑体" w:cs="Times New Roman"/>
          <w:b w:val="0"/>
          <w:bCs w:val="0"/>
        </w:rPr>
        <w:t>综合评价情况及评价结论</w:t>
      </w:r>
      <w:bookmarkEnd w:id="25"/>
    </w:p>
    <w:p>
      <w:pPr>
        <w:spacing w:line="500" w:lineRule="exact"/>
        <w:ind w:firstLine="566" w:firstLineChars="177"/>
        <w:rPr>
          <w:rFonts w:ascii="仿宋" w:hAnsi="仿宋" w:eastAsia="仿宋"/>
          <w:sz w:val="32"/>
          <w:szCs w:val="32"/>
        </w:rPr>
      </w:pPr>
      <w:r>
        <w:rPr>
          <w:rFonts w:hint="eastAsia" w:ascii="仿宋" w:hAnsi="仿宋" w:eastAsia="仿宋"/>
          <w:sz w:val="32"/>
          <w:szCs w:val="32"/>
        </w:rPr>
        <w:t>经评价，该项目得分9</w:t>
      </w:r>
      <w:r>
        <w:rPr>
          <w:rFonts w:ascii="仿宋" w:hAnsi="仿宋" w:eastAsia="仿宋"/>
          <w:sz w:val="32"/>
          <w:szCs w:val="32"/>
        </w:rPr>
        <w:t>0</w:t>
      </w:r>
      <w:r>
        <w:rPr>
          <w:rFonts w:hint="eastAsia" w:ascii="仿宋" w:hAnsi="仿宋" w:eastAsia="仿宋"/>
          <w:sz w:val="32"/>
          <w:szCs w:val="32"/>
        </w:rPr>
        <w:t>.</w:t>
      </w:r>
      <w:r>
        <w:rPr>
          <w:rFonts w:ascii="仿宋" w:hAnsi="仿宋" w:eastAsia="仿宋"/>
          <w:sz w:val="32"/>
          <w:szCs w:val="32"/>
        </w:rPr>
        <w:t>25</w:t>
      </w:r>
      <w:r>
        <w:rPr>
          <w:rFonts w:hint="eastAsia" w:ascii="仿宋" w:hAnsi="仿宋" w:eastAsia="仿宋"/>
          <w:sz w:val="32"/>
          <w:szCs w:val="32"/>
        </w:rPr>
        <w:t>分，其中：项目决策得分1</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75</w:t>
      </w:r>
      <w:r>
        <w:rPr>
          <w:rFonts w:hint="eastAsia" w:ascii="仿宋" w:hAnsi="仿宋" w:eastAsia="仿宋"/>
          <w:sz w:val="32"/>
          <w:szCs w:val="32"/>
        </w:rPr>
        <w:t>分、项目过程得分1</w:t>
      </w:r>
      <w:r>
        <w:rPr>
          <w:rFonts w:ascii="仿宋" w:hAnsi="仿宋" w:eastAsia="仿宋"/>
          <w:sz w:val="32"/>
          <w:szCs w:val="32"/>
        </w:rPr>
        <w:t>9</w:t>
      </w:r>
      <w:r>
        <w:rPr>
          <w:rFonts w:hint="eastAsia" w:ascii="仿宋" w:hAnsi="仿宋" w:eastAsia="仿宋"/>
          <w:sz w:val="32"/>
          <w:szCs w:val="32"/>
        </w:rPr>
        <w:t>.</w:t>
      </w:r>
      <w:r>
        <w:rPr>
          <w:rFonts w:ascii="仿宋" w:hAnsi="仿宋" w:eastAsia="仿宋"/>
          <w:sz w:val="32"/>
          <w:szCs w:val="32"/>
        </w:rPr>
        <w:t>0</w:t>
      </w:r>
      <w:r>
        <w:rPr>
          <w:rFonts w:hint="eastAsia" w:ascii="仿宋" w:hAnsi="仿宋" w:eastAsia="仿宋"/>
          <w:sz w:val="32"/>
          <w:szCs w:val="32"/>
        </w:rPr>
        <w:t>0分、项目产出得分3</w:t>
      </w:r>
      <w:r>
        <w:rPr>
          <w:rFonts w:ascii="仿宋" w:hAnsi="仿宋" w:eastAsia="仿宋"/>
          <w:sz w:val="32"/>
          <w:szCs w:val="32"/>
        </w:rPr>
        <w:t>7</w:t>
      </w:r>
      <w:r>
        <w:rPr>
          <w:rFonts w:hint="eastAsia" w:ascii="仿宋" w:hAnsi="仿宋" w:eastAsia="仿宋"/>
          <w:sz w:val="32"/>
          <w:szCs w:val="32"/>
        </w:rPr>
        <w:t>.00分、项目效益得分21.50分,评价绩效级别评定为“优”。</w:t>
      </w:r>
    </w:p>
    <w:tbl>
      <w:tblPr>
        <w:tblStyle w:val="13"/>
        <w:tblW w:w="8314" w:type="dxa"/>
        <w:tblInd w:w="113" w:type="dxa"/>
        <w:tblLayout w:type="autofit"/>
        <w:tblCellMar>
          <w:top w:w="0" w:type="dxa"/>
          <w:left w:w="108" w:type="dxa"/>
          <w:bottom w:w="0" w:type="dxa"/>
          <w:right w:w="108" w:type="dxa"/>
        </w:tblCellMar>
      </w:tblPr>
      <w:tblGrid>
        <w:gridCol w:w="1129"/>
        <w:gridCol w:w="1120"/>
        <w:gridCol w:w="4080"/>
        <w:gridCol w:w="1045"/>
        <w:gridCol w:w="940"/>
      </w:tblGrid>
      <w:tr>
        <w:tblPrEx>
          <w:tblCellMar>
            <w:top w:w="0" w:type="dxa"/>
            <w:left w:w="108" w:type="dxa"/>
            <w:bottom w:w="0" w:type="dxa"/>
            <w:right w:w="108" w:type="dxa"/>
          </w:tblCellMar>
        </w:tblPrEx>
        <w:trPr>
          <w:trHeight w:val="520" w:hRule="atLeast"/>
        </w:trPr>
        <w:tc>
          <w:tcPr>
            <w:tcW w:w="112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40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0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分值</w:t>
            </w:r>
          </w:p>
        </w:tc>
        <w:tc>
          <w:tcPr>
            <w:tcW w:w="9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 xml:space="preserve"> 评分 </w:t>
            </w:r>
          </w:p>
        </w:tc>
      </w:tr>
      <w:tr>
        <w:tblPrEx>
          <w:tblCellMar>
            <w:top w:w="0" w:type="dxa"/>
            <w:left w:w="108" w:type="dxa"/>
            <w:bottom w:w="0" w:type="dxa"/>
            <w:right w:w="108" w:type="dxa"/>
          </w:tblCellMar>
        </w:tblPrEx>
        <w:trPr>
          <w:trHeight w:val="640" w:hRule="atLeast"/>
        </w:trPr>
        <w:tc>
          <w:tcPr>
            <w:tcW w:w="112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项目决策</w:t>
            </w:r>
          </w:p>
        </w:tc>
        <w:tc>
          <w:tcPr>
            <w:tcW w:w="1120" w:type="dxa"/>
            <w:vMerge w:val="restart"/>
            <w:tcBorders>
              <w:top w:val="nil"/>
              <w:left w:val="single" w:color="auto" w:sz="4" w:space="0"/>
              <w:bottom w:val="nil"/>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项目立项</w:t>
            </w:r>
          </w:p>
        </w:tc>
        <w:tc>
          <w:tcPr>
            <w:tcW w:w="4080" w:type="dxa"/>
            <w:tcBorders>
              <w:top w:val="nil"/>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项目的申报、审批程序是否符合相关管理办法的规定</w:t>
            </w:r>
          </w:p>
        </w:tc>
        <w:tc>
          <w:tcPr>
            <w:tcW w:w="1045"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2.25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项目决策程序是否完整，是否执行了审批程序且留痕，是否进行内部上会动议</w:t>
            </w:r>
          </w:p>
        </w:tc>
        <w:tc>
          <w:tcPr>
            <w:tcW w:w="1045"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restart"/>
            <w:tcBorders>
              <w:top w:val="single" w:color="auto" w:sz="4" w:space="0"/>
              <w:left w:val="single" w:color="auto" w:sz="4" w:space="0"/>
              <w:bottom w:val="nil"/>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绩效目标</w:t>
            </w: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绩效目标是否清晰明确，有明确的工作目标结果导向</w:t>
            </w:r>
          </w:p>
        </w:tc>
        <w:tc>
          <w:tcPr>
            <w:tcW w:w="1045"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绩效指标是否细化、量化、全面、具体可衡量</w:t>
            </w:r>
          </w:p>
        </w:tc>
        <w:tc>
          <w:tcPr>
            <w:tcW w:w="1045"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资金投入</w:t>
            </w: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预算编制的依据是否充分，测算依据及测算标准是否科学、合理，是否做预算评审</w:t>
            </w:r>
          </w:p>
        </w:tc>
        <w:tc>
          <w:tcPr>
            <w:tcW w:w="10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预算执行是否与预算编制一致</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项目过程</w:t>
            </w:r>
          </w:p>
        </w:tc>
        <w:tc>
          <w:tcPr>
            <w:tcW w:w="11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资金管理</w:t>
            </w:r>
          </w:p>
        </w:tc>
        <w:tc>
          <w:tcPr>
            <w:tcW w:w="408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项目资金是否足额到位</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项目资金是否及时到位</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资金支出是否按预算执行</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restart"/>
            <w:tcBorders>
              <w:top w:val="nil"/>
              <w:left w:val="single" w:color="auto" w:sz="4" w:space="0"/>
              <w:bottom w:val="nil"/>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组织实施</w:t>
            </w:r>
          </w:p>
        </w:tc>
        <w:tc>
          <w:tcPr>
            <w:tcW w:w="4080" w:type="dxa"/>
            <w:tcBorders>
              <w:top w:val="nil"/>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财务管理制度是否健全、有效</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会计核算是否规范、准确，会计资料是否真实、完整</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项目管理制度是否健全</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是否在预算执行前就制定完整、可行的实施方案或实施计划</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2.50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项目是否严格执行实施方案和计划，是否按实施方案建立了完整的监督检查程序并执行</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救助人员的选取及救助标准是否制定并采取相关程序</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20"/>
                <w:szCs w:val="20"/>
              </w:rPr>
            </w:pPr>
          </w:p>
        </w:tc>
        <w:tc>
          <w:tcPr>
            <w:tcW w:w="4080" w:type="dxa"/>
            <w:tcBorders>
              <w:top w:val="single" w:color="auto" w:sz="4" w:space="0"/>
              <w:left w:val="nil"/>
              <w:bottom w:val="nil"/>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结案是否有相关分析总结</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r>
      <w:tr>
        <w:tblPrEx>
          <w:tblCellMar>
            <w:top w:w="0" w:type="dxa"/>
            <w:left w:w="108" w:type="dxa"/>
            <w:bottom w:w="0" w:type="dxa"/>
            <w:right w:w="108" w:type="dxa"/>
          </w:tblCellMar>
        </w:tblPrEx>
        <w:trPr>
          <w:trHeight w:val="640" w:hRule="atLeast"/>
        </w:trPr>
        <w:tc>
          <w:tcPr>
            <w:tcW w:w="112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项目绩效</w:t>
            </w:r>
          </w:p>
        </w:tc>
        <w:tc>
          <w:tcPr>
            <w:tcW w:w="11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项目产出</w:t>
            </w:r>
          </w:p>
        </w:tc>
        <w:tc>
          <w:tcPr>
            <w:tcW w:w="408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项目实际产出数量是否达到项目申报产出数量指标</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项目是否按区法院要求确保被救助人解决实际生活困难，息诉罢访</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司法救助案件审理期限是否超过10个工作日,资金支付时间是否均衡</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7.00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项目资金的使用是否符合成本效益原则。</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项目效益</w:t>
            </w: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该项目是否帮助救助对象摆脱生活困境，预防因生活困难引发的社会矛盾</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10.00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该项目是否对司法救助对象施加持续性影响，消除司法救助对象再次上访意愿</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8.00 </w:t>
            </w:r>
          </w:p>
        </w:tc>
      </w:tr>
      <w:tr>
        <w:tblPrEx>
          <w:tblCellMar>
            <w:top w:w="0" w:type="dxa"/>
            <w:left w:w="108" w:type="dxa"/>
            <w:bottom w:w="0" w:type="dxa"/>
            <w:right w:w="108" w:type="dxa"/>
          </w:tblCellMar>
        </w:tblPrEx>
        <w:trPr>
          <w:trHeight w:val="640" w:hRule="atLeast"/>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救助后，当事人是否确保息诉罢访</w:t>
            </w:r>
          </w:p>
        </w:tc>
        <w:tc>
          <w:tcPr>
            <w:tcW w:w="1045"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9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3.50 </w:t>
            </w:r>
          </w:p>
        </w:tc>
      </w:tr>
      <w:tr>
        <w:tblPrEx>
          <w:tblCellMar>
            <w:top w:w="0" w:type="dxa"/>
            <w:left w:w="108" w:type="dxa"/>
            <w:bottom w:w="0" w:type="dxa"/>
            <w:right w:w="108" w:type="dxa"/>
          </w:tblCellMar>
        </w:tblPrEx>
        <w:trPr>
          <w:trHeight w:val="280" w:hRule="atLeast"/>
        </w:trPr>
        <w:tc>
          <w:tcPr>
            <w:tcW w:w="632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tc>
        <w:tc>
          <w:tcPr>
            <w:tcW w:w="1045"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100</w:t>
            </w:r>
          </w:p>
        </w:tc>
        <w:tc>
          <w:tcPr>
            <w:tcW w:w="94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 xml:space="preserve">90.25 </w:t>
            </w:r>
          </w:p>
        </w:tc>
      </w:tr>
    </w:tbl>
    <w:p>
      <w:pPr>
        <w:pStyle w:val="3"/>
        <w:tabs>
          <w:tab w:val="left" w:pos="588"/>
        </w:tabs>
        <w:spacing w:before="0" w:after="0" w:line="500" w:lineRule="exact"/>
        <w:ind w:firstLine="640" w:firstLineChars="200"/>
        <w:rPr>
          <w:rFonts w:ascii="黑体" w:hAnsi="黑体" w:eastAsia="黑体" w:cs="Times New Roman"/>
          <w:b w:val="0"/>
          <w:bCs w:val="0"/>
        </w:rPr>
      </w:pPr>
      <w:bookmarkStart w:id="32" w:name="_Toc135944574"/>
      <w:r>
        <w:rPr>
          <w:rFonts w:hint="eastAsia" w:ascii="黑体" w:hAnsi="黑体" w:eastAsia="黑体" w:cs="Times New Roman"/>
          <w:b w:val="0"/>
          <w:bCs w:val="0"/>
        </w:rPr>
        <w:t>四、绩效评价指标分析</w:t>
      </w:r>
      <w:bookmarkEnd w:id="32"/>
    </w:p>
    <w:p>
      <w:pPr>
        <w:widowControl/>
        <w:spacing w:line="560" w:lineRule="exact"/>
        <w:ind w:firstLine="640" w:firstLineChars="200"/>
        <w:outlineLvl w:val="1"/>
        <w:rPr>
          <w:rFonts w:ascii="楷体_GB2312" w:hAnsi="Arial" w:eastAsia="楷体_GB2312" w:cs="Arial"/>
          <w:bCs/>
          <w:sz w:val="32"/>
          <w:szCs w:val="32"/>
        </w:rPr>
      </w:pPr>
      <w:bookmarkStart w:id="33" w:name="_Toc135944575"/>
      <w:r>
        <w:rPr>
          <w:rFonts w:hint="eastAsia" w:ascii="楷体_GB2312" w:hAnsi="Arial" w:eastAsia="楷体_GB2312" w:cs="Arial"/>
          <w:bCs/>
          <w:sz w:val="32"/>
          <w:szCs w:val="32"/>
        </w:rPr>
        <w:t>（一）项目决策情况</w:t>
      </w:r>
      <w:bookmarkEnd w:id="33"/>
    </w:p>
    <w:p>
      <w:pPr>
        <w:spacing w:line="500" w:lineRule="exact"/>
        <w:ind w:firstLine="640" w:firstLineChars="200"/>
        <w:rPr>
          <w:rFonts w:ascii="仿宋" w:hAnsi="仿宋" w:eastAsia="仿宋"/>
          <w:sz w:val="32"/>
          <w:szCs w:val="32"/>
        </w:rPr>
      </w:pPr>
      <w:r>
        <w:rPr>
          <w:rFonts w:hint="eastAsia" w:ascii="仿宋" w:hAnsi="仿宋" w:eastAsia="仿宋"/>
          <w:sz w:val="32"/>
          <w:szCs w:val="32"/>
        </w:rPr>
        <w:t>1.立项依据充分性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该项目立项依据充分，符合国家法律法规、国民经济发展规划，符合行业发展规划和政策要求，与区法院部门职责范围相符，属于部门履职所需，属于公共财政支持范围，符合中央、地方事权支出责任划分原则。</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2.立项程序规范性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该项目按照规定的程序申请设立，项目申报资料符合相关要求，作为延续性项目，在立项前未通过可行性研究、专家论证、风险评估、绩效评估等，对立项进行重新分析和进一步的论证。</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3.绩效目标合理性、明确性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该项目年度目标设立依据充分，符合该项目客观实际，工作目标结果导向比较清晰。该项目设定的数量指标、成本指标、时效指标清晰、细化、可衡量，具有较强的可操作性和可实现性，</w:t>
      </w:r>
      <w:bookmarkStart w:id="34" w:name="_Hlk135932066"/>
      <w:r>
        <w:rPr>
          <w:rFonts w:hint="eastAsia" w:ascii="仿宋" w:hAnsi="仿宋" w:eastAsia="仿宋"/>
          <w:sz w:val="32"/>
          <w:szCs w:val="32"/>
        </w:rPr>
        <w:t>但成本指标没有体现综合单位成本指标，效益指标未设置经济效益指标、社会效益指标等，满意度指标过于简单，缺乏可衡量性。</w:t>
      </w:r>
      <w:bookmarkEnd w:id="34"/>
    </w:p>
    <w:p>
      <w:pPr>
        <w:spacing w:line="500" w:lineRule="exact"/>
        <w:ind w:firstLine="640" w:firstLineChars="200"/>
        <w:rPr>
          <w:rFonts w:ascii="仿宋" w:hAnsi="仿宋" w:eastAsia="仿宋"/>
          <w:sz w:val="32"/>
          <w:szCs w:val="32"/>
        </w:rPr>
      </w:pPr>
      <w:r>
        <w:rPr>
          <w:rFonts w:hint="eastAsia" w:ascii="仿宋" w:hAnsi="仿宋" w:eastAsia="仿宋"/>
          <w:sz w:val="32"/>
          <w:szCs w:val="32"/>
        </w:rPr>
        <w:t>4.预算编制科学性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该项目预算金额</w:t>
      </w:r>
      <w:r>
        <w:rPr>
          <w:rFonts w:ascii="仿宋" w:hAnsi="仿宋" w:eastAsia="仿宋"/>
          <w:sz w:val="32"/>
          <w:szCs w:val="32"/>
        </w:rPr>
        <w:t>96</w:t>
      </w:r>
      <w:r>
        <w:rPr>
          <w:rFonts w:hint="eastAsia" w:ascii="仿宋" w:hAnsi="仿宋" w:eastAsia="仿宋"/>
          <w:sz w:val="32"/>
          <w:szCs w:val="32"/>
        </w:rPr>
        <w:t>.00万元，预算内容与项目内容相匹配；预算确定的项目投资额或资金量与区法院工作任务相匹配，但</w:t>
      </w:r>
      <w:bookmarkStart w:id="35" w:name="_Hlk135932383"/>
      <w:r>
        <w:rPr>
          <w:rFonts w:hint="eastAsia" w:ascii="仿宋" w:hAnsi="仿宋" w:eastAsia="仿宋"/>
          <w:sz w:val="32"/>
          <w:szCs w:val="32"/>
        </w:rPr>
        <w:t>预算测算和编制过程呈现不够清晰。</w:t>
      </w:r>
      <w:bookmarkEnd w:id="35"/>
    </w:p>
    <w:p>
      <w:pPr>
        <w:spacing w:line="500" w:lineRule="exact"/>
        <w:ind w:firstLine="640" w:firstLineChars="200"/>
        <w:rPr>
          <w:rFonts w:ascii="仿宋" w:hAnsi="仿宋" w:eastAsia="仿宋"/>
          <w:sz w:val="32"/>
          <w:szCs w:val="32"/>
        </w:rPr>
      </w:pPr>
      <w:r>
        <w:rPr>
          <w:rFonts w:hint="eastAsia" w:ascii="仿宋" w:hAnsi="仿宋" w:eastAsia="仿宋"/>
          <w:sz w:val="32"/>
          <w:szCs w:val="32"/>
        </w:rPr>
        <w:t>5.资金分配合理性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资金能够按照区法院司法救助金项目的实际需求进行分配，区法院根据《北京法院国家司法救助案件办理工作指引（试行）》、《北京市大兴区人民法院国家司法救助制度实施细则(修订版)》等文件确定司法救助金额，项目资金分配额度较为合理。</w:t>
      </w:r>
    </w:p>
    <w:p>
      <w:pPr>
        <w:widowControl/>
        <w:spacing w:line="560" w:lineRule="exact"/>
        <w:ind w:firstLine="640" w:firstLineChars="200"/>
        <w:outlineLvl w:val="1"/>
        <w:rPr>
          <w:rFonts w:ascii="楷体_GB2312" w:hAnsi="Arial" w:eastAsia="楷体_GB2312" w:cs="Arial"/>
          <w:bCs/>
          <w:sz w:val="32"/>
          <w:szCs w:val="32"/>
        </w:rPr>
      </w:pPr>
      <w:bookmarkStart w:id="36" w:name="_Toc135944576"/>
      <w:r>
        <w:rPr>
          <w:rFonts w:hint="eastAsia" w:ascii="楷体_GB2312" w:hAnsi="Arial" w:eastAsia="楷体_GB2312" w:cs="Arial"/>
          <w:bCs/>
          <w:sz w:val="32"/>
          <w:szCs w:val="32"/>
        </w:rPr>
        <w:t>（二）项目过程情况</w:t>
      </w:r>
      <w:bookmarkEnd w:id="36"/>
      <w:bookmarkStart w:id="48" w:name="_GoBack"/>
      <w:bookmarkEnd w:id="48"/>
    </w:p>
    <w:p>
      <w:pPr>
        <w:spacing w:line="500" w:lineRule="exact"/>
        <w:ind w:firstLine="420" w:firstLineChars="200"/>
        <w:rPr>
          <w:rFonts w:ascii="仿宋" w:hAnsi="仿宋" w:eastAsia="仿宋"/>
          <w:sz w:val="32"/>
          <w:szCs w:val="32"/>
        </w:rPr>
      </w:pPr>
      <w:r>
        <w:rPr>
          <w:rFonts w:hint="eastAsia"/>
        </w:rPr>
        <w:t xml:space="preserve"> </w:t>
      </w:r>
      <w:r>
        <w:rPr>
          <w:rFonts w:hint="eastAsia" w:ascii="仿宋_GB2312" w:hAnsi="宋体" w:eastAsia="仿宋_GB2312" w:cs="宋体"/>
          <w:color w:val="000000"/>
          <w:kern w:val="0"/>
          <w:sz w:val="32"/>
          <w:szCs w:val="32"/>
        </w:rPr>
        <w:t xml:space="preserve"> </w:t>
      </w:r>
      <w:r>
        <w:rPr>
          <w:rFonts w:hint="eastAsia" w:ascii="仿宋" w:hAnsi="仿宋" w:eastAsia="仿宋"/>
          <w:sz w:val="32"/>
          <w:szCs w:val="32"/>
        </w:rPr>
        <w:t>1.资金到位率</w:t>
      </w:r>
    </w:p>
    <w:p>
      <w:pPr>
        <w:spacing w:line="500" w:lineRule="exact"/>
        <w:ind w:firstLine="640" w:firstLineChars="200"/>
        <w:rPr>
          <w:rFonts w:ascii="仿宋" w:hAnsi="仿宋" w:eastAsia="仿宋"/>
          <w:sz w:val="32"/>
          <w:szCs w:val="32"/>
        </w:rPr>
      </w:pPr>
      <w:r>
        <w:rPr>
          <w:rFonts w:hint="eastAsia" w:ascii="仿宋" w:hAnsi="仿宋" w:eastAsia="仿宋"/>
          <w:sz w:val="32"/>
          <w:szCs w:val="32"/>
          <w:highlight w:val="none"/>
        </w:rPr>
        <w:t>根据北京市财政局关于批复北京市大兴区人民法院2022年预算的函（京财公检法指〔202</w:t>
      </w:r>
      <w:r>
        <w:rPr>
          <w:rFonts w:hint="default" w:ascii="仿宋" w:hAnsi="仿宋" w:eastAsia="仿宋"/>
          <w:sz w:val="32"/>
          <w:szCs w:val="32"/>
          <w:highlight w:val="none"/>
        </w:rPr>
        <w:t>2</w:t>
      </w:r>
      <w:r>
        <w:rPr>
          <w:rFonts w:hint="eastAsia" w:ascii="仿宋" w:hAnsi="仿宋" w:eastAsia="仿宋"/>
          <w:sz w:val="32"/>
          <w:szCs w:val="32"/>
          <w:highlight w:val="none"/>
        </w:rPr>
        <w:t>〕</w:t>
      </w:r>
      <w:r>
        <w:rPr>
          <w:rFonts w:hint="default" w:ascii="仿宋" w:hAnsi="仿宋" w:eastAsia="仿宋"/>
          <w:sz w:val="32"/>
          <w:szCs w:val="32"/>
          <w:highlight w:val="none"/>
        </w:rPr>
        <w:t>1</w:t>
      </w:r>
      <w:r>
        <w:rPr>
          <w:rFonts w:hint="eastAsia" w:ascii="仿宋" w:hAnsi="仿宋" w:eastAsia="仿宋"/>
          <w:sz w:val="32"/>
          <w:szCs w:val="32"/>
          <w:highlight w:val="none"/>
        </w:rPr>
        <w:t>52号）</w:t>
      </w:r>
      <w:r>
        <w:rPr>
          <w:rFonts w:hint="eastAsia" w:ascii="仿宋" w:hAnsi="仿宋" w:eastAsia="仿宋"/>
          <w:sz w:val="32"/>
          <w:szCs w:val="32"/>
        </w:rPr>
        <w:t>，该项目预算批复1</w:t>
      </w:r>
      <w:r>
        <w:rPr>
          <w:rFonts w:ascii="仿宋" w:hAnsi="仿宋" w:eastAsia="仿宋"/>
          <w:sz w:val="32"/>
          <w:szCs w:val="32"/>
        </w:rPr>
        <w:t>20</w:t>
      </w:r>
      <w:r>
        <w:rPr>
          <w:rFonts w:hint="eastAsia" w:ascii="仿宋" w:hAnsi="仿宋" w:eastAsia="仿宋"/>
          <w:sz w:val="32"/>
          <w:szCs w:val="32"/>
        </w:rPr>
        <w:t>.00万元，2022年3月，财政资金实际到位120.00万元，资金到位率100.00%。</w:t>
      </w:r>
      <w:r>
        <w:rPr>
          <w:rFonts w:ascii="仿宋" w:hAnsi="仿宋" w:eastAsia="仿宋"/>
          <w:sz w:val="32"/>
          <w:szCs w:val="32"/>
        </w:rPr>
        <w:t xml:space="preserve"> </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资金到位率=（实际到位资金/预算资金）×100%。</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2.预算执行率</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2022年3月，该项目财政资金到位120.00万元；2022年9月，市财政核减收回2022年该项目经费24.00万元；该项目实际支出资金96.00万元，预算执行率100.00%。</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预算执行率=（实际支出资金/实际到位资金）×100%。</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3.资金使用合规性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资金使用严格按照《北京市大兴区人民法院财务管理制度》、《北京市大兴区人民法院落实“三重一大”决策制度》、《北京市大兴区人民法院国家司法救助制度实施细则(修订版)》执行，符合国家财经法规和财务管理制度以及有关专项资金管理办法的规定，资金的拨付有完整的审批程序和手续，符合预算批复用途，不存在截留、挤占、挪用、虚列支出等情况。</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4.管理制度健全性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为规范内部管理制度建设，加强财政资金使用，区法院建立了《北京市大兴区人民法院内部控制手册》，制定了《北京市大兴区人民法院财务管理制度》、《北京市大兴区人民法院落实“三重一大”决策制度》等多项管理制度，各项管理制度比较健全。</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5.制度执行有效性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区法院能够遵守相关法律法规和相关管理规定，按照《北京市大兴区人民法院国家司法救助制度实施细则(修订版)》组织实施项目。对拟救助金额超过5万元的案件，区法院依据《北京市大兴区人民法院落实“三重一大”决策制度》，在司法救助委员会作出救助决定后，由司法救助委员会主任委员提请区法院党组讨论决定。相关会计资料准确、完整，符合国家财经法规和财务管理制度以及有关专项资金管理办法的规定。</w:t>
      </w:r>
      <w:bookmarkStart w:id="37" w:name="_Hlk135935050"/>
      <w:r>
        <w:rPr>
          <w:rFonts w:hint="eastAsia" w:ascii="仿宋" w:hAnsi="仿宋" w:eastAsia="仿宋"/>
          <w:sz w:val="32"/>
          <w:szCs w:val="32"/>
        </w:rPr>
        <w:t>但项目过程管理资料欠缺，未及时对项目支出的绩效目标实现程度、项目实施进度、资金支出进度等情况进行汇总、分析、整理。</w:t>
      </w:r>
    </w:p>
    <w:bookmarkEnd w:id="37"/>
    <w:p>
      <w:pPr>
        <w:widowControl/>
        <w:spacing w:line="560" w:lineRule="exact"/>
        <w:ind w:firstLine="640" w:firstLineChars="200"/>
        <w:outlineLvl w:val="1"/>
        <w:rPr>
          <w:rFonts w:ascii="楷体_GB2312" w:hAnsi="Arial" w:eastAsia="楷体_GB2312" w:cs="Arial"/>
          <w:bCs/>
          <w:sz w:val="32"/>
          <w:szCs w:val="32"/>
        </w:rPr>
      </w:pPr>
      <w:bookmarkStart w:id="38" w:name="_Toc135944577"/>
      <w:r>
        <w:rPr>
          <w:rFonts w:hint="eastAsia" w:ascii="楷体_GB2312" w:hAnsi="Arial" w:eastAsia="楷体_GB2312" w:cs="Arial"/>
          <w:bCs/>
          <w:sz w:val="32"/>
          <w:szCs w:val="32"/>
        </w:rPr>
        <w:t>（三）项目产出情况</w:t>
      </w:r>
      <w:bookmarkEnd w:id="38"/>
    </w:p>
    <w:p>
      <w:pPr>
        <w:spacing w:line="500" w:lineRule="exact"/>
        <w:ind w:firstLine="640" w:firstLineChars="200"/>
        <w:rPr>
          <w:rFonts w:ascii="仿宋" w:hAnsi="仿宋" w:eastAsia="仿宋"/>
          <w:sz w:val="32"/>
          <w:szCs w:val="32"/>
        </w:rPr>
      </w:pPr>
      <w:r>
        <w:rPr>
          <w:rFonts w:hint="eastAsia" w:ascii="仿宋" w:hAnsi="仿宋" w:eastAsia="仿宋"/>
          <w:sz w:val="32"/>
          <w:szCs w:val="32"/>
        </w:rPr>
        <w:t>1.产出数量</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2022年计划全年度司法救助案件数不低于6件；区法院2</w:t>
      </w:r>
      <w:r>
        <w:rPr>
          <w:rFonts w:ascii="仿宋" w:hAnsi="仿宋" w:eastAsia="仿宋"/>
          <w:sz w:val="32"/>
          <w:szCs w:val="32"/>
        </w:rPr>
        <w:t>022</w:t>
      </w:r>
      <w:r>
        <w:rPr>
          <w:rFonts w:hint="eastAsia" w:ascii="仿宋" w:hAnsi="仿宋" w:eastAsia="仿宋"/>
          <w:sz w:val="32"/>
          <w:szCs w:val="32"/>
        </w:rPr>
        <w:t>年共受理司法救助案件8件，实际完成率100.00%。</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实际完成率=（实际产出数/计划产出数）×100%。</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2.产出质量</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区法院在审查办理司法救助金案件过程中，积极作为，主动引导当事人所在村镇、街道开展调查取证，积极畅通沟通渠道，耐心倾听群众诉求，持续为群众提供优质法律服务，切实对因案致贫、因案增贫、因案返贫等符合条件的当事人做到应救尽救，同时了解到当事人的实际困难和需求，加强与妇联、民政、残联等部门的联动</w:t>
      </w:r>
      <w:bookmarkStart w:id="39" w:name="_Hlk135935604"/>
      <w:r>
        <w:rPr>
          <w:rFonts w:hint="eastAsia" w:ascii="仿宋" w:hAnsi="仿宋" w:eastAsia="仿宋"/>
          <w:sz w:val="32"/>
          <w:szCs w:val="32"/>
        </w:rPr>
        <w:t>，积极替当事人争取相关政策关照、聘请心理专家开展心理疏导、开展医疗救助、加强教育就业赔偿等</w:t>
      </w:r>
      <w:bookmarkEnd w:id="39"/>
      <w:r>
        <w:rPr>
          <w:rFonts w:hint="eastAsia" w:ascii="仿宋" w:hAnsi="仿宋" w:eastAsia="仿宋"/>
          <w:sz w:val="32"/>
          <w:szCs w:val="32"/>
        </w:rPr>
        <w:t>，形成司法救助与社会救助较好衔接互补，以不同方式为救助对象提供帮助，从根源上解决当事人贫困的源头，确保其“经济有救助、生活有保障”。</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3.产出时效</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年，8个司法救助案件审理期限均不超过10个工作日，已完成产出时效指标。</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4.产出成本</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该项目实际支出在预算范围内，项目资金的使用符合成本效益原则。</w:t>
      </w:r>
    </w:p>
    <w:p>
      <w:pPr>
        <w:widowControl/>
        <w:spacing w:line="560" w:lineRule="exact"/>
        <w:ind w:firstLine="640" w:firstLineChars="200"/>
        <w:outlineLvl w:val="1"/>
        <w:rPr>
          <w:rFonts w:ascii="楷体_GB2312" w:hAnsi="Arial" w:eastAsia="楷体_GB2312" w:cs="Arial"/>
          <w:bCs/>
          <w:sz w:val="32"/>
          <w:szCs w:val="32"/>
        </w:rPr>
      </w:pPr>
      <w:bookmarkStart w:id="40" w:name="_Toc135944578"/>
      <w:r>
        <w:rPr>
          <w:rFonts w:hint="eastAsia" w:ascii="楷体_GB2312" w:hAnsi="Arial" w:eastAsia="楷体_GB2312" w:cs="Arial"/>
          <w:bCs/>
          <w:sz w:val="32"/>
          <w:szCs w:val="32"/>
        </w:rPr>
        <w:t>（四）项目效益情况</w:t>
      </w:r>
      <w:bookmarkEnd w:id="40"/>
    </w:p>
    <w:p>
      <w:pPr>
        <w:spacing w:line="500" w:lineRule="exact"/>
        <w:ind w:firstLine="640" w:firstLineChars="200"/>
        <w:rPr>
          <w:rFonts w:ascii="仿宋" w:hAnsi="仿宋" w:eastAsia="仿宋"/>
          <w:sz w:val="32"/>
          <w:szCs w:val="32"/>
        </w:rPr>
      </w:pPr>
      <w:r>
        <w:rPr>
          <w:rFonts w:hint="eastAsia" w:ascii="仿宋" w:hAnsi="仿宋" w:eastAsia="仿宋"/>
          <w:sz w:val="32"/>
          <w:szCs w:val="32"/>
        </w:rPr>
        <w:t>1.社会效益</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该项目能够切实帮助权利受到侵害，但无力获得有效赔偿的当事人，帮助他们摆脱生活困境，提升生活质量，确保参加庭审活动人员的权力得到有效保障。同时，司法救助是保护弱势群体的重要措施，区法院通过实施该项目，积极推动“弱有所扶”，切实构建维护弱势群体权益的工作格局，有力维护和保障弱势群体的合法权益。司法救助作为改善民生、健全社会保障体系的重要组成部分，是一项“一头牵着百姓疾苦，一头系着司法关怀”的民生工程，在发挥“扶危救困”作用的同时，有效预防了因生活困难引发的社会矛盾。</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2.可持续性影响</w:t>
      </w:r>
    </w:p>
    <w:bookmarkEnd w:id="26"/>
    <w:bookmarkEnd w:id="27"/>
    <w:bookmarkEnd w:id="28"/>
    <w:bookmarkEnd w:id="29"/>
    <w:bookmarkEnd w:id="30"/>
    <w:bookmarkEnd w:id="31"/>
    <w:p>
      <w:pPr>
        <w:spacing w:line="500" w:lineRule="exact"/>
        <w:ind w:firstLine="640" w:firstLineChars="200"/>
        <w:rPr>
          <w:rFonts w:ascii="仿宋" w:hAnsi="仿宋" w:eastAsia="仿宋"/>
          <w:sz w:val="32"/>
          <w:szCs w:val="32"/>
        </w:rPr>
      </w:pPr>
      <w:r>
        <w:rPr>
          <w:rFonts w:hint="eastAsia" w:ascii="仿宋" w:hAnsi="仿宋" w:eastAsia="仿宋"/>
          <w:sz w:val="32"/>
          <w:szCs w:val="32"/>
        </w:rPr>
        <w:t>区法院通过支付救济金、思想疏导、加强宣传教育等工作，对司法救助对象施加持续性影响，消除司法救助对象再次上访意愿，2</w:t>
      </w:r>
      <w:r>
        <w:rPr>
          <w:rFonts w:ascii="仿宋" w:hAnsi="仿宋" w:eastAsia="仿宋"/>
          <w:sz w:val="32"/>
          <w:szCs w:val="32"/>
        </w:rPr>
        <w:t>022</w:t>
      </w:r>
      <w:r>
        <w:rPr>
          <w:rFonts w:hint="eastAsia" w:ascii="仿宋" w:hAnsi="仿宋" w:eastAsia="仿宋"/>
          <w:sz w:val="32"/>
          <w:szCs w:val="32"/>
        </w:rPr>
        <w:t>年，司法救助对象未出现再次上访现象，息诉罢访对社会稳定起到了积极作用和持续影响。</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3.服务对象满意度指标</w:t>
      </w:r>
    </w:p>
    <w:p>
      <w:pPr>
        <w:spacing w:line="500" w:lineRule="exact"/>
        <w:ind w:firstLine="640" w:firstLineChars="200"/>
        <w:rPr>
          <w:rFonts w:ascii="仿宋" w:hAnsi="仿宋" w:eastAsia="仿宋"/>
          <w:sz w:val="32"/>
          <w:szCs w:val="32"/>
        </w:rPr>
      </w:pPr>
      <w:bookmarkStart w:id="41" w:name="_Hlk135935901"/>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年，区法院未针对司法救助对象进行满意度调查，缺少满意度指标完成情况的支撑资料</w:t>
      </w:r>
      <w:bookmarkEnd w:id="41"/>
      <w:r>
        <w:rPr>
          <w:rFonts w:hint="eastAsia" w:ascii="仿宋" w:hAnsi="仿宋" w:eastAsia="仿宋"/>
          <w:sz w:val="32"/>
          <w:szCs w:val="32"/>
        </w:rPr>
        <w:t>。</w:t>
      </w:r>
    </w:p>
    <w:p>
      <w:pPr>
        <w:pStyle w:val="3"/>
        <w:tabs>
          <w:tab w:val="left" w:pos="588"/>
        </w:tabs>
        <w:spacing w:before="0" w:after="0" w:line="500" w:lineRule="exact"/>
        <w:ind w:firstLine="640" w:firstLineChars="200"/>
        <w:rPr>
          <w:rFonts w:ascii="黑体" w:hAnsi="黑体" w:eastAsia="黑体" w:cs="Times New Roman"/>
          <w:b w:val="0"/>
          <w:bCs w:val="0"/>
        </w:rPr>
      </w:pPr>
      <w:bookmarkStart w:id="42" w:name="_Toc135944579"/>
      <w:r>
        <w:rPr>
          <w:rFonts w:hint="eastAsia" w:ascii="黑体" w:hAnsi="黑体" w:eastAsia="黑体" w:cs="Times New Roman"/>
          <w:b w:val="0"/>
          <w:bCs w:val="0"/>
        </w:rPr>
        <w:t>五、主要经验及做法、存在的问题及原因分析</w:t>
      </w:r>
      <w:bookmarkEnd w:id="42"/>
    </w:p>
    <w:p>
      <w:pPr>
        <w:widowControl/>
        <w:spacing w:line="560" w:lineRule="exact"/>
        <w:ind w:firstLine="640" w:firstLineChars="200"/>
        <w:outlineLvl w:val="1"/>
        <w:rPr>
          <w:rFonts w:ascii="楷体_GB2312" w:hAnsi="Arial" w:eastAsia="楷体_GB2312" w:cs="Arial"/>
          <w:bCs/>
          <w:sz w:val="32"/>
          <w:szCs w:val="32"/>
        </w:rPr>
      </w:pPr>
      <w:bookmarkStart w:id="43" w:name="_Toc135944580"/>
      <w:r>
        <w:rPr>
          <w:rFonts w:hint="eastAsia" w:ascii="楷体_GB2312" w:hAnsi="Arial" w:eastAsia="楷体_GB2312" w:cs="Arial"/>
          <w:bCs/>
          <w:sz w:val="32"/>
          <w:szCs w:val="32"/>
        </w:rPr>
        <w:t>（一）主要经验及做法</w:t>
      </w:r>
      <w:bookmarkEnd w:id="43"/>
    </w:p>
    <w:p>
      <w:pPr>
        <w:spacing w:line="5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集体决策，从严规范救助发放。在司法救助案件的审查过程中，坚持“三严三实”原则。严格救助门槛，全面深入调查申请人的家庭经济状态，并实地走访左邻右舍、村委会等基层组织，确保申请人为确实困难的帮扶对象；严查贫困特征，深入了解申请人的生活状态、劳动能力、收入水平、致困原因及其他帮扶情况等，确保为申请人提供确实需要的救助措施，实现精准施策；严核困难程度，在救助金有限的情况下，综合考察申请人的家庭困难程度，决定救助金额及优先救助对象，确保救助金的发放落到实处。在坚持“三严三实”的原则下，认真审核救助条件，集体讨论决定救助金额，司法救助委员会由区法院各庭庭长组成，会议通过集体讨论、民主决策的方式确定最终救助金额，对于救助金额超过5万元的，由司法救助委员会主任提请党组会审议决定。</w:t>
      </w:r>
    </w:p>
    <w:p>
      <w:pPr>
        <w:spacing w:line="50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内外联动，拓宽线索来源渠道。强化内外联动、沟通协调，不断拓宽司法救助线索的来源渠道。对外加强与妇联、民政局、检察院等政府部门的沟通联系，定期走访相关部门，举办座谈会进行救助信息的共享，及时对接信息摸排司法救助案件线索。对内形成司法救助全院“一盘棋”工作格局，搭建以综合审判庭牵头的司法救助工作联络平台，执行团队长、审判团队长等审执部门专责人员为联络员，进行司法救助工作的对接，各承办人在办案中发现司法救助线索，第一时间移送综合审判庭审查办理。</w:t>
      </w:r>
    </w:p>
    <w:p>
      <w:pPr>
        <w:spacing w:line="500" w:lineRule="exac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加强宣传，不断扩大社会认知。通过法院开放日、送法进社区、校园等普法途径，利用新媒体，对司法救助的范围、标准、期限、流程等法律知识进行灵活多样地宣传，不断提高人民群众对国家司法救助制度的认知和了解，让符合条件的当事人主动学法、懂法、维护自身合法权益。制定内部工作流程，统一政策认识，重点明确不符合救助条件的情形、拟救助金额的填报及需要向申请人明确告知的事项，以便执行部门准确识别有救助可能的案件，在执行过程中向当事人宣传救助政策，正确引导当事人提出救助申请。</w:t>
      </w:r>
    </w:p>
    <w:p>
      <w:pPr>
        <w:spacing w:line="500" w:lineRule="exact"/>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用心关爱，传递救助爱心温度。对救助对象进行动态跟踪回访，建立详细的救助台账，后期定期跟进被救助家庭的生产生活、心理恢复等情况，避免“救后返困”、“救后返贫”等情况的出现；着力救助重点人群，着重救助未成年人、建档立卡贫困户、残疾人和退役军人等“四类特殊人群”，开启优先受理、优先审查、优先发放的救助“绿色通道”；因案制定个性化救助发放方式，为防止救助金被一次性挥霍，或者救助人的家属未将救助金用于救助人的治疗，对于后期需要定期治疗的被救助人，按照其治疗周期定期分批次发放救助金，让救助金的使用真正落到实处，传递司法的温度。</w:t>
      </w:r>
    </w:p>
    <w:p>
      <w:pPr>
        <w:widowControl/>
        <w:spacing w:line="560" w:lineRule="exact"/>
        <w:ind w:firstLine="640" w:firstLineChars="200"/>
        <w:outlineLvl w:val="1"/>
        <w:rPr>
          <w:rFonts w:ascii="楷体_GB2312" w:hAnsi="Arial" w:eastAsia="楷体_GB2312" w:cs="Arial"/>
          <w:bCs/>
          <w:sz w:val="32"/>
          <w:szCs w:val="32"/>
        </w:rPr>
      </w:pPr>
      <w:bookmarkStart w:id="44" w:name="_Toc135944581"/>
      <w:r>
        <w:rPr>
          <w:rFonts w:hint="eastAsia" w:ascii="楷体_GB2312" w:hAnsi="Arial" w:eastAsia="楷体_GB2312" w:cs="Arial"/>
          <w:bCs/>
          <w:sz w:val="32"/>
          <w:szCs w:val="32"/>
        </w:rPr>
        <w:t>（二）存在的问题及原因分析</w:t>
      </w:r>
      <w:bookmarkEnd w:id="44"/>
    </w:p>
    <w:p>
      <w:pPr>
        <w:spacing w:line="500" w:lineRule="exact"/>
        <w:ind w:firstLine="640" w:firstLineChars="200"/>
        <w:rPr>
          <w:rFonts w:ascii="仿宋" w:hAnsi="仿宋" w:eastAsia="仿宋"/>
          <w:sz w:val="32"/>
          <w:szCs w:val="32"/>
        </w:rPr>
      </w:pPr>
      <w:r>
        <w:rPr>
          <w:rFonts w:hint="eastAsia" w:ascii="仿宋" w:hAnsi="仿宋" w:eastAsia="仿宋"/>
          <w:sz w:val="32"/>
          <w:szCs w:val="32"/>
        </w:rPr>
        <w:t>1.该项目在立项前，未通过可行性研究、专家论证、风险评估、绩效评估等，对项目的经济性、合理性进行进一步的分析和论证，为绩效目标的科学设置提供参考；项目预算金额的测算和编制过程呈现不够清晰。主要原因为该项目作为延续性项目，对项目事前论证、立项程序规范性准备不足。</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成本指标没有体现综合单位成本指标，效益指标未设置经济效益指标、社会效益指标、可持续影响指标，满意度指标过于简单，缺乏可衡量性。主要原因为绩效目标申报表填报不够细化、科学。</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项目过程管理资料不完整，未及时对项目支出的绩效目标实现程度、项目实施进度、资金支出进度等情况进行汇总、分析、整理。未通过编制项目实施方案，明确职责分工，综合考虑项目实施的各关键环节和风险节点，指导项目具体实施。主要原因为对项目管理细节缺乏重视，对项目过程资料的收集留痕工作不够到位。</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w:t>
      </w:r>
      <w:r>
        <w:rPr>
          <w:rFonts w:hint="eastAsia" w:ascii="仿宋" w:hAnsi="仿宋" w:eastAsia="仿宋"/>
          <w:sz w:val="32"/>
          <w:szCs w:val="32"/>
        </w:rPr>
        <w:t>项目效益呈现不足，社会效益体现不充分，缺少体现帮助被救助对象摆脱生活困境、提升生活质量的资料和数据支撑；未对项目产生的可持续影响进行深入挖掘；缺少对项目成果利用的满意度调查分析。主要原因为缺少项目效益实现情况的资料收集和数据分析，未针对司法救助对象进行满意度调查。</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5</w:t>
      </w:r>
      <w:r>
        <w:rPr>
          <w:rFonts w:ascii="仿宋" w:hAnsi="仿宋" w:eastAsia="仿宋"/>
          <w:sz w:val="32"/>
          <w:szCs w:val="32"/>
        </w:rPr>
        <w:t>.</w:t>
      </w: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w:t>
      </w:r>
      <w:r>
        <w:rPr>
          <w:rFonts w:ascii="仿宋" w:hAnsi="仿宋" w:eastAsia="仿宋"/>
          <w:sz w:val="32"/>
          <w:szCs w:val="32"/>
        </w:rPr>
        <w:t>司法救助</w:t>
      </w:r>
      <w:r>
        <w:rPr>
          <w:rFonts w:hint="eastAsia" w:ascii="仿宋" w:hAnsi="仿宋" w:eastAsia="仿宋"/>
          <w:sz w:val="32"/>
          <w:szCs w:val="32"/>
        </w:rPr>
        <w:t>金集中在下半年发放，6月、7月、8月各发放一笔，1</w:t>
      </w:r>
      <w:r>
        <w:rPr>
          <w:rFonts w:ascii="仿宋" w:hAnsi="仿宋" w:eastAsia="仿宋"/>
          <w:sz w:val="32"/>
          <w:szCs w:val="32"/>
        </w:rPr>
        <w:t>2</w:t>
      </w:r>
      <w:r>
        <w:rPr>
          <w:rFonts w:hint="eastAsia" w:ascii="仿宋" w:hAnsi="仿宋" w:eastAsia="仿宋"/>
          <w:sz w:val="32"/>
          <w:szCs w:val="32"/>
        </w:rPr>
        <w:t>月共发放5笔。主要原因为该项目</w:t>
      </w:r>
      <w:r>
        <w:rPr>
          <w:rFonts w:ascii="仿宋" w:hAnsi="仿宋" w:eastAsia="仿宋"/>
          <w:sz w:val="32"/>
          <w:szCs w:val="32"/>
        </w:rPr>
        <w:t>执行部门报送司法救助常常集中在年末</w:t>
      </w:r>
      <w:r>
        <w:rPr>
          <w:rFonts w:hint="eastAsia" w:ascii="仿宋" w:hAnsi="仿宋" w:eastAsia="仿宋"/>
          <w:sz w:val="32"/>
          <w:szCs w:val="32"/>
        </w:rPr>
        <w:t>。</w:t>
      </w:r>
    </w:p>
    <w:p>
      <w:pPr>
        <w:pStyle w:val="3"/>
        <w:tabs>
          <w:tab w:val="left" w:pos="588"/>
        </w:tabs>
        <w:spacing w:before="0" w:after="0" w:line="500" w:lineRule="exact"/>
        <w:ind w:firstLine="640" w:firstLineChars="200"/>
        <w:rPr>
          <w:rFonts w:ascii="黑体" w:hAnsi="黑体" w:eastAsia="黑体" w:cs="Times New Roman"/>
          <w:b w:val="0"/>
          <w:bCs w:val="0"/>
        </w:rPr>
      </w:pPr>
      <w:bookmarkStart w:id="45" w:name="_Toc135944582"/>
      <w:r>
        <w:rPr>
          <w:rFonts w:hint="eastAsia" w:ascii="黑体" w:hAnsi="黑体" w:eastAsia="黑体" w:cs="Times New Roman"/>
          <w:b w:val="0"/>
          <w:bCs w:val="0"/>
        </w:rPr>
        <w:t>六、有关建议</w:t>
      </w:r>
      <w:bookmarkEnd w:id="45"/>
    </w:p>
    <w:p>
      <w:pPr>
        <w:spacing w:line="5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加强预算管理，对照历史年度项目实际支出再次审核预算投入的科学性与准确性；加强项目事前论证，规范项目立项程序。</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规范填报项目绩效目标申报表，根据项目的内容客观预期项目实施能够达到的效果，科学设置绩效目标，指标应指向明确，尽可能细化、量化，不能量化的绩效指标要具有可考量性，充分发挥绩效目标导向作用。</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重视项目管理的细节，加强项目过程监督和项目过程资料的收集、整理，进一步规范项目执行程序，提高项目管理水平。</w:t>
      </w:r>
    </w:p>
    <w:p>
      <w:pPr>
        <w:spacing w:line="500" w:lineRule="exact"/>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进一步加强绩效管理意识，及时归集项目绩效资料，重视工作成果的反馈，进行满意度调查和分析，提高绩效管理的规范性和有效性。</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w:t>
      </w:r>
      <w:r>
        <w:rPr>
          <w:rFonts w:hint="eastAsia" w:ascii="仿宋" w:hAnsi="仿宋" w:eastAsia="仿宋"/>
          <w:sz w:val="32"/>
          <w:szCs w:val="32"/>
        </w:rPr>
        <w:t>通过定期更新司法救助金使用进度、司法救助案件阶段性总结等，敦促各部门遇到符合司法救助条件的案件时尽快提交相关材料，避免年底扎堆报送。</w:t>
      </w:r>
    </w:p>
    <w:bookmarkEnd w:id="0"/>
    <w:bookmarkEnd w:id="1"/>
    <w:bookmarkEnd w:id="2"/>
    <w:bookmarkEnd w:id="3"/>
    <w:bookmarkEnd w:id="4"/>
    <w:bookmarkEnd w:id="5"/>
    <w:bookmarkEnd w:id="6"/>
    <w:bookmarkEnd w:id="7"/>
    <w:bookmarkEnd w:id="8"/>
    <w:bookmarkEnd w:id="9"/>
    <w:p>
      <w:pPr>
        <w:pStyle w:val="3"/>
        <w:tabs>
          <w:tab w:val="left" w:pos="588"/>
        </w:tabs>
        <w:spacing w:before="0" w:after="0" w:line="500" w:lineRule="exact"/>
        <w:ind w:firstLine="640" w:firstLineChars="200"/>
        <w:rPr>
          <w:rFonts w:ascii="黑体" w:hAnsi="黑体" w:eastAsia="黑体" w:cs="Times New Roman"/>
          <w:b w:val="0"/>
          <w:bCs w:val="0"/>
        </w:rPr>
      </w:pPr>
      <w:bookmarkStart w:id="46" w:name="_Toc135944583"/>
      <w:r>
        <w:rPr>
          <w:rFonts w:hint="eastAsia" w:ascii="黑体" w:hAnsi="黑体" w:eastAsia="黑体" w:cs="Times New Roman"/>
          <w:b w:val="0"/>
          <w:bCs w:val="0"/>
        </w:rPr>
        <w:t>七、其他需要说明的问题</w:t>
      </w:r>
      <w:bookmarkEnd w:id="46"/>
    </w:p>
    <w:p>
      <w:pPr>
        <w:spacing w:line="500" w:lineRule="exact"/>
        <w:ind w:firstLine="640" w:firstLineChars="200"/>
        <w:rPr>
          <w:rFonts w:ascii="仿宋" w:hAnsi="仿宋" w:eastAsia="仿宋"/>
          <w:sz w:val="32"/>
          <w:szCs w:val="32"/>
        </w:rPr>
      </w:pPr>
      <w:r>
        <w:rPr>
          <w:rFonts w:ascii="仿宋" w:hAnsi="仿宋" w:eastAsia="仿宋"/>
          <w:sz w:val="32"/>
          <w:szCs w:val="32"/>
        </w:rPr>
        <w:t>无。</w:t>
      </w:r>
    </w:p>
    <w:p>
      <w:pPr>
        <w:spacing w:line="500" w:lineRule="exact"/>
        <w:ind w:firstLine="640" w:firstLineChars="200"/>
        <w:rPr>
          <w:rFonts w:ascii="仿宋" w:hAnsi="仿宋" w:eastAsia="仿宋"/>
          <w:sz w:val="32"/>
          <w:szCs w:val="32"/>
        </w:rPr>
      </w:pPr>
    </w:p>
    <w:p>
      <w:pPr>
        <w:spacing w:line="500" w:lineRule="exact"/>
        <w:ind w:firstLine="640" w:firstLineChars="200"/>
        <w:rPr>
          <w:rFonts w:ascii="仿宋" w:hAnsi="仿宋" w:eastAsia="仿宋"/>
          <w:sz w:val="32"/>
          <w:szCs w:val="32"/>
        </w:rPr>
      </w:pPr>
      <w:r>
        <w:rPr>
          <w:rFonts w:hint="eastAsia" w:ascii="仿宋" w:hAnsi="仿宋" w:eastAsia="仿宋"/>
          <w:sz w:val="32"/>
          <w:szCs w:val="32"/>
        </w:rPr>
        <w:t>附件：北京市大兴区人民法院“司法救助金”项目绩效评价指标体系及评分表。</w:t>
      </w:r>
    </w:p>
    <w:p>
      <w:pPr>
        <w:snapToGrid w:val="0"/>
        <w:spacing w:line="500" w:lineRule="exact"/>
        <w:ind w:firstLine="560" w:firstLineChars="200"/>
        <w:rPr>
          <w:rFonts w:ascii="仿宋" w:hAnsi="仿宋" w:eastAsia="仿宋" w:cs="仿宋"/>
          <w:sz w:val="28"/>
          <w:szCs w:val="28"/>
        </w:rPr>
      </w:pPr>
    </w:p>
    <w:p>
      <w:pPr>
        <w:spacing w:line="500" w:lineRule="exact"/>
        <w:ind w:firstLine="2880" w:firstLineChars="900"/>
        <w:rPr>
          <w:rFonts w:ascii="仿宋" w:hAnsi="仿宋" w:eastAsia="仿宋"/>
          <w:sz w:val="32"/>
          <w:szCs w:val="32"/>
        </w:rPr>
      </w:pPr>
      <w:r>
        <w:rPr>
          <w:rFonts w:hint="eastAsia" w:ascii="仿宋" w:hAnsi="仿宋" w:eastAsia="仿宋"/>
          <w:sz w:val="32"/>
          <w:szCs w:val="32"/>
        </w:rPr>
        <w:t>北京正衡东亚会计师事务所有限公司</w:t>
      </w:r>
    </w:p>
    <w:p>
      <w:pPr>
        <w:spacing w:line="500" w:lineRule="exact"/>
        <w:ind w:firstLine="3520" w:firstLineChars="1100"/>
        <w:rPr>
          <w:rFonts w:ascii="仿宋" w:hAnsi="仿宋" w:eastAsia="仿宋"/>
          <w:sz w:val="32"/>
          <w:szCs w:val="32"/>
        </w:rPr>
      </w:pPr>
      <w:bookmarkStart w:id="47" w:name="_Hlk135944490"/>
      <w:r>
        <w:rPr>
          <w:rFonts w:hint="eastAsia" w:ascii="仿宋" w:hAnsi="仿宋" w:eastAsia="仿宋"/>
          <w:sz w:val="32"/>
          <w:szCs w:val="32"/>
        </w:rPr>
        <w:t>二○二三年五月二十三日</w:t>
      </w:r>
      <w:bookmarkEnd w:id="47"/>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姚体">
    <w:altName w:val="方正姚体_GBK"/>
    <w:panose1 w:val="02010601030101010101"/>
    <w:charset w:val="86"/>
    <w:family w:val="auto"/>
    <w:pitch w:val="default"/>
    <w:sig w:usb0="00000000" w:usb1="00000000" w:usb2="00000010" w:usb3="00000000" w:csb0="00040000" w:csb1="00000000"/>
  </w:font>
  <w:font w:name="方正姚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方正姚体" w:eastAsia="方正姚体"/>
        <w:color w:val="808080"/>
        <w:sz w:val="21"/>
      </w:rPr>
    </w:pPr>
    <w:r>
      <w:rPr>
        <w:rFonts w:ascii="方正姚体" w:eastAsia="方正姚体"/>
        <w:color w:val="80808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-36195</wp:posOffset>
              </wp:positionV>
              <wp:extent cx="5372100" cy="1905"/>
              <wp:effectExtent l="0" t="0" r="0" b="0"/>
              <wp:wrapNone/>
              <wp:docPr id="3" name="直接连接符 1"/>
              <wp:cNvGraphicFramePr/>
              <a:graphic xmlns:a="http://schemas.openxmlformats.org/drawingml/2006/main">
                <a:graphicData uri="http://schemas.microsoft.com/office/word/2010/wordprocessingShape">
                  <wps:wsp>
                    <wps:cNvCnPr/>
                    <wps:spPr>
                      <a:xfrm>
                        <a:off x="0" y="0"/>
                        <a:ext cx="5372100" cy="19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1" o:spid="_x0000_s1026" o:spt="20" style="position:absolute;left:0pt;margin-left:0pt;margin-top:-2.85pt;height:0.15pt;width:423pt;z-index:251659264;mso-width-relative:page;mso-height-relative:page;" filled="f" stroked="t" coordsize="21600,21600" o:gfxdata="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BWfqgD1QAAAAYBAAAPAAAAAAAAAAEAIAAAADgAAABkcnMvZG93&#10;bnJldi54bWxQSwECFAAUAAAACACHTuJA3MhUA+0BAADbAwAADgAAAAAAAAABACAAAAA6AQAAZHJz&#10;L2Uyb0RvYy54bWxQSwUGAAAAAAYABgBZAQAAmQUAAAAA&#10;">
              <v:fill on="f" focussize="0,0"/>
              <v:stroke color="#000000" joinstyle="round"/>
              <v:imagedata o:title=""/>
              <o:lock v:ext="edit" aspectratio="f"/>
            </v:line>
          </w:pict>
        </mc:Fallback>
      </mc:AlternateContent>
    </w:r>
    <w:r>
      <w:rPr>
        <w:rFonts w:hint="eastAsia" w:ascii="宋体" w:hAnsi="宋体" w:eastAsia="方正姚体"/>
        <w:color w:val="808080"/>
        <w:sz w:val="21"/>
        <w:szCs w:val="21"/>
      </w:rPr>
      <w:t>北京正衡东亚会计师事务所有限公司</w:t>
    </w:r>
    <w:r>
      <w:rPr>
        <w:rFonts w:hint="eastAsia"/>
        <w:color w:val="808080"/>
        <w:sz w:val="21"/>
        <w:szCs w:val="21"/>
      </w:rPr>
      <w:t xml:space="preserve">          </w:t>
    </w:r>
    <w:r>
      <w:rPr>
        <w:color w:val="808080"/>
      </w:rPr>
      <w:fldChar w:fldCharType="begin"/>
    </w:r>
    <w:r>
      <w:rPr>
        <w:rStyle w:val="27"/>
        <w:color w:val="808080"/>
      </w:rPr>
      <w:instrText xml:space="preserve"> PAGE </w:instrText>
    </w:r>
    <w:r>
      <w:rPr>
        <w:color w:val="808080"/>
      </w:rPr>
      <w:fldChar w:fldCharType="separate"/>
    </w:r>
    <w:r>
      <w:rPr>
        <w:rStyle w:val="27"/>
        <w:color w:val="808080"/>
      </w:rPr>
      <w:t>10</w:t>
    </w:r>
    <w:r>
      <w:rPr>
        <w:color w:val="808080"/>
      </w:rPr>
      <w:fldChar w:fldCharType="end"/>
    </w:r>
    <w:r>
      <w:rPr>
        <w:rFonts w:hint="eastAsia"/>
        <w:color w:val="808080"/>
        <w:sz w:val="21"/>
        <w:szCs w:val="21"/>
      </w:rPr>
      <w:t xml:space="preserve">         </w:t>
    </w:r>
  </w:p>
  <w:p>
    <w:pPr>
      <w:pStyle w:val="8"/>
      <w:jc w:val="center"/>
      <w:rPr>
        <w:rFonts w:ascii="宋体" w:hAnsi="宋体"/>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ascii="宋体" w:hAnsi="宋体"/>
        <w:b/>
        <w:bCs/>
      </w:rPr>
    </w:pPr>
    <w:r>
      <w:rPr>
        <w:rFonts w:hint="eastAsia" w:ascii="宋体" w:hAnsi="宋体"/>
      </w:rPr>
      <w:t xml:space="preserve">  </w:t>
    </w:r>
    <w:r>
      <w:rPr>
        <w:rFonts w:hint="eastAsia" w:ascii="宋体" w:hAnsi="宋体"/>
        <w:sz w:val="21"/>
        <w:szCs w:val="21"/>
      </w:rPr>
      <w:t xml:space="preserve">                               北京市大兴区人民法院司法救助金项目绩效评价报告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jYTFjZWQzYzJmNzY2MGRlZmJkMmU1M2UxOTk2MTgifQ=="/>
  </w:docVars>
  <w:rsids>
    <w:rsidRoot w:val="006067B6"/>
    <w:rsid w:val="0000178A"/>
    <w:rsid w:val="0000220A"/>
    <w:rsid w:val="0000435F"/>
    <w:rsid w:val="00004880"/>
    <w:rsid w:val="00004D15"/>
    <w:rsid w:val="0000602C"/>
    <w:rsid w:val="00007C79"/>
    <w:rsid w:val="000100EB"/>
    <w:rsid w:val="00010537"/>
    <w:rsid w:val="00010DDE"/>
    <w:rsid w:val="0001166D"/>
    <w:rsid w:val="00011DEF"/>
    <w:rsid w:val="00023DA8"/>
    <w:rsid w:val="0003213E"/>
    <w:rsid w:val="00037102"/>
    <w:rsid w:val="000415E4"/>
    <w:rsid w:val="00044F4E"/>
    <w:rsid w:val="000457A7"/>
    <w:rsid w:val="00051F92"/>
    <w:rsid w:val="00052315"/>
    <w:rsid w:val="00056A20"/>
    <w:rsid w:val="00056D68"/>
    <w:rsid w:val="00064D29"/>
    <w:rsid w:val="00065A50"/>
    <w:rsid w:val="00070B39"/>
    <w:rsid w:val="0007210B"/>
    <w:rsid w:val="00081614"/>
    <w:rsid w:val="00085E5F"/>
    <w:rsid w:val="00087FB2"/>
    <w:rsid w:val="000B1C93"/>
    <w:rsid w:val="000B2EC5"/>
    <w:rsid w:val="000B64DD"/>
    <w:rsid w:val="000B6B73"/>
    <w:rsid w:val="000B6E46"/>
    <w:rsid w:val="000C12E8"/>
    <w:rsid w:val="000C20AE"/>
    <w:rsid w:val="000C20EC"/>
    <w:rsid w:val="000C46B9"/>
    <w:rsid w:val="000C69B9"/>
    <w:rsid w:val="000C6CD5"/>
    <w:rsid w:val="000D5FD6"/>
    <w:rsid w:val="000E010F"/>
    <w:rsid w:val="000E125A"/>
    <w:rsid w:val="000E5DB9"/>
    <w:rsid w:val="000E6B02"/>
    <w:rsid w:val="000E6DDC"/>
    <w:rsid w:val="000F1088"/>
    <w:rsid w:val="000F3CCF"/>
    <w:rsid w:val="000F4F6F"/>
    <w:rsid w:val="000F5109"/>
    <w:rsid w:val="000F5EDC"/>
    <w:rsid w:val="001161DD"/>
    <w:rsid w:val="0012246F"/>
    <w:rsid w:val="00122A90"/>
    <w:rsid w:val="00125891"/>
    <w:rsid w:val="001266AF"/>
    <w:rsid w:val="0012702E"/>
    <w:rsid w:val="00132673"/>
    <w:rsid w:val="00142684"/>
    <w:rsid w:val="00147241"/>
    <w:rsid w:val="001607E3"/>
    <w:rsid w:val="00175D27"/>
    <w:rsid w:val="00176093"/>
    <w:rsid w:val="001A0FD9"/>
    <w:rsid w:val="001A2B57"/>
    <w:rsid w:val="001A2D83"/>
    <w:rsid w:val="001B3D87"/>
    <w:rsid w:val="001B4AB0"/>
    <w:rsid w:val="001B7452"/>
    <w:rsid w:val="001C0232"/>
    <w:rsid w:val="001D4220"/>
    <w:rsid w:val="001D7F70"/>
    <w:rsid w:val="001E1AC4"/>
    <w:rsid w:val="001E2B6D"/>
    <w:rsid w:val="001E49A4"/>
    <w:rsid w:val="001E6789"/>
    <w:rsid w:val="001F3AC0"/>
    <w:rsid w:val="001F4FD6"/>
    <w:rsid w:val="001F5003"/>
    <w:rsid w:val="001F5148"/>
    <w:rsid w:val="001F7ABA"/>
    <w:rsid w:val="001F7EFF"/>
    <w:rsid w:val="00201150"/>
    <w:rsid w:val="00201B57"/>
    <w:rsid w:val="002026AD"/>
    <w:rsid w:val="00215664"/>
    <w:rsid w:val="002165C5"/>
    <w:rsid w:val="00216E31"/>
    <w:rsid w:val="002177C0"/>
    <w:rsid w:val="00217CE7"/>
    <w:rsid w:val="00223D1C"/>
    <w:rsid w:val="002300C0"/>
    <w:rsid w:val="0023077E"/>
    <w:rsid w:val="00231504"/>
    <w:rsid w:val="0023204E"/>
    <w:rsid w:val="002320AD"/>
    <w:rsid w:val="00234ADF"/>
    <w:rsid w:val="00241BF5"/>
    <w:rsid w:val="00255026"/>
    <w:rsid w:val="002565A9"/>
    <w:rsid w:val="00257263"/>
    <w:rsid w:val="00264D61"/>
    <w:rsid w:val="00266C56"/>
    <w:rsid w:val="002762E1"/>
    <w:rsid w:val="00276B79"/>
    <w:rsid w:val="002801F5"/>
    <w:rsid w:val="00290723"/>
    <w:rsid w:val="00292237"/>
    <w:rsid w:val="002928FC"/>
    <w:rsid w:val="00295C15"/>
    <w:rsid w:val="002A0B6A"/>
    <w:rsid w:val="002A1D43"/>
    <w:rsid w:val="002A30D5"/>
    <w:rsid w:val="002A4578"/>
    <w:rsid w:val="002B0D45"/>
    <w:rsid w:val="002B4D42"/>
    <w:rsid w:val="002C3831"/>
    <w:rsid w:val="002C7879"/>
    <w:rsid w:val="002D5782"/>
    <w:rsid w:val="002E73ED"/>
    <w:rsid w:val="002E7A4B"/>
    <w:rsid w:val="002E7C16"/>
    <w:rsid w:val="002F4590"/>
    <w:rsid w:val="00302D11"/>
    <w:rsid w:val="00313754"/>
    <w:rsid w:val="00315082"/>
    <w:rsid w:val="003223CF"/>
    <w:rsid w:val="00322EC4"/>
    <w:rsid w:val="00327CA0"/>
    <w:rsid w:val="0033697D"/>
    <w:rsid w:val="0034249B"/>
    <w:rsid w:val="003472AA"/>
    <w:rsid w:val="00350B74"/>
    <w:rsid w:val="00350F2A"/>
    <w:rsid w:val="00355BAA"/>
    <w:rsid w:val="00360502"/>
    <w:rsid w:val="003643BF"/>
    <w:rsid w:val="00374827"/>
    <w:rsid w:val="00374FFB"/>
    <w:rsid w:val="00376E0D"/>
    <w:rsid w:val="00381421"/>
    <w:rsid w:val="00392887"/>
    <w:rsid w:val="00396B90"/>
    <w:rsid w:val="003A3F9C"/>
    <w:rsid w:val="003B36F5"/>
    <w:rsid w:val="003C07E4"/>
    <w:rsid w:val="003C0D5E"/>
    <w:rsid w:val="003C2DA3"/>
    <w:rsid w:val="003C4087"/>
    <w:rsid w:val="003D5970"/>
    <w:rsid w:val="003E645A"/>
    <w:rsid w:val="003E6C00"/>
    <w:rsid w:val="003E71E7"/>
    <w:rsid w:val="004070E5"/>
    <w:rsid w:val="0041173F"/>
    <w:rsid w:val="00413339"/>
    <w:rsid w:val="00436DB6"/>
    <w:rsid w:val="00440601"/>
    <w:rsid w:val="00443B3E"/>
    <w:rsid w:val="00444BA4"/>
    <w:rsid w:val="00460EE8"/>
    <w:rsid w:val="00461780"/>
    <w:rsid w:val="00461E48"/>
    <w:rsid w:val="00463CD0"/>
    <w:rsid w:val="00466DFE"/>
    <w:rsid w:val="00494106"/>
    <w:rsid w:val="004959F0"/>
    <w:rsid w:val="00497634"/>
    <w:rsid w:val="004A1344"/>
    <w:rsid w:val="004A305E"/>
    <w:rsid w:val="004B2B60"/>
    <w:rsid w:val="004B2ECF"/>
    <w:rsid w:val="004B394C"/>
    <w:rsid w:val="004C3130"/>
    <w:rsid w:val="004D4067"/>
    <w:rsid w:val="004E16BA"/>
    <w:rsid w:val="004E1926"/>
    <w:rsid w:val="004F02EB"/>
    <w:rsid w:val="004F38B0"/>
    <w:rsid w:val="00503BF8"/>
    <w:rsid w:val="00510D05"/>
    <w:rsid w:val="005115D1"/>
    <w:rsid w:val="0052511E"/>
    <w:rsid w:val="00535094"/>
    <w:rsid w:val="00545471"/>
    <w:rsid w:val="005454AB"/>
    <w:rsid w:val="00546762"/>
    <w:rsid w:val="00550DB7"/>
    <w:rsid w:val="00553945"/>
    <w:rsid w:val="005563E6"/>
    <w:rsid w:val="0056186B"/>
    <w:rsid w:val="00565A5A"/>
    <w:rsid w:val="0057007B"/>
    <w:rsid w:val="00577FCE"/>
    <w:rsid w:val="00583381"/>
    <w:rsid w:val="00583F80"/>
    <w:rsid w:val="005869E8"/>
    <w:rsid w:val="00594D08"/>
    <w:rsid w:val="00596751"/>
    <w:rsid w:val="005A0DFD"/>
    <w:rsid w:val="005A607F"/>
    <w:rsid w:val="005C2B0E"/>
    <w:rsid w:val="005D1034"/>
    <w:rsid w:val="005D38EC"/>
    <w:rsid w:val="005D4C2B"/>
    <w:rsid w:val="005D4F5D"/>
    <w:rsid w:val="005E37FE"/>
    <w:rsid w:val="005E560D"/>
    <w:rsid w:val="005F540C"/>
    <w:rsid w:val="00601FB5"/>
    <w:rsid w:val="006067B6"/>
    <w:rsid w:val="00606AC7"/>
    <w:rsid w:val="00615AFA"/>
    <w:rsid w:val="006262B6"/>
    <w:rsid w:val="00630CF2"/>
    <w:rsid w:val="00631359"/>
    <w:rsid w:val="00637CDA"/>
    <w:rsid w:val="006557EB"/>
    <w:rsid w:val="006638E3"/>
    <w:rsid w:val="00664756"/>
    <w:rsid w:val="00671818"/>
    <w:rsid w:val="0067415B"/>
    <w:rsid w:val="0067544A"/>
    <w:rsid w:val="00681FC8"/>
    <w:rsid w:val="006834EC"/>
    <w:rsid w:val="0068798C"/>
    <w:rsid w:val="0069778C"/>
    <w:rsid w:val="006A3998"/>
    <w:rsid w:val="006A4D38"/>
    <w:rsid w:val="006A59A9"/>
    <w:rsid w:val="006A665C"/>
    <w:rsid w:val="006B2A20"/>
    <w:rsid w:val="006C10FA"/>
    <w:rsid w:val="006C414D"/>
    <w:rsid w:val="006C70CF"/>
    <w:rsid w:val="006C7193"/>
    <w:rsid w:val="006F122B"/>
    <w:rsid w:val="006F4FB8"/>
    <w:rsid w:val="006F6A8C"/>
    <w:rsid w:val="00714B3C"/>
    <w:rsid w:val="007173B2"/>
    <w:rsid w:val="0073368A"/>
    <w:rsid w:val="00733BE9"/>
    <w:rsid w:val="00740359"/>
    <w:rsid w:val="007424DE"/>
    <w:rsid w:val="00750A95"/>
    <w:rsid w:val="00754810"/>
    <w:rsid w:val="00756C13"/>
    <w:rsid w:val="00757EA9"/>
    <w:rsid w:val="007619C2"/>
    <w:rsid w:val="007763D7"/>
    <w:rsid w:val="00776A98"/>
    <w:rsid w:val="007819C9"/>
    <w:rsid w:val="00783B6B"/>
    <w:rsid w:val="00790AF9"/>
    <w:rsid w:val="00793723"/>
    <w:rsid w:val="00797582"/>
    <w:rsid w:val="007A5E3B"/>
    <w:rsid w:val="007A687A"/>
    <w:rsid w:val="007B218A"/>
    <w:rsid w:val="007B3F51"/>
    <w:rsid w:val="007B6A49"/>
    <w:rsid w:val="007C150C"/>
    <w:rsid w:val="007D45EC"/>
    <w:rsid w:val="007D66C2"/>
    <w:rsid w:val="007E6E82"/>
    <w:rsid w:val="007F1EFA"/>
    <w:rsid w:val="0080252A"/>
    <w:rsid w:val="0083337A"/>
    <w:rsid w:val="00834345"/>
    <w:rsid w:val="008468DC"/>
    <w:rsid w:val="008478BA"/>
    <w:rsid w:val="008520B7"/>
    <w:rsid w:val="00852736"/>
    <w:rsid w:val="00856FB2"/>
    <w:rsid w:val="00865176"/>
    <w:rsid w:val="008669AB"/>
    <w:rsid w:val="00867B68"/>
    <w:rsid w:val="008702CA"/>
    <w:rsid w:val="008720C0"/>
    <w:rsid w:val="00872448"/>
    <w:rsid w:val="008736DF"/>
    <w:rsid w:val="0087412D"/>
    <w:rsid w:val="0087685B"/>
    <w:rsid w:val="008929EC"/>
    <w:rsid w:val="0089450A"/>
    <w:rsid w:val="008979EB"/>
    <w:rsid w:val="008B2C0A"/>
    <w:rsid w:val="008B3B7D"/>
    <w:rsid w:val="008B7084"/>
    <w:rsid w:val="008C088B"/>
    <w:rsid w:val="008C50DD"/>
    <w:rsid w:val="008C7CD4"/>
    <w:rsid w:val="008D234B"/>
    <w:rsid w:val="008D2828"/>
    <w:rsid w:val="008D29AF"/>
    <w:rsid w:val="008D7EA6"/>
    <w:rsid w:val="008E159D"/>
    <w:rsid w:val="008E3169"/>
    <w:rsid w:val="008E5E2B"/>
    <w:rsid w:val="008E62F8"/>
    <w:rsid w:val="008F261A"/>
    <w:rsid w:val="008F6438"/>
    <w:rsid w:val="008F7976"/>
    <w:rsid w:val="009008D9"/>
    <w:rsid w:val="009067D9"/>
    <w:rsid w:val="0091407D"/>
    <w:rsid w:val="00914B22"/>
    <w:rsid w:val="009171FD"/>
    <w:rsid w:val="0092084E"/>
    <w:rsid w:val="00925759"/>
    <w:rsid w:val="00926FB1"/>
    <w:rsid w:val="00931E6E"/>
    <w:rsid w:val="00941F8B"/>
    <w:rsid w:val="0095284A"/>
    <w:rsid w:val="00964D18"/>
    <w:rsid w:val="0096591D"/>
    <w:rsid w:val="0097131E"/>
    <w:rsid w:val="0098722B"/>
    <w:rsid w:val="009878DF"/>
    <w:rsid w:val="009946C6"/>
    <w:rsid w:val="009A2DC7"/>
    <w:rsid w:val="009B2068"/>
    <w:rsid w:val="009C0BD2"/>
    <w:rsid w:val="009C5A35"/>
    <w:rsid w:val="009D0145"/>
    <w:rsid w:val="009D215C"/>
    <w:rsid w:val="009D427B"/>
    <w:rsid w:val="009E2D52"/>
    <w:rsid w:val="009E7A02"/>
    <w:rsid w:val="009F22FC"/>
    <w:rsid w:val="009F343E"/>
    <w:rsid w:val="009F604B"/>
    <w:rsid w:val="009F6D21"/>
    <w:rsid w:val="00A00474"/>
    <w:rsid w:val="00A02324"/>
    <w:rsid w:val="00A05B3D"/>
    <w:rsid w:val="00A06405"/>
    <w:rsid w:val="00A1089E"/>
    <w:rsid w:val="00A15F70"/>
    <w:rsid w:val="00A17FE7"/>
    <w:rsid w:val="00A200B0"/>
    <w:rsid w:val="00A334E4"/>
    <w:rsid w:val="00A36D38"/>
    <w:rsid w:val="00A377F4"/>
    <w:rsid w:val="00A40E17"/>
    <w:rsid w:val="00A42948"/>
    <w:rsid w:val="00A45FC7"/>
    <w:rsid w:val="00A51B6C"/>
    <w:rsid w:val="00A5541D"/>
    <w:rsid w:val="00A60241"/>
    <w:rsid w:val="00A663A8"/>
    <w:rsid w:val="00A706DD"/>
    <w:rsid w:val="00A83D5E"/>
    <w:rsid w:val="00A90601"/>
    <w:rsid w:val="00A91AD9"/>
    <w:rsid w:val="00A9506E"/>
    <w:rsid w:val="00AA0D70"/>
    <w:rsid w:val="00AC0603"/>
    <w:rsid w:val="00AC3556"/>
    <w:rsid w:val="00AC743F"/>
    <w:rsid w:val="00AD2F13"/>
    <w:rsid w:val="00AD616A"/>
    <w:rsid w:val="00AE38B3"/>
    <w:rsid w:val="00AE4C8C"/>
    <w:rsid w:val="00AE53BA"/>
    <w:rsid w:val="00AF040E"/>
    <w:rsid w:val="00AF19BA"/>
    <w:rsid w:val="00AF2B6D"/>
    <w:rsid w:val="00AF334A"/>
    <w:rsid w:val="00AF4442"/>
    <w:rsid w:val="00B05719"/>
    <w:rsid w:val="00B14EAF"/>
    <w:rsid w:val="00B1731D"/>
    <w:rsid w:val="00B17C5B"/>
    <w:rsid w:val="00B2314F"/>
    <w:rsid w:val="00B2660D"/>
    <w:rsid w:val="00B27940"/>
    <w:rsid w:val="00B315DA"/>
    <w:rsid w:val="00B33DD7"/>
    <w:rsid w:val="00B34A34"/>
    <w:rsid w:val="00B35B1B"/>
    <w:rsid w:val="00B374AB"/>
    <w:rsid w:val="00B438F3"/>
    <w:rsid w:val="00B47A8B"/>
    <w:rsid w:val="00B57695"/>
    <w:rsid w:val="00B6037E"/>
    <w:rsid w:val="00B87D0B"/>
    <w:rsid w:val="00B916E4"/>
    <w:rsid w:val="00B920DD"/>
    <w:rsid w:val="00B92AB3"/>
    <w:rsid w:val="00B951C7"/>
    <w:rsid w:val="00BA04E3"/>
    <w:rsid w:val="00BA13C7"/>
    <w:rsid w:val="00BA7512"/>
    <w:rsid w:val="00BB7149"/>
    <w:rsid w:val="00BC0C8F"/>
    <w:rsid w:val="00BC249D"/>
    <w:rsid w:val="00BC4221"/>
    <w:rsid w:val="00BC56A4"/>
    <w:rsid w:val="00BD3ACD"/>
    <w:rsid w:val="00BD48F8"/>
    <w:rsid w:val="00BD682B"/>
    <w:rsid w:val="00BE49F6"/>
    <w:rsid w:val="00BF3921"/>
    <w:rsid w:val="00BF71E7"/>
    <w:rsid w:val="00C03747"/>
    <w:rsid w:val="00C03E00"/>
    <w:rsid w:val="00C14916"/>
    <w:rsid w:val="00C14FFE"/>
    <w:rsid w:val="00C240BB"/>
    <w:rsid w:val="00C35EE1"/>
    <w:rsid w:val="00C4371A"/>
    <w:rsid w:val="00C43DEA"/>
    <w:rsid w:val="00C444EE"/>
    <w:rsid w:val="00C45316"/>
    <w:rsid w:val="00C46E8E"/>
    <w:rsid w:val="00C521C6"/>
    <w:rsid w:val="00C528D4"/>
    <w:rsid w:val="00C54659"/>
    <w:rsid w:val="00C56C87"/>
    <w:rsid w:val="00C61ACB"/>
    <w:rsid w:val="00C658D2"/>
    <w:rsid w:val="00C711F1"/>
    <w:rsid w:val="00C71E74"/>
    <w:rsid w:val="00C71EFF"/>
    <w:rsid w:val="00C7298B"/>
    <w:rsid w:val="00C740EB"/>
    <w:rsid w:val="00C75120"/>
    <w:rsid w:val="00C7775A"/>
    <w:rsid w:val="00C82D4B"/>
    <w:rsid w:val="00C879A4"/>
    <w:rsid w:val="00C903FF"/>
    <w:rsid w:val="00C91AC1"/>
    <w:rsid w:val="00C92D4B"/>
    <w:rsid w:val="00C965DC"/>
    <w:rsid w:val="00CB5199"/>
    <w:rsid w:val="00CB6288"/>
    <w:rsid w:val="00CC152C"/>
    <w:rsid w:val="00CE102D"/>
    <w:rsid w:val="00CE140D"/>
    <w:rsid w:val="00CE2476"/>
    <w:rsid w:val="00CE584C"/>
    <w:rsid w:val="00CE5CA3"/>
    <w:rsid w:val="00D00EC5"/>
    <w:rsid w:val="00D117E1"/>
    <w:rsid w:val="00D12D3F"/>
    <w:rsid w:val="00D15322"/>
    <w:rsid w:val="00D27766"/>
    <w:rsid w:val="00D27F04"/>
    <w:rsid w:val="00D613D2"/>
    <w:rsid w:val="00D6171F"/>
    <w:rsid w:val="00D61ECD"/>
    <w:rsid w:val="00D62B9D"/>
    <w:rsid w:val="00D7766A"/>
    <w:rsid w:val="00D85489"/>
    <w:rsid w:val="00D85D02"/>
    <w:rsid w:val="00D949D5"/>
    <w:rsid w:val="00D950A3"/>
    <w:rsid w:val="00DC3D02"/>
    <w:rsid w:val="00DD4D8D"/>
    <w:rsid w:val="00DD66C8"/>
    <w:rsid w:val="00DE3F07"/>
    <w:rsid w:val="00DE7674"/>
    <w:rsid w:val="00DF6C3A"/>
    <w:rsid w:val="00DF7E5E"/>
    <w:rsid w:val="00E04D82"/>
    <w:rsid w:val="00E11130"/>
    <w:rsid w:val="00E16901"/>
    <w:rsid w:val="00E23C3A"/>
    <w:rsid w:val="00E2609F"/>
    <w:rsid w:val="00E27CE8"/>
    <w:rsid w:val="00E34343"/>
    <w:rsid w:val="00E35C67"/>
    <w:rsid w:val="00E35F52"/>
    <w:rsid w:val="00E4178F"/>
    <w:rsid w:val="00E4267C"/>
    <w:rsid w:val="00E4576B"/>
    <w:rsid w:val="00E55811"/>
    <w:rsid w:val="00E57538"/>
    <w:rsid w:val="00E6621E"/>
    <w:rsid w:val="00E710F6"/>
    <w:rsid w:val="00E76DA8"/>
    <w:rsid w:val="00E80D4D"/>
    <w:rsid w:val="00E82FB0"/>
    <w:rsid w:val="00E83EEA"/>
    <w:rsid w:val="00E84E85"/>
    <w:rsid w:val="00E85083"/>
    <w:rsid w:val="00E90C57"/>
    <w:rsid w:val="00E91D51"/>
    <w:rsid w:val="00E9346E"/>
    <w:rsid w:val="00E9481A"/>
    <w:rsid w:val="00E97C33"/>
    <w:rsid w:val="00EA141E"/>
    <w:rsid w:val="00EA5681"/>
    <w:rsid w:val="00EA7489"/>
    <w:rsid w:val="00EB10ED"/>
    <w:rsid w:val="00EB4B89"/>
    <w:rsid w:val="00EB7356"/>
    <w:rsid w:val="00EC3B46"/>
    <w:rsid w:val="00EE48F6"/>
    <w:rsid w:val="00EE4C48"/>
    <w:rsid w:val="00EE67F3"/>
    <w:rsid w:val="00EF39F3"/>
    <w:rsid w:val="00EF54CB"/>
    <w:rsid w:val="00F04225"/>
    <w:rsid w:val="00F05E81"/>
    <w:rsid w:val="00F06889"/>
    <w:rsid w:val="00F10FBE"/>
    <w:rsid w:val="00F1149B"/>
    <w:rsid w:val="00F1289C"/>
    <w:rsid w:val="00F12A19"/>
    <w:rsid w:val="00F13A78"/>
    <w:rsid w:val="00F20810"/>
    <w:rsid w:val="00F211E0"/>
    <w:rsid w:val="00F23D69"/>
    <w:rsid w:val="00F244C9"/>
    <w:rsid w:val="00F34437"/>
    <w:rsid w:val="00F35ABD"/>
    <w:rsid w:val="00F4291D"/>
    <w:rsid w:val="00F453F3"/>
    <w:rsid w:val="00F45C15"/>
    <w:rsid w:val="00F5012C"/>
    <w:rsid w:val="00F621AC"/>
    <w:rsid w:val="00F63F18"/>
    <w:rsid w:val="00F723C4"/>
    <w:rsid w:val="00F73EE5"/>
    <w:rsid w:val="00F80B5C"/>
    <w:rsid w:val="00F83128"/>
    <w:rsid w:val="00F861B2"/>
    <w:rsid w:val="00F86ADF"/>
    <w:rsid w:val="00F94B69"/>
    <w:rsid w:val="00FA07FC"/>
    <w:rsid w:val="00FB0025"/>
    <w:rsid w:val="00FB005D"/>
    <w:rsid w:val="00FC6B0B"/>
    <w:rsid w:val="00FC6E83"/>
    <w:rsid w:val="00FC799E"/>
    <w:rsid w:val="00FC7B05"/>
    <w:rsid w:val="00FD0F6D"/>
    <w:rsid w:val="00FD3A76"/>
    <w:rsid w:val="00FD4651"/>
    <w:rsid w:val="00FE1E14"/>
    <w:rsid w:val="00FF599E"/>
    <w:rsid w:val="03B82C1E"/>
    <w:rsid w:val="03FF059D"/>
    <w:rsid w:val="040469FC"/>
    <w:rsid w:val="0526590B"/>
    <w:rsid w:val="05DB085A"/>
    <w:rsid w:val="0A1943A6"/>
    <w:rsid w:val="0B32197D"/>
    <w:rsid w:val="0B354AFA"/>
    <w:rsid w:val="0F2145C1"/>
    <w:rsid w:val="0F841BAC"/>
    <w:rsid w:val="0FE70939"/>
    <w:rsid w:val="10005F70"/>
    <w:rsid w:val="10B31E73"/>
    <w:rsid w:val="12D70364"/>
    <w:rsid w:val="13225964"/>
    <w:rsid w:val="14564D4D"/>
    <w:rsid w:val="16A460D4"/>
    <w:rsid w:val="1763654B"/>
    <w:rsid w:val="18D421D0"/>
    <w:rsid w:val="1BE0775F"/>
    <w:rsid w:val="1C0402C3"/>
    <w:rsid w:val="1CA041FE"/>
    <w:rsid w:val="1F266C90"/>
    <w:rsid w:val="1FFD3962"/>
    <w:rsid w:val="2117786D"/>
    <w:rsid w:val="233D0FB5"/>
    <w:rsid w:val="23775858"/>
    <w:rsid w:val="23807036"/>
    <w:rsid w:val="24A7123C"/>
    <w:rsid w:val="2912392D"/>
    <w:rsid w:val="2A4B4255"/>
    <w:rsid w:val="2A62489B"/>
    <w:rsid w:val="2B9F4243"/>
    <w:rsid w:val="2C0C773F"/>
    <w:rsid w:val="2CBC2FA7"/>
    <w:rsid w:val="2D7E40C8"/>
    <w:rsid w:val="2E170F5F"/>
    <w:rsid w:val="2E5F4766"/>
    <w:rsid w:val="2FEC4ED7"/>
    <w:rsid w:val="317652D3"/>
    <w:rsid w:val="31CF3663"/>
    <w:rsid w:val="32CB5552"/>
    <w:rsid w:val="33BA3956"/>
    <w:rsid w:val="36BE7656"/>
    <w:rsid w:val="36C615E9"/>
    <w:rsid w:val="37B35056"/>
    <w:rsid w:val="37D01583"/>
    <w:rsid w:val="38C03809"/>
    <w:rsid w:val="3EDA2B13"/>
    <w:rsid w:val="3F5D7B14"/>
    <w:rsid w:val="415F2B4E"/>
    <w:rsid w:val="41FF4F3E"/>
    <w:rsid w:val="43CD7BE6"/>
    <w:rsid w:val="448654A3"/>
    <w:rsid w:val="455D7D7B"/>
    <w:rsid w:val="45B85B30"/>
    <w:rsid w:val="45CD7D52"/>
    <w:rsid w:val="46DF0E9A"/>
    <w:rsid w:val="46EC5AA4"/>
    <w:rsid w:val="4AB12CDE"/>
    <w:rsid w:val="4BC04B79"/>
    <w:rsid w:val="4CA44C33"/>
    <w:rsid w:val="4DED0341"/>
    <w:rsid w:val="4F2038F9"/>
    <w:rsid w:val="50CC07FE"/>
    <w:rsid w:val="51612C25"/>
    <w:rsid w:val="51CE328B"/>
    <w:rsid w:val="57437223"/>
    <w:rsid w:val="57A214EE"/>
    <w:rsid w:val="5A1E5DD4"/>
    <w:rsid w:val="5D877244"/>
    <w:rsid w:val="61B431F8"/>
    <w:rsid w:val="61D30A56"/>
    <w:rsid w:val="61D45648"/>
    <w:rsid w:val="629728D0"/>
    <w:rsid w:val="63121AD8"/>
    <w:rsid w:val="6753155E"/>
    <w:rsid w:val="67C57FB1"/>
    <w:rsid w:val="682329EA"/>
    <w:rsid w:val="687A15A3"/>
    <w:rsid w:val="68AA734D"/>
    <w:rsid w:val="6A164324"/>
    <w:rsid w:val="6B3929BF"/>
    <w:rsid w:val="6B7A019B"/>
    <w:rsid w:val="6C7F6A38"/>
    <w:rsid w:val="6D710EB8"/>
    <w:rsid w:val="6F0A6462"/>
    <w:rsid w:val="6FEA33FB"/>
    <w:rsid w:val="7029702C"/>
    <w:rsid w:val="70C1148D"/>
    <w:rsid w:val="70D2364F"/>
    <w:rsid w:val="73AC4E78"/>
    <w:rsid w:val="74B706C6"/>
    <w:rsid w:val="761C07CD"/>
    <w:rsid w:val="769247A1"/>
    <w:rsid w:val="791C40F5"/>
    <w:rsid w:val="795B6928"/>
    <w:rsid w:val="7A8C4CBB"/>
    <w:rsid w:val="7CC540B3"/>
    <w:rsid w:val="7D452772"/>
    <w:rsid w:val="7DFB0F0A"/>
    <w:rsid w:val="7E2117BD"/>
    <w:rsid w:val="7E7C6206"/>
    <w:rsid w:val="7F443D3D"/>
    <w:rsid w:val="BBC5A00A"/>
    <w:rsid w:val="FBFF3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0"/>
    <w:pPr>
      <w:keepNext/>
      <w:keepLines/>
      <w:spacing w:before="260" w:after="260" w:line="416" w:lineRule="auto"/>
      <w:outlineLvl w:val="1"/>
    </w:pPr>
    <w:rPr>
      <w:rFonts w:ascii="Cambria" w:hAnsi="Cambria" w:cs="黑体"/>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unhideWhenUsed/>
    <w:qFormat/>
    <w:uiPriority w:val="99"/>
    <w:pPr>
      <w:jc w:val="left"/>
    </w:pPr>
  </w:style>
  <w:style w:type="paragraph" w:styleId="5">
    <w:name w:val="Body Text Indent"/>
    <w:basedOn w:val="1"/>
    <w:link w:val="29"/>
    <w:semiHidden/>
    <w:unhideWhenUsed/>
    <w:qFormat/>
    <w:uiPriority w:val="0"/>
    <w:pPr>
      <w:spacing w:after="120"/>
      <w:ind w:left="420" w:leftChars="200"/>
    </w:pPr>
  </w:style>
  <w:style w:type="paragraph" w:styleId="6">
    <w:name w:val="Body Text Indent 2"/>
    <w:basedOn w:val="1"/>
    <w:link w:val="23"/>
    <w:qFormat/>
    <w:uiPriority w:val="0"/>
    <w:pPr>
      <w:spacing w:after="120" w:line="480" w:lineRule="auto"/>
      <w:ind w:left="420" w:leftChars="200"/>
    </w:pPr>
  </w:style>
  <w:style w:type="paragraph" w:styleId="7">
    <w:name w:val="Balloon Text"/>
    <w:basedOn w:val="1"/>
    <w:link w:val="24"/>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annotation subject"/>
    <w:basedOn w:val="4"/>
    <w:next w:val="4"/>
    <w:link w:val="26"/>
    <w:unhideWhenUsed/>
    <w:qFormat/>
    <w:uiPriority w:val="99"/>
    <w:rPr>
      <w:b/>
      <w:bCs/>
    </w:rPr>
  </w:style>
  <w:style w:type="character" w:styleId="15">
    <w:name w:val="Strong"/>
    <w:qFormat/>
    <w:uiPriority w:val="0"/>
    <w:rPr>
      <w:b/>
      <w:bCs/>
    </w:rPr>
  </w:style>
  <w:style w:type="character" w:styleId="16">
    <w:name w:val="Hyperlink"/>
    <w:qFormat/>
    <w:uiPriority w:val="99"/>
    <w:rPr>
      <w:color w:val="0000FF"/>
      <w:u w:val="single"/>
    </w:rPr>
  </w:style>
  <w:style w:type="character" w:styleId="17">
    <w:name w:val="annotation reference"/>
    <w:basedOn w:val="14"/>
    <w:unhideWhenUsed/>
    <w:qFormat/>
    <w:uiPriority w:val="99"/>
    <w:rPr>
      <w:sz w:val="21"/>
      <w:szCs w:val="21"/>
    </w:rPr>
  </w:style>
  <w:style w:type="paragraph" w:customStyle="1" w:styleId="18">
    <w:name w:val="列出段落1"/>
    <w:basedOn w:val="1"/>
    <w:qFormat/>
    <w:uiPriority w:val="34"/>
    <w:pPr>
      <w:ind w:firstLine="420"/>
    </w:pPr>
    <w:rPr>
      <w:rFonts w:ascii="Calibri" w:hAnsi="Calibri"/>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character" w:customStyle="1" w:styleId="21">
    <w:name w:val="标题 1 字符"/>
    <w:basedOn w:val="14"/>
    <w:link w:val="2"/>
    <w:qFormat/>
    <w:uiPriority w:val="0"/>
    <w:rPr>
      <w:rFonts w:ascii="Times New Roman" w:hAnsi="Times New Roman" w:eastAsia="宋体" w:cs="Times New Roman"/>
      <w:b/>
      <w:bCs/>
      <w:kern w:val="44"/>
      <w:sz w:val="44"/>
      <w:szCs w:val="44"/>
    </w:rPr>
  </w:style>
  <w:style w:type="character" w:customStyle="1" w:styleId="22">
    <w:name w:val="标题 2 字符"/>
    <w:basedOn w:val="14"/>
    <w:link w:val="3"/>
    <w:qFormat/>
    <w:uiPriority w:val="0"/>
    <w:rPr>
      <w:rFonts w:ascii="Cambria" w:hAnsi="Cambria" w:eastAsia="宋体" w:cs="黑体"/>
      <w:b/>
      <w:bCs/>
      <w:sz w:val="32"/>
      <w:szCs w:val="32"/>
    </w:rPr>
  </w:style>
  <w:style w:type="character" w:customStyle="1" w:styleId="23">
    <w:name w:val="正文文本缩进 2 字符"/>
    <w:basedOn w:val="14"/>
    <w:link w:val="6"/>
    <w:qFormat/>
    <w:uiPriority w:val="0"/>
    <w:rPr>
      <w:rFonts w:ascii="Times New Roman" w:hAnsi="Times New Roman" w:eastAsia="宋体" w:cs="Times New Roman"/>
      <w:szCs w:val="24"/>
    </w:rPr>
  </w:style>
  <w:style w:type="character" w:customStyle="1" w:styleId="24">
    <w:name w:val="批注框文本 字符"/>
    <w:basedOn w:val="14"/>
    <w:link w:val="7"/>
    <w:semiHidden/>
    <w:qFormat/>
    <w:uiPriority w:val="99"/>
    <w:rPr>
      <w:rFonts w:ascii="Times New Roman" w:hAnsi="Times New Roman" w:eastAsia="宋体" w:cs="Times New Roman"/>
      <w:sz w:val="18"/>
      <w:szCs w:val="18"/>
    </w:rPr>
  </w:style>
  <w:style w:type="character" w:customStyle="1" w:styleId="25">
    <w:name w:val="批注文字 字符"/>
    <w:basedOn w:val="14"/>
    <w:link w:val="4"/>
    <w:semiHidden/>
    <w:qFormat/>
    <w:uiPriority w:val="99"/>
    <w:rPr>
      <w:rFonts w:ascii="Times New Roman" w:hAnsi="Times New Roman" w:eastAsia="宋体" w:cs="Times New Roman"/>
      <w:szCs w:val="24"/>
    </w:rPr>
  </w:style>
  <w:style w:type="character" w:customStyle="1" w:styleId="26">
    <w:name w:val="批注主题 字符"/>
    <w:basedOn w:val="25"/>
    <w:link w:val="12"/>
    <w:semiHidden/>
    <w:qFormat/>
    <w:uiPriority w:val="99"/>
    <w:rPr>
      <w:rFonts w:ascii="Times New Roman" w:hAnsi="Times New Roman" w:eastAsia="宋体" w:cs="Times New Roman"/>
      <w:b/>
      <w:bCs/>
      <w:szCs w:val="24"/>
    </w:rPr>
  </w:style>
  <w:style w:type="character" w:customStyle="1" w:styleId="27">
    <w:name w:val="页码1"/>
    <w:basedOn w:val="14"/>
    <w:qFormat/>
    <w:uiPriority w:val="0"/>
  </w:style>
  <w:style w:type="paragraph" w:styleId="28">
    <w:name w:val="List Paragraph"/>
    <w:basedOn w:val="1"/>
    <w:qFormat/>
    <w:uiPriority w:val="99"/>
    <w:pPr>
      <w:ind w:firstLine="420" w:firstLineChars="200"/>
    </w:pPr>
    <w:rPr>
      <w:rFonts w:asciiTheme="minorHAnsi" w:hAnsiTheme="minorHAnsi" w:eastAsiaTheme="minorEastAsia" w:cstheme="minorBidi"/>
      <w:szCs w:val="22"/>
    </w:rPr>
  </w:style>
  <w:style w:type="character" w:customStyle="1" w:styleId="29">
    <w:name w:val="正文文本缩进 字符"/>
    <w:basedOn w:val="14"/>
    <w:link w:val="5"/>
    <w:semiHidden/>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1469</Words>
  <Characters>8378</Characters>
  <Lines>69</Lines>
  <Paragraphs>19</Paragraphs>
  <TotalTime>427</TotalTime>
  <ScaleCrop>false</ScaleCrop>
  <LinksUpToDate>false</LinksUpToDate>
  <CharactersWithSpaces>9828</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2019-12-27T19:30:00Z</dcterms:created>
  <dc:creator>LENOVO</dc:creator>
  <cp:lastModifiedBy>user</cp:lastModifiedBy>
  <dcterms:modified xsi:type="dcterms:W3CDTF">2023-08-21T15:10:57Z</dcterms:modified>
  <dc:title>《亦庄镇健康生活手册》项目</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825D1FC17936475CA42098C043F39E5F_13</vt:lpwstr>
  </property>
</Properties>
</file>