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767D2" w14:textId="77777777" w:rsidR="007C06AB" w:rsidRDefault="007C06AB">
      <w:pPr>
        <w:jc w:val="center"/>
        <w:rPr>
          <w:sz w:val="52"/>
          <w:szCs w:val="52"/>
        </w:rPr>
      </w:pPr>
    </w:p>
    <w:p w14:paraId="18D6D9D4" w14:textId="77777777" w:rsidR="007C06AB" w:rsidRDefault="007C06AB">
      <w:pPr>
        <w:jc w:val="center"/>
        <w:rPr>
          <w:sz w:val="52"/>
          <w:szCs w:val="52"/>
        </w:rPr>
      </w:pPr>
    </w:p>
    <w:p w14:paraId="056F5B48" w14:textId="77777777" w:rsidR="007C06AB" w:rsidRDefault="00000000">
      <w:pPr>
        <w:jc w:val="center"/>
        <w:rPr>
          <w:rFonts w:ascii="黑体" w:eastAsia="黑体" w:hAnsi="黑体" w:cs="黑体"/>
          <w:b/>
          <w:bCs/>
          <w:sz w:val="52"/>
          <w:szCs w:val="52"/>
        </w:rPr>
      </w:pPr>
      <w:r>
        <w:rPr>
          <w:rFonts w:ascii="黑体" w:eastAsia="黑体" w:hAnsi="黑体" w:cs="黑体" w:hint="eastAsia"/>
          <w:b/>
          <w:bCs/>
          <w:sz w:val="52"/>
          <w:szCs w:val="52"/>
        </w:rPr>
        <w:t>北京市</w:t>
      </w:r>
      <w:proofErr w:type="gramStart"/>
      <w:r>
        <w:rPr>
          <w:rFonts w:ascii="黑体" w:eastAsia="黑体" w:hAnsi="黑体" w:cs="黑体" w:hint="eastAsia"/>
          <w:b/>
          <w:bCs/>
          <w:sz w:val="52"/>
          <w:szCs w:val="52"/>
        </w:rPr>
        <w:t>大兴区</w:t>
      </w:r>
      <w:proofErr w:type="gramEnd"/>
      <w:r>
        <w:rPr>
          <w:rFonts w:ascii="黑体" w:eastAsia="黑体" w:hAnsi="黑体" w:cs="黑体" w:hint="eastAsia"/>
          <w:b/>
          <w:bCs/>
          <w:sz w:val="52"/>
          <w:szCs w:val="52"/>
        </w:rPr>
        <w:t>人民法院</w:t>
      </w:r>
    </w:p>
    <w:p w14:paraId="1C0D94A7" w14:textId="77777777" w:rsidR="007C06AB" w:rsidRDefault="00000000">
      <w:pPr>
        <w:jc w:val="center"/>
        <w:rPr>
          <w:rFonts w:ascii="黑体" w:eastAsia="黑体" w:hAnsi="黑体" w:cs="黑体"/>
          <w:b/>
          <w:bCs/>
          <w:sz w:val="52"/>
          <w:szCs w:val="52"/>
        </w:rPr>
      </w:pPr>
      <w:r>
        <w:rPr>
          <w:rFonts w:ascii="黑体" w:eastAsia="黑体" w:hAnsi="黑体" w:cs="黑体" w:hint="eastAsia"/>
          <w:b/>
          <w:bCs/>
          <w:sz w:val="52"/>
          <w:szCs w:val="52"/>
        </w:rPr>
        <w:t>部门整体绩效评价报告</w:t>
      </w:r>
    </w:p>
    <w:p w14:paraId="500C86AF" w14:textId="77777777" w:rsidR="007C06AB" w:rsidRDefault="007C06AB">
      <w:pPr>
        <w:jc w:val="left"/>
        <w:rPr>
          <w:rFonts w:ascii="黑体" w:eastAsia="黑体" w:hAnsi="黑体" w:cs="黑体"/>
          <w:sz w:val="52"/>
          <w:szCs w:val="52"/>
        </w:rPr>
      </w:pPr>
    </w:p>
    <w:p w14:paraId="0B97D460" w14:textId="77777777" w:rsidR="007C06AB" w:rsidRDefault="007C06AB">
      <w:pPr>
        <w:jc w:val="left"/>
        <w:rPr>
          <w:sz w:val="32"/>
          <w:szCs w:val="32"/>
        </w:rPr>
      </w:pPr>
    </w:p>
    <w:p w14:paraId="5ABB1075" w14:textId="77777777" w:rsidR="007C06AB" w:rsidRDefault="007C06AB">
      <w:pPr>
        <w:jc w:val="left"/>
        <w:rPr>
          <w:sz w:val="32"/>
          <w:szCs w:val="32"/>
        </w:rPr>
      </w:pPr>
    </w:p>
    <w:p w14:paraId="55735170" w14:textId="77777777" w:rsidR="007C06AB" w:rsidRDefault="007C06AB">
      <w:pPr>
        <w:jc w:val="left"/>
        <w:rPr>
          <w:sz w:val="32"/>
          <w:szCs w:val="32"/>
        </w:rPr>
      </w:pPr>
    </w:p>
    <w:p w14:paraId="440815F8" w14:textId="77777777" w:rsidR="007C06AB" w:rsidRDefault="007C06AB">
      <w:pPr>
        <w:jc w:val="left"/>
        <w:rPr>
          <w:sz w:val="32"/>
          <w:szCs w:val="32"/>
        </w:rPr>
      </w:pPr>
    </w:p>
    <w:p w14:paraId="053FB499" w14:textId="77777777" w:rsidR="007C06AB" w:rsidRDefault="007C06AB">
      <w:pPr>
        <w:pStyle w:val="a5"/>
      </w:pPr>
    </w:p>
    <w:p w14:paraId="77FFFB77" w14:textId="77777777" w:rsidR="007C06AB" w:rsidRDefault="007C06AB">
      <w:pPr>
        <w:jc w:val="left"/>
        <w:rPr>
          <w:rFonts w:ascii="宋体" w:hAnsi="宋体" w:cs="宋体"/>
          <w:sz w:val="32"/>
          <w:szCs w:val="32"/>
        </w:rPr>
      </w:pPr>
    </w:p>
    <w:p w14:paraId="325EF2AD" w14:textId="77777777" w:rsidR="007C06AB" w:rsidRDefault="007C06AB">
      <w:pPr>
        <w:pStyle w:val="a6"/>
      </w:pPr>
    </w:p>
    <w:p w14:paraId="7F90A6CB" w14:textId="77777777" w:rsidR="007C06AB" w:rsidRDefault="007C06AB">
      <w:pPr>
        <w:pStyle w:val="a6"/>
      </w:pPr>
    </w:p>
    <w:p w14:paraId="6B5BB2AE" w14:textId="77777777" w:rsidR="007C06AB" w:rsidRDefault="007C06AB">
      <w:pPr>
        <w:pStyle w:val="a6"/>
      </w:pPr>
    </w:p>
    <w:p w14:paraId="37E29DA5" w14:textId="77777777" w:rsidR="007C06AB" w:rsidRDefault="00000000">
      <w:pPr>
        <w:ind w:firstLineChars="195" w:firstLine="626"/>
        <w:rPr>
          <w:sz w:val="32"/>
          <w:szCs w:val="22"/>
          <w:u w:val="single"/>
        </w:rPr>
      </w:pPr>
      <w:r>
        <w:rPr>
          <w:rFonts w:hint="eastAsia"/>
          <w:b/>
          <w:sz w:val="32"/>
          <w:szCs w:val="22"/>
        </w:rPr>
        <w:t>部门</w:t>
      </w:r>
      <w:r>
        <w:rPr>
          <w:b/>
          <w:sz w:val="32"/>
          <w:szCs w:val="22"/>
        </w:rPr>
        <w:t>单位</w:t>
      </w:r>
      <w:r>
        <w:rPr>
          <w:rFonts w:hint="eastAsia"/>
          <w:b/>
          <w:sz w:val="32"/>
          <w:szCs w:val="22"/>
        </w:rPr>
        <w:t xml:space="preserve"> </w:t>
      </w:r>
      <w:r>
        <w:rPr>
          <w:bCs/>
          <w:sz w:val="32"/>
          <w:szCs w:val="22"/>
          <w:u w:val="single"/>
        </w:rPr>
        <w:t xml:space="preserve">  </w:t>
      </w:r>
      <w:r>
        <w:rPr>
          <w:rFonts w:hint="eastAsia"/>
          <w:bCs/>
          <w:sz w:val="32"/>
          <w:szCs w:val="22"/>
          <w:u w:val="single"/>
        </w:rPr>
        <w:t>北京市</w:t>
      </w:r>
      <w:proofErr w:type="gramStart"/>
      <w:r>
        <w:rPr>
          <w:rFonts w:hint="eastAsia"/>
          <w:bCs/>
          <w:sz w:val="32"/>
          <w:szCs w:val="22"/>
          <w:u w:val="single"/>
        </w:rPr>
        <w:t>大兴区</w:t>
      </w:r>
      <w:proofErr w:type="gramEnd"/>
      <w:r>
        <w:rPr>
          <w:rFonts w:hint="eastAsia"/>
          <w:bCs/>
          <w:sz w:val="32"/>
          <w:szCs w:val="22"/>
          <w:u w:val="single"/>
        </w:rPr>
        <w:t>人民法院</w:t>
      </w:r>
      <w:r>
        <w:rPr>
          <w:sz w:val="32"/>
          <w:szCs w:val="22"/>
          <w:u w:val="single"/>
        </w:rPr>
        <w:t xml:space="preserve">           </w:t>
      </w:r>
    </w:p>
    <w:p w14:paraId="0BC69418" w14:textId="77777777" w:rsidR="007C06AB" w:rsidRDefault="007C06AB">
      <w:pPr>
        <w:spacing w:line="340" w:lineRule="exact"/>
        <w:ind w:firstLineChars="200" w:firstLine="643"/>
        <w:jc w:val="left"/>
        <w:rPr>
          <w:b/>
          <w:sz w:val="32"/>
          <w:szCs w:val="32"/>
        </w:rPr>
      </w:pPr>
    </w:p>
    <w:p w14:paraId="5C2C0554" w14:textId="77777777" w:rsidR="007C06AB" w:rsidRDefault="00000000">
      <w:pPr>
        <w:spacing w:line="340" w:lineRule="exact"/>
        <w:ind w:firstLineChars="200" w:firstLine="643"/>
        <w:jc w:val="left"/>
        <w:rPr>
          <w:b/>
          <w:sz w:val="32"/>
          <w:szCs w:val="32"/>
        </w:rPr>
      </w:pPr>
      <w:r>
        <w:rPr>
          <w:rFonts w:hint="eastAsia"/>
          <w:b/>
          <w:sz w:val="32"/>
          <w:szCs w:val="32"/>
        </w:rPr>
        <w:t>参与评价</w:t>
      </w:r>
    </w:p>
    <w:p w14:paraId="1FD55297" w14:textId="77777777" w:rsidR="007C06AB" w:rsidRDefault="00000000">
      <w:pPr>
        <w:spacing w:line="340" w:lineRule="exact"/>
        <w:ind w:firstLineChars="200" w:firstLine="643"/>
        <w:jc w:val="left"/>
        <w:rPr>
          <w:b/>
          <w:sz w:val="32"/>
          <w:szCs w:val="20"/>
        </w:rPr>
      </w:pPr>
      <w:r>
        <w:rPr>
          <w:b/>
          <w:sz w:val="32"/>
          <w:szCs w:val="32"/>
        </w:rPr>
        <w:t>中介机构</w:t>
      </w:r>
      <w:r>
        <w:rPr>
          <w:b/>
          <w:sz w:val="32"/>
          <w:szCs w:val="32"/>
        </w:rPr>
        <w:t xml:space="preserve"> </w:t>
      </w:r>
      <w:r>
        <w:rPr>
          <w:rFonts w:hint="eastAsia"/>
          <w:sz w:val="32"/>
          <w:szCs w:val="32"/>
          <w:u w:val="single"/>
        </w:rPr>
        <w:t>北京正衡东亚会计师事务所有限公司</w:t>
      </w:r>
      <w:r>
        <w:rPr>
          <w:rFonts w:hint="eastAsia"/>
          <w:sz w:val="32"/>
          <w:szCs w:val="32"/>
          <w:u w:val="single"/>
        </w:rPr>
        <w:t xml:space="preserve">   </w:t>
      </w:r>
    </w:p>
    <w:p w14:paraId="55CE33FC" w14:textId="77777777" w:rsidR="007C06AB" w:rsidRDefault="007C06AB">
      <w:pPr>
        <w:rPr>
          <w:sz w:val="30"/>
          <w:szCs w:val="22"/>
          <w:u w:val="single"/>
        </w:rPr>
      </w:pPr>
    </w:p>
    <w:p w14:paraId="62AD2F2C" w14:textId="77777777" w:rsidR="007C06AB" w:rsidRDefault="007C06AB">
      <w:pPr>
        <w:rPr>
          <w:sz w:val="30"/>
          <w:szCs w:val="22"/>
          <w:u w:val="single"/>
        </w:rPr>
      </w:pPr>
    </w:p>
    <w:p w14:paraId="28F7A904" w14:textId="77777777" w:rsidR="007C06AB" w:rsidRDefault="007C06AB">
      <w:pPr>
        <w:rPr>
          <w:sz w:val="30"/>
          <w:szCs w:val="22"/>
          <w:u w:val="single"/>
        </w:rPr>
      </w:pPr>
    </w:p>
    <w:p w14:paraId="401BC5DC" w14:textId="77777777" w:rsidR="007C06AB" w:rsidRDefault="007C06AB">
      <w:pPr>
        <w:rPr>
          <w:sz w:val="30"/>
          <w:szCs w:val="22"/>
          <w:u w:val="single"/>
        </w:rPr>
      </w:pPr>
    </w:p>
    <w:p w14:paraId="048266BC" w14:textId="77777777" w:rsidR="007C06AB" w:rsidRDefault="007C06AB">
      <w:pPr>
        <w:rPr>
          <w:sz w:val="30"/>
          <w:szCs w:val="22"/>
          <w:u w:val="single"/>
        </w:rPr>
      </w:pPr>
    </w:p>
    <w:p w14:paraId="19ABFDA9" w14:textId="77777777" w:rsidR="007C06AB" w:rsidRDefault="00000000">
      <w:pPr>
        <w:spacing w:line="360" w:lineRule="auto"/>
        <w:ind w:firstLineChars="800" w:firstLine="2570"/>
        <w:rPr>
          <w:b/>
          <w:sz w:val="32"/>
          <w:szCs w:val="32"/>
        </w:rPr>
        <w:sectPr w:rsidR="007C06AB">
          <w:footerReference w:type="even" r:id="rId8"/>
          <w:footerReference w:type="default" r:id="rId9"/>
          <w:footerReference w:type="first" r:id="rId10"/>
          <w:pgSz w:w="11906" w:h="16838"/>
          <w:pgMar w:top="1440" w:right="1800" w:bottom="1440" w:left="1800" w:header="851" w:footer="992" w:gutter="0"/>
          <w:cols w:space="720"/>
          <w:docGrid w:type="lines" w:linePitch="381"/>
        </w:sectPr>
      </w:pPr>
      <w:r>
        <w:rPr>
          <w:b/>
          <w:sz w:val="32"/>
          <w:szCs w:val="32"/>
        </w:rPr>
        <w:t>二〇</w:t>
      </w:r>
      <w:r>
        <w:rPr>
          <w:rFonts w:hint="eastAsia"/>
          <w:b/>
          <w:sz w:val="32"/>
          <w:szCs w:val="32"/>
        </w:rPr>
        <w:t>二三</w:t>
      </w:r>
      <w:r>
        <w:rPr>
          <w:b/>
          <w:sz w:val="32"/>
          <w:szCs w:val="32"/>
        </w:rPr>
        <w:t>年</w:t>
      </w:r>
      <w:r>
        <w:rPr>
          <w:rFonts w:hint="eastAsia"/>
          <w:b/>
          <w:sz w:val="32"/>
          <w:szCs w:val="32"/>
        </w:rPr>
        <w:t>五</w:t>
      </w:r>
      <w:r>
        <w:rPr>
          <w:b/>
          <w:sz w:val="32"/>
          <w:szCs w:val="32"/>
        </w:rPr>
        <w:t>月</w:t>
      </w:r>
      <w:r>
        <w:rPr>
          <w:rFonts w:hint="eastAsia"/>
          <w:b/>
          <w:sz w:val="32"/>
          <w:szCs w:val="32"/>
        </w:rPr>
        <w:t>十五</w:t>
      </w:r>
      <w:r>
        <w:rPr>
          <w:b/>
          <w:sz w:val="32"/>
          <w:szCs w:val="32"/>
        </w:rPr>
        <w:t>日</w:t>
      </w:r>
    </w:p>
    <w:p w14:paraId="762EFB2E" w14:textId="77777777" w:rsidR="007C06AB" w:rsidRDefault="00000000">
      <w:pPr>
        <w:spacing w:line="560" w:lineRule="exact"/>
        <w:jc w:val="center"/>
        <w:rPr>
          <w:rFonts w:ascii="黑体" w:eastAsia="黑体" w:hAnsi="黑体" w:cs="黑体"/>
          <w:sz w:val="32"/>
          <w:szCs w:val="32"/>
        </w:rPr>
      </w:pPr>
      <w:r>
        <w:rPr>
          <w:rFonts w:ascii="黑体" w:eastAsia="黑体" w:hAnsi="黑体" w:cs="黑体" w:hint="eastAsia"/>
          <w:sz w:val="32"/>
          <w:szCs w:val="32"/>
        </w:rPr>
        <w:lastRenderedPageBreak/>
        <w:t>目 录</w:t>
      </w:r>
    </w:p>
    <w:sdt>
      <w:sdtPr>
        <w:rPr>
          <w:rFonts w:ascii="宋体" w:hAnsi="宋体"/>
        </w:rPr>
        <w:id w:val="147458671"/>
        <w15:color w:val="DBDBDB"/>
        <w:docPartObj>
          <w:docPartGallery w:val="Table of Contents"/>
          <w:docPartUnique/>
        </w:docPartObj>
      </w:sdtPr>
      <w:sdtContent>
        <w:p w14:paraId="03671C29" w14:textId="77777777" w:rsidR="007C06AB" w:rsidRDefault="007C06AB">
          <w:pPr>
            <w:jc w:val="center"/>
          </w:pPr>
        </w:p>
        <w:p w14:paraId="25AFFB88" w14:textId="77777777" w:rsidR="007C06AB" w:rsidRDefault="00000000">
          <w:pPr>
            <w:pStyle w:val="TOC1"/>
            <w:tabs>
              <w:tab w:val="clear" w:pos="8296"/>
              <w:tab w:val="right" w:leader="dot" w:pos="8306"/>
            </w:tabs>
          </w:pPr>
          <w:r>
            <w:fldChar w:fldCharType="begin"/>
          </w:r>
          <w:r>
            <w:instrText xml:space="preserve">TOC \o "1-3" \h \u </w:instrText>
          </w:r>
          <w:r>
            <w:fldChar w:fldCharType="separate"/>
          </w:r>
          <w:hyperlink w:anchor="_Toc7377" w:history="1">
            <w:r>
              <w:rPr>
                <w:rFonts w:ascii="楷体" w:eastAsia="楷体" w:hAnsi="楷体" w:cs="楷体" w:hint="eastAsia"/>
                <w:kern w:val="0"/>
                <w:sz w:val="32"/>
                <w:szCs w:val="32"/>
              </w:rPr>
              <w:t>一、部门概况</w:t>
            </w:r>
            <w:r>
              <w:rPr>
                <w:rFonts w:ascii="楷体" w:eastAsia="楷体" w:hAnsi="楷体" w:cs="楷体" w:hint="eastAsia"/>
                <w:sz w:val="32"/>
                <w:szCs w:val="32"/>
              </w:rPr>
              <w:tab/>
            </w:r>
            <w:r>
              <w:rPr>
                <w:rFonts w:cs="仿宋" w:hint="eastAsia"/>
                <w:b w:val="0"/>
                <w:bCs/>
                <w:sz w:val="32"/>
                <w:szCs w:val="32"/>
              </w:rPr>
              <w:fldChar w:fldCharType="begin"/>
            </w:r>
            <w:r>
              <w:rPr>
                <w:rFonts w:cs="仿宋" w:hint="eastAsia"/>
                <w:b w:val="0"/>
                <w:bCs/>
                <w:sz w:val="32"/>
                <w:szCs w:val="32"/>
              </w:rPr>
              <w:instrText xml:space="preserve"> PAGEREF _Toc7377 \h </w:instrText>
            </w:r>
            <w:r>
              <w:rPr>
                <w:rFonts w:cs="仿宋" w:hint="eastAsia"/>
                <w:b w:val="0"/>
                <w:bCs/>
                <w:sz w:val="32"/>
                <w:szCs w:val="32"/>
              </w:rPr>
            </w:r>
            <w:r>
              <w:rPr>
                <w:rFonts w:cs="仿宋" w:hint="eastAsia"/>
                <w:b w:val="0"/>
                <w:bCs/>
                <w:sz w:val="32"/>
                <w:szCs w:val="32"/>
              </w:rPr>
              <w:fldChar w:fldCharType="separate"/>
            </w:r>
            <w:r>
              <w:rPr>
                <w:rFonts w:cs="仿宋" w:hint="eastAsia"/>
                <w:b w:val="0"/>
                <w:bCs/>
                <w:sz w:val="32"/>
                <w:szCs w:val="32"/>
              </w:rPr>
              <w:t>1</w:t>
            </w:r>
            <w:r>
              <w:rPr>
                <w:rFonts w:cs="仿宋" w:hint="eastAsia"/>
                <w:b w:val="0"/>
                <w:bCs/>
                <w:sz w:val="32"/>
                <w:szCs w:val="32"/>
              </w:rPr>
              <w:fldChar w:fldCharType="end"/>
            </w:r>
          </w:hyperlink>
        </w:p>
        <w:p w14:paraId="6B515171" w14:textId="77777777" w:rsidR="007C06AB" w:rsidRDefault="00000000">
          <w:pPr>
            <w:pStyle w:val="TOC2"/>
            <w:tabs>
              <w:tab w:val="right" w:leader="dot" w:pos="8306"/>
            </w:tabs>
            <w:rPr>
              <w:rFonts w:ascii="仿宋" w:eastAsia="仿宋" w:hAnsi="仿宋" w:cs="仿宋"/>
              <w:sz w:val="32"/>
              <w:szCs w:val="32"/>
            </w:rPr>
          </w:pPr>
          <w:hyperlink w:anchor="_Toc27027" w:history="1">
            <w:r>
              <w:rPr>
                <w:rFonts w:ascii="仿宋" w:eastAsia="仿宋" w:hAnsi="仿宋" w:cs="仿宋" w:hint="eastAsia"/>
                <w:sz w:val="32"/>
                <w:szCs w:val="32"/>
              </w:rPr>
              <w:t>（一）机构设置及职责工作任务情况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_Toc27027 \h </w:instrText>
            </w:r>
            <w:r>
              <w:rPr>
                <w:rFonts w:ascii="仿宋" w:eastAsia="仿宋" w:hAnsi="仿宋" w:cs="仿宋" w:hint="eastAsia"/>
                <w:sz w:val="32"/>
                <w:szCs w:val="32"/>
              </w:rPr>
            </w:r>
            <w:r>
              <w:rPr>
                <w:rFonts w:ascii="仿宋" w:eastAsia="仿宋" w:hAnsi="仿宋" w:cs="仿宋" w:hint="eastAsia"/>
                <w:sz w:val="32"/>
                <w:szCs w:val="32"/>
              </w:rPr>
              <w:fldChar w:fldCharType="separate"/>
            </w:r>
            <w:r>
              <w:rPr>
                <w:rFonts w:ascii="仿宋" w:eastAsia="仿宋" w:hAnsi="仿宋" w:cs="仿宋" w:hint="eastAsia"/>
                <w:sz w:val="32"/>
                <w:szCs w:val="32"/>
              </w:rPr>
              <w:t>1</w:t>
            </w:r>
            <w:r>
              <w:rPr>
                <w:rFonts w:ascii="仿宋" w:eastAsia="仿宋" w:hAnsi="仿宋" w:cs="仿宋" w:hint="eastAsia"/>
                <w:sz w:val="32"/>
                <w:szCs w:val="32"/>
              </w:rPr>
              <w:fldChar w:fldCharType="end"/>
            </w:r>
          </w:hyperlink>
        </w:p>
        <w:p w14:paraId="29AE4F5E" w14:textId="77777777" w:rsidR="007C06AB" w:rsidRDefault="00000000">
          <w:pPr>
            <w:pStyle w:val="TOC2"/>
            <w:tabs>
              <w:tab w:val="right" w:leader="dot" w:pos="8306"/>
            </w:tabs>
          </w:pPr>
          <w:hyperlink w:anchor="_Toc2753" w:history="1">
            <w:r>
              <w:rPr>
                <w:rFonts w:ascii="仿宋" w:eastAsia="仿宋" w:hAnsi="仿宋" w:cs="仿宋" w:hint="eastAsia"/>
                <w:sz w:val="32"/>
                <w:szCs w:val="32"/>
              </w:rPr>
              <w:t>（二）部门整体绩效目标设立情况</w:t>
            </w:r>
            <w:r>
              <w:rPr>
                <w:rFonts w:ascii="仿宋" w:eastAsia="仿宋" w:hAnsi="仿宋" w:cs="仿宋" w:hint="eastAsia"/>
                <w:sz w:val="32"/>
                <w:szCs w:val="32"/>
              </w:rPr>
              <w:tab/>
            </w:r>
            <w:r>
              <w:rPr>
                <w:rFonts w:ascii="仿宋" w:eastAsia="仿宋" w:hAnsi="仿宋" w:cs="仿宋"/>
                <w:sz w:val="32"/>
                <w:szCs w:val="32"/>
              </w:rPr>
              <w:t>5</w:t>
            </w:r>
          </w:hyperlink>
        </w:p>
        <w:p w14:paraId="1F27919B" w14:textId="77777777" w:rsidR="007C06AB" w:rsidRDefault="00000000">
          <w:pPr>
            <w:pStyle w:val="TOC1"/>
            <w:tabs>
              <w:tab w:val="clear" w:pos="8296"/>
              <w:tab w:val="right" w:leader="dot" w:pos="8306"/>
            </w:tabs>
            <w:rPr>
              <w:rFonts w:ascii="楷体" w:eastAsia="楷体" w:hAnsi="楷体" w:cs="楷体"/>
              <w:sz w:val="32"/>
              <w:szCs w:val="32"/>
            </w:rPr>
          </w:pPr>
          <w:hyperlink w:anchor="_Toc22792" w:history="1">
            <w:r>
              <w:rPr>
                <w:rFonts w:ascii="楷体" w:eastAsia="楷体" w:hAnsi="楷体" w:cs="楷体" w:hint="eastAsia"/>
                <w:kern w:val="0"/>
                <w:sz w:val="32"/>
                <w:szCs w:val="32"/>
              </w:rPr>
              <w:t>二、当年预算执行情况</w:t>
            </w:r>
            <w:r>
              <w:rPr>
                <w:rFonts w:ascii="楷体" w:eastAsia="楷体" w:hAnsi="楷体" w:cs="楷体" w:hint="eastAsia"/>
                <w:sz w:val="32"/>
                <w:szCs w:val="32"/>
              </w:rPr>
              <w:tab/>
            </w:r>
            <w:r>
              <w:rPr>
                <w:rFonts w:cs="仿宋"/>
                <w:b w:val="0"/>
                <w:bCs/>
                <w:sz w:val="32"/>
                <w:szCs w:val="32"/>
              </w:rPr>
              <w:t>6</w:t>
            </w:r>
          </w:hyperlink>
        </w:p>
        <w:p w14:paraId="4C09B396" w14:textId="77777777" w:rsidR="007C06AB" w:rsidRDefault="00000000">
          <w:pPr>
            <w:pStyle w:val="TOC1"/>
            <w:tabs>
              <w:tab w:val="clear" w:pos="8296"/>
              <w:tab w:val="right" w:leader="dot" w:pos="8306"/>
            </w:tabs>
          </w:pPr>
          <w:hyperlink w:anchor="_Toc16426" w:history="1">
            <w:r>
              <w:rPr>
                <w:rFonts w:ascii="楷体" w:eastAsia="楷体" w:hAnsi="楷体" w:cs="楷体" w:hint="eastAsia"/>
                <w:kern w:val="0"/>
                <w:sz w:val="32"/>
                <w:szCs w:val="32"/>
              </w:rPr>
              <w:t>三、整体绩效目标实现情况</w:t>
            </w:r>
            <w:r>
              <w:rPr>
                <w:rFonts w:ascii="楷体" w:eastAsia="楷体" w:hAnsi="楷体" w:cs="楷体" w:hint="eastAsia"/>
                <w:sz w:val="32"/>
                <w:szCs w:val="32"/>
              </w:rPr>
              <w:tab/>
            </w:r>
            <w:r>
              <w:rPr>
                <w:rFonts w:cs="仿宋"/>
                <w:b w:val="0"/>
                <w:bCs/>
                <w:sz w:val="32"/>
                <w:szCs w:val="32"/>
              </w:rPr>
              <w:t>6</w:t>
            </w:r>
          </w:hyperlink>
        </w:p>
        <w:p w14:paraId="2B3B57E3" w14:textId="77777777" w:rsidR="007C06AB" w:rsidRDefault="00000000">
          <w:pPr>
            <w:pStyle w:val="TOC2"/>
            <w:tabs>
              <w:tab w:val="right" w:leader="dot" w:pos="8306"/>
            </w:tabs>
            <w:rPr>
              <w:rFonts w:ascii="仿宋" w:eastAsia="仿宋" w:hAnsi="仿宋" w:cs="仿宋"/>
              <w:sz w:val="32"/>
              <w:szCs w:val="32"/>
            </w:rPr>
          </w:pPr>
          <w:hyperlink w:anchor="_Toc7824" w:history="1">
            <w:r>
              <w:rPr>
                <w:rFonts w:ascii="仿宋" w:eastAsia="仿宋" w:hAnsi="仿宋" w:cs="仿宋" w:hint="eastAsia"/>
                <w:sz w:val="32"/>
                <w:szCs w:val="32"/>
              </w:rPr>
              <w:t>（一）产出完成情况分析</w:t>
            </w:r>
            <w:r>
              <w:rPr>
                <w:rFonts w:ascii="仿宋" w:eastAsia="仿宋" w:hAnsi="仿宋" w:cs="仿宋" w:hint="eastAsia"/>
                <w:sz w:val="32"/>
                <w:szCs w:val="32"/>
              </w:rPr>
              <w:tab/>
            </w:r>
            <w:r>
              <w:rPr>
                <w:rFonts w:ascii="仿宋" w:eastAsia="仿宋" w:hAnsi="仿宋" w:cs="仿宋"/>
                <w:sz w:val="32"/>
                <w:szCs w:val="32"/>
              </w:rPr>
              <w:t>7</w:t>
            </w:r>
          </w:hyperlink>
        </w:p>
        <w:p w14:paraId="1EA76381" w14:textId="77777777" w:rsidR="007C06AB" w:rsidRDefault="00000000">
          <w:pPr>
            <w:pStyle w:val="TOC2"/>
            <w:tabs>
              <w:tab w:val="right" w:leader="dot" w:pos="8306"/>
            </w:tabs>
            <w:rPr>
              <w:rFonts w:ascii="仿宋" w:eastAsia="仿宋" w:hAnsi="仿宋" w:cs="仿宋"/>
              <w:sz w:val="32"/>
              <w:szCs w:val="32"/>
            </w:rPr>
          </w:pPr>
          <w:hyperlink w:anchor="_Toc27371" w:history="1">
            <w:r>
              <w:rPr>
                <w:rFonts w:ascii="仿宋" w:eastAsia="仿宋" w:hAnsi="仿宋" w:cs="仿宋" w:hint="eastAsia"/>
                <w:sz w:val="32"/>
                <w:szCs w:val="32"/>
              </w:rPr>
              <w:t>（二）效果实现情况分析</w:t>
            </w:r>
            <w:r>
              <w:rPr>
                <w:rFonts w:ascii="仿宋" w:eastAsia="仿宋" w:hAnsi="仿宋" w:cs="仿宋" w:hint="eastAsia"/>
                <w:sz w:val="32"/>
                <w:szCs w:val="32"/>
              </w:rPr>
              <w:tab/>
            </w:r>
            <w:r>
              <w:rPr>
                <w:rFonts w:ascii="仿宋" w:eastAsia="仿宋" w:hAnsi="仿宋" w:cs="仿宋"/>
                <w:sz w:val="32"/>
                <w:szCs w:val="32"/>
              </w:rPr>
              <w:t>10</w:t>
            </w:r>
          </w:hyperlink>
        </w:p>
        <w:p w14:paraId="16A0FCA5" w14:textId="77777777" w:rsidR="007C06AB" w:rsidRDefault="00000000">
          <w:pPr>
            <w:pStyle w:val="TOC1"/>
            <w:tabs>
              <w:tab w:val="clear" w:pos="8296"/>
              <w:tab w:val="right" w:leader="dot" w:pos="8306"/>
            </w:tabs>
            <w:rPr>
              <w:rFonts w:ascii="楷体" w:eastAsia="楷体" w:hAnsi="楷体" w:cs="楷体"/>
              <w:sz w:val="32"/>
              <w:szCs w:val="32"/>
            </w:rPr>
          </w:pPr>
          <w:hyperlink w:anchor="_Toc9828" w:history="1">
            <w:r>
              <w:rPr>
                <w:rFonts w:ascii="楷体" w:eastAsia="楷体" w:hAnsi="楷体" w:cs="楷体" w:hint="eastAsia"/>
                <w:kern w:val="0"/>
                <w:sz w:val="32"/>
                <w:szCs w:val="32"/>
              </w:rPr>
              <w:t>四、预算管理情况分析</w:t>
            </w:r>
            <w:r>
              <w:rPr>
                <w:rFonts w:ascii="楷体" w:eastAsia="楷体" w:hAnsi="楷体" w:cs="楷体" w:hint="eastAsia"/>
                <w:sz w:val="32"/>
                <w:szCs w:val="32"/>
              </w:rPr>
              <w:tab/>
            </w:r>
            <w:r>
              <w:rPr>
                <w:rFonts w:cs="仿宋" w:hint="eastAsia"/>
                <w:b w:val="0"/>
                <w:bCs/>
                <w:sz w:val="32"/>
                <w:szCs w:val="32"/>
              </w:rPr>
              <w:fldChar w:fldCharType="begin"/>
            </w:r>
            <w:r>
              <w:rPr>
                <w:rFonts w:cs="仿宋" w:hint="eastAsia"/>
                <w:b w:val="0"/>
                <w:bCs/>
                <w:sz w:val="32"/>
                <w:szCs w:val="32"/>
              </w:rPr>
              <w:instrText xml:space="preserve"> PAGEREF _Toc9828 \h </w:instrText>
            </w:r>
            <w:r>
              <w:rPr>
                <w:rFonts w:cs="仿宋" w:hint="eastAsia"/>
                <w:b w:val="0"/>
                <w:bCs/>
                <w:sz w:val="32"/>
                <w:szCs w:val="32"/>
              </w:rPr>
            </w:r>
            <w:r>
              <w:rPr>
                <w:rFonts w:cs="仿宋" w:hint="eastAsia"/>
                <w:b w:val="0"/>
                <w:bCs/>
                <w:sz w:val="32"/>
                <w:szCs w:val="32"/>
              </w:rPr>
              <w:fldChar w:fldCharType="separate"/>
            </w:r>
            <w:r>
              <w:rPr>
                <w:rFonts w:cs="仿宋" w:hint="eastAsia"/>
                <w:b w:val="0"/>
                <w:bCs/>
                <w:sz w:val="32"/>
                <w:szCs w:val="32"/>
              </w:rPr>
              <w:t>8</w:t>
            </w:r>
            <w:r>
              <w:rPr>
                <w:rFonts w:cs="仿宋" w:hint="eastAsia"/>
                <w:b w:val="0"/>
                <w:bCs/>
                <w:sz w:val="32"/>
                <w:szCs w:val="32"/>
              </w:rPr>
              <w:fldChar w:fldCharType="end"/>
            </w:r>
          </w:hyperlink>
        </w:p>
        <w:p w14:paraId="390902EF" w14:textId="77777777" w:rsidR="007C06AB" w:rsidRDefault="00000000">
          <w:pPr>
            <w:pStyle w:val="TOC2"/>
            <w:tabs>
              <w:tab w:val="right" w:leader="dot" w:pos="8306"/>
            </w:tabs>
            <w:rPr>
              <w:rFonts w:ascii="仿宋" w:eastAsia="仿宋" w:hAnsi="仿宋" w:cs="仿宋"/>
              <w:sz w:val="32"/>
              <w:szCs w:val="32"/>
            </w:rPr>
          </w:pPr>
          <w:hyperlink w:anchor="_Toc19654" w:history="1">
            <w:r>
              <w:rPr>
                <w:rFonts w:ascii="仿宋" w:eastAsia="仿宋" w:hAnsi="仿宋" w:cs="仿宋" w:hint="eastAsia"/>
                <w:sz w:val="32"/>
                <w:szCs w:val="32"/>
              </w:rPr>
              <w:t>（一）财务管理</w:t>
            </w:r>
            <w:r>
              <w:rPr>
                <w:rFonts w:ascii="仿宋" w:eastAsia="仿宋" w:hAnsi="仿宋" w:cs="仿宋" w:hint="eastAsia"/>
                <w:sz w:val="32"/>
                <w:szCs w:val="32"/>
              </w:rPr>
              <w:tab/>
            </w:r>
            <w:r>
              <w:rPr>
                <w:rFonts w:ascii="仿宋" w:eastAsia="仿宋" w:hAnsi="仿宋" w:cs="仿宋"/>
                <w:sz w:val="32"/>
                <w:szCs w:val="32"/>
              </w:rPr>
              <w:t>13</w:t>
            </w:r>
          </w:hyperlink>
        </w:p>
        <w:p w14:paraId="29C25F1F" w14:textId="77777777" w:rsidR="007C06AB" w:rsidRDefault="00000000">
          <w:pPr>
            <w:pStyle w:val="TOC2"/>
            <w:tabs>
              <w:tab w:val="right" w:leader="dot" w:pos="8306"/>
            </w:tabs>
            <w:rPr>
              <w:rFonts w:ascii="仿宋" w:eastAsia="仿宋" w:hAnsi="仿宋" w:cs="仿宋"/>
              <w:sz w:val="32"/>
              <w:szCs w:val="32"/>
            </w:rPr>
          </w:pPr>
          <w:hyperlink w:anchor="_Toc24557" w:history="1">
            <w:r>
              <w:rPr>
                <w:rFonts w:ascii="仿宋" w:eastAsia="仿宋" w:hAnsi="仿宋" w:cs="仿宋" w:hint="eastAsia"/>
                <w:sz w:val="32"/>
                <w:szCs w:val="32"/>
              </w:rPr>
              <w:t>（二）资产管理</w:t>
            </w:r>
            <w:r>
              <w:rPr>
                <w:rFonts w:ascii="仿宋" w:eastAsia="仿宋" w:hAnsi="仿宋" w:cs="仿宋" w:hint="eastAsia"/>
                <w:sz w:val="32"/>
                <w:szCs w:val="32"/>
              </w:rPr>
              <w:tab/>
            </w:r>
            <w:r>
              <w:rPr>
                <w:rFonts w:ascii="仿宋" w:eastAsia="仿宋" w:hAnsi="仿宋" w:cs="仿宋"/>
                <w:sz w:val="32"/>
                <w:szCs w:val="32"/>
              </w:rPr>
              <w:t>14</w:t>
            </w:r>
          </w:hyperlink>
        </w:p>
        <w:p w14:paraId="20C7E901" w14:textId="77777777" w:rsidR="007C06AB" w:rsidRDefault="00000000">
          <w:pPr>
            <w:pStyle w:val="TOC2"/>
            <w:tabs>
              <w:tab w:val="right" w:leader="dot" w:pos="8306"/>
            </w:tabs>
            <w:rPr>
              <w:rFonts w:ascii="仿宋" w:eastAsia="仿宋" w:hAnsi="仿宋" w:cs="仿宋"/>
              <w:sz w:val="32"/>
              <w:szCs w:val="32"/>
            </w:rPr>
          </w:pPr>
          <w:hyperlink w:anchor="_Toc8583" w:history="1">
            <w:r>
              <w:rPr>
                <w:rFonts w:ascii="仿宋" w:eastAsia="仿宋" w:hAnsi="仿宋" w:cs="仿宋" w:hint="eastAsia"/>
                <w:sz w:val="32"/>
                <w:szCs w:val="32"/>
              </w:rPr>
              <w:t>（三）绩效管理</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_Toc8583 \h </w:instrText>
            </w:r>
            <w:r>
              <w:rPr>
                <w:rFonts w:ascii="仿宋" w:eastAsia="仿宋" w:hAnsi="仿宋" w:cs="仿宋" w:hint="eastAsia"/>
                <w:sz w:val="32"/>
                <w:szCs w:val="32"/>
              </w:rPr>
            </w:r>
            <w:r>
              <w:rPr>
                <w:rFonts w:ascii="仿宋" w:eastAsia="仿宋" w:hAnsi="仿宋" w:cs="仿宋" w:hint="eastAsia"/>
                <w:sz w:val="32"/>
                <w:szCs w:val="32"/>
              </w:rPr>
              <w:fldChar w:fldCharType="separate"/>
            </w:r>
            <w:r>
              <w:rPr>
                <w:rFonts w:ascii="仿宋" w:eastAsia="仿宋" w:hAnsi="仿宋" w:cs="仿宋" w:hint="eastAsia"/>
                <w:sz w:val="32"/>
                <w:szCs w:val="32"/>
              </w:rPr>
              <w:t>1</w:t>
            </w:r>
            <w:r>
              <w:rPr>
                <w:rFonts w:ascii="仿宋" w:eastAsia="仿宋" w:hAnsi="仿宋" w:cs="仿宋"/>
                <w:sz w:val="32"/>
                <w:szCs w:val="32"/>
              </w:rPr>
              <w:t>5</w:t>
            </w:r>
            <w:r>
              <w:rPr>
                <w:rFonts w:ascii="仿宋" w:eastAsia="仿宋" w:hAnsi="仿宋" w:cs="仿宋" w:hint="eastAsia"/>
                <w:sz w:val="32"/>
                <w:szCs w:val="32"/>
              </w:rPr>
              <w:fldChar w:fldCharType="end"/>
            </w:r>
          </w:hyperlink>
        </w:p>
        <w:p w14:paraId="3496D759" w14:textId="25C9B7FC" w:rsidR="005931A2" w:rsidRDefault="00000000" w:rsidP="005931A2">
          <w:pPr>
            <w:pStyle w:val="TOC2"/>
            <w:tabs>
              <w:tab w:val="right" w:leader="dot" w:pos="8306"/>
            </w:tabs>
            <w:rPr>
              <w:rFonts w:ascii="仿宋" w:eastAsia="仿宋" w:hAnsi="仿宋" w:cs="仿宋"/>
              <w:sz w:val="32"/>
              <w:szCs w:val="32"/>
            </w:rPr>
          </w:pPr>
          <w:hyperlink w:anchor="_Toc8583" w:history="1">
            <w:r w:rsidR="005931A2" w:rsidRPr="00747EEF">
              <w:rPr>
                <w:rFonts w:ascii="仿宋" w:eastAsia="仿宋" w:hAnsi="仿宋" w:cs="仿宋" w:hint="eastAsia"/>
                <w:sz w:val="32"/>
                <w:szCs w:val="32"/>
              </w:rPr>
              <w:t>（</w:t>
            </w:r>
            <w:r w:rsidR="005931A2">
              <w:rPr>
                <w:rFonts w:ascii="仿宋" w:eastAsia="仿宋" w:hAnsi="仿宋" w:cs="仿宋" w:hint="eastAsia"/>
                <w:sz w:val="32"/>
                <w:szCs w:val="32"/>
              </w:rPr>
              <w:t>四</w:t>
            </w:r>
            <w:r w:rsidR="005931A2" w:rsidRPr="00747EEF">
              <w:rPr>
                <w:rFonts w:ascii="仿宋" w:eastAsia="仿宋" w:hAnsi="仿宋" w:cs="仿宋" w:hint="eastAsia"/>
                <w:sz w:val="32"/>
                <w:szCs w:val="32"/>
              </w:rPr>
              <w:t>）</w:t>
            </w:r>
            <w:r w:rsidR="005931A2">
              <w:rPr>
                <w:rFonts w:ascii="仿宋" w:eastAsia="仿宋" w:hAnsi="仿宋" w:cs="仿宋" w:hint="eastAsia"/>
                <w:sz w:val="32"/>
                <w:szCs w:val="32"/>
              </w:rPr>
              <w:t>结转结余率</w:t>
            </w:r>
            <w:r w:rsidR="005931A2" w:rsidRPr="00747EEF">
              <w:rPr>
                <w:rFonts w:ascii="仿宋" w:eastAsia="仿宋" w:hAnsi="仿宋" w:cs="仿宋" w:hint="eastAsia"/>
                <w:sz w:val="32"/>
                <w:szCs w:val="32"/>
              </w:rPr>
              <w:tab/>
            </w:r>
            <w:r w:rsidR="005931A2" w:rsidRPr="00747EEF">
              <w:rPr>
                <w:rFonts w:ascii="仿宋" w:eastAsia="仿宋" w:hAnsi="仿宋" w:cs="仿宋" w:hint="eastAsia"/>
                <w:sz w:val="32"/>
                <w:szCs w:val="32"/>
              </w:rPr>
              <w:fldChar w:fldCharType="begin"/>
            </w:r>
            <w:r w:rsidR="005931A2" w:rsidRPr="00747EEF">
              <w:rPr>
                <w:rFonts w:ascii="仿宋" w:eastAsia="仿宋" w:hAnsi="仿宋" w:cs="仿宋" w:hint="eastAsia"/>
                <w:sz w:val="32"/>
                <w:szCs w:val="32"/>
              </w:rPr>
              <w:instrText xml:space="preserve"> PAGEREF _Toc8583 \h </w:instrText>
            </w:r>
            <w:r w:rsidR="005931A2" w:rsidRPr="00747EEF">
              <w:rPr>
                <w:rFonts w:ascii="仿宋" w:eastAsia="仿宋" w:hAnsi="仿宋" w:cs="仿宋" w:hint="eastAsia"/>
                <w:sz w:val="32"/>
                <w:szCs w:val="32"/>
              </w:rPr>
            </w:r>
            <w:r w:rsidR="005931A2" w:rsidRPr="00747EEF">
              <w:rPr>
                <w:rFonts w:ascii="仿宋" w:eastAsia="仿宋" w:hAnsi="仿宋" w:cs="仿宋" w:hint="eastAsia"/>
                <w:sz w:val="32"/>
                <w:szCs w:val="32"/>
              </w:rPr>
              <w:fldChar w:fldCharType="separate"/>
            </w:r>
            <w:r w:rsidR="005931A2" w:rsidRPr="00747EEF">
              <w:rPr>
                <w:rFonts w:ascii="仿宋" w:eastAsia="仿宋" w:hAnsi="仿宋" w:cs="仿宋" w:hint="eastAsia"/>
                <w:sz w:val="32"/>
                <w:szCs w:val="32"/>
              </w:rPr>
              <w:t>1</w:t>
            </w:r>
            <w:r w:rsidR="00ED1585">
              <w:rPr>
                <w:rFonts w:ascii="仿宋" w:eastAsia="仿宋" w:hAnsi="仿宋" w:cs="仿宋"/>
                <w:sz w:val="32"/>
                <w:szCs w:val="32"/>
              </w:rPr>
              <w:t>6</w:t>
            </w:r>
            <w:r w:rsidR="005931A2" w:rsidRPr="00747EEF">
              <w:rPr>
                <w:rFonts w:ascii="仿宋" w:eastAsia="仿宋" w:hAnsi="仿宋" w:cs="仿宋" w:hint="eastAsia"/>
                <w:sz w:val="32"/>
                <w:szCs w:val="32"/>
              </w:rPr>
              <w:fldChar w:fldCharType="end"/>
            </w:r>
          </w:hyperlink>
        </w:p>
        <w:p w14:paraId="30427C71" w14:textId="1F14CD7A" w:rsidR="007C06AB" w:rsidRDefault="00000000">
          <w:pPr>
            <w:pStyle w:val="TOC2"/>
            <w:tabs>
              <w:tab w:val="right" w:leader="dot" w:pos="8306"/>
            </w:tabs>
          </w:pPr>
          <w:hyperlink w:anchor="_Toc28564" w:history="1">
            <w:r>
              <w:rPr>
                <w:rFonts w:ascii="仿宋" w:eastAsia="仿宋" w:hAnsi="仿宋" w:cs="仿宋" w:hint="eastAsia"/>
                <w:sz w:val="32"/>
                <w:szCs w:val="32"/>
              </w:rPr>
              <w:t>（</w:t>
            </w:r>
            <w:r w:rsidR="005931A2">
              <w:rPr>
                <w:rFonts w:ascii="仿宋" w:eastAsia="仿宋" w:hAnsi="仿宋" w:cs="仿宋" w:hint="eastAsia"/>
                <w:sz w:val="32"/>
                <w:szCs w:val="32"/>
              </w:rPr>
              <w:t>五</w:t>
            </w:r>
            <w:r>
              <w:rPr>
                <w:rFonts w:ascii="仿宋" w:eastAsia="仿宋" w:hAnsi="仿宋" w:cs="仿宋" w:hint="eastAsia"/>
                <w:sz w:val="32"/>
                <w:szCs w:val="32"/>
              </w:rPr>
              <w:t>）部门预决算差异率</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_Toc28564 \h </w:instrText>
            </w:r>
            <w:r>
              <w:rPr>
                <w:rFonts w:ascii="仿宋" w:eastAsia="仿宋" w:hAnsi="仿宋" w:cs="仿宋" w:hint="eastAsia"/>
                <w:sz w:val="32"/>
                <w:szCs w:val="32"/>
              </w:rPr>
            </w:r>
            <w:r>
              <w:rPr>
                <w:rFonts w:ascii="仿宋" w:eastAsia="仿宋" w:hAnsi="仿宋" w:cs="仿宋" w:hint="eastAsia"/>
                <w:sz w:val="32"/>
                <w:szCs w:val="32"/>
              </w:rPr>
              <w:fldChar w:fldCharType="separate"/>
            </w:r>
            <w:r>
              <w:rPr>
                <w:rFonts w:ascii="仿宋" w:eastAsia="仿宋" w:hAnsi="仿宋" w:cs="仿宋" w:hint="eastAsia"/>
                <w:sz w:val="32"/>
                <w:szCs w:val="32"/>
              </w:rPr>
              <w:t>1</w:t>
            </w:r>
            <w:r w:rsidR="00ED1585">
              <w:rPr>
                <w:rFonts w:ascii="仿宋" w:eastAsia="仿宋" w:hAnsi="仿宋" w:cs="仿宋"/>
                <w:sz w:val="32"/>
                <w:szCs w:val="32"/>
              </w:rPr>
              <w:t>6</w:t>
            </w:r>
            <w:r>
              <w:rPr>
                <w:rFonts w:ascii="仿宋" w:eastAsia="仿宋" w:hAnsi="仿宋" w:cs="仿宋" w:hint="eastAsia"/>
                <w:sz w:val="32"/>
                <w:szCs w:val="32"/>
              </w:rPr>
              <w:fldChar w:fldCharType="end"/>
            </w:r>
          </w:hyperlink>
        </w:p>
        <w:p w14:paraId="01ACD3EB" w14:textId="77777777" w:rsidR="007C06AB" w:rsidRDefault="00000000">
          <w:pPr>
            <w:pStyle w:val="TOC1"/>
            <w:tabs>
              <w:tab w:val="clear" w:pos="8296"/>
              <w:tab w:val="right" w:leader="dot" w:pos="8306"/>
            </w:tabs>
          </w:pPr>
          <w:hyperlink w:anchor="_Toc16996" w:history="1">
            <w:r>
              <w:rPr>
                <w:rFonts w:ascii="楷体" w:eastAsia="楷体" w:hAnsi="楷体" w:cs="楷体" w:hint="eastAsia"/>
                <w:sz w:val="32"/>
                <w:szCs w:val="32"/>
              </w:rPr>
              <w:t>五、总体评价结论</w:t>
            </w:r>
            <w:r>
              <w:rPr>
                <w:rFonts w:ascii="楷体" w:eastAsia="楷体" w:hAnsi="楷体" w:cs="楷体" w:hint="eastAsia"/>
                <w:sz w:val="32"/>
                <w:szCs w:val="32"/>
              </w:rPr>
              <w:tab/>
            </w:r>
            <w:r>
              <w:rPr>
                <w:rFonts w:cs="仿宋" w:hint="eastAsia"/>
                <w:b w:val="0"/>
                <w:bCs/>
                <w:sz w:val="32"/>
                <w:szCs w:val="32"/>
              </w:rPr>
              <w:fldChar w:fldCharType="begin"/>
            </w:r>
            <w:r>
              <w:rPr>
                <w:rFonts w:cs="仿宋" w:hint="eastAsia"/>
                <w:b w:val="0"/>
                <w:bCs/>
                <w:sz w:val="32"/>
                <w:szCs w:val="32"/>
              </w:rPr>
              <w:instrText xml:space="preserve"> PAGEREF _Toc16996 \h </w:instrText>
            </w:r>
            <w:r>
              <w:rPr>
                <w:rFonts w:cs="仿宋" w:hint="eastAsia"/>
                <w:b w:val="0"/>
                <w:bCs/>
                <w:sz w:val="32"/>
                <w:szCs w:val="32"/>
              </w:rPr>
            </w:r>
            <w:r>
              <w:rPr>
                <w:rFonts w:cs="仿宋" w:hint="eastAsia"/>
                <w:b w:val="0"/>
                <w:bCs/>
                <w:sz w:val="32"/>
                <w:szCs w:val="32"/>
              </w:rPr>
              <w:fldChar w:fldCharType="separate"/>
            </w:r>
            <w:r>
              <w:rPr>
                <w:rFonts w:cs="仿宋" w:hint="eastAsia"/>
                <w:b w:val="0"/>
                <w:bCs/>
                <w:sz w:val="32"/>
                <w:szCs w:val="32"/>
              </w:rPr>
              <w:t>1</w:t>
            </w:r>
            <w:r>
              <w:rPr>
                <w:rFonts w:cs="仿宋"/>
                <w:b w:val="0"/>
                <w:bCs/>
                <w:sz w:val="32"/>
                <w:szCs w:val="32"/>
              </w:rPr>
              <w:t>6</w:t>
            </w:r>
            <w:r>
              <w:rPr>
                <w:rFonts w:cs="仿宋" w:hint="eastAsia"/>
                <w:b w:val="0"/>
                <w:bCs/>
                <w:sz w:val="32"/>
                <w:szCs w:val="32"/>
              </w:rPr>
              <w:fldChar w:fldCharType="end"/>
            </w:r>
          </w:hyperlink>
        </w:p>
        <w:p w14:paraId="5E4AA22E" w14:textId="77777777" w:rsidR="007C06AB" w:rsidRDefault="00000000">
          <w:pPr>
            <w:pStyle w:val="TOC2"/>
            <w:tabs>
              <w:tab w:val="right" w:leader="dot" w:pos="8306"/>
            </w:tabs>
            <w:rPr>
              <w:rFonts w:ascii="仿宋" w:eastAsia="仿宋" w:hAnsi="仿宋" w:cs="仿宋"/>
              <w:sz w:val="32"/>
              <w:szCs w:val="32"/>
            </w:rPr>
          </w:pPr>
          <w:hyperlink w:anchor="_Toc23988" w:history="1">
            <w:r>
              <w:rPr>
                <w:rFonts w:ascii="仿宋" w:eastAsia="仿宋" w:hAnsi="仿宋" w:cs="仿宋" w:hint="eastAsia"/>
                <w:sz w:val="32"/>
                <w:szCs w:val="32"/>
              </w:rPr>
              <w:t>（一）评价得分情况</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_Toc23988 \h </w:instrText>
            </w:r>
            <w:r>
              <w:rPr>
                <w:rFonts w:ascii="仿宋" w:eastAsia="仿宋" w:hAnsi="仿宋" w:cs="仿宋" w:hint="eastAsia"/>
                <w:sz w:val="32"/>
                <w:szCs w:val="32"/>
              </w:rPr>
            </w:r>
            <w:r>
              <w:rPr>
                <w:rFonts w:ascii="仿宋" w:eastAsia="仿宋" w:hAnsi="仿宋" w:cs="仿宋" w:hint="eastAsia"/>
                <w:sz w:val="32"/>
                <w:szCs w:val="32"/>
              </w:rPr>
              <w:fldChar w:fldCharType="separate"/>
            </w:r>
            <w:r>
              <w:rPr>
                <w:rFonts w:ascii="仿宋" w:eastAsia="仿宋" w:hAnsi="仿宋" w:cs="仿宋" w:hint="eastAsia"/>
                <w:sz w:val="32"/>
                <w:szCs w:val="32"/>
              </w:rPr>
              <w:t>1</w:t>
            </w:r>
            <w:r>
              <w:rPr>
                <w:rFonts w:ascii="仿宋" w:eastAsia="仿宋" w:hAnsi="仿宋" w:cs="仿宋"/>
                <w:sz w:val="32"/>
                <w:szCs w:val="32"/>
              </w:rPr>
              <w:t>6</w:t>
            </w:r>
            <w:r>
              <w:rPr>
                <w:rFonts w:ascii="仿宋" w:eastAsia="仿宋" w:hAnsi="仿宋" w:cs="仿宋" w:hint="eastAsia"/>
                <w:sz w:val="32"/>
                <w:szCs w:val="32"/>
              </w:rPr>
              <w:fldChar w:fldCharType="end"/>
            </w:r>
          </w:hyperlink>
        </w:p>
        <w:p w14:paraId="703CA750" w14:textId="77777777" w:rsidR="007C06AB" w:rsidRDefault="00000000">
          <w:pPr>
            <w:pStyle w:val="TOC2"/>
            <w:tabs>
              <w:tab w:val="right" w:leader="dot" w:pos="8306"/>
            </w:tabs>
          </w:pPr>
          <w:hyperlink w:anchor="_Toc21942" w:history="1">
            <w:r>
              <w:rPr>
                <w:rFonts w:ascii="仿宋" w:eastAsia="仿宋" w:hAnsi="仿宋" w:cs="仿宋" w:hint="eastAsia"/>
                <w:sz w:val="32"/>
                <w:szCs w:val="32"/>
              </w:rPr>
              <w:t>（二）存在的问题及原因分析</w:t>
            </w:r>
            <w:r>
              <w:rPr>
                <w:rFonts w:ascii="仿宋" w:eastAsia="仿宋" w:hAnsi="仿宋" w:cs="仿宋" w:hint="eastAsia"/>
                <w:sz w:val="32"/>
                <w:szCs w:val="32"/>
              </w:rPr>
              <w:tab/>
            </w: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 PAGEREF _Toc21942 \h </w:instrText>
            </w:r>
            <w:r>
              <w:rPr>
                <w:rFonts w:ascii="仿宋" w:eastAsia="仿宋" w:hAnsi="仿宋" w:cs="仿宋" w:hint="eastAsia"/>
                <w:sz w:val="32"/>
                <w:szCs w:val="32"/>
              </w:rPr>
            </w:r>
            <w:r>
              <w:rPr>
                <w:rFonts w:ascii="仿宋" w:eastAsia="仿宋" w:hAnsi="仿宋" w:cs="仿宋" w:hint="eastAsia"/>
                <w:sz w:val="32"/>
                <w:szCs w:val="32"/>
              </w:rPr>
              <w:fldChar w:fldCharType="separate"/>
            </w:r>
            <w:r>
              <w:rPr>
                <w:rFonts w:ascii="仿宋" w:eastAsia="仿宋" w:hAnsi="仿宋" w:cs="仿宋" w:hint="eastAsia"/>
                <w:sz w:val="32"/>
                <w:szCs w:val="32"/>
              </w:rPr>
              <w:t>1</w:t>
            </w:r>
            <w:r>
              <w:rPr>
                <w:rFonts w:ascii="仿宋" w:eastAsia="仿宋" w:hAnsi="仿宋" w:cs="仿宋"/>
                <w:sz w:val="32"/>
                <w:szCs w:val="32"/>
              </w:rPr>
              <w:t>6</w:t>
            </w:r>
            <w:r>
              <w:rPr>
                <w:rFonts w:ascii="仿宋" w:eastAsia="仿宋" w:hAnsi="仿宋" w:cs="仿宋" w:hint="eastAsia"/>
                <w:sz w:val="32"/>
                <w:szCs w:val="32"/>
              </w:rPr>
              <w:fldChar w:fldCharType="end"/>
            </w:r>
          </w:hyperlink>
        </w:p>
        <w:p w14:paraId="61EB886B" w14:textId="77777777" w:rsidR="007C06AB" w:rsidRDefault="00000000">
          <w:pPr>
            <w:pStyle w:val="TOC1"/>
            <w:tabs>
              <w:tab w:val="clear" w:pos="8296"/>
              <w:tab w:val="right" w:leader="dot" w:pos="8306"/>
            </w:tabs>
            <w:rPr>
              <w:rFonts w:ascii="楷体" w:eastAsia="楷体" w:hAnsi="楷体" w:cs="楷体"/>
              <w:sz w:val="32"/>
              <w:szCs w:val="32"/>
            </w:rPr>
          </w:pPr>
          <w:hyperlink w:anchor="_Toc16460" w:history="1">
            <w:r>
              <w:rPr>
                <w:rFonts w:ascii="楷体" w:eastAsia="楷体" w:hAnsi="楷体" w:cs="楷体" w:hint="eastAsia"/>
                <w:kern w:val="0"/>
                <w:sz w:val="32"/>
                <w:szCs w:val="32"/>
              </w:rPr>
              <w:t>六、措施建议</w:t>
            </w:r>
            <w:r>
              <w:rPr>
                <w:rFonts w:ascii="楷体" w:eastAsia="楷体" w:hAnsi="楷体" w:cs="楷体" w:hint="eastAsia"/>
                <w:sz w:val="32"/>
                <w:szCs w:val="32"/>
              </w:rPr>
              <w:tab/>
            </w:r>
            <w:r>
              <w:rPr>
                <w:rFonts w:cs="仿宋" w:hint="eastAsia"/>
                <w:b w:val="0"/>
                <w:bCs/>
                <w:sz w:val="32"/>
                <w:szCs w:val="32"/>
              </w:rPr>
              <w:fldChar w:fldCharType="begin"/>
            </w:r>
            <w:r>
              <w:rPr>
                <w:rFonts w:cs="仿宋" w:hint="eastAsia"/>
                <w:b w:val="0"/>
                <w:bCs/>
                <w:sz w:val="32"/>
                <w:szCs w:val="32"/>
              </w:rPr>
              <w:instrText xml:space="preserve"> PAGEREF _Toc16460 \h </w:instrText>
            </w:r>
            <w:r>
              <w:rPr>
                <w:rFonts w:cs="仿宋" w:hint="eastAsia"/>
                <w:b w:val="0"/>
                <w:bCs/>
                <w:sz w:val="32"/>
                <w:szCs w:val="32"/>
              </w:rPr>
            </w:r>
            <w:r>
              <w:rPr>
                <w:rFonts w:cs="仿宋" w:hint="eastAsia"/>
                <w:b w:val="0"/>
                <w:bCs/>
                <w:sz w:val="32"/>
                <w:szCs w:val="32"/>
              </w:rPr>
              <w:fldChar w:fldCharType="separate"/>
            </w:r>
            <w:r>
              <w:rPr>
                <w:rFonts w:cs="仿宋" w:hint="eastAsia"/>
                <w:b w:val="0"/>
                <w:bCs/>
                <w:sz w:val="32"/>
                <w:szCs w:val="32"/>
              </w:rPr>
              <w:t>1</w:t>
            </w:r>
            <w:r>
              <w:rPr>
                <w:rFonts w:cs="仿宋"/>
                <w:b w:val="0"/>
                <w:bCs/>
                <w:sz w:val="32"/>
                <w:szCs w:val="32"/>
              </w:rPr>
              <w:t>7</w:t>
            </w:r>
            <w:r>
              <w:rPr>
                <w:rFonts w:cs="仿宋" w:hint="eastAsia"/>
                <w:b w:val="0"/>
                <w:bCs/>
                <w:sz w:val="32"/>
                <w:szCs w:val="32"/>
              </w:rPr>
              <w:fldChar w:fldCharType="end"/>
            </w:r>
          </w:hyperlink>
        </w:p>
        <w:p w14:paraId="23DD617E" w14:textId="77777777" w:rsidR="007C06AB" w:rsidRDefault="00000000">
          <w:pPr>
            <w:pStyle w:val="TOC1"/>
            <w:tabs>
              <w:tab w:val="clear" w:pos="8296"/>
              <w:tab w:val="right" w:leader="dot" w:pos="8306"/>
            </w:tabs>
            <w:rPr>
              <w:rFonts w:ascii="楷体" w:eastAsia="楷体" w:hAnsi="楷体" w:cs="楷体"/>
              <w:sz w:val="32"/>
              <w:szCs w:val="32"/>
            </w:rPr>
          </w:pPr>
          <w:hyperlink w:anchor="_Toc25191" w:history="1">
            <w:r>
              <w:rPr>
                <w:rFonts w:ascii="楷体" w:eastAsia="楷体" w:hAnsi="楷体" w:cs="楷体" w:hint="eastAsia"/>
                <w:bCs/>
                <w:kern w:val="0"/>
                <w:sz w:val="32"/>
                <w:szCs w:val="32"/>
              </w:rPr>
              <w:t>七、附件</w:t>
            </w:r>
            <w:r>
              <w:rPr>
                <w:rFonts w:ascii="楷体" w:eastAsia="楷体" w:hAnsi="楷体" w:cs="楷体" w:hint="eastAsia"/>
                <w:sz w:val="32"/>
                <w:szCs w:val="32"/>
              </w:rPr>
              <w:tab/>
            </w:r>
            <w:r>
              <w:rPr>
                <w:rFonts w:cs="仿宋" w:hint="eastAsia"/>
                <w:b w:val="0"/>
                <w:bCs/>
                <w:sz w:val="32"/>
                <w:szCs w:val="32"/>
              </w:rPr>
              <w:fldChar w:fldCharType="begin"/>
            </w:r>
            <w:r>
              <w:rPr>
                <w:rFonts w:cs="仿宋" w:hint="eastAsia"/>
                <w:b w:val="0"/>
                <w:bCs/>
                <w:sz w:val="32"/>
                <w:szCs w:val="32"/>
              </w:rPr>
              <w:instrText xml:space="preserve"> PAGEREF _Toc25191 \h </w:instrText>
            </w:r>
            <w:r>
              <w:rPr>
                <w:rFonts w:cs="仿宋" w:hint="eastAsia"/>
                <w:b w:val="0"/>
                <w:bCs/>
                <w:sz w:val="32"/>
                <w:szCs w:val="32"/>
              </w:rPr>
            </w:r>
            <w:r>
              <w:rPr>
                <w:rFonts w:cs="仿宋" w:hint="eastAsia"/>
                <w:b w:val="0"/>
                <w:bCs/>
                <w:sz w:val="32"/>
                <w:szCs w:val="32"/>
              </w:rPr>
              <w:fldChar w:fldCharType="separate"/>
            </w:r>
            <w:r>
              <w:rPr>
                <w:rFonts w:cs="仿宋" w:hint="eastAsia"/>
                <w:b w:val="0"/>
                <w:bCs/>
                <w:sz w:val="32"/>
                <w:szCs w:val="32"/>
              </w:rPr>
              <w:t>1</w:t>
            </w:r>
            <w:r>
              <w:rPr>
                <w:rFonts w:cs="仿宋"/>
                <w:b w:val="0"/>
                <w:bCs/>
                <w:sz w:val="32"/>
                <w:szCs w:val="32"/>
              </w:rPr>
              <w:t>9</w:t>
            </w:r>
            <w:r>
              <w:rPr>
                <w:rFonts w:cs="仿宋" w:hint="eastAsia"/>
                <w:b w:val="0"/>
                <w:bCs/>
                <w:sz w:val="32"/>
                <w:szCs w:val="32"/>
              </w:rPr>
              <w:fldChar w:fldCharType="end"/>
            </w:r>
          </w:hyperlink>
        </w:p>
        <w:p w14:paraId="7EF1D278" w14:textId="77777777" w:rsidR="007C06AB" w:rsidRDefault="007C06AB">
          <w:pPr>
            <w:widowControl/>
            <w:spacing w:line="500" w:lineRule="exact"/>
            <w:jc w:val="left"/>
            <w:sectPr w:rsidR="007C06AB">
              <w:footerReference w:type="default" r:id="rId11"/>
              <w:pgSz w:w="11906" w:h="16838"/>
              <w:pgMar w:top="1440" w:right="1800" w:bottom="1440" w:left="1800" w:header="851" w:footer="992" w:gutter="0"/>
              <w:cols w:space="425"/>
              <w:docGrid w:type="lines" w:linePitch="312"/>
            </w:sectPr>
          </w:pPr>
        </w:p>
        <w:p w14:paraId="1E245289" w14:textId="77777777" w:rsidR="007C06AB" w:rsidRDefault="00000000">
          <w:pPr>
            <w:widowControl/>
            <w:spacing w:line="500" w:lineRule="exact"/>
            <w:jc w:val="left"/>
            <w:rPr>
              <w:rFonts w:ascii="宋体" w:hAnsi="宋体"/>
            </w:rPr>
          </w:pPr>
          <w:r>
            <w:lastRenderedPageBreak/>
            <w:fldChar w:fldCharType="end"/>
          </w:r>
        </w:p>
      </w:sdtContent>
    </w:sdt>
    <w:p w14:paraId="727F1EDE" w14:textId="77777777" w:rsidR="007C06AB" w:rsidRDefault="00000000">
      <w:pPr>
        <w:spacing w:line="560" w:lineRule="exact"/>
        <w:jc w:val="center"/>
        <w:rPr>
          <w:rFonts w:ascii="黑体" w:eastAsia="黑体" w:hAnsi="黑体"/>
          <w:sz w:val="44"/>
          <w:szCs w:val="44"/>
        </w:rPr>
      </w:pPr>
      <w:r>
        <w:rPr>
          <w:rFonts w:ascii="黑体" w:eastAsia="黑体" w:hAnsi="黑体" w:hint="eastAsia"/>
          <w:sz w:val="44"/>
          <w:szCs w:val="44"/>
        </w:rPr>
        <w:t>北京市</w:t>
      </w:r>
      <w:proofErr w:type="gramStart"/>
      <w:r>
        <w:rPr>
          <w:rFonts w:ascii="黑体" w:eastAsia="黑体" w:hAnsi="黑体" w:hint="eastAsia"/>
          <w:sz w:val="44"/>
          <w:szCs w:val="44"/>
        </w:rPr>
        <w:t>大兴区</w:t>
      </w:r>
      <w:proofErr w:type="gramEnd"/>
      <w:r>
        <w:rPr>
          <w:rFonts w:ascii="黑体" w:eastAsia="黑体" w:hAnsi="黑体" w:hint="eastAsia"/>
          <w:sz w:val="44"/>
          <w:szCs w:val="44"/>
        </w:rPr>
        <w:t>人民法院</w:t>
      </w:r>
    </w:p>
    <w:p w14:paraId="11D02755" w14:textId="77777777" w:rsidR="007C06AB" w:rsidRDefault="00000000">
      <w:pPr>
        <w:spacing w:line="560" w:lineRule="exact"/>
        <w:jc w:val="center"/>
        <w:rPr>
          <w:rFonts w:ascii="黑体" w:eastAsia="黑体" w:hAnsi="黑体"/>
          <w:sz w:val="44"/>
          <w:szCs w:val="44"/>
        </w:rPr>
      </w:pPr>
      <w:r>
        <w:rPr>
          <w:rFonts w:ascii="黑体" w:eastAsia="黑体" w:hAnsi="黑体" w:hint="eastAsia"/>
          <w:sz w:val="44"/>
          <w:szCs w:val="44"/>
        </w:rPr>
        <w:t>部门整体绩效评价报告</w:t>
      </w:r>
    </w:p>
    <w:p w14:paraId="7981A4F1" w14:textId="77777777" w:rsidR="007C06AB" w:rsidRDefault="00000000">
      <w:pPr>
        <w:spacing w:beforeLines="50" w:before="156" w:line="360" w:lineRule="auto"/>
        <w:jc w:val="right"/>
        <w:rPr>
          <w:rFonts w:ascii="仿宋_GB2312" w:eastAsia="仿宋_GB2312" w:hAnsi="仿宋_GB2312" w:cs="仿宋_GB2312"/>
          <w:sz w:val="28"/>
          <w:szCs w:val="28"/>
        </w:rPr>
      </w:pPr>
      <w:r>
        <w:rPr>
          <w:rFonts w:ascii="仿宋" w:eastAsia="仿宋" w:hAnsi="仿宋" w:cs="仿宋" w:hint="eastAsia"/>
          <w:sz w:val="28"/>
          <w:szCs w:val="28"/>
        </w:rPr>
        <w:t>正衡东亚专审【20</w:t>
      </w:r>
      <w:r>
        <w:rPr>
          <w:rFonts w:ascii="仿宋" w:eastAsia="仿宋" w:hAnsi="仿宋" w:cs="仿宋"/>
          <w:sz w:val="28"/>
          <w:szCs w:val="28"/>
        </w:rPr>
        <w:t>23</w:t>
      </w:r>
      <w:r>
        <w:rPr>
          <w:rFonts w:ascii="仿宋" w:eastAsia="仿宋" w:hAnsi="仿宋" w:cs="仿宋" w:hint="eastAsia"/>
          <w:sz w:val="28"/>
          <w:szCs w:val="28"/>
        </w:rPr>
        <w:t>】0</w:t>
      </w:r>
      <w:r>
        <w:rPr>
          <w:rFonts w:ascii="仿宋" w:eastAsia="仿宋" w:hAnsi="仿宋" w:cs="仿宋"/>
          <w:sz w:val="28"/>
          <w:szCs w:val="28"/>
        </w:rPr>
        <w:t>50</w:t>
      </w:r>
      <w:r>
        <w:rPr>
          <w:rFonts w:ascii="仿宋" w:eastAsia="仿宋" w:hAnsi="仿宋" w:cs="仿宋" w:hint="eastAsia"/>
          <w:sz w:val="28"/>
          <w:szCs w:val="28"/>
        </w:rPr>
        <w:t>号</w:t>
      </w:r>
    </w:p>
    <w:p w14:paraId="7DA1B32C" w14:textId="77777777" w:rsidR="007C06AB" w:rsidRDefault="00000000">
      <w:pPr>
        <w:spacing w:line="560" w:lineRule="exact"/>
        <w:ind w:firstLineChars="200" w:firstLine="640"/>
        <w:outlineLvl w:val="0"/>
        <w:rPr>
          <w:rFonts w:ascii="黑体" w:eastAsia="黑体" w:hAnsi="黑体" w:cs="宋体"/>
          <w:color w:val="000000"/>
          <w:kern w:val="0"/>
          <w:sz w:val="32"/>
          <w:szCs w:val="32"/>
        </w:rPr>
      </w:pPr>
      <w:bookmarkStart w:id="0" w:name="_Toc7377"/>
      <w:r>
        <w:rPr>
          <w:rFonts w:ascii="黑体" w:eastAsia="黑体" w:hAnsi="黑体" w:cs="宋体" w:hint="eastAsia"/>
          <w:color w:val="000000"/>
          <w:kern w:val="0"/>
          <w:sz w:val="32"/>
          <w:szCs w:val="32"/>
        </w:rPr>
        <w:t>一、部门概况</w:t>
      </w:r>
      <w:bookmarkEnd w:id="0"/>
    </w:p>
    <w:p w14:paraId="3F63A87A" w14:textId="77777777" w:rsidR="007C06AB" w:rsidRDefault="00000000">
      <w:pPr>
        <w:spacing w:line="560" w:lineRule="exact"/>
        <w:ind w:firstLineChars="200" w:firstLine="640"/>
        <w:outlineLvl w:val="1"/>
        <w:rPr>
          <w:rFonts w:ascii="楷体_GB2312" w:eastAsia="楷体_GB2312"/>
          <w:sz w:val="32"/>
          <w:szCs w:val="32"/>
        </w:rPr>
      </w:pPr>
      <w:bookmarkStart w:id="1" w:name="_Toc27027"/>
      <w:r>
        <w:rPr>
          <w:rFonts w:ascii="楷体_GB2312" w:eastAsia="楷体_GB2312" w:hint="eastAsia"/>
          <w:sz w:val="32"/>
          <w:szCs w:val="32"/>
        </w:rPr>
        <w:t>（一）机构设置及职责工作任务情况</w:t>
      </w:r>
      <w:bookmarkEnd w:id="1"/>
    </w:p>
    <w:p w14:paraId="6D433625" w14:textId="77777777" w:rsidR="007C06AB" w:rsidRDefault="00000000">
      <w:pPr>
        <w:adjustRightInd w:val="0"/>
        <w:snapToGrid w:val="0"/>
        <w:spacing w:line="560" w:lineRule="exact"/>
        <w:ind w:firstLineChars="200" w:firstLine="640"/>
        <w:rPr>
          <w:rFonts w:ascii="仿宋" w:eastAsia="仿宋" w:hAnsi="仿宋" w:cs="仿宋"/>
          <w:sz w:val="32"/>
          <w:szCs w:val="32"/>
        </w:rPr>
      </w:pPr>
      <w:r>
        <w:rPr>
          <w:rFonts w:ascii="仿宋_GB2312" w:eastAsia="仿宋_GB2312" w:hAnsi="仿宋_GB2312" w:cs="仿宋_GB2312" w:hint="eastAsia"/>
          <w:sz w:val="32"/>
          <w:szCs w:val="32"/>
        </w:rPr>
        <w:t>1.</w:t>
      </w:r>
      <w:r>
        <w:rPr>
          <w:rFonts w:ascii="仿宋" w:eastAsia="仿宋" w:hAnsi="仿宋" w:cs="仿宋" w:hint="eastAsia"/>
          <w:sz w:val="32"/>
          <w:szCs w:val="32"/>
        </w:rPr>
        <w:t>机构设置</w:t>
      </w:r>
    </w:p>
    <w:p w14:paraId="468123E0" w14:textId="77777777" w:rsidR="007C06AB" w:rsidRPr="00D7633A" w:rsidRDefault="00000000">
      <w:pPr>
        <w:spacing w:line="560" w:lineRule="exact"/>
        <w:ind w:firstLineChars="200" w:firstLine="640"/>
        <w:outlineLvl w:val="1"/>
        <w:rPr>
          <w:rFonts w:ascii="仿宋" w:eastAsia="仿宋" w:hAnsi="仿宋" w:cs="仿宋"/>
          <w:sz w:val="32"/>
          <w:szCs w:val="32"/>
        </w:rPr>
      </w:pPr>
      <w:bookmarkStart w:id="2" w:name="_Toc2753"/>
      <w:r w:rsidRPr="00D7633A">
        <w:rPr>
          <w:rFonts w:ascii="仿宋" w:eastAsia="仿宋" w:hAnsi="仿宋" w:cs="仿宋" w:hint="eastAsia"/>
          <w:sz w:val="32"/>
          <w:szCs w:val="32"/>
        </w:rPr>
        <w:t>北京市</w:t>
      </w:r>
      <w:proofErr w:type="gramStart"/>
      <w:r w:rsidRPr="00D7633A">
        <w:rPr>
          <w:rFonts w:ascii="仿宋" w:eastAsia="仿宋" w:hAnsi="仿宋" w:cs="仿宋" w:hint="eastAsia"/>
          <w:sz w:val="32"/>
          <w:szCs w:val="32"/>
        </w:rPr>
        <w:t>大兴区</w:t>
      </w:r>
      <w:proofErr w:type="gramEnd"/>
      <w:r w:rsidRPr="00D7633A">
        <w:rPr>
          <w:rFonts w:ascii="仿宋" w:eastAsia="仿宋" w:hAnsi="仿宋" w:cs="仿宋" w:hint="eastAsia"/>
          <w:sz w:val="32"/>
          <w:szCs w:val="32"/>
        </w:rPr>
        <w:t>人民法院共设19个内设机构，分别为：立案庭</w:t>
      </w:r>
      <w:r w:rsidR="00D7633A" w:rsidRPr="00D7633A">
        <w:rPr>
          <w:rFonts w:ascii="仿宋" w:eastAsia="仿宋" w:hAnsi="仿宋" w:cs="仿宋" w:hint="eastAsia"/>
          <w:sz w:val="32"/>
          <w:szCs w:val="32"/>
        </w:rPr>
        <w:t>（诉讼服务中心）</w:t>
      </w:r>
      <w:r w:rsidRPr="00D7633A">
        <w:rPr>
          <w:rFonts w:ascii="仿宋" w:eastAsia="仿宋" w:hAnsi="仿宋" w:cs="仿宋" w:hint="eastAsia"/>
          <w:sz w:val="32"/>
          <w:szCs w:val="32"/>
        </w:rPr>
        <w:t>、刑事审判庭、民事审判一庭、民事审判二庭、行政审判庭、综合审判庭、执行局、审判管理办公室、政治部、综合办公室、司法警察大队、黄村人民法庭、红星人民法庭、安定人民法庭、</w:t>
      </w:r>
      <w:proofErr w:type="gramStart"/>
      <w:r w:rsidRPr="00D7633A">
        <w:rPr>
          <w:rFonts w:ascii="仿宋" w:eastAsia="仿宋" w:hAnsi="仿宋" w:cs="仿宋" w:hint="eastAsia"/>
          <w:sz w:val="32"/>
          <w:szCs w:val="32"/>
        </w:rPr>
        <w:t>庞</w:t>
      </w:r>
      <w:proofErr w:type="gramEnd"/>
      <w:r w:rsidRPr="00D7633A">
        <w:rPr>
          <w:rFonts w:ascii="仿宋" w:eastAsia="仿宋" w:hAnsi="仿宋" w:cs="仿宋" w:hint="eastAsia"/>
          <w:sz w:val="32"/>
          <w:szCs w:val="32"/>
        </w:rPr>
        <w:t>各庄人民法庭、榆</w:t>
      </w:r>
      <w:proofErr w:type="gramStart"/>
      <w:r w:rsidRPr="00D7633A">
        <w:rPr>
          <w:rFonts w:ascii="仿宋" w:eastAsia="仿宋" w:hAnsi="仿宋" w:cs="仿宋" w:hint="eastAsia"/>
          <w:sz w:val="32"/>
          <w:szCs w:val="32"/>
        </w:rPr>
        <w:t>垡</w:t>
      </w:r>
      <w:proofErr w:type="gramEnd"/>
      <w:r w:rsidRPr="00D7633A">
        <w:rPr>
          <w:rFonts w:ascii="仿宋" w:eastAsia="仿宋" w:hAnsi="仿宋" w:cs="仿宋" w:hint="eastAsia"/>
          <w:sz w:val="32"/>
          <w:szCs w:val="32"/>
        </w:rPr>
        <w:t>人民法庭、采</w:t>
      </w:r>
      <w:proofErr w:type="gramStart"/>
      <w:r w:rsidRPr="00D7633A">
        <w:rPr>
          <w:rFonts w:ascii="仿宋" w:eastAsia="仿宋" w:hAnsi="仿宋" w:cs="仿宋" w:hint="eastAsia"/>
          <w:sz w:val="32"/>
          <w:szCs w:val="32"/>
        </w:rPr>
        <w:t>育人民</w:t>
      </w:r>
      <w:proofErr w:type="gramEnd"/>
      <w:r w:rsidRPr="00D7633A">
        <w:rPr>
          <w:rFonts w:ascii="仿宋" w:eastAsia="仿宋" w:hAnsi="仿宋" w:cs="仿宋" w:hint="eastAsia"/>
          <w:sz w:val="32"/>
          <w:szCs w:val="32"/>
        </w:rPr>
        <w:t>法庭、开发区人民法庭、</w:t>
      </w:r>
      <w:r w:rsidR="00D7633A" w:rsidRPr="00D7633A">
        <w:rPr>
          <w:rFonts w:ascii="仿宋" w:eastAsia="仿宋" w:hAnsi="仿宋" w:cs="仿宋" w:hint="eastAsia"/>
          <w:sz w:val="32"/>
          <w:szCs w:val="32"/>
        </w:rPr>
        <w:t>综合事务中心</w:t>
      </w:r>
      <w:r w:rsidRPr="00D7633A">
        <w:rPr>
          <w:rFonts w:ascii="仿宋" w:eastAsia="仿宋" w:hAnsi="仿宋" w:cs="仿宋" w:hint="eastAsia"/>
          <w:sz w:val="32"/>
          <w:szCs w:val="32"/>
        </w:rPr>
        <w:t>。</w:t>
      </w:r>
    </w:p>
    <w:p w14:paraId="634A1AB8" w14:textId="77777777" w:rsidR="007C06AB" w:rsidRPr="00D7633A" w:rsidRDefault="00000000">
      <w:pPr>
        <w:spacing w:line="560" w:lineRule="exact"/>
        <w:ind w:firstLineChars="200" w:firstLine="640"/>
        <w:outlineLvl w:val="1"/>
        <w:rPr>
          <w:rFonts w:ascii="仿宋" w:eastAsia="仿宋" w:hAnsi="仿宋" w:cs="仿宋"/>
          <w:sz w:val="32"/>
          <w:szCs w:val="32"/>
        </w:rPr>
      </w:pPr>
      <w:r w:rsidRPr="00D7633A">
        <w:rPr>
          <w:rFonts w:ascii="仿宋" w:eastAsia="仿宋" w:hAnsi="仿宋" w:cs="仿宋" w:hint="eastAsia"/>
          <w:sz w:val="32"/>
          <w:szCs w:val="32"/>
        </w:rPr>
        <w:t>北京市</w:t>
      </w:r>
      <w:proofErr w:type="gramStart"/>
      <w:r w:rsidRPr="00D7633A">
        <w:rPr>
          <w:rFonts w:ascii="仿宋" w:eastAsia="仿宋" w:hAnsi="仿宋" w:cs="仿宋" w:hint="eastAsia"/>
          <w:sz w:val="32"/>
          <w:szCs w:val="32"/>
        </w:rPr>
        <w:t>大兴区</w:t>
      </w:r>
      <w:proofErr w:type="gramEnd"/>
      <w:r w:rsidRPr="00D7633A">
        <w:rPr>
          <w:rFonts w:ascii="仿宋" w:eastAsia="仿宋" w:hAnsi="仿宋" w:cs="仿宋" w:hint="eastAsia"/>
          <w:sz w:val="32"/>
          <w:szCs w:val="32"/>
        </w:rPr>
        <w:t>人民法院2022年编制人数290人，其中：行政268人、事业22人。年末实有在编人数276人，其中：行政256人、事业20人。</w:t>
      </w:r>
    </w:p>
    <w:p w14:paraId="2CEFF696" w14:textId="77777777" w:rsidR="007C06AB" w:rsidRPr="00D7633A" w:rsidRDefault="00000000">
      <w:pPr>
        <w:spacing w:line="560" w:lineRule="exact"/>
        <w:ind w:firstLineChars="200" w:firstLine="640"/>
        <w:outlineLvl w:val="1"/>
        <w:rPr>
          <w:rFonts w:ascii="仿宋" w:eastAsia="仿宋" w:hAnsi="仿宋" w:cs="仿宋"/>
          <w:sz w:val="32"/>
          <w:szCs w:val="32"/>
        </w:rPr>
      </w:pPr>
      <w:r w:rsidRPr="00D7633A">
        <w:rPr>
          <w:rFonts w:ascii="仿宋" w:eastAsia="仿宋" w:hAnsi="仿宋" w:cs="仿宋" w:hint="eastAsia"/>
          <w:sz w:val="32"/>
          <w:szCs w:val="32"/>
        </w:rPr>
        <w:t>2.职责工作任务</w:t>
      </w:r>
    </w:p>
    <w:p w14:paraId="0CD3A7FF" w14:textId="77777777" w:rsidR="007C06AB" w:rsidRPr="00D7633A" w:rsidRDefault="00000000">
      <w:pPr>
        <w:spacing w:line="560" w:lineRule="exact"/>
        <w:ind w:firstLineChars="200" w:firstLine="640"/>
        <w:outlineLvl w:val="1"/>
        <w:rPr>
          <w:rFonts w:ascii="仿宋" w:eastAsia="仿宋" w:hAnsi="仿宋" w:cs="仿宋"/>
          <w:sz w:val="32"/>
          <w:szCs w:val="32"/>
        </w:rPr>
      </w:pPr>
      <w:r w:rsidRPr="00D7633A">
        <w:rPr>
          <w:rFonts w:ascii="仿宋" w:eastAsia="仿宋" w:hAnsi="仿宋" w:cs="仿宋" w:hint="eastAsia"/>
          <w:sz w:val="32"/>
          <w:szCs w:val="32"/>
        </w:rPr>
        <w:t>北京市</w:t>
      </w:r>
      <w:proofErr w:type="gramStart"/>
      <w:r w:rsidRPr="00D7633A">
        <w:rPr>
          <w:rFonts w:ascii="仿宋" w:eastAsia="仿宋" w:hAnsi="仿宋" w:cs="仿宋" w:hint="eastAsia"/>
          <w:sz w:val="32"/>
          <w:szCs w:val="32"/>
        </w:rPr>
        <w:t>大兴区</w:t>
      </w:r>
      <w:proofErr w:type="gramEnd"/>
      <w:r w:rsidRPr="00D7633A">
        <w:rPr>
          <w:rFonts w:ascii="仿宋" w:eastAsia="仿宋" w:hAnsi="仿宋" w:cs="仿宋" w:hint="eastAsia"/>
          <w:sz w:val="32"/>
          <w:szCs w:val="32"/>
        </w:rPr>
        <w:t>人民法院是国家审判机关，负责审理辖区内刑事、民商事和行政等一审案件，受理和审查各类告诉、申诉案件，处理来信来访，对其中确有错误的已发生法律效力的判决、裁定根据审判监督程序进行再审，依法执行已发生法律效力的判决、裁定以及国家行政机关依法申请执行的案件。主要职责工作任务如下：</w:t>
      </w:r>
    </w:p>
    <w:p w14:paraId="2EE08A66" w14:textId="77777777" w:rsidR="007C06AB" w:rsidRDefault="00000000">
      <w:pPr>
        <w:spacing w:line="560" w:lineRule="exact"/>
        <w:ind w:firstLineChars="200" w:firstLine="640"/>
        <w:outlineLvl w:val="1"/>
        <w:rPr>
          <w:rFonts w:ascii="仿宋" w:eastAsia="仿宋" w:hAnsi="仿宋" w:cs="仿宋"/>
          <w:sz w:val="32"/>
          <w:szCs w:val="32"/>
        </w:rPr>
      </w:pPr>
      <w:r w:rsidRPr="00D7633A">
        <w:rPr>
          <w:rFonts w:ascii="仿宋" w:eastAsia="仿宋" w:hAnsi="仿宋" w:cs="仿宋" w:hint="eastAsia"/>
          <w:sz w:val="32"/>
          <w:szCs w:val="32"/>
        </w:rPr>
        <w:t>（1）立案庭（诉讼服务中心）主要职责：负</w:t>
      </w:r>
      <w:r>
        <w:rPr>
          <w:rFonts w:ascii="仿宋" w:eastAsia="仿宋" w:hAnsi="仿宋" w:cs="仿宋" w:hint="eastAsia"/>
          <w:sz w:val="32"/>
          <w:szCs w:val="32"/>
        </w:rPr>
        <w:t>责各类案件</w:t>
      </w:r>
      <w:r>
        <w:rPr>
          <w:rFonts w:ascii="仿宋" w:eastAsia="仿宋" w:hAnsi="仿宋" w:cs="仿宋" w:hint="eastAsia"/>
          <w:sz w:val="32"/>
          <w:szCs w:val="32"/>
        </w:rPr>
        <w:lastRenderedPageBreak/>
        <w:t>的登记立案；负责办理诉前保全的审查裁定；负责出具司法确认裁定、不予受理裁定；负责重大敏感案件的报送和请示；负责诉讼引导、诉讼咨询、案件查询、诉讼材料收转、查阅复印卷宗档案等各类申请受理；负责人工语音诉讼服务、网络诉讼服务和法官留言等平台的运行、维护；负责法律文书集约送达；负责电子卷宗随案同步生成工作管理；负责案件转移、调卷；负责委托司法鉴定、评估、拍卖；负责依法开展多元调解、</w:t>
      </w:r>
      <w:proofErr w:type="gramStart"/>
      <w:r>
        <w:rPr>
          <w:rFonts w:ascii="仿宋" w:eastAsia="仿宋" w:hAnsi="仿宋" w:cs="仿宋" w:hint="eastAsia"/>
          <w:sz w:val="32"/>
          <w:szCs w:val="32"/>
        </w:rPr>
        <w:t>立案速裁和</w:t>
      </w:r>
      <w:proofErr w:type="gramEnd"/>
      <w:r>
        <w:rPr>
          <w:rFonts w:ascii="仿宋" w:eastAsia="仿宋" w:hAnsi="仿宋" w:cs="仿宋" w:hint="eastAsia"/>
          <w:sz w:val="32"/>
          <w:szCs w:val="32"/>
        </w:rPr>
        <w:t>繁简分流；负责安排庭长值班等。</w:t>
      </w:r>
    </w:p>
    <w:p w14:paraId="772A3DB3"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（2）刑事审判庭主要职责：负责依法审理本院管辖的普通刑事案件和自诉刑事案件；负责刑事案件材料、赃证物的保管及归档；负责未成年罪犯帮教工作和预防未成年人犯罪法制教育工作等。</w:t>
      </w:r>
    </w:p>
    <w:p w14:paraId="2A8DE348"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（3）民事审判一庭主要职责：负责依法审理本院受理的除北京</w:t>
      </w:r>
      <w:proofErr w:type="gramStart"/>
      <w:r>
        <w:rPr>
          <w:rFonts w:ascii="仿宋" w:eastAsia="仿宋" w:hAnsi="仿宋" w:cs="仿宋" w:hint="eastAsia"/>
          <w:sz w:val="32"/>
          <w:szCs w:val="32"/>
        </w:rPr>
        <w:t>经济技术开发区及亦庄</w:t>
      </w:r>
      <w:proofErr w:type="gramEnd"/>
      <w:r>
        <w:rPr>
          <w:rFonts w:ascii="仿宋" w:eastAsia="仿宋" w:hAnsi="仿宋" w:cs="仿宋" w:hint="eastAsia"/>
          <w:sz w:val="32"/>
          <w:szCs w:val="32"/>
        </w:rPr>
        <w:t>镇辖区以外的房屋买卖合同纠纷（包括农村房屋买卖合同）、建设工程合同纠纷（包括农村建房施工合同纠纷）、房屋拆迁安置补偿合同纠纷、房地产开发经营合同纠纷、建设用地使用权合同纠纷、涉及商品房的拍卖合同纠纷、临时用地合同纠纷、确认合同效力纠纷、抵押权纠纷、招投标买卖合同纠纷、不动产登记纠纷、物权保护纠纷、建筑物区分所有权纠纷、建设用地使用权纠纷、财产保全损害责任纠纷、劳动争议纠纷、涉外涉港澳台民事案件、因其他法院回避指定管辖的案件、本庭发回重审案件等。</w:t>
      </w:r>
    </w:p>
    <w:p w14:paraId="20550053"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（4）民事审判二庭主要职责：负责依法审理本院受理的</w:t>
      </w:r>
      <w:r>
        <w:rPr>
          <w:rFonts w:ascii="仿宋" w:eastAsia="仿宋" w:hAnsi="仿宋" w:cs="仿宋" w:hint="eastAsia"/>
          <w:sz w:val="32"/>
          <w:szCs w:val="32"/>
        </w:rPr>
        <w:lastRenderedPageBreak/>
        <w:t>买卖合同纠纷、公路运输合同纠纷、股权纠纷、合伙纠纷、承揽合同纠纷、保险合同纠纷、</w:t>
      </w:r>
      <w:proofErr w:type="gramStart"/>
      <w:r>
        <w:rPr>
          <w:rFonts w:ascii="仿宋" w:eastAsia="仿宋" w:hAnsi="仿宋" w:cs="仿宋" w:hint="eastAsia"/>
          <w:sz w:val="32"/>
          <w:szCs w:val="32"/>
        </w:rPr>
        <w:t>定作</w:t>
      </w:r>
      <w:proofErr w:type="gramEnd"/>
      <w:r>
        <w:rPr>
          <w:rFonts w:ascii="仿宋" w:eastAsia="仿宋" w:hAnsi="仿宋" w:cs="仿宋" w:hint="eastAsia"/>
          <w:sz w:val="32"/>
          <w:szCs w:val="32"/>
        </w:rPr>
        <w:t>合同纠纷、保证合同纠纷、委托合同纠纷、金融借款纠纷、银行卡类纠纷、农村土地承包合同纠纷、票据纠纷、公示催告等；负责审查、审理公司破产清算案件。</w:t>
      </w:r>
    </w:p>
    <w:p w14:paraId="77FA2858"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（5）行政审判庭主要职责：负责依法审理本院管辖的各类行政案件；负责审查非诉行政执行案件。</w:t>
      </w:r>
    </w:p>
    <w:p w14:paraId="52EAC103"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6）综合审判庭主要职责：负责依法审理本院管辖的为平衡各审判庭案件量从其他审判庭中分流出来的部分案件；负责依法审理本院管辖的申诉审查案件、审判监督案件、再审发回重审案件、国家赔偿案件、司法救助案件；负责办理检察建议，与区检察院协调沟通相关案件；负责涉诉信访接待和材料交转；负责督促解决本院出现和上级交办的涉诉信访案件；负责上报和移交信访终结案件；负责协调责任部门处理本院突发信访事件、排查矛盾纠纷、报送</w:t>
      </w:r>
      <w:proofErr w:type="gramStart"/>
      <w:r>
        <w:rPr>
          <w:rFonts w:ascii="仿宋" w:eastAsia="仿宋" w:hAnsi="仿宋" w:cs="仿宋" w:hint="eastAsia"/>
          <w:sz w:val="32"/>
          <w:szCs w:val="32"/>
        </w:rPr>
        <w:t>维稳信息</w:t>
      </w:r>
      <w:proofErr w:type="gramEnd"/>
      <w:r>
        <w:rPr>
          <w:rFonts w:ascii="仿宋" w:eastAsia="仿宋" w:hAnsi="仿宋" w:cs="仿宋" w:hint="eastAsia"/>
          <w:sz w:val="32"/>
          <w:szCs w:val="32"/>
        </w:rPr>
        <w:t>等安</w:t>
      </w:r>
      <w:proofErr w:type="gramStart"/>
      <w:r>
        <w:rPr>
          <w:rFonts w:ascii="仿宋" w:eastAsia="仿宋" w:hAnsi="仿宋" w:cs="仿宋" w:hint="eastAsia"/>
          <w:sz w:val="32"/>
          <w:szCs w:val="32"/>
        </w:rPr>
        <w:t>保维稳工作</w:t>
      </w:r>
      <w:proofErr w:type="gramEnd"/>
      <w:r>
        <w:rPr>
          <w:rFonts w:ascii="仿宋" w:eastAsia="仿宋" w:hAnsi="仿宋" w:cs="仿宋" w:hint="eastAsia"/>
          <w:sz w:val="32"/>
          <w:szCs w:val="32"/>
        </w:rPr>
        <w:t>；负责信访工作考核等。</w:t>
      </w:r>
    </w:p>
    <w:p w14:paraId="12FB7279"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（7）执行局主要职责：负责办理法律规定的由本院负责执行的生效法律文书、裁定的法律事项等。</w:t>
      </w:r>
    </w:p>
    <w:p w14:paraId="53635264"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（8）审判管理办公室（研究室）主要职责：负责本院受理案件的流程管理、质量评查；负责监督检查审</w:t>
      </w:r>
      <w:proofErr w:type="gramStart"/>
      <w:r>
        <w:rPr>
          <w:rFonts w:ascii="仿宋" w:eastAsia="仿宋" w:hAnsi="仿宋" w:cs="仿宋" w:hint="eastAsia"/>
          <w:sz w:val="32"/>
          <w:szCs w:val="32"/>
        </w:rPr>
        <w:t>限执行</w:t>
      </w:r>
      <w:proofErr w:type="gramEnd"/>
      <w:r>
        <w:rPr>
          <w:rFonts w:ascii="仿宋" w:eastAsia="仿宋" w:hAnsi="仿宋" w:cs="仿宋" w:hint="eastAsia"/>
          <w:sz w:val="32"/>
          <w:szCs w:val="32"/>
        </w:rPr>
        <w:t>情况；负责审判运行态势分析；作为办事机构负责审判委员会日常事务；负责管理长期未结案件清理、重大敏感（案）事件；负责司法公开工作管理；负责审判管理制度规范化工作；负责优秀裁判文书评选；负责审判绩效管理；负责司法统计工</w:t>
      </w:r>
      <w:r>
        <w:rPr>
          <w:rFonts w:ascii="仿宋" w:eastAsia="仿宋" w:hAnsi="仿宋" w:cs="仿宋" w:hint="eastAsia"/>
          <w:sz w:val="32"/>
          <w:szCs w:val="32"/>
        </w:rPr>
        <w:lastRenderedPageBreak/>
        <w:t>作；负责组织、协调、指导本院调研活动和重点调研课题的实施；负责撰写综合材料，完成法院工作报告、全市法院院长会工作报告以及院领导相关会议讲话和其他各类文稿的起草；负责学术论文、案例、信息、调研报告、司法建议的组织工作，完成全国法院学术讨论会、年度和参阅案例、常规和专项信息、司法调研课题等学术研究重点工作的组织、编校和报送；负责年鉴、审判志的编纂工作，配合地方志办公室完成年鉴编辑整理以及《北京审判》大事要</w:t>
      </w:r>
      <w:proofErr w:type="gramStart"/>
      <w:r>
        <w:rPr>
          <w:rFonts w:ascii="仿宋" w:eastAsia="仿宋" w:hAnsi="仿宋" w:cs="仿宋" w:hint="eastAsia"/>
          <w:sz w:val="32"/>
          <w:szCs w:val="32"/>
        </w:rPr>
        <w:t>览</w:t>
      </w:r>
      <w:proofErr w:type="gramEnd"/>
      <w:r>
        <w:rPr>
          <w:rFonts w:ascii="仿宋" w:eastAsia="仿宋" w:hAnsi="仿宋" w:cs="仿宋" w:hint="eastAsia"/>
          <w:sz w:val="32"/>
          <w:szCs w:val="32"/>
        </w:rPr>
        <w:t>材料报送；负责院刊的编辑工作，完成组稿、统编和发放；负责图片新闻审核发布；负责报刊订阅和发放；负责图书室管理；负责筹办学术论坛、法官沙龙等文化建设工作等。</w:t>
      </w:r>
    </w:p>
    <w:p w14:paraId="245C9647"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9）政治部（机关党委、机关纪委）主要职责：负责本院党的建设、队伍建设工作；负责党的纪律检查工作；负责司法改革相关工作；负责人员招录、人事档案管理、规章制度制定及执行、各类人事网络数据库的维护及统计报表、个人及部门考核及奖励、晋职晋级、人员工资及奖金分配、社会保险、职业年金、住房补贴、考勤和请销假、健康体检、人员事务审核、出入境管理、候选人资格审查等干部人事管理工作；负责组织参加上级单位举办的指令性培训、调训、视频培训、网络培训及考试；负责组织本院岗前教育培训、人员分类自主培训及考试；负责购买培训书籍；负责教育培训学时登记录入及考核；负责与院校开展合作共建交流，举办现场教学等；负责人才培养和管理工作；负责院党组会议记录、中心组学习记录；负责督办院党组会议决定事项；负</w:t>
      </w:r>
      <w:r>
        <w:rPr>
          <w:rFonts w:ascii="仿宋" w:eastAsia="仿宋" w:hAnsi="仿宋" w:cs="仿宋" w:hint="eastAsia"/>
          <w:sz w:val="32"/>
          <w:szCs w:val="32"/>
        </w:rPr>
        <w:lastRenderedPageBreak/>
        <w:t>责思想政治宣传教育、法治宣传、精神文明建设；负责基层党建工作；负责相关荣誉奖项申报、先进典型推树、表彰工作；负责新闻舆论工作；负责政工简报撰写、审核、发布；负责审</w:t>
      </w:r>
      <w:proofErr w:type="gramStart"/>
      <w:r>
        <w:rPr>
          <w:rFonts w:ascii="仿宋" w:eastAsia="仿宋" w:hAnsi="仿宋" w:cs="仿宋" w:hint="eastAsia"/>
          <w:sz w:val="32"/>
          <w:szCs w:val="32"/>
        </w:rPr>
        <w:t>务</w:t>
      </w:r>
      <w:proofErr w:type="gramEnd"/>
      <w:r>
        <w:rPr>
          <w:rFonts w:ascii="仿宋" w:eastAsia="仿宋" w:hAnsi="仿宋" w:cs="仿宋" w:hint="eastAsia"/>
          <w:sz w:val="32"/>
          <w:szCs w:val="32"/>
        </w:rPr>
        <w:t>督查、法官惩戒、廉政教育工作；负责工会工作；负责共青团工作；负责妇委会工作；负责离退休干部管理工作；负责配合辖区选举工作；负责完成组织部、政法委、机关工委、老干部局交办的工作等。</w:t>
      </w:r>
    </w:p>
    <w:p w14:paraId="0EFDF45E"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10）综合办公室主要职责：负责本院行政事务工作，协助本院领导组织、协调、处理司法政务；负责督办院长办公会决定事项；负责财务、装备等事项管理；负责文书、档案管理；负责保密工作；负责区委通知收转；负责机要收发；负责技术保障；负责会务接待；负责机关内部安保，安排值班工作；负责联络人大代表，督办、办理人大代表、特邀监督员的批评建议以及政协委员的提案；负责人民陪审员日常管理工作；负责监督管理物业公司；负责民政局、红十字会、老龄委、武装部交办的工作等。</w:t>
      </w:r>
    </w:p>
    <w:p w14:paraId="3F947412"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11）司法警察大队主要职责：负责司法警察警务工作；负责提押解送、警卫法庭；负责送达法律文书；负责机关内部安保、安全检查、应急处突、强制措施等工作，维护机关工作秩序；负责配合有关审判庭和执行局完成有关工作；负责车辆保障和交通安全工作等。</w:t>
      </w:r>
    </w:p>
    <w:p w14:paraId="3D3599AD" w14:textId="77777777" w:rsidR="007C06AB" w:rsidRDefault="00000000">
      <w:pPr>
        <w:spacing w:line="560" w:lineRule="exact"/>
        <w:ind w:firstLineChars="200" w:firstLine="640"/>
        <w:outlineLvl w:val="1"/>
        <w:rPr>
          <w:rFonts w:ascii="楷体_GB2312" w:eastAsia="楷体_GB2312"/>
          <w:sz w:val="32"/>
          <w:szCs w:val="32"/>
        </w:rPr>
      </w:pPr>
      <w:r>
        <w:rPr>
          <w:rFonts w:ascii="楷体_GB2312" w:eastAsia="楷体_GB2312" w:hint="eastAsia"/>
          <w:sz w:val="32"/>
          <w:szCs w:val="32"/>
        </w:rPr>
        <w:t>（二）部门整体绩效目标设立情况</w:t>
      </w:r>
      <w:bookmarkEnd w:id="2"/>
    </w:p>
    <w:p w14:paraId="4C555218" w14:textId="77777777" w:rsidR="007C06AB" w:rsidRDefault="00000000">
      <w:pPr>
        <w:spacing w:line="560" w:lineRule="exact"/>
        <w:ind w:firstLineChars="200" w:firstLine="640"/>
        <w:outlineLvl w:val="1"/>
        <w:rPr>
          <w:rFonts w:ascii="仿宋" w:eastAsia="仿宋" w:hAnsi="仿宋" w:cs="仿宋"/>
          <w:sz w:val="32"/>
          <w:szCs w:val="32"/>
        </w:rPr>
      </w:pP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人民法院2022年度部门整体绩效目标设置为：坚持以习近平新时代中国特色社会主义思想为指导，强化党</w:t>
      </w:r>
      <w:r>
        <w:rPr>
          <w:rFonts w:ascii="仿宋" w:eastAsia="仿宋" w:hAnsi="仿宋" w:cs="仿宋" w:hint="eastAsia"/>
          <w:sz w:val="32"/>
          <w:szCs w:val="32"/>
        </w:rPr>
        <w:lastRenderedPageBreak/>
        <w:t>建引领，依法忠诚履职，服务区域发展，</w:t>
      </w:r>
      <w:proofErr w:type="gramStart"/>
      <w:r>
        <w:rPr>
          <w:rFonts w:ascii="仿宋" w:eastAsia="仿宋" w:hAnsi="仿宋" w:cs="仿宋" w:hint="eastAsia"/>
          <w:sz w:val="32"/>
          <w:szCs w:val="32"/>
        </w:rPr>
        <w:t>锻造高</w:t>
      </w:r>
      <w:proofErr w:type="gramEnd"/>
      <w:r>
        <w:rPr>
          <w:rFonts w:ascii="仿宋" w:eastAsia="仿宋" w:hAnsi="仿宋" w:cs="仿宋" w:hint="eastAsia"/>
          <w:sz w:val="32"/>
          <w:szCs w:val="32"/>
        </w:rPr>
        <w:t>素质队伍，做好常态化扫黑除恶、优化营商环境、“八五”普法等重点工作，持续推进审判执行、司法改革、</w:t>
      </w:r>
      <w:proofErr w:type="gramStart"/>
      <w:r>
        <w:rPr>
          <w:rFonts w:ascii="仿宋" w:eastAsia="仿宋" w:hAnsi="仿宋" w:cs="仿宋" w:hint="eastAsia"/>
          <w:sz w:val="32"/>
          <w:szCs w:val="32"/>
        </w:rPr>
        <w:t>党建队建工</w:t>
      </w:r>
      <w:proofErr w:type="gramEnd"/>
      <w:r>
        <w:rPr>
          <w:rFonts w:ascii="仿宋" w:eastAsia="仿宋" w:hAnsi="仿宋" w:cs="仿宋" w:hint="eastAsia"/>
          <w:sz w:val="32"/>
          <w:szCs w:val="32"/>
        </w:rPr>
        <w:t>作，提供优质高效的司法服务保障，以高质量司法护航辖区高质量发展。</w:t>
      </w:r>
    </w:p>
    <w:p w14:paraId="003B512B"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sz w:val="32"/>
          <w:szCs w:val="32"/>
        </w:rPr>
        <w:t xml:space="preserve"> </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人民法院按照国家相关法律、法规和规章制度，国民经济和社会发展规划；北京市和</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相关法规、规章制度；单位职能、中长期发展规划、年度工作计划或项目规划以及北京市财政局预算绩效管理要求等，编报了</w:t>
      </w:r>
      <w:bookmarkStart w:id="3" w:name="_Hlk128660131"/>
      <w:r>
        <w:rPr>
          <w:rFonts w:ascii="仿宋" w:eastAsia="仿宋" w:hAnsi="仿宋" w:cs="仿宋" w:hint="eastAsia"/>
          <w:sz w:val="32"/>
          <w:szCs w:val="32"/>
        </w:rPr>
        <w:t>部门整体绩效目标</w:t>
      </w:r>
      <w:bookmarkEnd w:id="3"/>
      <w:r>
        <w:rPr>
          <w:rFonts w:ascii="仿宋" w:eastAsia="仿宋" w:hAnsi="仿宋" w:cs="仿宋" w:hint="eastAsia"/>
          <w:sz w:val="32"/>
          <w:szCs w:val="32"/>
        </w:rPr>
        <w:t>，设置了绩效指标，并对具体工作任务进行明确。绩效目标符合国家、主管部门的相关文件精神，符合社会及行业的现实需求，与</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人民法院职责任务匹配、定位相符。但</w:t>
      </w:r>
      <w:bookmarkStart w:id="4" w:name="_Hlk135149230"/>
      <w:r>
        <w:rPr>
          <w:rFonts w:ascii="仿宋" w:eastAsia="仿宋" w:hAnsi="仿宋" w:cs="仿宋" w:hint="eastAsia"/>
          <w:sz w:val="32"/>
          <w:szCs w:val="32"/>
        </w:rPr>
        <w:t>绩效指标设置不够规范，量化程度不足，指标的合理性、可</w:t>
      </w:r>
      <w:proofErr w:type="gramStart"/>
      <w:r>
        <w:rPr>
          <w:rFonts w:ascii="仿宋" w:eastAsia="仿宋" w:hAnsi="仿宋" w:cs="仿宋" w:hint="eastAsia"/>
          <w:sz w:val="32"/>
          <w:szCs w:val="32"/>
        </w:rPr>
        <w:t>考量</w:t>
      </w:r>
      <w:proofErr w:type="gramEnd"/>
      <w:r>
        <w:rPr>
          <w:rFonts w:ascii="仿宋" w:eastAsia="仿宋" w:hAnsi="仿宋" w:cs="仿宋" w:hint="eastAsia"/>
          <w:sz w:val="32"/>
          <w:szCs w:val="32"/>
        </w:rPr>
        <w:t>性不足。</w:t>
      </w:r>
    </w:p>
    <w:p w14:paraId="7EA5880E" w14:textId="77777777" w:rsidR="007C06AB" w:rsidRDefault="00000000">
      <w:pPr>
        <w:numPr>
          <w:ilvl w:val="0"/>
          <w:numId w:val="1"/>
        </w:numPr>
        <w:spacing w:line="560" w:lineRule="exact"/>
        <w:ind w:firstLineChars="200" w:firstLine="640"/>
        <w:outlineLvl w:val="0"/>
        <w:rPr>
          <w:rFonts w:ascii="黑体" w:eastAsia="黑体" w:hAnsi="黑体" w:cs="宋体"/>
          <w:color w:val="000000"/>
          <w:kern w:val="0"/>
          <w:sz w:val="32"/>
          <w:szCs w:val="32"/>
        </w:rPr>
      </w:pPr>
      <w:bookmarkStart w:id="5" w:name="_Toc22792"/>
      <w:bookmarkEnd w:id="4"/>
      <w:r>
        <w:rPr>
          <w:rFonts w:ascii="黑体" w:eastAsia="黑体" w:hAnsi="黑体" w:cs="宋体" w:hint="eastAsia"/>
          <w:color w:val="000000"/>
          <w:kern w:val="0"/>
          <w:sz w:val="32"/>
          <w:szCs w:val="32"/>
        </w:rPr>
        <w:t>当年</w:t>
      </w:r>
      <w:r>
        <w:rPr>
          <w:rFonts w:ascii="黑体" w:eastAsia="黑体" w:hAnsi="黑体" w:cs="宋体"/>
          <w:color w:val="000000"/>
          <w:kern w:val="0"/>
          <w:sz w:val="32"/>
          <w:szCs w:val="32"/>
        </w:rPr>
        <w:t>预算执行情况</w:t>
      </w:r>
      <w:bookmarkEnd w:id="5"/>
    </w:p>
    <w:p w14:paraId="2F616C16" w14:textId="77777777" w:rsidR="007C06AB" w:rsidRDefault="00000000">
      <w:pPr>
        <w:spacing w:line="560" w:lineRule="exact"/>
        <w:ind w:firstLineChars="200" w:firstLine="640"/>
        <w:outlineLvl w:val="0"/>
        <w:rPr>
          <w:rFonts w:ascii="仿宋" w:eastAsia="仿宋" w:hAnsi="仿宋" w:cs="仿宋"/>
          <w:sz w:val="32"/>
          <w:szCs w:val="32"/>
        </w:rPr>
      </w:pPr>
      <w:bookmarkStart w:id="6" w:name="_Toc16426"/>
      <w:r>
        <w:rPr>
          <w:rFonts w:ascii="仿宋" w:eastAsia="仿宋" w:hAnsi="仿宋" w:cs="仿宋" w:hint="eastAsia"/>
          <w:sz w:val="32"/>
          <w:szCs w:val="32"/>
        </w:rPr>
        <w:t>2022年支出全年预算数26,620.74万元，其中，基本经费支出预算数15,699.05万元，项目经费支出预算数10,921.69万元。资金总体支出22,300.36万元，其中，基本支出15,351.60万元，项目支出6,948.76万元，预算执行率83.77%。</w:t>
      </w:r>
    </w:p>
    <w:p w14:paraId="477C588A" w14:textId="77777777" w:rsidR="007C06AB" w:rsidRDefault="00000000">
      <w:pPr>
        <w:spacing w:line="56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w:t>
      </w:r>
      <w:r>
        <w:rPr>
          <w:rFonts w:ascii="黑体" w:eastAsia="黑体" w:hAnsi="黑体" w:cs="宋体"/>
          <w:color w:val="000000"/>
          <w:kern w:val="0"/>
          <w:sz w:val="32"/>
          <w:szCs w:val="32"/>
        </w:rPr>
        <w:t>、整体绩效目标实现情况</w:t>
      </w:r>
      <w:bookmarkEnd w:id="6"/>
    </w:p>
    <w:p w14:paraId="085D8A17"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2022年，</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人民法院严格按照北京市财政局相关工作安排，对2022年度部门整体及项目支出进行了绩效评价，部门决策流程明确，申报程序合</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；预算资金分配与部门绩</w:t>
      </w:r>
      <w:r>
        <w:rPr>
          <w:rFonts w:ascii="仿宋" w:eastAsia="仿宋" w:hAnsi="仿宋" w:cs="仿宋" w:hint="eastAsia"/>
          <w:sz w:val="32"/>
          <w:szCs w:val="32"/>
        </w:rPr>
        <w:lastRenderedPageBreak/>
        <w:t>效目标一致，分配结果合理，部门整体的成本费用控制在预算范围内，完成情况较好；相关项目自评均实现了项目绩效目标。具体分析如下：</w:t>
      </w:r>
    </w:p>
    <w:p w14:paraId="078753AC" w14:textId="77777777" w:rsidR="007C06AB" w:rsidRDefault="00000000">
      <w:pPr>
        <w:spacing w:line="560" w:lineRule="exact"/>
        <w:ind w:firstLineChars="200" w:firstLine="640"/>
        <w:rPr>
          <w:rFonts w:ascii="楷体" w:eastAsia="楷体" w:hAnsi="楷体"/>
          <w:sz w:val="32"/>
          <w:szCs w:val="32"/>
        </w:rPr>
      </w:pPr>
      <w:bookmarkStart w:id="7" w:name="_Toc7824"/>
      <w:r>
        <w:rPr>
          <w:rFonts w:ascii="楷体" w:eastAsia="楷体" w:hAnsi="楷体" w:hint="eastAsia"/>
          <w:sz w:val="32"/>
          <w:szCs w:val="32"/>
        </w:rPr>
        <w:t>（一）</w:t>
      </w:r>
      <w:bookmarkEnd w:id="7"/>
      <w:r>
        <w:rPr>
          <w:rFonts w:ascii="楷体" w:eastAsia="楷体" w:hAnsi="楷体" w:hint="eastAsia"/>
          <w:sz w:val="32"/>
          <w:szCs w:val="32"/>
        </w:rPr>
        <w:t>产</w:t>
      </w:r>
      <w:r>
        <w:rPr>
          <w:rFonts w:ascii="楷体" w:eastAsia="楷体" w:hAnsi="楷体" w:cs="微软雅黑" w:hint="eastAsia"/>
          <w:sz w:val="32"/>
          <w:szCs w:val="32"/>
        </w:rPr>
        <w:t>出完成</w:t>
      </w:r>
      <w:r>
        <w:rPr>
          <w:rFonts w:ascii="楷体" w:eastAsia="楷体" w:hAnsi="楷体" w:cs="___WRD_EMBED_SUB_44" w:hint="eastAsia"/>
          <w:sz w:val="32"/>
          <w:szCs w:val="32"/>
        </w:rPr>
        <w:t>情况分析</w:t>
      </w:r>
    </w:p>
    <w:p w14:paraId="6DA1B39D"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sz w:val="32"/>
          <w:szCs w:val="32"/>
        </w:rPr>
        <w:t>.</w:t>
      </w:r>
      <w:r>
        <w:rPr>
          <w:rFonts w:ascii="仿宋" w:eastAsia="仿宋" w:hAnsi="仿宋" w:cs="仿宋" w:hint="eastAsia"/>
          <w:sz w:val="32"/>
          <w:szCs w:val="32"/>
        </w:rPr>
        <w:t>产出数量</w:t>
      </w:r>
    </w:p>
    <w:p w14:paraId="6F748ED6"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（1）截至2022年</w:t>
      </w:r>
      <w:r w:rsidRPr="00D7633A">
        <w:rPr>
          <w:rFonts w:ascii="仿宋" w:eastAsia="仿宋" w:hAnsi="仿宋" w:cs="仿宋" w:hint="eastAsia"/>
          <w:sz w:val="32"/>
          <w:szCs w:val="32"/>
        </w:rPr>
        <w:t>12月</w:t>
      </w:r>
      <w:r w:rsidR="00D7633A" w:rsidRPr="00D7633A">
        <w:rPr>
          <w:rFonts w:ascii="仿宋" w:eastAsia="仿宋" w:hAnsi="仿宋" w:cs="仿宋" w:hint="eastAsia"/>
          <w:sz w:val="32"/>
          <w:szCs w:val="32"/>
        </w:rPr>
        <w:t>3</w:t>
      </w:r>
      <w:r w:rsidR="00D7633A" w:rsidRPr="00D7633A">
        <w:rPr>
          <w:rFonts w:ascii="仿宋" w:eastAsia="仿宋" w:hAnsi="仿宋" w:cs="仿宋"/>
          <w:sz w:val="32"/>
          <w:szCs w:val="32"/>
        </w:rPr>
        <w:t>1</w:t>
      </w:r>
      <w:r w:rsidRPr="00D7633A">
        <w:rPr>
          <w:rFonts w:ascii="仿宋" w:eastAsia="仿宋" w:hAnsi="仿宋" w:cs="仿宋" w:hint="eastAsia"/>
          <w:sz w:val="32"/>
          <w:szCs w:val="32"/>
        </w:rPr>
        <w:t>日，</w:t>
      </w:r>
      <w:proofErr w:type="gramStart"/>
      <w:r w:rsidRPr="00D7633A">
        <w:rPr>
          <w:rFonts w:ascii="仿宋" w:eastAsia="仿宋" w:hAnsi="仿宋" w:cs="仿宋" w:hint="eastAsia"/>
          <w:sz w:val="32"/>
          <w:szCs w:val="32"/>
        </w:rPr>
        <w:t>大兴区</w:t>
      </w:r>
      <w:proofErr w:type="gramEnd"/>
      <w:r w:rsidRPr="00D7633A">
        <w:rPr>
          <w:rFonts w:ascii="仿宋" w:eastAsia="仿宋" w:hAnsi="仿宋" w:cs="仿宋" w:hint="eastAsia"/>
          <w:sz w:val="32"/>
          <w:szCs w:val="32"/>
        </w:rPr>
        <w:t>人民法院新收各类案件44933件，另有旧存案件8297件，办结45109件，法官人均结案465件。</w:t>
      </w:r>
    </w:p>
    <w:p w14:paraId="65988ADF"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（2）2</w:t>
      </w:r>
      <w:r>
        <w:rPr>
          <w:rFonts w:ascii="仿宋" w:eastAsia="仿宋" w:hAnsi="仿宋" w:cs="仿宋"/>
          <w:sz w:val="32"/>
          <w:szCs w:val="32"/>
        </w:rPr>
        <w:t>022</w:t>
      </w:r>
      <w:r>
        <w:rPr>
          <w:rFonts w:ascii="仿宋" w:eastAsia="仿宋" w:hAnsi="仿宋" w:cs="仿宋" w:hint="eastAsia"/>
          <w:sz w:val="32"/>
          <w:szCs w:val="32"/>
        </w:rPr>
        <w:t>年，新收刑事案件1132件，审结1069件，判处刑罚1240人。常态</w:t>
      </w:r>
      <w:proofErr w:type="gramStart"/>
      <w:r>
        <w:rPr>
          <w:rFonts w:ascii="仿宋" w:eastAsia="仿宋" w:hAnsi="仿宋" w:cs="仿宋" w:hint="eastAsia"/>
          <w:sz w:val="32"/>
          <w:szCs w:val="32"/>
        </w:rPr>
        <w:t>化开展</w:t>
      </w:r>
      <w:proofErr w:type="gramEnd"/>
      <w:r>
        <w:rPr>
          <w:rFonts w:ascii="仿宋" w:eastAsia="仿宋" w:hAnsi="仿宋" w:cs="仿宋" w:hint="eastAsia"/>
          <w:sz w:val="32"/>
          <w:szCs w:val="32"/>
        </w:rPr>
        <w:t>扫黑除恶斗争，扎实开展打击整治养老诈骗专项行动，审结6起养老诈骗案件。审结涉</w:t>
      </w:r>
      <w:proofErr w:type="gramStart"/>
      <w:r>
        <w:rPr>
          <w:rFonts w:ascii="仿宋" w:eastAsia="仿宋" w:hAnsi="仿宋" w:cs="仿宋" w:hint="eastAsia"/>
          <w:sz w:val="32"/>
          <w:szCs w:val="32"/>
        </w:rPr>
        <w:t>疫</w:t>
      </w:r>
      <w:proofErr w:type="gramEnd"/>
      <w:r>
        <w:rPr>
          <w:rFonts w:ascii="仿宋" w:eastAsia="仿宋" w:hAnsi="仿宋" w:cs="仿宋" w:hint="eastAsia"/>
          <w:sz w:val="32"/>
          <w:szCs w:val="32"/>
        </w:rPr>
        <w:t>犯罪案件12件，审结故意伤害、盗窃、抢劫等案件254件，审结寻衅滋事、涉毒涉赌等案件58件。准确把握宽严相济刑事政策，适用</w:t>
      </w:r>
      <w:proofErr w:type="gramStart"/>
      <w:r>
        <w:rPr>
          <w:rFonts w:ascii="仿宋" w:eastAsia="仿宋" w:hAnsi="仿宋" w:cs="仿宋" w:hint="eastAsia"/>
          <w:sz w:val="32"/>
          <w:szCs w:val="32"/>
        </w:rPr>
        <w:t>刑事速裁程序</w:t>
      </w:r>
      <w:proofErr w:type="gramEnd"/>
      <w:r>
        <w:rPr>
          <w:rFonts w:ascii="仿宋" w:eastAsia="仿宋" w:hAnsi="仿宋" w:cs="仿宋" w:hint="eastAsia"/>
          <w:sz w:val="32"/>
          <w:szCs w:val="32"/>
        </w:rPr>
        <w:t>审结案件895件，认罪认罚从宽处理案件927件，刑事案件一审服判率达到93.7%。</w:t>
      </w:r>
    </w:p>
    <w:p w14:paraId="281472D7"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3）新收涉未成年人刑事案件44件，审结36件。全面推进“法治进校园”，选拔19名法官出任区内22所学校的法治副校长，利用“线上+线下”的方式开展36场普法活动，与区教委、团区委合作录制4期“云端”精品普法课，用法治呵护青少年健康成长。</w:t>
      </w:r>
    </w:p>
    <w:p w14:paraId="3386762D"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4）新收民商事案件26052件，审结25675件。充分发挥“一轴多翼”多元化解家事纠纷机制的作用，审结婚姻家庭、析产继承案件2147件。审结房屋买卖租赁、物业供暖案件3172件，加强对典型案例的普法宣传。加大实质性化解力</w:t>
      </w:r>
      <w:r>
        <w:rPr>
          <w:rFonts w:ascii="仿宋" w:eastAsia="仿宋" w:hAnsi="仿宋" w:cs="仿宋" w:hint="eastAsia"/>
          <w:sz w:val="32"/>
          <w:szCs w:val="32"/>
        </w:rPr>
        <w:lastRenderedPageBreak/>
        <w:t>度，审结劳动争议案件1760件。依法平等保护各类市场主体，审结合同、公司、金融纠纷案件4060件。审结房屋拆迁安置补偿、土地承包经营权纠纷等涉农案件202件，助力乡村振兴发展。</w:t>
      </w:r>
    </w:p>
    <w:p w14:paraId="48706E8B"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5）新收行政案件670件，审结686件。严格审查行政行为合法性，判决行政机关败诉案件89件，依法审理全市首例建议撤销婚姻登记案。加大非诉行政案件审查力度，积极推动行政机关负责人出庭应诉，负责人全年出庭应诉87人次，较去年上升35.9%。</w:t>
      </w:r>
    </w:p>
    <w:p w14:paraId="1C4DAE4E"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（6）新收执</w:t>
      </w:r>
      <w:proofErr w:type="gramStart"/>
      <w:r>
        <w:rPr>
          <w:rFonts w:ascii="仿宋" w:eastAsia="仿宋" w:hAnsi="仿宋" w:cs="仿宋" w:hint="eastAsia"/>
          <w:sz w:val="32"/>
          <w:szCs w:val="32"/>
        </w:rPr>
        <w:t>行案件</w:t>
      </w:r>
      <w:proofErr w:type="gramEnd"/>
      <w:r>
        <w:rPr>
          <w:rFonts w:ascii="仿宋" w:eastAsia="仿宋" w:hAnsi="仿宋" w:cs="仿宋" w:hint="eastAsia"/>
          <w:sz w:val="32"/>
          <w:szCs w:val="32"/>
        </w:rPr>
        <w:t>17079件，办结17679件。构建常态化协作机制，发布失信被执行人51例，对9029人限制高消费及有关消费。加大追索劳动报酬、交通事故损害赔偿等涉民生案件的执行力度，执</w:t>
      </w:r>
      <w:proofErr w:type="gramStart"/>
      <w:r>
        <w:rPr>
          <w:rFonts w:ascii="仿宋" w:eastAsia="仿宋" w:hAnsi="仿宋" w:cs="仿宋" w:hint="eastAsia"/>
          <w:sz w:val="32"/>
          <w:szCs w:val="32"/>
        </w:rPr>
        <w:t>结相关</w:t>
      </w:r>
      <w:proofErr w:type="gramEnd"/>
      <w:r>
        <w:rPr>
          <w:rFonts w:ascii="仿宋" w:eastAsia="仿宋" w:hAnsi="仿宋" w:cs="仿宋" w:hint="eastAsia"/>
          <w:sz w:val="32"/>
          <w:szCs w:val="32"/>
        </w:rPr>
        <w:t>案件8947件，执行到位金额超7.1亿元。加大网络司法拍卖力度，网上拍卖标的物1377件，成交金额4.2亿元。</w:t>
      </w:r>
    </w:p>
    <w:p w14:paraId="6B2497B6"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（7）加大涉“双减”案件的风险化解，妥善处理相关教育培训合同纠纷、劳动争议1296件。妥善执结4起涉黄村火车站地块案件，</w:t>
      </w:r>
      <w:proofErr w:type="gramStart"/>
      <w:r>
        <w:rPr>
          <w:rFonts w:ascii="仿宋" w:eastAsia="仿宋" w:hAnsi="仿宋" w:cs="仿宋" w:hint="eastAsia"/>
          <w:sz w:val="32"/>
          <w:szCs w:val="32"/>
        </w:rPr>
        <w:t>完成朗泰北方</w:t>
      </w:r>
      <w:proofErr w:type="gramEnd"/>
      <w:r>
        <w:rPr>
          <w:rFonts w:ascii="仿宋" w:eastAsia="仿宋" w:hAnsi="仿宋" w:cs="仿宋" w:hint="eastAsia"/>
          <w:sz w:val="32"/>
          <w:szCs w:val="32"/>
        </w:rPr>
        <w:t>仓库6300余平方米土地腾退，有力保障区域重点工程建设有序推进。</w:t>
      </w:r>
    </w:p>
    <w:p w14:paraId="75DD15DA"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（8）开展“法企同行共护营商”</w:t>
      </w:r>
      <w:proofErr w:type="gramStart"/>
      <w:r>
        <w:rPr>
          <w:rFonts w:ascii="仿宋" w:eastAsia="仿宋" w:hAnsi="仿宋" w:cs="仿宋" w:hint="eastAsia"/>
          <w:sz w:val="32"/>
          <w:szCs w:val="32"/>
        </w:rPr>
        <w:t>京法巡回</w:t>
      </w:r>
      <w:proofErr w:type="gramEnd"/>
      <w:r>
        <w:rPr>
          <w:rFonts w:ascii="仿宋" w:eastAsia="仿宋" w:hAnsi="仿宋" w:cs="仿宋" w:hint="eastAsia"/>
          <w:sz w:val="32"/>
          <w:szCs w:val="32"/>
        </w:rPr>
        <w:t>讲堂活动11场，帮助企业规范经营、健康发展。开展党建共建活动135次，92名法官深入社区和乡村开展“法律体检”，参加专项工作法律论证会60余场，妥善化解多起群体性纠纷，其中某大型养殖场222名工人</w:t>
      </w:r>
      <w:proofErr w:type="gramStart"/>
      <w:r>
        <w:rPr>
          <w:rFonts w:ascii="仿宋" w:eastAsia="仿宋" w:hAnsi="仿宋" w:cs="仿宋" w:hint="eastAsia"/>
          <w:sz w:val="32"/>
          <w:szCs w:val="32"/>
        </w:rPr>
        <w:t>讨薪案件</w:t>
      </w:r>
      <w:proofErr w:type="gramEnd"/>
      <w:r>
        <w:rPr>
          <w:rFonts w:ascii="仿宋" w:eastAsia="仿宋" w:hAnsi="仿宋" w:cs="仿宋" w:hint="eastAsia"/>
          <w:sz w:val="32"/>
          <w:szCs w:val="32"/>
        </w:rPr>
        <w:t>入选“北京法院涉民生民事</w:t>
      </w:r>
      <w:r>
        <w:rPr>
          <w:rFonts w:ascii="仿宋" w:eastAsia="仿宋" w:hAnsi="仿宋" w:cs="仿宋" w:hint="eastAsia"/>
          <w:sz w:val="32"/>
          <w:szCs w:val="32"/>
        </w:rPr>
        <w:lastRenderedPageBreak/>
        <w:t>案件典型案例”。</w:t>
      </w:r>
    </w:p>
    <w:p w14:paraId="3D9C4C66"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（9）与</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经管站就涉农地</w:t>
      </w:r>
      <w:proofErr w:type="gramStart"/>
      <w:r>
        <w:rPr>
          <w:rFonts w:ascii="仿宋" w:eastAsia="仿宋" w:hAnsi="仿宋" w:cs="仿宋" w:hint="eastAsia"/>
          <w:sz w:val="32"/>
          <w:szCs w:val="32"/>
        </w:rPr>
        <w:t>纠纷诉调对接</w:t>
      </w:r>
      <w:proofErr w:type="gramEnd"/>
      <w:r>
        <w:rPr>
          <w:rFonts w:ascii="仿宋" w:eastAsia="仿宋" w:hAnsi="仿宋" w:cs="仿宋" w:hint="eastAsia"/>
          <w:sz w:val="32"/>
          <w:szCs w:val="32"/>
        </w:rPr>
        <w:t>工作开展座谈，多元调解成功化解纠纷3560件。深入推进民事案件繁简分流，</w:t>
      </w:r>
      <w:proofErr w:type="gramStart"/>
      <w:r>
        <w:rPr>
          <w:rFonts w:ascii="仿宋" w:eastAsia="仿宋" w:hAnsi="仿宋" w:cs="仿宋" w:hint="eastAsia"/>
          <w:sz w:val="32"/>
          <w:szCs w:val="32"/>
        </w:rPr>
        <w:t>速裁审结</w:t>
      </w:r>
      <w:proofErr w:type="gramEnd"/>
      <w:r>
        <w:rPr>
          <w:rFonts w:ascii="仿宋" w:eastAsia="仿宋" w:hAnsi="仿宋" w:cs="仿宋" w:hint="eastAsia"/>
          <w:sz w:val="32"/>
          <w:szCs w:val="32"/>
        </w:rPr>
        <w:t>案件13762件，</w:t>
      </w:r>
      <w:proofErr w:type="gramStart"/>
      <w:r>
        <w:rPr>
          <w:rFonts w:ascii="仿宋" w:eastAsia="仿宋" w:hAnsi="仿宋" w:cs="仿宋" w:hint="eastAsia"/>
          <w:sz w:val="32"/>
          <w:szCs w:val="32"/>
        </w:rPr>
        <w:t>速裁案件</w:t>
      </w:r>
      <w:proofErr w:type="gramEnd"/>
      <w:r>
        <w:rPr>
          <w:rFonts w:ascii="仿宋" w:eastAsia="仿宋" w:hAnsi="仿宋" w:cs="仿宋" w:hint="eastAsia"/>
          <w:sz w:val="32"/>
          <w:szCs w:val="32"/>
        </w:rPr>
        <w:t>平均审理时间比普通案件缩短41.6%。</w:t>
      </w:r>
    </w:p>
    <w:p w14:paraId="302BB6CE"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sz w:val="32"/>
          <w:szCs w:val="32"/>
        </w:rPr>
        <w:t>0</w:t>
      </w:r>
      <w:r>
        <w:rPr>
          <w:rFonts w:ascii="仿宋" w:eastAsia="仿宋" w:hAnsi="仿宋" w:cs="仿宋" w:hint="eastAsia"/>
          <w:sz w:val="32"/>
          <w:szCs w:val="32"/>
        </w:rPr>
        <w:t>）坚持以公开促</w:t>
      </w:r>
      <w:proofErr w:type="gramStart"/>
      <w:r>
        <w:rPr>
          <w:rFonts w:ascii="仿宋" w:eastAsia="仿宋" w:hAnsi="仿宋" w:cs="仿宋" w:hint="eastAsia"/>
          <w:sz w:val="32"/>
          <w:szCs w:val="32"/>
        </w:rPr>
        <w:t>公正提公</w:t>
      </w:r>
      <w:proofErr w:type="gramEnd"/>
      <w:r>
        <w:rPr>
          <w:rFonts w:ascii="仿宋" w:eastAsia="仿宋" w:hAnsi="仿宋" w:cs="仿宋" w:hint="eastAsia"/>
          <w:sz w:val="32"/>
          <w:szCs w:val="32"/>
        </w:rPr>
        <w:t>信，互联网公开裁判文书24800份，直播庭审3998场。召开涉遗嘱继承纠纷、虚假</w:t>
      </w:r>
      <w:proofErr w:type="gramStart"/>
      <w:r>
        <w:rPr>
          <w:rFonts w:ascii="仿宋" w:eastAsia="仿宋" w:hAnsi="仿宋" w:cs="仿宋" w:hint="eastAsia"/>
          <w:sz w:val="32"/>
          <w:szCs w:val="32"/>
        </w:rPr>
        <w:t>诉讼整治</w:t>
      </w:r>
      <w:proofErr w:type="gramEnd"/>
      <w:r>
        <w:rPr>
          <w:rFonts w:ascii="仿宋" w:eastAsia="仿宋" w:hAnsi="仿宋" w:cs="仿宋" w:hint="eastAsia"/>
          <w:sz w:val="32"/>
          <w:szCs w:val="32"/>
        </w:rPr>
        <w:t>等主题的新闻发布会，通过官方</w:t>
      </w:r>
      <w:proofErr w:type="gramStart"/>
      <w:r>
        <w:rPr>
          <w:rFonts w:ascii="仿宋" w:eastAsia="仿宋" w:hAnsi="仿宋" w:cs="仿宋" w:hint="eastAsia"/>
          <w:sz w:val="32"/>
          <w:szCs w:val="32"/>
        </w:rPr>
        <w:t>微博以及</w:t>
      </w:r>
      <w:proofErr w:type="gramEnd"/>
      <w:r>
        <w:rPr>
          <w:rFonts w:ascii="仿宋" w:eastAsia="仿宋" w:hAnsi="仿宋" w:cs="仿宋" w:hint="eastAsia"/>
          <w:sz w:val="32"/>
          <w:szCs w:val="32"/>
        </w:rPr>
        <w:t>微信、短视频账号发布信息300余条。</w:t>
      </w:r>
    </w:p>
    <w:p w14:paraId="1810B6D5"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sz w:val="32"/>
          <w:szCs w:val="32"/>
        </w:rPr>
        <w:t>1</w:t>
      </w:r>
      <w:r>
        <w:rPr>
          <w:rFonts w:ascii="仿宋" w:eastAsia="仿宋" w:hAnsi="仿宋" w:cs="仿宋" w:hint="eastAsia"/>
          <w:sz w:val="32"/>
          <w:szCs w:val="32"/>
        </w:rPr>
        <w:t>）持续巩固政法队伍教育整顿成果，严格落实防止干预司法“三个规定”，开展司法作风突出问题集中整治活动，常态化审</w:t>
      </w:r>
      <w:proofErr w:type="gramStart"/>
      <w:r>
        <w:rPr>
          <w:rFonts w:ascii="仿宋" w:eastAsia="仿宋" w:hAnsi="仿宋" w:cs="仿宋" w:hint="eastAsia"/>
          <w:sz w:val="32"/>
          <w:szCs w:val="32"/>
        </w:rPr>
        <w:t>务</w:t>
      </w:r>
      <w:proofErr w:type="gramEnd"/>
      <w:r>
        <w:rPr>
          <w:rFonts w:ascii="仿宋" w:eastAsia="仿宋" w:hAnsi="仿宋" w:cs="仿宋" w:hint="eastAsia"/>
          <w:sz w:val="32"/>
          <w:szCs w:val="32"/>
        </w:rPr>
        <w:t>督察66次，制定7个规范性文件，建立2项长效机制。</w:t>
      </w:r>
    </w:p>
    <w:p w14:paraId="5442D37B" w14:textId="77777777" w:rsidR="007C06AB" w:rsidRPr="008851D5"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sz w:val="32"/>
          <w:szCs w:val="32"/>
        </w:rPr>
        <w:t>2</w:t>
      </w:r>
      <w:r>
        <w:rPr>
          <w:rFonts w:ascii="仿宋" w:eastAsia="仿宋" w:hAnsi="仿宋" w:cs="仿宋" w:hint="eastAsia"/>
          <w:sz w:val="32"/>
          <w:szCs w:val="32"/>
        </w:rPr>
        <w:t>）构建“</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支部</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品牌、</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小组</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特色”党建工作矩阵，被区直机关工委授予“机关党建工作先进单位”称号。52名党员干警参与应急无偿献血，215名干警下沉一线，66名干警</w:t>
      </w:r>
      <w:r w:rsidRPr="008851D5">
        <w:rPr>
          <w:rFonts w:ascii="仿宋" w:eastAsia="仿宋" w:hAnsi="仿宋" w:cs="仿宋" w:hint="eastAsia"/>
          <w:sz w:val="32"/>
          <w:szCs w:val="32"/>
        </w:rPr>
        <w:t>参加机场转运、信息流调、集中隔离点值守，有力支援全区疫情防控工作。</w:t>
      </w:r>
    </w:p>
    <w:p w14:paraId="22B8082D" w14:textId="2223D3CB" w:rsidR="007C06AB" w:rsidRPr="008851D5" w:rsidRDefault="00000000">
      <w:pPr>
        <w:spacing w:line="560" w:lineRule="exact"/>
        <w:ind w:firstLineChars="200" w:firstLine="640"/>
        <w:outlineLvl w:val="1"/>
        <w:rPr>
          <w:rFonts w:ascii="仿宋" w:eastAsia="仿宋" w:hAnsi="仿宋" w:cs="仿宋"/>
          <w:sz w:val="32"/>
          <w:szCs w:val="32"/>
        </w:rPr>
      </w:pPr>
      <w:r w:rsidRPr="008851D5">
        <w:rPr>
          <w:rFonts w:ascii="仿宋" w:eastAsia="仿宋" w:hAnsi="仿宋" w:cs="仿宋" w:hint="eastAsia"/>
          <w:sz w:val="32"/>
          <w:szCs w:val="32"/>
        </w:rPr>
        <w:t>（1</w:t>
      </w:r>
      <w:r w:rsidRPr="008851D5">
        <w:rPr>
          <w:rFonts w:ascii="仿宋" w:eastAsia="仿宋" w:hAnsi="仿宋" w:cs="仿宋"/>
          <w:sz w:val="32"/>
          <w:szCs w:val="32"/>
        </w:rPr>
        <w:t>3</w:t>
      </w:r>
      <w:r w:rsidRPr="008851D5">
        <w:rPr>
          <w:rFonts w:ascii="仿宋" w:eastAsia="仿宋" w:hAnsi="仿宋" w:cs="仿宋" w:hint="eastAsia"/>
          <w:sz w:val="32"/>
          <w:szCs w:val="32"/>
        </w:rPr>
        <w:t>）</w:t>
      </w:r>
      <w:proofErr w:type="gramStart"/>
      <w:r w:rsidRPr="008851D5">
        <w:rPr>
          <w:rFonts w:ascii="仿宋" w:eastAsia="仿宋" w:hAnsi="仿宋" w:cs="仿宋" w:hint="eastAsia"/>
          <w:sz w:val="32"/>
          <w:szCs w:val="32"/>
        </w:rPr>
        <w:t>大兴区</w:t>
      </w:r>
      <w:proofErr w:type="gramEnd"/>
      <w:r w:rsidRPr="008851D5">
        <w:rPr>
          <w:rFonts w:ascii="仿宋" w:eastAsia="仿宋" w:hAnsi="仿宋" w:cs="仿宋" w:hint="eastAsia"/>
          <w:sz w:val="32"/>
          <w:szCs w:val="32"/>
        </w:rPr>
        <w:t>人民法院202</w:t>
      </w:r>
      <w:r w:rsidRPr="008851D5">
        <w:rPr>
          <w:rFonts w:ascii="仿宋" w:eastAsia="仿宋" w:hAnsi="仿宋" w:cs="仿宋"/>
          <w:sz w:val="32"/>
          <w:szCs w:val="32"/>
        </w:rPr>
        <w:t>2</w:t>
      </w:r>
      <w:r w:rsidRPr="008851D5">
        <w:rPr>
          <w:rFonts w:ascii="仿宋" w:eastAsia="仿宋" w:hAnsi="仿宋" w:cs="仿宋" w:hint="eastAsia"/>
          <w:sz w:val="32"/>
          <w:szCs w:val="32"/>
        </w:rPr>
        <w:t>年共有</w:t>
      </w:r>
      <w:r w:rsidRPr="008851D5">
        <w:rPr>
          <w:rFonts w:ascii="仿宋" w:eastAsia="仿宋" w:hAnsi="仿宋" w:cs="仿宋"/>
          <w:sz w:val="32"/>
          <w:szCs w:val="32"/>
        </w:rPr>
        <w:t>2</w:t>
      </w:r>
      <w:r w:rsidR="008851D5" w:rsidRPr="008851D5">
        <w:rPr>
          <w:rFonts w:ascii="仿宋" w:eastAsia="仿宋" w:hAnsi="仿宋" w:cs="仿宋"/>
          <w:sz w:val="32"/>
          <w:szCs w:val="32"/>
        </w:rPr>
        <w:t>2</w:t>
      </w:r>
      <w:r w:rsidRPr="008851D5">
        <w:rPr>
          <w:rFonts w:ascii="仿宋" w:eastAsia="仿宋" w:hAnsi="仿宋" w:cs="仿宋" w:hint="eastAsia"/>
          <w:sz w:val="32"/>
          <w:szCs w:val="32"/>
        </w:rPr>
        <w:t>个项目，实际完成</w:t>
      </w:r>
      <w:r w:rsidRPr="008851D5">
        <w:rPr>
          <w:rFonts w:ascii="仿宋" w:eastAsia="仿宋" w:hAnsi="仿宋" w:cs="仿宋"/>
          <w:sz w:val="32"/>
          <w:szCs w:val="32"/>
        </w:rPr>
        <w:t>2</w:t>
      </w:r>
      <w:r w:rsidR="008851D5" w:rsidRPr="008851D5">
        <w:rPr>
          <w:rFonts w:ascii="仿宋" w:eastAsia="仿宋" w:hAnsi="仿宋" w:cs="仿宋"/>
          <w:sz w:val="32"/>
          <w:szCs w:val="32"/>
        </w:rPr>
        <w:t>2</w:t>
      </w:r>
      <w:r w:rsidRPr="008851D5">
        <w:rPr>
          <w:rFonts w:ascii="仿宋" w:eastAsia="仿宋" w:hAnsi="仿宋" w:cs="仿宋" w:hint="eastAsia"/>
          <w:sz w:val="32"/>
          <w:szCs w:val="32"/>
        </w:rPr>
        <w:t xml:space="preserve">个项目。计划完成率=（实际完成工作数/计划工作数）×100%= </w:t>
      </w:r>
      <w:r w:rsidRPr="008851D5">
        <w:rPr>
          <w:rFonts w:ascii="仿宋" w:eastAsia="仿宋" w:hAnsi="仿宋" w:cs="仿宋"/>
          <w:sz w:val="32"/>
          <w:szCs w:val="32"/>
        </w:rPr>
        <w:t>100</w:t>
      </w:r>
      <w:r w:rsidRPr="008851D5">
        <w:rPr>
          <w:rFonts w:ascii="仿宋" w:eastAsia="仿宋" w:hAnsi="仿宋" w:cs="仿宋" w:hint="eastAsia"/>
          <w:sz w:val="32"/>
          <w:szCs w:val="32"/>
        </w:rPr>
        <w:t>.</w:t>
      </w:r>
      <w:r w:rsidRPr="008851D5">
        <w:rPr>
          <w:rFonts w:ascii="仿宋" w:eastAsia="仿宋" w:hAnsi="仿宋" w:cs="仿宋"/>
          <w:sz w:val="32"/>
          <w:szCs w:val="32"/>
        </w:rPr>
        <w:t>00</w:t>
      </w:r>
      <w:r w:rsidRPr="008851D5">
        <w:rPr>
          <w:rFonts w:ascii="仿宋" w:eastAsia="仿宋" w:hAnsi="仿宋" w:cs="仿宋" w:hint="eastAsia"/>
          <w:sz w:val="32"/>
          <w:szCs w:val="32"/>
        </w:rPr>
        <w:t>%。</w:t>
      </w:r>
    </w:p>
    <w:p w14:paraId="091E6ECF"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sz w:val="32"/>
          <w:szCs w:val="32"/>
        </w:rPr>
        <w:t>.</w:t>
      </w:r>
      <w:r>
        <w:rPr>
          <w:rFonts w:ascii="仿宋" w:eastAsia="仿宋" w:hAnsi="仿宋" w:cs="仿宋" w:hint="eastAsia"/>
          <w:sz w:val="32"/>
          <w:szCs w:val="32"/>
        </w:rPr>
        <w:t>产出质量</w:t>
      </w:r>
    </w:p>
    <w:p w14:paraId="6F8DA11C" w14:textId="77777777" w:rsidR="007C06AB" w:rsidRPr="00551744"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（1）</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w:t>
      </w:r>
      <w:r>
        <w:rPr>
          <w:rFonts w:ascii="仿宋" w:eastAsia="仿宋" w:hAnsi="仿宋" w:cs="仿宋"/>
          <w:sz w:val="32"/>
          <w:szCs w:val="32"/>
        </w:rPr>
        <w:t>022</w:t>
      </w:r>
      <w:r>
        <w:rPr>
          <w:rFonts w:ascii="仿宋" w:eastAsia="仿宋" w:hAnsi="仿宋" w:cs="仿宋" w:hint="eastAsia"/>
          <w:sz w:val="32"/>
          <w:szCs w:val="32"/>
        </w:rPr>
        <w:t>年基本经费支出保障了机关正常运转和日常工作任务的完成；各项</w:t>
      </w:r>
      <w:proofErr w:type="gramStart"/>
      <w:r>
        <w:rPr>
          <w:rFonts w:ascii="仿宋" w:eastAsia="仿宋" w:hAnsi="仿宋" w:cs="仿宋" w:hint="eastAsia"/>
          <w:sz w:val="32"/>
          <w:szCs w:val="32"/>
        </w:rPr>
        <w:t>目根据</w:t>
      </w:r>
      <w:proofErr w:type="gramEnd"/>
      <w:r>
        <w:rPr>
          <w:rFonts w:ascii="仿宋" w:eastAsia="仿宋" w:hAnsi="仿宋" w:cs="仿宋" w:hint="eastAsia"/>
          <w:sz w:val="32"/>
          <w:szCs w:val="32"/>
        </w:rPr>
        <w:t>项目管理办法</w:t>
      </w:r>
      <w:r>
        <w:rPr>
          <w:rFonts w:ascii="仿宋" w:eastAsia="仿宋" w:hAnsi="仿宋" w:cs="仿宋" w:hint="eastAsia"/>
          <w:sz w:val="32"/>
          <w:szCs w:val="32"/>
        </w:rPr>
        <w:lastRenderedPageBreak/>
        <w:t>均有效完成，基本达到了设定的绩</w:t>
      </w:r>
      <w:r w:rsidRPr="00551744">
        <w:rPr>
          <w:rFonts w:ascii="仿宋" w:eastAsia="仿宋" w:hAnsi="仿宋" w:cs="仿宋" w:hint="eastAsia"/>
          <w:sz w:val="32"/>
          <w:szCs w:val="32"/>
        </w:rPr>
        <w:t>效目标质量标准。</w:t>
      </w:r>
    </w:p>
    <w:p w14:paraId="276AABEE" w14:textId="373FED40" w:rsidR="007C06AB" w:rsidRPr="00551744" w:rsidRDefault="00000000">
      <w:pPr>
        <w:spacing w:line="560" w:lineRule="exact"/>
        <w:ind w:firstLineChars="200" w:firstLine="640"/>
        <w:outlineLvl w:val="1"/>
        <w:rPr>
          <w:rFonts w:ascii="仿宋" w:eastAsia="仿宋" w:hAnsi="仿宋" w:cs="仿宋"/>
          <w:sz w:val="32"/>
          <w:szCs w:val="32"/>
        </w:rPr>
      </w:pPr>
      <w:r w:rsidRPr="00551744">
        <w:rPr>
          <w:rFonts w:ascii="仿宋" w:eastAsia="仿宋" w:hAnsi="仿宋" w:cs="仿宋" w:hint="eastAsia"/>
          <w:sz w:val="32"/>
          <w:szCs w:val="32"/>
        </w:rPr>
        <w:t>（2）</w:t>
      </w:r>
      <w:proofErr w:type="gramStart"/>
      <w:r w:rsidRPr="00551744">
        <w:rPr>
          <w:rFonts w:ascii="仿宋" w:eastAsia="仿宋" w:hAnsi="仿宋" w:cs="仿宋" w:hint="eastAsia"/>
          <w:sz w:val="32"/>
          <w:szCs w:val="32"/>
        </w:rPr>
        <w:t>大兴区</w:t>
      </w:r>
      <w:proofErr w:type="gramEnd"/>
      <w:r w:rsidRPr="00551744">
        <w:rPr>
          <w:rFonts w:ascii="仿宋" w:eastAsia="仿宋" w:hAnsi="仿宋" w:cs="仿宋" w:hint="eastAsia"/>
          <w:sz w:val="32"/>
          <w:szCs w:val="32"/>
        </w:rPr>
        <w:t>人民法院2022年实际完成</w:t>
      </w:r>
      <w:r w:rsidRPr="00551744">
        <w:rPr>
          <w:rFonts w:ascii="仿宋" w:eastAsia="仿宋" w:hAnsi="仿宋" w:cs="仿宋"/>
          <w:sz w:val="32"/>
          <w:szCs w:val="32"/>
        </w:rPr>
        <w:t>2</w:t>
      </w:r>
      <w:r w:rsidR="00551744" w:rsidRPr="00551744">
        <w:rPr>
          <w:rFonts w:ascii="仿宋" w:eastAsia="仿宋" w:hAnsi="仿宋" w:cs="仿宋"/>
          <w:sz w:val="32"/>
          <w:szCs w:val="32"/>
        </w:rPr>
        <w:t>2</w:t>
      </w:r>
      <w:r w:rsidRPr="00551744">
        <w:rPr>
          <w:rFonts w:ascii="仿宋" w:eastAsia="仿宋" w:hAnsi="仿宋" w:cs="仿宋" w:hint="eastAsia"/>
          <w:sz w:val="32"/>
          <w:szCs w:val="32"/>
        </w:rPr>
        <w:t>个项目，</w:t>
      </w:r>
      <w:r w:rsidRPr="00551744">
        <w:rPr>
          <w:rFonts w:ascii="仿宋" w:eastAsia="仿宋" w:hAnsi="仿宋" w:cs="仿宋"/>
          <w:sz w:val="32"/>
          <w:szCs w:val="32"/>
        </w:rPr>
        <w:t>2</w:t>
      </w:r>
      <w:r w:rsidR="00946CF5">
        <w:rPr>
          <w:rFonts w:ascii="仿宋" w:eastAsia="仿宋" w:hAnsi="仿宋" w:cs="仿宋"/>
          <w:sz w:val="32"/>
          <w:szCs w:val="32"/>
        </w:rPr>
        <w:t>2</w:t>
      </w:r>
      <w:r w:rsidRPr="00551744">
        <w:rPr>
          <w:rFonts w:ascii="仿宋" w:eastAsia="仿宋" w:hAnsi="仿宋" w:cs="仿宋" w:hint="eastAsia"/>
          <w:sz w:val="32"/>
          <w:szCs w:val="32"/>
        </w:rPr>
        <w:t>个项目质量全部达标。质量达标率=质量达标工作数/实际完成工作数×100%=100%。</w:t>
      </w:r>
    </w:p>
    <w:p w14:paraId="42528D92" w14:textId="77777777" w:rsidR="007C06AB" w:rsidRPr="00551744" w:rsidRDefault="00000000">
      <w:pPr>
        <w:spacing w:line="560" w:lineRule="exact"/>
        <w:ind w:firstLineChars="200" w:firstLine="640"/>
        <w:outlineLvl w:val="1"/>
        <w:rPr>
          <w:rFonts w:ascii="仿宋" w:eastAsia="仿宋" w:hAnsi="仿宋" w:cs="仿宋"/>
          <w:sz w:val="32"/>
          <w:szCs w:val="32"/>
        </w:rPr>
      </w:pPr>
      <w:r w:rsidRPr="00551744">
        <w:rPr>
          <w:rFonts w:ascii="仿宋" w:eastAsia="仿宋" w:hAnsi="仿宋" w:cs="仿宋" w:hint="eastAsia"/>
          <w:sz w:val="32"/>
          <w:szCs w:val="32"/>
        </w:rPr>
        <w:t>3</w:t>
      </w:r>
      <w:r w:rsidRPr="00551744">
        <w:rPr>
          <w:rFonts w:ascii="仿宋" w:eastAsia="仿宋" w:hAnsi="仿宋" w:cs="仿宋"/>
          <w:sz w:val="32"/>
          <w:szCs w:val="32"/>
        </w:rPr>
        <w:t>.</w:t>
      </w:r>
      <w:r w:rsidRPr="00551744">
        <w:rPr>
          <w:rFonts w:ascii="仿宋" w:eastAsia="仿宋" w:hAnsi="仿宋" w:cs="仿宋" w:hint="eastAsia"/>
          <w:sz w:val="32"/>
          <w:szCs w:val="32"/>
        </w:rPr>
        <w:t>产出进度</w:t>
      </w:r>
    </w:p>
    <w:p w14:paraId="740DF825" w14:textId="3ED771FA" w:rsidR="007C06AB" w:rsidRPr="00551744" w:rsidRDefault="00000000">
      <w:pPr>
        <w:spacing w:line="560" w:lineRule="exact"/>
        <w:ind w:firstLineChars="200" w:firstLine="640"/>
        <w:outlineLvl w:val="1"/>
        <w:rPr>
          <w:rFonts w:ascii="仿宋" w:eastAsia="仿宋" w:hAnsi="仿宋" w:cs="仿宋"/>
          <w:sz w:val="32"/>
          <w:szCs w:val="32"/>
        </w:rPr>
      </w:pPr>
      <w:proofErr w:type="gramStart"/>
      <w:r w:rsidRPr="00551744">
        <w:rPr>
          <w:rFonts w:ascii="仿宋" w:eastAsia="仿宋" w:hAnsi="仿宋" w:cs="仿宋" w:hint="eastAsia"/>
          <w:sz w:val="32"/>
          <w:szCs w:val="32"/>
        </w:rPr>
        <w:t>大兴区</w:t>
      </w:r>
      <w:proofErr w:type="gramEnd"/>
      <w:r w:rsidRPr="00551744">
        <w:rPr>
          <w:rFonts w:ascii="仿宋" w:eastAsia="仿宋" w:hAnsi="仿宋" w:cs="仿宋" w:hint="eastAsia"/>
          <w:sz w:val="32"/>
          <w:szCs w:val="32"/>
        </w:rPr>
        <w:t>人民法院202</w:t>
      </w:r>
      <w:r w:rsidRPr="00551744">
        <w:rPr>
          <w:rFonts w:ascii="仿宋" w:eastAsia="仿宋" w:hAnsi="仿宋" w:cs="仿宋"/>
          <w:sz w:val="32"/>
          <w:szCs w:val="32"/>
        </w:rPr>
        <w:t>2</w:t>
      </w:r>
      <w:r w:rsidRPr="00551744">
        <w:rPr>
          <w:rFonts w:ascii="仿宋" w:eastAsia="仿宋" w:hAnsi="仿宋" w:cs="仿宋" w:hint="eastAsia"/>
          <w:sz w:val="32"/>
          <w:szCs w:val="32"/>
        </w:rPr>
        <w:t>年度人员经费均按月及时发放，日常公用支出以及项目支出均已按时完成。</w:t>
      </w:r>
      <w:proofErr w:type="gramStart"/>
      <w:r w:rsidRPr="00551744">
        <w:rPr>
          <w:rFonts w:ascii="仿宋" w:eastAsia="仿宋" w:hAnsi="仿宋" w:cs="仿宋" w:hint="eastAsia"/>
          <w:sz w:val="32"/>
          <w:szCs w:val="32"/>
        </w:rPr>
        <w:t>大兴区</w:t>
      </w:r>
      <w:proofErr w:type="gramEnd"/>
      <w:r w:rsidRPr="00551744">
        <w:rPr>
          <w:rFonts w:ascii="仿宋" w:eastAsia="仿宋" w:hAnsi="仿宋" w:cs="仿宋" w:hint="eastAsia"/>
          <w:sz w:val="32"/>
          <w:szCs w:val="32"/>
        </w:rPr>
        <w:t>人民法院202</w:t>
      </w:r>
      <w:r w:rsidRPr="00551744">
        <w:rPr>
          <w:rFonts w:ascii="仿宋" w:eastAsia="仿宋" w:hAnsi="仿宋" w:cs="仿宋"/>
          <w:sz w:val="32"/>
          <w:szCs w:val="32"/>
        </w:rPr>
        <w:t>2</w:t>
      </w:r>
      <w:r w:rsidRPr="00551744">
        <w:rPr>
          <w:rFonts w:ascii="仿宋" w:eastAsia="仿宋" w:hAnsi="仿宋" w:cs="仿宋" w:hint="eastAsia"/>
          <w:sz w:val="32"/>
          <w:szCs w:val="32"/>
        </w:rPr>
        <w:t>年实际完成</w:t>
      </w:r>
      <w:r w:rsidRPr="00551744">
        <w:rPr>
          <w:rFonts w:ascii="仿宋" w:eastAsia="仿宋" w:hAnsi="仿宋" w:cs="仿宋"/>
          <w:sz w:val="32"/>
          <w:szCs w:val="32"/>
        </w:rPr>
        <w:t>2</w:t>
      </w:r>
      <w:r w:rsidR="00551744" w:rsidRPr="00551744">
        <w:rPr>
          <w:rFonts w:ascii="仿宋" w:eastAsia="仿宋" w:hAnsi="仿宋" w:cs="仿宋"/>
          <w:sz w:val="32"/>
          <w:szCs w:val="32"/>
        </w:rPr>
        <w:t>2</w:t>
      </w:r>
      <w:r w:rsidRPr="00551744">
        <w:rPr>
          <w:rFonts w:ascii="仿宋" w:eastAsia="仿宋" w:hAnsi="仿宋" w:cs="仿宋" w:hint="eastAsia"/>
          <w:sz w:val="32"/>
          <w:szCs w:val="32"/>
        </w:rPr>
        <w:t>个项目，</w:t>
      </w:r>
      <w:r w:rsidRPr="00551744">
        <w:rPr>
          <w:rFonts w:ascii="仿宋" w:eastAsia="仿宋" w:hAnsi="仿宋" w:cs="仿宋"/>
          <w:sz w:val="32"/>
          <w:szCs w:val="32"/>
        </w:rPr>
        <w:t>2</w:t>
      </w:r>
      <w:r w:rsidR="00551744" w:rsidRPr="00551744">
        <w:rPr>
          <w:rFonts w:ascii="仿宋" w:eastAsia="仿宋" w:hAnsi="仿宋" w:cs="仿宋"/>
          <w:sz w:val="32"/>
          <w:szCs w:val="32"/>
        </w:rPr>
        <w:t>2</w:t>
      </w:r>
      <w:r w:rsidRPr="00551744">
        <w:rPr>
          <w:rFonts w:ascii="仿宋" w:eastAsia="仿宋" w:hAnsi="仿宋" w:cs="仿宋" w:hint="eastAsia"/>
          <w:sz w:val="32"/>
          <w:szCs w:val="32"/>
        </w:rPr>
        <w:t>个项目全部按时完成。</w:t>
      </w:r>
    </w:p>
    <w:p w14:paraId="56F5A90A"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sz w:val="32"/>
          <w:szCs w:val="32"/>
        </w:rPr>
        <w:t>.</w:t>
      </w:r>
      <w:r>
        <w:rPr>
          <w:rFonts w:ascii="仿宋" w:eastAsia="仿宋" w:hAnsi="仿宋" w:cs="仿宋" w:hint="eastAsia"/>
          <w:sz w:val="32"/>
          <w:szCs w:val="32"/>
        </w:rPr>
        <w:t>产出成本</w:t>
      </w:r>
    </w:p>
    <w:p w14:paraId="2962B961" w14:textId="77777777" w:rsidR="007C06AB" w:rsidRDefault="00000000">
      <w:pPr>
        <w:spacing w:line="560" w:lineRule="exact"/>
        <w:ind w:firstLineChars="200" w:firstLine="640"/>
        <w:outlineLvl w:val="1"/>
        <w:rPr>
          <w:rFonts w:ascii="仿宋" w:eastAsia="仿宋" w:hAnsi="仿宋" w:cs="仿宋"/>
          <w:sz w:val="32"/>
          <w:szCs w:val="32"/>
        </w:rPr>
      </w:pP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人民法院202</w:t>
      </w:r>
      <w:r>
        <w:rPr>
          <w:rFonts w:ascii="仿宋" w:eastAsia="仿宋" w:hAnsi="仿宋" w:cs="仿宋"/>
          <w:sz w:val="32"/>
          <w:szCs w:val="32"/>
        </w:rPr>
        <w:t>2</w:t>
      </w:r>
      <w:r>
        <w:rPr>
          <w:rFonts w:ascii="仿宋" w:eastAsia="仿宋" w:hAnsi="仿宋" w:cs="仿宋" w:hint="eastAsia"/>
          <w:sz w:val="32"/>
          <w:szCs w:val="32"/>
        </w:rPr>
        <w:t>年部分经费实现成本节约，如：</w:t>
      </w:r>
      <w:r>
        <w:rPr>
          <w:rFonts w:ascii="仿宋" w:eastAsia="仿宋" w:hAnsi="仿宋" w:cs="仿宋"/>
          <w:sz w:val="32"/>
          <w:szCs w:val="32"/>
        </w:rPr>
        <w:t xml:space="preserve"> </w:t>
      </w:r>
      <w:r>
        <w:rPr>
          <w:rFonts w:ascii="仿宋" w:eastAsia="仿宋" w:hAnsi="仿宋" w:cs="仿宋" w:hint="eastAsia"/>
          <w:sz w:val="32"/>
          <w:szCs w:val="32"/>
        </w:rPr>
        <w:t>2022年“三公”经费财政拨款决算数82.17万元，比2021年决算数102.47万元减少20.3万元；2022年培训费支出0.62万元，比2021年决算4.56万元减少3.94万元。2022年公务接待费决算数0万元，比2022年年初预算数2万元减少2万元；2022年公务用车购置及运行维护费决算数82.17万元，比2022年年初预算数134.67万元减少52.5万元。</w:t>
      </w:r>
    </w:p>
    <w:p w14:paraId="4B6E826C" w14:textId="77777777" w:rsidR="007C06AB" w:rsidRDefault="00000000">
      <w:pPr>
        <w:spacing w:line="560" w:lineRule="exact"/>
        <w:ind w:firstLineChars="200" w:firstLine="640"/>
        <w:outlineLvl w:val="1"/>
        <w:rPr>
          <w:rFonts w:ascii="楷体_GB2312" w:eastAsia="楷体_GB2312"/>
          <w:sz w:val="32"/>
          <w:szCs w:val="32"/>
        </w:rPr>
      </w:pPr>
      <w:bookmarkStart w:id="8" w:name="_Toc27371"/>
      <w:r>
        <w:rPr>
          <w:rFonts w:ascii="楷体_GB2312" w:eastAsia="楷体_GB2312" w:hint="eastAsia"/>
          <w:sz w:val="32"/>
          <w:szCs w:val="32"/>
        </w:rPr>
        <w:t>（二）效果</w:t>
      </w:r>
      <w:r>
        <w:rPr>
          <w:rFonts w:ascii="楷体_GB2312" w:eastAsia="楷体_GB2312"/>
          <w:sz w:val="32"/>
          <w:szCs w:val="32"/>
        </w:rPr>
        <w:t>实现情况分析</w:t>
      </w:r>
      <w:bookmarkEnd w:id="8"/>
    </w:p>
    <w:p w14:paraId="698E4E4F"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1.经济效益</w:t>
      </w:r>
    </w:p>
    <w:p w14:paraId="135F2E2E"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（1）加大追索劳动报酬、交通事故损害赔偿等涉民生案件的执行力度，执</w:t>
      </w:r>
      <w:proofErr w:type="gramStart"/>
      <w:r>
        <w:rPr>
          <w:rFonts w:ascii="仿宋" w:eastAsia="仿宋" w:hAnsi="仿宋" w:cs="仿宋" w:hint="eastAsia"/>
          <w:sz w:val="32"/>
          <w:szCs w:val="32"/>
        </w:rPr>
        <w:t>结相关</w:t>
      </w:r>
      <w:proofErr w:type="gramEnd"/>
      <w:r>
        <w:rPr>
          <w:rFonts w:ascii="仿宋" w:eastAsia="仿宋" w:hAnsi="仿宋" w:cs="仿宋" w:hint="eastAsia"/>
          <w:sz w:val="32"/>
          <w:szCs w:val="32"/>
        </w:rPr>
        <w:t>案件8947件，执行到位金额超7.1</w:t>
      </w:r>
      <w:r>
        <w:rPr>
          <w:rFonts w:ascii="仿宋" w:eastAsia="仿宋" w:hAnsi="仿宋" w:cs="仿宋"/>
          <w:sz w:val="32"/>
          <w:szCs w:val="32"/>
        </w:rPr>
        <w:t>0</w:t>
      </w:r>
      <w:r>
        <w:rPr>
          <w:rFonts w:ascii="仿宋" w:eastAsia="仿宋" w:hAnsi="仿宋" w:cs="仿宋" w:hint="eastAsia"/>
          <w:sz w:val="32"/>
          <w:szCs w:val="32"/>
        </w:rPr>
        <w:t>亿元。</w:t>
      </w:r>
    </w:p>
    <w:p w14:paraId="457B4964"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（2）加大网络司法拍卖力度，网上拍卖标的物1377件，成交金额4.2</w:t>
      </w:r>
      <w:r>
        <w:rPr>
          <w:rFonts w:ascii="仿宋" w:eastAsia="仿宋" w:hAnsi="仿宋" w:cs="仿宋"/>
          <w:sz w:val="32"/>
          <w:szCs w:val="32"/>
        </w:rPr>
        <w:t>0</w:t>
      </w:r>
      <w:r>
        <w:rPr>
          <w:rFonts w:ascii="仿宋" w:eastAsia="仿宋" w:hAnsi="仿宋" w:cs="仿宋" w:hint="eastAsia"/>
          <w:sz w:val="32"/>
          <w:szCs w:val="32"/>
        </w:rPr>
        <w:t>亿元。</w:t>
      </w:r>
    </w:p>
    <w:p w14:paraId="25BB6163"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2</w:t>
      </w:r>
      <w:r>
        <w:rPr>
          <w:rFonts w:ascii="仿宋" w:eastAsia="仿宋" w:hAnsi="仿宋" w:cs="仿宋"/>
          <w:sz w:val="32"/>
          <w:szCs w:val="32"/>
        </w:rPr>
        <w:t>.</w:t>
      </w:r>
      <w:r>
        <w:rPr>
          <w:rFonts w:ascii="仿宋" w:eastAsia="仿宋" w:hAnsi="仿宋" w:cs="仿宋" w:hint="eastAsia"/>
          <w:sz w:val="32"/>
          <w:szCs w:val="32"/>
        </w:rPr>
        <w:t>社会效益</w:t>
      </w:r>
    </w:p>
    <w:p w14:paraId="2093E790"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（1）推动平安大兴建设，常态</w:t>
      </w:r>
      <w:proofErr w:type="gramStart"/>
      <w:r>
        <w:rPr>
          <w:rFonts w:ascii="仿宋" w:eastAsia="仿宋" w:hAnsi="仿宋" w:cs="仿宋" w:hint="eastAsia"/>
          <w:sz w:val="32"/>
          <w:szCs w:val="32"/>
        </w:rPr>
        <w:t>化开展</w:t>
      </w:r>
      <w:proofErr w:type="gramEnd"/>
      <w:r>
        <w:rPr>
          <w:rFonts w:ascii="仿宋" w:eastAsia="仿宋" w:hAnsi="仿宋" w:cs="仿宋" w:hint="eastAsia"/>
          <w:sz w:val="32"/>
          <w:szCs w:val="32"/>
        </w:rPr>
        <w:t>扫黑除恶斗争，扎实开展打击整治养老诈骗专项行动，审结6起养老诈骗案件，黄某等9人诈骗案入选北京法院打击整治养老诈骗犯罪典型案例。</w:t>
      </w:r>
    </w:p>
    <w:p w14:paraId="6527358F"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（2）加强青少年司法保护，全面推进“法治进校园”，选拔19名法官出任区内22所学校的法治副校长，利用“线上+线下”的方式开展36场普法活动，与</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教委、团区委合作录制4期“云端”精品普法课，用法治呵护青少年健康成长。</w:t>
      </w:r>
    </w:p>
    <w:p w14:paraId="2C3E9C45"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3）妥善化解民商事纠纷，保障人民安居乐业。充分发挥“一轴多翼”多元化解家事纠纷机制的作用，审结婚姻家庭、析产继承案件2147件。审结房屋买卖租赁、物业供暖案件3172件。依法平等保护各类市场主体，审结合同、公司、金融纠纷案件4060件。审结房屋拆迁安置补偿、土地承包经营权纠纷等涉农案件202件，助力乡村振兴发展。</w:t>
      </w:r>
    </w:p>
    <w:p w14:paraId="78FDDD6D"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（4）加强风险防控，服务保障重点工作。将服务保障好党的二十大胜利召开作为重大政治任务，加强办案全流程风险</w:t>
      </w:r>
      <w:proofErr w:type="gramStart"/>
      <w:r>
        <w:rPr>
          <w:rFonts w:ascii="仿宋" w:eastAsia="仿宋" w:hAnsi="仿宋" w:cs="仿宋" w:hint="eastAsia"/>
          <w:sz w:val="32"/>
          <w:szCs w:val="32"/>
        </w:rPr>
        <w:t>研</w:t>
      </w:r>
      <w:proofErr w:type="gramEnd"/>
      <w:r>
        <w:rPr>
          <w:rFonts w:ascii="仿宋" w:eastAsia="仿宋" w:hAnsi="仿宋" w:cs="仿宋" w:hint="eastAsia"/>
          <w:sz w:val="32"/>
          <w:szCs w:val="32"/>
        </w:rPr>
        <w:t>判与防控，深化信访案件联动调处，圆满完成党的二十大与冬奥会、冬残奥</w:t>
      </w:r>
      <w:proofErr w:type="gramStart"/>
      <w:r>
        <w:rPr>
          <w:rFonts w:ascii="仿宋" w:eastAsia="仿宋" w:hAnsi="仿宋" w:cs="仿宋" w:hint="eastAsia"/>
          <w:sz w:val="32"/>
          <w:szCs w:val="32"/>
        </w:rPr>
        <w:t>会维稳</w:t>
      </w:r>
      <w:proofErr w:type="gramEnd"/>
      <w:r>
        <w:rPr>
          <w:rFonts w:ascii="仿宋" w:eastAsia="仿宋" w:hAnsi="仿宋" w:cs="仿宋" w:hint="eastAsia"/>
          <w:sz w:val="32"/>
          <w:szCs w:val="32"/>
        </w:rPr>
        <w:t>安保工作。加大涉“双减”案件的风险化解，妥善处理相关教育培训合同纠纷、劳动争议1296件。加强与公安、检察机关的信息共享与协同</w:t>
      </w:r>
      <w:proofErr w:type="gramStart"/>
      <w:r>
        <w:rPr>
          <w:rFonts w:ascii="仿宋" w:eastAsia="仿宋" w:hAnsi="仿宋" w:cs="仿宋" w:hint="eastAsia"/>
          <w:sz w:val="32"/>
          <w:szCs w:val="32"/>
        </w:rPr>
        <w:t>研</w:t>
      </w:r>
      <w:proofErr w:type="gramEnd"/>
      <w:r>
        <w:rPr>
          <w:rFonts w:ascii="仿宋" w:eastAsia="仿宋" w:hAnsi="仿宋" w:cs="仿宋" w:hint="eastAsia"/>
          <w:sz w:val="32"/>
          <w:szCs w:val="32"/>
        </w:rPr>
        <w:t>判，促进重大非法集资类案件的取证、</w:t>
      </w:r>
      <w:proofErr w:type="gramStart"/>
      <w:r>
        <w:rPr>
          <w:rFonts w:ascii="仿宋" w:eastAsia="仿宋" w:hAnsi="仿宋" w:cs="仿宋" w:hint="eastAsia"/>
          <w:sz w:val="32"/>
          <w:szCs w:val="32"/>
        </w:rPr>
        <w:t>追赃挽损等</w:t>
      </w:r>
      <w:proofErr w:type="gramEnd"/>
      <w:r>
        <w:rPr>
          <w:rFonts w:ascii="仿宋" w:eastAsia="仿宋" w:hAnsi="仿宋" w:cs="仿宋" w:hint="eastAsia"/>
          <w:sz w:val="32"/>
          <w:szCs w:val="32"/>
        </w:rPr>
        <w:t>工作顺利开展。妥善执结4起涉黄村火车站地块案件，</w:t>
      </w:r>
      <w:proofErr w:type="gramStart"/>
      <w:r>
        <w:rPr>
          <w:rFonts w:ascii="仿宋" w:eastAsia="仿宋" w:hAnsi="仿宋" w:cs="仿宋" w:hint="eastAsia"/>
          <w:sz w:val="32"/>
          <w:szCs w:val="32"/>
        </w:rPr>
        <w:t>完成朗泰北方</w:t>
      </w:r>
      <w:proofErr w:type="gramEnd"/>
      <w:r>
        <w:rPr>
          <w:rFonts w:ascii="仿宋" w:eastAsia="仿宋" w:hAnsi="仿宋" w:cs="仿宋" w:hint="eastAsia"/>
          <w:sz w:val="32"/>
          <w:szCs w:val="32"/>
        </w:rPr>
        <w:t>仓库</w:t>
      </w:r>
      <w:r>
        <w:rPr>
          <w:rFonts w:ascii="仿宋" w:eastAsia="仿宋" w:hAnsi="仿宋" w:cs="仿宋" w:hint="eastAsia"/>
          <w:sz w:val="32"/>
          <w:szCs w:val="32"/>
        </w:rPr>
        <w:lastRenderedPageBreak/>
        <w:t>6300余平方米土地腾退，有力保障区域重点工程建设有序推进。</w:t>
      </w:r>
    </w:p>
    <w:p w14:paraId="3E24A10C" w14:textId="77777777" w:rsidR="007C06AB"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（5）积极参与社会治理，开展党建共建活动135次，92名法官深入社区和乡村开展“法律体检”，参加专项工作法律论证会60余场，妥善化解多起群体性纠纷，其中某大型养殖场222名工人</w:t>
      </w:r>
      <w:proofErr w:type="gramStart"/>
      <w:r>
        <w:rPr>
          <w:rFonts w:ascii="仿宋" w:eastAsia="仿宋" w:hAnsi="仿宋" w:cs="仿宋" w:hint="eastAsia"/>
          <w:sz w:val="32"/>
          <w:szCs w:val="32"/>
        </w:rPr>
        <w:t>讨薪案件</w:t>
      </w:r>
      <w:proofErr w:type="gramEnd"/>
      <w:r>
        <w:rPr>
          <w:rFonts w:ascii="仿宋" w:eastAsia="仿宋" w:hAnsi="仿宋" w:cs="仿宋" w:hint="eastAsia"/>
          <w:sz w:val="32"/>
          <w:szCs w:val="32"/>
        </w:rPr>
        <w:t>入选“北京法院涉民生民事案件典型案例”。</w:t>
      </w:r>
    </w:p>
    <w:p w14:paraId="1E432C58" w14:textId="77777777" w:rsidR="007C06AB" w:rsidRPr="000D0178" w:rsidRDefault="00000000">
      <w:pPr>
        <w:spacing w:line="560" w:lineRule="exact"/>
        <w:ind w:firstLineChars="200" w:firstLine="640"/>
        <w:outlineLvl w:val="1"/>
        <w:rPr>
          <w:rFonts w:ascii="仿宋" w:eastAsia="仿宋" w:hAnsi="仿宋" w:cs="仿宋"/>
          <w:sz w:val="32"/>
          <w:szCs w:val="32"/>
        </w:rPr>
      </w:pPr>
      <w:r>
        <w:rPr>
          <w:rFonts w:ascii="仿宋" w:eastAsia="仿宋" w:hAnsi="仿宋" w:cs="仿宋" w:hint="eastAsia"/>
          <w:sz w:val="32"/>
          <w:szCs w:val="32"/>
        </w:rPr>
        <w:t>（6）深化司法公开，召开涉遗嘱继承纠纷、虚假</w:t>
      </w:r>
      <w:proofErr w:type="gramStart"/>
      <w:r>
        <w:rPr>
          <w:rFonts w:ascii="仿宋" w:eastAsia="仿宋" w:hAnsi="仿宋" w:cs="仿宋" w:hint="eastAsia"/>
          <w:sz w:val="32"/>
          <w:szCs w:val="32"/>
        </w:rPr>
        <w:t>诉讼整治</w:t>
      </w:r>
      <w:proofErr w:type="gramEnd"/>
      <w:r>
        <w:rPr>
          <w:rFonts w:ascii="仿宋" w:eastAsia="仿宋" w:hAnsi="仿宋" w:cs="仿宋" w:hint="eastAsia"/>
          <w:sz w:val="32"/>
          <w:szCs w:val="32"/>
        </w:rPr>
        <w:t>等主题的新闻发布会，通过官方</w:t>
      </w:r>
      <w:proofErr w:type="gramStart"/>
      <w:r>
        <w:rPr>
          <w:rFonts w:ascii="仿宋" w:eastAsia="仿宋" w:hAnsi="仿宋" w:cs="仿宋" w:hint="eastAsia"/>
          <w:sz w:val="32"/>
          <w:szCs w:val="32"/>
        </w:rPr>
        <w:t>微博以及</w:t>
      </w:r>
      <w:proofErr w:type="gramEnd"/>
      <w:r>
        <w:rPr>
          <w:rFonts w:ascii="仿宋" w:eastAsia="仿宋" w:hAnsi="仿宋" w:cs="仿宋" w:hint="eastAsia"/>
          <w:sz w:val="32"/>
          <w:szCs w:val="32"/>
        </w:rPr>
        <w:t>微信、短视频账号发布信息300余条，开设《小兴知法》专栏，通过讲述与日常生活息息</w:t>
      </w:r>
      <w:r w:rsidRPr="000D0178">
        <w:rPr>
          <w:rFonts w:ascii="仿宋" w:eastAsia="仿宋" w:hAnsi="仿宋" w:cs="仿宋" w:hint="eastAsia"/>
          <w:sz w:val="32"/>
          <w:szCs w:val="32"/>
        </w:rPr>
        <w:t>相关的案例，让民法典条文更加鲜活入心。</w:t>
      </w:r>
    </w:p>
    <w:p w14:paraId="17614BF4" w14:textId="72FAD8C0" w:rsidR="008F2560" w:rsidRPr="000D0178" w:rsidRDefault="00DE7CBB">
      <w:pPr>
        <w:spacing w:line="560" w:lineRule="exact"/>
        <w:ind w:firstLineChars="200" w:firstLine="640"/>
        <w:outlineLvl w:val="1"/>
        <w:rPr>
          <w:rFonts w:ascii="仿宋" w:eastAsia="仿宋" w:hAnsi="仿宋" w:cs="仿宋"/>
          <w:sz w:val="32"/>
          <w:szCs w:val="32"/>
        </w:rPr>
      </w:pPr>
      <w:r w:rsidRPr="000D0178">
        <w:rPr>
          <w:rFonts w:ascii="仿宋" w:eastAsia="仿宋" w:hAnsi="仿宋" w:cs="仿宋"/>
          <w:sz w:val="32"/>
          <w:szCs w:val="32"/>
        </w:rPr>
        <w:t>3</w:t>
      </w:r>
      <w:r w:rsidR="008F2560" w:rsidRPr="000D0178">
        <w:rPr>
          <w:rFonts w:ascii="仿宋" w:eastAsia="仿宋" w:hAnsi="仿宋" w:cs="仿宋"/>
          <w:sz w:val="32"/>
          <w:szCs w:val="32"/>
        </w:rPr>
        <w:t>.</w:t>
      </w:r>
      <w:r w:rsidR="008F2560" w:rsidRPr="000D0178">
        <w:rPr>
          <w:rFonts w:ascii="仿宋" w:eastAsia="仿宋" w:hAnsi="仿宋" w:cs="仿宋" w:hint="eastAsia"/>
          <w:sz w:val="32"/>
          <w:szCs w:val="32"/>
        </w:rPr>
        <w:t>环境效益</w:t>
      </w:r>
    </w:p>
    <w:p w14:paraId="0A492855" w14:textId="12234D4E" w:rsidR="000D0178" w:rsidRDefault="000D0178" w:rsidP="000D0178">
      <w:pPr>
        <w:spacing w:line="560" w:lineRule="exact"/>
        <w:ind w:firstLineChars="177" w:firstLine="372"/>
        <w:outlineLvl w:val="1"/>
      </w:pPr>
      <w:r w:rsidRPr="000D0178">
        <w:rPr>
          <w:rFonts w:hint="eastAsia"/>
        </w:rPr>
        <w:t xml:space="preserve"> </w:t>
      </w:r>
      <w:r w:rsidRPr="000D0178">
        <w:t xml:space="preserve">  </w:t>
      </w:r>
      <w:proofErr w:type="gramStart"/>
      <w:r w:rsidRPr="000D0178">
        <w:rPr>
          <w:rFonts w:ascii="仿宋" w:eastAsia="仿宋" w:hAnsi="仿宋" w:cs="仿宋" w:hint="eastAsia"/>
          <w:sz w:val="32"/>
          <w:szCs w:val="32"/>
        </w:rPr>
        <w:t>大兴区</w:t>
      </w:r>
      <w:proofErr w:type="gramEnd"/>
      <w:r w:rsidRPr="000D0178">
        <w:rPr>
          <w:rFonts w:ascii="仿宋" w:eastAsia="仿宋" w:hAnsi="仿宋" w:cs="仿宋" w:hint="eastAsia"/>
          <w:sz w:val="32"/>
          <w:szCs w:val="32"/>
        </w:rPr>
        <w:t>人民法院2022年度部门整体绩效</w:t>
      </w:r>
      <w:r w:rsidRPr="000D0178">
        <w:rPr>
          <w:rFonts w:ascii="仿宋" w:eastAsia="仿宋" w:hAnsi="仿宋" w:cs="仿宋" w:hint="eastAsia"/>
          <w:sz w:val="32"/>
          <w:szCs w:val="32"/>
        </w:rPr>
        <w:t>目标完成情况不涉及环境效益指标，部门履行职责</w:t>
      </w:r>
      <w:r w:rsidR="00557A9B">
        <w:rPr>
          <w:rFonts w:ascii="仿宋" w:eastAsia="仿宋" w:hAnsi="仿宋" w:cs="仿宋" w:hint="eastAsia"/>
          <w:sz w:val="32"/>
          <w:szCs w:val="32"/>
        </w:rPr>
        <w:t>未</w:t>
      </w:r>
      <w:r w:rsidRPr="000D0178">
        <w:rPr>
          <w:rFonts w:ascii="仿宋" w:eastAsia="仿宋" w:hAnsi="仿宋" w:cs="仿宋" w:hint="eastAsia"/>
          <w:sz w:val="32"/>
          <w:szCs w:val="32"/>
        </w:rPr>
        <w:t>对环境带来</w:t>
      </w:r>
      <w:r w:rsidR="00557A9B">
        <w:rPr>
          <w:rFonts w:ascii="仿宋" w:eastAsia="仿宋" w:hAnsi="仿宋" w:cs="仿宋" w:hint="eastAsia"/>
          <w:sz w:val="32"/>
          <w:szCs w:val="32"/>
        </w:rPr>
        <w:t>直接</w:t>
      </w:r>
      <w:r w:rsidRPr="000D0178">
        <w:rPr>
          <w:rFonts w:ascii="仿宋" w:eastAsia="仿宋" w:hAnsi="仿宋" w:cs="仿宋" w:hint="eastAsia"/>
          <w:sz w:val="32"/>
          <w:szCs w:val="32"/>
        </w:rPr>
        <w:t>影响。</w:t>
      </w:r>
    </w:p>
    <w:p w14:paraId="1208DD6D" w14:textId="4D1E8A5A" w:rsidR="007C06AB" w:rsidRDefault="00DE7CBB">
      <w:pPr>
        <w:spacing w:line="560" w:lineRule="exact"/>
        <w:ind w:firstLineChars="200" w:firstLine="640"/>
        <w:outlineLvl w:val="1"/>
        <w:rPr>
          <w:rFonts w:ascii="仿宋" w:eastAsia="仿宋" w:hAnsi="仿宋" w:cs="仿宋"/>
          <w:sz w:val="32"/>
          <w:szCs w:val="32"/>
        </w:rPr>
      </w:pPr>
      <w:r>
        <w:rPr>
          <w:rFonts w:ascii="仿宋" w:eastAsia="仿宋" w:hAnsi="仿宋" w:cs="仿宋"/>
          <w:sz w:val="32"/>
          <w:szCs w:val="32"/>
        </w:rPr>
        <w:t>4.</w:t>
      </w:r>
      <w:r>
        <w:rPr>
          <w:rFonts w:ascii="仿宋" w:eastAsia="仿宋" w:hAnsi="仿宋" w:cs="仿宋" w:hint="eastAsia"/>
          <w:sz w:val="32"/>
          <w:szCs w:val="32"/>
        </w:rPr>
        <w:t>可持续影响</w:t>
      </w:r>
    </w:p>
    <w:p w14:paraId="79234D93" w14:textId="77777777" w:rsidR="007C06AB" w:rsidRDefault="00000000">
      <w:pPr>
        <w:spacing w:line="560" w:lineRule="exact"/>
        <w:ind w:firstLineChars="177" w:firstLine="566"/>
        <w:outlineLvl w:val="1"/>
        <w:rPr>
          <w:rFonts w:ascii="仿宋" w:eastAsia="仿宋" w:hAnsi="仿宋" w:cs="仿宋"/>
          <w:sz w:val="32"/>
          <w:szCs w:val="32"/>
        </w:rPr>
      </w:pPr>
      <w:bookmarkStart w:id="9" w:name="_Hlk135172732"/>
      <w:r>
        <w:rPr>
          <w:rFonts w:ascii="仿宋" w:eastAsia="仿宋" w:hAnsi="仿宋" w:cs="仿宋" w:hint="eastAsia"/>
          <w:sz w:val="32"/>
          <w:szCs w:val="32"/>
        </w:rPr>
        <w:t>（</w:t>
      </w:r>
      <w:r>
        <w:rPr>
          <w:rFonts w:ascii="仿宋" w:eastAsia="仿宋" w:hAnsi="仿宋" w:cs="仿宋"/>
          <w:sz w:val="32"/>
          <w:szCs w:val="32"/>
        </w:rPr>
        <w:t>1</w:t>
      </w:r>
      <w:r>
        <w:rPr>
          <w:rFonts w:ascii="仿宋" w:eastAsia="仿宋" w:hAnsi="仿宋" w:cs="仿宋" w:hint="eastAsia"/>
          <w:sz w:val="32"/>
          <w:szCs w:val="32"/>
        </w:rPr>
        <w:t>）建立执行联络员机制，探索将协助执行工作纳入网格化管理。构建常态化协作机制，发布失信被执行人51例，对9029人限制高消费及有关消费。</w:t>
      </w:r>
    </w:p>
    <w:p w14:paraId="5A63FC55" w14:textId="77777777" w:rsidR="007C06AB" w:rsidRDefault="00000000">
      <w:pPr>
        <w:spacing w:line="560" w:lineRule="exact"/>
        <w:ind w:firstLineChars="177" w:firstLine="566"/>
        <w:outlineLvl w:val="1"/>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2</w:t>
      </w:r>
      <w:r>
        <w:rPr>
          <w:rFonts w:ascii="仿宋" w:eastAsia="仿宋" w:hAnsi="仿宋" w:cs="仿宋" w:hint="eastAsia"/>
          <w:sz w:val="32"/>
          <w:szCs w:val="32"/>
        </w:rPr>
        <w:t>）建立“1+6法治同行”参与基层社会治理工作机制，被评为“首都法院党建工作示范创新案例”。</w:t>
      </w:r>
    </w:p>
    <w:p w14:paraId="48D43380" w14:textId="77777777" w:rsidR="007C06AB" w:rsidRDefault="00000000">
      <w:pPr>
        <w:spacing w:line="560" w:lineRule="exact"/>
        <w:ind w:firstLineChars="177" w:firstLine="566"/>
        <w:outlineLvl w:val="1"/>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3</w:t>
      </w:r>
      <w:r>
        <w:rPr>
          <w:rFonts w:ascii="仿宋" w:eastAsia="仿宋" w:hAnsi="仿宋" w:cs="仿宋" w:hint="eastAsia"/>
          <w:sz w:val="32"/>
          <w:szCs w:val="32"/>
        </w:rPr>
        <w:t>）深化府院沟通长效机制，赴区</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自分局、旧宫镇、长子营镇开展依法行政专题培训、法律适用问题座谈会等活动18次。</w:t>
      </w:r>
    </w:p>
    <w:p w14:paraId="0FC8A18D" w14:textId="77777777" w:rsidR="007C06AB" w:rsidRDefault="00000000">
      <w:pPr>
        <w:spacing w:line="560" w:lineRule="exact"/>
        <w:ind w:firstLineChars="177" w:firstLine="566"/>
        <w:outlineLvl w:val="1"/>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4</w:t>
      </w:r>
      <w:r>
        <w:rPr>
          <w:rFonts w:ascii="仿宋" w:eastAsia="仿宋" w:hAnsi="仿宋" w:cs="仿宋" w:hint="eastAsia"/>
          <w:sz w:val="32"/>
          <w:szCs w:val="32"/>
        </w:rPr>
        <w:t>）加强一站式多元纠纷解决和诉讼服务体系建设，上</w:t>
      </w:r>
      <w:r>
        <w:rPr>
          <w:rFonts w:ascii="仿宋" w:eastAsia="仿宋" w:hAnsi="仿宋" w:cs="仿宋" w:hint="eastAsia"/>
          <w:sz w:val="32"/>
          <w:szCs w:val="32"/>
        </w:rPr>
        <w:lastRenderedPageBreak/>
        <w:t>线“立案一码通”，让当事人能够“足不出户”打官司。</w:t>
      </w:r>
    </w:p>
    <w:p w14:paraId="1EEA4EDA" w14:textId="77777777" w:rsidR="007C06AB" w:rsidRDefault="00000000">
      <w:pPr>
        <w:spacing w:line="560" w:lineRule="exact"/>
        <w:ind w:firstLineChars="177" w:firstLine="566"/>
        <w:outlineLvl w:val="1"/>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5</w:t>
      </w:r>
      <w:r>
        <w:rPr>
          <w:rFonts w:ascii="仿宋" w:eastAsia="仿宋" w:hAnsi="仿宋" w:cs="仿宋" w:hint="eastAsia"/>
          <w:sz w:val="32"/>
          <w:szCs w:val="32"/>
        </w:rPr>
        <w:t>）加强能动司法，优化营商法治环境。制定《关于为全面建设宜居宜业新大兴、繁荣开放新国门提供司法服务和保障的意见》，妥善审理高新技术产业、现代服务产业相关案件。落实营商环境5.0</w:t>
      </w:r>
      <w:proofErr w:type="gramStart"/>
      <w:r>
        <w:rPr>
          <w:rFonts w:ascii="仿宋" w:eastAsia="仿宋" w:hAnsi="仿宋" w:cs="仿宋" w:hint="eastAsia"/>
          <w:sz w:val="32"/>
          <w:szCs w:val="32"/>
        </w:rPr>
        <w:t>版改革</w:t>
      </w:r>
      <w:proofErr w:type="gramEnd"/>
      <w:r>
        <w:rPr>
          <w:rFonts w:ascii="仿宋" w:eastAsia="仿宋" w:hAnsi="仿宋" w:cs="仿宋" w:hint="eastAsia"/>
          <w:sz w:val="32"/>
          <w:szCs w:val="32"/>
        </w:rPr>
        <w:t>工作要求，加强精细化管理，商事案件审理时间、开庭次数“双下降”，商事案件平均审理天数低于全市法院平均水平31.5%。</w:t>
      </w:r>
    </w:p>
    <w:bookmarkEnd w:id="9"/>
    <w:p w14:paraId="1DDFD69E" w14:textId="77777777" w:rsidR="007C06AB" w:rsidRDefault="00000000">
      <w:pPr>
        <w:spacing w:line="560" w:lineRule="exact"/>
        <w:ind w:firstLineChars="177" w:firstLine="566"/>
        <w:outlineLvl w:val="1"/>
        <w:rPr>
          <w:rFonts w:ascii="仿宋" w:eastAsia="仿宋" w:hAnsi="仿宋" w:cs="仿宋"/>
          <w:sz w:val="32"/>
          <w:szCs w:val="32"/>
        </w:rPr>
      </w:pPr>
      <w:r>
        <w:rPr>
          <w:rFonts w:ascii="仿宋" w:eastAsia="仿宋" w:hAnsi="仿宋" w:cs="仿宋" w:hint="eastAsia"/>
          <w:sz w:val="32"/>
          <w:szCs w:val="32"/>
        </w:rPr>
        <w:t>5.服务对象满意度</w:t>
      </w:r>
    </w:p>
    <w:p w14:paraId="2F392193" w14:textId="77777777" w:rsidR="007C06AB" w:rsidRDefault="00000000">
      <w:pPr>
        <w:spacing w:line="560" w:lineRule="exact"/>
        <w:ind w:firstLineChars="177" w:firstLine="566"/>
        <w:outlineLvl w:val="1"/>
        <w:rPr>
          <w:rFonts w:ascii="仿宋" w:eastAsia="仿宋" w:hAnsi="仿宋" w:cs="仿宋"/>
          <w:sz w:val="32"/>
          <w:szCs w:val="32"/>
        </w:rPr>
      </w:pP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人民法院2022年未对部门整体进行满意度调查，缺少满意度指标完成情况的支撑资料。</w:t>
      </w:r>
    </w:p>
    <w:p w14:paraId="3DC9C464" w14:textId="77777777" w:rsidR="007C06AB" w:rsidRDefault="00000000">
      <w:pPr>
        <w:spacing w:line="560" w:lineRule="exact"/>
        <w:ind w:firstLineChars="200" w:firstLine="640"/>
        <w:outlineLvl w:val="0"/>
        <w:rPr>
          <w:rFonts w:ascii="黑体" w:eastAsia="黑体" w:hAnsi="黑体" w:cs="宋体"/>
          <w:color w:val="000000"/>
          <w:kern w:val="0"/>
          <w:sz w:val="32"/>
          <w:szCs w:val="32"/>
        </w:rPr>
      </w:pPr>
      <w:bookmarkStart w:id="10" w:name="_Toc9828"/>
      <w:r>
        <w:rPr>
          <w:rFonts w:ascii="黑体" w:eastAsia="黑体" w:hAnsi="黑体" w:cs="宋体" w:hint="eastAsia"/>
          <w:color w:val="000000"/>
          <w:kern w:val="0"/>
          <w:sz w:val="32"/>
          <w:szCs w:val="32"/>
        </w:rPr>
        <w:t>四</w:t>
      </w:r>
      <w:r>
        <w:rPr>
          <w:rFonts w:ascii="黑体" w:eastAsia="黑体" w:hAnsi="黑体" w:cs="宋体"/>
          <w:color w:val="000000"/>
          <w:kern w:val="0"/>
          <w:sz w:val="32"/>
          <w:szCs w:val="32"/>
        </w:rPr>
        <w:t>、预算管理</w:t>
      </w:r>
      <w:r>
        <w:rPr>
          <w:rFonts w:ascii="黑体" w:eastAsia="黑体" w:hAnsi="黑体" w:cs="宋体" w:hint="eastAsia"/>
          <w:color w:val="000000"/>
          <w:kern w:val="0"/>
          <w:sz w:val="32"/>
          <w:szCs w:val="32"/>
        </w:rPr>
        <w:t>情况分</w:t>
      </w:r>
      <w:r>
        <w:rPr>
          <w:rFonts w:ascii="黑体" w:eastAsia="黑体" w:hAnsi="黑体" w:cs="宋体"/>
          <w:color w:val="000000"/>
          <w:kern w:val="0"/>
          <w:sz w:val="32"/>
          <w:szCs w:val="32"/>
        </w:rPr>
        <w:t>析</w:t>
      </w:r>
      <w:bookmarkEnd w:id="10"/>
    </w:p>
    <w:p w14:paraId="00800ED1" w14:textId="77777777" w:rsidR="007C06AB" w:rsidRDefault="00000000">
      <w:pPr>
        <w:spacing w:line="560" w:lineRule="exact"/>
        <w:ind w:firstLineChars="200" w:firstLine="640"/>
        <w:outlineLvl w:val="1"/>
        <w:rPr>
          <w:rFonts w:ascii="楷体_GB2312" w:eastAsia="楷体_GB2312"/>
          <w:sz w:val="32"/>
          <w:szCs w:val="32"/>
        </w:rPr>
      </w:pPr>
      <w:bookmarkStart w:id="11" w:name="_Toc19654"/>
      <w:r>
        <w:rPr>
          <w:rFonts w:ascii="楷体_GB2312" w:eastAsia="楷体_GB2312" w:hint="eastAsia"/>
          <w:sz w:val="32"/>
          <w:szCs w:val="32"/>
        </w:rPr>
        <w:t>（一）财务管理</w:t>
      </w:r>
      <w:bookmarkEnd w:id="11"/>
    </w:p>
    <w:p w14:paraId="4BC51D46"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1.财务管理制度健全性</w:t>
      </w:r>
    </w:p>
    <w:p w14:paraId="6400ECDB"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为规范预算管理，加强财政资金使用，</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人民法院严格执行各项财政财务政策，积极推进财务标准化、信息化管理。</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人民法院建立了《北京市大兴区人民法院内部控制手册》，制定了《财务管理办法》、《固定资产管理办法》、《合同管理办法》等多项管理制度，各项财务管理制度比较健全，但未建立绩效跟踪管理办法。</w:t>
      </w:r>
    </w:p>
    <w:p w14:paraId="128B7E7B"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2.资金使用合</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性和安全性</w:t>
      </w:r>
    </w:p>
    <w:p w14:paraId="0C7FDDE6" w14:textId="77777777" w:rsidR="007C06AB" w:rsidRDefault="00000000">
      <w:pPr>
        <w:spacing w:line="560" w:lineRule="exact"/>
        <w:ind w:firstLineChars="200" w:firstLine="640"/>
        <w:rPr>
          <w:rFonts w:ascii="仿宋" w:eastAsia="仿宋" w:hAnsi="仿宋" w:cs="仿宋"/>
          <w:sz w:val="32"/>
          <w:szCs w:val="32"/>
        </w:rPr>
      </w:pP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人民法院按照财政管理规定以及单位财务管理制度等相关要求落实资金使用管理，合理安排资金支出进度，资金使用整体合</w:t>
      </w:r>
      <w:proofErr w:type="gramStart"/>
      <w:r>
        <w:rPr>
          <w:rFonts w:ascii="仿宋" w:eastAsia="仿宋" w:hAnsi="仿宋" w:cs="仿宋" w:hint="eastAsia"/>
          <w:sz w:val="32"/>
          <w:szCs w:val="32"/>
        </w:rPr>
        <w:t>规</w:t>
      </w:r>
      <w:proofErr w:type="gramEnd"/>
      <w:r>
        <w:rPr>
          <w:rFonts w:ascii="仿宋" w:eastAsia="仿宋" w:hAnsi="仿宋" w:cs="仿宋" w:hint="eastAsia"/>
          <w:sz w:val="32"/>
          <w:szCs w:val="32"/>
        </w:rPr>
        <w:t>且安全，能够按照规定内容规定时间公开预算信息，基础信息和会计信息资料完整、真实和准确。报</w:t>
      </w:r>
      <w:r>
        <w:rPr>
          <w:rFonts w:ascii="仿宋" w:eastAsia="仿宋" w:hAnsi="仿宋" w:cs="仿宋" w:hint="eastAsia"/>
          <w:sz w:val="32"/>
          <w:szCs w:val="32"/>
        </w:rPr>
        <w:lastRenderedPageBreak/>
        <w:t>销金额1万元（含1万元）以下由办公室主任审批，1万元至5万元（含5万元）由主管院长审批，5万元以上按照《落实“三重一大”制度办法》，由党组会研究决定后，由主管院长签字审批，支出需填写《大额资金审批单》。</w:t>
      </w:r>
    </w:p>
    <w:p w14:paraId="20707049" w14:textId="77777777" w:rsidR="007C06AB" w:rsidRDefault="00000000">
      <w:pPr>
        <w:spacing w:line="560" w:lineRule="exact"/>
        <w:ind w:firstLineChars="200" w:firstLine="640"/>
        <w:rPr>
          <w:rFonts w:ascii="仿宋" w:eastAsia="仿宋" w:hAnsi="仿宋" w:cs="仿宋"/>
          <w:sz w:val="32"/>
          <w:szCs w:val="32"/>
        </w:rPr>
      </w:pP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严格遵守现金、银行存款、支票、财务印章等与资金安全相关的各项管理规定；涉及资金收支的重要岗位，制定并严格遵守资金管理的不相容职务分离控制规定；认真做好现金日记账和银行存款日记账的登记工作，每月核对银行对账单和账面银行存款余额，并编制银行调节表，定期进行现金盘点。以上各项措施的切实落实，有效保障了资金的安全。</w:t>
      </w:r>
    </w:p>
    <w:p w14:paraId="14906F0C" w14:textId="77777777" w:rsidR="007C06AB" w:rsidRDefault="00000000">
      <w:pPr>
        <w:spacing w:line="560" w:lineRule="exact"/>
        <w:ind w:firstLineChars="200" w:firstLine="640"/>
        <w:rPr>
          <w:rFonts w:ascii="仿宋" w:eastAsia="仿宋" w:hAnsi="仿宋" w:cs="仿宋"/>
          <w:sz w:val="32"/>
          <w:szCs w:val="32"/>
        </w:rPr>
      </w:pP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能够严格按照项目资金用途使用资金，严格遵守《中华人民共和国预算法》、《中华人民共和国采购法》及市财政主管部门的要求，规范使用资金，确保资金的安排、使用发挥出最大效益，实现项目绩效目标。</w:t>
      </w:r>
    </w:p>
    <w:p w14:paraId="0400E0A0"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3.会计基础信息完善性</w:t>
      </w:r>
    </w:p>
    <w:p w14:paraId="30B6159F"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在评价工作过程中，</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人民法院向绩效评价工作组提供了部门整体绩效目标申报表、内控管理制度、会计账簿、支出凭证等资料，在一定程度上反映部门基础信息的完整有效。</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人民法院相关会计资料准确、完整，部门基础信息管理较好，符合国家财经法规和财务管理制度以及有关专项资金管理办法的规定。形成的会计档案按类别统一格式和规格装订，定期归档。</w:t>
      </w:r>
    </w:p>
    <w:p w14:paraId="546830C7" w14:textId="77777777" w:rsidR="007C06AB" w:rsidRDefault="00000000">
      <w:pPr>
        <w:spacing w:line="560" w:lineRule="exact"/>
        <w:ind w:firstLineChars="200" w:firstLine="640"/>
        <w:outlineLvl w:val="1"/>
        <w:rPr>
          <w:rFonts w:ascii="楷体_GB2312" w:eastAsia="楷体_GB2312"/>
          <w:sz w:val="32"/>
          <w:szCs w:val="32"/>
        </w:rPr>
      </w:pPr>
      <w:bookmarkStart w:id="12" w:name="_Toc24557"/>
      <w:r>
        <w:rPr>
          <w:rFonts w:ascii="楷体_GB2312" w:eastAsia="楷体_GB2312" w:hint="eastAsia"/>
          <w:sz w:val="32"/>
          <w:szCs w:val="32"/>
        </w:rPr>
        <w:t>（二）资产管理</w:t>
      </w:r>
      <w:bookmarkEnd w:id="12"/>
    </w:p>
    <w:p w14:paraId="3C242F17" w14:textId="5A509D00"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2022年末，</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人民法院资产总额</w:t>
      </w:r>
      <w:r>
        <w:rPr>
          <w:rFonts w:ascii="仿宋" w:eastAsia="仿宋" w:hAnsi="仿宋" w:cs="仿宋"/>
          <w:sz w:val="32"/>
          <w:szCs w:val="32"/>
        </w:rPr>
        <w:t>16,206.79</w:t>
      </w:r>
      <w:r>
        <w:rPr>
          <w:rFonts w:ascii="仿宋" w:eastAsia="仿宋" w:hAnsi="仿宋" w:cs="仿宋" w:hint="eastAsia"/>
          <w:sz w:val="32"/>
          <w:szCs w:val="32"/>
        </w:rPr>
        <w:t>万元</w:t>
      </w:r>
      <w:r w:rsidR="001C55DD">
        <w:rPr>
          <w:rFonts w:ascii="仿宋" w:eastAsia="仿宋" w:hAnsi="仿宋" w:cs="仿宋" w:hint="eastAsia"/>
          <w:sz w:val="32"/>
          <w:szCs w:val="32"/>
        </w:rPr>
        <w:t>。</w:t>
      </w:r>
      <w:r>
        <w:rPr>
          <w:rFonts w:ascii="仿宋" w:eastAsia="仿宋" w:hAnsi="仿宋" w:cs="仿宋" w:hint="eastAsia"/>
          <w:sz w:val="32"/>
          <w:szCs w:val="32"/>
        </w:rPr>
        <w:t>2022年末，固定资产原值25</w:t>
      </w:r>
      <w:r>
        <w:rPr>
          <w:rFonts w:ascii="仿宋" w:eastAsia="仿宋" w:hAnsi="仿宋" w:cs="仿宋"/>
          <w:sz w:val="32"/>
          <w:szCs w:val="32"/>
        </w:rPr>
        <w:t>,</w:t>
      </w:r>
      <w:r>
        <w:rPr>
          <w:rFonts w:ascii="仿宋" w:eastAsia="仿宋" w:hAnsi="仿宋" w:cs="仿宋" w:hint="eastAsia"/>
          <w:sz w:val="32"/>
          <w:szCs w:val="32"/>
        </w:rPr>
        <w:t>465.97万元，固定资产净值7</w:t>
      </w:r>
      <w:r>
        <w:rPr>
          <w:rFonts w:ascii="仿宋" w:eastAsia="仿宋" w:hAnsi="仿宋" w:cs="仿宋"/>
          <w:sz w:val="32"/>
          <w:szCs w:val="32"/>
        </w:rPr>
        <w:t>,</w:t>
      </w:r>
      <w:r>
        <w:rPr>
          <w:rFonts w:ascii="仿宋" w:eastAsia="仿宋" w:hAnsi="仿宋" w:cs="仿宋" w:hint="eastAsia"/>
          <w:sz w:val="32"/>
          <w:szCs w:val="32"/>
        </w:rPr>
        <w:t>755.58万元。</w:t>
      </w:r>
    </w:p>
    <w:p w14:paraId="532F554E"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为加强资产管理，提高资产使用效益，</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制定了《固定资产管理办法》，从管理职责、配备、使用和日常管理、处置、统计报告等方面对固定资产管理进行了细化，明确资产范围、实物管理部门职责及各部门对资产日常管理承担的保管责任。实行资产动态管理机制，在资产发生内部转移时办理固定资产内部调拨手续，以便及时更新资产信息，保证固定资产账</w:t>
      </w:r>
      <w:proofErr w:type="gramStart"/>
      <w:r>
        <w:rPr>
          <w:rFonts w:ascii="仿宋" w:eastAsia="仿宋" w:hAnsi="仿宋" w:cs="仿宋" w:hint="eastAsia"/>
          <w:sz w:val="32"/>
          <w:szCs w:val="32"/>
        </w:rPr>
        <w:t>账</w:t>
      </w:r>
      <w:proofErr w:type="gramEnd"/>
      <w:r>
        <w:rPr>
          <w:rFonts w:ascii="仿宋" w:eastAsia="仿宋" w:hAnsi="仿宋" w:cs="仿宋" w:hint="eastAsia"/>
          <w:sz w:val="32"/>
          <w:szCs w:val="32"/>
        </w:rPr>
        <w:t>、账实、账表相符。</w:t>
      </w:r>
    </w:p>
    <w:p w14:paraId="59E863E8" w14:textId="77777777" w:rsidR="007C06AB" w:rsidRDefault="00000000">
      <w:pPr>
        <w:spacing w:line="560" w:lineRule="exact"/>
        <w:ind w:firstLineChars="200" w:firstLine="640"/>
        <w:rPr>
          <w:rFonts w:ascii="仿宋" w:eastAsia="仿宋" w:hAnsi="仿宋" w:cs="仿宋"/>
          <w:sz w:val="32"/>
          <w:szCs w:val="32"/>
        </w:rPr>
      </w:pPr>
      <w:bookmarkStart w:id="13" w:name="_Hlk135151570"/>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能够按照市财政局统一部署，根据有关文件规定，按时保质保量完成资产年报等相关工作，日常资产管理、新增、报废等工作均严格按照市财政局的规定程序办理，资产动态系统与会计账簿系统总额保持一致。</w:t>
      </w:r>
    </w:p>
    <w:p w14:paraId="434D9B90" w14:textId="77777777" w:rsidR="007C06AB" w:rsidRDefault="00000000">
      <w:pPr>
        <w:spacing w:line="560" w:lineRule="exact"/>
        <w:ind w:firstLineChars="200" w:firstLine="640"/>
        <w:outlineLvl w:val="1"/>
        <w:rPr>
          <w:rFonts w:ascii="楷体_GB2312" w:eastAsia="楷体_GB2312"/>
          <w:sz w:val="32"/>
          <w:szCs w:val="32"/>
        </w:rPr>
      </w:pPr>
      <w:bookmarkStart w:id="14" w:name="_Toc8583"/>
      <w:bookmarkEnd w:id="13"/>
      <w:r>
        <w:rPr>
          <w:rFonts w:ascii="楷体_GB2312" w:eastAsia="楷体_GB2312" w:hint="eastAsia"/>
          <w:sz w:val="32"/>
          <w:szCs w:val="32"/>
        </w:rPr>
        <w:t>（三）绩效</w:t>
      </w:r>
      <w:r>
        <w:rPr>
          <w:rFonts w:ascii="楷体_GB2312" w:eastAsia="楷体_GB2312"/>
          <w:sz w:val="32"/>
          <w:szCs w:val="32"/>
        </w:rPr>
        <w:t>管理</w:t>
      </w:r>
      <w:bookmarkEnd w:id="14"/>
    </w:p>
    <w:p w14:paraId="1355CCD1"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2022年，</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人民法院开展了部门整体绩效自评，并形成《部门整体绩效评价报告》，全方位把握单位整体预算执行、整体绩效目标实现和预算管理情况。</w:t>
      </w:r>
    </w:p>
    <w:p w14:paraId="5D9F17CF" w14:textId="5E8E2E09" w:rsidR="007C06AB" w:rsidRPr="00974165"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2022年，</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人民法院按照《北京市项目支出绩效评价管理办法》（</w:t>
      </w:r>
      <w:proofErr w:type="gramStart"/>
      <w:r>
        <w:rPr>
          <w:rFonts w:ascii="仿宋" w:eastAsia="仿宋" w:hAnsi="仿宋" w:cs="仿宋" w:hint="eastAsia"/>
          <w:sz w:val="32"/>
          <w:szCs w:val="32"/>
        </w:rPr>
        <w:t>京财绩效</w:t>
      </w:r>
      <w:proofErr w:type="gramEnd"/>
      <w:r>
        <w:rPr>
          <w:rFonts w:ascii="仿宋" w:eastAsia="仿宋" w:hAnsi="仿宋" w:cs="仿宋" w:hint="eastAsia"/>
          <w:sz w:val="32"/>
          <w:szCs w:val="32"/>
        </w:rPr>
        <w:t>〔2020〕2146号）文件要求，在做好项目支出事前申报、事中监管的基础上，对2022年度所有填报绩效目标的项目支出开展自评工作，对</w:t>
      </w:r>
      <w:r w:rsidR="00946CF5">
        <w:rPr>
          <w:rFonts w:ascii="仿宋" w:eastAsia="仿宋" w:hAnsi="仿宋" w:cs="仿宋"/>
          <w:sz w:val="32"/>
          <w:szCs w:val="32"/>
        </w:rPr>
        <w:t>22个</w:t>
      </w:r>
      <w:r>
        <w:rPr>
          <w:rFonts w:ascii="仿宋" w:eastAsia="仿宋" w:hAnsi="仿宋" w:cs="仿宋" w:hint="eastAsia"/>
          <w:sz w:val="32"/>
          <w:szCs w:val="32"/>
        </w:rPr>
        <w:t>项目支出实施了绩效评价，并</w:t>
      </w:r>
      <w:r w:rsidRPr="00974165">
        <w:rPr>
          <w:rFonts w:ascii="仿宋" w:eastAsia="仿宋" w:hAnsi="仿宋" w:cs="仿宋" w:hint="eastAsia"/>
          <w:sz w:val="32"/>
          <w:szCs w:val="32"/>
        </w:rPr>
        <w:t>形成《项目支出绩效自评表》。</w:t>
      </w:r>
    </w:p>
    <w:p w14:paraId="6807B5F5" w14:textId="34C50A1C" w:rsidR="00DE7CBB" w:rsidRPr="00974165" w:rsidRDefault="00DE7CBB" w:rsidP="00DE7CBB">
      <w:pPr>
        <w:spacing w:line="560" w:lineRule="exact"/>
        <w:ind w:firstLineChars="200" w:firstLine="640"/>
        <w:rPr>
          <w:rFonts w:ascii="楷体_GB2312" w:eastAsia="楷体_GB2312"/>
          <w:sz w:val="32"/>
          <w:szCs w:val="32"/>
        </w:rPr>
      </w:pPr>
      <w:bookmarkStart w:id="15" w:name="_Toc440"/>
      <w:r w:rsidRPr="00974165">
        <w:rPr>
          <w:rFonts w:ascii="楷体_GB2312" w:eastAsia="楷体_GB2312" w:hint="eastAsia"/>
          <w:sz w:val="32"/>
          <w:szCs w:val="32"/>
        </w:rPr>
        <w:t>（四）结转结余</w:t>
      </w:r>
      <w:r w:rsidRPr="00974165">
        <w:rPr>
          <w:rFonts w:ascii="楷体_GB2312" w:eastAsia="楷体_GB2312"/>
          <w:sz w:val="32"/>
          <w:szCs w:val="32"/>
        </w:rPr>
        <w:t>率</w:t>
      </w:r>
    </w:p>
    <w:p w14:paraId="03C99938" w14:textId="4A32C905" w:rsidR="00DE7CBB" w:rsidRPr="009E54D6" w:rsidRDefault="00A97A9E" w:rsidP="00DA3905">
      <w:pPr>
        <w:spacing w:line="560" w:lineRule="exact"/>
        <w:ind w:firstLineChars="200" w:firstLine="640"/>
        <w:rPr>
          <w:rFonts w:ascii="仿宋" w:eastAsia="仿宋" w:hAnsi="仿宋" w:cs="仿宋"/>
          <w:sz w:val="32"/>
          <w:szCs w:val="32"/>
        </w:rPr>
      </w:pPr>
      <w:r w:rsidRPr="009E54D6">
        <w:rPr>
          <w:rFonts w:ascii="仿宋" w:eastAsia="仿宋" w:hAnsi="仿宋" w:cs="仿宋" w:hint="eastAsia"/>
          <w:sz w:val="32"/>
          <w:szCs w:val="32"/>
        </w:rPr>
        <w:lastRenderedPageBreak/>
        <w:t>根据</w:t>
      </w:r>
      <w:proofErr w:type="gramStart"/>
      <w:r w:rsidRPr="009E54D6">
        <w:rPr>
          <w:rFonts w:ascii="仿宋" w:eastAsia="仿宋" w:hAnsi="仿宋" w:cs="仿宋" w:hint="eastAsia"/>
          <w:sz w:val="32"/>
          <w:szCs w:val="32"/>
        </w:rPr>
        <w:t>大兴</w:t>
      </w:r>
      <w:r w:rsidR="00395B3E" w:rsidRPr="009E54D6">
        <w:rPr>
          <w:rFonts w:ascii="仿宋" w:eastAsia="仿宋" w:hAnsi="仿宋" w:cs="仿宋" w:hint="eastAsia"/>
          <w:sz w:val="32"/>
          <w:szCs w:val="32"/>
        </w:rPr>
        <w:t>区</w:t>
      </w:r>
      <w:proofErr w:type="gramEnd"/>
      <w:r w:rsidR="00395B3E" w:rsidRPr="009E54D6">
        <w:rPr>
          <w:rFonts w:ascii="仿宋" w:eastAsia="仿宋" w:hAnsi="仿宋" w:cs="仿宋" w:hint="eastAsia"/>
          <w:sz w:val="32"/>
          <w:szCs w:val="32"/>
        </w:rPr>
        <w:t>人民</w:t>
      </w:r>
      <w:r w:rsidRPr="009E54D6">
        <w:rPr>
          <w:rFonts w:ascii="仿宋" w:eastAsia="仿宋" w:hAnsi="仿宋" w:cs="仿宋" w:hint="eastAsia"/>
          <w:sz w:val="32"/>
          <w:szCs w:val="32"/>
        </w:rPr>
        <w:t>法院202</w:t>
      </w:r>
      <w:r w:rsidR="00395B3E" w:rsidRPr="009E54D6">
        <w:rPr>
          <w:rFonts w:ascii="仿宋" w:eastAsia="仿宋" w:hAnsi="仿宋" w:cs="仿宋"/>
          <w:sz w:val="32"/>
          <w:szCs w:val="32"/>
        </w:rPr>
        <w:t>2</w:t>
      </w:r>
      <w:r w:rsidRPr="009E54D6">
        <w:rPr>
          <w:rFonts w:ascii="仿宋" w:eastAsia="仿宋" w:hAnsi="仿宋" w:cs="仿宋" w:hint="eastAsia"/>
          <w:sz w:val="32"/>
          <w:szCs w:val="32"/>
        </w:rPr>
        <w:t>年决算报表相关数据统计，</w:t>
      </w:r>
      <w:proofErr w:type="gramStart"/>
      <w:r w:rsidR="00395B3E" w:rsidRPr="009E54D6">
        <w:rPr>
          <w:rFonts w:ascii="仿宋" w:eastAsia="仿宋" w:hAnsi="仿宋" w:cs="仿宋" w:hint="eastAsia"/>
          <w:sz w:val="32"/>
          <w:szCs w:val="32"/>
        </w:rPr>
        <w:t>大兴区</w:t>
      </w:r>
      <w:proofErr w:type="gramEnd"/>
      <w:r w:rsidR="00395B3E" w:rsidRPr="009E54D6">
        <w:rPr>
          <w:rFonts w:ascii="仿宋" w:eastAsia="仿宋" w:hAnsi="仿宋" w:cs="仿宋" w:hint="eastAsia"/>
          <w:sz w:val="32"/>
          <w:szCs w:val="32"/>
        </w:rPr>
        <w:t>人民法院</w:t>
      </w:r>
      <w:r w:rsidR="00DA3905" w:rsidRPr="009E54D6">
        <w:rPr>
          <w:rFonts w:ascii="仿宋" w:eastAsia="仿宋" w:hAnsi="仿宋" w:cs="仿宋" w:hint="eastAsia"/>
          <w:sz w:val="32"/>
          <w:szCs w:val="32"/>
        </w:rPr>
        <w:t>2022年支出全年预算数26,620.74万元，其中，基本经费支出预算数15,699.05万元，项目经费支出预算数10,921.69万元；</w:t>
      </w:r>
      <w:r w:rsidR="00395B3E" w:rsidRPr="009E54D6">
        <w:rPr>
          <w:rFonts w:ascii="仿宋" w:eastAsia="仿宋" w:hAnsi="仿宋" w:cs="仿宋" w:hint="eastAsia"/>
          <w:sz w:val="32"/>
          <w:szCs w:val="32"/>
        </w:rPr>
        <w:t>年末结转结余资金4</w:t>
      </w:r>
      <w:r w:rsidR="00395B3E" w:rsidRPr="009E54D6">
        <w:rPr>
          <w:rFonts w:ascii="仿宋" w:eastAsia="仿宋" w:hAnsi="仿宋" w:cs="仿宋"/>
          <w:sz w:val="32"/>
          <w:szCs w:val="32"/>
        </w:rPr>
        <w:t>,</w:t>
      </w:r>
      <w:r w:rsidR="00395B3E" w:rsidRPr="009E54D6">
        <w:rPr>
          <w:rFonts w:ascii="仿宋" w:eastAsia="仿宋" w:hAnsi="仿宋" w:cs="仿宋" w:hint="eastAsia"/>
          <w:sz w:val="32"/>
          <w:szCs w:val="32"/>
        </w:rPr>
        <w:t>320.38万元，结转结余率</w:t>
      </w:r>
      <w:r w:rsidR="002D60E1" w:rsidRPr="009E54D6">
        <w:rPr>
          <w:rFonts w:ascii="仿宋" w:eastAsia="仿宋" w:hAnsi="仿宋" w:cs="仿宋" w:hint="eastAsia"/>
          <w:sz w:val="32"/>
          <w:szCs w:val="32"/>
        </w:rPr>
        <w:t>1</w:t>
      </w:r>
      <w:r w:rsidR="00FD754D" w:rsidRPr="009E54D6">
        <w:rPr>
          <w:rFonts w:ascii="仿宋" w:eastAsia="仿宋" w:hAnsi="仿宋" w:cs="仿宋"/>
          <w:sz w:val="32"/>
          <w:szCs w:val="32"/>
        </w:rPr>
        <w:t>6</w:t>
      </w:r>
      <w:r w:rsidR="002D60E1" w:rsidRPr="009E54D6">
        <w:rPr>
          <w:rFonts w:ascii="仿宋" w:eastAsia="仿宋" w:hAnsi="仿宋" w:cs="仿宋"/>
          <w:sz w:val="32"/>
          <w:szCs w:val="32"/>
        </w:rPr>
        <w:t>.</w:t>
      </w:r>
      <w:r w:rsidR="00FD754D" w:rsidRPr="009E54D6">
        <w:rPr>
          <w:rFonts w:ascii="仿宋" w:eastAsia="仿宋" w:hAnsi="仿宋" w:cs="仿宋"/>
          <w:sz w:val="32"/>
          <w:szCs w:val="32"/>
        </w:rPr>
        <w:t>23</w:t>
      </w:r>
      <w:r w:rsidR="002D60E1" w:rsidRPr="009E54D6">
        <w:rPr>
          <w:rFonts w:ascii="仿宋" w:eastAsia="仿宋" w:hAnsi="仿宋" w:cs="仿宋" w:hint="eastAsia"/>
          <w:sz w:val="32"/>
          <w:szCs w:val="32"/>
        </w:rPr>
        <w:t>%。</w:t>
      </w:r>
    </w:p>
    <w:p w14:paraId="3B614EA5" w14:textId="3C116E84" w:rsidR="007C06AB" w:rsidRPr="00DE7CBB" w:rsidRDefault="00000000">
      <w:pPr>
        <w:spacing w:line="560" w:lineRule="exact"/>
        <w:ind w:firstLineChars="200" w:firstLine="640"/>
        <w:rPr>
          <w:rFonts w:ascii="楷体_GB2312" w:eastAsia="楷体_GB2312"/>
          <w:sz w:val="32"/>
          <w:szCs w:val="32"/>
        </w:rPr>
      </w:pPr>
      <w:r w:rsidRPr="00DE7CBB">
        <w:rPr>
          <w:rFonts w:ascii="楷体_GB2312" w:eastAsia="楷体_GB2312" w:hint="eastAsia"/>
          <w:sz w:val="32"/>
          <w:szCs w:val="32"/>
        </w:rPr>
        <w:t>（</w:t>
      </w:r>
      <w:r w:rsidR="00DE7CBB" w:rsidRPr="00DE7CBB">
        <w:rPr>
          <w:rFonts w:ascii="楷体_GB2312" w:eastAsia="楷体_GB2312" w:hint="eastAsia"/>
          <w:sz w:val="32"/>
          <w:szCs w:val="32"/>
        </w:rPr>
        <w:t>五</w:t>
      </w:r>
      <w:r w:rsidRPr="00DE7CBB">
        <w:rPr>
          <w:rFonts w:ascii="楷体_GB2312" w:eastAsia="楷体_GB2312" w:hint="eastAsia"/>
          <w:sz w:val="32"/>
          <w:szCs w:val="32"/>
        </w:rPr>
        <w:t>）</w:t>
      </w:r>
      <w:bookmarkStart w:id="16" w:name="_Toc28564"/>
      <w:bookmarkEnd w:id="15"/>
      <w:r w:rsidRPr="00DE7CBB">
        <w:rPr>
          <w:rFonts w:ascii="楷体_GB2312" w:eastAsia="楷体_GB2312" w:hint="eastAsia"/>
          <w:sz w:val="32"/>
          <w:szCs w:val="32"/>
        </w:rPr>
        <w:t>部门</w:t>
      </w:r>
      <w:r w:rsidRPr="00DE7CBB">
        <w:rPr>
          <w:rFonts w:ascii="楷体_GB2312" w:eastAsia="楷体_GB2312"/>
          <w:sz w:val="32"/>
          <w:szCs w:val="32"/>
        </w:rPr>
        <w:t>预决算差异率</w:t>
      </w:r>
      <w:bookmarkEnd w:id="16"/>
    </w:p>
    <w:p w14:paraId="1F12DFBE" w14:textId="244CC181" w:rsidR="007C06AB" w:rsidRDefault="00000000">
      <w:pPr>
        <w:spacing w:line="560" w:lineRule="exact"/>
        <w:ind w:firstLineChars="200" w:firstLine="640"/>
        <w:outlineLvl w:val="0"/>
        <w:rPr>
          <w:rFonts w:ascii="仿宋" w:eastAsia="仿宋" w:hAnsi="仿宋" w:cs="仿宋"/>
          <w:sz w:val="32"/>
          <w:szCs w:val="32"/>
        </w:rPr>
      </w:pPr>
      <w:bookmarkStart w:id="17" w:name="_Toc16996"/>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人民法院2022年支出年初预算数</w:t>
      </w:r>
      <w:r>
        <w:rPr>
          <w:rFonts w:ascii="仿宋" w:eastAsia="仿宋" w:hAnsi="仿宋" w:cs="仿宋"/>
          <w:sz w:val="32"/>
          <w:szCs w:val="32"/>
        </w:rPr>
        <w:t>22,105.10</w:t>
      </w:r>
      <w:r>
        <w:rPr>
          <w:rFonts w:ascii="仿宋" w:eastAsia="仿宋" w:hAnsi="仿宋" w:cs="仿宋" w:hint="eastAsia"/>
          <w:sz w:val="32"/>
          <w:szCs w:val="32"/>
        </w:rPr>
        <w:t>万元，决算支出22,300.36万元，部门预决算差异率-</w:t>
      </w:r>
      <w:r>
        <w:rPr>
          <w:rFonts w:ascii="仿宋" w:eastAsia="仿宋" w:hAnsi="仿宋" w:cs="仿宋"/>
          <w:sz w:val="32"/>
          <w:szCs w:val="32"/>
        </w:rPr>
        <w:t>0.88</w:t>
      </w:r>
      <w:r>
        <w:rPr>
          <w:rFonts w:ascii="仿宋" w:eastAsia="仿宋" w:hAnsi="仿宋" w:cs="仿宋" w:hint="eastAsia"/>
          <w:sz w:val="32"/>
          <w:szCs w:val="32"/>
        </w:rPr>
        <w:t>%，低于市级平均差异率2</w:t>
      </w:r>
      <w:r>
        <w:rPr>
          <w:rFonts w:ascii="仿宋" w:eastAsia="仿宋" w:hAnsi="仿宋" w:cs="仿宋"/>
          <w:sz w:val="32"/>
          <w:szCs w:val="32"/>
        </w:rPr>
        <w:t>8.3</w:t>
      </w:r>
      <w:r>
        <w:rPr>
          <w:rFonts w:ascii="仿宋" w:eastAsia="仿宋" w:hAnsi="仿宋" w:cs="仿宋" w:hint="eastAsia"/>
          <w:sz w:val="32"/>
          <w:szCs w:val="32"/>
        </w:rPr>
        <w:t>%。</w:t>
      </w:r>
    </w:p>
    <w:p w14:paraId="321E40A9" w14:textId="77777777" w:rsidR="007C06AB" w:rsidRDefault="00000000">
      <w:pPr>
        <w:spacing w:line="560" w:lineRule="exact"/>
        <w:ind w:firstLineChars="200" w:firstLine="640"/>
        <w:outlineLvl w:val="0"/>
        <w:rPr>
          <w:rFonts w:ascii="黑体" w:eastAsia="黑体" w:hAnsi="黑体"/>
          <w:sz w:val="32"/>
          <w:szCs w:val="32"/>
        </w:rPr>
      </w:pPr>
      <w:r>
        <w:rPr>
          <w:rFonts w:ascii="黑体" w:eastAsia="黑体" w:hAnsi="黑体" w:hint="eastAsia"/>
          <w:sz w:val="32"/>
          <w:szCs w:val="32"/>
        </w:rPr>
        <w:t>五、总体</w:t>
      </w:r>
      <w:r>
        <w:rPr>
          <w:rFonts w:ascii="黑体" w:eastAsia="黑体" w:hAnsi="黑体"/>
          <w:sz w:val="32"/>
          <w:szCs w:val="32"/>
        </w:rPr>
        <w:t>评价结论</w:t>
      </w:r>
      <w:bookmarkEnd w:id="17"/>
    </w:p>
    <w:p w14:paraId="4DA3558E" w14:textId="77777777" w:rsidR="007C06AB" w:rsidRDefault="00000000">
      <w:pPr>
        <w:spacing w:line="560" w:lineRule="exact"/>
        <w:ind w:firstLineChars="200" w:firstLine="640"/>
        <w:outlineLvl w:val="1"/>
        <w:rPr>
          <w:rFonts w:ascii="楷体_GB2312" w:eastAsia="楷体_GB2312"/>
          <w:sz w:val="32"/>
          <w:szCs w:val="32"/>
        </w:rPr>
      </w:pPr>
      <w:bookmarkStart w:id="18" w:name="_Toc23988"/>
      <w:r>
        <w:rPr>
          <w:rFonts w:ascii="楷体_GB2312" w:eastAsia="楷体_GB2312" w:hint="eastAsia"/>
          <w:sz w:val="32"/>
          <w:szCs w:val="32"/>
        </w:rPr>
        <w:t>（一）评价</w:t>
      </w:r>
      <w:r>
        <w:rPr>
          <w:rFonts w:ascii="楷体_GB2312" w:eastAsia="楷体_GB2312"/>
          <w:sz w:val="32"/>
          <w:szCs w:val="32"/>
        </w:rPr>
        <w:t>得分</w:t>
      </w:r>
      <w:r>
        <w:rPr>
          <w:rFonts w:ascii="楷体_GB2312" w:eastAsia="楷体_GB2312" w:hint="eastAsia"/>
          <w:sz w:val="32"/>
          <w:szCs w:val="32"/>
        </w:rPr>
        <w:t>情况</w:t>
      </w:r>
      <w:bookmarkEnd w:id="18"/>
    </w:p>
    <w:p w14:paraId="0E161157"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根据2022年度部门整体绩效目标申报表，</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人民法院各项年度工作任务均已按照部署要求和时间进度完成，整体工作产出完成情况较好。</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人民法院部门整体综合评价得分9</w:t>
      </w:r>
      <w:r>
        <w:rPr>
          <w:rFonts w:ascii="仿宋" w:eastAsia="仿宋" w:hAnsi="仿宋" w:cs="仿宋"/>
          <w:sz w:val="32"/>
          <w:szCs w:val="32"/>
        </w:rPr>
        <w:t>1</w:t>
      </w:r>
      <w:r>
        <w:rPr>
          <w:rFonts w:ascii="仿宋" w:eastAsia="仿宋" w:hAnsi="仿宋" w:cs="仿宋" w:hint="eastAsia"/>
          <w:sz w:val="32"/>
          <w:szCs w:val="32"/>
        </w:rPr>
        <w:t>.</w:t>
      </w:r>
      <w:r>
        <w:rPr>
          <w:rFonts w:ascii="仿宋" w:eastAsia="仿宋" w:hAnsi="仿宋" w:cs="仿宋"/>
          <w:sz w:val="32"/>
          <w:szCs w:val="32"/>
        </w:rPr>
        <w:t>65</w:t>
      </w:r>
      <w:r>
        <w:rPr>
          <w:rFonts w:ascii="仿宋" w:eastAsia="仿宋" w:hAnsi="仿宋" w:cs="仿宋" w:hint="eastAsia"/>
          <w:sz w:val="32"/>
          <w:szCs w:val="32"/>
        </w:rPr>
        <w:t>分，其中当年预算执行情况得分1</w:t>
      </w:r>
      <w:r>
        <w:rPr>
          <w:rFonts w:ascii="仿宋" w:eastAsia="仿宋" w:hAnsi="仿宋" w:cs="仿宋"/>
          <w:sz w:val="32"/>
          <w:szCs w:val="32"/>
        </w:rPr>
        <w:t>6</w:t>
      </w:r>
      <w:r>
        <w:rPr>
          <w:rFonts w:ascii="仿宋" w:eastAsia="仿宋" w:hAnsi="仿宋" w:cs="仿宋" w:hint="eastAsia"/>
          <w:sz w:val="32"/>
          <w:szCs w:val="32"/>
        </w:rPr>
        <w:t>.</w:t>
      </w:r>
      <w:r>
        <w:rPr>
          <w:rFonts w:ascii="仿宋" w:eastAsia="仿宋" w:hAnsi="仿宋" w:cs="仿宋"/>
          <w:sz w:val="32"/>
          <w:szCs w:val="32"/>
        </w:rPr>
        <w:t>75</w:t>
      </w:r>
      <w:r>
        <w:rPr>
          <w:rFonts w:ascii="仿宋" w:eastAsia="仿宋" w:hAnsi="仿宋" w:cs="仿宋" w:hint="eastAsia"/>
          <w:sz w:val="32"/>
          <w:szCs w:val="32"/>
        </w:rPr>
        <w:t>分，整体绩效目标实现情况得分5</w:t>
      </w:r>
      <w:r>
        <w:rPr>
          <w:rFonts w:ascii="仿宋" w:eastAsia="仿宋" w:hAnsi="仿宋" w:cs="仿宋"/>
          <w:sz w:val="32"/>
          <w:szCs w:val="32"/>
        </w:rPr>
        <w:t>9</w:t>
      </w:r>
      <w:r>
        <w:rPr>
          <w:rFonts w:ascii="仿宋" w:eastAsia="仿宋" w:hAnsi="仿宋" w:cs="仿宋" w:hint="eastAsia"/>
          <w:sz w:val="32"/>
          <w:szCs w:val="32"/>
        </w:rPr>
        <w:t>.00分，预算管理情况得分1</w:t>
      </w:r>
      <w:r>
        <w:rPr>
          <w:rFonts w:ascii="仿宋" w:eastAsia="仿宋" w:hAnsi="仿宋" w:cs="仿宋"/>
          <w:sz w:val="32"/>
          <w:szCs w:val="32"/>
        </w:rPr>
        <w:t>5</w:t>
      </w:r>
      <w:r>
        <w:rPr>
          <w:rFonts w:ascii="仿宋" w:eastAsia="仿宋" w:hAnsi="仿宋" w:cs="仿宋" w:hint="eastAsia"/>
          <w:sz w:val="32"/>
          <w:szCs w:val="32"/>
        </w:rPr>
        <w:t>.</w:t>
      </w:r>
      <w:r>
        <w:rPr>
          <w:rFonts w:ascii="仿宋" w:eastAsia="仿宋" w:hAnsi="仿宋" w:cs="仿宋"/>
          <w:sz w:val="32"/>
          <w:szCs w:val="32"/>
        </w:rPr>
        <w:t>9</w:t>
      </w:r>
      <w:r>
        <w:rPr>
          <w:rFonts w:ascii="仿宋" w:eastAsia="仿宋" w:hAnsi="仿宋" w:cs="仿宋" w:hint="eastAsia"/>
          <w:sz w:val="32"/>
          <w:szCs w:val="32"/>
        </w:rPr>
        <w:t>0分。具体得分情况见下表：</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1764"/>
        <w:gridCol w:w="2685"/>
      </w:tblGrid>
      <w:tr w:rsidR="007C06AB" w14:paraId="5E6D8F1D" w14:textId="77777777">
        <w:trPr>
          <w:trHeight w:hRule="exact" w:val="486"/>
          <w:tblHeader/>
          <w:jc w:val="center"/>
        </w:trPr>
        <w:tc>
          <w:tcPr>
            <w:tcW w:w="2075" w:type="pct"/>
            <w:shd w:val="clear" w:color="auto" w:fill="BEBEBE"/>
            <w:vAlign w:val="center"/>
          </w:tcPr>
          <w:p w14:paraId="7FA3E788" w14:textId="77777777" w:rsidR="007C06AB"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评价内容</w:t>
            </w:r>
          </w:p>
        </w:tc>
        <w:tc>
          <w:tcPr>
            <w:tcW w:w="1159" w:type="pct"/>
            <w:shd w:val="clear" w:color="auto" w:fill="BEBEBE"/>
            <w:vAlign w:val="center"/>
          </w:tcPr>
          <w:p w14:paraId="4DF63DB3" w14:textId="77777777" w:rsidR="007C06AB" w:rsidRDefault="00000000">
            <w:pPr>
              <w:widowControl/>
              <w:spacing w:line="360" w:lineRule="auto"/>
              <w:jc w:val="center"/>
              <w:rPr>
                <w:rFonts w:ascii="宋体" w:hAnsi="宋体" w:cs="宋体"/>
                <w:b/>
                <w:bCs/>
                <w:color w:val="000000"/>
                <w:kern w:val="0"/>
                <w:szCs w:val="21"/>
              </w:rPr>
            </w:pPr>
            <w:r>
              <w:rPr>
                <w:rFonts w:ascii="宋体" w:hAnsi="宋体" w:cs="宋体" w:hint="eastAsia"/>
                <w:b/>
                <w:bCs/>
                <w:color w:val="000000"/>
                <w:kern w:val="0"/>
                <w:szCs w:val="21"/>
              </w:rPr>
              <w:t>分值</w:t>
            </w:r>
          </w:p>
        </w:tc>
        <w:tc>
          <w:tcPr>
            <w:tcW w:w="1765" w:type="pct"/>
            <w:shd w:val="clear" w:color="auto" w:fill="BEBEBE"/>
            <w:vAlign w:val="center"/>
          </w:tcPr>
          <w:p w14:paraId="7AA9C814" w14:textId="77777777" w:rsidR="007C06AB" w:rsidRDefault="00000000">
            <w:pPr>
              <w:widowControl/>
              <w:spacing w:line="360" w:lineRule="auto"/>
              <w:jc w:val="center"/>
              <w:rPr>
                <w:rFonts w:ascii="宋体" w:hAnsi="宋体" w:cs="宋体"/>
                <w:b/>
                <w:bCs/>
                <w:color w:val="000000"/>
                <w:kern w:val="0"/>
                <w:szCs w:val="21"/>
              </w:rPr>
            </w:pPr>
            <w:r>
              <w:rPr>
                <w:rFonts w:ascii="宋体" w:hAnsi="宋体" w:cs="宋体" w:hint="eastAsia"/>
                <w:b/>
                <w:bCs/>
                <w:color w:val="000000"/>
                <w:kern w:val="0"/>
                <w:szCs w:val="21"/>
              </w:rPr>
              <w:t>评价得分</w:t>
            </w:r>
          </w:p>
        </w:tc>
      </w:tr>
      <w:tr w:rsidR="007C06AB" w14:paraId="5DA28526" w14:textId="77777777">
        <w:trPr>
          <w:trHeight w:hRule="exact" w:val="397"/>
          <w:jc w:val="center"/>
        </w:trPr>
        <w:tc>
          <w:tcPr>
            <w:tcW w:w="2075" w:type="pct"/>
            <w:vAlign w:val="center"/>
          </w:tcPr>
          <w:p w14:paraId="2C184273" w14:textId="77777777" w:rsidR="007C06AB"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当年预算执行情况</w:t>
            </w:r>
          </w:p>
        </w:tc>
        <w:tc>
          <w:tcPr>
            <w:tcW w:w="1159" w:type="pct"/>
            <w:vAlign w:val="center"/>
          </w:tcPr>
          <w:p w14:paraId="39B9F35E" w14:textId="77777777" w:rsidR="007C06AB"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20</w:t>
            </w:r>
          </w:p>
        </w:tc>
        <w:tc>
          <w:tcPr>
            <w:tcW w:w="1765" w:type="pct"/>
            <w:vAlign w:val="center"/>
          </w:tcPr>
          <w:p w14:paraId="2DBA42D4" w14:textId="77777777" w:rsidR="007C06AB" w:rsidRDefault="00000000">
            <w:pPr>
              <w:widowControl/>
              <w:spacing w:line="360" w:lineRule="auto"/>
              <w:jc w:val="center"/>
              <w:rPr>
                <w:rFonts w:ascii="宋体" w:hAnsi="宋体" w:cs="宋体"/>
                <w:color w:val="000000"/>
                <w:kern w:val="0"/>
                <w:szCs w:val="21"/>
              </w:rPr>
            </w:pPr>
            <w:r>
              <w:rPr>
                <w:rFonts w:ascii="宋体" w:hAnsi="宋体" w:cs="宋体"/>
                <w:color w:val="000000"/>
                <w:kern w:val="0"/>
                <w:szCs w:val="21"/>
              </w:rPr>
              <w:t>16.75</w:t>
            </w:r>
          </w:p>
        </w:tc>
      </w:tr>
      <w:tr w:rsidR="007C06AB" w14:paraId="3F35F485" w14:textId="77777777">
        <w:trPr>
          <w:trHeight w:hRule="exact" w:val="397"/>
          <w:jc w:val="center"/>
        </w:trPr>
        <w:tc>
          <w:tcPr>
            <w:tcW w:w="2075" w:type="pct"/>
            <w:vAlign w:val="center"/>
          </w:tcPr>
          <w:p w14:paraId="3EDADD3E" w14:textId="77777777" w:rsidR="007C06AB"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整体绩效目标实现情况</w:t>
            </w:r>
          </w:p>
        </w:tc>
        <w:tc>
          <w:tcPr>
            <w:tcW w:w="1159" w:type="pct"/>
            <w:vAlign w:val="center"/>
          </w:tcPr>
          <w:p w14:paraId="6D667694" w14:textId="77777777" w:rsidR="007C06AB"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60</w:t>
            </w:r>
          </w:p>
        </w:tc>
        <w:tc>
          <w:tcPr>
            <w:tcW w:w="1765" w:type="pct"/>
            <w:vAlign w:val="center"/>
          </w:tcPr>
          <w:p w14:paraId="0EDFEA8E" w14:textId="77777777" w:rsidR="007C06AB"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5</w:t>
            </w:r>
            <w:r>
              <w:rPr>
                <w:rFonts w:ascii="宋体" w:hAnsi="宋体" w:cs="宋体"/>
                <w:color w:val="000000"/>
                <w:kern w:val="0"/>
                <w:szCs w:val="21"/>
              </w:rPr>
              <w:t>9</w:t>
            </w:r>
            <w:r>
              <w:rPr>
                <w:rFonts w:ascii="宋体" w:hAnsi="宋体" w:cs="宋体" w:hint="eastAsia"/>
                <w:color w:val="000000"/>
                <w:kern w:val="0"/>
                <w:szCs w:val="21"/>
              </w:rPr>
              <w:t>.00</w:t>
            </w:r>
          </w:p>
        </w:tc>
      </w:tr>
      <w:tr w:rsidR="007C06AB" w14:paraId="2A9970B2" w14:textId="77777777">
        <w:trPr>
          <w:trHeight w:hRule="exact" w:val="397"/>
          <w:jc w:val="center"/>
        </w:trPr>
        <w:tc>
          <w:tcPr>
            <w:tcW w:w="2075" w:type="pct"/>
            <w:vAlign w:val="center"/>
          </w:tcPr>
          <w:p w14:paraId="13F26F3B" w14:textId="77777777" w:rsidR="007C06AB"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预算管理情况</w:t>
            </w:r>
          </w:p>
        </w:tc>
        <w:tc>
          <w:tcPr>
            <w:tcW w:w="1159" w:type="pct"/>
            <w:vAlign w:val="center"/>
          </w:tcPr>
          <w:p w14:paraId="56A1E6E6" w14:textId="77777777" w:rsidR="007C06AB"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20</w:t>
            </w:r>
          </w:p>
        </w:tc>
        <w:tc>
          <w:tcPr>
            <w:tcW w:w="1765" w:type="pct"/>
            <w:vAlign w:val="center"/>
          </w:tcPr>
          <w:p w14:paraId="1C23F5CD" w14:textId="77777777" w:rsidR="007C06AB"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w:t>
            </w:r>
            <w:r>
              <w:rPr>
                <w:rFonts w:ascii="宋体" w:hAnsi="宋体" w:cs="宋体"/>
                <w:color w:val="000000"/>
                <w:kern w:val="0"/>
                <w:szCs w:val="21"/>
              </w:rPr>
              <w:t>5.90</w:t>
            </w:r>
          </w:p>
        </w:tc>
      </w:tr>
      <w:tr w:rsidR="007C06AB" w14:paraId="4DB61689" w14:textId="77777777">
        <w:trPr>
          <w:trHeight w:hRule="exact" w:val="397"/>
          <w:jc w:val="center"/>
        </w:trPr>
        <w:tc>
          <w:tcPr>
            <w:tcW w:w="2075" w:type="pct"/>
            <w:vAlign w:val="center"/>
          </w:tcPr>
          <w:p w14:paraId="5B85317B" w14:textId="77777777" w:rsidR="007C06AB"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综合得分</w:t>
            </w:r>
          </w:p>
        </w:tc>
        <w:tc>
          <w:tcPr>
            <w:tcW w:w="1159" w:type="pct"/>
            <w:vAlign w:val="center"/>
          </w:tcPr>
          <w:p w14:paraId="1FC82D34" w14:textId="77777777" w:rsidR="007C06AB"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100</w:t>
            </w:r>
          </w:p>
        </w:tc>
        <w:tc>
          <w:tcPr>
            <w:tcW w:w="1765" w:type="pct"/>
            <w:vAlign w:val="center"/>
          </w:tcPr>
          <w:p w14:paraId="5D7ADE7C" w14:textId="77777777" w:rsidR="007C06AB" w:rsidRDefault="00000000">
            <w:pPr>
              <w:widowControl/>
              <w:spacing w:line="360" w:lineRule="auto"/>
              <w:jc w:val="center"/>
              <w:rPr>
                <w:rFonts w:ascii="宋体" w:hAnsi="宋体" w:cs="宋体"/>
                <w:color w:val="000000"/>
                <w:kern w:val="0"/>
                <w:szCs w:val="21"/>
              </w:rPr>
            </w:pPr>
            <w:r>
              <w:rPr>
                <w:rFonts w:ascii="宋体" w:hAnsi="宋体" w:cs="宋体" w:hint="eastAsia"/>
                <w:color w:val="000000"/>
                <w:kern w:val="0"/>
                <w:szCs w:val="21"/>
              </w:rPr>
              <w:t>9</w:t>
            </w:r>
            <w:r>
              <w:rPr>
                <w:rFonts w:ascii="宋体" w:hAnsi="宋体" w:cs="宋体"/>
                <w:color w:val="000000"/>
                <w:kern w:val="0"/>
                <w:szCs w:val="21"/>
              </w:rPr>
              <w:t>1.65</w:t>
            </w:r>
          </w:p>
        </w:tc>
      </w:tr>
    </w:tbl>
    <w:p w14:paraId="5D8B574A" w14:textId="77777777" w:rsidR="007C06AB" w:rsidRDefault="00000000">
      <w:pPr>
        <w:spacing w:line="560" w:lineRule="exact"/>
        <w:ind w:firstLineChars="200" w:firstLine="640"/>
        <w:outlineLvl w:val="1"/>
        <w:rPr>
          <w:rFonts w:ascii="楷体_GB2312" w:eastAsia="楷体_GB2312"/>
          <w:sz w:val="32"/>
          <w:szCs w:val="32"/>
        </w:rPr>
      </w:pPr>
      <w:bookmarkStart w:id="19" w:name="_Toc21942"/>
      <w:r>
        <w:rPr>
          <w:rFonts w:ascii="楷体_GB2312" w:eastAsia="楷体_GB2312" w:hint="eastAsia"/>
          <w:sz w:val="32"/>
          <w:szCs w:val="32"/>
        </w:rPr>
        <w:t>（二）存在的问题及原因分析</w:t>
      </w:r>
      <w:bookmarkEnd w:id="19"/>
    </w:p>
    <w:p w14:paraId="45A0A3B3"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1.部门整体绩效目标申报表填写不够完整，各项指标内容仅对预期效益进行描述，未体现产出成本、产出进度、经济效益、社会效益、服务对象满意度等指标，缺少资金使用</w:t>
      </w:r>
      <w:r>
        <w:rPr>
          <w:rFonts w:ascii="仿宋" w:eastAsia="仿宋" w:hAnsi="仿宋" w:cs="仿宋" w:hint="eastAsia"/>
          <w:sz w:val="32"/>
          <w:szCs w:val="32"/>
        </w:rPr>
        <w:lastRenderedPageBreak/>
        <w:t>计划、实施进度安排，指标的可</w:t>
      </w:r>
      <w:proofErr w:type="gramStart"/>
      <w:r>
        <w:rPr>
          <w:rFonts w:ascii="仿宋" w:eastAsia="仿宋" w:hAnsi="仿宋" w:cs="仿宋" w:hint="eastAsia"/>
          <w:sz w:val="32"/>
          <w:szCs w:val="32"/>
        </w:rPr>
        <w:t>考量</w:t>
      </w:r>
      <w:proofErr w:type="gramEnd"/>
      <w:r>
        <w:rPr>
          <w:rFonts w:ascii="仿宋" w:eastAsia="仿宋" w:hAnsi="仿宋" w:cs="仿宋" w:hint="eastAsia"/>
          <w:sz w:val="32"/>
          <w:szCs w:val="32"/>
        </w:rPr>
        <w:t>性不足。</w:t>
      </w:r>
    </w:p>
    <w:p w14:paraId="3EB4E07F"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sz w:val="32"/>
          <w:szCs w:val="32"/>
        </w:rPr>
        <w:t>.</w:t>
      </w:r>
      <w:r>
        <w:rPr>
          <w:rFonts w:ascii="仿宋" w:eastAsia="仿宋" w:hAnsi="仿宋" w:cs="仿宋" w:hint="eastAsia"/>
          <w:sz w:val="32"/>
          <w:szCs w:val="32"/>
        </w:rPr>
        <w:t>未建立绩效跟踪管理办法，对资金支出和项目实施过程中与财政预算绩效管理有关的资金到位、资金支出、项目进程、目标实现等动态情况进行跟踪管理。未及时对财政支出的绩效目标实现程度、项目实施进度、资金支出进度等情况进行汇总分析整理。</w:t>
      </w:r>
    </w:p>
    <w:p w14:paraId="3C153324"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2</w:t>
      </w:r>
      <w:r>
        <w:rPr>
          <w:rFonts w:ascii="仿宋" w:eastAsia="仿宋" w:hAnsi="仿宋" w:cs="仿宋"/>
          <w:sz w:val="32"/>
          <w:szCs w:val="32"/>
        </w:rPr>
        <w:t>022</w:t>
      </w:r>
      <w:r>
        <w:rPr>
          <w:rFonts w:ascii="仿宋" w:eastAsia="仿宋" w:hAnsi="仿宋" w:cs="仿宋" w:hint="eastAsia"/>
          <w:sz w:val="32"/>
          <w:szCs w:val="32"/>
        </w:rPr>
        <w:t>年支出预算调整金额较大。根据</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人民法院202</w:t>
      </w:r>
      <w:r>
        <w:rPr>
          <w:rFonts w:ascii="仿宋" w:eastAsia="仿宋" w:hAnsi="仿宋" w:cs="仿宋"/>
          <w:sz w:val="32"/>
          <w:szCs w:val="32"/>
        </w:rPr>
        <w:t>2</w:t>
      </w:r>
      <w:r>
        <w:rPr>
          <w:rFonts w:ascii="仿宋" w:eastAsia="仿宋" w:hAnsi="仿宋" w:cs="仿宋" w:hint="eastAsia"/>
          <w:sz w:val="32"/>
          <w:szCs w:val="32"/>
        </w:rPr>
        <w:t>年决算报表数据显示，2</w:t>
      </w:r>
      <w:r>
        <w:rPr>
          <w:rFonts w:ascii="仿宋" w:eastAsia="仿宋" w:hAnsi="仿宋" w:cs="仿宋"/>
          <w:sz w:val="32"/>
          <w:szCs w:val="32"/>
        </w:rPr>
        <w:t>022</w:t>
      </w:r>
      <w:r>
        <w:rPr>
          <w:rFonts w:ascii="仿宋" w:eastAsia="仿宋" w:hAnsi="仿宋" w:cs="仿宋" w:hint="eastAsia"/>
          <w:sz w:val="32"/>
          <w:szCs w:val="32"/>
        </w:rPr>
        <w:t>年基本支出年初预算数</w:t>
      </w:r>
      <w:r>
        <w:rPr>
          <w:rFonts w:ascii="仿宋" w:eastAsia="仿宋" w:hAnsi="仿宋" w:cs="仿宋"/>
          <w:sz w:val="32"/>
          <w:szCs w:val="32"/>
        </w:rPr>
        <w:t>14,880.58万元，</w:t>
      </w:r>
      <w:r>
        <w:rPr>
          <w:rFonts w:ascii="仿宋" w:eastAsia="仿宋" w:hAnsi="仿宋" w:cs="仿宋" w:hint="eastAsia"/>
          <w:sz w:val="32"/>
          <w:szCs w:val="32"/>
        </w:rPr>
        <w:t>全年</w:t>
      </w:r>
      <w:r>
        <w:rPr>
          <w:rFonts w:ascii="仿宋" w:eastAsia="仿宋" w:hAnsi="仿宋" w:cs="仿宋"/>
          <w:sz w:val="32"/>
          <w:szCs w:val="32"/>
        </w:rPr>
        <w:t>预算数15,699.05万元，增加818.47万元；项目支出年初预算数7,224.52万元，</w:t>
      </w:r>
      <w:r>
        <w:rPr>
          <w:rFonts w:ascii="仿宋" w:eastAsia="仿宋" w:hAnsi="仿宋" w:cs="仿宋" w:hint="eastAsia"/>
          <w:sz w:val="32"/>
          <w:szCs w:val="32"/>
        </w:rPr>
        <w:t>全年</w:t>
      </w:r>
      <w:r>
        <w:rPr>
          <w:rFonts w:ascii="仿宋" w:eastAsia="仿宋" w:hAnsi="仿宋" w:cs="仿宋"/>
          <w:sz w:val="32"/>
          <w:szCs w:val="32"/>
        </w:rPr>
        <w:t>预算数10,921.69万元，增加3,697.17万元。</w:t>
      </w:r>
    </w:p>
    <w:p w14:paraId="1457BF1A"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sz w:val="32"/>
          <w:szCs w:val="32"/>
        </w:rPr>
        <w:t>4.</w:t>
      </w:r>
      <w:r>
        <w:rPr>
          <w:rFonts w:ascii="仿宋" w:eastAsia="仿宋" w:hAnsi="仿宋" w:cs="仿宋" w:hint="eastAsia"/>
          <w:sz w:val="32"/>
          <w:szCs w:val="32"/>
        </w:rPr>
        <w:t>2</w:t>
      </w:r>
      <w:r>
        <w:rPr>
          <w:rFonts w:ascii="仿宋" w:eastAsia="仿宋" w:hAnsi="仿宋" w:cs="仿宋"/>
          <w:sz w:val="32"/>
          <w:szCs w:val="32"/>
        </w:rPr>
        <w:t>022</w:t>
      </w:r>
      <w:r>
        <w:rPr>
          <w:rFonts w:ascii="仿宋" w:eastAsia="仿宋" w:hAnsi="仿宋" w:cs="仿宋" w:hint="eastAsia"/>
          <w:sz w:val="32"/>
          <w:szCs w:val="32"/>
        </w:rPr>
        <w:t>年部门整体绩效目标关于效果实现情况的资料呈现不足，缺少相关资料的收集和统计分析；缺少满意度指标完成情况的支撑资料。</w:t>
      </w:r>
    </w:p>
    <w:p w14:paraId="054B05D1" w14:textId="77777777" w:rsidR="007C06AB" w:rsidRDefault="00000000">
      <w:pPr>
        <w:pStyle w:val="20"/>
        <w:spacing w:after="0" w:line="560" w:lineRule="exact"/>
        <w:ind w:leftChars="0" w:left="0" w:firstLineChars="200" w:firstLine="640"/>
        <w:outlineLvl w:val="0"/>
        <w:rPr>
          <w:rFonts w:ascii="仿宋_GB2312" w:eastAsia="仿宋_GB2312" w:hAnsi="宋体" w:cs="宋体"/>
          <w:color w:val="000000"/>
          <w:kern w:val="0"/>
          <w:sz w:val="32"/>
          <w:szCs w:val="32"/>
        </w:rPr>
      </w:pPr>
      <w:bookmarkStart w:id="20" w:name="_Toc16460"/>
      <w:r>
        <w:rPr>
          <w:rFonts w:ascii="黑体" w:eastAsia="黑体" w:hAnsi="黑体" w:cs="宋体" w:hint="eastAsia"/>
          <w:color w:val="000000"/>
          <w:kern w:val="0"/>
          <w:sz w:val="32"/>
          <w:szCs w:val="32"/>
        </w:rPr>
        <w:t>六、措施建议</w:t>
      </w:r>
      <w:bookmarkEnd w:id="20"/>
    </w:p>
    <w:p w14:paraId="2A2ACD56" w14:textId="77777777" w:rsidR="007C06AB" w:rsidRDefault="00000000">
      <w:pPr>
        <w:spacing w:line="560" w:lineRule="exact"/>
        <w:ind w:firstLineChars="200" w:firstLine="640"/>
        <w:rPr>
          <w:rFonts w:ascii="仿宋" w:eastAsia="仿宋" w:hAnsi="仿宋" w:cs="仿宋"/>
          <w:sz w:val="32"/>
          <w:szCs w:val="32"/>
        </w:rPr>
      </w:pPr>
      <w:bookmarkStart w:id="21" w:name="_Toc24942"/>
      <w:r>
        <w:rPr>
          <w:rFonts w:ascii="仿宋" w:eastAsia="仿宋" w:hAnsi="仿宋" w:cs="仿宋"/>
          <w:sz w:val="32"/>
          <w:szCs w:val="32"/>
        </w:rPr>
        <w:t>1.</w:t>
      </w:r>
      <w:r>
        <w:rPr>
          <w:rFonts w:ascii="仿宋" w:eastAsia="仿宋" w:hAnsi="仿宋" w:cs="仿宋" w:hint="eastAsia"/>
          <w:sz w:val="32"/>
          <w:szCs w:val="32"/>
        </w:rPr>
        <w:t>建议</w:t>
      </w:r>
      <w:proofErr w:type="gramStart"/>
      <w:r>
        <w:rPr>
          <w:rFonts w:ascii="仿宋" w:eastAsia="仿宋" w:hAnsi="仿宋" w:cs="仿宋" w:hint="eastAsia"/>
          <w:sz w:val="32"/>
          <w:szCs w:val="32"/>
        </w:rPr>
        <w:t>大兴区</w:t>
      </w:r>
      <w:proofErr w:type="gramEnd"/>
      <w:r>
        <w:rPr>
          <w:rFonts w:ascii="仿宋" w:eastAsia="仿宋" w:hAnsi="仿宋" w:cs="仿宋" w:hint="eastAsia"/>
          <w:sz w:val="32"/>
          <w:szCs w:val="32"/>
        </w:rPr>
        <w:t>人民法院结合部门职能、年度工作计划和重点工作任务，梳理部门主要产出和绩效，合理设置部门年度绩效目标和绩效指标，保证各项指标细化、量化和准确；提高绩效意识，加强绩效结果应用。</w:t>
      </w:r>
    </w:p>
    <w:p w14:paraId="47142EBD"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sz w:val="32"/>
          <w:szCs w:val="32"/>
        </w:rPr>
        <w:t>.</w:t>
      </w:r>
      <w:r>
        <w:rPr>
          <w:rFonts w:ascii="仿宋" w:eastAsia="仿宋" w:hAnsi="仿宋" w:cs="仿宋" w:hint="eastAsia"/>
          <w:sz w:val="32"/>
          <w:szCs w:val="32"/>
        </w:rPr>
        <w:t>建议建立绩效跟踪管理办法，根据确定的绩效目标，运用科学、合理的绩效信息汇总分析方法，对财政支出的绩效目标实现程度、项目实施进度、资金支出进度等情况进行阶段性跟踪管理和督促检查，及时发现问题并采取有效的措施纠正偏离绩效目标情况的管理活动。</w:t>
      </w:r>
      <w:bookmarkEnd w:id="21"/>
    </w:p>
    <w:p w14:paraId="6C51E1F9"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sz w:val="32"/>
          <w:szCs w:val="32"/>
        </w:rPr>
        <w:lastRenderedPageBreak/>
        <w:t>3.</w:t>
      </w:r>
      <w:r>
        <w:rPr>
          <w:rFonts w:ascii="仿宋" w:eastAsia="仿宋" w:hAnsi="仿宋" w:cs="仿宋" w:hint="eastAsia"/>
          <w:sz w:val="32"/>
          <w:szCs w:val="32"/>
        </w:rPr>
        <w:t>建议加强部门整体预算管理，科学合理编制预算，增强预算的前瞻性。严格按项目和进度执行预算，合理安排资金支出，定期做好预算执行分析，及时了解预算执行差异，合理调整、纠正预算执行偏差，切实提高预算执行率及资金使用效益。</w:t>
      </w:r>
    </w:p>
    <w:p w14:paraId="1C56FB14"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sz w:val="32"/>
          <w:szCs w:val="32"/>
        </w:rPr>
        <w:t>.</w:t>
      </w:r>
      <w:r>
        <w:rPr>
          <w:rFonts w:ascii="仿宋" w:eastAsia="仿宋" w:hAnsi="仿宋" w:cs="仿宋" w:hint="eastAsia"/>
          <w:sz w:val="32"/>
          <w:szCs w:val="32"/>
        </w:rPr>
        <w:t>建议牢固树立绩效管理理念，加强绩效成果和项目效益的挖掘，注重收集绩效成果资料和效益支撑材料，充分展示项目效果和效益。加强对项目成果利用的满意度调查，合理设计问卷，并对调查结果进行统计分析。</w:t>
      </w:r>
      <w:r>
        <w:rPr>
          <w:rFonts w:ascii="仿宋" w:eastAsia="仿宋" w:hAnsi="仿宋" w:cs="仿宋"/>
          <w:sz w:val="32"/>
          <w:szCs w:val="32"/>
        </w:rPr>
        <w:t xml:space="preserve"> </w:t>
      </w:r>
    </w:p>
    <w:p w14:paraId="4FEAFE37" w14:textId="77777777" w:rsidR="007C06AB" w:rsidRDefault="00000000">
      <w:pPr>
        <w:pStyle w:val="20"/>
        <w:spacing w:after="0" w:line="560" w:lineRule="exact"/>
        <w:ind w:leftChars="0" w:left="0" w:firstLineChars="200" w:firstLine="640"/>
        <w:outlineLvl w:val="0"/>
        <w:rPr>
          <w:rFonts w:ascii="黑体" w:eastAsia="黑体" w:hAnsi="黑体" w:cs="宋体"/>
          <w:color w:val="000000"/>
          <w:kern w:val="0"/>
          <w:sz w:val="32"/>
          <w:szCs w:val="32"/>
        </w:rPr>
      </w:pPr>
      <w:bookmarkStart w:id="22" w:name="_Toc25191"/>
      <w:r>
        <w:rPr>
          <w:rFonts w:ascii="黑体" w:eastAsia="黑体" w:hAnsi="黑体" w:cs="宋体" w:hint="eastAsia"/>
          <w:color w:val="000000"/>
          <w:kern w:val="0"/>
          <w:sz w:val="32"/>
          <w:szCs w:val="32"/>
        </w:rPr>
        <w:t>七、附件</w:t>
      </w:r>
      <w:bookmarkEnd w:id="22"/>
    </w:p>
    <w:p w14:paraId="0527568E" w14:textId="77777777" w:rsidR="007C06AB" w:rsidRDefault="00000000">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2022年部门整体绩效评价指标体系评分表</w:t>
      </w:r>
    </w:p>
    <w:p w14:paraId="51303F81" w14:textId="77777777" w:rsidR="007C06AB" w:rsidRDefault="007C06AB">
      <w:pPr>
        <w:jc w:val="left"/>
        <w:rPr>
          <w:sz w:val="32"/>
          <w:szCs w:val="32"/>
          <w:u w:val="single"/>
        </w:rPr>
      </w:pPr>
    </w:p>
    <w:p w14:paraId="4301215D" w14:textId="77777777" w:rsidR="007C06AB" w:rsidRDefault="007C06AB">
      <w:pPr>
        <w:spacing w:line="560" w:lineRule="exact"/>
        <w:outlineLvl w:val="0"/>
        <w:rPr>
          <w:rFonts w:ascii="黑体" w:eastAsia="黑体" w:hAnsi="黑体" w:cs="黑体"/>
          <w:bCs/>
          <w:color w:val="000000"/>
          <w:kern w:val="0"/>
          <w:sz w:val="32"/>
          <w:szCs w:val="32"/>
        </w:rPr>
      </w:pPr>
    </w:p>
    <w:p w14:paraId="1D69BD09" w14:textId="77777777" w:rsidR="007C06AB" w:rsidRDefault="00000000">
      <w:pPr>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br w:type="page"/>
      </w:r>
    </w:p>
    <w:p w14:paraId="7C85CA59" w14:textId="77777777" w:rsidR="007C06AB" w:rsidRDefault="007C06AB">
      <w:pPr>
        <w:pStyle w:val="a5"/>
        <w:sectPr w:rsidR="007C06AB">
          <w:footerReference w:type="default" r:id="rId12"/>
          <w:pgSz w:w="11906" w:h="16838"/>
          <w:pgMar w:top="1440" w:right="1800" w:bottom="1440" w:left="1800" w:header="851" w:footer="992" w:gutter="0"/>
          <w:pgNumType w:start="1"/>
          <w:cols w:space="425"/>
          <w:docGrid w:type="lines" w:linePitch="312"/>
        </w:sectPr>
      </w:pPr>
    </w:p>
    <w:p w14:paraId="33B0AE7F" w14:textId="77777777" w:rsidR="007C06AB" w:rsidRDefault="00000000">
      <w:pPr>
        <w:spacing w:line="560" w:lineRule="exact"/>
        <w:jc w:val="left"/>
        <w:rPr>
          <w:rFonts w:ascii="仿宋" w:eastAsia="仿宋" w:hAnsi="仿宋" w:cs="宋体"/>
          <w:color w:val="000000"/>
          <w:kern w:val="0"/>
          <w:sz w:val="32"/>
          <w:szCs w:val="32"/>
        </w:rPr>
      </w:pPr>
      <w:r>
        <w:rPr>
          <w:rFonts w:ascii="仿宋" w:eastAsia="仿宋" w:hAnsi="仿宋" w:cs="宋体" w:hint="eastAsia"/>
          <w:color w:val="000000"/>
          <w:kern w:val="0"/>
          <w:sz w:val="32"/>
          <w:szCs w:val="32"/>
        </w:rPr>
        <w:lastRenderedPageBreak/>
        <w:t>附件：2022年部门整体绩效评价</w:t>
      </w:r>
      <w:r>
        <w:rPr>
          <w:rFonts w:ascii="仿宋" w:eastAsia="仿宋" w:hAnsi="仿宋" w:cs="微软雅黑" w:hint="eastAsia"/>
          <w:color w:val="000000"/>
          <w:kern w:val="0"/>
          <w:sz w:val="32"/>
          <w:szCs w:val="32"/>
        </w:rPr>
        <w:t>指标</w:t>
      </w:r>
      <w:r>
        <w:rPr>
          <w:rFonts w:ascii="仿宋" w:eastAsia="仿宋" w:hAnsi="仿宋" w:cs="___WRD_EMBED_SUB_47" w:hint="eastAsia"/>
          <w:color w:val="000000"/>
          <w:kern w:val="0"/>
          <w:sz w:val="32"/>
          <w:szCs w:val="32"/>
        </w:rPr>
        <w:t>体</w:t>
      </w:r>
      <w:r>
        <w:rPr>
          <w:rFonts w:ascii="仿宋" w:eastAsia="仿宋" w:hAnsi="仿宋" w:cs="微软雅黑" w:hint="eastAsia"/>
          <w:color w:val="000000"/>
          <w:kern w:val="0"/>
          <w:sz w:val="32"/>
          <w:szCs w:val="32"/>
        </w:rPr>
        <w:t>系</w:t>
      </w:r>
      <w:r>
        <w:rPr>
          <w:rFonts w:ascii="仿宋" w:eastAsia="仿宋" w:hAnsi="仿宋" w:cs="___WRD_EMBED_SUB_47" w:hint="eastAsia"/>
          <w:color w:val="000000"/>
          <w:kern w:val="0"/>
          <w:sz w:val="32"/>
          <w:szCs w:val="32"/>
        </w:rPr>
        <w:t>评</w:t>
      </w:r>
      <w:r>
        <w:rPr>
          <w:rFonts w:ascii="仿宋" w:eastAsia="仿宋" w:hAnsi="仿宋" w:cs="微软雅黑" w:hint="eastAsia"/>
          <w:color w:val="000000"/>
          <w:kern w:val="0"/>
          <w:sz w:val="32"/>
          <w:szCs w:val="32"/>
        </w:rPr>
        <w:t>分</w:t>
      </w:r>
      <w:r>
        <w:rPr>
          <w:rFonts w:ascii="仿宋" w:eastAsia="仿宋" w:hAnsi="仿宋" w:cs="___WRD_EMBED_SUB_47" w:hint="eastAsia"/>
          <w:color w:val="000000"/>
          <w:kern w:val="0"/>
          <w:sz w:val="32"/>
          <w:szCs w:val="32"/>
        </w:rPr>
        <w:t>表</w:t>
      </w:r>
    </w:p>
    <w:tbl>
      <w:tblPr>
        <w:tblW w:w="5458" w:type="pct"/>
        <w:tblInd w:w="-601" w:type="dxa"/>
        <w:tblLayout w:type="fixed"/>
        <w:tblLook w:val="04A0" w:firstRow="1" w:lastRow="0" w:firstColumn="1" w:lastColumn="0" w:noHBand="0" w:noVBand="1"/>
      </w:tblPr>
      <w:tblGrid>
        <w:gridCol w:w="1189"/>
        <w:gridCol w:w="1054"/>
        <w:gridCol w:w="1140"/>
        <w:gridCol w:w="1286"/>
        <w:gridCol w:w="3663"/>
        <w:gridCol w:w="753"/>
        <w:gridCol w:w="832"/>
        <w:gridCol w:w="3495"/>
        <w:gridCol w:w="1810"/>
        <w:gridCol w:w="15"/>
      </w:tblGrid>
      <w:tr w:rsidR="007C06AB" w14:paraId="063107F7" w14:textId="77777777">
        <w:trPr>
          <w:cantSplit/>
          <w:trHeight w:val="90"/>
        </w:trPr>
        <w:tc>
          <w:tcPr>
            <w:tcW w:w="5000" w:type="pct"/>
            <w:gridSpan w:val="10"/>
            <w:tcBorders>
              <w:top w:val="nil"/>
              <w:left w:val="nil"/>
              <w:bottom w:val="single" w:sz="4" w:space="0" w:color="auto"/>
              <w:right w:val="nil"/>
            </w:tcBorders>
            <w:noWrap/>
            <w:vAlign w:val="bottom"/>
          </w:tcPr>
          <w:p w14:paraId="1C2302D9" w14:textId="77777777" w:rsidR="007C06AB" w:rsidRDefault="00000000">
            <w:pPr>
              <w:widowControl/>
              <w:jc w:val="center"/>
              <w:rPr>
                <w:rFonts w:ascii="方正小标宋简体" w:eastAsia="方正小标宋简体" w:hAnsi="黑体" w:cs="宋体"/>
                <w:color w:val="000000"/>
                <w:kern w:val="0"/>
                <w:sz w:val="44"/>
                <w:szCs w:val="44"/>
              </w:rPr>
            </w:pPr>
            <w:r>
              <w:rPr>
                <w:rFonts w:ascii="方正小标宋简体" w:eastAsia="方正小标宋简体" w:hAnsi="黑体" w:cs="宋体" w:hint="eastAsia"/>
                <w:color w:val="000000"/>
                <w:kern w:val="0"/>
                <w:sz w:val="44"/>
                <w:szCs w:val="44"/>
              </w:rPr>
              <w:t>2022年部门整体绩效评价指标体系评分表</w:t>
            </w:r>
          </w:p>
        </w:tc>
      </w:tr>
      <w:tr w:rsidR="007C06AB" w14:paraId="2695AA4E" w14:textId="77777777">
        <w:trPr>
          <w:cantSplit/>
          <w:trHeight w:val="470"/>
        </w:trPr>
        <w:tc>
          <w:tcPr>
            <w:tcW w:w="5000" w:type="pct"/>
            <w:gridSpan w:val="10"/>
            <w:tcBorders>
              <w:top w:val="single" w:sz="4" w:space="0" w:color="auto"/>
              <w:left w:val="single" w:sz="4" w:space="0" w:color="auto"/>
              <w:bottom w:val="single" w:sz="4" w:space="0" w:color="000000"/>
              <w:right w:val="single" w:sz="4" w:space="0" w:color="auto"/>
            </w:tcBorders>
            <w:vAlign w:val="center"/>
          </w:tcPr>
          <w:p w14:paraId="220B4CFF" w14:textId="77777777" w:rsidR="007C06AB"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一、</w:t>
            </w:r>
            <w:r>
              <w:rPr>
                <w:rFonts w:ascii="宋体" w:hAnsi="宋体" w:cs="宋体" w:hint="eastAsia"/>
                <w:color w:val="000000"/>
                <w:kern w:val="0"/>
                <w:sz w:val="20"/>
                <w:szCs w:val="20"/>
              </w:rPr>
              <w:t>当年预算执行情况（20分）</w:t>
            </w:r>
          </w:p>
        </w:tc>
      </w:tr>
      <w:tr w:rsidR="007C06AB" w14:paraId="2ED19E14" w14:textId="77777777">
        <w:trPr>
          <w:gridAfter w:val="1"/>
          <w:wAfter w:w="5" w:type="pct"/>
          <w:cantSplit/>
          <w:trHeight w:val="660"/>
        </w:trPr>
        <w:tc>
          <w:tcPr>
            <w:tcW w:w="390" w:type="pct"/>
            <w:tcBorders>
              <w:top w:val="single" w:sz="4" w:space="0" w:color="auto"/>
              <w:left w:val="single" w:sz="4" w:space="0" w:color="auto"/>
              <w:bottom w:val="single" w:sz="4" w:space="0" w:color="auto"/>
              <w:right w:val="single" w:sz="4" w:space="0" w:color="auto"/>
            </w:tcBorders>
            <w:vAlign w:val="center"/>
          </w:tcPr>
          <w:p w14:paraId="56B339BE"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46" w:type="pct"/>
            <w:tcBorders>
              <w:top w:val="single" w:sz="4" w:space="0" w:color="auto"/>
              <w:left w:val="single" w:sz="4" w:space="0" w:color="auto"/>
              <w:bottom w:val="single" w:sz="4" w:space="0" w:color="auto"/>
              <w:right w:val="single" w:sz="4" w:space="0" w:color="auto"/>
            </w:tcBorders>
            <w:vAlign w:val="center"/>
          </w:tcPr>
          <w:p w14:paraId="34BB0BD6"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74" w:type="pct"/>
            <w:tcBorders>
              <w:top w:val="single" w:sz="4" w:space="0" w:color="auto"/>
              <w:left w:val="single" w:sz="4" w:space="0" w:color="auto"/>
              <w:bottom w:val="single" w:sz="4" w:space="0" w:color="auto"/>
              <w:right w:val="single" w:sz="4" w:space="0" w:color="auto"/>
            </w:tcBorders>
            <w:vAlign w:val="center"/>
          </w:tcPr>
          <w:p w14:paraId="06C1D41B"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预算数（万元）</w:t>
            </w:r>
          </w:p>
        </w:tc>
        <w:tc>
          <w:tcPr>
            <w:tcW w:w="422" w:type="pct"/>
            <w:tcBorders>
              <w:top w:val="single" w:sz="4" w:space="0" w:color="auto"/>
              <w:left w:val="single" w:sz="4" w:space="0" w:color="auto"/>
              <w:bottom w:val="single" w:sz="4" w:space="0" w:color="auto"/>
              <w:right w:val="single" w:sz="4" w:space="0" w:color="auto"/>
            </w:tcBorders>
            <w:vAlign w:val="center"/>
          </w:tcPr>
          <w:p w14:paraId="54F2CE99"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执行数（万元）</w:t>
            </w:r>
          </w:p>
        </w:tc>
        <w:tc>
          <w:tcPr>
            <w:tcW w:w="1202" w:type="pct"/>
            <w:tcBorders>
              <w:top w:val="single" w:sz="4" w:space="0" w:color="auto"/>
              <w:left w:val="single" w:sz="4" w:space="0" w:color="auto"/>
              <w:bottom w:val="single" w:sz="4" w:space="0" w:color="auto"/>
              <w:right w:val="single" w:sz="4" w:space="0" w:color="auto"/>
            </w:tcBorders>
            <w:vAlign w:val="center"/>
          </w:tcPr>
          <w:p w14:paraId="01ECA5AB"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预算执行率</w:t>
            </w:r>
          </w:p>
        </w:tc>
        <w:tc>
          <w:tcPr>
            <w:tcW w:w="247" w:type="pct"/>
            <w:tcBorders>
              <w:top w:val="single" w:sz="4" w:space="0" w:color="auto"/>
              <w:left w:val="single" w:sz="4" w:space="0" w:color="auto"/>
              <w:bottom w:val="single" w:sz="4" w:space="0" w:color="auto"/>
              <w:right w:val="single" w:sz="4" w:space="0" w:color="auto"/>
            </w:tcBorders>
            <w:vAlign w:val="center"/>
          </w:tcPr>
          <w:p w14:paraId="6E9C3BAE"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73" w:type="pct"/>
            <w:tcBorders>
              <w:top w:val="single" w:sz="4" w:space="0" w:color="auto"/>
              <w:left w:val="single" w:sz="4" w:space="0" w:color="auto"/>
              <w:bottom w:val="single" w:sz="4" w:space="0" w:color="auto"/>
              <w:right w:val="single" w:sz="4" w:space="0" w:color="auto"/>
            </w:tcBorders>
            <w:vAlign w:val="center"/>
          </w:tcPr>
          <w:p w14:paraId="7AAA62A5"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147" w:type="pct"/>
            <w:tcBorders>
              <w:top w:val="single" w:sz="4" w:space="0" w:color="auto"/>
              <w:left w:val="single" w:sz="4" w:space="0" w:color="auto"/>
              <w:bottom w:val="single" w:sz="4" w:space="0" w:color="auto"/>
              <w:right w:val="single" w:sz="4" w:space="0" w:color="auto"/>
            </w:tcBorders>
            <w:vAlign w:val="center"/>
          </w:tcPr>
          <w:p w14:paraId="75973C04"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指标解释</w:t>
            </w:r>
          </w:p>
        </w:tc>
        <w:tc>
          <w:tcPr>
            <w:tcW w:w="594" w:type="pct"/>
            <w:tcBorders>
              <w:top w:val="single" w:sz="4" w:space="0" w:color="auto"/>
              <w:left w:val="nil"/>
              <w:bottom w:val="single" w:sz="4" w:space="0" w:color="auto"/>
              <w:right w:val="single" w:sz="4" w:space="0" w:color="auto"/>
            </w:tcBorders>
            <w:vAlign w:val="center"/>
          </w:tcPr>
          <w:p w14:paraId="45E64AD5"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评分标准</w:t>
            </w:r>
          </w:p>
        </w:tc>
      </w:tr>
      <w:tr w:rsidR="007C06AB" w14:paraId="6BCF4ADA" w14:textId="77777777">
        <w:trPr>
          <w:gridAfter w:val="1"/>
          <w:wAfter w:w="5" w:type="pct"/>
          <w:cantSplit/>
          <w:trHeight w:val="630"/>
        </w:trPr>
        <w:tc>
          <w:tcPr>
            <w:tcW w:w="390" w:type="pct"/>
            <w:vMerge w:val="restart"/>
            <w:tcBorders>
              <w:top w:val="nil"/>
              <w:left w:val="single" w:sz="4" w:space="0" w:color="auto"/>
              <w:bottom w:val="single" w:sz="4" w:space="0" w:color="000000"/>
              <w:right w:val="single" w:sz="4" w:space="0" w:color="auto"/>
            </w:tcBorders>
            <w:vAlign w:val="center"/>
          </w:tcPr>
          <w:p w14:paraId="3AAA30CB" w14:textId="77777777" w:rsidR="007C06AB" w:rsidRDefault="00000000">
            <w:pPr>
              <w:widowControl/>
              <w:jc w:val="right"/>
              <w:rPr>
                <w:rFonts w:ascii="宋体" w:hAnsi="宋体" w:cs="宋体"/>
                <w:color w:val="000000"/>
                <w:kern w:val="0"/>
                <w:sz w:val="20"/>
                <w:szCs w:val="20"/>
              </w:rPr>
            </w:pPr>
            <w:r>
              <w:rPr>
                <w:rFonts w:ascii="宋体" w:hAnsi="宋体" w:cs="宋体" w:hint="eastAsia"/>
                <w:color w:val="000000"/>
                <w:kern w:val="0"/>
                <w:sz w:val="20"/>
                <w:szCs w:val="20"/>
              </w:rPr>
              <w:t>当年预算执行情况（20）</w:t>
            </w:r>
          </w:p>
        </w:tc>
        <w:tc>
          <w:tcPr>
            <w:tcW w:w="346" w:type="pct"/>
            <w:tcBorders>
              <w:top w:val="single" w:sz="4" w:space="0" w:color="auto"/>
              <w:left w:val="single" w:sz="4" w:space="0" w:color="auto"/>
              <w:bottom w:val="single" w:sz="4" w:space="0" w:color="auto"/>
              <w:right w:val="single" w:sz="4" w:space="0" w:color="auto"/>
            </w:tcBorders>
            <w:vAlign w:val="center"/>
          </w:tcPr>
          <w:p w14:paraId="2E1EB92F"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资金总体</w:t>
            </w:r>
          </w:p>
        </w:tc>
        <w:tc>
          <w:tcPr>
            <w:tcW w:w="374" w:type="pct"/>
            <w:tcBorders>
              <w:top w:val="single" w:sz="4" w:space="0" w:color="auto"/>
              <w:left w:val="single" w:sz="4" w:space="0" w:color="auto"/>
              <w:bottom w:val="single" w:sz="4" w:space="0" w:color="auto"/>
              <w:right w:val="single" w:sz="4" w:space="0" w:color="auto"/>
            </w:tcBorders>
            <w:vAlign w:val="center"/>
          </w:tcPr>
          <w:p w14:paraId="6BB306F4" w14:textId="77777777" w:rsidR="007C06AB" w:rsidRDefault="00000000">
            <w:pPr>
              <w:widowControl/>
              <w:jc w:val="right"/>
              <w:rPr>
                <w:rFonts w:asciiTheme="minorEastAsia" w:eastAsiaTheme="minorEastAsia" w:hAnsiTheme="minorEastAsia" w:cs="宋体"/>
                <w:color w:val="000000"/>
                <w:kern w:val="0"/>
                <w:sz w:val="20"/>
                <w:szCs w:val="20"/>
              </w:rPr>
            </w:pPr>
            <w:r>
              <w:rPr>
                <w:rFonts w:asciiTheme="minorEastAsia" w:eastAsiaTheme="minorEastAsia" w:hAnsiTheme="minorEastAsia"/>
              </w:rPr>
              <w:t>26620.74</w:t>
            </w:r>
          </w:p>
        </w:tc>
        <w:tc>
          <w:tcPr>
            <w:tcW w:w="422" w:type="pct"/>
            <w:tcBorders>
              <w:top w:val="single" w:sz="4" w:space="0" w:color="auto"/>
              <w:left w:val="single" w:sz="4" w:space="0" w:color="auto"/>
              <w:bottom w:val="single" w:sz="4" w:space="0" w:color="auto"/>
              <w:right w:val="single" w:sz="4" w:space="0" w:color="auto"/>
            </w:tcBorders>
            <w:vAlign w:val="center"/>
          </w:tcPr>
          <w:p w14:paraId="4E1EB866" w14:textId="77777777" w:rsidR="007C06AB" w:rsidRDefault="00000000">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rPr>
              <w:t>22300.36</w:t>
            </w:r>
          </w:p>
        </w:tc>
        <w:tc>
          <w:tcPr>
            <w:tcW w:w="1202" w:type="pct"/>
            <w:tcBorders>
              <w:top w:val="single" w:sz="4" w:space="0" w:color="auto"/>
              <w:left w:val="single" w:sz="4" w:space="0" w:color="auto"/>
              <w:bottom w:val="single" w:sz="4" w:space="0" w:color="auto"/>
              <w:right w:val="single" w:sz="4" w:space="0" w:color="auto"/>
            </w:tcBorders>
            <w:vAlign w:val="center"/>
          </w:tcPr>
          <w:p w14:paraId="0B950157" w14:textId="77777777" w:rsidR="007C06AB" w:rsidRDefault="00000000">
            <w:pPr>
              <w:widowControl/>
              <w:jc w:val="center"/>
              <w:rPr>
                <w:rFonts w:ascii="宋体" w:hAnsi="宋体" w:cs="宋体"/>
                <w:color w:val="000000"/>
                <w:kern w:val="0"/>
                <w:sz w:val="20"/>
                <w:szCs w:val="20"/>
              </w:rPr>
            </w:pPr>
            <w:r>
              <w:rPr>
                <w:rFonts w:ascii="宋体" w:hAnsi="宋体" w:cs="宋体"/>
                <w:color w:val="000000"/>
                <w:kern w:val="0"/>
                <w:sz w:val="20"/>
                <w:szCs w:val="20"/>
              </w:rPr>
              <w:t>83.77%</w:t>
            </w:r>
          </w:p>
        </w:tc>
        <w:tc>
          <w:tcPr>
            <w:tcW w:w="247" w:type="pct"/>
            <w:vMerge w:val="restart"/>
            <w:tcBorders>
              <w:top w:val="single" w:sz="4" w:space="0" w:color="auto"/>
              <w:left w:val="single" w:sz="4" w:space="0" w:color="auto"/>
              <w:bottom w:val="single" w:sz="4" w:space="0" w:color="auto"/>
              <w:right w:val="single" w:sz="4" w:space="0" w:color="auto"/>
            </w:tcBorders>
            <w:noWrap/>
            <w:vAlign w:val="center"/>
          </w:tcPr>
          <w:p w14:paraId="6E6129BD"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20</w:t>
            </w:r>
          </w:p>
        </w:tc>
        <w:tc>
          <w:tcPr>
            <w:tcW w:w="273" w:type="pct"/>
            <w:vMerge w:val="restart"/>
            <w:tcBorders>
              <w:top w:val="single" w:sz="4" w:space="0" w:color="auto"/>
              <w:left w:val="single" w:sz="4" w:space="0" w:color="auto"/>
              <w:bottom w:val="single" w:sz="4" w:space="0" w:color="auto"/>
              <w:right w:val="single" w:sz="4" w:space="0" w:color="auto"/>
            </w:tcBorders>
            <w:noWrap/>
            <w:vAlign w:val="center"/>
          </w:tcPr>
          <w:p w14:paraId="208B2E46"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r>
              <w:rPr>
                <w:rFonts w:ascii="宋体" w:hAnsi="宋体" w:cs="宋体"/>
                <w:color w:val="000000"/>
                <w:kern w:val="0"/>
                <w:sz w:val="20"/>
                <w:szCs w:val="20"/>
              </w:rPr>
              <w:t>6.75</w:t>
            </w:r>
            <w:r>
              <w:rPr>
                <w:rFonts w:ascii="宋体" w:hAnsi="宋体" w:cs="宋体" w:hint="eastAsia"/>
                <w:color w:val="000000"/>
                <w:kern w:val="0"/>
                <w:sz w:val="20"/>
                <w:szCs w:val="20"/>
              </w:rPr>
              <w:t xml:space="preserve">　</w:t>
            </w:r>
          </w:p>
        </w:tc>
        <w:tc>
          <w:tcPr>
            <w:tcW w:w="1147" w:type="pct"/>
            <w:vMerge w:val="restart"/>
            <w:tcBorders>
              <w:top w:val="single" w:sz="4" w:space="0" w:color="auto"/>
              <w:left w:val="single" w:sz="4" w:space="0" w:color="auto"/>
              <w:bottom w:val="single" w:sz="4" w:space="0" w:color="auto"/>
              <w:right w:val="single" w:sz="4" w:space="0" w:color="auto"/>
            </w:tcBorders>
            <w:vAlign w:val="center"/>
          </w:tcPr>
          <w:p w14:paraId="167AFB97" w14:textId="77777777" w:rsidR="007C06AB"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部门全年执行数与全年预算数的比率。资金总体=基本支出+项目支出+其他</w:t>
            </w:r>
          </w:p>
        </w:tc>
        <w:tc>
          <w:tcPr>
            <w:tcW w:w="594" w:type="pct"/>
            <w:vMerge w:val="restart"/>
            <w:tcBorders>
              <w:top w:val="nil"/>
              <w:left w:val="single" w:sz="4" w:space="0" w:color="auto"/>
              <w:bottom w:val="single" w:sz="4" w:space="0" w:color="auto"/>
              <w:right w:val="single" w:sz="4" w:space="0" w:color="auto"/>
            </w:tcBorders>
            <w:vAlign w:val="center"/>
          </w:tcPr>
          <w:p w14:paraId="07128043" w14:textId="77777777" w:rsidR="007C06AB" w:rsidRDefault="00000000">
            <w:pPr>
              <w:widowControl/>
              <w:ind w:leftChars="-47" w:left="-99" w:firstLineChars="55" w:firstLine="99"/>
              <w:jc w:val="left"/>
              <w:rPr>
                <w:rFonts w:ascii="宋体" w:hAnsi="宋体" w:cs="宋体"/>
                <w:color w:val="000000"/>
                <w:kern w:val="0"/>
                <w:sz w:val="18"/>
                <w:szCs w:val="18"/>
              </w:rPr>
            </w:pPr>
            <w:r>
              <w:rPr>
                <w:rFonts w:ascii="宋体" w:hAnsi="宋体" w:cs="宋体" w:hint="eastAsia"/>
                <w:color w:val="000000"/>
                <w:kern w:val="0"/>
                <w:sz w:val="18"/>
                <w:szCs w:val="18"/>
              </w:rPr>
              <w:t>①得分一档最高不能超过该指标分值上限（20分）。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w:t>
            </w:r>
          </w:p>
        </w:tc>
      </w:tr>
      <w:tr w:rsidR="007C06AB" w14:paraId="0C4F87A2" w14:textId="77777777">
        <w:trPr>
          <w:gridAfter w:val="1"/>
          <w:wAfter w:w="5" w:type="pct"/>
          <w:cantSplit/>
          <w:trHeight w:val="600"/>
        </w:trPr>
        <w:tc>
          <w:tcPr>
            <w:tcW w:w="390" w:type="pct"/>
            <w:vMerge/>
            <w:tcBorders>
              <w:top w:val="nil"/>
              <w:left w:val="single" w:sz="4" w:space="0" w:color="auto"/>
              <w:bottom w:val="single" w:sz="4" w:space="0" w:color="000000"/>
              <w:right w:val="single" w:sz="4" w:space="0" w:color="auto"/>
            </w:tcBorders>
            <w:vAlign w:val="center"/>
          </w:tcPr>
          <w:p w14:paraId="0A777619" w14:textId="77777777" w:rsidR="007C06AB" w:rsidRDefault="007C06AB">
            <w:pPr>
              <w:widowControl/>
              <w:jc w:val="left"/>
              <w:rPr>
                <w:rFonts w:ascii="宋体" w:hAnsi="宋体" w:cs="宋体"/>
                <w:color w:val="000000"/>
                <w:kern w:val="0"/>
                <w:sz w:val="20"/>
                <w:szCs w:val="20"/>
              </w:rPr>
            </w:pPr>
          </w:p>
        </w:tc>
        <w:tc>
          <w:tcPr>
            <w:tcW w:w="346" w:type="pct"/>
            <w:tcBorders>
              <w:top w:val="single" w:sz="4" w:space="0" w:color="auto"/>
              <w:left w:val="single" w:sz="4" w:space="0" w:color="auto"/>
              <w:bottom w:val="single" w:sz="4" w:space="0" w:color="auto"/>
              <w:right w:val="nil"/>
            </w:tcBorders>
            <w:vAlign w:val="center"/>
          </w:tcPr>
          <w:p w14:paraId="23FA5BF3"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基本支出</w:t>
            </w:r>
          </w:p>
        </w:tc>
        <w:tc>
          <w:tcPr>
            <w:tcW w:w="374" w:type="pct"/>
            <w:tcBorders>
              <w:top w:val="single" w:sz="4" w:space="0" w:color="auto"/>
              <w:left w:val="single" w:sz="4" w:space="0" w:color="auto"/>
              <w:bottom w:val="single" w:sz="4" w:space="0" w:color="auto"/>
              <w:right w:val="single" w:sz="4" w:space="0" w:color="auto"/>
            </w:tcBorders>
            <w:vAlign w:val="center"/>
          </w:tcPr>
          <w:p w14:paraId="56A63BF6" w14:textId="77777777" w:rsidR="007C06AB" w:rsidRDefault="00000000">
            <w:pPr>
              <w:widowControl/>
              <w:jc w:val="right"/>
              <w:rPr>
                <w:rFonts w:asciiTheme="minorEastAsia" w:eastAsiaTheme="minorEastAsia" w:hAnsiTheme="minorEastAsia" w:cs="宋体"/>
                <w:color w:val="000000"/>
                <w:kern w:val="0"/>
                <w:sz w:val="20"/>
                <w:szCs w:val="20"/>
              </w:rPr>
            </w:pPr>
            <w:r>
              <w:rPr>
                <w:rFonts w:asciiTheme="minorEastAsia" w:eastAsiaTheme="minorEastAsia" w:hAnsiTheme="minorEastAsia"/>
              </w:rPr>
              <w:t>15699.05</w:t>
            </w:r>
          </w:p>
        </w:tc>
        <w:tc>
          <w:tcPr>
            <w:tcW w:w="422" w:type="pct"/>
            <w:tcBorders>
              <w:top w:val="single" w:sz="4" w:space="0" w:color="auto"/>
              <w:left w:val="nil"/>
              <w:bottom w:val="single" w:sz="4" w:space="0" w:color="auto"/>
              <w:right w:val="single" w:sz="4" w:space="0" w:color="auto"/>
            </w:tcBorders>
            <w:vAlign w:val="center"/>
          </w:tcPr>
          <w:p w14:paraId="42573F88" w14:textId="77777777" w:rsidR="007C06AB" w:rsidRDefault="00000000">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rPr>
              <w:t>15351.60</w:t>
            </w:r>
          </w:p>
        </w:tc>
        <w:tc>
          <w:tcPr>
            <w:tcW w:w="1202" w:type="pct"/>
            <w:vMerge w:val="restart"/>
            <w:tcBorders>
              <w:top w:val="single" w:sz="4" w:space="0" w:color="auto"/>
              <w:left w:val="single" w:sz="4" w:space="0" w:color="auto"/>
              <w:bottom w:val="single" w:sz="4" w:space="0" w:color="auto"/>
              <w:right w:val="single" w:sz="4" w:space="0" w:color="auto"/>
            </w:tcBorders>
            <w:vAlign w:val="center"/>
          </w:tcPr>
          <w:p w14:paraId="282D2537"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247" w:type="pct"/>
            <w:vMerge/>
            <w:tcBorders>
              <w:top w:val="single" w:sz="4" w:space="0" w:color="auto"/>
              <w:left w:val="single" w:sz="4" w:space="0" w:color="auto"/>
              <w:bottom w:val="single" w:sz="4" w:space="0" w:color="auto"/>
              <w:right w:val="single" w:sz="4" w:space="0" w:color="auto"/>
            </w:tcBorders>
            <w:vAlign w:val="center"/>
          </w:tcPr>
          <w:p w14:paraId="66F97C87" w14:textId="77777777" w:rsidR="007C06AB" w:rsidRDefault="007C06AB">
            <w:pPr>
              <w:widowControl/>
              <w:jc w:val="left"/>
              <w:rPr>
                <w:rFonts w:ascii="宋体" w:hAnsi="宋体" w:cs="宋体"/>
                <w:color w:val="000000"/>
                <w:kern w:val="0"/>
                <w:sz w:val="20"/>
                <w:szCs w:val="20"/>
              </w:rPr>
            </w:pPr>
          </w:p>
        </w:tc>
        <w:tc>
          <w:tcPr>
            <w:tcW w:w="273" w:type="pct"/>
            <w:vMerge/>
            <w:tcBorders>
              <w:top w:val="single" w:sz="4" w:space="0" w:color="auto"/>
              <w:left w:val="nil"/>
              <w:bottom w:val="single" w:sz="4" w:space="0" w:color="auto"/>
              <w:right w:val="nil"/>
            </w:tcBorders>
            <w:vAlign w:val="center"/>
          </w:tcPr>
          <w:p w14:paraId="0C2B472D" w14:textId="77777777" w:rsidR="007C06AB" w:rsidRDefault="007C06AB">
            <w:pPr>
              <w:widowControl/>
              <w:jc w:val="left"/>
              <w:rPr>
                <w:rFonts w:ascii="宋体" w:hAnsi="宋体" w:cs="宋体"/>
                <w:color w:val="000000"/>
                <w:kern w:val="0"/>
                <w:sz w:val="20"/>
                <w:szCs w:val="20"/>
              </w:rPr>
            </w:pPr>
          </w:p>
        </w:tc>
        <w:tc>
          <w:tcPr>
            <w:tcW w:w="1147" w:type="pct"/>
            <w:vMerge/>
            <w:tcBorders>
              <w:top w:val="single" w:sz="4" w:space="0" w:color="auto"/>
              <w:left w:val="single" w:sz="4" w:space="0" w:color="auto"/>
              <w:bottom w:val="single" w:sz="4" w:space="0" w:color="auto"/>
              <w:right w:val="single" w:sz="4" w:space="0" w:color="auto"/>
            </w:tcBorders>
            <w:vAlign w:val="center"/>
          </w:tcPr>
          <w:p w14:paraId="73562DAF" w14:textId="77777777" w:rsidR="007C06AB" w:rsidRDefault="007C06AB">
            <w:pPr>
              <w:widowControl/>
              <w:jc w:val="left"/>
              <w:rPr>
                <w:rFonts w:ascii="宋体" w:hAnsi="宋体" w:cs="宋体"/>
                <w:color w:val="000000"/>
                <w:kern w:val="0"/>
                <w:sz w:val="18"/>
                <w:szCs w:val="18"/>
              </w:rPr>
            </w:pPr>
          </w:p>
        </w:tc>
        <w:tc>
          <w:tcPr>
            <w:tcW w:w="594" w:type="pct"/>
            <w:vMerge/>
            <w:tcBorders>
              <w:top w:val="nil"/>
              <w:left w:val="single" w:sz="4" w:space="0" w:color="auto"/>
              <w:bottom w:val="single" w:sz="4" w:space="0" w:color="auto"/>
              <w:right w:val="single" w:sz="4" w:space="0" w:color="auto"/>
            </w:tcBorders>
            <w:vAlign w:val="center"/>
          </w:tcPr>
          <w:p w14:paraId="4C239673" w14:textId="77777777" w:rsidR="007C06AB" w:rsidRDefault="007C06AB">
            <w:pPr>
              <w:widowControl/>
              <w:jc w:val="left"/>
              <w:rPr>
                <w:rFonts w:ascii="宋体" w:hAnsi="宋体" w:cs="宋体"/>
                <w:color w:val="000000"/>
                <w:kern w:val="0"/>
                <w:sz w:val="18"/>
                <w:szCs w:val="18"/>
              </w:rPr>
            </w:pPr>
          </w:p>
        </w:tc>
      </w:tr>
      <w:tr w:rsidR="007C06AB" w14:paraId="0A1E2FAA" w14:textId="77777777">
        <w:trPr>
          <w:gridAfter w:val="1"/>
          <w:wAfter w:w="5" w:type="pct"/>
          <w:cantSplit/>
          <w:trHeight w:val="615"/>
        </w:trPr>
        <w:tc>
          <w:tcPr>
            <w:tcW w:w="390" w:type="pct"/>
            <w:vMerge/>
            <w:tcBorders>
              <w:top w:val="nil"/>
              <w:left w:val="single" w:sz="4" w:space="0" w:color="auto"/>
              <w:bottom w:val="single" w:sz="4" w:space="0" w:color="000000"/>
              <w:right w:val="single" w:sz="4" w:space="0" w:color="auto"/>
            </w:tcBorders>
            <w:vAlign w:val="center"/>
          </w:tcPr>
          <w:p w14:paraId="6212FAC3" w14:textId="77777777" w:rsidR="007C06AB" w:rsidRDefault="007C06AB">
            <w:pPr>
              <w:widowControl/>
              <w:jc w:val="left"/>
              <w:rPr>
                <w:rFonts w:ascii="宋体" w:hAnsi="宋体" w:cs="宋体"/>
                <w:color w:val="000000"/>
                <w:kern w:val="0"/>
                <w:sz w:val="20"/>
                <w:szCs w:val="20"/>
              </w:rPr>
            </w:pPr>
          </w:p>
        </w:tc>
        <w:tc>
          <w:tcPr>
            <w:tcW w:w="346" w:type="pct"/>
            <w:tcBorders>
              <w:top w:val="single" w:sz="4" w:space="0" w:color="auto"/>
              <w:left w:val="single" w:sz="4" w:space="0" w:color="auto"/>
              <w:bottom w:val="single" w:sz="4" w:space="0" w:color="auto"/>
              <w:right w:val="nil"/>
            </w:tcBorders>
            <w:vAlign w:val="center"/>
          </w:tcPr>
          <w:p w14:paraId="0D2AEB6D"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项目支出</w:t>
            </w:r>
          </w:p>
        </w:tc>
        <w:tc>
          <w:tcPr>
            <w:tcW w:w="374" w:type="pct"/>
            <w:tcBorders>
              <w:top w:val="single" w:sz="4" w:space="0" w:color="auto"/>
              <w:left w:val="single" w:sz="4" w:space="0" w:color="auto"/>
              <w:bottom w:val="single" w:sz="4" w:space="0" w:color="auto"/>
              <w:right w:val="single" w:sz="4" w:space="0" w:color="auto"/>
            </w:tcBorders>
            <w:vAlign w:val="center"/>
          </w:tcPr>
          <w:p w14:paraId="42966D3E" w14:textId="77777777" w:rsidR="007C06AB" w:rsidRDefault="00000000">
            <w:pPr>
              <w:widowControl/>
              <w:jc w:val="right"/>
              <w:rPr>
                <w:rFonts w:asciiTheme="minorEastAsia" w:eastAsiaTheme="minorEastAsia" w:hAnsiTheme="minorEastAsia" w:cs="宋体"/>
                <w:color w:val="000000"/>
                <w:kern w:val="0"/>
                <w:sz w:val="20"/>
                <w:szCs w:val="20"/>
              </w:rPr>
            </w:pPr>
            <w:r>
              <w:rPr>
                <w:rFonts w:asciiTheme="minorEastAsia" w:eastAsiaTheme="minorEastAsia" w:hAnsiTheme="minorEastAsia"/>
              </w:rPr>
              <w:t>10921.69</w:t>
            </w:r>
          </w:p>
        </w:tc>
        <w:tc>
          <w:tcPr>
            <w:tcW w:w="422" w:type="pct"/>
            <w:tcBorders>
              <w:top w:val="single" w:sz="4" w:space="0" w:color="auto"/>
              <w:left w:val="nil"/>
              <w:bottom w:val="single" w:sz="4" w:space="0" w:color="auto"/>
              <w:right w:val="single" w:sz="4" w:space="0" w:color="auto"/>
            </w:tcBorders>
            <w:vAlign w:val="center"/>
          </w:tcPr>
          <w:p w14:paraId="1FE9C9A7" w14:textId="77777777" w:rsidR="007C06AB" w:rsidRDefault="00000000">
            <w:pPr>
              <w:widowControl/>
              <w:jc w:val="center"/>
              <w:rPr>
                <w:rFonts w:asciiTheme="minorEastAsia" w:eastAsiaTheme="minorEastAsia" w:hAnsiTheme="minorEastAsia" w:cs="宋体"/>
                <w:color w:val="000000"/>
                <w:kern w:val="0"/>
                <w:sz w:val="20"/>
                <w:szCs w:val="20"/>
              </w:rPr>
            </w:pPr>
            <w:r>
              <w:rPr>
                <w:rFonts w:asciiTheme="minorEastAsia" w:eastAsiaTheme="minorEastAsia" w:hAnsiTheme="minorEastAsia"/>
              </w:rPr>
              <w:t>6948.76</w:t>
            </w:r>
          </w:p>
        </w:tc>
        <w:tc>
          <w:tcPr>
            <w:tcW w:w="1202" w:type="pct"/>
            <w:vMerge/>
            <w:tcBorders>
              <w:top w:val="single" w:sz="4" w:space="0" w:color="auto"/>
              <w:left w:val="single" w:sz="4" w:space="0" w:color="auto"/>
              <w:bottom w:val="single" w:sz="4" w:space="0" w:color="auto"/>
              <w:right w:val="single" w:sz="4" w:space="0" w:color="auto"/>
            </w:tcBorders>
            <w:vAlign w:val="center"/>
          </w:tcPr>
          <w:p w14:paraId="66E9D53F" w14:textId="77777777" w:rsidR="007C06AB" w:rsidRDefault="007C06AB">
            <w:pPr>
              <w:widowControl/>
              <w:jc w:val="left"/>
              <w:rPr>
                <w:rFonts w:ascii="宋体" w:hAnsi="宋体" w:cs="宋体"/>
                <w:color w:val="000000"/>
                <w:kern w:val="0"/>
                <w:sz w:val="20"/>
                <w:szCs w:val="20"/>
              </w:rPr>
            </w:pPr>
          </w:p>
        </w:tc>
        <w:tc>
          <w:tcPr>
            <w:tcW w:w="247" w:type="pct"/>
            <w:vMerge/>
            <w:tcBorders>
              <w:top w:val="single" w:sz="4" w:space="0" w:color="auto"/>
              <w:left w:val="single" w:sz="4" w:space="0" w:color="auto"/>
              <w:bottom w:val="single" w:sz="4" w:space="0" w:color="auto"/>
              <w:right w:val="single" w:sz="4" w:space="0" w:color="auto"/>
            </w:tcBorders>
            <w:vAlign w:val="center"/>
          </w:tcPr>
          <w:p w14:paraId="33A6B9F7" w14:textId="77777777" w:rsidR="007C06AB" w:rsidRDefault="007C06AB">
            <w:pPr>
              <w:widowControl/>
              <w:jc w:val="left"/>
              <w:rPr>
                <w:rFonts w:ascii="宋体" w:hAnsi="宋体" w:cs="宋体"/>
                <w:color w:val="000000"/>
                <w:kern w:val="0"/>
                <w:sz w:val="20"/>
                <w:szCs w:val="20"/>
              </w:rPr>
            </w:pPr>
          </w:p>
        </w:tc>
        <w:tc>
          <w:tcPr>
            <w:tcW w:w="273" w:type="pct"/>
            <w:vMerge/>
            <w:tcBorders>
              <w:top w:val="single" w:sz="4" w:space="0" w:color="auto"/>
              <w:left w:val="nil"/>
              <w:bottom w:val="single" w:sz="4" w:space="0" w:color="auto"/>
              <w:right w:val="nil"/>
            </w:tcBorders>
            <w:vAlign w:val="center"/>
          </w:tcPr>
          <w:p w14:paraId="1E38F7AC" w14:textId="77777777" w:rsidR="007C06AB" w:rsidRDefault="007C06AB">
            <w:pPr>
              <w:widowControl/>
              <w:jc w:val="left"/>
              <w:rPr>
                <w:rFonts w:ascii="宋体" w:hAnsi="宋体" w:cs="宋体"/>
                <w:color w:val="000000"/>
                <w:kern w:val="0"/>
                <w:sz w:val="20"/>
                <w:szCs w:val="20"/>
              </w:rPr>
            </w:pPr>
          </w:p>
        </w:tc>
        <w:tc>
          <w:tcPr>
            <w:tcW w:w="1147" w:type="pct"/>
            <w:vMerge/>
            <w:tcBorders>
              <w:top w:val="single" w:sz="4" w:space="0" w:color="auto"/>
              <w:left w:val="single" w:sz="4" w:space="0" w:color="auto"/>
              <w:bottom w:val="single" w:sz="4" w:space="0" w:color="auto"/>
              <w:right w:val="single" w:sz="4" w:space="0" w:color="auto"/>
            </w:tcBorders>
            <w:vAlign w:val="center"/>
          </w:tcPr>
          <w:p w14:paraId="0A824B24" w14:textId="77777777" w:rsidR="007C06AB" w:rsidRDefault="007C06AB">
            <w:pPr>
              <w:widowControl/>
              <w:jc w:val="left"/>
              <w:rPr>
                <w:rFonts w:ascii="宋体" w:hAnsi="宋体" w:cs="宋体"/>
                <w:color w:val="000000"/>
                <w:kern w:val="0"/>
                <w:sz w:val="18"/>
                <w:szCs w:val="18"/>
              </w:rPr>
            </w:pPr>
          </w:p>
        </w:tc>
        <w:tc>
          <w:tcPr>
            <w:tcW w:w="594" w:type="pct"/>
            <w:vMerge/>
            <w:tcBorders>
              <w:top w:val="nil"/>
              <w:left w:val="single" w:sz="4" w:space="0" w:color="auto"/>
              <w:bottom w:val="single" w:sz="4" w:space="0" w:color="auto"/>
              <w:right w:val="single" w:sz="4" w:space="0" w:color="auto"/>
            </w:tcBorders>
            <w:vAlign w:val="center"/>
          </w:tcPr>
          <w:p w14:paraId="43896CC2" w14:textId="77777777" w:rsidR="007C06AB" w:rsidRDefault="007C06AB">
            <w:pPr>
              <w:widowControl/>
              <w:jc w:val="left"/>
              <w:rPr>
                <w:rFonts w:ascii="宋体" w:hAnsi="宋体" w:cs="宋体"/>
                <w:color w:val="000000"/>
                <w:kern w:val="0"/>
                <w:sz w:val="18"/>
                <w:szCs w:val="18"/>
              </w:rPr>
            </w:pPr>
          </w:p>
        </w:tc>
      </w:tr>
      <w:tr w:rsidR="007C06AB" w14:paraId="72304A1E" w14:textId="77777777" w:rsidTr="0074075D">
        <w:trPr>
          <w:gridAfter w:val="1"/>
          <w:wAfter w:w="5" w:type="pct"/>
          <w:cantSplit/>
          <w:trHeight w:val="4106"/>
        </w:trPr>
        <w:tc>
          <w:tcPr>
            <w:tcW w:w="390" w:type="pct"/>
            <w:vMerge/>
            <w:tcBorders>
              <w:top w:val="nil"/>
              <w:left w:val="single" w:sz="4" w:space="0" w:color="auto"/>
              <w:bottom w:val="single" w:sz="4" w:space="0" w:color="000000"/>
              <w:right w:val="single" w:sz="4" w:space="0" w:color="auto"/>
            </w:tcBorders>
            <w:vAlign w:val="center"/>
          </w:tcPr>
          <w:p w14:paraId="4317306C" w14:textId="77777777" w:rsidR="007C06AB" w:rsidRDefault="007C06AB">
            <w:pPr>
              <w:widowControl/>
              <w:jc w:val="left"/>
              <w:rPr>
                <w:rFonts w:ascii="宋体" w:hAnsi="宋体" w:cs="宋体"/>
                <w:color w:val="000000"/>
                <w:kern w:val="0"/>
                <w:sz w:val="20"/>
                <w:szCs w:val="20"/>
              </w:rPr>
            </w:pPr>
          </w:p>
        </w:tc>
        <w:tc>
          <w:tcPr>
            <w:tcW w:w="346" w:type="pct"/>
            <w:tcBorders>
              <w:top w:val="single" w:sz="4" w:space="0" w:color="auto"/>
              <w:left w:val="single" w:sz="4" w:space="0" w:color="auto"/>
              <w:bottom w:val="single" w:sz="4" w:space="0" w:color="auto"/>
              <w:right w:val="single" w:sz="4" w:space="0" w:color="auto"/>
            </w:tcBorders>
            <w:vAlign w:val="center"/>
          </w:tcPr>
          <w:p w14:paraId="6BA98AC1"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其他</w:t>
            </w:r>
          </w:p>
        </w:tc>
        <w:tc>
          <w:tcPr>
            <w:tcW w:w="374" w:type="pct"/>
            <w:tcBorders>
              <w:top w:val="single" w:sz="4" w:space="0" w:color="auto"/>
              <w:left w:val="nil"/>
              <w:bottom w:val="single" w:sz="4" w:space="0" w:color="auto"/>
              <w:right w:val="single" w:sz="4" w:space="0" w:color="auto"/>
            </w:tcBorders>
            <w:vAlign w:val="center"/>
          </w:tcPr>
          <w:p w14:paraId="623D010D"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0</w:t>
            </w:r>
            <w:r>
              <w:rPr>
                <w:rFonts w:ascii="宋体" w:hAnsi="宋体" w:cs="宋体"/>
                <w:color w:val="000000"/>
                <w:kern w:val="0"/>
                <w:sz w:val="20"/>
                <w:szCs w:val="20"/>
              </w:rPr>
              <w:t>.00</w:t>
            </w:r>
          </w:p>
        </w:tc>
        <w:tc>
          <w:tcPr>
            <w:tcW w:w="422" w:type="pct"/>
            <w:tcBorders>
              <w:top w:val="single" w:sz="4" w:space="0" w:color="auto"/>
              <w:left w:val="nil"/>
              <w:bottom w:val="single" w:sz="4" w:space="0" w:color="auto"/>
              <w:right w:val="single" w:sz="4" w:space="0" w:color="auto"/>
            </w:tcBorders>
            <w:vAlign w:val="center"/>
          </w:tcPr>
          <w:p w14:paraId="595E4223"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0</w:t>
            </w:r>
            <w:r>
              <w:rPr>
                <w:rFonts w:ascii="宋体" w:hAnsi="宋体" w:cs="宋体"/>
                <w:color w:val="000000"/>
                <w:kern w:val="0"/>
                <w:sz w:val="20"/>
                <w:szCs w:val="20"/>
              </w:rPr>
              <w:t>.00</w:t>
            </w:r>
          </w:p>
        </w:tc>
        <w:tc>
          <w:tcPr>
            <w:tcW w:w="1202" w:type="pct"/>
            <w:vMerge/>
            <w:tcBorders>
              <w:top w:val="single" w:sz="4" w:space="0" w:color="auto"/>
              <w:left w:val="single" w:sz="4" w:space="0" w:color="auto"/>
              <w:bottom w:val="single" w:sz="4" w:space="0" w:color="auto"/>
              <w:right w:val="single" w:sz="4" w:space="0" w:color="auto"/>
            </w:tcBorders>
            <w:vAlign w:val="center"/>
          </w:tcPr>
          <w:p w14:paraId="101C2092" w14:textId="77777777" w:rsidR="007C06AB" w:rsidRDefault="007C06AB">
            <w:pPr>
              <w:widowControl/>
              <w:jc w:val="left"/>
              <w:rPr>
                <w:rFonts w:ascii="宋体" w:hAnsi="宋体" w:cs="宋体"/>
                <w:color w:val="000000"/>
                <w:kern w:val="0"/>
                <w:sz w:val="20"/>
                <w:szCs w:val="20"/>
              </w:rPr>
            </w:pPr>
          </w:p>
        </w:tc>
        <w:tc>
          <w:tcPr>
            <w:tcW w:w="247" w:type="pct"/>
            <w:vMerge/>
            <w:tcBorders>
              <w:top w:val="single" w:sz="4" w:space="0" w:color="auto"/>
              <w:left w:val="single" w:sz="4" w:space="0" w:color="auto"/>
              <w:bottom w:val="single" w:sz="4" w:space="0" w:color="auto"/>
              <w:right w:val="single" w:sz="4" w:space="0" w:color="auto"/>
            </w:tcBorders>
            <w:vAlign w:val="center"/>
          </w:tcPr>
          <w:p w14:paraId="221A2B13" w14:textId="77777777" w:rsidR="007C06AB" w:rsidRDefault="007C06AB">
            <w:pPr>
              <w:widowControl/>
              <w:jc w:val="left"/>
              <w:rPr>
                <w:rFonts w:ascii="宋体" w:hAnsi="宋体" w:cs="宋体"/>
                <w:color w:val="000000"/>
                <w:kern w:val="0"/>
                <w:sz w:val="20"/>
                <w:szCs w:val="20"/>
              </w:rPr>
            </w:pPr>
          </w:p>
        </w:tc>
        <w:tc>
          <w:tcPr>
            <w:tcW w:w="273" w:type="pct"/>
            <w:vMerge/>
            <w:tcBorders>
              <w:top w:val="single" w:sz="4" w:space="0" w:color="auto"/>
              <w:left w:val="nil"/>
              <w:bottom w:val="single" w:sz="4" w:space="0" w:color="auto"/>
              <w:right w:val="nil"/>
            </w:tcBorders>
            <w:vAlign w:val="center"/>
          </w:tcPr>
          <w:p w14:paraId="60F34DEB" w14:textId="77777777" w:rsidR="007C06AB" w:rsidRDefault="007C06AB">
            <w:pPr>
              <w:widowControl/>
              <w:jc w:val="left"/>
              <w:rPr>
                <w:rFonts w:ascii="宋体" w:hAnsi="宋体" w:cs="宋体"/>
                <w:color w:val="000000"/>
                <w:kern w:val="0"/>
                <w:sz w:val="20"/>
                <w:szCs w:val="20"/>
              </w:rPr>
            </w:pPr>
          </w:p>
        </w:tc>
        <w:tc>
          <w:tcPr>
            <w:tcW w:w="1147" w:type="pct"/>
            <w:vMerge/>
            <w:tcBorders>
              <w:top w:val="single" w:sz="4" w:space="0" w:color="auto"/>
              <w:left w:val="single" w:sz="4" w:space="0" w:color="auto"/>
              <w:bottom w:val="single" w:sz="4" w:space="0" w:color="auto"/>
              <w:right w:val="single" w:sz="4" w:space="0" w:color="auto"/>
            </w:tcBorders>
            <w:vAlign w:val="center"/>
          </w:tcPr>
          <w:p w14:paraId="71011E4A" w14:textId="77777777" w:rsidR="007C06AB" w:rsidRDefault="007C06AB">
            <w:pPr>
              <w:widowControl/>
              <w:jc w:val="left"/>
              <w:rPr>
                <w:rFonts w:ascii="宋体" w:hAnsi="宋体" w:cs="宋体"/>
                <w:color w:val="000000"/>
                <w:kern w:val="0"/>
                <w:sz w:val="18"/>
                <w:szCs w:val="18"/>
              </w:rPr>
            </w:pPr>
          </w:p>
        </w:tc>
        <w:tc>
          <w:tcPr>
            <w:tcW w:w="594" w:type="pct"/>
            <w:vMerge/>
            <w:tcBorders>
              <w:top w:val="nil"/>
              <w:left w:val="single" w:sz="4" w:space="0" w:color="auto"/>
              <w:bottom w:val="single" w:sz="4" w:space="0" w:color="auto"/>
              <w:right w:val="single" w:sz="4" w:space="0" w:color="auto"/>
            </w:tcBorders>
            <w:vAlign w:val="center"/>
          </w:tcPr>
          <w:p w14:paraId="52F3E8A1" w14:textId="77777777" w:rsidR="007C06AB" w:rsidRDefault="007C06AB">
            <w:pPr>
              <w:widowControl/>
              <w:jc w:val="left"/>
              <w:rPr>
                <w:rFonts w:ascii="宋体" w:hAnsi="宋体" w:cs="宋体"/>
                <w:color w:val="000000"/>
                <w:kern w:val="0"/>
                <w:sz w:val="18"/>
                <w:szCs w:val="18"/>
              </w:rPr>
            </w:pPr>
          </w:p>
        </w:tc>
      </w:tr>
      <w:tr w:rsidR="007C06AB" w14:paraId="0BF7A99C" w14:textId="77777777">
        <w:trPr>
          <w:cantSplit/>
          <w:trHeight w:val="479"/>
        </w:trPr>
        <w:tc>
          <w:tcPr>
            <w:tcW w:w="5000" w:type="pct"/>
            <w:gridSpan w:val="10"/>
            <w:tcBorders>
              <w:top w:val="nil"/>
              <w:left w:val="single" w:sz="4" w:space="0" w:color="auto"/>
              <w:bottom w:val="single" w:sz="4" w:space="0" w:color="auto"/>
              <w:right w:val="single" w:sz="4" w:space="0" w:color="auto"/>
            </w:tcBorders>
            <w:vAlign w:val="center"/>
          </w:tcPr>
          <w:p w14:paraId="419854BD" w14:textId="77777777" w:rsidR="007C06AB"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二</w:t>
            </w:r>
            <w:r>
              <w:rPr>
                <w:rFonts w:ascii="宋体" w:hAnsi="宋体" w:cs="宋体"/>
                <w:color w:val="000000"/>
                <w:kern w:val="0"/>
                <w:sz w:val="18"/>
                <w:szCs w:val="18"/>
              </w:rPr>
              <w:t>、</w:t>
            </w:r>
            <w:r>
              <w:rPr>
                <w:rFonts w:ascii="宋体" w:hAnsi="宋体" w:cs="宋体" w:hint="eastAsia"/>
                <w:color w:val="000000"/>
                <w:kern w:val="0"/>
                <w:sz w:val="20"/>
                <w:szCs w:val="20"/>
              </w:rPr>
              <w:t>整体绩效目标实现情况（60分）</w:t>
            </w:r>
          </w:p>
        </w:tc>
      </w:tr>
      <w:tr w:rsidR="007C06AB" w14:paraId="2491E183" w14:textId="77777777">
        <w:trPr>
          <w:gridAfter w:val="1"/>
          <w:wAfter w:w="5" w:type="pct"/>
          <w:cantSplit/>
          <w:trHeight w:val="499"/>
        </w:trPr>
        <w:tc>
          <w:tcPr>
            <w:tcW w:w="390" w:type="pct"/>
            <w:tcBorders>
              <w:top w:val="single" w:sz="4" w:space="0" w:color="auto"/>
              <w:left w:val="single" w:sz="4" w:space="0" w:color="auto"/>
              <w:bottom w:val="single" w:sz="4" w:space="0" w:color="auto"/>
              <w:right w:val="single" w:sz="4" w:space="0" w:color="auto"/>
            </w:tcBorders>
            <w:vAlign w:val="center"/>
          </w:tcPr>
          <w:p w14:paraId="37327C12"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一</w:t>
            </w:r>
            <w:r>
              <w:rPr>
                <w:rFonts w:ascii="宋体" w:hAnsi="宋体" w:cs="宋体"/>
                <w:color w:val="000000"/>
                <w:kern w:val="0"/>
                <w:sz w:val="20"/>
                <w:szCs w:val="20"/>
              </w:rPr>
              <w:t>级指标</w:t>
            </w:r>
          </w:p>
        </w:tc>
        <w:tc>
          <w:tcPr>
            <w:tcW w:w="346" w:type="pct"/>
            <w:tcBorders>
              <w:top w:val="single" w:sz="4" w:space="0" w:color="auto"/>
              <w:left w:val="nil"/>
              <w:bottom w:val="single" w:sz="4" w:space="0" w:color="auto"/>
              <w:right w:val="single" w:sz="4" w:space="0" w:color="auto"/>
            </w:tcBorders>
            <w:vAlign w:val="center"/>
          </w:tcPr>
          <w:p w14:paraId="26CE936F"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374" w:type="pct"/>
            <w:tcBorders>
              <w:top w:val="single" w:sz="4" w:space="0" w:color="auto"/>
              <w:left w:val="nil"/>
              <w:bottom w:val="single" w:sz="4" w:space="0" w:color="auto"/>
              <w:right w:val="single" w:sz="4" w:space="0" w:color="auto"/>
            </w:tcBorders>
            <w:vAlign w:val="center"/>
          </w:tcPr>
          <w:p w14:paraId="5DFADB72"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r>
              <w:rPr>
                <w:rFonts w:ascii="宋体" w:hAnsi="宋体" w:cs="宋体" w:hint="eastAsia"/>
                <w:color w:val="000000"/>
                <w:kern w:val="0"/>
                <w:sz w:val="20"/>
                <w:szCs w:val="20"/>
              </w:rPr>
              <w:t xml:space="preserve">　</w:t>
            </w:r>
          </w:p>
        </w:tc>
        <w:tc>
          <w:tcPr>
            <w:tcW w:w="422" w:type="pct"/>
            <w:tcBorders>
              <w:top w:val="single" w:sz="4" w:space="0" w:color="auto"/>
              <w:left w:val="nil"/>
              <w:bottom w:val="single" w:sz="4" w:space="0" w:color="auto"/>
              <w:right w:val="single" w:sz="4" w:space="0" w:color="auto"/>
            </w:tcBorders>
            <w:vAlign w:val="center"/>
          </w:tcPr>
          <w:p w14:paraId="7BC1813F"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指标值</w:t>
            </w:r>
          </w:p>
        </w:tc>
        <w:tc>
          <w:tcPr>
            <w:tcW w:w="1202" w:type="pct"/>
            <w:tcBorders>
              <w:top w:val="single" w:sz="4" w:space="0" w:color="auto"/>
              <w:left w:val="nil"/>
              <w:bottom w:val="single" w:sz="4" w:space="0" w:color="auto"/>
              <w:right w:val="single" w:sz="4" w:space="0" w:color="auto"/>
            </w:tcBorders>
            <w:vAlign w:val="center"/>
          </w:tcPr>
          <w:p w14:paraId="4988501D"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完成值</w:t>
            </w:r>
          </w:p>
        </w:tc>
        <w:tc>
          <w:tcPr>
            <w:tcW w:w="247" w:type="pct"/>
            <w:tcBorders>
              <w:top w:val="single" w:sz="4" w:space="0" w:color="auto"/>
              <w:left w:val="nil"/>
              <w:bottom w:val="single" w:sz="4" w:space="0" w:color="auto"/>
              <w:right w:val="single" w:sz="4" w:space="0" w:color="auto"/>
            </w:tcBorders>
            <w:vAlign w:val="center"/>
          </w:tcPr>
          <w:p w14:paraId="0D7636B0"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73" w:type="pct"/>
            <w:tcBorders>
              <w:top w:val="single" w:sz="4" w:space="0" w:color="auto"/>
              <w:left w:val="nil"/>
              <w:bottom w:val="single" w:sz="4" w:space="0" w:color="auto"/>
              <w:right w:val="nil"/>
            </w:tcBorders>
            <w:vAlign w:val="center"/>
          </w:tcPr>
          <w:p w14:paraId="0B1CC2BA"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147" w:type="pct"/>
            <w:tcBorders>
              <w:top w:val="single" w:sz="4" w:space="0" w:color="auto"/>
              <w:left w:val="single" w:sz="4" w:space="0" w:color="auto"/>
              <w:bottom w:val="single" w:sz="4" w:space="0" w:color="auto"/>
              <w:right w:val="single" w:sz="4" w:space="0" w:color="auto"/>
            </w:tcBorders>
            <w:vAlign w:val="center"/>
          </w:tcPr>
          <w:p w14:paraId="6967034E" w14:textId="77777777" w:rsidR="007C06AB" w:rsidRDefault="00000000">
            <w:pPr>
              <w:widowControl/>
              <w:jc w:val="center"/>
              <w:rPr>
                <w:rFonts w:ascii="宋体" w:hAnsi="宋体" w:cs="宋体"/>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594" w:type="pct"/>
            <w:tcBorders>
              <w:top w:val="single" w:sz="4" w:space="0" w:color="auto"/>
              <w:left w:val="single" w:sz="4" w:space="0" w:color="auto"/>
              <w:bottom w:val="single" w:sz="4" w:space="0" w:color="auto"/>
              <w:right w:val="single" w:sz="4" w:space="0" w:color="auto"/>
            </w:tcBorders>
            <w:vAlign w:val="center"/>
          </w:tcPr>
          <w:p w14:paraId="2FF6A7D8" w14:textId="77777777" w:rsidR="007C06AB"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7C06AB" w14:paraId="30073BD8" w14:textId="77777777">
        <w:trPr>
          <w:gridAfter w:val="1"/>
          <w:wAfter w:w="5" w:type="pct"/>
          <w:cantSplit/>
          <w:trHeight w:val="1600"/>
        </w:trPr>
        <w:tc>
          <w:tcPr>
            <w:tcW w:w="390" w:type="pct"/>
            <w:vMerge w:val="restart"/>
            <w:tcBorders>
              <w:top w:val="single" w:sz="4" w:space="0" w:color="auto"/>
              <w:left w:val="single" w:sz="4" w:space="0" w:color="auto"/>
              <w:bottom w:val="single" w:sz="4" w:space="0" w:color="auto"/>
              <w:right w:val="single" w:sz="4" w:space="0" w:color="auto"/>
            </w:tcBorders>
            <w:vAlign w:val="center"/>
          </w:tcPr>
          <w:p w14:paraId="0B85227A"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整体绩效目标实现情况（60）</w:t>
            </w:r>
          </w:p>
        </w:tc>
        <w:tc>
          <w:tcPr>
            <w:tcW w:w="346" w:type="pct"/>
            <w:vMerge w:val="restart"/>
            <w:tcBorders>
              <w:top w:val="single" w:sz="4" w:space="0" w:color="auto"/>
              <w:left w:val="nil"/>
              <w:bottom w:val="single" w:sz="4" w:space="0" w:color="auto"/>
              <w:right w:val="single" w:sz="4" w:space="0" w:color="auto"/>
            </w:tcBorders>
            <w:vAlign w:val="center"/>
          </w:tcPr>
          <w:p w14:paraId="0D886B87" w14:textId="77777777" w:rsidR="007C06AB" w:rsidRDefault="007C06AB">
            <w:pPr>
              <w:widowControl/>
              <w:jc w:val="center"/>
              <w:rPr>
                <w:rFonts w:ascii="宋体" w:hAnsi="宋体" w:cs="宋体"/>
                <w:color w:val="000000"/>
                <w:kern w:val="0"/>
                <w:sz w:val="20"/>
                <w:szCs w:val="20"/>
              </w:rPr>
            </w:pPr>
          </w:p>
          <w:p w14:paraId="4591DF47" w14:textId="77777777" w:rsidR="007C06AB"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产出（30）</w:t>
            </w:r>
          </w:p>
        </w:tc>
        <w:tc>
          <w:tcPr>
            <w:tcW w:w="374" w:type="pct"/>
            <w:tcBorders>
              <w:top w:val="single" w:sz="4" w:space="0" w:color="auto"/>
              <w:left w:val="nil"/>
              <w:bottom w:val="single" w:sz="4" w:space="0" w:color="auto"/>
              <w:right w:val="single" w:sz="4" w:space="0" w:color="auto"/>
            </w:tcBorders>
            <w:vAlign w:val="center"/>
          </w:tcPr>
          <w:p w14:paraId="082F7A57" w14:textId="77777777" w:rsidR="007C06AB"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产出数量</w:t>
            </w:r>
          </w:p>
        </w:tc>
        <w:tc>
          <w:tcPr>
            <w:tcW w:w="422" w:type="pct"/>
            <w:tcBorders>
              <w:top w:val="single" w:sz="4" w:space="0" w:color="auto"/>
              <w:left w:val="nil"/>
              <w:bottom w:val="single" w:sz="4" w:space="0" w:color="auto"/>
              <w:right w:val="single" w:sz="4" w:space="0" w:color="auto"/>
            </w:tcBorders>
            <w:vAlign w:val="center"/>
          </w:tcPr>
          <w:p w14:paraId="20752364" w14:textId="11EAEE47" w:rsidR="007C06AB" w:rsidRDefault="00946CF5">
            <w:pPr>
              <w:jc w:val="left"/>
              <w:rPr>
                <w:rFonts w:ascii="宋体" w:hAnsi="宋体" w:cs="宋体"/>
                <w:color w:val="000000"/>
                <w:kern w:val="0"/>
                <w:sz w:val="20"/>
                <w:szCs w:val="20"/>
              </w:rPr>
            </w:pPr>
            <w:r>
              <w:rPr>
                <w:rFonts w:ascii="宋体" w:hAnsi="宋体" w:cs="宋体" w:hint="eastAsia"/>
                <w:color w:val="000000"/>
                <w:kern w:val="0"/>
                <w:sz w:val="20"/>
                <w:szCs w:val="20"/>
              </w:rPr>
              <w:t>22个</w:t>
            </w:r>
            <w:r w:rsidR="00000000">
              <w:rPr>
                <w:rFonts w:ascii="宋体" w:hAnsi="宋体" w:cs="宋体" w:hint="eastAsia"/>
                <w:color w:val="000000"/>
                <w:kern w:val="0"/>
                <w:sz w:val="20"/>
                <w:szCs w:val="20"/>
              </w:rPr>
              <w:t>项目</w:t>
            </w:r>
          </w:p>
        </w:tc>
        <w:tc>
          <w:tcPr>
            <w:tcW w:w="1202" w:type="pct"/>
            <w:tcBorders>
              <w:top w:val="single" w:sz="4" w:space="0" w:color="auto"/>
              <w:left w:val="nil"/>
              <w:bottom w:val="single" w:sz="4" w:space="0" w:color="auto"/>
              <w:right w:val="single" w:sz="4" w:space="0" w:color="auto"/>
            </w:tcBorders>
            <w:vAlign w:val="center"/>
          </w:tcPr>
          <w:p w14:paraId="48DB6741" w14:textId="018680A3"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实际完成</w:t>
            </w:r>
            <w:r w:rsidR="00946CF5">
              <w:rPr>
                <w:rFonts w:ascii="宋体" w:hAnsi="宋体" w:cs="宋体" w:hint="eastAsia"/>
                <w:color w:val="000000"/>
                <w:kern w:val="0"/>
                <w:sz w:val="20"/>
                <w:szCs w:val="20"/>
              </w:rPr>
              <w:t>22个</w:t>
            </w:r>
            <w:r>
              <w:rPr>
                <w:rFonts w:ascii="宋体" w:hAnsi="宋体" w:cs="宋体" w:hint="eastAsia"/>
                <w:color w:val="000000"/>
                <w:kern w:val="0"/>
                <w:sz w:val="20"/>
                <w:szCs w:val="20"/>
              </w:rPr>
              <w:t>项目</w:t>
            </w:r>
          </w:p>
        </w:tc>
        <w:tc>
          <w:tcPr>
            <w:tcW w:w="247" w:type="pct"/>
            <w:tcBorders>
              <w:top w:val="single" w:sz="4" w:space="0" w:color="auto"/>
              <w:left w:val="nil"/>
              <w:bottom w:val="single" w:sz="4" w:space="0" w:color="auto"/>
              <w:right w:val="single" w:sz="4" w:space="0" w:color="auto"/>
            </w:tcBorders>
            <w:vAlign w:val="center"/>
          </w:tcPr>
          <w:p w14:paraId="2414FDBC" w14:textId="77777777" w:rsidR="007C06AB" w:rsidRDefault="007C06AB">
            <w:pPr>
              <w:widowControl/>
              <w:jc w:val="center"/>
              <w:rPr>
                <w:rFonts w:ascii="宋体" w:hAnsi="宋体" w:cs="宋体"/>
                <w:color w:val="000000"/>
                <w:kern w:val="0"/>
                <w:sz w:val="20"/>
                <w:szCs w:val="20"/>
              </w:rPr>
            </w:pPr>
          </w:p>
          <w:p w14:paraId="5456D5F6" w14:textId="77777777" w:rsidR="007C06AB"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273" w:type="pct"/>
            <w:tcBorders>
              <w:top w:val="single" w:sz="4" w:space="0" w:color="auto"/>
              <w:left w:val="nil"/>
              <w:bottom w:val="single" w:sz="4" w:space="0" w:color="auto"/>
              <w:right w:val="nil"/>
            </w:tcBorders>
            <w:vAlign w:val="center"/>
          </w:tcPr>
          <w:p w14:paraId="225B0ED8" w14:textId="77777777" w:rsidR="007C06AB" w:rsidRDefault="007C06AB">
            <w:pPr>
              <w:widowControl/>
              <w:jc w:val="center"/>
              <w:rPr>
                <w:rFonts w:ascii="宋体" w:hAnsi="宋体" w:cs="宋体"/>
                <w:color w:val="000000"/>
                <w:kern w:val="0"/>
                <w:sz w:val="20"/>
                <w:szCs w:val="20"/>
              </w:rPr>
            </w:pPr>
          </w:p>
          <w:p w14:paraId="1A552B18" w14:textId="77777777" w:rsidR="007C06AB" w:rsidRDefault="00000000">
            <w:pPr>
              <w:jc w:val="center"/>
              <w:rPr>
                <w:rFonts w:ascii="宋体" w:hAnsi="宋体" w:cs="宋体"/>
                <w:color w:val="000000"/>
                <w:kern w:val="0"/>
                <w:sz w:val="20"/>
                <w:szCs w:val="20"/>
              </w:rPr>
            </w:pPr>
            <w:r>
              <w:rPr>
                <w:rFonts w:ascii="宋体" w:hAnsi="宋体" w:cs="宋体" w:hint="eastAsia"/>
                <w:color w:val="000000"/>
                <w:kern w:val="0"/>
                <w:sz w:val="20"/>
                <w:szCs w:val="20"/>
              </w:rPr>
              <w:t xml:space="preserve">8　</w:t>
            </w:r>
          </w:p>
        </w:tc>
        <w:tc>
          <w:tcPr>
            <w:tcW w:w="1147" w:type="pct"/>
            <w:vMerge w:val="restart"/>
            <w:tcBorders>
              <w:top w:val="single" w:sz="4" w:space="0" w:color="auto"/>
              <w:left w:val="single" w:sz="4" w:space="0" w:color="auto"/>
              <w:bottom w:val="single" w:sz="4" w:space="0" w:color="auto"/>
              <w:right w:val="single" w:sz="4" w:space="0" w:color="auto"/>
            </w:tcBorders>
            <w:vAlign w:val="center"/>
          </w:tcPr>
          <w:p w14:paraId="5062FB27" w14:textId="77777777" w:rsidR="007C06AB" w:rsidRDefault="0000000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产出数量</w:t>
            </w:r>
            <w:r>
              <w:rPr>
                <w:rFonts w:ascii="宋体" w:hAnsi="宋体" w:cs="宋体" w:hint="eastAsia"/>
                <w:color w:val="000000"/>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ascii="宋体" w:hAnsi="宋体" w:cs="宋体" w:hint="eastAsia"/>
                <w:b/>
                <w:bCs/>
                <w:color w:val="000000"/>
                <w:kern w:val="0"/>
                <w:sz w:val="18"/>
                <w:szCs w:val="18"/>
              </w:rPr>
              <w:t>产出质量</w:t>
            </w:r>
            <w:r>
              <w:rPr>
                <w:rFonts w:ascii="宋体" w:hAnsi="宋体" w:cs="宋体" w:hint="eastAsia"/>
                <w:color w:val="000000"/>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ascii="宋体" w:hAnsi="宋体" w:cs="宋体" w:hint="eastAsia"/>
                <w:b/>
                <w:bCs/>
                <w:color w:val="000000"/>
                <w:kern w:val="0"/>
                <w:sz w:val="18"/>
                <w:szCs w:val="18"/>
              </w:rPr>
              <w:t>产出进度：</w:t>
            </w:r>
            <w:r>
              <w:rPr>
                <w:rFonts w:ascii="宋体" w:hAnsi="宋体" w:cs="宋体" w:hint="eastAsia"/>
                <w:color w:val="000000"/>
                <w:kern w:val="0"/>
                <w:sz w:val="18"/>
                <w:szCs w:val="18"/>
              </w:rPr>
              <w:t>按时完成率=（按时完成工作数/实际完成工作数）×100%。按时完成工作数：部门（单位）按照整体绩效目标确定的时限实际完成的工作任务数量。</w:t>
            </w:r>
            <w:r>
              <w:rPr>
                <w:rFonts w:ascii="宋体" w:hAnsi="宋体" w:cs="宋体" w:hint="eastAsia"/>
                <w:b/>
                <w:bCs/>
                <w:color w:val="000000"/>
                <w:kern w:val="0"/>
                <w:sz w:val="18"/>
                <w:szCs w:val="18"/>
              </w:rPr>
              <w:t>产出成本</w:t>
            </w:r>
            <w:r>
              <w:rPr>
                <w:rFonts w:ascii="宋体" w:hAnsi="宋体" w:cs="宋体" w:hint="eastAsia"/>
                <w:color w:val="000000"/>
                <w:kern w:val="0"/>
                <w:sz w:val="18"/>
                <w:szCs w:val="18"/>
              </w:rPr>
              <w:t>：单位产出相对于上一年度的节约额；②单位产出相对于市场同类产出的节约额；③部门公用经费的控制情况。</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0049F34B" w14:textId="77777777" w:rsidR="007C06AB"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rsidR="007C06AB" w14:paraId="0BD48EF7" w14:textId="77777777">
        <w:trPr>
          <w:gridAfter w:val="1"/>
          <w:wAfter w:w="5" w:type="pct"/>
          <w:cantSplit/>
          <w:trHeight w:val="1838"/>
        </w:trPr>
        <w:tc>
          <w:tcPr>
            <w:tcW w:w="390" w:type="pct"/>
            <w:vMerge/>
            <w:tcBorders>
              <w:top w:val="single" w:sz="4" w:space="0" w:color="auto"/>
              <w:left w:val="single" w:sz="4" w:space="0" w:color="auto"/>
              <w:bottom w:val="single" w:sz="4" w:space="0" w:color="auto"/>
              <w:right w:val="single" w:sz="4" w:space="0" w:color="auto"/>
            </w:tcBorders>
            <w:vAlign w:val="center"/>
          </w:tcPr>
          <w:p w14:paraId="208F9EC5" w14:textId="77777777" w:rsidR="007C06AB" w:rsidRDefault="007C06AB">
            <w:pPr>
              <w:widowControl/>
              <w:jc w:val="left"/>
              <w:rPr>
                <w:rFonts w:ascii="宋体" w:hAnsi="宋体" w:cs="宋体"/>
                <w:color w:val="000000"/>
                <w:kern w:val="0"/>
                <w:sz w:val="20"/>
                <w:szCs w:val="20"/>
              </w:rPr>
            </w:pPr>
          </w:p>
        </w:tc>
        <w:tc>
          <w:tcPr>
            <w:tcW w:w="346" w:type="pct"/>
            <w:vMerge/>
            <w:tcBorders>
              <w:top w:val="single" w:sz="4" w:space="0" w:color="auto"/>
              <w:left w:val="single" w:sz="4" w:space="0" w:color="auto"/>
              <w:bottom w:val="single" w:sz="4" w:space="0" w:color="auto"/>
              <w:right w:val="single" w:sz="4" w:space="0" w:color="auto"/>
            </w:tcBorders>
            <w:vAlign w:val="center"/>
          </w:tcPr>
          <w:p w14:paraId="40CAB080" w14:textId="77777777" w:rsidR="007C06AB" w:rsidRDefault="007C06AB">
            <w:pPr>
              <w:widowControl/>
              <w:jc w:val="left"/>
              <w:rPr>
                <w:rFonts w:ascii="宋体" w:hAnsi="宋体" w:cs="宋体"/>
                <w:color w:val="000000"/>
                <w:kern w:val="0"/>
                <w:sz w:val="20"/>
                <w:szCs w:val="20"/>
              </w:rPr>
            </w:pPr>
          </w:p>
        </w:tc>
        <w:tc>
          <w:tcPr>
            <w:tcW w:w="374" w:type="pct"/>
            <w:tcBorders>
              <w:top w:val="single" w:sz="4" w:space="0" w:color="auto"/>
              <w:left w:val="nil"/>
              <w:bottom w:val="single" w:sz="4" w:space="0" w:color="auto"/>
              <w:right w:val="single" w:sz="4" w:space="0" w:color="auto"/>
            </w:tcBorders>
            <w:vAlign w:val="center"/>
          </w:tcPr>
          <w:p w14:paraId="3AE1FC89"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产出质量</w:t>
            </w:r>
          </w:p>
        </w:tc>
        <w:tc>
          <w:tcPr>
            <w:tcW w:w="422" w:type="pct"/>
            <w:tcBorders>
              <w:top w:val="single" w:sz="4" w:space="0" w:color="auto"/>
              <w:left w:val="nil"/>
              <w:bottom w:val="single" w:sz="4" w:space="0" w:color="auto"/>
              <w:right w:val="single" w:sz="4" w:space="0" w:color="auto"/>
            </w:tcBorders>
            <w:vAlign w:val="center"/>
          </w:tcPr>
          <w:p w14:paraId="0AA1EC0A" w14:textId="77777777" w:rsidR="007C06AB"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质量达标率1</w:t>
            </w:r>
            <w:r>
              <w:rPr>
                <w:rFonts w:ascii="宋体" w:hAnsi="宋体" w:cs="宋体"/>
                <w:color w:val="000000"/>
                <w:kern w:val="0"/>
                <w:sz w:val="20"/>
                <w:szCs w:val="20"/>
              </w:rPr>
              <w:t>00</w:t>
            </w:r>
            <w:r>
              <w:rPr>
                <w:rFonts w:ascii="宋体" w:hAnsi="宋体" w:cs="宋体" w:hint="eastAsia"/>
                <w:color w:val="000000"/>
                <w:kern w:val="0"/>
                <w:sz w:val="20"/>
                <w:szCs w:val="20"/>
              </w:rPr>
              <w:t>%</w:t>
            </w:r>
          </w:p>
        </w:tc>
        <w:tc>
          <w:tcPr>
            <w:tcW w:w="1202" w:type="pct"/>
            <w:tcBorders>
              <w:top w:val="single" w:sz="4" w:space="0" w:color="auto"/>
              <w:left w:val="nil"/>
              <w:bottom w:val="single" w:sz="4" w:space="0" w:color="auto"/>
              <w:right w:val="single" w:sz="4" w:space="0" w:color="auto"/>
            </w:tcBorders>
            <w:vAlign w:val="center"/>
          </w:tcPr>
          <w:p w14:paraId="00E8EE10" w14:textId="76931998"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　</w:t>
            </w:r>
            <w:r w:rsidR="00946CF5">
              <w:rPr>
                <w:rFonts w:ascii="宋体" w:hAnsi="宋体" w:cs="宋体" w:hint="eastAsia"/>
                <w:color w:val="000000"/>
                <w:kern w:val="0"/>
                <w:sz w:val="20"/>
                <w:szCs w:val="20"/>
              </w:rPr>
              <w:t>22个</w:t>
            </w:r>
            <w:r>
              <w:rPr>
                <w:rFonts w:ascii="宋体" w:hAnsi="宋体" w:cs="宋体" w:hint="eastAsia"/>
                <w:color w:val="000000"/>
                <w:kern w:val="0"/>
                <w:sz w:val="20"/>
                <w:szCs w:val="20"/>
              </w:rPr>
              <w:t>项目质量全部达标。</w:t>
            </w:r>
          </w:p>
        </w:tc>
        <w:tc>
          <w:tcPr>
            <w:tcW w:w="247" w:type="pct"/>
            <w:tcBorders>
              <w:top w:val="single" w:sz="4" w:space="0" w:color="auto"/>
              <w:left w:val="single" w:sz="4" w:space="0" w:color="auto"/>
              <w:bottom w:val="single" w:sz="4" w:space="0" w:color="auto"/>
              <w:right w:val="single" w:sz="4" w:space="0" w:color="auto"/>
            </w:tcBorders>
            <w:vAlign w:val="center"/>
          </w:tcPr>
          <w:p w14:paraId="030198A9"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273" w:type="pct"/>
            <w:tcBorders>
              <w:top w:val="single" w:sz="4" w:space="0" w:color="auto"/>
              <w:left w:val="nil"/>
              <w:bottom w:val="single" w:sz="4" w:space="0" w:color="auto"/>
              <w:right w:val="nil"/>
            </w:tcBorders>
            <w:noWrap/>
            <w:vAlign w:val="center"/>
          </w:tcPr>
          <w:p w14:paraId="6F4A2B63"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8　</w:t>
            </w:r>
          </w:p>
        </w:tc>
        <w:tc>
          <w:tcPr>
            <w:tcW w:w="1147" w:type="pct"/>
            <w:vMerge/>
            <w:tcBorders>
              <w:top w:val="nil"/>
              <w:left w:val="single" w:sz="4" w:space="0" w:color="auto"/>
              <w:bottom w:val="single" w:sz="4" w:space="0" w:color="auto"/>
              <w:right w:val="single" w:sz="4" w:space="0" w:color="auto"/>
            </w:tcBorders>
            <w:vAlign w:val="center"/>
          </w:tcPr>
          <w:p w14:paraId="0B6F6FD0" w14:textId="77777777" w:rsidR="007C06AB" w:rsidRDefault="007C06AB">
            <w:pPr>
              <w:widowControl/>
              <w:jc w:val="left"/>
              <w:rPr>
                <w:rFonts w:ascii="宋体" w:hAnsi="宋体" w:cs="宋体"/>
                <w:color w:val="000000"/>
                <w:kern w:val="0"/>
                <w:sz w:val="18"/>
                <w:szCs w:val="18"/>
              </w:rPr>
            </w:pPr>
          </w:p>
        </w:tc>
        <w:tc>
          <w:tcPr>
            <w:tcW w:w="594" w:type="pct"/>
            <w:vMerge/>
            <w:tcBorders>
              <w:top w:val="nil"/>
              <w:left w:val="single" w:sz="4" w:space="0" w:color="auto"/>
              <w:bottom w:val="single" w:sz="4" w:space="0" w:color="auto"/>
              <w:right w:val="single" w:sz="4" w:space="0" w:color="auto"/>
            </w:tcBorders>
            <w:vAlign w:val="center"/>
          </w:tcPr>
          <w:p w14:paraId="4D2126A6" w14:textId="77777777" w:rsidR="007C06AB" w:rsidRDefault="007C06AB">
            <w:pPr>
              <w:widowControl/>
              <w:jc w:val="left"/>
              <w:rPr>
                <w:rFonts w:ascii="宋体" w:hAnsi="宋体" w:cs="宋体"/>
                <w:color w:val="000000"/>
                <w:kern w:val="0"/>
                <w:sz w:val="18"/>
                <w:szCs w:val="18"/>
              </w:rPr>
            </w:pPr>
          </w:p>
        </w:tc>
      </w:tr>
      <w:tr w:rsidR="007C06AB" w14:paraId="1A894E77" w14:textId="77777777" w:rsidTr="008F2560">
        <w:trPr>
          <w:gridAfter w:val="1"/>
          <w:wAfter w:w="5" w:type="pct"/>
          <w:cantSplit/>
          <w:trHeight w:val="1357"/>
        </w:trPr>
        <w:tc>
          <w:tcPr>
            <w:tcW w:w="390" w:type="pct"/>
            <w:vMerge/>
            <w:tcBorders>
              <w:top w:val="single" w:sz="4" w:space="0" w:color="auto"/>
              <w:left w:val="single" w:sz="4" w:space="0" w:color="auto"/>
              <w:bottom w:val="single" w:sz="4" w:space="0" w:color="auto"/>
              <w:right w:val="single" w:sz="4" w:space="0" w:color="auto"/>
            </w:tcBorders>
            <w:vAlign w:val="center"/>
          </w:tcPr>
          <w:p w14:paraId="747D5957" w14:textId="77777777" w:rsidR="007C06AB" w:rsidRDefault="007C06AB">
            <w:pPr>
              <w:widowControl/>
              <w:jc w:val="left"/>
              <w:rPr>
                <w:rFonts w:ascii="宋体" w:hAnsi="宋体" w:cs="宋体"/>
                <w:color w:val="000000"/>
                <w:kern w:val="0"/>
                <w:sz w:val="20"/>
                <w:szCs w:val="20"/>
              </w:rPr>
            </w:pPr>
          </w:p>
        </w:tc>
        <w:tc>
          <w:tcPr>
            <w:tcW w:w="346" w:type="pct"/>
            <w:vMerge/>
            <w:tcBorders>
              <w:top w:val="single" w:sz="4" w:space="0" w:color="auto"/>
              <w:left w:val="single" w:sz="4" w:space="0" w:color="auto"/>
              <w:bottom w:val="single" w:sz="4" w:space="0" w:color="auto"/>
              <w:right w:val="single" w:sz="4" w:space="0" w:color="auto"/>
            </w:tcBorders>
            <w:vAlign w:val="center"/>
          </w:tcPr>
          <w:p w14:paraId="07D966FB" w14:textId="77777777" w:rsidR="007C06AB" w:rsidRDefault="007C06AB">
            <w:pPr>
              <w:widowControl/>
              <w:jc w:val="left"/>
              <w:rPr>
                <w:rFonts w:ascii="宋体" w:hAnsi="宋体" w:cs="宋体"/>
                <w:color w:val="000000"/>
                <w:kern w:val="0"/>
                <w:sz w:val="20"/>
                <w:szCs w:val="20"/>
              </w:rPr>
            </w:pPr>
          </w:p>
        </w:tc>
        <w:tc>
          <w:tcPr>
            <w:tcW w:w="374" w:type="pct"/>
            <w:tcBorders>
              <w:top w:val="single" w:sz="4" w:space="0" w:color="auto"/>
              <w:left w:val="nil"/>
              <w:bottom w:val="single" w:sz="4" w:space="0" w:color="auto"/>
              <w:right w:val="single" w:sz="4" w:space="0" w:color="auto"/>
            </w:tcBorders>
            <w:vAlign w:val="center"/>
          </w:tcPr>
          <w:p w14:paraId="3A504EC6"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产出进度</w:t>
            </w:r>
          </w:p>
        </w:tc>
        <w:tc>
          <w:tcPr>
            <w:tcW w:w="422" w:type="pct"/>
            <w:tcBorders>
              <w:top w:val="single" w:sz="4" w:space="0" w:color="auto"/>
              <w:left w:val="nil"/>
              <w:bottom w:val="single" w:sz="4" w:space="0" w:color="auto"/>
              <w:right w:val="single" w:sz="4" w:space="0" w:color="auto"/>
            </w:tcBorders>
            <w:vAlign w:val="center"/>
          </w:tcPr>
          <w:p w14:paraId="35EAE67C" w14:textId="77777777" w:rsidR="007C06AB"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按照规定时限完成</w:t>
            </w:r>
          </w:p>
        </w:tc>
        <w:tc>
          <w:tcPr>
            <w:tcW w:w="1202" w:type="pct"/>
            <w:tcBorders>
              <w:top w:val="single" w:sz="4" w:space="0" w:color="auto"/>
              <w:left w:val="nil"/>
              <w:bottom w:val="single" w:sz="4" w:space="0" w:color="auto"/>
              <w:right w:val="single" w:sz="4" w:space="0" w:color="auto"/>
            </w:tcBorders>
            <w:vAlign w:val="center"/>
          </w:tcPr>
          <w:p w14:paraId="0F98F3BF" w14:textId="2A6CE575" w:rsidR="007C06AB" w:rsidRDefault="00000000">
            <w:pPr>
              <w:widowControl/>
              <w:jc w:val="left"/>
              <w:rPr>
                <w:rFonts w:ascii="宋体" w:hAnsi="宋体" w:cs="宋体"/>
                <w:color w:val="000000"/>
                <w:kern w:val="0"/>
                <w:sz w:val="20"/>
                <w:szCs w:val="20"/>
              </w:rPr>
            </w:pPr>
            <w:proofErr w:type="gramStart"/>
            <w:r>
              <w:rPr>
                <w:rFonts w:ascii="宋体" w:hAnsi="宋体" w:cs="宋体" w:hint="eastAsia"/>
                <w:color w:val="000000"/>
                <w:kern w:val="0"/>
                <w:sz w:val="20"/>
                <w:szCs w:val="20"/>
              </w:rPr>
              <w:t>大兴区</w:t>
            </w:r>
            <w:proofErr w:type="gramEnd"/>
            <w:r>
              <w:rPr>
                <w:rFonts w:ascii="宋体" w:hAnsi="宋体" w:cs="宋体" w:hint="eastAsia"/>
                <w:color w:val="000000"/>
                <w:kern w:val="0"/>
                <w:sz w:val="20"/>
                <w:szCs w:val="20"/>
              </w:rPr>
              <w:t>人民法院2022年度人员经费均按月及时发放，日常公用支出以及</w:t>
            </w:r>
            <w:r w:rsidR="00946CF5">
              <w:rPr>
                <w:rFonts w:ascii="宋体" w:hAnsi="宋体" w:cs="宋体" w:hint="eastAsia"/>
                <w:color w:val="000000"/>
                <w:kern w:val="0"/>
                <w:sz w:val="20"/>
                <w:szCs w:val="20"/>
              </w:rPr>
              <w:t>22个</w:t>
            </w:r>
            <w:r>
              <w:rPr>
                <w:rFonts w:ascii="宋体" w:hAnsi="宋体" w:cs="宋体" w:hint="eastAsia"/>
                <w:color w:val="000000"/>
                <w:kern w:val="0"/>
                <w:sz w:val="20"/>
                <w:szCs w:val="20"/>
              </w:rPr>
              <w:t>项目均已按时完成。</w:t>
            </w:r>
          </w:p>
        </w:tc>
        <w:tc>
          <w:tcPr>
            <w:tcW w:w="247" w:type="pct"/>
            <w:tcBorders>
              <w:top w:val="single" w:sz="4" w:space="0" w:color="auto"/>
              <w:left w:val="single" w:sz="4" w:space="0" w:color="auto"/>
              <w:bottom w:val="single" w:sz="4" w:space="0" w:color="auto"/>
              <w:right w:val="single" w:sz="4" w:space="0" w:color="auto"/>
            </w:tcBorders>
            <w:vAlign w:val="center"/>
          </w:tcPr>
          <w:p w14:paraId="79CBB1E9"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273" w:type="pct"/>
            <w:tcBorders>
              <w:top w:val="single" w:sz="4" w:space="0" w:color="auto"/>
              <w:left w:val="nil"/>
              <w:bottom w:val="single" w:sz="4" w:space="0" w:color="auto"/>
              <w:right w:val="nil"/>
            </w:tcBorders>
            <w:noWrap/>
            <w:vAlign w:val="center"/>
          </w:tcPr>
          <w:p w14:paraId="16753B72"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8　</w:t>
            </w:r>
          </w:p>
        </w:tc>
        <w:tc>
          <w:tcPr>
            <w:tcW w:w="1147" w:type="pct"/>
            <w:vMerge/>
            <w:tcBorders>
              <w:top w:val="nil"/>
              <w:left w:val="single" w:sz="4" w:space="0" w:color="auto"/>
              <w:bottom w:val="single" w:sz="4" w:space="0" w:color="auto"/>
              <w:right w:val="single" w:sz="4" w:space="0" w:color="auto"/>
            </w:tcBorders>
            <w:vAlign w:val="center"/>
          </w:tcPr>
          <w:p w14:paraId="2A764B5F" w14:textId="77777777" w:rsidR="007C06AB" w:rsidRDefault="007C06AB">
            <w:pPr>
              <w:widowControl/>
              <w:jc w:val="left"/>
              <w:rPr>
                <w:rFonts w:ascii="宋体" w:hAnsi="宋体" w:cs="宋体"/>
                <w:color w:val="000000"/>
                <w:kern w:val="0"/>
                <w:sz w:val="18"/>
                <w:szCs w:val="18"/>
              </w:rPr>
            </w:pPr>
          </w:p>
        </w:tc>
        <w:tc>
          <w:tcPr>
            <w:tcW w:w="594" w:type="pct"/>
            <w:vMerge/>
            <w:tcBorders>
              <w:top w:val="nil"/>
              <w:left w:val="single" w:sz="4" w:space="0" w:color="auto"/>
              <w:bottom w:val="single" w:sz="4" w:space="0" w:color="auto"/>
              <w:right w:val="single" w:sz="4" w:space="0" w:color="auto"/>
            </w:tcBorders>
            <w:vAlign w:val="center"/>
          </w:tcPr>
          <w:p w14:paraId="173655E1" w14:textId="77777777" w:rsidR="007C06AB" w:rsidRDefault="007C06AB">
            <w:pPr>
              <w:widowControl/>
              <w:jc w:val="left"/>
              <w:rPr>
                <w:rFonts w:ascii="宋体" w:hAnsi="宋体" w:cs="宋体"/>
                <w:color w:val="000000"/>
                <w:kern w:val="0"/>
                <w:sz w:val="18"/>
                <w:szCs w:val="18"/>
              </w:rPr>
            </w:pPr>
          </w:p>
        </w:tc>
      </w:tr>
      <w:tr w:rsidR="007C06AB" w14:paraId="7A692D16" w14:textId="77777777">
        <w:trPr>
          <w:gridAfter w:val="1"/>
          <w:wAfter w:w="5" w:type="pct"/>
          <w:cantSplit/>
          <w:trHeight w:val="2681"/>
        </w:trPr>
        <w:tc>
          <w:tcPr>
            <w:tcW w:w="390" w:type="pct"/>
            <w:vMerge/>
            <w:tcBorders>
              <w:top w:val="single" w:sz="4" w:space="0" w:color="auto"/>
              <w:left w:val="single" w:sz="4" w:space="0" w:color="auto"/>
              <w:bottom w:val="single" w:sz="4" w:space="0" w:color="auto"/>
              <w:right w:val="single" w:sz="4" w:space="0" w:color="auto"/>
            </w:tcBorders>
            <w:vAlign w:val="center"/>
          </w:tcPr>
          <w:p w14:paraId="2093E7C6" w14:textId="77777777" w:rsidR="007C06AB" w:rsidRDefault="007C06AB">
            <w:pPr>
              <w:widowControl/>
              <w:jc w:val="left"/>
              <w:rPr>
                <w:rFonts w:ascii="宋体" w:hAnsi="宋体" w:cs="宋体"/>
                <w:color w:val="000000"/>
                <w:kern w:val="0"/>
                <w:sz w:val="20"/>
                <w:szCs w:val="20"/>
              </w:rPr>
            </w:pPr>
          </w:p>
        </w:tc>
        <w:tc>
          <w:tcPr>
            <w:tcW w:w="346" w:type="pct"/>
            <w:vMerge/>
            <w:tcBorders>
              <w:top w:val="single" w:sz="4" w:space="0" w:color="auto"/>
              <w:left w:val="single" w:sz="4" w:space="0" w:color="auto"/>
              <w:bottom w:val="single" w:sz="4" w:space="0" w:color="auto"/>
              <w:right w:val="single" w:sz="4" w:space="0" w:color="auto"/>
            </w:tcBorders>
            <w:vAlign w:val="center"/>
          </w:tcPr>
          <w:p w14:paraId="652F67C6" w14:textId="77777777" w:rsidR="007C06AB" w:rsidRDefault="007C06AB">
            <w:pPr>
              <w:widowControl/>
              <w:jc w:val="left"/>
              <w:rPr>
                <w:rFonts w:ascii="宋体" w:hAnsi="宋体" w:cs="宋体"/>
                <w:color w:val="000000"/>
                <w:kern w:val="0"/>
                <w:sz w:val="20"/>
                <w:szCs w:val="20"/>
              </w:rPr>
            </w:pPr>
          </w:p>
        </w:tc>
        <w:tc>
          <w:tcPr>
            <w:tcW w:w="374" w:type="pct"/>
            <w:tcBorders>
              <w:top w:val="single" w:sz="4" w:space="0" w:color="auto"/>
              <w:left w:val="nil"/>
              <w:bottom w:val="single" w:sz="4" w:space="0" w:color="auto"/>
              <w:right w:val="single" w:sz="4" w:space="0" w:color="auto"/>
            </w:tcBorders>
            <w:vAlign w:val="center"/>
          </w:tcPr>
          <w:p w14:paraId="66AD16C1" w14:textId="77777777" w:rsidR="007C06AB" w:rsidRDefault="00000000">
            <w:pPr>
              <w:widowControl/>
              <w:jc w:val="center"/>
            </w:pPr>
            <w:r>
              <w:rPr>
                <w:rFonts w:hint="eastAsia"/>
              </w:rPr>
              <w:t>产出成本</w:t>
            </w:r>
          </w:p>
        </w:tc>
        <w:tc>
          <w:tcPr>
            <w:tcW w:w="422" w:type="pct"/>
            <w:tcBorders>
              <w:top w:val="single" w:sz="4" w:space="0" w:color="auto"/>
              <w:left w:val="nil"/>
              <w:bottom w:val="single" w:sz="4" w:space="0" w:color="auto"/>
              <w:right w:val="single" w:sz="4" w:space="0" w:color="auto"/>
            </w:tcBorders>
            <w:vAlign w:val="center"/>
          </w:tcPr>
          <w:p w14:paraId="194EE5AC" w14:textId="77777777" w:rsidR="007C06AB"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单位产出相对于上一年度的节约额；部门公用经费的控制情况</w:t>
            </w:r>
          </w:p>
        </w:tc>
        <w:tc>
          <w:tcPr>
            <w:tcW w:w="1202" w:type="pct"/>
            <w:tcBorders>
              <w:top w:val="single" w:sz="4" w:space="0" w:color="auto"/>
              <w:left w:val="nil"/>
              <w:bottom w:val="single" w:sz="4" w:space="0" w:color="auto"/>
              <w:right w:val="single" w:sz="4" w:space="0" w:color="auto"/>
            </w:tcBorders>
            <w:vAlign w:val="center"/>
          </w:tcPr>
          <w:p w14:paraId="02CDBF1F" w14:textId="77777777" w:rsidR="007C06AB"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2022年“三公”经费财政拨款决算数82.17万元，比2021年决算数102.47万元减少20.3万元；2022年培训费支出0.62万元，比2021年决算4.56万元减少3.94万元。</w:t>
            </w:r>
          </w:p>
        </w:tc>
        <w:tc>
          <w:tcPr>
            <w:tcW w:w="247" w:type="pct"/>
            <w:tcBorders>
              <w:top w:val="single" w:sz="4" w:space="0" w:color="auto"/>
              <w:left w:val="single" w:sz="4" w:space="0" w:color="auto"/>
              <w:bottom w:val="single" w:sz="4" w:space="0" w:color="auto"/>
              <w:right w:val="single" w:sz="4" w:space="0" w:color="auto"/>
            </w:tcBorders>
            <w:vAlign w:val="center"/>
          </w:tcPr>
          <w:p w14:paraId="2A29AE41"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273" w:type="pct"/>
            <w:tcBorders>
              <w:top w:val="single" w:sz="4" w:space="0" w:color="auto"/>
              <w:left w:val="nil"/>
              <w:bottom w:val="single" w:sz="4" w:space="0" w:color="auto"/>
              <w:right w:val="nil"/>
            </w:tcBorders>
            <w:noWrap/>
            <w:vAlign w:val="center"/>
          </w:tcPr>
          <w:p w14:paraId="1C0EAA9E"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1147" w:type="pct"/>
            <w:vMerge/>
            <w:tcBorders>
              <w:top w:val="nil"/>
              <w:left w:val="single" w:sz="4" w:space="0" w:color="auto"/>
              <w:bottom w:val="single" w:sz="4" w:space="0" w:color="auto"/>
              <w:right w:val="single" w:sz="4" w:space="0" w:color="auto"/>
            </w:tcBorders>
            <w:vAlign w:val="center"/>
          </w:tcPr>
          <w:p w14:paraId="79B41FF3" w14:textId="77777777" w:rsidR="007C06AB" w:rsidRDefault="007C06AB">
            <w:pPr>
              <w:widowControl/>
              <w:jc w:val="left"/>
              <w:rPr>
                <w:rFonts w:ascii="宋体" w:hAnsi="宋体" w:cs="宋体"/>
                <w:color w:val="000000"/>
                <w:kern w:val="0"/>
                <w:sz w:val="18"/>
                <w:szCs w:val="18"/>
              </w:rPr>
            </w:pPr>
          </w:p>
        </w:tc>
        <w:tc>
          <w:tcPr>
            <w:tcW w:w="594" w:type="pct"/>
            <w:vMerge/>
            <w:tcBorders>
              <w:top w:val="nil"/>
              <w:left w:val="single" w:sz="4" w:space="0" w:color="auto"/>
              <w:bottom w:val="single" w:sz="4" w:space="0" w:color="auto"/>
              <w:right w:val="single" w:sz="4" w:space="0" w:color="auto"/>
            </w:tcBorders>
            <w:vAlign w:val="center"/>
          </w:tcPr>
          <w:p w14:paraId="0E3AA218" w14:textId="77777777" w:rsidR="007C06AB" w:rsidRDefault="007C06AB">
            <w:pPr>
              <w:widowControl/>
              <w:jc w:val="left"/>
              <w:rPr>
                <w:rFonts w:ascii="宋体" w:hAnsi="宋体" w:cs="宋体"/>
                <w:color w:val="000000"/>
                <w:kern w:val="0"/>
                <w:sz w:val="18"/>
                <w:szCs w:val="18"/>
              </w:rPr>
            </w:pPr>
          </w:p>
        </w:tc>
      </w:tr>
      <w:tr w:rsidR="007C06AB" w14:paraId="7C822A9B" w14:textId="77777777" w:rsidTr="00D85114">
        <w:trPr>
          <w:gridAfter w:val="1"/>
          <w:wAfter w:w="5" w:type="pct"/>
          <w:cantSplit/>
          <w:trHeight w:val="7361"/>
        </w:trPr>
        <w:tc>
          <w:tcPr>
            <w:tcW w:w="390" w:type="pct"/>
            <w:vMerge/>
            <w:tcBorders>
              <w:top w:val="single" w:sz="4" w:space="0" w:color="auto"/>
              <w:left w:val="single" w:sz="4" w:space="0" w:color="auto"/>
              <w:bottom w:val="single" w:sz="4" w:space="0" w:color="auto"/>
              <w:right w:val="single" w:sz="4" w:space="0" w:color="auto"/>
            </w:tcBorders>
            <w:vAlign w:val="center"/>
          </w:tcPr>
          <w:p w14:paraId="2FF391F0" w14:textId="77777777" w:rsidR="007C06AB" w:rsidRDefault="007C06AB">
            <w:pPr>
              <w:widowControl/>
              <w:jc w:val="left"/>
              <w:rPr>
                <w:rFonts w:ascii="宋体" w:hAnsi="宋体" w:cs="宋体"/>
                <w:color w:val="000000"/>
                <w:kern w:val="0"/>
                <w:sz w:val="20"/>
                <w:szCs w:val="20"/>
              </w:rPr>
            </w:pPr>
          </w:p>
        </w:tc>
        <w:tc>
          <w:tcPr>
            <w:tcW w:w="346" w:type="pct"/>
            <w:vMerge w:val="restart"/>
            <w:tcBorders>
              <w:top w:val="single" w:sz="4" w:space="0" w:color="auto"/>
              <w:left w:val="single" w:sz="4" w:space="0" w:color="auto"/>
              <w:bottom w:val="single" w:sz="4" w:space="0" w:color="auto"/>
              <w:right w:val="single" w:sz="4" w:space="0" w:color="auto"/>
            </w:tcBorders>
            <w:vAlign w:val="center"/>
          </w:tcPr>
          <w:p w14:paraId="2E328239"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效果（30）</w:t>
            </w:r>
          </w:p>
        </w:tc>
        <w:tc>
          <w:tcPr>
            <w:tcW w:w="374" w:type="pct"/>
            <w:tcBorders>
              <w:top w:val="single" w:sz="4" w:space="0" w:color="auto"/>
              <w:left w:val="nil"/>
              <w:bottom w:val="single" w:sz="4" w:space="0" w:color="auto"/>
              <w:right w:val="single" w:sz="4" w:space="0" w:color="auto"/>
            </w:tcBorders>
            <w:vAlign w:val="center"/>
          </w:tcPr>
          <w:p w14:paraId="62BA9CF9"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经济效益</w:t>
            </w:r>
          </w:p>
        </w:tc>
        <w:tc>
          <w:tcPr>
            <w:tcW w:w="422" w:type="pct"/>
            <w:tcBorders>
              <w:top w:val="single" w:sz="4" w:space="0" w:color="auto"/>
              <w:left w:val="nil"/>
              <w:bottom w:val="single" w:sz="4" w:space="0" w:color="auto"/>
              <w:right w:val="single" w:sz="4" w:space="0" w:color="auto"/>
            </w:tcBorders>
            <w:vAlign w:val="center"/>
          </w:tcPr>
          <w:p w14:paraId="2C24D540" w14:textId="77777777" w:rsidR="007C06AB"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单位履行职责对经济发展所带来的直接或间接影响</w:t>
            </w:r>
          </w:p>
        </w:tc>
        <w:tc>
          <w:tcPr>
            <w:tcW w:w="1202" w:type="pct"/>
            <w:tcBorders>
              <w:top w:val="single" w:sz="4" w:space="0" w:color="auto"/>
              <w:left w:val="nil"/>
              <w:bottom w:val="single" w:sz="4" w:space="0" w:color="auto"/>
              <w:right w:val="single" w:sz="4" w:space="0" w:color="auto"/>
            </w:tcBorders>
            <w:vAlign w:val="center"/>
          </w:tcPr>
          <w:p w14:paraId="1C15B518" w14:textId="77777777" w:rsidR="007C06AB"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（1）加大追索劳动报酬、交通事故损害赔偿等涉民生案件的执行力度，执</w:t>
            </w:r>
            <w:proofErr w:type="gramStart"/>
            <w:r>
              <w:rPr>
                <w:rFonts w:ascii="宋体" w:hAnsi="宋体" w:cs="宋体" w:hint="eastAsia"/>
                <w:color w:val="000000"/>
                <w:kern w:val="0"/>
                <w:sz w:val="20"/>
                <w:szCs w:val="20"/>
              </w:rPr>
              <w:t>结相关</w:t>
            </w:r>
            <w:proofErr w:type="gramEnd"/>
            <w:r>
              <w:rPr>
                <w:rFonts w:ascii="宋体" w:hAnsi="宋体" w:cs="宋体" w:hint="eastAsia"/>
                <w:color w:val="000000"/>
                <w:kern w:val="0"/>
                <w:sz w:val="20"/>
                <w:szCs w:val="20"/>
              </w:rPr>
              <w:t>案件8947件，执行到位金额超7.10亿元。</w:t>
            </w:r>
          </w:p>
          <w:p w14:paraId="07D12015" w14:textId="77777777" w:rsidR="007C06AB"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（2）加大网络司法拍卖力度，网上拍卖标的物1377件，成交金额4.20亿元。</w:t>
            </w:r>
          </w:p>
        </w:tc>
        <w:tc>
          <w:tcPr>
            <w:tcW w:w="247" w:type="pct"/>
            <w:tcBorders>
              <w:top w:val="single" w:sz="4" w:space="0" w:color="auto"/>
              <w:left w:val="single" w:sz="4" w:space="0" w:color="auto"/>
              <w:bottom w:val="single" w:sz="4" w:space="0" w:color="auto"/>
              <w:right w:val="single" w:sz="4" w:space="0" w:color="auto"/>
            </w:tcBorders>
            <w:noWrap/>
            <w:vAlign w:val="center"/>
          </w:tcPr>
          <w:p w14:paraId="7CC8683E"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273" w:type="pct"/>
            <w:tcBorders>
              <w:top w:val="single" w:sz="4" w:space="0" w:color="auto"/>
              <w:left w:val="nil"/>
              <w:bottom w:val="single" w:sz="4" w:space="0" w:color="auto"/>
              <w:right w:val="nil"/>
            </w:tcBorders>
            <w:noWrap/>
            <w:vAlign w:val="center"/>
          </w:tcPr>
          <w:p w14:paraId="2F540F95"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1147" w:type="pct"/>
            <w:vMerge w:val="restart"/>
            <w:tcBorders>
              <w:top w:val="single" w:sz="4" w:space="0" w:color="auto"/>
              <w:left w:val="single" w:sz="4" w:space="0" w:color="auto"/>
              <w:bottom w:val="single" w:sz="4" w:space="0" w:color="auto"/>
              <w:right w:val="single" w:sz="4" w:space="0" w:color="auto"/>
            </w:tcBorders>
            <w:vAlign w:val="center"/>
          </w:tcPr>
          <w:p w14:paraId="46E680C0" w14:textId="77777777" w:rsidR="007C06AB" w:rsidRDefault="0000000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经济效益</w:t>
            </w:r>
            <w:r>
              <w:rPr>
                <w:rFonts w:ascii="宋体" w:hAnsi="宋体" w:cs="宋体" w:hint="eastAsia"/>
                <w:color w:val="000000"/>
                <w:kern w:val="0"/>
                <w:sz w:val="18"/>
                <w:szCs w:val="18"/>
              </w:rPr>
              <w:t>：部门（单位）履行职责对经济发展所带来的直接或间接影响。</w:t>
            </w:r>
            <w:r>
              <w:rPr>
                <w:rFonts w:ascii="宋体" w:hAnsi="宋体" w:cs="宋体" w:hint="eastAsia"/>
                <w:b/>
                <w:bCs/>
                <w:color w:val="000000"/>
                <w:kern w:val="0"/>
                <w:sz w:val="18"/>
                <w:szCs w:val="18"/>
              </w:rPr>
              <w:t>社会效益</w:t>
            </w:r>
            <w:r>
              <w:rPr>
                <w:rFonts w:ascii="宋体" w:hAnsi="宋体" w:cs="宋体" w:hint="eastAsia"/>
                <w:color w:val="000000"/>
                <w:kern w:val="0"/>
                <w:sz w:val="18"/>
                <w:szCs w:val="18"/>
              </w:rPr>
              <w:t>：部门（单位）履行职责对社会发展所带来的直接或间接影响。</w:t>
            </w:r>
            <w:r>
              <w:rPr>
                <w:rFonts w:ascii="宋体" w:hAnsi="宋体" w:cs="宋体" w:hint="eastAsia"/>
                <w:b/>
                <w:bCs/>
                <w:color w:val="000000"/>
                <w:kern w:val="0"/>
                <w:sz w:val="18"/>
                <w:szCs w:val="18"/>
              </w:rPr>
              <w:t>环境效益</w:t>
            </w:r>
            <w:r>
              <w:rPr>
                <w:rFonts w:ascii="宋体" w:hAnsi="宋体" w:cs="宋体" w:hint="eastAsia"/>
                <w:color w:val="000000"/>
                <w:kern w:val="0"/>
                <w:sz w:val="18"/>
                <w:szCs w:val="18"/>
              </w:rPr>
              <w:t>：部门（单位）履行职责对环境所带来的直接或间接影响。</w:t>
            </w:r>
            <w:r>
              <w:rPr>
                <w:rFonts w:ascii="宋体" w:hAnsi="宋体" w:cs="宋体" w:hint="eastAsia"/>
                <w:b/>
                <w:bCs/>
                <w:color w:val="000000"/>
                <w:kern w:val="0"/>
                <w:sz w:val="18"/>
                <w:szCs w:val="18"/>
              </w:rPr>
              <w:t>可持续性影响：</w:t>
            </w:r>
            <w:r>
              <w:rPr>
                <w:rFonts w:ascii="宋体" w:hAnsi="宋体" w:cs="宋体" w:hint="eastAsia"/>
                <w:color w:val="000000"/>
                <w:kern w:val="0"/>
                <w:sz w:val="18"/>
                <w:szCs w:val="18"/>
              </w:rPr>
              <w:t>部门绩效目标实现的长效机制建设情况，部门工作效率提升措施的创新。</w:t>
            </w:r>
            <w:r>
              <w:rPr>
                <w:rFonts w:ascii="宋体" w:hAnsi="宋体" w:cs="宋体" w:hint="eastAsia"/>
                <w:b/>
                <w:bCs/>
                <w:color w:val="000000"/>
                <w:kern w:val="0"/>
                <w:sz w:val="18"/>
                <w:szCs w:val="18"/>
              </w:rPr>
              <w:t>服务对象满意度</w:t>
            </w:r>
            <w:r>
              <w:rPr>
                <w:rFonts w:ascii="宋体" w:hAnsi="宋体" w:cs="宋体" w:hint="eastAsia"/>
                <w:color w:val="000000"/>
                <w:kern w:val="0"/>
                <w:sz w:val="18"/>
                <w:szCs w:val="18"/>
              </w:rPr>
              <w:t>：部门（单位）的服务对象对部门履职效果的满意程度。</w:t>
            </w:r>
          </w:p>
        </w:tc>
        <w:tc>
          <w:tcPr>
            <w:tcW w:w="594" w:type="pct"/>
            <w:vMerge w:val="restart"/>
            <w:tcBorders>
              <w:top w:val="single" w:sz="4" w:space="0" w:color="auto"/>
              <w:left w:val="single" w:sz="4" w:space="0" w:color="auto"/>
              <w:bottom w:val="single" w:sz="4" w:space="0" w:color="auto"/>
              <w:right w:val="single" w:sz="4" w:space="0" w:color="auto"/>
            </w:tcBorders>
            <w:vAlign w:val="center"/>
          </w:tcPr>
          <w:p w14:paraId="13E61361" w14:textId="77777777" w:rsidR="007C06AB"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部门根据实际情况选择指标进行填写，并将其细化为相应的个性化指标。对于效益类指标可从受益对象瞄准度、受益广度和受益深度上进行设计分析。</w:t>
            </w:r>
          </w:p>
        </w:tc>
      </w:tr>
      <w:tr w:rsidR="007C06AB" w14:paraId="46127E00" w14:textId="77777777">
        <w:trPr>
          <w:gridAfter w:val="1"/>
          <w:wAfter w:w="5" w:type="pct"/>
          <w:cantSplit/>
          <w:trHeight w:val="1173"/>
        </w:trPr>
        <w:tc>
          <w:tcPr>
            <w:tcW w:w="390" w:type="pct"/>
            <w:vMerge/>
            <w:tcBorders>
              <w:top w:val="single" w:sz="4" w:space="0" w:color="auto"/>
              <w:left w:val="single" w:sz="4" w:space="0" w:color="auto"/>
              <w:bottom w:val="single" w:sz="4" w:space="0" w:color="auto"/>
              <w:right w:val="single" w:sz="4" w:space="0" w:color="auto"/>
            </w:tcBorders>
            <w:vAlign w:val="center"/>
          </w:tcPr>
          <w:p w14:paraId="28A96942" w14:textId="77777777" w:rsidR="007C06AB" w:rsidRDefault="007C06AB">
            <w:pPr>
              <w:widowControl/>
              <w:jc w:val="left"/>
              <w:rPr>
                <w:rFonts w:ascii="宋体" w:hAnsi="宋体" w:cs="宋体"/>
                <w:color w:val="000000"/>
                <w:kern w:val="0"/>
                <w:sz w:val="20"/>
                <w:szCs w:val="20"/>
              </w:rPr>
            </w:pPr>
          </w:p>
        </w:tc>
        <w:tc>
          <w:tcPr>
            <w:tcW w:w="346" w:type="pct"/>
            <w:vMerge/>
            <w:tcBorders>
              <w:top w:val="single" w:sz="4" w:space="0" w:color="auto"/>
              <w:left w:val="single" w:sz="4" w:space="0" w:color="auto"/>
              <w:bottom w:val="single" w:sz="4" w:space="0" w:color="auto"/>
              <w:right w:val="single" w:sz="4" w:space="0" w:color="auto"/>
            </w:tcBorders>
            <w:vAlign w:val="center"/>
          </w:tcPr>
          <w:p w14:paraId="0637C0A7" w14:textId="77777777" w:rsidR="007C06AB" w:rsidRDefault="007C06AB">
            <w:pPr>
              <w:widowControl/>
              <w:jc w:val="center"/>
              <w:rPr>
                <w:rFonts w:ascii="宋体" w:hAnsi="宋体" w:cs="宋体"/>
                <w:color w:val="000000"/>
                <w:kern w:val="0"/>
                <w:sz w:val="20"/>
                <w:szCs w:val="20"/>
              </w:rPr>
            </w:pPr>
          </w:p>
        </w:tc>
        <w:tc>
          <w:tcPr>
            <w:tcW w:w="374" w:type="pct"/>
            <w:tcBorders>
              <w:top w:val="single" w:sz="4" w:space="0" w:color="auto"/>
              <w:left w:val="nil"/>
              <w:bottom w:val="single" w:sz="4" w:space="0" w:color="auto"/>
              <w:right w:val="single" w:sz="4" w:space="0" w:color="auto"/>
            </w:tcBorders>
            <w:vAlign w:val="center"/>
          </w:tcPr>
          <w:p w14:paraId="23E67892"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社会效益</w:t>
            </w:r>
          </w:p>
        </w:tc>
        <w:tc>
          <w:tcPr>
            <w:tcW w:w="422" w:type="pct"/>
            <w:tcBorders>
              <w:top w:val="single" w:sz="4" w:space="0" w:color="auto"/>
              <w:left w:val="nil"/>
              <w:bottom w:val="single" w:sz="4" w:space="0" w:color="auto"/>
              <w:right w:val="single" w:sz="4" w:space="0" w:color="auto"/>
            </w:tcBorders>
            <w:vAlign w:val="center"/>
          </w:tcPr>
          <w:p w14:paraId="5BAC51D4" w14:textId="77777777" w:rsidR="007C06AB"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单位履行职责对社会发展所带来的直接或间接影响</w:t>
            </w:r>
          </w:p>
        </w:tc>
        <w:tc>
          <w:tcPr>
            <w:tcW w:w="1202" w:type="pct"/>
            <w:tcBorders>
              <w:top w:val="single" w:sz="4" w:space="0" w:color="auto"/>
              <w:left w:val="nil"/>
              <w:bottom w:val="single" w:sz="4" w:space="0" w:color="auto"/>
              <w:right w:val="single" w:sz="4" w:space="0" w:color="auto"/>
            </w:tcBorders>
            <w:vAlign w:val="center"/>
          </w:tcPr>
          <w:p w14:paraId="7CCC1538" w14:textId="77777777" w:rsidR="007C06AB"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（1）全力维护国家安全和社会安全稳定。办理“5.17”利用邪教组织破坏法律实施系列案件，坚决维护国家政治安全。依法办理“1.28”</w:t>
            </w:r>
            <w:proofErr w:type="gramStart"/>
            <w:r>
              <w:rPr>
                <w:rFonts w:ascii="宋体" w:hAnsi="宋体" w:cs="宋体" w:hint="eastAsia"/>
                <w:color w:val="000000"/>
                <w:kern w:val="0"/>
                <w:sz w:val="20"/>
                <w:szCs w:val="20"/>
              </w:rPr>
              <w:t>博康艾馨重</w:t>
            </w:r>
            <w:proofErr w:type="gramEnd"/>
            <w:r>
              <w:rPr>
                <w:rFonts w:ascii="宋体" w:hAnsi="宋体" w:cs="宋体" w:hint="eastAsia"/>
                <w:color w:val="000000"/>
                <w:kern w:val="0"/>
                <w:sz w:val="20"/>
                <w:szCs w:val="20"/>
              </w:rPr>
              <w:t>特大非法集资案、“3.26”电信网络诈骗专案、“5.25”重特大涉税案等一批市委政法委、市检察院高度关注的大要案，影响人民获得感、幸福感、安全感的各项犯罪受到惩治。（2）平等保护民营经济主体合法权益，办理涉民营企业案件55件77人，“民企敢闯”，法治“撑腰”。依法惩治金融领域刑事犯罪案件66件，精准助力区域金融风险防范化解。办理李某某生产、销售不符合安全标准</w:t>
            </w:r>
            <w:proofErr w:type="gramStart"/>
            <w:r>
              <w:rPr>
                <w:rFonts w:ascii="宋体" w:hAnsi="宋体" w:cs="宋体" w:hint="eastAsia"/>
                <w:color w:val="000000"/>
                <w:kern w:val="0"/>
                <w:sz w:val="20"/>
                <w:szCs w:val="20"/>
              </w:rPr>
              <w:t>食品案</w:t>
            </w:r>
            <w:proofErr w:type="gramEnd"/>
            <w:r>
              <w:rPr>
                <w:rFonts w:ascii="宋体" w:hAnsi="宋体" w:cs="宋体" w:hint="eastAsia"/>
                <w:color w:val="000000"/>
                <w:kern w:val="0"/>
                <w:sz w:val="20"/>
                <w:szCs w:val="20"/>
              </w:rPr>
              <w:t>被评为北京市检察机关刑事抗诉典型案例。反洗</w:t>
            </w:r>
            <w:proofErr w:type="gramStart"/>
            <w:r>
              <w:rPr>
                <w:rFonts w:ascii="宋体" w:hAnsi="宋体" w:cs="宋体" w:hint="eastAsia"/>
                <w:color w:val="000000"/>
                <w:kern w:val="0"/>
                <w:sz w:val="20"/>
                <w:szCs w:val="20"/>
              </w:rPr>
              <w:t>钱工作</w:t>
            </w:r>
            <w:proofErr w:type="gramEnd"/>
            <w:r>
              <w:rPr>
                <w:rFonts w:ascii="宋体" w:hAnsi="宋体" w:cs="宋体" w:hint="eastAsia"/>
                <w:color w:val="000000"/>
                <w:kern w:val="0"/>
                <w:sz w:val="20"/>
                <w:szCs w:val="20"/>
              </w:rPr>
              <w:t>取得明显成效，金融</w:t>
            </w:r>
            <w:proofErr w:type="gramStart"/>
            <w:r>
              <w:rPr>
                <w:rFonts w:ascii="宋体" w:hAnsi="宋体" w:cs="宋体" w:hint="eastAsia"/>
                <w:color w:val="000000"/>
                <w:kern w:val="0"/>
                <w:sz w:val="20"/>
                <w:szCs w:val="20"/>
              </w:rPr>
              <w:t>检察部门获评</w:t>
            </w:r>
            <w:proofErr w:type="gramEnd"/>
            <w:r>
              <w:rPr>
                <w:rFonts w:ascii="宋体" w:hAnsi="宋体" w:cs="宋体" w:hint="eastAsia"/>
                <w:color w:val="000000"/>
                <w:kern w:val="0"/>
                <w:sz w:val="20"/>
                <w:szCs w:val="20"/>
              </w:rPr>
              <w:t>北京市打击洗钱犯罪突出集体。（3）聚焦“一老一小”权益保护，大力开展打击整治养老诈骗专项行动，办理涉养老诈骗案件8件，从严惩治成年人侵害未成年人犯罪案件28件34人。向贫困户被害人发放司法救助金，防止因案返贫。支持农民工依法起诉</w:t>
            </w:r>
            <w:proofErr w:type="gramStart"/>
            <w:r>
              <w:rPr>
                <w:rFonts w:ascii="宋体" w:hAnsi="宋体" w:cs="宋体" w:hint="eastAsia"/>
                <w:color w:val="000000"/>
                <w:kern w:val="0"/>
                <w:sz w:val="20"/>
                <w:szCs w:val="20"/>
              </w:rPr>
              <w:t>讨薪案</w:t>
            </w:r>
            <w:proofErr w:type="gramEnd"/>
            <w:r>
              <w:rPr>
                <w:rFonts w:ascii="宋体" w:hAnsi="宋体" w:cs="宋体" w:hint="eastAsia"/>
                <w:color w:val="000000"/>
                <w:kern w:val="0"/>
                <w:sz w:val="20"/>
                <w:szCs w:val="20"/>
              </w:rPr>
              <w:t>9件，引导依法追讨劳动报酬。（4）建立</w:t>
            </w:r>
            <w:proofErr w:type="gramStart"/>
            <w:r>
              <w:rPr>
                <w:rFonts w:ascii="宋体" w:hAnsi="宋体" w:cs="宋体" w:hint="eastAsia"/>
                <w:color w:val="000000"/>
                <w:kern w:val="0"/>
                <w:sz w:val="20"/>
                <w:szCs w:val="20"/>
              </w:rPr>
              <w:t>涉稳风险</w:t>
            </w:r>
            <w:proofErr w:type="gramEnd"/>
            <w:r>
              <w:rPr>
                <w:rFonts w:ascii="宋体" w:hAnsi="宋体" w:cs="宋体" w:hint="eastAsia"/>
                <w:color w:val="000000"/>
                <w:kern w:val="0"/>
                <w:sz w:val="20"/>
                <w:szCs w:val="20"/>
              </w:rPr>
              <w:t>信访案件台账，院领导带头包案化解多起聚集性群体访事件。坚持以检察听证化解矛盾纠纷，召开听证会55次。持续开展送法进企业、社区、学校等活动，打造“兴检知声”“兴光”等群众喜闻乐</w:t>
            </w:r>
            <w:r>
              <w:rPr>
                <w:rFonts w:ascii="宋体" w:hAnsi="宋体" w:cs="宋体" w:hint="eastAsia"/>
                <w:color w:val="000000"/>
                <w:kern w:val="0"/>
                <w:sz w:val="20"/>
                <w:szCs w:val="20"/>
              </w:rPr>
              <w:lastRenderedPageBreak/>
              <w:t>见的普法产品，营造尊法学法守法用法的法治环境。</w:t>
            </w:r>
          </w:p>
        </w:tc>
        <w:tc>
          <w:tcPr>
            <w:tcW w:w="247" w:type="pct"/>
            <w:tcBorders>
              <w:top w:val="single" w:sz="4" w:space="0" w:color="auto"/>
              <w:left w:val="single" w:sz="4" w:space="0" w:color="auto"/>
              <w:bottom w:val="single" w:sz="4" w:space="0" w:color="auto"/>
              <w:right w:val="single" w:sz="4" w:space="0" w:color="auto"/>
            </w:tcBorders>
            <w:noWrap/>
            <w:vAlign w:val="center"/>
          </w:tcPr>
          <w:p w14:paraId="3C56F211"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lastRenderedPageBreak/>
              <w:t>8</w:t>
            </w:r>
          </w:p>
        </w:tc>
        <w:tc>
          <w:tcPr>
            <w:tcW w:w="273" w:type="pct"/>
            <w:tcBorders>
              <w:top w:val="single" w:sz="4" w:space="0" w:color="auto"/>
              <w:left w:val="nil"/>
              <w:bottom w:val="single" w:sz="4" w:space="0" w:color="auto"/>
              <w:right w:val="nil"/>
            </w:tcBorders>
            <w:noWrap/>
            <w:vAlign w:val="center"/>
          </w:tcPr>
          <w:p w14:paraId="6E913F3A" w14:textId="77777777" w:rsidR="007C06AB" w:rsidRDefault="00000000">
            <w:pPr>
              <w:pStyle w:val="3"/>
              <w:ind w:firstLineChars="100" w:firstLine="210"/>
              <w:rPr>
                <w:rFonts w:ascii="仿宋" w:eastAsia="仿宋" w:hAnsi="仿宋"/>
                <w:b w:val="0"/>
                <w:bCs w:val="0"/>
              </w:rPr>
            </w:pPr>
            <w:r>
              <w:rPr>
                <w:rFonts w:ascii="仿宋" w:eastAsia="仿宋" w:hAnsi="仿宋" w:hint="eastAsia"/>
                <w:b w:val="0"/>
                <w:bCs w:val="0"/>
              </w:rPr>
              <w:t>8</w:t>
            </w:r>
          </w:p>
        </w:tc>
        <w:tc>
          <w:tcPr>
            <w:tcW w:w="1147" w:type="pct"/>
            <w:vMerge/>
            <w:tcBorders>
              <w:top w:val="single" w:sz="4" w:space="0" w:color="auto"/>
              <w:left w:val="single" w:sz="4" w:space="0" w:color="auto"/>
              <w:bottom w:val="single" w:sz="4" w:space="0" w:color="auto"/>
              <w:right w:val="single" w:sz="4" w:space="0" w:color="auto"/>
            </w:tcBorders>
            <w:vAlign w:val="center"/>
          </w:tcPr>
          <w:p w14:paraId="55339818" w14:textId="77777777" w:rsidR="007C06AB" w:rsidRDefault="007C06AB">
            <w:pPr>
              <w:widowControl/>
              <w:jc w:val="left"/>
              <w:rPr>
                <w:rFonts w:ascii="宋体" w:hAnsi="宋体" w:cs="宋体"/>
                <w:b/>
                <w:bCs/>
                <w:color w:val="000000"/>
                <w:kern w:val="0"/>
                <w:sz w:val="18"/>
                <w:szCs w:val="18"/>
              </w:rPr>
            </w:pPr>
          </w:p>
        </w:tc>
        <w:tc>
          <w:tcPr>
            <w:tcW w:w="594" w:type="pct"/>
            <w:vMerge/>
            <w:tcBorders>
              <w:top w:val="single" w:sz="4" w:space="0" w:color="auto"/>
              <w:left w:val="single" w:sz="4" w:space="0" w:color="auto"/>
              <w:bottom w:val="single" w:sz="4" w:space="0" w:color="auto"/>
              <w:right w:val="single" w:sz="4" w:space="0" w:color="auto"/>
            </w:tcBorders>
            <w:vAlign w:val="center"/>
          </w:tcPr>
          <w:p w14:paraId="375EACA8" w14:textId="77777777" w:rsidR="007C06AB" w:rsidRDefault="007C06AB">
            <w:pPr>
              <w:widowControl/>
              <w:jc w:val="left"/>
              <w:rPr>
                <w:rFonts w:ascii="宋体" w:hAnsi="宋体" w:cs="宋体"/>
                <w:color w:val="000000"/>
                <w:kern w:val="0"/>
                <w:sz w:val="18"/>
                <w:szCs w:val="18"/>
              </w:rPr>
            </w:pPr>
          </w:p>
        </w:tc>
      </w:tr>
      <w:tr w:rsidR="007C06AB" w14:paraId="441975F1" w14:textId="77777777">
        <w:trPr>
          <w:gridAfter w:val="1"/>
          <w:wAfter w:w="5" w:type="pct"/>
          <w:cantSplit/>
          <w:trHeight w:val="1173"/>
        </w:trPr>
        <w:tc>
          <w:tcPr>
            <w:tcW w:w="390" w:type="pct"/>
            <w:tcBorders>
              <w:top w:val="single" w:sz="4" w:space="0" w:color="auto"/>
              <w:left w:val="single" w:sz="4" w:space="0" w:color="auto"/>
              <w:bottom w:val="single" w:sz="4" w:space="0" w:color="auto"/>
              <w:right w:val="single" w:sz="4" w:space="0" w:color="auto"/>
            </w:tcBorders>
            <w:vAlign w:val="center"/>
          </w:tcPr>
          <w:p w14:paraId="4E789F17" w14:textId="77777777" w:rsidR="007C06AB" w:rsidRDefault="007C06AB">
            <w:pPr>
              <w:widowControl/>
              <w:jc w:val="left"/>
              <w:rPr>
                <w:rFonts w:ascii="宋体" w:hAnsi="宋体" w:cs="宋体"/>
                <w:color w:val="000000"/>
                <w:kern w:val="0"/>
                <w:sz w:val="20"/>
                <w:szCs w:val="20"/>
              </w:rPr>
            </w:pPr>
          </w:p>
        </w:tc>
        <w:tc>
          <w:tcPr>
            <w:tcW w:w="346" w:type="pct"/>
            <w:tcBorders>
              <w:top w:val="single" w:sz="4" w:space="0" w:color="auto"/>
              <w:left w:val="single" w:sz="4" w:space="0" w:color="auto"/>
              <w:bottom w:val="single" w:sz="4" w:space="0" w:color="auto"/>
              <w:right w:val="single" w:sz="4" w:space="0" w:color="auto"/>
            </w:tcBorders>
            <w:vAlign w:val="center"/>
          </w:tcPr>
          <w:p w14:paraId="047C0E13" w14:textId="77777777" w:rsidR="007C06AB" w:rsidRDefault="007C06AB">
            <w:pPr>
              <w:widowControl/>
              <w:jc w:val="center"/>
              <w:rPr>
                <w:rFonts w:ascii="宋体" w:hAnsi="宋体" w:cs="宋体"/>
                <w:color w:val="000000"/>
                <w:kern w:val="0"/>
                <w:sz w:val="20"/>
                <w:szCs w:val="20"/>
              </w:rPr>
            </w:pPr>
          </w:p>
        </w:tc>
        <w:tc>
          <w:tcPr>
            <w:tcW w:w="374" w:type="pct"/>
            <w:tcBorders>
              <w:top w:val="single" w:sz="4" w:space="0" w:color="auto"/>
              <w:left w:val="nil"/>
              <w:bottom w:val="single" w:sz="4" w:space="0" w:color="auto"/>
              <w:right w:val="single" w:sz="4" w:space="0" w:color="auto"/>
            </w:tcBorders>
            <w:vAlign w:val="center"/>
          </w:tcPr>
          <w:p w14:paraId="2634A4C7"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可持续影响</w:t>
            </w:r>
          </w:p>
        </w:tc>
        <w:tc>
          <w:tcPr>
            <w:tcW w:w="422" w:type="pct"/>
            <w:tcBorders>
              <w:top w:val="single" w:sz="4" w:space="0" w:color="auto"/>
              <w:left w:val="nil"/>
              <w:bottom w:val="single" w:sz="4" w:space="0" w:color="auto"/>
              <w:right w:val="single" w:sz="4" w:space="0" w:color="auto"/>
            </w:tcBorders>
            <w:vAlign w:val="center"/>
          </w:tcPr>
          <w:p w14:paraId="4CA230C5"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全力服务经济社会高质量发展</w:t>
            </w:r>
          </w:p>
        </w:tc>
        <w:tc>
          <w:tcPr>
            <w:tcW w:w="1202" w:type="pct"/>
            <w:tcBorders>
              <w:top w:val="single" w:sz="4" w:space="0" w:color="auto"/>
              <w:left w:val="nil"/>
              <w:bottom w:val="single" w:sz="4" w:space="0" w:color="auto"/>
              <w:right w:val="single" w:sz="4" w:space="0" w:color="auto"/>
            </w:tcBorders>
            <w:vAlign w:val="center"/>
          </w:tcPr>
          <w:p w14:paraId="0535E48A" w14:textId="77777777" w:rsidR="007C06AB" w:rsidRDefault="00000000">
            <w:pPr>
              <w:pStyle w:val="3"/>
              <w:spacing w:line="240" w:lineRule="atLeast"/>
              <w:jc w:val="left"/>
              <w:rPr>
                <w:rFonts w:ascii="宋体" w:hAnsi="宋体" w:cs="宋体"/>
                <w:b w:val="0"/>
                <w:bCs w:val="0"/>
                <w:color w:val="000000"/>
                <w:kern w:val="0"/>
                <w:sz w:val="20"/>
                <w:szCs w:val="20"/>
              </w:rPr>
            </w:pPr>
            <w:r>
              <w:rPr>
                <w:rFonts w:ascii="宋体" w:hAnsi="宋体" w:cs="宋体" w:hint="eastAsia"/>
                <w:b w:val="0"/>
                <w:bCs w:val="0"/>
                <w:color w:val="000000"/>
                <w:kern w:val="0"/>
                <w:sz w:val="20"/>
                <w:szCs w:val="20"/>
              </w:rPr>
              <w:t>（1）深化府院沟通长效机制，赴区</w:t>
            </w:r>
            <w:proofErr w:type="gramStart"/>
            <w:r>
              <w:rPr>
                <w:rFonts w:ascii="宋体" w:hAnsi="宋体" w:cs="宋体" w:hint="eastAsia"/>
                <w:b w:val="0"/>
                <w:bCs w:val="0"/>
                <w:color w:val="000000"/>
                <w:kern w:val="0"/>
                <w:sz w:val="20"/>
                <w:szCs w:val="20"/>
              </w:rPr>
              <w:t>规</w:t>
            </w:r>
            <w:proofErr w:type="gramEnd"/>
            <w:r>
              <w:rPr>
                <w:rFonts w:ascii="宋体" w:hAnsi="宋体" w:cs="宋体" w:hint="eastAsia"/>
                <w:b w:val="0"/>
                <w:bCs w:val="0"/>
                <w:color w:val="000000"/>
                <w:kern w:val="0"/>
                <w:sz w:val="20"/>
                <w:szCs w:val="20"/>
              </w:rPr>
              <w:t>自分局、旧宫镇、长子营镇开展依法行政专题培训、法律适用问题座谈会等活动18次。（2）建立执行联络员机制，探索将协助执行工作纳入网格化管理。构建常态化协作机制，发布失信被执行人51例，对9029人限制高消费及有关消费。（3）加强能动司法，优化营商法治环境。制定《关于为全面建设宜居宜业新大兴、繁荣开放新国门提供司法服务和保障的意见》，落实营商环境5.0</w:t>
            </w:r>
            <w:proofErr w:type="gramStart"/>
            <w:r>
              <w:rPr>
                <w:rFonts w:ascii="宋体" w:hAnsi="宋体" w:cs="宋体" w:hint="eastAsia"/>
                <w:b w:val="0"/>
                <w:bCs w:val="0"/>
                <w:color w:val="000000"/>
                <w:kern w:val="0"/>
                <w:sz w:val="20"/>
                <w:szCs w:val="20"/>
              </w:rPr>
              <w:t>版改革</w:t>
            </w:r>
            <w:proofErr w:type="gramEnd"/>
            <w:r>
              <w:rPr>
                <w:rFonts w:ascii="宋体" w:hAnsi="宋体" w:cs="宋体" w:hint="eastAsia"/>
                <w:b w:val="0"/>
                <w:bCs w:val="0"/>
                <w:color w:val="000000"/>
                <w:kern w:val="0"/>
                <w:sz w:val="20"/>
                <w:szCs w:val="20"/>
              </w:rPr>
              <w:t>工作要求，加强精细化管理，商事案件审理时间、开庭次数“双下降”，商事案件平均审理天数低于全市法院平均水平31.5%。（4）建立“1+6法治同行”参与基层社会治理工作机制，被评为“首都法院党建工作示范创新案例”。（5）加强一站式多元纠纷解决和诉讼服务体系建设，上线“立案一码通”，让当事人能够“足不出户”打官司。</w:t>
            </w:r>
          </w:p>
        </w:tc>
        <w:tc>
          <w:tcPr>
            <w:tcW w:w="247" w:type="pct"/>
            <w:tcBorders>
              <w:top w:val="single" w:sz="4" w:space="0" w:color="auto"/>
              <w:left w:val="single" w:sz="4" w:space="0" w:color="auto"/>
              <w:bottom w:val="single" w:sz="4" w:space="0" w:color="auto"/>
              <w:right w:val="single" w:sz="4" w:space="0" w:color="auto"/>
            </w:tcBorders>
            <w:noWrap/>
            <w:vAlign w:val="center"/>
          </w:tcPr>
          <w:p w14:paraId="7F8D35FB"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8</w:t>
            </w:r>
          </w:p>
        </w:tc>
        <w:tc>
          <w:tcPr>
            <w:tcW w:w="273" w:type="pct"/>
            <w:tcBorders>
              <w:top w:val="single" w:sz="4" w:space="0" w:color="auto"/>
              <w:left w:val="nil"/>
              <w:bottom w:val="single" w:sz="4" w:space="0" w:color="auto"/>
              <w:right w:val="nil"/>
            </w:tcBorders>
            <w:noWrap/>
            <w:vAlign w:val="center"/>
          </w:tcPr>
          <w:p w14:paraId="675CD2B2" w14:textId="77777777" w:rsidR="007C06AB" w:rsidRDefault="00000000">
            <w:pPr>
              <w:pStyle w:val="3"/>
              <w:jc w:val="center"/>
              <w:rPr>
                <w:rFonts w:asciiTheme="minorEastAsia" w:eastAsiaTheme="minorEastAsia" w:hAnsiTheme="minorEastAsia"/>
                <w:b w:val="0"/>
                <w:bCs w:val="0"/>
              </w:rPr>
            </w:pPr>
            <w:r>
              <w:rPr>
                <w:rFonts w:asciiTheme="minorEastAsia" w:eastAsiaTheme="minorEastAsia" w:hAnsiTheme="minorEastAsia" w:hint="eastAsia"/>
                <w:b w:val="0"/>
                <w:bCs w:val="0"/>
              </w:rPr>
              <w:t>8</w:t>
            </w:r>
          </w:p>
        </w:tc>
        <w:tc>
          <w:tcPr>
            <w:tcW w:w="1147" w:type="pct"/>
            <w:vMerge/>
            <w:tcBorders>
              <w:top w:val="single" w:sz="4" w:space="0" w:color="auto"/>
              <w:left w:val="single" w:sz="4" w:space="0" w:color="auto"/>
              <w:bottom w:val="single" w:sz="4" w:space="0" w:color="auto"/>
              <w:right w:val="single" w:sz="4" w:space="0" w:color="auto"/>
            </w:tcBorders>
            <w:vAlign w:val="center"/>
          </w:tcPr>
          <w:p w14:paraId="6F0BE1E2" w14:textId="77777777" w:rsidR="007C06AB" w:rsidRDefault="007C06AB">
            <w:pPr>
              <w:widowControl/>
              <w:jc w:val="left"/>
              <w:rPr>
                <w:rFonts w:ascii="宋体" w:hAnsi="宋体" w:cs="宋体"/>
                <w:b/>
                <w:bCs/>
                <w:color w:val="000000"/>
                <w:kern w:val="0"/>
                <w:sz w:val="18"/>
                <w:szCs w:val="18"/>
              </w:rPr>
            </w:pPr>
          </w:p>
        </w:tc>
        <w:tc>
          <w:tcPr>
            <w:tcW w:w="594" w:type="pct"/>
            <w:vMerge/>
            <w:tcBorders>
              <w:top w:val="single" w:sz="4" w:space="0" w:color="auto"/>
              <w:left w:val="single" w:sz="4" w:space="0" w:color="auto"/>
              <w:bottom w:val="single" w:sz="4" w:space="0" w:color="auto"/>
              <w:right w:val="single" w:sz="4" w:space="0" w:color="auto"/>
            </w:tcBorders>
            <w:vAlign w:val="center"/>
          </w:tcPr>
          <w:p w14:paraId="35E59888" w14:textId="77777777" w:rsidR="007C06AB" w:rsidRDefault="007C06AB">
            <w:pPr>
              <w:widowControl/>
              <w:jc w:val="left"/>
              <w:rPr>
                <w:rFonts w:ascii="宋体" w:hAnsi="宋体" w:cs="宋体"/>
                <w:color w:val="000000"/>
                <w:kern w:val="0"/>
                <w:sz w:val="18"/>
                <w:szCs w:val="18"/>
              </w:rPr>
            </w:pPr>
          </w:p>
        </w:tc>
      </w:tr>
      <w:tr w:rsidR="007C06AB" w14:paraId="357F23CE" w14:textId="77777777" w:rsidTr="00ED1585">
        <w:trPr>
          <w:gridAfter w:val="1"/>
          <w:wAfter w:w="5" w:type="pct"/>
          <w:cantSplit/>
          <w:trHeight w:val="2684"/>
        </w:trPr>
        <w:tc>
          <w:tcPr>
            <w:tcW w:w="390" w:type="pct"/>
            <w:tcBorders>
              <w:top w:val="single" w:sz="4" w:space="0" w:color="auto"/>
              <w:left w:val="single" w:sz="4" w:space="0" w:color="auto"/>
              <w:bottom w:val="single" w:sz="4" w:space="0" w:color="auto"/>
              <w:right w:val="single" w:sz="4" w:space="0" w:color="auto"/>
            </w:tcBorders>
            <w:vAlign w:val="center"/>
          </w:tcPr>
          <w:p w14:paraId="1FCE84E8" w14:textId="77777777" w:rsidR="007C06AB" w:rsidRDefault="007C06AB">
            <w:pPr>
              <w:widowControl/>
              <w:jc w:val="left"/>
              <w:rPr>
                <w:rFonts w:ascii="宋体" w:hAnsi="宋体" w:cs="宋体"/>
                <w:color w:val="000000"/>
                <w:kern w:val="0"/>
                <w:sz w:val="20"/>
                <w:szCs w:val="20"/>
              </w:rPr>
            </w:pPr>
          </w:p>
        </w:tc>
        <w:tc>
          <w:tcPr>
            <w:tcW w:w="346" w:type="pct"/>
            <w:tcBorders>
              <w:top w:val="single" w:sz="4" w:space="0" w:color="auto"/>
              <w:left w:val="single" w:sz="4" w:space="0" w:color="auto"/>
              <w:bottom w:val="single" w:sz="4" w:space="0" w:color="auto"/>
              <w:right w:val="single" w:sz="4" w:space="0" w:color="auto"/>
            </w:tcBorders>
            <w:vAlign w:val="center"/>
          </w:tcPr>
          <w:p w14:paraId="50CD7067" w14:textId="77777777" w:rsidR="007C06AB" w:rsidRDefault="007C06AB">
            <w:pPr>
              <w:widowControl/>
              <w:jc w:val="center"/>
              <w:rPr>
                <w:rFonts w:ascii="宋体" w:hAnsi="宋体" w:cs="宋体"/>
                <w:color w:val="000000"/>
                <w:kern w:val="0"/>
                <w:sz w:val="20"/>
                <w:szCs w:val="20"/>
              </w:rPr>
            </w:pPr>
          </w:p>
        </w:tc>
        <w:tc>
          <w:tcPr>
            <w:tcW w:w="374" w:type="pct"/>
            <w:tcBorders>
              <w:top w:val="single" w:sz="4" w:space="0" w:color="auto"/>
              <w:left w:val="nil"/>
              <w:bottom w:val="single" w:sz="4" w:space="0" w:color="auto"/>
              <w:right w:val="single" w:sz="4" w:space="0" w:color="auto"/>
            </w:tcBorders>
            <w:vAlign w:val="center"/>
          </w:tcPr>
          <w:p w14:paraId="745DFB21"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服务对象满意度</w:t>
            </w:r>
          </w:p>
        </w:tc>
        <w:tc>
          <w:tcPr>
            <w:tcW w:w="422" w:type="pct"/>
            <w:tcBorders>
              <w:top w:val="single" w:sz="4" w:space="0" w:color="auto"/>
              <w:left w:val="nil"/>
              <w:bottom w:val="single" w:sz="4" w:space="0" w:color="auto"/>
              <w:right w:val="single" w:sz="4" w:space="0" w:color="auto"/>
            </w:tcBorders>
            <w:vAlign w:val="center"/>
          </w:tcPr>
          <w:p w14:paraId="5478076A" w14:textId="77777777" w:rsidR="007C06AB"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服务对象对部门履职效果的满意程度</w:t>
            </w:r>
          </w:p>
        </w:tc>
        <w:tc>
          <w:tcPr>
            <w:tcW w:w="1202" w:type="pct"/>
            <w:tcBorders>
              <w:top w:val="single" w:sz="4" w:space="0" w:color="auto"/>
              <w:left w:val="nil"/>
              <w:bottom w:val="single" w:sz="4" w:space="0" w:color="auto"/>
              <w:right w:val="single" w:sz="4" w:space="0" w:color="auto"/>
            </w:tcBorders>
            <w:vAlign w:val="center"/>
          </w:tcPr>
          <w:p w14:paraId="1BC1530A" w14:textId="77777777" w:rsidR="007C06AB" w:rsidRDefault="00000000">
            <w:pPr>
              <w:pStyle w:val="3"/>
              <w:spacing w:line="240" w:lineRule="atLeast"/>
              <w:jc w:val="left"/>
            </w:pPr>
            <w:proofErr w:type="gramStart"/>
            <w:r>
              <w:rPr>
                <w:rFonts w:ascii="宋体" w:hAnsi="宋体" w:cs="宋体" w:hint="eastAsia"/>
                <w:b w:val="0"/>
                <w:bCs w:val="0"/>
                <w:color w:val="000000"/>
                <w:kern w:val="0"/>
                <w:sz w:val="20"/>
                <w:szCs w:val="20"/>
              </w:rPr>
              <w:t>大兴区</w:t>
            </w:r>
            <w:proofErr w:type="gramEnd"/>
            <w:r>
              <w:rPr>
                <w:rFonts w:ascii="宋体" w:hAnsi="宋体" w:cs="宋体" w:hint="eastAsia"/>
                <w:b w:val="0"/>
                <w:bCs w:val="0"/>
                <w:color w:val="000000"/>
                <w:kern w:val="0"/>
                <w:sz w:val="20"/>
                <w:szCs w:val="20"/>
              </w:rPr>
              <w:t>人民法院2022年未对部门整体进行满意度调查。根据各部门项目支出绩效自评表，各部门对项目服务对象进行了满意度调查，社会公众及服务对象满意度预期整体达到目标。</w:t>
            </w:r>
          </w:p>
        </w:tc>
        <w:tc>
          <w:tcPr>
            <w:tcW w:w="247" w:type="pct"/>
            <w:tcBorders>
              <w:top w:val="single" w:sz="4" w:space="0" w:color="auto"/>
              <w:left w:val="single" w:sz="4" w:space="0" w:color="auto"/>
              <w:bottom w:val="single" w:sz="4" w:space="0" w:color="auto"/>
              <w:right w:val="single" w:sz="4" w:space="0" w:color="auto"/>
            </w:tcBorders>
            <w:noWrap/>
            <w:vAlign w:val="center"/>
          </w:tcPr>
          <w:p w14:paraId="629B5ED4"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6</w:t>
            </w:r>
          </w:p>
        </w:tc>
        <w:tc>
          <w:tcPr>
            <w:tcW w:w="273" w:type="pct"/>
            <w:tcBorders>
              <w:top w:val="single" w:sz="4" w:space="0" w:color="auto"/>
              <w:left w:val="nil"/>
              <w:bottom w:val="single" w:sz="4" w:space="0" w:color="auto"/>
              <w:right w:val="nil"/>
            </w:tcBorders>
            <w:noWrap/>
            <w:vAlign w:val="center"/>
          </w:tcPr>
          <w:p w14:paraId="7D91CDB1" w14:textId="77777777" w:rsidR="007C06AB" w:rsidRDefault="00000000">
            <w:pPr>
              <w:pStyle w:val="3"/>
              <w:jc w:val="center"/>
              <w:rPr>
                <w:rFonts w:ascii="仿宋" w:eastAsia="仿宋" w:hAnsi="仿宋"/>
                <w:b w:val="0"/>
                <w:bCs w:val="0"/>
              </w:rPr>
            </w:pPr>
            <w:r>
              <w:rPr>
                <w:rFonts w:ascii="仿宋" w:eastAsia="仿宋" w:hAnsi="仿宋"/>
                <w:b w:val="0"/>
                <w:bCs w:val="0"/>
              </w:rPr>
              <w:t>5</w:t>
            </w:r>
          </w:p>
        </w:tc>
        <w:tc>
          <w:tcPr>
            <w:tcW w:w="1147" w:type="pct"/>
            <w:vMerge/>
            <w:tcBorders>
              <w:top w:val="single" w:sz="4" w:space="0" w:color="auto"/>
              <w:left w:val="single" w:sz="4" w:space="0" w:color="auto"/>
              <w:bottom w:val="single" w:sz="4" w:space="0" w:color="auto"/>
              <w:right w:val="single" w:sz="4" w:space="0" w:color="auto"/>
            </w:tcBorders>
            <w:vAlign w:val="center"/>
          </w:tcPr>
          <w:p w14:paraId="5D8D07F8" w14:textId="77777777" w:rsidR="007C06AB" w:rsidRDefault="007C06AB">
            <w:pPr>
              <w:widowControl/>
              <w:jc w:val="left"/>
              <w:rPr>
                <w:rFonts w:ascii="宋体" w:hAnsi="宋体" w:cs="宋体"/>
                <w:b/>
                <w:bCs/>
                <w:color w:val="000000"/>
                <w:kern w:val="0"/>
                <w:sz w:val="18"/>
                <w:szCs w:val="18"/>
              </w:rPr>
            </w:pPr>
          </w:p>
        </w:tc>
        <w:tc>
          <w:tcPr>
            <w:tcW w:w="594" w:type="pct"/>
            <w:vMerge/>
            <w:tcBorders>
              <w:top w:val="single" w:sz="4" w:space="0" w:color="auto"/>
              <w:left w:val="single" w:sz="4" w:space="0" w:color="auto"/>
              <w:bottom w:val="single" w:sz="4" w:space="0" w:color="auto"/>
              <w:right w:val="single" w:sz="4" w:space="0" w:color="auto"/>
            </w:tcBorders>
            <w:vAlign w:val="center"/>
          </w:tcPr>
          <w:p w14:paraId="06779AED" w14:textId="77777777" w:rsidR="007C06AB" w:rsidRDefault="007C06AB">
            <w:pPr>
              <w:widowControl/>
              <w:jc w:val="left"/>
              <w:rPr>
                <w:rFonts w:ascii="宋体" w:hAnsi="宋体" w:cs="宋体"/>
                <w:color w:val="000000"/>
                <w:kern w:val="0"/>
                <w:sz w:val="18"/>
                <w:szCs w:val="18"/>
              </w:rPr>
            </w:pPr>
          </w:p>
        </w:tc>
      </w:tr>
      <w:tr w:rsidR="007C06AB" w14:paraId="70DCDEB5" w14:textId="77777777">
        <w:trPr>
          <w:cantSplit/>
          <w:trHeight w:val="487"/>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698D6808" w14:textId="77777777" w:rsidR="007C06AB"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三</w:t>
            </w:r>
            <w:r>
              <w:rPr>
                <w:rFonts w:ascii="宋体" w:hAnsi="宋体" w:cs="宋体"/>
                <w:color w:val="000000"/>
                <w:kern w:val="0"/>
                <w:sz w:val="18"/>
                <w:szCs w:val="18"/>
              </w:rPr>
              <w:t>、</w:t>
            </w:r>
            <w:r>
              <w:rPr>
                <w:rFonts w:ascii="宋体" w:hAnsi="宋体" w:cs="宋体" w:hint="eastAsia"/>
                <w:color w:val="000000"/>
                <w:kern w:val="0"/>
                <w:sz w:val="20"/>
                <w:szCs w:val="20"/>
              </w:rPr>
              <w:t>预算管理情况（20分）</w:t>
            </w:r>
          </w:p>
        </w:tc>
      </w:tr>
      <w:tr w:rsidR="007C06AB" w14:paraId="159CDDBD" w14:textId="77777777">
        <w:trPr>
          <w:gridAfter w:val="1"/>
          <w:wAfter w:w="5" w:type="pct"/>
          <w:cantSplit/>
          <w:trHeight w:val="702"/>
        </w:trPr>
        <w:tc>
          <w:tcPr>
            <w:tcW w:w="390" w:type="pct"/>
            <w:tcBorders>
              <w:top w:val="single" w:sz="4" w:space="0" w:color="auto"/>
              <w:left w:val="single" w:sz="4" w:space="0" w:color="auto"/>
              <w:bottom w:val="single" w:sz="4" w:space="0" w:color="auto"/>
              <w:right w:val="single" w:sz="4" w:space="0" w:color="auto"/>
            </w:tcBorders>
            <w:vAlign w:val="center"/>
          </w:tcPr>
          <w:p w14:paraId="6458C3DB"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一</w:t>
            </w:r>
            <w:r>
              <w:rPr>
                <w:rFonts w:ascii="宋体" w:hAnsi="宋体" w:cs="宋体"/>
                <w:color w:val="000000"/>
                <w:kern w:val="0"/>
                <w:sz w:val="20"/>
                <w:szCs w:val="20"/>
              </w:rPr>
              <w:t>级指标</w:t>
            </w:r>
          </w:p>
        </w:tc>
        <w:tc>
          <w:tcPr>
            <w:tcW w:w="346" w:type="pct"/>
            <w:tcBorders>
              <w:top w:val="single" w:sz="4" w:space="0" w:color="auto"/>
              <w:left w:val="single" w:sz="4" w:space="0" w:color="auto"/>
              <w:bottom w:val="single" w:sz="4" w:space="0" w:color="auto"/>
              <w:right w:val="single" w:sz="4" w:space="0" w:color="auto"/>
            </w:tcBorders>
            <w:vAlign w:val="center"/>
          </w:tcPr>
          <w:p w14:paraId="3C5E9D5F"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二</w:t>
            </w:r>
            <w:r>
              <w:rPr>
                <w:rFonts w:ascii="宋体" w:hAnsi="宋体" w:cs="宋体"/>
                <w:color w:val="000000"/>
                <w:kern w:val="0"/>
                <w:sz w:val="20"/>
                <w:szCs w:val="20"/>
              </w:rPr>
              <w:t>级指标</w:t>
            </w:r>
          </w:p>
        </w:tc>
        <w:tc>
          <w:tcPr>
            <w:tcW w:w="374" w:type="pct"/>
            <w:tcBorders>
              <w:top w:val="single" w:sz="4" w:space="0" w:color="auto"/>
              <w:left w:val="nil"/>
              <w:bottom w:val="single" w:sz="4" w:space="0" w:color="auto"/>
              <w:right w:val="single" w:sz="4" w:space="0" w:color="auto"/>
            </w:tcBorders>
            <w:vAlign w:val="center"/>
          </w:tcPr>
          <w:p w14:paraId="14C8262C"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三</w:t>
            </w:r>
            <w:r>
              <w:rPr>
                <w:rFonts w:ascii="宋体" w:hAnsi="宋体" w:cs="宋体"/>
                <w:color w:val="000000"/>
                <w:kern w:val="0"/>
                <w:sz w:val="20"/>
                <w:szCs w:val="20"/>
              </w:rPr>
              <w:t>级指标</w:t>
            </w:r>
          </w:p>
        </w:tc>
        <w:tc>
          <w:tcPr>
            <w:tcW w:w="422" w:type="pct"/>
            <w:tcBorders>
              <w:top w:val="single" w:sz="4" w:space="0" w:color="auto"/>
              <w:left w:val="nil"/>
              <w:bottom w:val="single" w:sz="4" w:space="0" w:color="auto"/>
              <w:right w:val="single" w:sz="4" w:space="0" w:color="auto"/>
            </w:tcBorders>
            <w:vAlign w:val="center"/>
          </w:tcPr>
          <w:p w14:paraId="5D6D2599"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指标</w:t>
            </w:r>
            <w:r>
              <w:rPr>
                <w:rFonts w:ascii="宋体" w:hAnsi="宋体" w:cs="宋体"/>
                <w:color w:val="000000"/>
                <w:kern w:val="0"/>
                <w:sz w:val="20"/>
                <w:szCs w:val="20"/>
              </w:rPr>
              <w:t>值</w:t>
            </w:r>
          </w:p>
        </w:tc>
        <w:tc>
          <w:tcPr>
            <w:tcW w:w="1202" w:type="pct"/>
            <w:tcBorders>
              <w:top w:val="single" w:sz="4" w:space="0" w:color="auto"/>
              <w:left w:val="nil"/>
              <w:bottom w:val="single" w:sz="4" w:space="0" w:color="auto"/>
              <w:right w:val="single" w:sz="4" w:space="0" w:color="auto"/>
            </w:tcBorders>
            <w:vAlign w:val="center"/>
          </w:tcPr>
          <w:p w14:paraId="3F484097"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完成</w:t>
            </w:r>
            <w:r>
              <w:rPr>
                <w:rFonts w:ascii="宋体" w:hAnsi="宋体" w:cs="宋体"/>
                <w:color w:val="000000"/>
                <w:kern w:val="0"/>
                <w:sz w:val="20"/>
                <w:szCs w:val="20"/>
              </w:rPr>
              <w:t>值</w:t>
            </w:r>
          </w:p>
        </w:tc>
        <w:tc>
          <w:tcPr>
            <w:tcW w:w="247" w:type="pct"/>
            <w:tcBorders>
              <w:top w:val="single" w:sz="4" w:space="0" w:color="auto"/>
              <w:left w:val="nil"/>
              <w:bottom w:val="single" w:sz="4" w:space="0" w:color="auto"/>
              <w:right w:val="single" w:sz="4" w:space="0" w:color="auto"/>
            </w:tcBorders>
            <w:noWrap/>
            <w:vAlign w:val="center"/>
          </w:tcPr>
          <w:p w14:paraId="51E2AACF"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分</w:t>
            </w:r>
            <w:r>
              <w:rPr>
                <w:rFonts w:ascii="宋体" w:hAnsi="宋体" w:cs="宋体"/>
                <w:color w:val="000000"/>
                <w:kern w:val="0"/>
                <w:sz w:val="20"/>
                <w:szCs w:val="20"/>
              </w:rPr>
              <w:t>值</w:t>
            </w:r>
          </w:p>
        </w:tc>
        <w:tc>
          <w:tcPr>
            <w:tcW w:w="273" w:type="pct"/>
            <w:tcBorders>
              <w:top w:val="single" w:sz="4" w:space="0" w:color="auto"/>
              <w:left w:val="nil"/>
              <w:bottom w:val="single" w:sz="4" w:space="0" w:color="auto"/>
              <w:right w:val="nil"/>
            </w:tcBorders>
            <w:noWrap/>
            <w:vAlign w:val="center"/>
          </w:tcPr>
          <w:p w14:paraId="7FBFABC0"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得</w:t>
            </w:r>
            <w:r>
              <w:rPr>
                <w:rFonts w:ascii="宋体" w:hAnsi="宋体" w:cs="宋体"/>
                <w:color w:val="000000"/>
                <w:kern w:val="0"/>
                <w:sz w:val="20"/>
                <w:szCs w:val="20"/>
              </w:rPr>
              <w:t>分</w:t>
            </w:r>
          </w:p>
        </w:tc>
        <w:tc>
          <w:tcPr>
            <w:tcW w:w="1147" w:type="pct"/>
            <w:tcBorders>
              <w:top w:val="single" w:sz="4" w:space="0" w:color="auto"/>
              <w:left w:val="single" w:sz="4" w:space="0" w:color="auto"/>
              <w:bottom w:val="single" w:sz="4" w:space="0" w:color="auto"/>
              <w:right w:val="single" w:sz="4" w:space="0" w:color="auto"/>
            </w:tcBorders>
            <w:vAlign w:val="center"/>
          </w:tcPr>
          <w:p w14:paraId="772CDBCF" w14:textId="77777777" w:rsidR="007C06AB" w:rsidRDefault="00000000">
            <w:pPr>
              <w:widowControl/>
              <w:jc w:val="center"/>
              <w:rPr>
                <w:rFonts w:ascii="宋体" w:hAnsi="宋体" w:cs="宋体"/>
                <w:b/>
                <w:bCs/>
                <w:color w:val="000000"/>
                <w:kern w:val="0"/>
                <w:sz w:val="18"/>
                <w:szCs w:val="18"/>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594" w:type="pct"/>
            <w:tcBorders>
              <w:top w:val="single" w:sz="4" w:space="0" w:color="auto"/>
              <w:left w:val="nil"/>
              <w:bottom w:val="single" w:sz="4" w:space="0" w:color="auto"/>
              <w:right w:val="single" w:sz="4" w:space="0" w:color="auto"/>
            </w:tcBorders>
            <w:vAlign w:val="center"/>
          </w:tcPr>
          <w:p w14:paraId="0EF9862B" w14:textId="77777777" w:rsidR="007C06AB"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7C06AB" w14:paraId="0AA9F9F7" w14:textId="77777777">
        <w:trPr>
          <w:gridAfter w:val="1"/>
          <w:wAfter w:w="5" w:type="pct"/>
          <w:cantSplit/>
          <w:trHeight w:val="1230"/>
        </w:trPr>
        <w:tc>
          <w:tcPr>
            <w:tcW w:w="390" w:type="pct"/>
            <w:vMerge w:val="restart"/>
            <w:tcBorders>
              <w:top w:val="single" w:sz="4" w:space="0" w:color="auto"/>
              <w:left w:val="single" w:sz="4" w:space="0" w:color="auto"/>
              <w:bottom w:val="single" w:sz="4" w:space="0" w:color="auto"/>
              <w:right w:val="single" w:sz="4" w:space="0" w:color="auto"/>
            </w:tcBorders>
            <w:vAlign w:val="center"/>
          </w:tcPr>
          <w:p w14:paraId="3DF36564"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预算管理情况（20）</w:t>
            </w:r>
          </w:p>
        </w:tc>
        <w:tc>
          <w:tcPr>
            <w:tcW w:w="346" w:type="pct"/>
            <w:vMerge w:val="restart"/>
            <w:tcBorders>
              <w:top w:val="single" w:sz="4" w:space="0" w:color="auto"/>
              <w:left w:val="single" w:sz="4" w:space="0" w:color="auto"/>
              <w:bottom w:val="single" w:sz="4" w:space="0" w:color="auto"/>
              <w:right w:val="single" w:sz="4" w:space="0" w:color="auto"/>
            </w:tcBorders>
            <w:vAlign w:val="center"/>
          </w:tcPr>
          <w:p w14:paraId="3D857CFA"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财务管理（4）</w:t>
            </w:r>
          </w:p>
        </w:tc>
        <w:tc>
          <w:tcPr>
            <w:tcW w:w="374" w:type="pct"/>
            <w:tcBorders>
              <w:top w:val="single" w:sz="4" w:space="0" w:color="auto"/>
              <w:left w:val="nil"/>
              <w:bottom w:val="single" w:sz="4" w:space="0" w:color="auto"/>
              <w:right w:val="single" w:sz="4" w:space="0" w:color="auto"/>
            </w:tcBorders>
            <w:vAlign w:val="center"/>
          </w:tcPr>
          <w:p w14:paraId="45185FE2"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财务管理制度健全性</w:t>
            </w:r>
          </w:p>
        </w:tc>
        <w:tc>
          <w:tcPr>
            <w:tcW w:w="422" w:type="pct"/>
            <w:tcBorders>
              <w:top w:val="single" w:sz="4" w:space="0" w:color="auto"/>
              <w:left w:val="nil"/>
              <w:bottom w:val="single" w:sz="4" w:space="0" w:color="auto"/>
              <w:right w:val="single" w:sz="4" w:space="0" w:color="auto"/>
            </w:tcBorders>
            <w:vAlign w:val="center"/>
          </w:tcPr>
          <w:p w14:paraId="53232B81" w14:textId="77777777" w:rsidR="007C06AB" w:rsidRDefault="00000000">
            <w:pPr>
              <w:widowControl/>
              <w:rPr>
                <w:rFonts w:ascii="宋体" w:hAnsi="宋体" w:cs="宋体"/>
                <w:color w:val="000000"/>
                <w:kern w:val="0"/>
                <w:sz w:val="20"/>
                <w:szCs w:val="20"/>
              </w:rPr>
            </w:pPr>
            <w:r>
              <w:rPr>
                <w:rFonts w:ascii="宋体" w:hAnsi="宋体" w:cs="宋体" w:hint="eastAsia"/>
                <w:color w:val="000000"/>
                <w:kern w:val="0"/>
                <w:sz w:val="20"/>
                <w:szCs w:val="20"/>
              </w:rPr>
              <w:t>建立完整的预算管理、财务管理、会计核算制度</w:t>
            </w:r>
          </w:p>
        </w:tc>
        <w:tc>
          <w:tcPr>
            <w:tcW w:w="1202" w:type="pct"/>
            <w:tcBorders>
              <w:top w:val="single" w:sz="4" w:space="0" w:color="auto"/>
              <w:left w:val="nil"/>
              <w:bottom w:val="single" w:sz="4" w:space="0" w:color="auto"/>
              <w:right w:val="single" w:sz="4" w:space="0" w:color="auto"/>
            </w:tcBorders>
            <w:vAlign w:val="center"/>
          </w:tcPr>
          <w:p w14:paraId="0748DBDE" w14:textId="77777777" w:rsidR="007C06AB" w:rsidRDefault="00000000">
            <w:pPr>
              <w:widowControl/>
              <w:rPr>
                <w:rFonts w:ascii="宋体" w:hAnsi="宋体" w:cs="宋体"/>
                <w:color w:val="000000"/>
                <w:kern w:val="0"/>
                <w:sz w:val="20"/>
                <w:szCs w:val="20"/>
              </w:rPr>
            </w:pPr>
            <w:r>
              <w:rPr>
                <w:rFonts w:ascii="宋体" w:hAnsi="宋体" w:cs="宋体" w:hint="eastAsia"/>
                <w:color w:val="000000"/>
                <w:kern w:val="0"/>
                <w:sz w:val="20"/>
                <w:szCs w:val="20"/>
              </w:rPr>
              <w:t>已建立完整的预算管理、财务管理、会计核算制度，并不断结合实际情况修订完善。</w:t>
            </w:r>
          </w:p>
        </w:tc>
        <w:tc>
          <w:tcPr>
            <w:tcW w:w="247" w:type="pct"/>
            <w:tcBorders>
              <w:top w:val="single" w:sz="4" w:space="0" w:color="auto"/>
              <w:left w:val="nil"/>
              <w:bottom w:val="single" w:sz="4" w:space="0" w:color="auto"/>
              <w:right w:val="single" w:sz="4" w:space="0" w:color="auto"/>
            </w:tcBorders>
            <w:noWrap/>
            <w:vAlign w:val="center"/>
          </w:tcPr>
          <w:p w14:paraId="11278BA0"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73" w:type="pct"/>
            <w:tcBorders>
              <w:top w:val="single" w:sz="4" w:space="0" w:color="auto"/>
              <w:left w:val="nil"/>
              <w:bottom w:val="single" w:sz="4" w:space="0" w:color="auto"/>
              <w:right w:val="nil"/>
            </w:tcBorders>
            <w:noWrap/>
            <w:vAlign w:val="center"/>
          </w:tcPr>
          <w:p w14:paraId="3524208A"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0</w:t>
            </w:r>
            <w:r>
              <w:rPr>
                <w:rFonts w:ascii="宋体" w:hAnsi="宋体" w:cs="宋体"/>
                <w:color w:val="000000"/>
                <w:kern w:val="0"/>
                <w:sz w:val="20"/>
                <w:szCs w:val="20"/>
              </w:rPr>
              <w:t>.5</w:t>
            </w:r>
            <w:r>
              <w:rPr>
                <w:rFonts w:ascii="宋体" w:hAnsi="宋体" w:cs="宋体" w:hint="eastAsia"/>
                <w:color w:val="000000"/>
                <w:kern w:val="0"/>
                <w:sz w:val="20"/>
                <w:szCs w:val="20"/>
              </w:rPr>
              <w:t xml:space="preserve">　</w:t>
            </w:r>
          </w:p>
        </w:tc>
        <w:tc>
          <w:tcPr>
            <w:tcW w:w="1147" w:type="pct"/>
            <w:tcBorders>
              <w:top w:val="single" w:sz="4" w:space="0" w:color="auto"/>
              <w:left w:val="single" w:sz="4" w:space="0" w:color="auto"/>
              <w:bottom w:val="single" w:sz="4" w:space="0" w:color="auto"/>
              <w:right w:val="single" w:sz="4" w:space="0" w:color="auto"/>
            </w:tcBorders>
            <w:vAlign w:val="center"/>
          </w:tcPr>
          <w:p w14:paraId="46011670" w14:textId="77777777" w:rsidR="007C06AB" w:rsidRDefault="0000000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财务管理制度健全性:</w:t>
            </w:r>
            <w:r>
              <w:rPr>
                <w:rFonts w:ascii="宋体" w:hAnsi="宋体" w:cs="宋体" w:hint="eastAsia"/>
                <w:color w:val="000000"/>
                <w:kern w:val="0"/>
                <w:sz w:val="18"/>
                <w:szCs w:val="18"/>
              </w:rPr>
              <w:t>部门（单位）为加强财务管理、规范财务行为而制定的管理制度。</w:t>
            </w:r>
          </w:p>
        </w:tc>
        <w:tc>
          <w:tcPr>
            <w:tcW w:w="594" w:type="pct"/>
            <w:tcBorders>
              <w:top w:val="single" w:sz="4" w:space="0" w:color="auto"/>
              <w:left w:val="nil"/>
              <w:bottom w:val="single" w:sz="4" w:space="0" w:color="auto"/>
              <w:right w:val="single" w:sz="4" w:space="0" w:color="auto"/>
            </w:tcBorders>
            <w:vAlign w:val="center"/>
          </w:tcPr>
          <w:p w14:paraId="32C6AB64" w14:textId="77777777" w:rsidR="007C06AB"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①预算资金管理办法、绩效跟踪管理办法、资产管理办法等各项制度是否健全；②部门内部财务管理制度是否完整、合</w:t>
            </w:r>
            <w:proofErr w:type="gramStart"/>
            <w:r>
              <w:rPr>
                <w:rFonts w:ascii="宋体" w:hAnsi="宋体" w:cs="宋体" w:hint="eastAsia"/>
                <w:color w:val="000000"/>
                <w:kern w:val="0"/>
                <w:sz w:val="18"/>
                <w:szCs w:val="18"/>
              </w:rPr>
              <w:t>规</w:t>
            </w:r>
            <w:proofErr w:type="gramEnd"/>
            <w:r>
              <w:rPr>
                <w:rFonts w:ascii="宋体" w:hAnsi="宋体" w:cs="宋体" w:hint="eastAsia"/>
                <w:color w:val="000000"/>
                <w:kern w:val="0"/>
                <w:sz w:val="18"/>
                <w:szCs w:val="18"/>
              </w:rPr>
              <w:t>；③会计核算制度是否完整、合</w:t>
            </w:r>
            <w:proofErr w:type="gramStart"/>
            <w:r>
              <w:rPr>
                <w:rFonts w:ascii="宋体" w:hAnsi="宋体" w:cs="宋体" w:hint="eastAsia"/>
                <w:color w:val="000000"/>
                <w:kern w:val="0"/>
                <w:sz w:val="18"/>
                <w:szCs w:val="18"/>
              </w:rPr>
              <w:t>规</w:t>
            </w:r>
            <w:proofErr w:type="gramEnd"/>
            <w:r>
              <w:rPr>
                <w:rFonts w:ascii="宋体" w:hAnsi="宋体" w:cs="宋体" w:hint="eastAsia"/>
                <w:color w:val="000000"/>
                <w:kern w:val="0"/>
                <w:sz w:val="18"/>
                <w:szCs w:val="18"/>
              </w:rPr>
              <w:t>。每有一项不合格扣0.5分，扣完为止。</w:t>
            </w:r>
          </w:p>
        </w:tc>
      </w:tr>
      <w:tr w:rsidR="007C06AB" w14:paraId="7E112724" w14:textId="77777777" w:rsidTr="00ED1585">
        <w:trPr>
          <w:gridAfter w:val="1"/>
          <w:wAfter w:w="5" w:type="pct"/>
          <w:cantSplit/>
          <w:trHeight w:val="7499"/>
        </w:trPr>
        <w:tc>
          <w:tcPr>
            <w:tcW w:w="390" w:type="pct"/>
            <w:vMerge/>
            <w:tcBorders>
              <w:top w:val="single" w:sz="4" w:space="0" w:color="auto"/>
              <w:left w:val="single" w:sz="4" w:space="0" w:color="auto"/>
              <w:bottom w:val="single" w:sz="4" w:space="0" w:color="000000"/>
              <w:right w:val="single" w:sz="4" w:space="0" w:color="auto"/>
            </w:tcBorders>
            <w:vAlign w:val="center"/>
          </w:tcPr>
          <w:p w14:paraId="35E73C04" w14:textId="77777777" w:rsidR="007C06AB" w:rsidRDefault="007C06AB">
            <w:pPr>
              <w:widowControl/>
              <w:jc w:val="left"/>
              <w:rPr>
                <w:rFonts w:ascii="宋体" w:hAnsi="宋体" w:cs="宋体"/>
                <w:color w:val="000000"/>
                <w:kern w:val="0"/>
                <w:sz w:val="20"/>
                <w:szCs w:val="20"/>
              </w:rPr>
            </w:pPr>
          </w:p>
        </w:tc>
        <w:tc>
          <w:tcPr>
            <w:tcW w:w="346" w:type="pct"/>
            <w:vMerge/>
            <w:tcBorders>
              <w:top w:val="single" w:sz="4" w:space="0" w:color="auto"/>
              <w:left w:val="single" w:sz="4" w:space="0" w:color="auto"/>
              <w:bottom w:val="single" w:sz="4" w:space="0" w:color="auto"/>
              <w:right w:val="single" w:sz="4" w:space="0" w:color="auto"/>
            </w:tcBorders>
            <w:vAlign w:val="center"/>
          </w:tcPr>
          <w:p w14:paraId="02F643A4" w14:textId="77777777" w:rsidR="007C06AB" w:rsidRDefault="007C06AB">
            <w:pPr>
              <w:widowControl/>
              <w:jc w:val="left"/>
              <w:rPr>
                <w:rFonts w:ascii="宋体" w:hAnsi="宋体" w:cs="宋体"/>
                <w:color w:val="000000"/>
                <w:kern w:val="0"/>
                <w:sz w:val="20"/>
                <w:szCs w:val="20"/>
              </w:rPr>
            </w:pPr>
          </w:p>
        </w:tc>
        <w:tc>
          <w:tcPr>
            <w:tcW w:w="374" w:type="pct"/>
            <w:tcBorders>
              <w:top w:val="single" w:sz="4" w:space="0" w:color="auto"/>
              <w:left w:val="nil"/>
              <w:bottom w:val="single" w:sz="4" w:space="0" w:color="auto"/>
              <w:right w:val="single" w:sz="4" w:space="0" w:color="auto"/>
            </w:tcBorders>
            <w:vAlign w:val="center"/>
          </w:tcPr>
          <w:p w14:paraId="3C8DAA6B"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资金使用合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性和安全性</w:t>
            </w:r>
          </w:p>
        </w:tc>
        <w:tc>
          <w:tcPr>
            <w:tcW w:w="422" w:type="pct"/>
            <w:tcBorders>
              <w:top w:val="single" w:sz="4" w:space="0" w:color="auto"/>
              <w:left w:val="nil"/>
              <w:bottom w:val="single" w:sz="4" w:space="0" w:color="auto"/>
              <w:right w:val="single" w:sz="4" w:space="0" w:color="auto"/>
            </w:tcBorders>
            <w:vAlign w:val="center"/>
          </w:tcPr>
          <w:p w14:paraId="21CF9B6C"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使用预算资金符合相关的预算财务管理制度的规定，符合相关规定的开支范围。　</w:t>
            </w:r>
          </w:p>
        </w:tc>
        <w:tc>
          <w:tcPr>
            <w:tcW w:w="1202" w:type="pct"/>
            <w:tcBorders>
              <w:top w:val="single" w:sz="4" w:space="0" w:color="auto"/>
              <w:left w:val="nil"/>
              <w:bottom w:val="single" w:sz="4" w:space="0" w:color="auto"/>
              <w:right w:val="single" w:sz="4" w:space="0" w:color="auto"/>
            </w:tcBorders>
            <w:vAlign w:val="center"/>
          </w:tcPr>
          <w:p w14:paraId="348A52D4" w14:textId="77777777" w:rsidR="007C06AB" w:rsidRDefault="00000000">
            <w:pPr>
              <w:widowControl/>
              <w:rPr>
                <w:rFonts w:ascii="宋体" w:hAnsi="宋体" w:cs="宋体"/>
                <w:color w:val="000000"/>
                <w:kern w:val="0"/>
                <w:sz w:val="20"/>
                <w:szCs w:val="20"/>
              </w:rPr>
            </w:pPr>
            <w:r>
              <w:rPr>
                <w:rFonts w:ascii="宋体" w:hAnsi="宋体" w:cs="宋体" w:hint="eastAsia"/>
                <w:color w:val="000000"/>
                <w:kern w:val="0"/>
                <w:sz w:val="20"/>
                <w:szCs w:val="20"/>
              </w:rPr>
              <w:t>2</w:t>
            </w:r>
            <w:r>
              <w:rPr>
                <w:rFonts w:ascii="宋体" w:hAnsi="宋体" w:cs="宋体"/>
                <w:color w:val="000000"/>
                <w:kern w:val="0"/>
                <w:sz w:val="20"/>
                <w:szCs w:val="20"/>
              </w:rPr>
              <w:t>022</w:t>
            </w:r>
            <w:r>
              <w:rPr>
                <w:rFonts w:ascii="宋体" w:hAnsi="宋体" w:cs="宋体" w:hint="eastAsia"/>
                <w:color w:val="000000"/>
                <w:kern w:val="0"/>
                <w:sz w:val="20"/>
                <w:szCs w:val="20"/>
              </w:rPr>
              <w:t>年能够合理安排资金支出进度，资金使用整体合</w:t>
            </w:r>
            <w:proofErr w:type="gramStart"/>
            <w:r>
              <w:rPr>
                <w:rFonts w:ascii="宋体" w:hAnsi="宋体" w:cs="宋体" w:hint="eastAsia"/>
                <w:color w:val="000000"/>
                <w:kern w:val="0"/>
                <w:sz w:val="20"/>
                <w:szCs w:val="20"/>
              </w:rPr>
              <w:t>规</w:t>
            </w:r>
            <w:proofErr w:type="gramEnd"/>
            <w:r>
              <w:rPr>
                <w:rFonts w:ascii="宋体" w:hAnsi="宋体" w:cs="宋体" w:hint="eastAsia"/>
                <w:color w:val="000000"/>
                <w:kern w:val="0"/>
                <w:sz w:val="20"/>
                <w:szCs w:val="20"/>
              </w:rPr>
              <w:t xml:space="preserve">且安全，能够按照规定内容规定时间公开预算信息。　</w:t>
            </w:r>
          </w:p>
        </w:tc>
        <w:tc>
          <w:tcPr>
            <w:tcW w:w="247" w:type="pct"/>
            <w:tcBorders>
              <w:top w:val="single" w:sz="4" w:space="0" w:color="auto"/>
              <w:left w:val="nil"/>
              <w:bottom w:val="single" w:sz="4" w:space="0" w:color="auto"/>
              <w:right w:val="single" w:sz="4" w:space="0" w:color="auto"/>
            </w:tcBorders>
            <w:noWrap/>
            <w:vAlign w:val="center"/>
          </w:tcPr>
          <w:p w14:paraId="39986BA1"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273" w:type="pct"/>
            <w:tcBorders>
              <w:top w:val="single" w:sz="4" w:space="0" w:color="auto"/>
              <w:left w:val="nil"/>
              <w:bottom w:val="single" w:sz="4" w:space="0" w:color="auto"/>
              <w:right w:val="nil"/>
            </w:tcBorders>
            <w:noWrap/>
            <w:vAlign w:val="center"/>
          </w:tcPr>
          <w:p w14:paraId="2765C672"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2　</w:t>
            </w:r>
          </w:p>
        </w:tc>
        <w:tc>
          <w:tcPr>
            <w:tcW w:w="1147" w:type="pct"/>
            <w:tcBorders>
              <w:top w:val="single" w:sz="4" w:space="0" w:color="auto"/>
              <w:left w:val="single" w:sz="4" w:space="0" w:color="auto"/>
              <w:bottom w:val="single" w:sz="4" w:space="0" w:color="auto"/>
              <w:right w:val="single" w:sz="4" w:space="0" w:color="auto"/>
            </w:tcBorders>
            <w:vAlign w:val="center"/>
          </w:tcPr>
          <w:p w14:paraId="067ADDC8" w14:textId="77777777" w:rsidR="007C06AB" w:rsidRDefault="0000000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资金使用合</w:t>
            </w:r>
            <w:proofErr w:type="gramStart"/>
            <w:r>
              <w:rPr>
                <w:rFonts w:ascii="宋体" w:hAnsi="宋体" w:cs="宋体" w:hint="eastAsia"/>
                <w:b/>
                <w:bCs/>
                <w:color w:val="000000"/>
                <w:kern w:val="0"/>
                <w:sz w:val="18"/>
                <w:szCs w:val="18"/>
              </w:rPr>
              <w:t>规</w:t>
            </w:r>
            <w:proofErr w:type="gramEnd"/>
            <w:r>
              <w:rPr>
                <w:rFonts w:ascii="宋体" w:hAnsi="宋体" w:cs="宋体" w:hint="eastAsia"/>
                <w:b/>
                <w:bCs/>
                <w:color w:val="000000"/>
                <w:kern w:val="0"/>
                <w:sz w:val="18"/>
                <w:szCs w:val="18"/>
              </w:rPr>
              <w:t>性和安全性:</w:t>
            </w:r>
            <w:r>
              <w:rPr>
                <w:rFonts w:ascii="宋体" w:hAnsi="宋体" w:cs="宋体" w:hint="eastAsia"/>
                <w:color w:val="000000"/>
                <w:kern w:val="0"/>
                <w:sz w:val="18"/>
                <w:szCs w:val="18"/>
              </w:rPr>
              <w:t>部门（单位）使用预算资金是否符合相关的预算财务管理制度的规定，是否符合相关规定的开支范围，用以反映考核部门（单位）预算资金的规范运行和安全运行情况。</w:t>
            </w:r>
          </w:p>
        </w:tc>
        <w:tc>
          <w:tcPr>
            <w:tcW w:w="594" w:type="pct"/>
            <w:tcBorders>
              <w:top w:val="single" w:sz="4" w:space="0" w:color="auto"/>
              <w:left w:val="nil"/>
              <w:bottom w:val="single" w:sz="4" w:space="0" w:color="auto"/>
              <w:right w:val="single" w:sz="4" w:space="0" w:color="auto"/>
            </w:tcBorders>
            <w:vAlign w:val="center"/>
          </w:tcPr>
          <w:p w14:paraId="329AF762" w14:textId="77777777" w:rsidR="007C06AB"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rsidR="007C06AB" w14:paraId="7493C750" w14:textId="77777777" w:rsidTr="00ED1585">
        <w:trPr>
          <w:gridAfter w:val="1"/>
          <w:wAfter w:w="5" w:type="pct"/>
          <w:cantSplit/>
          <w:trHeight w:val="2538"/>
        </w:trPr>
        <w:tc>
          <w:tcPr>
            <w:tcW w:w="390" w:type="pct"/>
            <w:vMerge/>
            <w:tcBorders>
              <w:top w:val="nil"/>
              <w:left w:val="single" w:sz="4" w:space="0" w:color="auto"/>
              <w:bottom w:val="single" w:sz="4" w:space="0" w:color="000000"/>
              <w:right w:val="single" w:sz="4" w:space="0" w:color="auto"/>
            </w:tcBorders>
            <w:vAlign w:val="center"/>
          </w:tcPr>
          <w:p w14:paraId="73178749" w14:textId="77777777" w:rsidR="007C06AB" w:rsidRDefault="007C06AB">
            <w:pPr>
              <w:widowControl/>
              <w:jc w:val="left"/>
              <w:rPr>
                <w:rFonts w:ascii="宋体" w:hAnsi="宋体" w:cs="宋体"/>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tcPr>
          <w:p w14:paraId="68ADFB6C" w14:textId="77777777" w:rsidR="007C06AB" w:rsidRDefault="007C06AB">
            <w:pPr>
              <w:widowControl/>
              <w:jc w:val="left"/>
              <w:rPr>
                <w:rFonts w:ascii="宋体" w:hAnsi="宋体" w:cs="宋体"/>
                <w:color w:val="000000"/>
                <w:kern w:val="0"/>
                <w:sz w:val="20"/>
                <w:szCs w:val="20"/>
              </w:rPr>
            </w:pPr>
          </w:p>
        </w:tc>
        <w:tc>
          <w:tcPr>
            <w:tcW w:w="374" w:type="pct"/>
            <w:tcBorders>
              <w:top w:val="nil"/>
              <w:left w:val="nil"/>
              <w:bottom w:val="single" w:sz="4" w:space="0" w:color="auto"/>
              <w:right w:val="single" w:sz="4" w:space="0" w:color="auto"/>
            </w:tcBorders>
            <w:vAlign w:val="center"/>
          </w:tcPr>
          <w:p w14:paraId="75933A78"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会计基础信息完善性</w:t>
            </w:r>
          </w:p>
        </w:tc>
        <w:tc>
          <w:tcPr>
            <w:tcW w:w="422" w:type="pct"/>
            <w:tcBorders>
              <w:top w:val="nil"/>
              <w:left w:val="nil"/>
              <w:bottom w:val="single" w:sz="4" w:space="0" w:color="auto"/>
              <w:right w:val="single" w:sz="4" w:space="0" w:color="auto"/>
            </w:tcBorders>
            <w:vAlign w:val="center"/>
          </w:tcPr>
          <w:p w14:paraId="2C36FE70"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会计基础信息</w:t>
            </w:r>
            <w:proofErr w:type="gramStart"/>
            <w:r>
              <w:rPr>
                <w:rFonts w:ascii="宋体" w:hAnsi="宋体" w:cs="宋体" w:hint="eastAsia"/>
                <w:color w:val="000000"/>
                <w:kern w:val="0"/>
                <w:sz w:val="20"/>
                <w:szCs w:val="20"/>
              </w:rPr>
              <w:t xml:space="preserve">完善　</w:t>
            </w:r>
            <w:proofErr w:type="gramEnd"/>
          </w:p>
        </w:tc>
        <w:tc>
          <w:tcPr>
            <w:tcW w:w="1202" w:type="pct"/>
            <w:tcBorders>
              <w:top w:val="nil"/>
              <w:left w:val="nil"/>
              <w:bottom w:val="single" w:sz="4" w:space="0" w:color="auto"/>
              <w:right w:val="single" w:sz="4" w:space="0" w:color="auto"/>
            </w:tcBorders>
            <w:vAlign w:val="center"/>
          </w:tcPr>
          <w:p w14:paraId="54CBD771" w14:textId="77777777" w:rsidR="007C06AB"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2</w:t>
            </w:r>
            <w:r>
              <w:rPr>
                <w:rFonts w:ascii="宋体" w:hAnsi="宋体" w:cs="宋体"/>
                <w:color w:val="000000"/>
                <w:kern w:val="0"/>
                <w:sz w:val="20"/>
                <w:szCs w:val="20"/>
              </w:rPr>
              <w:t>022</w:t>
            </w:r>
            <w:r>
              <w:rPr>
                <w:rFonts w:ascii="宋体" w:hAnsi="宋体" w:cs="宋体" w:hint="eastAsia"/>
                <w:color w:val="000000"/>
                <w:kern w:val="0"/>
                <w:sz w:val="20"/>
                <w:szCs w:val="20"/>
              </w:rPr>
              <w:t>年，会计基础信息和会计信息资料完整、真实和准确。</w:t>
            </w:r>
          </w:p>
        </w:tc>
        <w:tc>
          <w:tcPr>
            <w:tcW w:w="247" w:type="pct"/>
            <w:tcBorders>
              <w:top w:val="nil"/>
              <w:left w:val="nil"/>
              <w:bottom w:val="single" w:sz="4" w:space="0" w:color="auto"/>
              <w:right w:val="single" w:sz="4" w:space="0" w:color="auto"/>
            </w:tcBorders>
            <w:noWrap/>
            <w:vAlign w:val="center"/>
          </w:tcPr>
          <w:p w14:paraId="2B14F234"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73" w:type="pct"/>
            <w:tcBorders>
              <w:top w:val="nil"/>
              <w:left w:val="nil"/>
              <w:bottom w:val="single" w:sz="4" w:space="0" w:color="auto"/>
              <w:right w:val="nil"/>
            </w:tcBorders>
            <w:noWrap/>
            <w:vAlign w:val="center"/>
          </w:tcPr>
          <w:p w14:paraId="5D9C7ACC"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1　</w:t>
            </w:r>
          </w:p>
        </w:tc>
        <w:tc>
          <w:tcPr>
            <w:tcW w:w="1147" w:type="pct"/>
            <w:tcBorders>
              <w:top w:val="nil"/>
              <w:left w:val="single" w:sz="4" w:space="0" w:color="auto"/>
              <w:bottom w:val="single" w:sz="4" w:space="0" w:color="auto"/>
              <w:right w:val="single" w:sz="4" w:space="0" w:color="auto"/>
            </w:tcBorders>
            <w:vAlign w:val="center"/>
          </w:tcPr>
          <w:p w14:paraId="571FD001" w14:textId="77777777" w:rsidR="007C06AB" w:rsidRDefault="0000000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会计基础信息完善性:</w:t>
            </w:r>
            <w:r>
              <w:rPr>
                <w:rFonts w:ascii="宋体" w:hAnsi="宋体" w:cs="宋体" w:hint="eastAsia"/>
                <w:color w:val="000000"/>
                <w:kern w:val="0"/>
                <w:sz w:val="18"/>
                <w:szCs w:val="18"/>
              </w:rPr>
              <w:t>部门（单位）会计基础信息情况。</w:t>
            </w:r>
          </w:p>
        </w:tc>
        <w:tc>
          <w:tcPr>
            <w:tcW w:w="594" w:type="pct"/>
            <w:tcBorders>
              <w:top w:val="nil"/>
              <w:left w:val="nil"/>
              <w:bottom w:val="single" w:sz="4" w:space="0" w:color="auto"/>
              <w:right w:val="single" w:sz="4" w:space="0" w:color="auto"/>
            </w:tcBorders>
            <w:vAlign w:val="center"/>
          </w:tcPr>
          <w:p w14:paraId="7A7BA5C7" w14:textId="77777777" w:rsidR="007C06AB"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①基础数据信息和会计信息资料是否真实；②基础数据信息和会计信息资料是否完整；③基础数据信息和会计信息资料是否准确。每有一项不合格扣0.5分，扣完为止。</w:t>
            </w:r>
          </w:p>
        </w:tc>
      </w:tr>
      <w:tr w:rsidR="007C06AB" w14:paraId="581414C5" w14:textId="77777777">
        <w:trPr>
          <w:gridAfter w:val="1"/>
          <w:wAfter w:w="5" w:type="pct"/>
          <w:cantSplit/>
          <w:trHeight w:val="2220"/>
        </w:trPr>
        <w:tc>
          <w:tcPr>
            <w:tcW w:w="390" w:type="pct"/>
            <w:vMerge/>
            <w:tcBorders>
              <w:top w:val="nil"/>
              <w:left w:val="single" w:sz="4" w:space="0" w:color="auto"/>
              <w:bottom w:val="single" w:sz="4" w:space="0" w:color="000000"/>
              <w:right w:val="single" w:sz="4" w:space="0" w:color="auto"/>
            </w:tcBorders>
            <w:vAlign w:val="center"/>
          </w:tcPr>
          <w:p w14:paraId="64524A5C" w14:textId="77777777" w:rsidR="007C06AB" w:rsidRDefault="007C06AB">
            <w:pPr>
              <w:widowControl/>
              <w:jc w:val="left"/>
              <w:rPr>
                <w:rFonts w:ascii="宋体" w:hAnsi="宋体" w:cs="宋体"/>
                <w:color w:val="000000"/>
                <w:kern w:val="0"/>
                <w:sz w:val="20"/>
                <w:szCs w:val="20"/>
              </w:rPr>
            </w:pPr>
          </w:p>
        </w:tc>
        <w:tc>
          <w:tcPr>
            <w:tcW w:w="346" w:type="pct"/>
            <w:tcBorders>
              <w:top w:val="single" w:sz="4" w:space="0" w:color="auto"/>
              <w:left w:val="single" w:sz="4" w:space="0" w:color="auto"/>
              <w:bottom w:val="single" w:sz="4" w:space="0" w:color="auto"/>
              <w:right w:val="single" w:sz="4" w:space="0" w:color="auto"/>
            </w:tcBorders>
            <w:vAlign w:val="center"/>
          </w:tcPr>
          <w:p w14:paraId="43FBA6D4"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资产管理（4）</w:t>
            </w:r>
          </w:p>
        </w:tc>
        <w:tc>
          <w:tcPr>
            <w:tcW w:w="374" w:type="pct"/>
            <w:tcBorders>
              <w:top w:val="single" w:sz="4" w:space="0" w:color="auto"/>
              <w:left w:val="single" w:sz="4" w:space="0" w:color="auto"/>
              <w:bottom w:val="single" w:sz="4" w:space="0" w:color="auto"/>
              <w:right w:val="single" w:sz="4" w:space="0" w:color="auto"/>
            </w:tcBorders>
            <w:vAlign w:val="center"/>
          </w:tcPr>
          <w:p w14:paraId="283BF313"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资产管理规范性</w:t>
            </w:r>
          </w:p>
        </w:tc>
        <w:tc>
          <w:tcPr>
            <w:tcW w:w="422" w:type="pct"/>
            <w:tcBorders>
              <w:top w:val="single" w:sz="4" w:space="0" w:color="auto"/>
              <w:left w:val="single" w:sz="4" w:space="0" w:color="auto"/>
              <w:bottom w:val="single" w:sz="4" w:space="0" w:color="auto"/>
              <w:right w:val="single" w:sz="4" w:space="0" w:color="auto"/>
            </w:tcBorders>
            <w:vAlign w:val="center"/>
          </w:tcPr>
          <w:p w14:paraId="1EE8F480" w14:textId="77777777" w:rsidR="007C06AB"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资产保持安全完整，资产配置合理，资产使用和资产处理规范</w:t>
            </w:r>
          </w:p>
        </w:tc>
        <w:tc>
          <w:tcPr>
            <w:tcW w:w="1202" w:type="pct"/>
            <w:tcBorders>
              <w:top w:val="single" w:sz="4" w:space="0" w:color="auto"/>
              <w:left w:val="single" w:sz="4" w:space="0" w:color="auto"/>
              <w:bottom w:val="single" w:sz="4" w:space="0" w:color="auto"/>
              <w:right w:val="single" w:sz="4" w:space="0" w:color="auto"/>
            </w:tcBorders>
            <w:vAlign w:val="center"/>
          </w:tcPr>
          <w:p w14:paraId="69F888BF" w14:textId="77777777" w:rsidR="007C06AB" w:rsidRDefault="00000000">
            <w:pPr>
              <w:widowControl/>
              <w:jc w:val="left"/>
              <w:rPr>
                <w:rFonts w:ascii="宋体" w:hAnsi="宋体" w:cs="宋体"/>
                <w:color w:val="000000"/>
                <w:kern w:val="0"/>
                <w:sz w:val="20"/>
                <w:szCs w:val="20"/>
              </w:rPr>
            </w:pPr>
            <w:proofErr w:type="gramStart"/>
            <w:r>
              <w:rPr>
                <w:rFonts w:ascii="宋体" w:hAnsi="宋体" w:cs="宋体" w:hint="eastAsia"/>
                <w:color w:val="000000"/>
                <w:kern w:val="0"/>
                <w:sz w:val="20"/>
                <w:szCs w:val="20"/>
              </w:rPr>
              <w:t>大兴区</w:t>
            </w:r>
            <w:proofErr w:type="gramEnd"/>
            <w:r>
              <w:rPr>
                <w:rFonts w:ascii="宋体" w:hAnsi="宋体" w:cs="宋体" w:hint="eastAsia"/>
                <w:color w:val="000000"/>
                <w:kern w:val="0"/>
                <w:sz w:val="20"/>
                <w:szCs w:val="20"/>
              </w:rPr>
              <w:t>人民法院资产日常管理、新增、报废等工作均严格按照市财政局的规定程序办理，资产动态系统与会计账簿系统总额保持一致。</w:t>
            </w:r>
          </w:p>
        </w:tc>
        <w:tc>
          <w:tcPr>
            <w:tcW w:w="247" w:type="pct"/>
            <w:tcBorders>
              <w:top w:val="single" w:sz="4" w:space="0" w:color="auto"/>
              <w:left w:val="single" w:sz="4" w:space="0" w:color="auto"/>
              <w:bottom w:val="single" w:sz="4" w:space="0" w:color="auto"/>
              <w:right w:val="single" w:sz="4" w:space="0" w:color="auto"/>
            </w:tcBorders>
            <w:vAlign w:val="center"/>
          </w:tcPr>
          <w:p w14:paraId="7EA2F4B4"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73" w:type="pct"/>
            <w:tcBorders>
              <w:top w:val="single" w:sz="4" w:space="0" w:color="auto"/>
              <w:left w:val="single" w:sz="4" w:space="0" w:color="auto"/>
              <w:bottom w:val="single" w:sz="4" w:space="0" w:color="auto"/>
              <w:right w:val="single" w:sz="4" w:space="0" w:color="auto"/>
            </w:tcBorders>
            <w:vAlign w:val="center"/>
          </w:tcPr>
          <w:p w14:paraId="4C929E1E" w14:textId="77777777" w:rsidR="007C06AB" w:rsidRDefault="00000000">
            <w:pPr>
              <w:widowControl/>
              <w:jc w:val="center"/>
              <w:rPr>
                <w:rFonts w:ascii="宋体" w:hAnsi="宋体" w:cs="宋体"/>
                <w:color w:val="000000"/>
                <w:kern w:val="0"/>
                <w:sz w:val="20"/>
                <w:szCs w:val="20"/>
              </w:rPr>
            </w:pPr>
            <w:r>
              <w:rPr>
                <w:rFonts w:ascii="宋体" w:hAnsi="宋体" w:cs="宋体"/>
                <w:color w:val="000000"/>
                <w:kern w:val="0"/>
                <w:sz w:val="20"/>
                <w:szCs w:val="20"/>
              </w:rPr>
              <w:t>4</w:t>
            </w:r>
            <w:r>
              <w:rPr>
                <w:rFonts w:ascii="宋体" w:hAnsi="宋体" w:cs="宋体" w:hint="eastAsia"/>
                <w:color w:val="000000"/>
                <w:kern w:val="0"/>
                <w:sz w:val="20"/>
                <w:szCs w:val="20"/>
              </w:rPr>
              <w:t xml:space="preserve">　</w:t>
            </w:r>
          </w:p>
        </w:tc>
        <w:tc>
          <w:tcPr>
            <w:tcW w:w="1147" w:type="pct"/>
            <w:tcBorders>
              <w:top w:val="single" w:sz="4" w:space="0" w:color="auto"/>
              <w:left w:val="single" w:sz="4" w:space="0" w:color="auto"/>
              <w:bottom w:val="single" w:sz="4" w:space="0" w:color="auto"/>
              <w:right w:val="single" w:sz="4" w:space="0" w:color="auto"/>
            </w:tcBorders>
            <w:vAlign w:val="center"/>
          </w:tcPr>
          <w:p w14:paraId="2FC8C123" w14:textId="77777777" w:rsidR="007C06AB" w:rsidRDefault="0000000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资产管理规范性:</w:t>
            </w:r>
            <w:r>
              <w:rPr>
                <w:rFonts w:ascii="宋体" w:hAnsi="宋体" w:cs="宋体" w:hint="eastAsia"/>
                <w:color w:val="000000"/>
                <w:kern w:val="0"/>
                <w:sz w:val="18"/>
                <w:szCs w:val="18"/>
              </w:rPr>
              <w:t>部门（单位）的资产是否保持安全完整，资产配置是否合理，资产使用和资产处理是否规范，用以反映和考核部门（单位）资产管理的整体水平。</w:t>
            </w:r>
          </w:p>
        </w:tc>
        <w:tc>
          <w:tcPr>
            <w:tcW w:w="594" w:type="pct"/>
            <w:tcBorders>
              <w:top w:val="single" w:sz="4" w:space="0" w:color="auto"/>
              <w:left w:val="single" w:sz="4" w:space="0" w:color="auto"/>
              <w:bottom w:val="single" w:sz="4" w:space="0" w:color="auto"/>
              <w:right w:val="single" w:sz="4" w:space="0" w:color="auto"/>
            </w:tcBorders>
            <w:vAlign w:val="center"/>
          </w:tcPr>
          <w:p w14:paraId="43A62632" w14:textId="77777777" w:rsidR="007C06AB"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rsidR="007C06AB" w14:paraId="2C6FDCD6" w14:textId="77777777">
        <w:trPr>
          <w:gridAfter w:val="1"/>
          <w:wAfter w:w="5" w:type="pct"/>
          <w:cantSplit/>
          <w:trHeight w:val="1210"/>
        </w:trPr>
        <w:tc>
          <w:tcPr>
            <w:tcW w:w="390" w:type="pct"/>
            <w:vMerge/>
            <w:tcBorders>
              <w:top w:val="nil"/>
              <w:left w:val="single" w:sz="4" w:space="0" w:color="auto"/>
              <w:bottom w:val="single" w:sz="4" w:space="0" w:color="000000"/>
              <w:right w:val="single" w:sz="4" w:space="0" w:color="auto"/>
            </w:tcBorders>
            <w:vAlign w:val="center"/>
          </w:tcPr>
          <w:p w14:paraId="156DA3C8" w14:textId="77777777" w:rsidR="007C06AB" w:rsidRDefault="007C06AB">
            <w:pPr>
              <w:widowControl/>
              <w:jc w:val="left"/>
              <w:rPr>
                <w:rFonts w:ascii="宋体" w:hAnsi="宋体" w:cs="宋体"/>
                <w:color w:val="000000"/>
                <w:kern w:val="0"/>
                <w:sz w:val="20"/>
                <w:szCs w:val="20"/>
              </w:rPr>
            </w:pPr>
          </w:p>
        </w:tc>
        <w:tc>
          <w:tcPr>
            <w:tcW w:w="346" w:type="pct"/>
            <w:tcBorders>
              <w:top w:val="single" w:sz="4" w:space="0" w:color="auto"/>
              <w:left w:val="nil"/>
              <w:bottom w:val="single" w:sz="4" w:space="0" w:color="auto"/>
              <w:right w:val="single" w:sz="4" w:space="0" w:color="auto"/>
            </w:tcBorders>
            <w:vAlign w:val="center"/>
          </w:tcPr>
          <w:p w14:paraId="2A30FDCF"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绩效管理（4）</w:t>
            </w:r>
          </w:p>
        </w:tc>
        <w:tc>
          <w:tcPr>
            <w:tcW w:w="374" w:type="pct"/>
            <w:tcBorders>
              <w:top w:val="single" w:sz="4" w:space="0" w:color="auto"/>
              <w:left w:val="nil"/>
              <w:bottom w:val="single" w:sz="4" w:space="0" w:color="auto"/>
              <w:right w:val="single" w:sz="4" w:space="0" w:color="auto"/>
            </w:tcBorders>
            <w:vAlign w:val="center"/>
          </w:tcPr>
          <w:p w14:paraId="3485B2FC"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绩效管理情况</w:t>
            </w:r>
          </w:p>
        </w:tc>
        <w:tc>
          <w:tcPr>
            <w:tcW w:w="422" w:type="pct"/>
            <w:tcBorders>
              <w:top w:val="single" w:sz="4" w:space="0" w:color="auto"/>
              <w:left w:val="nil"/>
              <w:bottom w:val="single" w:sz="4" w:space="0" w:color="auto"/>
              <w:right w:val="single" w:sz="4" w:space="0" w:color="auto"/>
            </w:tcBorders>
            <w:vAlign w:val="center"/>
          </w:tcPr>
          <w:p w14:paraId="08303DA6" w14:textId="77777777" w:rsidR="007C06AB"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绩效管理信息的汇总和应用情况</w:t>
            </w:r>
          </w:p>
        </w:tc>
        <w:tc>
          <w:tcPr>
            <w:tcW w:w="1202" w:type="pct"/>
            <w:tcBorders>
              <w:top w:val="single" w:sz="4" w:space="0" w:color="auto"/>
              <w:left w:val="nil"/>
              <w:bottom w:val="single" w:sz="4" w:space="0" w:color="auto"/>
              <w:right w:val="single" w:sz="4" w:space="0" w:color="auto"/>
            </w:tcBorders>
            <w:vAlign w:val="center"/>
          </w:tcPr>
          <w:p w14:paraId="3DB9C373" w14:textId="77777777" w:rsidR="007C06AB"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全方位把握部门整体预算执行、整体绩效目标实现和预算管理情况，但未及时对绩效信息进行汇总分析整理。</w:t>
            </w:r>
          </w:p>
        </w:tc>
        <w:tc>
          <w:tcPr>
            <w:tcW w:w="247" w:type="pct"/>
            <w:tcBorders>
              <w:top w:val="single" w:sz="4" w:space="0" w:color="auto"/>
              <w:left w:val="nil"/>
              <w:bottom w:val="single" w:sz="4" w:space="0" w:color="auto"/>
              <w:right w:val="single" w:sz="4" w:space="0" w:color="auto"/>
            </w:tcBorders>
            <w:vAlign w:val="center"/>
          </w:tcPr>
          <w:p w14:paraId="1A8BEAD2"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73" w:type="pct"/>
            <w:tcBorders>
              <w:top w:val="single" w:sz="4" w:space="0" w:color="auto"/>
              <w:left w:val="nil"/>
              <w:bottom w:val="single" w:sz="4" w:space="0" w:color="auto"/>
              <w:right w:val="nil"/>
            </w:tcBorders>
            <w:vAlign w:val="center"/>
          </w:tcPr>
          <w:p w14:paraId="04BC3E2E"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2　</w:t>
            </w:r>
          </w:p>
        </w:tc>
        <w:tc>
          <w:tcPr>
            <w:tcW w:w="1147" w:type="pct"/>
            <w:tcBorders>
              <w:top w:val="single" w:sz="4" w:space="0" w:color="auto"/>
              <w:left w:val="single" w:sz="4" w:space="0" w:color="auto"/>
              <w:bottom w:val="single" w:sz="4" w:space="0" w:color="auto"/>
              <w:right w:val="single" w:sz="4" w:space="0" w:color="auto"/>
            </w:tcBorders>
            <w:vAlign w:val="center"/>
          </w:tcPr>
          <w:p w14:paraId="44AA0D8D" w14:textId="77777777" w:rsidR="007C06AB" w:rsidRDefault="00000000">
            <w:pPr>
              <w:widowControl/>
              <w:jc w:val="left"/>
              <w:rPr>
                <w:rFonts w:ascii="宋体" w:hAnsi="宋体" w:cs="宋体"/>
                <w:color w:val="000000"/>
                <w:kern w:val="0"/>
                <w:sz w:val="18"/>
                <w:szCs w:val="18"/>
              </w:rPr>
            </w:pPr>
            <w:r>
              <w:rPr>
                <w:rFonts w:ascii="宋体" w:hAnsi="宋体" w:cs="宋体" w:hint="eastAsia"/>
                <w:b/>
                <w:bCs/>
                <w:color w:val="000000"/>
                <w:kern w:val="0"/>
                <w:sz w:val="18"/>
                <w:szCs w:val="18"/>
              </w:rPr>
              <w:t>绩效管理情况:</w:t>
            </w:r>
            <w:r>
              <w:rPr>
                <w:rFonts w:ascii="宋体" w:hAnsi="宋体" w:cs="宋体" w:hint="eastAsia"/>
                <w:color w:val="000000"/>
                <w:kern w:val="0"/>
                <w:sz w:val="18"/>
                <w:szCs w:val="18"/>
              </w:rPr>
              <w:t>考核部门（单位）在绩效管理信息的汇总和应用情况。</w:t>
            </w:r>
          </w:p>
        </w:tc>
        <w:tc>
          <w:tcPr>
            <w:tcW w:w="594" w:type="pct"/>
            <w:tcBorders>
              <w:top w:val="single" w:sz="4" w:space="0" w:color="auto"/>
              <w:left w:val="nil"/>
              <w:bottom w:val="single" w:sz="4" w:space="0" w:color="auto"/>
              <w:right w:val="single" w:sz="4" w:space="0" w:color="auto"/>
            </w:tcBorders>
            <w:vAlign w:val="center"/>
          </w:tcPr>
          <w:p w14:paraId="4AD6C5D2" w14:textId="77777777" w:rsidR="007C06AB"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①部门（单位）是否及时对绩效信息进行汇总分析整理；②部门（单位）是否对绩效目标偏离情况及时进行矫正。每有一项不合格扣2分。</w:t>
            </w:r>
          </w:p>
        </w:tc>
      </w:tr>
      <w:tr w:rsidR="007C06AB" w14:paraId="7FA7BBDA" w14:textId="77777777">
        <w:trPr>
          <w:gridAfter w:val="1"/>
          <w:wAfter w:w="5" w:type="pct"/>
          <w:cantSplit/>
          <w:trHeight w:val="394"/>
        </w:trPr>
        <w:tc>
          <w:tcPr>
            <w:tcW w:w="390" w:type="pct"/>
            <w:vMerge/>
            <w:tcBorders>
              <w:top w:val="nil"/>
              <w:left w:val="single" w:sz="4" w:space="0" w:color="auto"/>
              <w:bottom w:val="single" w:sz="4" w:space="0" w:color="000000"/>
              <w:right w:val="single" w:sz="4" w:space="0" w:color="auto"/>
            </w:tcBorders>
            <w:vAlign w:val="center"/>
          </w:tcPr>
          <w:p w14:paraId="5A77C586" w14:textId="77777777" w:rsidR="007C06AB" w:rsidRDefault="007C06AB">
            <w:pPr>
              <w:widowControl/>
              <w:jc w:val="left"/>
              <w:rPr>
                <w:rFonts w:ascii="宋体" w:hAnsi="宋体" w:cs="宋体"/>
                <w:color w:val="000000"/>
                <w:kern w:val="0"/>
                <w:sz w:val="20"/>
                <w:szCs w:val="20"/>
              </w:rPr>
            </w:pPr>
          </w:p>
        </w:tc>
        <w:tc>
          <w:tcPr>
            <w:tcW w:w="346" w:type="pct"/>
            <w:tcBorders>
              <w:top w:val="single" w:sz="4" w:space="0" w:color="auto"/>
              <w:left w:val="nil"/>
              <w:bottom w:val="single" w:sz="4" w:space="0" w:color="auto"/>
              <w:right w:val="single" w:sz="4" w:space="0" w:color="auto"/>
            </w:tcBorders>
            <w:vAlign w:val="center"/>
          </w:tcPr>
          <w:p w14:paraId="3FE17FF8"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指标　</w:t>
            </w:r>
          </w:p>
        </w:tc>
        <w:tc>
          <w:tcPr>
            <w:tcW w:w="796" w:type="pct"/>
            <w:gridSpan w:val="2"/>
            <w:tcBorders>
              <w:top w:val="single" w:sz="4" w:space="0" w:color="auto"/>
              <w:left w:val="nil"/>
              <w:bottom w:val="single" w:sz="4" w:space="0" w:color="auto"/>
              <w:right w:val="single" w:sz="4" w:space="0" w:color="000000"/>
            </w:tcBorders>
            <w:vAlign w:val="center"/>
          </w:tcPr>
          <w:p w14:paraId="48F72236"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2021年</w:t>
            </w:r>
          </w:p>
        </w:tc>
        <w:tc>
          <w:tcPr>
            <w:tcW w:w="1202" w:type="pct"/>
            <w:tcBorders>
              <w:top w:val="single" w:sz="4" w:space="0" w:color="auto"/>
              <w:left w:val="nil"/>
              <w:bottom w:val="single" w:sz="4" w:space="0" w:color="auto"/>
              <w:right w:val="single" w:sz="4" w:space="0" w:color="auto"/>
            </w:tcBorders>
            <w:vAlign w:val="center"/>
          </w:tcPr>
          <w:p w14:paraId="4BE858A5"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2022年</w:t>
            </w:r>
          </w:p>
        </w:tc>
        <w:tc>
          <w:tcPr>
            <w:tcW w:w="247" w:type="pct"/>
            <w:tcBorders>
              <w:top w:val="single" w:sz="4" w:space="0" w:color="auto"/>
              <w:left w:val="nil"/>
              <w:bottom w:val="single" w:sz="4" w:space="0" w:color="auto"/>
              <w:right w:val="single" w:sz="4" w:space="0" w:color="auto"/>
            </w:tcBorders>
            <w:vAlign w:val="center"/>
          </w:tcPr>
          <w:p w14:paraId="2B9D826A"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分值</w:t>
            </w:r>
          </w:p>
        </w:tc>
        <w:tc>
          <w:tcPr>
            <w:tcW w:w="273" w:type="pct"/>
            <w:tcBorders>
              <w:top w:val="single" w:sz="4" w:space="0" w:color="auto"/>
              <w:left w:val="nil"/>
              <w:bottom w:val="single" w:sz="4" w:space="0" w:color="auto"/>
              <w:right w:val="single" w:sz="4" w:space="0" w:color="auto"/>
            </w:tcBorders>
            <w:vAlign w:val="center"/>
          </w:tcPr>
          <w:p w14:paraId="54A0F97E"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得分</w:t>
            </w:r>
          </w:p>
        </w:tc>
        <w:tc>
          <w:tcPr>
            <w:tcW w:w="1147" w:type="pct"/>
            <w:tcBorders>
              <w:top w:val="single" w:sz="4" w:space="0" w:color="auto"/>
              <w:left w:val="single" w:sz="4" w:space="0" w:color="auto"/>
              <w:bottom w:val="single" w:sz="4" w:space="0" w:color="auto"/>
              <w:right w:val="single" w:sz="4" w:space="0" w:color="auto"/>
            </w:tcBorders>
            <w:vAlign w:val="center"/>
          </w:tcPr>
          <w:p w14:paraId="3E904093" w14:textId="77777777" w:rsidR="007C06AB" w:rsidRDefault="00000000">
            <w:pPr>
              <w:widowControl/>
              <w:jc w:val="center"/>
              <w:rPr>
                <w:rFonts w:ascii="宋体" w:hAnsi="宋体" w:cs="宋体"/>
                <w:color w:val="000000"/>
                <w:kern w:val="0"/>
                <w:sz w:val="20"/>
                <w:szCs w:val="20"/>
              </w:rPr>
            </w:pPr>
            <w:r>
              <w:rPr>
                <w:rFonts w:ascii="宋体" w:hAnsi="宋体" w:cs="宋体" w:hint="eastAsia"/>
                <w:bCs/>
                <w:color w:val="000000"/>
                <w:kern w:val="0"/>
                <w:sz w:val="18"/>
                <w:szCs w:val="18"/>
              </w:rPr>
              <w:t>指标</w:t>
            </w:r>
            <w:r>
              <w:rPr>
                <w:rFonts w:ascii="宋体" w:hAnsi="宋体" w:cs="宋体"/>
                <w:bCs/>
                <w:color w:val="000000"/>
                <w:kern w:val="0"/>
                <w:sz w:val="18"/>
                <w:szCs w:val="18"/>
              </w:rPr>
              <w:t>解释</w:t>
            </w:r>
          </w:p>
        </w:tc>
        <w:tc>
          <w:tcPr>
            <w:tcW w:w="594" w:type="pct"/>
            <w:tcBorders>
              <w:top w:val="single" w:sz="4" w:space="0" w:color="auto"/>
              <w:left w:val="nil"/>
              <w:bottom w:val="single" w:sz="4" w:space="0" w:color="auto"/>
              <w:right w:val="single" w:sz="4" w:space="0" w:color="auto"/>
            </w:tcBorders>
            <w:vAlign w:val="center"/>
          </w:tcPr>
          <w:p w14:paraId="3F0A0D29" w14:textId="77777777" w:rsidR="007C06AB" w:rsidRDefault="00000000">
            <w:pPr>
              <w:widowControl/>
              <w:jc w:val="center"/>
              <w:rPr>
                <w:rFonts w:eastAsia="Times New Roman"/>
                <w:kern w:val="0"/>
                <w:sz w:val="20"/>
                <w:szCs w:val="20"/>
              </w:rPr>
            </w:pPr>
            <w:r>
              <w:rPr>
                <w:rFonts w:ascii="宋体" w:hAnsi="宋体" w:cs="宋体" w:hint="eastAsia"/>
                <w:color w:val="000000"/>
                <w:kern w:val="0"/>
                <w:sz w:val="18"/>
                <w:szCs w:val="18"/>
              </w:rPr>
              <w:t>评</w:t>
            </w:r>
            <w:r>
              <w:rPr>
                <w:rFonts w:ascii="宋体" w:hAnsi="宋体" w:cs="宋体"/>
                <w:color w:val="000000"/>
                <w:kern w:val="0"/>
                <w:sz w:val="18"/>
                <w:szCs w:val="18"/>
              </w:rPr>
              <w:t>分标准</w:t>
            </w:r>
          </w:p>
        </w:tc>
      </w:tr>
      <w:tr w:rsidR="007C06AB" w14:paraId="2577469F" w14:textId="77777777" w:rsidTr="00ED1585">
        <w:trPr>
          <w:gridAfter w:val="1"/>
          <w:wAfter w:w="5" w:type="pct"/>
          <w:cantSplit/>
          <w:trHeight w:val="4156"/>
        </w:trPr>
        <w:tc>
          <w:tcPr>
            <w:tcW w:w="390" w:type="pct"/>
            <w:vMerge/>
            <w:tcBorders>
              <w:top w:val="nil"/>
              <w:left w:val="single" w:sz="4" w:space="0" w:color="auto"/>
              <w:bottom w:val="single" w:sz="4" w:space="0" w:color="000000"/>
              <w:right w:val="single" w:sz="4" w:space="0" w:color="auto"/>
            </w:tcBorders>
            <w:vAlign w:val="center"/>
          </w:tcPr>
          <w:p w14:paraId="60DE91DB" w14:textId="77777777" w:rsidR="007C06AB" w:rsidRDefault="007C06AB">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vAlign w:val="center"/>
          </w:tcPr>
          <w:p w14:paraId="558E5B8B" w14:textId="77777777" w:rsidR="007C06AB" w:rsidRDefault="00000000">
            <w:pPr>
              <w:widowControl/>
              <w:rPr>
                <w:rFonts w:ascii="宋体" w:hAnsi="宋体" w:cs="宋体"/>
                <w:color w:val="000000"/>
                <w:kern w:val="0"/>
                <w:sz w:val="20"/>
                <w:szCs w:val="20"/>
              </w:rPr>
            </w:pPr>
            <w:r>
              <w:rPr>
                <w:rFonts w:ascii="宋体" w:hAnsi="宋体" w:cs="宋体" w:hint="eastAsia"/>
                <w:color w:val="000000"/>
                <w:kern w:val="0"/>
                <w:sz w:val="20"/>
                <w:szCs w:val="20"/>
              </w:rPr>
              <w:t>结转结余率（4）</w:t>
            </w:r>
          </w:p>
        </w:tc>
        <w:tc>
          <w:tcPr>
            <w:tcW w:w="796" w:type="pct"/>
            <w:gridSpan w:val="2"/>
            <w:tcBorders>
              <w:top w:val="single" w:sz="4" w:space="0" w:color="auto"/>
              <w:left w:val="nil"/>
              <w:bottom w:val="single" w:sz="4" w:space="0" w:color="auto"/>
              <w:right w:val="single" w:sz="4" w:space="0" w:color="000000"/>
            </w:tcBorders>
            <w:vAlign w:val="center"/>
          </w:tcPr>
          <w:p w14:paraId="515ACD4B" w14:textId="77777777" w:rsidR="007C06AB" w:rsidRDefault="00000000">
            <w:pPr>
              <w:widowControl/>
              <w:jc w:val="center"/>
              <w:rPr>
                <w:rFonts w:ascii="宋体" w:hAnsi="宋体" w:cs="宋体"/>
                <w:color w:val="000000"/>
                <w:kern w:val="0"/>
                <w:sz w:val="20"/>
                <w:szCs w:val="20"/>
              </w:rPr>
            </w:pPr>
            <w:r>
              <w:rPr>
                <w:rFonts w:ascii="宋体" w:hAnsi="宋体" w:cs="宋体"/>
                <w:color w:val="000000"/>
                <w:kern w:val="0"/>
                <w:sz w:val="20"/>
                <w:szCs w:val="20"/>
              </w:rPr>
              <w:t>12.02</w:t>
            </w:r>
            <w:r>
              <w:rPr>
                <w:rFonts w:ascii="宋体" w:hAnsi="宋体" w:cs="宋体" w:hint="eastAsia"/>
                <w:color w:val="000000"/>
                <w:kern w:val="0"/>
                <w:sz w:val="20"/>
                <w:szCs w:val="20"/>
              </w:rPr>
              <w:t>%</w:t>
            </w:r>
          </w:p>
        </w:tc>
        <w:tc>
          <w:tcPr>
            <w:tcW w:w="1202" w:type="pct"/>
            <w:tcBorders>
              <w:top w:val="nil"/>
              <w:left w:val="nil"/>
              <w:bottom w:val="single" w:sz="4" w:space="0" w:color="auto"/>
              <w:right w:val="single" w:sz="4" w:space="0" w:color="auto"/>
            </w:tcBorders>
            <w:vAlign w:val="center"/>
          </w:tcPr>
          <w:p w14:paraId="2382A25F"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r>
              <w:rPr>
                <w:rFonts w:ascii="宋体" w:hAnsi="宋体" w:cs="宋体"/>
                <w:color w:val="000000"/>
                <w:kern w:val="0"/>
                <w:sz w:val="20"/>
                <w:szCs w:val="20"/>
              </w:rPr>
              <w:t>6.23</w:t>
            </w:r>
            <w:r>
              <w:rPr>
                <w:rFonts w:ascii="宋体" w:hAnsi="宋体" w:cs="宋体" w:hint="eastAsia"/>
                <w:color w:val="000000"/>
                <w:kern w:val="0"/>
                <w:sz w:val="20"/>
                <w:szCs w:val="20"/>
              </w:rPr>
              <w:t>%</w:t>
            </w:r>
          </w:p>
        </w:tc>
        <w:tc>
          <w:tcPr>
            <w:tcW w:w="247" w:type="pct"/>
            <w:tcBorders>
              <w:top w:val="nil"/>
              <w:left w:val="nil"/>
              <w:bottom w:val="single" w:sz="4" w:space="0" w:color="auto"/>
              <w:right w:val="single" w:sz="4" w:space="0" w:color="auto"/>
            </w:tcBorders>
            <w:vAlign w:val="center"/>
          </w:tcPr>
          <w:p w14:paraId="659BCE1B"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73" w:type="pct"/>
            <w:tcBorders>
              <w:top w:val="nil"/>
              <w:left w:val="nil"/>
              <w:bottom w:val="single" w:sz="4" w:space="0" w:color="auto"/>
              <w:right w:val="nil"/>
            </w:tcBorders>
            <w:vAlign w:val="center"/>
          </w:tcPr>
          <w:p w14:paraId="253ED979"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2</w:t>
            </w:r>
            <w:r>
              <w:rPr>
                <w:rFonts w:ascii="宋体" w:hAnsi="宋体" w:cs="宋体"/>
                <w:color w:val="000000"/>
                <w:kern w:val="0"/>
                <w:sz w:val="20"/>
                <w:szCs w:val="20"/>
              </w:rPr>
              <w:t>.4</w:t>
            </w:r>
            <w:r>
              <w:rPr>
                <w:rFonts w:ascii="宋体" w:hAnsi="宋体" w:cs="宋体" w:hint="eastAsia"/>
                <w:color w:val="000000"/>
                <w:kern w:val="0"/>
                <w:sz w:val="20"/>
                <w:szCs w:val="20"/>
              </w:rPr>
              <w:t xml:space="preserve">　</w:t>
            </w:r>
          </w:p>
        </w:tc>
        <w:tc>
          <w:tcPr>
            <w:tcW w:w="1147" w:type="pct"/>
            <w:tcBorders>
              <w:top w:val="single" w:sz="4" w:space="0" w:color="auto"/>
              <w:left w:val="single" w:sz="4" w:space="0" w:color="auto"/>
              <w:bottom w:val="single" w:sz="4" w:space="0" w:color="auto"/>
              <w:right w:val="single" w:sz="4" w:space="0" w:color="auto"/>
            </w:tcBorders>
            <w:vAlign w:val="center"/>
          </w:tcPr>
          <w:p w14:paraId="7729AD80" w14:textId="77777777" w:rsidR="007C06AB"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结转结余率=结转结余总额/支出预算数×100%。</w:t>
            </w:r>
            <w:r>
              <w:rPr>
                <w:rFonts w:ascii="宋体" w:hAnsi="宋体" w:cs="宋体" w:hint="eastAsia"/>
                <w:color w:val="000000"/>
                <w:kern w:val="0"/>
                <w:sz w:val="18"/>
                <w:szCs w:val="18"/>
              </w:rPr>
              <w:br/>
              <w:t>结转结余总额：部门（单位）本年度的结转资金与结余资金之</w:t>
            </w:r>
            <w:proofErr w:type="gramStart"/>
            <w:r>
              <w:rPr>
                <w:rFonts w:ascii="宋体" w:hAnsi="宋体" w:cs="宋体" w:hint="eastAsia"/>
                <w:color w:val="000000"/>
                <w:kern w:val="0"/>
                <w:sz w:val="18"/>
                <w:szCs w:val="18"/>
              </w:rPr>
              <w:t>和</w:t>
            </w:r>
            <w:proofErr w:type="gramEnd"/>
            <w:r>
              <w:rPr>
                <w:rFonts w:ascii="宋体" w:hAnsi="宋体" w:cs="宋体" w:hint="eastAsia"/>
                <w:color w:val="000000"/>
                <w:kern w:val="0"/>
                <w:sz w:val="18"/>
                <w:szCs w:val="18"/>
              </w:rPr>
              <w:t>。</w:t>
            </w:r>
          </w:p>
        </w:tc>
        <w:tc>
          <w:tcPr>
            <w:tcW w:w="594" w:type="pct"/>
            <w:tcBorders>
              <w:top w:val="single" w:sz="4" w:space="0" w:color="auto"/>
              <w:left w:val="nil"/>
              <w:bottom w:val="single" w:sz="4" w:space="0" w:color="auto"/>
              <w:right w:val="single" w:sz="4" w:space="0" w:color="auto"/>
            </w:tcBorders>
            <w:vAlign w:val="center"/>
          </w:tcPr>
          <w:p w14:paraId="14F210B2" w14:textId="78491ABF" w:rsidR="007C06AB"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部门结转结余率低于上年的不扣分；高于上年结余率，每高出1个百分点扣0.4分，扣完为止。（说明：如</w:t>
            </w:r>
            <w:proofErr w:type="gramStart"/>
            <w:r>
              <w:rPr>
                <w:rFonts w:ascii="宋体" w:hAnsi="宋体" w:cs="宋体" w:hint="eastAsia"/>
                <w:color w:val="000000"/>
                <w:kern w:val="0"/>
                <w:sz w:val="18"/>
                <w:szCs w:val="18"/>
              </w:rPr>
              <w:t>非预算</w:t>
            </w:r>
            <w:proofErr w:type="gramEnd"/>
            <w:r>
              <w:rPr>
                <w:rFonts w:ascii="宋体" w:hAnsi="宋体" w:cs="宋体" w:hint="eastAsia"/>
                <w:color w:val="000000"/>
                <w:kern w:val="0"/>
                <w:sz w:val="18"/>
                <w:szCs w:val="18"/>
              </w:rPr>
              <w:t>部门主观因素导致扣分的，在评分结果征求意见环节，经与相关部门预算主管处室共同研究，可作为例外情况酌情考虑。）</w:t>
            </w:r>
          </w:p>
        </w:tc>
      </w:tr>
      <w:tr w:rsidR="007C06AB" w14:paraId="6F1A9507" w14:textId="77777777">
        <w:trPr>
          <w:gridAfter w:val="1"/>
          <w:wAfter w:w="5" w:type="pct"/>
          <w:cantSplit/>
          <w:trHeight w:val="981"/>
        </w:trPr>
        <w:tc>
          <w:tcPr>
            <w:tcW w:w="390" w:type="pct"/>
            <w:vMerge/>
            <w:tcBorders>
              <w:top w:val="nil"/>
              <w:left w:val="single" w:sz="4" w:space="0" w:color="auto"/>
              <w:bottom w:val="single" w:sz="4" w:space="0" w:color="000000"/>
              <w:right w:val="single" w:sz="4" w:space="0" w:color="auto"/>
            </w:tcBorders>
            <w:vAlign w:val="center"/>
          </w:tcPr>
          <w:p w14:paraId="6BDCFFF3" w14:textId="77777777" w:rsidR="007C06AB" w:rsidRDefault="007C06AB">
            <w:pPr>
              <w:widowControl/>
              <w:jc w:val="left"/>
              <w:rPr>
                <w:rFonts w:ascii="宋体" w:hAnsi="宋体" w:cs="宋体"/>
                <w:color w:val="000000"/>
                <w:kern w:val="0"/>
                <w:sz w:val="20"/>
                <w:szCs w:val="20"/>
              </w:rPr>
            </w:pPr>
          </w:p>
        </w:tc>
        <w:tc>
          <w:tcPr>
            <w:tcW w:w="346" w:type="pct"/>
            <w:tcBorders>
              <w:top w:val="nil"/>
              <w:left w:val="nil"/>
              <w:bottom w:val="single" w:sz="4" w:space="0" w:color="auto"/>
              <w:right w:val="single" w:sz="4" w:space="0" w:color="auto"/>
            </w:tcBorders>
            <w:vAlign w:val="center"/>
          </w:tcPr>
          <w:p w14:paraId="18540457" w14:textId="77777777" w:rsidR="007C06AB" w:rsidRDefault="00000000">
            <w:pPr>
              <w:widowControl/>
              <w:rPr>
                <w:rFonts w:ascii="宋体" w:hAnsi="宋体" w:cs="宋体"/>
                <w:color w:val="000000"/>
                <w:kern w:val="0"/>
                <w:sz w:val="20"/>
                <w:szCs w:val="20"/>
              </w:rPr>
            </w:pPr>
            <w:r>
              <w:rPr>
                <w:rFonts w:ascii="宋体" w:hAnsi="宋体" w:cs="宋体" w:hint="eastAsia"/>
                <w:color w:val="000000"/>
                <w:kern w:val="0"/>
                <w:sz w:val="20"/>
                <w:szCs w:val="20"/>
              </w:rPr>
              <w:t>部门预决算差异率（4）</w:t>
            </w:r>
          </w:p>
        </w:tc>
        <w:tc>
          <w:tcPr>
            <w:tcW w:w="796" w:type="pct"/>
            <w:gridSpan w:val="2"/>
            <w:tcBorders>
              <w:top w:val="single" w:sz="4" w:space="0" w:color="auto"/>
              <w:left w:val="nil"/>
              <w:bottom w:val="single" w:sz="4" w:space="0" w:color="auto"/>
              <w:right w:val="nil"/>
            </w:tcBorders>
            <w:vAlign w:val="center"/>
          </w:tcPr>
          <w:p w14:paraId="6A374935"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w:t>
            </w:r>
          </w:p>
        </w:tc>
        <w:tc>
          <w:tcPr>
            <w:tcW w:w="1202" w:type="pct"/>
            <w:tcBorders>
              <w:top w:val="nil"/>
              <w:left w:val="single" w:sz="4" w:space="0" w:color="auto"/>
              <w:bottom w:val="single" w:sz="4" w:space="0" w:color="auto"/>
              <w:right w:val="single" w:sz="4" w:space="0" w:color="auto"/>
            </w:tcBorders>
            <w:vAlign w:val="center"/>
          </w:tcPr>
          <w:p w14:paraId="66005AA8" w14:textId="77777777" w:rsidR="007C06AB" w:rsidRDefault="00000000">
            <w:pPr>
              <w:widowControl/>
              <w:jc w:val="left"/>
              <w:rPr>
                <w:rFonts w:ascii="宋体" w:hAnsi="宋体" w:cs="宋体"/>
                <w:color w:val="000000"/>
                <w:kern w:val="0"/>
                <w:sz w:val="20"/>
                <w:szCs w:val="20"/>
              </w:rPr>
            </w:pPr>
            <w:r>
              <w:rPr>
                <w:rFonts w:ascii="宋体" w:hAnsi="宋体" w:cs="宋体" w:hint="eastAsia"/>
                <w:color w:val="000000"/>
                <w:kern w:val="0"/>
                <w:sz w:val="20"/>
                <w:szCs w:val="20"/>
              </w:rPr>
              <w:t xml:space="preserve">　 </w:t>
            </w:r>
            <w:r>
              <w:rPr>
                <w:rFonts w:ascii="宋体" w:hAnsi="宋体" w:cs="宋体"/>
                <w:color w:val="000000"/>
                <w:kern w:val="0"/>
                <w:sz w:val="20"/>
                <w:szCs w:val="20"/>
              </w:rPr>
              <w:t xml:space="preserve">           -0.88%</w:t>
            </w:r>
          </w:p>
        </w:tc>
        <w:tc>
          <w:tcPr>
            <w:tcW w:w="247" w:type="pct"/>
            <w:tcBorders>
              <w:top w:val="nil"/>
              <w:left w:val="nil"/>
              <w:bottom w:val="single" w:sz="4" w:space="0" w:color="auto"/>
              <w:right w:val="single" w:sz="4" w:space="0" w:color="auto"/>
            </w:tcBorders>
            <w:vAlign w:val="center"/>
          </w:tcPr>
          <w:p w14:paraId="36A2C828"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4</w:t>
            </w:r>
          </w:p>
        </w:tc>
        <w:tc>
          <w:tcPr>
            <w:tcW w:w="273" w:type="pct"/>
            <w:tcBorders>
              <w:top w:val="nil"/>
              <w:left w:val="nil"/>
              <w:bottom w:val="single" w:sz="4" w:space="0" w:color="auto"/>
              <w:right w:val="nil"/>
            </w:tcBorders>
            <w:vAlign w:val="center"/>
          </w:tcPr>
          <w:p w14:paraId="1DE57A4E"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 xml:space="preserve">4　</w:t>
            </w:r>
          </w:p>
        </w:tc>
        <w:tc>
          <w:tcPr>
            <w:tcW w:w="1147" w:type="pct"/>
            <w:tcBorders>
              <w:top w:val="nil"/>
              <w:left w:val="single" w:sz="4" w:space="0" w:color="auto"/>
              <w:bottom w:val="single" w:sz="4" w:space="0" w:color="auto"/>
              <w:right w:val="single" w:sz="4" w:space="0" w:color="auto"/>
            </w:tcBorders>
            <w:vAlign w:val="center"/>
          </w:tcPr>
          <w:p w14:paraId="0791B8AA" w14:textId="77777777" w:rsidR="007C06AB"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通过年度部门决算与年初部门预算对比，对部门的年度支出情况进行考核，衡量部门预算的约束力。</w:t>
            </w:r>
          </w:p>
        </w:tc>
        <w:tc>
          <w:tcPr>
            <w:tcW w:w="594" w:type="pct"/>
            <w:tcBorders>
              <w:top w:val="nil"/>
              <w:left w:val="nil"/>
              <w:bottom w:val="single" w:sz="4" w:space="0" w:color="auto"/>
              <w:right w:val="single" w:sz="4" w:space="0" w:color="auto"/>
            </w:tcBorders>
            <w:vAlign w:val="center"/>
          </w:tcPr>
          <w:p w14:paraId="7C65F951" w14:textId="77777777" w:rsidR="007C06AB" w:rsidRDefault="00000000">
            <w:pPr>
              <w:widowControl/>
              <w:jc w:val="left"/>
              <w:rPr>
                <w:rFonts w:ascii="宋体" w:hAnsi="宋体" w:cs="宋体"/>
                <w:color w:val="000000"/>
                <w:kern w:val="0"/>
                <w:sz w:val="18"/>
                <w:szCs w:val="18"/>
              </w:rPr>
            </w:pPr>
            <w:r>
              <w:rPr>
                <w:rFonts w:ascii="宋体" w:hAnsi="宋体" w:cs="宋体" w:hint="eastAsia"/>
                <w:color w:val="000000"/>
                <w:kern w:val="0"/>
                <w:sz w:val="18"/>
                <w:szCs w:val="18"/>
              </w:rPr>
              <w:t>部门预决算差异率高于市级平均差异率（28.3%）的，每高出10%（含），扣0.4分，扣完为止。</w:t>
            </w:r>
          </w:p>
        </w:tc>
      </w:tr>
      <w:tr w:rsidR="007C06AB" w14:paraId="56401A31" w14:textId="77777777" w:rsidTr="00722C36">
        <w:trPr>
          <w:gridAfter w:val="1"/>
          <w:wAfter w:w="5" w:type="pct"/>
          <w:cantSplit/>
          <w:trHeight w:val="484"/>
        </w:trPr>
        <w:tc>
          <w:tcPr>
            <w:tcW w:w="2734" w:type="pct"/>
            <w:gridSpan w:val="5"/>
            <w:tcBorders>
              <w:top w:val="single" w:sz="4" w:space="0" w:color="auto"/>
              <w:left w:val="single" w:sz="4" w:space="0" w:color="auto"/>
              <w:bottom w:val="single" w:sz="4" w:space="0" w:color="auto"/>
              <w:right w:val="single" w:sz="4" w:space="0" w:color="auto"/>
            </w:tcBorders>
            <w:vAlign w:val="center"/>
          </w:tcPr>
          <w:p w14:paraId="69D43071"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合计</w:t>
            </w:r>
          </w:p>
        </w:tc>
        <w:tc>
          <w:tcPr>
            <w:tcW w:w="247" w:type="pct"/>
            <w:tcBorders>
              <w:top w:val="nil"/>
              <w:left w:val="nil"/>
              <w:bottom w:val="single" w:sz="4" w:space="0" w:color="auto"/>
              <w:right w:val="single" w:sz="4" w:space="0" w:color="auto"/>
            </w:tcBorders>
            <w:vAlign w:val="center"/>
          </w:tcPr>
          <w:p w14:paraId="0C53457B"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100</w:t>
            </w:r>
          </w:p>
        </w:tc>
        <w:tc>
          <w:tcPr>
            <w:tcW w:w="273" w:type="pct"/>
            <w:tcBorders>
              <w:top w:val="nil"/>
              <w:left w:val="nil"/>
              <w:bottom w:val="single" w:sz="4" w:space="0" w:color="auto"/>
              <w:right w:val="nil"/>
            </w:tcBorders>
            <w:vAlign w:val="center"/>
          </w:tcPr>
          <w:p w14:paraId="719D3EC5" w14:textId="77777777" w:rsidR="007C06AB" w:rsidRDefault="00000000">
            <w:pPr>
              <w:widowControl/>
              <w:jc w:val="center"/>
              <w:rPr>
                <w:rFonts w:ascii="宋体" w:hAnsi="宋体" w:cs="宋体"/>
                <w:color w:val="000000"/>
                <w:kern w:val="0"/>
                <w:sz w:val="20"/>
                <w:szCs w:val="20"/>
              </w:rPr>
            </w:pPr>
            <w:r>
              <w:rPr>
                <w:rFonts w:ascii="宋体" w:hAnsi="宋体" w:cs="宋体" w:hint="eastAsia"/>
                <w:color w:val="000000"/>
                <w:kern w:val="0"/>
                <w:sz w:val="20"/>
                <w:szCs w:val="20"/>
              </w:rPr>
              <w:t>9</w:t>
            </w:r>
            <w:r>
              <w:rPr>
                <w:rFonts w:ascii="宋体" w:hAnsi="宋体" w:cs="宋体"/>
                <w:color w:val="000000"/>
                <w:kern w:val="0"/>
                <w:sz w:val="20"/>
                <w:szCs w:val="20"/>
              </w:rPr>
              <w:t>1.65</w:t>
            </w:r>
            <w:r>
              <w:rPr>
                <w:rFonts w:ascii="宋体" w:hAnsi="宋体" w:cs="宋体" w:hint="eastAsia"/>
                <w:color w:val="000000"/>
                <w:kern w:val="0"/>
                <w:sz w:val="20"/>
                <w:szCs w:val="20"/>
              </w:rPr>
              <w:t xml:space="preserve">　</w:t>
            </w:r>
          </w:p>
        </w:tc>
        <w:tc>
          <w:tcPr>
            <w:tcW w:w="1741" w:type="pct"/>
            <w:gridSpan w:val="2"/>
            <w:tcBorders>
              <w:top w:val="single" w:sz="4" w:space="0" w:color="auto"/>
              <w:left w:val="single" w:sz="4" w:space="0" w:color="auto"/>
              <w:bottom w:val="single" w:sz="4" w:space="0" w:color="auto"/>
              <w:right w:val="single" w:sz="4" w:space="0" w:color="000000"/>
            </w:tcBorders>
            <w:vAlign w:val="center"/>
          </w:tcPr>
          <w:p w14:paraId="387E0986" w14:textId="77777777" w:rsidR="007C06AB" w:rsidRDefault="00000000">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14:paraId="64896241" w14:textId="77777777" w:rsidR="007C06AB" w:rsidRDefault="007C06AB" w:rsidP="009547EF">
      <w:pPr>
        <w:rPr>
          <w:rFonts w:hint="eastAsia"/>
        </w:rPr>
      </w:pPr>
    </w:p>
    <w:sectPr w:rsidR="007C06AB" w:rsidSect="009547EF">
      <w:pgSz w:w="16838" w:h="11906" w:orient="landscape"/>
      <w:pgMar w:top="993" w:right="1440" w:bottom="1349"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58F89" w14:textId="77777777" w:rsidR="00D34B73" w:rsidRDefault="00D34B73">
      <w:r>
        <w:separator/>
      </w:r>
    </w:p>
  </w:endnote>
  <w:endnote w:type="continuationSeparator" w:id="0">
    <w:p w14:paraId="0098D9A3" w14:textId="77777777" w:rsidR="00D34B73" w:rsidRDefault="00D34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embedRegular r:id="rId1" w:subsetted="1" w:fontKey="{3185447F-EFEC-43ED-BFB2-F97051DB2D35}"/>
    <w:embedBold r:id="rId2" w:subsetted="1" w:fontKey="{3E6EF732-758E-4819-8D9D-15EA5F87912F}"/>
  </w:font>
  <w:font w:name="仿宋_GB2312">
    <w:altName w:val="微软雅黑"/>
    <w:charset w:val="00"/>
    <w:family w:val="auto"/>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3" w:subsetted="1" w:fontKey="{5693D286-CFF7-45F4-B782-1704C3E2BEA4}"/>
    <w:embedBold r:id="rId4" w:subsetted="1" w:fontKey="{8AB487CE-ED7E-4F5E-8A6A-83CE77E71F12}"/>
  </w:font>
  <w:font w:name="楷体">
    <w:panose1 w:val="02010609060101010101"/>
    <w:charset w:val="86"/>
    <w:family w:val="modern"/>
    <w:pitch w:val="fixed"/>
    <w:sig w:usb0="800002BF" w:usb1="38CF7CFA" w:usb2="00000016" w:usb3="00000000" w:csb0="00040001" w:csb1="00000000"/>
    <w:embedRegular r:id="rId5" w:subsetted="1" w:fontKey="{710257EF-6975-4815-A4CE-95A066A365B3}"/>
    <w:embedBold r:id="rId6" w:subsetted="1" w:fontKey="{E8F5BFA8-C96B-4698-8B26-617B490E2F95}"/>
  </w:font>
  <w:font w:name="微软雅黑">
    <w:panose1 w:val="020B0503020204020204"/>
    <w:charset w:val="86"/>
    <w:family w:val="swiss"/>
    <w:pitch w:val="variable"/>
    <w:sig w:usb0="80000287" w:usb1="2ACF3C50" w:usb2="00000016" w:usb3="00000000" w:csb0="0004001F" w:csb1="00000000"/>
  </w:font>
  <w:font w:name="___WRD_EMBED_SUB_44">
    <w:charset w:val="86"/>
    <w:family w:val="modern"/>
    <w:pitch w:val="default"/>
    <w:sig w:usb0="00000001" w:usb1="080E0000" w:usb2="00000010" w:usb3="00000000" w:csb0="00040000" w:csb1="00000000"/>
  </w:font>
  <w:font w:name="___WRD_EMBED_SUB_47">
    <w:charset w:val="86"/>
    <w:family w:val="modern"/>
    <w:pitch w:val="default"/>
    <w:sig w:usb0="00000001" w:usb1="080E0000" w:usb2="00000010" w:usb3="00000000" w:csb0="00040000" w:csb1="00000000"/>
  </w:font>
  <w:font w:name="方正小标宋简体">
    <w:altName w:val="微软雅黑"/>
    <w:charset w:val="86"/>
    <w:family w:val="script"/>
    <w:pitch w:val="default"/>
    <w:sig w:usb0="A00002BF" w:usb1="184F6CFA" w:usb2="00000012"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BD02" w14:textId="77777777" w:rsidR="007C06AB" w:rsidRDefault="007C06AB">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2ECDF" w14:textId="77777777" w:rsidR="007C06AB" w:rsidRDefault="007C06AB">
    <w:pPr>
      <w:pStyle w:val="a9"/>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64A0F" w14:textId="77777777" w:rsidR="007C06AB" w:rsidRDefault="007C06AB">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9B2C" w14:textId="77777777" w:rsidR="007C06AB" w:rsidRDefault="00000000">
    <w:pPr>
      <w:pStyle w:val="a9"/>
      <w:jc w:val="center"/>
    </w:pPr>
    <w:r>
      <w:rPr>
        <w:noProof/>
      </w:rPr>
      <mc:AlternateContent>
        <mc:Choice Requires="wps">
          <w:drawing>
            <wp:anchor distT="0" distB="0" distL="114300" distR="114300" simplePos="0" relativeHeight="251659264" behindDoc="0" locked="0" layoutInCell="1" allowOverlap="1" wp14:anchorId="00E2683F" wp14:editId="08C5DE34">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sz w:val="28"/>
                              <w:szCs w:val="28"/>
                            </w:rPr>
                            <w:id w:val="904951890"/>
                          </w:sdtPr>
                          <w:sdtContent>
                            <w:p w14:paraId="61BC873E" w14:textId="77777777" w:rsidR="007C06AB" w:rsidRDefault="00000000">
                              <w:pPr>
                                <w:pStyle w:val="a9"/>
                                <w:jc w:val="center"/>
                              </w:pPr>
                            </w:p>
                          </w:sdtContent>
                        </w:sdt>
                        <w:p w14:paraId="189D2F1A" w14:textId="77777777" w:rsidR="007C06AB" w:rsidRDefault="007C06AB">
                          <w:pPr>
                            <w:pStyle w:val="2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0E2683F"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sdt>
                    <w:sdtPr>
                      <w:rPr>
                        <w:sz w:val="28"/>
                        <w:szCs w:val="28"/>
                      </w:rPr>
                      <w:id w:val="904951890"/>
                    </w:sdtPr>
                    <w:sdtContent>
                      <w:p w14:paraId="61BC873E" w14:textId="77777777" w:rsidR="007C06AB" w:rsidRDefault="00000000">
                        <w:pPr>
                          <w:pStyle w:val="a9"/>
                          <w:jc w:val="center"/>
                        </w:pPr>
                      </w:p>
                    </w:sdtContent>
                  </w:sdt>
                  <w:p w14:paraId="189D2F1A" w14:textId="77777777" w:rsidR="007C06AB" w:rsidRDefault="007C06AB">
                    <w:pPr>
                      <w:pStyle w:val="20"/>
                    </w:pP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2E72" w14:textId="77777777" w:rsidR="007C06AB" w:rsidRDefault="00000000">
    <w:pPr>
      <w:pStyle w:val="a9"/>
      <w:jc w:val="center"/>
    </w:pPr>
    <w:r>
      <w:rPr>
        <w:noProof/>
      </w:rPr>
      <mc:AlternateContent>
        <mc:Choice Requires="wps">
          <w:drawing>
            <wp:anchor distT="0" distB="0" distL="114300" distR="114300" simplePos="0" relativeHeight="251660288" behindDoc="0" locked="0" layoutInCell="1" allowOverlap="1" wp14:anchorId="29EA35E7" wp14:editId="1922A91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sz w:val="28"/>
                              <w:szCs w:val="28"/>
                            </w:rPr>
                            <w:id w:val="139863101"/>
                          </w:sdtPr>
                          <w:sdtContent>
                            <w:p w14:paraId="5AA18357" w14:textId="77777777" w:rsidR="007C06AB" w:rsidRDefault="00000000">
                              <w:pPr>
                                <w:pStyle w:val="a9"/>
                                <w:jc w:val="center"/>
                              </w:pPr>
                              <w:r>
                                <w:rPr>
                                  <w:sz w:val="28"/>
                                  <w:szCs w:val="28"/>
                                </w:rPr>
                                <w:fldChar w:fldCharType="begin"/>
                              </w:r>
                              <w:r>
                                <w:rPr>
                                  <w:sz w:val="28"/>
                                  <w:szCs w:val="28"/>
                                </w:rPr>
                                <w:instrText>PAGE   \* MERGEFORMAT</w:instrText>
                              </w:r>
                              <w:r>
                                <w:rPr>
                                  <w:sz w:val="28"/>
                                  <w:szCs w:val="28"/>
                                </w:rPr>
                                <w:fldChar w:fldCharType="separate"/>
                              </w:r>
                              <w:r>
                                <w:rPr>
                                  <w:sz w:val="28"/>
                                  <w:szCs w:val="28"/>
                                  <w:lang w:val="zh-CN"/>
                                </w:rPr>
                                <w:t>5</w:t>
                              </w:r>
                              <w:r>
                                <w:rPr>
                                  <w:sz w:val="28"/>
                                  <w:szCs w:val="28"/>
                                </w:rPr>
                                <w:fldChar w:fldCharType="end"/>
                              </w:r>
                            </w:p>
                          </w:sdtContent>
                        </w:sdt>
                        <w:p w14:paraId="013882C4" w14:textId="77777777" w:rsidR="007C06AB" w:rsidRDefault="007C06AB">
                          <w:pPr>
                            <w:pStyle w:val="2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9EA35E7" id="_x0000_t202" coordsize="21600,21600" o:spt="202" path="m,l,21600r21600,l21600,xe">
              <v:stroke joinstyle="miter"/>
              <v:path gradientshapeok="t" o:connecttype="rect"/>
            </v:shapetype>
            <v:shape id="文本框 1"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sdt>
                    <w:sdtPr>
                      <w:rPr>
                        <w:sz w:val="28"/>
                        <w:szCs w:val="28"/>
                      </w:rPr>
                      <w:id w:val="139863101"/>
                    </w:sdtPr>
                    <w:sdtContent>
                      <w:p w14:paraId="5AA18357" w14:textId="77777777" w:rsidR="007C06AB" w:rsidRDefault="00000000">
                        <w:pPr>
                          <w:pStyle w:val="a9"/>
                          <w:jc w:val="center"/>
                        </w:pPr>
                        <w:r>
                          <w:rPr>
                            <w:sz w:val="28"/>
                            <w:szCs w:val="28"/>
                          </w:rPr>
                          <w:fldChar w:fldCharType="begin"/>
                        </w:r>
                        <w:r>
                          <w:rPr>
                            <w:sz w:val="28"/>
                            <w:szCs w:val="28"/>
                          </w:rPr>
                          <w:instrText>PAGE   \* MERGEFORMAT</w:instrText>
                        </w:r>
                        <w:r>
                          <w:rPr>
                            <w:sz w:val="28"/>
                            <w:szCs w:val="28"/>
                          </w:rPr>
                          <w:fldChar w:fldCharType="separate"/>
                        </w:r>
                        <w:r>
                          <w:rPr>
                            <w:sz w:val="28"/>
                            <w:szCs w:val="28"/>
                            <w:lang w:val="zh-CN"/>
                          </w:rPr>
                          <w:t>5</w:t>
                        </w:r>
                        <w:r>
                          <w:rPr>
                            <w:sz w:val="28"/>
                            <w:szCs w:val="28"/>
                          </w:rPr>
                          <w:fldChar w:fldCharType="end"/>
                        </w:r>
                      </w:p>
                    </w:sdtContent>
                  </w:sdt>
                  <w:p w14:paraId="013882C4" w14:textId="77777777" w:rsidR="007C06AB" w:rsidRDefault="007C06AB">
                    <w:pPr>
                      <w:pStyle w:val="20"/>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14200" w14:textId="77777777" w:rsidR="00D34B73" w:rsidRDefault="00D34B73">
      <w:r>
        <w:separator/>
      </w:r>
    </w:p>
  </w:footnote>
  <w:footnote w:type="continuationSeparator" w:id="0">
    <w:p w14:paraId="19E36101" w14:textId="77777777" w:rsidR="00D34B73" w:rsidRDefault="00D34B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404FB2"/>
    <w:multiLevelType w:val="singleLevel"/>
    <w:tmpl w:val="FA404FB2"/>
    <w:lvl w:ilvl="0">
      <w:start w:val="2"/>
      <w:numFmt w:val="chineseCounting"/>
      <w:suff w:val="nothing"/>
      <w:lvlText w:val="%1、"/>
      <w:lvlJc w:val="left"/>
      <w:rPr>
        <w:rFonts w:hint="eastAsia"/>
      </w:rPr>
    </w:lvl>
  </w:abstractNum>
  <w:num w:numId="1" w16cid:durableId="8676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OGI4NjI5OTBmMDM1ODFlMDkzNDFlZTFiMWNhZWU5ZTMifQ=="/>
  </w:docVars>
  <w:rsids>
    <w:rsidRoot w:val="00C32925"/>
    <w:rsid w:val="AFF59FBF"/>
    <w:rsid w:val="BFFFC696"/>
    <w:rsid w:val="00003BC8"/>
    <w:rsid w:val="0000779F"/>
    <w:rsid w:val="0002088C"/>
    <w:rsid w:val="00020D40"/>
    <w:rsid w:val="00021C3A"/>
    <w:rsid w:val="0002243A"/>
    <w:rsid w:val="00031879"/>
    <w:rsid w:val="0003381F"/>
    <w:rsid w:val="00036AEA"/>
    <w:rsid w:val="000414F7"/>
    <w:rsid w:val="0004758E"/>
    <w:rsid w:val="00047816"/>
    <w:rsid w:val="000508FA"/>
    <w:rsid w:val="00056CB0"/>
    <w:rsid w:val="00066406"/>
    <w:rsid w:val="00073675"/>
    <w:rsid w:val="00080672"/>
    <w:rsid w:val="000813E0"/>
    <w:rsid w:val="00096001"/>
    <w:rsid w:val="000A11D0"/>
    <w:rsid w:val="000C11A8"/>
    <w:rsid w:val="000C6CB6"/>
    <w:rsid w:val="000D0178"/>
    <w:rsid w:val="000D08CA"/>
    <w:rsid w:val="000E7B70"/>
    <w:rsid w:val="000F5EE5"/>
    <w:rsid w:val="00124ED5"/>
    <w:rsid w:val="001265C6"/>
    <w:rsid w:val="0014028C"/>
    <w:rsid w:val="001442D2"/>
    <w:rsid w:val="001522DF"/>
    <w:rsid w:val="00152B40"/>
    <w:rsid w:val="001677E3"/>
    <w:rsid w:val="00172349"/>
    <w:rsid w:val="001735D7"/>
    <w:rsid w:val="00182FE6"/>
    <w:rsid w:val="00192053"/>
    <w:rsid w:val="001925BC"/>
    <w:rsid w:val="00192C17"/>
    <w:rsid w:val="0019346E"/>
    <w:rsid w:val="001966B7"/>
    <w:rsid w:val="001A23DF"/>
    <w:rsid w:val="001B2701"/>
    <w:rsid w:val="001B6C38"/>
    <w:rsid w:val="001C15D8"/>
    <w:rsid w:val="001C203F"/>
    <w:rsid w:val="001C55DD"/>
    <w:rsid w:val="001E5F3D"/>
    <w:rsid w:val="002054F6"/>
    <w:rsid w:val="002064D9"/>
    <w:rsid w:val="00215D54"/>
    <w:rsid w:val="00226698"/>
    <w:rsid w:val="002273E2"/>
    <w:rsid w:val="0024355D"/>
    <w:rsid w:val="002560C9"/>
    <w:rsid w:val="00256D22"/>
    <w:rsid w:val="00270C29"/>
    <w:rsid w:val="00282E73"/>
    <w:rsid w:val="002855B1"/>
    <w:rsid w:val="00286517"/>
    <w:rsid w:val="0029403E"/>
    <w:rsid w:val="002A42E8"/>
    <w:rsid w:val="002A7E9A"/>
    <w:rsid w:val="002C0ECA"/>
    <w:rsid w:val="002C32D2"/>
    <w:rsid w:val="002D60E1"/>
    <w:rsid w:val="00303294"/>
    <w:rsid w:val="0030335A"/>
    <w:rsid w:val="00303FAB"/>
    <w:rsid w:val="003120DB"/>
    <w:rsid w:val="003246F5"/>
    <w:rsid w:val="00327633"/>
    <w:rsid w:val="00327FB0"/>
    <w:rsid w:val="00342979"/>
    <w:rsid w:val="0034647D"/>
    <w:rsid w:val="003547E5"/>
    <w:rsid w:val="00355C64"/>
    <w:rsid w:val="00370A43"/>
    <w:rsid w:val="0038279A"/>
    <w:rsid w:val="00386F06"/>
    <w:rsid w:val="003910F6"/>
    <w:rsid w:val="00392AF6"/>
    <w:rsid w:val="00395B3E"/>
    <w:rsid w:val="00395C53"/>
    <w:rsid w:val="00396318"/>
    <w:rsid w:val="003B48FC"/>
    <w:rsid w:val="003B700E"/>
    <w:rsid w:val="003D15AF"/>
    <w:rsid w:val="003E0671"/>
    <w:rsid w:val="003E3E65"/>
    <w:rsid w:val="003F642B"/>
    <w:rsid w:val="004016C7"/>
    <w:rsid w:val="004035EC"/>
    <w:rsid w:val="00413C1A"/>
    <w:rsid w:val="00417425"/>
    <w:rsid w:val="00435747"/>
    <w:rsid w:val="00442D75"/>
    <w:rsid w:val="004552CC"/>
    <w:rsid w:val="0046104A"/>
    <w:rsid w:val="00461E1B"/>
    <w:rsid w:val="00473804"/>
    <w:rsid w:val="00473BAB"/>
    <w:rsid w:val="0047736D"/>
    <w:rsid w:val="00497CBC"/>
    <w:rsid w:val="004A4ADE"/>
    <w:rsid w:val="004C50CF"/>
    <w:rsid w:val="004D3780"/>
    <w:rsid w:val="004E7C98"/>
    <w:rsid w:val="004F1880"/>
    <w:rsid w:val="00501E50"/>
    <w:rsid w:val="005204FD"/>
    <w:rsid w:val="00531AD8"/>
    <w:rsid w:val="00545BDB"/>
    <w:rsid w:val="00551744"/>
    <w:rsid w:val="00557A9B"/>
    <w:rsid w:val="0056140C"/>
    <w:rsid w:val="005672B7"/>
    <w:rsid w:val="005827F1"/>
    <w:rsid w:val="005931A2"/>
    <w:rsid w:val="005A0B45"/>
    <w:rsid w:val="005A169F"/>
    <w:rsid w:val="005A5D54"/>
    <w:rsid w:val="005B4713"/>
    <w:rsid w:val="005C011E"/>
    <w:rsid w:val="005C3AB6"/>
    <w:rsid w:val="005E0AA6"/>
    <w:rsid w:val="005E144C"/>
    <w:rsid w:val="005E19BD"/>
    <w:rsid w:val="00604D89"/>
    <w:rsid w:val="0060735C"/>
    <w:rsid w:val="006132C8"/>
    <w:rsid w:val="00627007"/>
    <w:rsid w:val="00647C6B"/>
    <w:rsid w:val="00657313"/>
    <w:rsid w:val="00666581"/>
    <w:rsid w:val="006709A0"/>
    <w:rsid w:val="006B0F60"/>
    <w:rsid w:val="006B13F7"/>
    <w:rsid w:val="006B2ABE"/>
    <w:rsid w:val="006C122B"/>
    <w:rsid w:val="006C162B"/>
    <w:rsid w:val="006C462B"/>
    <w:rsid w:val="006C5E39"/>
    <w:rsid w:val="006E2334"/>
    <w:rsid w:val="006F49C9"/>
    <w:rsid w:val="006F5800"/>
    <w:rsid w:val="00722C36"/>
    <w:rsid w:val="00723B6F"/>
    <w:rsid w:val="0072530F"/>
    <w:rsid w:val="00732977"/>
    <w:rsid w:val="0074075D"/>
    <w:rsid w:val="00743A71"/>
    <w:rsid w:val="00747EEF"/>
    <w:rsid w:val="0075297E"/>
    <w:rsid w:val="00766997"/>
    <w:rsid w:val="00767CC1"/>
    <w:rsid w:val="00770AA8"/>
    <w:rsid w:val="00772BCF"/>
    <w:rsid w:val="00775CF2"/>
    <w:rsid w:val="007801A6"/>
    <w:rsid w:val="007A1035"/>
    <w:rsid w:val="007A505F"/>
    <w:rsid w:val="007A524D"/>
    <w:rsid w:val="007A6037"/>
    <w:rsid w:val="007B3277"/>
    <w:rsid w:val="007C06AB"/>
    <w:rsid w:val="007C23F5"/>
    <w:rsid w:val="007C3322"/>
    <w:rsid w:val="007C60A0"/>
    <w:rsid w:val="007E5775"/>
    <w:rsid w:val="007E5AA5"/>
    <w:rsid w:val="007F5994"/>
    <w:rsid w:val="00804002"/>
    <w:rsid w:val="00804A7F"/>
    <w:rsid w:val="008071CF"/>
    <w:rsid w:val="008120BA"/>
    <w:rsid w:val="00815ABB"/>
    <w:rsid w:val="0082402A"/>
    <w:rsid w:val="008247EC"/>
    <w:rsid w:val="00830A8E"/>
    <w:rsid w:val="00836099"/>
    <w:rsid w:val="0083775A"/>
    <w:rsid w:val="008465EA"/>
    <w:rsid w:val="00846A06"/>
    <w:rsid w:val="00847B71"/>
    <w:rsid w:val="00850537"/>
    <w:rsid w:val="008609BD"/>
    <w:rsid w:val="008663C8"/>
    <w:rsid w:val="008851D5"/>
    <w:rsid w:val="008A1B54"/>
    <w:rsid w:val="008A6DA8"/>
    <w:rsid w:val="008B0241"/>
    <w:rsid w:val="008B4D8C"/>
    <w:rsid w:val="008C1D78"/>
    <w:rsid w:val="008C2E48"/>
    <w:rsid w:val="008C3E66"/>
    <w:rsid w:val="008C6E80"/>
    <w:rsid w:val="008D1DA2"/>
    <w:rsid w:val="008E1D18"/>
    <w:rsid w:val="008F2560"/>
    <w:rsid w:val="008F2DEE"/>
    <w:rsid w:val="0090571B"/>
    <w:rsid w:val="00911BAB"/>
    <w:rsid w:val="00927AEE"/>
    <w:rsid w:val="00934AD7"/>
    <w:rsid w:val="00940D57"/>
    <w:rsid w:val="00946CF5"/>
    <w:rsid w:val="009547EF"/>
    <w:rsid w:val="00954CBF"/>
    <w:rsid w:val="00970366"/>
    <w:rsid w:val="009728EB"/>
    <w:rsid w:val="00974165"/>
    <w:rsid w:val="00982BE7"/>
    <w:rsid w:val="009A4845"/>
    <w:rsid w:val="009A70BF"/>
    <w:rsid w:val="009A7E30"/>
    <w:rsid w:val="009B1BC1"/>
    <w:rsid w:val="009B45B9"/>
    <w:rsid w:val="009C0CF5"/>
    <w:rsid w:val="009C3A75"/>
    <w:rsid w:val="009D546D"/>
    <w:rsid w:val="009E54D6"/>
    <w:rsid w:val="00A006D3"/>
    <w:rsid w:val="00A26169"/>
    <w:rsid w:val="00A27A60"/>
    <w:rsid w:val="00A43C29"/>
    <w:rsid w:val="00A4582E"/>
    <w:rsid w:val="00A47B96"/>
    <w:rsid w:val="00A53E00"/>
    <w:rsid w:val="00A61359"/>
    <w:rsid w:val="00A61ADE"/>
    <w:rsid w:val="00A72786"/>
    <w:rsid w:val="00A74DAF"/>
    <w:rsid w:val="00A82B16"/>
    <w:rsid w:val="00A913BA"/>
    <w:rsid w:val="00A957FE"/>
    <w:rsid w:val="00A95C57"/>
    <w:rsid w:val="00A97A9E"/>
    <w:rsid w:val="00AB3B42"/>
    <w:rsid w:val="00AB6395"/>
    <w:rsid w:val="00AC46DB"/>
    <w:rsid w:val="00AC58E1"/>
    <w:rsid w:val="00AE2863"/>
    <w:rsid w:val="00AF3E84"/>
    <w:rsid w:val="00AF46D0"/>
    <w:rsid w:val="00AF5262"/>
    <w:rsid w:val="00AF7326"/>
    <w:rsid w:val="00B056AE"/>
    <w:rsid w:val="00B115F6"/>
    <w:rsid w:val="00B25EF3"/>
    <w:rsid w:val="00B260E8"/>
    <w:rsid w:val="00B26B1F"/>
    <w:rsid w:val="00B311E3"/>
    <w:rsid w:val="00B4556E"/>
    <w:rsid w:val="00B507B5"/>
    <w:rsid w:val="00B74142"/>
    <w:rsid w:val="00B82AA5"/>
    <w:rsid w:val="00BA3FAD"/>
    <w:rsid w:val="00BB7DC1"/>
    <w:rsid w:val="00BE1404"/>
    <w:rsid w:val="00BF4558"/>
    <w:rsid w:val="00C01C49"/>
    <w:rsid w:val="00C04137"/>
    <w:rsid w:val="00C05BF2"/>
    <w:rsid w:val="00C07B99"/>
    <w:rsid w:val="00C1135D"/>
    <w:rsid w:val="00C21076"/>
    <w:rsid w:val="00C232FE"/>
    <w:rsid w:val="00C32925"/>
    <w:rsid w:val="00C361FE"/>
    <w:rsid w:val="00C36F1A"/>
    <w:rsid w:val="00C560F9"/>
    <w:rsid w:val="00C61FD6"/>
    <w:rsid w:val="00C635AC"/>
    <w:rsid w:val="00C7480C"/>
    <w:rsid w:val="00C777B1"/>
    <w:rsid w:val="00C82C27"/>
    <w:rsid w:val="00C86AD0"/>
    <w:rsid w:val="00C91231"/>
    <w:rsid w:val="00C973BB"/>
    <w:rsid w:val="00CB3FA9"/>
    <w:rsid w:val="00CB6EEF"/>
    <w:rsid w:val="00CD1984"/>
    <w:rsid w:val="00CE3013"/>
    <w:rsid w:val="00CE5BE7"/>
    <w:rsid w:val="00CF11A1"/>
    <w:rsid w:val="00CF295E"/>
    <w:rsid w:val="00CF2BF7"/>
    <w:rsid w:val="00D06C00"/>
    <w:rsid w:val="00D10F33"/>
    <w:rsid w:val="00D13B59"/>
    <w:rsid w:val="00D167F3"/>
    <w:rsid w:val="00D16EBA"/>
    <w:rsid w:val="00D17C86"/>
    <w:rsid w:val="00D34B73"/>
    <w:rsid w:val="00D36128"/>
    <w:rsid w:val="00D439E5"/>
    <w:rsid w:val="00D47546"/>
    <w:rsid w:val="00D56E34"/>
    <w:rsid w:val="00D618DF"/>
    <w:rsid w:val="00D735FD"/>
    <w:rsid w:val="00D74C60"/>
    <w:rsid w:val="00D7515C"/>
    <w:rsid w:val="00D7633A"/>
    <w:rsid w:val="00D76DE6"/>
    <w:rsid w:val="00D85114"/>
    <w:rsid w:val="00D85FD9"/>
    <w:rsid w:val="00D86DE2"/>
    <w:rsid w:val="00D8788C"/>
    <w:rsid w:val="00D93805"/>
    <w:rsid w:val="00D95784"/>
    <w:rsid w:val="00DA0B53"/>
    <w:rsid w:val="00DA299A"/>
    <w:rsid w:val="00DA3905"/>
    <w:rsid w:val="00DC08D3"/>
    <w:rsid w:val="00DC4CA0"/>
    <w:rsid w:val="00DC6BCC"/>
    <w:rsid w:val="00DE7CBB"/>
    <w:rsid w:val="00DE7F2C"/>
    <w:rsid w:val="00DF29A2"/>
    <w:rsid w:val="00DF4B14"/>
    <w:rsid w:val="00E00C12"/>
    <w:rsid w:val="00E12F20"/>
    <w:rsid w:val="00E2206B"/>
    <w:rsid w:val="00E22428"/>
    <w:rsid w:val="00E409C6"/>
    <w:rsid w:val="00E463B3"/>
    <w:rsid w:val="00E46E8F"/>
    <w:rsid w:val="00E60D2B"/>
    <w:rsid w:val="00E65C1C"/>
    <w:rsid w:val="00E65F5C"/>
    <w:rsid w:val="00E77483"/>
    <w:rsid w:val="00E83192"/>
    <w:rsid w:val="00E8341E"/>
    <w:rsid w:val="00E84511"/>
    <w:rsid w:val="00E94067"/>
    <w:rsid w:val="00E96157"/>
    <w:rsid w:val="00E9688A"/>
    <w:rsid w:val="00E96C47"/>
    <w:rsid w:val="00E97D5C"/>
    <w:rsid w:val="00E97EFE"/>
    <w:rsid w:val="00EA06E0"/>
    <w:rsid w:val="00EA17B4"/>
    <w:rsid w:val="00EB3BA2"/>
    <w:rsid w:val="00ED1585"/>
    <w:rsid w:val="00EE13AE"/>
    <w:rsid w:val="00EE38BA"/>
    <w:rsid w:val="00EF5822"/>
    <w:rsid w:val="00F02F3A"/>
    <w:rsid w:val="00F07BD4"/>
    <w:rsid w:val="00F16155"/>
    <w:rsid w:val="00F205EB"/>
    <w:rsid w:val="00F30EBA"/>
    <w:rsid w:val="00F31E0B"/>
    <w:rsid w:val="00F44304"/>
    <w:rsid w:val="00F44C75"/>
    <w:rsid w:val="00F45E56"/>
    <w:rsid w:val="00F461A3"/>
    <w:rsid w:val="00F511E1"/>
    <w:rsid w:val="00F560A3"/>
    <w:rsid w:val="00F5786B"/>
    <w:rsid w:val="00F63F33"/>
    <w:rsid w:val="00F64E33"/>
    <w:rsid w:val="00F734D7"/>
    <w:rsid w:val="00F77099"/>
    <w:rsid w:val="00F772EE"/>
    <w:rsid w:val="00F80ADC"/>
    <w:rsid w:val="00F81133"/>
    <w:rsid w:val="00F90832"/>
    <w:rsid w:val="00FA09B4"/>
    <w:rsid w:val="00FB64C9"/>
    <w:rsid w:val="00FB6C86"/>
    <w:rsid w:val="00FC08EE"/>
    <w:rsid w:val="00FC1D72"/>
    <w:rsid w:val="00FD3431"/>
    <w:rsid w:val="00FD754D"/>
    <w:rsid w:val="00FE5760"/>
    <w:rsid w:val="00FE7C3C"/>
    <w:rsid w:val="00FF2031"/>
    <w:rsid w:val="00FF3186"/>
    <w:rsid w:val="00FF5D7A"/>
    <w:rsid w:val="019609A9"/>
    <w:rsid w:val="023F2212"/>
    <w:rsid w:val="05FB46B0"/>
    <w:rsid w:val="070A2FBC"/>
    <w:rsid w:val="0883119F"/>
    <w:rsid w:val="0A283ED3"/>
    <w:rsid w:val="0A86035E"/>
    <w:rsid w:val="0AA55410"/>
    <w:rsid w:val="0B037E51"/>
    <w:rsid w:val="0B534F80"/>
    <w:rsid w:val="0C3B22A3"/>
    <w:rsid w:val="0D6214AA"/>
    <w:rsid w:val="0D7F205C"/>
    <w:rsid w:val="0DA059F5"/>
    <w:rsid w:val="0E6F3E7F"/>
    <w:rsid w:val="0F0C5A70"/>
    <w:rsid w:val="11E77A07"/>
    <w:rsid w:val="12295B18"/>
    <w:rsid w:val="132C232D"/>
    <w:rsid w:val="134D7DA8"/>
    <w:rsid w:val="14507354"/>
    <w:rsid w:val="146B333A"/>
    <w:rsid w:val="15AA79D9"/>
    <w:rsid w:val="17095AE2"/>
    <w:rsid w:val="17D81BBE"/>
    <w:rsid w:val="1B001029"/>
    <w:rsid w:val="1B512096"/>
    <w:rsid w:val="1B5F5790"/>
    <w:rsid w:val="1D6D2E22"/>
    <w:rsid w:val="1E807DB1"/>
    <w:rsid w:val="1E85148C"/>
    <w:rsid w:val="1FA4324B"/>
    <w:rsid w:val="1FCE3F40"/>
    <w:rsid w:val="205F3620"/>
    <w:rsid w:val="208D334A"/>
    <w:rsid w:val="20A774A8"/>
    <w:rsid w:val="21750684"/>
    <w:rsid w:val="219507C9"/>
    <w:rsid w:val="219759BF"/>
    <w:rsid w:val="2316568F"/>
    <w:rsid w:val="23A67EEB"/>
    <w:rsid w:val="25681E8D"/>
    <w:rsid w:val="25967434"/>
    <w:rsid w:val="26CC5EBA"/>
    <w:rsid w:val="26DD103B"/>
    <w:rsid w:val="2A6308E4"/>
    <w:rsid w:val="2B1B1944"/>
    <w:rsid w:val="2B314DBC"/>
    <w:rsid w:val="2B654C0F"/>
    <w:rsid w:val="2D764CC2"/>
    <w:rsid w:val="2E7A444E"/>
    <w:rsid w:val="2E7E596A"/>
    <w:rsid w:val="30592E90"/>
    <w:rsid w:val="307B7BCB"/>
    <w:rsid w:val="30F11CB3"/>
    <w:rsid w:val="321725F9"/>
    <w:rsid w:val="32343183"/>
    <w:rsid w:val="33D67D32"/>
    <w:rsid w:val="36557856"/>
    <w:rsid w:val="377834F5"/>
    <w:rsid w:val="38E0637F"/>
    <w:rsid w:val="39754C6C"/>
    <w:rsid w:val="3A1273C6"/>
    <w:rsid w:val="3AC14625"/>
    <w:rsid w:val="3B0B27DC"/>
    <w:rsid w:val="3D792B22"/>
    <w:rsid w:val="3EBA6941"/>
    <w:rsid w:val="40101DFE"/>
    <w:rsid w:val="41CF0949"/>
    <w:rsid w:val="43FB613F"/>
    <w:rsid w:val="44501A81"/>
    <w:rsid w:val="48B40105"/>
    <w:rsid w:val="49B46387"/>
    <w:rsid w:val="49BD4DC7"/>
    <w:rsid w:val="4B544FAC"/>
    <w:rsid w:val="4BCF2A83"/>
    <w:rsid w:val="4CEE78AF"/>
    <w:rsid w:val="4D1F6494"/>
    <w:rsid w:val="4D341EAC"/>
    <w:rsid w:val="4E70055B"/>
    <w:rsid w:val="4EFF54A1"/>
    <w:rsid w:val="514D4A7F"/>
    <w:rsid w:val="51E270AC"/>
    <w:rsid w:val="525653AD"/>
    <w:rsid w:val="52764596"/>
    <w:rsid w:val="52923265"/>
    <w:rsid w:val="535E29A3"/>
    <w:rsid w:val="53640B20"/>
    <w:rsid w:val="54042454"/>
    <w:rsid w:val="544B7B6F"/>
    <w:rsid w:val="54E22DEA"/>
    <w:rsid w:val="56041754"/>
    <w:rsid w:val="58335D58"/>
    <w:rsid w:val="59E80594"/>
    <w:rsid w:val="59F64A21"/>
    <w:rsid w:val="5A1F62D7"/>
    <w:rsid w:val="5CD22E02"/>
    <w:rsid w:val="5DA75773"/>
    <w:rsid w:val="5F48540F"/>
    <w:rsid w:val="60324543"/>
    <w:rsid w:val="603364C5"/>
    <w:rsid w:val="6288754D"/>
    <w:rsid w:val="62D67E3F"/>
    <w:rsid w:val="63933A29"/>
    <w:rsid w:val="639B4E00"/>
    <w:rsid w:val="663E5660"/>
    <w:rsid w:val="6658247E"/>
    <w:rsid w:val="66813FDF"/>
    <w:rsid w:val="68EB739B"/>
    <w:rsid w:val="69076CB6"/>
    <w:rsid w:val="69F740AB"/>
    <w:rsid w:val="6C305B70"/>
    <w:rsid w:val="707838B4"/>
    <w:rsid w:val="70FB1883"/>
    <w:rsid w:val="73716D78"/>
    <w:rsid w:val="73FBAC65"/>
    <w:rsid w:val="753E53F8"/>
    <w:rsid w:val="75B91F62"/>
    <w:rsid w:val="764845E6"/>
    <w:rsid w:val="76D257BC"/>
    <w:rsid w:val="77647450"/>
    <w:rsid w:val="77CF38D2"/>
    <w:rsid w:val="78F60349"/>
    <w:rsid w:val="793E1645"/>
    <w:rsid w:val="79B17BC5"/>
    <w:rsid w:val="7B875081"/>
    <w:rsid w:val="7C821233"/>
    <w:rsid w:val="7D7B0C16"/>
    <w:rsid w:val="7DFC2364"/>
    <w:rsid w:val="7F2969B9"/>
    <w:rsid w:val="7FD363BD"/>
    <w:rsid w:val="7FF7F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C31CF"/>
  <w15:docId w15:val="{135A8BB8-99DE-424E-AB5D-2C0F3CD06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footnote text" w:uiPriority="99" w:unhideWhenUsed="1" w:qFormat="1"/>
    <w:lsdException w:name="annotation text" w:qFormat="1"/>
    <w:lsdException w:name="header" w:qFormat="1"/>
    <w:lsdException w:name="footer" w:uiPriority="99" w:qFormat="1"/>
    <w:lsdException w:name="caption" w:semiHidden="1" w:unhideWhenUsed="1" w:qFormat="1"/>
    <w:lsdException w:name="footnote reference" w:uiPriority="99"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Body Text First Indent 2" w:qFormat="1"/>
    <w:lsdException w:name="Body Text Indent 2" w:qFormat="1"/>
    <w:lsdException w:name="Hyperlink" w:uiPriority="99" w:unhideWhenUsed="1"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3"/>
    <w:qFormat/>
    <w:pPr>
      <w:widowControl w:val="0"/>
      <w:jc w:val="both"/>
    </w:pPr>
    <w:rPr>
      <w:kern w:val="2"/>
      <w:sz w:val="21"/>
      <w:szCs w:val="24"/>
    </w:rPr>
  </w:style>
  <w:style w:type="paragraph" w:styleId="2">
    <w:name w:val="heading 2"/>
    <w:basedOn w:val="a"/>
    <w:next w:val="a"/>
    <w:uiPriority w:val="9"/>
    <w:qFormat/>
    <w:pPr>
      <w:spacing w:line="560" w:lineRule="exact"/>
      <w:ind w:firstLineChars="200" w:firstLine="640"/>
      <w:outlineLvl w:val="1"/>
    </w:pPr>
    <w:rPr>
      <w:rFonts w:ascii="楷体_GB2312" w:eastAsia="楷体_GB2312" w:hAnsi="楷体_GB2312" w:cs="楷体_GB2312"/>
      <w:color w:val="000000"/>
      <w:kern w:val="0"/>
      <w:sz w:val="32"/>
      <w:szCs w:val="32"/>
    </w:rPr>
  </w:style>
  <w:style w:type="paragraph" w:styleId="3">
    <w:name w:val="heading 3"/>
    <w:basedOn w:val="a"/>
    <w:next w:val="a"/>
    <w:uiPriority w:val="9"/>
    <w:unhideWhenUsed/>
    <w:qFormat/>
    <w:pPr>
      <w:keepNext/>
      <w:keepLines/>
      <w:spacing w:before="260" w:after="260" w:line="416" w:lineRule="auto"/>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next w:val="a"/>
    <w:qFormat/>
    <w:pPr>
      <w:spacing w:line="640" w:lineRule="exact"/>
      <w:ind w:firstLine="960"/>
    </w:pPr>
  </w:style>
  <w:style w:type="paragraph" w:styleId="a6">
    <w:name w:val="Plain Text"/>
    <w:basedOn w:val="a"/>
    <w:uiPriority w:val="99"/>
    <w:unhideWhenUsed/>
    <w:qFormat/>
    <w:rPr>
      <w:rFonts w:ascii="宋体" w:hAnsi="Courier New"/>
      <w:szCs w:val="21"/>
    </w:rPr>
  </w:style>
  <w:style w:type="paragraph" w:styleId="20">
    <w:name w:val="Body Text Indent 2"/>
    <w:basedOn w:val="a"/>
    <w:qFormat/>
    <w:pPr>
      <w:spacing w:after="120" w:line="480" w:lineRule="auto"/>
      <w:ind w:leftChars="200" w:left="420"/>
    </w:pPr>
  </w:style>
  <w:style w:type="paragraph" w:styleId="a7">
    <w:name w:val="Balloon Text"/>
    <w:basedOn w:val="a"/>
    <w:link w:val="a8"/>
    <w:qFormat/>
    <w:rPr>
      <w:sz w:val="18"/>
      <w:szCs w:val="18"/>
    </w:rPr>
  </w:style>
  <w:style w:type="paragraph" w:styleId="a9">
    <w:name w:val="footer"/>
    <w:basedOn w:val="a"/>
    <w:uiPriority w:val="99"/>
    <w:qFormat/>
    <w:pPr>
      <w:tabs>
        <w:tab w:val="center" w:pos="4153"/>
        <w:tab w:val="right" w:pos="8306"/>
      </w:tabs>
      <w:snapToGrid w:val="0"/>
      <w:jc w:val="left"/>
    </w:pPr>
    <w:rPr>
      <w:sz w:val="18"/>
      <w:szCs w:val="20"/>
    </w:rPr>
  </w:style>
  <w:style w:type="paragraph" w:styleId="aa">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uiPriority w:val="39"/>
    <w:unhideWhenUsed/>
    <w:qFormat/>
    <w:pPr>
      <w:tabs>
        <w:tab w:val="right" w:leader="dot" w:pos="8296"/>
      </w:tabs>
    </w:pPr>
    <w:rPr>
      <w:rFonts w:ascii="仿宋" w:eastAsia="仿宋" w:hAnsi="仿宋"/>
      <w:b/>
      <w:sz w:val="28"/>
      <w:szCs w:val="28"/>
    </w:rPr>
  </w:style>
  <w:style w:type="paragraph" w:styleId="ab">
    <w:name w:val="footnote text"/>
    <w:basedOn w:val="a"/>
    <w:uiPriority w:val="99"/>
    <w:unhideWhenUsed/>
    <w:qFormat/>
    <w:pPr>
      <w:snapToGrid w:val="0"/>
      <w:jc w:val="left"/>
    </w:pPr>
    <w:rPr>
      <w:sz w:val="18"/>
      <w:szCs w:val="18"/>
    </w:rPr>
  </w:style>
  <w:style w:type="paragraph" w:styleId="TOC2">
    <w:name w:val="toc 2"/>
    <w:basedOn w:val="a"/>
    <w:next w:val="a"/>
    <w:uiPriority w:val="39"/>
    <w:unhideWhenUsed/>
    <w:qFormat/>
    <w:pPr>
      <w:ind w:leftChars="200" w:left="420"/>
    </w:pPr>
  </w:style>
  <w:style w:type="paragraph" w:styleId="ac">
    <w:name w:val="Normal (Web)"/>
    <w:basedOn w:val="a"/>
    <w:qFormat/>
    <w:pPr>
      <w:spacing w:beforeAutospacing="1" w:afterAutospacing="1"/>
      <w:jc w:val="left"/>
    </w:pPr>
    <w:rPr>
      <w:kern w:val="0"/>
      <w:sz w:val="24"/>
    </w:rPr>
  </w:style>
  <w:style w:type="paragraph" w:styleId="ad">
    <w:name w:val="annotation subject"/>
    <w:basedOn w:val="a3"/>
    <w:next w:val="a3"/>
    <w:link w:val="ae"/>
    <w:qFormat/>
    <w:rPr>
      <w:b/>
      <w:bCs/>
    </w:rPr>
  </w:style>
  <w:style w:type="paragraph" w:styleId="af">
    <w:name w:val="Body Text First Indent"/>
    <w:basedOn w:val="a5"/>
    <w:qFormat/>
    <w:pPr>
      <w:ind w:firstLineChars="100" w:firstLine="420"/>
    </w:pPr>
  </w:style>
  <w:style w:type="paragraph" w:styleId="21">
    <w:name w:val="Body Text First Indent 2"/>
    <w:next w:val="a"/>
    <w:qFormat/>
    <w:pPr>
      <w:widowControl w:val="0"/>
      <w:suppressAutoHyphens/>
      <w:spacing w:line="580" w:lineRule="exact"/>
      <w:ind w:firstLineChars="200" w:firstLine="420"/>
      <w:jc w:val="both"/>
    </w:pPr>
    <w:rPr>
      <w:rFonts w:ascii="仿宋_GB2312" w:eastAsia="仿宋_GB2312" w:hAnsi="Calibri"/>
      <w:kern w:val="2"/>
      <w:sz w:val="32"/>
      <w:szCs w:val="24"/>
    </w:rPr>
  </w:style>
  <w:style w:type="table" w:styleId="af0">
    <w:name w:val="Table Grid"/>
    <w:basedOn w:val="a1"/>
    <w:uiPriority w:val="59"/>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unhideWhenUsed/>
    <w:qFormat/>
    <w:rPr>
      <w:color w:val="0000FF"/>
      <w:u w:val="single"/>
    </w:rPr>
  </w:style>
  <w:style w:type="character" w:styleId="af2">
    <w:name w:val="annotation reference"/>
    <w:basedOn w:val="a0"/>
    <w:qFormat/>
    <w:rPr>
      <w:sz w:val="21"/>
      <w:szCs w:val="21"/>
    </w:rPr>
  </w:style>
  <w:style w:type="character" w:styleId="af3">
    <w:name w:val="footnote reference"/>
    <w:basedOn w:val="a0"/>
    <w:uiPriority w:val="99"/>
    <w:unhideWhenUsed/>
    <w:qFormat/>
    <w:rPr>
      <w:vertAlign w:val="superscript"/>
    </w:rPr>
  </w:style>
  <w:style w:type="paragraph" w:customStyle="1" w:styleId="af4">
    <w:name w:val="表格"/>
    <w:basedOn w:val="a"/>
    <w:qFormat/>
    <w:pPr>
      <w:jc w:val="center"/>
    </w:pPr>
    <w:rPr>
      <w:rFonts w:ascii="Verdana" w:eastAsia="仿宋_GB2312" w:hAnsi="Verdana"/>
      <w:sz w:val="24"/>
      <w:lang w:eastAsia="en-US"/>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a4">
    <w:name w:val="批注文字 字符"/>
    <w:basedOn w:val="a0"/>
    <w:link w:val="a3"/>
    <w:qFormat/>
    <w:rPr>
      <w:kern w:val="2"/>
      <w:sz w:val="21"/>
      <w:szCs w:val="24"/>
    </w:rPr>
  </w:style>
  <w:style w:type="character" w:customStyle="1" w:styleId="ae">
    <w:name w:val="批注主题 字符"/>
    <w:basedOn w:val="a4"/>
    <w:link w:val="ad"/>
    <w:qFormat/>
    <w:rPr>
      <w:b/>
      <w:bCs/>
      <w:kern w:val="2"/>
      <w:sz w:val="21"/>
      <w:szCs w:val="24"/>
    </w:rPr>
  </w:style>
  <w:style w:type="character" w:customStyle="1" w:styleId="a8">
    <w:name w:val="批注框文本 字符"/>
    <w:basedOn w:val="a0"/>
    <w:link w:val="a7"/>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29</Pages>
  <Words>2276</Words>
  <Characters>12975</Characters>
  <Application>Microsoft Office Word</Application>
  <DocSecurity>0</DocSecurity>
  <Lines>108</Lines>
  <Paragraphs>30</Paragraphs>
  <ScaleCrop>false</ScaleCrop>
  <Company/>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zxj</dc:creator>
  <cp:lastModifiedBy>王 EVA</cp:lastModifiedBy>
  <cp:revision>36</cp:revision>
  <cp:lastPrinted>2022-07-10T01:32:00Z</cp:lastPrinted>
  <dcterms:created xsi:type="dcterms:W3CDTF">2023-05-19T08:43:00Z</dcterms:created>
  <dcterms:modified xsi:type="dcterms:W3CDTF">2023-05-31T03:30:00Z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F1548AB2EA5B4FE78DD5552CFDF61B5C</vt:lpwstr>
  </property>
</Properties>
</file>