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atLeast"/>
        <w:ind w:firstLine="0" w:firstLineChars="0"/>
        <w:jc w:val="center"/>
        <w:outlineLvl w:val="9"/>
        <w:rPr>
          <w:rFonts w:hint="default" w:ascii="Times New Roman" w:hAnsi="Times New Roman" w:cs="Times New Roman"/>
          <w:b/>
          <w:bCs/>
          <w:sz w:val="52"/>
          <w:szCs w:val="52"/>
        </w:rPr>
      </w:pPr>
      <w:bookmarkStart w:id="0" w:name="_Toc410210433"/>
      <w:bookmarkStart w:id="1" w:name="_Toc13506"/>
      <w:bookmarkStart w:id="2" w:name="_Toc14173"/>
    </w:p>
    <w:p>
      <w:pPr>
        <w:pStyle w:val="6"/>
        <w:rPr>
          <w:rFonts w:hint="default" w:ascii="Times New Roman" w:hAnsi="Times New Roman" w:cs="Times New Roman"/>
        </w:rPr>
      </w:pPr>
    </w:p>
    <w:p>
      <w:pPr>
        <w:spacing w:line="400" w:lineRule="atLeast"/>
        <w:ind w:firstLine="0" w:firstLineChars="0"/>
        <w:jc w:val="center"/>
        <w:outlineLvl w:val="9"/>
        <w:rPr>
          <w:rFonts w:hint="default" w:ascii="Times New Roman" w:hAnsi="Times New Roman" w:eastAsia="方正小标宋_GBK" w:cs="Times New Roman"/>
          <w:b/>
          <w:bCs/>
          <w:sz w:val="44"/>
          <w:szCs w:val="44"/>
        </w:rPr>
      </w:pPr>
    </w:p>
    <w:p>
      <w:pPr>
        <w:spacing w:line="400" w:lineRule="atLeast"/>
        <w:ind w:firstLine="0" w:firstLineChars="0"/>
        <w:jc w:val="center"/>
        <w:outlineLvl w:val="9"/>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北京市项目支出绩效评价报告</w:t>
      </w:r>
    </w:p>
    <w:p>
      <w:pPr>
        <w:spacing w:line="400" w:lineRule="atLeast"/>
        <w:ind w:firstLine="640"/>
        <w:rPr>
          <w:rFonts w:hint="default" w:ascii="Times New Roman" w:hAnsi="Times New Roman" w:eastAsia="仿宋_GB2312" w:cs="Times New Roman"/>
          <w:sz w:val="32"/>
          <w:szCs w:val="32"/>
          <w:highlight w:val="yellow"/>
        </w:rPr>
      </w:pPr>
    </w:p>
    <w:p>
      <w:pPr>
        <w:spacing w:line="400" w:lineRule="atLeast"/>
        <w:ind w:firstLine="0" w:firstLineChars="0"/>
        <w:rPr>
          <w:rFonts w:hint="default" w:ascii="Times New Roman" w:hAnsi="Times New Roman" w:eastAsia="仿宋_GB2312" w:cs="Times New Roman"/>
          <w:sz w:val="32"/>
          <w:szCs w:val="32"/>
          <w:highlight w:val="yellow"/>
        </w:rPr>
      </w:pPr>
    </w:p>
    <w:p>
      <w:pPr>
        <w:spacing w:line="400" w:lineRule="atLeast"/>
        <w:ind w:firstLine="640"/>
        <w:rPr>
          <w:rFonts w:hint="default" w:ascii="Times New Roman" w:hAnsi="Times New Roman" w:eastAsia="仿宋_GB2312" w:cs="Times New Roman"/>
          <w:sz w:val="32"/>
          <w:szCs w:val="32"/>
          <w:highlight w:val="yellow"/>
        </w:rPr>
      </w:pPr>
    </w:p>
    <w:p>
      <w:pPr>
        <w:spacing w:line="400" w:lineRule="atLeast"/>
        <w:ind w:firstLine="640"/>
        <w:rPr>
          <w:rFonts w:hint="default" w:ascii="Times New Roman" w:hAnsi="Times New Roman" w:eastAsia="仿宋_GB2312" w:cs="Times New Roman"/>
          <w:sz w:val="32"/>
          <w:szCs w:val="32"/>
          <w:highlight w:val="yellow"/>
        </w:rPr>
      </w:pPr>
    </w:p>
    <w:p>
      <w:pPr>
        <w:spacing w:line="400" w:lineRule="atLeast"/>
        <w:ind w:firstLine="640"/>
        <w:rPr>
          <w:rFonts w:hint="default" w:ascii="Times New Roman" w:hAnsi="Times New Roman" w:eastAsia="仿宋_GB2312" w:cs="Times New Roman"/>
          <w:sz w:val="32"/>
          <w:szCs w:val="32"/>
          <w:highlight w:val="yellow"/>
        </w:rPr>
      </w:pPr>
    </w:p>
    <w:p>
      <w:pPr>
        <w:keepNext w:val="0"/>
        <w:keepLines w:val="0"/>
        <w:pageBreakBefore w:val="0"/>
        <w:widowControl w:val="0"/>
        <w:kinsoku/>
        <w:wordWrap/>
        <w:overflowPunct/>
        <w:topLinePunct w:val="0"/>
        <w:autoSpaceDE/>
        <w:autoSpaceDN/>
        <w:bidi w:val="0"/>
        <w:adjustRightInd/>
        <w:snapToGrid/>
        <w:spacing w:line="600" w:lineRule="auto"/>
        <w:ind w:left="113" w:leftChars="47" w:right="-154" w:rightChars="-64" w:firstLine="607" w:firstLineChars="189"/>
        <w:jc w:val="both"/>
        <w:textAlignment w:val="auto"/>
        <w:rPr>
          <w:rFonts w:hint="default" w:ascii="Times New Roman" w:hAnsi="Times New Roman" w:eastAsia="仿宋_GB2312" w:cs="Times New Roman"/>
          <w:sz w:val="32"/>
          <w:szCs w:val="32"/>
          <w:u w:val="single"/>
        </w:rPr>
      </w:pPr>
      <w:r>
        <w:rPr>
          <w:rFonts w:hint="default" w:ascii="Times New Roman" w:hAnsi="Times New Roman" w:eastAsia="仿宋_GB2312" w:cs="Times New Roman"/>
          <w:b/>
          <w:sz w:val="32"/>
          <w:szCs w:val="32"/>
        </w:rPr>
        <w:t>项目名称</w:t>
      </w:r>
      <w:r>
        <w:rPr>
          <w:rFonts w:hint="default" w:ascii="Times New Roman" w:hAnsi="Times New Roman" w:eastAsia="仿宋_GB2312" w:cs="Times New Roman"/>
          <w:b/>
          <w:sz w:val="32"/>
          <w:szCs w:val="32"/>
          <w:lang w:eastAsia="zh-CN"/>
        </w:rPr>
        <w:t>：</w:t>
      </w:r>
      <w:r>
        <w:rPr>
          <w:rFonts w:hint="default" w:ascii="Times New Roman" w:hAnsi="Times New Roman" w:eastAsia="仿宋_GB2312" w:cs="Times New Roman"/>
          <w:sz w:val="32"/>
          <w:szCs w:val="32"/>
          <w:u w:val="single"/>
        </w:rPr>
        <w:t>视频监控存储设备升级改造</w:t>
      </w:r>
      <w:r>
        <w:rPr>
          <w:rFonts w:hint="default" w:ascii="Times New Roman" w:hAnsi="Times New Roman" w:eastAsia="仿宋_GB2312" w:cs="Times New Roman"/>
          <w:sz w:val="32"/>
          <w:szCs w:val="32"/>
          <w:u w:val="single"/>
          <w:lang w:eastAsia="zh-CN"/>
        </w:rPr>
        <w:t>（</w:t>
      </w:r>
      <w:r>
        <w:rPr>
          <w:rFonts w:hint="default" w:ascii="Times New Roman" w:hAnsi="Times New Roman" w:eastAsia="仿宋_GB2312" w:cs="Times New Roman"/>
          <w:sz w:val="32"/>
          <w:szCs w:val="32"/>
          <w:u w:val="single"/>
          <w:lang w:val="en-US" w:eastAsia="zh-CN"/>
        </w:rPr>
        <w:t xml:space="preserve">专用设备购置）     </w:t>
      </w:r>
    </w:p>
    <w:p>
      <w:pPr>
        <w:spacing w:line="600" w:lineRule="auto"/>
        <w:ind w:left="0" w:leftChars="0" w:firstLine="723" w:firstLineChars="225"/>
        <w:rPr>
          <w:rFonts w:hint="default" w:ascii="Times New Roman" w:hAnsi="Times New Roman" w:eastAsia="仿宋_GB2312" w:cs="Times New Roman"/>
          <w:sz w:val="32"/>
          <w:szCs w:val="32"/>
          <w:u w:val="single"/>
          <w:lang w:val="en-US" w:eastAsia="zh-CN"/>
        </w:rPr>
      </w:pPr>
      <w:r>
        <w:rPr>
          <w:rFonts w:hint="default" w:ascii="Times New Roman" w:hAnsi="Times New Roman" w:eastAsia="仿宋_GB2312" w:cs="Times New Roman"/>
          <w:b/>
          <w:sz w:val="32"/>
          <w:szCs w:val="32"/>
        </w:rPr>
        <w:t>实施部门：</w:t>
      </w:r>
      <w:r>
        <w:rPr>
          <w:rFonts w:hint="default" w:ascii="Times New Roman" w:hAnsi="Times New Roman" w:cs="Times New Roman"/>
          <w:sz w:val="32"/>
          <w:u w:val="single"/>
        </w:rPr>
        <w:t xml:space="preserve"> </w:t>
      </w:r>
      <w:r>
        <w:rPr>
          <w:rFonts w:hint="default" w:ascii="Times New Roman" w:hAnsi="Times New Roman" w:cs="Times New Roman"/>
          <w:sz w:val="32"/>
          <w:u w:val="single"/>
          <w:lang w:val="en-US" w:eastAsia="zh-CN"/>
        </w:rPr>
        <w:t xml:space="preserve">          </w:t>
      </w:r>
      <w:r>
        <w:rPr>
          <w:rFonts w:hint="eastAsia" w:cs="Times New Roman"/>
          <w:sz w:val="32"/>
          <w:u w:val="single"/>
          <w:lang w:val="en-US" w:eastAsia="zh-CN"/>
        </w:rPr>
        <w:t xml:space="preserve">  </w:t>
      </w:r>
      <w:r>
        <w:rPr>
          <w:rFonts w:hint="default" w:ascii="Times New Roman" w:hAnsi="Times New Roman" w:cs="Times New Roman"/>
          <w:sz w:val="32"/>
          <w:u w:val="single"/>
          <w:lang w:val="en-US" w:eastAsia="zh-CN"/>
        </w:rPr>
        <w:t xml:space="preserve"> </w:t>
      </w:r>
      <w:r>
        <w:rPr>
          <w:rFonts w:hint="default" w:ascii="Times New Roman" w:hAnsi="Times New Roman" w:eastAsia="仿宋_GB2312" w:cs="Times New Roman"/>
          <w:sz w:val="32"/>
          <w:u w:val="single"/>
        </w:rPr>
        <w:t>首钢技师学院</w:t>
      </w:r>
      <w:r>
        <w:rPr>
          <w:rFonts w:hint="default" w:ascii="Times New Roman" w:hAnsi="Times New Roman" w:eastAsia="仿宋_GB2312" w:cs="Times New Roman"/>
          <w:sz w:val="32"/>
          <w:u w:val="single"/>
          <w:lang w:val="en-US" w:eastAsia="zh-CN"/>
        </w:rPr>
        <w:t xml:space="preserve">           </w:t>
      </w:r>
      <w:r>
        <w:rPr>
          <w:rFonts w:hint="eastAsia" w:eastAsia="仿宋_GB2312" w:cs="Times New Roman"/>
          <w:sz w:val="32"/>
          <w:u w:val="single"/>
          <w:lang w:val="en-US" w:eastAsia="zh-CN"/>
        </w:rPr>
        <w:t xml:space="preserve">       </w:t>
      </w:r>
    </w:p>
    <w:p>
      <w:pPr>
        <w:spacing w:line="500" w:lineRule="exact"/>
        <w:ind w:firstLine="0" w:firstLineChars="0"/>
        <w:jc w:val="left"/>
        <w:rPr>
          <w:rFonts w:hint="default" w:ascii="Times New Roman" w:hAnsi="Times New Roman" w:eastAsia="仿宋_GB2312" w:cs="Times New Roman"/>
          <w:sz w:val="32"/>
          <w:szCs w:val="32"/>
          <w:highlight w:val="yellow"/>
          <w:u w:val="single"/>
        </w:rPr>
      </w:pPr>
    </w:p>
    <w:p>
      <w:pPr>
        <w:spacing w:line="500" w:lineRule="exact"/>
        <w:ind w:firstLine="0" w:firstLineChars="0"/>
        <w:jc w:val="left"/>
        <w:rPr>
          <w:rFonts w:hint="default" w:ascii="Times New Roman" w:hAnsi="Times New Roman" w:eastAsia="仿宋_GB2312" w:cs="Times New Roman"/>
          <w:sz w:val="32"/>
          <w:szCs w:val="32"/>
          <w:highlight w:val="yellow"/>
          <w:u w:val="single"/>
        </w:rPr>
      </w:pPr>
    </w:p>
    <w:p>
      <w:pPr>
        <w:snapToGrid w:val="0"/>
        <w:spacing w:line="360" w:lineRule="auto"/>
        <w:ind w:firstLine="0" w:firstLineChars="0"/>
        <w:jc w:val="center"/>
        <w:rPr>
          <w:rFonts w:hint="default" w:ascii="Times New Roman" w:hAnsi="Times New Roman" w:eastAsia="黑体" w:cs="Times New Roman"/>
          <w:b/>
          <w:sz w:val="32"/>
          <w:szCs w:val="32"/>
        </w:rPr>
      </w:pPr>
      <w:bookmarkStart w:id="3" w:name="_Hlk71569008"/>
    </w:p>
    <w:p>
      <w:pPr>
        <w:snapToGrid w:val="0"/>
        <w:spacing w:line="360" w:lineRule="auto"/>
        <w:ind w:firstLine="0" w:firstLineChars="0"/>
        <w:jc w:val="center"/>
        <w:rPr>
          <w:rFonts w:hint="default" w:ascii="Times New Roman" w:hAnsi="Times New Roman" w:eastAsia="黑体" w:cs="Times New Roman"/>
          <w:b/>
          <w:sz w:val="32"/>
          <w:szCs w:val="32"/>
        </w:rPr>
      </w:pPr>
    </w:p>
    <w:bookmarkEnd w:id="3"/>
    <w:p>
      <w:pPr>
        <w:snapToGrid w:val="0"/>
        <w:spacing w:line="360" w:lineRule="auto"/>
        <w:ind w:firstLine="0" w:firstLineChars="0"/>
        <w:jc w:val="center"/>
        <w:rPr>
          <w:rFonts w:hint="default" w:ascii="Times New Roman" w:hAnsi="Times New Roman" w:eastAsia="黑体" w:cs="Times New Roman"/>
          <w:b w:val="0"/>
          <w:bCs/>
          <w:sz w:val="32"/>
          <w:szCs w:val="32"/>
          <w:lang w:val="en-US" w:eastAsia="zh-CN"/>
        </w:rPr>
      </w:pPr>
      <w:r>
        <w:rPr>
          <w:rFonts w:hint="eastAsia" w:eastAsia="黑体" w:cs="Times New Roman"/>
          <w:b w:val="0"/>
          <w:bCs/>
          <w:sz w:val="32"/>
          <w:szCs w:val="32"/>
          <w:lang w:val="en-US" w:eastAsia="zh-CN"/>
        </w:rPr>
        <w:t>首钢技师学院</w:t>
      </w:r>
    </w:p>
    <w:p>
      <w:pPr>
        <w:snapToGrid w:val="0"/>
        <w:spacing w:line="360" w:lineRule="auto"/>
        <w:ind w:firstLine="0" w:firstLineChars="0"/>
        <w:jc w:val="center"/>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202</w:t>
      </w:r>
      <w:r>
        <w:rPr>
          <w:rFonts w:hint="default" w:ascii="Times New Roman" w:hAnsi="Times New Roman" w:eastAsia="黑体" w:cs="Times New Roman"/>
          <w:b w:val="0"/>
          <w:bCs/>
          <w:sz w:val="32"/>
          <w:szCs w:val="32"/>
          <w:lang w:val="en-US" w:eastAsia="zh-CN"/>
        </w:rPr>
        <w:t>3</w:t>
      </w:r>
      <w:r>
        <w:rPr>
          <w:rFonts w:hint="default" w:ascii="Times New Roman" w:hAnsi="Times New Roman" w:eastAsia="黑体" w:cs="Times New Roman"/>
          <w:b w:val="0"/>
          <w:bCs/>
          <w:sz w:val="32"/>
          <w:szCs w:val="32"/>
        </w:rPr>
        <w:t>年5月</w:t>
      </w:r>
      <w:bookmarkEnd w:id="0"/>
      <w:bookmarkEnd w:id="1"/>
      <w:bookmarkEnd w:id="2"/>
      <w:bookmarkStart w:id="4" w:name="_Hlk68002075"/>
      <w:bookmarkStart w:id="5" w:name="_Hlk67994668"/>
    </w:p>
    <w:bookmarkEnd w:id="4"/>
    <w:p>
      <w:pPr>
        <w:snapToGrid w:val="0"/>
        <w:spacing w:line="360" w:lineRule="auto"/>
        <w:ind w:firstLine="0" w:firstLineChars="0"/>
        <w:jc w:val="center"/>
        <w:rPr>
          <w:rFonts w:hint="default" w:ascii="Times New Roman" w:hAnsi="Times New Roman" w:eastAsia="方正小标宋_GBK" w:cs="Times New Roman"/>
          <w:bCs/>
          <w:sz w:val="36"/>
          <w:szCs w:val="36"/>
        </w:rPr>
        <w:sectPr>
          <w:headerReference r:id="rId5" w:type="default"/>
          <w:footerReference r:id="rId6" w:type="default"/>
          <w:pgSz w:w="11906" w:h="16838"/>
          <w:pgMar w:top="1701" w:right="1701" w:bottom="1701" w:left="1701" w:header="851" w:footer="992" w:gutter="0"/>
          <w:pgNumType w:start="1"/>
          <w:cols w:space="720" w:num="1"/>
          <w:docGrid w:type="lines" w:linePitch="327" w:charSpace="0"/>
        </w:sectPr>
      </w:pPr>
    </w:p>
    <w:bookmarkEnd w:id="5"/>
    <w:p>
      <w:pPr>
        <w:spacing w:before="0" w:beforeLines="0" w:after="0" w:afterLines="0" w:line="240" w:lineRule="auto"/>
        <w:ind w:left="0" w:leftChars="0" w:right="0" w:rightChars="0" w:firstLine="0" w:firstLineChars="0"/>
        <w:jc w:val="center"/>
        <w:rPr>
          <w:rFonts w:hint="default" w:ascii="Times New Roman" w:hAnsi="Times New Roman" w:eastAsia="宋体" w:cs="Times New Roman"/>
          <w:b/>
          <w:bCs/>
          <w:sz w:val="44"/>
          <w:szCs w:val="44"/>
        </w:rPr>
      </w:pPr>
      <w:r>
        <w:rPr>
          <w:rFonts w:hint="default" w:ascii="Times New Roman" w:hAnsi="Times New Roman" w:eastAsia="宋体" w:cs="Times New Roman"/>
          <w:b/>
          <w:bCs/>
          <w:sz w:val="44"/>
          <w:szCs w:val="44"/>
        </w:rPr>
        <w:t>目</w:t>
      </w:r>
      <w:r>
        <w:rPr>
          <w:rFonts w:hint="default" w:ascii="Times New Roman" w:hAnsi="Times New Roman" w:eastAsia="宋体" w:cs="Times New Roman"/>
          <w:b/>
          <w:bCs/>
          <w:sz w:val="44"/>
          <w:szCs w:val="44"/>
          <w:lang w:val="en-US" w:eastAsia="zh-CN"/>
        </w:rPr>
        <w:t xml:space="preserve"> </w:t>
      </w:r>
      <w:r>
        <w:rPr>
          <w:rFonts w:hint="default" w:ascii="Times New Roman" w:hAnsi="Times New Roman" w:eastAsia="宋体" w:cs="Times New Roman"/>
          <w:b/>
          <w:bCs/>
          <w:sz w:val="44"/>
          <w:szCs w:val="44"/>
        </w:rPr>
        <w:t>录</w:t>
      </w:r>
    </w:p>
    <w:p>
      <w:pPr>
        <w:pStyle w:val="13"/>
        <w:keepNext w:val="0"/>
        <w:keepLines w:val="0"/>
        <w:pageBreakBefore w:val="0"/>
        <w:widowControl w:val="0"/>
        <w:tabs>
          <w:tab w:val="right" w:leader="dot" w:pos="8504"/>
        </w:tabs>
        <w:kinsoku/>
        <w:wordWrap/>
        <w:overflowPunct/>
        <w:topLinePunct w:val="0"/>
        <w:autoSpaceDE/>
        <w:autoSpaceDN/>
        <w:bidi w:val="0"/>
        <w:adjustRightInd/>
        <w:snapToGrid/>
        <w:ind w:left="0" w:leftChars="0"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TOC \o "1-2" \h \u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_Toc12917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lang w:eastAsia="zh-Hans"/>
        </w:rPr>
        <w:t>一、</w:t>
      </w:r>
      <w:r>
        <w:rPr>
          <w:rFonts w:hint="default" w:ascii="Times New Roman" w:hAnsi="Times New Roman" w:eastAsia="黑体" w:cs="Times New Roman"/>
          <w:sz w:val="28"/>
          <w:szCs w:val="28"/>
        </w:rPr>
        <w:t>基</w:t>
      </w:r>
      <w:bookmarkStart w:id="173" w:name="_GoBack"/>
      <w:bookmarkEnd w:id="173"/>
      <w:r>
        <w:rPr>
          <w:rFonts w:hint="default" w:ascii="Times New Roman" w:hAnsi="Times New Roman" w:eastAsia="黑体" w:cs="Times New Roman"/>
          <w:sz w:val="28"/>
          <w:szCs w:val="28"/>
        </w:rPr>
        <w:t>本情况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_Toc12917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_Toc15555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sz w:val="28"/>
          <w:szCs w:val="28"/>
        </w:rPr>
        <w:t>（一）项目概况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_Toc15555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_Toc5594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sz w:val="28"/>
          <w:szCs w:val="28"/>
        </w:rPr>
        <w:t>（二）项目绩效目标</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_Toc5594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3"/>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_Toc26299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二、绩效评价工作开展情况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_Toc26299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_Toc21271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sz w:val="28"/>
          <w:szCs w:val="28"/>
        </w:rPr>
        <w:t>（一）绩效评价目的、对象和范围</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_Toc21271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_Toc22201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sz w:val="28"/>
          <w:szCs w:val="28"/>
        </w:rPr>
        <w:t>（二）绩效评价原则、评价指标体系、评价方法和评价标准</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_Toc22201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_Toc159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sz w:val="28"/>
          <w:szCs w:val="28"/>
        </w:rPr>
        <w:t>（三）绩效评价工作过程</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_Toc159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3"/>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_Toc30652 </w:instrText>
      </w:r>
      <w:r>
        <w:rPr>
          <w:rFonts w:hint="default" w:ascii="Times New Roman" w:hAnsi="Times New Roman" w:cs="Times New Roman"/>
          <w:sz w:val="28"/>
          <w:szCs w:val="28"/>
        </w:rPr>
        <w:fldChar w:fldCharType="separate"/>
      </w:r>
      <w:r>
        <w:rPr>
          <w:rFonts w:hint="default" w:ascii="Times New Roman" w:hAnsi="Times New Roman" w:eastAsia="黑体" w:cs="Times New Roman"/>
          <w:bCs/>
          <w:sz w:val="28"/>
          <w:szCs w:val="28"/>
        </w:rPr>
        <w:t>三、综合评价情况及评价结论</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_Toc30652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3"/>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_Toc14951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四、绩效评价指标分析</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_Toc14951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_Toc9996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sz w:val="28"/>
          <w:szCs w:val="28"/>
        </w:rPr>
        <w:t>（一）项目决策情况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_Toc9996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_Toc32029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val="0"/>
          <w:sz w:val="28"/>
          <w:szCs w:val="28"/>
        </w:rPr>
        <w:t>（二）项目过程情况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_Toc32029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10</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_Toc14621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val="0"/>
          <w:sz w:val="28"/>
          <w:szCs w:val="28"/>
          <w:lang w:eastAsia="zh-CN"/>
        </w:rPr>
        <w:t>（</w:t>
      </w:r>
      <w:r>
        <w:rPr>
          <w:rFonts w:hint="default" w:ascii="Times New Roman" w:hAnsi="Times New Roman" w:eastAsia="楷体_GB2312" w:cs="Times New Roman"/>
          <w:bCs w:val="0"/>
          <w:sz w:val="28"/>
          <w:szCs w:val="28"/>
          <w:lang w:val="en-US" w:eastAsia="zh-CN"/>
        </w:rPr>
        <w:t>三</w:t>
      </w:r>
      <w:r>
        <w:rPr>
          <w:rFonts w:hint="default" w:ascii="Times New Roman" w:hAnsi="Times New Roman" w:eastAsia="楷体_GB2312" w:cs="Times New Roman"/>
          <w:bCs w:val="0"/>
          <w:sz w:val="28"/>
          <w:szCs w:val="28"/>
          <w:lang w:eastAsia="zh-CN"/>
        </w:rPr>
        <w:t>）</w:t>
      </w:r>
      <w:r>
        <w:rPr>
          <w:rFonts w:hint="default" w:ascii="Times New Roman" w:hAnsi="Times New Roman" w:eastAsia="楷体_GB2312" w:cs="Times New Roman"/>
          <w:bCs w:val="0"/>
          <w:sz w:val="28"/>
          <w:szCs w:val="28"/>
        </w:rPr>
        <w:t>项目产出</w:t>
      </w:r>
      <w:r>
        <w:rPr>
          <w:rFonts w:hint="default" w:ascii="Times New Roman" w:hAnsi="Times New Roman" w:eastAsia="楷体_GB2312" w:cs="Times New Roman"/>
          <w:bCs w:val="0"/>
          <w:sz w:val="28"/>
          <w:szCs w:val="28"/>
          <w:lang w:val="en-US" w:eastAsia="zh-CN"/>
        </w:rPr>
        <w:t>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_Toc14621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_Toc21491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val="0"/>
          <w:sz w:val="28"/>
          <w:szCs w:val="28"/>
          <w:lang w:eastAsia="zh-CN"/>
        </w:rPr>
        <w:t>（</w:t>
      </w:r>
      <w:r>
        <w:rPr>
          <w:rFonts w:hint="default" w:ascii="Times New Roman" w:hAnsi="Times New Roman" w:eastAsia="楷体_GB2312" w:cs="Times New Roman"/>
          <w:bCs w:val="0"/>
          <w:sz w:val="28"/>
          <w:szCs w:val="28"/>
          <w:lang w:val="en-US" w:eastAsia="zh-CN"/>
        </w:rPr>
        <w:t>四</w:t>
      </w:r>
      <w:r>
        <w:rPr>
          <w:rFonts w:hint="default" w:ascii="Times New Roman" w:hAnsi="Times New Roman" w:eastAsia="楷体_GB2312" w:cs="Times New Roman"/>
          <w:bCs w:val="0"/>
          <w:sz w:val="28"/>
          <w:szCs w:val="28"/>
          <w:lang w:eastAsia="zh-CN"/>
        </w:rPr>
        <w:t>）</w:t>
      </w:r>
      <w:r>
        <w:rPr>
          <w:rFonts w:hint="default" w:ascii="Times New Roman" w:hAnsi="Times New Roman" w:eastAsia="楷体_GB2312" w:cs="Times New Roman"/>
          <w:bCs w:val="0"/>
          <w:sz w:val="28"/>
          <w:szCs w:val="28"/>
          <w:lang w:val="en-US" w:eastAsia="zh-CN"/>
        </w:rPr>
        <w:t>项目</w:t>
      </w:r>
      <w:r>
        <w:rPr>
          <w:rFonts w:hint="default" w:ascii="Times New Roman" w:hAnsi="Times New Roman" w:eastAsia="楷体_GB2312" w:cs="Times New Roman"/>
          <w:bCs w:val="0"/>
          <w:sz w:val="28"/>
          <w:szCs w:val="28"/>
        </w:rPr>
        <w:t>效益情况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_Toc21491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3"/>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_Toc15008 </w:instrText>
      </w:r>
      <w:r>
        <w:rPr>
          <w:rFonts w:hint="default" w:ascii="Times New Roman" w:hAnsi="Times New Roman" w:cs="Times New Roman"/>
          <w:sz w:val="28"/>
          <w:szCs w:val="28"/>
        </w:rPr>
        <w:fldChar w:fldCharType="separate"/>
      </w:r>
      <w:r>
        <w:rPr>
          <w:rFonts w:hint="default" w:ascii="Times New Roman" w:hAnsi="Times New Roman" w:eastAsia="黑体" w:cs="Times New Roman"/>
          <w:bCs/>
          <w:sz w:val="28"/>
          <w:szCs w:val="28"/>
        </w:rPr>
        <w:t>五、主要经验及做法、存在的问题及原因分析</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_Toc15008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_Toc13817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kern w:val="0"/>
          <w:sz w:val="28"/>
          <w:szCs w:val="28"/>
        </w:rPr>
        <w:t>（一）主要经验及做法</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_Toc13817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_Toc30465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kern w:val="0"/>
          <w:sz w:val="28"/>
          <w:szCs w:val="28"/>
        </w:rPr>
        <w:t>（二）存在的问题及原因分析</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_Toc30465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15</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3"/>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_Toc5917 </w:instrText>
      </w:r>
      <w:r>
        <w:rPr>
          <w:rFonts w:hint="default" w:ascii="Times New Roman" w:hAnsi="Times New Roman" w:cs="Times New Roman"/>
          <w:sz w:val="28"/>
          <w:szCs w:val="28"/>
        </w:rPr>
        <w:fldChar w:fldCharType="separate"/>
      </w:r>
      <w:r>
        <w:rPr>
          <w:rFonts w:hint="default" w:ascii="Times New Roman" w:hAnsi="Times New Roman" w:eastAsia="黑体" w:cs="Times New Roman"/>
          <w:bCs/>
          <w:sz w:val="28"/>
          <w:szCs w:val="28"/>
          <w:highlight w:val="none"/>
        </w:rPr>
        <w:t>六、有关建议</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_Toc5917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rPr>
          <w:rFonts w:hint="default" w:ascii="Times New Roman" w:hAnsi="Times New Roman" w:cs="Times New Roman"/>
          <w:sz w:val="28"/>
          <w:szCs w:val="28"/>
        </w:rPr>
      </w:pPr>
      <w:r>
        <w:rPr>
          <w:rFonts w:hint="default" w:ascii="Times New Roman" w:hAnsi="Times New Roman" w:cs="Times New Roman"/>
          <w:sz w:val="28"/>
          <w:szCs w:val="28"/>
        </w:rPr>
        <w:fldChar w:fldCharType="end"/>
      </w:r>
    </w:p>
    <w:p>
      <w:pPr>
        <w:pStyle w:val="13"/>
        <w:tabs>
          <w:tab w:val="right" w:leader="dot" w:pos="8306"/>
        </w:tabs>
        <w:spacing w:line="600" w:lineRule="exact"/>
        <w:ind w:firstLine="0" w:firstLineChars="0"/>
        <w:jc w:val="center"/>
        <w:outlineLvl w:val="0"/>
        <w:rPr>
          <w:rFonts w:hint="default" w:ascii="Times New Roman" w:hAnsi="Times New Roman" w:eastAsia="方正小标宋_GBK" w:cs="Times New Roman"/>
          <w:bCs/>
          <w:sz w:val="44"/>
          <w:szCs w:val="44"/>
        </w:rPr>
      </w:pPr>
      <w:bookmarkStart w:id="6" w:name="_Toc683093632_WPSOffice_Level1"/>
      <w:bookmarkStart w:id="7" w:name="_Toc1963367433_WPSOffice_Level1"/>
      <w:bookmarkStart w:id="8" w:name="_Toc12982"/>
      <w:bookmarkStart w:id="9" w:name="_Toc15160"/>
      <w:bookmarkStart w:id="10" w:name="_Toc14782"/>
      <w:bookmarkStart w:id="11" w:name="_Toc27012"/>
    </w:p>
    <w:p>
      <w:pPr>
        <w:pStyle w:val="13"/>
        <w:tabs>
          <w:tab w:val="right" w:leader="dot" w:pos="8306"/>
        </w:tabs>
        <w:spacing w:line="600" w:lineRule="exact"/>
        <w:ind w:firstLine="0" w:firstLineChars="0"/>
        <w:jc w:val="center"/>
        <w:outlineLvl w:val="9"/>
        <w:rPr>
          <w:rFonts w:hint="default" w:ascii="Times New Roman" w:hAnsi="Times New Roman" w:eastAsia="方正小标宋_GBK" w:cs="Times New Roman"/>
          <w:bCs/>
          <w:sz w:val="44"/>
          <w:szCs w:val="44"/>
        </w:rPr>
        <w:sectPr>
          <w:footerReference r:id="rId7" w:type="default"/>
          <w:pgSz w:w="11906" w:h="16838"/>
          <w:pgMar w:top="1701" w:right="1701" w:bottom="1701" w:left="1701" w:header="851" w:footer="992" w:gutter="0"/>
          <w:pgNumType w:start="1"/>
          <w:cols w:space="720" w:num="1"/>
          <w:docGrid w:type="lines" w:linePitch="327" w:charSpace="0"/>
        </w:sectPr>
      </w:pPr>
    </w:p>
    <w:p>
      <w:pPr>
        <w:pStyle w:val="13"/>
        <w:tabs>
          <w:tab w:val="right" w:leader="dot" w:pos="8306"/>
        </w:tabs>
        <w:spacing w:line="600" w:lineRule="exact"/>
        <w:ind w:firstLine="0" w:firstLineChars="0"/>
        <w:jc w:val="center"/>
        <w:outlineLvl w:val="9"/>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44"/>
          <w:szCs w:val="44"/>
        </w:rPr>
        <w:t>“视频监控存储设备升级改造</w:t>
      </w:r>
      <w:r>
        <w:rPr>
          <w:rFonts w:hint="eastAsia" w:eastAsia="方正小标宋简体" w:cs="Times New Roman"/>
          <w:bCs/>
          <w:sz w:val="44"/>
          <w:szCs w:val="44"/>
          <w:lang w:eastAsia="zh-CN"/>
        </w:rPr>
        <w:t>（</w:t>
      </w:r>
      <w:r>
        <w:rPr>
          <w:rFonts w:hint="eastAsia" w:eastAsia="方正小标宋简体" w:cs="Times New Roman"/>
          <w:bCs/>
          <w:sz w:val="44"/>
          <w:szCs w:val="44"/>
          <w:lang w:val="en-US" w:eastAsia="zh-CN"/>
        </w:rPr>
        <w:t>专用设备购置）</w:t>
      </w:r>
      <w:r>
        <w:rPr>
          <w:rFonts w:hint="default" w:ascii="Times New Roman" w:hAnsi="Times New Roman" w:eastAsia="方正小标宋简体" w:cs="Times New Roman"/>
          <w:bCs/>
          <w:sz w:val="44"/>
          <w:szCs w:val="44"/>
        </w:rPr>
        <w:t>”项目</w:t>
      </w:r>
      <w:bookmarkEnd w:id="6"/>
      <w:bookmarkEnd w:id="7"/>
      <w:bookmarkStart w:id="12" w:name="_Toc82726629_WPSOffice_Level1"/>
      <w:bookmarkStart w:id="13" w:name="_Toc307096162_WPSOffice_Level1"/>
      <w:r>
        <w:rPr>
          <w:rFonts w:hint="default" w:ascii="Times New Roman" w:hAnsi="Times New Roman" w:eastAsia="方正小标宋简体" w:cs="Times New Roman"/>
          <w:bCs/>
          <w:sz w:val="44"/>
          <w:szCs w:val="44"/>
        </w:rPr>
        <w:t>支出绩效评价报告</w:t>
      </w:r>
      <w:bookmarkEnd w:id="8"/>
      <w:bookmarkEnd w:id="9"/>
      <w:bookmarkEnd w:id="10"/>
      <w:bookmarkEnd w:id="11"/>
      <w:bookmarkEnd w:id="12"/>
      <w:bookmarkEnd w:id="13"/>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bCs/>
          <w:kern w:val="44"/>
          <w:sz w:val="32"/>
          <w:szCs w:val="32"/>
          <w:highlight w:val="none"/>
        </w:rPr>
      </w:pPr>
      <w:bookmarkStart w:id="14" w:name="_Toc4184"/>
      <w:bookmarkStart w:id="15" w:name="_Toc2823"/>
    </w:p>
    <w:p>
      <w:pPr>
        <w:keepNext w:val="0"/>
        <w:keepLines w:val="0"/>
        <w:pageBreakBefore w:val="0"/>
        <w:widowControl w:val="0"/>
        <w:kinsoku/>
        <w:wordWrap/>
        <w:overflowPunct/>
        <w:topLinePunct w:val="0"/>
        <w:autoSpaceDE/>
        <w:autoSpaceDN/>
        <w:bidi w:val="0"/>
        <w:adjustRightInd/>
        <w:snapToGrid/>
        <w:spacing w:line="600" w:lineRule="exact"/>
        <w:ind w:left="-24" w:leftChars="-10" w:right="48" w:rightChars="20"/>
        <w:jc w:val="both"/>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为</w:t>
      </w:r>
      <w:r>
        <w:rPr>
          <w:rFonts w:hint="default" w:ascii="Times New Roman" w:hAnsi="Times New Roman" w:eastAsia="仿宋_GB2312" w:cs="Times New Roman"/>
          <w:bCs/>
          <w:kern w:val="44"/>
          <w:sz w:val="32"/>
          <w:szCs w:val="32"/>
          <w:highlight w:val="none"/>
          <w:lang w:val="en-US" w:eastAsia="zh-CN"/>
        </w:rPr>
        <w:t>贯彻</w:t>
      </w:r>
      <w:r>
        <w:rPr>
          <w:rFonts w:hint="default" w:ascii="Times New Roman" w:hAnsi="Times New Roman" w:eastAsia="仿宋_GB2312" w:cs="Times New Roman"/>
          <w:bCs/>
          <w:kern w:val="44"/>
          <w:sz w:val="32"/>
          <w:szCs w:val="32"/>
          <w:highlight w:val="none"/>
        </w:rPr>
        <w:t>落实《中共中央 国务院关于全面实施预算绩效管理的意见》（中发〔2018〕34号），强化以结果为导向的预算绩效管理机制，规范财政支出管理，切实增强部门支出责任和效率意识，提高财政资金使用效益</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rPr>
        <w:t>依据《中共北京市委</w:t>
      </w:r>
      <w:r>
        <w:rPr>
          <w:rFonts w:hint="default" w:ascii="Times New Roman" w:hAnsi="Times New Roman" w:eastAsia="仿宋_GB2312" w:cs="Times New Roman"/>
          <w:bCs/>
          <w:kern w:val="44"/>
          <w:sz w:val="32"/>
          <w:szCs w:val="32"/>
          <w:highlight w:val="none"/>
          <w:lang w:val="en-US" w:eastAsia="zh-CN"/>
        </w:rPr>
        <w:t xml:space="preserve"> </w:t>
      </w:r>
      <w:r>
        <w:rPr>
          <w:rFonts w:hint="default" w:ascii="Times New Roman" w:hAnsi="Times New Roman" w:eastAsia="仿宋_GB2312" w:cs="Times New Roman"/>
          <w:bCs/>
          <w:kern w:val="44"/>
          <w:sz w:val="32"/>
          <w:szCs w:val="32"/>
          <w:highlight w:val="none"/>
        </w:rPr>
        <w:t>北京市人民政府关于全面实施预算绩效管理的实施意见》（京发〔2019〕12号）、《北京市预算绩效管理办法》（京财绩效〔2019〕2129号）和</w:t>
      </w:r>
      <w:bookmarkStart w:id="16" w:name="_Hlk68003568"/>
      <w:r>
        <w:rPr>
          <w:rFonts w:hint="default" w:ascii="Times New Roman" w:hAnsi="Times New Roman" w:eastAsia="仿宋_GB2312" w:cs="Times New Roman"/>
          <w:bCs/>
          <w:kern w:val="44"/>
          <w:sz w:val="32"/>
          <w:szCs w:val="32"/>
          <w:highlight w:val="none"/>
        </w:rPr>
        <w:t>《北京市项目支出绩效评价管理办法》（京财绩效〔2020〕2146号）</w:t>
      </w:r>
      <w:bookmarkEnd w:id="16"/>
      <w:r>
        <w:rPr>
          <w:rFonts w:hint="default" w:ascii="Times New Roman" w:hAnsi="Times New Roman" w:eastAsia="仿宋_GB2312" w:cs="Times New Roman"/>
          <w:bCs/>
          <w:kern w:val="44"/>
          <w:sz w:val="32"/>
          <w:szCs w:val="32"/>
          <w:highlight w:val="none"/>
        </w:rPr>
        <w:t>等文件，</w:t>
      </w:r>
      <w:r>
        <w:rPr>
          <w:rFonts w:hint="default" w:ascii="Times New Roman" w:hAnsi="Times New Roman" w:eastAsia="仿宋_GB2312" w:cs="Times New Roman"/>
          <w:bCs/>
          <w:kern w:val="44"/>
          <w:sz w:val="32"/>
          <w:szCs w:val="32"/>
          <w:highlight w:val="none"/>
          <w:lang w:val="en-US" w:eastAsia="zh-CN"/>
        </w:rPr>
        <w:t>首钢技师学院</w:t>
      </w:r>
      <w:r>
        <w:rPr>
          <w:rFonts w:hint="default" w:ascii="Times New Roman" w:hAnsi="Times New Roman" w:eastAsia="仿宋_GB2312" w:cs="Times New Roman"/>
          <w:bCs/>
          <w:kern w:val="44"/>
          <w:sz w:val="32"/>
          <w:szCs w:val="32"/>
          <w:highlight w:val="none"/>
        </w:rPr>
        <w:t>按照</w:t>
      </w:r>
      <w:bookmarkStart w:id="17" w:name="_Hlk68003590"/>
      <w:r>
        <w:rPr>
          <w:rFonts w:hint="default" w:ascii="Times New Roman" w:hAnsi="Times New Roman" w:eastAsia="仿宋_GB2312" w:cs="Times New Roman"/>
          <w:bCs/>
          <w:kern w:val="44"/>
          <w:sz w:val="32"/>
          <w:szCs w:val="32"/>
          <w:highlight w:val="none"/>
        </w:rPr>
        <w:t>《</w:t>
      </w:r>
      <w:r>
        <w:rPr>
          <w:rFonts w:hint="default" w:ascii="Times New Roman" w:hAnsi="Times New Roman" w:eastAsia="仿宋_GB2312" w:cs="Times New Roman"/>
          <w:bCs/>
          <w:kern w:val="44"/>
          <w:sz w:val="32"/>
          <w:szCs w:val="32"/>
          <w:highlight w:val="none"/>
          <w:lang w:val="en"/>
        </w:rPr>
        <w:t>北京市财政局关于2023年</w:t>
      </w:r>
      <w:r>
        <w:rPr>
          <w:rFonts w:hint="default" w:ascii="Times New Roman" w:hAnsi="Times New Roman" w:eastAsia="仿宋_GB2312" w:cs="Times New Roman"/>
          <w:bCs/>
          <w:kern w:val="44"/>
          <w:sz w:val="32"/>
          <w:szCs w:val="32"/>
          <w:highlight w:val="none"/>
          <w:lang w:val="en" w:eastAsia="zh-CN"/>
        </w:rPr>
        <w:t>推进</w:t>
      </w:r>
      <w:r>
        <w:rPr>
          <w:rFonts w:hint="default" w:ascii="Times New Roman" w:hAnsi="Times New Roman" w:eastAsia="仿宋_GB2312" w:cs="Times New Roman"/>
          <w:bCs/>
          <w:kern w:val="44"/>
          <w:sz w:val="32"/>
          <w:szCs w:val="32"/>
          <w:highlight w:val="none"/>
          <w:lang w:val="en"/>
        </w:rPr>
        <w:t>全面</w:t>
      </w:r>
      <w:r>
        <w:rPr>
          <w:rFonts w:hint="default" w:ascii="Times New Roman" w:hAnsi="Times New Roman" w:eastAsia="仿宋_GB2312" w:cs="Times New Roman"/>
          <w:bCs/>
          <w:kern w:val="44"/>
          <w:sz w:val="32"/>
          <w:szCs w:val="32"/>
          <w:highlight w:val="none"/>
          <w:lang w:val="en" w:eastAsia="zh-CN"/>
        </w:rPr>
        <w:t>实施</w:t>
      </w:r>
      <w:r>
        <w:rPr>
          <w:rFonts w:hint="default" w:ascii="Times New Roman" w:hAnsi="Times New Roman" w:eastAsia="仿宋_GB2312" w:cs="Times New Roman"/>
          <w:bCs/>
          <w:kern w:val="44"/>
          <w:sz w:val="32"/>
          <w:szCs w:val="32"/>
          <w:highlight w:val="none"/>
          <w:lang w:val="en"/>
        </w:rPr>
        <w:t>预算绩效管理工作的</w:t>
      </w:r>
      <w:r>
        <w:rPr>
          <w:rFonts w:hint="default" w:ascii="Times New Roman" w:hAnsi="Times New Roman" w:eastAsia="仿宋_GB2312" w:cs="Times New Roman"/>
          <w:bCs/>
          <w:kern w:val="44"/>
          <w:sz w:val="32"/>
          <w:szCs w:val="32"/>
          <w:highlight w:val="none"/>
          <w:lang w:val="en" w:eastAsia="zh-CN"/>
        </w:rPr>
        <w:t>预</w:t>
      </w:r>
      <w:r>
        <w:rPr>
          <w:rFonts w:hint="default" w:ascii="Times New Roman" w:hAnsi="Times New Roman" w:eastAsia="仿宋_GB2312" w:cs="Times New Roman"/>
          <w:bCs/>
          <w:kern w:val="44"/>
          <w:sz w:val="32"/>
          <w:szCs w:val="32"/>
          <w:highlight w:val="none"/>
          <w:lang w:val="en"/>
        </w:rPr>
        <w:t>通知</w:t>
      </w:r>
      <w:r>
        <w:rPr>
          <w:rFonts w:hint="default" w:ascii="Times New Roman" w:hAnsi="Times New Roman" w:eastAsia="仿宋_GB2312" w:cs="Times New Roman"/>
          <w:bCs/>
          <w:kern w:val="44"/>
          <w:sz w:val="32"/>
          <w:szCs w:val="32"/>
          <w:highlight w:val="none"/>
        </w:rPr>
        <w:t>》</w:t>
      </w:r>
      <w:bookmarkEnd w:id="17"/>
      <w:r>
        <w:rPr>
          <w:rFonts w:hint="default" w:ascii="Times New Roman" w:hAnsi="Times New Roman" w:eastAsia="仿宋_GB2312" w:cs="Times New Roman"/>
          <w:bCs/>
          <w:kern w:val="44"/>
          <w:sz w:val="32"/>
          <w:szCs w:val="32"/>
          <w:highlight w:val="none"/>
        </w:rPr>
        <w:t>部署要求</w:t>
      </w:r>
      <w:r>
        <w:rPr>
          <w:rFonts w:hint="default" w:ascii="Times New Roman" w:hAnsi="Times New Roman" w:eastAsia="仿宋_GB2312" w:cs="Times New Roman"/>
          <w:color w:val="000000"/>
          <w:kern w:val="0"/>
          <w:sz w:val="32"/>
          <w:szCs w:val="32"/>
        </w:rPr>
        <w:t>，组建绩效评价工作组（以下简称评价工作组）</w:t>
      </w:r>
      <w:r>
        <w:rPr>
          <w:rFonts w:hint="default" w:ascii="Times New Roman" w:hAnsi="Times New Roman" w:eastAsia="仿宋_GB2312" w:cs="Times New Roman"/>
          <w:bCs/>
          <w:kern w:val="44"/>
          <w:sz w:val="32"/>
          <w:szCs w:val="32"/>
          <w:highlight w:val="none"/>
        </w:rPr>
        <w:t>对</w:t>
      </w:r>
      <w:r>
        <w:rPr>
          <w:rFonts w:hint="default" w:ascii="Times New Roman" w:hAnsi="Times New Roman" w:eastAsia="仿宋_GB2312" w:cs="Times New Roman"/>
          <w:bCs/>
          <w:kern w:val="44"/>
          <w:sz w:val="32"/>
          <w:szCs w:val="32"/>
          <w:highlight w:val="none"/>
          <w:lang w:val="en-US" w:eastAsia="zh-CN"/>
        </w:rPr>
        <w:t>保卫部</w:t>
      </w:r>
      <w:r>
        <w:rPr>
          <w:rFonts w:hint="default" w:ascii="Times New Roman" w:hAnsi="Times New Roman" w:eastAsia="仿宋_GB2312" w:cs="Times New Roman"/>
          <w:bCs/>
          <w:kern w:val="44"/>
          <w:sz w:val="32"/>
          <w:szCs w:val="32"/>
          <w:highlight w:val="none"/>
        </w:rPr>
        <w:t>负责实施的“</w:t>
      </w:r>
      <w:r>
        <w:rPr>
          <w:rFonts w:hint="default" w:ascii="Times New Roman" w:hAnsi="Times New Roman" w:eastAsia="仿宋_GB2312" w:cs="Times New Roman"/>
          <w:color w:val="000000"/>
          <w:kern w:val="0"/>
          <w:sz w:val="32"/>
          <w:szCs w:val="32"/>
        </w:rPr>
        <w:t>视频监控存储设备升级改造</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bCs/>
          <w:kern w:val="44"/>
          <w:sz w:val="32"/>
          <w:szCs w:val="32"/>
          <w:highlight w:val="none"/>
          <w:lang w:val="en-US" w:eastAsia="zh-CN"/>
        </w:rPr>
        <w:t>专用设备购置）</w:t>
      </w:r>
      <w:r>
        <w:rPr>
          <w:rFonts w:hint="default" w:ascii="Times New Roman" w:hAnsi="Times New Roman" w:eastAsia="仿宋_GB2312" w:cs="Times New Roman"/>
          <w:color w:val="000000"/>
          <w:kern w:val="0"/>
          <w:sz w:val="32"/>
          <w:szCs w:val="32"/>
        </w:rPr>
        <w:t>”项目（以下简称该项目）的绩效情况实施评价，</w:t>
      </w:r>
      <w:r>
        <w:rPr>
          <w:rFonts w:hint="default" w:ascii="Times New Roman" w:hAnsi="Times New Roman" w:eastAsia="仿宋_GB2312" w:cs="Times New Roman"/>
          <w:bCs/>
          <w:kern w:val="44"/>
          <w:sz w:val="32"/>
          <w:szCs w:val="32"/>
          <w:highlight w:val="none"/>
        </w:rPr>
        <w:t>形成本报告。</w:t>
      </w:r>
    </w:p>
    <w:bookmarkEnd w:id="14"/>
    <w:bookmarkEnd w:id="15"/>
    <w:p>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textAlignment w:val="auto"/>
        <w:outlineLvl w:val="0"/>
        <w:rPr>
          <w:rFonts w:hint="default" w:ascii="Times New Roman" w:hAnsi="Times New Roman" w:eastAsia="黑体" w:cs="Times New Roman"/>
          <w:b/>
          <w:sz w:val="32"/>
        </w:rPr>
      </w:pPr>
      <w:bookmarkStart w:id="18" w:name="_Toc1783587871"/>
      <w:bookmarkStart w:id="19" w:name="_Toc15517"/>
      <w:bookmarkStart w:id="20" w:name="_Toc16374"/>
      <w:bookmarkStart w:id="21" w:name="_Toc26439"/>
      <w:bookmarkStart w:id="22" w:name="_Toc28952"/>
      <w:bookmarkStart w:id="23" w:name="_Toc964533994_WPSOffice_Level1"/>
      <w:bookmarkStart w:id="24" w:name="_Toc12917"/>
      <w:bookmarkStart w:id="25" w:name="_Toc13095"/>
      <w:r>
        <w:rPr>
          <w:rFonts w:hint="default" w:ascii="Times New Roman" w:hAnsi="Times New Roman" w:eastAsia="黑体" w:cs="Times New Roman"/>
          <w:sz w:val="32"/>
          <w:szCs w:val="32"/>
          <w:lang w:eastAsia="zh-Hans"/>
        </w:rPr>
        <w:t>一、</w:t>
      </w:r>
      <w:r>
        <w:rPr>
          <w:rFonts w:hint="default" w:ascii="Times New Roman" w:hAnsi="Times New Roman" w:eastAsia="黑体" w:cs="Times New Roman"/>
          <w:sz w:val="32"/>
          <w:szCs w:val="32"/>
        </w:rPr>
        <w:t>基本情况</w:t>
      </w:r>
      <w:bookmarkEnd w:id="18"/>
      <w:bookmarkEnd w:id="19"/>
      <w:bookmarkEnd w:id="20"/>
      <w:bookmarkEnd w:id="21"/>
      <w:bookmarkEnd w:id="22"/>
      <w:bookmarkEnd w:id="23"/>
      <w:bookmarkEnd w:id="24"/>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outlineLvl w:val="1"/>
        <w:rPr>
          <w:rFonts w:hint="default" w:ascii="Times New Roman" w:hAnsi="Times New Roman" w:eastAsia="楷体_GB2312" w:cs="Times New Roman"/>
          <w:b/>
          <w:sz w:val="32"/>
        </w:rPr>
      </w:pPr>
      <w:bookmarkStart w:id="26" w:name="_Toc11131"/>
      <w:bookmarkStart w:id="27" w:name="_Toc15555"/>
      <w:bookmarkStart w:id="28" w:name="_Toc23833"/>
      <w:bookmarkStart w:id="29" w:name="_Toc16496"/>
      <w:bookmarkStart w:id="30" w:name="_Toc17092"/>
      <w:bookmarkStart w:id="31" w:name="_Toc1716269602_WPSOffice_Level2"/>
      <w:bookmarkStart w:id="32" w:name="_Toc37119424"/>
      <w:r>
        <w:rPr>
          <w:rFonts w:hint="default" w:ascii="Times New Roman" w:hAnsi="Times New Roman" w:eastAsia="楷体_GB2312" w:cs="Times New Roman"/>
          <w:b/>
          <w:sz w:val="32"/>
        </w:rPr>
        <w:t>（一）项目概况</w:t>
      </w:r>
      <w:bookmarkEnd w:id="25"/>
      <w:bookmarkEnd w:id="26"/>
      <w:bookmarkEnd w:id="27"/>
      <w:bookmarkEnd w:id="28"/>
      <w:bookmarkEnd w:id="29"/>
      <w:bookmarkEnd w:id="30"/>
      <w:bookmarkEnd w:id="31"/>
      <w:bookmarkEnd w:id="32"/>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lang w:val="en-US" w:eastAsia="zh-CN"/>
        </w:rPr>
      </w:pPr>
      <w:r>
        <w:rPr>
          <w:rFonts w:hint="default" w:ascii="Times New Roman" w:hAnsi="Times New Roman" w:eastAsia="仿宋_GB2312" w:cs="Times New Roman"/>
          <w:bCs/>
          <w:kern w:val="44"/>
          <w:sz w:val="32"/>
          <w:szCs w:val="32"/>
          <w:highlight w:val="none"/>
        </w:rPr>
        <w:t>项目名称：视频监控存储设备升级改造</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lang w:val="en-US" w:eastAsia="zh-CN"/>
        </w:rPr>
        <w:t>专用设备购置）</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lang w:val="en-US" w:eastAsia="zh-CN"/>
        </w:rPr>
      </w:pPr>
      <w:r>
        <w:rPr>
          <w:rFonts w:hint="default" w:ascii="Times New Roman" w:hAnsi="Times New Roman" w:eastAsia="仿宋_GB2312" w:cs="Times New Roman"/>
          <w:bCs/>
          <w:kern w:val="44"/>
          <w:sz w:val="32"/>
          <w:szCs w:val="32"/>
          <w:highlight w:val="none"/>
        </w:rPr>
        <w:t>实施部门：</w:t>
      </w:r>
      <w:r>
        <w:rPr>
          <w:rFonts w:hint="default" w:ascii="Times New Roman" w:hAnsi="Times New Roman" w:eastAsia="仿宋_GB2312" w:cs="Times New Roman"/>
          <w:bCs/>
          <w:kern w:val="44"/>
          <w:sz w:val="32"/>
          <w:szCs w:val="32"/>
          <w:highlight w:val="none"/>
          <w:lang w:val="en-US" w:eastAsia="zh-CN"/>
        </w:rPr>
        <w:t>首钢技师学院</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项目类型：</w:t>
      </w:r>
      <w:r>
        <w:rPr>
          <w:rFonts w:hint="default" w:ascii="Times New Roman" w:hAnsi="Times New Roman" w:eastAsia="仿宋_GB2312" w:cs="Times New Roman"/>
          <w:bCs/>
          <w:kern w:val="44"/>
          <w:sz w:val="32"/>
          <w:szCs w:val="32"/>
          <w:highlight w:val="none"/>
          <w:lang w:val="en-US" w:eastAsia="zh-CN"/>
        </w:rPr>
        <w:t>新增</w:t>
      </w:r>
      <w:r>
        <w:rPr>
          <w:rFonts w:hint="default" w:ascii="Times New Roman" w:hAnsi="Times New Roman" w:eastAsia="仿宋_GB2312" w:cs="Times New Roman"/>
          <w:bCs/>
          <w:kern w:val="44"/>
          <w:sz w:val="32"/>
          <w:szCs w:val="32"/>
          <w:highlight w:val="none"/>
        </w:rPr>
        <w:t>项目</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项目开始时间：202</w:t>
      </w:r>
      <w:r>
        <w:rPr>
          <w:rFonts w:hint="default" w:ascii="Times New Roman" w:hAnsi="Times New Roman" w:eastAsia="仿宋_GB2312" w:cs="Times New Roman"/>
          <w:bCs/>
          <w:kern w:val="44"/>
          <w:sz w:val="32"/>
          <w:szCs w:val="32"/>
          <w:highlight w:val="none"/>
          <w:lang w:val="en-US" w:eastAsia="zh-CN"/>
        </w:rPr>
        <w:t>1</w:t>
      </w:r>
      <w:r>
        <w:rPr>
          <w:rFonts w:hint="default" w:ascii="Times New Roman" w:hAnsi="Times New Roman" w:eastAsia="仿宋_GB2312" w:cs="Times New Roman"/>
          <w:bCs/>
          <w:kern w:val="44"/>
          <w:sz w:val="32"/>
          <w:szCs w:val="32"/>
          <w:highlight w:val="none"/>
        </w:rPr>
        <w:t>年</w:t>
      </w:r>
      <w:r>
        <w:rPr>
          <w:rFonts w:hint="default" w:ascii="Times New Roman" w:hAnsi="Times New Roman" w:eastAsia="仿宋_GB2312" w:cs="Times New Roman"/>
          <w:bCs/>
          <w:kern w:val="44"/>
          <w:sz w:val="32"/>
          <w:szCs w:val="32"/>
          <w:highlight w:val="none"/>
          <w:lang w:val="en-US" w:eastAsia="zh-CN"/>
        </w:rPr>
        <w:t>11</w:t>
      </w:r>
      <w:r>
        <w:rPr>
          <w:rFonts w:hint="default" w:ascii="Times New Roman" w:hAnsi="Times New Roman" w:eastAsia="仿宋_GB2312" w:cs="Times New Roman"/>
          <w:bCs/>
          <w:kern w:val="44"/>
          <w:sz w:val="32"/>
          <w:szCs w:val="32"/>
          <w:highlight w:val="none"/>
        </w:rPr>
        <w:t>月</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项目完成时间：202</w:t>
      </w:r>
      <w:r>
        <w:rPr>
          <w:rFonts w:hint="default" w:ascii="Times New Roman" w:hAnsi="Times New Roman" w:eastAsia="仿宋_GB2312" w:cs="Times New Roman"/>
          <w:bCs/>
          <w:kern w:val="44"/>
          <w:sz w:val="32"/>
          <w:szCs w:val="32"/>
          <w:highlight w:val="none"/>
          <w:lang w:val="en-US" w:eastAsia="zh-CN"/>
        </w:rPr>
        <w:t>2</w:t>
      </w:r>
      <w:r>
        <w:rPr>
          <w:rFonts w:hint="default" w:ascii="Times New Roman" w:hAnsi="Times New Roman" w:eastAsia="仿宋_GB2312" w:cs="Times New Roman"/>
          <w:bCs/>
          <w:kern w:val="44"/>
          <w:sz w:val="32"/>
          <w:szCs w:val="32"/>
          <w:highlight w:val="none"/>
        </w:rPr>
        <w:t>年</w:t>
      </w:r>
      <w:r>
        <w:rPr>
          <w:rFonts w:hint="default" w:ascii="Times New Roman" w:hAnsi="Times New Roman" w:eastAsia="仿宋_GB2312" w:cs="Times New Roman"/>
          <w:bCs/>
          <w:kern w:val="44"/>
          <w:sz w:val="32"/>
          <w:szCs w:val="32"/>
          <w:highlight w:val="none"/>
          <w:lang w:val="en-US" w:eastAsia="zh-CN"/>
        </w:rPr>
        <w:t>4</w:t>
      </w:r>
      <w:r>
        <w:rPr>
          <w:rFonts w:hint="default" w:ascii="Times New Roman" w:hAnsi="Times New Roman" w:eastAsia="仿宋_GB2312" w:cs="Times New Roman"/>
          <w:bCs/>
          <w:kern w:val="44"/>
          <w:sz w:val="32"/>
          <w:szCs w:val="32"/>
          <w:highlight w:val="none"/>
        </w:rPr>
        <w:t>月</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2.项目背景</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sz w:val="32"/>
          <w:szCs w:val="32"/>
          <w:lang w:val="en-US" w:eastAsia="zh-CN"/>
        </w:rPr>
      </w:pPr>
      <w:bookmarkStart w:id="33" w:name="_Hlk89248779"/>
      <w:bookmarkStart w:id="34" w:name="_Toc15639"/>
      <w:r>
        <w:rPr>
          <w:rFonts w:hint="default" w:ascii="Times New Roman" w:hAnsi="Times New Roman" w:eastAsia="仿宋_GB2312" w:cs="Times New Roman"/>
          <w:sz w:val="32"/>
          <w:szCs w:val="32"/>
        </w:rPr>
        <w:t>2021年首钢技师学院被石景山公安分局确定为防范恐怖袭击重点目标单位</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按照《中华人民共和国反恐怖主义法》第三十二条规定，重点目标的管理单位应当建立公共安全视频图像信息系统值班监看、信息保存使用、运行维护等管理制度，保障相关系统正常运行。采集的视频图像信息保存期限不得少于九十日。</w:t>
      </w:r>
      <w:bookmarkEnd w:id="33"/>
      <w:r>
        <w:rPr>
          <w:rFonts w:hint="default" w:ascii="Times New Roman" w:hAnsi="Times New Roman" w:eastAsia="仿宋_GB2312" w:cs="Times New Roman"/>
          <w:sz w:val="32"/>
          <w:szCs w:val="32"/>
        </w:rPr>
        <w:t>首钢技师学院安防系统于2015年建设，现有200万像素网络摄像机数量为729台，教学楼视频监控325台，总计1054台，录像实际存储时间为30天。原系统使用时间已达6年，存储设备开始出现磁盘不定期损坏等故障，且原设备已经停产，无法进行替换、以及增容和扩容，考虑系统的整体性能、稳定性、可靠性和可扩展性，拟将原存储设备进行整体更换，保证存储时间达到90天，同时保证</w:t>
      </w:r>
      <w:bookmarkStart w:id="35" w:name="_Hlk89248801"/>
      <w:r>
        <w:rPr>
          <w:rFonts w:hint="default" w:ascii="Times New Roman" w:hAnsi="Times New Roman" w:eastAsia="仿宋_GB2312" w:cs="Times New Roman"/>
          <w:sz w:val="32"/>
          <w:szCs w:val="32"/>
        </w:rPr>
        <w:t>新增视频存储设备无缝接入现有视频监控系统，实现统一管理的录像下载</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查询等</w:t>
      </w:r>
      <w:r>
        <w:rPr>
          <w:rFonts w:hint="default" w:ascii="Times New Roman" w:hAnsi="Times New Roman" w:eastAsia="仿宋_GB2312" w:cs="Times New Roman"/>
          <w:sz w:val="32"/>
          <w:szCs w:val="32"/>
          <w:lang w:val="en-US" w:eastAsia="zh-CN"/>
        </w:rPr>
        <w:t>功能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为各类事件提供更有利的视频依据，提升校园安全管理水平，给广大师生提供安全保障</w:t>
      </w:r>
      <w:bookmarkEnd w:id="35"/>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首钢技师学院申报了</w:t>
      </w:r>
      <w:r>
        <w:rPr>
          <w:rFonts w:hint="default" w:ascii="Times New Roman" w:hAnsi="Times New Roman" w:eastAsia="仿宋_GB2312" w:cs="Times New Roman"/>
          <w:bCs/>
          <w:kern w:val="44"/>
          <w:sz w:val="32"/>
          <w:szCs w:val="32"/>
          <w:highlight w:val="none"/>
        </w:rPr>
        <w:t>视频监控存储设备升级改造</w:t>
      </w:r>
      <w:r>
        <w:rPr>
          <w:rFonts w:hint="default" w:ascii="Times New Roman" w:hAnsi="Times New Roman" w:eastAsia="仿宋_GB2312" w:cs="Times New Roman"/>
          <w:bCs/>
          <w:kern w:val="44"/>
          <w:sz w:val="32"/>
          <w:szCs w:val="32"/>
          <w:highlight w:val="none"/>
          <w:lang w:val="en-US" w:eastAsia="zh-CN"/>
        </w:rPr>
        <w:t>项目。</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rPr>
        <w:t>3.主要内容</w:t>
      </w:r>
      <w:r>
        <w:rPr>
          <w:rFonts w:hint="default" w:ascii="Times New Roman" w:hAnsi="Times New Roman" w:eastAsia="仿宋_GB2312" w:cs="Times New Roman"/>
          <w:b w:val="0"/>
          <w:bCs/>
          <w:sz w:val="32"/>
          <w:szCs w:val="32"/>
          <w:lang w:val="en-US" w:eastAsia="zh-CN"/>
        </w:rPr>
        <w:t>及实施情况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lang w:val="en-US" w:eastAsia="zh-CN"/>
        </w:rPr>
      </w:pPr>
      <w:r>
        <w:rPr>
          <w:rFonts w:hint="default" w:ascii="Times New Roman" w:hAnsi="Times New Roman" w:eastAsia="仿宋_GB2312" w:cs="Times New Roman"/>
          <w:bCs/>
          <w:kern w:val="44"/>
          <w:sz w:val="32"/>
          <w:szCs w:val="32"/>
          <w:highlight w:val="none"/>
          <w:lang w:val="en-US" w:eastAsia="zh-CN"/>
        </w:rPr>
        <w:t>该项目依据《北京市石景山公安分局责令限期整改通知书》（石公（限）责通字</w:t>
      </w:r>
      <w:r>
        <w:rPr>
          <w:rFonts w:hint="default" w:ascii="Times New Roman" w:hAnsi="Times New Roman" w:eastAsia="仿宋_GB2312" w:cs="Times New Roman"/>
          <w:color w:val="000000"/>
          <w:sz w:val="32"/>
          <w:szCs w:val="32"/>
          <w:shd w:val="clear" w:color="auto" w:fill="FFFFFF"/>
        </w:rPr>
        <w:t>〔202</w:t>
      </w:r>
      <w:r>
        <w:rPr>
          <w:rFonts w:hint="default" w:ascii="Times New Roman" w:hAnsi="Times New Roman" w:eastAsia="仿宋_GB2312" w:cs="Times New Roman"/>
          <w:color w:val="000000"/>
          <w:sz w:val="32"/>
          <w:szCs w:val="32"/>
          <w:shd w:val="clear" w:color="auto" w:fill="FFFFFF"/>
          <w:lang w:val="en-US" w:eastAsia="zh-CN"/>
        </w:rPr>
        <w:t>1</w:t>
      </w:r>
      <w:r>
        <w:rPr>
          <w:rFonts w:hint="default" w:ascii="Times New Roman" w:hAnsi="Times New Roman" w:eastAsia="仿宋_GB2312" w:cs="Times New Roman"/>
          <w:color w:val="000000"/>
          <w:sz w:val="32"/>
          <w:szCs w:val="32"/>
          <w:shd w:val="clear" w:color="auto" w:fill="FFFFFF"/>
        </w:rPr>
        <w:t>〕</w:t>
      </w:r>
      <w:r>
        <w:rPr>
          <w:rFonts w:hint="default" w:ascii="Times New Roman" w:hAnsi="Times New Roman" w:eastAsia="仿宋_GB2312" w:cs="Times New Roman"/>
          <w:bCs/>
          <w:kern w:val="44"/>
          <w:sz w:val="32"/>
          <w:szCs w:val="32"/>
          <w:highlight w:val="none"/>
          <w:lang w:val="en-US" w:eastAsia="zh-CN"/>
        </w:rPr>
        <w:t>0062号）要求，由首钢技师学院</w:t>
      </w:r>
      <w:r>
        <w:rPr>
          <w:rFonts w:hint="default" w:ascii="Times New Roman" w:hAnsi="Times New Roman" w:eastAsia="仿宋_GB2312" w:cs="Times New Roman"/>
          <w:sz w:val="32"/>
          <w:szCs w:val="32"/>
        </w:rPr>
        <w:t>保卫部</w:t>
      </w:r>
      <w:r>
        <w:rPr>
          <w:rFonts w:hint="default" w:ascii="Times New Roman" w:hAnsi="Times New Roman" w:eastAsia="仿宋_GB2312" w:cs="Times New Roman"/>
          <w:sz w:val="32"/>
          <w:szCs w:val="32"/>
          <w:lang w:val="en-US" w:eastAsia="zh-CN"/>
        </w:rPr>
        <w:t>牵头组织，</w:t>
      </w:r>
      <w:r>
        <w:rPr>
          <w:rFonts w:hint="default" w:ascii="Times New Roman" w:hAnsi="Times New Roman" w:eastAsia="仿宋_GB2312" w:cs="Times New Roman"/>
          <w:sz w:val="32"/>
          <w:szCs w:val="32"/>
        </w:rPr>
        <w:t>计财部、资产处</w:t>
      </w:r>
      <w:r>
        <w:rPr>
          <w:rFonts w:hint="default" w:ascii="Times New Roman" w:hAnsi="Times New Roman" w:eastAsia="仿宋_GB2312" w:cs="Times New Roman"/>
          <w:sz w:val="32"/>
          <w:szCs w:val="32"/>
          <w:lang w:val="en-US" w:eastAsia="zh-CN"/>
        </w:rPr>
        <w:t>参与</w:t>
      </w:r>
      <w:r>
        <w:rPr>
          <w:rFonts w:hint="default" w:ascii="Times New Roman" w:hAnsi="Times New Roman" w:eastAsia="仿宋_GB2312" w:cs="Times New Roman"/>
          <w:sz w:val="32"/>
          <w:szCs w:val="32"/>
        </w:rPr>
        <w:t>下追加申报了</w:t>
      </w:r>
      <w:r>
        <w:rPr>
          <w:rFonts w:hint="default" w:ascii="Times New Roman" w:hAnsi="Times New Roman" w:eastAsia="仿宋_GB2312" w:cs="Times New Roman"/>
          <w:bCs/>
          <w:kern w:val="44"/>
          <w:sz w:val="32"/>
          <w:szCs w:val="32"/>
          <w:highlight w:val="none"/>
        </w:rPr>
        <w:t>视频监控存储设备升级改造</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lang w:val="en-US" w:eastAsia="zh-CN"/>
        </w:rPr>
        <w:t>专用设备购置）</w:t>
      </w:r>
      <w:r>
        <w:rPr>
          <w:rFonts w:hint="default" w:ascii="Times New Roman" w:hAnsi="Times New Roman" w:eastAsia="仿宋_GB2312" w:cs="Times New Roman"/>
          <w:sz w:val="32"/>
          <w:szCs w:val="32"/>
        </w:rPr>
        <w:t>项目，该项目通过北京市财政局审核，批复项目金额205.91万元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该项目资金主要用于购置</w:t>
      </w:r>
      <w:r>
        <w:rPr>
          <w:rFonts w:hint="default" w:ascii="Times New Roman" w:hAnsi="Times New Roman" w:eastAsia="仿宋_GB2312" w:cs="Times New Roman"/>
          <w:sz w:val="32"/>
          <w:szCs w:val="32"/>
        </w:rPr>
        <w:t>存储运维设备1台、存储管理设备2台、存储节点9台，以及所有设备的需要的辅材和安装调试，使监控存储时间达到90天。</w:t>
      </w:r>
    </w:p>
    <w:bookmarkEnd w:id="34"/>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4.资金投入和使用情况</w:t>
      </w:r>
      <w:bookmarkStart w:id="36" w:name="_Toc1095901538"/>
      <w:bookmarkStart w:id="37" w:name="_Toc25117"/>
    </w:p>
    <w:p>
      <w:pPr>
        <w:keepNext w:val="0"/>
        <w:keepLines w:val="0"/>
        <w:pageBreakBefore w:val="0"/>
        <w:widowControl w:val="0"/>
        <w:kinsoku/>
        <w:wordWrap/>
        <w:overflowPunct/>
        <w:topLinePunct w:val="0"/>
        <w:autoSpaceDE/>
        <w:autoSpaceDN/>
        <w:bidi w:val="0"/>
        <w:adjustRightInd w:val="0"/>
        <w:spacing w:line="600" w:lineRule="exact"/>
        <w:ind w:firstLine="640"/>
        <w:textAlignment w:val="auto"/>
        <w:rPr>
          <w:rFonts w:hint="default" w:ascii="Times New Roman" w:hAnsi="Times New Roman" w:eastAsia="仿宋_GB2312" w:cs="Times New Roman"/>
          <w:bCs/>
          <w:sz w:val="32"/>
        </w:rPr>
      </w:pPr>
      <w:bookmarkStart w:id="38" w:name="_Hlk86485295"/>
      <w:bookmarkStart w:id="39" w:name="_Hlk86485458"/>
      <w:r>
        <w:rPr>
          <w:rFonts w:hint="default" w:ascii="Times New Roman" w:hAnsi="Times New Roman" w:eastAsia="仿宋_GB2312" w:cs="Times New Roman"/>
          <w:bCs/>
          <w:sz w:val="32"/>
          <w:szCs w:val="32"/>
        </w:rPr>
        <w:t>该项目申请</w:t>
      </w:r>
      <w:r>
        <w:rPr>
          <w:rFonts w:hint="default" w:ascii="Times New Roman" w:hAnsi="Times New Roman" w:eastAsia="仿宋_GB2312" w:cs="Times New Roman"/>
          <w:bCs/>
          <w:sz w:val="32"/>
          <w:szCs w:val="32"/>
          <w:lang w:val="en-US" w:eastAsia="zh-CN"/>
        </w:rPr>
        <w:t>市</w:t>
      </w:r>
      <w:r>
        <w:rPr>
          <w:rFonts w:hint="default" w:ascii="Times New Roman" w:hAnsi="Times New Roman" w:eastAsia="仿宋_GB2312" w:cs="Times New Roman"/>
          <w:bCs/>
          <w:sz w:val="32"/>
          <w:szCs w:val="32"/>
        </w:rPr>
        <w:t>财政资金</w:t>
      </w:r>
      <w:r>
        <w:rPr>
          <w:rFonts w:hint="default" w:ascii="Times New Roman" w:hAnsi="Times New Roman" w:eastAsia="仿宋_GB2312" w:cs="Times New Roman"/>
          <w:bCs/>
          <w:sz w:val="32"/>
          <w:szCs w:val="32"/>
          <w:lang w:val="en-US" w:eastAsia="zh-CN"/>
        </w:rPr>
        <w:t>205.91</w:t>
      </w:r>
      <w:r>
        <w:rPr>
          <w:rFonts w:hint="default" w:ascii="Times New Roman" w:hAnsi="Times New Roman" w:eastAsia="仿宋_GB2312" w:cs="Times New Roman"/>
          <w:bCs/>
          <w:sz w:val="32"/>
          <w:szCs w:val="32"/>
        </w:rPr>
        <w:t>万元，</w:t>
      </w:r>
      <w:r>
        <w:rPr>
          <w:rFonts w:hint="default" w:ascii="Times New Roman" w:hAnsi="Times New Roman" w:eastAsia="仿宋_GB2312" w:cs="Times New Roman"/>
          <w:bCs/>
          <w:sz w:val="32"/>
          <w:szCs w:val="32"/>
          <w:lang w:val="en-US" w:eastAsia="zh-CN"/>
        </w:rPr>
        <w:t>批复</w:t>
      </w:r>
      <w:r>
        <w:rPr>
          <w:rFonts w:hint="default" w:ascii="Times New Roman" w:hAnsi="Times New Roman" w:eastAsia="仿宋_GB2312" w:cs="Times New Roman"/>
          <w:bCs/>
          <w:sz w:val="32"/>
          <w:szCs w:val="32"/>
        </w:rPr>
        <w:t>资金</w:t>
      </w:r>
      <w:r>
        <w:rPr>
          <w:rFonts w:hint="default" w:ascii="Times New Roman" w:hAnsi="Times New Roman" w:eastAsia="仿宋_GB2312" w:cs="Times New Roman"/>
          <w:bCs/>
          <w:sz w:val="32"/>
          <w:szCs w:val="32"/>
          <w:lang w:val="en-US" w:eastAsia="zh-CN"/>
        </w:rPr>
        <w:t>205.91</w:t>
      </w:r>
      <w:r>
        <w:rPr>
          <w:rFonts w:hint="default" w:ascii="Times New Roman" w:hAnsi="Times New Roman" w:eastAsia="仿宋_GB2312" w:cs="Times New Roman"/>
          <w:bCs/>
          <w:sz w:val="32"/>
          <w:szCs w:val="32"/>
        </w:rPr>
        <w:t>万元</w:t>
      </w:r>
      <w:bookmarkEnd w:id="38"/>
      <w:r>
        <w:rPr>
          <w:rFonts w:hint="default" w:ascii="Times New Roman" w:hAnsi="Times New Roman" w:eastAsia="仿宋_GB2312" w:cs="Times New Roman"/>
          <w:bCs/>
          <w:sz w:val="32"/>
          <w:szCs w:val="32"/>
        </w:rPr>
        <w:t>。</w:t>
      </w:r>
      <w:r>
        <w:rPr>
          <w:rFonts w:hint="default" w:ascii="Times New Roman" w:hAnsi="Times New Roman" w:eastAsia="仿宋_GB2312" w:cs="Times New Roman"/>
          <w:bCs/>
          <w:sz w:val="32"/>
        </w:rPr>
        <w:t>截至202</w:t>
      </w:r>
      <w:r>
        <w:rPr>
          <w:rFonts w:hint="default" w:ascii="Times New Roman" w:hAnsi="Times New Roman" w:eastAsia="仿宋_GB2312" w:cs="Times New Roman"/>
          <w:bCs/>
          <w:sz w:val="32"/>
          <w:lang w:val="en-US" w:eastAsia="zh-CN"/>
        </w:rPr>
        <w:t>2</w:t>
      </w:r>
      <w:r>
        <w:rPr>
          <w:rFonts w:hint="default" w:ascii="Times New Roman" w:hAnsi="Times New Roman" w:eastAsia="仿宋_GB2312" w:cs="Times New Roman"/>
          <w:bCs/>
          <w:sz w:val="32"/>
        </w:rPr>
        <w:t>年12月31日，支出资金</w:t>
      </w:r>
      <w:r>
        <w:rPr>
          <w:rFonts w:hint="default" w:ascii="Times New Roman" w:hAnsi="Times New Roman" w:eastAsia="仿宋_GB2312" w:cs="Times New Roman"/>
          <w:bCs/>
          <w:sz w:val="32"/>
          <w:szCs w:val="32"/>
          <w:lang w:val="en-US" w:eastAsia="zh-CN"/>
        </w:rPr>
        <w:t>199.353</w:t>
      </w:r>
      <w:r>
        <w:rPr>
          <w:rFonts w:hint="default" w:ascii="Times New Roman" w:hAnsi="Times New Roman" w:eastAsia="仿宋_GB2312" w:cs="Times New Roman"/>
          <w:bCs/>
          <w:sz w:val="32"/>
        </w:rPr>
        <w:t>万元，结余</w:t>
      </w:r>
      <w:r>
        <w:rPr>
          <w:rFonts w:hint="default" w:ascii="Times New Roman" w:hAnsi="Times New Roman" w:eastAsia="仿宋_GB2312" w:cs="Times New Roman"/>
          <w:bCs/>
          <w:sz w:val="32"/>
          <w:lang w:val="en-US" w:eastAsia="zh-CN"/>
        </w:rPr>
        <w:t>6.557万元</w:t>
      </w:r>
      <w:r>
        <w:rPr>
          <w:rFonts w:hint="default" w:ascii="Times New Roman" w:hAnsi="Times New Roman" w:eastAsia="仿宋_GB2312" w:cs="Times New Roman"/>
          <w:bCs/>
          <w:sz w:val="32"/>
        </w:rPr>
        <w:t>。</w:t>
      </w:r>
    </w:p>
    <w:bookmarkEnd w:id="36"/>
    <w:bookmarkEnd w:id="39"/>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outlineLvl w:val="1"/>
        <w:rPr>
          <w:rFonts w:hint="default" w:ascii="Times New Roman" w:hAnsi="Times New Roman" w:eastAsia="楷体_GB2312" w:cs="Times New Roman"/>
          <w:b/>
          <w:sz w:val="32"/>
        </w:rPr>
      </w:pPr>
      <w:bookmarkStart w:id="40" w:name="_Toc16120"/>
      <w:bookmarkStart w:id="41" w:name="_Toc5594"/>
      <w:bookmarkStart w:id="42" w:name="_Toc9060"/>
      <w:bookmarkStart w:id="43" w:name="_Toc16103"/>
      <w:bookmarkStart w:id="44" w:name="_Toc18958"/>
      <w:bookmarkStart w:id="45" w:name="_Toc1997392494"/>
      <w:bookmarkStart w:id="46" w:name="_Toc342854310_WPSOffice_Level2"/>
      <w:r>
        <w:rPr>
          <w:rFonts w:hint="default" w:ascii="Times New Roman" w:hAnsi="Times New Roman" w:eastAsia="楷体_GB2312" w:cs="Times New Roman"/>
          <w:b/>
          <w:sz w:val="32"/>
        </w:rPr>
        <w:t>（二）项目绩效目标</w:t>
      </w:r>
      <w:bookmarkEnd w:id="37"/>
      <w:bookmarkEnd w:id="40"/>
      <w:bookmarkEnd w:id="41"/>
      <w:bookmarkEnd w:id="42"/>
      <w:bookmarkEnd w:id="43"/>
      <w:bookmarkEnd w:id="44"/>
      <w:bookmarkEnd w:id="45"/>
      <w:bookmarkEnd w:id="46"/>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bookmarkStart w:id="47" w:name="_Toc26489"/>
      <w:bookmarkStart w:id="48" w:name="_Toc7351"/>
      <w:r>
        <w:rPr>
          <w:rFonts w:hint="default" w:ascii="Times New Roman" w:hAnsi="Times New Roman" w:eastAsia="仿宋_GB2312" w:cs="Times New Roman"/>
          <w:b w:val="0"/>
          <w:bCs/>
          <w:sz w:val="32"/>
          <w:szCs w:val="32"/>
        </w:rPr>
        <w:t>1.总体目标</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lang w:val="en-US" w:eastAsia="zh-CN"/>
        </w:rPr>
        <w:t>通</w:t>
      </w:r>
      <w:r>
        <w:rPr>
          <w:rFonts w:hint="default" w:ascii="Times New Roman" w:hAnsi="Times New Roman" w:eastAsia="仿宋_GB2312" w:cs="Times New Roman"/>
          <w:bCs/>
          <w:kern w:val="44"/>
          <w:sz w:val="32"/>
          <w:szCs w:val="32"/>
          <w:highlight w:val="none"/>
        </w:rPr>
        <w:t>过本项目建设，使原安防系统录像存储时间由30天提高到90天。以满足</w:t>
      </w:r>
      <w:r>
        <w:rPr>
          <w:rFonts w:hint="default" w:ascii="Times New Roman" w:hAnsi="Times New Roman" w:eastAsia="仿宋_GB2312" w:cs="Times New Roman"/>
          <w:bCs/>
          <w:kern w:val="44"/>
          <w:sz w:val="32"/>
          <w:szCs w:val="32"/>
          <w:highlight w:val="none"/>
          <w:lang w:val="en-US" w:eastAsia="zh-CN"/>
        </w:rPr>
        <w:t>学</w:t>
      </w:r>
      <w:r>
        <w:rPr>
          <w:rFonts w:hint="default" w:ascii="Times New Roman" w:hAnsi="Times New Roman" w:eastAsia="仿宋_GB2312" w:cs="Times New Roman"/>
          <w:bCs/>
          <w:kern w:val="44"/>
          <w:sz w:val="32"/>
          <w:szCs w:val="32"/>
          <w:highlight w:val="none"/>
        </w:rPr>
        <w:t>校作为防范恐怖袭击重点目标单位对存储时间的要求。新增视频监控存储设备需无缝接入现有综合管理平台，实现统一管理平台的录像下载</w:t>
      </w:r>
      <w:r>
        <w:rPr>
          <w:rFonts w:hint="eastAsia"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rPr>
        <w:t>查询等，同时保证原有功能正常运行，确保所有存储节点正常运行，防止图像丢失，同时随着视频存储时间增加，为各类事件提供更有利的视频依据，提升校园安全管理水平，给广大师生提供有效的安全保障。</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lang w:val="en-US" w:eastAsia="zh-CN"/>
        </w:rPr>
        <w:t>2.绩效</w:t>
      </w:r>
      <w:r>
        <w:rPr>
          <w:rFonts w:hint="default" w:ascii="Times New Roman" w:hAnsi="Times New Roman" w:eastAsia="仿宋_GB2312" w:cs="Times New Roman"/>
          <w:b w:val="0"/>
          <w:bCs/>
          <w:sz w:val="32"/>
          <w:szCs w:val="32"/>
        </w:rPr>
        <w:t>指标</w:t>
      </w:r>
    </w:p>
    <w:p>
      <w:pPr>
        <w:pStyle w:val="15"/>
        <w:keepNext w:val="0"/>
        <w:keepLines w:val="0"/>
        <w:pageBreakBefore w:val="0"/>
        <w:widowControl w:val="0"/>
        <w:numPr>
          <w:ilvl w:val="0"/>
          <w:numId w:val="0"/>
        </w:numPr>
        <w:kinsoku/>
        <w:wordWrap/>
        <w:overflowPunct/>
        <w:topLinePunct w:val="0"/>
        <w:autoSpaceDE/>
        <w:autoSpaceDN/>
        <w:bidi w:val="0"/>
        <w:spacing w:line="600" w:lineRule="exact"/>
        <w:jc w:val="center"/>
        <w:textAlignment w:val="auto"/>
        <w:rPr>
          <w:rFonts w:hint="default" w:ascii="Times New Roman" w:hAnsi="Times New Roman" w:eastAsia="宋体" w:cs="Times New Roman"/>
          <w:b/>
          <w:bCs w:val="0"/>
          <w:kern w:val="44"/>
          <w:sz w:val="28"/>
          <w:szCs w:val="28"/>
          <w:highlight w:val="none"/>
          <w:lang w:val="en-US" w:eastAsia="zh-CN"/>
        </w:rPr>
      </w:pPr>
      <w:r>
        <w:rPr>
          <w:rFonts w:hint="default" w:ascii="Times New Roman" w:hAnsi="Times New Roman" w:eastAsia="宋体" w:cs="Times New Roman"/>
          <w:b/>
          <w:bCs w:val="0"/>
          <w:kern w:val="44"/>
          <w:sz w:val="28"/>
          <w:szCs w:val="28"/>
          <w:highlight w:val="none"/>
          <w:lang w:val="en-US" w:eastAsia="zh-CN"/>
        </w:rPr>
        <w:t>视频监控存储设备升级改造（专用设备购置）项目</w:t>
      </w:r>
    </w:p>
    <w:p>
      <w:pPr>
        <w:pStyle w:val="15"/>
        <w:keepNext w:val="0"/>
        <w:keepLines w:val="0"/>
        <w:pageBreakBefore w:val="0"/>
        <w:widowControl w:val="0"/>
        <w:numPr>
          <w:ilvl w:val="0"/>
          <w:numId w:val="0"/>
        </w:numPr>
        <w:kinsoku/>
        <w:wordWrap/>
        <w:overflowPunct/>
        <w:topLinePunct w:val="0"/>
        <w:autoSpaceDE/>
        <w:autoSpaceDN/>
        <w:bidi w:val="0"/>
        <w:spacing w:line="600" w:lineRule="exact"/>
        <w:jc w:val="center"/>
        <w:textAlignment w:val="auto"/>
        <w:rPr>
          <w:rFonts w:hint="default" w:ascii="Times New Roman" w:hAnsi="Times New Roman" w:eastAsia="宋体" w:cs="Times New Roman"/>
          <w:b/>
          <w:bCs w:val="0"/>
          <w:kern w:val="44"/>
          <w:sz w:val="28"/>
          <w:szCs w:val="28"/>
          <w:highlight w:val="none"/>
          <w:lang w:val="en-US" w:eastAsia="zh-CN"/>
        </w:rPr>
      </w:pPr>
      <w:r>
        <w:rPr>
          <w:rFonts w:hint="default" w:ascii="Times New Roman" w:hAnsi="Times New Roman" w:eastAsia="宋体" w:cs="Times New Roman"/>
          <w:b/>
          <w:bCs w:val="0"/>
          <w:kern w:val="44"/>
          <w:sz w:val="28"/>
          <w:szCs w:val="28"/>
          <w:highlight w:val="none"/>
          <w:lang w:val="en-US" w:eastAsia="zh-CN"/>
        </w:rPr>
        <w:t>绩效指标一揽表</w:t>
      </w:r>
    </w:p>
    <w:p>
      <w:pPr>
        <w:rPr>
          <w:rFonts w:hint="default" w:ascii="Times New Roman" w:hAnsi="Times New Roman" w:cs="Times New Roman"/>
          <w:lang w:val="en-US" w:eastAsia="zh-CN"/>
        </w:rPr>
      </w:pPr>
    </w:p>
    <w:tbl>
      <w:tblPr>
        <w:tblStyle w:val="19"/>
        <w:tblW w:w="84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45"/>
        <w:gridCol w:w="1429"/>
        <w:gridCol w:w="3247"/>
        <w:gridCol w:w="25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8"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4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32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2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3" w:hRule="atLeast"/>
        </w:trPr>
        <w:tc>
          <w:tcPr>
            <w:tcW w:w="12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4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32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新增设备数量</w:t>
            </w:r>
          </w:p>
        </w:tc>
        <w:tc>
          <w:tcPr>
            <w:tcW w:w="2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存储运维设备1台、存储管理设备2台、存储节点9台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8"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i w:val="0"/>
                <w:iCs w:val="0"/>
                <w:color w:val="000000"/>
                <w:sz w:val="24"/>
                <w:szCs w:val="24"/>
                <w:u w:val="none"/>
              </w:rPr>
            </w:pPr>
          </w:p>
        </w:tc>
        <w:tc>
          <w:tcPr>
            <w:tcW w:w="1429" w:type="dxa"/>
            <w:vMerge w:val="restart"/>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32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一次验收合格率</w:t>
            </w:r>
          </w:p>
        </w:tc>
        <w:tc>
          <w:tcPr>
            <w:tcW w:w="2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8"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i w:val="0"/>
                <w:iCs w:val="0"/>
                <w:color w:val="000000"/>
                <w:sz w:val="24"/>
                <w:szCs w:val="24"/>
                <w:u w:val="none"/>
              </w:rPr>
            </w:pPr>
          </w:p>
        </w:tc>
        <w:tc>
          <w:tcPr>
            <w:tcW w:w="1429" w:type="dxa"/>
            <w:vMerge w:val="continue"/>
            <w:tcBorders>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32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设备质量</w:t>
            </w:r>
          </w:p>
        </w:tc>
        <w:tc>
          <w:tcPr>
            <w:tcW w:w="2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达到国家标准、北京市地方标准及相关行业合格标准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8"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i w:val="0"/>
                <w:iCs w:val="0"/>
                <w:color w:val="000000"/>
                <w:sz w:val="24"/>
                <w:szCs w:val="24"/>
                <w:u w:val="none"/>
              </w:rPr>
            </w:pPr>
          </w:p>
        </w:tc>
        <w:tc>
          <w:tcPr>
            <w:tcW w:w="1429" w:type="dxa"/>
            <w:vMerge w:val="restart"/>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32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方案制定和前期准备时间</w:t>
            </w:r>
          </w:p>
        </w:tc>
        <w:tc>
          <w:tcPr>
            <w:tcW w:w="2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2021年12月10日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3"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i w:val="0"/>
                <w:iCs w:val="0"/>
                <w:color w:val="000000"/>
                <w:sz w:val="24"/>
                <w:szCs w:val="24"/>
                <w:u w:val="none"/>
              </w:rPr>
            </w:pPr>
          </w:p>
        </w:tc>
        <w:tc>
          <w:tcPr>
            <w:tcW w:w="1429" w:type="dxa"/>
            <w:vMerge w:val="continue"/>
            <w:tcBorders>
              <w:left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i w:val="0"/>
                <w:iCs w:val="0"/>
                <w:color w:val="000000"/>
                <w:sz w:val="24"/>
                <w:szCs w:val="24"/>
                <w:u w:val="none"/>
              </w:rPr>
            </w:pPr>
          </w:p>
        </w:tc>
        <w:tc>
          <w:tcPr>
            <w:tcW w:w="32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招标采购时间</w:t>
            </w:r>
          </w:p>
        </w:tc>
        <w:tc>
          <w:tcPr>
            <w:tcW w:w="2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2021年12月20日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i w:val="0"/>
                <w:iCs w:val="0"/>
                <w:color w:val="000000"/>
                <w:sz w:val="24"/>
                <w:szCs w:val="24"/>
                <w:u w:val="none"/>
              </w:rPr>
            </w:pPr>
          </w:p>
        </w:tc>
        <w:tc>
          <w:tcPr>
            <w:tcW w:w="1429" w:type="dxa"/>
            <w:vMerge w:val="continue"/>
            <w:tcBorders>
              <w:left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i w:val="0"/>
                <w:iCs w:val="0"/>
                <w:color w:val="000000"/>
                <w:sz w:val="24"/>
                <w:szCs w:val="24"/>
                <w:u w:val="none"/>
              </w:rPr>
            </w:pPr>
          </w:p>
        </w:tc>
        <w:tc>
          <w:tcPr>
            <w:tcW w:w="32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采购物品到位时间</w:t>
            </w:r>
          </w:p>
        </w:tc>
        <w:tc>
          <w:tcPr>
            <w:tcW w:w="2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2021年12月30日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3"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i w:val="0"/>
                <w:iCs w:val="0"/>
                <w:color w:val="000000"/>
                <w:sz w:val="24"/>
                <w:szCs w:val="24"/>
                <w:u w:val="none"/>
              </w:rPr>
            </w:pPr>
          </w:p>
        </w:tc>
        <w:tc>
          <w:tcPr>
            <w:tcW w:w="1429" w:type="dxa"/>
            <w:vMerge w:val="continue"/>
            <w:tcBorders>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i w:val="0"/>
                <w:iCs w:val="0"/>
                <w:color w:val="000000"/>
                <w:sz w:val="24"/>
                <w:szCs w:val="24"/>
                <w:u w:val="none"/>
              </w:rPr>
            </w:pPr>
          </w:p>
        </w:tc>
        <w:tc>
          <w:tcPr>
            <w:tcW w:w="32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验收时间</w:t>
            </w:r>
          </w:p>
        </w:tc>
        <w:tc>
          <w:tcPr>
            <w:tcW w:w="2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2021年12月30日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i w:val="0"/>
                <w:iCs w:val="0"/>
                <w:color w:val="000000"/>
                <w:sz w:val="24"/>
                <w:szCs w:val="24"/>
                <w:u w:val="none"/>
              </w:rPr>
            </w:pPr>
          </w:p>
        </w:tc>
        <w:tc>
          <w:tcPr>
            <w:tcW w:w="14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32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项目预算控制数</w:t>
            </w:r>
          </w:p>
        </w:tc>
        <w:tc>
          <w:tcPr>
            <w:tcW w:w="2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sz w:val="24"/>
                <w:szCs w:val="24"/>
                <w:u w:val="none"/>
                <w:lang w:val="en-US" w:eastAsia="zh-CN"/>
              </w:rPr>
              <w:t>206.26万元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4" w:hRule="atLeast"/>
        </w:trPr>
        <w:tc>
          <w:tcPr>
            <w:tcW w:w="1245" w:type="dxa"/>
            <w:vMerge w:val="restart"/>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效果指标</w:t>
            </w:r>
          </w:p>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lang w:val="en-US"/>
              </w:rPr>
            </w:pPr>
          </w:p>
        </w:tc>
        <w:tc>
          <w:tcPr>
            <w:tcW w:w="1429" w:type="dxa"/>
            <w:vMerge w:val="restart"/>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效益指标</w:t>
            </w:r>
          </w:p>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p>
        </w:tc>
        <w:tc>
          <w:tcPr>
            <w:tcW w:w="32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提供社会服务收益</w:t>
            </w:r>
          </w:p>
        </w:tc>
        <w:tc>
          <w:tcPr>
            <w:tcW w:w="2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存储设备本身不直接产生经济效益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5" w:hRule="atLeast"/>
        </w:trPr>
        <w:tc>
          <w:tcPr>
            <w:tcW w:w="1245" w:type="dxa"/>
            <w:vMerge w:val="continue"/>
            <w:tcBorders>
              <w:left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i w:val="0"/>
                <w:iCs w:val="0"/>
                <w:color w:val="000000"/>
                <w:sz w:val="24"/>
                <w:szCs w:val="24"/>
                <w:u w:val="none"/>
              </w:rPr>
            </w:pPr>
          </w:p>
        </w:tc>
        <w:tc>
          <w:tcPr>
            <w:tcW w:w="1429" w:type="dxa"/>
            <w:vMerge w:val="continue"/>
            <w:tcBorders>
              <w:left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p>
        </w:tc>
        <w:tc>
          <w:tcPr>
            <w:tcW w:w="32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节约维护成本</w:t>
            </w:r>
          </w:p>
        </w:tc>
        <w:tc>
          <w:tcPr>
            <w:tcW w:w="2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可节省维护人员数量1-2人/年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5" w:hRule="atLeast"/>
        </w:trPr>
        <w:tc>
          <w:tcPr>
            <w:tcW w:w="1245" w:type="dxa"/>
            <w:vMerge w:val="continue"/>
            <w:tcBorders>
              <w:left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i w:val="0"/>
                <w:iCs w:val="0"/>
                <w:color w:val="000000"/>
                <w:sz w:val="24"/>
                <w:szCs w:val="24"/>
                <w:u w:val="none"/>
              </w:rPr>
            </w:pPr>
          </w:p>
        </w:tc>
        <w:tc>
          <w:tcPr>
            <w:tcW w:w="1429" w:type="dxa"/>
            <w:vMerge w:val="continue"/>
            <w:tcBorders>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32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履职基础、公共服务能力</w:t>
            </w:r>
          </w:p>
        </w:tc>
        <w:tc>
          <w:tcPr>
            <w:tcW w:w="2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得到提升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trPr>
        <w:tc>
          <w:tcPr>
            <w:tcW w:w="1245" w:type="dxa"/>
            <w:vMerge w:val="continue"/>
            <w:tcBorders>
              <w:left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lang w:val="en-US"/>
              </w:rPr>
            </w:pPr>
          </w:p>
        </w:tc>
        <w:tc>
          <w:tcPr>
            <w:tcW w:w="142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服务对象满意度</w:t>
            </w:r>
            <w:r>
              <w:rPr>
                <w:rFonts w:hint="eastAsia" w:ascii="宋体" w:hAnsi="宋体" w:cs="宋体"/>
                <w:i w:val="0"/>
                <w:iCs w:val="0"/>
                <w:color w:val="000000"/>
                <w:kern w:val="0"/>
                <w:sz w:val="24"/>
                <w:szCs w:val="24"/>
                <w:u w:val="none"/>
                <w:lang w:val="en-US" w:eastAsia="zh-CN" w:bidi="ar"/>
              </w:rPr>
              <w:t>指</w:t>
            </w:r>
            <w:r>
              <w:rPr>
                <w:rFonts w:hint="eastAsia" w:ascii="宋体" w:hAnsi="宋体" w:eastAsia="宋体" w:cs="宋体"/>
                <w:i w:val="0"/>
                <w:iCs w:val="0"/>
                <w:color w:val="000000"/>
                <w:kern w:val="0"/>
                <w:sz w:val="24"/>
                <w:szCs w:val="24"/>
                <w:u w:val="none"/>
                <w:lang w:val="en-US" w:eastAsia="zh-CN" w:bidi="ar"/>
              </w:rPr>
              <w:t>标</w:t>
            </w:r>
          </w:p>
        </w:tc>
        <w:tc>
          <w:tcPr>
            <w:tcW w:w="32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使用人员满意度</w:t>
            </w:r>
          </w:p>
        </w:tc>
        <w:tc>
          <w:tcPr>
            <w:tcW w:w="2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Style w:val="57"/>
                <w:rFonts w:hint="eastAsia" w:ascii="宋体" w:hAnsi="宋体" w:eastAsia="宋体" w:cs="宋体"/>
                <w:sz w:val="24"/>
                <w:szCs w:val="24"/>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1245" w:type="dxa"/>
            <w:vMerge w:val="continue"/>
            <w:tcBorders>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i w:val="0"/>
                <w:iCs w:val="0"/>
                <w:color w:val="000000"/>
                <w:sz w:val="24"/>
                <w:szCs w:val="24"/>
                <w:u w:val="none"/>
              </w:rPr>
            </w:pPr>
          </w:p>
        </w:tc>
        <w:tc>
          <w:tcPr>
            <w:tcW w:w="142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i w:val="0"/>
                <w:iCs w:val="0"/>
                <w:color w:val="000000"/>
                <w:sz w:val="24"/>
                <w:szCs w:val="24"/>
                <w:u w:val="none"/>
              </w:rPr>
            </w:pPr>
          </w:p>
        </w:tc>
        <w:tc>
          <w:tcPr>
            <w:tcW w:w="32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管理人员满意度</w:t>
            </w:r>
          </w:p>
        </w:tc>
        <w:tc>
          <w:tcPr>
            <w:tcW w:w="2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Style w:val="57"/>
                <w:rFonts w:hint="eastAsia" w:ascii="宋体" w:hAnsi="宋体" w:eastAsia="宋体" w:cs="宋体"/>
                <w:sz w:val="24"/>
                <w:szCs w:val="24"/>
                <w:lang w:val="en-US" w:eastAsia="zh-CN" w:bidi="ar"/>
              </w:rPr>
              <w:t>95%</w:t>
            </w:r>
          </w:p>
        </w:tc>
      </w:tr>
    </w:tbl>
    <w:p>
      <w:pPr>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bCs/>
          <w:kern w:val="44"/>
          <w:sz w:val="32"/>
          <w:szCs w:val="32"/>
          <w:highlight w:val="none"/>
        </w:rPr>
      </w:pPr>
    </w:p>
    <w:p>
      <w:pPr>
        <w:pStyle w:val="3"/>
        <w:pageBreakBefore w:val="0"/>
        <w:widowControl w:val="0"/>
        <w:kinsoku/>
        <w:wordWrap/>
        <w:overflowPunct/>
        <w:topLinePunct w:val="0"/>
        <w:autoSpaceDE/>
        <w:autoSpaceDN/>
        <w:bidi w:val="0"/>
        <w:adjustRightInd w:val="0"/>
        <w:snapToGrid w:val="0"/>
        <w:spacing w:before="0" w:beforeLines="0" w:after="0" w:afterLines="0" w:line="600" w:lineRule="exact"/>
        <w:ind w:firstLine="640"/>
        <w:textAlignment w:val="auto"/>
        <w:rPr>
          <w:rFonts w:hint="default" w:ascii="Times New Roman" w:hAnsi="Times New Roman" w:cs="Times New Roman"/>
          <w:szCs w:val="32"/>
        </w:rPr>
      </w:pPr>
      <w:bookmarkStart w:id="49" w:name="_Toc653763269_WPSOffice_Level1"/>
      <w:bookmarkStart w:id="50" w:name="_Toc14179"/>
      <w:bookmarkStart w:id="51" w:name="_Toc32736"/>
      <w:bookmarkStart w:id="52" w:name="_Toc11592"/>
      <w:bookmarkStart w:id="53" w:name="_Toc711276754"/>
      <w:bookmarkStart w:id="54" w:name="_Toc15169"/>
      <w:bookmarkStart w:id="55" w:name="_Toc26299"/>
      <w:bookmarkStart w:id="56" w:name="_Toc4362"/>
      <w:r>
        <w:rPr>
          <w:rFonts w:hint="default" w:ascii="Times New Roman" w:hAnsi="Times New Roman" w:cs="Times New Roman"/>
          <w:szCs w:val="32"/>
        </w:rPr>
        <w:t>二、</w:t>
      </w:r>
      <w:bookmarkEnd w:id="47"/>
      <w:bookmarkEnd w:id="48"/>
      <w:bookmarkStart w:id="57" w:name="_Toc22870"/>
      <w:r>
        <w:rPr>
          <w:rFonts w:hint="default" w:ascii="Times New Roman" w:hAnsi="Times New Roman" w:cs="Times New Roman"/>
          <w:szCs w:val="32"/>
        </w:rPr>
        <w:t>绩效评价工作开展情况</w:t>
      </w:r>
      <w:bookmarkEnd w:id="49"/>
      <w:bookmarkEnd w:id="50"/>
      <w:bookmarkEnd w:id="51"/>
      <w:bookmarkEnd w:id="52"/>
      <w:bookmarkEnd w:id="53"/>
      <w:bookmarkEnd w:id="54"/>
      <w:bookmarkEnd w:id="55"/>
      <w:bookmarkEnd w:id="56"/>
    </w:p>
    <w:bookmarkEnd w:id="57"/>
    <w:p>
      <w:pPr>
        <w:pageBreakBefore w:val="0"/>
        <w:widowControl w:val="0"/>
        <w:kinsoku/>
        <w:wordWrap/>
        <w:overflowPunct/>
        <w:topLinePunct w:val="0"/>
        <w:autoSpaceDE/>
        <w:autoSpaceDN/>
        <w:bidi w:val="0"/>
        <w:adjustRightInd w:val="0"/>
        <w:snapToGrid w:val="0"/>
        <w:spacing w:line="600" w:lineRule="exact"/>
        <w:ind w:firstLine="640"/>
        <w:textAlignment w:val="auto"/>
        <w:outlineLvl w:val="1"/>
        <w:rPr>
          <w:rFonts w:hint="default" w:ascii="Times New Roman" w:hAnsi="Times New Roman" w:eastAsia="楷体_GB2312" w:cs="Times New Roman"/>
          <w:b/>
          <w:sz w:val="32"/>
        </w:rPr>
      </w:pPr>
      <w:bookmarkStart w:id="58" w:name="_Toc15667"/>
      <w:bookmarkStart w:id="59" w:name="_Toc1272924031_WPSOffice_Level2"/>
      <w:bookmarkStart w:id="60" w:name="_Toc1277"/>
      <w:bookmarkStart w:id="61" w:name="_Toc28644"/>
      <w:bookmarkStart w:id="62" w:name="_Toc21271"/>
      <w:bookmarkStart w:id="63" w:name="_Toc14668"/>
      <w:bookmarkStart w:id="64" w:name="_Toc1534425276"/>
      <w:bookmarkStart w:id="65" w:name="_Toc17033"/>
      <w:bookmarkStart w:id="66" w:name="_Toc16887"/>
      <w:r>
        <w:rPr>
          <w:rFonts w:hint="default" w:ascii="Times New Roman" w:hAnsi="Times New Roman" w:eastAsia="楷体_GB2312" w:cs="Times New Roman"/>
          <w:b/>
          <w:sz w:val="32"/>
        </w:rPr>
        <w:t>（一）绩效评价目的、对象和范围</w:t>
      </w:r>
      <w:bookmarkEnd w:id="58"/>
      <w:bookmarkEnd w:id="59"/>
      <w:bookmarkEnd w:id="60"/>
      <w:bookmarkEnd w:id="61"/>
      <w:bookmarkEnd w:id="62"/>
      <w:bookmarkEnd w:id="63"/>
      <w:bookmarkEnd w:id="64"/>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1.评价目的</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bookmarkStart w:id="67" w:name="_Hlk66130966"/>
      <w:r>
        <w:rPr>
          <w:rFonts w:hint="default" w:ascii="Times New Roman" w:hAnsi="Times New Roman" w:eastAsia="仿宋_GB2312" w:cs="Times New Roman"/>
          <w:color w:val="auto"/>
          <w:sz w:val="32"/>
          <w:szCs w:val="32"/>
          <w:lang w:eastAsia="zh-CN"/>
        </w:rPr>
        <w:t>通过绩效评价，全面了解资金使用管理、资金实际产出、</w:t>
      </w:r>
      <w:r>
        <w:rPr>
          <w:rFonts w:hint="default" w:ascii="Times New Roman" w:hAnsi="Times New Roman" w:eastAsia="仿宋_GB2312" w:cs="Times New Roman"/>
          <w:color w:val="auto"/>
          <w:sz w:val="32"/>
          <w:szCs w:val="32"/>
          <w:lang w:val="en-US" w:eastAsia="zh-CN"/>
        </w:rPr>
        <w:t>项目</w:t>
      </w:r>
      <w:r>
        <w:rPr>
          <w:rFonts w:hint="default" w:ascii="Times New Roman" w:hAnsi="Times New Roman" w:eastAsia="仿宋_GB2312" w:cs="Times New Roman"/>
          <w:color w:val="auto"/>
          <w:sz w:val="32"/>
          <w:szCs w:val="32"/>
          <w:lang w:eastAsia="zh-CN"/>
        </w:rPr>
        <w:t>实施效果等情况，</w:t>
      </w:r>
      <w:r>
        <w:rPr>
          <w:rFonts w:hint="default" w:ascii="Times New Roman" w:hAnsi="Times New Roman" w:eastAsia="仿宋_GB2312" w:cs="Times New Roman"/>
          <w:bCs/>
          <w:kern w:val="44"/>
          <w:sz w:val="32"/>
          <w:szCs w:val="32"/>
          <w:highlight w:val="none"/>
        </w:rPr>
        <w:t>考核财政支出效率和综合效果</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color w:val="auto"/>
          <w:sz w:val="32"/>
          <w:szCs w:val="32"/>
          <w:lang w:eastAsia="zh-CN"/>
        </w:rPr>
        <w:t>掌握</w:t>
      </w:r>
      <w:r>
        <w:rPr>
          <w:rFonts w:hint="default" w:ascii="Times New Roman" w:hAnsi="Times New Roman" w:eastAsia="仿宋_GB2312" w:cs="Times New Roman"/>
          <w:color w:val="auto"/>
          <w:sz w:val="32"/>
          <w:szCs w:val="32"/>
          <w:lang w:val="en-US" w:eastAsia="zh-CN"/>
        </w:rPr>
        <w:t>财政</w:t>
      </w:r>
      <w:r>
        <w:rPr>
          <w:rFonts w:hint="default" w:ascii="Times New Roman" w:hAnsi="Times New Roman" w:eastAsia="仿宋_GB2312" w:cs="Times New Roman"/>
          <w:color w:val="auto"/>
          <w:sz w:val="32"/>
          <w:szCs w:val="32"/>
          <w:lang w:eastAsia="zh-CN"/>
        </w:rPr>
        <w:t>资金分配使用的真实性、合法性和效益性，发现问题，总结经验，</w:t>
      </w:r>
      <w:bookmarkEnd w:id="67"/>
      <w:r>
        <w:rPr>
          <w:rFonts w:hint="default" w:ascii="Times New Roman" w:hAnsi="Times New Roman" w:eastAsia="仿宋_GB2312" w:cs="Times New Roman"/>
          <w:color w:val="auto"/>
          <w:sz w:val="32"/>
          <w:szCs w:val="32"/>
          <w:lang w:val="en-US" w:eastAsia="zh-CN"/>
        </w:rPr>
        <w:t>进一步</w:t>
      </w:r>
      <w:r>
        <w:rPr>
          <w:rFonts w:hint="default" w:ascii="Times New Roman" w:hAnsi="Times New Roman" w:eastAsia="仿宋_GB2312" w:cs="Times New Roman"/>
          <w:bCs/>
          <w:kern w:val="44"/>
          <w:sz w:val="32"/>
          <w:szCs w:val="32"/>
          <w:highlight w:val="none"/>
        </w:rPr>
        <w:t>加强预算绩效管理，强化支出责任，提高财政资金使用效益</w:t>
      </w:r>
      <w:r>
        <w:rPr>
          <w:rFonts w:hint="default" w:ascii="Times New Roman" w:hAnsi="Times New Roman" w:eastAsia="仿宋_GB2312" w:cs="Times New Roman"/>
          <w:bCs/>
          <w:kern w:val="44"/>
          <w:sz w:val="32"/>
          <w:szCs w:val="32"/>
          <w:highlight w:val="none"/>
          <w:lang w:val="en-US" w:eastAsia="zh-CN"/>
        </w:rPr>
        <w:t>和保障效能</w:t>
      </w:r>
      <w:r>
        <w:rPr>
          <w:rFonts w:hint="default" w:ascii="Times New Roman" w:hAnsi="Times New Roman" w:eastAsia="仿宋_GB2312" w:cs="Times New Roman"/>
          <w:bCs/>
          <w:kern w:val="44"/>
          <w:sz w:val="32"/>
          <w:szCs w:val="32"/>
          <w:highlight w:val="none"/>
        </w:rPr>
        <w:t>。</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2.评价对象</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lang w:val="en-US" w:eastAsia="zh-CN"/>
        </w:rPr>
      </w:pPr>
      <w:bookmarkStart w:id="68" w:name="_Toc27151280"/>
      <w:bookmarkStart w:id="69" w:name="_Toc27151395"/>
      <w:bookmarkStart w:id="70" w:name="_Toc2101980556"/>
      <w:r>
        <w:rPr>
          <w:rFonts w:hint="default" w:ascii="Times New Roman" w:hAnsi="Times New Roman" w:eastAsia="仿宋_GB2312" w:cs="Times New Roman"/>
          <w:bCs/>
          <w:kern w:val="44"/>
          <w:sz w:val="32"/>
          <w:szCs w:val="32"/>
          <w:highlight w:val="none"/>
          <w:lang w:val="en-US" w:eastAsia="zh-CN"/>
        </w:rPr>
        <w:t>本次绩效评价对象为首钢技师学院</w:t>
      </w:r>
      <w:r>
        <w:rPr>
          <w:rFonts w:hint="default" w:ascii="Times New Roman" w:hAnsi="Times New Roman" w:eastAsia="仿宋_GB2312" w:cs="Times New Roman"/>
          <w:bCs/>
          <w:kern w:val="44"/>
          <w:sz w:val="32"/>
          <w:szCs w:val="32"/>
          <w:highlight w:val="none"/>
        </w:rPr>
        <w:t>视频监控存储设备升级改造</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lang w:val="en-US" w:eastAsia="zh-CN"/>
        </w:rPr>
        <w:t>专用设备购置）项目</w:t>
      </w:r>
    </w:p>
    <w:bookmarkEnd w:id="68"/>
    <w:bookmarkEnd w:id="69"/>
    <w:bookmarkEnd w:id="70"/>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3.评价范围</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lang w:val="en-US" w:eastAsia="zh-CN"/>
        </w:rPr>
        <w:t>首钢技师学院保卫部2022年实施</w:t>
      </w:r>
      <w:r>
        <w:rPr>
          <w:rFonts w:hint="default" w:ascii="Times New Roman" w:hAnsi="Times New Roman" w:eastAsia="仿宋_GB2312" w:cs="Times New Roman"/>
          <w:bCs/>
          <w:kern w:val="44"/>
          <w:sz w:val="32"/>
          <w:szCs w:val="32"/>
          <w:highlight w:val="none"/>
        </w:rPr>
        <w:t>开展的视频监控存储设备升级改造</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lang w:val="en-US" w:eastAsia="zh-CN"/>
        </w:rPr>
        <w:t>专用设备购置）</w:t>
      </w:r>
      <w:r>
        <w:rPr>
          <w:rFonts w:hint="default" w:ascii="Times New Roman" w:hAnsi="Times New Roman" w:eastAsia="仿宋_GB2312" w:cs="Times New Roman"/>
          <w:bCs/>
          <w:kern w:val="44"/>
          <w:sz w:val="32"/>
          <w:szCs w:val="32"/>
          <w:highlight w:val="none"/>
        </w:rPr>
        <w:t>项目相关的工作。</w:t>
      </w:r>
    </w:p>
    <w:p>
      <w:pPr>
        <w:pageBreakBefore w:val="0"/>
        <w:widowControl w:val="0"/>
        <w:kinsoku/>
        <w:wordWrap/>
        <w:overflowPunct/>
        <w:topLinePunct w:val="0"/>
        <w:autoSpaceDE/>
        <w:autoSpaceDN/>
        <w:bidi w:val="0"/>
        <w:adjustRightInd w:val="0"/>
        <w:snapToGrid w:val="0"/>
        <w:spacing w:line="600" w:lineRule="exact"/>
        <w:ind w:firstLine="640"/>
        <w:textAlignment w:val="auto"/>
        <w:outlineLvl w:val="1"/>
        <w:rPr>
          <w:rFonts w:hint="default" w:ascii="Times New Roman" w:hAnsi="Times New Roman" w:eastAsia="楷体_GB2312" w:cs="Times New Roman"/>
          <w:b/>
          <w:sz w:val="32"/>
        </w:rPr>
      </w:pPr>
      <w:bookmarkStart w:id="71" w:name="_Toc802097603_WPSOffice_Level2"/>
      <w:bookmarkStart w:id="72" w:name="_Toc1881211542"/>
      <w:bookmarkStart w:id="73" w:name="_Toc15710"/>
      <w:bookmarkStart w:id="74" w:name="_Toc15822"/>
      <w:bookmarkStart w:id="75" w:name="_Toc26616"/>
      <w:bookmarkStart w:id="76" w:name="_Toc22201"/>
      <w:bookmarkStart w:id="77" w:name="_Toc17330"/>
      <w:r>
        <w:rPr>
          <w:rFonts w:hint="default" w:ascii="Times New Roman" w:hAnsi="Times New Roman" w:eastAsia="楷体_GB2312" w:cs="Times New Roman"/>
          <w:b/>
          <w:sz w:val="32"/>
        </w:rPr>
        <w:t>（二）绩效评价原则、评价指标体系、评价方法和评价标准</w:t>
      </w:r>
      <w:bookmarkEnd w:id="71"/>
      <w:bookmarkEnd w:id="72"/>
      <w:bookmarkEnd w:id="73"/>
      <w:bookmarkEnd w:id="74"/>
      <w:bookmarkEnd w:id="75"/>
      <w:bookmarkEnd w:id="76"/>
      <w:bookmarkEnd w:id="77"/>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1.评价原则</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一是客观公正原则。本次绩效评价本着实事求是的原则，站在客观、公正的立场发表评价意见。</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二是科学规范原则。严格遵循</w:t>
      </w:r>
      <w:bookmarkStart w:id="78" w:name="_Hlk69739239"/>
      <w:r>
        <w:rPr>
          <w:rFonts w:hint="default" w:ascii="Times New Roman" w:hAnsi="Times New Roman" w:eastAsia="仿宋_GB2312" w:cs="Times New Roman"/>
          <w:bCs/>
          <w:kern w:val="44"/>
          <w:sz w:val="32"/>
          <w:szCs w:val="32"/>
          <w:highlight w:val="none"/>
        </w:rPr>
        <w:t>《北京市项目支出绩效评价管理办法》</w:t>
      </w:r>
      <w:bookmarkEnd w:id="78"/>
      <w:r>
        <w:rPr>
          <w:rFonts w:hint="default" w:ascii="Times New Roman" w:hAnsi="Times New Roman" w:eastAsia="仿宋_GB2312" w:cs="Times New Roman"/>
          <w:bCs/>
          <w:kern w:val="44"/>
          <w:sz w:val="32"/>
          <w:szCs w:val="32"/>
          <w:highlight w:val="none"/>
          <w:lang w:val="en-US" w:eastAsia="zh-CN"/>
        </w:rPr>
        <w:t>等</w:t>
      </w:r>
      <w:r>
        <w:rPr>
          <w:rFonts w:hint="default" w:ascii="Times New Roman" w:hAnsi="Times New Roman" w:eastAsia="仿宋_GB2312" w:cs="Times New Roman"/>
          <w:bCs/>
          <w:kern w:val="44"/>
          <w:sz w:val="32"/>
          <w:szCs w:val="32"/>
          <w:highlight w:val="none"/>
        </w:rPr>
        <w:t>文件规定</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lang w:val="en-US" w:eastAsia="zh-CN"/>
        </w:rPr>
        <w:t>按市财政局</w:t>
      </w:r>
      <w:r>
        <w:rPr>
          <w:rFonts w:hint="default" w:ascii="Times New Roman" w:hAnsi="Times New Roman" w:eastAsia="仿宋_GB2312" w:cs="Times New Roman"/>
          <w:bCs/>
          <w:kern w:val="44"/>
          <w:sz w:val="32"/>
          <w:szCs w:val="32"/>
          <w:highlight w:val="none"/>
        </w:rPr>
        <w:t>要求</w:t>
      </w:r>
      <w:r>
        <w:rPr>
          <w:rFonts w:hint="default" w:ascii="Times New Roman" w:hAnsi="Times New Roman" w:eastAsia="仿宋_GB2312" w:cs="Times New Roman"/>
          <w:bCs/>
          <w:kern w:val="44"/>
          <w:sz w:val="32"/>
          <w:szCs w:val="32"/>
          <w:highlight w:val="none"/>
          <w:lang w:val="en-US" w:eastAsia="zh-CN"/>
        </w:rPr>
        <w:t>规范</w:t>
      </w:r>
      <w:r>
        <w:rPr>
          <w:rFonts w:hint="default" w:ascii="Times New Roman" w:hAnsi="Times New Roman" w:eastAsia="仿宋_GB2312" w:cs="Times New Roman"/>
          <w:bCs/>
          <w:kern w:val="44"/>
          <w:sz w:val="32"/>
          <w:szCs w:val="32"/>
          <w:highlight w:val="none"/>
        </w:rPr>
        <w:t>组织实施。</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三是突出绩效原则。</w:t>
      </w:r>
      <w:r>
        <w:rPr>
          <w:rFonts w:hint="default" w:ascii="Times New Roman" w:hAnsi="Times New Roman" w:eastAsia="仿宋_GB2312" w:cs="Times New Roman"/>
          <w:bCs/>
          <w:kern w:val="44"/>
          <w:sz w:val="32"/>
          <w:szCs w:val="32"/>
          <w:highlight w:val="none"/>
          <w:lang w:val="en-US" w:eastAsia="zh-CN"/>
        </w:rPr>
        <w:t>坚持以绩效为导向，着眼全面加强绩效管理，</w:t>
      </w:r>
      <w:r>
        <w:rPr>
          <w:rFonts w:hint="default" w:ascii="Times New Roman" w:hAnsi="Times New Roman" w:eastAsia="仿宋_GB2312" w:cs="Times New Roman"/>
          <w:bCs/>
          <w:kern w:val="44"/>
          <w:sz w:val="32"/>
          <w:szCs w:val="32"/>
          <w:highlight w:val="none"/>
        </w:rPr>
        <w:t>重点关注绩效，兼顾决策和管理。</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2.评价指标体系</w:t>
      </w:r>
    </w:p>
    <w:p>
      <w:pPr>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kern w:val="44"/>
          <w:sz w:val="32"/>
          <w:szCs w:val="32"/>
          <w:highlight w:val="none"/>
        </w:rPr>
        <w:t>评价工作组结合项目特点和预期绩效目标，以资金使用结果为</w:t>
      </w:r>
      <w:r>
        <w:rPr>
          <w:rFonts w:hint="default" w:ascii="Times New Roman" w:hAnsi="Times New Roman" w:eastAsia="仿宋_GB2312" w:cs="Times New Roman"/>
          <w:bCs/>
          <w:kern w:val="44"/>
          <w:sz w:val="32"/>
          <w:szCs w:val="32"/>
          <w:highlight w:val="none"/>
          <w:lang w:val="en-US" w:eastAsia="zh-CN"/>
        </w:rPr>
        <w:t>主线</w:t>
      </w:r>
      <w:r>
        <w:rPr>
          <w:rFonts w:hint="default" w:ascii="Times New Roman" w:hAnsi="Times New Roman" w:eastAsia="仿宋_GB2312" w:cs="Times New Roman"/>
          <w:bCs/>
          <w:kern w:val="44"/>
          <w:sz w:val="32"/>
          <w:szCs w:val="32"/>
          <w:highlight w:val="none"/>
        </w:rPr>
        <w:t>，按照“相关性、重要性、可比性、系统性”原则，明确评价标准，按照《北京市项目支出绩效评价管理办法》（京财绩效〔2020〕2146号），确定了该项目绩效评价指标体系，其中一级指标4个，二级指标10个，三级指标17个，四级指标</w:t>
      </w:r>
      <w:r>
        <w:rPr>
          <w:rFonts w:hint="default" w:ascii="Times New Roman" w:hAnsi="Times New Roman" w:eastAsia="仿宋_GB2312" w:cs="Times New Roman"/>
          <w:bCs/>
          <w:kern w:val="44"/>
          <w:sz w:val="32"/>
          <w:szCs w:val="32"/>
          <w:highlight w:val="none"/>
          <w:lang w:val="en-US" w:eastAsia="zh-CN"/>
        </w:rPr>
        <w:t>27个</w:t>
      </w:r>
      <w:r>
        <w:rPr>
          <w:rFonts w:hint="default" w:ascii="Times New Roman" w:hAnsi="Times New Roman" w:eastAsia="仿宋_GB2312" w:cs="Times New Roman"/>
          <w:bCs/>
          <w:kern w:val="44"/>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3.评价方法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根据《北京市项目支出绩效评价管理办法》（京财绩效〔2020〕2146号）文件规定的绩效评价方法，结合项目实际情况，本次绩效评价工作按照全面评价与重点评价相结合、现场评价与非现场评价相结合的方</w:t>
      </w:r>
      <w:r>
        <w:rPr>
          <w:rFonts w:hint="default" w:ascii="Times New Roman" w:hAnsi="Times New Roman" w:eastAsia="仿宋_GB2312" w:cs="Times New Roman"/>
          <w:bCs/>
          <w:kern w:val="44"/>
          <w:sz w:val="32"/>
          <w:szCs w:val="32"/>
          <w:highlight w:val="none"/>
          <w:lang w:val="en-US" w:eastAsia="zh-CN"/>
        </w:rPr>
        <w:t>法</w:t>
      </w:r>
      <w:r>
        <w:rPr>
          <w:rFonts w:hint="default" w:ascii="Times New Roman" w:hAnsi="Times New Roman" w:eastAsia="仿宋_GB2312" w:cs="Times New Roman"/>
          <w:bCs/>
          <w:kern w:val="44"/>
          <w:sz w:val="32"/>
          <w:szCs w:val="32"/>
          <w:highlight w:val="none"/>
        </w:rPr>
        <w:t>组织实施。</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4.评价标准</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根据《北京市项目支出绩效评价管理办法》（京财绩效〔2020〕2146号）文件规定的绩效评价标准，结合项目实际情况，本次绩效评价工作采用计划标准，以预先制定的目标、计划、预算、定额作为本次绩效评价的标准。</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outlineLvl w:val="1"/>
        <w:rPr>
          <w:rFonts w:hint="default" w:ascii="Times New Roman" w:hAnsi="Times New Roman" w:eastAsia="楷体_GB2312" w:cs="Times New Roman"/>
          <w:b/>
          <w:sz w:val="32"/>
        </w:rPr>
      </w:pPr>
      <w:bookmarkStart w:id="79" w:name="_Toc25057"/>
      <w:bookmarkStart w:id="80" w:name="_Toc159"/>
      <w:bookmarkStart w:id="81" w:name="_Toc1099561402_WPSOffice_Level2"/>
      <w:bookmarkStart w:id="82" w:name="_Toc7156"/>
      <w:bookmarkStart w:id="83" w:name="_Toc17159"/>
      <w:bookmarkStart w:id="84" w:name="_Toc15729"/>
      <w:bookmarkStart w:id="85" w:name="_Toc29109"/>
      <w:bookmarkStart w:id="86" w:name="_Toc120651613"/>
      <w:r>
        <w:rPr>
          <w:rFonts w:hint="default" w:ascii="Times New Roman" w:hAnsi="Times New Roman" w:eastAsia="楷体_GB2312" w:cs="Times New Roman"/>
          <w:b/>
          <w:sz w:val="32"/>
        </w:rPr>
        <w:t>（三）</w:t>
      </w:r>
      <w:bookmarkEnd w:id="79"/>
      <w:r>
        <w:rPr>
          <w:rFonts w:hint="default" w:ascii="Times New Roman" w:hAnsi="Times New Roman" w:eastAsia="楷体_GB2312" w:cs="Times New Roman"/>
          <w:b/>
          <w:sz w:val="32"/>
        </w:rPr>
        <w:t>绩效评价工作过程</w:t>
      </w:r>
      <w:bookmarkEnd w:id="80"/>
      <w:bookmarkEnd w:id="81"/>
      <w:bookmarkEnd w:id="82"/>
      <w:bookmarkEnd w:id="83"/>
      <w:bookmarkEnd w:id="84"/>
      <w:bookmarkEnd w:id="85"/>
      <w:bookmarkEnd w:id="86"/>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为确保绩效评价工作</w:t>
      </w:r>
      <w:r>
        <w:rPr>
          <w:rFonts w:hint="default" w:ascii="Times New Roman" w:hAnsi="Times New Roman" w:eastAsia="仿宋_GB2312" w:cs="Times New Roman"/>
          <w:bCs/>
          <w:kern w:val="44"/>
          <w:sz w:val="32"/>
          <w:szCs w:val="32"/>
          <w:highlight w:val="none"/>
          <w:lang w:val="en-US" w:eastAsia="zh-CN"/>
        </w:rPr>
        <w:t>规范严谨、</w:t>
      </w:r>
      <w:r>
        <w:rPr>
          <w:rFonts w:hint="default" w:ascii="Times New Roman" w:hAnsi="Times New Roman" w:eastAsia="仿宋_GB2312" w:cs="Times New Roman"/>
          <w:bCs/>
          <w:kern w:val="44"/>
          <w:sz w:val="32"/>
          <w:szCs w:val="32"/>
          <w:highlight w:val="none"/>
        </w:rPr>
        <w:t>客观公正，评价工作组严格按照绩效评价工作程序</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rPr>
        <w:t>分为评价准备、评价实施、评价总结三个阶段</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rPr>
        <w:t>组织</w:t>
      </w:r>
      <w:r>
        <w:rPr>
          <w:rFonts w:hint="default" w:ascii="Times New Roman" w:hAnsi="Times New Roman" w:eastAsia="仿宋_GB2312" w:cs="Times New Roman"/>
          <w:bCs/>
          <w:kern w:val="44"/>
          <w:sz w:val="32"/>
          <w:szCs w:val="32"/>
          <w:highlight w:val="none"/>
          <w:lang w:val="en-US" w:eastAsia="zh-CN"/>
        </w:rPr>
        <w:t>实施</w:t>
      </w:r>
      <w:r>
        <w:rPr>
          <w:rFonts w:hint="default" w:ascii="Times New Roman" w:hAnsi="Times New Roman" w:eastAsia="仿宋_GB2312" w:cs="Times New Roman"/>
          <w:bCs/>
          <w:kern w:val="44"/>
          <w:sz w:val="32"/>
          <w:szCs w:val="32"/>
          <w:highlight w:val="none"/>
        </w:rPr>
        <w:t>该项目的绩效评价工作。</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1.评价准备阶段</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（1）组建评价工作组。</w:t>
      </w:r>
      <w:r>
        <w:rPr>
          <w:rFonts w:hint="default" w:ascii="Times New Roman" w:hAnsi="Times New Roman" w:eastAsia="仿宋_GB2312" w:cs="Times New Roman"/>
          <w:bCs/>
          <w:kern w:val="44"/>
          <w:sz w:val="32"/>
          <w:szCs w:val="32"/>
          <w:highlight w:val="none"/>
          <w:lang w:val="en-US" w:eastAsia="zh-CN"/>
        </w:rPr>
        <w:t>根据项目任务</w:t>
      </w:r>
      <w:r>
        <w:rPr>
          <w:rFonts w:hint="default" w:ascii="Times New Roman" w:hAnsi="Times New Roman" w:eastAsia="仿宋_GB2312" w:cs="Times New Roman"/>
          <w:bCs/>
          <w:kern w:val="44"/>
          <w:sz w:val="32"/>
          <w:szCs w:val="32"/>
          <w:highlight w:val="none"/>
        </w:rPr>
        <w:t>，组成评价工作组，明确每名成员的职责及分工，并邀请专业机构进行必要的针对性指导和业务培训。</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w:t>
      </w:r>
      <w:r>
        <w:rPr>
          <w:rFonts w:hint="default" w:ascii="Times New Roman" w:hAnsi="Times New Roman" w:eastAsia="仿宋_GB2312" w:cs="Times New Roman"/>
          <w:bCs/>
          <w:kern w:val="44"/>
          <w:sz w:val="32"/>
          <w:szCs w:val="32"/>
          <w:highlight w:val="none"/>
          <w:lang w:val="en-US" w:eastAsia="zh-CN"/>
        </w:rPr>
        <w:t>2</w:t>
      </w:r>
      <w:r>
        <w:rPr>
          <w:rFonts w:hint="default" w:ascii="Times New Roman" w:hAnsi="Times New Roman" w:eastAsia="仿宋_GB2312" w:cs="Times New Roman"/>
          <w:bCs/>
          <w:kern w:val="44"/>
          <w:sz w:val="32"/>
          <w:szCs w:val="32"/>
          <w:highlight w:val="none"/>
        </w:rPr>
        <w:t>）制定绩效评价工作方案。确定评价重点、评价方法、评价指标体系框架和评分方法、评价进度等事项。</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2.评价实施阶段</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（1）评价资料准备。进行绩效评价资料准备辅导工作，明确项目资料</w:t>
      </w:r>
      <w:r>
        <w:rPr>
          <w:rFonts w:hint="default" w:ascii="Times New Roman" w:hAnsi="Times New Roman" w:eastAsia="仿宋_GB2312" w:cs="Times New Roman"/>
          <w:bCs/>
          <w:kern w:val="44"/>
          <w:sz w:val="32"/>
          <w:szCs w:val="32"/>
          <w:highlight w:val="none"/>
          <w:lang w:val="en-US" w:eastAsia="zh-CN"/>
        </w:rPr>
        <w:t>清单</w:t>
      </w:r>
      <w:r>
        <w:rPr>
          <w:rFonts w:hint="default" w:ascii="Times New Roman" w:hAnsi="Times New Roman" w:eastAsia="仿宋_GB2312" w:cs="Times New Roman"/>
          <w:bCs/>
          <w:kern w:val="44"/>
          <w:sz w:val="32"/>
          <w:szCs w:val="32"/>
          <w:highlight w:val="none"/>
        </w:rPr>
        <w:t>，沟通评价依据、工作任务、日程安排等事项，向项目实施部门讲解评价原则、程序及具体要求，辅导项目实施部门准备资料，撰写绩效报告。</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（2）收集复核资料。评价工作组按照“项目支出绩效评价资料准备清单”，收集与项目支出绩效评价相关的决策、管理、绩效相关资料，复核其完整性、准确性、有效性。</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w:t>
      </w:r>
      <w:r>
        <w:rPr>
          <w:rFonts w:hint="default" w:ascii="Times New Roman" w:hAnsi="Times New Roman" w:eastAsia="仿宋_GB2312" w:cs="Times New Roman"/>
          <w:bCs/>
          <w:sz w:val="32"/>
          <w:szCs w:val="32"/>
          <w:lang w:val="en-US" w:eastAsia="zh-CN"/>
        </w:rPr>
        <w:t>3</w:t>
      </w:r>
      <w:r>
        <w:rPr>
          <w:rFonts w:hint="default" w:ascii="Times New Roman" w:hAnsi="Times New Roman" w:eastAsia="仿宋_GB2312" w:cs="Times New Roman"/>
          <w:bCs/>
          <w:sz w:val="32"/>
          <w:szCs w:val="32"/>
        </w:rPr>
        <w:t>）</w:t>
      </w:r>
      <w:r>
        <w:rPr>
          <w:rFonts w:hint="default" w:ascii="Times New Roman" w:hAnsi="Times New Roman" w:eastAsia="仿宋_GB2312" w:cs="Times New Roman"/>
          <w:bCs/>
          <w:sz w:val="32"/>
          <w:szCs w:val="32"/>
          <w:lang w:val="en-US" w:eastAsia="zh-CN"/>
        </w:rPr>
        <w:t>汇总分析评价。</w:t>
      </w:r>
      <w:r>
        <w:rPr>
          <w:rFonts w:hint="default" w:ascii="Times New Roman" w:hAnsi="Times New Roman" w:eastAsia="仿宋_GB2312" w:cs="Times New Roman"/>
          <w:bCs/>
          <w:sz w:val="32"/>
          <w:szCs w:val="32"/>
        </w:rPr>
        <w:t>评价工作组围绕指标体系内容和评价重点，对</w:t>
      </w:r>
      <w:r>
        <w:rPr>
          <w:rFonts w:hint="default" w:ascii="Times New Roman" w:hAnsi="Times New Roman" w:eastAsia="仿宋_GB2312" w:cs="Times New Roman"/>
          <w:bCs/>
          <w:sz w:val="32"/>
          <w:szCs w:val="32"/>
          <w:lang w:val="en-US" w:eastAsia="zh-CN"/>
        </w:rPr>
        <w:t>收集的</w:t>
      </w:r>
      <w:r>
        <w:rPr>
          <w:rFonts w:hint="default" w:ascii="Times New Roman" w:hAnsi="Times New Roman" w:eastAsia="仿宋_GB2312" w:cs="Times New Roman"/>
          <w:bCs/>
          <w:sz w:val="32"/>
          <w:szCs w:val="32"/>
        </w:rPr>
        <w:t>资料进行归集、整理、分析</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依据项目执行情况和绩效评价指标体系，对该项目的决策、管理和绩效等方面进行评价和打分，出具评价意见。</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3.评价总结阶段</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bookmarkStart w:id="87" w:name="_Toc1231700979_WPSOffice_Level1"/>
      <w:bookmarkStart w:id="88" w:name="_Toc567096923"/>
      <w:r>
        <w:rPr>
          <w:rFonts w:hint="default" w:ascii="Times New Roman" w:hAnsi="Times New Roman" w:eastAsia="仿宋_GB2312" w:cs="Times New Roman"/>
          <w:bCs/>
          <w:kern w:val="44"/>
          <w:sz w:val="32"/>
          <w:szCs w:val="32"/>
          <w:highlight w:val="none"/>
        </w:rPr>
        <w:t>（1）撰写绩效评价报告。评价工作组</w:t>
      </w:r>
      <w:r>
        <w:rPr>
          <w:rFonts w:hint="default" w:ascii="Times New Roman" w:hAnsi="Times New Roman" w:eastAsia="仿宋_GB2312" w:cs="Times New Roman"/>
          <w:bCs/>
          <w:kern w:val="44"/>
          <w:sz w:val="32"/>
          <w:szCs w:val="32"/>
          <w:highlight w:val="none"/>
          <w:lang w:val="en-US" w:eastAsia="zh-CN"/>
        </w:rPr>
        <w:t>审核资料后，</w:t>
      </w:r>
      <w:r>
        <w:rPr>
          <w:rFonts w:hint="default" w:ascii="Times New Roman" w:hAnsi="Times New Roman" w:eastAsia="仿宋_GB2312" w:cs="Times New Roman"/>
          <w:bCs/>
          <w:kern w:val="44"/>
          <w:sz w:val="32"/>
          <w:szCs w:val="32"/>
          <w:highlight w:val="none"/>
        </w:rPr>
        <w:t>确定绩效评价级别，</w:t>
      </w:r>
      <w:r>
        <w:rPr>
          <w:rFonts w:hint="default" w:ascii="Times New Roman" w:hAnsi="Times New Roman" w:eastAsia="仿宋_GB2312" w:cs="Times New Roman"/>
          <w:bCs/>
          <w:kern w:val="44"/>
          <w:sz w:val="32"/>
          <w:szCs w:val="32"/>
          <w:highlight w:val="none"/>
          <w:lang w:val="en-US" w:eastAsia="zh-CN"/>
        </w:rPr>
        <w:t>研究</w:t>
      </w:r>
      <w:r>
        <w:rPr>
          <w:rFonts w:hint="default" w:ascii="Times New Roman" w:hAnsi="Times New Roman" w:eastAsia="仿宋_GB2312" w:cs="Times New Roman"/>
          <w:bCs/>
          <w:kern w:val="44"/>
          <w:sz w:val="32"/>
          <w:szCs w:val="32"/>
          <w:highlight w:val="none"/>
        </w:rPr>
        <w:t>撰写并形成正式绩效评价报告。</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Cs/>
          <w:kern w:val="44"/>
          <w:sz w:val="32"/>
          <w:szCs w:val="32"/>
          <w:highlight w:val="none"/>
        </w:rPr>
        <w:t>（2）绩效评价资料归档。绩效评价工作结束后，及时将资料整理归档</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sz w:val="32"/>
          <w:szCs w:val="32"/>
        </w:rPr>
        <w:t>建立绩效评价工作档案。</w:t>
      </w:r>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outlineLvl w:val="0"/>
        <w:rPr>
          <w:rFonts w:hint="default" w:ascii="Times New Roman" w:hAnsi="Times New Roman" w:eastAsia="黑体" w:cs="Times New Roman"/>
          <w:bCs/>
          <w:sz w:val="32"/>
          <w:szCs w:val="32"/>
        </w:rPr>
      </w:pPr>
      <w:bookmarkStart w:id="89" w:name="_Toc24418"/>
      <w:bookmarkStart w:id="90" w:name="_Toc8893"/>
      <w:bookmarkStart w:id="91" w:name="_Toc30652"/>
      <w:bookmarkStart w:id="92" w:name="_Toc3728"/>
      <w:bookmarkStart w:id="93" w:name="_Toc7615"/>
      <w:r>
        <w:rPr>
          <w:rFonts w:hint="default" w:ascii="Times New Roman" w:hAnsi="Times New Roman" w:eastAsia="黑体" w:cs="Times New Roman"/>
          <w:bCs/>
          <w:sz w:val="32"/>
          <w:szCs w:val="32"/>
        </w:rPr>
        <w:t>三、综合评价情况及评价结论</w:t>
      </w:r>
      <w:bookmarkEnd w:id="87"/>
      <w:bookmarkEnd w:id="88"/>
      <w:bookmarkEnd w:id="89"/>
      <w:bookmarkEnd w:id="90"/>
      <w:bookmarkEnd w:id="91"/>
      <w:bookmarkEnd w:id="92"/>
      <w:bookmarkEnd w:id="93"/>
    </w:p>
    <w:p>
      <w:pPr>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Cs/>
          <w:kern w:val="44"/>
          <w:sz w:val="32"/>
          <w:szCs w:val="32"/>
          <w:highlight w:val="none"/>
        </w:rPr>
      </w:pPr>
      <w:bookmarkStart w:id="94" w:name="_Toc665559475"/>
      <w:r>
        <w:rPr>
          <w:rFonts w:hint="default" w:ascii="Times New Roman" w:hAnsi="Times New Roman" w:eastAsia="仿宋_GB2312" w:cs="Times New Roman"/>
          <w:bCs/>
          <w:kern w:val="44"/>
          <w:sz w:val="32"/>
          <w:szCs w:val="32"/>
          <w:highlight w:val="none"/>
        </w:rPr>
        <w:t>经评价工作组综合分析评价，</w:t>
      </w:r>
      <w:r>
        <w:rPr>
          <w:rFonts w:hint="default" w:ascii="Times New Roman" w:hAnsi="Times New Roman" w:eastAsia="仿宋_GB2312" w:cs="Times New Roman"/>
          <w:bCs/>
          <w:kern w:val="44"/>
          <w:sz w:val="32"/>
          <w:szCs w:val="32"/>
          <w:highlight w:val="none"/>
          <w:lang w:val="en-US" w:eastAsia="zh-CN"/>
        </w:rPr>
        <w:t>首钢技师学院</w:t>
      </w:r>
      <w:r>
        <w:rPr>
          <w:rFonts w:hint="default" w:ascii="Times New Roman" w:hAnsi="Times New Roman" w:eastAsia="仿宋_GB2312" w:cs="Times New Roman"/>
          <w:bCs/>
          <w:kern w:val="44"/>
          <w:sz w:val="32"/>
          <w:szCs w:val="32"/>
          <w:highlight w:val="none"/>
        </w:rPr>
        <w:t>视频监控存储设备升级改造</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lang w:val="en-US" w:eastAsia="zh-CN"/>
        </w:rPr>
        <w:t>专用设备购置）</w:t>
      </w:r>
      <w:r>
        <w:rPr>
          <w:rFonts w:hint="default" w:ascii="Times New Roman" w:hAnsi="Times New Roman" w:eastAsia="仿宋_GB2312" w:cs="Times New Roman"/>
          <w:bCs/>
          <w:kern w:val="44"/>
          <w:sz w:val="32"/>
          <w:szCs w:val="32"/>
          <w:highlight w:val="none"/>
        </w:rPr>
        <w:t>项目得分</w:t>
      </w:r>
      <w:r>
        <w:rPr>
          <w:rFonts w:hint="default" w:ascii="Times New Roman" w:hAnsi="Times New Roman" w:eastAsia="仿宋_GB2312" w:cs="Times New Roman"/>
          <w:bCs/>
          <w:caps/>
          <w:sz w:val="32"/>
          <w:szCs w:val="32"/>
          <w:highlight w:val="none"/>
          <w:lang w:val="en-US" w:eastAsia="zh-CN"/>
        </w:rPr>
        <w:t>9</w:t>
      </w:r>
      <w:r>
        <w:rPr>
          <w:rFonts w:hint="eastAsia" w:eastAsia="仿宋_GB2312" w:cs="Times New Roman"/>
          <w:bCs/>
          <w:caps/>
          <w:sz w:val="32"/>
          <w:szCs w:val="32"/>
          <w:highlight w:val="none"/>
          <w:lang w:val="en-US" w:eastAsia="zh-CN"/>
        </w:rPr>
        <w:t>0.42</w:t>
      </w:r>
      <w:r>
        <w:rPr>
          <w:rFonts w:hint="default" w:ascii="Times New Roman" w:hAnsi="Times New Roman" w:eastAsia="仿宋_GB2312" w:cs="Times New Roman"/>
          <w:bCs/>
          <w:kern w:val="44"/>
          <w:sz w:val="32"/>
          <w:szCs w:val="32"/>
          <w:highlight w:val="none"/>
        </w:rPr>
        <w:t>分，绩效评定</w:t>
      </w:r>
      <w:r>
        <w:rPr>
          <w:rFonts w:hint="default" w:ascii="Times New Roman" w:hAnsi="Times New Roman" w:eastAsia="仿宋_GB2312" w:cs="Times New Roman"/>
          <w:bCs/>
          <w:kern w:val="44"/>
          <w:sz w:val="32"/>
          <w:szCs w:val="32"/>
          <w:highlight w:val="none"/>
          <w:lang w:val="en-US" w:eastAsia="zh-CN"/>
        </w:rPr>
        <w:t>等次</w:t>
      </w:r>
      <w:r>
        <w:rPr>
          <w:rFonts w:hint="default" w:ascii="Times New Roman" w:hAnsi="Times New Roman" w:eastAsia="仿宋_GB2312" w:cs="Times New Roman"/>
          <w:bCs/>
          <w:kern w:val="44"/>
          <w:sz w:val="32"/>
          <w:szCs w:val="32"/>
          <w:highlight w:val="none"/>
        </w:rPr>
        <w:t>为“优”。</w:t>
      </w:r>
      <w:bookmarkEnd w:id="94"/>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jc w:val="center"/>
        <w:textAlignment w:val="auto"/>
        <w:rPr>
          <w:rFonts w:hint="default" w:ascii="Times New Roman" w:hAnsi="Times New Roman" w:cs="Times New Roman"/>
          <w:b/>
          <w:sz w:val="28"/>
          <w:szCs w:val="28"/>
          <w:highlight w:val="none"/>
        </w:rPr>
      </w:pPr>
      <w:bookmarkStart w:id="95" w:name="_Toc1963262749"/>
      <w:bookmarkStart w:id="96" w:name="_Toc30812"/>
      <w:bookmarkStart w:id="97" w:name="_Toc1161"/>
      <w:bookmarkStart w:id="98" w:name="_Toc21605"/>
      <w:bookmarkStart w:id="99" w:name="_Toc4078"/>
      <w:bookmarkStart w:id="100" w:name="_Toc1603480620_WPSOffice_Level1"/>
      <w:bookmarkStart w:id="101" w:name="_Toc14951"/>
      <w:r>
        <w:rPr>
          <w:rFonts w:hint="default" w:ascii="Times New Roman" w:hAnsi="Times New Roman" w:cs="Times New Roman"/>
          <w:b/>
          <w:sz w:val="28"/>
          <w:szCs w:val="28"/>
          <w:highlight w:val="none"/>
        </w:rPr>
        <w:t>“视频监控存储设备升级改造</w:t>
      </w:r>
      <w:r>
        <w:rPr>
          <w:rFonts w:hint="default" w:ascii="Times New Roman" w:hAnsi="Times New Roman" w:cs="Times New Roman"/>
          <w:b/>
          <w:sz w:val="28"/>
          <w:szCs w:val="28"/>
          <w:highlight w:val="none"/>
          <w:lang w:eastAsia="zh-CN"/>
        </w:rPr>
        <w:t>（</w:t>
      </w:r>
      <w:r>
        <w:rPr>
          <w:rFonts w:hint="default" w:ascii="Times New Roman" w:hAnsi="Times New Roman" w:cs="Times New Roman"/>
          <w:b/>
          <w:sz w:val="28"/>
          <w:szCs w:val="28"/>
          <w:highlight w:val="none"/>
          <w:lang w:val="en-US" w:eastAsia="zh-CN"/>
        </w:rPr>
        <w:t>专用设备购置）</w:t>
      </w:r>
      <w:r>
        <w:rPr>
          <w:rFonts w:hint="default" w:ascii="Times New Roman" w:hAnsi="Times New Roman" w:cs="Times New Roman"/>
          <w:b/>
          <w:sz w:val="28"/>
          <w:szCs w:val="28"/>
          <w:highlight w:val="none"/>
        </w:rPr>
        <w:t>”项目</w:t>
      </w: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jc w:val="center"/>
        <w:textAlignment w:val="auto"/>
        <w:rPr>
          <w:rFonts w:hint="default" w:ascii="Times New Roman" w:hAnsi="Times New Roman" w:cs="Times New Roman"/>
          <w:b/>
          <w:sz w:val="28"/>
          <w:szCs w:val="28"/>
          <w:highlight w:val="none"/>
        </w:rPr>
      </w:pPr>
      <w:r>
        <w:rPr>
          <w:rFonts w:hint="default" w:ascii="Times New Roman" w:hAnsi="Times New Roman" w:cs="Times New Roman"/>
          <w:b/>
          <w:sz w:val="28"/>
          <w:szCs w:val="28"/>
          <w:highlight w:val="none"/>
        </w:rPr>
        <w:t>绩效评价结论一览表</w:t>
      </w:r>
    </w:p>
    <w:tbl>
      <w:tblPr>
        <w:tblStyle w:val="19"/>
        <w:tblW w:w="8485"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C0C0C0"/>
        <w:tblLayout w:type="fixed"/>
        <w:tblCellMar>
          <w:top w:w="0" w:type="dxa"/>
          <w:left w:w="57" w:type="dxa"/>
          <w:bottom w:w="0" w:type="dxa"/>
          <w:right w:w="57" w:type="dxa"/>
        </w:tblCellMar>
      </w:tblPr>
      <w:tblGrid>
        <w:gridCol w:w="2250"/>
        <w:gridCol w:w="3240"/>
        <w:gridCol w:w="2995"/>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C0C0C0"/>
          <w:tblCellMar>
            <w:top w:w="0" w:type="dxa"/>
            <w:left w:w="57" w:type="dxa"/>
            <w:bottom w:w="0" w:type="dxa"/>
            <w:right w:w="57" w:type="dxa"/>
          </w:tblCellMar>
        </w:tblPrEx>
        <w:trPr>
          <w:cantSplit/>
          <w:trHeight w:val="680" w:hRule="atLeast"/>
        </w:trPr>
        <w:tc>
          <w:tcPr>
            <w:tcW w:w="2250" w:type="dxa"/>
            <w:tcBorders>
              <w:bottom w:val="single" w:color="FFFFFF" w:sz="6" w:space="0"/>
              <w:right w:val="single" w:color="FFFFFF" w:sz="6" w:space="0"/>
            </w:tcBorders>
            <w:shd w:val="clear" w:color="auto" w:fill="C0C0C0"/>
            <w:noWrap w:val="0"/>
            <w:vAlign w:val="center"/>
          </w:tcPr>
          <w:p>
            <w:pPr>
              <w:adjustRightInd w:val="0"/>
              <w:snapToGrid w:val="0"/>
              <w:spacing w:line="520" w:lineRule="exact"/>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评价内容</w:t>
            </w:r>
          </w:p>
        </w:tc>
        <w:tc>
          <w:tcPr>
            <w:tcW w:w="3240" w:type="dxa"/>
            <w:tcBorders>
              <w:left w:val="single" w:color="FFFFFF" w:sz="6" w:space="0"/>
              <w:bottom w:val="single" w:color="FFFFFF" w:sz="6" w:space="0"/>
              <w:right w:val="single" w:color="FFFFFF" w:sz="6" w:space="0"/>
            </w:tcBorders>
            <w:shd w:val="clear" w:color="auto" w:fill="C0C0C0"/>
            <w:noWrap w:val="0"/>
            <w:vAlign w:val="center"/>
          </w:tcPr>
          <w:p>
            <w:pPr>
              <w:adjustRightInd w:val="0"/>
              <w:snapToGrid w:val="0"/>
              <w:spacing w:line="520" w:lineRule="exact"/>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分值</w:t>
            </w:r>
          </w:p>
        </w:tc>
        <w:tc>
          <w:tcPr>
            <w:tcW w:w="2995" w:type="dxa"/>
            <w:tcBorders>
              <w:left w:val="single" w:color="FFFFFF" w:sz="6" w:space="0"/>
              <w:bottom w:val="single" w:color="FFFFFF" w:sz="6" w:space="0"/>
            </w:tcBorders>
            <w:shd w:val="clear" w:color="auto" w:fill="C0C0C0"/>
            <w:noWrap w:val="0"/>
            <w:vAlign w:val="center"/>
          </w:tcPr>
          <w:p>
            <w:pPr>
              <w:adjustRightInd w:val="0"/>
              <w:snapToGrid w:val="0"/>
              <w:spacing w:line="520" w:lineRule="exact"/>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评价得分</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C0C0C0"/>
          <w:tblCellMar>
            <w:top w:w="0" w:type="dxa"/>
            <w:left w:w="57" w:type="dxa"/>
            <w:bottom w:w="0" w:type="dxa"/>
            <w:right w:w="57" w:type="dxa"/>
          </w:tblCellMar>
        </w:tblPrEx>
        <w:trPr>
          <w:cantSplit/>
          <w:trHeight w:val="680" w:hRule="atLeast"/>
        </w:trPr>
        <w:tc>
          <w:tcPr>
            <w:tcW w:w="2250" w:type="dxa"/>
            <w:tcBorders>
              <w:top w:val="single" w:color="FFFFFF" w:sz="6" w:space="0"/>
              <w:bottom w:val="single" w:color="FFFFFF" w:sz="6" w:space="0"/>
              <w:right w:val="single" w:color="FFFFFF" w:sz="6" w:space="0"/>
            </w:tcBorders>
            <w:shd w:val="clear" w:color="auto" w:fill="C0C0C0"/>
            <w:noWrap w:val="0"/>
            <w:vAlign w:val="center"/>
          </w:tcPr>
          <w:p>
            <w:pPr>
              <w:pStyle w:val="2"/>
              <w:adjustRightInd w:val="0"/>
              <w:snapToGrid w:val="0"/>
              <w:spacing w:line="600" w:lineRule="exact"/>
              <w:ind w:firstLine="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项目决策</w:t>
            </w:r>
          </w:p>
        </w:tc>
        <w:tc>
          <w:tcPr>
            <w:tcW w:w="3240" w:type="dxa"/>
            <w:tcBorders>
              <w:top w:val="single" w:color="FFFFFF" w:sz="6" w:space="0"/>
              <w:left w:val="single" w:color="FFFFFF" w:sz="6" w:space="0"/>
              <w:bottom w:val="single" w:color="FFFFFF" w:sz="6" w:space="0"/>
              <w:right w:val="single" w:color="FFFFFF" w:sz="6" w:space="0"/>
            </w:tcBorders>
            <w:shd w:val="clear" w:color="auto" w:fill="C0C0C0"/>
            <w:noWrap w:val="0"/>
            <w:vAlign w:val="center"/>
          </w:tcPr>
          <w:p>
            <w:pPr>
              <w:adjustRightInd w:val="0"/>
              <w:snapToGrid w:val="0"/>
              <w:spacing w:line="600" w:lineRule="exact"/>
              <w:ind w:firstLine="0" w:firstLineChars="0"/>
              <w:jc w:val="center"/>
              <w:rPr>
                <w:rFonts w:hint="default" w:ascii="Times New Roman" w:hAnsi="Times New Roman" w:eastAsia="仿宋_GB2312" w:cs="Times New Roman"/>
                <w:b/>
                <w:sz w:val="28"/>
                <w:szCs w:val="28"/>
                <w:highlight w:val="none"/>
                <w:lang w:val="en-US" w:eastAsia="zh-CN"/>
              </w:rPr>
            </w:pPr>
            <w:r>
              <w:rPr>
                <w:rFonts w:hint="default" w:ascii="Times New Roman" w:hAnsi="Times New Roman" w:eastAsia="仿宋_GB2312" w:cs="Times New Roman"/>
                <w:b/>
                <w:sz w:val="28"/>
                <w:szCs w:val="28"/>
                <w:highlight w:val="none"/>
              </w:rPr>
              <w:t>10</w:t>
            </w:r>
            <w:r>
              <w:rPr>
                <w:rFonts w:hint="default" w:ascii="Times New Roman" w:hAnsi="Times New Roman" w:eastAsia="仿宋_GB2312" w:cs="Times New Roman"/>
                <w:b/>
                <w:sz w:val="28"/>
                <w:szCs w:val="28"/>
                <w:highlight w:val="none"/>
                <w:lang w:val="en-US" w:eastAsia="zh-CN"/>
              </w:rPr>
              <w:t>.00</w:t>
            </w:r>
          </w:p>
        </w:tc>
        <w:tc>
          <w:tcPr>
            <w:tcW w:w="2995" w:type="dxa"/>
            <w:tcBorders>
              <w:top w:val="single" w:color="FFFFFF" w:sz="6" w:space="0"/>
              <w:left w:val="single" w:color="FFFFFF" w:sz="6" w:space="0"/>
              <w:bottom w:val="single" w:color="FFFFFF" w:sz="6" w:space="0"/>
            </w:tcBorders>
            <w:shd w:val="clear" w:color="auto" w:fill="C0C0C0"/>
            <w:noWrap w:val="0"/>
            <w:vAlign w:val="center"/>
          </w:tcPr>
          <w:p>
            <w:pPr>
              <w:keepNext w:val="0"/>
              <w:keepLines w:val="0"/>
              <w:widowControl/>
              <w:suppressLineNumbers w:val="0"/>
              <w:adjustRightInd w:val="0"/>
              <w:snapToGrid w:val="0"/>
              <w:spacing w:line="600" w:lineRule="exact"/>
              <w:ind w:firstLine="0" w:firstLineChars="0"/>
              <w:jc w:val="center"/>
              <w:textAlignment w:val="auto"/>
              <w:rPr>
                <w:rFonts w:hint="default" w:ascii="Times New Roman" w:hAnsi="Times New Roman" w:eastAsia="仿宋_GB2312" w:cs="Times New Roman"/>
                <w:b/>
                <w:sz w:val="28"/>
                <w:szCs w:val="28"/>
                <w:highlight w:val="none"/>
                <w:lang w:val="en-US" w:eastAsia="zh-CN"/>
              </w:rPr>
            </w:pPr>
            <w:r>
              <w:rPr>
                <w:rFonts w:hint="eastAsia" w:eastAsia="仿宋_GB2312" w:cs="Times New Roman"/>
                <w:b/>
                <w:sz w:val="28"/>
                <w:szCs w:val="28"/>
                <w:highlight w:val="none"/>
                <w:lang w:val="en-US" w:eastAsia="zh-CN"/>
              </w:rPr>
              <w:t>9.10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C0C0C0"/>
          <w:tblCellMar>
            <w:top w:w="0" w:type="dxa"/>
            <w:left w:w="57" w:type="dxa"/>
            <w:bottom w:w="0" w:type="dxa"/>
            <w:right w:w="57" w:type="dxa"/>
          </w:tblCellMar>
        </w:tblPrEx>
        <w:trPr>
          <w:cantSplit/>
          <w:trHeight w:val="680" w:hRule="atLeast"/>
        </w:trPr>
        <w:tc>
          <w:tcPr>
            <w:tcW w:w="2250" w:type="dxa"/>
            <w:tcBorders>
              <w:top w:val="single" w:color="FFFFFF" w:sz="6" w:space="0"/>
              <w:bottom w:val="single" w:color="FFFFFF" w:sz="6" w:space="0"/>
              <w:right w:val="single" w:color="FFFFFF" w:sz="6" w:space="0"/>
            </w:tcBorders>
            <w:shd w:val="clear" w:color="auto" w:fill="C0C0C0"/>
            <w:noWrap w:val="0"/>
            <w:vAlign w:val="center"/>
          </w:tcPr>
          <w:p>
            <w:pPr>
              <w:adjustRightInd w:val="0"/>
              <w:snapToGrid w:val="0"/>
              <w:spacing w:line="600" w:lineRule="exact"/>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项目过程</w:t>
            </w:r>
          </w:p>
        </w:tc>
        <w:tc>
          <w:tcPr>
            <w:tcW w:w="3240" w:type="dxa"/>
            <w:tcBorders>
              <w:top w:val="single" w:color="FFFFFF" w:sz="6" w:space="0"/>
              <w:left w:val="single" w:color="FFFFFF" w:sz="6" w:space="0"/>
              <w:bottom w:val="single" w:color="FFFFFF" w:sz="6" w:space="0"/>
              <w:right w:val="single" w:color="FFFFFF" w:sz="6" w:space="0"/>
            </w:tcBorders>
            <w:shd w:val="clear" w:color="auto" w:fill="C0C0C0"/>
            <w:noWrap w:val="0"/>
            <w:vAlign w:val="center"/>
          </w:tcPr>
          <w:p>
            <w:pPr>
              <w:adjustRightInd w:val="0"/>
              <w:snapToGrid w:val="0"/>
              <w:spacing w:line="600" w:lineRule="exact"/>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20</w:t>
            </w:r>
            <w:r>
              <w:rPr>
                <w:rFonts w:hint="default" w:ascii="Times New Roman" w:hAnsi="Times New Roman" w:eastAsia="仿宋_GB2312" w:cs="Times New Roman"/>
                <w:b/>
                <w:sz w:val="28"/>
                <w:szCs w:val="28"/>
                <w:highlight w:val="none"/>
                <w:lang w:val="en-US" w:eastAsia="zh-CN"/>
              </w:rPr>
              <w:t>.00</w:t>
            </w:r>
          </w:p>
        </w:tc>
        <w:tc>
          <w:tcPr>
            <w:tcW w:w="2995" w:type="dxa"/>
            <w:tcBorders>
              <w:top w:val="single" w:color="FFFFFF" w:sz="6" w:space="0"/>
              <w:left w:val="single" w:color="FFFFFF" w:sz="6" w:space="0"/>
              <w:bottom w:val="single" w:color="FFFFFF" w:sz="6" w:space="0"/>
            </w:tcBorders>
            <w:shd w:val="clear" w:color="auto" w:fill="C0C0C0"/>
            <w:noWrap w:val="0"/>
            <w:vAlign w:val="center"/>
          </w:tcPr>
          <w:p>
            <w:pPr>
              <w:keepNext w:val="0"/>
              <w:keepLines w:val="0"/>
              <w:widowControl/>
              <w:suppressLineNumbers w:val="0"/>
              <w:adjustRightInd w:val="0"/>
              <w:snapToGrid w:val="0"/>
              <w:spacing w:line="600" w:lineRule="exact"/>
              <w:ind w:firstLine="0" w:firstLineChars="0"/>
              <w:jc w:val="center"/>
              <w:textAlignment w:val="auto"/>
              <w:rPr>
                <w:rFonts w:hint="default" w:ascii="Times New Roman" w:hAnsi="Times New Roman" w:eastAsia="仿宋_GB2312" w:cs="Times New Roman"/>
                <w:b/>
                <w:sz w:val="28"/>
                <w:szCs w:val="28"/>
                <w:highlight w:val="none"/>
                <w:lang w:val="en-US"/>
              </w:rPr>
            </w:pPr>
            <w:r>
              <w:rPr>
                <w:rFonts w:hint="default" w:ascii="Times New Roman" w:hAnsi="Times New Roman" w:eastAsia="仿宋_GB2312" w:cs="Times New Roman"/>
                <w:b/>
                <w:i w:val="0"/>
                <w:iCs w:val="0"/>
                <w:kern w:val="2"/>
                <w:sz w:val="28"/>
                <w:szCs w:val="28"/>
                <w:highlight w:val="none"/>
                <w:u w:val="none"/>
                <w:lang w:val="en-US" w:eastAsia="zh-CN" w:bidi="ar"/>
              </w:rPr>
              <w:t>19.</w:t>
            </w:r>
            <w:r>
              <w:rPr>
                <w:rFonts w:hint="eastAsia" w:eastAsia="仿宋_GB2312" w:cs="Times New Roman"/>
                <w:b/>
                <w:i w:val="0"/>
                <w:iCs w:val="0"/>
                <w:kern w:val="2"/>
                <w:sz w:val="28"/>
                <w:szCs w:val="28"/>
                <w:highlight w:val="none"/>
                <w:u w:val="none"/>
                <w:lang w:val="en-US" w:eastAsia="zh-CN" w:bidi="ar"/>
              </w:rPr>
              <w:t>3</w:t>
            </w:r>
            <w:r>
              <w:rPr>
                <w:rFonts w:hint="default" w:ascii="Times New Roman" w:hAnsi="Times New Roman" w:eastAsia="仿宋_GB2312" w:cs="Times New Roman"/>
                <w:b/>
                <w:i w:val="0"/>
                <w:iCs w:val="0"/>
                <w:kern w:val="2"/>
                <w:sz w:val="28"/>
                <w:szCs w:val="28"/>
                <w:highlight w:val="none"/>
                <w:u w:val="none"/>
                <w:lang w:val="en-US" w:eastAsia="zh-CN" w:bidi="ar"/>
              </w:rPr>
              <w:t>2</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680" w:hRule="atLeast"/>
        </w:trPr>
        <w:tc>
          <w:tcPr>
            <w:tcW w:w="2250" w:type="dxa"/>
            <w:tcBorders>
              <w:top w:val="single" w:color="FFFFFF" w:sz="6" w:space="0"/>
              <w:bottom w:val="single" w:color="FFFFFF" w:sz="4" w:space="0"/>
              <w:right w:val="single" w:color="FFFFFF" w:sz="6" w:space="0"/>
            </w:tcBorders>
            <w:shd w:val="clear" w:color="auto" w:fill="C0C0C0"/>
            <w:noWrap w:val="0"/>
            <w:vAlign w:val="center"/>
          </w:tcPr>
          <w:p>
            <w:pPr>
              <w:adjustRightInd w:val="0"/>
              <w:snapToGrid w:val="0"/>
              <w:spacing w:line="600" w:lineRule="exact"/>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项目产出</w:t>
            </w:r>
          </w:p>
        </w:tc>
        <w:tc>
          <w:tcPr>
            <w:tcW w:w="3240" w:type="dxa"/>
            <w:tcBorders>
              <w:top w:val="single" w:color="FFFFFF" w:sz="6" w:space="0"/>
              <w:left w:val="single" w:color="FFFFFF" w:sz="6" w:space="0"/>
              <w:bottom w:val="single" w:color="FFFFFF" w:sz="4" w:space="0"/>
              <w:right w:val="single" w:color="FFFFFF" w:sz="4" w:space="0"/>
            </w:tcBorders>
            <w:shd w:val="clear" w:color="auto" w:fill="C0C0C0"/>
            <w:noWrap w:val="0"/>
            <w:vAlign w:val="center"/>
          </w:tcPr>
          <w:p>
            <w:pPr>
              <w:adjustRightInd w:val="0"/>
              <w:snapToGrid w:val="0"/>
              <w:spacing w:line="600" w:lineRule="exact"/>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40</w:t>
            </w:r>
            <w:r>
              <w:rPr>
                <w:rFonts w:hint="default" w:ascii="Times New Roman" w:hAnsi="Times New Roman" w:eastAsia="仿宋_GB2312" w:cs="Times New Roman"/>
                <w:b/>
                <w:sz w:val="28"/>
                <w:szCs w:val="28"/>
                <w:highlight w:val="none"/>
                <w:lang w:val="en-US" w:eastAsia="zh-CN"/>
              </w:rPr>
              <w:t>.00</w:t>
            </w:r>
          </w:p>
        </w:tc>
        <w:tc>
          <w:tcPr>
            <w:tcW w:w="2995" w:type="dxa"/>
            <w:tcBorders>
              <w:top w:val="single" w:color="FFFFFF" w:sz="6" w:space="0"/>
              <w:left w:val="single" w:color="FFFFFF" w:sz="4" w:space="0"/>
              <w:bottom w:val="single" w:color="FFFFFF" w:sz="4" w:space="0"/>
            </w:tcBorders>
            <w:shd w:val="clear" w:color="auto" w:fill="C0C0C0"/>
            <w:noWrap w:val="0"/>
            <w:vAlign w:val="center"/>
          </w:tcPr>
          <w:p>
            <w:pPr>
              <w:keepNext w:val="0"/>
              <w:keepLines w:val="0"/>
              <w:widowControl/>
              <w:suppressLineNumbers w:val="0"/>
              <w:adjustRightInd w:val="0"/>
              <w:snapToGrid w:val="0"/>
              <w:spacing w:line="600" w:lineRule="exact"/>
              <w:ind w:firstLine="0" w:firstLineChars="0"/>
              <w:jc w:val="center"/>
              <w:textAlignment w:val="auto"/>
              <w:rPr>
                <w:rFonts w:hint="default" w:ascii="Times New Roman" w:hAnsi="Times New Roman" w:eastAsia="仿宋_GB2312" w:cs="Times New Roman"/>
                <w:b/>
                <w:sz w:val="28"/>
                <w:szCs w:val="28"/>
                <w:highlight w:val="none"/>
                <w:lang w:val="en-US"/>
              </w:rPr>
            </w:pPr>
            <w:r>
              <w:rPr>
                <w:rFonts w:hint="default" w:ascii="Times New Roman" w:hAnsi="Times New Roman" w:eastAsia="仿宋_GB2312" w:cs="Times New Roman"/>
                <w:b/>
                <w:i w:val="0"/>
                <w:iCs w:val="0"/>
                <w:kern w:val="2"/>
                <w:sz w:val="28"/>
                <w:szCs w:val="28"/>
                <w:highlight w:val="none"/>
                <w:u w:val="none"/>
                <w:lang w:val="en-US" w:eastAsia="zh-CN" w:bidi="ar"/>
              </w:rPr>
              <w:t>3</w:t>
            </w:r>
            <w:r>
              <w:rPr>
                <w:rFonts w:hint="eastAsia" w:eastAsia="仿宋_GB2312" w:cs="Times New Roman"/>
                <w:b/>
                <w:i w:val="0"/>
                <w:iCs w:val="0"/>
                <w:kern w:val="2"/>
                <w:sz w:val="28"/>
                <w:szCs w:val="28"/>
                <w:highlight w:val="none"/>
                <w:u w:val="none"/>
                <w:lang w:val="en-US" w:eastAsia="zh-CN" w:bidi="ar"/>
              </w:rPr>
              <w:t>5</w:t>
            </w:r>
            <w:r>
              <w:rPr>
                <w:rFonts w:hint="default" w:ascii="Times New Roman" w:hAnsi="Times New Roman" w:eastAsia="仿宋_GB2312" w:cs="Times New Roman"/>
                <w:b/>
                <w:i w:val="0"/>
                <w:iCs w:val="0"/>
                <w:kern w:val="2"/>
                <w:sz w:val="28"/>
                <w:szCs w:val="28"/>
                <w:highlight w:val="none"/>
                <w:u w:val="none"/>
                <w:lang w:val="en-US" w:eastAsia="zh-CN" w:bidi="ar"/>
              </w:rPr>
              <w:t>.00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680" w:hRule="atLeast"/>
        </w:trPr>
        <w:tc>
          <w:tcPr>
            <w:tcW w:w="2250" w:type="dxa"/>
            <w:tcBorders>
              <w:top w:val="single" w:color="FFFFFF" w:sz="6" w:space="0"/>
              <w:bottom w:val="single" w:color="FFFFFF" w:sz="4" w:space="0"/>
              <w:right w:val="single" w:color="FFFFFF" w:sz="6" w:space="0"/>
            </w:tcBorders>
            <w:shd w:val="clear" w:color="auto" w:fill="C0C0C0"/>
            <w:noWrap w:val="0"/>
            <w:vAlign w:val="center"/>
          </w:tcPr>
          <w:p>
            <w:pPr>
              <w:adjustRightInd w:val="0"/>
              <w:snapToGrid w:val="0"/>
              <w:spacing w:line="600" w:lineRule="exact"/>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项目效益</w:t>
            </w:r>
          </w:p>
        </w:tc>
        <w:tc>
          <w:tcPr>
            <w:tcW w:w="3240" w:type="dxa"/>
            <w:tcBorders>
              <w:top w:val="single" w:color="FFFFFF" w:sz="6" w:space="0"/>
              <w:left w:val="single" w:color="FFFFFF" w:sz="6" w:space="0"/>
              <w:bottom w:val="single" w:color="FFFFFF" w:sz="4" w:space="0"/>
              <w:right w:val="single" w:color="FFFFFF" w:sz="4" w:space="0"/>
            </w:tcBorders>
            <w:shd w:val="clear" w:color="auto" w:fill="C0C0C0"/>
            <w:noWrap w:val="0"/>
            <w:vAlign w:val="center"/>
          </w:tcPr>
          <w:p>
            <w:pPr>
              <w:adjustRightInd w:val="0"/>
              <w:snapToGrid w:val="0"/>
              <w:spacing w:line="600" w:lineRule="exact"/>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30</w:t>
            </w:r>
            <w:r>
              <w:rPr>
                <w:rFonts w:hint="default" w:ascii="Times New Roman" w:hAnsi="Times New Roman" w:eastAsia="仿宋_GB2312" w:cs="Times New Roman"/>
                <w:b/>
                <w:sz w:val="28"/>
                <w:szCs w:val="28"/>
                <w:highlight w:val="none"/>
                <w:lang w:val="en-US" w:eastAsia="zh-CN"/>
              </w:rPr>
              <w:t>.00</w:t>
            </w:r>
          </w:p>
        </w:tc>
        <w:tc>
          <w:tcPr>
            <w:tcW w:w="2995" w:type="dxa"/>
            <w:tcBorders>
              <w:top w:val="single" w:color="FFFFFF" w:sz="6" w:space="0"/>
              <w:left w:val="single" w:color="FFFFFF" w:sz="4" w:space="0"/>
              <w:bottom w:val="single" w:color="FFFFFF" w:sz="4" w:space="0"/>
            </w:tcBorders>
            <w:shd w:val="clear" w:color="auto" w:fill="C0C0C0"/>
            <w:noWrap w:val="0"/>
            <w:vAlign w:val="center"/>
          </w:tcPr>
          <w:p>
            <w:pPr>
              <w:keepNext w:val="0"/>
              <w:keepLines w:val="0"/>
              <w:widowControl/>
              <w:suppressLineNumbers w:val="0"/>
              <w:adjustRightInd w:val="0"/>
              <w:snapToGrid w:val="0"/>
              <w:spacing w:line="600" w:lineRule="exact"/>
              <w:ind w:firstLine="0" w:firstLineChars="0"/>
              <w:jc w:val="center"/>
              <w:textAlignment w:val="auto"/>
              <w:rPr>
                <w:rFonts w:hint="default" w:ascii="Times New Roman" w:hAnsi="Times New Roman" w:eastAsia="仿宋_GB2312" w:cs="Times New Roman"/>
                <w:b/>
                <w:sz w:val="28"/>
                <w:szCs w:val="28"/>
                <w:highlight w:val="none"/>
                <w:lang w:val="en-US"/>
              </w:rPr>
            </w:pPr>
            <w:r>
              <w:rPr>
                <w:rFonts w:hint="default" w:ascii="Times New Roman" w:hAnsi="Times New Roman" w:eastAsia="仿宋_GB2312" w:cs="Times New Roman"/>
                <w:b/>
                <w:i w:val="0"/>
                <w:iCs w:val="0"/>
                <w:kern w:val="2"/>
                <w:sz w:val="28"/>
                <w:szCs w:val="28"/>
                <w:highlight w:val="none"/>
                <w:u w:val="none"/>
                <w:lang w:val="en-US" w:eastAsia="zh-CN" w:bidi="ar"/>
              </w:rPr>
              <w:t>2</w:t>
            </w:r>
            <w:r>
              <w:rPr>
                <w:rFonts w:hint="eastAsia" w:eastAsia="仿宋_GB2312" w:cs="Times New Roman"/>
                <w:b/>
                <w:i w:val="0"/>
                <w:iCs w:val="0"/>
                <w:kern w:val="2"/>
                <w:sz w:val="28"/>
                <w:szCs w:val="28"/>
                <w:highlight w:val="none"/>
                <w:u w:val="none"/>
                <w:lang w:val="en-US" w:eastAsia="zh-CN" w:bidi="ar"/>
              </w:rPr>
              <w:t>7</w:t>
            </w:r>
            <w:r>
              <w:rPr>
                <w:rFonts w:hint="default" w:ascii="Times New Roman" w:hAnsi="Times New Roman" w:eastAsia="仿宋_GB2312" w:cs="Times New Roman"/>
                <w:b/>
                <w:i w:val="0"/>
                <w:iCs w:val="0"/>
                <w:kern w:val="2"/>
                <w:sz w:val="28"/>
                <w:szCs w:val="28"/>
                <w:highlight w:val="none"/>
                <w:u w:val="none"/>
                <w:lang w:val="en-US" w:eastAsia="zh-CN" w:bidi="ar"/>
              </w:rPr>
              <w:t>.00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850" w:hRule="atLeast"/>
        </w:trPr>
        <w:tc>
          <w:tcPr>
            <w:tcW w:w="2250" w:type="dxa"/>
            <w:tcBorders>
              <w:top w:val="single" w:color="FFFFFF" w:sz="4" w:space="0"/>
              <w:bottom w:val="single" w:color="FFFFFF" w:sz="4" w:space="0"/>
              <w:right w:val="single" w:color="FFFFFF" w:sz="6" w:space="0"/>
            </w:tcBorders>
            <w:shd w:val="clear" w:color="auto" w:fill="C0C0C0"/>
            <w:noWrap w:val="0"/>
            <w:vAlign w:val="center"/>
          </w:tcPr>
          <w:p>
            <w:pPr>
              <w:adjustRightInd w:val="0"/>
              <w:snapToGrid w:val="0"/>
              <w:spacing w:line="600" w:lineRule="exact"/>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综合得分</w:t>
            </w:r>
          </w:p>
        </w:tc>
        <w:tc>
          <w:tcPr>
            <w:tcW w:w="3240" w:type="dxa"/>
            <w:tcBorders>
              <w:top w:val="single" w:color="FFFFFF" w:sz="4" w:space="0"/>
              <w:left w:val="single" w:color="FFFFFF" w:sz="6" w:space="0"/>
              <w:bottom w:val="single" w:color="FFFFFF" w:sz="4" w:space="0"/>
            </w:tcBorders>
            <w:shd w:val="clear" w:color="auto" w:fill="C0C0C0"/>
            <w:noWrap w:val="0"/>
            <w:vAlign w:val="center"/>
          </w:tcPr>
          <w:p>
            <w:pPr>
              <w:adjustRightInd w:val="0"/>
              <w:snapToGrid w:val="0"/>
              <w:spacing w:line="600" w:lineRule="exact"/>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100</w:t>
            </w:r>
            <w:r>
              <w:rPr>
                <w:rFonts w:hint="default" w:ascii="Times New Roman" w:hAnsi="Times New Roman" w:eastAsia="仿宋_GB2312" w:cs="Times New Roman"/>
                <w:b/>
                <w:sz w:val="28"/>
                <w:szCs w:val="28"/>
                <w:highlight w:val="none"/>
                <w:lang w:val="en-US" w:eastAsia="zh-CN"/>
              </w:rPr>
              <w:t>.00</w:t>
            </w:r>
          </w:p>
        </w:tc>
        <w:tc>
          <w:tcPr>
            <w:tcW w:w="2995" w:type="dxa"/>
            <w:tcBorders>
              <w:top w:val="single" w:color="FFFFFF" w:sz="4" w:space="0"/>
              <w:left w:val="single" w:color="FFFFFF" w:sz="4" w:space="0"/>
              <w:bottom w:val="single" w:color="FFFFFF" w:sz="4" w:space="0"/>
            </w:tcBorders>
            <w:shd w:val="clear" w:color="auto" w:fill="C0C0C0"/>
            <w:noWrap w:val="0"/>
            <w:vAlign w:val="center"/>
          </w:tcPr>
          <w:p>
            <w:pPr>
              <w:adjustRightInd w:val="0"/>
              <w:snapToGrid w:val="0"/>
              <w:spacing w:line="600" w:lineRule="exact"/>
              <w:ind w:firstLine="0" w:firstLineChars="0"/>
              <w:jc w:val="center"/>
              <w:rPr>
                <w:rFonts w:hint="default" w:ascii="Times New Roman" w:hAnsi="Times New Roman" w:eastAsia="仿宋_GB2312" w:cs="Times New Roman"/>
                <w:b/>
                <w:sz w:val="28"/>
                <w:szCs w:val="28"/>
                <w:highlight w:val="none"/>
                <w:lang w:val="en-US"/>
              </w:rPr>
            </w:pPr>
            <w:r>
              <w:rPr>
                <w:rFonts w:hint="default" w:ascii="Times New Roman" w:hAnsi="Times New Roman" w:eastAsia="仿宋_GB2312" w:cs="Times New Roman"/>
                <w:b/>
                <w:sz w:val="28"/>
                <w:szCs w:val="28"/>
                <w:highlight w:val="none"/>
              </w:rPr>
              <w:t>9</w:t>
            </w:r>
            <w:r>
              <w:rPr>
                <w:rFonts w:hint="eastAsia" w:eastAsia="仿宋_GB2312" w:cs="Times New Roman"/>
                <w:b/>
                <w:sz w:val="28"/>
                <w:szCs w:val="28"/>
                <w:highlight w:val="none"/>
                <w:lang w:val="en-US" w:eastAsia="zh-CN"/>
              </w:rPr>
              <w:t>0.42</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850" w:hRule="atLeast"/>
        </w:trPr>
        <w:tc>
          <w:tcPr>
            <w:tcW w:w="2250" w:type="dxa"/>
            <w:tcBorders>
              <w:top w:val="single" w:color="FFFFFF" w:sz="4" w:space="0"/>
              <w:bottom w:val="single" w:color="FFFFFF" w:sz="4" w:space="0"/>
              <w:right w:val="single" w:color="FFFFFF" w:sz="6" w:space="0"/>
            </w:tcBorders>
            <w:shd w:val="clear" w:color="auto" w:fill="C0C0C0"/>
            <w:noWrap w:val="0"/>
            <w:vAlign w:val="center"/>
          </w:tcPr>
          <w:p>
            <w:pPr>
              <w:adjustRightInd w:val="0"/>
              <w:snapToGrid w:val="0"/>
              <w:spacing w:line="600" w:lineRule="exact"/>
              <w:ind w:firstLine="0" w:firstLineChars="0"/>
              <w:jc w:val="center"/>
              <w:rPr>
                <w:rFonts w:hint="default" w:ascii="Times New Roman" w:hAnsi="Times New Roman" w:eastAsia="仿宋_GB2312" w:cs="Times New Roman"/>
                <w:b/>
                <w:sz w:val="28"/>
                <w:szCs w:val="28"/>
                <w:highlight w:val="none"/>
                <w:lang w:eastAsia="zh-CN"/>
              </w:rPr>
            </w:pPr>
            <w:r>
              <w:rPr>
                <w:rFonts w:hint="default" w:ascii="Times New Roman" w:hAnsi="Times New Roman" w:eastAsia="仿宋_GB2312" w:cs="Times New Roman"/>
                <w:b/>
                <w:sz w:val="28"/>
                <w:szCs w:val="28"/>
                <w:highlight w:val="none"/>
              </w:rPr>
              <w:t>绩效评定</w:t>
            </w:r>
            <w:r>
              <w:rPr>
                <w:rFonts w:hint="default" w:ascii="Times New Roman" w:hAnsi="Times New Roman" w:eastAsia="仿宋_GB2312" w:cs="Times New Roman"/>
                <w:b/>
                <w:sz w:val="28"/>
                <w:szCs w:val="28"/>
                <w:highlight w:val="none"/>
                <w:lang w:val="en-US" w:eastAsia="zh-CN"/>
              </w:rPr>
              <w:t>等次</w:t>
            </w:r>
          </w:p>
        </w:tc>
        <w:tc>
          <w:tcPr>
            <w:tcW w:w="6235" w:type="dxa"/>
            <w:gridSpan w:val="2"/>
            <w:tcBorders>
              <w:top w:val="single" w:color="FFFFFF" w:sz="4" w:space="0"/>
              <w:left w:val="single" w:color="FFFFFF" w:sz="6" w:space="0"/>
              <w:bottom w:val="single" w:color="FFFFFF" w:sz="4" w:space="0"/>
            </w:tcBorders>
            <w:shd w:val="clear" w:color="auto" w:fill="C0C0C0"/>
            <w:noWrap w:val="0"/>
            <w:vAlign w:val="center"/>
          </w:tcPr>
          <w:p>
            <w:pPr>
              <w:adjustRightInd w:val="0"/>
              <w:snapToGrid w:val="0"/>
              <w:spacing w:line="600" w:lineRule="exact"/>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优</w:t>
            </w:r>
          </w:p>
        </w:tc>
      </w:tr>
    </w:tbl>
    <w:p>
      <w:pPr>
        <w:pStyle w:val="9"/>
        <w:spacing w:after="0" w:line="360" w:lineRule="auto"/>
        <w:ind w:left="0" w:leftChars="0"/>
        <w:jc w:val="center"/>
        <w:rPr>
          <w:rFonts w:hint="default" w:ascii="Times New Roman" w:hAnsi="Times New Roman" w:cs="Times New Roman"/>
          <w:b/>
          <w:sz w:val="28"/>
          <w:szCs w:val="28"/>
          <w:highlight w:val="none"/>
        </w:rPr>
      </w:pPr>
    </w:p>
    <w:p>
      <w:pPr>
        <w:pageBreakBefore w:val="0"/>
        <w:widowControl w:val="0"/>
        <w:kinsoku/>
        <w:wordWrap/>
        <w:overflowPunct/>
        <w:topLinePunct w:val="0"/>
        <w:autoSpaceDE/>
        <w:autoSpaceDN/>
        <w:bidi w:val="0"/>
        <w:adjustRightInd w:val="0"/>
        <w:snapToGrid w:val="0"/>
        <w:spacing w:line="600" w:lineRule="exact"/>
        <w:ind w:firstLine="640"/>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bookmarkEnd w:id="65"/>
      <w:bookmarkEnd w:id="66"/>
      <w:bookmarkEnd w:id="95"/>
      <w:bookmarkEnd w:id="96"/>
      <w:bookmarkEnd w:id="97"/>
      <w:bookmarkEnd w:id="98"/>
      <w:bookmarkEnd w:id="99"/>
      <w:bookmarkEnd w:id="100"/>
      <w:bookmarkEnd w:id="101"/>
    </w:p>
    <w:p>
      <w:pPr>
        <w:pageBreakBefore w:val="0"/>
        <w:widowControl w:val="0"/>
        <w:kinsoku/>
        <w:wordWrap/>
        <w:overflowPunct/>
        <w:topLinePunct w:val="0"/>
        <w:autoSpaceDE/>
        <w:autoSpaceDN/>
        <w:bidi w:val="0"/>
        <w:adjustRightInd w:val="0"/>
        <w:snapToGrid w:val="0"/>
        <w:spacing w:line="600" w:lineRule="exact"/>
        <w:ind w:firstLine="640"/>
        <w:textAlignment w:val="auto"/>
        <w:outlineLvl w:val="1"/>
        <w:rPr>
          <w:rFonts w:hint="default" w:ascii="Times New Roman" w:hAnsi="Times New Roman" w:eastAsia="楷体_GB2312" w:cs="Times New Roman"/>
          <w:b/>
          <w:sz w:val="32"/>
        </w:rPr>
      </w:pPr>
      <w:bookmarkStart w:id="102" w:name="_Toc8713"/>
      <w:bookmarkStart w:id="103" w:name="_Toc470786288"/>
      <w:bookmarkStart w:id="104" w:name="_Toc926494137_WPSOffice_Level2"/>
      <w:bookmarkStart w:id="105" w:name="_Toc781"/>
      <w:bookmarkStart w:id="106" w:name="_Toc14671"/>
      <w:bookmarkStart w:id="107" w:name="_Toc9996"/>
      <w:bookmarkStart w:id="108" w:name="_Toc27816"/>
      <w:bookmarkStart w:id="109" w:name="_Toc21955"/>
      <w:r>
        <w:rPr>
          <w:rFonts w:hint="default" w:ascii="Times New Roman" w:hAnsi="Times New Roman" w:eastAsia="楷体_GB2312" w:cs="Times New Roman"/>
          <w:b/>
          <w:sz w:val="32"/>
        </w:rPr>
        <w:t>（一）项目决策情况</w:t>
      </w:r>
      <w:bookmarkEnd w:id="102"/>
      <w:bookmarkEnd w:id="103"/>
      <w:bookmarkEnd w:id="104"/>
      <w:bookmarkEnd w:id="105"/>
      <w:bookmarkEnd w:id="106"/>
      <w:bookmarkEnd w:id="107"/>
      <w:bookmarkEnd w:id="108"/>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1.项目立项情况评价分析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Cs/>
          <w:kern w:val="44"/>
          <w:sz w:val="32"/>
          <w:szCs w:val="32"/>
          <w:highlight w:val="none"/>
          <w:lang w:val="en-US" w:eastAsia="zh-CN"/>
        </w:rPr>
        <w:t>该项目</w:t>
      </w:r>
      <w:r>
        <w:rPr>
          <w:rFonts w:hint="default" w:ascii="Times New Roman" w:hAnsi="Times New Roman" w:eastAsia="仿宋_GB2312" w:cs="Times New Roman"/>
          <w:sz w:val="32"/>
          <w:szCs w:val="32"/>
        </w:rPr>
        <w:t>根据</w:t>
      </w:r>
      <w:r>
        <w:rPr>
          <w:rFonts w:hint="default" w:ascii="Times New Roman" w:hAnsi="Times New Roman" w:eastAsia="仿宋_GB2312" w:cs="Times New Roman"/>
          <w:bCs/>
          <w:kern w:val="44"/>
          <w:sz w:val="32"/>
          <w:szCs w:val="32"/>
          <w:highlight w:val="none"/>
          <w:lang w:val="en-US" w:eastAsia="zh-CN"/>
        </w:rPr>
        <w:t>《北京市石景山公安分局责令限期整改通知书》（石公（限）责通字</w:t>
      </w:r>
      <w:r>
        <w:rPr>
          <w:rFonts w:hint="default" w:ascii="Times New Roman" w:hAnsi="Times New Roman" w:eastAsia="仿宋_GB2312" w:cs="Times New Roman"/>
          <w:color w:val="000000"/>
          <w:sz w:val="32"/>
          <w:szCs w:val="32"/>
          <w:shd w:val="clear" w:color="auto" w:fill="FFFFFF"/>
        </w:rPr>
        <w:t>〔202</w:t>
      </w:r>
      <w:r>
        <w:rPr>
          <w:rFonts w:hint="default" w:ascii="Times New Roman" w:hAnsi="Times New Roman" w:eastAsia="仿宋_GB2312" w:cs="Times New Roman"/>
          <w:color w:val="000000"/>
          <w:sz w:val="32"/>
          <w:szCs w:val="32"/>
          <w:shd w:val="clear" w:color="auto" w:fill="FFFFFF"/>
          <w:lang w:val="en-US" w:eastAsia="zh-CN"/>
        </w:rPr>
        <w:t>1</w:t>
      </w:r>
      <w:r>
        <w:rPr>
          <w:rFonts w:hint="default" w:ascii="Times New Roman" w:hAnsi="Times New Roman" w:eastAsia="仿宋_GB2312" w:cs="Times New Roman"/>
          <w:color w:val="000000"/>
          <w:sz w:val="32"/>
          <w:szCs w:val="32"/>
          <w:shd w:val="clear" w:color="auto" w:fill="FFFFFF"/>
        </w:rPr>
        <w:t>〕</w:t>
      </w:r>
      <w:r>
        <w:rPr>
          <w:rFonts w:hint="default" w:ascii="Times New Roman" w:hAnsi="Times New Roman" w:eastAsia="仿宋_GB2312" w:cs="Times New Roman"/>
          <w:bCs/>
          <w:kern w:val="44"/>
          <w:sz w:val="32"/>
          <w:szCs w:val="32"/>
          <w:highlight w:val="none"/>
          <w:lang w:val="en-US" w:eastAsia="zh-CN"/>
        </w:rPr>
        <w:t>0062号）“</w:t>
      </w:r>
      <w:r>
        <w:rPr>
          <w:rFonts w:hint="default" w:ascii="Times New Roman" w:hAnsi="Times New Roman" w:eastAsia="仿宋_GB2312" w:cs="Times New Roman"/>
          <w:color w:val="000000"/>
          <w:sz w:val="32"/>
          <w:szCs w:val="32"/>
          <w:shd w:val="clear" w:color="auto" w:fill="FFFFFF"/>
        </w:rPr>
        <w:t>学校视频监控系统存储时间提升不少于90天</w:t>
      </w:r>
      <w:r>
        <w:rPr>
          <w:rFonts w:hint="default" w:ascii="Times New Roman" w:hAnsi="Times New Roman" w:eastAsia="仿宋_GB2312" w:cs="Times New Roman"/>
          <w:color w:val="000000"/>
          <w:sz w:val="32"/>
          <w:szCs w:val="32"/>
          <w:shd w:val="clear" w:color="auto" w:fill="FFFFFF"/>
          <w:lang w:eastAsia="zh-CN"/>
        </w:rPr>
        <w:t>”</w:t>
      </w:r>
      <w:r>
        <w:rPr>
          <w:rFonts w:hint="default" w:ascii="Times New Roman" w:hAnsi="Times New Roman" w:eastAsia="仿宋_GB2312" w:cs="Times New Roman"/>
          <w:color w:val="000000"/>
          <w:sz w:val="32"/>
          <w:szCs w:val="32"/>
          <w:shd w:val="clear" w:color="auto" w:fill="FFFFFF"/>
        </w:rPr>
        <w:t>要求</w:t>
      </w:r>
      <w:r>
        <w:rPr>
          <w:rFonts w:hint="default" w:ascii="Times New Roman" w:hAnsi="Times New Roman" w:eastAsia="仿宋_GB2312" w:cs="Times New Roman"/>
          <w:bCs/>
          <w:kern w:val="44"/>
          <w:sz w:val="32"/>
          <w:szCs w:val="32"/>
          <w:highlight w:val="none"/>
          <w:lang w:val="en-US" w:eastAsia="zh-CN"/>
        </w:rPr>
        <w:t>，经</w:t>
      </w:r>
      <w:r>
        <w:rPr>
          <w:rFonts w:hint="default" w:ascii="Times New Roman" w:hAnsi="Times New Roman" w:eastAsia="仿宋_GB2312" w:cs="Times New Roman"/>
          <w:sz w:val="32"/>
          <w:szCs w:val="32"/>
          <w:lang w:val="en-US" w:eastAsia="zh-CN"/>
        </w:rPr>
        <w:t>首钢集团有限公司人才开发院院长办公会会议审议通过后，向北京市财政局申报此项目，于2022年具体实施。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kern w:val="0"/>
          <w:sz w:val="32"/>
          <w:szCs w:val="32"/>
          <w:highlight w:val="none"/>
          <w:lang w:val="en-US"/>
        </w:rPr>
      </w:pPr>
      <w:r>
        <w:rPr>
          <w:rFonts w:hint="default" w:ascii="Times New Roman" w:hAnsi="Times New Roman" w:eastAsia="仿宋_GB2312" w:cs="Times New Roman"/>
          <w:color w:val="000000"/>
          <w:kern w:val="0"/>
          <w:sz w:val="32"/>
          <w:szCs w:val="32"/>
          <w:highlight w:val="none"/>
        </w:rPr>
        <w:t>评价分析认为：该项目决策依据文件明确，</w:t>
      </w:r>
      <w:r>
        <w:rPr>
          <w:rFonts w:hint="default" w:ascii="Times New Roman" w:hAnsi="Times New Roman" w:eastAsia="仿宋_GB2312" w:cs="Times New Roman"/>
          <w:color w:val="000000"/>
          <w:kern w:val="0"/>
          <w:sz w:val="32"/>
          <w:szCs w:val="32"/>
          <w:highlight w:val="none"/>
          <w:lang w:val="en-US" w:eastAsia="zh-CN"/>
        </w:rPr>
        <w:t>项目立项前进行了可行性研究、预算评审、集体决策等相关立项决策程序，申报程序比较规范</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lang w:val="en-US" w:eastAsia="zh-CN"/>
        </w:rPr>
        <w:t>决策过程有效，项目立项必要性理由充分。但前期调研论证资料不足，未对200万以上的预算项目进行专家论证。</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2.绩效目标评价分析</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rPr>
      </w:pPr>
      <w:r>
        <w:rPr>
          <w:rFonts w:hint="default" w:ascii="Times New Roman" w:hAnsi="Times New Roman" w:eastAsia="仿宋_GB2312" w:cs="Times New Roman"/>
          <w:color w:val="000000"/>
          <w:kern w:val="0"/>
          <w:sz w:val="32"/>
          <w:szCs w:val="32"/>
          <w:highlight w:val="none"/>
        </w:rPr>
        <w:t>该项目绩效目标设定为</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lang w:val="en-US" w:eastAsia="zh-CN"/>
        </w:rPr>
        <w:t>通过本项目建设，使原安防系统录像存储时间由30天提高到90天。以满足我校作为防范恐怖袭击重点目标单位对存储时间的要求。新增视频监控存储设备需无缝接入现有综合管理平台，实现统一管理平台的录像下载，查询等，同时保证原有功能正常运行，确保所有存储节点正常运行，防止图像丢失，同时随着视频存储时间增加，为各类事件提供更有利的视频依据，提升校园安全管理水平，给广大师生提供有效的安全保障。</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color w:val="000000"/>
          <w:kern w:val="0"/>
          <w:sz w:val="32"/>
          <w:szCs w:val="32"/>
          <w:highlight w:val="yellow"/>
          <w:lang w:val="en-US" w:eastAsia="zh-CN"/>
        </w:rPr>
      </w:pPr>
      <w:r>
        <w:rPr>
          <w:rFonts w:hint="default" w:ascii="Times New Roman" w:hAnsi="Times New Roman" w:eastAsia="仿宋_GB2312" w:cs="Times New Roman"/>
          <w:color w:val="000000"/>
          <w:kern w:val="0"/>
          <w:sz w:val="32"/>
          <w:szCs w:val="32"/>
          <w:highlight w:val="none"/>
        </w:rPr>
        <w:t>评价分析认为：该项目总体目标较为明确，</w:t>
      </w:r>
      <w:r>
        <w:rPr>
          <w:rFonts w:hint="default" w:ascii="Times New Roman" w:hAnsi="Times New Roman" w:eastAsia="仿宋_GB2312" w:cs="Times New Roman"/>
          <w:color w:val="000000"/>
          <w:kern w:val="0"/>
          <w:sz w:val="32"/>
          <w:szCs w:val="32"/>
          <w:highlight w:val="none"/>
          <w:lang w:val="en-US" w:eastAsia="zh-CN"/>
        </w:rPr>
        <w:t>围绕部门职能，结合单位实际，依据年度工作任务，设置相应的绩效目标</w:t>
      </w:r>
      <w:r>
        <w:rPr>
          <w:rFonts w:hint="default" w:ascii="Times New Roman" w:hAnsi="Times New Roman" w:eastAsia="仿宋_GB2312" w:cs="Times New Roman"/>
          <w:color w:val="000000"/>
          <w:kern w:val="0"/>
          <w:sz w:val="32"/>
          <w:szCs w:val="32"/>
          <w:highlight w:val="none"/>
        </w:rPr>
        <w:t>。</w:t>
      </w:r>
      <w:r>
        <w:rPr>
          <w:rFonts w:hint="default" w:ascii="Times New Roman" w:hAnsi="Times New Roman" w:eastAsia="仿宋_GB2312" w:cs="Times New Roman"/>
          <w:color w:val="000000"/>
          <w:kern w:val="0"/>
          <w:sz w:val="32"/>
          <w:szCs w:val="32"/>
          <w:highlight w:val="none"/>
          <w:lang w:val="en-US" w:eastAsia="zh-CN"/>
        </w:rPr>
        <w:t>但项目绩效目标表填报的规范性不足，绩效指标设置不够细化、量化、可衡量。如一级指标设置错误，将“效益指标”和“满意度指标”设置为“效果指标”；效益指标未明确社会效益指标、可持续影响；“提供社会服务收益”的指标值设置科学性不足</w:t>
      </w:r>
      <w:r>
        <w:rPr>
          <w:rFonts w:hint="eastAsia" w:ascii="Times New Roman" w:hAnsi="Times New Roman" w:eastAsia="仿宋_GB2312" w:cs="Times New Roman"/>
          <w:color w:val="000000"/>
          <w:kern w:val="0"/>
          <w:sz w:val="32"/>
          <w:szCs w:val="32"/>
          <w:highlight w:val="none"/>
          <w:lang w:val="en-US" w:eastAsia="zh-CN"/>
        </w:rPr>
        <w:t>。</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3.资金投入情况评价分析</w:t>
      </w:r>
    </w:p>
    <w:p>
      <w:pPr>
        <w:pageBreakBefore w:val="0"/>
        <w:kinsoku/>
        <w:wordWrap/>
        <w:overflowPunct/>
        <w:topLinePunct w:val="0"/>
        <w:autoSpaceDE/>
        <w:autoSpaceDN/>
        <w:bidi w:val="0"/>
        <w:adjustRightInd w:val="0"/>
        <w:spacing w:line="600" w:lineRule="exact"/>
        <w:ind w:firstLine="640"/>
        <w:textAlignment w:val="auto"/>
        <w:rPr>
          <w:rFonts w:hint="default" w:ascii="Times New Roman" w:hAnsi="Times New Roman" w:eastAsia="仿宋_GB2312" w:cs="Times New Roman"/>
          <w:bCs/>
          <w:sz w:val="32"/>
        </w:rPr>
      </w:pPr>
      <w:r>
        <w:rPr>
          <w:rFonts w:hint="default" w:ascii="Times New Roman" w:hAnsi="Times New Roman" w:eastAsia="仿宋_GB2312" w:cs="Times New Roman"/>
          <w:color w:val="000000"/>
          <w:kern w:val="0"/>
          <w:sz w:val="32"/>
          <w:szCs w:val="32"/>
          <w:highlight w:val="none"/>
          <w:lang w:val="en-US" w:eastAsia="zh-CN"/>
        </w:rPr>
        <w:t>该项目为</w:t>
      </w:r>
      <w:r>
        <w:rPr>
          <w:rFonts w:hint="default" w:ascii="Times New Roman" w:hAnsi="Times New Roman" w:eastAsia="仿宋_GB2312" w:cs="Times New Roman"/>
          <w:bCs/>
          <w:kern w:val="44"/>
          <w:sz w:val="32"/>
          <w:szCs w:val="32"/>
          <w:highlight w:val="none"/>
          <w:lang w:val="en-US" w:eastAsia="zh-CN"/>
        </w:rPr>
        <w:t>2021年申请</w:t>
      </w:r>
      <w:r>
        <w:rPr>
          <w:rFonts w:hint="default" w:ascii="Times New Roman" w:hAnsi="Times New Roman" w:eastAsia="仿宋_GB2312" w:cs="Times New Roman"/>
          <w:color w:val="000000"/>
          <w:kern w:val="0"/>
          <w:sz w:val="32"/>
          <w:szCs w:val="32"/>
          <w:highlight w:val="none"/>
          <w:lang w:val="en-US" w:eastAsia="zh-CN"/>
        </w:rPr>
        <w:t>追加预算</w:t>
      </w:r>
      <w:r>
        <w:rPr>
          <w:rFonts w:hint="default" w:ascii="Times New Roman" w:hAnsi="Times New Roman" w:eastAsia="仿宋_GB2312" w:cs="Times New Roman"/>
          <w:sz w:val="32"/>
          <w:szCs w:val="32"/>
        </w:rPr>
        <w:t>205.91</w:t>
      </w:r>
      <w:r>
        <w:rPr>
          <w:rFonts w:hint="default" w:ascii="Times New Roman" w:hAnsi="Times New Roman" w:eastAsia="仿宋_GB2312" w:cs="Times New Roman"/>
          <w:color w:val="000000"/>
          <w:kern w:val="0"/>
          <w:sz w:val="32"/>
          <w:szCs w:val="32"/>
          <w:highlight w:val="none"/>
          <w:lang w:val="en-US" w:eastAsia="zh-CN"/>
        </w:rPr>
        <w:t>万元</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根据</w:t>
      </w:r>
      <w:r>
        <w:rPr>
          <w:rFonts w:hint="default" w:ascii="Times New Roman" w:hAnsi="Times New Roman" w:eastAsia="仿宋_GB2312" w:cs="Times New Roman"/>
          <w:color w:val="000000"/>
          <w:sz w:val="32"/>
          <w:szCs w:val="32"/>
        </w:rPr>
        <w:t>2021年12月</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北京市财政局关于调整首钢技师学院经费的函》（京财教育指</w:t>
      </w:r>
      <w:r>
        <w:rPr>
          <w:rFonts w:hint="default" w:ascii="Times New Roman" w:hAnsi="Times New Roman" w:eastAsia="仿宋_GB2312" w:cs="Times New Roman"/>
          <w:sz w:val="32"/>
        </w:rPr>
        <w:t>〔2021〕</w:t>
      </w:r>
      <w:r>
        <w:rPr>
          <w:rFonts w:hint="default" w:ascii="Times New Roman" w:hAnsi="Times New Roman" w:eastAsia="仿宋_GB2312" w:cs="Times New Roman"/>
          <w:sz w:val="32"/>
          <w:lang w:val="en-US" w:eastAsia="zh-CN"/>
        </w:rPr>
        <w:t>2353</w:t>
      </w:r>
      <w:r>
        <w:rPr>
          <w:rFonts w:hint="default" w:ascii="Times New Roman" w:hAnsi="Times New Roman" w:eastAsia="仿宋_GB2312" w:cs="Times New Roman"/>
          <w:sz w:val="32"/>
        </w:rPr>
        <w:t>号</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lang w:val="en-US" w:eastAsia="zh-CN"/>
        </w:rPr>
        <w:t>文件，</w:t>
      </w:r>
      <w:r>
        <w:rPr>
          <w:rFonts w:hint="default" w:ascii="Times New Roman" w:hAnsi="Times New Roman" w:eastAsia="仿宋_GB2312" w:cs="Times New Roman"/>
          <w:sz w:val="32"/>
          <w:szCs w:val="32"/>
        </w:rPr>
        <w:t>批复</w:t>
      </w:r>
      <w:r>
        <w:rPr>
          <w:rFonts w:hint="default" w:ascii="Times New Roman" w:hAnsi="Times New Roman" w:eastAsia="仿宋_GB2312" w:cs="Times New Roman"/>
          <w:sz w:val="32"/>
          <w:szCs w:val="32"/>
          <w:lang w:val="en-US" w:eastAsia="zh-CN"/>
        </w:rPr>
        <w:t>项目资金</w:t>
      </w:r>
      <w:r>
        <w:rPr>
          <w:rFonts w:hint="default" w:ascii="Times New Roman" w:hAnsi="Times New Roman" w:eastAsia="仿宋_GB2312" w:cs="Times New Roman"/>
          <w:sz w:val="32"/>
          <w:szCs w:val="32"/>
        </w:rPr>
        <w:t>205.91万元。</w:t>
      </w:r>
      <w:r>
        <w:rPr>
          <w:rFonts w:hint="default" w:ascii="Times New Roman" w:hAnsi="Times New Roman" w:eastAsia="仿宋_GB2312" w:cs="Times New Roman"/>
          <w:sz w:val="32"/>
          <w:szCs w:val="32"/>
          <w:lang w:val="en-US" w:eastAsia="zh-CN"/>
        </w:rPr>
        <w:t>该项目资金</w:t>
      </w:r>
      <w:r>
        <w:rPr>
          <w:rFonts w:hint="default" w:ascii="Times New Roman" w:hAnsi="Times New Roman" w:eastAsia="仿宋_GB2312" w:cs="Times New Roman"/>
          <w:color w:val="000000"/>
          <w:kern w:val="0"/>
          <w:sz w:val="32"/>
          <w:szCs w:val="32"/>
          <w:highlight w:val="none"/>
          <w:lang w:val="en-US" w:eastAsia="zh-CN"/>
        </w:rPr>
        <w:t>结转至2022年使用。</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rPr>
        <w:t>评价分析认为：该项目</w:t>
      </w:r>
      <w:r>
        <w:rPr>
          <w:rFonts w:hint="default" w:ascii="Times New Roman" w:hAnsi="Times New Roman" w:eastAsia="仿宋_GB2312" w:cs="Times New Roman"/>
          <w:color w:val="000000"/>
          <w:kern w:val="0"/>
          <w:sz w:val="32"/>
          <w:szCs w:val="32"/>
          <w:highlight w:val="none"/>
          <w:lang w:val="en-US" w:eastAsia="zh-CN"/>
        </w:rPr>
        <w:t>资金预算经过预算评审，有明确标准，资金额度与项目实施相匹配，测算依据充分，预算编制比较合理、科学，</w:t>
      </w:r>
      <w:r>
        <w:rPr>
          <w:rFonts w:hint="default" w:ascii="Times New Roman" w:hAnsi="Times New Roman" w:eastAsia="仿宋_GB2312" w:cs="Times New Roman"/>
          <w:color w:val="000000"/>
          <w:kern w:val="0"/>
          <w:sz w:val="32"/>
          <w:szCs w:val="32"/>
          <w:highlight w:val="none"/>
        </w:rPr>
        <w:t>资金</w:t>
      </w:r>
      <w:r>
        <w:rPr>
          <w:rFonts w:hint="default" w:ascii="Times New Roman" w:hAnsi="Times New Roman" w:eastAsia="仿宋_GB2312" w:cs="Times New Roman"/>
          <w:color w:val="000000"/>
          <w:kern w:val="0"/>
          <w:sz w:val="32"/>
          <w:szCs w:val="32"/>
          <w:highlight w:val="none"/>
          <w:lang w:val="en-US" w:eastAsia="zh-CN"/>
        </w:rPr>
        <w:t>保障</w:t>
      </w:r>
      <w:r>
        <w:rPr>
          <w:rFonts w:hint="default" w:ascii="Times New Roman" w:hAnsi="Times New Roman" w:eastAsia="仿宋_GB2312" w:cs="Times New Roman"/>
          <w:color w:val="000000"/>
          <w:kern w:val="0"/>
          <w:sz w:val="32"/>
          <w:szCs w:val="32"/>
          <w:highlight w:val="none"/>
        </w:rPr>
        <w:t>及时足额到位</w:t>
      </w:r>
      <w:r>
        <w:rPr>
          <w:rFonts w:hint="default" w:ascii="Times New Roman" w:hAnsi="Times New Roman" w:eastAsia="仿宋_GB2312" w:cs="Times New Roman"/>
          <w:color w:val="000000"/>
          <w:kern w:val="0"/>
          <w:sz w:val="32"/>
          <w:szCs w:val="32"/>
          <w:highlight w:val="none"/>
          <w:lang w:eastAsia="zh-CN"/>
        </w:rPr>
        <w:t>。</w:t>
      </w:r>
    </w:p>
    <w:p>
      <w:pPr>
        <w:pStyle w:val="4"/>
        <w:pageBreakBefore w:val="0"/>
        <w:widowControl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楷体_GB2312" w:cs="Times New Roman"/>
          <w:bCs w:val="0"/>
          <w:sz w:val="32"/>
        </w:rPr>
      </w:pPr>
      <w:bookmarkStart w:id="110" w:name="_Toc12093"/>
      <w:bookmarkStart w:id="111" w:name="_Toc1175386868"/>
      <w:bookmarkStart w:id="112" w:name="_Toc4144"/>
      <w:bookmarkStart w:id="113" w:name="_Toc183036162_WPSOffice_Level2"/>
      <w:bookmarkStart w:id="114" w:name="_Toc24166"/>
      <w:bookmarkStart w:id="115" w:name="_Toc7898"/>
      <w:bookmarkStart w:id="116" w:name="_Toc32029"/>
      <w:bookmarkStart w:id="117" w:name="_Toc8881"/>
      <w:r>
        <w:rPr>
          <w:rFonts w:hint="default" w:ascii="Times New Roman" w:hAnsi="Times New Roman" w:eastAsia="楷体_GB2312" w:cs="Times New Roman"/>
          <w:bCs w:val="0"/>
          <w:sz w:val="32"/>
        </w:rPr>
        <w:t>（二）项目过程情况</w:t>
      </w:r>
      <w:bookmarkEnd w:id="110"/>
      <w:bookmarkEnd w:id="111"/>
      <w:bookmarkEnd w:id="112"/>
      <w:bookmarkEnd w:id="113"/>
      <w:bookmarkEnd w:id="114"/>
      <w:bookmarkEnd w:id="115"/>
      <w:bookmarkEnd w:id="116"/>
      <w:bookmarkEnd w:id="117"/>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1.资金使用及管理情况评价分析</w:t>
      </w:r>
    </w:p>
    <w:p>
      <w:pPr>
        <w:pageBreakBefore w:val="0"/>
        <w:kinsoku/>
        <w:wordWrap/>
        <w:overflowPunct/>
        <w:topLinePunct w:val="0"/>
        <w:autoSpaceDE/>
        <w:autoSpaceDN/>
        <w:bidi w:val="0"/>
        <w:adjustRightInd w:val="0"/>
        <w:spacing w:line="600" w:lineRule="exact"/>
        <w:ind w:firstLine="64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（1）资金使用情况</w:t>
      </w:r>
    </w:p>
    <w:p>
      <w:pPr>
        <w:pageBreakBefore w:val="0"/>
        <w:kinsoku/>
        <w:wordWrap/>
        <w:overflowPunct/>
        <w:topLinePunct w:val="0"/>
        <w:autoSpaceDE/>
        <w:autoSpaceDN/>
        <w:bidi w:val="0"/>
        <w:adjustRightInd w:val="0"/>
        <w:spacing w:line="600" w:lineRule="exact"/>
        <w:ind w:firstLine="64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该项目2021年申请资金</w:t>
      </w:r>
      <w:r>
        <w:rPr>
          <w:rFonts w:hint="default" w:ascii="Times New Roman" w:hAnsi="Times New Roman" w:eastAsia="仿宋_GB2312" w:cs="Times New Roman"/>
          <w:sz w:val="32"/>
          <w:szCs w:val="32"/>
        </w:rPr>
        <w:t>205.91</w:t>
      </w:r>
      <w:r>
        <w:rPr>
          <w:rFonts w:hint="default" w:ascii="Times New Roman" w:hAnsi="Times New Roman" w:eastAsia="仿宋_GB2312" w:cs="Times New Roman"/>
          <w:bCs/>
          <w:sz w:val="32"/>
          <w:szCs w:val="32"/>
        </w:rPr>
        <w:t>万元，到位资金</w:t>
      </w:r>
      <w:r>
        <w:rPr>
          <w:rFonts w:hint="default" w:ascii="Times New Roman" w:hAnsi="Times New Roman" w:eastAsia="仿宋_GB2312" w:cs="Times New Roman"/>
          <w:sz w:val="32"/>
          <w:szCs w:val="32"/>
        </w:rPr>
        <w:t>205.91</w:t>
      </w:r>
      <w:r>
        <w:rPr>
          <w:rFonts w:hint="default" w:ascii="Times New Roman" w:hAnsi="Times New Roman" w:eastAsia="仿宋_GB2312" w:cs="Times New Roman"/>
          <w:bCs/>
          <w:sz w:val="32"/>
          <w:szCs w:val="32"/>
        </w:rPr>
        <w:t>万元，截至202</w:t>
      </w:r>
      <w:r>
        <w:rPr>
          <w:rFonts w:hint="default" w:ascii="Times New Roman" w:hAnsi="Times New Roman" w:eastAsia="仿宋_GB2312" w:cs="Times New Roman"/>
          <w:bCs/>
          <w:sz w:val="32"/>
          <w:szCs w:val="32"/>
          <w:lang w:val="en-US" w:eastAsia="zh-CN"/>
        </w:rPr>
        <w:t>2</w:t>
      </w:r>
      <w:r>
        <w:rPr>
          <w:rFonts w:hint="default" w:ascii="Times New Roman" w:hAnsi="Times New Roman" w:eastAsia="仿宋_GB2312" w:cs="Times New Roman"/>
          <w:bCs/>
          <w:sz w:val="32"/>
          <w:szCs w:val="32"/>
        </w:rPr>
        <w:t>年12月31日支出资金</w:t>
      </w:r>
      <w:r>
        <w:rPr>
          <w:rFonts w:hint="default" w:ascii="Times New Roman" w:hAnsi="Times New Roman" w:eastAsia="仿宋_GB2312" w:cs="Times New Roman"/>
          <w:bCs/>
          <w:sz w:val="32"/>
        </w:rPr>
        <w:t>支出资金</w:t>
      </w:r>
      <w:r>
        <w:rPr>
          <w:rFonts w:hint="default" w:ascii="Times New Roman" w:hAnsi="Times New Roman" w:eastAsia="仿宋_GB2312" w:cs="Times New Roman"/>
          <w:bCs/>
          <w:sz w:val="32"/>
          <w:szCs w:val="32"/>
          <w:lang w:val="en-US" w:eastAsia="zh-CN"/>
        </w:rPr>
        <w:t>199.353</w:t>
      </w:r>
      <w:r>
        <w:rPr>
          <w:rFonts w:hint="default" w:ascii="Times New Roman" w:hAnsi="Times New Roman" w:eastAsia="仿宋_GB2312" w:cs="Times New Roman"/>
          <w:bCs/>
          <w:sz w:val="32"/>
        </w:rPr>
        <w:t>万元，结余</w:t>
      </w:r>
      <w:r>
        <w:rPr>
          <w:rFonts w:hint="default" w:ascii="Times New Roman" w:hAnsi="Times New Roman" w:eastAsia="仿宋_GB2312" w:cs="Times New Roman"/>
          <w:bCs/>
          <w:sz w:val="32"/>
          <w:lang w:val="en-US" w:eastAsia="zh-CN"/>
        </w:rPr>
        <w:t>6.557万元</w:t>
      </w:r>
      <w:r>
        <w:rPr>
          <w:rFonts w:hint="default" w:ascii="Times New Roman" w:hAnsi="Times New Roman" w:eastAsia="仿宋_GB2312" w:cs="Times New Roman"/>
          <w:bCs/>
          <w:sz w:val="32"/>
        </w:rPr>
        <w:t>。</w:t>
      </w:r>
      <w:r>
        <w:rPr>
          <w:rFonts w:hint="default" w:ascii="Times New Roman" w:hAnsi="Times New Roman" w:eastAsia="仿宋_GB2312" w:cs="Times New Roman"/>
          <w:bCs/>
          <w:sz w:val="32"/>
          <w:szCs w:val="32"/>
        </w:rPr>
        <w:t>具体资金支出情况见下表：</w:t>
      </w:r>
    </w:p>
    <w:p>
      <w:pPr>
        <w:keepNext w:val="0"/>
        <w:keepLines w:val="0"/>
        <w:pageBreakBefore w:val="0"/>
        <w:widowControl w:val="0"/>
        <w:kinsoku/>
        <w:wordWrap/>
        <w:overflowPunct/>
        <w:topLinePunct w:val="0"/>
        <w:autoSpaceDE/>
        <w:autoSpaceDN/>
        <w:bidi w:val="0"/>
        <w:adjustRightInd w:val="0"/>
        <w:snapToGrid w:val="0"/>
        <w:spacing w:line="600" w:lineRule="exact"/>
        <w:ind w:firstLine="640"/>
        <w:jc w:val="center"/>
        <w:textAlignment w:val="auto"/>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“视频监控存储设备升级改造（专用设备购置）”项目</w:t>
      </w:r>
    </w:p>
    <w:p>
      <w:pPr>
        <w:keepNext w:val="0"/>
        <w:keepLines w:val="0"/>
        <w:pageBreakBefore w:val="0"/>
        <w:widowControl w:val="0"/>
        <w:kinsoku/>
        <w:wordWrap/>
        <w:overflowPunct/>
        <w:topLinePunct w:val="0"/>
        <w:autoSpaceDE/>
        <w:autoSpaceDN/>
        <w:bidi w:val="0"/>
        <w:adjustRightInd w:val="0"/>
        <w:snapToGrid w:val="0"/>
        <w:spacing w:line="600" w:lineRule="exact"/>
        <w:ind w:firstLine="640"/>
        <w:jc w:val="center"/>
        <w:textAlignment w:val="auto"/>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资金支出明细表</w:t>
      </w:r>
    </w:p>
    <w:tbl>
      <w:tblPr>
        <w:tblStyle w:val="20"/>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4126"/>
        <w:gridCol w:w="2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8" w:type="dxa"/>
            <w:vAlign w:val="center"/>
          </w:tcPr>
          <w:p>
            <w:pPr>
              <w:keepNext w:val="0"/>
              <w:keepLines w:val="0"/>
              <w:pageBreakBefore w:val="0"/>
              <w:widowControl w:val="0"/>
              <w:kinsoku/>
              <w:wordWrap/>
              <w:overflowPunct/>
              <w:topLinePunct w:val="0"/>
              <w:autoSpaceDE/>
              <w:autoSpaceDN/>
              <w:bidi w:val="0"/>
              <w:adjustRightInd w:val="0"/>
              <w:snapToGrid w:val="0"/>
              <w:spacing w:line="560" w:lineRule="exact"/>
              <w:ind w:firstLine="640"/>
              <w:jc w:val="both"/>
              <w:textAlignment w:val="auto"/>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序</w:t>
            </w:r>
            <w:r>
              <w:rPr>
                <w:rFonts w:hint="default" w:ascii="Times New Roman" w:hAnsi="Times New Roman" w:cs="Times New Roman"/>
                <w:b/>
                <w:bCs w:val="0"/>
                <w:sz w:val="24"/>
                <w:szCs w:val="24"/>
                <w:lang w:val="en-US" w:eastAsia="zh-CN"/>
              </w:rPr>
              <w:t xml:space="preserve"> </w:t>
            </w:r>
            <w:r>
              <w:rPr>
                <w:rFonts w:hint="default" w:ascii="Times New Roman" w:hAnsi="Times New Roman" w:eastAsia="宋体" w:cs="Times New Roman"/>
                <w:b/>
                <w:bCs w:val="0"/>
                <w:sz w:val="24"/>
                <w:szCs w:val="24"/>
                <w:lang w:val="en-US" w:eastAsia="zh-CN"/>
              </w:rPr>
              <w:t>号</w:t>
            </w:r>
          </w:p>
        </w:tc>
        <w:tc>
          <w:tcPr>
            <w:tcW w:w="4126" w:type="dxa"/>
            <w:vAlign w:val="center"/>
          </w:tcPr>
          <w:p>
            <w:pPr>
              <w:keepNext w:val="0"/>
              <w:keepLines w:val="0"/>
              <w:pageBreakBefore w:val="0"/>
              <w:widowControl w:val="0"/>
              <w:kinsoku/>
              <w:wordWrap/>
              <w:overflowPunct/>
              <w:topLinePunct w:val="0"/>
              <w:autoSpaceDE/>
              <w:autoSpaceDN/>
              <w:bidi w:val="0"/>
              <w:adjustRightInd w:val="0"/>
              <w:snapToGrid w:val="0"/>
              <w:spacing w:line="560" w:lineRule="exact"/>
              <w:ind w:firstLine="640"/>
              <w:jc w:val="center"/>
              <w:textAlignment w:val="auto"/>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费用名称</w:t>
            </w:r>
          </w:p>
        </w:tc>
        <w:tc>
          <w:tcPr>
            <w:tcW w:w="2907" w:type="dxa"/>
            <w:vAlign w:val="center"/>
          </w:tcPr>
          <w:p>
            <w:pPr>
              <w:keepNext w:val="0"/>
              <w:keepLines w:val="0"/>
              <w:pageBreakBefore w:val="0"/>
              <w:widowControl w:val="0"/>
              <w:kinsoku/>
              <w:wordWrap/>
              <w:overflowPunct/>
              <w:topLinePunct w:val="0"/>
              <w:autoSpaceDE/>
              <w:autoSpaceDN/>
              <w:bidi w:val="0"/>
              <w:adjustRightInd w:val="0"/>
              <w:snapToGrid w:val="0"/>
              <w:spacing w:line="560" w:lineRule="exact"/>
              <w:ind w:firstLine="640"/>
              <w:jc w:val="center"/>
              <w:textAlignment w:val="auto"/>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金额</w:t>
            </w:r>
            <w:r>
              <w:rPr>
                <w:rFonts w:hint="default" w:ascii="Times New Roman" w:hAnsi="Times New Roman" w:cs="Times New Roman"/>
                <w:b/>
                <w:bCs w:val="0"/>
                <w:sz w:val="24"/>
                <w:szCs w:val="24"/>
                <w:lang w:val="en-US"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8" w:type="dxa"/>
            <w:vAlign w:val="center"/>
          </w:tcPr>
          <w:p>
            <w:pPr>
              <w:pageBreakBefore w:val="0"/>
              <w:widowControl w:val="0"/>
              <w:kinsoku/>
              <w:wordWrap/>
              <w:overflowPunct/>
              <w:topLinePunct w:val="0"/>
              <w:bidi w:val="0"/>
              <w:adjustRightInd w:val="0"/>
              <w:snapToGrid w:val="0"/>
              <w:spacing w:line="560" w:lineRule="exact"/>
              <w:ind w:firstLine="720" w:firstLineChars="300"/>
              <w:jc w:val="both"/>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1</w:t>
            </w:r>
          </w:p>
        </w:tc>
        <w:tc>
          <w:tcPr>
            <w:tcW w:w="4126"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存储运维设备费</w:t>
            </w:r>
          </w:p>
        </w:tc>
        <w:tc>
          <w:tcPr>
            <w:tcW w:w="2907"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8" w:type="dxa"/>
            <w:vAlign w:val="center"/>
          </w:tcPr>
          <w:p>
            <w:pPr>
              <w:pageBreakBefore w:val="0"/>
              <w:widowControl w:val="0"/>
              <w:kinsoku/>
              <w:wordWrap/>
              <w:overflowPunct/>
              <w:topLinePunct w:val="0"/>
              <w:bidi w:val="0"/>
              <w:adjustRightInd w:val="0"/>
              <w:snapToGrid w:val="0"/>
              <w:spacing w:line="560" w:lineRule="exact"/>
              <w:ind w:firstLine="720" w:firstLineChars="300"/>
              <w:jc w:val="both"/>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2</w:t>
            </w:r>
          </w:p>
        </w:tc>
        <w:tc>
          <w:tcPr>
            <w:tcW w:w="4126"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存储管理设备费</w:t>
            </w:r>
          </w:p>
        </w:tc>
        <w:tc>
          <w:tcPr>
            <w:tcW w:w="2907"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35.56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8" w:type="dxa"/>
            <w:vAlign w:val="center"/>
          </w:tcPr>
          <w:p>
            <w:pPr>
              <w:pageBreakBefore w:val="0"/>
              <w:widowControl w:val="0"/>
              <w:kinsoku/>
              <w:wordWrap/>
              <w:overflowPunct/>
              <w:topLinePunct w:val="0"/>
              <w:bidi w:val="0"/>
              <w:adjustRightInd w:val="0"/>
              <w:snapToGrid w:val="0"/>
              <w:spacing w:line="560" w:lineRule="exact"/>
              <w:ind w:firstLine="720" w:firstLineChars="300"/>
              <w:jc w:val="both"/>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3</w:t>
            </w:r>
          </w:p>
        </w:tc>
        <w:tc>
          <w:tcPr>
            <w:tcW w:w="4126"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存储节点费</w:t>
            </w:r>
          </w:p>
        </w:tc>
        <w:tc>
          <w:tcPr>
            <w:tcW w:w="2907"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148.50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8" w:type="dxa"/>
            <w:vAlign w:val="center"/>
          </w:tcPr>
          <w:p>
            <w:pPr>
              <w:pageBreakBefore w:val="0"/>
              <w:widowControl w:val="0"/>
              <w:kinsoku/>
              <w:wordWrap/>
              <w:overflowPunct/>
              <w:topLinePunct w:val="0"/>
              <w:bidi w:val="0"/>
              <w:adjustRightInd w:val="0"/>
              <w:snapToGrid w:val="0"/>
              <w:spacing w:line="560" w:lineRule="exact"/>
              <w:ind w:firstLine="720" w:firstLineChars="300"/>
              <w:jc w:val="both"/>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4</w:t>
            </w:r>
          </w:p>
        </w:tc>
        <w:tc>
          <w:tcPr>
            <w:tcW w:w="4126"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系统集成费</w:t>
            </w:r>
          </w:p>
        </w:tc>
        <w:tc>
          <w:tcPr>
            <w:tcW w:w="2907"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9</w:t>
            </w:r>
            <w:r>
              <w:rPr>
                <w:rFonts w:hint="eastAsia" w:cs="Times New Roman"/>
                <w:b w:val="0"/>
                <w:bCs/>
                <w:sz w:val="24"/>
                <w:szCs w:val="24"/>
                <w:vertAlign w:val="baseline"/>
                <w:lang w:val="en-US" w:eastAsia="zh-CN"/>
              </w:rPr>
              <w:t>.493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4" w:type="dxa"/>
            <w:gridSpan w:val="2"/>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bCs w:val="0"/>
                <w:sz w:val="24"/>
                <w:szCs w:val="24"/>
                <w:vertAlign w:val="baseline"/>
                <w:lang w:val="en-US" w:eastAsia="zh-CN"/>
              </w:rPr>
            </w:pPr>
            <w:r>
              <w:rPr>
                <w:rFonts w:hint="default" w:ascii="Times New Roman" w:hAnsi="Times New Roman" w:eastAsia="宋体" w:cs="Times New Roman"/>
                <w:b/>
                <w:bCs w:val="0"/>
                <w:sz w:val="24"/>
                <w:szCs w:val="24"/>
                <w:vertAlign w:val="baseline"/>
                <w:lang w:val="en-US" w:eastAsia="zh-CN"/>
              </w:rPr>
              <w:t>合计</w:t>
            </w:r>
          </w:p>
        </w:tc>
        <w:tc>
          <w:tcPr>
            <w:tcW w:w="2907"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bCs w:val="0"/>
                <w:sz w:val="24"/>
                <w:szCs w:val="24"/>
                <w:vertAlign w:val="baseline"/>
              </w:rPr>
            </w:pPr>
            <w:r>
              <w:rPr>
                <w:rFonts w:hint="default" w:ascii="Times New Roman" w:hAnsi="Times New Roman" w:eastAsia="宋体" w:cs="Times New Roman"/>
                <w:b/>
                <w:bCs w:val="0"/>
                <w:sz w:val="24"/>
                <w:szCs w:val="24"/>
                <w:vertAlign w:val="baseline"/>
                <w:lang w:val="en-US" w:eastAsia="zh-CN"/>
              </w:rPr>
              <w:t>199.353</w:t>
            </w:r>
          </w:p>
        </w:tc>
      </w:tr>
    </w:tbl>
    <w:p>
      <w:pPr>
        <w:pageBreakBefore w:val="0"/>
        <w:kinsoku/>
        <w:wordWrap/>
        <w:overflowPunct/>
        <w:topLinePunct w:val="0"/>
        <w:autoSpaceDE/>
        <w:autoSpaceDN/>
        <w:bidi w:val="0"/>
        <w:adjustRightInd w:val="0"/>
        <w:spacing w:line="600" w:lineRule="exact"/>
        <w:ind w:firstLine="640"/>
        <w:rPr>
          <w:rFonts w:hint="default" w:ascii="Times New Roman" w:hAnsi="Times New Roman" w:eastAsia="仿宋_GB2312" w:cs="Times New Roman"/>
          <w:bCs/>
          <w:sz w:val="32"/>
          <w:szCs w:val="32"/>
        </w:rPr>
      </w:pPr>
    </w:p>
    <w:p>
      <w:pPr>
        <w:pageBreakBefore w:val="0"/>
        <w:kinsoku/>
        <w:wordWrap/>
        <w:overflowPunct/>
        <w:topLinePunct w:val="0"/>
        <w:autoSpaceDE/>
        <w:autoSpaceDN/>
        <w:bidi w:val="0"/>
        <w:adjustRightInd w:val="0"/>
        <w:spacing w:line="600" w:lineRule="exact"/>
        <w:ind w:firstLine="640"/>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rPr>
        <w:t>评价分析认为：</w:t>
      </w:r>
      <w:r>
        <w:rPr>
          <w:rFonts w:hint="default" w:ascii="Times New Roman" w:hAnsi="Times New Roman" w:eastAsia="仿宋_GB2312" w:cs="Times New Roman"/>
          <w:bCs/>
          <w:sz w:val="32"/>
          <w:szCs w:val="32"/>
          <w:lang w:val="en-US" w:eastAsia="zh-CN"/>
        </w:rPr>
        <w:t>该项目于</w:t>
      </w:r>
      <w:r>
        <w:rPr>
          <w:rFonts w:hint="default" w:ascii="Times New Roman" w:hAnsi="Times New Roman" w:eastAsia="仿宋_GB2312" w:cs="Times New Roman"/>
          <w:bCs/>
          <w:sz w:val="32"/>
          <w:szCs w:val="32"/>
        </w:rPr>
        <w:t>2022年1月首钢技师学院通过公开招投标</w:t>
      </w:r>
      <w:r>
        <w:rPr>
          <w:rFonts w:hint="default" w:ascii="Times New Roman" w:hAnsi="Times New Roman" w:eastAsia="仿宋_GB2312" w:cs="Times New Roman"/>
          <w:bCs/>
          <w:sz w:val="32"/>
          <w:szCs w:val="32"/>
          <w:lang w:val="en-US" w:eastAsia="zh-CN"/>
        </w:rPr>
        <w:t>方式</w:t>
      </w:r>
      <w:r>
        <w:rPr>
          <w:rFonts w:hint="default" w:ascii="Times New Roman" w:hAnsi="Times New Roman" w:eastAsia="仿宋_GB2312" w:cs="Times New Roman"/>
          <w:bCs/>
          <w:sz w:val="32"/>
          <w:szCs w:val="32"/>
        </w:rPr>
        <w:t>确定北京游子金科技发展有限公司为项目设备采购供应商，中标金额为199.3</w:t>
      </w:r>
      <w:r>
        <w:rPr>
          <w:rFonts w:hint="default" w:ascii="Times New Roman" w:hAnsi="Times New Roman" w:eastAsia="仿宋_GB2312" w:cs="Times New Roman"/>
          <w:bCs/>
          <w:sz w:val="32"/>
          <w:szCs w:val="32"/>
          <w:lang w:val="en-US" w:eastAsia="zh-CN"/>
        </w:rPr>
        <w:t>6</w:t>
      </w:r>
      <w:r>
        <w:rPr>
          <w:rFonts w:hint="default" w:ascii="Times New Roman" w:hAnsi="Times New Roman" w:eastAsia="仿宋_GB2312" w:cs="Times New Roman"/>
          <w:bCs/>
          <w:sz w:val="32"/>
          <w:szCs w:val="32"/>
        </w:rPr>
        <w:t>万元。</w:t>
      </w:r>
      <w:r>
        <w:rPr>
          <w:rFonts w:hint="default" w:ascii="Times New Roman" w:hAnsi="Times New Roman" w:eastAsia="仿宋_GB2312" w:cs="Times New Roman"/>
          <w:bCs/>
          <w:sz w:val="32"/>
          <w:szCs w:val="32"/>
          <w:lang w:val="en-US" w:eastAsia="zh-CN"/>
        </w:rPr>
        <w:t>2022年3月4日支付合同首付款39.872万元，2022年4月18日支付尾款159.481万元。</w:t>
      </w:r>
    </w:p>
    <w:p>
      <w:pPr>
        <w:pageBreakBefore w:val="0"/>
        <w:kinsoku/>
        <w:wordWrap/>
        <w:overflowPunct/>
        <w:topLinePunct w:val="0"/>
        <w:autoSpaceDE/>
        <w:autoSpaceDN/>
        <w:bidi w:val="0"/>
        <w:adjustRightInd w:val="0"/>
        <w:spacing w:line="600" w:lineRule="exact"/>
        <w:ind w:firstLine="64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（2）资金管理情况</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该项目严格按照《关于印发〈首钢技师学院项目支出绩效管理实施细则</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试行</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〉的通知》（首技师发〔20</w:t>
      </w:r>
      <w:r>
        <w:rPr>
          <w:rFonts w:hint="default" w:ascii="Times New Roman" w:hAnsi="Times New Roman" w:eastAsia="仿宋_GB2312" w:cs="Times New Roman"/>
          <w:sz w:val="32"/>
          <w:szCs w:val="32"/>
          <w:highlight w:val="none"/>
          <w:lang w:val="en-US" w:eastAsia="zh-CN"/>
        </w:rPr>
        <w:t>22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79</w:t>
      </w:r>
      <w:r>
        <w:rPr>
          <w:rFonts w:hint="default" w:ascii="Times New Roman" w:hAnsi="Times New Roman" w:eastAsia="仿宋_GB2312" w:cs="Times New Roman"/>
          <w:sz w:val="32"/>
          <w:szCs w:val="32"/>
          <w:highlight w:val="none"/>
        </w:rPr>
        <w:t>号）、《关于印发〈首钢技师学院专项资金项目管理办法〉的通知》（首技师发〔20</w:t>
      </w:r>
      <w:r>
        <w:rPr>
          <w:rFonts w:hint="default" w:ascii="Times New Roman" w:hAnsi="Times New Roman" w:eastAsia="仿宋_GB2312" w:cs="Times New Roman"/>
          <w:sz w:val="32"/>
          <w:szCs w:val="32"/>
          <w:highlight w:val="none"/>
          <w:lang w:val="en-US" w:eastAsia="zh-CN"/>
        </w:rPr>
        <w:t>22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22</w:t>
      </w:r>
      <w:r>
        <w:rPr>
          <w:rFonts w:hint="default" w:ascii="Times New Roman" w:hAnsi="Times New Roman" w:eastAsia="仿宋_GB2312" w:cs="Times New Roman"/>
          <w:sz w:val="32"/>
          <w:szCs w:val="32"/>
          <w:highlight w:val="none"/>
        </w:rPr>
        <w:t>号）、《关于印发〈首钢技师学院专项资金项目管理实施细则〉的通知》（首技师发〔20</w:t>
      </w:r>
      <w:r>
        <w:rPr>
          <w:rFonts w:hint="default" w:ascii="Times New Roman" w:hAnsi="Times New Roman" w:eastAsia="仿宋_GB2312" w:cs="Times New Roman"/>
          <w:sz w:val="32"/>
          <w:szCs w:val="32"/>
          <w:highlight w:val="none"/>
          <w:lang w:val="en-US" w:eastAsia="zh-CN"/>
        </w:rPr>
        <w:t>22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23</w:t>
      </w:r>
      <w:r>
        <w:rPr>
          <w:rFonts w:hint="default" w:ascii="Times New Roman" w:hAnsi="Times New Roman" w:eastAsia="仿宋_GB2312" w:cs="Times New Roman"/>
          <w:sz w:val="32"/>
          <w:szCs w:val="32"/>
          <w:highlight w:val="none"/>
        </w:rPr>
        <w:t>号）中相关规定进行资金</w:t>
      </w:r>
      <w:r>
        <w:rPr>
          <w:rFonts w:hint="default" w:ascii="Times New Roman" w:hAnsi="Times New Roman" w:eastAsia="仿宋_GB2312" w:cs="Times New Roman"/>
          <w:sz w:val="32"/>
          <w:szCs w:val="32"/>
          <w:highlight w:val="none"/>
          <w:lang w:val="en-US" w:eastAsia="zh-CN"/>
        </w:rPr>
        <w:t>管理</w:t>
      </w:r>
      <w:r>
        <w:rPr>
          <w:rFonts w:hint="default" w:ascii="Times New Roman" w:hAnsi="Times New Roman" w:eastAsia="仿宋_GB2312" w:cs="Times New Roman"/>
          <w:sz w:val="32"/>
          <w:szCs w:val="32"/>
          <w:highlight w:val="none"/>
        </w:rPr>
        <w:t>。</w:t>
      </w:r>
    </w:p>
    <w:p>
      <w:pPr>
        <w:pageBreakBefore w:val="0"/>
        <w:kinsoku/>
        <w:wordWrap/>
        <w:overflowPunct/>
        <w:topLinePunct w:val="0"/>
        <w:autoSpaceDE/>
        <w:autoSpaceDN/>
        <w:bidi w:val="0"/>
        <w:adjustRightInd w:val="0"/>
        <w:spacing w:line="600" w:lineRule="exact"/>
        <w:ind w:firstLine="640"/>
        <w:rPr>
          <w:rFonts w:hint="default" w:ascii="Times New Roman" w:hAnsi="Times New Roman" w:eastAsia="宋体" w:cs="Times New Roman"/>
          <w:bCs/>
          <w:sz w:val="28"/>
          <w:szCs w:val="28"/>
          <w:lang w:val="en-US" w:eastAsia="zh-CN"/>
        </w:rPr>
      </w:pPr>
      <w:r>
        <w:rPr>
          <w:rFonts w:hint="default" w:ascii="Times New Roman" w:hAnsi="Times New Roman" w:eastAsia="仿宋_GB2312" w:cs="Times New Roman"/>
          <w:color w:val="000000"/>
          <w:kern w:val="0"/>
          <w:sz w:val="32"/>
          <w:szCs w:val="32"/>
          <w:highlight w:val="none"/>
        </w:rPr>
        <w:t>评价分析认为：</w:t>
      </w:r>
      <w:r>
        <w:rPr>
          <w:rFonts w:hint="default" w:ascii="Times New Roman" w:hAnsi="Times New Roman" w:eastAsia="仿宋_GB2312" w:cs="Times New Roman"/>
          <w:bCs/>
          <w:sz w:val="32"/>
          <w:szCs w:val="32"/>
          <w:highlight w:val="none"/>
        </w:rPr>
        <w:t>该项目费用支出按照</w:t>
      </w:r>
      <w:r>
        <w:rPr>
          <w:rFonts w:hint="default" w:ascii="Times New Roman" w:hAnsi="Times New Roman" w:eastAsia="仿宋_GB2312" w:cs="Times New Roman"/>
          <w:sz w:val="32"/>
          <w:szCs w:val="32"/>
          <w:highlight w:val="none"/>
          <w:lang w:val="en-US" w:eastAsia="zh-CN"/>
        </w:rPr>
        <w:t>首钢技师学院</w:t>
      </w:r>
      <w:r>
        <w:rPr>
          <w:rFonts w:hint="default" w:ascii="Times New Roman" w:hAnsi="Times New Roman" w:eastAsia="仿宋_GB2312" w:cs="Times New Roman"/>
          <w:bCs/>
          <w:sz w:val="32"/>
          <w:szCs w:val="32"/>
          <w:highlight w:val="none"/>
        </w:rPr>
        <w:t>有关财务制度执行，总体较为规范，但</w:t>
      </w:r>
      <w:r>
        <w:rPr>
          <w:rFonts w:hint="default" w:ascii="Times New Roman" w:hAnsi="Times New Roman" w:eastAsia="仿宋_GB2312" w:cs="Times New Roman"/>
          <w:bCs/>
          <w:sz w:val="32"/>
          <w:szCs w:val="32"/>
          <w:lang w:val="en-US" w:eastAsia="zh-CN"/>
        </w:rPr>
        <w:t>合同签订不及时。2022年1月24日</w:t>
      </w:r>
      <w:r>
        <w:rPr>
          <w:rFonts w:hint="eastAsia" w:eastAsia="仿宋_GB2312" w:cs="Times New Roman"/>
          <w:bCs/>
          <w:sz w:val="32"/>
          <w:szCs w:val="32"/>
          <w:lang w:val="en-US" w:eastAsia="zh-CN"/>
        </w:rPr>
        <w:t>公示的</w:t>
      </w:r>
      <w:r>
        <w:rPr>
          <w:rFonts w:hint="default" w:ascii="Times New Roman" w:hAnsi="Times New Roman" w:eastAsia="仿宋_GB2312" w:cs="Times New Roman"/>
          <w:bCs/>
          <w:sz w:val="32"/>
          <w:szCs w:val="32"/>
          <w:lang w:val="en-US" w:eastAsia="zh-CN"/>
        </w:rPr>
        <w:t>中标通知书约定“于中标通知书发出之日起30日内与采购人签订合同”，合同实际签订日期为2022年2月25日。</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highlight w:val="none"/>
        </w:rPr>
      </w:pPr>
      <w:r>
        <w:rPr>
          <w:rFonts w:hint="default" w:ascii="Times New Roman" w:hAnsi="Times New Roman" w:eastAsia="仿宋_GB2312" w:cs="Times New Roman"/>
          <w:b w:val="0"/>
          <w:bCs/>
          <w:sz w:val="32"/>
          <w:szCs w:val="32"/>
          <w:highlight w:val="none"/>
        </w:rPr>
        <w:t>2.项目组织实施情况评价分析</w:t>
      </w:r>
    </w:p>
    <w:p>
      <w:pPr>
        <w:pageBreakBefore w:val="0"/>
        <w:kinsoku/>
        <w:wordWrap/>
        <w:overflowPunct/>
        <w:topLinePunct w:val="0"/>
        <w:autoSpaceDE/>
        <w:autoSpaceDN/>
        <w:bidi w:val="0"/>
        <w:adjustRightInd w:val="0"/>
        <w:spacing w:line="600" w:lineRule="exact"/>
        <w:ind w:firstLine="640"/>
        <w:rPr>
          <w:rFonts w:hint="default" w:ascii="Times New Roman" w:hAnsi="Times New Roman" w:eastAsia="仿宋_GB2312" w:cs="Times New Roman"/>
          <w:bCs/>
          <w:sz w:val="32"/>
          <w:szCs w:val="32"/>
          <w:highlight w:val="none"/>
        </w:rPr>
      </w:pPr>
      <w:r>
        <w:rPr>
          <w:rFonts w:hint="default" w:ascii="Times New Roman" w:hAnsi="Times New Roman" w:eastAsia="仿宋_GB2312" w:cs="Times New Roman"/>
          <w:bCs/>
          <w:sz w:val="32"/>
          <w:szCs w:val="32"/>
          <w:highlight w:val="none"/>
        </w:rPr>
        <w:t>（1）管理制度健全性</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bCs/>
          <w:sz w:val="32"/>
          <w:szCs w:val="32"/>
          <w:highlight w:val="none"/>
        </w:rPr>
        <w:t>该项目主要依据</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首钢技师学院内部控制手册》</w:t>
      </w:r>
      <w:r>
        <w:rPr>
          <w:rFonts w:hint="default" w:ascii="Times New Roman" w:hAnsi="Times New Roman" w:eastAsia="仿宋_GB2312" w:cs="Times New Roman"/>
          <w:bCs/>
          <w:sz w:val="32"/>
          <w:szCs w:val="32"/>
          <w:highlight w:val="none"/>
        </w:rPr>
        <w:t>《</w:t>
      </w:r>
      <w:r>
        <w:rPr>
          <w:rFonts w:hint="default" w:ascii="Times New Roman" w:hAnsi="Times New Roman" w:eastAsia="仿宋_GB2312" w:cs="Times New Roman"/>
          <w:sz w:val="32"/>
          <w:szCs w:val="32"/>
          <w:highlight w:val="none"/>
        </w:rPr>
        <w:t>首钢技师学院专项资金项目管理办法</w:t>
      </w:r>
      <w:r>
        <w:rPr>
          <w:rFonts w:hint="default" w:ascii="Times New Roman" w:hAnsi="Times New Roman" w:eastAsia="仿宋_GB2312" w:cs="Times New Roman"/>
          <w:bCs/>
          <w:sz w:val="32"/>
          <w:szCs w:val="32"/>
          <w:highlight w:val="none"/>
        </w:rPr>
        <w:t>》《</w:t>
      </w:r>
      <w:r>
        <w:rPr>
          <w:rFonts w:hint="default" w:ascii="Times New Roman" w:hAnsi="Times New Roman" w:eastAsia="仿宋_GB2312" w:cs="Times New Roman"/>
          <w:sz w:val="32"/>
          <w:szCs w:val="32"/>
          <w:highlight w:val="none"/>
        </w:rPr>
        <w:t>首钢技师学院专项资金项目管理实施细则</w:t>
      </w:r>
      <w:r>
        <w:rPr>
          <w:rFonts w:hint="default" w:ascii="Times New Roman" w:hAnsi="Times New Roman" w:eastAsia="仿宋_GB2312" w:cs="Times New Roman"/>
          <w:bCs/>
          <w:sz w:val="32"/>
          <w:szCs w:val="32"/>
          <w:highlight w:val="none"/>
        </w:rPr>
        <w:t>》</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sz w:val="32"/>
          <w:szCs w:val="32"/>
          <w:highlight w:val="none"/>
          <w:lang w:val="en-US" w:eastAsia="zh-CN"/>
        </w:rPr>
        <w:t>首钢技师学院固定资产管理办法》</w:t>
      </w:r>
      <w:r>
        <w:rPr>
          <w:rFonts w:hint="default" w:ascii="Times New Roman" w:hAnsi="Times New Roman" w:eastAsia="仿宋_GB2312" w:cs="Times New Roman"/>
          <w:bCs/>
          <w:sz w:val="32"/>
          <w:szCs w:val="32"/>
          <w:highlight w:val="none"/>
        </w:rPr>
        <w:t>等</w:t>
      </w:r>
      <w:r>
        <w:rPr>
          <w:rFonts w:hint="default" w:ascii="Times New Roman" w:hAnsi="Times New Roman" w:eastAsia="仿宋_GB2312" w:cs="Times New Roman"/>
          <w:color w:val="000000"/>
          <w:kern w:val="0"/>
          <w:sz w:val="32"/>
          <w:szCs w:val="32"/>
          <w:highlight w:val="none"/>
          <w:lang w:val="en-US" w:eastAsia="zh-CN"/>
        </w:rPr>
        <w:t>相关制度进行项目管理</w:t>
      </w:r>
      <w:r>
        <w:rPr>
          <w:rFonts w:hint="default" w:ascii="Times New Roman" w:hAnsi="Times New Roman" w:eastAsia="仿宋_GB2312" w:cs="Times New Roman"/>
          <w:color w:val="000000"/>
          <w:kern w:val="0"/>
          <w:sz w:val="32"/>
          <w:szCs w:val="32"/>
          <w:highlight w:val="none"/>
        </w:rPr>
        <w:t>。</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000000"/>
          <w:kern w:val="0"/>
          <w:sz w:val="32"/>
          <w:szCs w:val="32"/>
          <w:highlight w:val="none"/>
        </w:rPr>
        <w:t>评价分析认为：</w:t>
      </w:r>
      <w:r>
        <w:rPr>
          <w:rFonts w:hint="default" w:ascii="Times New Roman" w:hAnsi="Times New Roman" w:eastAsia="仿宋_GB2312" w:cs="Times New Roman"/>
          <w:sz w:val="32"/>
          <w:szCs w:val="32"/>
          <w:highlight w:val="none"/>
          <w:lang w:val="en-US" w:eastAsia="zh-CN"/>
        </w:rPr>
        <w:t>首钢技师学院从项目管理、预算管理、收支管理、政府采购管理、资产管理、以及合同管理等方面制定了各项制度，完善了单位和业务层面的内部控制体系建设，为项目顺利实施提供了制度保障。</w:t>
      </w:r>
    </w:p>
    <w:p>
      <w:pPr>
        <w:pageBreakBefore w:val="0"/>
        <w:kinsoku/>
        <w:wordWrap/>
        <w:overflowPunct/>
        <w:topLinePunct w:val="0"/>
        <w:autoSpaceDE/>
        <w:autoSpaceDN/>
        <w:bidi w:val="0"/>
        <w:adjustRightInd w:val="0"/>
        <w:spacing w:line="600" w:lineRule="exact"/>
        <w:ind w:firstLine="640"/>
        <w:rPr>
          <w:rFonts w:hint="default" w:ascii="Times New Roman" w:hAnsi="Times New Roman" w:eastAsia="仿宋_GB2312" w:cs="Times New Roman"/>
          <w:bCs/>
          <w:sz w:val="32"/>
          <w:szCs w:val="32"/>
          <w:highlight w:val="none"/>
        </w:rPr>
      </w:pPr>
      <w:r>
        <w:rPr>
          <w:rFonts w:hint="default" w:ascii="Times New Roman" w:hAnsi="Times New Roman" w:eastAsia="仿宋_GB2312" w:cs="Times New Roman"/>
          <w:bCs/>
          <w:sz w:val="32"/>
          <w:szCs w:val="32"/>
          <w:highlight w:val="none"/>
        </w:rPr>
        <w:t>（2）制度执行有效性</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为保障项目的完成质量，首钢技师学院</w:t>
      </w:r>
      <w:r>
        <w:rPr>
          <w:rFonts w:hint="default" w:ascii="Times New Roman" w:hAnsi="Times New Roman" w:eastAsia="仿宋_GB2312" w:cs="Times New Roman"/>
          <w:color w:val="000000"/>
          <w:kern w:val="0"/>
          <w:sz w:val="32"/>
          <w:szCs w:val="32"/>
          <w:highlight w:val="none"/>
          <w:lang w:val="en-US" w:eastAsia="zh-CN"/>
        </w:rPr>
        <w:t>制定了</w:t>
      </w:r>
      <w:r>
        <w:rPr>
          <w:rFonts w:hint="default" w:ascii="Times New Roman" w:hAnsi="Times New Roman" w:eastAsia="仿宋_GB2312" w:cs="Times New Roman"/>
          <w:color w:val="000000"/>
          <w:kern w:val="0"/>
          <w:sz w:val="32"/>
          <w:szCs w:val="32"/>
          <w:highlight w:val="none"/>
        </w:rPr>
        <w:t>《</w:t>
      </w:r>
      <w:r>
        <w:rPr>
          <w:rFonts w:hint="default" w:ascii="Times New Roman" w:hAnsi="Times New Roman" w:eastAsia="仿宋_GB2312" w:cs="Times New Roman"/>
          <w:sz w:val="32"/>
          <w:szCs w:val="32"/>
          <w:highlight w:val="none"/>
          <w:lang w:val="en-US" w:eastAsia="zh-CN"/>
        </w:rPr>
        <w:t>首钢技师学院视频监控存储设备升级改造其他存储设备采购项目实施方案》，方案明确了实施内容、实施进度安排、人员安排、预算及测算依据、设施条件、管理制度、培训等内容，一定程度能够指导项目的实施。</w:t>
      </w:r>
    </w:p>
    <w:p>
      <w:pPr>
        <w:pStyle w:val="3"/>
        <w:keepNext/>
        <w:keepLines/>
        <w:pageBreakBefore w:val="0"/>
        <w:widowControl w:val="0"/>
        <w:kinsoku/>
        <w:wordWrap/>
        <w:overflowPunct/>
        <w:topLinePunct w:val="0"/>
        <w:autoSpaceDE/>
        <w:autoSpaceDN/>
        <w:bidi w:val="0"/>
        <w:adjustRightInd/>
        <w:snapToGrid/>
        <w:spacing w:before="0" w:after="0" w:line="600" w:lineRule="exact"/>
        <w:ind w:left="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color w:val="000000"/>
          <w:kern w:val="0"/>
          <w:sz w:val="32"/>
          <w:szCs w:val="32"/>
          <w:highlight w:val="none"/>
        </w:rPr>
        <w:t>评价分析认为：该项目实施方案不完整、细化，</w:t>
      </w:r>
      <w:bookmarkStart w:id="118" w:name="_Hlk134614332"/>
      <w:r>
        <w:rPr>
          <w:rFonts w:hint="default" w:ascii="Times New Roman" w:hAnsi="Times New Roman" w:eastAsia="仿宋_GB2312" w:cs="Times New Roman"/>
          <w:color w:val="000000"/>
          <w:kern w:val="0"/>
          <w:sz w:val="32"/>
          <w:szCs w:val="32"/>
          <w:highlight w:val="none"/>
        </w:rPr>
        <w:t>项目预算及测算依据</w:t>
      </w:r>
      <w:bookmarkEnd w:id="118"/>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rPr>
        <w:t>资金分配、进度安排、成本控制等</w:t>
      </w:r>
      <w:r>
        <w:rPr>
          <w:rFonts w:hint="default" w:ascii="Times New Roman" w:hAnsi="Times New Roman" w:eastAsia="仿宋_GB2312" w:cs="Times New Roman"/>
          <w:color w:val="000000"/>
          <w:kern w:val="0"/>
          <w:sz w:val="32"/>
          <w:szCs w:val="32"/>
          <w:highlight w:val="none"/>
          <w:lang w:val="en-US" w:eastAsia="zh-CN"/>
        </w:rPr>
        <w:t>内容</w:t>
      </w:r>
      <w:r>
        <w:rPr>
          <w:rFonts w:hint="default" w:ascii="Times New Roman" w:hAnsi="Times New Roman" w:eastAsia="仿宋_GB2312" w:cs="Times New Roman"/>
          <w:color w:val="000000"/>
          <w:kern w:val="0"/>
          <w:sz w:val="32"/>
          <w:szCs w:val="32"/>
          <w:highlight w:val="none"/>
        </w:rPr>
        <w:t>均不明确，未体现项目的统筹</w:t>
      </w:r>
      <w:r>
        <w:rPr>
          <w:rFonts w:hint="default" w:ascii="Times New Roman" w:hAnsi="Times New Roman" w:eastAsia="仿宋_GB2312" w:cs="Times New Roman"/>
          <w:color w:val="000000"/>
          <w:kern w:val="0"/>
          <w:sz w:val="32"/>
          <w:szCs w:val="32"/>
          <w:highlight w:val="none"/>
          <w:lang w:val="en-US" w:eastAsia="zh-CN"/>
        </w:rPr>
        <w:t>资金</w:t>
      </w:r>
      <w:r>
        <w:rPr>
          <w:rFonts w:hint="default" w:ascii="Times New Roman" w:hAnsi="Times New Roman" w:eastAsia="仿宋_GB2312" w:cs="Times New Roman"/>
          <w:color w:val="000000"/>
          <w:kern w:val="0"/>
          <w:sz w:val="32"/>
          <w:szCs w:val="32"/>
          <w:highlight w:val="none"/>
        </w:rPr>
        <w:t>安排，不利于有序推进项目的实施。</w:t>
      </w:r>
    </w:p>
    <w:bookmarkEnd w:id="109"/>
    <w:p>
      <w:pPr>
        <w:pStyle w:val="4"/>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楷体_GB2312" w:cs="Times New Roman"/>
          <w:bCs w:val="0"/>
          <w:sz w:val="32"/>
          <w:lang w:val="en-US" w:eastAsia="zh-CN"/>
        </w:rPr>
      </w:pPr>
      <w:bookmarkStart w:id="119" w:name="_Toc14621"/>
      <w:bookmarkStart w:id="120" w:name="_Toc25021723"/>
      <w:bookmarkStart w:id="121" w:name="_Toc14405"/>
      <w:bookmarkStart w:id="122" w:name="_Toc14613"/>
      <w:bookmarkStart w:id="123" w:name="_Toc1092192230_WPSOffice_Level2"/>
      <w:bookmarkStart w:id="124" w:name="_Toc13763"/>
      <w:bookmarkStart w:id="125" w:name="_Toc26879"/>
      <w:bookmarkStart w:id="126" w:name="_Toc19157"/>
      <w:bookmarkStart w:id="127" w:name="_Toc4876"/>
      <w:r>
        <w:rPr>
          <w:rFonts w:hint="default" w:ascii="Times New Roman" w:hAnsi="Times New Roman" w:eastAsia="楷体_GB2312" w:cs="Times New Roman"/>
          <w:bCs w:val="0"/>
          <w:sz w:val="32"/>
          <w:lang w:eastAsia="zh-CN"/>
        </w:rPr>
        <w:t>（</w:t>
      </w:r>
      <w:r>
        <w:rPr>
          <w:rFonts w:hint="default" w:ascii="Times New Roman" w:hAnsi="Times New Roman" w:eastAsia="楷体_GB2312" w:cs="Times New Roman"/>
          <w:bCs w:val="0"/>
          <w:sz w:val="32"/>
          <w:lang w:val="en-US" w:eastAsia="zh-CN"/>
        </w:rPr>
        <w:t>三</w:t>
      </w:r>
      <w:r>
        <w:rPr>
          <w:rFonts w:hint="default" w:ascii="Times New Roman" w:hAnsi="Times New Roman" w:eastAsia="楷体_GB2312" w:cs="Times New Roman"/>
          <w:bCs w:val="0"/>
          <w:sz w:val="32"/>
          <w:lang w:eastAsia="zh-CN"/>
        </w:rPr>
        <w:t>）</w:t>
      </w:r>
      <w:r>
        <w:rPr>
          <w:rFonts w:hint="default" w:ascii="Times New Roman" w:hAnsi="Times New Roman" w:eastAsia="楷体_GB2312" w:cs="Times New Roman"/>
          <w:bCs w:val="0"/>
          <w:sz w:val="32"/>
        </w:rPr>
        <w:t>项目产出</w:t>
      </w:r>
      <w:r>
        <w:rPr>
          <w:rFonts w:hint="default" w:ascii="Times New Roman" w:hAnsi="Times New Roman" w:eastAsia="楷体_GB2312" w:cs="Times New Roman"/>
          <w:bCs w:val="0"/>
          <w:sz w:val="32"/>
          <w:lang w:val="en-US" w:eastAsia="zh-CN"/>
        </w:rPr>
        <w:t>情况</w:t>
      </w:r>
      <w:bookmarkEnd w:id="119"/>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lang w:val="en-US" w:eastAsia="zh-CN"/>
        </w:rPr>
        <w:t>1</w:t>
      </w:r>
      <w:r>
        <w:rPr>
          <w:rFonts w:hint="default" w:ascii="Times New Roman" w:hAnsi="Times New Roman" w:eastAsia="仿宋_GB2312" w:cs="Times New Roman"/>
          <w:b w:val="0"/>
          <w:bCs/>
          <w:sz w:val="32"/>
          <w:szCs w:val="32"/>
        </w:rPr>
        <w:t>.项目经济性分析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bCs/>
          <w:sz w:val="28"/>
          <w:szCs w:val="28"/>
        </w:rPr>
      </w:pPr>
      <w:r>
        <w:rPr>
          <w:rFonts w:hint="default" w:ascii="Times New Roman" w:hAnsi="Times New Roman" w:eastAsia="仿宋_GB2312" w:cs="Times New Roman"/>
          <w:color w:val="000000"/>
          <w:kern w:val="0"/>
          <w:sz w:val="32"/>
          <w:szCs w:val="32"/>
          <w:highlight w:val="none"/>
        </w:rPr>
        <w:t>2021年12月1日，首钢技师学院申报该项目申请预算金额为206.26万元。2021年12月6日，首钢技师学院</w:t>
      </w:r>
      <w:r>
        <w:rPr>
          <w:rFonts w:hint="default" w:ascii="Times New Roman" w:hAnsi="Times New Roman" w:eastAsia="仿宋_GB2312" w:cs="Times New Roman"/>
          <w:color w:val="000000"/>
          <w:kern w:val="0"/>
          <w:sz w:val="32"/>
          <w:szCs w:val="32"/>
          <w:highlight w:val="none"/>
          <w:lang w:val="en-US" w:eastAsia="zh-CN"/>
        </w:rPr>
        <w:t>委托</w:t>
      </w:r>
      <w:r>
        <w:rPr>
          <w:rFonts w:hint="default" w:ascii="Times New Roman" w:hAnsi="Times New Roman" w:eastAsia="仿宋_GB2312" w:cs="Times New Roman"/>
          <w:color w:val="000000"/>
          <w:kern w:val="0"/>
          <w:sz w:val="32"/>
          <w:szCs w:val="32"/>
          <w:highlight w:val="none"/>
        </w:rPr>
        <w:t>北京国信德安会计师事务所</w:t>
      </w:r>
      <w:r>
        <w:rPr>
          <w:rFonts w:hint="default" w:ascii="Times New Roman" w:hAnsi="Times New Roman" w:eastAsia="仿宋_GB2312" w:cs="Times New Roman"/>
          <w:color w:val="000000"/>
          <w:kern w:val="0"/>
          <w:sz w:val="32"/>
          <w:szCs w:val="32"/>
          <w:highlight w:val="none"/>
          <w:lang w:val="en-US" w:eastAsia="zh-CN"/>
        </w:rPr>
        <w:t>进行预算评审，</w:t>
      </w:r>
      <w:r>
        <w:rPr>
          <w:rFonts w:hint="default" w:ascii="Times New Roman" w:hAnsi="Times New Roman" w:eastAsia="仿宋_GB2312" w:cs="Times New Roman"/>
          <w:color w:val="000000"/>
          <w:kern w:val="0"/>
          <w:sz w:val="32"/>
          <w:szCs w:val="32"/>
          <w:highlight w:val="none"/>
        </w:rPr>
        <w:t>出具了国信德安核字</w:t>
      </w:r>
      <w:r>
        <w:rPr>
          <w:rFonts w:hint="default" w:ascii="Times New Roman" w:hAnsi="Times New Roman" w:eastAsia="仿宋_GB2312" w:cs="Times New Roman"/>
          <w:sz w:val="32"/>
          <w:szCs w:val="32"/>
          <w:highlight w:val="none"/>
        </w:rPr>
        <w:t>〔20</w:t>
      </w:r>
      <w:r>
        <w:rPr>
          <w:rFonts w:hint="default" w:ascii="Times New Roman" w:hAnsi="Times New Roman" w:eastAsia="仿宋_GB2312" w:cs="Times New Roman"/>
          <w:sz w:val="32"/>
          <w:szCs w:val="32"/>
          <w:highlight w:val="none"/>
          <w:lang w:val="en-US" w:eastAsia="zh-CN"/>
        </w:rPr>
        <w:t>21</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color w:val="000000"/>
          <w:kern w:val="0"/>
          <w:sz w:val="32"/>
          <w:szCs w:val="32"/>
          <w:highlight w:val="none"/>
        </w:rPr>
        <w:t>第114号评审报告，审定预算205.91万元，审减预算0.35万元，审减比例0.17%。截至 202</w:t>
      </w:r>
      <w:r>
        <w:rPr>
          <w:rFonts w:hint="default" w:ascii="Times New Roman" w:hAnsi="Times New Roman" w:eastAsia="仿宋_GB2312" w:cs="Times New Roman"/>
          <w:color w:val="000000"/>
          <w:kern w:val="0"/>
          <w:sz w:val="32"/>
          <w:szCs w:val="32"/>
          <w:highlight w:val="none"/>
          <w:lang w:val="en-US" w:eastAsia="zh-CN"/>
        </w:rPr>
        <w:t>2</w:t>
      </w:r>
      <w:r>
        <w:rPr>
          <w:rFonts w:hint="default" w:ascii="Times New Roman" w:hAnsi="Times New Roman" w:eastAsia="仿宋_GB2312" w:cs="Times New Roman"/>
          <w:color w:val="000000"/>
          <w:kern w:val="0"/>
          <w:sz w:val="32"/>
          <w:szCs w:val="32"/>
          <w:highlight w:val="none"/>
        </w:rPr>
        <w:t>年12月31日，共计支出199.353元，预算执行率为9</w:t>
      </w:r>
      <w:r>
        <w:rPr>
          <w:rFonts w:hint="default" w:ascii="Times New Roman" w:hAnsi="Times New Roman" w:eastAsia="仿宋_GB2312" w:cs="Times New Roman"/>
          <w:color w:val="000000"/>
          <w:kern w:val="0"/>
          <w:sz w:val="32"/>
          <w:szCs w:val="32"/>
          <w:highlight w:val="none"/>
          <w:lang w:val="en-US" w:eastAsia="zh-CN"/>
        </w:rPr>
        <w:t>6.82</w:t>
      </w:r>
      <w:r>
        <w:rPr>
          <w:rFonts w:hint="default" w:ascii="Times New Roman" w:hAnsi="Times New Roman" w:eastAsia="仿宋_GB2312" w:cs="Times New Roman"/>
          <w:color w:val="000000"/>
          <w:kern w:val="0"/>
          <w:sz w:val="32"/>
          <w:szCs w:val="32"/>
          <w:highlight w:val="none"/>
        </w:rPr>
        <w:t>%。</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rPr>
      </w:pPr>
      <w:r>
        <w:rPr>
          <w:rFonts w:hint="default" w:ascii="Times New Roman" w:hAnsi="Times New Roman" w:eastAsia="仿宋_GB2312" w:cs="Times New Roman"/>
          <w:color w:val="000000"/>
          <w:kern w:val="0"/>
          <w:sz w:val="32"/>
          <w:szCs w:val="32"/>
          <w:highlight w:val="none"/>
        </w:rPr>
        <w:t>评价分析认为：该项目</w:t>
      </w:r>
      <w:r>
        <w:rPr>
          <w:rFonts w:hint="eastAsia" w:ascii="Times New Roman" w:hAnsi="Times New Roman" w:eastAsia="仿宋_GB2312" w:cs="Times New Roman"/>
          <w:color w:val="000000"/>
          <w:kern w:val="0"/>
          <w:sz w:val="32"/>
          <w:szCs w:val="32"/>
          <w:highlight w:val="none"/>
          <w:lang w:val="en-US" w:eastAsia="zh-CN"/>
        </w:rPr>
        <w:t>经预算评审</w:t>
      </w:r>
      <w:r>
        <w:rPr>
          <w:rFonts w:hint="default" w:ascii="Times New Roman" w:hAnsi="Times New Roman" w:eastAsia="仿宋_GB2312" w:cs="Times New Roman"/>
          <w:color w:val="000000"/>
          <w:kern w:val="0"/>
          <w:sz w:val="32"/>
          <w:szCs w:val="32"/>
          <w:highlight w:val="none"/>
        </w:rPr>
        <w:t>审减金额0.35万元</w:t>
      </w:r>
      <w:r>
        <w:rPr>
          <w:rFonts w:hint="default"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rPr>
        <w:t>审减率为0.</w:t>
      </w:r>
      <w:r>
        <w:rPr>
          <w:rFonts w:hint="default" w:ascii="Times New Roman" w:hAnsi="Times New Roman" w:eastAsia="仿宋_GB2312" w:cs="Times New Roman"/>
          <w:color w:val="000000"/>
          <w:kern w:val="0"/>
          <w:sz w:val="32"/>
          <w:szCs w:val="32"/>
          <w:highlight w:val="none"/>
          <w:lang w:val="en-US" w:eastAsia="zh-CN"/>
        </w:rPr>
        <w:t>17</w:t>
      </w:r>
      <w:r>
        <w:rPr>
          <w:rFonts w:hint="default" w:ascii="Times New Roman" w:hAnsi="Times New Roman" w:eastAsia="仿宋_GB2312" w:cs="Times New Roman"/>
          <w:color w:val="000000"/>
          <w:kern w:val="0"/>
          <w:sz w:val="32"/>
          <w:szCs w:val="32"/>
          <w:highlight w:val="none"/>
        </w:rPr>
        <w:t>%</w:t>
      </w:r>
      <w:r>
        <w:rPr>
          <w:rFonts w:hint="eastAsia"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lang w:val="en-US" w:eastAsia="zh-CN"/>
        </w:rPr>
        <w:t>该项目批复预算金额为205.91万元，实际完成投资199.353万元，节约资金6.557万元，节约比例3.18%，项目经济性良好。</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.项目效率性分析</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Cs/>
          <w:sz w:val="32"/>
          <w:szCs w:val="32"/>
          <w:highlight w:val="none"/>
          <w:lang w:eastAsia="zh-CN"/>
        </w:rPr>
      </w:pPr>
      <w:r>
        <w:rPr>
          <w:rFonts w:hint="default" w:ascii="Times New Roman" w:hAnsi="Times New Roman" w:eastAsia="仿宋_GB2312" w:cs="Times New Roman"/>
          <w:color w:val="000000"/>
          <w:kern w:val="0"/>
          <w:sz w:val="32"/>
          <w:szCs w:val="32"/>
          <w:highlight w:val="none"/>
        </w:rPr>
        <w:t>该项目</w:t>
      </w:r>
      <w:r>
        <w:rPr>
          <w:rFonts w:hint="default" w:ascii="Times New Roman" w:hAnsi="Times New Roman" w:eastAsia="仿宋_GB2312" w:cs="Times New Roman"/>
          <w:color w:val="000000"/>
          <w:kern w:val="0"/>
          <w:sz w:val="32"/>
          <w:szCs w:val="32"/>
          <w:highlight w:val="none"/>
          <w:lang w:val="en-US" w:eastAsia="zh-CN"/>
        </w:rPr>
        <w:t>于2022年1月24日完成政府采购招标，</w:t>
      </w:r>
      <w:r>
        <w:rPr>
          <w:rFonts w:hint="default" w:ascii="Times New Roman" w:hAnsi="Times New Roman" w:eastAsia="仿宋_GB2312" w:cs="Times New Roman"/>
          <w:bCs/>
          <w:sz w:val="32"/>
          <w:szCs w:val="32"/>
          <w:highlight w:val="none"/>
        </w:rPr>
        <w:t>2022年3月</w:t>
      </w:r>
      <w:r>
        <w:rPr>
          <w:rFonts w:hint="default" w:ascii="Times New Roman" w:hAnsi="Times New Roman" w:eastAsia="仿宋_GB2312" w:cs="Times New Roman"/>
          <w:bCs/>
          <w:sz w:val="32"/>
          <w:szCs w:val="32"/>
          <w:highlight w:val="none"/>
          <w:lang w:val="en-US" w:eastAsia="zh-CN"/>
        </w:rPr>
        <w:t>4</w:t>
      </w:r>
      <w:r>
        <w:rPr>
          <w:rFonts w:hint="default" w:ascii="Times New Roman" w:hAnsi="Times New Roman" w:eastAsia="仿宋_GB2312" w:cs="Times New Roman"/>
          <w:bCs/>
          <w:sz w:val="32"/>
          <w:szCs w:val="32"/>
          <w:highlight w:val="none"/>
        </w:rPr>
        <w:t>日</w:t>
      </w:r>
      <w:r>
        <w:rPr>
          <w:rFonts w:hint="default" w:ascii="Times New Roman" w:hAnsi="Times New Roman" w:eastAsia="仿宋_GB2312" w:cs="Times New Roman"/>
          <w:bCs/>
          <w:sz w:val="32"/>
          <w:szCs w:val="32"/>
          <w:highlight w:val="none"/>
          <w:lang w:val="en-US" w:eastAsia="zh-CN"/>
        </w:rPr>
        <w:t>设备到位，</w:t>
      </w:r>
      <w:r>
        <w:rPr>
          <w:rFonts w:hint="default" w:ascii="Times New Roman" w:hAnsi="Times New Roman" w:eastAsia="仿宋_GB2312" w:cs="Times New Roman"/>
          <w:bCs/>
          <w:sz w:val="32"/>
          <w:szCs w:val="32"/>
          <w:highlight w:val="none"/>
        </w:rPr>
        <w:t>2022年3月23日完成存储运维设备、存储管理设备、存储节点的资产采购验收。</w:t>
      </w:r>
      <w:r>
        <w:rPr>
          <w:rFonts w:hint="default" w:ascii="Times New Roman" w:hAnsi="Times New Roman" w:eastAsia="仿宋_GB2312" w:cs="Times New Roman"/>
          <w:bCs/>
          <w:sz w:val="32"/>
          <w:szCs w:val="32"/>
          <w:highlight w:val="none"/>
          <w:lang w:val="en-US" w:eastAsia="zh-CN"/>
        </w:rPr>
        <w:t>2022年4月8日完成</w:t>
      </w:r>
      <w:r>
        <w:rPr>
          <w:rFonts w:hint="default" w:ascii="Times New Roman" w:hAnsi="Times New Roman" w:eastAsia="仿宋_GB2312" w:cs="Times New Roman"/>
          <w:bCs/>
          <w:sz w:val="32"/>
          <w:szCs w:val="32"/>
          <w:highlight w:val="none"/>
        </w:rPr>
        <w:t>关于首钢技师学院视频监控存储设备升级改造项目决算评审</w:t>
      </w:r>
      <w:r>
        <w:rPr>
          <w:rFonts w:hint="default" w:ascii="Times New Roman" w:hAnsi="Times New Roman" w:eastAsia="仿宋_GB2312" w:cs="Times New Roman"/>
          <w:bCs/>
          <w:sz w:val="32"/>
          <w:szCs w:val="32"/>
          <w:highlight w:val="none"/>
          <w:lang w:eastAsia="zh-CN"/>
        </w:rPr>
        <w:t>。</w:t>
      </w:r>
    </w:p>
    <w:p>
      <w:pPr>
        <w:pStyle w:val="3"/>
        <w:keepNext/>
        <w:keepLines/>
        <w:pageBreakBefore w:val="0"/>
        <w:widowControl w:val="0"/>
        <w:kinsoku/>
        <w:wordWrap/>
        <w:overflowPunct/>
        <w:topLinePunct w:val="0"/>
        <w:autoSpaceDE/>
        <w:autoSpaceDN/>
        <w:bidi w:val="0"/>
        <w:adjustRightInd/>
        <w:snapToGrid/>
        <w:spacing w:before="0" w:after="0" w:line="600" w:lineRule="exact"/>
        <w:ind w:left="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color w:val="000000"/>
          <w:kern w:val="0"/>
          <w:sz w:val="32"/>
          <w:szCs w:val="32"/>
          <w:highlight w:val="none"/>
        </w:rPr>
        <w:t>评价分析认为：该项目未严格按照</w:t>
      </w:r>
      <w:r>
        <w:rPr>
          <w:rFonts w:hint="default" w:ascii="Times New Roman" w:hAnsi="Times New Roman" w:eastAsia="仿宋_GB2312" w:cs="Times New Roman"/>
          <w:color w:val="000000"/>
          <w:kern w:val="0"/>
          <w:sz w:val="32"/>
          <w:szCs w:val="32"/>
          <w:highlight w:val="none"/>
          <w:lang w:val="en-US" w:eastAsia="zh-CN"/>
        </w:rPr>
        <w:t>绩效目标申报表规定的时间完成</w:t>
      </w:r>
      <w:r>
        <w:rPr>
          <w:rFonts w:hint="default" w:ascii="Times New Roman" w:hAnsi="Times New Roman" w:eastAsia="仿宋_GB2312" w:cs="Times New Roman"/>
          <w:color w:val="000000"/>
          <w:kern w:val="0"/>
          <w:sz w:val="32"/>
          <w:szCs w:val="32"/>
          <w:highlight w:val="none"/>
        </w:rPr>
        <w:t>，实际执行进度较预期目标有所延迟。</w:t>
      </w:r>
      <w:r>
        <w:rPr>
          <w:rFonts w:hint="default" w:ascii="Times New Roman" w:hAnsi="Times New Roman" w:eastAsia="仿宋_GB2312" w:cs="Times New Roman"/>
          <w:color w:val="000000"/>
          <w:kern w:val="0"/>
          <w:sz w:val="32"/>
          <w:szCs w:val="32"/>
          <w:highlight w:val="none"/>
          <w:lang w:val="en-US" w:eastAsia="zh-CN"/>
        </w:rPr>
        <w:t>绩效目标申报表规定</w:t>
      </w:r>
      <w:r>
        <w:rPr>
          <w:rFonts w:hint="default" w:ascii="Times New Roman" w:hAnsi="Times New Roman" w:eastAsia="仿宋_GB2312" w:cs="Times New Roman"/>
          <w:color w:val="000000"/>
          <w:kern w:val="0"/>
          <w:sz w:val="32"/>
          <w:szCs w:val="32"/>
          <w:highlight w:val="none"/>
        </w:rPr>
        <w:t>招标采购时间2021年12月20日</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rPr>
        <w:t>采购物品到位时间2021年12月30日</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rPr>
        <w:t>验收时间2021年12月30日</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bCs/>
          <w:sz w:val="32"/>
          <w:szCs w:val="32"/>
          <w:highlight w:val="none"/>
        </w:rPr>
        <w:t>实际</w:t>
      </w:r>
      <w:r>
        <w:rPr>
          <w:rFonts w:hint="default" w:ascii="Times New Roman" w:hAnsi="Times New Roman" w:eastAsia="仿宋_GB2312" w:cs="Times New Roman"/>
          <w:bCs/>
          <w:sz w:val="32"/>
          <w:szCs w:val="32"/>
          <w:highlight w:val="none"/>
          <w:lang w:val="en-US" w:eastAsia="zh-CN"/>
        </w:rPr>
        <w:t>招标采购</w:t>
      </w:r>
      <w:r>
        <w:rPr>
          <w:rFonts w:hint="default" w:ascii="Times New Roman" w:hAnsi="Times New Roman" w:eastAsia="仿宋_GB2312" w:cs="Times New Roman"/>
          <w:bCs/>
          <w:sz w:val="32"/>
          <w:szCs w:val="32"/>
          <w:highlight w:val="none"/>
        </w:rPr>
        <w:t>日期为</w:t>
      </w:r>
      <w:r>
        <w:rPr>
          <w:rFonts w:hint="default" w:ascii="Times New Roman" w:hAnsi="Times New Roman" w:eastAsia="仿宋_GB2312" w:cs="Times New Roman"/>
          <w:bCs/>
          <w:sz w:val="32"/>
          <w:szCs w:val="32"/>
          <w:highlight w:val="none"/>
          <w:lang w:val="en-US" w:eastAsia="zh-CN"/>
        </w:rPr>
        <w:t>2022年1月24日</w:t>
      </w:r>
      <w:r>
        <w:rPr>
          <w:rFonts w:hint="default" w:ascii="Times New Roman" w:hAnsi="Times New Roman" w:eastAsia="仿宋_GB2312" w:cs="Times New Roman"/>
          <w:bCs/>
          <w:sz w:val="32"/>
          <w:szCs w:val="32"/>
          <w:highlight w:val="none"/>
        </w:rPr>
        <w:t>，</w:t>
      </w:r>
      <w:r>
        <w:rPr>
          <w:rFonts w:hint="default" w:ascii="Times New Roman" w:hAnsi="Times New Roman" w:eastAsia="仿宋_GB2312" w:cs="Times New Roman"/>
          <w:bCs/>
          <w:sz w:val="32"/>
          <w:szCs w:val="32"/>
          <w:highlight w:val="none"/>
          <w:lang w:val="en-US" w:eastAsia="zh-CN"/>
        </w:rPr>
        <w:t>设备到位</w:t>
      </w:r>
      <w:r>
        <w:rPr>
          <w:rFonts w:hint="default" w:ascii="Times New Roman" w:hAnsi="Times New Roman" w:eastAsia="仿宋_GB2312" w:cs="Times New Roman"/>
          <w:bCs/>
          <w:sz w:val="32"/>
          <w:szCs w:val="32"/>
          <w:highlight w:val="none"/>
        </w:rPr>
        <w:t>日期为2022年3月</w:t>
      </w:r>
      <w:r>
        <w:rPr>
          <w:rFonts w:hint="default" w:ascii="Times New Roman" w:hAnsi="Times New Roman" w:eastAsia="仿宋_GB2312" w:cs="Times New Roman"/>
          <w:bCs/>
          <w:sz w:val="32"/>
          <w:szCs w:val="32"/>
          <w:highlight w:val="none"/>
          <w:lang w:val="en-US" w:eastAsia="zh-CN"/>
        </w:rPr>
        <w:t>4</w:t>
      </w:r>
      <w:r>
        <w:rPr>
          <w:rFonts w:hint="default" w:ascii="Times New Roman" w:hAnsi="Times New Roman" w:eastAsia="仿宋_GB2312" w:cs="Times New Roman"/>
          <w:bCs/>
          <w:sz w:val="32"/>
          <w:szCs w:val="32"/>
          <w:highlight w:val="none"/>
        </w:rPr>
        <w:t>日，</w:t>
      </w:r>
      <w:r>
        <w:rPr>
          <w:rFonts w:hint="default" w:ascii="Times New Roman" w:hAnsi="Times New Roman" w:eastAsia="仿宋_GB2312" w:cs="Times New Roman"/>
          <w:bCs/>
          <w:sz w:val="32"/>
          <w:szCs w:val="32"/>
          <w:highlight w:val="none"/>
          <w:lang w:val="en-US" w:eastAsia="zh-CN"/>
        </w:rPr>
        <w:t>验收日期</w:t>
      </w:r>
      <w:r>
        <w:rPr>
          <w:rFonts w:hint="default" w:ascii="Times New Roman" w:hAnsi="Times New Roman" w:eastAsia="仿宋_GB2312" w:cs="Times New Roman"/>
          <w:bCs/>
          <w:sz w:val="32"/>
          <w:szCs w:val="32"/>
          <w:highlight w:val="none"/>
        </w:rPr>
        <w:t>2022年3月23日。</w:t>
      </w:r>
    </w:p>
    <w:p>
      <w:pPr>
        <w:pStyle w:val="4"/>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楷体_GB2312" w:cs="Times New Roman"/>
          <w:bCs w:val="0"/>
          <w:sz w:val="32"/>
        </w:rPr>
      </w:pPr>
      <w:bookmarkStart w:id="128" w:name="_Toc21491"/>
      <w:r>
        <w:rPr>
          <w:rFonts w:hint="default" w:ascii="Times New Roman" w:hAnsi="Times New Roman" w:eastAsia="楷体_GB2312" w:cs="Times New Roman"/>
          <w:bCs w:val="0"/>
          <w:sz w:val="32"/>
          <w:lang w:eastAsia="zh-CN"/>
        </w:rPr>
        <w:t>（</w:t>
      </w:r>
      <w:r>
        <w:rPr>
          <w:rFonts w:hint="default" w:ascii="Times New Roman" w:hAnsi="Times New Roman" w:eastAsia="楷体_GB2312" w:cs="Times New Roman"/>
          <w:bCs w:val="0"/>
          <w:sz w:val="32"/>
          <w:lang w:val="en-US" w:eastAsia="zh-CN"/>
        </w:rPr>
        <w:t>四</w:t>
      </w:r>
      <w:r>
        <w:rPr>
          <w:rFonts w:hint="default" w:ascii="Times New Roman" w:hAnsi="Times New Roman" w:eastAsia="楷体_GB2312" w:cs="Times New Roman"/>
          <w:bCs w:val="0"/>
          <w:sz w:val="32"/>
          <w:lang w:eastAsia="zh-CN"/>
        </w:rPr>
        <w:t>）</w:t>
      </w:r>
      <w:r>
        <w:rPr>
          <w:rFonts w:hint="default" w:ascii="Times New Roman" w:hAnsi="Times New Roman" w:eastAsia="楷体_GB2312" w:cs="Times New Roman"/>
          <w:bCs w:val="0"/>
          <w:sz w:val="32"/>
          <w:lang w:val="en-US" w:eastAsia="zh-CN"/>
        </w:rPr>
        <w:t>项目</w:t>
      </w:r>
      <w:r>
        <w:rPr>
          <w:rFonts w:hint="default" w:ascii="Times New Roman" w:hAnsi="Times New Roman" w:eastAsia="楷体_GB2312" w:cs="Times New Roman"/>
          <w:bCs w:val="0"/>
          <w:sz w:val="32"/>
        </w:rPr>
        <w:t>效益情况</w:t>
      </w:r>
      <w:bookmarkEnd w:id="120"/>
      <w:bookmarkEnd w:id="121"/>
      <w:bookmarkEnd w:id="122"/>
      <w:bookmarkEnd w:id="123"/>
      <w:bookmarkEnd w:id="124"/>
      <w:bookmarkEnd w:id="125"/>
      <w:bookmarkEnd w:id="126"/>
      <w:bookmarkEnd w:id="127"/>
      <w:bookmarkEnd w:id="128"/>
    </w:p>
    <w:p>
      <w:pPr>
        <w:pageBreakBefore w:val="0"/>
        <w:kinsoku/>
        <w:wordWrap/>
        <w:overflowPunct/>
        <w:topLinePunct w:val="0"/>
        <w:autoSpaceDE/>
        <w:autoSpaceDN/>
        <w:bidi w:val="0"/>
        <w:adjustRightInd w:val="0"/>
        <w:spacing w:line="600" w:lineRule="exact"/>
        <w:ind w:firstLine="640"/>
        <w:rPr>
          <w:rFonts w:hint="default" w:ascii="Times New Roman" w:hAnsi="Times New Roman" w:eastAsia="仿宋_GB2312" w:cs="Times New Roman"/>
          <w:bCs/>
          <w:sz w:val="32"/>
          <w:szCs w:val="32"/>
        </w:rPr>
      </w:pPr>
      <w:bookmarkStart w:id="129" w:name="_Toc15382"/>
      <w:r>
        <w:rPr>
          <w:rFonts w:hint="default" w:ascii="Times New Roman" w:hAnsi="Times New Roman" w:eastAsia="仿宋_GB2312" w:cs="Times New Roman"/>
          <w:bCs/>
          <w:sz w:val="32"/>
          <w:szCs w:val="32"/>
        </w:rPr>
        <w:t>1.项目预期目标完成情况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color w:val="000000"/>
          <w:kern w:val="0"/>
          <w:sz w:val="32"/>
          <w:szCs w:val="32"/>
          <w:highlight w:val="none"/>
          <w:lang w:val="en-US" w:eastAsia="zh-CN" w:bidi="ar-SA"/>
        </w:rPr>
      </w:pPr>
      <w:r>
        <w:rPr>
          <w:rFonts w:hint="default" w:ascii="Times New Roman" w:hAnsi="Times New Roman" w:eastAsia="仿宋_GB2312" w:cs="Times New Roman"/>
          <w:color w:val="000000"/>
          <w:kern w:val="0"/>
          <w:sz w:val="32"/>
          <w:szCs w:val="32"/>
          <w:highlight w:val="none"/>
          <w:lang w:val="en-US" w:eastAsia="zh-CN" w:bidi="ar-SA"/>
        </w:rPr>
        <w:t>该项目2022年4月首钢技师学院保卫部已按要求完成首钢技师学院视频监控存储设备升级改造其他存储设备采购项目建设，落实了石景山公安分局将学校确定为重点防恐反恐重点目标单位后要求监控存储时间不低于90天的要求，达到设定目标。</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color w:val="000000"/>
          <w:kern w:val="0"/>
          <w:sz w:val="32"/>
          <w:szCs w:val="32"/>
          <w:highlight w:val="none"/>
          <w:lang w:val="en-US" w:eastAsia="zh-CN" w:bidi="ar-SA"/>
        </w:rPr>
      </w:pPr>
      <w:r>
        <w:rPr>
          <w:rFonts w:hint="default" w:ascii="Times New Roman" w:hAnsi="Times New Roman" w:eastAsia="仿宋_GB2312" w:cs="Times New Roman"/>
          <w:color w:val="000000"/>
          <w:kern w:val="0"/>
          <w:sz w:val="32"/>
          <w:szCs w:val="32"/>
          <w:highlight w:val="none"/>
          <w:lang w:val="en-US" w:eastAsia="zh-CN" w:bidi="ar-SA"/>
        </w:rPr>
        <w:t>评价分析认为：该项目未按时完成整改要求。《北京市石景山公安分局责令限期整改通知书》（石公（限）责通字〔2021〕0062号）要求，2021年12月30日前整改完</w:t>
      </w:r>
      <w:r>
        <w:rPr>
          <w:rFonts w:hint="default" w:ascii="Times New Roman" w:hAnsi="Times New Roman" w:eastAsia="仿宋_GB2312" w:cs="Times New Roman"/>
          <w:color w:val="000000"/>
          <w:sz w:val="32"/>
          <w:szCs w:val="32"/>
          <w:shd w:val="clear" w:color="auto" w:fill="FFFFFF"/>
          <w:lang w:val="en-US" w:eastAsia="zh-CN"/>
        </w:rPr>
        <w:t>单位</w:t>
      </w:r>
      <w:r>
        <w:rPr>
          <w:rFonts w:hint="default" w:ascii="Times New Roman" w:hAnsi="Times New Roman" w:eastAsia="仿宋_GB2312" w:cs="Times New Roman"/>
          <w:color w:val="000000"/>
          <w:sz w:val="32"/>
          <w:szCs w:val="32"/>
          <w:shd w:val="clear" w:color="auto" w:fill="FFFFFF"/>
        </w:rPr>
        <w:t>监控系统存储</w:t>
      </w:r>
      <w:r>
        <w:rPr>
          <w:rFonts w:hint="default" w:ascii="Times New Roman" w:hAnsi="Times New Roman" w:eastAsia="仿宋_GB2312" w:cs="Times New Roman"/>
          <w:color w:val="000000"/>
          <w:sz w:val="32"/>
          <w:szCs w:val="32"/>
          <w:shd w:val="clear" w:color="auto" w:fill="FFFFFF"/>
          <w:lang w:val="en-US" w:eastAsia="zh-CN"/>
        </w:rPr>
        <w:t>不足</w:t>
      </w:r>
      <w:r>
        <w:rPr>
          <w:rFonts w:hint="default" w:ascii="Times New Roman" w:hAnsi="Times New Roman" w:eastAsia="仿宋_GB2312" w:cs="Times New Roman"/>
          <w:color w:val="000000"/>
          <w:sz w:val="32"/>
          <w:szCs w:val="32"/>
          <w:shd w:val="clear" w:color="auto" w:fill="FFFFFF"/>
        </w:rPr>
        <w:t>90天</w:t>
      </w:r>
      <w:r>
        <w:rPr>
          <w:rFonts w:hint="default" w:ascii="Times New Roman" w:hAnsi="Times New Roman" w:eastAsia="仿宋_GB2312" w:cs="Times New Roman"/>
          <w:color w:val="000000"/>
          <w:sz w:val="32"/>
          <w:szCs w:val="32"/>
          <w:shd w:val="clear" w:color="auto" w:fill="FFFFFF"/>
          <w:lang w:val="en-US" w:eastAsia="zh-CN"/>
        </w:rPr>
        <w:t>的治安隐患，但该项目于2022年4月实施完毕，预期目标完成时间严重延迟。</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val="0"/>
          <w:color w:val="000000"/>
          <w:kern w:val="0"/>
          <w:sz w:val="32"/>
          <w:szCs w:val="32"/>
          <w:highlight w:val="none"/>
          <w:lang w:val="en-US" w:eastAsia="zh-CN"/>
        </w:rPr>
      </w:pPr>
      <w:r>
        <w:rPr>
          <w:rFonts w:hint="default" w:ascii="Times New Roman" w:hAnsi="Times New Roman" w:eastAsia="仿宋_GB2312" w:cs="Times New Roman"/>
          <w:b w:val="0"/>
          <w:bCs w:val="0"/>
          <w:color w:val="000000"/>
          <w:kern w:val="0"/>
          <w:sz w:val="32"/>
          <w:szCs w:val="32"/>
          <w:highlight w:val="none"/>
          <w:lang w:val="en-US" w:eastAsia="zh-CN"/>
        </w:rPr>
        <w:t>2.</w:t>
      </w:r>
      <w:r>
        <w:rPr>
          <w:rFonts w:hint="default" w:ascii="Times New Roman" w:hAnsi="Times New Roman" w:eastAsia="仿宋_GB2312" w:cs="Times New Roman"/>
          <w:b w:val="0"/>
          <w:bCs w:val="0"/>
          <w:color w:val="000000"/>
          <w:kern w:val="0"/>
          <w:sz w:val="32"/>
          <w:szCs w:val="32"/>
          <w:highlight w:val="none"/>
        </w:rPr>
        <w:t>社会效益和可持续影响</w:t>
      </w:r>
      <w:r>
        <w:rPr>
          <w:rFonts w:hint="default" w:ascii="Times New Roman" w:hAnsi="Times New Roman" w:eastAsia="仿宋_GB2312" w:cs="Times New Roman"/>
          <w:b w:val="0"/>
          <w:bCs w:val="0"/>
          <w:color w:val="000000"/>
          <w:kern w:val="0"/>
          <w:sz w:val="32"/>
          <w:szCs w:val="32"/>
          <w:highlight w:val="none"/>
          <w:lang w:val="en-US" w:eastAsia="zh-CN"/>
        </w:rPr>
        <w:t>分析</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rPr>
        <w:t>学校</w:t>
      </w:r>
      <w:r>
        <w:rPr>
          <w:rFonts w:hint="default" w:ascii="Times New Roman" w:hAnsi="Times New Roman" w:eastAsia="仿宋_GB2312" w:cs="Times New Roman"/>
          <w:color w:val="000000"/>
          <w:kern w:val="0"/>
          <w:sz w:val="32"/>
          <w:szCs w:val="32"/>
          <w:highlight w:val="none"/>
          <w:lang w:val="en-US" w:eastAsia="zh-CN"/>
        </w:rPr>
        <w:t>通过该</w:t>
      </w:r>
      <w:r>
        <w:rPr>
          <w:rFonts w:hint="default" w:ascii="Times New Roman" w:hAnsi="Times New Roman" w:eastAsia="仿宋_GB2312" w:cs="Times New Roman"/>
          <w:color w:val="000000"/>
          <w:kern w:val="0"/>
          <w:sz w:val="32"/>
          <w:szCs w:val="32"/>
          <w:highlight w:val="none"/>
        </w:rPr>
        <w:t>项目</w:t>
      </w:r>
      <w:r>
        <w:rPr>
          <w:rFonts w:hint="default" w:ascii="Times New Roman" w:hAnsi="Times New Roman" w:eastAsia="仿宋_GB2312" w:cs="Times New Roman"/>
          <w:color w:val="000000"/>
          <w:kern w:val="0"/>
          <w:sz w:val="32"/>
          <w:szCs w:val="32"/>
          <w:highlight w:val="none"/>
          <w:lang w:val="en-US" w:eastAsia="zh-CN"/>
        </w:rPr>
        <w:t>的实施</w:t>
      </w:r>
      <w:r>
        <w:rPr>
          <w:rFonts w:hint="default" w:ascii="Times New Roman" w:hAnsi="Times New Roman" w:eastAsia="仿宋_GB2312" w:cs="Times New Roman"/>
          <w:color w:val="000000"/>
          <w:kern w:val="0"/>
          <w:sz w:val="32"/>
          <w:szCs w:val="32"/>
          <w:highlight w:val="none"/>
        </w:rPr>
        <w:t>，提高</w:t>
      </w:r>
      <w:r>
        <w:rPr>
          <w:rFonts w:hint="default" w:ascii="Times New Roman" w:hAnsi="Times New Roman" w:eastAsia="仿宋_GB2312" w:cs="Times New Roman"/>
          <w:color w:val="000000"/>
          <w:kern w:val="0"/>
          <w:sz w:val="32"/>
          <w:szCs w:val="32"/>
          <w:highlight w:val="none"/>
          <w:lang w:val="en-US" w:eastAsia="zh-CN"/>
        </w:rPr>
        <w:t>了</w:t>
      </w:r>
      <w:r>
        <w:rPr>
          <w:rFonts w:hint="default" w:ascii="Times New Roman" w:hAnsi="Times New Roman" w:eastAsia="仿宋_GB2312" w:cs="Times New Roman"/>
          <w:color w:val="000000"/>
          <w:kern w:val="0"/>
          <w:sz w:val="32"/>
          <w:szCs w:val="32"/>
          <w:highlight w:val="none"/>
        </w:rPr>
        <w:t>反恐能力，进一步发挥视频监控系统在日常工作中重要作用，安全防范力度显著提高，获得良好的安全防范效果，更好地为在校师生提供安全保障，创造一个安全、和谐的学习和工作环境。</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评价分析认为：该项目</w:t>
      </w:r>
      <w:r>
        <w:rPr>
          <w:rFonts w:hint="default" w:ascii="Times New Roman" w:hAnsi="Times New Roman" w:eastAsia="仿宋_GB2312" w:cs="Times New Roman"/>
          <w:color w:val="000000"/>
          <w:kern w:val="0"/>
          <w:sz w:val="32"/>
          <w:szCs w:val="32"/>
          <w:lang w:val="en-US" w:eastAsia="zh-CN"/>
        </w:rPr>
        <w:t>在提高反恐能力、校园安全保障等方面</w:t>
      </w:r>
      <w:r>
        <w:rPr>
          <w:rFonts w:hint="default" w:ascii="Times New Roman" w:hAnsi="Times New Roman" w:eastAsia="仿宋_GB2312" w:cs="Times New Roman"/>
          <w:color w:val="000000"/>
          <w:kern w:val="0"/>
          <w:sz w:val="32"/>
          <w:szCs w:val="32"/>
        </w:rPr>
        <w:t>具有良好的社会效益，且对今后</w:t>
      </w:r>
      <w:r>
        <w:rPr>
          <w:rFonts w:hint="default" w:ascii="Times New Roman" w:hAnsi="Times New Roman" w:eastAsia="仿宋_GB2312" w:cs="Times New Roman"/>
          <w:color w:val="000000"/>
          <w:kern w:val="0"/>
          <w:sz w:val="32"/>
          <w:szCs w:val="32"/>
          <w:lang w:val="en-US" w:eastAsia="zh-CN"/>
        </w:rPr>
        <w:t>在校师生学习、工作</w:t>
      </w:r>
      <w:r>
        <w:rPr>
          <w:rFonts w:hint="default" w:ascii="Times New Roman" w:hAnsi="Times New Roman" w:eastAsia="仿宋_GB2312" w:cs="Times New Roman"/>
          <w:color w:val="000000"/>
          <w:kern w:val="0"/>
          <w:sz w:val="32"/>
          <w:szCs w:val="32"/>
        </w:rPr>
        <w:t xml:space="preserve">具有较好的可持续性影响。 </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val="0"/>
          <w:color w:val="000000"/>
          <w:kern w:val="0"/>
          <w:sz w:val="32"/>
          <w:szCs w:val="32"/>
          <w:highlight w:val="none"/>
          <w:lang w:val="en-US" w:eastAsia="zh-CN"/>
        </w:rPr>
      </w:pPr>
      <w:r>
        <w:rPr>
          <w:rFonts w:hint="default" w:ascii="Times New Roman" w:hAnsi="Times New Roman" w:eastAsia="仿宋_GB2312" w:cs="Times New Roman"/>
          <w:b w:val="0"/>
          <w:bCs w:val="0"/>
          <w:color w:val="000000"/>
          <w:kern w:val="0"/>
          <w:sz w:val="32"/>
          <w:szCs w:val="32"/>
          <w:highlight w:val="none"/>
          <w:lang w:val="en-US" w:eastAsia="zh-CN"/>
        </w:rPr>
        <w:t>3.服务对象满意度分析</w:t>
      </w:r>
    </w:p>
    <w:bookmarkEnd w:id="129"/>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color w:val="000000"/>
          <w:kern w:val="0"/>
          <w:sz w:val="32"/>
          <w:szCs w:val="32"/>
          <w:lang w:eastAsia="zh-CN"/>
        </w:rPr>
      </w:pPr>
      <w:bookmarkStart w:id="130" w:name="_Toc23399"/>
      <w:bookmarkStart w:id="131" w:name="_Toc19455"/>
      <w:r>
        <w:rPr>
          <w:rFonts w:hint="default" w:ascii="Times New Roman" w:hAnsi="Times New Roman" w:eastAsia="仿宋_GB2312" w:cs="Times New Roman"/>
          <w:color w:val="000000"/>
          <w:kern w:val="0"/>
          <w:sz w:val="32"/>
          <w:szCs w:val="32"/>
        </w:rPr>
        <w:t>该项目支出绩效目标申报表中设置了服务对象满意度指标为使用人员满意度≥95%</w:t>
      </w:r>
      <w:r>
        <w:rPr>
          <w:rFonts w:hint="default" w:ascii="Times New Roman" w:hAnsi="Times New Roman" w:eastAsia="仿宋_GB2312" w:cs="Times New Roman"/>
          <w:color w:val="000000"/>
          <w:kern w:val="0"/>
          <w:sz w:val="32"/>
          <w:szCs w:val="32"/>
          <w:lang w:eastAsia="zh-CN"/>
        </w:rPr>
        <w:t>；管理人员满意度</w:t>
      </w:r>
      <w:r>
        <w:rPr>
          <w:rFonts w:hint="default" w:ascii="Times New Roman" w:hAnsi="Times New Roman" w:eastAsia="仿宋_GB2312" w:cs="Times New Roman"/>
          <w:color w:val="000000"/>
          <w:kern w:val="0"/>
          <w:sz w:val="32"/>
          <w:szCs w:val="32"/>
        </w:rPr>
        <w:t>≥95%</w:t>
      </w:r>
      <w:r>
        <w:rPr>
          <w:rFonts w:hint="default" w:ascii="Times New Roman" w:hAnsi="Times New Roman" w:eastAsia="仿宋_GB2312" w:cs="Times New Roman"/>
          <w:color w:val="000000"/>
          <w:kern w:val="0"/>
          <w:sz w:val="32"/>
          <w:szCs w:val="32"/>
          <w:lang w:eastAsia="zh-CN"/>
        </w:rPr>
        <w:t>。</w:t>
      </w:r>
    </w:p>
    <w:p>
      <w:pPr>
        <w:spacing w:line="600" w:lineRule="exact"/>
        <w:ind w:firstLine="640"/>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rPr>
        <w:t>评价分析认为：</w:t>
      </w:r>
      <w:r>
        <w:rPr>
          <w:rFonts w:hint="default" w:ascii="Times New Roman" w:hAnsi="Times New Roman" w:eastAsia="仿宋_GB2312" w:cs="Times New Roman"/>
          <w:color w:val="000000"/>
          <w:kern w:val="0"/>
          <w:sz w:val="32"/>
          <w:szCs w:val="32"/>
          <w:highlight w:val="none"/>
          <w:lang w:val="en-US" w:eastAsia="zh-CN"/>
        </w:rPr>
        <w:t>服务对象满意度调查资料不足，该项目只</w:t>
      </w:r>
      <w:r>
        <w:rPr>
          <w:rFonts w:hint="eastAsia" w:ascii="Times New Roman" w:hAnsi="Times New Roman" w:eastAsia="仿宋_GB2312" w:cs="Times New Roman"/>
          <w:color w:val="000000"/>
          <w:kern w:val="0"/>
          <w:sz w:val="32"/>
          <w:szCs w:val="32"/>
          <w:highlight w:val="none"/>
          <w:lang w:val="en-US" w:eastAsia="zh-CN"/>
        </w:rPr>
        <w:t>提供了实施单位</w:t>
      </w:r>
      <w:r>
        <w:rPr>
          <w:rFonts w:hint="default" w:ascii="Times New Roman" w:hAnsi="Times New Roman" w:eastAsia="仿宋_GB2312" w:cs="Times New Roman"/>
          <w:color w:val="000000"/>
          <w:kern w:val="0"/>
          <w:sz w:val="32"/>
          <w:szCs w:val="32"/>
          <w:highlight w:val="none"/>
          <w:lang w:val="en-US" w:eastAsia="zh-CN"/>
        </w:rPr>
        <w:t>对</w:t>
      </w:r>
      <w:r>
        <w:rPr>
          <w:rFonts w:hint="eastAsia" w:ascii="Times New Roman" w:hAnsi="Times New Roman" w:eastAsia="仿宋_GB2312" w:cs="Times New Roman"/>
          <w:color w:val="000000"/>
          <w:kern w:val="0"/>
          <w:sz w:val="32"/>
          <w:szCs w:val="32"/>
          <w:highlight w:val="none"/>
          <w:lang w:val="en-US" w:eastAsia="zh-CN"/>
        </w:rPr>
        <w:t>该</w:t>
      </w:r>
      <w:r>
        <w:rPr>
          <w:rFonts w:hint="default" w:ascii="Times New Roman" w:hAnsi="Times New Roman" w:eastAsia="仿宋_GB2312" w:cs="Times New Roman"/>
          <w:color w:val="000000"/>
          <w:kern w:val="0"/>
          <w:sz w:val="32"/>
          <w:szCs w:val="32"/>
          <w:highlight w:val="none"/>
          <w:lang w:val="en-US" w:eastAsia="zh-CN"/>
        </w:rPr>
        <w:t>项目</w:t>
      </w:r>
      <w:r>
        <w:rPr>
          <w:rFonts w:hint="eastAsia" w:ascii="Times New Roman" w:hAnsi="Times New Roman" w:eastAsia="仿宋_GB2312" w:cs="Times New Roman"/>
          <w:color w:val="000000"/>
          <w:kern w:val="0"/>
          <w:sz w:val="32"/>
          <w:szCs w:val="32"/>
          <w:highlight w:val="none"/>
          <w:lang w:val="en-US" w:eastAsia="zh-CN"/>
        </w:rPr>
        <w:t>的一份满意度调查报告，</w:t>
      </w:r>
      <w:r>
        <w:rPr>
          <w:rFonts w:hint="eastAsia" w:eastAsia="仿宋_GB2312" w:cs="Times New Roman"/>
          <w:color w:val="000000"/>
          <w:kern w:val="0"/>
          <w:sz w:val="32"/>
          <w:szCs w:val="32"/>
          <w:highlight w:val="none"/>
          <w:lang w:val="en-US" w:eastAsia="zh-CN"/>
        </w:rPr>
        <w:t>满意度调查样本量不足，使用人员应包含</w:t>
      </w:r>
      <w:r>
        <w:rPr>
          <w:rFonts w:hint="eastAsia" w:ascii="仿宋_GB2312" w:hAnsi="Times New Roman" w:eastAsia="仿宋_GB2312"/>
          <w:bCs/>
          <w:sz w:val="32"/>
          <w:szCs w:val="32"/>
          <w:lang w:val="en-US" w:eastAsia="zh-CN"/>
        </w:rPr>
        <w:t>教师</w:t>
      </w:r>
      <w:r>
        <w:rPr>
          <w:rFonts w:hint="eastAsia" w:ascii="仿宋_GB2312" w:eastAsia="仿宋_GB2312"/>
          <w:bCs/>
          <w:sz w:val="32"/>
          <w:szCs w:val="32"/>
          <w:lang w:val="en-US" w:eastAsia="zh-CN"/>
        </w:rPr>
        <w:t>、</w:t>
      </w:r>
      <w:r>
        <w:rPr>
          <w:rFonts w:hint="eastAsia" w:ascii="仿宋_GB2312" w:hAnsi="Times New Roman" w:eastAsia="仿宋_GB2312"/>
          <w:bCs/>
          <w:sz w:val="32"/>
          <w:szCs w:val="32"/>
          <w:lang w:val="en-US" w:eastAsia="zh-CN"/>
        </w:rPr>
        <w:t>学生及公安机关</w:t>
      </w:r>
      <w:r>
        <w:rPr>
          <w:rFonts w:hint="eastAsia" w:ascii="仿宋_GB2312" w:eastAsia="仿宋_GB2312"/>
          <w:bCs/>
          <w:sz w:val="32"/>
          <w:szCs w:val="32"/>
          <w:lang w:val="en-US" w:eastAsia="zh-CN"/>
        </w:rPr>
        <w:t>等其他使用人员，</w:t>
      </w:r>
      <w:r>
        <w:rPr>
          <w:rFonts w:hint="eastAsia" w:ascii="Times New Roman" w:hAnsi="Times New Roman" w:eastAsia="仿宋_GB2312" w:cs="Times New Roman"/>
          <w:color w:val="000000"/>
          <w:kern w:val="0"/>
          <w:sz w:val="32"/>
          <w:szCs w:val="32"/>
          <w:highlight w:val="none"/>
          <w:lang w:val="en-US" w:eastAsia="zh-CN"/>
        </w:rPr>
        <w:t>项目单位</w:t>
      </w:r>
      <w:r>
        <w:rPr>
          <w:rFonts w:hint="eastAsia" w:eastAsia="仿宋_GB2312" w:cs="Times New Roman"/>
          <w:color w:val="000000"/>
          <w:kern w:val="0"/>
          <w:sz w:val="32"/>
          <w:szCs w:val="32"/>
          <w:highlight w:val="none"/>
          <w:lang w:val="en-US" w:eastAsia="zh-CN"/>
        </w:rPr>
        <w:t>应全方位</w:t>
      </w:r>
      <w:r>
        <w:rPr>
          <w:rFonts w:hint="default" w:ascii="Times New Roman" w:hAnsi="Times New Roman" w:eastAsia="仿宋_GB2312" w:cs="Times New Roman"/>
          <w:color w:val="000000"/>
          <w:kern w:val="0"/>
          <w:sz w:val="32"/>
          <w:szCs w:val="32"/>
          <w:highlight w:val="none"/>
          <w:lang w:val="en-US" w:eastAsia="zh-CN"/>
        </w:rPr>
        <w:t>进行服务对象满意度调查。</w:t>
      </w:r>
    </w:p>
    <w:p>
      <w:pPr>
        <w:pageBreakBefore w:val="0"/>
        <w:widowControl w:val="0"/>
        <w:kinsoku/>
        <w:wordWrap/>
        <w:overflowPunct/>
        <w:topLinePunct w:val="0"/>
        <w:autoSpaceDE/>
        <w:autoSpaceDN/>
        <w:bidi w:val="0"/>
        <w:adjustRightInd w:val="0"/>
        <w:snapToGrid w:val="0"/>
        <w:spacing w:line="600" w:lineRule="exact"/>
        <w:ind w:firstLine="640"/>
        <w:textAlignment w:val="auto"/>
        <w:outlineLvl w:val="0"/>
        <w:rPr>
          <w:rFonts w:hint="default" w:ascii="Times New Roman" w:hAnsi="Times New Roman" w:eastAsia="仿宋_GB2312" w:cs="Times New Roman"/>
          <w:bCs/>
          <w:sz w:val="32"/>
          <w:szCs w:val="32"/>
        </w:rPr>
      </w:pPr>
      <w:bookmarkStart w:id="132" w:name="_Toc22214"/>
      <w:bookmarkStart w:id="133" w:name="_Toc15008"/>
      <w:bookmarkStart w:id="134" w:name="_Toc1932078701_WPSOffice_Level1"/>
      <w:bookmarkStart w:id="135" w:name="_Toc1780787296"/>
      <w:bookmarkStart w:id="136" w:name="_Toc13755"/>
      <w:bookmarkStart w:id="137" w:name="_Toc14467"/>
      <w:bookmarkStart w:id="138" w:name="_Toc16722"/>
      <w:r>
        <w:rPr>
          <w:rFonts w:hint="default" w:ascii="Times New Roman" w:hAnsi="Times New Roman" w:eastAsia="黑体" w:cs="Times New Roman"/>
          <w:bCs/>
          <w:sz w:val="32"/>
          <w:szCs w:val="32"/>
        </w:rPr>
        <w:t>五、主要</w:t>
      </w:r>
      <w:bookmarkEnd w:id="130"/>
      <w:bookmarkEnd w:id="131"/>
      <w:r>
        <w:rPr>
          <w:rFonts w:hint="default" w:ascii="Times New Roman" w:hAnsi="Times New Roman" w:eastAsia="黑体" w:cs="Times New Roman"/>
          <w:bCs/>
          <w:sz w:val="32"/>
          <w:szCs w:val="32"/>
        </w:rPr>
        <w:t>经验及做法、存在的问题及原因分析</w:t>
      </w:r>
      <w:bookmarkEnd w:id="132"/>
      <w:bookmarkEnd w:id="133"/>
      <w:bookmarkEnd w:id="134"/>
      <w:bookmarkEnd w:id="135"/>
      <w:bookmarkEnd w:id="136"/>
      <w:bookmarkEnd w:id="137"/>
      <w:bookmarkEnd w:id="138"/>
      <w:bookmarkStart w:id="139" w:name="_Toc12899"/>
    </w:p>
    <w:p>
      <w:pPr>
        <w:pageBreakBefore w:val="0"/>
        <w:widowControl w:val="0"/>
        <w:kinsoku/>
        <w:wordWrap/>
        <w:overflowPunct/>
        <w:topLinePunct w:val="0"/>
        <w:autoSpaceDE/>
        <w:autoSpaceDN/>
        <w:bidi w:val="0"/>
        <w:adjustRightInd w:val="0"/>
        <w:snapToGrid w:val="0"/>
        <w:spacing w:line="600" w:lineRule="exact"/>
        <w:ind w:firstLine="640"/>
        <w:textAlignment w:val="auto"/>
        <w:outlineLvl w:val="1"/>
        <w:rPr>
          <w:rFonts w:hint="default" w:ascii="Times New Roman" w:hAnsi="Times New Roman" w:eastAsia="楷体_GB2312" w:cs="Times New Roman"/>
          <w:bCs/>
          <w:sz w:val="32"/>
          <w:szCs w:val="32"/>
        </w:rPr>
      </w:pPr>
      <w:bookmarkStart w:id="140" w:name="_Toc13817"/>
      <w:bookmarkStart w:id="141" w:name="_Toc13924"/>
      <w:bookmarkStart w:id="142" w:name="_Toc212495633"/>
      <w:bookmarkStart w:id="143" w:name="_Toc22706"/>
      <w:bookmarkStart w:id="144" w:name="_Toc18245"/>
      <w:bookmarkStart w:id="145" w:name="_Toc346501420_WPSOffice_Level2"/>
      <w:bookmarkStart w:id="146" w:name="_Toc17483"/>
      <w:r>
        <w:rPr>
          <w:rFonts w:hint="default" w:ascii="Times New Roman" w:hAnsi="Times New Roman" w:eastAsia="楷体_GB2312" w:cs="Times New Roman"/>
          <w:b/>
          <w:bCs/>
          <w:kern w:val="0"/>
          <w:sz w:val="32"/>
          <w:szCs w:val="32"/>
        </w:rPr>
        <w:t>（一）主要经验及做法</w:t>
      </w:r>
      <w:bookmarkEnd w:id="140"/>
      <w:bookmarkEnd w:id="141"/>
      <w:bookmarkEnd w:id="142"/>
      <w:bookmarkEnd w:id="143"/>
      <w:bookmarkEnd w:id="144"/>
      <w:bookmarkEnd w:id="145"/>
      <w:bookmarkEnd w:id="146"/>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rPr>
      </w:pPr>
      <w:bookmarkStart w:id="147" w:name="_Toc30465"/>
      <w:bookmarkStart w:id="148" w:name="_Toc1191642982"/>
      <w:bookmarkStart w:id="149" w:name="_Toc27118"/>
      <w:bookmarkStart w:id="150" w:name="_Toc23526"/>
      <w:bookmarkStart w:id="151" w:name="_Toc1821198923_WPSOffice_Level2"/>
      <w:bookmarkStart w:id="152" w:name="_Toc26459"/>
      <w:bookmarkStart w:id="153" w:name="_Toc25960"/>
      <w:r>
        <w:rPr>
          <w:rFonts w:hint="default" w:ascii="Times New Roman" w:hAnsi="Times New Roman" w:eastAsia="仿宋_GB2312" w:cs="Times New Roman"/>
          <w:color w:val="000000"/>
          <w:kern w:val="0"/>
          <w:sz w:val="32"/>
          <w:szCs w:val="32"/>
          <w:highlight w:val="none"/>
          <w:lang w:val="en-US" w:eastAsia="zh-CN"/>
        </w:rPr>
        <w:t>该项目在实施过程中组织指导有力、管理保障到位，创造和积累了一系列可行经验及做法。一是及时跟踪督导。为了确保项目顺利实施，由校方成立相应的领导小组、配置相应的执行人员或配合人员，加强项目全过程管理，发现问题及时解决，</w:t>
      </w:r>
      <w:r>
        <w:rPr>
          <w:rFonts w:hint="default" w:ascii="Times New Roman" w:hAnsi="Times New Roman" w:eastAsia="仿宋_GB2312" w:cs="Times New Roman"/>
          <w:color w:val="000000"/>
          <w:kern w:val="0"/>
          <w:sz w:val="32"/>
          <w:szCs w:val="32"/>
          <w:highlight w:val="none"/>
        </w:rPr>
        <w:t>项目实施过程</w:t>
      </w:r>
      <w:r>
        <w:rPr>
          <w:rFonts w:hint="default" w:ascii="Times New Roman" w:hAnsi="Times New Roman" w:eastAsia="仿宋_GB2312" w:cs="Times New Roman"/>
          <w:color w:val="000000"/>
          <w:kern w:val="0"/>
          <w:sz w:val="32"/>
          <w:szCs w:val="32"/>
          <w:highlight w:val="none"/>
          <w:lang w:val="en-US" w:eastAsia="zh-CN"/>
        </w:rPr>
        <w:t>中</w:t>
      </w:r>
      <w:r>
        <w:rPr>
          <w:rFonts w:hint="default" w:ascii="Times New Roman" w:hAnsi="Times New Roman" w:eastAsia="仿宋_GB2312" w:cs="Times New Roman"/>
          <w:color w:val="000000"/>
          <w:kern w:val="0"/>
          <w:sz w:val="32"/>
          <w:szCs w:val="32"/>
          <w:highlight w:val="none"/>
        </w:rPr>
        <w:t>制定了该项目的实施方案，保证了项目的有效实施和完成</w:t>
      </w:r>
      <w:r>
        <w:rPr>
          <w:rFonts w:hint="default" w:ascii="Times New Roman" w:hAnsi="Times New Roman" w:eastAsia="仿宋_GB2312" w:cs="Times New Roman"/>
          <w:color w:val="000000"/>
          <w:kern w:val="0"/>
          <w:sz w:val="32"/>
          <w:szCs w:val="32"/>
          <w:highlight w:val="none"/>
          <w:lang w:val="en-US" w:eastAsia="zh-CN"/>
        </w:rPr>
        <w:t>。二是部门协同合作。保卫部、网络中心、总务部、资产管理处、项目承担单位互相协作，紧密配合，形成工作合力，确保项目有序推进。三是目标任务明确。项目组成员分工明确，各司其职，按照目标任务抓好落实，对项目实施过程中可能出现的风险制定有效的应对措施，确保项目顺利实施并按计划完成预定目标。</w:t>
      </w:r>
    </w:p>
    <w:p>
      <w:pPr>
        <w:pageBreakBefore w:val="0"/>
        <w:widowControl w:val="0"/>
        <w:kinsoku/>
        <w:wordWrap/>
        <w:overflowPunct/>
        <w:topLinePunct w:val="0"/>
        <w:autoSpaceDE/>
        <w:autoSpaceDN/>
        <w:bidi w:val="0"/>
        <w:adjustRightInd w:val="0"/>
        <w:snapToGrid w:val="0"/>
        <w:spacing w:line="600" w:lineRule="exact"/>
        <w:ind w:firstLine="640"/>
        <w:textAlignment w:val="auto"/>
        <w:outlineLvl w:val="1"/>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（二）存在的问题及原因分析</w:t>
      </w:r>
      <w:bookmarkEnd w:id="147"/>
      <w:bookmarkEnd w:id="148"/>
      <w:bookmarkEnd w:id="149"/>
      <w:bookmarkEnd w:id="150"/>
      <w:bookmarkEnd w:id="151"/>
      <w:bookmarkEnd w:id="152"/>
      <w:bookmarkEnd w:id="153"/>
    </w:p>
    <w:bookmarkEnd w:id="139"/>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b w:val="0"/>
          <w:bCs w:val="0"/>
          <w:kern w:val="0"/>
          <w:sz w:val="32"/>
          <w:szCs w:val="32"/>
          <w:highlight w:val="none"/>
          <w:shd w:val="clear" w:color="auto" w:fill="auto"/>
          <w:lang w:val="en-US" w:eastAsia="zh-CN" w:bidi="ar-SA"/>
        </w:rPr>
      </w:pPr>
      <w:bookmarkStart w:id="154" w:name="_Toc20926"/>
      <w:bookmarkStart w:id="155" w:name="_Toc5371"/>
      <w:r>
        <w:rPr>
          <w:rFonts w:hint="default" w:ascii="Times New Roman" w:hAnsi="Times New Roman" w:eastAsia="仿宋_GB2312" w:cs="Times New Roman"/>
          <w:b w:val="0"/>
          <w:bCs w:val="0"/>
          <w:kern w:val="0"/>
          <w:sz w:val="32"/>
          <w:szCs w:val="32"/>
          <w:highlight w:val="none"/>
          <w:shd w:val="clear" w:color="auto" w:fill="auto"/>
          <w:lang w:val="en-US" w:eastAsia="zh-CN" w:bidi="ar-SA"/>
        </w:rPr>
        <w:t>1.项目决策</w:t>
      </w:r>
    </w:p>
    <w:p>
      <w:pPr>
        <w:keepNext w:val="0"/>
        <w:keepLines w:val="0"/>
        <w:widowControl/>
        <w:suppressLineNumbers w:val="0"/>
        <w:jc w:val="left"/>
        <w:rPr>
          <w:rFonts w:hint="default" w:ascii="Times New Roman" w:hAnsi="Times New Roman" w:cs="Times New Roman"/>
          <w:lang w:val="en-US"/>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1）项目</w:t>
      </w:r>
      <w:r>
        <w:rPr>
          <w:rFonts w:hint="eastAsia" w:ascii="Times New Roman" w:hAnsi="Times New Roman" w:eastAsia="仿宋_GB2312" w:cs="Times New Roman"/>
          <w:b w:val="0"/>
          <w:bCs w:val="0"/>
          <w:sz w:val="32"/>
          <w:szCs w:val="32"/>
          <w:highlight w:val="none"/>
          <w:lang w:val="en-US" w:eastAsia="zh-CN"/>
        </w:rPr>
        <w:t>立项申报材料不全，</w:t>
      </w:r>
      <w:r>
        <w:rPr>
          <w:rFonts w:hint="default" w:ascii="Times New Roman" w:hAnsi="Times New Roman" w:eastAsia="仿宋_GB2312" w:cs="Times New Roman"/>
          <w:b w:val="0"/>
          <w:bCs w:val="0"/>
          <w:sz w:val="32"/>
          <w:szCs w:val="32"/>
          <w:highlight w:val="none"/>
          <w:lang w:val="en-US" w:eastAsia="zh-CN"/>
        </w:rPr>
        <w:t>前期调研论证不足。</w:t>
      </w:r>
      <w:r>
        <w:rPr>
          <w:rFonts w:hint="eastAsia" w:ascii="Times New Roman" w:hAnsi="Times New Roman" w:eastAsia="仿宋_GB2312" w:cs="Times New Roman"/>
          <w:b w:val="0"/>
          <w:bCs w:val="0"/>
          <w:sz w:val="32"/>
          <w:szCs w:val="32"/>
          <w:highlight w:val="none"/>
          <w:lang w:val="en-US" w:eastAsia="zh-CN"/>
        </w:rPr>
        <w:t>根据《</w:t>
      </w:r>
      <w:r>
        <w:rPr>
          <w:rFonts w:hint="default" w:ascii="Times New Roman" w:hAnsi="Times New Roman" w:eastAsia="仿宋_GB2312" w:cs="Times New Roman"/>
          <w:b w:val="0"/>
          <w:bCs w:val="0"/>
          <w:sz w:val="32"/>
          <w:szCs w:val="32"/>
          <w:highlight w:val="none"/>
          <w:lang w:val="en-US" w:eastAsia="zh-CN"/>
        </w:rPr>
        <w:t>首钢技师学院专项资金项目管理实施细则</w:t>
      </w:r>
      <w:r>
        <w:rPr>
          <w:rFonts w:hint="eastAsia" w:ascii="Times New Roman" w:hAnsi="Times New Roman" w:eastAsia="仿宋_GB2312" w:cs="Times New Roman"/>
          <w:b w:val="0"/>
          <w:bCs w:val="0"/>
          <w:sz w:val="32"/>
          <w:szCs w:val="32"/>
          <w:highlight w:val="none"/>
          <w:lang w:val="en-US" w:eastAsia="zh-CN"/>
        </w:rPr>
        <w:t>》“第二章 第七条 （五）项目专家论证报告（200 万元以上项目填报），由归口管理部门组织项目负责人填报。”该</w:t>
      </w:r>
      <w:r>
        <w:rPr>
          <w:rFonts w:hint="default" w:ascii="Times New Roman" w:hAnsi="Times New Roman" w:eastAsia="仿宋_GB2312" w:cs="Times New Roman"/>
          <w:color w:val="000000"/>
          <w:kern w:val="0"/>
          <w:sz w:val="32"/>
          <w:szCs w:val="32"/>
          <w:highlight w:val="none"/>
          <w:lang w:val="en-US" w:eastAsia="zh-CN"/>
        </w:rPr>
        <w:t>项目立项的申报材料中缺少专家论证报告</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未对200万以上的预算项目进行专家论证。</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baseline"/>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2）</w:t>
      </w:r>
      <w:r>
        <w:rPr>
          <w:rFonts w:hint="default" w:ascii="Times New Roman" w:hAnsi="Times New Roman" w:eastAsia="仿宋_GB2312" w:cs="Times New Roman"/>
          <w:color w:val="000000"/>
          <w:kern w:val="0"/>
          <w:sz w:val="32"/>
          <w:szCs w:val="32"/>
          <w:highlight w:val="none"/>
          <w:lang w:val="en-US" w:eastAsia="zh-CN"/>
        </w:rPr>
        <w:t>项目绩效目标表填报规范性不足，绩效指标设置不够细化、量化、可衡量。如将“效益指标”和“满意度指标”设置为“效果指标”；将二级指标设置为一级指标“效益指标”；“提供社会服务收益”的指标值设置科学性不足。</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b w:val="0"/>
          <w:bCs w:val="0"/>
          <w:kern w:val="0"/>
          <w:sz w:val="32"/>
          <w:szCs w:val="32"/>
          <w:highlight w:val="none"/>
          <w:shd w:val="clear" w:color="auto" w:fill="auto"/>
          <w:lang w:val="en-US" w:eastAsia="zh-CN" w:bidi="ar-SA"/>
        </w:rPr>
      </w:pPr>
      <w:r>
        <w:rPr>
          <w:rFonts w:hint="default" w:ascii="Times New Roman" w:hAnsi="Times New Roman" w:eastAsia="仿宋_GB2312" w:cs="Times New Roman"/>
          <w:b w:val="0"/>
          <w:bCs w:val="0"/>
          <w:kern w:val="0"/>
          <w:sz w:val="32"/>
          <w:szCs w:val="32"/>
          <w:highlight w:val="none"/>
          <w:shd w:val="clear" w:color="auto" w:fill="auto"/>
          <w:lang w:val="en-US" w:eastAsia="zh-CN" w:bidi="ar-SA"/>
        </w:rPr>
        <w:t>2.项目过程</w:t>
      </w:r>
    </w:p>
    <w:p>
      <w:pPr>
        <w:pageBreakBefore w:val="0"/>
        <w:kinsoku/>
        <w:wordWrap/>
        <w:overflowPunct/>
        <w:topLinePunct w:val="0"/>
        <w:autoSpaceDE/>
        <w:autoSpaceDN/>
        <w:bidi w:val="0"/>
        <w:adjustRightInd w:val="0"/>
        <w:spacing w:line="600" w:lineRule="exact"/>
        <w:ind w:firstLine="640"/>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（1）合同签订不及时。合同未按中标通知书约定“于中标通知书发出之日起30日内与采购人签订合同”，合同实际签订日期为2022年2月25日，合同签订时间晚于政府采购约定时间。</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b w:val="0"/>
          <w:bCs w:val="0"/>
          <w:kern w:val="0"/>
          <w:sz w:val="32"/>
          <w:szCs w:val="32"/>
          <w:highlight w:val="none"/>
          <w:shd w:val="clear" w:color="auto" w:fill="auto"/>
          <w:lang w:val="en-US" w:eastAsia="zh-CN" w:bidi="ar-SA"/>
        </w:rPr>
      </w:pPr>
      <w:r>
        <w:rPr>
          <w:rFonts w:hint="default" w:ascii="Times New Roman" w:hAnsi="Times New Roman" w:eastAsia="仿宋_GB2312" w:cs="Times New Roman"/>
          <w:b w:val="0"/>
          <w:bCs w:val="0"/>
          <w:kern w:val="0"/>
          <w:sz w:val="32"/>
          <w:szCs w:val="32"/>
          <w:highlight w:val="none"/>
          <w:shd w:val="clear" w:color="auto" w:fill="auto"/>
          <w:lang w:val="en-US" w:eastAsia="zh-CN" w:bidi="ar-SA"/>
        </w:rPr>
        <w:t>（</w:t>
      </w:r>
      <w:r>
        <w:rPr>
          <w:rFonts w:hint="eastAsia" w:eastAsia="仿宋_GB2312" w:cs="Times New Roman"/>
          <w:b w:val="0"/>
          <w:bCs w:val="0"/>
          <w:kern w:val="0"/>
          <w:sz w:val="32"/>
          <w:szCs w:val="32"/>
          <w:highlight w:val="none"/>
          <w:shd w:val="clear" w:color="auto" w:fill="auto"/>
          <w:lang w:val="en-US" w:eastAsia="zh-CN" w:bidi="ar-SA"/>
        </w:rPr>
        <w:t>2</w:t>
      </w:r>
      <w:r>
        <w:rPr>
          <w:rFonts w:hint="default" w:ascii="Times New Roman" w:hAnsi="Times New Roman" w:eastAsia="仿宋_GB2312" w:cs="Times New Roman"/>
          <w:b w:val="0"/>
          <w:bCs w:val="0"/>
          <w:kern w:val="0"/>
          <w:sz w:val="32"/>
          <w:szCs w:val="32"/>
          <w:highlight w:val="none"/>
          <w:shd w:val="clear" w:color="auto" w:fill="auto"/>
          <w:lang w:val="en-US" w:eastAsia="zh-CN" w:bidi="ar-SA"/>
        </w:rPr>
        <w:t>）</w:t>
      </w:r>
      <w:r>
        <w:rPr>
          <w:rFonts w:hint="default" w:ascii="Times New Roman" w:hAnsi="Times New Roman" w:eastAsia="仿宋_GB2312" w:cs="Times New Roman"/>
          <w:color w:val="000000"/>
          <w:kern w:val="0"/>
          <w:sz w:val="32"/>
          <w:szCs w:val="32"/>
          <w:highlight w:val="none"/>
        </w:rPr>
        <w:t>项目实施方案不完整、细化，项目预算及测算依据</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rPr>
        <w:t>资金分配、进度安排、成本控制等</w:t>
      </w:r>
      <w:r>
        <w:rPr>
          <w:rFonts w:hint="default" w:ascii="Times New Roman" w:hAnsi="Times New Roman" w:eastAsia="仿宋_GB2312" w:cs="Times New Roman"/>
          <w:color w:val="000000"/>
          <w:kern w:val="0"/>
          <w:sz w:val="32"/>
          <w:szCs w:val="32"/>
          <w:highlight w:val="none"/>
          <w:lang w:val="en-US" w:eastAsia="zh-CN"/>
        </w:rPr>
        <w:t>内容</w:t>
      </w:r>
      <w:r>
        <w:rPr>
          <w:rFonts w:hint="default" w:ascii="Times New Roman" w:hAnsi="Times New Roman" w:eastAsia="仿宋_GB2312" w:cs="Times New Roman"/>
          <w:color w:val="000000"/>
          <w:kern w:val="0"/>
          <w:sz w:val="32"/>
          <w:szCs w:val="32"/>
          <w:highlight w:val="none"/>
        </w:rPr>
        <w:t>均不明确，未体现项目的统筹</w:t>
      </w:r>
      <w:r>
        <w:rPr>
          <w:rFonts w:hint="default" w:ascii="Times New Roman" w:hAnsi="Times New Roman" w:eastAsia="仿宋_GB2312" w:cs="Times New Roman"/>
          <w:color w:val="000000"/>
          <w:kern w:val="0"/>
          <w:sz w:val="32"/>
          <w:szCs w:val="32"/>
          <w:highlight w:val="none"/>
          <w:lang w:val="en-US" w:eastAsia="zh-CN"/>
        </w:rPr>
        <w:t>资金</w:t>
      </w:r>
      <w:r>
        <w:rPr>
          <w:rFonts w:hint="default" w:ascii="Times New Roman" w:hAnsi="Times New Roman" w:eastAsia="仿宋_GB2312" w:cs="Times New Roman"/>
          <w:color w:val="000000"/>
          <w:kern w:val="0"/>
          <w:sz w:val="32"/>
          <w:szCs w:val="32"/>
          <w:highlight w:val="none"/>
        </w:rPr>
        <w:t>安排，不利于有序推进项目的实施。</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b w:val="0"/>
          <w:bCs w:val="0"/>
          <w:kern w:val="0"/>
          <w:sz w:val="32"/>
          <w:szCs w:val="32"/>
          <w:highlight w:val="none"/>
          <w:shd w:val="clear" w:color="auto" w:fill="auto"/>
          <w:lang w:val="en-US" w:eastAsia="zh-CN" w:bidi="ar-SA"/>
        </w:rPr>
      </w:pPr>
      <w:r>
        <w:rPr>
          <w:rFonts w:hint="default" w:ascii="Times New Roman" w:hAnsi="Times New Roman" w:eastAsia="仿宋_GB2312" w:cs="Times New Roman"/>
          <w:b w:val="0"/>
          <w:bCs w:val="0"/>
          <w:kern w:val="0"/>
          <w:sz w:val="32"/>
          <w:szCs w:val="32"/>
          <w:highlight w:val="none"/>
          <w:shd w:val="clear" w:color="auto" w:fill="auto"/>
          <w:lang w:val="en-US" w:eastAsia="zh-CN" w:bidi="ar-SA"/>
        </w:rPr>
        <w:t>3.项目产出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bCs/>
          <w:sz w:val="32"/>
          <w:szCs w:val="32"/>
        </w:rPr>
      </w:pPr>
      <w:r>
        <w:rPr>
          <w:rFonts w:hint="eastAsia" w:ascii="Times New Roman" w:hAnsi="Times New Roman" w:eastAsia="仿宋_GB2312" w:cs="Times New Roman"/>
          <w:color w:val="000000"/>
          <w:kern w:val="0"/>
          <w:sz w:val="32"/>
          <w:szCs w:val="32"/>
          <w:highlight w:val="none"/>
          <w:lang w:val="en-US" w:eastAsia="zh-CN"/>
        </w:rPr>
        <w:t>该</w:t>
      </w:r>
      <w:r>
        <w:rPr>
          <w:rFonts w:hint="default" w:ascii="Times New Roman" w:hAnsi="Times New Roman" w:eastAsia="仿宋_GB2312" w:cs="Times New Roman"/>
          <w:color w:val="000000"/>
          <w:kern w:val="0"/>
          <w:sz w:val="32"/>
          <w:szCs w:val="32"/>
          <w:highlight w:val="none"/>
        </w:rPr>
        <w:t>项目未严格按照</w:t>
      </w:r>
      <w:r>
        <w:rPr>
          <w:rFonts w:hint="default" w:ascii="Times New Roman" w:hAnsi="Times New Roman" w:eastAsia="仿宋_GB2312" w:cs="Times New Roman"/>
          <w:color w:val="000000"/>
          <w:kern w:val="0"/>
          <w:sz w:val="32"/>
          <w:szCs w:val="32"/>
          <w:highlight w:val="none"/>
          <w:lang w:val="en-US" w:eastAsia="zh-CN"/>
        </w:rPr>
        <w:t>绩效目标申报表规定的时间完成</w:t>
      </w:r>
      <w:r>
        <w:rPr>
          <w:rFonts w:hint="default" w:ascii="Times New Roman" w:hAnsi="Times New Roman" w:eastAsia="仿宋_GB2312" w:cs="Times New Roman"/>
          <w:color w:val="000000"/>
          <w:kern w:val="0"/>
          <w:sz w:val="32"/>
          <w:szCs w:val="32"/>
          <w:highlight w:val="none"/>
        </w:rPr>
        <w:t>，实际执行进度较预期目标有所延迟。招标采购时间</w:t>
      </w:r>
      <w:r>
        <w:rPr>
          <w:rFonts w:hint="default" w:ascii="Times New Roman" w:hAnsi="Times New Roman" w:eastAsia="仿宋_GB2312" w:cs="Times New Roman"/>
          <w:color w:val="000000"/>
          <w:kern w:val="0"/>
          <w:sz w:val="32"/>
          <w:szCs w:val="32"/>
          <w:highlight w:val="none"/>
          <w:lang w:val="en-US" w:eastAsia="zh-CN"/>
        </w:rPr>
        <w:t>比预期目标晚1个月，</w:t>
      </w:r>
      <w:r>
        <w:rPr>
          <w:rFonts w:hint="default" w:ascii="Times New Roman" w:hAnsi="Times New Roman" w:eastAsia="仿宋_GB2312" w:cs="Times New Roman"/>
          <w:color w:val="000000"/>
          <w:kern w:val="0"/>
          <w:sz w:val="32"/>
          <w:szCs w:val="32"/>
          <w:highlight w:val="none"/>
        </w:rPr>
        <w:t>采购物品到位时间</w:t>
      </w:r>
      <w:r>
        <w:rPr>
          <w:rFonts w:hint="default" w:ascii="Times New Roman" w:hAnsi="Times New Roman" w:eastAsia="仿宋_GB2312" w:cs="Times New Roman"/>
          <w:color w:val="000000"/>
          <w:kern w:val="0"/>
          <w:sz w:val="32"/>
          <w:szCs w:val="32"/>
          <w:highlight w:val="none"/>
          <w:lang w:val="en-US" w:eastAsia="zh-CN"/>
        </w:rPr>
        <w:t>比预期目标晚2个月，</w:t>
      </w:r>
      <w:r>
        <w:rPr>
          <w:rFonts w:hint="default" w:ascii="Times New Roman" w:hAnsi="Times New Roman" w:eastAsia="仿宋_GB2312" w:cs="Times New Roman"/>
          <w:bCs/>
          <w:sz w:val="32"/>
          <w:szCs w:val="32"/>
          <w:highlight w:val="none"/>
          <w:lang w:val="en-US" w:eastAsia="zh-CN"/>
        </w:rPr>
        <w:t>验收日期</w:t>
      </w:r>
      <w:r>
        <w:rPr>
          <w:rFonts w:hint="default" w:ascii="Times New Roman" w:hAnsi="Times New Roman" w:eastAsia="仿宋_GB2312" w:cs="Times New Roman"/>
          <w:color w:val="000000"/>
          <w:kern w:val="0"/>
          <w:sz w:val="32"/>
          <w:szCs w:val="32"/>
          <w:highlight w:val="none"/>
          <w:lang w:val="en-US" w:eastAsia="zh-CN"/>
        </w:rPr>
        <w:t>比预期目标晚3个月。</w:t>
      </w:r>
      <w:r>
        <w:rPr>
          <w:rFonts w:hint="default" w:ascii="Times New Roman" w:hAnsi="Times New Roman" w:eastAsia="仿宋_GB2312" w:cs="Times New Roman"/>
          <w:color w:val="000000"/>
          <w:kern w:val="0"/>
          <w:sz w:val="32"/>
          <w:szCs w:val="32"/>
          <w:highlight w:val="none"/>
          <w:lang w:val="en-US" w:eastAsia="zh-CN" w:bidi="ar-SA"/>
        </w:rPr>
        <w:t>未按《北京市石景山公安分局责令限期整改通知书》（石公（限）责通字〔2021〕0062号）</w:t>
      </w:r>
      <w:r>
        <w:rPr>
          <w:rFonts w:hint="eastAsia" w:eastAsia="仿宋_GB2312" w:cs="Times New Roman"/>
          <w:color w:val="000000"/>
          <w:kern w:val="0"/>
          <w:sz w:val="32"/>
          <w:szCs w:val="32"/>
          <w:highlight w:val="none"/>
          <w:lang w:val="en-US" w:eastAsia="zh-CN" w:bidi="ar-SA"/>
        </w:rPr>
        <w:t>规定期限</w:t>
      </w:r>
      <w:r>
        <w:rPr>
          <w:rFonts w:hint="default" w:ascii="Times New Roman" w:hAnsi="Times New Roman" w:eastAsia="仿宋_GB2312" w:cs="Times New Roman"/>
          <w:color w:val="000000"/>
          <w:kern w:val="0"/>
          <w:sz w:val="32"/>
          <w:szCs w:val="32"/>
          <w:highlight w:val="none"/>
          <w:lang w:val="en-US" w:eastAsia="zh-CN" w:bidi="ar-SA"/>
        </w:rPr>
        <w:t>完成整改要求</w:t>
      </w:r>
      <w:r>
        <w:rPr>
          <w:rFonts w:hint="eastAsia" w:eastAsia="仿宋_GB2312" w:cs="Times New Roman"/>
          <w:color w:val="000000"/>
          <w:kern w:val="0"/>
          <w:sz w:val="32"/>
          <w:szCs w:val="32"/>
          <w:highlight w:val="none"/>
          <w:lang w:val="en-US" w:eastAsia="zh-CN" w:bidi="ar-SA"/>
        </w:rPr>
        <w:t>。</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val="0"/>
          <w:color w:val="000000"/>
          <w:kern w:val="0"/>
          <w:sz w:val="32"/>
          <w:szCs w:val="32"/>
          <w:highlight w:val="none"/>
          <w:lang w:val="en-US" w:eastAsia="zh-CN"/>
        </w:rPr>
      </w:pPr>
      <w:r>
        <w:rPr>
          <w:rFonts w:hint="default" w:ascii="Times New Roman" w:hAnsi="Times New Roman" w:eastAsia="仿宋_GB2312" w:cs="Times New Roman"/>
          <w:b w:val="0"/>
          <w:bCs w:val="0"/>
          <w:color w:val="000000"/>
          <w:kern w:val="0"/>
          <w:sz w:val="32"/>
          <w:szCs w:val="32"/>
          <w:highlight w:val="none"/>
          <w:lang w:val="en-US" w:eastAsia="zh-CN"/>
        </w:rPr>
        <w:t>4.项目效益</w:t>
      </w:r>
    </w:p>
    <w:p>
      <w:pPr>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Times New Roman" w:hAnsi="Times New Roman" w:eastAsia="仿宋_GB2312" w:cs="Times New Roman"/>
          <w:b w:val="0"/>
          <w:bCs w:val="0"/>
          <w:color w:val="000000"/>
          <w:kern w:val="0"/>
          <w:sz w:val="32"/>
          <w:szCs w:val="32"/>
          <w:highlight w:val="none"/>
          <w:lang w:val="en-US" w:eastAsia="zh-CN"/>
        </w:rPr>
      </w:pPr>
      <w:r>
        <w:rPr>
          <w:rFonts w:hint="default" w:ascii="Times New Roman" w:hAnsi="Times New Roman" w:eastAsia="仿宋_GB2312" w:cs="Times New Roman"/>
          <w:color w:val="000000"/>
          <w:kern w:val="0"/>
          <w:sz w:val="32"/>
          <w:szCs w:val="32"/>
          <w:highlight w:val="none"/>
          <w:lang w:val="en-US" w:eastAsia="zh-CN"/>
        </w:rPr>
        <w:t>服务对象满意度调查资料不足，</w:t>
      </w:r>
      <w:r>
        <w:rPr>
          <w:rFonts w:hint="eastAsia" w:ascii="Times New Roman" w:hAnsi="Times New Roman" w:eastAsia="仿宋_GB2312" w:cs="Times New Roman"/>
          <w:color w:val="000000"/>
          <w:kern w:val="0"/>
          <w:sz w:val="32"/>
          <w:szCs w:val="32"/>
          <w:highlight w:val="none"/>
          <w:lang w:val="en-US" w:eastAsia="zh-CN"/>
        </w:rPr>
        <w:t>未对全部收益群体进行满意度调查。</w:t>
      </w:r>
    </w:p>
    <w:p>
      <w:pPr>
        <w:pageBreakBefore w:val="0"/>
        <w:widowControl w:val="0"/>
        <w:kinsoku/>
        <w:wordWrap/>
        <w:overflowPunct/>
        <w:topLinePunct w:val="0"/>
        <w:autoSpaceDE/>
        <w:autoSpaceDN/>
        <w:bidi w:val="0"/>
        <w:adjustRightInd w:val="0"/>
        <w:snapToGrid w:val="0"/>
        <w:spacing w:line="600" w:lineRule="exact"/>
        <w:ind w:firstLine="640"/>
        <w:textAlignment w:val="auto"/>
        <w:outlineLvl w:val="0"/>
        <w:rPr>
          <w:rFonts w:hint="default" w:ascii="Times New Roman" w:hAnsi="Times New Roman" w:eastAsia="黑体" w:cs="Times New Roman"/>
          <w:bCs/>
          <w:sz w:val="32"/>
          <w:szCs w:val="32"/>
          <w:highlight w:val="none"/>
        </w:rPr>
      </w:pPr>
      <w:bookmarkStart w:id="156" w:name="_Toc3259"/>
      <w:bookmarkStart w:id="157" w:name="_Toc10644"/>
      <w:bookmarkStart w:id="158" w:name="_Toc11236"/>
      <w:bookmarkStart w:id="159" w:name="_Toc5917"/>
      <w:bookmarkStart w:id="160" w:name="_Toc805878170_WPSOffice_Level1"/>
      <w:bookmarkStart w:id="161" w:name="_Toc1096674552"/>
      <w:bookmarkStart w:id="162" w:name="_Toc5416"/>
      <w:r>
        <w:rPr>
          <w:rFonts w:hint="default" w:ascii="Times New Roman" w:hAnsi="Times New Roman" w:eastAsia="黑体" w:cs="Times New Roman"/>
          <w:bCs/>
          <w:sz w:val="32"/>
          <w:szCs w:val="32"/>
          <w:highlight w:val="none"/>
        </w:rPr>
        <w:t>六、有关建议</w:t>
      </w:r>
      <w:bookmarkEnd w:id="154"/>
      <w:bookmarkEnd w:id="155"/>
      <w:bookmarkEnd w:id="156"/>
      <w:bookmarkEnd w:id="157"/>
      <w:bookmarkEnd w:id="158"/>
      <w:bookmarkEnd w:id="159"/>
      <w:bookmarkEnd w:id="160"/>
      <w:bookmarkEnd w:id="161"/>
      <w:bookmarkEnd w:id="162"/>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baseline"/>
        <w:outlineLvl w:val="9"/>
        <w:rPr>
          <w:rFonts w:hint="default" w:ascii="Times New Roman" w:hAnsi="Times New Roman" w:eastAsia="楷体_GB2312" w:cs="Times New Roman"/>
          <w:b/>
          <w:bCs/>
          <w:sz w:val="32"/>
          <w:szCs w:val="32"/>
          <w:lang w:val="en-US" w:eastAsia="zh-CN"/>
        </w:rPr>
      </w:pPr>
      <w:bookmarkStart w:id="163" w:name="_Toc61602327"/>
      <w:bookmarkStart w:id="164" w:name="_Toc61602478"/>
      <w:bookmarkStart w:id="165" w:name="_Toc19425"/>
      <w:bookmarkStart w:id="166" w:name="_Toc5174"/>
      <w:bookmarkStart w:id="167" w:name="_Toc61602288"/>
      <w:bookmarkStart w:id="168" w:name="_Toc1229741495"/>
      <w:r>
        <w:rPr>
          <w:rFonts w:hint="default" w:ascii="Times New Roman" w:hAnsi="Times New Roman" w:eastAsia="楷体_GB2312" w:cs="Times New Roman"/>
          <w:b/>
          <w:bCs/>
          <w:sz w:val="32"/>
          <w:szCs w:val="32"/>
        </w:rPr>
        <w:t>（一）</w:t>
      </w:r>
      <w:bookmarkEnd w:id="163"/>
      <w:bookmarkEnd w:id="164"/>
      <w:bookmarkEnd w:id="165"/>
      <w:bookmarkEnd w:id="166"/>
      <w:bookmarkEnd w:id="167"/>
      <w:r>
        <w:rPr>
          <w:rFonts w:hint="default" w:ascii="Times New Roman" w:hAnsi="Times New Roman" w:eastAsia="楷体_GB2312" w:cs="Times New Roman"/>
          <w:b/>
          <w:bCs/>
          <w:sz w:val="32"/>
          <w:szCs w:val="32"/>
          <w:lang w:val="en-US" w:eastAsia="zh-CN"/>
        </w:rPr>
        <w:t>项目决策方面</w:t>
      </w:r>
    </w:p>
    <w:p>
      <w:pPr>
        <w:adjustRightInd w:val="0"/>
        <w:spacing w:line="600" w:lineRule="exact"/>
        <w:ind w:firstLine="640"/>
        <w:rPr>
          <w:rFonts w:hint="default" w:ascii="仿宋_GB2312" w:hAnsi="Times New Roman" w:eastAsia="仿宋_GB2312" w:cs="Courier New"/>
          <w:color w:val="000000"/>
          <w:kern w:val="0"/>
          <w:sz w:val="32"/>
          <w:szCs w:val="32"/>
          <w:lang w:val="en-US" w:eastAsia="zh-CN"/>
        </w:rPr>
      </w:pPr>
      <w:r>
        <w:rPr>
          <w:rFonts w:hint="default" w:ascii="Times New Roman" w:hAnsi="Times New Roman" w:eastAsia="仿宋_GB2312" w:cs="Times New Roman"/>
          <w:color w:val="000000"/>
          <w:kern w:val="0"/>
          <w:sz w:val="32"/>
          <w:szCs w:val="32"/>
        </w:rPr>
        <w:t>1.</w:t>
      </w:r>
      <w:r>
        <w:rPr>
          <w:rFonts w:hint="eastAsia" w:ascii="仿宋_GB2312" w:hAnsi="Times New Roman" w:eastAsia="仿宋_GB2312" w:cs="Courier New"/>
          <w:color w:val="000000"/>
          <w:kern w:val="0"/>
          <w:sz w:val="32"/>
          <w:szCs w:val="32"/>
        </w:rPr>
        <w:t>规范项目立项程序</w:t>
      </w:r>
      <w:r>
        <w:rPr>
          <w:rFonts w:hint="default" w:ascii="Times New Roman" w:hAnsi="Times New Roman" w:eastAsia="仿宋_GB2312" w:cs="Times New Roman"/>
          <w:color w:val="000000"/>
          <w:kern w:val="0"/>
          <w:sz w:val="32"/>
          <w:szCs w:val="32"/>
        </w:rPr>
        <w:t>。</w:t>
      </w:r>
      <w:r>
        <w:rPr>
          <w:rFonts w:hint="eastAsia" w:ascii="仿宋_GB2312" w:hAnsi="Times New Roman" w:eastAsia="仿宋_GB2312" w:cs="Courier New"/>
          <w:color w:val="000000"/>
          <w:kern w:val="0"/>
          <w:sz w:val="32"/>
          <w:szCs w:val="32"/>
        </w:rPr>
        <w:t>项目立项前要</w:t>
      </w:r>
      <w:r>
        <w:rPr>
          <w:rFonts w:hint="eastAsia" w:ascii="仿宋_GB2312" w:hAnsi="Times New Roman" w:eastAsia="仿宋_GB2312" w:cs="Courier New"/>
          <w:color w:val="000000"/>
          <w:kern w:val="0"/>
          <w:sz w:val="32"/>
          <w:szCs w:val="32"/>
          <w:lang w:val="en-US" w:eastAsia="zh-CN"/>
        </w:rPr>
        <w:t>对200万以上的项目</w:t>
      </w:r>
      <w:r>
        <w:rPr>
          <w:rFonts w:hint="eastAsia" w:ascii="仿宋_GB2312" w:hAnsi="Times New Roman" w:eastAsia="仿宋_GB2312" w:cs="Courier New"/>
          <w:color w:val="000000"/>
          <w:kern w:val="0"/>
          <w:sz w:val="32"/>
          <w:szCs w:val="32"/>
        </w:rPr>
        <w:t>进行</w:t>
      </w:r>
      <w:r>
        <w:rPr>
          <w:rFonts w:hint="eastAsia" w:ascii="仿宋_GB2312" w:hAnsi="Times New Roman" w:eastAsia="仿宋_GB2312" w:cs="Courier New"/>
          <w:color w:val="000000"/>
          <w:kern w:val="0"/>
          <w:sz w:val="32"/>
          <w:szCs w:val="32"/>
          <w:lang w:val="en-US" w:eastAsia="zh-CN"/>
        </w:rPr>
        <w:t>专家</w:t>
      </w:r>
      <w:r>
        <w:rPr>
          <w:rFonts w:hint="eastAsia" w:ascii="仿宋_GB2312" w:hAnsi="Times New Roman" w:eastAsia="仿宋_GB2312" w:cs="Courier New"/>
          <w:color w:val="000000"/>
          <w:kern w:val="0"/>
          <w:sz w:val="32"/>
          <w:szCs w:val="32"/>
        </w:rPr>
        <w:t>论证，</w:t>
      </w:r>
      <w:r>
        <w:rPr>
          <w:rFonts w:hint="eastAsia" w:ascii="仿宋_GB2312" w:hAnsi="Times New Roman" w:eastAsia="仿宋_GB2312" w:cs="Courier New"/>
          <w:color w:val="000000"/>
          <w:kern w:val="0"/>
          <w:sz w:val="32"/>
          <w:szCs w:val="32"/>
          <w:lang w:val="en-US" w:eastAsia="zh-CN"/>
        </w:rPr>
        <w:t>对投入成本合理性，技术方案替代性，成本测算依</w:t>
      </w:r>
      <w:r>
        <w:rPr>
          <w:rFonts w:hint="default" w:ascii="仿宋_GB2312" w:hAnsi="Times New Roman" w:eastAsia="仿宋_GB2312" w:cs="Courier New"/>
          <w:color w:val="000000"/>
          <w:kern w:val="0"/>
          <w:sz w:val="32"/>
          <w:szCs w:val="32"/>
          <w:lang w:val="en-US" w:eastAsia="zh-CN"/>
        </w:rPr>
        <w:t>据以及相关成本控制措施等进行重点论证</w:t>
      </w:r>
      <w:r>
        <w:rPr>
          <w:rFonts w:hint="eastAsia" w:ascii="仿宋_GB2312" w:hAnsi="Times New Roman" w:eastAsia="仿宋_GB2312" w:cs="Courier New"/>
          <w:color w:val="000000"/>
          <w:kern w:val="0"/>
          <w:sz w:val="32"/>
          <w:szCs w:val="32"/>
        </w:rPr>
        <w:t>。掌握</w:t>
      </w:r>
      <w:r>
        <w:rPr>
          <w:rFonts w:hint="eastAsia" w:ascii="仿宋_GB2312" w:hAnsi="Times New Roman" w:eastAsia="仿宋_GB2312" w:cs="Courier New"/>
          <w:color w:val="000000"/>
          <w:kern w:val="0"/>
          <w:sz w:val="32"/>
          <w:szCs w:val="32"/>
          <w:lang w:val="en-US" w:eastAsia="zh-CN"/>
        </w:rPr>
        <w:t>学校监控设备</w:t>
      </w:r>
      <w:r>
        <w:rPr>
          <w:rFonts w:hint="eastAsia" w:ascii="仿宋_GB2312" w:hAnsi="Times New Roman" w:eastAsia="仿宋_GB2312" w:cs="Courier New"/>
          <w:color w:val="000000"/>
          <w:kern w:val="0"/>
          <w:sz w:val="32"/>
          <w:szCs w:val="32"/>
        </w:rPr>
        <w:t>的实际情况，为科学决策和合理预算提供依据。</w:t>
      </w:r>
      <w:r>
        <w:rPr>
          <w:rFonts w:hint="eastAsia" w:ascii="仿宋_GB2312" w:hAnsi="Times New Roman" w:eastAsia="仿宋_GB2312" w:cs="Courier New"/>
          <w:color w:val="000000"/>
          <w:kern w:val="0"/>
          <w:sz w:val="32"/>
          <w:szCs w:val="32"/>
          <w:lang w:val="en-US" w:eastAsia="zh-CN"/>
        </w:rPr>
        <w:t>严格按照</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首钢技师学院专项资金项目管理实施细则</w:t>
      </w:r>
      <w:r>
        <w:rPr>
          <w:rFonts w:hint="eastAsia" w:ascii="Times New Roman" w:hAnsi="Times New Roman" w:eastAsia="仿宋_GB2312" w:cs="Times New Roman"/>
          <w:b w:val="0"/>
          <w:bCs w:val="0"/>
          <w:sz w:val="32"/>
          <w:szCs w:val="32"/>
          <w:highlight w:val="none"/>
          <w:lang w:val="en-US" w:eastAsia="zh-CN"/>
        </w:rPr>
        <w:t>》</w:t>
      </w:r>
      <w:r>
        <w:rPr>
          <w:rFonts w:hint="eastAsia" w:eastAsia="仿宋_GB2312" w:cs="Times New Roman"/>
          <w:b w:val="0"/>
          <w:bCs w:val="0"/>
          <w:sz w:val="32"/>
          <w:szCs w:val="32"/>
          <w:highlight w:val="none"/>
          <w:lang w:val="en-US" w:eastAsia="zh-CN"/>
        </w:rPr>
        <w:t>，</w:t>
      </w:r>
      <w:r>
        <w:rPr>
          <w:rFonts w:hint="eastAsia" w:ascii="仿宋_GB2312" w:hAnsi="Times New Roman" w:eastAsia="仿宋_GB2312" w:cs="Courier New"/>
          <w:color w:val="000000"/>
          <w:kern w:val="0"/>
          <w:sz w:val="32"/>
          <w:szCs w:val="32"/>
          <w:lang w:val="en-US" w:eastAsia="zh-CN"/>
        </w:rPr>
        <w:t>加强项目立项申报材料审核。</w:t>
      </w:r>
    </w:p>
    <w:p>
      <w:pPr>
        <w:pageBreakBefore w:val="0"/>
        <w:kinsoku/>
        <w:wordWrap/>
        <w:overflowPunct/>
        <w:topLinePunct w:val="0"/>
        <w:autoSpaceDE/>
        <w:autoSpaceDN/>
        <w:bidi w:val="0"/>
        <w:spacing w:line="600" w:lineRule="exact"/>
        <w:ind w:firstLine="640"/>
        <w:rPr>
          <w:rFonts w:hint="default" w:ascii="Times New Roman" w:hAnsi="Times New Roman" w:eastAsia="仿宋_GB2312" w:cs="Times New Roman"/>
          <w:color w:val="000000"/>
          <w:kern w:val="0"/>
          <w:sz w:val="32"/>
          <w:szCs w:val="32"/>
          <w:lang w:val="en-US" w:eastAsia="zh-CN"/>
        </w:rPr>
      </w:pPr>
      <w:bookmarkStart w:id="169" w:name="_Toc21856"/>
      <w:bookmarkStart w:id="170" w:name="_Toc14538"/>
      <w:r>
        <w:rPr>
          <w:rFonts w:hint="default" w:ascii="Times New Roman" w:hAnsi="Times New Roman" w:eastAsia="仿宋_GB2312" w:cs="Times New Roman"/>
          <w:color w:val="000000"/>
          <w:kern w:val="0"/>
          <w:sz w:val="32"/>
          <w:szCs w:val="32"/>
        </w:rPr>
        <w:t>2.强化绩效意识。规范填报项目绩效目标申报表，围绕项目核心内容，科学设置绩效</w:t>
      </w:r>
      <w:r>
        <w:rPr>
          <w:rFonts w:hint="default" w:ascii="Times New Roman" w:hAnsi="Times New Roman" w:eastAsia="仿宋_GB2312" w:cs="Times New Roman"/>
          <w:color w:val="000000"/>
          <w:kern w:val="0"/>
          <w:sz w:val="32"/>
          <w:szCs w:val="32"/>
          <w:lang w:val="en-US" w:eastAsia="zh-CN"/>
        </w:rPr>
        <w:t>指标</w:t>
      </w:r>
      <w:r>
        <w:rPr>
          <w:rFonts w:hint="default" w:ascii="Times New Roman" w:hAnsi="Times New Roman" w:eastAsia="仿宋_GB2312" w:cs="Times New Roman"/>
          <w:color w:val="000000"/>
          <w:kern w:val="0"/>
          <w:sz w:val="32"/>
          <w:szCs w:val="32"/>
        </w:rPr>
        <w:t>，效益指标要根据项目内容予以细化，明确效果内容，持续时间。增强可考量性，提高有效性。</w:t>
      </w:r>
      <w:r>
        <w:rPr>
          <w:rFonts w:hint="eastAsia" w:ascii="Times New Roman" w:hAnsi="Times New Roman" w:eastAsia="仿宋_GB2312" w:cs="Times New Roman"/>
          <w:color w:val="000000"/>
          <w:kern w:val="0"/>
          <w:sz w:val="32"/>
          <w:szCs w:val="32"/>
          <w:lang w:val="en-US" w:eastAsia="zh-CN"/>
        </w:rPr>
        <w:t>如</w:t>
      </w:r>
      <w:r>
        <w:rPr>
          <w:rFonts w:hint="eastAsia"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lang w:val="en-US" w:eastAsia="zh-CN"/>
        </w:rPr>
        <w:t>社会效益指标”可设置为</w:t>
      </w:r>
      <w:r>
        <w:rPr>
          <w:rFonts w:hint="eastAsia" w:ascii="Times New Roman" w:hAnsi="Times New Roman" w:eastAsia="仿宋_GB2312" w:cs="Times New Roman"/>
          <w:color w:val="000000"/>
          <w:kern w:val="0"/>
          <w:sz w:val="32"/>
          <w:szCs w:val="32"/>
          <w:highlight w:val="none"/>
          <w:lang w:val="en-US" w:eastAsia="zh-CN"/>
        </w:rPr>
        <w:t>“设备存储时间不低于90天”，</w:t>
      </w:r>
      <w:r>
        <w:rPr>
          <w:rFonts w:hint="eastAsia"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lang w:val="en-US" w:eastAsia="zh-CN"/>
        </w:rPr>
        <w:t>可持续影响”可设置为“设备预计使用年限”。</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baseline"/>
        <w:outlineLvl w:val="9"/>
        <w:rPr>
          <w:rFonts w:hint="default" w:ascii="Times New Roman" w:hAnsi="Times New Roman" w:eastAsia="楷体_GB2312" w:cs="Times New Roman"/>
          <w:b/>
          <w:bCs/>
          <w:sz w:val="32"/>
          <w:szCs w:val="32"/>
          <w:lang w:val="en-US"/>
        </w:rPr>
      </w:pPr>
      <w:r>
        <w:rPr>
          <w:rFonts w:hint="default"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二</w:t>
      </w:r>
      <w:r>
        <w:rPr>
          <w:rFonts w:hint="default" w:ascii="Times New Roman" w:hAnsi="Times New Roman" w:eastAsia="楷体_GB2312" w:cs="Times New Roman"/>
          <w:b/>
          <w:bCs/>
          <w:sz w:val="32"/>
          <w:szCs w:val="32"/>
        </w:rPr>
        <w:t>）</w:t>
      </w:r>
      <w:bookmarkEnd w:id="169"/>
      <w:bookmarkEnd w:id="170"/>
      <w:r>
        <w:rPr>
          <w:rFonts w:hint="default" w:ascii="Times New Roman" w:hAnsi="Times New Roman" w:eastAsia="楷体_GB2312" w:cs="Times New Roman"/>
          <w:b/>
          <w:bCs/>
          <w:sz w:val="32"/>
          <w:szCs w:val="32"/>
          <w:lang w:val="en-US" w:eastAsia="zh-CN"/>
        </w:rPr>
        <w:t>项目过程方面</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baseline"/>
        <w:outlineLvl w:val="9"/>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val="en-US" w:eastAsia="zh-CN"/>
        </w:rPr>
        <w:t>1.</w:t>
      </w:r>
      <w:r>
        <w:rPr>
          <w:rFonts w:hint="default" w:ascii="Times New Roman" w:hAnsi="Times New Roman" w:eastAsia="仿宋_GB2312" w:cs="Times New Roman"/>
          <w:color w:val="000000"/>
          <w:kern w:val="0"/>
          <w:sz w:val="32"/>
          <w:szCs w:val="32"/>
        </w:rPr>
        <w:t>加强</w:t>
      </w:r>
      <w:r>
        <w:rPr>
          <w:rFonts w:hint="default" w:ascii="Times New Roman" w:hAnsi="Times New Roman" w:eastAsia="仿宋_GB2312" w:cs="Times New Roman"/>
          <w:color w:val="000000"/>
          <w:kern w:val="0"/>
          <w:sz w:val="32"/>
          <w:szCs w:val="32"/>
          <w:lang w:val="en-US" w:eastAsia="zh-CN"/>
        </w:rPr>
        <w:t>合同</w:t>
      </w:r>
      <w:r>
        <w:rPr>
          <w:rFonts w:hint="default" w:ascii="Times New Roman" w:hAnsi="Times New Roman" w:eastAsia="仿宋_GB2312" w:cs="Times New Roman"/>
          <w:color w:val="000000"/>
          <w:kern w:val="0"/>
          <w:sz w:val="32"/>
          <w:szCs w:val="32"/>
        </w:rPr>
        <w:t>管理。</w:t>
      </w:r>
      <w:r>
        <w:rPr>
          <w:rFonts w:hint="default" w:ascii="Times New Roman" w:hAnsi="Times New Roman" w:eastAsia="仿宋_GB2312" w:cs="Times New Roman"/>
          <w:color w:val="000000"/>
          <w:kern w:val="0"/>
          <w:sz w:val="32"/>
          <w:szCs w:val="32"/>
          <w:lang w:val="en-US" w:eastAsia="zh-CN"/>
        </w:rPr>
        <w:t>加强</w:t>
      </w:r>
      <w:r>
        <w:rPr>
          <w:rFonts w:hint="default" w:ascii="Times New Roman" w:hAnsi="Times New Roman" w:eastAsia="仿宋_GB2312" w:cs="Times New Roman"/>
          <w:color w:val="000000"/>
          <w:kern w:val="0"/>
          <w:sz w:val="32"/>
          <w:szCs w:val="32"/>
        </w:rPr>
        <w:t>在合同订立、招标采购、内部审核等方面</w:t>
      </w:r>
      <w:r>
        <w:rPr>
          <w:rFonts w:hint="default" w:ascii="Times New Roman" w:hAnsi="Times New Roman" w:eastAsia="仿宋_GB2312" w:cs="Times New Roman"/>
          <w:color w:val="000000"/>
          <w:kern w:val="0"/>
          <w:sz w:val="32"/>
          <w:szCs w:val="32"/>
          <w:lang w:val="en-US" w:eastAsia="zh-CN"/>
        </w:rPr>
        <w:t>管理</w:t>
      </w:r>
      <w:r>
        <w:rPr>
          <w:rFonts w:hint="default" w:ascii="Times New Roman" w:hAnsi="Times New Roman" w:eastAsia="仿宋_GB2312" w:cs="Times New Roman"/>
          <w:color w:val="000000"/>
          <w:kern w:val="0"/>
          <w:sz w:val="32"/>
          <w:szCs w:val="32"/>
        </w:rPr>
        <w:t>。重视合同签署的规范性，建立合同审核管理机制，规范政府采购，避免产生合同纠纷。完善项目资金支出风险管控措施，提高管理的规范性。</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rPr>
        <w:t>完善</w:t>
      </w:r>
      <w:r>
        <w:rPr>
          <w:rFonts w:hint="default" w:ascii="Times New Roman" w:hAnsi="Times New Roman" w:eastAsia="仿宋_GB2312" w:cs="Times New Roman"/>
          <w:bCs/>
          <w:sz w:val="32"/>
          <w:szCs w:val="32"/>
        </w:rPr>
        <w:t>项目实施方案，</w:t>
      </w:r>
      <w:r>
        <w:rPr>
          <w:rFonts w:hint="default" w:ascii="Times New Roman" w:hAnsi="Times New Roman" w:eastAsia="仿宋_GB2312" w:cs="Times New Roman"/>
          <w:color w:val="000000"/>
          <w:kern w:val="0"/>
          <w:sz w:val="32"/>
          <w:szCs w:val="32"/>
        </w:rPr>
        <w:t>落实项目组织保障，责任分工明确，落实到人。</w:t>
      </w:r>
      <w:r>
        <w:rPr>
          <w:rFonts w:hint="default" w:ascii="Times New Roman" w:hAnsi="Times New Roman" w:eastAsia="仿宋_GB2312" w:cs="Times New Roman"/>
          <w:color w:val="000000"/>
          <w:kern w:val="0"/>
          <w:sz w:val="32"/>
          <w:szCs w:val="32"/>
          <w:lang w:val="en-US" w:eastAsia="zh-CN"/>
        </w:rPr>
        <w:t>明确</w:t>
      </w:r>
      <w:r>
        <w:rPr>
          <w:rFonts w:hint="default" w:ascii="Times New Roman" w:hAnsi="Times New Roman" w:eastAsia="仿宋_GB2312" w:cs="Times New Roman"/>
          <w:color w:val="000000"/>
          <w:kern w:val="0"/>
          <w:sz w:val="32"/>
          <w:szCs w:val="32"/>
          <w:highlight w:val="none"/>
        </w:rPr>
        <w:t>项目预算及测算依据</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rPr>
        <w:t>资金分配、进度安排、成本控制</w:t>
      </w:r>
      <w:r>
        <w:rPr>
          <w:rFonts w:hint="default" w:ascii="Times New Roman" w:hAnsi="Times New Roman" w:eastAsia="仿宋_GB2312" w:cs="Times New Roman"/>
          <w:color w:val="000000"/>
          <w:kern w:val="0"/>
          <w:sz w:val="32"/>
          <w:szCs w:val="32"/>
          <w:highlight w:val="none"/>
          <w:lang w:val="en-US" w:eastAsia="zh-CN"/>
        </w:rPr>
        <w:t>等</w:t>
      </w:r>
      <w:r>
        <w:rPr>
          <w:rFonts w:hint="default" w:ascii="Times New Roman" w:hAnsi="Times New Roman" w:eastAsia="仿宋_GB2312" w:cs="Times New Roman"/>
          <w:sz w:val="32"/>
          <w:szCs w:val="32"/>
        </w:rPr>
        <w:t>各方面进行详细阐述，提高项目执行的指导性和操作性，有效推进项目实施进程，确保项目实施质量。</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baseline"/>
        <w:outlineLvl w:val="9"/>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三</w:t>
      </w:r>
      <w:r>
        <w:rPr>
          <w:rFonts w:hint="default"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项目产出方面</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树立全面预算绩效管理意识，对预算绩效实现全过程管理，</w:t>
      </w:r>
      <w:r>
        <w:rPr>
          <w:rFonts w:eastAsia="仿宋_GB2312"/>
          <w:sz w:val="32"/>
          <w:szCs w:val="32"/>
          <w:lang w:eastAsia="zh-CN"/>
        </w:rPr>
        <w:t>在预算执行过程中，</w:t>
      </w:r>
      <w:r>
        <w:rPr>
          <w:rFonts w:hint="default" w:ascii="Times New Roman" w:hAnsi="Times New Roman" w:eastAsia="仿宋_GB2312" w:cs="Times New Roman"/>
          <w:kern w:val="0"/>
          <w:sz w:val="32"/>
          <w:szCs w:val="32"/>
          <w:lang w:val="en" w:bidi="en-US"/>
        </w:rPr>
        <w:t>建立预算</w:t>
      </w:r>
      <w:r>
        <w:rPr>
          <w:rFonts w:hint="default" w:ascii="Times New Roman" w:hAnsi="Times New Roman" w:eastAsia="仿宋_GB2312" w:cs="Times New Roman"/>
          <w:kern w:val="0"/>
          <w:sz w:val="32"/>
          <w:szCs w:val="32"/>
          <w:lang w:bidi="en-US"/>
        </w:rPr>
        <w:t>执行</w:t>
      </w:r>
      <w:r>
        <w:rPr>
          <w:rFonts w:hint="default" w:ascii="Times New Roman" w:hAnsi="Times New Roman" w:eastAsia="仿宋_GB2312" w:cs="Times New Roman"/>
          <w:kern w:val="0"/>
          <w:sz w:val="32"/>
          <w:szCs w:val="32"/>
          <w:lang w:val="en" w:bidi="en-US"/>
        </w:rPr>
        <w:t>跟踪</w:t>
      </w:r>
      <w:r>
        <w:rPr>
          <w:rFonts w:hint="default" w:ascii="Times New Roman" w:hAnsi="Times New Roman" w:eastAsia="仿宋_GB2312" w:cs="Times New Roman"/>
          <w:kern w:val="0"/>
          <w:sz w:val="32"/>
          <w:szCs w:val="32"/>
          <w:lang w:bidi="en-US"/>
        </w:rPr>
        <w:t>调度</w:t>
      </w:r>
      <w:r>
        <w:rPr>
          <w:rFonts w:hint="default" w:ascii="Times New Roman" w:hAnsi="Times New Roman" w:eastAsia="仿宋_GB2312" w:cs="Times New Roman"/>
          <w:kern w:val="0"/>
          <w:sz w:val="32"/>
          <w:szCs w:val="32"/>
          <w:lang w:val="en" w:bidi="en-US"/>
        </w:rPr>
        <w:t>制度，</w:t>
      </w:r>
      <w:r>
        <w:rPr>
          <w:rFonts w:eastAsia="仿宋_GB2312"/>
          <w:sz w:val="32"/>
          <w:szCs w:val="32"/>
          <w:lang w:eastAsia="zh-CN"/>
        </w:rPr>
        <w:t>定期检查进度情况，加强跟踪调度，发现问题及时解决，保证项目预算按计划执行。</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baseline"/>
        <w:outlineLvl w:val="9"/>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四</w:t>
      </w:r>
      <w:r>
        <w:rPr>
          <w:rFonts w:hint="default"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项目效益方面</w:t>
      </w:r>
    </w:p>
    <w:bookmarkEnd w:id="168"/>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baseline"/>
        <w:rPr>
          <w:rFonts w:hint="default" w:ascii="Times New Roman" w:hAnsi="Times New Roman" w:eastAsia="仿宋_GB2312" w:cs="Times New Roman"/>
          <w:sz w:val="32"/>
          <w:szCs w:val="32"/>
          <w:highlight w:val="none"/>
          <w:lang w:val="en-US" w:eastAsia="zh-CN"/>
        </w:rPr>
      </w:pPr>
      <w:bookmarkStart w:id="171" w:name="_Toc821993324_WPSOffice_Level2"/>
      <w:bookmarkStart w:id="172" w:name="_Toc283979570_WPSOffice_Level2"/>
      <w:r>
        <w:rPr>
          <w:rFonts w:hint="eastAsia" w:ascii="仿宋_GB2312" w:hAnsi="Times New Roman" w:eastAsia="仿宋_GB2312"/>
          <w:bCs/>
          <w:sz w:val="32"/>
          <w:szCs w:val="32"/>
          <w:highlight w:val="none"/>
        </w:rPr>
        <w:t>完善满意度相关调查工作。</w:t>
      </w:r>
      <w:r>
        <w:rPr>
          <w:rFonts w:hint="eastAsia" w:ascii="仿宋_GB2312" w:hAnsi="Times New Roman" w:eastAsia="仿宋_GB2312"/>
          <w:bCs/>
          <w:sz w:val="32"/>
          <w:szCs w:val="32"/>
          <w:highlight w:val="none"/>
          <w:lang w:val="en-US" w:eastAsia="zh-CN"/>
        </w:rPr>
        <w:t>满意度调查要</w:t>
      </w:r>
      <w:r>
        <w:rPr>
          <w:rFonts w:hint="default" w:ascii="Times New Roman" w:hAnsi="Times New Roman" w:eastAsia="仿宋_GB2312" w:cs="Times New Roman"/>
          <w:sz w:val="32"/>
          <w:szCs w:val="32"/>
          <w:highlight w:val="none"/>
          <w:lang w:val="en-US" w:eastAsia="zh-CN"/>
        </w:rPr>
        <w:t>明确服务对象、受益对象</w:t>
      </w:r>
      <w:r>
        <w:rPr>
          <w:rFonts w:hint="eastAsia" w:ascii="Times New Roman" w:hAnsi="Times New Roman" w:eastAsia="仿宋_GB2312" w:cs="Times New Roman"/>
          <w:sz w:val="32"/>
          <w:szCs w:val="32"/>
          <w:highlight w:val="none"/>
          <w:lang w:val="en-US" w:eastAsia="zh-CN"/>
        </w:rPr>
        <w:t>，</w:t>
      </w:r>
      <w:r>
        <w:rPr>
          <w:rFonts w:hint="eastAsia" w:ascii="仿宋_GB2312" w:hAnsi="Times New Roman" w:eastAsia="仿宋_GB2312"/>
          <w:bCs/>
          <w:sz w:val="32"/>
          <w:szCs w:val="32"/>
        </w:rPr>
        <w:t>根据不同的服务对象设计问题，</w:t>
      </w:r>
      <w:r>
        <w:rPr>
          <w:rFonts w:hint="default" w:ascii="Times New Roman" w:hAnsi="Times New Roman" w:eastAsia="仿宋_GB2312" w:cs="Times New Roman"/>
          <w:sz w:val="32"/>
          <w:szCs w:val="32"/>
          <w:highlight w:val="none"/>
          <w:lang w:val="en-US" w:eastAsia="zh-CN"/>
        </w:rPr>
        <w:t>及时整理满意度调查反馈情况</w:t>
      </w:r>
      <w:r>
        <w:rPr>
          <w:rFonts w:hint="eastAsia" w:ascii="Times New Roman" w:hAnsi="Times New Roman" w:eastAsia="仿宋_GB2312" w:cs="Times New Roman"/>
          <w:sz w:val="32"/>
          <w:szCs w:val="32"/>
          <w:highlight w:val="none"/>
          <w:lang w:val="en-US" w:eastAsia="zh-CN"/>
        </w:rPr>
        <w:t>，</w:t>
      </w:r>
      <w:r>
        <w:rPr>
          <w:rFonts w:hint="eastAsia" w:ascii="仿宋_GB2312" w:hAnsi="Times New Roman" w:eastAsia="仿宋_GB2312"/>
          <w:bCs/>
          <w:sz w:val="32"/>
          <w:szCs w:val="32"/>
        </w:rPr>
        <w:t>加强统计分析和结果应用，持续推进项目绩效的提升。</w:t>
      </w: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lang w:val="en-US" w:eastAsia="zh-CN"/>
        </w:rPr>
        <w:t>附件：</w:t>
      </w:r>
      <w:bookmarkEnd w:id="171"/>
      <w:bookmarkEnd w:id="172"/>
      <w:r>
        <w:rPr>
          <w:rFonts w:hint="default" w:ascii="Times New Roman" w:hAnsi="Times New Roman" w:eastAsia="仿宋_GB2312" w:cs="Times New Roman"/>
          <w:color w:val="000000"/>
          <w:kern w:val="0"/>
          <w:sz w:val="32"/>
          <w:szCs w:val="32"/>
          <w:highlight w:val="none"/>
        </w:rPr>
        <w:t>“</w:t>
      </w:r>
      <w:r>
        <w:rPr>
          <w:rFonts w:hint="default" w:ascii="Times New Roman" w:hAnsi="Times New Roman" w:eastAsia="仿宋_GB2312" w:cs="Times New Roman"/>
          <w:bCs/>
          <w:kern w:val="44"/>
          <w:sz w:val="32"/>
          <w:szCs w:val="32"/>
          <w:highlight w:val="none"/>
        </w:rPr>
        <w:t>视频监控存储设备升级改造</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lang w:val="en-US" w:eastAsia="zh-CN"/>
        </w:rPr>
        <w:t>专用设备购置）</w:t>
      </w:r>
      <w:r>
        <w:rPr>
          <w:rFonts w:hint="default" w:ascii="Times New Roman" w:hAnsi="Times New Roman" w:eastAsia="仿宋_GB2312" w:cs="Times New Roman"/>
          <w:color w:val="000000"/>
          <w:kern w:val="0"/>
          <w:sz w:val="32"/>
          <w:szCs w:val="32"/>
          <w:highlight w:val="none"/>
        </w:rPr>
        <w:t>”项目绩效评价</w:t>
      </w:r>
      <w:r>
        <w:rPr>
          <w:rFonts w:hint="default" w:ascii="Times New Roman" w:hAnsi="Times New Roman" w:eastAsia="仿宋_GB2312" w:cs="Times New Roman"/>
          <w:color w:val="000000"/>
          <w:kern w:val="0"/>
          <w:sz w:val="32"/>
          <w:szCs w:val="32"/>
          <w:highlight w:val="none"/>
          <w:lang w:val="en-US" w:eastAsia="zh-CN"/>
        </w:rPr>
        <w:t>指标体系及</w:t>
      </w:r>
      <w:r>
        <w:rPr>
          <w:rFonts w:hint="default" w:ascii="Times New Roman" w:hAnsi="Times New Roman" w:eastAsia="仿宋_GB2312" w:cs="Times New Roman"/>
          <w:color w:val="000000"/>
          <w:kern w:val="0"/>
          <w:sz w:val="32"/>
          <w:szCs w:val="32"/>
          <w:highlight w:val="none"/>
        </w:rPr>
        <w:t>评分表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120" w:firstLineChars="1600"/>
        <w:textAlignment w:val="auto"/>
        <w:rPr>
          <w:rFonts w:hint="default" w:ascii="Times New Roman" w:hAnsi="Times New Roman" w:eastAsia="仿宋_GB2312" w:cs="Times New Roman"/>
          <w:color w:val="000000"/>
          <w:kern w:val="0"/>
          <w:sz w:val="32"/>
          <w:szCs w:val="32"/>
          <w:highlight w:val="none"/>
          <w:lang w:eastAsia="zh-CN"/>
        </w:rPr>
      </w:pPr>
      <w:r>
        <w:rPr>
          <w:rFonts w:hint="default" w:ascii="Times New Roman" w:hAnsi="Times New Roman" w:eastAsia="仿宋_GB2312" w:cs="Times New Roman"/>
          <w:color w:val="000000"/>
          <w:kern w:val="0"/>
          <w:sz w:val="32"/>
          <w:szCs w:val="32"/>
          <w:highlight w:val="none"/>
          <w:lang w:eastAsia="zh-CN"/>
        </w:rPr>
        <w:t>202</w:t>
      </w:r>
      <w:r>
        <w:rPr>
          <w:rFonts w:hint="eastAsia" w:eastAsia="仿宋_GB2312" w:cs="Times New Roman"/>
          <w:color w:val="000000"/>
          <w:kern w:val="0"/>
          <w:sz w:val="32"/>
          <w:szCs w:val="32"/>
          <w:highlight w:val="none"/>
          <w:lang w:val="en-US" w:eastAsia="zh-CN"/>
        </w:rPr>
        <w:t>3</w:t>
      </w:r>
      <w:r>
        <w:rPr>
          <w:rFonts w:hint="default" w:ascii="Times New Roman" w:hAnsi="Times New Roman" w:eastAsia="仿宋_GB2312" w:cs="Times New Roman"/>
          <w:color w:val="000000"/>
          <w:kern w:val="0"/>
          <w:sz w:val="32"/>
          <w:szCs w:val="32"/>
          <w:highlight w:val="none"/>
          <w:lang w:eastAsia="zh-CN"/>
        </w:rPr>
        <w:t>年5月</w:t>
      </w:r>
      <w:r>
        <w:rPr>
          <w:rFonts w:hint="eastAsia" w:eastAsia="仿宋_GB2312" w:cs="Times New Roman"/>
          <w:color w:val="000000"/>
          <w:kern w:val="0"/>
          <w:sz w:val="32"/>
          <w:szCs w:val="32"/>
          <w:highlight w:val="none"/>
          <w:lang w:val="en-US" w:eastAsia="zh-CN"/>
        </w:rPr>
        <w:t>20</w:t>
      </w:r>
      <w:r>
        <w:rPr>
          <w:rFonts w:hint="default" w:ascii="Times New Roman" w:hAnsi="Times New Roman" w:eastAsia="仿宋_GB2312" w:cs="Times New Roman"/>
          <w:color w:val="000000"/>
          <w:kern w:val="0"/>
          <w:sz w:val="32"/>
          <w:szCs w:val="32"/>
          <w:highlight w:val="none"/>
          <w:lang w:eastAsia="zh-CN"/>
        </w:rPr>
        <w:t>日</w:t>
      </w:r>
    </w:p>
    <w:p>
      <w:pPr>
        <w:pStyle w:val="15"/>
        <w:ind w:left="0" w:leftChars="0" w:firstLine="0" w:firstLineChars="0"/>
        <w:rPr>
          <w:rFonts w:hint="default" w:ascii="Times New Roman" w:hAnsi="Times New Roman" w:eastAsia="仿宋_GB2312" w:cs="Times New Roman"/>
          <w:color w:val="000000"/>
          <w:kern w:val="0"/>
          <w:sz w:val="32"/>
          <w:szCs w:val="32"/>
          <w:highlight w:val="none"/>
          <w:lang w:eastAsia="zh-CN"/>
        </w:rPr>
      </w:pPr>
    </w:p>
    <w:p>
      <w:pPr>
        <w:rPr>
          <w:rFonts w:hint="default" w:ascii="Times New Roman" w:hAnsi="Times New Roman" w:cs="Times New Roman"/>
        </w:rPr>
        <w:sectPr>
          <w:footerReference r:id="rId8" w:type="default"/>
          <w:pgSz w:w="11906" w:h="16838"/>
          <w:pgMar w:top="1701" w:right="1701" w:bottom="1701" w:left="1701" w:header="851" w:footer="992" w:gutter="0"/>
          <w:pgNumType w:fmt="decimal" w:start="1"/>
          <w:cols w:space="720" w:num="1"/>
          <w:docGrid w:type="lines" w:linePitch="327" w:charSpace="0"/>
        </w:sectPr>
      </w:pPr>
    </w:p>
    <w:p>
      <w:pPr>
        <w:keepNext w:val="0"/>
        <w:keepLines w:val="0"/>
        <w:pageBreakBefore w:val="0"/>
        <w:widowControl w:val="0"/>
        <w:kinsoku/>
        <w:wordWrap/>
        <w:overflowPunct/>
        <w:topLinePunct w:val="0"/>
        <w:autoSpaceDE/>
        <w:autoSpaceDN/>
        <w:bidi w:val="0"/>
        <w:adjustRightInd w:val="0"/>
        <w:snapToGrid w:val="0"/>
        <w:ind w:left="-240" w:leftChars="-100" w:firstLine="0" w:firstLineChars="0"/>
        <w:jc w:val="left"/>
        <w:textAlignment w:val="auto"/>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附件</w:t>
      </w:r>
    </w:p>
    <w:p>
      <w:pPr>
        <w:keepNext w:val="0"/>
        <w:keepLines w:val="0"/>
        <w:pageBreakBefore w:val="0"/>
        <w:widowControl w:val="0"/>
        <w:kinsoku/>
        <w:wordWrap/>
        <w:overflowPunct/>
        <w:topLinePunct w:val="0"/>
        <w:autoSpaceDE/>
        <w:autoSpaceDN/>
        <w:bidi w:val="0"/>
        <w:adjustRightInd w:val="0"/>
        <w:snapToGrid w:val="0"/>
        <w:spacing w:after="157" w:afterLines="50"/>
        <w:jc w:val="center"/>
        <w:textAlignment w:val="auto"/>
        <w:rPr>
          <w:rFonts w:hint="default" w:ascii="Times New Roman" w:hAnsi="Times New Roman" w:cs="Times New Roman"/>
          <w:b/>
          <w:sz w:val="36"/>
          <w:szCs w:val="36"/>
        </w:rPr>
      </w:pPr>
      <w:r>
        <w:rPr>
          <w:rFonts w:hint="default" w:ascii="Times New Roman" w:hAnsi="Times New Roman" w:cs="Times New Roman"/>
          <w:b/>
          <w:sz w:val="36"/>
          <w:szCs w:val="36"/>
        </w:rPr>
        <w:t>“视频监控存储设备升级改造</w:t>
      </w:r>
      <w:r>
        <w:rPr>
          <w:rFonts w:hint="default" w:ascii="Times New Roman" w:hAnsi="Times New Roman" w:cs="Times New Roman"/>
          <w:b/>
          <w:sz w:val="36"/>
          <w:szCs w:val="36"/>
          <w:lang w:eastAsia="zh-CN"/>
        </w:rPr>
        <w:t>（</w:t>
      </w:r>
      <w:r>
        <w:rPr>
          <w:rFonts w:hint="default" w:ascii="Times New Roman" w:hAnsi="Times New Roman" w:cs="Times New Roman"/>
          <w:b/>
          <w:sz w:val="36"/>
          <w:szCs w:val="36"/>
          <w:lang w:val="en-US" w:eastAsia="zh-CN"/>
        </w:rPr>
        <w:t>专用设备购置）</w:t>
      </w:r>
      <w:r>
        <w:rPr>
          <w:rFonts w:hint="default" w:ascii="Times New Roman" w:hAnsi="Times New Roman" w:cs="Times New Roman"/>
          <w:b/>
          <w:sz w:val="36"/>
          <w:szCs w:val="36"/>
        </w:rPr>
        <w:t>”项目绩效评价</w:t>
      </w:r>
      <w:r>
        <w:rPr>
          <w:rFonts w:hint="default" w:ascii="Times New Roman" w:hAnsi="Times New Roman" w:cs="Times New Roman"/>
          <w:b/>
          <w:sz w:val="36"/>
          <w:szCs w:val="36"/>
          <w:lang w:val="en-US" w:eastAsia="zh-CN"/>
        </w:rPr>
        <w:t>指标体系及</w:t>
      </w:r>
      <w:r>
        <w:rPr>
          <w:rFonts w:hint="default" w:ascii="Times New Roman" w:hAnsi="Times New Roman" w:cs="Times New Roman"/>
          <w:b/>
          <w:sz w:val="36"/>
          <w:szCs w:val="36"/>
        </w:rPr>
        <w:t>评分表</w:t>
      </w:r>
    </w:p>
    <w:p>
      <w:pPr>
        <w:keepNext w:val="0"/>
        <w:keepLines w:val="0"/>
        <w:pageBreakBefore w:val="0"/>
        <w:widowControl w:val="0"/>
        <w:kinsoku/>
        <w:wordWrap/>
        <w:overflowPunct/>
        <w:topLinePunct w:val="0"/>
        <w:autoSpaceDE/>
        <w:autoSpaceDN/>
        <w:bidi w:val="0"/>
        <w:adjustRightInd/>
        <w:snapToGrid/>
        <w:ind w:left="-120" w:leftChars="-50" w:firstLine="0" w:firstLineChars="0"/>
        <w:jc w:val="left"/>
        <w:textAlignment w:val="auto"/>
        <w:rPr>
          <w:rFonts w:hint="eastAsia" w:ascii="Times New Roman" w:hAnsi="Times New Roman" w:eastAsia="宋体" w:cs="Times New Roman"/>
          <w:b/>
          <w:sz w:val="22"/>
          <w:lang w:eastAsia="zh-CN"/>
        </w:rPr>
      </w:pPr>
      <w:r>
        <w:rPr>
          <w:rFonts w:hint="default" w:ascii="Times New Roman" w:hAnsi="Times New Roman" w:cs="Times New Roman"/>
          <w:b/>
          <w:sz w:val="22"/>
        </w:rPr>
        <w:t>被评价单位：</w:t>
      </w:r>
      <w:r>
        <w:rPr>
          <w:rFonts w:hint="eastAsia" w:cs="Times New Roman"/>
          <w:b/>
          <w:sz w:val="22"/>
          <w:lang w:val="en-US" w:eastAsia="zh-CN"/>
        </w:rPr>
        <w:t>首钢技师学院</w:t>
      </w:r>
    </w:p>
    <w:tbl>
      <w:tblPr>
        <w:tblStyle w:val="19"/>
        <w:tblW w:w="52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050"/>
        <w:gridCol w:w="1125"/>
        <w:gridCol w:w="630"/>
        <w:gridCol w:w="1350"/>
        <w:gridCol w:w="630"/>
        <w:gridCol w:w="2230"/>
        <w:gridCol w:w="1607"/>
        <w:gridCol w:w="2493"/>
        <w:gridCol w:w="825"/>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blHeader/>
          <w:jc w:val="center"/>
        </w:trPr>
        <w:tc>
          <w:tcPr>
            <w:tcW w:w="279"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一级指标</w:t>
            </w:r>
          </w:p>
        </w:tc>
        <w:tc>
          <w:tcPr>
            <w:tcW w:w="3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二级指标</w:t>
            </w:r>
          </w:p>
        </w:tc>
        <w:tc>
          <w:tcPr>
            <w:tcW w:w="389"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三级指标</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lang w:val="en-US" w:eastAsia="zh-CN"/>
              </w:rPr>
              <w:t>分</w:t>
            </w:r>
            <w:r>
              <w:rPr>
                <w:rFonts w:hint="default" w:ascii="Times New Roman" w:hAnsi="Times New Roman" w:cs="Times New Roman"/>
                <w:b/>
                <w:bCs/>
                <w:kern w:val="0"/>
                <w:sz w:val="20"/>
                <w:szCs w:val="20"/>
              </w:rPr>
              <w:t>值</w:t>
            </w:r>
          </w:p>
        </w:tc>
        <w:tc>
          <w:tcPr>
            <w:tcW w:w="467"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四级指标</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b/>
                <w:bCs/>
                <w:kern w:val="0"/>
                <w:sz w:val="20"/>
                <w:szCs w:val="20"/>
                <w:lang w:val="en-US"/>
              </w:rPr>
            </w:pPr>
            <w:r>
              <w:rPr>
                <w:rFonts w:hint="default" w:ascii="Times New Roman" w:hAnsi="Times New Roman" w:cs="Times New Roman"/>
                <w:b/>
                <w:bCs/>
                <w:kern w:val="0"/>
                <w:sz w:val="20"/>
                <w:szCs w:val="20"/>
                <w:lang w:val="en-US" w:eastAsia="zh-CN"/>
              </w:rPr>
              <w:t>分值</w:t>
            </w:r>
          </w:p>
        </w:tc>
        <w:tc>
          <w:tcPr>
            <w:tcW w:w="772"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指标解释</w:t>
            </w:r>
          </w:p>
        </w:tc>
        <w:tc>
          <w:tcPr>
            <w:tcW w:w="556"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评价分值</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评价标准</w:t>
            </w:r>
          </w:p>
        </w:tc>
        <w:tc>
          <w:tcPr>
            <w:tcW w:w="285"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lang w:val="en-US" w:eastAsia="zh-CN"/>
              </w:rPr>
              <w:t>评价 得</w:t>
            </w:r>
            <w:r>
              <w:rPr>
                <w:rFonts w:hint="default" w:ascii="Times New Roman" w:hAnsi="Times New Roman" w:cs="Times New Roman"/>
                <w:b/>
                <w:bCs/>
                <w:kern w:val="0"/>
                <w:sz w:val="20"/>
                <w:szCs w:val="20"/>
              </w:rPr>
              <w:t>分</w:t>
            </w:r>
          </w:p>
        </w:tc>
        <w:tc>
          <w:tcPr>
            <w:tcW w:w="585"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决策</w:t>
            </w: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立项依据充分性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项目立项与法律法规、相关政策、发展规划以及部门职责的相符性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项目立项是否符合法律法规、相关政策、发展规划以及部门职责，用以反映和考核项目立项依据情况。</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与法律法规、相关政策、发展规划以及部门职责相符性高</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与法律法规、相关政策、发展规划以及部门职责较为相符</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与法律法规、相关政策、发展规划以及部门职责基本相符</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与法律法规、相关政策、发展规划以及部门职责不相符</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立项程序规范性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3</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项目立项程序的规范性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项目是否按照规定的程序申请设立</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立项程序完整、有效，立项程序科学、程序化</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立项程序较为完整、有效，立项程序较为科学、程序化</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未将相关立项程序制度化，但项目立项经过相关立项程序</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立项程序不完整，缺乏有效性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项目立项的审批文件、材料与相关要求的相符性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审批文件、材料是否符合相关要求</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项目立项的审批文件、材料与相关要求的相符性高</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项目立项的审批文件、材料与相关要求的相符性较高</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项目立项的审批文件、材料与相关要求的相符性一般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项目立项的审批文件、材料与相关要求不相符</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项目立项决策结果的合理性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事前是否已经过必要的可行性研究、专家论证、风险评估、绩效评估、集体决策</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严格履行相关立项决策程序，决策过程有效，项目申报程序规范，可行性研究、专家论证、风险评估、绩效评估、集体决策等申报资料完整</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kern w:val="0"/>
                <w:sz w:val="20"/>
                <w:szCs w:val="20"/>
                <w:lang w:val="en-US" w:eastAsia="zh-CN"/>
              </w:rPr>
            </w:pPr>
            <w:r>
              <w:rPr>
                <w:rFonts w:hint="eastAsia" w:cs="Times New Roman"/>
                <w:kern w:val="0"/>
                <w:sz w:val="20"/>
                <w:szCs w:val="20"/>
                <w:lang w:val="en-US" w:eastAsia="zh-CN"/>
              </w:rPr>
              <w:t>0.8</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kern w:val="0"/>
                <w:sz w:val="20"/>
                <w:szCs w:val="20"/>
                <w:lang w:val="en-US" w:eastAsia="zh-CN"/>
              </w:rPr>
            </w:pPr>
            <w:r>
              <w:rPr>
                <w:rFonts w:hint="eastAsia" w:cs="Times New Roman"/>
                <w:kern w:val="0"/>
                <w:sz w:val="20"/>
                <w:szCs w:val="20"/>
                <w:lang w:val="en-US" w:eastAsia="zh-CN"/>
              </w:rPr>
              <w:t>未进行专家论证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履行了相关决策程序，决策过程较为有效，可行性研究、专家论证、风险评估、绩效评估、集体决策等申报资料较为完整</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履行了相关决策程序，决策过程的有效性有待提高，决策结果科学性一般；履行了项目申报程序，并提交了可行性研究、专家论证、风险评估、绩效评估、集体决策等相应申报资料</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未履行相关决策程序，决策过程流于形式，决策结果缺乏科学性；未履行项目申报程序，可行性研究、专家论证、风险评估、绩效评估、集体决策等申报资料不完整</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绩效目标合理性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绩效目标合理性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是否有绩效目标（如未设定预算绩效目标，可考核其他工作任务目标）；项目绩效目标与实际工作内容是否具有相关性；项目预期产出效益和效果是否符合正常的业绩水平；是否与预算确定的项目投资额或资金量相匹配。</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绩效目标的设立合理、可行，与实际工作内容相关性强，项目预期产出效益和效果与正常业绩水平的相符性强，与预算确定的项目投资额或资金量的匹配性高</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eastAsiaTheme="minorEastAsia"/>
                <w:kern w:val="0"/>
                <w:sz w:val="20"/>
                <w:szCs w:val="20"/>
                <w:lang w:val="en-US" w:eastAsia="zh-CN"/>
              </w:rPr>
              <w:t>1.</w:t>
            </w:r>
            <w:r>
              <w:rPr>
                <w:rFonts w:hint="eastAsia" w:cs="Times New Roman" w:eastAsiaTheme="minorEastAsia"/>
                <w:kern w:val="0"/>
                <w:sz w:val="20"/>
                <w:szCs w:val="20"/>
                <w:lang w:val="en-US" w:eastAsia="zh-CN"/>
              </w:rPr>
              <w:t>5</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eastAsiaTheme="minorEastAsia"/>
                <w:kern w:val="0"/>
                <w:sz w:val="20"/>
                <w:szCs w:val="20"/>
                <w:lang w:val="en-US" w:eastAsia="zh-CN"/>
              </w:rPr>
            </w:pPr>
            <w:r>
              <w:rPr>
                <w:rFonts w:hint="eastAsia" w:cs="Times New Roman" w:eastAsiaTheme="minorEastAsia"/>
                <w:kern w:val="0"/>
                <w:sz w:val="20"/>
                <w:szCs w:val="20"/>
                <w:lang w:val="en-US" w:eastAsia="zh-CN"/>
              </w:rPr>
              <w:t>绩效</w:t>
            </w:r>
            <w:r>
              <w:rPr>
                <w:rFonts w:hint="default" w:ascii="Times New Roman" w:hAnsi="Times New Roman" w:cs="Times New Roman" w:eastAsiaTheme="minorEastAsia"/>
                <w:kern w:val="0"/>
                <w:sz w:val="20"/>
                <w:szCs w:val="20"/>
                <w:lang w:val="en-US" w:eastAsia="zh-CN"/>
              </w:rPr>
              <w:t>指标</w:t>
            </w:r>
            <w:r>
              <w:rPr>
                <w:rFonts w:hint="eastAsia" w:cs="Times New Roman" w:eastAsiaTheme="minorEastAsia"/>
                <w:kern w:val="0"/>
                <w:sz w:val="20"/>
                <w:szCs w:val="20"/>
                <w:lang w:val="en-US" w:eastAsia="zh-CN"/>
              </w:rPr>
              <w:t>合理性不足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绩效目标的设立比较合理、可行，与实际工作内容相关性较强，项目预期产出效益和效果与正常业绩水平的相符性较强，与预算确定的项目投资额或资金量的匹配性较高</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绩效目标的设立基本合理、可行，与实际工作内容相关性一般，项目预期产出效益和效果与正常业绩水平的相符性一般，与预算确定的项目投资额或资金量的匹配性一般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绩效目标的设立不太合理、可行，缺乏与实际工作内容的相关性，项目预期产出效益和效果缺乏与正常业绩水平的相符性，缺乏与预算确定的项目投资额或资金量的匹配性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绩效指标明确性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绩效指标明确性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是否将项目绩效目标细化分解为具体的绩效指标；是否通过清晰、可衡量的指标值予以体现；是否与项目目标任务数或计划数相对应。</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绩效指标充分细化、量化、清晰、可衡量，与项目目标任务数或计划数的对应性强</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0.80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lang w:val="en-US" w:eastAsia="zh-CN"/>
              </w:rPr>
              <w:t>部分绩效</w:t>
            </w:r>
            <w:r>
              <w:rPr>
                <w:rFonts w:hint="default" w:ascii="Times New Roman" w:hAnsi="Times New Roman" w:cs="Times New Roman"/>
                <w:kern w:val="0"/>
                <w:sz w:val="20"/>
                <w:szCs w:val="20"/>
              </w:rPr>
              <w:t>指标设置</w:t>
            </w:r>
            <w:r>
              <w:rPr>
                <w:rFonts w:hint="default" w:ascii="Times New Roman" w:hAnsi="Times New Roman" w:cs="Times New Roman"/>
                <w:kern w:val="0"/>
                <w:sz w:val="20"/>
                <w:szCs w:val="20"/>
                <w:lang w:val="en-US" w:eastAsia="zh-CN"/>
              </w:rPr>
              <w:t>量化不够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绩效指标比较细化、量化、清晰、可衡量，与项目目标任务数或计划数的对应性较强</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绩效指标需要进一步细化、量化，与项目目标任务数或计划数的对应性一般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绩效目标不够细化、量化，或未设定量化、细化指标，缺乏与项目目标任务数或计划数的对应性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资金投入</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预算编制科学性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预算编制科学性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项目预算编制是否经过科学论证、有明确标准，资金额度与年度目标是否相适应，用以反映和考核项目预算编制的科学性、合理性情况。</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项目预算编制经过充分的科学论证，资金额度与年度目标适应性强</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项目预算编制经过较为充分的科学论证，资金额度与年度目标适应性较强</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项目预算编制经过一定的科学论证，资金额度与年度目标适应性一般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项目预算编制缺乏科学论证，资金额度与年度目标缺乏适应性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资金分配合理性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资金分配合理性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项目预算资金分配是否有测算依据，与补助单位或地方实际是否相适应，用以反映和考核项目预算资金分配的科学性、合理性情况。</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项目预算资金分配有充分的测算依据，与补助单位或地方实际适应性强</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项目预算资金分配有较为充分的测算依据，与补助单位或地方实际适应性较强</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项目预算资金分配有一定的测算依据，与补助单位或地方实际适应性一般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项目预算资金分配缺乏测算依据，与补助单位或地方实际缺乏适应性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27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过程</w:t>
            </w: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资金管理</w:t>
            </w:r>
          </w:p>
        </w:tc>
        <w:tc>
          <w:tcPr>
            <w:tcW w:w="389"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资金到位率</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467"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资金到位率</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实际到位资金与预算资金的比率，用以反映和考核资金落实情况对项目实施的总体保障程度。资金到位率=（实际到位资金/预算资金）×100%。</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预算资金：一定时期（本年度或项目期）内预算安排到具体项目的资金。</w:t>
            </w:r>
          </w:p>
        </w:tc>
        <w:tc>
          <w:tcPr>
            <w:tcW w:w="556"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最后得分=资金到位率*2</w:t>
            </w:r>
          </w:p>
        </w:tc>
        <w:tc>
          <w:tcPr>
            <w:tcW w:w="285"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2.00</w:t>
            </w:r>
          </w:p>
        </w:tc>
        <w:tc>
          <w:tcPr>
            <w:tcW w:w="585"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预算执行率</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467"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预算执行率</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项目预算资金是否按照计划执行，用以反映或考核项目预算执行情况。预算执行率=（实际支出资金/实际到位资金）×100%。</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实际支出资金：一定时期（本年度或项目期）内项目实际拨付的资金。</w:t>
            </w:r>
          </w:p>
        </w:tc>
        <w:tc>
          <w:tcPr>
            <w:tcW w:w="556"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最后得分=预算执行率*2</w:t>
            </w:r>
          </w:p>
        </w:tc>
        <w:tc>
          <w:tcPr>
            <w:tcW w:w="285"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kern w:val="0"/>
                <w:sz w:val="20"/>
                <w:szCs w:val="20"/>
                <w:highlight w:val="yellow"/>
                <w:lang w:val="en-US" w:eastAsia="zh-CN"/>
              </w:rPr>
            </w:pPr>
            <w:r>
              <w:rPr>
                <w:rFonts w:hint="eastAsia" w:cs="Times New Roman"/>
                <w:kern w:val="0"/>
                <w:sz w:val="20"/>
                <w:szCs w:val="20"/>
                <w:highlight w:val="none"/>
                <w:lang w:val="en-US" w:eastAsia="zh-CN"/>
              </w:rPr>
              <w:t>1.92</w:t>
            </w:r>
          </w:p>
        </w:tc>
        <w:tc>
          <w:tcPr>
            <w:tcW w:w="585"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kern w:val="0"/>
                <w:sz w:val="20"/>
                <w:szCs w:val="20"/>
              </w:rPr>
            </w:pPr>
            <w:r>
              <w:rPr>
                <w:rFonts w:hint="eastAsia" w:ascii="Times New Roman" w:hAnsi="Times New Roman" w:cs="Times New Roman"/>
                <w:kern w:val="0"/>
                <w:sz w:val="20"/>
                <w:szCs w:val="20"/>
                <w:lang w:val="en-US" w:eastAsia="zh-CN"/>
              </w:rPr>
              <w:t>预算执行率为</w:t>
            </w:r>
            <w:r>
              <w:rPr>
                <w:rFonts w:hint="default" w:ascii="Times New Roman" w:hAnsi="Times New Roman" w:cs="Times New Roman"/>
                <w:kern w:val="0"/>
                <w:sz w:val="20"/>
                <w:szCs w:val="20"/>
              </w:rPr>
              <w:t>9</w:t>
            </w:r>
            <w:r>
              <w:rPr>
                <w:rFonts w:hint="default" w:ascii="Times New Roman" w:hAnsi="Times New Roman" w:cs="Times New Roman"/>
                <w:kern w:val="0"/>
                <w:sz w:val="20"/>
                <w:szCs w:val="20"/>
                <w:lang w:val="en-US" w:eastAsia="zh-CN"/>
              </w:rPr>
              <w:t>6.82</w:t>
            </w:r>
            <w:r>
              <w:rPr>
                <w:rFonts w:hint="default" w:ascii="Times New Roman" w:hAnsi="Times New Roman" w:cs="Times New Roman"/>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资金使用合规性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4</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与国家财经法规和财务管理制度以及有关专项资金管理办法规定的相符性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项目资金使用是否符合相关的财务管理制度规定，用以反映和考核项目资金的规范运行情况。</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与国家财经法规和财务管理制度以及有关专项资金管理办法规定的相符性强</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kern w:val="0"/>
                <w:sz w:val="20"/>
                <w:szCs w:val="20"/>
                <w:lang w:val="en-US" w:eastAsia="zh-CN"/>
              </w:rPr>
            </w:pPr>
            <w:r>
              <w:rPr>
                <w:rFonts w:hint="eastAsia" w:cs="Times New Roman"/>
                <w:kern w:val="0"/>
                <w:sz w:val="20"/>
                <w:szCs w:val="20"/>
                <w:lang w:val="en-US" w:eastAsia="zh-CN"/>
              </w:rPr>
              <w:t>0.6</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Times New Roman" w:hAnsi="Times New Roman" w:eastAsia="宋体" w:cs="Times New Roman"/>
                <w:kern w:val="0"/>
                <w:sz w:val="20"/>
                <w:szCs w:val="20"/>
                <w:lang w:val="en-US" w:eastAsia="zh-CN"/>
              </w:rPr>
            </w:pPr>
            <w:r>
              <w:rPr>
                <w:rFonts w:hint="eastAsia" w:cs="Times New Roman"/>
                <w:kern w:val="0"/>
                <w:sz w:val="20"/>
                <w:szCs w:val="20"/>
                <w:lang w:val="en-US" w:eastAsia="zh-CN"/>
              </w:rPr>
              <w:t>未按时签订合同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与国家财经法规和财务管理制度以及有关专项资金管理办法规定的相符性较强</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与国家财经法规和财务管理制度以及有关专项资金管理办法规定的相符性一般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与国家财经法规和财务管理制度以及有关专项资金管理办法的规定缺乏相符性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资金拨付审批程序和手续的完整性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资金的拨付是否有完整的审批程序和手续</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资金拨付审批程序和手续完整</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资金拨付审批程序和手续较为完整</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资金拨付审批程序和手续基本完整</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资金拨付审批程序和手续不完整</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与项目预算批复或合同规定用途的相符性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是否符合项目预算批复或合同规定的用途</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与项目预算批复或合同规定用途的相符性强</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与项目预算批复或合同规定用途的相符性较强</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与项目预算批复或合同规定用途的相符性一般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与项目预算批复或合同规定用途缺乏相符性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资金使用规范性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是否存在截留、挤占、挪用、虚列支出等情况</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资金使用不存在截留、挤占、挪用、虚列支出等情况</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kern w:val="0"/>
                <w:sz w:val="20"/>
                <w:szCs w:val="20"/>
                <w:lang w:val="en-US" w:eastAsia="zh-CN"/>
              </w:rPr>
            </w:pPr>
            <w:r>
              <w:rPr>
                <w:rFonts w:hint="eastAsia" w:cs="Times New Roman"/>
                <w:kern w:val="0"/>
                <w:sz w:val="20"/>
                <w:szCs w:val="20"/>
                <w:lang w:val="en-US" w:eastAsia="zh-CN"/>
              </w:rPr>
              <w:t>1.00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资金使用基本不存在截留、挤占、挪用、虚列支出等情况</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资金使用存在轻微截留、挤占、挪用、虚列支出等情况</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资金使用存在严重截留、挤占、挪用、虚列支出等情况</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组织实施</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管理制度健全性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4</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 xml:space="preserve">财务和业务管理制度健全性 </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项目实施单位的财务和业务管理制度是否健全，用以反映和考核财务和业务管理制度对项目顺利实施的保障情况。</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项目单位财务和业务管理制度健全</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项目单位财务和业务管理制度较为健全</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项目单位财务和业务管理制度健全性一般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项目单位财务和业务管理制度不健全</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 xml:space="preserve">财务和业务管理制度合法、合规和完整性 </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财务和业务管理制度是否合法、合规、完整</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项目单位财务和业务管理制度合法、合规和完整</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kern w:val="0"/>
                <w:sz w:val="20"/>
                <w:szCs w:val="20"/>
                <w:lang w:val="en-US" w:eastAsia="zh-CN"/>
              </w:rPr>
              <w:t>2</w:t>
            </w:r>
            <w:r>
              <w:rPr>
                <w:rFonts w:hint="default" w:ascii="Times New Roman" w:hAnsi="Times New Roman" w:cs="Times New Roman"/>
                <w:kern w:val="0"/>
                <w:sz w:val="20"/>
                <w:szCs w:val="20"/>
              </w:rPr>
              <w:t>.</w:t>
            </w:r>
            <w:r>
              <w:rPr>
                <w:rFonts w:hint="default" w:ascii="Times New Roman" w:hAnsi="Times New Roman" w:cs="Times New Roman"/>
                <w:kern w:val="0"/>
                <w:sz w:val="20"/>
                <w:szCs w:val="20"/>
                <w:lang w:val="en-US" w:eastAsia="zh-CN"/>
              </w:rPr>
              <w:t>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项目单位财务和业务管理制度较为合法、合规和完整</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项目单位财务和业务管理制度合法性、合规性和完整性一般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项目单位财务和业务管理制度缺乏合法性、合规性和完整性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制度执行有效性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8</w:t>
            </w:r>
          </w:p>
        </w:tc>
        <w:tc>
          <w:tcPr>
            <w:tcW w:w="467"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遵守相关法律法规和相关管理规定情况</w:t>
            </w:r>
          </w:p>
        </w:tc>
        <w:tc>
          <w:tcPr>
            <w:tcW w:w="218"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项目实施是否遵守相关法律法规和相关管理规定，用以反映和考核相关管理制度的有效执行情况。</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项目单位严格遵守相关法律法规和相关管理规定</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项目单位较好地遵守了相关法律法规和相关管理规定</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项目单位一定程度上遵守了相关法律法规和相关管理规定</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项目单位未遵守相关法律法规和相关管理规定</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项目调整及支出调整手续完备情况</w:t>
            </w:r>
          </w:p>
        </w:tc>
        <w:tc>
          <w:tcPr>
            <w:tcW w:w="218"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项目调整及支出调整手续是否完备</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项目调整及支出调整手续完备性高</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项目调整及支出调整手续完备性较高</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项目调整及支出调整手续完备性一般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项目调整及支出调整手续缺乏完备性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项目合同书、验收报告、技术鉴定等资料归档的完整性和及时性</w:t>
            </w:r>
          </w:p>
        </w:tc>
        <w:tc>
          <w:tcPr>
            <w:tcW w:w="218"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项目合同书、验收报告、技术鉴定等资料是否齐全并及时归档</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项目合同书、验收报告、技术鉴定等资料归档齐全、及时</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kern w:val="0"/>
                <w:sz w:val="20"/>
                <w:szCs w:val="20"/>
                <w:lang w:val="en-US" w:eastAsia="zh-CN"/>
              </w:rPr>
              <w:t>2</w:t>
            </w:r>
            <w:r>
              <w:rPr>
                <w:rFonts w:hint="default" w:ascii="Times New Roman" w:hAnsi="Times New Roman" w:cs="Times New Roman"/>
                <w:kern w:val="0"/>
                <w:sz w:val="20"/>
                <w:szCs w:val="20"/>
              </w:rPr>
              <w:t>.</w:t>
            </w:r>
            <w:r>
              <w:rPr>
                <w:rFonts w:hint="default" w:ascii="Times New Roman" w:hAnsi="Times New Roman" w:cs="Times New Roman"/>
                <w:kern w:val="0"/>
                <w:sz w:val="20"/>
                <w:szCs w:val="20"/>
                <w:lang w:val="en-US" w:eastAsia="zh-CN"/>
              </w:rPr>
              <w:t>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eastAsiaTheme="minorEastAsia"/>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项目合同书、验收报告、技术鉴定等资料归档较为齐全、及时</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项目合同书、验收报告、技术鉴定等资料归档情况一般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项目合同书、验收报告、技术鉴定等资料归档不齐全、不及时</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项目实施的人员条件、场地设备、信息支撑等落实到位情况</w:t>
            </w:r>
          </w:p>
        </w:tc>
        <w:tc>
          <w:tcPr>
            <w:tcW w:w="218"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项目实施的人员条件、场地设备、信息支撑等是否落实到位</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项目实施的人员条件、场地设备、信息支撑等落实到位情况好</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lang w:val="en-US" w:eastAsia="zh-CN"/>
              </w:rPr>
              <w:t>1</w:t>
            </w:r>
            <w:r>
              <w:rPr>
                <w:rFonts w:hint="default" w:ascii="Times New Roman" w:hAnsi="Times New Roman" w:cs="Times New Roman"/>
                <w:kern w:val="0"/>
                <w:sz w:val="20"/>
                <w:szCs w:val="20"/>
              </w:rPr>
              <w:t>.</w:t>
            </w:r>
            <w:r>
              <w:rPr>
                <w:rFonts w:hint="eastAsia" w:cs="Times New Roman"/>
                <w:kern w:val="0"/>
                <w:sz w:val="20"/>
                <w:szCs w:val="20"/>
                <w:lang w:val="en-US" w:eastAsia="zh-CN"/>
              </w:rPr>
              <w:t>8</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kern w:val="0"/>
                <w:sz w:val="20"/>
                <w:szCs w:val="20"/>
                <w:lang w:val="en-US" w:eastAsia="zh-CN"/>
              </w:rPr>
            </w:pPr>
            <w:r>
              <w:rPr>
                <w:rFonts w:hint="eastAsia" w:cs="Times New Roman"/>
                <w:kern w:val="0"/>
                <w:sz w:val="20"/>
                <w:szCs w:val="20"/>
                <w:lang w:val="en-US" w:eastAsia="zh-CN"/>
              </w:rPr>
              <w:t>实施方案不足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项目实施的人员条件、场地设备、信息支撑等落实到位情况较好</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项目实施的人员条件、场地设备、信息支撑等落实到位情况一般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项目实施的人员条件、场地设备、信息支撑等未落实到位</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27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产出</w:t>
            </w: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产出数量</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实际完成率</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实际完成率</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项目实施的实际产出数与计划产出数的比率，用以反映和考核项目产出数量目标的实现程度。实际完成率=（实际产出数/计划产出数）×100%。</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计划产出数：项目绩效目标确定的在一定时期（本年度或项目期）内计划产出的产品或提供的服务数量。</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9.0（含）-10.0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实际完成率≥95%</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kern w:val="0"/>
                <w:sz w:val="20"/>
                <w:szCs w:val="20"/>
                <w:lang w:val="en-US" w:eastAsia="zh-CN"/>
              </w:rPr>
            </w:pPr>
            <w:r>
              <w:rPr>
                <w:rFonts w:hint="default" w:ascii="Times New Roman" w:hAnsi="Times New Roman" w:cs="Times New Roman"/>
                <w:kern w:val="0"/>
                <w:sz w:val="20"/>
                <w:szCs w:val="20"/>
                <w:lang w:val="en-US" w:eastAsia="zh-CN"/>
              </w:rPr>
              <w:t>10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7.5（含）-9.0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80%≤实际完成率＜95%</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6.0（含）-7.5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60%≤实际完成率＜80%</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0（含）-6.0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实际完成率＜60%</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产出质量</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质量达标率</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质量达标率</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项目完成的质量达标产出数与实际产出数的比率，用以反映和考核项目产出质量目标的实现程度。质量达标率=（质量达标产出数/实际产出数）×100%。</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9.0（含）-10.0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质量达标率≥95%</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63"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7.5（含）-9.0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80%≤质量达标率＜95%</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6.0（含）-7.5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60%≤质量达标率＜80%</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5"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0（含）-6.0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质量达标率＜60%</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产出时效</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完成及时性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完成及时性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项目实际完成时间与计划完成时间的比较，用以反映和考核项目产出时效目标的实现程度。实际完成时间：项目实施单位完成该项目实际所耗用的时间。</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计划完成时间：按照项目实施计划或相关规定完成该项目所需的时间。</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9.0（含）-10.0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项目实施完成及时性好</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kern w:val="0"/>
                <w:sz w:val="20"/>
                <w:szCs w:val="20"/>
                <w:lang w:val="en-US" w:eastAsia="zh-CN"/>
              </w:rPr>
            </w:pPr>
            <w:r>
              <w:rPr>
                <w:rFonts w:hint="eastAsia" w:cs="Times New Roman"/>
                <w:kern w:val="0"/>
                <w:sz w:val="20"/>
                <w:szCs w:val="20"/>
                <w:lang w:val="en-US" w:eastAsia="zh-CN"/>
              </w:rPr>
              <w:t>5.00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kern w:val="0"/>
                <w:sz w:val="20"/>
                <w:szCs w:val="20"/>
                <w:lang w:val="en-US" w:eastAsia="zh-CN"/>
              </w:rPr>
            </w:pPr>
            <w:r>
              <w:rPr>
                <w:rFonts w:hint="eastAsia" w:cs="Times New Roman"/>
                <w:kern w:val="0"/>
                <w:sz w:val="20"/>
                <w:szCs w:val="20"/>
                <w:lang w:val="en-US" w:eastAsia="zh-CN"/>
              </w:rPr>
              <w:t>项目实施未及时完成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7.5（含）-9.0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项目实施完成及时性较好</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6.0（含）-7.5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项目实施完成及时性一般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0（含）-6.0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项目实施未及时完成</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产出成本</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成本节约率</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成本节约率</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完成项目计划工作目标的实际节约成本与计划成本的比率，用以反映和考核项目的成本节约程度。成本节约率=[（计划成本-实际成本）/计划成本]×100%。</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计划成本：项目实施单位为完成工作目标计划安排的支出，一般以项目预算为参考。</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9.0（含）-10.0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项目实施成本节约率高</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kern w:val="0"/>
                <w:sz w:val="20"/>
                <w:szCs w:val="20"/>
                <w:lang w:val="en-US" w:eastAsia="zh-CN"/>
              </w:rPr>
            </w:pPr>
            <w:r>
              <w:rPr>
                <w:rFonts w:hint="default" w:ascii="Times New Roman" w:hAnsi="Times New Roman" w:cs="Times New Roman"/>
                <w:kern w:val="0"/>
                <w:sz w:val="20"/>
                <w:szCs w:val="20"/>
                <w:lang w:val="en-US" w:eastAsia="zh-CN"/>
              </w:rPr>
              <w:t>10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7.5（含）-9.0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项目实施成本节约率较高</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6.0（含）-7.5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项目实施成本节约率一般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0（含）-6.0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项目实施成本节约率低</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效益</w:t>
            </w: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项目效益</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实施效益</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20</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社会效益</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772"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项目实施是否产生社会综合效益及其影响程度。</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9.0（含）-10.0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项目实施产生的社会效益影响显著</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lang w:val="en-US"/>
              </w:rPr>
            </w:pPr>
            <w:r>
              <w:rPr>
                <w:rFonts w:hint="eastAsia" w:cs="Times New Roman"/>
                <w:kern w:val="0"/>
                <w:sz w:val="20"/>
                <w:szCs w:val="20"/>
                <w:lang w:val="en-US" w:eastAsia="zh-CN"/>
              </w:rPr>
              <w:t>10.00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7.5（含）-9.0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项目实施产生的社会效益影响比较显著</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6.0（含）-7.5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项目实施产生的社会效益影响一般显著</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0（含）-6.0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项目实施产生的社会效益影响不显著</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可持续影响</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772"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项目实施对人、自然、资源是否带来可持续影响。</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9.0（含）-10.0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项目实施产生的可持续影响显著</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lang w:val="en-US" w:eastAsia="zh-CN"/>
              </w:rPr>
              <w:t>10</w:t>
            </w:r>
            <w:r>
              <w:rPr>
                <w:rFonts w:hint="default" w:ascii="Times New Roman" w:hAnsi="Times New Roman" w:cs="Times New Roman"/>
                <w:kern w:val="0"/>
                <w:sz w:val="20"/>
                <w:szCs w:val="20"/>
              </w:rPr>
              <w:t>.</w:t>
            </w:r>
            <w:r>
              <w:rPr>
                <w:rFonts w:hint="default" w:ascii="Times New Roman" w:hAnsi="Times New Roman" w:cs="Times New Roman"/>
                <w:kern w:val="0"/>
                <w:sz w:val="20"/>
                <w:szCs w:val="20"/>
                <w:lang w:val="en-US" w:eastAsia="zh-CN"/>
              </w:rPr>
              <w:t>0</w:t>
            </w:r>
            <w:r>
              <w:rPr>
                <w:rFonts w:hint="default" w:ascii="Times New Roman" w:hAnsi="Times New Roman" w:cs="Times New Roman"/>
                <w:kern w:val="0"/>
                <w:sz w:val="20"/>
                <w:szCs w:val="20"/>
              </w:rPr>
              <w:t>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7.5（含）-9.0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项目实施产生的可持续影响比较显著</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6.0（含）-7.5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项目实施产生的可持续影响一般显著</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0（含）-6.0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项目实施产生的可持续影响不显著</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满意度</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服务对象满意度及其程度</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社会公众或服务对象对项目实施效果的满意程度。社会公众或服务对象是指因该项目实施而受到影响的部门（单位）、群体或个人。一般采取社会调查的方式。</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9.0（含）-10.0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服务对象非常满意</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kern w:val="0"/>
                <w:sz w:val="20"/>
                <w:szCs w:val="20"/>
                <w:lang w:val="en-US" w:eastAsia="zh-CN"/>
              </w:rPr>
            </w:pPr>
            <w:r>
              <w:rPr>
                <w:rFonts w:hint="eastAsia" w:cs="Times New Roman"/>
                <w:kern w:val="0"/>
                <w:sz w:val="20"/>
                <w:szCs w:val="20"/>
                <w:lang w:val="en-US" w:eastAsia="zh-CN"/>
              </w:rPr>
              <w:t>7</w:t>
            </w:r>
            <w:r>
              <w:rPr>
                <w:rFonts w:hint="default" w:ascii="Times New Roman" w:hAnsi="Times New Roman" w:cs="Times New Roman"/>
                <w:kern w:val="0"/>
                <w:sz w:val="20"/>
                <w:szCs w:val="20"/>
                <w:lang w:val="en-US" w:eastAsia="zh-CN"/>
              </w:rPr>
              <w:t>.00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eastAsiaTheme="minorEastAsia"/>
                <w:kern w:val="0"/>
                <w:sz w:val="20"/>
                <w:szCs w:val="20"/>
                <w:lang w:val="en-US" w:eastAsia="zh-CN"/>
              </w:rPr>
            </w:pPr>
            <w:r>
              <w:rPr>
                <w:rFonts w:hint="eastAsia" w:cs="Times New Roman" w:eastAsiaTheme="minorEastAsia"/>
                <w:kern w:val="0"/>
                <w:sz w:val="20"/>
                <w:szCs w:val="20"/>
                <w:lang w:val="en-US" w:eastAsia="zh-CN"/>
              </w:rPr>
              <w:t>满意度调查资料不足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7.5（含）-9.0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服务对象比较满意</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6.0（含）-7.5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服务对象态度一般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0（含）-6.0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服务对象不满意</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79"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合计</w:t>
            </w:r>
          </w:p>
        </w:tc>
        <w:tc>
          <w:tcPr>
            <w:tcW w:w="3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　</w:t>
            </w:r>
          </w:p>
        </w:tc>
        <w:tc>
          <w:tcPr>
            <w:tcW w:w="389"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　</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100</w:t>
            </w:r>
          </w:p>
        </w:tc>
        <w:tc>
          <w:tcPr>
            <w:tcW w:w="467"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　</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100</w:t>
            </w:r>
          </w:p>
        </w:tc>
        <w:tc>
          <w:tcPr>
            <w:tcW w:w="772" w:type="pct"/>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　</w:t>
            </w:r>
          </w:p>
        </w:tc>
        <w:tc>
          <w:tcPr>
            <w:tcW w:w="556" w:type="pct"/>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　</w:t>
            </w:r>
          </w:p>
        </w:tc>
        <w:tc>
          <w:tcPr>
            <w:tcW w:w="863" w:type="pct"/>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　</w:t>
            </w:r>
          </w:p>
        </w:tc>
        <w:tc>
          <w:tcPr>
            <w:tcW w:w="285"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b/>
                <w:bCs/>
                <w:kern w:val="0"/>
                <w:sz w:val="20"/>
                <w:szCs w:val="20"/>
                <w:lang w:val="en-US" w:eastAsia="zh-CN"/>
              </w:rPr>
            </w:pPr>
            <w:r>
              <w:rPr>
                <w:rFonts w:hint="eastAsia" w:cs="Times New Roman"/>
                <w:b/>
                <w:bCs/>
                <w:kern w:val="0"/>
                <w:sz w:val="20"/>
                <w:szCs w:val="20"/>
                <w:lang w:val="en-US" w:eastAsia="zh-CN"/>
              </w:rPr>
              <w:t>90.42</w:t>
            </w:r>
          </w:p>
        </w:tc>
        <w:tc>
          <w:tcPr>
            <w:tcW w:w="585"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kern w:val="0"/>
                <w:sz w:val="20"/>
                <w:szCs w:val="20"/>
              </w:rPr>
            </w:pPr>
          </w:p>
        </w:tc>
      </w:tr>
    </w:tbl>
    <w:p>
      <w:pPr>
        <w:pStyle w:val="6"/>
        <w:rPr>
          <w:rFonts w:hint="default" w:ascii="Times New Roman" w:hAnsi="Times New Roman" w:cs="Times New Roman"/>
        </w:rPr>
      </w:pPr>
    </w:p>
    <w:sectPr>
      <w:footerReference r:id="rId9" w:type="default"/>
      <w:pgSz w:w="16838" w:h="11906" w:orient="landscape"/>
      <w:pgMar w:top="1701" w:right="1701" w:bottom="1701" w:left="1701" w:header="851" w:footer="992" w:gutter="0"/>
      <w:pgNumType w:fmt="decimal" w:start="1"/>
      <w:cols w:space="720" w:num="1"/>
      <w:docGrid w:type="lines" w:linePitch="32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9E63930-F61B-47E8-A6CE-B4BE763414FE}"/>
  </w:font>
  <w:font w:name="Courier New">
    <w:panose1 w:val="02070309020205020404"/>
    <w:charset w:val="01"/>
    <w:family w:val="modern"/>
    <w:pitch w:val="default"/>
    <w:sig w:usb0="E0002EFF" w:usb1="C0007843" w:usb2="00000009" w:usb3="00000000" w:csb0="400001FF" w:csb1="FFFF0000"/>
    <w:embedRegular r:id="rId2" w:fontKey="{434CC170-FC13-4BA7-9A3F-441DF4657923}"/>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B764CE34-011E-4D34-89AA-BCC4FBB3AC97}"/>
  </w:font>
  <w:font w:name="方正小标宋_GBK">
    <w:panose1 w:val="02000000000000000000"/>
    <w:charset w:val="86"/>
    <w:family w:val="script"/>
    <w:pitch w:val="default"/>
    <w:sig w:usb0="A00002BF" w:usb1="38CF7CFA" w:usb2="00082016" w:usb3="00000000" w:csb0="00040001" w:csb1="00000000"/>
    <w:embedRegular r:id="rId4" w:fontKey="{8FC46107-10E6-41B1-B358-9B253A057ADC}"/>
  </w:font>
  <w:font w:name="方正小标宋简体">
    <w:panose1 w:val="03000509000000000000"/>
    <w:charset w:val="86"/>
    <w:family w:val="auto"/>
    <w:pitch w:val="default"/>
    <w:sig w:usb0="00000001" w:usb1="080E0000" w:usb2="00000000" w:usb3="00000000" w:csb0="00040000" w:csb1="00000000"/>
    <w:embedRegular r:id="rId5" w:fontKey="{5EA195A5-6D17-4101-A6BB-EF73F4E996B9}"/>
  </w:font>
  <w:font w:name="楷体_GB2312">
    <w:panose1 w:val="02010609030101010101"/>
    <w:charset w:val="86"/>
    <w:family w:val="modern"/>
    <w:pitch w:val="default"/>
    <w:sig w:usb0="00000001" w:usb1="080E0000" w:usb2="00000000" w:usb3="00000000" w:csb0="00040000" w:csb1="00000000"/>
    <w:embedRegular r:id="rId6" w:fontKey="{1AE35247-9A2D-447C-94B2-261C51E55B9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80"/>
      <w:jc w:val="center"/>
      <w:rPr>
        <w:rFonts w:ascii="Times New Roman" w:hAnsi="Times New Roman"/>
        <w:sz w:val="28"/>
        <w:szCs w:val="28"/>
      </w:rP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80"/>
      <w:jc w:val="center"/>
      <w:rPr>
        <w:rFonts w:ascii="Times New Roman" w:hAnsi="Times New Roman"/>
        <w:sz w:val="28"/>
        <w:szCs w:val="28"/>
      </w:rPr>
    </w:pP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80"/>
      <w:jc w:val="center"/>
      <w:rPr>
        <w:rFonts w:ascii="Times New Roman" w:hAnsi="Times New Roman"/>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ind w:firstLine="480"/>
                            <w:jc w:val="center"/>
                          </w:pP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16</w:t>
                          </w:r>
                          <w:r>
                            <w:rPr>
                              <w:rFonts w:ascii="Times New Roman" w:hAnsi="Times New Roman"/>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11"/>
                      <w:ind w:firstLine="480"/>
                      <w:jc w:val="center"/>
                    </w:pP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16</w:t>
                    </w:r>
                    <w:r>
                      <w:rPr>
                        <w:rFonts w:ascii="Times New Roman" w:hAnsi="Times New Roman"/>
                        <w:sz w:val="28"/>
                        <w:szCs w:val="28"/>
                      </w:rPr>
                      <w:fldChar w:fldCharType="end"/>
                    </w:r>
                  </w:p>
                </w:txbxContent>
              </v:textbox>
            </v:shape>
          </w:pict>
        </mc:Fallback>
      </mc:AlternateContent>
    </w:r>
  </w:p>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80"/>
      <w:jc w:val="center"/>
      <w:rPr>
        <w:rFonts w:ascii="Times New Roman" w:hAnsi="Times New Roman"/>
        <w:sz w:val="28"/>
        <w:szCs w:val="28"/>
      </w:rPr>
    </w:pPr>
  </w:p>
  <w:p>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480"/>
      </w:pPr>
      <w:r>
        <w:separator/>
      </w:r>
    </w:p>
  </w:footnote>
  <w:footnote w:type="continuationSeparator" w:id="1">
    <w:p>
      <w:pPr>
        <w:spacing w:line="312"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p>
    <w:pPr>
      <w:pStyle w:val="6"/>
      <w:rPr>
        <w:rFonts w:hint="eastAsia" w:eastAsia="黑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327"/>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1NGJkYzk2MTllNTU3MDJjNjgyMWU5ODA1NjM2YzAifQ=="/>
  </w:docVars>
  <w:rsids>
    <w:rsidRoot w:val="00172A27"/>
    <w:rsid w:val="000037E9"/>
    <w:rsid w:val="000059FE"/>
    <w:rsid w:val="00010E99"/>
    <w:rsid w:val="00012954"/>
    <w:rsid w:val="00017985"/>
    <w:rsid w:val="00024BA6"/>
    <w:rsid w:val="0003037F"/>
    <w:rsid w:val="00031D06"/>
    <w:rsid w:val="00034936"/>
    <w:rsid w:val="00035BAC"/>
    <w:rsid w:val="00036401"/>
    <w:rsid w:val="000372C2"/>
    <w:rsid w:val="000375B7"/>
    <w:rsid w:val="00041949"/>
    <w:rsid w:val="00041D2C"/>
    <w:rsid w:val="000421CE"/>
    <w:rsid w:val="0004282C"/>
    <w:rsid w:val="00044744"/>
    <w:rsid w:val="00044D7D"/>
    <w:rsid w:val="00050025"/>
    <w:rsid w:val="00050BEC"/>
    <w:rsid w:val="00053B55"/>
    <w:rsid w:val="00053B57"/>
    <w:rsid w:val="00060B6D"/>
    <w:rsid w:val="00062EF1"/>
    <w:rsid w:val="00063B67"/>
    <w:rsid w:val="00066569"/>
    <w:rsid w:val="00066ED6"/>
    <w:rsid w:val="0006771D"/>
    <w:rsid w:val="00067955"/>
    <w:rsid w:val="00070EB5"/>
    <w:rsid w:val="00072FB3"/>
    <w:rsid w:val="000740A2"/>
    <w:rsid w:val="00074199"/>
    <w:rsid w:val="00074AFF"/>
    <w:rsid w:val="0008060D"/>
    <w:rsid w:val="000808EC"/>
    <w:rsid w:val="00084035"/>
    <w:rsid w:val="000841FE"/>
    <w:rsid w:val="00085CD5"/>
    <w:rsid w:val="000874D1"/>
    <w:rsid w:val="00091AFB"/>
    <w:rsid w:val="00091F19"/>
    <w:rsid w:val="000A0A13"/>
    <w:rsid w:val="000A4FF3"/>
    <w:rsid w:val="000A52CC"/>
    <w:rsid w:val="000B287F"/>
    <w:rsid w:val="000B584A"/>
    <w:rsid w:val="000B5BE4"/>
    <w:rsid w:val="000C1D2F"/>
    <w:rsid w:val="000C42CE"/>
    <w:rsid w:val="000C46B0"/>
    <w:rsid w:val="000C46F9"/>
    <w:rsid w:val="000D0F18"/>
    <w:rsid w:val="000D3AC9"/>
    <w:rsid w:val="000E08B4"/>
    <w:rsid w:val="000E1B3B"/>
    <w:rsid w:val="000E2F08"/>
    <w:rsid w:val="000E45A8"/>
    <w:rsid w:val="000E6264"/>
    <w:rsid w:val="000F1984"/>
    <w:rsid w:val="000F1E5A"/>
    <w:rsid w:val="000F3825"/>
    <w:rsid w:val="000F38FC"/>
    <w:rsid w:val="000F5E66"/>
    <w:rsid w:val="000F7B5A"/>
    <w:rsid w:val="00100E1E"/>
    <w:rsid w:val="001107B2"/>
    <w:rsid w:val="00113E57"/>
    <w:rsid w:val="00116761"/>
    <w:rsid w:val="00124136"/>
    <w:rsid w:val="00127B94"/>
    <w:rsid w:val="0013246B"/>
    <w:rsid w:val="00133D17"/>
    <w:rsid w:val="00134761"/>
    <w:rsid w:val="00135C4A"/>
    <w:rsid w:val="00136CDB"/>
    <w:rsid w:val="001378FC"/>
    <w:rsid w:val="00140B59"/>
    <w:rsid w:val="00140B91"/>
    <w:rsid w:val="00141D2C"/>
    <w:rsid w:val="00143EFF"/>
    <w:rsid w:val="00147D59"/>
    <w:rsid w:val="00152AD1"/>
    <w:rsid w:val="001538CA"/>
    <w:rsid w:val="001544D6"/>
    <w:rsid w:val="00155596"/>
    <w:rsid w:val="001565AB"/>
    <w:rsid w:val="0016096D"/>
    <w:rsid w:val="00160F4A"/>
    <w:rsid w:val="00171C32"/>
    <w:rsid w:val="00173776"/>
    <w:rsid w:val="0017556C"/>
    <w:rsid w:val="001758BE"/>
    <w:rsid w:val="001802D2"/>
    <w:rsid w:val="0018132D"/>
    <w:rsid w:val="001821B0"/>
    <w:rsid w:val="00182803"/>
    <w:rsid w:val="00183AD7"/>
    <w:rsid w:val="00183C38"/>
    <w:rsid w:val="00185B20"/>
    <w:rsid w:val="00185FED"/>
    <w:rsid w:val="00190D55"/>
    <w:rsid w:val="00194CA3"/>
    <w:rsid w:val="0019568A"/>
    <w:rsid w:val="001969DC"/>
    <w:rsid w:val="00197713"/>
    <w:rsid w:val="001A223C"/>
    <w:rsid w:val="001A40A3"/>
    <w:rsid w:val="001A4161"/>
    <w:rsid w:val="001B02B4"/>
    <w:rsid w:val="001B03B6"/>
    <w:rsid w:val="001B4536"/>
    <w:rsid w:val="001B4AB5"/>
    <w:rsid w:val="001B5A38"/>
    <w:rsid w:val="001B7E25"/>
    <w:rsid w:val="001C08CB"/>
    <w:rsid w:val="001C0AE0"/>
    <w:rsid w:val="001C2C9C"/>
    <w:rsid w:val="001C2F17"/>
    <w:rsid w:val="001C399E"/>
    <w:rsid w:val="001C5E02"/>
    <w:rsid w:val="001C79DF"/>
    <w:rsid w:val="001D22A7"/>
    <w:rsid w:val="001D267C"/>
    <w:rsid w:val="001D26A1"/>
    <w:rsid w:val="001D7252"/>
    <w:rsid w:val="001D7702"/>
    <w:rsid w:val="001D7A85"/>
    <w:rsid w:val="001E09BE"/>
    <w:rsid w:val="001E0C7C"/>
    <w:rsid w:val="001E3878"/>
    <w:rsid w:val="001E3966"/>
    <w:rsid w:val="001E469B"/>
    <w:rsid w:val="001F1386"/>
    <w:rsid w:val="001F1760"/>
    <w:rsid w:val="001F1ACC"/>
    <w:rsid w:val="001F21F3"/>
    <w:rsid w:val="001F4563"/>
    <w:rsid w:val="001F4D60"/>
    <w:rsid w:val="00200C5E"/>
    <w:rsid w:val="0020127E"/>
    <w:rsid w:val="002016C5"/>
    <w:rsid w:val="002033EF"/>
    <w:rsid w:val="00206367"/>
    <w:rsid w:val="0021072E"/>
    <w:rsid w:val="0021086C"/>
    <w:rsid w:val="00215B54"/>
    <w:rsid w:val="00216EAE"/>
    <w:rsid w:val="00220F0B"/>
    <w:rsid w:val="00222849"/>
    <w:rsid w:val="00223C49"/>
    <w:rsid w:val="00226AA2"/>
    <w:rsid w:val="00227031"/>
    <w:rsid w:val="00227B7C"/>
    <w:rsid w:val="00231244"/>
    <w:rsid w:val="0023421D"/>
    <w:rsid w:val="00236FD1"/>
    <w:rsid w:val="002370CC"/>
    <w:rsid w:val="0023757E"/>
    <w:rsid w:val="00241287"/>
    <w:rsid w:val="00244DD2"/>
    <w:rsid w:val="0024585A"/>
    <w:rsid w:val="00246AD6"/>
    <w:rsid w:val="00247B1B"/>
    <w:rsid w:val="002570F6"/>
    <w:rsid w:val="00264B6C"/>
    <w:rsid w:val="00265B47"/>
    <w:rsid w:val="00270755"/>
    <w:rsid w:val="0027240B"/>
    <w:rsid w:val="002738AF"/>
    <w:rsid w:val="0027513E"/>
    <w:rsid w:val="002879D4"/>
    <w:rsid w:val="00287CE6"/>
    <w:rsid w:val="0029138B"/>
    <w:rsid w:val="0029439A"/>
    <w:rsid w:val="00294CCA"/>
    <w:rsid w:val="00296583"/>
    <w:rsid w:val="00296B78"/>
    <w:rsid w:val="00296F63"/>
    <w:rsid w:val="002A0679"/>
    <w:rsid w:val="002A1513"/>
    <w:rsid w:val="002A690A"/>
    <w:rsid w:val="002B24A7"/>
    <w:rsid w:val="002B39DD"/>
    <w:rsid w:val="002B3E2B"/>
    <w:rsid w:val="002B434D"/>
    <w:rsid w:val="002B67CF"/>
    <w:rsid w:val="002C07CF"/>
    <w:rsid w:val="002C2971"/>
    <w:rsid w:val="002C548A"/>
    <w:rsid w:val="002C7BAE"/>
    <w:rsid w:val="002D051E"/>
    <w:rsid w:val="002D0792"/>
    <w:rsid w:val="002D1EB3"/>
    <w:rsid w:val="002D2F5B"/>
    <w:rsid w:val="002D3559"/>
    <w:rsid w:val="002D3C50"/>
    <w:rsid w:val="002D5C96"/>
    <w:rsid w:val="002E31AA"/>
    <w:rsid w:val="002E4157"/>
    <w:rsid w:val="002E7B85"/>
    <w:rsid w:val="002F1287"/>
    <w:rsid w:val="002F18F2"/>
    <w:rsid w:val="002F2A8E"/>
    <w:rsid w:val="002F4CBD"/>
    <w:rsid w:val="00300023"/>
    <w:rsid w:val="00300194"/>
    <w:rsid w:val="00300980"/>
    <w:rsid w:val="00301C8F"/>
    <w:rsid w:val="00304161"/>
    <w:rsid w:val="003055C1"/>
    <w:rsid w:val="00311DE0"/>
    <w:rsid w:val="00312E9C"/>
    <w:rsid w:val="00313E47"/>
    <w:rsid w:val="00317DC2"/>
    <w:rsid w:val="00321CB0"/>
    <w:rsid w:val="00322F14"/>
    <w:rsid w:val="00323408"/>
    <w:rsid w:val="0032669A"/>
    <w:rsid w:val="00327967"/>
    <w:rsid w:val="00332E7D"/>
    <w:rsid w:val="003333BA"/>
    <w:rsid w:val="00333EB5"/>
    <w:rsid w:val="003366DC"/>
    <w:rsid w:val="00343156"/>
    <w:rsid w:val="0034640C"/>
    <w:rsid w:val="00350306"/>
    <w:rsid w:val="003509D0"/>
    <w:rsid w:val="0035100A"/>
    <w:rsid w:val="003516EE"/>
    <w:rsid w:val="0035315B"/>
    <w:rsid w:val="00353870"/>
    <w:rsid w:val="00354897"/>
    <w:rsid w:val="00356FB1"/>
    <w:rsid w:val="0035746B"/>
    <w:rsid w:val="003611E4"/>
    <w:rsid w:val="00365F0F"/>
    <w:rsid w:val="00371332"/>
    <w:rsid w:val="0037233F"/>
    <w:rsid w:val="00372FE4"/>
    <w:rsid w:val="0037602E"/>
    <w:rsid w:val="00376123"/>
    <w:rsid w:val="003808FE"/>
    <w:rsid w:val="003828C6"/>
    <w:rsid w:val="00384825"/>
    <w:rsid w:val="0039041C"/>
    <w:rsid w:val="00390DC5"/>
    <w:rsid w:val="00391BB1"/>
    <w:rsid w:val="00392ACA"/>
    <w:rsid w:val="0039319A"/>
    <w:rsid w:val="00393C76"/>
    <w:rsid w:val="00394890"/>
    <w:rsid w:val="00395315"/>
    <w:rsid w:val="00397AB9"/>
    <w:rsid w:val="003A0353"/>
    <w:rsid w:val="003A2342"/>
    <w:rsid w:val="003A2C39"/>
    <w:rsid w:val="003A306F"/>
    <w:rsid w:val="003A5884"/>
    <w:rsid w:val="003A6FA7"/>
    <w:rsid w:val="003B2296"/>
    <w:rsid w:val="003B4045"/>
    <w:rsid w:val="003B5510"/>
    <w:rsid w:val="003B670C"/>
    <w:rsid w:val="003B7BF6"/>
    <w:rsid w:val="003B7ED2"/>
    <w:rsid w:val="003C00EC"/>
    <w:rsid w:val="003C1419"/>
    <w:rsid w:val="003C15C6"/>
    <w:rsid w:val="003C1AC5"/>
    <w:rsid w:val="003C1AF5"/>
    <w:rsid w:val="003C57E5"/>
    <w:rsid w:val="003D1563"/>
    <w:rsid w:val="003D1F54"/>
    <w:rsid w:val="003D4E34"/>
    <w:rsid w:val="003D5EEA"/>
    <w:rsid w:val="003D7FBD"/>
    <w:rsid w:val="003E137A"/>
    <w:rsid w:val="003E2D3C"/>
    <w:rsid w:val="003E47FC"/>
    <w:rsid w:val="003E73DB"/>
    <w:rsid w:val="003F22C5"/>
    <w:rsid w:val="003F3387"/>
    <w:rsid w:val="003F416A"/>
    <w:rsid w:val="00402AF5"/>
    <w:rsid w:val="00403663"/>
    <w:rsid w:val="0040496B"/>
    <w:rsid w:val="00405DFA"/>
    <w:rsid w:val="004063E2"/>
    <w:rsid w:val="00407BE0"/>
    <w:rsid w:val="00411000"/>
    <w:rsid w:val="004141BA"/>
    <w:rsid w:val="00416D66"/>
    <w:rsid w:val="0041705A"/>
    <w:rsid w:val="00420B51"/>
    <w:rsid w:val="0042239C"/>
    <w:rsid w:val="00430F61"/>
    <w:rsid w:val="004314B0"/>
    <w:rsid w:val="00432314"/>
    <w:rsid w:val="004331EA"/>
    <w:rsid w:val="00433BC9"/>
    <w:rsid w:val="00436F7B"/>
    <w:rsid w:val="004375AC"/>
    <w:rsid w:val="00445718"/>
    <w:rsid w:val="0044734F"/>
    <w:rsid w:val="0044779D"/>
    <w:rsid w:val="00452135"/>
    <w:rsid w:val="00456736"/>
    <w:rsid w:val="00461744"/>
    <w:rsid w:val="0046511A"/>
    <w:rsid w:val="004724BE"/>
    <w:rsid w:val="00477BAE"/>
    <w:rsid w:val="00477FEC"/>
    <w:rsid w:val="00480365"/>
    <w:rsid w:val="00482250"/>
    <w:rsid w:val="00484E2C"/>
    <w:rsid w:val="004863BC"/>
    <w:rsid w:val="00487363"/>
    <w:rsid w:val="0049024F"/>
    <w:rsid w:val="00491E92"/>
    <w:rsid w:val="00496FC1"/>
    <w:rsid w:val="004A27C3"/>
    <w:rsid w:val="004A3949"/>
    <w:rsid w:val="004A6DC6"/>
    <w:rsid w:val="004A7750"/>
    <w:rsid w:val="004B0389"/>
    <w:rsid w:val="004B16C1"/>
    <w:rsid w:val="004B6FF8"/>
    <w:rsid w:val="004B77C4"/>
    <w:rsid w:val="004C0637"/>
    <w:rsid w:val="004C2BE8"/>
    <w:rsid w:val="004C4425"/>
    <w:rsid w:val="004C7432"/>
    <w:rsid w:val="004C7819"/>
    <w:rsid w:val="004D49B6"/>
    <w:rsid w:val="004D51E3"/>
    <w:rsid w:val="004E4B1F"/>
    <w:rsid w:val="004E65E8"/>
    <w:rsid w:val="004F00BE"/>
    <w:rsid w:val="004F1CE7"/>
    <w:rsid w:val="004F2830"/>
    <w:rsid w:val="004F3698"/>
    <w:rsid w:val="004F3935"/>
    <w:rsid w:val="004F3B16"/>
    <w:rsid w:val="004F7B1C"/>
    <w:rsid w:val="004F7FCD"/>
    <w:rsid w:val="00505D00"/>
    <w:rsid w:val="005061AC"/>
    <w:rsid w:val="00507FBF"/>
    <w:rsid w:val="00510E8A"/>
    <w:rsid w:val="0051648C"/>
    <w:rsid w:val="00521FB1"/>
    <w:rsid w:val="00523402"/>
    <w:rsid w:val="0052696F"/>
    <w:rsid w:val="00527D32"/>
    <w:rsid w:val="00530989"/>
    <w:rsid w:val="0053297F"/>
    <w:rsid w:val="005330A5"/>
    <w:rsid w:val="00533672"/>
    <w:rsid w:val="005354BB"/>
    <w:rsid w:val="00536F2D"/>
    <w:rsid w:val="0053749C"/>
    <w:rsid w:val="00540826"/>
    <w:rsid w:val="00540E64"/>
    <w:rsid w:val="00541743"/>
    <w:rsid w:val="00543067"/>
    <w:rsid w:val="00545D98"/>
    <w:rsid w:val="00546A95"/>
    <w:rsid w:val="0054708B"/>
    <w:rsid w:val="00550DDF"/>
    <w:rsid w:val="0055291A"/>
    <w:rsid w:val="00552BB9"/>
    <w:rsid w:val="005614D3"/>
    <w:rsid w:val="005624ED"/>
    <w:rsid w:val="00564451"/>
    <w:rsid w:val="00566C79"/>
    <w:rsid w:val="00567782"/>
    <w:rsid w:val="00570DB9"/>
    <w:rsid w:val="005717BF"/>
    <w:rsid w:val="0057365A"/>
    <w:rsid w:val="00576F93"/>
    <w:rsid w:val="00577FFC"/>
    <w:rsid w:val="00584C4A"/>
    <w:rsid w:val="005854E0"/>
    <w:rsid w:val="00585AFD"/>
    <w:rsid w:val="00587C6E"/>
    <w:rsid w:val="005A3467"/>
    <w:rsid w:val="005A5A20"/>
    <w:rsid w:val="005A62DD"/>
    <w:rsid w:val="005B1290"/>
    <w:rsid w:val="005B6187"/>
    <w:rsid w:val="005B7B43"/>
    <w:rsid w:val="005B7E90"/>
    <w:rsid w:val="005C0447"/>
    <w:rsid w:val="005C23CD"/>
    <w:rsid w:val="005C2761"/>
    <w:rsid w:val="005C59F3"/>
    <w:rsid w:val="005D01A6"/>
    <w:rsid w:val="005D09F7"/>
    <w:rsid w:val="005D0BF5"/>
    <w:rsid w:val="005D15DC"/>
    <w:rsid w:val="005D18F1"/>
    <w:rsid w:val="005D4B47"/>
    <w:rsid w:val="005E1F1F"/>
    <w:rsid w:val="005E300B"/>
    <w:rsid w:val="005E6B16"/>
    <w:rsid w:val="005E6ED9"/>
    <w:rsid w:val="005F2CC0"/>
    <w:rsid w:val="005F529D"/>
    <w:rsid w:val="005F7E89"/>
    <w:rsid w:val="00604A5A"/>
    <w:rsid w:val="006064B5"/>
    <w:rsid w:val="00607D34"/>
    <w:rsid w:val="00611928"/>
    <w:rsid w:val="006164E3"/>
    <w:rsid w:val="00617949"/>
    <w:rsid w:val="00620E96"/>
    <w:rsid w:val="00622281"/>
    <w:rsid w:val="00624377"/>
    <w:rsid w:val="006259AA"/>
    <w:rsid w:val="00630A58"/>
    <w:rsid w:val="00631A01"/>
    <w:rsid w:val="00632535"/>
    <w:rsid w:val="006326AD"/>
    <w:rsid w:val="006330A4"/>
    <w:rsid w:val="006330C4"/>
    <w:rsid w:val="00633DD5"/>
    <w:rsid w:val="00634DDE"/>
    <w:rsid w:val="00635038"/>
    <w:rsid w:val="00641CB6"/>
    <w:rsid w:val="00642DA0"/>
    <w:rsid w:val="006448B7"/>
    <w:rsid w:val="00647242"/>
    <w:rsid w:val="00652ACA"/>
    <w:rsid w:val="00653B2C"/>
    <w:rsid w:val="00654EA2"/>
    <w:rsid w:val="00657DBE"/>
    <w:rsid w:val="00661998"/>
    <w:rsid w:val="00661A23"/>
    <w:rsid w:val="00662B28"/>
    <w:rsid w:val="00664094"/>
    <w:rsid w:val="00664700"/>
    <w:rsid w:val="0066479D"/>
    <w:rsid w:val="00665FD0"/>
    <w:rsid w:val="006738E3"/>
    <w:rsid w:val="006743FA"/>
    <w:rsid w:val="00675115"/>
    <w:rsid w:val="006770C9"/>
    <w:rsid w:val="00677B66"/>
    <w:rsid w:val="00681F3F"/>
    <w:rsid w:val="00683504"/>
    <w:rsid w:val="006841C0"/>
    <w:rsid w:val="00685B63"/>
    <w:rsid w:val="00694B21"/>
    <w:rsid w:val="006B2F04"/>
    <w:rsid w:val="006C1E6D"/>
    <w:rsid w:val="006C2F62"/>
    <w:rsid w:val="006C590E"/>
    <w:rsid w:val="006C5E69"/>
    <w:rsid w:val="006D3B29"/>
    <w:rsid w:val="006D50E9"/>
    <w:rsid w:val="006D65F4"/>
    <w:rsid w:val="006D7B2F"/>
    <w:rsid w:val="006E12A3"/>
    <w:rsid w:val="006E33CA"/>
    <w:rsid w:val="006E37AB"/>
    <w:rsid w:val="006E3871"/>
    <w:rsid w:val="006E5CEF"/>
    <w:rsid w:val="006F0C6F"/>
    <w:rsid w:val="006F1CBF"/>
    <w:rsid w:val="006F4709"/>
    <w:rsid w:val="006F6F0A"/>
    <w:rsid w:val="006F769D"/>
    <w:rsid w:val="00701BBF"/>
    <w:rsid w:val="0070219E"/>
    <w:rsid w:val="00702588"/>
    <w:rsid w:val="00705CDF"/>
    <w:rsid w:val="00707405"/>
    <w:rsid w:val="0070778B"/>
    <w:rsid w:val="007124B8"/>
    <w:rsid w:val="00714569"/>
    <w:rsid w:val="00716760"/>
    <w:rsid w:val="00720418"/>
    <w:rsid w:val="007236B8"/>
    <w:rsid w:val="00724A36"/>
    <w:rsid w:val="007309B4"/>
    <w:rsid w:val="00731FBA"/>
    <w:rsid w:val="00733440"/>
    <w:rsid w:val="00735E4D"/>
    <w:rsid w:val="00736543"/>
    <w:rsid w:val="00737490"/>
    <w:rsid w:val="00740681"/>
    <w:rsid w:val="007411BF"/>
    <w:rsid w:val="0074264F"/>
    <w:rsid w:val="00742CD0"/>
    <w:rsid w:val="007433BE"/>
    <w:rsid w:val="0074663C"/>
    <w:rsid w:val="007469F6"/>
    <w:rsid w:val="007473B8"/>
    <w:rsid w:val="00753CB9"/>
    <w:rsid w:val="007547CA"/>
    <w:rsid w:val="00760B43"/>
    <w:rsid w:val="007610C3"/>
    <w:rsid w:val="00763DC9"/>
    <w:rsid w:val="00764DC7"/>
    <w:rsid w:val="00771044"/>
    <w:rsid w:val="007717CC"/>
    <w:rsid w:val="00772374"/>
    <w:rsid w:val="00773EBA"/>
    <w:rsid w:val="00776DF5"/>
    <w:rsid w:val="00780B61"/>
    <w:rsid w:val="0078401F"/>
    <w:rsid w:val="007862BC"/>
    <w:rsid w:val="0078662C"/>
    <w:rsid w:val="00794814"/>
    <w:rsid w:val="00797C28"/>
    <w:rsid w:val="007A1F63"/>
    <w:rsid w:val="007A6E42"/>
    <w:rsid w:val="007A7873"/>
    <w:rsid w:val="007B1E61"/>
    <w:rsid w:val="007B7A54"/>
    <w:rsid w:val="007C27D4"/>
    <w:rsid w:val="007C3E32"/>
    <w:rsid w:val="007C61D1"/>
    <w:rsid w:val="007C6D09"/>
    <w:rsid w:val="007D08E7"/>
    <w:rsid w:val="007D0B24"/>
    <w:rsid w:val="007D0CA1"/>
    <w:rsid w:val="007D24E4"/>
    <w:rsid w:val="007D54EC"/>
    <w:rsid w:val="007D69A0"/>
    <w:rsid w:val="007D69FA"/>
    <w:rsid w:val="007E2FE3"/>
    <w:rsid w:val="007E360A"/>
    <w:rsid w:val="007E5355"/>
    <w:rsid w:val="007F1A08"/>
    <w:rsid w:val="007F2051"/>
    <w:rsid w:val="007F3997"/>
    <w:rsid w:val="007F6DCE"/>
    <w:rsid w:val="007F72F6"/>
    <w:rsid w:val="007F7C9C"/>
    <w:rsid w:val="008015CC"/>
    <w:rsid w:val="00801B53"/>
    <w:rsid w:val="00801B72"/>
    <w:rsid w:val="0080476A"/>
    <w:rsid w:val="008051E1"/>
    <w:rsid w:val="008058D3"/>
    <w:rsid w:val="00810DE9"/>
    <w:rsid w:val="00816A10"/>
    <w:rsid w:val="00817119"/>
    <w:rsid w:val="008174AC"/>
    <w:rsid w:val="00817F16"/>
    <w:rsid w:val="0082450B"/>
    <w:rsid w:val="008247DD"/>
    <w:rsid w:val="00824F4A"/>
    <w:rsid w:val="00827E65"/>
    <w:rsid w:val="008327D0"/>
    <w:rsid w:val="008352BD"/>
    <w:rsid w:val="00836B86"/>
    <w:rsid w:val="0084608E"/>
    <w:rsid w:val="00847E1E"/>
    <w:rsid w:val="0085263D"/>
    <w:rsid w:val="00854CD2"/>
    <w:rsid w:val="00855EAD"/>
    <w:rsid w:val="00857020"/>
    <w:rsid w:val="008627AC"/>
    <w:rsid w:val="0086290D"/>
    <w:rsid w:val="00872647"/>
    <w:rsid w:val="00876C9D"/>
    <w:rsid w:val="0087732C"/>
    <w:rsid w:val="008802A1"/>
    <w:rsid w:val="00880ED7"/>
    <w:rsid w:val="008831AC"/>
    <w:rsid w:val="00885898"/>
    <w:rsid w:val="0088705C"/>
    <w:rsid w:val="008871FD"/>
    <w:rsid w:val="00893601"/>
    <w:rsid w:val="008941F9"/>
    <w:rsid w:val="0089421C"/>
    <w:rsid w:val="0089501D"/>
    <w:rsid w:val="008955CA"/>
    <w:rsid w:val="00895930"/>
    <w:rsid w:val="008A008F"/>
    <w:rsid w:val="008A2112"/>
    <w:rsid w:val="008A2425"/>
    <w:rsid w:val="008A3396"/>
    <w:rsid w:val="008A44AD"/>
    <w:rsid w:val="008B3E4C"/>
    <w:rsid w:val="008B55D4"/>
    <w:rsid w:val="008B63BE"/>
    <w:rsid w:val="008B6879"/>
    <w:rsid w:val="008C336A"/>
    <w:rsid w:val="008C4770"/>
    <w:rsid w:val="008C4ABC"/>
    <w:rsid w:val="008C541A"/>
    <w:rsid w:val="008C67D8"/>
    <w:rsid w:val="008D18FC"/>
    <w:rsid w:val="008D6FDA"/>
    <w:rsid w:val="008D764F"/>
    <w:rsid w:val="008D7F6D"/>
    <w:rsid w:val="008E1903"/>
    <w:rsid w:val="008E7690"/>
    <w:rsid w:val="008E7CB7"/>
    <w:rsid w:val="008F4C2C"/>
    <w:rsid w:val="008F53AA"/>
    <w:rsid w:val="008F6E2A"/>
    <w:rsid w:val="00900B9C"/>
    <w:rsid w:val="00904534"/>
    <w:rsid w:val="009113DB"/>
    <w:rsid w:val="009119B7"/>
    <w:rsid w:val="00913AD6"/>
    <w:rsid w:val="009158E4"/>
    <w:rsid w:val="00915A91"/>
    <w:rsid w:val="00922B40"/>
    <w:rsid w:val="009235CA"/>
    <w:rsid w:val="0092379B"/>
    <w:rsid w:val="00927272"/>
    <w:rsid w:val="00927280"/>
    <w:rsid w:val="00927ED9"/>
    <w:rsid w:val="00930567"/>
    <w:rsid w:val="00931A30"/>
    <w:rsid w:val="009331A0"/>
    <w:rsid w:val="00933DFA"/>
    <w:rsid w:val="00935F98"/>
    <w:rsid w:val="009363AE"/>
    <w:rsid w:val="009401D0"/>
    <w:rsid w:val="00941C2E"/>
    <w:rsid w:val="009423E0"/>
    <w:rsid w:val="00945B8B"/>
    <w:rsid w:val="0094684E"/>
    <w:rsid w:val="00947296"/>
    <w:rsid w:val="00955D34"/>
    <w:rsid w:val="009562D5"/>
    <w:rsid w:val="00957426"/>
    <w:rsid w:val="009603E0"/>
    <w:rsid w:val="00960642"/>
    <w:rsid w:val="00964E87"/>
    <w:rsid w:val="00965116"/>
    <w:rsid w:val="0096728F"/>
    <w:rsid w:val="009706C6"/>
    <w:rsid w:val="0097243E"/>
    <w:rsid w:val="00974684"/>
    <w:rsid w:val="009761E3"/>
    <w:rsid w:val="00980AAC"/>
    <w:rsid w:val="00984122"/>
    <w:rsid w:val="00985A67"/>
    <w:rsid w:val="0098670A"/>
    <w:rsid w:val="00986E99"/>
    <w:rsid w:val="00993762"/>
    <w:rsid w:val="009946F3"/>
    <w:rsid w:val="009A034A"/>
    <w:rsid w:val="009A1EAE"/>
    <w:rsid w:val="009A22ED"/>
    <w:rsid w:val="009A2ADA"/>
    <w:rsid w:val="009A39D6"/>
    <w:rsid w:val="009A54B2"/>
    <w:rsid w:val="009A5683"/>
    <w:rsid w:val="009A7F11"/>
    <w:rsid w:val="009A7F8E"/>
    <w:rsid w:val="009B0343"/>
    <w:rsid w:val="009B0A9C"/>
    <w:rsid w:val="009B437E"/>
    <w:rsid w:val="009B4AE3"/>
    <w:rsid w:val="009B61C8"/>
    <w:rsid w:val="009B7B35"/>
    <w:rsid w:val="009C034A"/>
    <w:rsid w:val="009C1D2C"/>
    <w:rsid w:val="009C4265"/>
    <w:rsid w:val="009C4940"/>
    <w:rsid w:val="009C625F"/>
    <w:rsid w:val="009C6725"/>
    <w:rsid w:val="009C6D59"/>
    <w:rsid w:val="009C78E7"/>
    <w:rsid w:val="009D361C"/>
    <w:rsid w:val="009D774E"/>
    <w:rsid w:val="009E0617"/>
    <w:rsid w:val="009E38E7"/>
    <w:rsid w:val="009E4E3A"/>
    <w:rsid w:val="009E5195"/>
    <w:rsid w:val="009E5563"/>
    <w:rsid w:val="009E5ED7"/>
    <w:rsid w:val="009F4344"/>
    <w:rsid w:val="009F5E69"/>
    <w:rsid w:val="00A011CE"/>
    <w:rsid w:val="00A01315"/>
    <w:rsid w:val="00A02207"/>
    <w:rsid w:val="00A0431F"/>
    <w:rsid w:val="00A04DDD"/>
    <w:rsid w:val="00A06A9A"/>
    <w:rsid w:val="00A126E5"/>
    <w:rsid w:val="00A13059"/>
    <w:rsid w:val="00A13EA1"/>
    <w:rsid w:val="00A21722"/>
    <w:rsid w:val="00A233CC"/>
    <w:rsid w:val="00A3094F"/>
    <w:rsid w:val="00A325B4"/>
    <w:rsid w:val="00A35508"/>
    <w:rsid w:val="00A3662A"/>
    <w:rsid w:val="00A42B9A"/>
    <w:rsid w:val="00A42FD0"/>
    <w:rsid w:val="00A45833"/>
    <w:rsid w:val="00A5009B"/>
    <w:rsid w:val="00A5257D"/>
    <w:rsid w:val="00A6433A"/>
    <w:rsid w:val="00A6463C"/>
    <w:rsid w:val="00A65495"/>
    <w:rsid w:val="00A66EDF"/>
    <w:rsid w:val="00A70553"/>
    <w:rsid w:val="00A71542"/>
    <w:rsid w:val="00A7277E"/>
    <w:rsid w:val="00A74F15"/>
    <w:rsid w:val="00A76319"/>
    <w:rsid w:val="00A8369B"/>
    <w:rsid w:val="00A86BCA"/>
    <w:rsid w:val="00A90424"/>
    <w:rsid w:val="00A91E6C"/>
    <w:rsid w:val="00A929C4"/>
    <w:rsid w:val="00AA48BF"/>
    <w:rsid w:val="00AB0AD1"/>
    <w:rsid w:val="00AB1122"/>
    <w:rsid w:val="00AB35FE"/>
    <w:rsid w:val="00AB5EC1"/>
    <w:rsid w:val="00AB7AF3"/>
    <w:rsid w:val="00AC018E"/>
    <w:rsid w:val="00AC0607"/>
    <w:rsid w:val="00AC1DE5"/>
    <w:rsid w:val="00AC3A04"/>
    <w:rsid w:val="00AC4819"/>
    <w:rsid w:val="00AC59B3"/>
    <w:rsid w:val="00AD08D6"/>
    <w:rsid w:val="00AD3F0D"/>
    <w:rsid w:val="00AD51B4"/>
    <w:rsid w:val="00AE2441"/>
    <w:rsid w:val="00AE2E75"/>
    <w:rsid w:val="00AE4D31"/>
    <w:rsid w:val="00AE7AFF"/>
    <w:rsid w:val="00AF2428"/>
    <w:rsid w:val="00AF4455"/>
    <w:rsid w:val="00AF463D"/>
    <w:rsid w:val="00AF641A"/>
    <w:rsid w:val="00AF662D"/>
    <w:rsid w:val="00AF7A7D"/>
    <w:rsid w:val="00AF7EC6"/>
    <w:rsid w:val="00B00FBA"/>
    <w:rsid w:val="00B018C6"/>
    <w:rsid w:val="00B0230B"/>
    <w:rsid w:val="00B02C30"/>
    <w:rsid w:val="00B073F3"/>
    <w:rsid w:val="00B10588"/>
    <w:rsid w:val="00B2104A"/>
    <w:rsid w:val="00B224F7"/>
    <w:rsid w:val="00B23609"/>
    <w:rsid w:val="00B306B4"/>
    <w:rsid w:val="00B30F23"/>
    <w:rsid w:val="00B31A40"/>
    <w:rsid w:val="00B40D17"/>
    <w:rsid w:val="00B436B1"/>
    <w:rsid w:val="00B43F96"/>
    <w:rsid w:val="00B50047"/>
    <w:rsid w:val="00B5074F"/>
    <w:rsid w:val="00B545DB"/>
    <w:rsid w:val="00B60927"/>
    <w:rsid w:val="00B60E61"/>
    <w:rsid w:val="00B650FA"/>
    <w:rsid w:val="00B718A5"/>
    <w:rsid w:val="00B72DBC"/>
    <w:rsid w:val="00B73638"/>
    <w:rsid w:val="00B74E5E"/>
    <w:rsid w:val="00B75DF3"/>
    <w:rsid w:val="00B76156"/>
    <w:rsid w:val="00B76E42"/>
    <w:rsid w:val="00B76FFF"/>
    <w:rsid w:val="00B82429"/>
    <w:rsid w:val="00B83D67"/>
    <w:rsid w:val="00B83DD1"/>
    <w:rsid w:val="00B840F8"/>
    <w:rsid w:val="00B85631"/>
    <w:rsid w:val="00B85C36"/>
    <w:rsid w:val="00B90358"/>
    <w:rsid w:val="00B9152A"/>
    <w:rsid w:val="00B9221A"/>
    <w:rsid w:val="00B9259B"/>
    <w:rsid w:val="00B92605"/>
    <w:rsid w:val="00B93A73"/>
    <w:rsid w:val="00B9534F"/>
    <w:rsid w:val="00B9660F"/>
    <w:rsid w:val="00BB1A8C"/>
    <w:rsid w:val="00BB7EAA"/>
    <w:rsid w:val="00BC5E5F"/>
    <w:rsid w:val="00BD0BE8"/>
    <w:rsid w:val="00BD1F2C"/>
    <w:rsid w:val="00BD206E"/>
    <w:rsid w:val="00BD49C9"/>
    <w:rsid w:val="00BD6916"/>
    <w:rsid w:val="00BD7E5C"/>
    <w:rsid w:val="00BE0B4E"/>
    <w:rsid w:val="00BE1D5A"/>
    <w:rsid w:val="00BE2A6D"/>
    <w:rsid w:val="00BE3463"/>
    <w:rsid w:val="00BE3E7B"/>
    <w:rsid w:val="00BE6946"/>
    <w:rsid w:val="00BE7094"/>
    <w:rsid w:val="00BE70E1"/>
    <w:rsid w:val="00BF1FE2"/>
    <w:rsid w:val="00BF408D"/>
    <w:rsid w:val="00BF6E0E"/>
    <w:rsid w:val="00C0015A"/>
    <w:rsid w:val="00C003CF"/>
    <w:rsid w:val="00C00512"/>
    <w:rsid w:val="00C00592"/>
    <w:rsid w:val="00C014A8"/>
    <w:rsid w:val="00C01F2B"/>
    <w:rsid w:val="00C02044"/>
    <w:rsid w:val="00C03733"/>
    <w:rsid w:val="00C0620B"/>
    <w:rsid w:val="00C069E4"/>
    <w:rsid w:val="00C06A3D"/>
    <w:rsid w:val="00C10307"/>
    <w:rsid w:val="00C13572"/>
    <w:rsid w:val="00C1571A"/>
    <w:rsid w:val="00C16DA5"/>
    <w:rsid w:val="00C331CC"/>
    <w:rsid w:val="00C3427D"/>
    <w:rsid w:val="00C34EB7"/>
    <w:rsid w:val="00C3573B"/>
    <w:rsid w:val="00C35BD0"/>
    <w:rsid w:val="00C364E6"/>
    <w:rsid w:val="00C368C9"/>
    <w:rsid w:val="00C369F7"/>
    <w:rsid w:val="00C37AC0"/>
    <w:rsid w:val="00C429E0"/>
    <w:rsid w:val="00C444C9"/>
    <w:rsid w:val="00C44D81"/>
    <w:rsid w:val="00C451E8"/>
    <w:rsid w:val="00C4525E"/>
    <w:rsid w:val="00C46060"/>
    <w:rsid w:val="00C464DE"/>
    <w:rsid w:val="00C470A4"/>
    <w:rsid w:val="00C512B2"/>
    <w:rsid w:val="00C55270"/>
    <w:rsid w:val="00C55915"/>
    <w:rsid w:val="00C614F4"/>
    <w:rsid w:val="00C66D37"/>
    <w:rsid w:val="00C72848"/>
    <w:rsid w:val="00C73240"/>
    <w:rsid w:val="00C76423"/>
    <w:rsid w:val="00C81452"/>
    <w:rsid w:val="00C819B2"/>
    <w:rsid w:val="00C81E02"/>
    <w:rsid w:val="00C8585C"/>
    <w:rsid w:val="00C91D66"/>
    <w:rsid w:val="00C91F9E"/>
    <w:rsid w:val="00C92966"/>
    <w:rsid w:val="00C9465A"/>
    <w:rsid w:val="00C96BCD"/>
    <w:rsid w:val="00CA0AFA"/>
    <w:rsid w:val="00CA0E45"/>
    <w:rsid w:val="00CA1CE4"/>
    <w:rsid w:val="00CA2168"/>
    <w:rsid w:val="00CA30E8"/>
    <w:rsid w:val="00CA382D"/>
    <w:rsid w:val="00CA7430"/>
    <w:rsid w:val="00CA75E8"/>
    <w:rsid w:val="00CA7A57"/>
    <w:rsid w:val="00CB2B07"/>
    <w:rsid w:val="00CB78A1"/>
    <w:rsid w:val="00CC4A48"/>
    <w:rsid w:val="00CC7E0E"/>
    <w:rsid w:val="00CD0BE5"/>
    <w:rsid w:val="00CD1498"/>
    <w:rsid w:val="00CD1B6C"/>
    <w:rsid w:val="00CD2122"/>
    <w:rsid w:val="00CD2E82"/>
    <w:rsid w:val="00CD36C3"/>
    <w:rsid w:val="00CD3B01"/>
    <w:rsid w:val="00CD4548"/>
    <w:rsid w:val="00CD48F4"/>
    <w:rsid w:val="00CD4E30"/>
    <w:rsid w:val="00CD5892"/>
    <w:rsid w:val="00CD6FAC"/>
    <w:rsid w:val="00CD7493"/>
    <w:rsid w:val="00CE26F9"/>
    <w:rsid w:val="00CE2742"/>
    <w:rsid w:val="00CE334C"/>
    <w:rsid w:val="00CE3D9A"/>
    <w:rsid w:val="00CF2934"/>
    <w:rsid w:val="00CF3000"/>
    <w:rsid w:val="00CF49FE"/>
    <w:rsid w:val="00CF7CA1"/>
    <w:rsid w:val="00D00B7D"/>
    <w:rsid w:val="00D01063"/>
    <w:rsid w:val="00D070B5"/>
    <w:rsid w:val="00D07730"/>
    <w:rsid w:val="00D124F5"/>
    <w:rsid w:val="00D168CA"/>
    <w:rsid w:val="00D23A3A"/>
    <w:rsid w:val="00D24FA9"/>
    <w:rsid w:val="00D27261"/>
    <w:rsid w:val="00D27DED"/>
    <w:rsid w:val="00D3315C"/>
    <w:rsid w:val="00D35BF5"/>
    <w:rsid w:val="00D3771E"/>
    <w:rsid w:val="00D3771F"/>
    <w:rsid w:val="00D40CAF"/>
    <w:rsid w:val="00D41EA8"/>
    <w:rsid w:val="00D47EA5"/>
    <w:rsid w:val="00D50FA0"/>
    <w:rsid w:val="00D52C0F"/>
    <w:rsid w:val="00D55A73"/>
    <w:rsid w:val="00D62FF1"/>
    <w:rsid w:val="00D63D27"/>
    <w:rsid w:val="00D64C36"/>
    <w:rsid w:val="00D65DA0"/>
    <w:rsid w:val="00D66C06"/>
    <w:rsid w:val="00D7312B"/>
    <w:rsid w:val="00D735A7"/>
    <w:rsid w:val="00D741C0"/>
    <w:rsid w:val="00D756C5"/>
    <w:rsid w:val="00D76C48"/>
    <w:rsid w:val="00D80229"/>
    <w:rsid w:val="00D80988"/>
    <w:rsid w:val="00D812A8"/>
    <w:rsid w:val="00D85D50"/>
    <w:rsid w:val="00D87907"/>
    <w:rsid w:val="00D93FB6"/>
    <w:rsid w:val="00D94A54"/>
    <w:rsid w:val="00D968E9"/>
    <w:rsid w:val="00DA03FD"/>
    <w:rsid w:val="00DA04A8"/>
    <w:rsid w:val="00DA09A4"/>
    <w:rsid w:val="00DA3F3C"/>
    <w:rsid w:val="00DA58BF"/>
    <w:rsid w:val="00DB5B91"/>
    <w:rsid w:val="00DB64F7"/>
    <w:rsid w:val="00DB70DF"/>
    <w:rsid w:val="00DB728E"/>
    <w:rsid w:val="00DC274A"/>
    <w:rsid w:val="00DC386B"/>
    <w:rsid w:val="00DC45D8"/>
    <w:rsid w:val="00DC4DB0"/>
    <w:rsid w:val="00DC53F9"/>
    <w:rsid w:val="00DC6DE6"/>
    <w:rsid w:val="00DC7704"/>
    <w:rsid w:val="00DD02E4"/>
    <w:rsid w:val="00DD0E55"/>
    <w:rsid w:val="00DD6A23"/>
    <w:rsid w:val="00DD6FDF"/>
    <w:rsid w:val="00DD7F86"/>
    <w:rsid w:val="00DE2DF8"/>
    <w:rsid w:val="00DE447B"/>
    <w:rsid w:val="00DE5B70"/>
    <w:rsid w:val="00DE7C4C"/>
    <w:rsid w:val="00DF0162"/>
    <w:rsid w:val="00DF1A84"/>
    <w:rsid w:val="00DF361A"/>
    <w:rsid w:val="00DF4031"/>
    <w:rsid w:val="00DF409D"/>
    <w:rsid w:val="00DF53B2"/>
    <w:rsid w:val="00DF6B10"/>
    <w:rsid w:val="00E00B81"/>
    <w:rsid w:val="00E0222F"/>
    <w:rsid w:val="00E03FFD"/>
    <w:rsid w:val="00E0598C"/>
    <w:rsid w:val="00E065D5"/>
    <w:rsid w:val="00E11505"/>
    <w:rsid w:val="00E12224"/>
    <w:rsid w:val="00E15358"/>
    <w:rsid w:val="00E215CE"/>
    <w:rsid w:val="00E218DD"/>
    <w:rsid w:val="00E232FB"/>
    <w:rsid w:val="00E2411A"/>
    <w:rsid w:val="00E257DC"/>
    <w:rsid w:val="00E25E10"/>
    <w:rsid w:val="00E2652C"/>
    <w:rsid w:val="00E26A7A"/>
    <w:rsid w:val="00E41578"/>
    <w:rsid w:val="00E43231"/>
    <w:rsid w:val="00E43ABB"/>
    <w:rsid w:val="00E4607A"/>
    <w:rsid w:val="00E46372"/>
    <w:rsid w:val="00E46C7D"/>
    <w:rsid w:val="00E54060"/>
    <w:rsid w:val="00E603A6"/>
    <w:rsid w:val="00E60AD0"/>
    <w:rsid w:val="00E63848"/>
    <w:rsid w:val="00E66323"/>
    <w:rsid w:val="00E664F9"/>
    <w:rsid w:val="00E674B6"/>
    <w:rsid w:val="00E70527"/>
    <w:rsid w:val="00E70E84"/>
    <w:rsid w:val="00E74619"/>
    <w:rsid w:val="00E74B5A"/>
    <w:rsid w:val="00E76322"/>
    <w:rsid w:val="00E816A4"/>
    <w:rsid w:val="00E900E5"/>
    <w:rsid w:val="00E9228E"/>
    <w:rsid w:val="00E92381"/>
    <w:rsid w:val="00E94EE4"/>
    <w:rsid w:val="00E9598D"/>
    <w:rsid w:val="00E95ECB"/>
    <w:rsid w:val="00E963F8"/>
    <w:rsid w:val="00E965E1"/>
    <w:rsid w:val="00E96700"/>
    <w:rsid w:val="00EA0F46"/>
    <w:rsid w:val="00EB1298"/>
    <w:rsid w:val="00EB5CD3"/>
    <w:rsid w:val="00EB7A28"/>
    <w:rsid w:val="00EC0A06"/>
    <w:rsid w:val="00EC0CA7"/>
    <w:rsid w:val="00EC32C8"/>
    <w:rsid w:val="00EC4D95"/>
    <w:rsid w:val="00EC4E7E"/>
    <w:rsid w:val="00EC5AE3"/>
    <w:rsid w:val="00EC6DD2"/>
    <w:rsid w:val="00EC77BF"/>
    <w:rsid w:val="00ED13A3"/>
    <w:rsid w:val="00ED1620"/>
    <w:rsid w:val="00ED3BEC"/>
    <w:rsid w:val="00ED4DD6"/>
    <w:rsid w:val="00ED7C42"/>
    <w:rsid w:val="00EE3E1E"/>
    <w:rsid w:val="00EE3ECB"/>
    <w:rsid w:val="00EE7062"/>
    <w:rsid w:val="00EE7B42"/>
    <w:rsid w:val="00EE7D28"/>
    <w:rsid w:val="00EE7FE6"/>
    <w:rsid w:val="00EF0A0C"/>
    <w:rsid w:val="00EF1F18"/>
    <w:rsid w:val="00EF3BF0"/>
    <w:rsid w:val="00EF536A"/>
    <w:rsid w:val="00EF644F"/>
    <w:rsid w:val="00F00610"/>
    <w:rsid w:val="00F00F52"/>
    <w:rsid w:val="00F027A6"/>
    <w:rsid w:val="00F0569A"/>
    <w:rsid w:val="00F110DD"/>
    <w:rsid w:val="00F16970"/>
    <w:rsid w:val="00F17864"/>
    <w:rsid w:val="00F202F0"/>
    <w:rsid w:val="00F215F8"/>
    <w:rsid w:val="00F22D86"/>
    <w:rsid w:val="00F30172"/>
    <w:rsid w:val="00F37D45"/>
    <w:rsid w:val="00F4576E"/>
    <w:rsid w:val="00F4600D"/>
    <w:rsid w:val="00F46309"/>
    <w:rsid w:val="00F46E1E"/>
    <w:rsid w:val="00F50EA5"/>
    <w:rsid w:val="00F529CB"/>
    <w:rsid w:val="00F537E9"/>
    <w:rsid w:val="00F53EF4"/>
    <w:rsid w:val="00F541D5"/>
    <w:rsid w:val="00F55078"/>
    <w:rsid w:val="00F57319"/>
    <w:rsid w:val="00F60461"/>
    <w:rsid w:val="00F607EB"/>
    <w:rsid w:val="00F60882"/>
    <w:rsid w:val="00F609EA"/>
    <w:rsid w:val="00F61E61"/>
    <w:rsid w:val="00F655D9"/>
    <w:rsid w:val="00F67A7E"/>
    <w:rsid w:val="00F67EB1"/>
    <w:rsid w:val="00F72CCA"/>
    <w:rsid w:val="00F73B3C"/>
    <w:rsid w:val="00F74B29"/>
    <w:rsid w:val="00F76086"/>
    <w:rsid w:val="00F801B1"/>
    <w:rsid w:val="00F833FC"/>
    <w:rsid w:val="00F85936"/>
    <w:rsid w:val="00F93E7F"/>
    <w:rsid w:val="00F94500"/>
    <w:rsid w:val="00F94EDE"/>
    <w:rsid w:val="00F97CF7"/>
    <w:rsid w:val="00FA56BE"/>
    <w:rsid w:val="00FA68B6"/>
    <w:rsid w:val="00FA754F"/>
    <w:rsid w:val="00FB1E20"/>
    <w:rsid w:val="00FB2A45"/>
    <w:rsid w:val="00FB6144"/>
    <w:rsid w:val="00FB76AD"/>
    <w:rsid w:val="00FC243C"/>
    <w:rsid w:val="00FC33F9"/>
    <w:rsid w:val="00FC4E8D"/>
    <w:rsid w:val="00FC7226"/>
    <w:rsid w:val="00FD1398"/>
    <w:rsid w:val="00FD3866"/>
    <w:rsid w:val="00FD40F0"/>
    <w:rsid w:val="00FD60D8"/>
    <w:rsid w:val="00FE0EDD"/>
    <w:rsid w:val="00FE22E0"/>
    <w:rsid w:val="00FE255F"/>
    <w:rsid w:val="00FE2B00"/>
    <w:rsid w:val="00FE5718"/>
    <w:rsid w:val="00FE6812"/>
    <w:rsid w:val="00FF2554"/>
    <w:rsid w:val="00FF3DB4"/>
    <w:rsid w:val="00FF40E9"/>
    <w:rsid w:val="00FF6C2B"/>
    <w:rsid w:val="01017BB1"/>
    <w:rsid w:val="010727EE"/>
    <w:rsid w:val="010A7304"/>
    <w:rsid w:val="011D2847"/>
    <w:rsid w:val="01290663"/>
    <w:rsid w:val="012A5174"/>
    <w:rsid w:val="01381773"/>
    <w:rsid w:val="0146738E"/>
    <w:rsid w:val="014D28CA"/>
    <w:rsid w:val="0151617F"/>
    <w:rsid w:val="017A141F"/>
    <w:rsid w:val="018D6714"/>
    <w:rsid w:val="01A84CE2"/>
    <w:rsid w:val="01B1184D"/>
    <w:rsid w:val="01B43147"/>
    <w:rsid w:val="01B446F6"/>
    <w:rsid w:val="01CC5EE4"/>
    <w:rsid w:val="01F64D0F"/>
    <w:rsid w:val="02003447"/>
    <w:rsid w:val="02137B38"/>
    <w:rsid w:val="02254E6A"/>
    <w:rsid w:val="023F66B6"/>
    <w:rsid w:val="024D3939"/>
    <w:rsid w:val="02572FEF"/>
    <w:rsid w:val="026223A4"/>
    <w:rsid w:val="027411A6"/>
    <w:rsid w:val="02793A18"/>
    <w:rsid w:val="0291633E"/>
    <w:rsid w:val="02955A50"/>
    <w:rsid w:val="02BA2E7C"/>
    <w:rsid w:val="02BB014B"/>
    <w:rsid w:val="02C85FAA"/>
    <w:rsid w:val="02CE786B"/>
    <w:rsid w:val="03377798"/>
    <w:rsid w:val="033E77E8"/>
    <w:rsid w:val="034F1046"/>
    <w:rsid w:val="03871108"/>
    <w:rsid w:val="03A0493A"/>
    <w:rsid w:val="03AC6A65"/>
    <w:rsid w:val="03AF786B"/>
    <w:rsid w:val="03C16A0B"/>
    <w:rsid w:val="03C57B58"/>
    <w:rsid w:val="03D45E9F"/>
    <w:rsid w:val="03DE659A"/>
    <w:rsid w:val="03DF7C0A"/>
    <w:rsid w:val="040276FB"/>
    <w:rsid w:val="04101B21"/>
    <w:rsid w:val="041078B9"/>
    <w:rsid w:val="04231798"/>
    <w:rsid w:val="044913D7"/>
    <w:rsid w:val="04540CA4"/>
    <w:rsid w:val="0458580D"/>
    <w:rsid w:val="04962A55"/>
    <w:rsid w:val="04974F3F"/>
    <w:rsid w:val="04992FCC"/>
    <w:rsid w:val="04AF20C8"/>
    <w:rsid w:val="04BF0BA3"/>
    <w:rsid w:val="04D13CE2"/>
    <w:rsid w:val="04E470A0"/>
    <w:rsid w:val="050F4F4F"/>
    <w:rsid w:val="051676BF"/>
    <w:rsid w:val="0553526A"/>
    <w:rsid w:val="057123C6"/>
    <w:rsid w:val="0573541A"/>
    <w:rsid w:val="057C03A3"/>
    <w:rsid w:val="0580326D"/>
    <w:rsid w:val="05811F06"/>
    <w:rsid w:val="05AA49A4"/>
    <w:rsid w:val="05C23783"/>
    <w:rsid w:val="05D44413"/>
    <w:rsid w:val="05D67572"/>
    <w:rsid w:val="05EA1623"/>
    <w:rsid w:val="05F36DF4"/>
    <w:rsid w:val="060004FA"/>
    <w:rsid w:val="06231E4A"/>
    <w:rsid w:val="062C173D"/>
    <w:rsid w:val="065C3618"/>
    <w:rsid w:val="0665644E"/>
    <w:rsid w:val="0670151B"/>
    <w:rsid w:val="067935DB"/>
    <w:rsid w:val="06817DF9"/>
    <w:rsid w:val="0688236E"/>
    <w:rsid w:val="06924D55"/>
    <w:rsid w:val="06AC2403"/>
    <w:rsid w:val="06B75C6A"/>
    <w:rsid w:val="06C90C51"/>
    <w:rsid w:val="06F54588"/>
    <w:rsid w:val="06F91CEF"/>
    <w:rsid w:val="070611A0"/>
    <w:rsid w:val="070659F4"/>
    <w:rsid w:val="071A351A"/>
    <w:rsid w:val="071F14B9"/>
    <w:rsid w:val="07377B99"/>
    <w:rsid w:val="075174E9"/>
    <w:rsid w:val="07550729"/>
    <w:rsid w:val="075E0201"/>
    <w:rsid w:val="07642A04"/>
    <w:rsid w:val="076D5B91"/>
    <w:rsid w:val="077566D6"/>
    <w:rsid w:val="077E0E2D"/>
    <w:rsid w:val="0795607D"/>
    <w:rsid w:val="07A34660"/>
    <w:rsid w:val="07C863CC"/>
    <w:rsid w:val="07D87465"/>
    <w:rsid w:val="07F45658"/>
    <w:rsid w:val="07F7285A"/>
    <w:rsid w:val="07F910B5"/>
    <w:rsid w:val="07F91A64"/>
    <w:rsid w:val="07F97858"/>
    <w:rsid w:val="07FF59B7"/>
    <w:rsid w:val="08244B15"/>
    <w:rsid w:val="0831788E"/>
    <w:rsid w:val="083679E7"/>
    <w:rsid w:val="083A104D"/>
    <w:rsid w:val="08732A37"/>
    <w:rsid w:val="088F0140"/>
    <w:rsid w:val="08AE547D"/>
    <w:rsid w:val="08AE6095"/>
    <w:rsid w:val="08B221B2"/>
    <w:rsid w:val="08BC6162"/>
    <w:rsid w:val="08BF1B7B"/>
    <w:rsid w:val="08C24907"/>
    <w:rsid w:val="09192929"/>
    <w:rsid w:val="092E0977"/>
    <w:rsid w:val="094C3302"/>
    <w:rsid w:val="09526F89"/>
    <w:rsid w:val="09531AFF"/>
    <w:rsid w:val="09640AE6"/>
    <w:rsid w:val="09781ED1"/>
    <w:rsid w:val="09A24784"/>
    <w:rsid w:val="09AD731C"/>
    <w:rsid w:val="09C80668"/>
    <w:rsid w:val="09CE3DE3"/>
    <w:rsid w:val="09DE67B4"/>
    <w:rsid w:val="09E47D6A"/>
    <w:rsid w:val="09EF01E5"/>
    <w:rsid w:val="0A071F44"/>
    <w:rsid w:val="0A121125"/>
    <w:rsid w:val="0A1730CE"/>
    <w:rsid w:val="0A3F273A"/>
    <w:rsid w:val="0A4154DA"/>
    <w:rsid w:val="0A796B64"/>
    <w:rsid w:val="0A832F10"/>
    <w:rsid w:val="0A8B0DBE"/>
    <w:rsid w:val="0A8C4904"/>
    <w:rsid w:val="0A9E55BD"/>
    <w:rsid w:val="0AA50BC6"/>
    <w:rsid w:val="0AAC4928"/>
    <w:rsid w:val="0AD66276"/>
    <w:rsid w:val="0AD90ACF"/>
    <w:rsid w:val="0AEA576E"/>
    <w:rsid w:val="0AF843A6"/>
    <w:rsid w:val="0B1B3E0C"/>
    <w:rsid w:val="0B1F6B0B"/>
    <w:rsid w:val="0B33204D"/>
    <w:rsid w:val="0B474D59"/>
    <w:rsid w:val="0B482790"/>
    <w:rsid w:val="0B511DE8"/>
    <w:rsid w:val="0B674882"/>
    <w:rsid w:val="0B7028D2"/>
    <w:rsid w:val="0B872B75"/>
    <w:rsid w:val="0B8B2229"/>
    <w:rsid w:val="0B8F645A"/>
    <w:rsid w:val="0B955C05"/>
    <w:rsid w:val="0B9B3256"/>
    <w:rsid w:val="0BA6549E"/>
    <w:rsid w:val="0BC0615D"/>
    <w:rsid w:val="0BCE76D0"/>
    <w:rsid w:val="0BF811E7"/>
    <w:rsid w:val="0BF911A1"/>
    <w:rsid w:val="0C2E1641"/>
    <w:rsid w:val="0C345485"/>
    <w:rsid w:val="0C6A205C"/>
    <w:rsid w:val="0C6C40A6"/>
    <w:rsid w:val="0C88735D"/>
    <w:rsid w:val="0C8D0A35"/>
    <w:rsid w:val="0C9F3412"/>
    <w:rsid w:val="0CCA172A"/>
    <w:rsid w:val="0CEA2078"/>
    <w:rsid w:val="0CF46A17"/>
    <w:rsid w:val="0D0133CF"/>
    <w:rsid w:val="0D193BD7"/>
    <w:rsid w:val="0D241875"/>
    <w:rsid w:val="0D247BDA"/>
    <w:rsid w:val="0D350860"/>
    <w:rsid w:val="0D351206"/>
    <w:rsid w:val="0D3A01A5"/>
    <w:rsid w:val="0D771057"/>
    <w:rsid w:val="0D7A4A46"/>
    <w:rsid w:val="0D7B603E"/>
    <w:rsid w:val="0D86153E"/>
    <w:rsid w:val="0D9E66DA"/>
    <w:rsid w:val="0DBA2F64"/>
    <w:rsid w:val="0DC673EF"/>
    <w:rsid w:val="0DE82031"/>
    <w:rsid w:val="0E004DA8"/>
    <w:rsid w:val="0E05016B"/>
    <w:rsid w:val="0E0B0F71"/>
    <w:rsid w:val="0E110F17"/>
    <w:rsid w:val="0E337FAD"/>
    <w:rsid w:val="0E43461F"/>
    <w:rsid w:val="0E5069C4"/>
    <w:rsid w:val="0E6B2691"/>
    <w:rsid w:val="0E787993"/>
    <w:rsid w:val="0ECE726E"/>
    <w:rsid w:val="0ED52C97"/>
    <w:rsid w:val="0EE17008"/>
    <w:rsid w:val="0EE27A3D"/>
    <w:rsid w:val="0EEC65EF"/>
    <w:rsid w:val="0F105E18"/>
    <w:rsid w:val="0F313BF1"/>
    <w:rsid w:val="0F331350"/>
    <w:rsid w:val="0F4A41F8"/>
    <w:rsid w:val="0F5132AF"/>
    <w:rsid w:val="0F563EE6"/>
    <w:rsid w:val="0F743A99"/>
    <w:rsid w:val="0F8E7103"/>
    <w:rsid w:val="0FBD197B"/>
    <w:rsid w:val="0FBF347B"/>
    <w:rsid w:val="0FE74EE6"/>
    <w:rsid w:val="0FFE0DA2"/>
    <w:rsid w:val="10144C5C"/>
    <w:rsid w:val="10276D9C"/>
    <w:rsid w:val="102F0580"/>
    <w:rsid w:val="103709CC"/>
    <w:rsid w:val="10396197"/>
    <w:rsid w:val="104D6442"/>
    <w:rsid w:val="10705C3F"/>
    <w:rsid w:val="108D7398"/>
    <w:rsid w:val="10962F58"/>
    <w:rsid w:val="10A774ED"/>
    <w:rsid w:val="10AF2817"/>
    <w:rsid w:val="10C14698"/>
    <w:rsid w:val="10D4446D"/>
    <w:rsid w:val="10D72031"/>
    <w:rsid w:val="10E35D73"/>
    <w:rsid w:val="11141120"/>
    <w:rsid w:val="111B2565"/>
    <w:rsid w:val="112656F7"/>
    <w:rsid w:val="11400369"/>
    <w:rsid w:val="114279D5"/>
    <w:rsid w:val="11454FDA"/>
    <w:rsid w:val="117707CC"/>
    <w:rsid w:val="1185780B"/>
    <w:rsid w:val="1194718D"/>
    <w:rsid w:val="11C1482A"/>
    <w:rsid w:val="11C73FD2"/>
    <w:rsid w:val="11E12D0F"/>
    <w:rsid w:val="11E712F1"/>
    <w:rsid w:val="11EC703E"/>
    <w:rsid w:val="11F45FD0"/>
    <w:rsid w:val="11F616BB"/>
    <w:rsid w:val="11FD3E21"/>
    <w:rsid w:val="12054972"/>
    <w:rsid w:val="120B3EBE"/>
    <w:rsid w:val="121D0605"/>
    <w:rsid w:val="12242110"/>
    <w:rsid w:val="12310D62"/>
    <w:rsid w:val="12380B88"/>
    <w:rsid w:val="12410FB3"/>
    <w:rsid w:val="12413609"/>
    <w:rsid w:val="124A2DC6"/>
    <w:rsid w:val="124B4F33"/>
    <w:rsid w:val="12713680"/>
    <w:rsid w:val="12872129"/>
    <w:rsid w:val="12A301AE"/>
    <w:rsid w:val="12A77C7E"/>
    <w:rsid w:val="12A97FF0"/>
    <w:rsid w:val="12DF20A1"/>
    <w:rsid w:val="12E02A2F"/>
    <w:rsid w:val="12ED7A68"/>
    <w:rsid w:val="12F15F90"/>
    <w:rsid w:val="1309749E"/>
    <w:rsid w:val="1325741D"/>
    <w:rsid w:val="132E7F4F"/>
    <w:rsid w:val="135E2714"/>
    <w:rsid w:val="136245B2"/>
    <w:rsid w:val="136A7A97"/>
    <w:rsid w:val="136E6AE0"/>
    <w:rsid w:val="138F6F44"/>
    <w:rsid w:val="13912088"/>
    <w:rsid w:val="13B2701B"/>
    <w:rsid w:val="13B8433F"/>
    <w:rsid w:val="13DC1698"/>
    <w:rsid w:val="13DC41E5"/>
    <w:rsid w:val="13FD1CFC"/>
    <w:rsid w:val="141812CA"/>
    <w:rsid w:val="142E6938"/>
    <w:rsid w:val="144153DA"/>
    <w:rsid w:val="14603662"/>
    <w:rsid w:val="146C7D2E"/>
    <w:rsid w:val="14930480"/>
    <w:rsid w:val="1499567C"/>
    <w:rsid w:val="14A35E13"/>
    <w:rsid w:val="14AE404C"/>
    <w:rsid w:val="14CF027F"/>
    <w:rsid w:val="14EE7BAB"/>
    <w:rsid w:val="14F50230"/>
    <w:rsid w:val="150905D5"/>
    <w:rsid w:val="15176E47"/>
    <w:rsid w:val="15275157"/>
    <w:rsid w:val="152A0226"/>
    <w:rsid w:val="15402CD0"/>
    <w:rsid w:val="15581746"/>
    <w:rsid w:val="15814625"/>
    <w:rsid w:val="158E1C7B"/>
    <w:rsid w:val="15976EE1"/>
    <w:rsid w:val="15AF147E"/>
    <w:rsid w:val="15D31EEB"/>
    <w:rsid w:val="15EB627B"/>
    <w:rsid w:val="15F55F59"/>
    <w:rsid w:val="15FB65AC"/>
    <w:rsid w:val="160F21A8"/>
    <w:rsid w:val="16315EBE"/>
    <w:rsid w:val="16872A25"/>
    <w:rsid w:val="16BC25D3"/>
    <w:rsid w:val="16BC4BB6"/>
    <w:rsid w:val="16E050BD"/>
    <w:rsid w:val="16E41F7A"/>
    <w:rsid w:val="1725429E"/>
    <w:rsid w:val="172B2F1D"/>
    <w:rsid w:val="173B4075"/>
    <w:rsid w:val="173F12EC"/>
    <w:rsid w:val="1777654E"/>
    <w:rsid w:val="177D4E84"/>
    <w:rsid w:val="17814D59"/>
    <w:rsid w:val="17BD794C"/>
    <w:rsid w:val="17E75029"/>
    <w:rsid w:val="17FA65A5"/>
    <w:rsid w:val="18230314"/>
    <w:rsid w:val="1823140E"/>
    <w:rsid w:val="182744F6"/>
    <w:rsid w:val="18300B23"/>
    <w:rsid w:val="18383D10"/>
    <w:rsid w:val="187C66FB"/>
    <w:rsid w:val="188958B5"/>
    <w:rsid w:val="18A310FE"/>
    <w:rsid w:val="18B7455D"/>
    <w:rsid w:val="18BF2F3B"/>
    <w:rsid w:val="191D3E51"/>
    <w:rsid w:val="194639AA"/>
    <w:rsid w:val="195A35A6"/>
    <w:rsid w:val="196536EE"/>
    <w:rsid w:val="19800254"/>
    <w:rsid w:val="199C41D2"/>
    <w:rsid w:val="199D716C"/>
    <w:rsid w:val="19A41B67"/>
    <w:rsid w:val="19B35630"/>
    <w:rsid w:val="19BC0503"/>
    <w:rsid w:val="19BD37DA"/>
    <w:rsid w:val="19C14B87"/>
    <w:rsid w:val="19D53BA5"/>
    <w:rsid w:val="19DE1ABA"/>
    <w:rsid w:val="1A0F525C"/>
    <w:rsid w:val="1A482A76"/>
    <w:rsid w:val="1A6A4D85"/>
    <w:rsid w:val="1A7B4E33"/>
    <w:rsid w:val="1A902129"/>
    <w:rsid w:val="1A9A3651"/>
    <w:rsid w:val="1AB36EC4"/>
    <w:rsid w:val="1AD626D9"/>
    <w:rsid w:val="1AF23D54"/>
    <w:rsid w:val="1AF51BB0"/>
    <w:rsid w:val="1AF94B5C"/>
    <w:rsid w:val="1AF96BD7"/>
    <w:rsid w:val="1B0C0CF6"/>
    <w:rsid w:val="1B447B1E"/>
    <w:rsid w:val="1B454DA2"/>
    <w:rsid w:val="1B7A3E63"/>
    <w:rsid w:val="1B9D797E"/>
    <w:rsid w:val="1BD61DC7"/>
    <w:rsid w:val="1BE45954"/>
    <w:rsid w:val="1C192327"/>
    <w:rsid w:val="1C2177ED"/>
    <w:rsid w:val="1C2362A8"/>
    <w:rsid w:val="1C2E0066"/>
    <w:rsid w:val="1C353EB4"/>
    <w:rsid w:val="1C447518"/>
    <w:rsid w:val="1C465895"/>
    <w:rsid w:val="1C5A5B1C"/>
    <w:rsid w:val="1C6B2003"/>
    <w:rsid w:val="1C8535B0"/>
    <w:rsid w:val="1C87443A"/>
    <w:rsid w:val="1C874FB8"/>
    <w:rsid w:val="1C966CC5"/>
    <w:rsid w:val="1CB03E78"/>
    <w:rsid w:val="1CBC19FB"/>
    <w:rsid w:val="1CD11348"/>
    <w:rsid w:val="1CD21CF4"/>
    <w:rsid w:val="1CE55AC5"/>
    <w:rsid w:val="1D0D2300"/>
    <w:rsid w:val="1D1E2199"/>
    <w:rsid w:val="1D2E608B"/>
    <w:rsid w:val="1D3A57CD"/>
    <w:rsid w:val="1D3C6046"/>
    <w:rsid w:val="1D5432D5"/>
    <w:rsid w:val="1D546430"/>
    <w:rsid w:val="1D557DB0"/>
    <w:rsid w:val="1D6D47C7"/>
    <w:rsid w:val="1D801066"/>
    <w:rsid w:val="1D947FE9"/>
    <w:rsid w:val="1DC8100E"/>
    <w:rsid w:val="1DD21528"/>
    <w:rsid w:val="1DF36623"/>
    <w:rsid w:val="1DF45A14"/>
    <w:rsid w:val="1E0D4074"/>
    <w:rsid w:val="1E165EBA"/>
    <w:rsid w:val="1E272246"/>
    <w:rsid w:val="1E6978F1"/>
    <w:rsid w:val="1E700F59"/>
    <w:rsid w:val="1E77703C"/>
    <w:rsid w:val="1E820FA0"/>
    <w:rsid w:val="1E8C6387"/>
    <w:rsid w:val="1EB1498B"/>
    <w:rsid w:val="1EBE05F4"/>
    <w:rsid w:val="1F0F7ECC"/>
    <w:rsid w:val="1F201B11"/>
    <w:rsid w:val="1F517386"/>
    <w:rsid w:val="1F587D98"/>
    <w:rsid w:val="1F690C95"/>
    <w:rsid w:val="1F845B3E"/>
    <w:rsid w:val="1F97026D"/>
    <w:rsid w:val="1FB240AC"/>
    <w:rsid w:val="1FEF0D9B"/>
    <w:rsid w:val="1FF51501"/>
    <w:rsid w:val="200552DF"/>
    <w:rsid w:val="2016369E"/>
    <w:rsid w:val="2026033A"/>
    <w:rsid w:val="20605D1D"/>
    <w:rsid w:val="2068285B"/>
    <w:rsid w:val="20D02D75"/>
    <w:rsid w:val="20D16D26"/>
    <w:rsid w:val="20DF69DD"/>
    <w:rsid w:val="20E01982"/>
    <w:rsid w:val="21155537"/>
    <w:rsid w:val="21155E1D"/>
    <w:rsid w:val="2117385F"/>
    <w:rsid w:val="2152565C"/>
    <w:rsid w:val="21956270"/>
    <w:rsid w:val="21AE2AB8"/>
    <w:rsid w:val="21B207FA"/>
    <w:rsid w:val="21B26104"/>
    <w:rsid w:val="21BC760C"/>
    <w:rsid w:val="21E02DE8"/>
    <w:rsid w:val="21E47966"/>
    <w:rsid w:val="21F240C4"/>
    <w:rsid w:val="21FA7A77"/>
    <w:rsid w:val="22164095"/>
    <w:rsid w:val="222145C4"/>
    <w:rsid w:val="22521CD3"/>
    <w:rsid w:val="22557BB2"/>
    <w:rsid w:val="22633739"/>
    <w:rsid w:val="22A714AD"/>
    <w:rsid w:val="22C91465"/>
    <w:rsid w:val="230374A6"/>
    <w:rsid w:val="23196053"/>
    <w:rsid w:val="23466DF9"/>
    <w:rsid w:val="236E375C"/>
    <w:rsid w:val="237D0994"/>
    <w:rsid w:val="23891837"/>
    <w:rsid w:val="23986DAB"/>
    <w:rsid w:val="239E4348"/>
    <w:rsid w:val="23A83C63"/>
    <w:rsid w:val="23AC3DCF"/>
    <w:rsid w:val="23D311FE"/>
    <w:rsid w:val="23EF7316"/>
    <w:rsid w:val="23F0483A"/>
    <w:rsid w:val="240555A4"/>
    <w:rsid w:val="2406098A"/>
    <w:rsid w:val="24075DC5"/>
    <w:rsid w:val="24343DA4"/>
    <w:rsid w:val="24404EC0"/>
    <w:rsid w:val="244654E4"/>
    <w:rsid w:val="247E4E40"/>
    <w:rsid w:val="24BD5A2E"/>
    <w:rsid w:val="24E152AD"/>
    <w:rsid w:val="24F1647A"/>
    <w:rsid w:val="2515121A"/>
    <w:rsid w:val="252406BC"/>
    <w:rsid w:val="252515E6"/>
    <w:rsid w:val="252B3F79"/>
    <w:rsid w:val="254721A8"/>
    <w:rsid w:val="258358DD"/>
    <w:rsid w:val="25B3327A"/>
    <w:rsid w:val="25BD3C86"/>
    <w:rsid w:val="25D14918"/>
    <w:rsid w:val="25F92303"/>
    <w:rsid w:val="25FD3653"/>
    <w:rsid w:val="26175410"/>
    <w:rsid w:val="262303C3"/>
    <w:rsid w:val="2624790D"/>
    <w:rsid w:val="266359C4"/>
    <w:rsid w:val="266719DA"/>
    <w:rsid w:val="26690EF4"/>
    <w:rsid w:val="26721C2F"/>
    <w:rsid w:val="26825708"/>
    <w:rsid w:val="268C73B2"/>
    <w:rsid w:val="268F4A73"/>
    <w:rsid w:val="26B273D6"/>
    <w:rsid w:val="26D525C3"/>
    <w:rsid w:val="26DB1B05"/>
    <w:rsid w:val="26EF2161"/>
    <w:rsid w:val="26EF35E2"/>
    <w:rsid w:val="26F66465"/>
    <w:rsid w:val="26FD4FC8"/>
    <w:rsid w:val="27153D8F"/>
    <w:rsid w:val="27154624"/>
    <w:rsid w:val="271D0D41"/>
    <w:rsid w:val="271E66BD"/>
    <w:rsid w:val="27381C91"/>
    <w:rsid w:val="274A0EDD"/>
    <w:rsid w:val="275A6AA9"/>
    <w:rsid w:val="27A3150B"/>
    <w:rsid w:val="27A73793"/>
    <w:rsid w:val="27B121AF"/>
    <w:rsid w:val="27C571A3"/>
    <w:rsid w:val="27EC0EF9"/>
    <w:rsid w:val="27F50BA5"/>
    <w:rsid w:val="27FE65FA"/>
    <w:rsid w:val="280277B2"/>
    <w:rsid w:val="281750C7"/>
    <w:rsid w:val="282134FD"/>
    <w:rsid w:val="283955B9"/>
    <w:rsid w:val="28571832"/>
    <w:rsid w:val="287018EE"/>
    <w:rsid w:val="28875DDF"/>
    <w:rsid w:val="289154C6"/>
    <w:rsid w:val="289A2702"/>
    <w:rsid w:val="28FE2773"/>
    <w:rsid w:val="290D6316"/>
    <w:rsid w:val="291058F5"/>
    <w:rsid w:val="293F160D"/>
    <w:rsid w:val="29410308"/>
    <w:rsid w:val="2964356D"/>
    <w:rsid w:val="29921493"/>
    <w:rsid w:val="2997019A"/>
    <w:rsid w:val="29BF0E9F"/>
    <w:rsid w:val="29C41E64"/>
    <w:rsid w:val="29E2668A"/>
    <w:rsid w:val="29ED5437"/>
    <w:rsid w:val="29F439EA"/>
    <w:rsid w:val="29FC4834"/>
    <w:rsid w:val="2A157367"/>
    <w:rsid w:val="2A2C40DA"/>
    <w:rsid w:val="2A3C4E56"/>
    <w:rsid w:val="2A44769D"/>
    <w:rsid w:val="2A8940C2"/>
    <w:rsid w:val="2A946B96"/>
    <w:rsid w:val="2AAC040C"/>
    <w:rsid w:val="2AB910AA"/>
    <w:rsid w:val="2ABA7CEF"/>
    <w:rsid w:val="2AD651E0"/>
    <w:rsid w:val="2ADE1157"/>
    <w:rsid w:val="2AE0132C"/>
    <w:rsid w:val="2AF3524C"/>
    <w:rsid w:val="2AF67321"/>
    <w:rsid w:val="2B176055"/>
    <w:rsid w:val="2B344916"/>
    <w:rsid w:val="2B4C7898"/>
    <w:rsid w:val="2B743C17"/>
    <w:rsid w:val="2B9E6D31"/>
    <w:rsid w:val="2BB52872"/>
    <w:rsid w:val="2BB64D87"/>
    <w:rsid w:val="2BC0383B"/>
    <w:rsid w:val="2BD15882"/>
    <w:rsid w:val="2BFF7551"/>
    <w:rsid w:val="2C253248"/>
    <w:rsid w:val="2C3763A0"/>
    <w:rsid w:val="2C4D775D"/>
    <w:rsid w:val="2C4E1120"/>
    <w:rsid w:val="2C5837CA"/>
    <w:rsid w:val="2C5C576C"/>
    <w:rsid w:val="2C602B3A"/>
    <w:rsid w:val="2C7D76B3"/>
    <w:rsid w:val="2CA73DED"/>
    <w:rsid w:val="2CCE7AF7"/>
    <w:rsid w:val="2CD06C13"/>
    <w:rsid w:val="2CD81054"/>
    <w:rsid w:val="2CF316F9"/>
    <w:rsid w:val="2D130548"/>
    <w:rsid w:val="2D2A393B"/>
    <w:rsid w:val="2D3331BF"/>
    <w:rsid w:val="2D377E6C"/>
    <w:rsid w:val="2D3F7C8D"/>
    <w:rsid w:val="2D5304B0"/>
    <w:rsid w:val="2D673565"/>
    <w:rsid w:val="2D791D06"/>
    <w:rsid w:val="2D7D4619"/>
    <w:rsid w:val="2D815DE3"/>
    <w:rsid w:val="2DAA2C92"/>
    <w:rsid w:val="2DCB78B1"/>
    <w:rsid w:val="2DD436F8"/>
    <w:rsid w:val="2DD911F6"/>
    <w:rsid w:val="2DD955E8"/>
    <w:rsid w:val="2DDB3917"/>
    <w:rsid w:val="2DE07E4D"/>
    <w:rsid w:val="2DE32374"/>
    <w:rsid w:val="2DEF55A7"/>
    <w:rsid w:val="2DF866F2"/>
    <w:rsid w:val="2E100AB2"/>
    <w:rsid w:val="2E174A5D"/>
    <w:rsid w:val="2E244EF3"/>
    <w:rsid w:val="2E5626FB"/>
    <w:rsid w:val="2E5D5E92"/>
    <w:rsid w:val="2E5F79C0"/>
    <w:rsid w:val="2E6F18D3"/>
    <w:rsid w:val="2E7D1F32"/>
    <w:rsid w:val="2EAA3180"/>
    <w:rsid w:val="2EB445F5"/>
    <w:rsid w:val="2ED05F28"/>
    <w:rsid w:val="2EE13737"/>
    <w:rsid w:val="2EE424E2"/>
    <w:rsid w:val="2EEE3CD6"/>
    <w:rsid w:val="2EF630D5"/>
    <w:rsid w:val="2EFE443C"/>
    <w:rsid w:val="2F1A3106"/>
    <w:rsid w:val="2F4117CD"/>
    <w:rsid w:val="2F713FA3"/>
    <w:rsid w:val="2F740BEE"/>
    <w:rsid w:val="2FA15A0A"/>
    <w:rsid w:val="2FAC295D"/>
    <w:rsid w:val="2FB07D02"/>
    <w:rsid w:val="2FBB46B9"/>
    <w:rsid w:val="2FBE6583"/>
    <w:rsid w:val="2FC23EF0"/>
    <w:rsid w:val="2FCB2088"/>
    <w:rsid w:val="2FD55616"/>
    <w:rsid w:val="2FE6082A"/>
    <w:rsid w:val="2FEB1900"/>
    <w:rsid w:val="302C29D3"/>
    <w:rsid w:val="30314921"/>
    <w:rsid w:val="304C27C0"/>
    <w:rsid w:val="305A426A"/>
    <w:rsid w:val="30671733"/>
    <w:rsid w:val="306C2CF2"/>
    <w:rsid w:val="30700B8C"/>
    <w:rsid w:val="308B4216"/>
    <w:rsid w:val="308F4714"/>
    <w:rsid w:val="309A41E5"/>
    <w:rsid w:val="30AD13CC"/>
    <w:rsid w:val="30C81DD2"/>
    <w:rsid w:val="30C91210"/>
    <w:rsid w:val="30DA41C5"/>
    <w:rsid w:val="30DD3C4A"/>
    <w:rsid w:val="3102072B"/>
    <w:rsid w:val="312678D5"/>
    <w:rsid w:val="312713D0"/>
    <w:rsid w:val="31472929"/>
    <w:rsid w:val="315E302C"/>
    <w:rsid w:val="31635FD5"/>
    <w:rsid w:val="316A3A6B"/>
    <w:rsid w:val="317256BD"/>
    <w:rsid w:val="31927D8D"/>
    <w:rsid w:val="31992364"/>
    <w:rsid w:val="319D61AB"/>
    <w:rsid w:val="319F536D"/>
    <w:rsid w:val="31AD3FC3"/>
    <w:rsid w:val="31C72A42"/>
    <w:rsid w:val="31FF0890"/>
    <w:rsid w:val="320135D7"/>
    <w:rsid w:val="32052A50"/>
    <w:rsid w:val="3217200B"/>
    <w:rsid w:val="321C6545"/>
    <w:rsid w:val="32390A40"/>
    <w:rsid w:val="325F0AF8"/>
    <w:rsid w:val="3260061E"/>
    <w:rsid w:val="32996A6E"/>
    <w:rsid w:val="32C811C0"/>
    <w:rsid w:val="32D23E68"/>
    <w:rsid w:val="32F329AE"/>
    <w:rsid w:val="332226BA"/>
    <w:rsid w:val="332B3D51"/>
    <w:rsid w:val="332F0E34"/>
    <w:rsid w:val="3353412D"/>
    <w:rsid w:val="335E60EC"/>
    <w:rsid w:val="336F2634"/>
    <w:rsid w:val="337B0264"/>
    <w:rsid w:val="337C3BD7"/>
    <w:rsid w:val="3384038E"/>
    <w:rsid w:val="33852249"/>
    <w:rsid w:val="339B6CB2"/>
    <w:rsid w:val="339B7678"/>
    <w:rsid w:val="33B95A18"/>
    <w:rsid w:val="33BC6A23"/>
    <w:rsid w:val="33D229DB"/>
    <w:rsid w:val="33E258C4"/>
    <w:rsid w:val="33E369DB"/>
    <w:rsid w:val="33E470A3"/>
    <w:rsid w:val="33FF14E7"/>
    <w:rsid w:val="33FF4F08"/>
    <w:rsid w:val="34016A9D"/>
    <w:rsid w:val="34237D1A"/>
    <w:rsid w:val="343C1478"/>
    <w:rsid w:val="343E190C"/>
    <w:rsid w:val="345F4780"/>
    <w:rsid w:val="347020FD"/>
    <w:rsid w:val="347512FB"/>
    <w:rsid w:val="348065F5"/>
    <w:rsid w:val="3487754F"/>
    <w:rsid w:val="348E4C9F"/>
    <w:rsid w:val="349924B5"/>
    <w:rsid w:val="34AA1787"/>
    <w:rsid w:val="34AB511F"/>
    <w:rsid w:val="34B33F5E"/>
    <w:rsid w:val="34C441FF"/>
    <w:rsid w:val="34C61699"/>
    <w:rsid w:val="34D83FB2"/>
    <w:rsid w:val="34F02A6E"/>
    <w:rsid w:val="35026F4B"/>
    <w:rsid w:val="350B452D"/>
    <w:rsid w:val="352757D6"/>
    <w:rsid w:val="35706064"/>
    <w:rsid w:val="358233C6"/>
    <w:rsid w:val="358C302E"/>
    <w:rsid w:val="35B00B2C"/>
    <w:rsid w:val="35B0244E"/>
    <w:rsid w:val="35BD05BA"/>
    <w:rsid w:val="35D44E08"/>
    <w:rsid w:val="35DC7C0D"/>
    <w:rsid w:val="35E11256"/>
    <w:rsid w:val="363429D4"/>
    <w:rsid w:val="36367D06"/>
    <w:rsid w:val="365555FD"/>
    <w:rsid w:val="36625EF3"/>
    <w:rsid w:val="36716025"/>
    <w:rsid w:val="36877A32"/>
    <w:rsid w:val="36A43F90"/>
    <w:rsid w:val="36AA4EE4"/>
    <w:rsid w:val="36C4275F"/>
    <w:rsid w:val="36C5115F"/>
    <w:rsid w:val="36C865AD"/>
    <w:rsid w:val="36D16428"/>
    <w:rsid w:val="36D5441D"/>
    <w:rsid w:val="36D76726"/>
    <w:rsid w:val="36EB2F81"/>
    <w:rsid w:val="36F1598C"/>
    <w:rsid w:val="370B7A44"/>
    <w:rsid w:val="37111CC2"/>
    <w:rsid w:val="37184ADE"/>
    <w:rsid w:val="371E5C37"/>
    <w:rsid w:val="373F613F"/>
    <w:rsid w:val="37662326"/>
    <w:rsid w:val="37812FB5"/>
    <w:rsid w:val="378459C6"/>
    <w:rsid w:val="378F0A02"/>
    <w:rsid w:val="37BF003F"/>
    <w:rsid w:val="37BF3DEF"/>
    <w:rsid w:val="37BF731C"/>
    <w:rsid w:val="37C70626"/>
    <w:rsid w:val="37D92E6B"/>
    <w:rsid w:val="37F757A4"/>
    <w:rsid w:val="380B492C"/>
    <w:rsid w:val="380D6DD9"/>
    <w:rsid w:val="38193EA6"/>
    <w:rsid w:val="381F593E"/>
    <w:rsid w:val="382B33F0"/>
    <w:rsid w:val="38330116"/>
    <w:rsid w:val="38390ED6"/>
    <w:rsid w:val="384244A1"/>
    <w:rsid w:val="384902EF"/>
    <w:rsid w:val="38543F62"/>
    <w:rsid w:val="386F17D2"/>
    <w:rsid w:val="387A31FA"/>
    <w:rsid w:val="387C7A0F"/>
    <w:rsid w:val="38A5512D"/>
    <w:rsid w:val="38A93B77"/>
    <w:rsid w:val="38AA4A92"/>
    <w:rsid w:val="38BE3B48"/>
    <w:rsid w:val="38C05153"/>
    <w:rsid w:val="38C350A3"/>
    <w:rsid w:val="38D86941"/>
    <w:rsid w:val="38DB688E"/>
    <w:rsid w:val="38E22E8F"/>
    <w:rsid w:val="38F702E5"/>
    <w:rsid w:val="391E7427"/>
    <w:rsid w:val="392F230D"/>
    <w:rsid w:val="39321E28"/>
    <w:rsid w:val="393A4020"/>
    <w:rsid w:val="393A6798"/>
    <w:rsid w:val="39504CED"/>
    <w:rsid w:val="395079D4"/>
    <w:rsid w:val="39510164"/>
    <w:rsid w:val="395B126F"/>
    <w:rsid w:val="395D517C"/>
    <w:rsid w:val="396B2B36"/>
    <w:rsid w:val="397027F1"/>
    <w:rsid w:val="39884053"/>
    <w:rsid w:val="39892198"/>
    <w:rsid w:val="39DF6375"/>
    <w:rsid w:val="3A165D11"/>
    <w:rsid w:val="3A34157A"/>
    <w:rsid w:val="3A4D3BEE"/>
    <w:rsid w:val="3A550272"/>
    <w:rsid w:val="3A620B2D"/>
    <w:rsid w:val="3A7B0564"/>
    <w:rsid w:val="3A842EED"/>
    <w:rsid w:val="3AA17A62"/>
    <w:rsid w:val="3AA36ADA"/>
    <w:rsid w:val="3AAB598F"/>
    <w:rsid w:val="3AB34006"/>
    <w:rsid w:val="3AB7736F"/>
    <w:rsid w:val="3AC067C7"/>
    <w:rsid w:val="3AC11C0F"/>
    <w:rsid w:val="3AC93C76"/>
    <w:rsid w:val="3AFE6E3D"/>
    <w:rsid w:val="3B295C07"/>
    <w:rsid w:val="3B2B1794"/>
    <w:rsid w:val="3B3911ED"/>
    <w:rsid w:val="3B40671F"/>
    <w:rsid w:val="3B430BB4"/>
    <w:rsid w:val="3B5166F5"/>
    <w:rsid w:val="3B5E0969"/>
    <w:rsid w:val="3B6B01DB"/>
    <w:rsid w:val="3B730693"/>
    <w:rsid w:val="3B842E6E"/>
    <w:rsid w:val="3B89356E"/>
    <w:rsid w:val="3B9F78DE"/>
    <w:rsid w:val="3BAF3386"/>
    <w:rsid w:val="3BBB2B1F"/>
    <w:rsid w:val="3BBD544F"/>
    <w:rsid w:val="3BEA3259"/>
    <w:rsid w:val="3BEB0739"/>
    <w:rsid w:val="3BF305C8"/>
    <w:rsid w:val="3BF34CE9"/>
    <w:rsid w:val="3C262278"/>
    <w:rsid w:val="3C2E6878"/>
    <w:rsid w:val="3C320049"/>
    <w:rsid w:val="3C332067"/>
    <w:rsid w:val="3C3D1EA7"/>
    <w:rsid w:val="3C412FEF"/>
    <w:rsid w:val="3C5E172A"/>
    <w:rsid w:val="3C5F75E9"/>
    <w:rsid w:val="3C665813"/>
    <w:rsid w:val="3C687C69"/>
    <w:rsid w:val="3C6F0F2D"/>
    <w:rsid w:val="3C6F4129"/>
    <w:rsid w:val="3C705345"/>
    <w:rsid w:val="3C804EFE"/>
    <w:rsid w:val="3C8C793D"/>
    <w:rsid w:val="3CB44FCF"/>
    <w:rsid w:val="3CB80705"/>
    <w:rsid w:val="3CBF67A9"/>
    <w:rsid w:val="3CD67AA4"/>
    <w:rsid w:val="3CE02CA8"/>
    <w:rsid w:val="3CEE4E43"/>
    <w:rsid w:val="3D020E40"/>
    <w:rsid w:val="3D0B40C6"/>
    <w:rsid w:val="3D0D6DE9"/>
    <w:rsid w:val="3D1E303A"/>
    <w:rsid w:val="3D381E15"/>
    <w:rsid w:val="3D4144F8"/>
    <w:rsid w:val="3D4F2F4A"/>
    <w:rsid w:val="3D6D53B1"/>
    <w:rsid w:val="3D732DA3"/>
    <w:rsid w:val="3D8D59DF"/>
    <w:rsid w:val="3DBD2D33"/>
    <w:rsid w:val="3DC0305E"/>
    <w:rsid w:val="3DC177DA"/>
    <w:rsid w:val="3DD226B8"/>
    <w:rsid w:val="3DEC3012"/>
    <w:rsid w:val="3E0E3EB9"/>
    <w:rsid w:val="3E2C10FA"/>
    <w:rsid w:val="3E3D7CCB"/>
    <w:rsid w:val="3E5069DB"/>
    <w:rsid w:val="3E651F02"/>
    <w:rsid w:val="3E7B4341"/>
    <w:rsid w:val="3EB424C1"/>
    <w:rsid w:val="3EB50271"/>
    <w:rsid w:val="3ECD660E"/>
    <w:rsid w:val="3EF57852"/>
    <w:rsid w:val="3EF95127"/>
    <w:rsid w:val="3F245ACF"/>
    <w:rsid w:val="3F373C95"/>
    <w:rsid w:val="3F3A68F8"/>
    <w:rsid w:val="3F44721D"/>
    <w:rsid w:val="3F4872FA"/>
    <w:rsid w:val="3F664D84"/>
    <w:rsid w:val="3F710605"/>
    <w:rsid w:val="3F72633E"/>
    <w:rsid w:val="3F7942AE"/>
    <w:rsid w:val="3F7A5DA8"/>
    <w:rsid w:val="3F7E18AC"/>
    <w:rsid w:val="3F7F5E54"/>
    <w:rsid w:val="3F907C64"/>
    <w:rsid w:val="3F920133"/>
    <w:rsid w:val="3F960D43"/>
    <w:rsid w:val="3FB71799"/>
    <w:rsid w:val="3FD576BC"/>
    <w:rsid w:val="3FE15F9F"/>
    <w:rsid w:val="3FE41DD0"/>
    <w:rsid w:val="400F4519"/>
    <w:rsid w:val="402E3C00"/>
    <w:rsid w:val="40574D3C"/>
    <w:rsid w:val="4072184F"/>
    <w:rsid w:val="409F3F87"/>
    <w:rsid w:val="40CC4A3E"/>
    <w:rsid w:val="40CE6283"/>
    <w:rsid w:val="40D63B5E"/>
    <w:rsid w:val="40DA2BCE"/>
    <w:rsid w:val="40DE4FEB"/>
    <w:rsid w:val="40E80341"/>
    <w:rsid w:val="40F13BA1"/>
    <w:rsid w:val="40FC46F2"/>
    <w:rsid w:val="41031CC1"/>
    <w:rsid w:val="4105098B"/>
    <w:rsid w:val="41057DB6"/>
    <w:rsid w:val="411706D2"/>
    <w:rsid w:val="412070D7"/>
    <w:rsid w:val="412200D3"/>
    <w:rsid w:val="4122031E"/>
    <w:rsid w:val="412A15A0"/>
    <w:rsid w:val="41394B69"/>
    <w:rsid w:val="414023CE"/>
    <w:rsid w:val="414B1910"/>
    <w:rsid w:val="414C3ED9"/>
    <w:rsid w:val="41826052"/>
    <w:rsid w:val="41AE6602"/>
    <w:rsid w:val="41D028AB"/>
    <w:rsid w:val="41D6242B"/>
    <w:rsid w:val="41E81030"/>
    <w:rsid w:val="41FA0E5E"/>
    <w:rsid w:val="422151A6"/>
    <w:rsid w:val="423026F4"/>
    <w:rsid w:val="42427D2E"/>
    <w:rsid w:val="424A5EA3"/>
    <w:rsid w:val="425C5EED"/>
    <w:rsid w:val="42640436"/>
    <w:rsid w:val="426B74DE"/>
    <w:rsid w:val="426C2835"/>
    <w:rsid w:val="428D648C"/>
    <w:rsid w:val="42964966"/>
    <w:rsid w:val="42AA3EC8"/>
    <w:rsid w:val="42AD61B9"/>
    <w:rsid w:val="42C8573A"/>
    <w:rsid w:val="42CC7E97"/>
    <w:rsid w:val="42D9586E"/>
    <w:rsid w:val="42EF1640"/>
    <w:rsid w:val="430C3C9C"/>
    <w:rsid w:val="4314700C"/>
    <w:rsid w:val="43197D71"/>
    <w:rsid w:val="434541D3"/>
    <w:rsid w:val="434667E5"/>
    <w:rsid w:val="434D1C5C"/>
    <w:rsid w:val="43566713"/>
    <w:rsid w:val="438B4414"/>
    <w:rsid w:val="439714AF"/>
    <w:rsid w:val="43A53B82"/>
    <w:rsid w:val="43A90B3D"/>
    <w:rsid w:val="43B41963"/>
    <w:rsid w:val="43CD4B2B"/>
    <w:rsid w:val="43D80B5E"/>
    <w:rsid w:val="43DB72E5"/>
    <w:rsid w:val="43E2581D"/>
    <w:rsid w:val="43EF6A56"/>
    <w:rsid w:val="43FC6D61"/>
    <w:rsid w:val="44120BCC"/>
    <w:rsid w:val="44211AD2"/>
    <w:rsid w:val="442B1303"/>
    <w:rsid w:val="442D2AA4"/>
    <w:rsid w:val="443329F4"/>
    <w:rsid w:val="443D5D8A"/>
    <w:rsid w:val="443F46E8"/>
    <w:rsid w:val="44410444"/>
    <w:rsid w:val="445F1530"/>
    <w:rsid w:val="448C28D9"/>
    <w:rsid w:val="44DF7FDE"/>
    <w:rsid w:val="44E6761E"/>
    <w:rsid w:val="44F42F11"/>
    <w:rsid w:val="4524166F"/>
    <w:rsid w:val="454B230C"/>
    <w:rsid w:val="454D6FF9"/>
    <w:rsid w:val="454F3FAA"/>
    <w:rsid w:val="45596509"/>
    <w:rsid w:val="45694A18"/>
    <w:rsid w:val="456B3EDB"/>
    <w:rsid w:val="456D246F"/>
    <w:rsid w:val="458F040F"/>
    <w:rsid w:val="45B63B66"/>
    <w:rsid w:val="45B7799C"/>
    <w:rsid w:val="45B853EC"/>
    <w:rsid w:val="45BA5FD9"/>
    <w:rsid w:val="45C67776"/>
    <w:rsid w:val="45D03F3B"/>
    <w:rsid w:val="45E54FAF"/>
    <w:rsid w:val="461A6709"/>
    <w:rsid w:val="462004DE"/>
    <w:rsid w:val="463420C4"/>
    <w:rsid w:val="463A7E47"/>
    <w:rsid w:val="463C4A15"/>
    <w:rsid w:val="464359C3"/>
    <w:rsid w:val="46501455"/>
    <w:rsid w:val="46592743"/>
    <w:rsid w:val="46673753"/>
    <w:rsid w:val="467D6138"/>
    <w:rsid w:val="468004CC"/>
    <w:rsid w:val="46874C3D"/>
    <w:rsid w:val="469D6AD4"/>
    <w:rsid w:val="46AB5BF0"/>
    <w:rsid w:val="46B020F0"/>
    <w:rsid w:val="46BF73FC"/>
    <w:rsid w:val="46CC7D04"/>
    <w:rsid w:val="473854E9"/>
    <w:rsid w:val="473B6145"/>
    <w:rsid w:val="47472609"/>
    <w:rsid w:val="477F4899"/>
    <w:rsid w:val="479868FB"/>
    <w:rsid w:val="479A16D0"/>
    <w:rsid w:val="479F05CA"/>
    <w:rsid w:val="47B01483"/>
    <w:rsid w:val="47B3285D"/>
    <w:rsid w:val="47B72067"/>
    <w:rsid w:val="47E56B22"/>
    <w:rsid w:val="47EA6100"/>
    <w:rsid w:val="47F0736E"/>
    <w:rsid w:val="47F224DE"/>
    <w:rsid w:val="47FE5574"/>
    <w:rsid w:val="48010E15"/>
    <w:rsid w:val="481F7836"/>
    <w:rsid w:val="48273436"/>
    <w:rsid w:val="483451C4"/>
    <w:rsid w:val="484D3774"/>
    <w:rsid w:val="4868211C"/>
    <w:rsid w:val="488B1D39"/>
    <w:rsid w:val="488F6C7A"/>
    <w:rsid w:val="48DC05DF"/>
    <w:rsid w:val="490A0361"/>
    <w:rsid w:val="49130DFF"/>
    <w:rsid w:val="496472EF"/>
    <w:rsid w:val="49717ECA"/>
    <w:rsid w:val="49B46BF7"/>
    <w:rsid w:val="49B61CE3"/>
    <w:rsid w:val="49C17825"/>
    <w:rsid w:val="49D56E2B"/>
    <w:rsid w:val="49F12C60"/>
    <w:rsid w:val="4A0373A3"/>
    <w:rsid w:val="4A122D23"/>
    <w:rsid w:val="4A391C1B"/>
    <w:rsid w:val="4A4F45DA"/>
    <w:rsid w:val="4A58168F"/>
    <w:rsid w:val="4A771C7C"/>
    <w:rsid w:val="4A7E123B"/>
    <w:rsid w:val="4AAA68A0"/>
    <w:rsid w:val="4AD6546A"/>
    <w:rsid w:val="4ADD7756"/>
    <w:rsid w:val="4AE46B2A"/>
    <w:rsid w:val="4AE866D7"/>
    <w:rsid w:val="4AFA44F5"/>
    <w:rsid w:val="4B0A4279"/>
    <w:rsid w:val="4B2817AD"/>
    <w:rsid w:val="4B3654DF"/>
    <w:rsid w:val="4B3676D7"/>
    <w:rsid w:val="4B3C5DA9"/>
    <w:rsid w:val="4B6D0E75"/>
    <w:rsid w:val="4B6D374D"/>
    <w:rsid w:val="4B711D1E"/>
    <w:rsid w:val="4B764505"/>
    <w:rsid w:val="4B7A4A62"/>
    <w:rsid w:val="4B814DB1"/>
    <w:rsid w:val="4BB27060"/>
    <w:rsid w:val="4BB83783"/>
    <w:rsid w:val="4BBC1039"/>
    <w:rsid w:val="4BE24D2F"/>
    <w:rsid w:val="4BE95600"/>
    <w:rsid w:val="4C0403BF"/>
    <w:rsid w:val="4C0F2222"/>
    <w:rsid w:val="4C521AFF"/>
    <w:rsid w:val="4C5D423F"/>
    <w:rsid w:val="4C7A4DD7"/>
    <w:rsid w:val="4C7C46BE"/>
    <w:rsid w:val="4C7F0FC3"/>
    <w:rsid w:val="4C945E31"/>
    <w:rsid w:val="4CB863D4"/>
    <w:rsid w:val="4CB93B1E"/>
    <w:rsid w:val="4CB93F3C"/>
    <w:rsid w:val="4CC6484E"/>
    <w:rsid w:val="4CDC6452"/>
    <w:rsid w:val="4D0316D6"/>
    <w:rsid w:val="4D072D8E"/>
    <w:rsid w:val="4D3C55CA"/>
    <w:rsid w:val="4D463048"/>
    <w:rsid w:val="4DB04873"/>
    <w:rsid w:val="4DC9002A"/>
    <w:rsid w:val="4E1113F3"/>
    <w:rsid w:val="4E2F16EC"/>
    <w:rsid w:val="4E3939BC"/>
    <w:rsid w:val="4E5D786B"/>
    <w:rsid w:val="4E5F1715"/>
    <w:rsid w:val="4E896D4A"/>
    <w:rsid w:val="4E9E163B"/>
    <w:rsid w:val="4EC11478"/>
    <w:rsid w:val="4EC515F6"/>
    <w:rsid w:val="4EE13FE1"/>
    <w:rsid w:val="4EF45A6E"/>
    <w:rsid w:val="4EF8103F"/>
    <w:rsid w:val="4F0614ED"/>
    <w:rsid w:val="4F12451B"/>
    <w:rsid w:val="4F337FD5"/>
    <w:rsid w:val="4F3D218C"/>
    <w:rsid w:val="4F5E661E"/>
    <w:rsid w:val="4F6D6602"/>
    <w:rsid w:val="4FBE3B6B"/>
    <w:rsid w:val="4FBF4647"/>
    <w:rsid w:val="4FC14231"/>
    <w:rsid w:val="4FC754B2"/>
    <w:rsid w:val="4FCB1F28"/>
    <w:rsid w:val="4FEB0C5D"/>
    <w:rsid w:val="4FFC26AA"/>
    <w:rsid w:val="50032B3A"/>
    <w:rsid w:val="500A1500"/>
    <w:rsid w:val="50164AE5"/>
    <w:rsid w:val="501D24A2"/>
    <w:rsid w:val="504B12DC"/>
    <w:rsid w:val="505B2F96"/>
    <w:rsid w:val="505C2C74"/>
    <w:rsid w:val="50603843"/>
    <w:rsid w:val="506154B0"/>
    <w:rsid w:val="50700893"/>
    <w:rsid w:val="50734F34"/>
    <w:rsid w:val="50737A73"/>
    <w:rsid w:val="50BB56E2"/>
    <w:rsid w:val="50C95CF2"/>
    <w:rsid w:val="50E722E8"/>
    <w:rsid w:val="50F2368E"/>
    <w:rsid w:val="50FD572B"/>
    <w:rsid w:val="50FF64C3"/>
    <w:rsid w:val="51056042"/>
    <w:rsid w:val="5110748D"/>
    <w:rsid w:val="51206494"/>
    <w:rsid w:val="51364D60"/>
    <w:rsid w:val="513E0EB3"/>
    <w:rsid w:val="515C6C08"/>
    <w:rsid w:val="51923326"/>
    <w:rsid w:val="519F416D"/>
    <w:rsid w:val="51B64BCD"/>
    <w:rsid w:val="51DB2418"/>
    <w:rsid w:val="51E81829"/>
    <w:rsid w:val="52021EE1"/>
    <w:rsid w:val="520755BB"/>
    <w:rsid w:val="521020F5"/>
    <w:rsid w:val="521903D3"/>
    <w:rsid w:val="521E224B"/>
    <w:rsid w:val="522C6326"/>
    <w:rsid w:val="5268170D"/>
    <w:rsid w:val="526B217C"/>
    <w:rsid w:val="52776257"/>
    <w:rsid w:val="528E050C"/>
    <w:rsid w:val="52AC0CC3"/>
    <w:rsid w:val="52BC08FB"/>
    <w:rsid w:val="52C94E58"/>
    <w:rsid w:val="52E70790"/>
    <w:rsid w:val="52E841DE"/>
    <w:rsid w:val="53003147"/>
    <w:rsid w:val="530F47B1"/>
    <w:rsid w:val="532640EE"/>
    <w:rsid w:val="53290DEF"/>
    <w:rsid w:val="53325219"/>
    <w:rsid w:val="535B0EC8"/>
    <w:rsid w:val="5379131C"/>
    <w:rsid w:val="53935E56"/>
    <w:rsid w:val="5395099E"/>
    <w:rsid w:val="539A4D48"/>
    <w:rsid w:val="53B07984"/>
    <w:rsid w:val="53B70CDB"/>
    <w:rsid w:val="53B95A78"/>
    <w:rsid w:val="53DD2F5D"/>
    <w:rsid w:val="53EB233E"/>
    <w:rsid w:val="5426285C"/>
    <w:rsid w:val="54286530"/>
    <w:rsid w:val="54320800"/>
    <w:rsid w:val="544E12D7"/>
    <w:rsid w:val="547A07A3"/>
    <w:rsid w:val="54AA2306"/>
    <w:rsid w:val="54B206B2"/>
    <w:rsid w:val="54C53579"/>
    <w:rsid w:val="54C61548"/>
    <w:rsid w:val="54D60A15"/>
    <w:rsid w:val="54E761B1"/>
    <w:rsid w:val="54F3414F"/>
    <w:rsid w:val="54F778A2"/>
    <w:rsid w:val="551550E1"/>
    <w:rsid w:val="551E1593"/>
    <w:rsid w:val="552165A5"/>
    <w:rsid w:val="554F716A"/>
    <w:rsid w:val="555F3580"/>
    <w:rsid w:val="558F2F28"/>
    <w:rsid w:val="559373F0"/>
    <w:rsid w:val="55A5723A"/>
    <w:rsid w:val="55A70081"/>
    <w:rsid w:val="55B30608"/>
    <w:rsid w:val="55E14BAC"/>
    <w:rsid w:val="55E50E61"/>
    <w:rsid w:val="561248F1"/>
    <w:rsid w:val="56247D68"/>
    <w:rsid w:val="563521AD"/>
    <w:rsid w:val="564425B1"/>
    <w:rsid w:val="564E1451"/>
    <w:rsid w:val="565C2F5E"/>
    <w:rsid w:val="56687B85"/>
    <w:rsid w:val="569013C3"/>
    <w:rsid w:val="569E48CE"/>
    <w:rsid w:val="56AA78E8"/>
    <w:rsid w:val="56B42063"/>
    <w:rsid w:val="56B96F8B"/>
    <w:rsid w:val="56C55D67"/>
    <w:rsid w:val="57112202"/>
    <w:rsid w:val="572C16EE"/>
    <w:rsid w:val="57372761"/>
    <w:rsid w:val="57584FCA"/>
    <w:rsid w:val="57630249"/>
    <w:rsid w:val="576B4009"/>
    <w:rsid w:val="576F3C25"/>
    <w:rsid w:val="579C17F5"/>
    <w:rsid w:val="57A22533"/>
    <w:rsid w:val="57B65C47"/>
    <w:rsid w:val="57D81C80"/>
    <w:rsid w:val="57DA5A4A"/>
    <w:rsid w:val="58182B98"/>
    <w:rsid w:val="58415931"/>
    <w:rsid w:val="58532BF9"/>
    <w:rsid w:val="585813EF"/>
    <w:rsid w:val="585F17B4"/>
    <w:rsid w:val="58957C7C"/>
    <w:rsid w:val="58A17895"/>
    <w:rsid w:val="58AC3E86"/>
    <w:rsid w:val="58BE5EF5"/>
    <w:rsid w:val="58C042FC"/>
    <w:rsid w:val="58C04594"/>
    <w:rsid w:val="58C44914"/>
    <w:rsid w:val="58C82CE4"/>
    <w:rsid w:val="590405F0"/>
    <w:rsid w:val="59101F5C"/>
    <w:rsid w:val="592331AB"/>
    <w:rsid w:val="59422F3E"/>
    <w:rsid w:val="594A4899"/>
    <w:rsid w:val="596A7F88"/>
    <w:rsid w:val="59741822"/>
    <w:rsid w:val="598E4F31"/>
    <w:rsid w:val="59922158"/>
    <w:rsid w:val="59AB01F8"/>
    <w:rsid w:val="59AD16A2"/>
    <w:rsid w:val="59AD4E28"/>
    <w:rsid w:val="59AE3561"/>
    <w:rsid w:val="59E040F5"/>
    <w:rsid w:val="5A1031C4"/>
    <w:rsid w:val="5A134268"/>
    <w:rsid w:val="5A1806C0"/>
    <w:rsid w:val="5A1820C1"/>
    <w:rsid w:val="5A1D1FAE"/>
    <w:rsid w:val="5A2750DA"/>
    <w:rsid w:val="5A2F6C4F"/>
    <w:rsid w:val="5A4335A5"/>
    <w:rsid w:val="5A753B98"/>
    <w:rsid w:val="5A8B35AE"/>
    <w:rsid w:val="5AAE6ABC"/>
    <w:rsid w:val="5ACC5D6E"/>
    <w:rsid w:val="5AE436C2"/>
    <w:rsid w:val="5AF3296E"/>
    <w:rsid w:val="5AF53793"/>
    <w:rsid w:val="5B0C6F5E"/>
    <w:rsid w:val="5B1557DA"/>
    <w:rsid w:val="5B2003E1"/>
    <w:rsid w:val="5B392A84"/>
    <w:rsid w:val="5B6B5E8F"/>
    <w:rsid w:val="5B7D53D5"/>
    <w:rsid w:val="5B8715A6"/>
    <w:rsid w:val="5B8939CB"/>
    <w:rsid w:val="5BA40CBB"/>
    <w:rsid w:val="5BA43F4E"/>
    <w:rsid w:val="5BA65C67"/>
    <w:rsid w:val="5C1242B6"/>
    <w:rsid w:val="5C15026D"/>
    <w:rsid w:val="5C223F55"/>
    <w:rsid w:val="5C517CA4"/>
    <w:rsid w:val="5C5407FC"/>
    <w:rsid w:val="5C5944BA"/>
    <w:rsid w:val="5C603A1A"/>
    <w:rsid w:val="5C655099"/>
    <w:rsid w:val="5C8B36F0"/>
    <w:rsid w:val="5CCB319F"/>
    <w:rsid w:val="5CCD75AA"/>
    <w:rsid w:val="5CCF60C7"/>
    <w:rsid w:val="5CEA7B41"/>
    <w:rsid w:val="5CEF2B51"/>
    <w:rsid w:val="5CF627BC"/>
    <w:rsid w:val="5D096819"/>
    <w:rsid w:val="5D1A11E4"/>
    <w:rsid w:val="5D1B617D"/>
    <w:rsid w:val="5D1D5D61"/>
    <w:rsid w:val="5D2675F3"/>
    <w:rsid w:val="5D337227"/>
    <w:rsid w:val="5D4810F0"/>
    <w:rsid w:val="5D596392"/>
    <w:rsid w:val="5D5A270D"/>
    <w:rsid w:val="5D680F92"/>
    <w:rsid w:val="5D7274E7"/>
    <w:rsid w:val="5D746D54"/>
    <w:rsid w:val="5D7D6F94"/>
    <w:rsid w:val="5D932E05"/>
    <w:rsid w:val="5D96309F"/>
    <w:rsid w:val="5DCB2540"/>
    <w:rsid w:val="5DDFC539"/>
    <w:rsid w:val="5DEA2B6B"/>
    <w:rsid w:val="5DF658B7"/>
    <w:rsid w:val="5E2E097A"/>
    <w:rsid w:val="5E395DD4"/>
    <w:rsid w:val="5E6D1849"/>
    <w:rsid w:val="5E7254DD"/>
    <w:rsid w:val="5E8E2D92"/>
    <w:rsid w:val="5E96456D"/>
    <w:rsid w:val="5EA319C8"/>
    <w:rsid w:val="5EAF5CC5"/>
    <w:rsid w:val="5EB9265B"/>
    <w:rsid w:val="5EBD6330"/>
    <w:rsid w:val="5ECB022A"/>
    <w:rsid w:val="5ED86BFB"/>
    <w:rsid w:val="5ED91711"/>
    <w:rsid w:val="5EF57C64"/>
    <w:rsid w:val="5F0B1839"/>
    <w:rsid w:val="5F257462"/>
    <w:rsid w:val="5F2A29DD"/>
    <w:rsid w:val="5F420052"/>
    <w:rsid w:val="5F477F2E"/>
    <w:rsid w:val="5F4F1515"/>
    <w:rsid w:val="5F5024DD"/>
    <w:rsid w:val="5F910110"/>
    <w:rsid w:val="5F95192E"/>
    <w:rsid w:val="5F9C3D1F"/>
    <w:rsid w:val="5FAB0565"/>
    <w:rsid w:val="5FB3564A"/>
    <w:rsid w:val="5FB5056D"/>
    <w:rsid w:val="5FCB0A77"/>
    <w:rsid w:val="5FD779A6"/>
    <w:rsid w:val="5FE804E6"/>
    <w:rsid w:val="5FEE6341"/>
    <w:rsid w:val="600D497E"/>
    <w:rsid w:val="6049631E"/>
    <w:rsid w:val="605446E4"/>
    <w:rsid w:val="60675FEB"/>
    <w:rsid w:val="606A3A73"/>
    <w:rsid w:val="60C77AE6"/>
    <w:rsid w:val="60C96CFB"/>
    <w:rsid w:val="60CB269E"/>
    <w:rsid w:val="60CD733A"/>
    <w:rsid w:val="60D941C6"/>
    <w:rsid w:val="60E62CB0"/>
    <w:rsid w:val="60EC754A"/>
    <w:rsid w:val="610F3C0A"/>
    <w:rsid w:val="61311344"/>
    <w:rsid w:val="61640F7C"/>
    <w:rsid w:val="616E11BC"/>
    <w:rsid w:val="619F599E"/>
    <w:rsid w:val="61AB2046"/>
    <w:rsid w:val="61B579C8"/>
    <w:rsid w:val="61BA51ED"/>
    <w:rsid w:val="61CB0541"/>
    <w:rsid w:val="61D323EE"/>
    <w:rsid w:val="61DE64C6"/>
    <w:rsid w:val="61E55E9B"/>
    <w:rsid w:val="61EB2C07"/>
    <w:rsid w:val="621303E3"/>
    <w:rsid w:val="62246821"/>
    <w:rsid w:val="622F7444"/>
    <w:rsid w:val="623339C2"/>
    <w:rsid w:val="62421D4E"/>
    <w:rsid w:val="624568E9"/>
    <w:rsid w:val="62704F36"/>
    <w:rsid w:val="62816632"/>
    <w:rsid w:val="629F71F4"/>
    <w:rsid w:val="62AA63A9"/>
    <w:rsid w:val="62AD1AE7"/>
    <w:rsid w:val="62B14919"/>
    <w:rsid w:val="62CA4E46"/>
    <w:rsid w:val="63003C1B"/>
    <w:rsid w:val="630737FB"/>
    <w:rsid w:val="630E3177"/>
    <w:rsid w:val="6313406C"/>
    <w:rsid w:val="633023D3"/>
    <w:rsid w:val="633D3CE0"/>
    <w:rsid w:val="63401F1F"/>
    <w:rsid w:val="63427F00"/>
    <w:rsid w:val="635C3D2B"/>
    <w:rsid w:val="63615E5C"/>
    <w:rsid w:val="636861D8"/>
    <w:rsid w:val="636C3A73"/>
    <w:rsid w:val="637009E5"/>
    <w:rsid w:val="637C5546"/>
    <w:rsid w:val="63A51836"/>
    <w:rsid w:val="63A74B59"/>
    <w:rsid w:val="63BE2DD3"/>
    <w:rsid w:val="63D5387C"/>
    <w:rsid w:val="63F30C8E"/>
    <w:rsid w:val="640D406C"/>
    <w:rsid w:val="641C5084"/>
    <w:rsid w:val="64205E83"/>
    <w:rsid w:val="643665C9"/>
    <w:rsid w:val="64476F29"/>
    <w:rsid w:val="64676701"/>
    <w:rsid w:val="649302B2"/>
    <w:rsid w:val="64AD75CB"/>
    <w:rsid w:val="64C06FBC"/>
    <w:rsid w:val="64D70778"/>
    <w:rsid w:val="64D90843"/>
    <w:rsid w:val="64DA7D2E"/>
    <w:rsid w:val="64DC7BAF"/>
    <w:rsid w:val="64DF4F6A"/>
    <w:rsid w:val="64E31491"/>
    <w:rsid w:val="64E55D4E"/>
    <w:rsid w:val="64F71817"/>
    <w:rsid w:val="64FC6EEE"/>
    <w:rsid w:val="65055B18"/>
    <w:rsid w:val="6513662C"/>
    <w:rsid w:val="65197936"/>
    <w:rsid w:val="653F3F91"/>
    <w:rsid w:val="65435AA2"/>
    <w:rsid w:val="654E4446"/>
    <w:rsid w:val="658C6ED9"/>
    <w:rsid w:val="65BC2FDC"/>
    <w:rsid w:val="65C25A2B"/>
    <w:rsid w:val="65EB1CBE"/>
    <w:rsid w:val="65F06CFE"/>
    <w:rsid w:val="65F23A93"/>
    <w:rsid w:val="662C7C52"/>
    <w:rsid w:val="66363894"/>
    <w:rsid w:val="66547D12"/>
    <w:rsid w:val="66630F5B"/>
    <w:rsid w:val="66635066"/>
    <w:rsid w:val="667600FE"/>
    <w:rsid w:val="66827F88"/>
    <w:rsid w:val="66B977A1"/>
    <w:rsid w:val="66BE4C04"/>
    <w:rsid w:val="66C53541"/>
    <w:rsid w:val="66D16EB1"/>
    <w:rsid w:val="66D97586"/>
    <w:rsid w:val="66E85E6C"/>
    <w:rsid w:val="66EF226F"/>
    <w:rsid w:val="66F551CD"/>
    <w:rsid w:val="6711352C"/>
    <w:rsid w:val="67261818"/>
    <w:rsid w:val="67310E46"/>
    <w:rsid w:val="675635AD"/>
    <w:rsid w:val="676C5758"/>
    <w:rsid w:val="67767181"/>
    <w:rsid w:val="67893000"/>
    <w:rsid w:val="67920971"/>
    <w:rsid w:val="6797136D"/>
    <w:rsid w:val="67B034E6"/>
    <w:rsid w:val="67CC1CEB"/>
    <w:rsid w:val="67D27892"/>
    <w:rsid w:val="67FD0D26"/>
    <w:rsid w:val="680B1673"/>
    <w:rsid w:val="68307350"/>
    <w:rsid w:val="684D52D3"/>
    <w:rsid w:val="685B368C"/>
    <w:rsid w:val="689A5BC8"/>
    <w:rsid w:val="689B678F"/>
    <w:rsid w:val="68AC64A4"/>
    <w:rsid w:val="68B041DB"/>
    <w:rsid w:val="68B379A9"/>
    <w:rsid w:val="68B45E61"/>
    <w:rsid w:val="68D6547F"/>
    <w:rsid w:val="68E44108"/>
    <w:rsid w:val="69152416"/>
    <w:rsid w:val="69314602"/>
    <w:rsid w:val="693462DE"/>
    <w:rsid w:val="695E29E3"/>
    <w:rsid w:val="696C7681"/>
    <w:rsid w:val="69756138"/>
    <w:rsid w:val="698A6567"/>
    <w:rsid w:val="69934956"/>
    <w:rsid w:val="699C00EC"/>
    <w:rsid w:val="699D220E"/>
    <w:rsid w:val="69AB1FCA"/>
    <w:rsid w:val="69BF098B"/>
    <w:rsid w:val="69C25D53"/>
    <w:rsid w:val="69DA7548"/>
    <w:rsid w:val="69DF521C"/>
    <w:rsid w:val="69E46644"/>
    <w:rsid w:val="69F33107"/>
    <w:rsid w:val="6A0B5E11"/>
    <w:rsid w:val="6A1A30CF"/>
    <w:rsid w:val="6A416579"/>
    <w:rsid w:val="6A992E96"/>
    <w:rsid w:val="6A9E5224"/>
    <w:rsid w:val="6AD76A7A"/>
    <w:rsid w:val="6AE249CB"/>
    <w:rsid w:val="6AE5205E"/>
    <w:rsid w:val="6AF84808"/>
    <w:rsid w:val="6B0A3135"/>
    <w:rsid w:val="6B0B7F49"/>
    <w:rsid w:val="6B1273C7"/>
    <w:rsid w:val="6B2A410B"/>
    <w:rsid w:val="6B384C9F"/>
    <w:rsid w:val="6B3F7B06"/>
    <w:rsid w:val="6B512BCC"/>
    <w:rsid w:val="6B660F23"/>
    <w:rsid w:val="6B672341"/>
    <w:rsid w:val="6B7A65D8"/>
    <w:rsid w:val="6B903A69"/>
    <w:rsid w:val="6B9139CE"/>
    <w:rsid w:val="6B9C34E6"/>
    <w:rsid w:val="6BA97F88"/>
    <w:rsid w:val="6BB62340"/>
    <w:rsid w:val="6BBF7395"/>
    <w:rsid w:val="6BC835B3"/>
    <w:rsid w:val="6BD41160"/>
    <w:rsid w:val="6BDC329C"/>
    <w:rsid w:val="6BF414F1"/>
    <w:rsid w:val="6BFA3D6E"/>
    <w:rsid w:val="6C060AF4"/>
    <w:rsid w:val="6C106C9B"/>
    <w:rsid w:val="6C157B3D"/>
    <w:rsid w:val="6C2B62D3"/>
    <w:rsid w:val="6C3D51B7"/>
    <w:rsid w:val="6C484D28"/>
    <w:rsid w:val="6C4D14D4"/>
    <w:rsid w:val="6C4E23DC"/>
    <w:rsid w:val="6C55119C"/>
    <w:rsid w:val="6C561B64"/>
    <w:rsid w:val="6C580FF4"/>
    <w:rsid w:val="6C8233EB"/>
    <w:rsid w:val="6C89348D"/>
    <w:rsid w:val="6C996BCD"/>
    <w:rsid w:val="6CAA08FF"/>
    <w:rsid w:val="6CAA3353"/>
    <w:rsid w:val="6CCC1D7D"/>
    <w:rsid w:val="6CCC64BA"/>
    <w:rsid w:val="6CCD6E9C"/>
    <w:rsid w:val="6CD26AE8"/>
    <w:rsid w:val="6CE002CC"/>
    <w:rsid w:val="6CFA602E"/>
    <w:rsid w:val="6D03704C"/>
    <w:rsid w:val="6D0A4C82"/>
    <w:rsid w:val="6D2B5458"/>
    <w:rsid w:val="6D3E2288"/>
    <w:rsid w:val="6D564CC8"/>
    <w:rsid w:val="6D733D37"/>
    <w:rsid w:val="6D804754"/>
    <w:rsid w:val="6D8B255B"/>
    <w:rsid w:val="6DA63C98"/>
    <w:rsid w:val="6DA92134"/>
    <w:rsid w:val="6DA97CAF"/>
    <w:rsid w:val="6DBE2E05"/>
    <w:rsid w:val="6DCE6D18"/>
    <w:rsid w:val="6DCF7009"/>
    <w:rsid w:val="6DDB422D"/>
    <w:rsid w:val="6DE95C25"/>
    <w:rsid w:val="6E02558E"/>
    <w:rsid w:val="6E09162A"/>
    <w:rsid w:val="6E1274A7"/>
    <w:rsid w:val="6E136C8A"/>
    <w:rsid w:val="6E4A441B"/>
    <w:rsid w:val="6E4C23F3"/>
    <w:rsid w:val="6E64013F"/>
    <w:rsid w:val="6EAA19A2"/>
    <w:rsid w:val="6EB623C1"/>
    <w:rsid w:val="6EBA7108"/>
    <w:rsid w:val="6EBC01D5"/>
    <w:rsid w:val="6EC3572B"/>
    <w:rsid w:val="6ED32814"/>
    <w:rsid w:val="6EEC6F2A"/>
    <w:rsid w:val="6F1025BA"/>
    <w:rsid w:val="6F1E103C"/>
    <w:rsid w:val="6F27734B"/>
    <w:rsid w:val="6F2C1D50"/>
    <w:rsid w:val="6F3368B4"/>
    <w:rsid w:val="6F360023"/>
    <w:rsid w:val="6F3B5ABB"/>
    <w:rsid w:val="6F3F3964"/>
    <w:rsid w:val="6F6B59B0"/>
    <w:rsid w:val="6F7760CD"/>
    <w:rsid w:val="6F7C17CC"/>
    <w:rsid w:val="6F7E7ACD"/>
    <w:rsid w:val="6F8428B9"/>
    <w:rsid w:val="6F8D7575"/>
    <w:rsid w:val="6F945012"/>
    <w:rsid w:val="6F9E9985"/>
    <w:rsid w:val="6FB90C34"/>
    <w:rsid w:val="6FC007B4"/>
    <w:rsid w:val="6FCC0424"/>
    <w:rsid w:val="6FD47AD2"/>
    <w:rsid w:val="6FE66933"/>
    <w:rsid w:val="6FF428F6"/>
    <w:rsid w:val="6FF9732E"/>
    <w:rsid w:val="6FF978A5"/>
    <w:rsid w:val="700E753D"/>
    <w:rsid w:val="70305BDD"/>
    <w:rsid w:val="70556214"/>
    <w:rsid w:val="7057303A"/>
    <w:rsid w:val="7080697E"/>
    <w:rsid w:val="70AF4675"/>
    <w:rsid w:val="70BB57DB"/>
    <w:rsid w:val="70EE30E0"/>
    <w:rsid w:val="70FA6471"/>
    <w:rsid w:val="71127607"/>
    <w:rsid w:val="711B4773"/>
    <w:rsid w:val="712A3FC5"/>
    <w:rsid w:val="713B0938"/>
    <w:rsid w:val="71543AC6"/>
    <w:rsid w:val="71AC5E9F"/>
    <w:rsid w:val="71BC0064"/>
    <w:rsid w:val="71BC4118"/>
    <w:rsid w:val="71CD4B66"/>
    <w:rsid w:val="71DF79D6"/>
    <w:rsid w:val="721C08BF"/>
    <w:rsid w:val="72444A80"/>
    <w:rsid w:val="724E1D74"/>
    <w:rsid w:val="72601E47"/>
    <w:rsid w:val="727D595A"/>
    <w:rsid w:val="72A41A00"/>
    <w:rsid w:val="72AA6CEA"/>
    <w:rsid w:val="72BC2B38"/>
    <w:rsid w:val="72D34757"/>
    <w:rsid w:val="72D52D21"/>
    <w:rsid w:val="72D6363D"/>
    <w:rsid w:val="72DA1773"/>
    <w:rsid w:val="72DD62E4"/>
    <w:rsid w:val="72F3295B"/>
    <w:rsid w:val="7310293E"/>
    <w:rsid w:val="733E6683"/>
    <w:rsid w:val="735A7977"/>
    <w:rsid w:val="736A3B2D"/>
    <w:rsid w:val="738065A7"/>
    <w:rsid w:val="738B3DCA"/>
    <w:rsid w:val="73951461"/>
    <w:rsid w:val="739841C4"/>
    <w:rsid w:val="73B11090"/>
    <w:rsid w:val="73C404BE"/>
    <w:rsid w:val="73C6512C"/>
    <w:rsid w:val="73E7300C"/>
    <w:rsid w:val="73FC3B75"/>
    <w:rsid w:val="742C274C"/>
    <w:rsid w:val="742F40B5"/>
    <w:rsid w:val="744321AD"/>
    <w:rsid w:val="74493937"/>
    <w:rsid w:val="746F012F"/>
    <w:rsid w:val="749D2A4B"/>
    <w:rsid w:val="749F6813"/>
    <w:rsid w:val="74B02D94"/>
    <w:rsid w:val="74B17968"/>
    <w:rsid w:val="74BA3CA2"/>
    <w:rsid w:val="74E514C2"/>
    <w:rsid w:val="74E87FF3"/>
    <w:rsid w:val="74EE5AFC"/>
    <w:rsid w:val="7507266E"/>
    <w:rsid w:val="753164B5"/>
    <w:rsid w:val="7534400C"/>
    <w:rsid w:val="75407A08"/>
    <w:rsid w:val="755537AC"/>
    <w:rsid w:val="757B1010"/>
    <w:rsid w:val="759F108F"/>
    <w:rsid w:val="75BE30FA"/>
    <w:rsid w:val="75CF78E7"/>
    <w:rsid w:val="76060C9F"/>
    <w:rsid w:val="76347D47"/>
    <w:rsid w:val="7658778D"/>
    <w:rsid w:val="767E2624"/>
    <w:rsid w:val="767F1206"/>
    <w:rsid w:val="768C37AB"/>
    <w:rsid w:val="76BB5E55"/>
    <w:rsid w:val="76BE4E65"/>
    <w:rsid w:val="76C27DFB"/>
    <w:rsid w:val="76C90950"/>
    <w:rsid w:val="76E2728E"/>
    <w:rsid w:val="76F30336"/>
    <w:rsid w:val="76FA4DAA"/>
    <w:rsid w:val="76FB4B3D"/>
    <w:rsid w:val="77315AC6"/>
    <w:rsid w:val="7758241F"/>
    <w:rsid w:val="7761011F"/>
    <w:rsid w:val="77683ABA"/>
    <w:rsid w:val="776F3F47"/>
    <w:rsid w:val="779E23E4"/>
    <w:rsid w:val="77A9419D"/>
    <w:rsid w:val="77C75117"/>
    <w:rsid w:val="77CC5F6D"/>
    <w:rsid w:val="77DC1FD3"/>
    <w:rsid w:val="78030643"/>
    <w:rsid w:val="78096004"/>
    <w:rsid w:val="780C71F3"/>
    <w:rsid w:val="780F0B72"/>
    <w:rsid w:val="78146346"/>
    <w:rsid w:val="78585296"/>
    <w:rsid w:val="785D44C3"/>
    <w:rsid w:val="78755A65"/>
    <w:rsid w:val="78770F4C"/>
    <w:rsid w:val="78796822"/>
    <w:rsid w:val="787F6A6A"/>
    <w:rsid w:val="78802314"/>
    <w:rsid w:val="7888044E"/>
    <w:rsid w:val="78B51AC3"/>
    <w:rsid w:val="79040533"/>
    <w:rsid w:val="79286849"/>
    <w:rsid w:val="794740DC"/>
    <w:rsid w:val="794C664D"/>
    <w:rsid w:val="7968393D"/>
    <w:rsid w:val="79711DAF"/>
    <w:rsid w:val="797F0E9C"/>
    <w:rsid w:val="798455A3"/>
    <w:rsid w:val="7984574E"/>
    <w:rsid w:val="79A75B65"/>
    <w:rsid w:val="79AA3BFA"/>
    <w:rsid w:val="79AF2B3E"/>
    <w:rsid w:val="79B5792D"/>
    <w:rsid w:val="79C41D65"/>
    <w:rsid w:val="79E3257D"/>
    <w:rsid w:val="79E65560"/>
    <w:rsid w:val="79EB733C"/>
    <w:rsid w:val="7A197A0A"/>
    <w:rsid w:val="7A207339"/>
    <w:rsid w:val="7A382541"/>
    <w:rsid w:val="7A3F4F65"/>
    <w:rsid w:val="7A484B66"/>
    <w:rsid w:val="7A503DC0"/>
    <w:rsid w:val="7A636720"/>
    <w:rsid w:val="7A857032"/>
    <w:rsid w:val="7AAE70DB"/>
    <w:rsid w:val="7AB342CF"/>
    <w:rsid w:val="7AB577F7"/>
    <w:rsid w:val="7ADB2472"/>
    <w:rsid w:val="7B0408F4"/>
    <w:rsid w:val="7B047F9F"/>
    <w:rsid w:val="7B0D3D29"/>
    <w:rsid w:val="7B207D02"/>
    <w:rsid w:val="7B430014"/>
    <w:rsid w:val="7B494559"/>
    <w:rsid w:val="7B6179CF"/>
    <w:rsid w:val="7B831AE5"/>
    <w:rsid w:val="7B9219D4"/>
    <w:rsid w:val="7B9711A8"/>
    <w:rsid w:val="7BA4205A"/>
    <w:rsid w:val="7BB06386"/>
    <w:rsid w:val="7BB841A4"/>
    <w:rsid w:val="7BDD1C97"/>
    <w:rsid w:val="7BF20477"/>
    <w:rsid w:val="7BF96522"/>
    <w:rsid w:val="7BFE4EA7"/>
    <w:rsid w:val="7C3D2A4B"/>
    <w:rsid w:val="7CA667CC"/>
    <w:rsid w:val="7CA85A01"/>
    <w:rsid w:val="7CAC3119"/>
    <w:rsid w:val="7CC25D22"/>
    <w:rsid w:val="7CF3190C"/>
    <w:rsid w:val="7D002D97"/>
    <w:rsid w:val="7D167760"/>
    <w:rsid w:val="7D24227B"/>
    <w:rsid w:val="7D4B173B"/>
    <w:rsid w:val="7D514B92"/>
    <w:rsid w:val="7D534BFC"/>
    <w:rsid w:val="7D7276B8"/>
    <w:rsid w:val="7D732323"/>
    <w:rsid w:val="7D7B4DEC"/>
    <w:rsid w:val="7D7B4FCE"/>
    <w:rsid w:val="7D9737E1"/>
    <w:rsid w:val="7DA30B59"/>
    <w:rsid w:val="7DB85A57"/>
    <w:rsid w:val="7DCE2A36"/>
    <w:rsid w:val="7DF306CC"/>
    <w:rsid w:val="7DF751E7"/>
    <w:rsid w:val="7E3050A4"/>
    <w:rsid w:val="7E396C4C"/>
    <w:rsid w:val="7E3D07DD"/>
    <w:rsid w:val="7E55775E"/>
    <w:rsid w:val="7E861077"/>
    <w:rsid w:val="7E8B7265"/>
    <w:rsid w:val="7E9A7C88"/>
    <w:rsid w:val="7EA42EA1"/>
    <w:rsid w:val="7EA92AE7"/>
    <w:rsid w:val="7EC7748A"/>
    <w:rsid w:val="7EDA4B80"/>
    <w:rsid w:val="7EE156D4"/>
    <w:rsid w:val="7EF3251B"/>
    <w:rsid w:val="7EFC0F0D"/>
    <w:rsid w:val="7EFF1737"/>
    <w:rsid w:val="7EFF3926"/>
    <w:rsid w:val="7F0B5594"/>
    <w:rsid w:val="7F2726FD"/>
    <w:rsid w:val="7F5F570D"/>
    <w:rsid w:val="7F6539A3"/>
    <w:rsid w:val="7F66581F"/>
    <w:rsid w:val="7F8D2CD9"/>
    <w:rsid w:val="7F8D5739"/>
    <w:rsid w:val="7F8D7767"/>
    <w:rsid w:val="7FA27EE8"/>
    <w:rsid w:val="7FA31FC6"/>
    <w:rsid w:val="7FB50907"/>
    <w:rsid w:val="7FB92A04"/>
    <w:rsid w:val="7FBC1F33"/>
    <w:rsid w:val="7FBD6922"/>
    <w:rsid w:val="7FBE55F5"/>
    <w:rsid w:val="7FBF13DF"/>
    <w:rsid w:val="7FBF71B5"/>
    <w:rsid w:val="7FE32E21"/>
    <w:rsid w:val="7FE6454A"/>
    <w:rsid w:val="7FFFC70C"/>
    <w:rsid w:val="BFFF75CC"/>
    <w:rsid w:val="D99F80FE"/>
    <w:rsid w:val="DBD76D48"/>
    <w:rsid w:val="DC7A3D08"/>
    <w:rsid w:val="DF7F6FB1"/>
    <w:rsid w:val="F2EF186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99"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12"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rFonts w:eastAsia="黑体"/>
      <w:kern w:val="44"/>
      <w:sz w:val="32"/>
    </w:rPr>
  </w:style>
  <w:style w:type="paragraph" w:styleId="4">
    <w:name w:val="heading 2"/>
    <w:basedOn w:val="1"/>
    <w:next w:val="1"/>
    <w:link w:val="28"/>
    <w:qFormat/>
    <w:uiPriority w:val="0"/>
    <w:pPr>
      <w:keepNext/>
      <w:keepLines/>
      <w:ind w:firstLine="0" w:firstLineChars="0"/>
      <w:jc w:val="center"/>
      <w:outlineLvl w:val="1"/>
    </w:pPr>
    <w:rPr>
      <w:rFonts w:ascii="Calibri Light" w:hAnsi="Calibri Light"/>
      <w:b/>
      <w:bCs/>
      <w:kern w:val="0"/>
      <w:sz w:val="36"/>
      <w:szCs w:val="32"/>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240" w:lineRule="auto"/>
      <w:ind w:firstLine="420" w:firstLineChars="0"/>
    </w:pPr>
    <w:rPr>
      <w:sz w:val="21"/>
      <w:szCs w:val="21"/>
    </w:rPr>
  </w:style>
  <w:style w:type="paragraph" w:styleId="5">
    <w:name w:val="annotation text"/>
    <w:basedOn w:val="1"/>
    <w:link w:val="29"/>
    <w:qFormat/>
    <w:uiPriority w:val="0"/>
    <w:pPr>
      <w:jc w:val="left"/>
    </w:pPr>
  </w:style>
  <w:style w:type="paragraph" w:styleId="6">
    <w:name w:val="Body Text"/>
    <w:basedOn w:val="1"/>
    <w:qFormat/>
    <w:uiPriority w:val="0"/>
    <w:rPr>
      <w:rFonts w:eastAsia="黑体"/>
      <w:sz w:val="36"/>
      <w:szCs w:val="24"/>
    </w:rPr>
  </w:style>
  <w:style w:type="paragraph" w:styleId="7">
    <w:name w:val="Plain Text"/>
    <w:basedOn w:val="1"/>
    <w:link w:val="30"/>
    <w:qFormat/>
    <w:uiPriority w:val="0"/>
    <w:pPr>
      <w:spacing w:line="240" w:lineRule="auto"/>
      <w:ind w:firstLine="0" w:firstLineChars="0"/>
    </w:pPr>
    <w:rPr>
      <w:rFonts w:ascii="宋体" w:hAnsi="Courier New" w:cs="Courier New"/>
      <w:sz w:val="21"/>
      <w:szCs w:val="21"/>
    </w:rPr>
  </w:style>
  <w:style w:type="paragraph" w:styleId="8">
    <w:name w:val="Date"/>
    <w:basedOn w:val="1"/>
    <w:next w:val="1"/>
    <w:link w:val="31"/>
    <w:qFormat/>
    <w:uiPriority w:val="0"/>
    <w:pPr>
      <w:ind w:left="100" w:leftChars="2500"/>
    </w:pPr>
  </w:style>
  <w:style w:type="paragraph" w:styleId="9">
    <w:name w:val="Body Text Indent 2"/>
    <w:basedOn w:val="1"/>
    <w:qFormat/>
    <w:uiPriority w:val="0"/>
    <w:pPr>
      <w:spacing w:after="120" w:line="480" w:lineRule="auto"/>
      <w:ind w:left="420" w:leftChars="200" w:firstLine="0" w:firstLineChars="0"/>
    </w:pPr>
    <w:rPr>
      <w:sz w:val="21"/>
      <w:szCs w:val="21"/>
    </w:rPr>
  </w:style>
  <w:style w:type="paragraph" w:styleId="10">
    <w:name w:val="Balloon Text"/>
    <w:basedOn w:val="1"/>
    <w:semiHidden/>
    <w:qFormat/>
    <w:uiPriority w:val="0"/>
    <w:rPr>
      <w:sz w:val="18"/>
      <w:szCs w:val="18"/>
    </w:rPr>
  </w:style>
  <w:style w:type="paragraph" w:styleId="11">
    <w:name w:val="footer"/>
    <w:basedOn w:val="1"/>
    <w:link w:val="32"/>
    <w:qFormat/>
    <w:uiPriority w:val="99"/>
    <w:pPr>
      <w:tabs>
        <w:tab w:val="center" w:pos="4153"/>
        <w:tab w:val="right" w:pos="8306"/>
      </w:tabs>
      <w:ind w:firstLine="0" w:firstLineChars="0"/>
      <w:jc w:val="left"/>
    </w:pPr>
    <w:rPr>
      <w:rFonts w:cs="Times New Roman"/>
      <w:sz w:val="18"/>
      <w:szCs w:val="18"/>
    </w:rPr>
  </w:style>
  <w:style w:type="paragraph" w:styleId="12">
    <w:name w:val="header"/>
    <w:basedOn w:val="1"/>
    <w:qFormat/>
    <w:uiPriority w:val="0"/>
    <w:pPr>
      <w:pBdr>
        <w:bottom w:val="single" w:color="auto" w:sz="6" w:space="1"/>
      </w:pBdr>
      <w:tabs>
        <w:tab w:val="center" w:pos="4153"/>
        <w:tab w:val="right" w:pos="8306"/>
      </w:tabs>
      <w:ind w:firstLine="0" w:firstLineChars="0"/>
      <w:jc w:val="center"/>
    </w:pPr>
    <w:rPr>
      <w:rFonts w:cs="Times New Roman"/>
      <w:sz w:val="18"/>
      <w:szCs w:val="18"/>
    </w:rPr>
  </w:style>
  <w:style w:type="paragraph" w:styleId="13">
    <w:name w:val="toc 1"/>
    <w:basedOn w:val="1"/>
    <w:next w:val="1"/>
    <w:qFormat/>
    <w:uiPriority w:val="0"/>
  </w:style>
  <w:style w:type="paragraph" w:styleId="14">
    <w:name w:val="footnote text"/>
    <w:basedOn w:val="1"/>
    <w:qFormat/>
    <w:uiPriority w:val="0"/>
    <w:pPr>
      <w:snapToGrid w:val="0"/>
      <w:jc w:val="left"/>
    </w:pPr>
    <w:rPr>
      <w:sz w:val="18"/>
    </w:rPr>
  </w:style>
  <w:style w:type="paragraph" w:styleId="15">
    <w:name w:val="index 9"/>
    <w:basedOn w:val="1"/>
    <w:next w:val="1"/>
    <w:qFormat/>
    <w:uiPriority w:val="99"/>
    <w:pPr>
      <w:ind w:left="1600" w:leftChars="1600"/>
    </w:pPr>
  </w:style>
  <w:style w:type="paragraph" w:styleId="16">
    <w:name w:val="toc 2"/>
    <w:basedOn w:val="1"/>
    <w:next w:val="1"/>
    <w:qFormat/>
    <w:uiPriority w:val="0"/>
    <w:pPr>
      <w:ind w:left="420" w:leftChars="200"/>
    </w:pPr>
  </w:style>
  <w:style w:type="paragraph" w:styleId="17">
    <w:name w:val="Normal (Web)"/>
    <w:basedOn w:val="1"/>
    <w:qFormat/>
    <w:uiPriority w:val="0"/>
    <w:pPr>
      <w:widowControl/>
      <w:spacing w:before="100" w:beforeAutospacing="1" w:after="100" w:afterAutospacing="1"/>
      <w:jc w:val="left"/>
    </w:pPr>
    <w:rPr>
      <w:rFonts w:ascii="宋体" w:hAnsi="宋体" w:cs="宋体"/>
      <w:kern w:val="0"/>
    </w:rPr>
  </w:style>
  <w:style w:type="paragraph" w:styleId="18">
    <w:name w:val="annotation subject"/>
    <w:basedOn w:val="5"/>
    <w:next w:val="5"/>
    <w:link w:val="33"/>
    <w:qFormat/>
    <w:uiPriority w:val="0"/>
    <w:rPr>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rPr>
  </w:style>
  <w:style w:type="character" w:styleId="23">
    <w:name w:val="page number"/>
    <w:basedOn w:val="21"/>
    <w:qFormat/>
    <w:uiPriority w:val="0"/>
  </w:style>
  <w:style w:type="character" w:styleId="24">
    <w:name w:val="FollowedHyperlink"/>
    <w:unhideWhenUsed/>
    <w:qFormat/>
    <w:uiPriority w:val="99"/>
    <w:rPr>
      <w:color w:val="954F72"/>
      <w:u w:val="single"/>
    </w:rPr>
  </w:style>
  <w:style w:type="character" w:styleId="25">
    <w:name w:val="Hyperlink"/>
    <w:qFormat/>
    <w:uiPriority w:val="99"/>
    <w:rPr>
      <w:color w:val="0000FF"/>
      <w:u w:val="single"/>
    </w:rPr>
  </w:style>
  <w:style w:type="character" w:styleId="26">
    <w:name w:val="annotation reference"/>
    <w:qFormat/>
    <w:uiPriority w:val="0"/>
    <w:rPr>
      <w:sz w:val="21"/>
      <w:szCs w:val="21"/>
    </w:rPr>
  </w:style>
  <w:style w:type="character" w:styleId="27">
    <w:name w:val="footnote reference"/>
    <w:qFormat/>
    <w:uiPriority w:val="0"/>
    <w:rPr>
      <w:vertAlign w:val="superscript"/>
    </w:rPr>
  </w:style>
  <w:style w:type="character" w:customStyle="1" w:styleId="28">
    <w:name w:val="标题 2 字符"/>
    <w:link w:val="4"/>
    <w:qFormat/>
    <w:uiPriority w:val="0"/>
    <w:rPr>
      <w:rFonts w:ascii="Calibri Light" w:hAnsi="Calibri Light" w:cs="Times New Roman"/>
      <w:b/>
      <w:bCs/>
      <w:sz w:val="36"/>
      <w:szCs w:val="32"/>
    </w:rPr>
  </w:style>
  <w:style w:type="character" w:customStyle="1" w:styleId="29">
    <w:name w:val="批注文字 字符"/>
    <w:link w:val="5"/>
    <w:qFormat/>
    <w:uiPriority w:val="0"/>
    <w:rPr>
      <w:rFonts w:ascii="Times New Roman" w:hAnsi="Times New Roman"/>
      <w:kern w:val="2"/>
      <w:sz w:val="24"/>
      <w:szCs w:val="22"/>
    </w:rPr>
  </w:style>
  <w:style w:type="character" w:customStyle="1" w:styleId="30">
    <w:name w:val="纯文本 字符1"/>
    <w:link w:val="7"/>
    <w:qFormat/>
    <w:uiPriority w:val="0"/>
    <w:rPr>
      <w:rFonts w:ascii="宋体" w:hAnsi="Courier New" w:cs="Courier New"/>
      <w:kern w:val="2"/>
      <w:sz w:val="21"/>
      <w:szCs w:val="21"/>
    </w:rPr>
  </w:style>
  <w:style w:type="character" w:customStyle="1" w:styleId="31">
    <w:name w:val="日期 字符"/>
    <w:link w:val="8"/>
    <w:qFormat/>
    <w:uiPriority w:val="0"/>
    <w:rPr>
      <w:kern w:val="2"/>
      <w:sz w:val="24"/>
      <w:szCs w:val="22"/>
    </w:rPr>
  </w:style>
  <w:style w:type="character" w:customStyle="1" w:styleId="32">
    <w:name w:val="页脚 字符"/>
    <w:link w:val="11"/>
    <w:qFormat/>
    <w:uiPriority w:val="99"/>
    <w:rPr>
      <w:kern w:val="2"/>
      <w:sz w:val="18"/>
      <w:szCs w:val="18"/>
    </w:rPr>
  </w:style>
  <w:style w:type="character" w:customStyle="1" w:styleId="33">
    <w:name w:val="批注主题 字符"/>
    <w:basedOn w:val="29"/>
    <w:link w:val="18"/>
    <w:qFormat/>
    <w:uiPriority w:val="0"/>
  </w:style>
  <w:style w:type="character" w:customStyle="1" w:styleId="34">
    <w:name w:val="纯文本 字符"/>
    <w:qFormat/>
    <w:uiPriority w:val="0"/>
    <w:rPr>
      <w:rFonts w:ascii="宋体" w:hAnsi="Courier New" w:cs="Courier New"/>
      <w:kern w:val="2"/>
      <w:sz w:val="21"/>
      <w:szCs w:val="21"/>
    </w:rPr>
  </w:style>
  <w:style w:type="paragraph" w:customStyle="1" w:styleId="35">
    <w:name w:val="xl69"/>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cs="宋体"/>
      <w:kern w:val="0"/>
      <w:sz w:val="18"/>
      <w:szCs w:val="18"/>
    </w:rPr>
  </w:style>
  <w:style w:type="paragraph" w:customStyle="1" w:styleId="3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宋体" w:hAnsi="宋体" w:cs="宋体"/>
      <w:kern w:val="0"/>
      <w:sz w:val="18"/>
      <w:szCs w:val="18"/>
    </w:rPr>
  </w:style>
  <w:style w:type="paragraph" w:customStyle="1" w:styleId="37">
    <w:name w:val="font5"/>
    <w:basedOn w:val="1"/>
    <w:qFormat/>
    <w:uiPriority w:val="0"/>
    <w:pPr>
      <w:widowControl/>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38">
    <w:name w:val="xl74"/>
    <w:basedOn w:val="1"/>
    <w:qFormat/>
    <w:uiPriority w:val="0"/>
    <w:pPr>
      <w:widowControl/>
      <w:spacing w:before="100" w:beforeAutospacing="1" w:after="100" w:afterAutospacing="1" w:line="240" w:lineRule="auto"/>
      <w:ind w:firstLine="0" w:firstLineChars="0"/>
      <w:jc w:val="left"/>
    </w:pPr>
    <w:rPr>
      <w:rFonts w:ascii="宋体" w:hAnsi="宋体" w:cs="宋体"/>
      <w:kern w:val="0"/>
      <w:sz w:val="20"/>
      <w:szCs w:val="20"/>
    </w:rPr>
  </w:style>
  <w:style w:type="paragraph" w:customStyle="1" w:styleId="39">
    <w:name w:val="无缩进"/>
    <w:basedOn w:val="1"/>
    <w:qFormat/>
    <w:uiPriority w:val="0"/>
    <w:pPr>
      <w:ind w:firstLine="0" w:firstLineChars="0"/>
    </w:pPr>
  </w:style>
  <w:style w:type="paragraph" w:customStyle="1" w:styleId="40">
    <w:name w:val="列出段落2"/>
    <w:basedOn w:val="1"/>
    <w:qFormat/>
    <w:uiPriority w:val="0"/>
    <w:pPr>
      <w:ind w:firstLine="420" w:firstLineChars="200"/>
    </w:pPr>
    <w:rPr>
      <w:szCs w:val="22"/>
    </w:rPr>
  </w:style>
  <w:style w:type="paragraph" w:styleId="41">
    <w:name w:val="List Paragraph"/>
    <w:basedOn w:val="1"/>
    <w:qFormat/>
    <w:uiPriority w:val="99"/>
    <w:pPr>
      <w:ind w:firstLine="420"/>
    </w:pPr>
  </w:style>
  <w:style w:type="paragraph" w:customStyle="1" w:styleId="4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宋体" w:hAnsi="宋体" w:cs="宋体"/>
      <w:kern w:val="0"/>
      <w:sz w:val="18"/>
      <w:szCs w:val="18"/>
    </w:rPr>
  </w:style>
  <w:style w:type="paragraph" w:customStyle="1" w:styleId="4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cs="宋体"/>
      <w:kern w:val="0"/>
      <w:sz w:val="18"/>
      <w:szCs w:val="18"/>
    </w:rPr>
  </w:style>
  <w:style w:type="paragraph" w:customStyle="1" w:styleId="44">
    <w:name w:val="表格"/>
    <w:basedOn w:val="1"/>
    <w:qFormat/>
    <w:uiPriority w:val="0"/>
    <w:pPr>
      <w:spacing w:line="240" w:lineRule="auto"/>
      <w:ind w:firstLine="0" w:firstLineChars="0"/>
      <w:jc w:val="center"/>
    </w:pPr>
    <w:rPr>
      <w:rFonts w:ascii="Verdana" w:hAnsi="Verdana" w:eastAsia="仿宋_GB2312" w:cs="Verdana"/>
      <w:kern w:val="0"/>
      <w:sz w:val="21"/>
      <w:szCs w:val="21"/>
      <w:lang w:eastAsia="en-US"/>
    </w:rPr>
  </w:style>
  <w:style w:type="paragraph" w:customStyle="1" w:styleId="45">
    <w:name w:val="xl71"/>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cs="宋体"/>
      <w:kern w:val="0"/>
      <w:sz w:val="18"/>
      <w:szCs w:val="18"/>
    </w:rPr>
  </w:style>
  <w:style w:type="paragraph" w:customStyle="1" w:styleId="46">
    <w:name w:val="xl76"/>
    <w:basedOn w:val="1"/>
    <w:qFormat/>
    <w:uiPriority w:val="0"/>
    <w:pPr>
      <w:widowControl/>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47">
    <w:name w:val="WPSOffice手动目录 1"/>
    <w:qFormat/>
    <w:uiPriority w:val="0"/>
    <w:rPr>
      <w:rFonts w:ascii="Times New Roman" w:hAnsi="Times New Roman" w:eastAsia="宋体" w:cs="Times New Roman"/>
      <w:lang w:val="en-US" w:eastAsia="zh-CN" w:bidi="ar-SA"/>
    </w:rPr>
  </w:style>
  <w:style w:type="paragraph" w:customStyle="1" w:styleId="48">
    <w:name w:val="xl72"/>
    <w:basedOn w:val="1"/>
    <w:qFormat/>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paragraph" w:customStyle="1" w:styleId="49">
    <w:name w:val="WPSOffice手动目录 2"/>
    <w:qFormat/>
    <w:uiPriority w:val="0"/>
    <w:pPr>
      <w:ind w:leftChars="200"/>
    </w:pPr>
    <w:rPr>
      <w:rFonts w:ascii="Times New Roman" w:hAnsi="Times New Roman" w:eastAsia="宋体" w:cs="Times New Roman"/>
      <w:lang w:val="en-US" w:eastAsia="zh-CN" w:bidi="ar-SA"/>
    </w:rPr>
  </w:style>
  <w:style w:type="paragraph" w:customStyle="1" w:styleId="5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cs="宋体"/>
      <w:b/>
      <w:bCs/>
      <w:kern w:val="0"/>
      <w:sz w:val="20"/>
      <w:szCs w:val="20"/>
    </w:rPr>
  </w:style>
  <w:style w:type="paragraph" w:customStyle="1" w:styleId="51">
    <w:name w:val="xl70"/>
    <w:basedOn w:val="1"/>
    <w:qFormat/>
    <w:uiPriority w:val="0"/>
    <w:pPr>
      <w:widowControl/>
      <w:pBdr>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cs="宋体"/>
      <w:kern w:val="0"/>
      <w:sz w:val="18"/>
      <w:szCs w:val="18"/>
    </w:rPr>
  </w:style>
  <w:style w:type="paragraph" w:customStyle="1" w:styleId="52">
    <w:name w:val="msonormal"/>
    <w:basedOn w:val="1"/>
    <w:qFormat/>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paragraph" w:customStyle="1" w:styleId="53">
    <w:name w:val="List Paragraph1"/>
    <w:basedOn w:val="1"/>
    <w:qFormat/>
    <w:uiPriority w:val="34"/>
    <w:pPr>
      <w:ind w:firstLine="420" w:firstLineChars="200"/>
    </w:pPr>
  </w:style>
  <w:style w:type="paragraph" w:customStyle="1" w:styleId="5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宋体" w:hAnsi="宋体" w:cs="宋体"/>
      <w:kern w:val="0"/>
      <w:sz w:val="18"/>
      <w:szCs w:val="18"/>
    </w:rPr>
  </w:style>
  <w:style w:type="paragraph" w:customStyle="1" w:styleId="55">
    <w:name w:val="_Style 18"/>
    <w:basedOn w:val="1"/>
    <w:next w:val="41"/>
    <w:qFormat/>
    <w:uiPriority w:val="99"/>
    <w:pPr>
      <w:spacing w:line="240" w:lineRule="auto"/>
      <w:ind w:firstLine="420" w:firstLineChars="0"/>
    </w:pPr>
    <w:rPr>
      <w:sz w:val="21"/>
      <w:szCs w:val="24"/>
    </w:rPr>
  </w:style>
  <w:style w:type="character" w:customStyle="1" w:styleId="56">
    <w:name w:val="15"/>
    <w:basedOn w:val="21"/>
    <w:qFormat/>
    <w:uiPriority w:val="0"/>
    <w:rPr>
      <w:rFonts w:hint="default" w:ascii="Calibri" w:hAnsi="Calibri" w:cs="Calibri"/>
      <w:vertAlign w:val="superscript"/>
    </w:rPr>
  </w:style>
  <w:style w:type="character" w:customStyle="1" w:styleId="57">
    <w:name w:val="font61"/>
    <w:basedOn w:val="21"/>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http://www.deepbbs.org</Company>
  <Pages>33</Pages>
  <Words>13112</Words>
  <Characters>14290</Characters>
  <Lines>1</Lines>
  <Paragraphs>1</Paragraphs>
  <TotalTime>23</TotalTime>
  <ScaleCrop>false</ScaleCrop>
  <LinksUpToDate>false</LinksUpToDate>
  <CharactersWithSpaces>14362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2021-05-08T04:32:00Z</dcterms:created>
  <dc:creator>Administrator</dc:creator>
  <cp:lastModifiedBy>寇丹静</cp:lastModifiedBy>
  <cp:lastPrinted>2022-05-28T09:03:00Z</cp:lastPrinted>
  <dcterms:modified xsi:type="dcterms:W3CDTF">2023-05-17T08:38:19Z</dcterms:modified>
  <dc:title>北京市市级财政支出项目</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E866056B6FC54A2491457B5DB4B8AEA0_13</vt:lpwstr>
  </property>
</Properties>
</file>