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6BC" w:rsidRDefault="00E056BC">
      <w:pPr>
        <w:snapToGrid w:val="0"/>
        <w:spacing w:line="580" w:lineRule="exact"/>
        <w:ind w:firstLineChars="200" w:firstLine="880"/>
        <w:jc w:val="center"/>
        <w:textAlignment w:val="baseline"/>
        <w:rPr>
          <w:rFonts w:ascii="Times New Roman" w:eastAsia="方正小标宋简体" w:hAnsi="Times New Roman" w:cs="Times New Roman"/>
          <w:bCs/>
          <w:color w:val="000000"/>
          <w:kern w:val="16"/>
          <w:sz w:val="44"/>
          <w:szCs w:val="44"/>
        </w:rPr>
      </w:pPr>
    </w:p>
    <w:p w:rsidR="00E056BC" w:rsidRDefault="00E056BC">
      <w:pPr>
        <w:pStyle w:val="a5"/>
        <w:rPr>
          <w:rFonts w:ascii="Times New Roman" w:hAnsi="Times New Roman" w:cs="Times New Roman"/>
        </w:rPr>
      </w:pPr>
    </w:p>
    <w:p w:rsidR="00E056BC" w:rsidRDefault="00E056BC">
      <w:pPr>
        <w:pStyle w:val="9"/>
        <w:ind w:left="3360"/>
        <w:textAlignment w:val="baseline"/>
        <w:rPr>
          <w:rFonts w:ascii="Times New Roman" w:hAnsi="Times New Roman" w:cs="Times New Roman"/>
        </w:rPr>
      </w:pPr>
    </w:p>
    <w:p w:rsidR="00E056BC" w:rsidRDefault="00E056BC">
      <w:pPr>
        <w:snapToGrid w:val="0"/>
        <w:spacing w:line="580" w:lineRule="exact"/>
        <w:ind w:firstLineChars="200" w:firstLine="880"/>
        <w:jc w:val="center"/>
        <w:textAlignment w:val="baseline"/>
        <w:rPr>
          <w:rFonts w:ascii="Times New Roman" w:eastAsia="方正小标宋简体" w:hAnsi="Times New Roman" w:cs="Times New Roman"/>
          <w:bCs/>
          <w:color w:val="000000"/>
          <w:kern w:val="16"/>
          <w:sz w:val="44"/>
          <w:szCs w:val="44"/>
        </w:rPr>
      </w:pPr>
    </w:p>
    <w:p w:rsidR="00E056BC" w:rsidRDefault="00101FB3">
      <w:pPr>
        <w:adjustRightInd w:val="0"/>
        <w:snapToGrid w:val="0"/>
        <w:spacing w:line="580" w:lineRule="exact"/>
        <w:jc w:val="center"/>
        <w:textAlignment w:val="baseline"/>
        <w:rPr>
          <w:rFonts w:ascii="Times New Roman" w:eastAsia="方正小标宋简体" w:hAnsi="Times New Roman" w:cs="Times New Roman"/>
          <w:bCs/>
          <w:kern w:val="0"/>
          <w:sz w:val="44"/>
          <w:szCs w:val="44"/>
        </w:rPr>
      </w:pPr>
      <w:r>
        <w:rPr>
          <w:rFonts w:ascii="Times New Roman" w:eastAsia="方正小标宋简体" w:hAnsi="Times New Roman" w:cs="Times New Roman"/>
          <w:bCs/>
          <w:kern w:val="0"/>
          <w:sz w:val="44"/>
          <w:szCs w:val="44"/>
        </w:rPr>
        <w:t>部门整体绩效评价报告</w:t>
      </w:r>
    </w:p>
    <w:p w:rsidR="00E056BC" w:rsidRDefault="00E056BC">
      <w:pPr>
        <w:spacing w:after="240" w:line="540" w:lineRule="exact"/>
        <w:jc w:val="center"/>
        <w:textAlignment w:val="baseline"/>
        <w:rPr>
          <w:rFonts w:ascii="Times New Roman" w:hAnsi="Times New Roman" w:cs="Times New Roman"/>
          <w:b/>
          <w:bCs/>
          <w:spacing w:val="50"/>
          <w:sz w:val="32"/>
          <w:szCs w:val="32"/>
        </w:rPr>
      </w:pPr>
    </w:p>
    <w:p w:rsidR="00E056BC" w:rsidRDefault="00101FB3">
      <w:pPr>
        <w:snapToGrid w:val="0"/>
        <w:spacing w:after="312" w:line="300" w:lineRule="auto"/>
        <w:ind w:firstLineChars="200" w:firstLine="723"/>
        <w:textAlignment w:val="baseline"/>
        <w:rPr>
          <w:rFonts w:ascii="Times New Roman" w:eastAsia="仿宋_GB2312" w:hAnsi="Times New Roman" w:cs="Times New Roman"/>
          <w:b/>
          <w:bCs/>
          <w:sz w:val="36"/>
          <w:szCs w:val="20"/>
        </w:rPr>
      </w:pPr>
      <w:r>
        <w:rPr>
          <w:rFonts w:ascii="Times New Roman" w:eastAsia="仿宋_GB2312" w:hAnsi="Times New Roman" w:cs="Times New Roman"/>
          <w:b/>
          <w:bCs/>
          <w:sz w:val="36"/>
          <w:szCs w:val="20"/>
        </w:rPr>
        <w:t xml:space="preserve">  </w:t>
      </w:r>
    </w:p>
    <w:p w:rsidR="00E056BC" w:rsidRDefault="00101FB3">
      <w:pPr>
        <w:widowControl/>
        <w:ind w:firstLineChars="160" w:firstLine="512"/>
        <w:jc w:val="lef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 xml:space="preserve"> </w:t>
      </w:r>
    </w:p>
    <w:p w:rsidR="00E056BC" w:rsidRDefault="00101FB3">
      <w:pPr>
        <w:snapToGrid w:val="0"/>
        <w:spacing w:line="360" w:lineRule="auto"/>
        <w:ind w:leftChars="250" w:left="525" w:right="525"/>
        <w:jc w:val="left"/>
        <w:textAlignment w:val="baseline"/>
        <w:rPr>
          <w:rFonts w:ascii="Times New Roman" w:eastAsia="仿宋_GB2312" w:hAnsi="Times New Roman" w:cs="Times New Roman"/>
          <w:kern w:val="0"/>
          <w:sz w:val="32"/>
          <w:szCs w:val="32"/>
          <w:u w:val="single"/>
        </w:rPr>
      </w:pPr>
      <w:r>
        <w:rPr>
          <w:rFonts w:ascii="Times New Roman" w:eastAsia="仿宋_GB2312" w:hAnsi="Times New Roman" w:cs="Times New Roman"/>
          <w:b/>
          <w:sz w:val="32"/>
          <w:szCs w:val="32"/>
        </w:rPr>
        <w:t>实施部门：</w:t>
      </w:r>
      <w:r>
        <w:rPr>
          <w:rFonts w:ascii="Times New Roman" w:eastAsia="仿宋_GB2312" w:hAnsi="Times New Roman" w:cs="Times New Roman"/>
          <w:color w:val="000000"/>
          <w:kern w:val="16"/>
          <w:sz w:val="32"/>
          <w:szCs w:val="32"/>
          <w:u w:val="single" w:color="000000"/>
        </w:rPr>
        <w:t xml:space="preserve">            </w:t>
      </w:r>
      <w:r>
        <w:rPr>
          <w:rFonts w:ascii="Times New Roman" w:eastAsia="仿宋_GB2312" w:hAnsi="Times New Roman" w:cs="Times New Roman"/>
          <w:color w:val="000000"/>
          <w:kern w:val="16"/>
          <w:sz w:val="32"/>
          <w:szCs w:val="32"/>
          <w:u w:val="single" w:color="000000"/>
        </w:rPr>
        <w:t>首钢技师学院</w:t>
      </w:r>
      <w:r>
        <w:rPr>
          <w:rFonts w:ascii="Times New Roman" w:eastAsia="仿宋_GB2312" w:hAnsi="Times New Roman" w:cs="Times New Roman"/>
          <w:color w:val="000000"/>
          <w:kern w:val="16"/>
          <w:sz w:val="32"/>
          <w:szCs w:val="32"/>
          <w:u w:val="single" w:color="000000"/>
        </w:rPr>
        <w:t xml:space="preserve">              </w:t>
      </w:r>
      <w:r>
        <w:rPr>
          <w:rFonts w:ascii="Times New Roman" w:eastAsia="仿宋_GB2312" w:hAnsi="Times New Roman" w:cs="Times New Roman"/>
          <w:bCs/>
          <w:kern w:val="0"/>
          <w:sz w:val="32"/>
          <w:szCs w:val="32"/>
        </w:rPr>
        <w:t xml:space="preserve"> </w:t>
      </w:r>
    </w:p>
    <w:p w:rsidR="00E056BC" w:rsidRDefault="00101FB3">
      <w:pPr>
        <w:snapToGrid w:val="0"/>
        <w:spacing w:line="360" w:lineRule="auto"/>
        <w:ind w:leftChars="250" w:left="2131" w:right="510" w:hangingChars="500" w:hanging="1606"/>
        <w:jc w:val="left"/>
        <w:textAlignment w:val="baseline"/>
        <w:rPr>
          <w:rFonts w:ascii="Times New Roman" w:eastAsia="仿宋_GB2312" w:hAnsi="Times New Roman" w:cs="Times New Roman"/>
          <w:color w:val="000000"/>
          <w:kern w:val="16"/>
          <w:sz w:val="32"/>
          <w:szCs w:val="32"/>
          <w:u w:val="single" w:color="000000"/>
        </w:rPr>
      </w:pPr>
      <w:r>
        <w:rPr>
          <w:rFonts w:ascii="Times New Roman" w:eastAsia="仿宋_GB2312" w:hAnsi="Times New Roman" w:cs="Times New Roman"/>
          <w:b/>
          <w:sz w:val="32"/>
          <w:szCs w:val="32"/>
        </w:rPr>
        <w:t>项目名称：</w:t>
      </w:r>
      <w:r>
        <w:rPr>
          <w:rFonts w:ascii="Times New Roman" w:eastAsia="仿宋_GB2312" w:hAnsi="Times New Roman" w:cs="Times New Roman"/>
          <w:bCs/>
          <w:kern w:val="0"/>
          <w:sz w:val="32"/>
          <w:szCs w:val="32"/>
          <w:u w:val="single" w:color="000000"/>
        </w:rPr>
        <w:t xml:space="preserve">       </w:t>
      </w:r>
      <w:r>
        <w:rPr>
          <w:rFonts w:ascii="Times New Roman" w:eastAsia="仿宋_GB2312" w:hAnsi="Times New Roman" w:cs="Times New Roman"/>
          <w:color w:val="000000"/>
          <w:kern w:val="16"/>
          <w:sz w:val="32"/>
          <w:szCs w:val="32"/>
          <w:u w:val="single" w:color="000000"/>
        </w:rPr>
        <w:t>2022</w:t>
      </w:r>
      <w:r>
        <w:rPr>
          <w:rFonts w:ascii="Times New Roman" w:eastAsia="仿宋_GB2312" w:hAnsi="Times New Roman" w:cs="Times New Roman"/>
          <w:color w:val="000000"/>
          <w:kern w:val="16"/>
          <w:sz w:val="32"/>
          <w:szCs w:val="32"/>
          <w:u w:val="single" w:color="000000"/>
        </w:rPr>
        <w:t>年部门整体绩效评价</w:t>
      </w:r>
      <w:r>
        <w:rPr>
          <w:rFonts w:ascii="Times New Roman" w:eastAsia="仿宋_GB2312" w:hAnsi="Times New Roman" w:cs="Times New Roman"/>
          <w:color w:val="000000"/>
          <w:kern w:val="16"/>
          <w:sz w:val="32"/>
          <w:szCs w:val="32"/>
          <w:u w:val="single" w:color="000000"/>
        </w:rPr>
        <w:t xml:space="preserve">       </w:t>
      </w:r>
    </w:p>
    <w:p w:rsidR="00E056BC" w:rsidRDefault="00E056BC">
      <w:pPr>
        <w:spacing w:line="480" w:lineRule="auto"/>
        <w:jc w:val="center"/>
        <w:textAlignment w:val="baseline"/>
        <w:rPr>
          <w:rFonts w:ascii="Times New Roman" w:eastAsia="黑体" w:hAnsi="Times New Roman" w:cs="Times New Roman"/>
          <w:b/>
          <w:sz w:val="32"/>
          <w:szCs w:val="20"/>
        </w:rPr>
      </w:pPr>
    </w:p>
    <w:p w:rsidR="00E056BC" w:rsidRDefault="00E056BC">
      <w:pPr>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E056BC">
      <w:pPr>
        <w:pStyle w:val="a5"/>
        <w:rPr>
          <w:rFonts w:ascii="Times New Roman" w:hAnsi="Times New Roman" w:cs="Times New Roman"/>
        </w:rPr>
      </w:pPr>
    </w:p>
    <w:p w:rsidR="00E056BC" w:rsidRDefault="00101FB3">
      <w:pPr>
        <w:jc w:val="center"/>
        <w:textAlignment w:val="baseline"/>
        <w:rPr>
          <w:rFonts w:ascii="Times New Roman" w:eastAsia="宋体" w:hAnsi="Times New Roman" w:cs="Times New Roman"/>
          <w:b/>
          <w:sz w:val="32"/>
          <w:szCs w:val="32"/>
        </w:rPr>
      </w:pPr>
      <w:r>
        <w:rPr>
          <w:rFonts w:ascii="Times New Roman" w:eastAsia="宋体" w:hAnsi="Times New Roman" w:cs="Times New Roman"/>
          <w:b/>
          <w:sz w:val="32"/>
          <w:szCs w:val="32"/>
        </w:rPr>
        <w:t>首钢技师学院</w:t>
      </w:r>
    </w:p>
    <w:p w:rsidR="00E056BC" w:rsidRDefault="00E056BC">
      <w:pPr>
        <w:pStyle w:val="a5"/>
        <w:rPr>
          <w:rFonts w:ascii="Times New Roman" w:hAnsi="Times New Roman" w:cs="Times New Roman"/>
        </w:rPr>
      </w:pPr>
    </w:p>
    <w:p w:rsidR="00E056BC" w:rsidRDefault="00101FB3">
      <w:pPr>
        <w:jc w:val="center"/>
        <w:textAlignment w:val="baseline"/>
        <w:rPr>
          <w:rFonts w:ascii="Times New Roman" w:eastAsia="宋体" w:hAnsi="Times New Roman" w:cs="Times New Roman"/>
          <w:b/>
          <w:kern w:val="44"/>
          <w:sz w:val="32"/>
          <w:szCs w:val="32"/>
        </w:rPr>
      </w:pPr>
      <w:r>
        <w:rPr>
          <w:rFonts w:ascii="Times New Roman" w:eastAsia="宋体" w:hAnsi="Times New Roman" w:cs="Times New Roman"/>
          <w:b/>
          <w:kern w:val="44"/>
          <w:sz w:val="32"/>
          <w:szCs w:val="32"/>
        </w:rPr>
        <w:t xml:space="preserve"> 2023</w:t>
      </w:r>
      <w:r>
        <w:rPr>
          <w:rFonts w:ascii="Times New Roman" w:eastAsia="宋体" w:hAnsi="Times New Roman" w:cs="Times New Roman"/>
          <w:b/>
          <w:kern w:val="44"/>
          <w:sz w:val="32"/>
          <w:szCs w:val="32"/>
        </w:rPr>
        <w:t>年</w:t>
      </w:r>
      <w:r>
        <w:rPr>
          <w:rFonts w:ascii="Times New Roman" w:eastAsia="宋体" w:hAnsi="Times New Roman" w:cs="Times New Roman"/>
          <w:b/>
          <w:kern w:val="44"/>
          <w:sz w:val="32"/>
          <w:szCs w:val="32"/>
        </w:rPr>
        <w:t>5</w:t>
      </w:r>
      <w:r>
        <w:rPr>
          <w:rFonts w:ascii="Times New Roman" w:eastAsia="宋体" w:hAnsi="Times New Roman" w:cs="Times New Roman"/>
          <w:b/>
          <w:kern w:val="44"/>
          <w:sz w:val="32"/>
          <w:szCs w:val="32"/>
        </w:rPr>
        <w:t>月</w:t>
      </w:r>
    </w:p>
    <w:p w:rsidR="00E056BC" w:rsidRDefault="00101FB3">
      <w:pPr>
        <w:rPr>
          <w:rFonts w:ascii="Times New Roman" w:eastAsia="宋体" w:hAnsi="Times New Roman" w:cs="Times New Roman"/>
          <w:b/>
          <w:kern w:val="44"/>
          <w:sz w:val="32"/>
          <w:szCs w:val="32"/>
        </w:rPr>
      </w:pPr>
      <w:r>
        <w:rPr>
          <w:rFonts w:ascii="Times New Roman" w:eastAsia="宋体" w:hAnsi="Times New Roman" w:cs="Times New Roman"/>
          <w:b/>
          <w:kern w:val="44"/>
          <w:sz w:val="32"/>
          <w:szCs w:val="32"/>
        </w:rPr>
        <w:br w:type="page"/>
      </w:r>
    </w:p>
    <w:sdt>
      <w:sdtPr>
        <w:rPr>
          <w:rFonts w:ascii="Times New Roman" w:eastAsia="宋体" w:hAnsi="Times New Roman" w:cs="Times New Roman"/>
          <w:b/>
          <w:bCs/>
          <w:sz w:val="44"/>
          <w:szCs w:val="44"/>
        </w:rPr>
        <w:id w:val="147451666"/>
        <w15:color w:val="DBDBDB"/>
        <w:docPartObj>
          <w:docPartGallery w:val="Table of Contents"/>
          <w:docPartUnique/>
        </w:docPartObj>
      </w:sdtPr>
      <w:sdtEndPr>
        <w:rPr>
          <w:rFonts w:eastAsiaTheme="minorEastAsia"/>
          <w:sz w:val="28"/>
          <w:szCs w:val="28"/>
        </w:rPr>
      </w:sdtEndPr>
      <w:sdtContent>
        <w:p w:rsidR="00E056BC" w:rsidRDefault="00101FB3">
          <w:pPr>
            <w:jc w:val="center"/>
            <w:textAlignment w:val="baseline"/>
            <w:rPr>
              <w:rFonts w:ascii="Times New Roman" w:hAnsi="Times New Roman" w:cs="Times New Roman"/>
              <w:b/>
              <w:bCs/>
              <w:sz w:val="44"/>
              <w:szCs w:val="44"/>
            </w:rPr>
          </w:pPr>
          <w:r>
            <w:rPr>
              <w:rFonts w:ascii="Times New Roman" w:eastAsia="宋体" w:hAnsi="Times New Roman" w:cs="Times New Roman"/>
              <w:b/>
              <w:bCs/>
              <w:sz w:val="44"/>
              <w:szCs w:val="44"/>
            </w:rPr>
            <w:t>目</w:t>
          </w:r>
          <w:r>
            <w:rPr>
              <w:rFonts w:ascii="Times New Roman" w:eastAsia="宋体" w:hAnsi="Times New Roman" w:cs="Times New Roman"/>
              <w:b/>
              <w:bCs/>
              <w:sz w:val="44"/>
              <w:szCs w:val="44"/>
            </w:rPr>
            <w:t xml:space="preserve"> </w:t>
          </w:r>
          <w:r>
            <w:rPr>
              <w:rFonts w:ascii="Times New Roman" w:eastAsia="宋体" w:hAnsi="Times New Roman" w:cs="Times New Roman"/>
              <w:b/>
              <w:bCs/>
              <w:sz w:val="44"/>
              <w:szCs w:val="44"/>
            </w:rPr>
            <w:t>录</w:t>
          </w:r>
        </w:p>
        <w:p w:rsidR="00E056BC" w:rsidRDefault="00101FB3">
          <w:pPr>
            <w:pStyle w:val="10"/>
            <w:tabs>
              <w:tab w:val="right" w:leader="dot" w:pos="8504"/>
            </w:tabs>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TOC \o "1-2" \h \u </w:instrText>
          </w:r>
          <w:r>
            <w:rPr>
              <w:rFonts w:ascii="Times New Roman" w:hAnsi="Times New Roman" w:cs="Times New Roman"/>
              <w:sz w:val="28"/>
              <w:szCs w:val="28"/>
            </w:rPr>
            <w:fldChar w:fldCharType="separate"/>
          </w:r>
          <w:hyperlink w:anchor="_Toc30374" w:history="1">
            <w:r>
              <w:rPr>
                <w:rFonts w:ascii="Times New Roman" w:eastAsia="黑体" w:hAnsi="Times New Roman" w:cs="Times New Roman"/>
                <w:sz w:val="28"/>
                <w:szCs w:val="28"/>
              </w:rPr>
              <w:t>一、部门概况</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_Toc30374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247" w:history="1">
            <w:r w:rsidR="00101FB3">
              <w:rPr>
                <w:rFonts w:ascii="Times New Roman" w:eastAsia="楷体_GB2312" w:hAnsi="Times New Roman" w:cs="Times New Roman"/>
                <w:bCs/>
                <w:sz w:val="28"/>
                <w:szCs w:val="28"/>
              </w:rPr>
              <w:t>（一）机构设置及职责工作任务情况</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_Toc247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24744" w:history="1">
            <w:r w:rsidR="00101FB3">
              <w:rPr>
                <w:rFonts w:ascii="Times New Roman" w:eastAsia="楷体_GB2312" w:hAnsi="Times New Roman" w:cs="Times New Roman"/>
                <w:bCs/>
                <w:sz w:val="28"/>
                <w:szCs w:val="28"/>
              </w:rPr>
              <w:t>（二）部门整体绩效目标设立情况</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_Toc24744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w:t>
            </w:r>
            <w:r w:rsidR="00101FB3">
              <w:rPr>
                <w:rFonts w:ascii="Times New Roman" w:hAnsi="Times New Roman" w:cs="Times New Roman"/>
                <w:sz w:val="28"/>
                <w:szCs w:val="28"/>
              </w:rPr>
              <w:fldChar w:fldCharType="end"/>
            </w:r>
          </w:hyperlink>
        </w:p>
        <w:p w:rsidR="00E056BC" w:rsidRDefault="003217EA">
          <w:pPr>
            <w:pStyle w:val="10"/>
            <w:tabs>
              <w:tab w:val="right" w:leader="dot" w:pos="8504"/>
            </w:tabs>
            <w:rPr>
              <w:rFonts w:ascii="Times New Roman" w:hAnsi="Times New Roman" w:cs="Times New Roman"/>
              <w:sz w:val="28"/>
              <w:szCs w:val="28"/>
            </w:rPr>
          </w:pPr>
          <w:hyperlink w:anchor="_Toc25300" w:history="1">
            <w:r w:rsidR="00101FB3">
              <w:rPr>
                <w:rFonts w:ascii="Times New Roman" w:eastAsia="黑体" w:hAnsi="Times New Roman" w:cs="Times New Roman"/>
                <w:sz w:val="28"/>
                <w:szCs w:val="28"/>
              </w:rPr>
              <w:t>二、当年预算执行情况</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_Toc25300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3</w:t>
            </w:r>
            <w:r w:rsidR="00101FB3">
              <w:rPr>
                <w:rFonts w:ascii="Times New Roman" w:hAnsi="Times New Roman" w:cs="Times New Roman"/>
                <w:sz w:val="28"/>
                <w:szCs w:val="28"/>
              </w:rPr>
              <w:fldChar w:fldCharType="end"/>
            </w:r>
          </w:hyperlink>
        </w:p>
        <w:p w:rsidR="00E056BC" w:rsidRDefault="003217EA">
          <w:pPr>
            <w:pStyle w:val="10"/>
            <w:tabs>
              <w:tab w:val="right" w:leader="dot" w:pos="8504"/>
            </w:tabs>
            <w:rPr>
              <w:rFonts w:ascii="Times New Roman" w:hAnsi="Times New Roman" w:cs="Times New Roman"/>
              <w:sz w:val="28"/>
              <w:szCs w:val="28"/>
            </w:rPr>
          </w:pPr>
          <w:hyperlink w:anchor="_Toc24835" w:history="1">
            <w:r w:rsidR="00101FB3">
              <w:rPr>
                <w:rFonts w:ascii="Times New Roman" w:eastAsia="黑体" w:hAnsi="Times New Roman" w:cs="Times New Roman"/>
                <w:kern w:val="0"/>
                <w:sz w:val="28"/>
                <w:szCs w:val="28"/>
              </w:rPr>
              <w:t>三、整体绩效目标实现情况</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_Toc24835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3</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24337" w:history="1">
            <w:r w:rsidR="00101FB3">
              <w:rPr>
                <w:rFonts w:ascii="Times New Roman" w:eastAsia="楷体_GB2312" w:hAnsi="Times New Roman" w:cs="Times New Roman"/>
                <w:bCs/>
                <w:sz w:val="28"/>
                <w:szCs w:val="28"/>
              </w:rPr>
              <w:t>（一）产出完成情况分析</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_Toc24337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3</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9991" w:history="1">
            <w:r w:rsidR="00101FB3">
              <w:rPr>
                <w:rFonts w:ascii="Times New Roman" w:eastAsia="楷体_GB2312" w:hAnsi="Times New Roman" w:cs="Times New Roman"/>
                <w:bCs/>
                <w:sz w:val="28"/>
                <w:szCs w:val="28"/>
              </w:rPr>
              <w:t>（二）效果实现情况分析</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_Toc9991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5</w:t>
            </w:r>
            <w:r w:rsidR="00101FB3">
              <w:rPr>
                <w:rFonts w:ascii="Times New Roman" w:hAnsi="Times New Roman" w:cs="Times New Roman"/>
                <w:sz w:val="28"/>
                <w:szCs w:val="28"/>
              </w:rPr>
              <w:fldChar w:fldCharType="end"/>
            </w:r>
          </w:hyperlink>
        </w:p>
        <w:p w:rsidR="00E056BC" w:rsidRDefault="003217EA">
          <w:pPr>
            <w:pStyle w:val="10"/>
            <w:tabs>
              <w:tab w:val="right" w:leader="dot" w:pos="8504"/>
            </w:tabs>
            <w:rPr>
              <w:rFonts w:ascii="Times New Roman" w:hAnsi="Times New Roman" w:cs="Times New Roman"/>
              <w:sz w:val="28"/>
              <w:szCs w:val="28"/>
            </w:rPr>
          </w:pPr>
          <w:hyperlink w:anchor="_Toc17651" w:history="1">
            <w:r w:rsidR="00101FB3">
              <w:rPr>
                <w:rFonts w:ascii="Times New Roman" w:eastAsia="黑体" w:hAnsi="Times New Roman" w:cs="Times New Roman"/>
                <w:sz w:val="28"/>
                <w:szCs w:val="28"/>
              </w:rPr>
              <w:t>四、预算管理情况分析</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_Toc17651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8</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5435" w:history="1">
            <w:r w:rsidR="00101FB3">
              <w:rPr>
                <w:rFonts w:ascii="Times New Roman" w:eastAsia="楷体_GB2312" w:hAnsi="Times New Roman" w:cs="Times New Roman"/>
                <w:bCs/>
                <w:sz w:val="28"/>
                <w:szCs w:val="28"/>
              </w:rPr>
              <w:t>（一）财务管理</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_Toc5435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9</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17391" w:history="1">
            <w:r w:rsidR="00101FB3">
              <w:rPr>
                <w:rFonts w:ascii="Times New Roman" w:eastAsia="楷体_GB2312" w:hAnsi="Times New Roman" w:cs="Times New Roman"/>
                <w:sz w:val="28"/>
                <w:szCs w:val="28"/>
              </w:rPr>
              <w:t>（二）资产管理</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_Toc17391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10</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16411" w:history="1">
            <w:r w:rsidR="00101FB3">
              <w:rPr>
                <w:rFonts w:ascii="Times New Roman" w:eastAsia="楷体_GB2312" w:hAnsi="Times New Roman" w:cs="Times New Roman"/>
                <w:bCs/>
                <w:sz w:val="28"/>
                <w:szCs w:val="28"/>
              </w:rPr>
              <w:t>（三）绩效管理</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_Toc16411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12</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15853" w:history="1">
            <w:r w:rsidR="00101FB3">
              <w:rPr>
                <w:rFonts w:ascii="Times New Roman" w:eastAsia="楷体_GB2312" w:hAnsi="Times New Roman" w:cs="Times New Roman"/>
                <w:bCs/>
                <w:sz w:val="28"/>
                <w:szCs w:val="28"/>
              </w:rPr>
              <w:t>（四）结转结余率</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_Toc15853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13</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3047" w:history="1">
            <w:r w:rsidR="00101FB3">
              <w:rPr>
                <w:rFonts w:ascii="Times New Roman" w:eastAsia="楷体_GB2312" w:hAnsi="Times New Roman" w:cs="Times New Roman"/>
                <w:bCs/>
                <w:sz w:val="28"/>
                <w:szCs w:val="28"/>
              </w:rPr>
              <w:t>（五）部门预决算差异率</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_Toc3047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14</w:t>
            </w:r>
            <w:r w:rsidR="00101FB3">
              <w:rPr>
                <w:rFonts w:ascii="Times New Roman" w:hAnsi="Times New Roman" w:cs="Times New Roman"/>
                <w:sz w:val="28"/>
                <w:szCs w:val="28"/>
              </w:rPr>
              <w:fldChar w:fldCharType="end"/>
            </w:r>
          </w:hyperlink>
        </w:p>
        <w:p w:rsidR="00E056BC" w:rsidRDefault="003217EA">
          <w:pPr>
            <w:pStyle w:val="10"/>
            <w:tabs>
              <w:tab w:val="right" w:leader="dot" w:pos="8504"/>
            </w:tabs>
            <w:rPr>
              <w:rFonts w:ascii="Times New Roman" w:hAnsi="Times New Roman" w:cs="Times New Roman"/>
              <w:sz w:val="28"/>
              <w:szCs w:val="28"/>
            </w:rPr>
          </w:pPr>
          <w:hyperlink w:anchor="_Toc12373" w:history="1">
            <w:r w:rsidR="00101FB3">
              <w:rPr>
                <w:rFonts w:ascii="Times New Roman" w:eastAsia="黑体" w:hAnsi="Times New Roman" w:cs="Times New Roman"/>
                <w:sz w:val="28"/>
                <w:szCs w:val="28"/>
              </w:rPr>
              <w:t>五、总体评价结论</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_Toc12373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15</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10729" w:history="1">
            <w:r w:rsidR="00101FB3">
              <w:rPr>
                <w:rFonts w:ascii="Times New Roman" w:eastAsia="楷体_GB2312" w:hAnsi="Times New Roman" w:cs="Times New Roman"/>
                <w:bCs/>
                <w:sz w:val="28"/>
                <w:szCs w:val="28"/>
              </w:rPr>
              <w:t>（一）评价得分情况</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_Toc10729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15</w:t>
            </w:r>
            <w:r w:rsidR="00101FB3">
              <w:rPr>
                <w:rFonts w:ascii="Times New Roman" w:hAnsi="Times New Roman" w:cs="Times New Roman"/>
                <w:sz w:val="28"/>
                <w:szCs w:val="28"/>
              </w:rPr>
              <w:fldChar w:fldCharType="end"/>
            </w:r>
          </w:hyperlink>
        </w:p>
        <w:p w:rsidR="00E056BC" w:rsidRDefault="003217EA">
          <w:pPr>
            <w:pStyle w:val="21"/>
            <w:tabs>
              <w:tab w:val="right" w:leader="dot" w:pos="8504"/>
            </w:tabs>
            <w:rPr>
              <w:rFonts w:ascii="Times New Roman" w:hAnsi="Times New Roman" w:cs="Times New Roman"/>
              <w:sz w:val="28"/>
              <w:szCs w:val="28"/>
            </w:rPr>
          </w:pPr>
          <w:hyperlink w:anchor="_Toc4806" w:history="1">
            <w:r w:rsidR="00101FB3">
              <w:rPr>
                <w:rFonts w:ascii="Times New Roman" w:eastAsia="楷体_GB2312" w:hAnsi="Times New Roman" w:cs="Times New Roman"/>
                <w:bCs/>
                <w:sz w:val="28"/>
                <w:szCs w:val="28"/>
              </w:rPr>
              <w:t>（二）存在的问题及原因分析</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_Toc4806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17</w:t>
            </w:r>
            <w:r w:rsidR="00101FB3">
              <w:rPr>
                <w:rFonts w:ascii="Times New Roman" w:hAnsi="Times New Roman" w:cs="Times New Roman"/>
                <w:sz w:val="28"/>
                <w:szCs w:val="28"/>
              </w:rPr>
              <w:fldChar w:fldCharType="end"/>
            </w:r>
          </w:hyperlink>
        </w:p>
        <w:p w:rsidR="00E056BC" w:rsidRDefault="003217EA">
          <w:pPr>
            <w:pStyle w:val="10"/>
            <w:tabs>
              <w:tab w:val="right" w:leader="dot" w:pos="8504"/>
            </w:tabs>
            <w:rPr>
              <w:rFonts w:ascii="Times New Roman" w:hAnsi="Times New Roman" w:cs="Times New Roman"/>
              <w:sz w:val="28"/>
              <w:szCs w:val="28"/>
            </w:rPr>
          </w:pPr>
          <w:hyperlink w:anchor="_Toc30929" w:history="1">
            <w:r w:rsidR="00101FB3">
              <w:rPr>
                <w:rFonts w:ascii="Times New Roman" w:eastAsia="黑体" w:hAnsi="Times New Roman" w:cs="Times New Roman"/>
                <w:kern w:val="0"/>
                <w:sz w:val="28"/>
                <w:szCs w:val="28"/>
              </w:rPr>
              <w:t>六、措施建议</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_Toc30929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17</w:t>
            </w:r>
            <w:r w:rsidR="00101FB3">
              <w:rPr>
                <w:rFonts w:ascii="Times New Roman" w:hAnsi="Times New Roman" w:cs="Times New Roman"/>
                <w:sz w:val="28"/>
                <w:szCs w:val="28"/>
              </w:rPr>
              <w:fldChar w:fldCharType="end"/>
            </w:r>
          </w:hyperlink>
        </w:p>
        <w:p w:rsidR="00E056BC" w:rsidRDefault="003217EA">
          <w:pPr>
            <w:pStyle w:val="10"/>
            <w:tabs>
              <w:tab w:val="right" w:leader="dot" w:pos="8504"/>
            </w:tabs>
            <w:rPr>
              <w:rFonts w:ascii="Times New Roman" w:hAnsi="Times New Roman" w:cs="Times New Roman"/>
            </w:rPr>
          </w:pPr>
          <w:hyperlink w:anchor="_Toc16504" w:history="1">
            <w:r w:rsidR="00101FB3">
              <w:rPr>
                <w:rFonts w:ascii="Times New Roman" w:eastAsia="黑体" w:hAnsi="Times New Roman" w:cs="Times New Roman"/>
                <w:bCs/>
                <w:kern w:val="44"/>
                <w:sz w:val="28"/>
                <w:szCs w:val="28"/>
              </w:rPr>
              <w:t>七、附件</w:t>
            </w:r>
            <w:r w:rsidR="00101FB3">
              <w:rPr>
                <w:rFonts w:ascii="Times New Roman" w:hAnsi="Times New Roman" w:cs="Times New Roman"/>
                <w:sz w:val="28"/>
                <w:szCs w:val="28"/>
              </w:rPr>
              <w:tab/>
            </w:r>
            <w:r w:rsidR="00101FB3">
              <w:rPr>
                <w:rFonts w:ascii="Times New Roman" w:hAnsi="Times New Roman" w:cs="Times New Roman"/>
                <w:sz w:val="28"/>
                <w:szCs w:val="28"/>
              </w:rPr>
              <w:fldChar w:fldCharType="begin"/>
            </w:r>
            <w:r w:rsidR="00101FB3">
              <w:rPr>
                <w:rFonts w:ascii="Times New Roman" w:hAnsi="Times New Roman" w:cs="Times New Roman"/>
                <w:sz w:val="28"/>
                <w:szCs w:val="28"/>
              </w:rPr>
              <w:instrText xml:space="preserve"> PAGEREF _Toc16504 \h </w:instrText>
            </w:r>
            <w:r w:rsidR="00101FB3">
              <w:rPr>
                <w:rFonts w:ascii="Times New Roman" w:hAnsi="Times New Roman" w:cs="Times New Roman"/>
                <w:sz w:val="28"/>
                <w:szCs w:val="28"/>
              </w:rPr>
            </w:r>
            <w:r w:rsidR="00101FB3">
              <w:rPr>
                <w:rFonts w:ascii="Times New Roman" w:hAnsi="Times New Roman" w:cs="Times New Roman"/>
                <w:sz w:val="28"/>
                <w:szCs w:val="28"/>
              </w:rPr>
              <w:fldChar w:fldCharType="separate"/>
            </w:r>
            <w:r w:rsidR="00101FB3">
              <w:rPr>
                <w:rFonts w:ascii="Times New Roman" w:hAnsi="Times New Roman" w:cs="Times New Roman"/>
                <w:sz w:val="28"/>
                <w:szCs w:val="28"/>
              </w:rPr>
              <w:t>19</w:t>
            </w:r>
            <w:r w:rsidR="00101FB3">
              <w:rPr>
                <w:rFonts w:ascii="Times New Roman" w:hAnsi="Times New Roman" w:cs="Times New Roman"/>
                <w:sz w:val="28"/>
                <w:szCs w:val="28"/>
              </w:rPr>
              <w:fldChar w:fldCharType="end"/>
            </w:r>
          </w:hyperlink>
        </w:p>
        <w:p w:rsidR="00E056BC" w:rsidRDefault="00101FB3">
          <w:pPr>
            <w:pStyle w:val="9"/>
            <w:ind w:left="3360"/>
            <w:textAlignment w:val="baseline"/>
            <w:rPr>
              <w:rFonts w:ascii="Times New Roman" w:hAnsi="Times New Roman" w:cs="Times New Roman"/>
              <w:sz w:val="28"/>
              <w:szCs w:val="28"/>
            </w:rPr>
          </w:pPr>
          <w:r>
            <w:rPr>
              <w:rFonts w:ascii="Times New Roman" w:hAnsi="Times New Roman" w:cs="Times New Roman"/>
              <w:szCs w:val="28"/>
            </w:rPr>
            <w:fldChar w:fldCharType="end"/>
          </w:r>
        </w:p>
      </w:sdtContent>
    </w:sdt>
    <w:p w:rsidR="00E056BC" w:rsidRDefault="00E056BC">
      <w:pPr>
        <w:spacing w:line="560" w:lineRule="exact"/>
        <w:jc w:val="center"/>
        <w:textAlignment w:val="baseline"/>
        <w:rPr>
          <w:rFonts w:ascii="Times New Roman" w:eastAsia="方正小标宋简体" w:hAnsi="Times New Roman" w:cs="Times New Roman"/>
          <w:sz w:val="28"/>
          <w:szCs w:val="28"/>
        </w:rPr>
        <w:sectPr w:rsidR="00E056BC">
          <w:pgSz w:w="11906" w:h="16838"/>
          <w:pgMar w:top="1701" w:right="1701" w:bottom="1701" w:left="1701" w:header="851" w:footer="992" w:gutter="0"/>
          <w:pgNumType w:start="1"/>
          <w:cols w:space="425"/>
          <w:docGrid w:type="lines" w:linePitch="312"/>
        </w:sectPr>
      </w:pPr>
    </w:p>
    <w:p w:rsidR="00E056BC" w:rsidRDefault="00101FB3">
      <w:pPr>
        <w:spacing w:line="600" w:lineRule="exact"/>
        <w:jc w:val="center"/>
        <w:textAlignment w:val="baseline"/>
        <w:rPr>
          <w:rFonts w:ascii="Times New Roman" w:eastAsia="方正小标宋简体" w:hAnsi="Times New Roman" w:cs="Times New Roman"/>
          <w:sz w:val="44"/>
          <w:szCs w:val="44"/>
        </w:rPr>
      </w:pPr>
      <w:bookmarkStart w:id="0" w:name="_Toc12030"/>
      <w:r>
        <w:rPr>
          <w:rFonts w:ascii="Times New Roman" w:eastAsia="方正小标宋简体" w:hAnsi="Times New Roman" w:cs="Times New Roman"/>
          <w:sz w:val="44"/>
          <w:szCs w:val="44"/>
        </w:rPr>
        <w:lastRenderedPageBreak/>
        <w:t>2022</w:t>
      </w:r>
      <w:r>
        <w:rPr>
          <w:rFonts w:ascii="Times New Roman" w:eastAsia="方正小标宋简体" w:hAnsi="Times New Roman" w:cs="Times New Roman"/>
          <w:sz w:val="44"/>
          <w:szCs w:val="44"/>
        </w:rPr>
        <w:t>年部门整体绩效评价报告</w:t>
      </w:r>
      <w:bookmarkEnd w:id="0"/>
    </w:p>
    <w:p w:rsidR="00FC3100" w:rsidRDefault="00FC3100">
      <w:pPr>
        <w:adjustRightInd w:val="0"/>
        <w:snapToGrid w:val="0"/>
        <w:spacing w:line="600" w:lineRule="exact"/>
        <w:ind w:firstLineChars="200" w:firstLine="640"/>
        <w:textAlignment w:val="baseline"/>
        <w:rPr>
          <w:rFonts w:ascii="Times New Roman" w:eastAsia="仿宋_GB2312" w:hAnsi="Times New Roman" w:cs="Times New Roman"/>
          <w:sz w:val="32"/>
          <w:szCs w:val="32"/>
        </w:rPr>
      </w:pP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为</w:t>
      </w:r>
      <w:r>
        <w:rPr>
          <w:rFonts w:ascii="Times New Roman" w:eastAsia="仿宋_GB2312" w:hAnsi="Times New Roman" w:cs="Times New Roman"/>
          <w:bCs/>
          <w:kern w:val="44"/>
          <w:sz w:val="32"/>
          <w:szCs w:val="32"/>
        </w:rPr>
        <w:t>强化预算绩效管理机制，规范财政支出管理，增强部门支出责任，提高财政资金使用效益，</w:t>
      </w:r>
      <w:r>
        <w:rPr>
          <w:rFonts w:ascii="Times New Roman" w:eastAsia="仿宋_GB2312" w:hAnsi="Times New Roman" w:cs="Times New Roman"/>
          <w:sz w:val="32"/>
          <w:szCs w:val="32"/>
        </w:rPr>
        <w:t>根据</w:t>
      </w:r>
      <w:bookmarkStart w:id="1" w:name="_Hlk68003568"/>
      <w:r>
        <w:rPr>
          <w:rFonts w:ascii="Times New Roman" w:eastAsia="仿宋_GB2312" w:hAnsi="Times New Roman" w:cs="Times New Roman"/>
          <w:sz w:val="32"/>
          <w:szCs w:val="32"/>
        </w:rPr>
        <w:t>《中共中央</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国务院关于全面实施预算绩效管理的意见》</w:t>
      </w:r>
      <w:r>
        <w:rPr>
          <w:rFonts w:ascii="Times New Roman" w:eastAsia="仿宋_GB2312" w:hAnsi="Times New Roman" w:cs="Times New Roman"/>
          <w:bCs/>
          <w:kern w:val="44"/>
          <w:sz w:val="32"/>
          <w:szCs w:val="32"/>
        </w:rPr>
        <w:t>（中发〔</w:t>
      </w:r>
      <w:r>
        <w:rPr>
          <w:rFonts w:ascii="Times New Roman" w:eastAsia="仿宋_GB2312" w:hAnsi="Times New Roman" w:cs="Times New Roman"/>
          <w:bCs/>
          <w:kern w:val="44"/>
          <w:sz w:val="32"/>
          <w:szCs w:val="32"/>
        </w:rPr>
        <w:t>2018</w:t>
      </w:r>
      <w:r>
        <w:rPr>
          <w:rFonts w:ascii="Times New Roman" w:eastAsia="仿宋_GB2312" w:hAnsi="Times New Roman" w:cs="Times New Roman"/>
          <w:bCs/>
          <w:kern w:val="44"/>
          <w:sz w:val="32"/>
          <w:szCs w:val="32"/>
        </w:rPr>
        <w:t>〕</w:t>
      </w:r>
      <w:r>
        <w:rPr>
          <w:rFonts w:ascii="Times New Roman" w:eastAsia="仿宋_GB2312" w:hAnsi="Times New Roman" w:cs="Times New Roman"/>
          <w:bCs/>
          <w:kern w:val="44"/>
          <w:sz w:val="32"/>
          <w:szCs w:val="32"/>
        </w:rPr>
        <w:t>34</w:t>
      </w:r>
      <w:r>
        <w:rPr>
          <w:rFonts w:ascii="Times New Roman" w:eastAsia="仿宋_GB2312" w:hAnsi="Times New Roman" w:cs="Times New Roman"/>
          <w:bCs/>
          <w:kern w:val="44"/>
          <w:sz w:val="32"/>
          <w:szCs w:val="32"/>
        </w:rPr>
        <w:t>号）、《中共北京市委</w:t>
      </w:r>
      <w:r>
        <w:rPr>
          <w:rFonts w:ascii="Times New Roman" w:eastAsia="仿宋_GB2312" w:hAnsi="Times New Roman" w:cs="Times New Roman"/>
          <w:bCs/>
          <w:kern w:val="44"/>
          <w:sz w:val="32"/>
          <w:szCs w:val="32"/>
        </w:rPr>
        <w:t xml:space="preserve"> </w:t>
      </w:r>
      <w:r>
        <w:rPr>
          <w:rFonts w:ascii="Times New Roman" w:eastAsia="仿宋_GB2312" w:hAnsi="Times New Roman" w:cs="Times New Roman"/>
          <w:bCs/>
          <w:kern w:val="44"/>
          <w:sz w:val="32"/>
          <w:szCs w:val="32"/>
        </w:rPr>
        <w:t>北京市人民政府关于全面实施预算绩效管理的实施意见》（京发〔</w:t>
      </w:r>
      <w:r>
        <w:rPr>
          <w:rFonts w:ascii="Times New Roman" w:eastAsia="仿宋_GB2312" w:hAnsi="Times New Roman" w:cs="Times New Roman"/>
          <w:bCs/>
          <w:kern w:val="44"/>
          <w:sz w:val="32"/>
          <w:szCs w:val="32"/>
        </w:rPr>
        <w:t>2019</w:t>
      </w:r>
      <w:r>
        <w:rPr>
          <w:rFonts w:ascii="Times New Roman" w:eastAsia="仿宋_GB2312" w:hAnsi="Times New Roman" w:cs="Times New Roman"/>
          <w:bCs/>
          <w:kern w:val="44"/>
          <w:sz w:val="32"/>
          <w:szCs w:val="32"/>
        </w:rPr>
        <w:t>〕</w:t>
      </w:r>
      <w:r>
        <w:rPr>
          <w:rFonts w:ascii="Times New Roman" w:eastAsia="仿宋_GB2312" w:hAnsi="Times New Roman" w:cs="Times New Roman"/>
          <w:bCs/>
          <w:kern w:val="44"/>
          <w:sz w:val="32"/>
          <w:szCs w:val="32"/>
        </w:rPr>
        <w:t>12</w:t>
      </w:r>
      <w:r>
        <w:rPr>
          <w:rFonts w:ascii="Times New Roman" w:eastAsia="仿宋_GB2312" w:hAnsi="Times New Roman" w:cs="Times New Roman"/>
          <w:bCs/>
          <w:kern w:val="44"/>
          <w:sz w:val="32"/>
          <w:szCs w:val="32"/>
        </w:rPr>
        <w:t>号）、</w:t>
      </w:r>
      <w:r>
        <w:rPr>
          <w:rFonts w:ascii="Times New Roman" w:eastAsia="仿宋_GB2312" w:hAnsi="Times New Roman" w:cs="Times New Roman"/>
          <w:sz w:val="32"/>
          <w:szCs w:val="32"/>
        </w:rPr>
        <w:t>《北京市预算绩效管理办法》（</w:t>
      </w:r>
      <w:proofErr w:type="gramStart"/>
      <w:r>
        <w:rPr>
          <w:rFonts w:ascii="Times New Roman" w:eastAsia="仿宋_GB2312" w:hAnsi="Times New Roman" w:cs="Times New Roman"/>
          <w:sz w:val="32"/>
          <w:szCs w:val="32"/>
        </w:rPr>
        <w:t>京财绩效</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sz w:val="32"/>
          <w:szCs w:val="32"/>
        </w:rPr>
        <w:t>2129</w:t>
      </w:r>
      <w:r>
        <w:rPr>
          <w:rFonts w:ascii="Times New Roman" w:eastAsia="仿宋_GB2312" w:hAnsi="Times New Roman" w:cs="Times New Roman"/>
          <w:sz w:val="32"/>
          <w:szCs w:val="32"/>
        </w:rPr>
        <w:t>号）、</w:t>
      </w:r>
      <w:bookmarkStart w:id="2" w:name="_Hlk68003590"/>
      <w:bookmarkEnd w:id="1"/>
      <w:r>
        <w:rPr>
          <w:rFonts w:ascii="Times New Roman" w:eastAsia="仿宋_GB2312" w:hAnsi="Times New Roman" w:cs="Times New Roman"/>
          <w:bCs/>
          <w:kern w:val="44"/>
          <w:sz w:val="32"/>
          <w:szCs w:val="32"/>
        </w:rPr>
        <w:t>《</w:t>
      </w:r>
      <w:r>
        <w:rPr>
          <w:rFonts w:ascii="Times New Roman" w:eastAsia="仿宋_GB2312" w:hAnsi="Times New Roman" w:cs="Times New Roman"/>
          <w:bCs/>
          <w:kern w:val="44"/>
          <w:sz w:val="32"/>
          <w:szCs w:val="32"/>
          <w:lang w:val="en"/>
        </w:rPr>
        <w:t>北京市财政局关于</w:t>
      </w:r>
      <w:r>
        <w:rPr>
          <w:rFonts w:ascii="Times New Roman" w:eastAsia="仿宋_GB2312" w:hAnsi="Times New Roman" w:cs="Times New Roman"/>
          <w:bCs/>
          <w:kern w:val="44"/>
          <w:sz w:val="32"/>
          <w:szCs w:val="32"/>
          <w:lang w:val="en"/>
        </w:rPr>
        <w:t>2023</w:t>
      </w:r>
      <w:r>
        <w:rPr>
          <w:rFonts w:ascii="Times New Roman" w:eastAsia="仿宋_GB2312" w:hAnsi="Times New Roman" w:cs="Times New Roman"/>
          <w:bCs/>
          <w:kern w:val="44"/>
          <w:sz w:val="32"/>
          <w:szCs w:val="32"/>
          <w:lang w:val="en"/>
        </w:rPr>
        <w:t>年推进全面实施预算绩效管理工作的预通知</w:t>
      </w:r>
      <w:r>
        <w:rPr>
          <w:rFonts w:ascii="Times New Roman" w:eastAsia="仿宋_GB2312" w:hAnsi="Times New Roman" w:cs="Times New Roman"/>
          <w:bCs/>
          <w:kern w:val="44"/>
          <w:sz w:val="32"/>
          <w:szCs w:val="32"/>
        </w:rPr>
        <w:t>》</w:t>
      </w:r>
      <w:bookmarkEnd w:id="2"/>
      <w:r>
        <w:rPr>
          <w:rFonts w:ascii="Times New Roman" w:eastAsia="仿宋_GB2312" w:hAnsi="Times New Roman" w:cs="Times New Roman"/>
          <w:sz w:val="32"/>
          <w:szCs w:val="32"/>
        </w:rPr>
        <w:t>等文件精神</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首钢技师学院委托北京和兴会计师事务所组建绩效评价工作组，对首钢技师学院</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年部门整体进行绩效评价，形成本报告。</w:t>
      </w:r>
    </w:p>
    <w:p w:rsidR="00E056BC" w:rsidRDefault="00101FB3">
      <w:pPr>
        <w:pStyle w:val="ab"/>
        <w:adjustRightInd w:val="0"/>
        <w:snapToGrid w:val="0"/>
        <w:spacing w:line="600" w:lineRule="exact"/>
        <w:ind w:firstLine="640"/>
        <w:textAlignment w:val="baseline"/>
        <w:outlineLvl w:val="0"/>
        <w:rPr>
          <w:rFonts w:ascii="Times New Roman" w:eastAsia="黑体" w:hAnsi="Times New Roman" w:cs="Times New Roman"/>
          <w:sz w:val="32"/>
          <w:szCs w:val="32"/>
        </w:rPr>
      </w:pPr>
      <w:bookmarkStart w:id="3" w:name="_Toc15145"/>
      <w:bookmarkStart w:id="4" w:name="_Toc17831"/>
      <w:bookmarkStart w:id="5" w:name="_Toc30374"/>
      <w:bookmarkStart w:id="6" w:name="_Toc8766"/>
      <w:r>
        <w:rPr>
          <w:rFonts w:ascii="Times New Roman" w:eastAsia="黑体" w:hAnsi="Times New Roman" w:cs="Times New Roman"/>
          <w:sz w:val="32"/>
          <w:szCs w:val="32"/>
        </w:rPr>
        <w:t>一、部门概况</w:t>
      </w:r>
      <w:bookmarkEnd w:id="3"/>
      <w:bookmarkEnd w:id="4"/>
      <w:bookmarkEnd w:id="5"/>
      <w:bookmarkEnd w:id="6"/>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bookmarkStart w:id="7" w:name="_Toc23826"/>
      <w:bookmarkStart w:id="8" w:name="_Toc7959"/>
      <w:bookmarkStart w:id="9" w:name="_Toc31134"/>
      <w:bookmarkStart w:id="10" w:name="_Toc247"/>
      <w:r>
        <w:rPr>
          <w:rFonts w:ascii="Times New Roman" w:eastAsia="楷体_GB2312" w:hAnsi="Times New Roman" w:cs="Times New Roman"/>
          <w:b/>
          <w:bCs/>
          <w:sz w:val="32"/>
          <w:szCs w:val="32"/>
        </w:rPr>
        <w:t>（一）机构设置及职责工作任务情况</w:t>
      </w:r>
      <w:bookmarkEnd w:id="7"/>
      <w:bookmarkEnd w:id="8"/>
      <w:bookmarkEnd w:id="9"/>
      <w:bookmarkEnd w:id="10"/>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首钢技师学院依据北京市人力资源和社会保障局《关于同意设立首钢技师学院的批复》（京</w:t>
      </w:r>
      <w:proofErr w:type="gramStart"/>
      <w:r>
        <w:rPr>
          <w:rFonts w:ascii="Times New Roman" w:eastAsia="仿宋_GB2312" w:hAnsi="Times New Roman" w:cs="Times New Roman"/>
          <w:sz w:val="32"/>
          <w:szCs w:val="32"/>
        </w:rPr>
        <w:t>人社复</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2009</w:t>
      </w:r>
      <w:r>
        <w:rPr>
          <w:rFonts w:ascii="Times New Roman" w:eastAsia="仿宋_GB2312" w:hAnsi="Times New Roman" w:cs="Times New Roman"/>
          <w:sz w:val="32"/>
          <w:szCs w:val="32"/>
        </w:rPr>
        <w:t>〕</w:t>
      </w:r>
      <w:r>
        <w:rPr>
          <w:rFonts w:ascii="Times New Roman" w:eastAsia="仿宋_GB2312" w:hAnsi="Times New Roman" w:cs="Times New Roman"/>
          <w:sz w:val="32"/>
          <w:szCs w:val="32"/>
        </w:rPr>
        <w:t xml:space="preserve">282 </w:t>
      </w:r>
      <w:r>
        <w:rPr>
          <w:rFonts w:ascii="Times New Roman" w:eastAsia="仿宋_GB2312" w:hAnsi="Times New Roman" w:cs="Times New Roman"/>
          <w:sz w:val="32"/>
          <w:szCs w:val="32"/>
        </w:rPr>
        <w:t>号）设立，举办单位为首钢集团有限公司。</w:t>
      </w:r>
      <w:r>
        <w:rPr>
          <w:rFonts w:ascii="Times New Roman" w:eastAsia="仿宋_GB2312" w:hAnsi="Times New Roman" w:cs="Times New Roman"/>
          <w:sz w:val="32"/>
          <w:szCs w:val="32"/>
        </w:rPr>
        <w:t xml:space="preserve"> </w:t>
      </w:r>
    </w:p>
    <w:p w:rsidR="00E056BC" w:rsidRDefault="00101FB3">
      <w:pPr>
        <w:adjustRightInd w:val="0"/>
        <w:snapToGrid w:val="0"/>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机构设置</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bookmarkStart w:id="11" w:name="_Toc9052"/>
      <w:bookmarkStart w:id="12" w:name="_Toc14178"/>
      <w:bookmarkStart w:id="13" w:name="_Toc17184"/>
      <w:bookmarkStart w:id="14" w:name="_Toc24744"/>
      <w:r>
        <w:rPr>
          <w:rFonts w:ascii="Times New Roman" w:eastAsia="仿宋_GB2312" w:hAnsi="Times New Roman" w:cs="Times New Roman"/>
          <w:sz w:val="32"/>
          <w:szCs w:val="32"/>
        </w:rPr>
        <w:t>首钢技师学院属一级预算部门，全额拨款事业单位本级，学院内部实行学院二级管理。设置内设机构</w:t>
      </w:r>
      <w:r>
        <w:rPr>
          <w:rFonts w:ascii="Times New Roman" w:eastAsia="仿宋_GB2312" w:hAnsi="Times New Roman" w:cs="Times New Roman"/>
          <w:sz w:val="32"/>
          <w:szCs w:val="32"/>
        </w:rPr>
        <w:t>22</w:t>
      </w:r>
      <w:r>
        <w:rPr>
          <w:rFonts w:ascii="Times New Roman" w:eastAsia="仿宋_GB2312" w:hAnsi="Times New Roman" w:cs="Times New Roman"/>
          <w:sz w:val="32"/>
          <w:szCs w:val="32"/>
        </w:rPr>
        <w:t>个，包括党委机构</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个，行政与教学管理机构</w:t>
      </w:r>
      <w:r>
        <w:rPr>
          <w:rFonts w:ascii="Times New Roman" w:eastAsia="仿宋_GB2312" w:hAnsi="Times New Roman" w:cs="Times New Roman"/>
          <w:sz w:val="32"/>
          <w:szCs w:val="32"/>
        </w:rPr>
        <w:t>8</w:t>
      </w:r>
      <w:r>
        <w:rPr>
          <w:rFonts w:ascii="Times New Roman" w:eastAsia="仿宋_GB2312" w:hAnsi="Times New Roman" w:cs="Times New Roman"/>
          <w:sz w:val="32"/>
          <w:szCs w:val="32"/>
        </w:rPr>
        <w:t>个，教学院系</w:t>
      </w:r>
      <w:r>
        <w:rPr>
          <w:rFonts w:ascii="Times New Roman" w:eastAsia="仿宋_GB2312" w:hAnsi="Times New Roman" w:cs="Times New Roman"/>
          <w:sz w:val="32"/>
          <w:szCs w:val="32"/>
        </w:rPr>
        <w:t>8</w:t>
      </w:r>
      <w:r>
        <w:rPr>
          <w:rFonts w:ascii="Times New Roman" w:eastAsia="仿宋_GB2312" w:hAnsi="Times New Roman" w:cs="Times New Roman"/>
          <w:sz w:val="32"/>
          <w:szCs w:val="32"/>
        </w:rPr>
        <w:t>个，实习实</w:t>
      </w:r>
      <w:proofErr w:type="gramStart"/>
      <w:r>
        <w:rPr>
          <w:rFonts w:ascii="Times New Roman" w:eastAsia="仿宋_GB2312" w:hAnsi="Times New Roman" w:cs="Times New Roman"/>
          <w:sz w:val="32"/>
          <w:szCs w:val="32"/>
        </w:rPr>
        <w:t>训机构</w:t>
      </w:r>
      <w:proofErr w:type="gramEnd"/>
      <w:r>
        <w:rPr>
          <w:rFonts w:ascii="Times New Roman" w:eastAsia="仿宋_GB2312" w:hAnsi="Times New Roman" w:cs="Times New Roman"/>
          <w:sz w:val="32"/>
          <w:szCs w:val="32"/>
        </w:rPr>
        <w:t>1</w:t>
      </w:r>
      <w:r>
        <w:rPr>
          <w:rFonts w:ascii="Times New Roman" w:eastAsia="仿宋_GB2312" w:hAnsi="Times New Roman" w:cs="Times New Roman"/>
          <w:sz w:val="32"/>
          <w:szCs w:val="32"/>
        </w:rPr>
        <w:t>个，教学辅助机构</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个。学院在职职工编制</w:t>
      </w:r>
      <w:r>
        <w:rPr>
          <w:rFonts w:ascii="Times New Roman" w:eastAsia="仿宋_GB2312" w:hAnsi="Times New Roman" w:cs="Times New Roman"/>
          <w:sz w:val="32"/>
          <w:szCs w:val="32"/>
        </w:rPr>
        <w:t>436</w:t>
      </w:r>
      <w:r>
        <w:rPr>
          <w:rFonts w:ascii="Times New Roman" w:eastAsia="仿宋_GB2312" w:hAnsi="Times New Roman" w:cs="Times New Roman"/>
          <w:sz w:val="32"/>
          <w:szCs w:val="32"/>
        </w:rPr>
        <w:t>人，</w:t>
      </w:r>
      <w:r>
        <w:rPr>
          <w:rFonts w:ascii="Times New Roman" w:eastAsia="仿宋_GB2312" w:hAnsi="Times New Roman" w:cs="Times New Roman"/>
          <w:sz w:val="32"/>
          <w:szCs w:val="32"/>
        </w:rPr>
        <w:lastRenderedPageBreak/>
        <w:t>2022</w:t>
      </w:r>
      <w:r>
        <w:rPr>
          <w:rFonts w:ascii="Times New Roman" w:eastAsia="仿宋_GB2312" w:hAnsi="Times New Roman" w:cs="Times New Roman"/>
          <w:sz w:val="32"/>
          <w:szCs w:val="32"/>
        </w:rPr>
        <w:t>年末在岗</w:t>
      </w:r>
      <w:r>
        <w:rPr>
          <w:rFonts w:ascii="Times New Roman" w:eastAsia="仿宋_GB2312" w:hAnsi="Times New Roman" w:cs="Times New Roman"/>
          <w:sz w:val="32"/>
          <w:szCs w:val="32"/>
        </w:rPr>
        <w:t>320</w:t>
      </w:r>
      <w:r>
        <w:rPr>
          <w:rFonts w:ascii="Times New Roman" w:eastAsia="仿宋_GB2312" w:hAnsi="Times New Roman" w:cs="Times New Roman"/>
          <w:sz w:val="32"/>
          <w:szCs w:val="32"/>
        </w:rPr>
        <w:t>人。</w:t>
      </w:r>
      <w:r>
        <w:rPr>
          <w:rFonts w:ascii="Times New Roman" w:eastAsia="仿宋_GB2312" w:hAnsi="Times New Roman" w:cs="Times New Roman"/>
          <w:sz w:val="32"/>
          <w:szCs w:val="32"/>
        </w:rPr>
        <w:t xml:space="preserve"> </w:t>
      </w:r>
    </w:p>
    <w:p w:rsidR="00E056BC" w:rsidRDefault="00101FB3">
      <w:pPr>
        <w:adjustRightInd w:val="0"/>
        <w:snapToGrid w:val="0"/>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主要职能</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根据北京市人力资源和社会保障局《关于同意设立首钢技师学院的批复》（京</w:t>
      </w:r>
      <w:proofErr w:type="gramStart"/>
      <w:r>
        <w:rPr>
          <w:rFonts w:ascii="Times New Roman" w:eastAsia="仿宋_GB2312" w:hAnsi="Times New Roman" w:cs="Times New Roman"/>
          <w:sz w:val="32"/>
          <w:szCs w:val="32"/>
        </w:rPr>
        <w:t>人社复</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2009</w:t>
      </w:r>
      <w:r>
        <w:rPr>
          <w:rFonts w:ascii="Times New Roman" w:eastAsia="仿宋_GB2312" w:hAnsi="Times New Roman" w:cs="Times New Roman"/>
          <w:sz w:val="32"/>
          <w:szCs w:val="32"/>
        </w:rPr>
        <w:t>〕</w:t>
      </w:r>
      <w:r>
        <w:rPr>
          <w:rFonts w:ascii="Times New Roman" w:eastAsia="仿宋_GB2312" w:hAnsi="Times New Roman" w:cs="Times New Roman"/>
          <w:sz w:val="32"/>
          <w:szCs w:val="32"/>
        </w:rPr>
        <w:t xml:space="preserve">282 </w:t>
      </w:r>
      <w:r>
        <w:rPr>
          <w:rFonts w:ascii="Times New Roman" w:eastAsia="仿宋_GB2312" w:hAnsi="Times New Roman" w:cs="Times New Roman"/>
          <w:sz w:val="32"/>
          <w:szCs w:val="32"/>
        </w:rPr>
        <w:t>号），首钢技师学院主要承担中等职业教育教学管理，为北京市培养中</w:t>
      </w:r>
      <w:r>
        <w:rPr>
          <w:rFonts w:ascii="Times New Roman" w:eastAsia="仿宋_GB2312" w:hAnsi="Times New Roman" w:cs="Times New Roman" w:hint="eastAsia"/>
          <w:sz w:val="32"/>
          <w:szCs w:val="32"/>
        </w:rPr>
        <w:t>级工</w:t>
      </w:r>
      <w:r>
        <w:rPr>
          <w:rFonts w:ascii="Times New Roman" w:eastAsia="仿宋_GB2312" w:hAnsi="Times New Roman" w:cs="Times New Roman"/>
          <w:sz w:val="32"/>
          <w:szCs w:val="32"/>
        </w:rPr>
        <w:t>、高级工、技师等高技能人才，培训电气自动化设备安装与维修、焊接加工、环境保护与检测、机械设备装配与自动控制、多媒体制作、计算机网络应用、会计、人力资源管理、导游、护理、幼儿教育、休闲体育服务等专业技术人才，服务北京市人才建设和社会经济发展。</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（二）部门整体绩效目标设立情况</w:t>
      </w:r>
      <w:bookmarkEnd w:id="11"/>
      <w:bookmarkEnd w:id="12"/>
      <w:bookmarkEnd w:id="13"/>
      <w:bookmarkEnd w:id="14"/>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年度，首钢技师学院部门整体支出绩效目标设置为：</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完成全日制在校学生的教育教学及管理任务，达到学生培养目标。组织完成教育教学的正常运行管理，完成教研教改工作，开展专业建设和改革，强化课程建设，完善校内外实训基地，落实学生实习实</w:t>
      </w:r>
      <w:proofErr w:type="gramStart"/>
      <w:r>
        <w:rPr>
          <w:rFonts w:ascii="Times New Roman" w:eastAsia="仿宋_GB2312" w:hAnsi="Times New Roman" w:cs="Times New Roman"/>
          <w:sz w:val="32"/>
          <w:szCs w:val="32"/>
        </w:rPr>
        <w:t>训教学</w:t>
      </w:r>
      <w:proofErr w:type="gramEnd"/>
      <w:r>
        <w:rPr>
          <w:rFonts w:ascii="Times New Roman" w:eastAsia="仿宋_GB2312" w:hAnsi="Times New Roman" w:cs="Times New Roman"/>
          <w:sz w:val="32"/>
          <w:szCs w:val="32"/>
        </w:rPr>
        <w:t>的组织与管理。</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完成年度招生计划，全日制毕业生就业率达到</w:t>
      </w:r>
      <w:r>
        <w:rPr>
          <w:rFonts w:ascii="Times New Roman" w:eastAsia="仿宋_GB2312" w:hAnsi="Times New Roman" w:cs="Times New Roman"/>
          <w:sz w:val="32"/>
          <w:szCs w:val="32"/>
        </w:rPr>
        <w:t>98%</w:t>
      </w:r>
      <w:r>
        <w:rPr>
          <w:rFonts w:ascii="Times New Roman" w:eastAsia="仿宋_GB2312" w:hAnsi="Times New Roman" w:cs="Times New Roman"/>
          <w:sz w:val="32"/>
          <w:szCs w:val="32"/>
        </w:rPr>
        <w:t>以上。</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完成培训人数</w:t>
      </w:r>
      <w:r>
        <w:rPr>
          <w:rFonts w:ascii="Times New Roman" w:eastAsia="仿宋_GB2312" w:hAnsi="Times New Roman" w:cs="Times New Roman"/>
          <w:sz w:val="32"/>
          <w:szCs w:val="32"/>
        </w:rPr>
        <w:t>6000</w:t>
      </w:r>
      <w:r>
        <w:rPr>
          <w:rFonts w:ascii="Times New Roman" w:eastAsia="仿宋_GB2312" w:hAnsi="Times New Roman" w:cs="Times New Roman"/>
          <w:sz w:val="32"/>
          <w:szCs w:val="32"/>
        </w:rPr>
        <w:t>人及以上。</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完成学生德育教育工作计划。在校学生满意度达到</w:t>
      </w:r>
      <w:r>
        <w:rPr>
          <w:rFonts w:ascii="Times New Roman" w:eastAsia="仿宋_GB2312" w:hAnsi="Times New Roman" w:cs="Times New Roman"/>
          <w:sz w:val="32"/>
          <w:szCs w:val="32"/>
        </w:rPr>
        <w:t>90%</w:t>
      </w:r>
      <w:r>
        <w:rPr>
          <w:rFonts w:ascii="Times New Roman" w:eastAsia="仿宋_GB2312" w:hAnsi="Times New Roman" w:cs="Times New Roman"/>
          <w:sz w:val="32"/>
          <w:szCs w:val="32"/>
        </w:rPr>
        <w:t>以上。</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完成</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年度财政预算收支，保证教学及管理运行的</w:t>
      </w:r>
      <w:r>
        <w:rPr>
          <w:rFonts w:ascii="Times New Roman" w:eastAsia="仿宋_GB2312" w:hAnsi="Times New Roman" w:cs="Times New Roman"/>
          <w:sz w:val="32"/>
          <w:szCs w:val="32"/>
        </w:rPr>
        <w:lastRenderedPageBreak/>
        <w:t>必要资金需求。</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完成师资队伍建设和人才培养目标。</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持续改善办学条件，完善后勤服务管理，为学生提供良好的学习生活环境。</w:t>
      </w:r>
    </w:p>
    <w:p w:rsidR="00E056BC" w:rsidRDefault="00101FB3">
      <w:pPr>
        <w:adjustRightInd w:val="0"/>
        <w:snapToGrid w:val="0"/>
        <w:spacing w:line="600" w:lineRule="exact"/>
        <w:ind w:firstLine="640"/>
        <w:rPr>
          <w:rFonts w:ascii="Times New Roman" w:eastAsia="仿宋_GB2312" w:hAnsi="Times New Roman" w:cs="Times New Roman"/>
          <w:sz w:val="32"/>
        </w:rPr>
      </w:pPr>
      <w:r>
        <w:rPr>
          <w:rFonts w:ascii="Times New Roman" w:eastAsia="仿宋_GB2312" w:hAnsi="Times New Roman" w:cs="Times New Roman"/>
          <w:sz w:val="32"/>
          <w:szCs w:val="32"/>
        </w:rPr>
        <w:t>绩效评价认为，首钢技师学院</w:t>
      </w:r>
      <w:r>
        <w:rPr>
          <w:rFonts w:ascii="Times New Roman" w:eastAsia="仿宋_GB2312" w:hAnsi="Times New Roman" w:cs="Times New Roman"/>
          <w:sz w:val="32"/>
        </w:rPr>
        <w:t>部门整体绩效目标设立依据充分，符合国家法律法规、社会发展规划，符合北京市委、市政府的指示要求；目标与职责任务匹配程度较高，具有较强的可行性、合理性。但</w:t>
      </w:r>
      <w:r>
        <w:rPr>
          <w:rFonts w:ascii="Times New Roman" w:eastAsia="仿宋_GB2312" w:hAnsi="Times New Roman" w:cs="Times New Roman"/>
          <w:sz w:val="32"/>
          <w:szCs w:val="32"/>
        </w:rPr>
        <w:t>效益指标、满意度指标缺失，数量指标、质量指标设置不够精准。</w:t>
      </w:r>
      <w:r>
        <w:rPr>
          <w:rFonts w:ascii="Times New Roman" w:eastAsia="仿宋_GB2312" w:hAnsi="Times New Roman" w:cs="Times New Roman"/>
          <w:sz w:val="32"/>
        </w:rPr>
        <w:t xml:space="preserve"> </w:t>
      </w:r>
    </w:p>
    <w:p w:rsidR="00E056BC" w:rsidRDefault="00101FB3">
      <w:pPr>
        <w:pStyle w:val="ab"/>
        <w:adjustRightInd w:val="0"/>
        <w:snapToGrid w:val="0"/>
        <w:spacing w:line="600" w:lineRule="exact"/>
        <w:ind w:firstLine="640"/>
        <w:textAlignment w:val="baseline"/>
        <w:outlineLvl w:val="0"/>
        <w:rPr>
          <w:rFonts w:ascii="Times New Roman" w:eastAsia="黑体" w:hAnsi="Times New Roman" w:cs="Times New Roman"/>
          <w:sz w:val="32"/>
          <w:szCs w:val="32"/>
        </w:rPr>
      </w:pPr>
      <w:bookmarkStart w:id="15" w:name="_Toc25300"/>
      <w:bookmarkStart w:id="16" w:name="_Toc23006"/>
      <w:bookmarkStart w:id="17" w:name="_Toc27172"/>
      <w:bookmarkStart w:id="18" w:name="_Toc927"/>
      <w:r>
        <w:rPr>
          <w:rFonts w:ascii="Times New Roman" w:eastAsia="黑体" w:hAnsi="Times New Roman" w:cs="Times New Roman"/>
          <w:sz w:val="32"/>
          <w:szCs w:val="32"/>
        </w:rPr>
        <w:t>二、当年预算执行情况</w:t>
      </w:r>
      <w:bookmarkEnd w:id="15"/>
      <w:bookmarkEnd w:id="16"/>
      <w:bookmarkEnd w:id="17"/>
      <w:bookmarkEnd w:id="18"/>
    </w:p>
    <w:p w:rsidR="00E056BC" w:rsidRDefault="00101FB3">
      <w:pPr>
        <w:adjustRightInd w:val="0"/>
        <w:snapToGrid w:val="0"/>
        <w:spacing w:line="600" w:lineRule="exact"/>
        <w:ind w:firstLineChars="200" w:firstLine="640"/>
        <w:textAlignment w:val="baseline"/>
        <w:outlineLvl w:val="0"/>
        <w:rPr>
          <w:rFonts w:ascii="Times New Roman" w:eastAsia="仿宋_GB2312" w:hAnsi="Times New Roman" w:cs="Times New Roman"/>
          <w:color w:val="000000"/>
          <w:kern w:val="0"/>
          <w:sz w:val="32"/>
          <w:szCs w:val="32"/>
        </w:rPr>
      </w:pPr>
      <w:bookmarkStart w:id="19" w:name="_Toc12770"/>
      <w:bookmarkStart w:id="20" w:name="_Toc23230"/>
      <w:bookmarkStart w:id="21" w:name="_Toc24835"/>
      <w:bookmarkStart w:id="22" w:name="_Toc3885"/>
      <w:r>
        <w:rPr>
          <w:rFonts w:ascii="Times New Roman" w:eastAsia="仿宋_GB2312" w:hAnsi="Times New Roman" w:cs="Times New Roman"/>
          <w:sz w:val="32"/>
          <w:szCs w:val="32"/>
        </w:rPr>
        <w:t>首钢技师学院</w:t>
      </w:r>
      <w:r>
        <w:rPr>
          <w:rFonts w:ascii="Times New Roman" w:eastAsia="仿宋_GB2312" w:hAnsi="Times New Roman" w:cs="Times New Roman"/>
          <w:kern w:val="0"/>
          <w:sz w:val="32"/>
          <w:szCs w:val="32"/>
        </w:rPr>
        <w:t>2022</w:t>
      </w:r>
      <w:r>
        <w:rPr>
          <w:rFonts w:ascii="Times New Roman" w:eastAsia="仿宋_GB2312" w:hAnsi="Times New Roman" w:cs="Times New Roman"/>
          <w:color w:val="000000"/>
          <w:kern w:val="0"/>
          <w:sz w:val="32"/>
          <w:szCs w:val="32"/>
        </w:rPr>
        <w:t>年全年预算数</w:t>
      </w:r>
      <w:r>
        <w:rPr>
          <w:rFonts w:ascii="Times New Roman" w:eastAsia="仿宋_GB2312" w:hAnsi="Times New Roman" w:cs="Times New Roman"/>
          <w:color w:val="000000"/>
          <w:kern w:val="0"/>
          <w:sz w:val="32"/>
          <w:szCs w:val="32"/>
        </w:rPr>
        <w:t>18168.08</w:t>
      </w:r>
      <w:r>
        <w:rPr>
          <w:rFonts w:ascii="Times New Roman" w:eastAsia="仿宋_GB2312" w:hAnsi="Times New Roman" w:cs="Times New Roman"/>
          <w:color w:val="000000"/>
          <w:kern w:val="0"/>
          <w:sz w:val="32"/>
          <w:szCs w:val="32"/>
        </w:rPr>
        <w:t>万元，其中，基本支出预算数</w:t>
      </w:r>
      <w:r>
        <w:rPr>
          <w:rFonts w:ascii="Times New Roman" w:eastAsia="仿宋_GB2312" w:hAnsi="Times New Roman" w:cs="Times New Roman"/>
          <w:color w:val="000000"/>
          <w:kern w:val="0"/>
          <w:sz w:val="32"/>
          <w:szCs w:val="32"/>
        </w:rPr>
        <w:t>12213.24</w:t>
      </w:r>
      <w:r>
        <w:rPr>
          <w:rFonts w:ascii="Times New Roman" w:eastAsia="仿宋_GB2312" w:hAnsi="Times New Roman" w:cs="Times New Roman"/>
          <w:color w:val="000000"/>
          <w:kern w:val="0"/>
          <w:sz w:val="32"/>
          <w:szCs w:val="32"/>
        </w:rPr>
        <w:t>万元，项目支出预算数</w:t>
      </w:r>
      <w:r>
        <w:rPr>
          <w:rFonts w:ascii="Times New Roman" w:eastAsia="仿宋_GB2312" w:hAnsi="Times New Roman" w:cs="Times New Roman"/>
          <w:color w:val="000000"/>
          <w:kern w:val="0"/>
          <w:sz w:val="32"/>
          <w:szCs w:val="32"/>
        </w:rPr>
        <w:t>5954.84</w:t>
      </w:r>
      <w:r>
        <w:rPr>
          <w:rFonts w:ascii="Times New Roman" w:eastAsia="仿宋_GB2312" w:hAnsi="Times New Roman" w:cs="Times New Roman"/>
          <w:color w:val="000000"/>
          <w:kern w:val="0"/>
          <w:sz w:val="32"/>
          <w:szCs w:val="32"/>
        </w:rPr>
        <w:t>万元，其他支出预算数</w:t>
      </w:r>
      <w:r>
        <w:rPr>
          <w:rFonts w:ascii="Times New Roman" w:eastAsia="仿宋_GB2312" w:hAnsi="Times New Roman" w:cs="Times New Roman"/>
          <w:color w:val="000000"/>
          <w:kern w:val="0"/>
          <w:sz w:val="32"/>
          <w:szCs w:val="32"/>
        </w:rPr>
        <w:t>0.00</w:t>
      </w:r>
      <w:r>
        <w:rPr>
          <w:rFonts w:ascii="Times New Roman" w:eastAsia="仿宋_GB2312" w:hAnsi="Times New Roman" w:cs="Times New Roman"/>
          <w:color w:val="000000"/>
          <w:kern w:val="0"/>
          <w:sz w:val="32"/>
          <w:szCs w:val="32"/>
        </w:rPr>
        <w:t>万元。资金总体支出</w:t>
      </w:r>
      <w:r>
        <w:rPr>
          <w:rFonts w:ascii="Times New Roman" w:eastAsia="仿宋_GB2312" w:hAnsi="Times New Roman" w:cs="Times New Roman" w:hint="eastAsia"/>
          <w:color w:val="000000"/>
          <w:kern w:val="0"/>
          <w:sz w:val="32"/>
          <w:szCs w:val="32"/>
        </w:rPr>
        <w:t>17982.25</w:t>
      </w:r>
      <w:r>
        <w:rPr>
          <w:rFonts w:ascii="Times New Roman" w:eastAsia="仿宋_GB2312" w:hAnsi="Times New Roman" w:cs="Times New Roman"/>
          <w:color w:val="000000"/>
          <w:kern w:val="0"/>
          <w:sz w:val="32"/>
          <w:szCs w:val="32"/>
        </w:rPr>
        <w:t>万元，其中，基本支出</w:t>
      </w:r>
      <w:r>
        <w:rPr>
          <w:rFonts w:ascii="Times New Roman" w:eastAsia="仿宋_GB2312" w:hAnsi="Times New Roman" w:cs="Times New Roman"/>
          <w:color w:val="000000"/>
          <w:kern w:val="0"/>
          <w:sz w:val="32"/>
          <w:szCs w:val="32"/>
        </w:rPr>
        <w:t>12224.38</w:t>
      </w:r>
      <w:r>
        <w:rPr>
          <w:rFonts w:ascii="Times New Roman" w:eastAsia="仿宋_GB2312" w:hAnsi="Times New Roman" w:cs="Times New Roman"/>
          <w:color w:val="000000"/>
          <w:kern w:val="0"/>
          <w:sz w:val="32"/>
          <w:szCs w:val="32"/>
        </w:rPr>
        <w:t>万元，项目支出</w:t>
      </w:r>
      <w:r>
        <w:rPr>
          <w:rFonts w:ascii="Times New Roman" w:eastAsia="仿宋_GB2312" w:hAnsi="Times New Roman" w:cs="Times New Roman"/>
          <w:color w:val="000000"/>
          <w:kern w:val="0"/>
          <w:sz w:val="32"/>
          <w:szCs w:val="32"/>
        </w:rPr>
        <w:t>5757.87</w:t>
      </w:r>
      <w:r>
        <w:rPr>
          <w:rFonts w:ascii="Times New Roman" w:eastAsia="仿宋_GB2312" w:hAnsi="Times New Roman" w:cs="Times New Roman"/>
          <w:color w:val="000000"/>
          <w:kern w:val="0"/>
          <w:sz w:val="32"/>
          <w:szCs w:val="32"/>
        </w:rPr>
        <w:t>万元，其他支出</w:t>
      </w:r>
      <w:r>
        <w:rPr>
          <w:rFonts w:ascii="Times New Roman" w:eastAsia="仿宋_GB2312" w:hAnsi="Times New Roman" w:cs="Times New Roman"/>
          <w:color w:val="000000"/>
          <w:kern w:val="0"/>
          <w:sz w:val="32"/>
          <w:szCs w:val="32"/>
        </w:rPr>
        <w:t>0.00</w:t>
      </w:r>
      <w:r>
        <w:rPr>
          <w:rFonts w:ascii="Times New Roman" w:eastAsia="仿宋_GB2312" w:hAnsi="Times New Roman" w:cs="Times New Roman"/>
          <w:color w:val="000000"/>
          <w:kern w:val="0"/>
          <w:sz w:val="32"/>
          <w:szCs w:val="32"/>
        </w:rPr>
        <w:t>万元</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年末结转和结余</w:t>
      </w:r>
      <w:r>
        <w:rPr>
          <w:rFonts w:ascii="Times New Roman" w:eastAsia="仿宋_GB2312" w:hAnsi="Times New Roman" w:cs="Times New Roman"/>
          <w:color w:val="000000"/>
          <w:kern w:val="0"/>
          <w:sz w:val="32"/>
          <w:szCs w:val="32"/>
        </w:rPr>
        <w:t>31.20</w:t>
      </w:r>
      <w:r>
        <w:rPr>
          <w:rFonts w:ascii="Times New Roman" w:eastAsia="仿宋_GB2312" w:hAnsi="Times New Roman" w:cs="Times New Roman"/>
          <w:color w:val="000000"/>
          <w:kern w:val="0"/>
          <w:sz w:val="32"/>
          <w:szCs w:val="32"/>
        </w:rPr>
        <w:t>万元。预算执行率为</w:t>
      </w:r>
      <w:r>
        <w:rPr>
          <w:rFonts w:ascii="Times New Roman" w:eastAsia="仿宋_GB2312" w:hAnsi="Times New Roman" w:cs="Times New Roman"/>
          <w:color w:val="000000"/>
          <w:kern w:val="0"/>
          <w:sz w:val="32"/>
          <w:szCs w:val="32"/>
        </w:rPr>
        <w:t>9</w:t>
      </w:r>
      <w:r>
        <w:rPr>
          <w:rFonts w:ascii="Times New Roman" w:eastAsia="仿宋_GB2312" w:hAnsi="Times New Roman" w:cs="Times New Roman" w:hint="eastAsia"/>
          <w:color w:val="000000"/>
          <w:kern w:val="0"/>
          <w:sz w:val="32"/>
          <w:szCs w:val="32"/>
        </w:rPr>
        <w:t>8.98</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w:t>
      </w:r>
    </w:p>
    <w:p w:rsidR="00E056BC" w:rsidRDefault="00101FB3">
      <w:pPr>
        <w:adjustRightInd w:val="0"/>
        <w:snapToGrid w:val="0"/>
        <w:spacing w:line="600" w:lineRule="exact"/>
        <w:ind w:firstLineChars="200" w:firstLine="640"/>
        <w:textAlignment w:val="baseline"/>
        <w:outlineLvl w:val="0"/>
        <w:rPr>
          <w:rFonts w:ascii="Times New Roman" w:eastAsia="黑体" w:hAnsi="Times New Roman" w:cs="Times New Roman"/>
          <w:color w:val="000000"/>
          <w:kern w:val="0"/>
          <w:sz w:val="32"/>
          <w:szCs w:val="32"/>
        </w:rPr>
      </w:pPr>
      <w:r>
        <w:rPr>
          <w:rFonts w:ascii="Times New Roman" w:eastAsia="黑体" w:hAnsi="Times New Roman" w:cs="Times New Roman"/>
          <w:color w:val="000000"/>
          <w:kern w:val="0"/>
          <w:sz w:val="32"/>
          <w:szCs w:val="32"/>
        </w:rPr>
        <w:t>三、整体绩效目标实现情况</w:t>
      </w:r>
      <w:bookmarkEnd w:id="19"/>
      <w:bookmarkEnd w:id="20"/>
      <w:bookmarkEnd w:id="21"/>
      <w:bookmarkEnd w:id="22"/>
    </w:p>
    <w:p w:rsidR="00E056BC" w:rsidRDefault="00101FB3">
      <w:pPr>
        <w:adjustRightInd w:val="0"/>
        <w:snapToGrid w:val="0"/>
        <w:spacing w:line="600" w:lineRule="exact"/>
        <w:ind w:firstLineChars="200" w:firstLine="640"/>
        <w:textAlignment w:val="baseline"/>
        <w:outlineLvl w:val="1"/>
        <w:rPr>
          <w:rFonts w:ascii="Times New Roman" w:eastAsia="仿宋_GB2312" w:hAnsi="Times New Roman" w:cs="Times New Roman"/>
          <w:sz w:val="32"/>
          <w:szCs w:val="32"/>
        </w:rPr>
      </w:pPr>
      <w:bookmarkStart w:id="23" w:name="_Toc24337"/>
      <w:bookmarkStart w:id="24" w:name="_Toc12331"/>
      <w:bookmarkStart w:id="25" w:name="_Toc31884"/>
      <w:bookmarkStart w:id="26" w:name="_Toc6018"/>
      <w:r>
        <w:rPr>
          <w:rFonts w:ascii="Times New Roman" w:eastAsia="仿宋_GB2312" w:hAnsi="Times New Roman" w:cs="Times New Roman"/>
          <w:sz w:val="32"/>
          <w:szCs w:val="32"/>
        </w:rPr>
        <w:t>首钢技师学院根据上级部署、职能任务和经费安排，对预期产出、预期效果进行了科学设定。截至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日，部门整体绩效目标基本完成。</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（一）产出完成情况分析</w:t>
      </w:r>
      <w:bookmarkEnd w:id="23"/>
      <w:bookmarkEnd w:id="24"/>
      <w:bookmarkEnd w:id="25"/>
      <w:bookmarkEnd w:id="26"/>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lastRenderedPageBreak/>
        <w:t>1.</w:t>
      </w:r>
      <w:bookmarkStart w:id="27" w:name="OLE_LINK2"/>
      <w:r>
        <w:rPr>
          <w:rFonts w:ascii="Times New Roman" w:eastAsia="仿宋_GB2312" w:hAnsi="Times New Roman" w:cs="Times New Roman"/>
          <w:b/>
          <w:bCs/>
          <w:color w:val="000000"/>
          <w:kern w:val="0"/>
          <w:sz w:val="32"/>
          <w:szCs w:val="32"/>
        </w:rPr>
        <w:t>产出数量</w:t>
      </w:r>
      <w:bookmarkEnd w:id="27"/>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年设置部门整体数量指标</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个，当年完成</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个，完成率</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。但项目支出中，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改善办学条件</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w:t>
      </w:r>
      <w:r>
        <w:rPr>
          <w:rFonts w:ascii="Times New Roman" w:eastAsia="仿宋_GB2312" w:hAnsi="Times New Roman" w:cs="Times New Roman"/>
          <w:sz w:val="32"/>
          <w:szCs w:val="32"/>
        </w:rPr>
        <w:t>13</w:t>
      </w:r>
      <w:r>
        <w:rPr>
          <w:rFonts w:ascii="Times New Roman" w:eastAsia="仿宋_GB2312" w:hAnsi="Times New Roman" w:cs="Times New Roman"/>
          <w:sz w:val="32"/>
          <w:szCs w:val="32"/>
        </w:rPr>
        <w:t>、</w:t>
      </w:r>
      <w:r>
        <w:rPr>
          <w:rFonts w:ascii="Times New Roman" w:eastAsia="仿宋_GB2312" w:hAnsi="Times New Roman" w:cs="Times New Roman"/>
          <w:sz w:val="32"/>
          <w:szCs w:val="32"/>
        </w:rPr>
        <w:t>14</w:t>
      </w:r>
      <w:r>
        <w:rPr>
          <w:rFonts w:ascii="Times New Roman" w:eastAsia="仿宋_GB2312" w:hAnsi="Times New Roman" w:cs="Times New Roman"/>
          <w:sz w:val="32"/>
          <w:szCs w:val="32"/>
        </w:rPr>
        <w:t>、</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w:t>
      </w:r>
      <w:r>
        <w:rPr>
          <w:rFonts w:ascii="Times New Roman" w:eastAsia="仿宋_GB2312" w:hAnsi="Times New Roman" w:cs="Times New Roman"/>
          <w:sz w:val="32"/>
          <w:szCs w:val="32"/>
        </w:rPr>
        <w:t>16</w:t>
      </w:r>
      <w:r>
        <w:rPr>
          <w:rFonts w:ascii="Times New Roman" w:eastAsia="仿宋_GB2312" w:hAnsi="Times New Roman" w:cs="Times New Roman"/>
          <w:sz w:val="32"/>
          <w:szCs w:val="32"/>
        </w:rPr>
        <w:t>号楼抗震加固、装修、附属设施、室外设施等改造及教学设备和用品购置项目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环境保护与检测专业特色高水平骨干专业建设项目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受疫情影响进度滞后，偏离绩效目标。</w:t>
      </w:r>
    </w:p>
    <w:p w:rsidR="00E056BC" w:rsidRDefault="00101FB3">
      <w:pPr>
        <w:adjustRightInd w:val="0"/>
        <w:snapToGrid w:val="0"/>
        <w:spacing w:line="600" w:lineRule="exact"/>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首钢技师学院部门整体产出数量指标完成情况表</w:t>
      </w:r>
    </w:p>
    <w:p w:rsidR="00E056BC" w:rsidRDefault="00E056BC">
      <w:pPr>
        <w:pStyle w:val="a5"/>
        <w:rPr>
          <w:rFonts w:ascii="Times New Roman" w:hAnsi="Times New Roman" w:cs="Times New Roman"/>
        </w:rPr>
      </w:pPr>
    </w:p>
    <w:tbl>
      <w:tblPr>
        <w:tblW w:w="8569" w:type="dxa"/>
        <w:tblInd w:w="91" w:type="dxa"/>
        <w:tblLayout w:type="fixed"/>
        <w:tblLook w:val="04A0" w:firstRow="1" w:lastRow="0" w:firstColumn="1" w:lastColumn="0" w:noHBand="0" w:noVBand="1"/>
      </w:tblPr>
      <w:tblGrid>
        <w:gridCol w:w="739"/>
        <w:gridCol w:w="4080"/>
        <w:gridCol w:w="1261"/>
        <w:gridCol w:w="1273"/>
        <w:gridCol w:w="1216"/>
      </w:tblGrid>
      <w:tr w:rsidR="00E056BC">
        <w:trPr>
          <w:trHeight w:val="621"/>
        </w:trPr>
        <w:tc>
          <w:tcPr>
            <w:tcW w:w="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kern w:val="0"/>
                <w:sz w:val="24"/>
                <w:szCs w:val="24"/>
                <w:lang w:bidi="ar"/>
              </w:rPr>
            </w:pPr>
            <w:r>
              <w:rPr>
                <w:rFonts w:ascii="Times New Roman" w:eastAsia="宋体" w:hAnsi="Times New Roman" w:cs="Times New Roman"/>
                <w:b/>
                <w:bCs/>
                <w:kern w:val="0"/>
                <w:sz w:val="24"/>
                <w:szCs w:val="24"/>
                <w:lang w:bidi="ar"/>
              </w:rPr>
              <w:t>序号</w:t>
            </w:r>
          </w:p>
        </w:tc>
        <w:tc>
          <w:tcPr>
            <w:tcW w:w="4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sz w:val="24"/>
                <w:szCs w:val="24"/>
              </w:rPr>
            </w:pPr>
            <w:r>
              <w:rPr>
                <w:rFonts w:ascii="Times New Roman" w:eastAsia="宋体" w:hAnsi="Times New Roman" w:cs="Times New Roman"/>
                <w:b/>
                <w:bCs/>
                <w:kern w:val="0"/>
                <w:sz w:val="24"/>
                <w:szCs w:val="24"/>
                <w:lang w:bidi="ar"/>
              </w:rPr>
              <w:t>数量指标</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sz w:val="24"/>
                <w:szCs w:val="24"/>
              </w:rPr>
            </w:pPr>
            <w:r>
              <w:rPr>
                <w:rFonts w:ascii="Times New Roman" w:eastAsia="宋体" w:hAnsi="Times New Roman" w:cs="Times New Roman"/>
                <w:b/>
                <w:bCs/>
                <w:kern w:val="0"/>
                <w:sz w:val="24"/>
                <w:szCs w:val="24"/>
                <w:lang w:bidi="ar"/>
              </w:rPr>
              <w:t>指标性质</w:t>
            </w:r>
          </w:p>
        </w:tc>
        <w:tc>
          <w:tcPr>
            <w:tcW w:w="127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sz w:val="24"/>
                <w:szCs w:val="24"/>
              </w:rPr>
            </w:pPr>
            <w:r>
              <w:rPr>
                <w:rFonts w:ascii="Times New Roman" w:eastAsia="宋体" w:hAnsi="Times New Roman" w:cs="Times New Roman"/>
                <w:b/>
                <w:bCs/>
                <w:kern w:val="0"/>
                <w:sz w:val="24"/>
                <w:szCs w:val="24"/>
                <w:lang w:bidi="ar"/>
              </w:rPr>
              <w:t>指标值</w:t>
            </w:r>
          </w:p>
        </w:tc>
        <w:tc>
          <w:tcPr>
            <w:tcW w:w="12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kern w:val="0"/>
                <w:sz w:val="24"/>
                <w:szCs w:val="24"/>
                <w:lang w:bidi="ar"/>
              </w:rPr>
            </w:pPr>
            <w:r>
              <w:rPr>
                <w:rFonts w:ascii="Times New Roman" w:eastAsia="宋体" w:hAnsi="Times New Roman" w:cs="Times New Roman"/>
                <w:b/>
                <w:bCs/>
                <w:kern w:val="0"/>
                <w:sz w:val="24"/>
                <w:szCs w:val="24"/>
                <w:lang w:bidi="ar"/>
              </w:rPr>
              <w:t>完成值</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教学工作量（课时）</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87891</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101703</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2</w:t>
            </w:r>
          </w:p>
        </w:tc>
        <w:tc>
          <w:tcPr>
            <w:tcW w:w="4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召开学术委员会次数</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2</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2</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3</w:t>
            </w:r>
          </w:p>
        </w:tc>
        <w:tc>
          <w:tcPr>
            <w:tcW w:w="4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教学质量测评及期初期中教学检查</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2</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4</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4</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召开教学研讨会</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1</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5</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每个专业教学计划专家评审会</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1</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6</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教科研单项成果</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40</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77</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7</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proofErr w:type="gramStart"/>
            <w:r>
              <w:rPr>
                <w:rFonts w:ascii="Times New Roman" w:eastAsia="宋体" w:hAnsi="Times New Roman" w:cs="Times New Roman"/>
                <w:kern w:val="0"/>
                <w:sz w:val="24"/>
                <w:szCs w:val="24"/>
                <w:lang w:bidi="ar"/>
              </w:rPr>
              <w:t>门次课程</w:t>
            </w:r>
            <w:proofErr w:type="gramEnd"/>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880</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894</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8</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授课计划兑现率</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100%</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100%</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9</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实</w:t>
            </w:r>
            <w:proofErr w:type="gramStart"/>
            <w:r>
              <w:rPr>
                <w:rFonts w:ascii="Times New Roman" w:eastAsia="宋体" w:hAnsi="Times New Roman" w:cs="Times New Roman"/>
                <w:kern w:val="0"/>
                <w:sz w:val="24"/>
                <w:szCs w:val="24"/>
                <w:lang w:bidi="ar"/>
              </w:rPr>
              <w:t>训教学任务</w:t>
            </w:r>
            <w:proofErr w:type="gramEnd"/>
            <w:r>
              <w:rPr>
                <w:rFonts w:ascii="Times New Roman" w:eastAsia="宋体" w:hAnsi="Times New Roman" w:cs="Times New Roman"/>
                <w:kern w:val="0"/>
                <w:sz w:val="24"/>
                <w:szCs w:val="24"/>
                <w:lang w:bidi="ar"/>
              </w:rPr>
              <w:t>开出率</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100%</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100%</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10</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毕业生就业率</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98%</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98.93%</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在校学生中高级工职业技能取证率</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95%</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98%</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12</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职业资格鉴定培训取证数</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697</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1106</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13</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在校学生实习实</w:t>
            </w:r>
            <w:proofErr w:type="gramStart"/>
            <w:r>
              <w:rPr>
                <w:rFonts w:ascii="Times New Roman" w:eastAsia="宋体" w:hAnsi="Times New Roman" w:cs="Times New Roman"/>
                <w:kern w:val="0"/>
                <w:sz w:val="24"/>
                <w:szCs w:val="24"/>
                <w:lang w:bidi="ar"/>
              </w:rPr>
              <w:t>训教学</w:t>
            </w:r>
            <w:proofErr w:type="gramEnd"/>
            <w:r>
              <w:rPr>
                <w:rFonts w:ascii="Times New Roman" w:eastAsia="宋体" w:hAnsi="Times New Roman" w:cs="Times New Roman"/>
                <w:kern w:val="0"/>
                <w:sz w:val="24"/>
                <w:szCs w:val="24"/>
                <w:lang w:bidi="ar"/>
              </w:rPr>
              <w:t>课时</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4400</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13277</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14</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课题立项</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10</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11</w:t>
            </w:r>
          </w:p>
        </w:tc>
      </w:tr>
      <w:tr w:rsidR="00E056BC">
        <w:trPr>
          <w:trHeight w:val="454"/>
        </w:trPr>
        <w:tc>
          <w:tcPr>
            <w:tcW w:w="7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15</w:t>
            </w:r>
          </w:p>
        </w:tc>
        <w:tc>
          <w:tcPr>
            <w:tcW w:w="4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校外实习班数</w:t>
            </w:r>
          </w:p>
        </w:tc>
        <w:tc>
          <w:tcPr>
            <w:tcW w:w="12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35</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bottom"/>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37</w:t>
            </w:r>
          </w:p>
        </w:tc>
      </w:tr>
    </w:tbl>
    <w:p w:rsidR="00E056BC" w:rsidRDefault="00101FB3">
      <w:pPr>
        <w:adjustRightInd w:val="0"/>
        <w:snapToGrid w:val="0"/>
        <w:spacing w:beforeLines="100" w:before="312" w:line="60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2.</w:t>
      </w:r>
      <w:r>
        <w:rPr>
          <w:rFonts w:ascii="Times New Roman" w:eastAsia="仿宋_GB2312" w:hAnsi="Times New Roman" w:cs="Times New Roman"/>
          <w:b/>
          <w:bCs/>
          <w:color w:val="000000"/>
          <w:kern w:val="0"/>
          <w:sz w:val="32"/>
          <w:szCs w:val="32"/>
        </w:rPr>
        <w:t>产出质量</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2022</w:t>
      </w:r>
      <w:r>
        <w:rPr>
          <w:rFonts w:ascii="Times New Roman" w:eastAsia="仿宋_GB2312" w:hAnsi="Times New Roman" w:cs="Times New Roman"/>
          <w:sz w:val="32"/>
          <w:szCs w:val="32"/>
        </w:rPr>
        <w:t>年设置部门整体质量指标</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个，由于质量指标没有细化量化，因此难以准确</w:t>
      </w:r>
      <w:proofErr w:type="gramStart"/>
      <w:r>
        <w:rPr>
          <w:rFonts w:ascii="Times New Roman" w:eastAsia="仿宋_GB2312" w:hAnsi="Times New Roman" w:cs="Times New Roman"/>
          <w:sz w:val="32"/>
          <w:szCs w:val="32"/>
        </w:rPr>
        <w:t>考量</w:t>
      </w:r>
      <w:proofErr w:type="gramEnd"/>
      <w:r>
        <w:rPr>
          <w:rFonts w:ascii="Times New Roman" w:eastAsia="仿宋_GB2312" w:hAnsi="Times New Roman" w:cs="Times New Roman"/>
          <w:sz w:val="32"/>
          <w:szCs w:val="32"/>
        </w:rPr>
        <w:t>绩效目标实现程度。</w:t>
      </w:r>
    </w:p>
    <w:p w:rsidR="00E056BC" w:rsidRDefault="00101FB3">
      <w:pPr>
        <w:adjustRightInd w:val="0"/>
        <w:snapToGrid w:val="0"/>
        <w:spacing w:line="600" w:lineRule="exact"/>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首钢技师学院部门整体产出质量指标完成情况表</w:t>
      </w:r>
    </w:p>
    <w:p w:rsidR="00E056BC" w:rsidRDefault="00E056BC">
      <w:pPr>
        <w:pStyle w:val="a5"/>
        <w:rPr>
          <w:rFonts w:ascii="Times New Roman" w:hAnsi="Times New Roman" w:cs="Times New Roman"/>
        </w:rPr>
      </w:pPr>
    </w:p>
    <w:tbl>
      <w:tblPr>
        <w:tblW w:w="8569" w:type="dxa"/>
        <w:tblInd w:w="91" w:type="dxa"/>
        <w:tblLayout w:type="fixed"/>
        <w:tblLook w:val="04A0" w:firstRow="1" w:lastRow="0" w:firstColumn="1" w:lastColumn="0" w:noHBand="0" w:noVBand="1"/>
      </w:tblPr>
      <w:tblGrid>
        <w:gridCol w:w="739"/>
        <w:gridCol w:w="4195"/>
        <w:gridCol w:w="1146"/>
        <w:gridCol w:w="1273"/>
        <w:gridCol w:w="1216"/>
      </w:tblGrid>
      <w:tr w:rsidR="00E056BC">
        <w:trPr>
          <w:trHeight w:val="621"/>
        </w:trPr>
        <w:tc>
          <w:tcPr>
            <w:tcW w:w="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kern w:val="0"/>
                <w:sz w:val="24"/>
                <w:szCs w:val="24"/>
                <w:lang w:bidi="ar"/>
              </w:rPr>
            </w:pPr>
            <w:r>
              <w:rPr>
                <w:rFonts w:ascii="Times New Roman" w:eastAsia="宋体" w:hAnsi="Times New Roman" w:cs="Times New Roman"/>
                <w:b/>
                <w:bCs/>
                <w:kern w:val="0"/>
                <w:sz w:val="24"/>
                <w:szCs w:val="24"/>
                <w:lang w:bidi="ar"/>
              </w:rPr>
              <w:t>序号</w:t>
            </w:r>
          </w:p>
        </w:tc>
        <w:tc>
          <w:tcPr>
            <w:tcW w:w="41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sz w:val="24"/>
                <w:szCs w:val="24"/>
              </w:rPr>
            </w:pPr>
            <w:r>
              <w:rPr>
                <w:rFonts w:ascii="Times New Roman" w:eastAsia="宋体" w:hAnsi="Times New Roman" w:cs="Times New Roman"/>
                <w:b/>
                <w:bCs/>
                <w:kern w:val="0"/>
                <w:sz w:val="24"/>
                <w:szCs w:val="24"/>
                <w:lang w:bidi="ar"/>
              </w:rPr>
              <w:t>质量指标</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sz w:val="24"/>
                <w:szCs w:val="24"/>
              </w:rPr>
            </w:pPr>
            <w:r>
              <w:rPr>
                <w:rFonts w:ascii="Times New Roman" w:eastAsia="宋体" w:hAnsi="Times New Roman" w:cs="Times New Roman"/>
                <w:b/>
                <w:bCs/>
                <w:kern w:val="0"/>
                <w:sz w:val="24"/>
                <w:szCs w:val="24"/>
                <w:lang w:bidi="ar"/>
              </w:rPr>
              <w:t>指标性质</w:t>
            </w:r>
          </w:p>
        </w:tc>
        <w:tc>
          <w:tcPr>
            <w:tcW w:w="127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sz w:val="24"/>
                <w:szCs w:val="24"/>
              </w:rPr>
            </w:pPr>
            <w:r>
              <w:rPr>
                <w:rFonts w:ascii="Times New Roman" w:eastAsia="宋体" w:hAnsi="Times New Roman" w:cs="Times New Roman"/>
                <w:b/>
                <w:bCs/>
                <w:kern w:val="0"/>
                <w:sz w:val="24"/>
                <w:szCs w:val="24"/>
                <w:lang w:bidi="ar"/>
              </w:rPr>
              <w:t>指标值</w:t>
            </w:r>
          </w:p>
        </w:tc>
        <w:tc>
          <w:tcPr>
            <w:tcW w:w="12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056BC" w:rsidRDefault="00101FB3">
            <w:pPr>
              <w:widowControl/>
              <w:jc w:val="center"/>
              <w:textAlignment w:val="center"/>
              <w:rPr>
                <w:rFonts w:ascii="Times New Roman" w:eastAsia="宋体" w:hAnsi="Times New Roman" w:cs="Times New Roman"/>
                <w:b/>
                <w:bCs/>
                <w:kern w:val="0"/>
                <w:sz w:val="24"/>
                <w:szCs w:val="24"/>
                <w:lang w:bidi="ar"/>
              </w:rPr>
            </w:pPr>
            <w:r>
              <w:rPr>
                <w:rFonts w:ascii="Times New Roman" w:eastAsia="宋体" w:hAnsi="Times New Roman" w:cs="Times New Roman"/>
                <w:b/>
                <w:bCs/>
                <w:kern w:val="0"/>
                <w:sz w:val="24"/>
                <w:szCs w:val="24"/>
                <w:lang w:bidi="ar"/>
              </w:rPr>
              <w:t>完成值</w:t>
            </w:r>
          </w:p>
        </w:tc>
      </w:tr>
      <w:tr w:rsidR="00E056BC">
        <w:trPr>
          <w:trHeight w:val="752"/>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1</w:t>
            </w:r>
          </w:p>
        </w:tc>
        <w:tc>
          <w:tcPr>
            <w:tcW w:w="41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color w:val="000000"/>
                <w:kern w:val="0"/>
                <w:sz w:val="24"/>
                <w:szCs w:val="24"/>
                <w:lang w:bidi="ar"/>
              </w:rPr>
              <w:t>保证骨干教师及管理人员培训质量，不断提高教师素质及教学水平、管理水平</w:t>
            </w:r>
          </w:p>
        </w:tc>
        <w:tc>
          <w:tcPr>
            <w:tcW w:w="11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color w:val="000000"/>
                <w:kern w:val="0"/>
                <w:sz w:val="24"/>
                <w:szCs w:val="24"/>
                <w:lang w:bidi="ar"/>
              </w:rPr>
              <w:t>定性</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优</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color w:val="000000"/>
                <w:kern w:val="0"/>
                <w:sz w:val="24"/>
                <w:szCs w:val="24"/>
                <w:lang w:bidi="ar"/>
              </w:rPr>
            </w:pPr>
            <w:r>
              <w:rPr>
                <w:rFonts w:ascii="Times New Roman" w:eastAsia="宋体" w:hAnsi="Times New Roman" w:cs="Times New Roman"/>
                <w:color w:val="000000"/>
                <w:kern w:val="0"/>
                <w:sz w:val="24"/>
                <w:szCs w:val="24"/>
                <w:lang w:bidi="ar"/>
              </w:rPr>
              <w:t>难以准确</w:t>
            </w:r>
            <w:proofErr w:type="gramStart"/>
            <w:r>
              <w:rPr>
                <w:rFonts w:ascii="Times New Roman" w:eastAsia="宋体" w:hAnsi="Times New Roman" w:cs="Times New Roman"/>
                <w:color w:val="000000"/>
                <w:kern w:val="0"/>
                <w:sz w:val="24"/>
                <w:szCs w:val="24"/>
                <w:lang w:bidi="ar"/>
              </w:rPr>
              <w:t>考量</w:t>
            </w:r>
            <w:proofErr w:type="gramEnd"/>
          </w:p>
        </w:tc>
      </w:tr>
      <w:tr w:rsidR="00E056BC">
        <w:trPr>
          <w:trHeight w:val="1017"/>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2</w:t>
            </w:r>
          </w:p>
        </w:tc>
        <w:tc>
          <w:tcPr>
            <w:tcW w:w="41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color w:val="000000"/>
                <w:kern w:val="0"/>
                <w:sz w:val="24"/>
                <w:szCs w:val="24"/>
                <w:lang w:bidi="ar"/>
              </w:rPr>
              <w:t>发展教育事业，不断提高教育教学满意度。培养高技能和创新人才，为北京市区域经济和企业发展服务</w:t>
            </w:r>
          </w:p>
        </w:tc>
        <w:tc>
          <w:tcPr>
            <w:tcW w:w="11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color w:val="000000"/>
                <w:kern w:val="0"/>
                <w:sz w:val="24"/>
                <w:szCs w:val="24"/>
                <w:lang w:bidi="ar"/>
              </w:rPr>
              <w:t>定性</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优</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color w:val="000000"/>
                <w:kern w:val="0"/>
                <w:sz w:val="24"/>
                <w:szCs w:val="24"/>
                <w:lang w:bidi="ar"/>
              </w:rPr>
              <w:t>难以准确</w:t>
            </w:r>
            <w:proofErr w:type="gramStart"/>
            <w:r>
              <w:rPr>
                <w:rFonts w:ascii="Times New Roman" w:eastAsia="宋体" w:hAnsi="Times New Roman" w:cs="Times New Roman"/>
                <w:color w:val="000000"/>
                <w:kern w:val="0"/>
                <w:sz w:val="24"/>
                <w:szCs w:val="24"/>
                <w:lang w:bidi="ar"/>
              </w:rPr>
              <w:t>考量</w:t>
            </w:r>
            <w:proofErr w:type="gramEnd"/>
          </w:p>
        </w:tc>
      </w:tr>
      <w:tr w:rsidR="00E056BC">
        <w:trPr>
          <w:trHeight w:val="795"/>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kern w:val="0"/>
                <w:sz w:val="24"/>
                <w:szCs w:val="24"/>
                <w:lang w:bidi="ar"/>
              </w:rPr>
              <w:t>3</w:t>
            </w:r>
          </w:p>
        </w:tc>
        <w:tc>
          <w:tcPr>
            <w:tcW w:w="41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color w:val="000000"/>
                <w:kern w:val="0"/>
                <w:sz w:val="24"/>
                <w:szCs w:val="24"/>
                <w:lang w:bidi="ar"/>
              </w:rPr>
              <w:t>建设京西地区培养、培训中高级技术人才平台</w:t>
            </w:r>
          </w:p>
        </w:tc>
        <w:tc>
          <w:tcPr>
            <w:tcW w:w="11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color w:val="000000"/>
                <w:kern w:val="0"/>
                <w:sz w:val="24"/>
                <w:szCs w:val="24"/>
                <w:lang w:bidi="ar"/>
              </w:rPr>
              <w:t>定性</w:t>
            </w:r>
          </w:p>
        </w:tc>
        <w:tc>
          <w:tcPr>
            <w:tcW w:w="1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sz w:val="24"/>
                <w:szCs w:val="24"/>
              </w:rPr>
            </w:pPr>
            <w:r>
              <w:rPr>
                <w:rFonts w:ascii="Times New Roman" w:eastAsia="宋体" w:hAnsi="Times New Roman" w:cs="Times New Roman"/>
                <w:kern w:val="0"/>
                <w:sz w:val="24"/>
                <w:szCs w:val="24"/>
                <w:lang w:bidi="ar"/>
              </w:rPr>
              <w:t>优</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56BC" w:rsidRDefault="00101FB3">
            <w:pPr>
              <w:widowControl/>
              <w:jc w:val="center"/>
              <w:textAlignment w:val="center"/>
              <w:rPr>
                <w:rFonts w:ascii="Times New Roman" w:eastAsia="宋体" w:hAnsi="Times New Roman" w:cs="Times New Roman"/>
                <w:kern w:val="0"/>
                <w:sz w:val="24"/>
                <w:szCs w:val="24"/>
                <w:lang w:bidi="ar"/>
              </w:rPr>
            </w:pPr>
            <w:r>
              <w:rPr>
                <w:rFonts w:ascii="Times New Roman" w:eastAsia="宋体" w:hAnsi="Times New Roman" w:cs="Times New Roman"/>
                <w:color w:val="000000"/>
                <w:kern w:val="0"/>
                <w:sz w:val="24"/>
                <w:szCs w:val="24"/>
                <w:lang w:bidi="ar"/>
              </w:rPr>
              <w:t>难以准确</w:t>
            </w:r>
            <w:proofErr w:type="gramStart"/>
            <w:r>
              <w:rPr>
                <w:rFonts w:ascii="Times New Roman" w:eastAsia="宋体" w:hAnsi="Times New Roman" w:cs="Times New Roman"/>
                <w:color w:val="000000"/>
                <w:kern w:val="0"/>
                <w:sz w:val="24"/>
                <w:szCs w:val="24"/>
                <w:lang w:bidi="ar"/>
              </w:rPr>
              <w:t>考量</w:t>
            </w:r>
            <w:proofErr w:type="gramEnd"/>
          </w:p>
        </w:tc>
      </w:tr>
    </w:tbl>
    <w:p w:rsidR="00E056BC" w:rsidRDefault="00101FB3">
      <w:pPr>
        <w:adjustRightInd w:val="0"/>
        <w:snapToGrid w:val="0"/>
        <w:spacing w:beforeLines="50" w:before="156" w:line="600" w:lineRule="exact"/>
        <w:ind w:firstLineChars="200" w:firstLine="643"/>
        <w:textAlignment w:val="baseline"/>
        <w:rPr>
          <w:rFonts w:ascii="Times New Roman" w:eastAsia="仿宋_GB2312" w:hAnsi="Times New Roman" w:cs="Times New Roman"/>
          <w:b/>
          <w:bCs/>
          <w:kern w:val="0"/>
          <w:sz w:val="32"/>
          <w:szCs w:val="32"/>
        </w:rPr>
      </w:pPr>
      <w:r>
        <w:rPr>
          <w:rFonts w:ascii="Times New Roman" w:eastAsia="仿宋_GB2312" w:hAnsi="Times New Roman" w:cs="Times New Roman"/>
          <w:b/>
          <w:sz w:val="32"/>
          <w:szCs w:val="32"/>
        </w:rPr>
        <w:t>3.</w:t>
      </w:r>
      <w:r>
        <w:rPr>
          <w:rFonts w:ascii="Times New Roman" w:eastAsia="仿宋_GB2312" w:hAnsi="Times New Roman" w:cs="Times New Roman"/>
          <w:b/>
          <w:sz w:val="32"/>
          <w:szCs w:val="32"/>
        </w:rPr>
        <w:t>产出进度</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年设置的质量指标</w:t>
      </w:r>
      <w:r>
        <w:rPr>
          <w:rFonts w:ascii="Times New Roman" w:eastAsia="仿宋_GB2312" w:hAnsi="Times New Roman" w:cs="Times New Roman"/>
          <w:sz w:val="32"/>
          <w:szCs w:val="32"/>
        </w:rPr>
        <w:t>“7</w:t>
      </w:r>
      <w:r>
        <w:rPr>
          <w:rFonts w:ascii="Times New Roman" w:eastAsia="仿宋_GB2312" w:hAnsi="Times New Roman" w:cs="Times New Roman"/>
          <w:sz w:val="32"/>
          <w:szCs w:val="32"/>
        </w:rPr>
        <w:t>月完成</w:t>
      </w:r>
      <w:r>
        <w:rPr>
          <w:rFonts w:ascii="Times New Roman" w:eastAsia="仿宋_GB2312" w:hAnsi="Times New Roman" w:cs="Times New Roman"/>
          <w:sz w:val="32"/>
          <w:szCs w:val="32"/>
        </w:rPr>
        <w:t>2018</w:t>
      </w:r>
      <w:r>
        <w:rPr>
          <w:rFonts w:ascii="Times New Roman" w:eastAsia="仿宋_GB2312" w:hAnsi="Times New Roman" w:cs="Times New Roman"/>
          <w:sz w:val="32"/>
          <w:szCs w:val="32"/>
        </w:rPr>
        <w:t>年毕业生分配离校工作，</w:t>
      </w:r>
      <w:r>
        <w:rPr>
          <w:rFonts w:ascii="Times New Roman" w:eastAsia="仿宋_GB2312" w:hAnsi="Times New Roman" w:cs="Times New Roman"/>
          <w:sz w:val="32"/>
          <w:szCs w:val="32"/>
        </w:rPr>
        <w:t>9</w:t>
      </w:r>
      <w:r>
        <w:rPr>
          <w:rFonts w:ascii="Times New Roman" w:eastAsia="仿宋_GB2312" w:hAnsi="Times New Roman" w:cs="Times New Roman"/>
          <w:sz w:val="32"/>
          <w:szCs w:val="32"/>
        </w:rPr>
        <w:t>月完成</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年新生招生报到入学工作</w:t>
      </w:r>
      <w:r>
        <w:rPr>
          <w:rFonts w:ascii="Times New Roman" w:eastAsia="仿宋_GB2312" w:hAnsi="Times New Roman" w:cs="Times New Roman"/>
          <w:sz w:val="32"/>
          <w:szCs w:val="32"/>
        </w:rPr>
        <w:t>”</w:t>
      </w:r>
      <w:r>
        <w:rPr>
          <w:rFonts w:ascii="Times New Roman" w:eastAsia="仿宋_GB2312" w:hAnsi="Times New Roman" w:cs="Times New Roman"/>
          <w:sz w:val="32"/>
          <w:szCs w:val="32"/>
        </w:rPr>
        <w:t>如期完成。该指标虽然设置为质量指标，但实际上属于时效指标，且年度设置有误。</w:t>
      </w:r>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4.</w:t>
      </w:r>
      <w:r>
        <w:rPr>
          <w:rFonts w:ascii="Times New Roman" w:eastAsia="仿宋_GB2312" w:hAnsi="Times New Roman" w:cs="Times New Roman"/>
          <w:b/>
          <w:bCs/>
          <w:color w:val="000000"/>
          <w:kern w:val="0"/>
          <w:sz w:val="32"/>
          <w:szCs w:val="32"/>
        </w:rPr>
        <w:t>产出成本</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年设置的成本指标</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经费零增长</w:t>
      </w:r>
      <w:r>
        <w:rPr>
          <w:rFonts w:ascii="Times New Roman" w:eastAsia="仿宋_GB2312" w:hAnsi="Times New Roman" w:cs="Times New Roman"/>
          <w:sz w:val="32"/>
          <w:szCs w:val="32"/>
        </w:rPr>
        <w:t>”</w:t>
      </w:r>
      <w:r>
        <w:rPr>
          <w:rFonts w:ascii="Times New Roman" w:eastAsia="仿宋_GB2312" w:hAnsi="Times New Roman" w:cs="Times New Roman"/>
          <w:sz w:val="32"/>
          <w:szCs w:val="32"/>
        </w:rPr>
        <w:t>如期完成。</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年学院</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经费支出</w:t>
      </w:r>
      <w:r>
        <w:rPr>
          <w:rFonts w:ascii="Times New Roman" w:eastAsia="仿宋_GB2312" w:hAnsi="Times New Roman" w:cs="Times New Roman"/>
          <w:sz w:val="32"/>
          <w:szCs w:val="32"/>
        </w:rPr>
        <w:t>1.14</w:t>
      </w:r>
      <w:r>
        <w:rPr>
          <w:rFonts w:ascii="Times New Roman" w:eastAsia="仿宋_GB2312" w:hAnsi="Times New Roman" w:cs="Times New Roman"/>
          <w:sz w:val="32"/>
          <w:szCs w:val="32"/>
        </w:rPr>
        <w:t>万元，比</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经费支出</w:t>
      </w:r>
      <w:r>
        <w:rPr>
          <w:rFonts w:ascii="Times New Roman" w:eastAsia="仿宋_GB2312" w:hAnsi="Times New Roman" w:cs="Times New Roman"/>
          <w:sz w:val="32"/>
          <w:szCs w:val="32"/>
        </w:rPr>
        <w:t>1.46</w:t>
      </w:r>
      <w:r>
        <w:rPr>
          <w:rFonts w:ascii="Times New Roman" w:eastAsia="仿宋_GB2312" w:hAnsi="Times New Roman" w:cs="Times New Roman"/>
          <w:sz w:val="32"/>
          <w:szCs w:val="32"/>
        </w:rPr>
        <w:t>万元，减少</w:t>
      </w:r>
      <w:r>
        <w:rPr>
          <w:rFonts w:ascii="Times New Roman" w:eastAsia="仿宋_GB2312" w:hAnsi="Times New Roman" w:cs="Times New Roman"/>
          <w:sz w:val="32"/>
          <w:szCs w:val="32"/>
        </w:rPr>
        <w:t>0.32</w:t>
      </w:r>
      <w:r>
        <w:rPr>
          <w:rFonts w:ascii="Times New Roman" w:eastAsia="仿宋_GB2312" w:hAnsi="Times New Roman" w:cs="Times New Roman"/>
          <w:sz w:val="32"/>
          <w:szCs w:val="32"/>
        </w:rPr>
        <w:t>万元，省减率</w:t>
      </w:r>
      <w:r>
        <w:rPr>
          <w:rFonts w:ascii="Times New Roman" w:eastAsia="仿宋_GB2312" w:hAnsi="Times New Roman" w:cs="Times New Roman"/>
          <w:sz w:val="32"/>
          <w:szCs w:val="32"/>
        </w:rPr>
        <w:t>21.92%</w:t>
      </w:r>
      <w:r>
        <w:rPr>
          <w:rFonts w:ascii="Times New Roman" w:eastAsia="仿宋_GB2312" w:hAnsi="Times New Roman" w:cs="Times New Roman"/>
          <w:sz w:val="32"/>
          <w:szCs w:val="32"/>
        </w:rPr>
        <w:t>。</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bookmarkStart w:id="28" w:name="_Toc9991"/>
      <w:bookmarkStart w:id="29" w:name="_Toc1830"/>
      <w:bookmarkStart w:id="30" w:name="_Toc30597"/>
      <w:bookmarkStart w:id="31" w:name="_Toc20880"/>
      <w:r>
        <w:rPr>
          <w:rFonts w:ascii="Times New Roman" w:eastAsia="楷体_GB2312" w:hAnsi="Times New Roman" w:cs="Times New Roman"/>
          <w:b/>
          <w:bCs/>
          <w:sz w:val="32"/>
          <w:szCs w:val="32"/>
        </w:rPr>
        <w:t>（二）效果实现情况分析</w:t>
      </w:r>
      <w:bookmarkEnd w:id="28"/>
      <w:bookmarkEnd w:id="29"/>
      <w:bookmarkEnd w:id="30"/>
      <w:bookmarkEnd w:id="31"/>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1.</w:t>
      </w:r>
      <w:r>
        <w:rPr>
          <w:rFonts w:ascii="Times New Roman" w:eastAsia="仿宋_GB2312" w:hAnsi="Times New Roman" w:cs="Times New Roman"/>
          <w:b/>
          <w:bCs/>
          <w:color w:val="000000"/>
          <w:kern w:val="0"/>
          <w:sz w:val="32"/>
          <w:szCs w:val="32"/>
        </w:rPr>
        <w:t>社会效益</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首钢技师学院的预算投入，主要产出为公共服务，效益指</w:t>
      </w:r>
      <w:r>
        <w:rPr>
          <w:rFonts w:ascii="Times New Roman" w:eastAsia="仿宋_GB2312" w:hAnsi="Times New Roman" w:cs="Times New Roman"/>
          <w:sz w:val="32"/>
          <w:szCs w:val="32"/>
        </w:rPr>
        <w:lastRenderedPageBreak/>
        <w:t>标更多体现在社会效益上。</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年，学院各级的职能履行和项目实施，取得了显著的社会效益。</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）重点建设任务有序推进。积极</w:t>
      </w:r>
      <w:proofErr w:type="gramStart"/>
      <w:r>
        <w:rPr>
          <w:rFonts w:ascii="Times New Roman" w:eastAsia="仿宋_GB2312" w:hAnsi="Times New Roman" w:cs="Times New Roman"/>
          <w:sz w:val="32"/>
          <w:szCs w:val="32"/>
        </w:rPr>
        <w:t>承担人社部</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十四五</w:t>
      </w:r>
      <w:r>
        <w:rPr>
          <w:rFonts w:ascii="Times New Roman" w:eastAsia="仿宋_GB2312" w:hAnsi="Times New Roman" w:cs="Times New Roman"/>
          <w:sz w:val="32"/>
          <w:szCs w:val="32"/>
        </w:rPr>
        <w:t>”</w:t>
      </w:r>
      <w:r>
        <w:rPr>
          <w:rFonts w:ascii="Times New Roman" w:eastAsia="仿宋_GB2312" w:hAnsi="Times New Roman" w:cs="Times New Roman"/>
          <w:sz w:val="32"/>
          <w:szCs w:val="32"/>
        </w:rPr>
        <w:t>技工教育重点建设任务，获得</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优质技工院校</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等六项任务建设资格；高质量完成北京市技工教育质量督导评估第一阶段工作任务。学院</w:t>
      </w:r>
      <w:r>
        <w:rPr>
          <w:rFonts w:ascii="Times New Roman" w:eastAsia="仿宋_GB2312" w:hAnsi="Times New Roman" w:cs="Times New Roman"/>
          <w:sz w:val="32"/>
          <w:szCs w:val="32"/>
        </w:rPr>
        <w:t>“</w:t>
      </w:r>
      <w:r>
        <w:rPr>
          <w:rFonts w:ascii="Times New Roman" w:eastAsia="仿宋_GB2312" w:hAnsi="Times New Roman" w:cs="Times New Roman"/>
          <w:sz w:val="32"/>
          <w:szCs w:val="32"/>
        </w:rPr>
        <w:t>旅游服务与管理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旅游管理</w:t>
      </w:r>
      <w:r>
        <w:rPr>
          <w:rFonts w:ascii="Times New Roman" w:eastAsia="仿宋_GB2312" w:hAnsi="Times New Roman" w:cs="Times New Roman"/>
          <w:sz w:val="32"/>
          <w:szCs w:val="32"/>
        </w:rPr>
        <w:t>”3+2</w:t>
      </w:r>
      <w:r>
        <w:rPr>
          <w:rFonts w:ascii="Times New Roman" w:eastAsia="仿宋_GB2312" w:hAnsi="Times New Roman" w:cs="Times New Roman"/>
          <w:sz w:val="32"/>
          <w:szCs w:val="32"/>
        </w:rPr>
        <w:t>中高职衔接办学项目获批。与</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个企业共同开展人才培养基地、实训基地建设，与</w:t>
      </w:r>
      <w:r>
        <w:rPr>
          <w:rFonts w:ascii="Times New Roman" w:eastAsia="仿宋_GB2312" w:hAnsi="Times New Roman" w:cs="Times New Roman"/>
          <w:sz w:val="32"/>
          <w:szCs w:val="32"/>
        </w:rPr>
        <w:t>23</w:t>
      </w:r>
      <w:r>
        <w:rPr>
          <w:rFonts w:ascii="Times New Roman" w:eastAsia="仿宋_GB2312" w:hAnsi="Times New Roman" w:cs="Times New Roman"/>
          <w:sz w:val="32"/>
          <w:szCs w:val="32"/>
        </w:rPr>
        <w:t>个企业共同制订人才培养方案、教学计划、组织课程开发、实习就业。</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）教育教学成果稳步提升。学生参加市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主办的</w:t>
      </w:r>
      <w:r>
        <w:rPr>
          <w:rFonts w:ascii="Times New Roman" w:eastAsia="仿宋_GB2312" w:hAnsi="Times New Roman" w:cs="Times New Roman"/>
          <w:sz w:val="32"/>
          <w:szCs w:val="32"/>
        </w:rPr>
        <w:t>16</w:t>
      </w:r>
      <w:r>
        <w:rPr>
          <w:rFonts w:ascii="Times New Roman" w:eastAsia="仿宋_GB2312" w:hAnsi="Times New Roman" w:cs="Times New Roman"/>
          <w:sz w:val="32"/>
          <w:szCs w:val="32"/>
        </w:rPr>
        <w:t>项技能竞赛，获奖</w:t>
      </w:r>
      <w:r>
        <w:rPr>
          <w:rFonts w:ascii="Times New Roman" w:eastAsia="仿宋_GB2312" w:hAnsi="Times New Roman" w:cs="Times New Roman"/>
          <w:sz w:val="32"/>
          <w:szCs w:val="32"/>
        </w:rPr>
        <w:t>24</w:t>
      </w:r>
      <w:r>
        <w:rPr>
          <w:rFonts w:ascii="Times New Roman" w:eastAsia="仿宋_GB2312" w:hAnsi="Times New Roman" w:cs="Times New Roman"/>
          <w:sz w:val="32"/>
          <w:szCs w:val="32"/>
        </w:rPr>
        <w:t>项，</w:t>
      </w:r>
      <w:r>
        <w:rPr>
          <w:rFonts w:ascii="Times New Roman" w:eastAsia="仿宋_GB2312" w:hAnsi="Times New Roman" w:cs="Times New Roman"/>
          <w:sz w:val="32"/>
          <w:szCs w:val="32"/>
        </w:rPr>
        <w:t>5</w:t>
      </w:r>
      <w:r>
        <w:rPr>
          <w:rFonts w:ascii="Times New Roman" w:eastAsia="仿宋_GB2312" w:hAnsi="Times New Roman" w:cs="Times New Roman"/>
          <w:sz w:val="32"/>
          <w:szCs w:val="32"/>
        </w:rPr>
        <w:t>个团队代表北京市参加全国职业院校技能比赛，是学院历史上参加</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数量最多的一次。参加第二届丝路工匠国际技能大赛获特等奖</w:t>
      </w:r>
      <w:r>
        <w:rPr>
          <w:rFonts w:ascii="Times New Roman" w:eastAsia="仿宋_GB2312" w:hAnsi="Times New Roman" w:cs="Times New Roman"/>
          <w:sz w:val="32"/>
          <w:szCs w:val="32"/>
        </w:rPr>
        <w:t>3</w:t>
      </w:r>
      <w:r>
        <w:rPr>
          <w:rFonts w:ascii="Times New Roman" w:eastAsia="仿宋_GB2312" w:hAnsi="Times New Roman" w:cs="Times New Roman"/>
          <w:sz w:val="32"/>
          <w:szCs w:val="32"/>
        </w:rPr>
        <w:t>项、一等奖</w:t>
      </w:r>
      <w:r>
        <w:rPr>
          <w:rFonts w:ascii="Times New Roman" w:eastAsia="仿宋_GB2312" w:hAnsi="Times New Roman" w:cs="Times New Roman"/>
          <w:sz w:val="32"/>
          <w:szCs w:val="32"/>
        </w:rPr>
        <w:t>5</w:t>
      </w:r>
      <w:r>
        <w:rPr>
          <w:rFonts w:ascii="Times New Roman" w:eastAsia="仿宋_GB2312" w:hAnsi="Times New Roman" w:cs="Times New Roman"/>
          <w:sz w:val="32"/>
          <w:szCs w:val="32"/>
        </w:rPr>
        <w:t>项。</w:t>
      </w:r>
      <w:r>
        <w:rPr>
          <w:rFonts w:ascii="Times New Roman" w:eastAsia="仿宋_GB2312" w:hAnsi="Times New Roman" w:cs="Times New Roman"/>
          <w:sz w:val="32"/>
          <w:szCs w:val="32"/>
        </w:rPr>
        <w:t>7</w:t>
      </w:r>
      <w:r>
        <w:rPr>
          <w:rFonts w:ascii="Times New Roman" w:eastAsia="仿宋_GB2312" w:hAnsi="Times New Roman" w:cs="Times New Roman"/>
          <w:sz w:val="32"/>
          <w:szCs w:val="32"/>
        </w:rPr>
        <w:t>个教师团队参加</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年教学能力大赛全部获奖，其中获得二等奖</w:t>
      </w:r>
      <w:r>
        <w:rPr>
          <w:rFonts w:ascii="Times New Roman" w:eastAsia="仿宋_GB2312" w:hAnsi="Times New Roman" w:cs="Times New Roman"/>
          <w:sz w:val="32"/>
          <w:szCs w:val="32"/>
        </w:rPr>
        <w:t>3</w:t>
      </w:r>
      <w:r>
        <w:rPr>
          <w:rFonts w:ascii="Times New Roman" w:eastAsia="仿宋_GB2312" w:hAnsi="Times New Roman" w:cs="Times New Roman"/>
          <w:sz w:val="32"/>
          <w:szCs w:val="32"/>
        </w:rPr>
        <w:t>项、三等奖</w:t>
      </w:r>
      <w:r>
        <w:rPr>
          <w:rFonts w:ascii="Times New Roman" w:eastAsia="仿宋_GB2312" w:hAnsi="Times New Roman" w:cs="Times New Roman"/>
          <w:sz w:val="32"/>
          <w:szCs w:val="32"/>
        </w:rPr>
        <w:t>4</w:t>
      </w:r>
      <w:r>
        <w:rPr>
          <w:rFonts w:ascii="Times New Roman" w:eastAsia="仿宋_GB2312" w:hAnsi="Times New Roman" w:cs="Times New Roman"/>
          <w:sz w:val="32"/>
          <w:szCs w:val="32"/>
        </w:rPr>
        <w:t>项。参加北京市技工教育和职业培训教科研成果评选活动，</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项成果获得一、二、三等奖。</w:t>
      </w:r>
      <w:r>
        <w:rPr>
          <w:rFonts w:ascii="Times New Roman" w:eastAsia="仿宋_GB2312" w:hAnsi="Times New Roman" w:cs="Times New Roman"/>
          <w:color w:val="000000" w:themeColor="text1"/>
          <w:sz w:val="32"/>
          <w:szCs w:val="32"/>
        </w:rPr>
        <w:t>国家级电焊工技能大师王文华，享受国务院津贴。与七家企业建立</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技能大师工作室企业工作站</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，指导</w:t>
      </w:r>
      <w:r>
        <w:rPr>
          <w:rFonts w:ascii="Times New Roman" w:eastAsia="仿宋_GB2312" w:hAnsi="Times New Roman" w:cs="Times New Roman"/>
          <w:color w:val="000000" w:themeColor="text1"/>
          <w:sz w:val="32"/>
          <w:szCs w:val="32"/>
        </w:rPr>
        <w:t>86</w:t>
      </w:r>
      <w:r>
        <w:rPr>
          <w:rFonts w:ascii="Times New Roman" w:eastAsia="仿宋_GB2312" w:hAnsi="Times New Roman" w:cs="Times New Roman"/>
          <w:color w:val="000000" w:themeColor="text1"/>
          <w:sz w:val="32"/>
          <w:szCs w:val="32"/>
        </w:rPr>
        <w:t>人在国内和国际焊接比赛中获奖。休闲体育专业负责人刘佳奇，为国内仅有的</w:t>
      </w:r>
      <w:r>
        <w:rPr>
          <w:rFonts w:ascii="Times New Roman" w:eastAsia="仿宋_GB2312" w:hAnsi="Times New Roman" w:cs="Times New Roman"/>
          <w:color w:val="000000" w:themeColor="text1"/>
          <w:sz w:val="32"/>
          <w:szCs w:val="32"/>
        </w:rPr>
        <w:t>3</w:t>
      </w:r>
      <w:r>
        <w:rPr>
          <w:rFonts w:ascii="Times New Roman" w:eastAsia="仿宋_GB2312" w:hAnsi="Times New Roman" w:cs="Times New Roman"/>
          <w:color w:val="000000" w:themeColor="text1"/>
          <w:sz w:val="32"/>
          <w:szCs w:val="32"/>
        </w:rPr>
        <w:t>名国际</w:t>
      </w:r>
      <w:r>
        <w:rPr>
          <w:rFonts w:ascii="Times New Roman" w:eastAsia="仿宋_GB2312" w:hAnsi="Times New Roman" w:cs="Times New Roman"/>
          <w:color w:val="000000" w:themeColor="text1"/>
          <w:sz w:val="32"/>
          <w:szCs w:val="32"/>
        </w:rPr>
        <w:t>A</w:t>
      </w:r>
      <w:r>
        <w:rPr>
          <w:rFonts w:ascii="Times New Roman" w:eastAsia="仿宋_GB2312" w:hAnsi="Times New Roman" w:cs="Times New Roman"/>
          <w:color w:val="000000" w:themeColor="text1"/>
          <w:sz w:val="32"/>
          <w:szCs w:val="32"/>
        </w:rPr>
        <w:t>级冰球裁判员之一。</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）招生工作取得新突破。面对北京市招生计划与生源</w:t>
      </w:r>
      <w:r>
        <w:rPr>
          <w:rFonts w:ascii="Times New Roman" w:eastAsia="仿宋_GB2312" w:hAnsi="Times New Roman" w:cs="Times New Roman"/>
          <w:sz w:val="32"/>
          <w:szCs w:val="32"/>
        </w:rPr>
        <w:lastRenderedPageBreak/>
        <w:t>倒挂、疫情叠加等前所未有的冲击和挑战，</w:t>
      </w:r>
      <w:r>
        <w:rPr>
          <w:rFonts w:ascii="Times New Roman" w:eastAsia="仿宋_GB2312" w:hAnsi="Times New Roman" w:cs="Times New Roman"/>
          <w:color w:val="000000" w:themeColor="text1"/>
          <w:sz w:val="32"/>
          <w:szCs w:val="32"/>
        </w:rPr>
        <w:t>采用微博、微信、公众号等多种形式，提供</w:t>
      </w:r>
      <w:proofErr w:type="gramStart"/>
      <w:r>
        <w:rPr>
          <w:rFonts w:ascii="Times New Roman" w:eastAsia="仿宋_GB2312" w:hAnsi="Times New Roman" w:cs="Times New Roman"/>
          <w:color w:val="000000" w:themeColor="text1"/>
          <w:sz w:val="32"/>
          <w:szCs w:val="32"/>
        </w:rPr>
        <w:t>不</w:t>
      </w:r>
      <w:proofErr w:type="gramEnd"/>
      <w:r>
        <w:rPr>
          <w:rFonts w:ascii="Times New Roman" w:eastAsia="仿宋_GB2312" w:hAnsi="Times New Roman" w:cs="Times New Roman"/>
          <w:color w:val="000000" w:themeColor="text1"/>
          <w:sz w:val="32"/>
          <w:szCs w:val="32"/>
        </w:rPr>
        <w:t>间断线</w:t>
      </w:r>
      <w:proofErr w:type="gramStart"/>
      <w:r>
        <w:rPr>
          <w:rFonts w:ascii="Times New Roman" w:eastAsia="仿宋_GB2312" w:hAnsi="Times New Roman" w:cs="Times New Roman"/>
          <w:color w:val="000000" w:themeColor="text1"/>
          <w:sz w:val="32"/>
          <w:szCs w:val="32"/>
        </w:rPr>
        <w:t>上咨询</w:t>
      </w:r>
      <w:proofErr w:type="gramEnd"/>
      <w:r>
        <w:rPr>
          <w:rFonts w:ascii="Times New Roman" w:eastAsia="仿宋_GB2312" w:hAnsi="Times New Roman" w:cs="Times New Roman"/>
          <w:color w:val="000000" w:themeColor="text1"/>
          <w:sz w:val="32"/>
          <w:szCs w:val="32"/>
        </w:rPr>
        <w:t>服务</w:t>
      </w:r>
      <w:r>
        <w:rPr>
          <w:rFonts w:ascii="Times New Roman" w:eastAsia="仿宋_GB2312" w:hAnsi="Times New Roman" w:cs="Times New Roman"/>
          <w:bCs/>
          <w:sz w:val="32"/>
          <w:szCs w:val="32"/>
        </w:rPr>
        <w:t>,</w:t>
      </w:r>
      <w:r>
        <w:rPr>
          <w:rFonts w:ascii="Times New Roman" w:eastAsia="仿宋_GB2312" w:hAnsi="Times New Roman" w:cs="Times New Roman"/>
          <w:sz w:val="32"/>
          <w:szCs w:val="32"/>
        </w:rPr>
        <w:t>全方位多角度地开展招生工作。</w:t>
      </w:r>
      <w:proofErr w:type="gramStart"/>
      <w:r>
        <w:rPr>
          <w:rFonts w:ascii="Times New Roman" w:eastAsia="仿宋_GB2312" w:hAnsi="Times New Roman" w:cs="Times New Roman"/>
          <w:sz w:val="32"/>
          <w:szCs w:val="32"/>
        </w:rPr>
        <w:t>北京市城六区</w:t>
      </w:r>
      <w:proofErr w:type="gramEnd"/>
      <w:r>
        <w:rPr>
          <w:rFonts w:ascii="Times New Roman" w:eastAsia="仿宋_GB2312" w:hAnsi="Times New Roman" w:cs="Times New Roman"/>
          <w:sz w:val="32"/>
          <w:szCs w:val="32"/>
        </w:rPr>
        <w:t>新增</w:t>
      </w:r>
      <w:r>
        <w:rPr>
          <w:rFonts w:ascii="Times New Roman" w:eastAsia="仿宋_GB2312" w:hAnsi="Times New Roman" w:cs="Times New Roman"/>
          <w:sz w:val="32"/>
          <w:szCs w:val="32"/>
        </w:rPr>
        <w:t>9</w:t>
      </w:r>
      <w:r>
        <w:rPr>
          <w:rFonts w:ascii="Times New Roman" w:eastAsia="仿宋_GB2312" w:hAnsi="Times New Roman" w:cs="Times New Roman"/>
          <w:sz w:val="32"/>
          <w:szCs w:val="32"/>
        </w:rPr>
        <w:t>所初中生源学校，生源校总数达到</w:t>
      </w:r>
      <w:r>
        <w:rPr>
          <w:rFonts w:ascii="Times New Roman" w:eastAsia="仿宋_GB2312" w:hAnsi="Times New Roman" w:cs="Times New Roman"/>
          <w:sz w:val="32"/>
          <w:szCs w:val="32"/>
        </w:rPr>
        <w:t>41</w:t>
      </w:r>
      <w:r>
        <w:rPr>
          <w:rFonts w:ascii="Times New Roman" w:eastAsia="仿宋_GB2312" w:hAnsi="Times New Roman" w:cs="Times New Roman"/>
          <w:sz w:val="32"/>
          <w:szCs w:val="32"/>
        </w:rPr>
        <w:t>所。</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年超额完成中职招生任务，计划招生</w:t>
      </w:r>
      <w:r>
        <w:rPr>
          <w:rFonts w:ascii="Times New Roman" w:eastAsia="仿宋_GB2312" w:hAnsi="Times New Roman" w:cs="Times New Roman"/>
          <w:sz w:val="32"/>
          <w:szCs w:val="32"/>
        </w:rPr>
        <w:t>400</w:t>
      </w:r>
      <w:r>
        <w:rPr>
          <w:rFonts w:ascii="Times New Roman" w:eastAsia="仿宋_GB2312" w:hAnsi="Times New Roman" w:cs="Times New Roman"/>
          <w:sz w:val="32"/>
          <w:szCs w:val="32"/>
        </w:rPr>
        <w:t>人，实际完成</w:t>
      </w:r>
      <w:r>
        <w:rPr>
          <w:rFonts w:ascii="Times New Roman" w:eastAsia="仿宋_GB2312" w:hAnsi="Times New Roman" w:cs="Times New Roman"/>
          <w:sz w:val="32"/>
          <w:szCs w:val="32"/>
        </w:rPr>
        <w:t>673</w:t>
      </w:r>
      <w:r>
        <w:rPr>
          <w:rFonts w:ascii="Times New Roman" w:eastAsia="仿宋_GB2312" w:hAnsi="Times New Roman" w:cs="Times New Roman"/>
          <w:sz w:val="32"/>
          <w:szCs w:val="32"/>
        </w:rPr>
        <w:t>人，统招数量和生源质量连续</w:t>
      </w:r>
      <w:r>
        <w:rPr>
          <w:rFonts w:ascii="Times New Roman" w:eastAsia="仿宋_GB2312" w:hAnsi="Times New Roman" w:cs="Times New Roman"/>
          <w:sz w:val="32"/>
          <w:szCs w:val="32"/>
        </w:rPr>
        <w:t>6</w:t>
      </w:r>
      <w:r>
        <w:rPr>
          <w:rFonts w:ascii="Times New Roman" w:eastAsia="仿宋_GB2312" w:hAnsi="Times New Roman" w:cs="Times New Roman"/>
          <w:sz w:val="32"/>
          <w:szCs w:val="32"/>
        </w:rPr>
        <w:t>年居北京市同类院校第一。</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sz w:val="32"/>
          <w:szCs w:val="32"/>
        </w:rPr>
        <w:t>）培训市场进一步开拓。完成北京市应急管理局新录用初任安全员业务培训、领军人才培训、职能部门检查队长培训，北京市城市管理综合行政执法局燃气专项业务骨干培训以及北京市水</w:t>
      </w:r>
      <w:proofErr w:type="gramStart"/>
      <w:r>
        <w:rPr>
          <w:rFonts w:ascii="Times New Roman" w:eastAsia="仿宋_GB2312" w:hAnsi="Times New Roman" w:cs="Times New Roman"/>
          <w:sz w:val="32"/>
          <w:szCs w:val="32"/>
        </w:rPr>
        <w:t>务</w:t>
      </w:r>
      <w:proofErr w:type="gramEnd"/>
      <w:r>
        <w:rPr>
          <w:rFonts w:ascii="Times New Roman" w:eastAsia="仿宋_GB2312" w:hAnsi="Times New Roman" w:cs="Times New Roman"/>
          <w:sz w:val="32"/>
          <w:szCs w:val="32"/>
        </w:rPr>
        <w:t>局执法人员业务培训。首次开展首钢技能竞赛优胜选手赋能培训，选拔近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年首钢职业技能竞赛优胜选手</w:t>
      </w:r>
      <w:r>
        <w:rPr>
          <w:rFonts w:ascii="Times New Roman" w:eastAsia="仿宋_GB2312" w:hAnsi="Times New Roman" w:cs="Times New Roman"/>
          <w:sz w:val="32"/>
          <w:szCs w:val="32"/>
        </w:rPr>
        <w:t>35</w:t>
      </w:r>
      <w:r>
        <w:rPr>
          <w:rFonts w:ascii="Times New Roman" w:eastAsia="仿宋_GB2312" w:hAnsi="Times New Roman" w:cs="Times New Roman"/>
          <w:sz w:val="32"/>
          <w:szCs w:val="32"/>
        </w:rPr>
        <w:t>人，</w:t>
      </w:r>
      <w:r>
        <w:rPr>
          <w:rFonts w:ascii="Times New Roman" w:eastAsia="仿宋_GB2312" w:hAnsi="Times New Roman" w:cs="Times New Roman"/>
          <w:bCs/>
          <w:sz w:val="32"/>
          <w:szCs w:val="32"/>
        </w:rPr>
        <w:t>进行赋能培训。</w:t>
      </w:r>
      <w:r>
        <w:rPr>
          <w:rFonts w:ascii="Times New Roman" w:eastAsia="仿宋_GB2312" w:hAnsi="Times New Roman" w:cs="Times New Roman"/>
          <w:sz w:val="32"/>
          <w:szCs w:val="32"/>
        </w:rPr>
        <w:t>为首钢机电公司、诚和敬公司、</w:t>
      </w:r>
      <w:proofErr w:type="gramStart"/>
      <w:r>
        <w:rPr>
          <w:rFonts w:ascii="Times New Roman" w:eastAsia="仿宋_GB2312" w:hAnsi="Times New Roman" w:cs="Times New Roman"/>
          <w:sz w:val="32"/>
          <w:szCs w:val="32"/>
        </w:rPr>
        <w:t>首欣物业</w:t>
      </w:r>
      <w:proofErr w:type="gramEnd"/>
      <w:r>
        <w:rPr>
          <w:rFonts w:ascii="Times New Roman" w:eastAsia="仿宋_GB2312" w:hAnsi="Times New Roman" w:cs="Times New Roman"/>
          <w:sz w:val="32"/>
          <w:szCs w:val="32"/>
        </w:rPr>
        <w:t>、富通电梯等</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家企业开展企业新型学徒培训，涉及多媒体作品制作员、养老护理员、</w:t>
      </w:r>
      <w:proofErr w:type="gramStart"/>
      <w:r>
        <w:rPr>
          <w:rFonts w:ascii="Times New Roman" w:eastAsia="仿宋_GB2312" w:hAnsi="Times New Roman" w:cs="Times New Roman"/>
          <w:sz w:val="32"/>
          <w:szCs w:val="32"/>
        </w:rPr>
        <w:t>云计算</w:t>
      </w:r>
      <w:proofErr w:type="gramEnd"/>
      <w:r>
        <w:rPr>
          <w:rFonts w:ascii="Times New Roman" w:eastAsia="仿宋_GB2312" w:hAnsi="Times New Roman" w:cs="Times New Roman"/>
          <w:sz w:val="32"/>
          <w:szCs w:val="32"/>
        </w:rPr>
        <w:t>工程技术人员、电工、轧钢、电梯维修工等等</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个工种</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共计</w:t>
      </w:r>
      <w:r>
        <w:rPr>
          <w:rFonts w:ascii="Times New Roman" w:eastAsia="仿宋_GB2312" w:hAnsi="Times New Roman" w:cs="Times New Roman"/>
          <w:sz w:val="32"/>
          <w:szCs w:val="32"/>
        </w:rPr>
        <w:t>17</w:t>
      </w:r>
      <w:r>
        <w:rPr>
          <w:rFonts w:ascii="Times New Roman" w:eastAsia="仿宋_GB2312" w:hAnsi="Times New Roman" w:cs="Times New Roman"/>
          <w:sz w:val="32"/>
          <w:szCs w:val="32"/>
        </w:rPr>
        <w:t>个班次，培训</w:t>
      </w:r>
      <w:r>
        <w:rPr>
          <w:rFonts w:ascii="Times New Roman" w:eastAsia="仿宋_GB2312" w:hAnsi="Times New Roman" w:cs="Times New Roman"/>
          <w:sz w:val="32"/>
          <w:szCs w:val="32"/>
        </w:rPr>
        <w:t>371</w:t>
      </w:r>
      <w:r>
        <w:rPr>
          <w:rFonts w:ascii="Times New Roman" w:eastAsia="仿宋_GB2312" w:hAnsi="Times New Roman" w:cs="Times New Roman"/>
          <w:sz w:val="32"/>
          <w:szCs w:val="32"/>
        </w:rPr>
        <w:t>名学员，受到企业普遍好评。</w:t>
      </w:r>
    </w:p>
    <w:p w:rsidR="00E056BC" w:rsidRDefault="00101FB3">
      <w:pPr>
        <w:tabs>
          <w:tab w:val="left" w:pos="633"/>
        </w:tabs>
        <w:adjustRightInd w:val="0"/>
        <w:snapToGrid w:val="0"/>
        <w:spacing w:line="60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2.</w:t>
      </w:r>
      <w:r>
        <w:rPr>
          <w:rFonts w:ascii="Times New Roman" w:eastAsia="仿宋_GB2312" w:hAnsi="Times New Roman" w:cs="Times New Roman"/>
          <w:b/>
          <w:bCs/>
          <w:color w:val="000000"/>
          <w:kern w:val="0"/>
          <w:sz w:val="32"/>
          <w:szCs w:val="32"/>
        </w:rPr>
        <w:t>可持续性影响</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）国家级高技能人才培训基地建设完成，拓宽了学院可持续高质量发展空间。</w:t>
      </w:r>
      <w:r>
        <w:rPr>
          <w:rFonts w:ascii="Times New Roman" w:eastAsia="仿宋_GB2312" w:hAnsi="Times New Roman" w:cs="Times New Roman"/>
          <w:bCs/>
          <w:color w:val="000000" w:themeColor="text1"/>
          <w:sz w:val="32"/>
          <w:szCs w:val="32"/>
        </w:rPr>
        <w:t>学院国家级高技能人才培训基地建设项目，围绕机械设备装配与自动控制专业、幼儿教育专业及信息化</w:t>
      </w:r>
      <w:r>
        <w:rPr>
          <w:rFonts w:ascii="Times New Roman" w:eastAsia="仿宋_GB2312" w:hAnsi="Times New Roman" w:cs="Times New Roman"/>
          <w:bCs/>
          <w:color w:val="000000" w:themeColor="text1"/>
          <w:sz w:val="32"/>
          <w:szCs w:val="32"/>
        </w:rPr>
        <w:t>3</w:t>
      </w:r>
      <w:r>
        <w:rPr>
          <w:rFonts w:ascii="Times New Roman" w:eastAsia="仿宋_GB2312" w:hAnsi="Times New Roman" w:cs="Times New Roman"/>
          <w:bCs/>
          <w:color w:val="000000" w:themeColor="text1"/>
          <w:sz w:val="32"/>
          <w:szCs w:val="32"/>
        </w:rPr>
        <w:t>个项目开展建设。计划建设任务</w:t>
      </w:r>
      <w:r>
        <w:rPr>
          <w:rFonts w:ascii="Times New Roman" w:eastAsia="仿宋_GB2312" w:hAnsi="Times New Roman" w:cs="Times New Roman"/>
          <w:bCs/>
          <w:color w:val="000000" w:themeColor="text1"/>
          <w:sz w:val="32"/>
          <w:szCs w:val="32"/>
        </w:rPr>
        <w:t>168</w:t>
      </w:r>
      <w:r>
        <w:rPr>
          <w:rFonts w:ascii="Times New Roman" w:eastAsia="仿宋_GB2312" w:hAnsi="Times New Roman" w:cs="Times New Roman"/>
          <w:bCs/>
          <w:color w:val="000000" w:themeColor="text1"/>
          <w:sz w:val="32"/>
          <w:szCs w:val="32"/>
        </w:rPr>
        <w:t>项，实际完成</w:t>
      </w:r>
      <w:r>
        <w:rPr>
          <w:rFonts w:ascii="Times New Roman" w:eastAsia="仿宋_GB2312" w:hAnsi="Times New Roman" w:cs="Times New Roman"/>
          <w:bCs/>
          <w:color w:val="000000" w:themeColor="text1"/>
          <w:sz w:val="32"/>
          <w:szCs w:val="32"/>
        </w:rPr>
        <w:t>238</w:t>
      </w:r>
      <w:r>
        <w:rPr>
          <w:rFonts w:ascii="Times New Roman" w:eastAsia="仿宋_GB2312" w:hAnsi="Times New Roman" w:cs="Times New Roman"/>
          <w:bCs/>
          <w:color w:val="000000" w:themeColor="text1"/>
          <w:sz w:val="32"/>
          <w:szCs w:val="32"/>
        </w:rPr>
        <w:lastRenderedPageBreak/>
        <w:t>项，完成率</w:t>
      </w:r>
      <w:r>
        <w:rPr>
          <w:rFonts w:ascii="Times New Roman" w:eastAsia="仿宋_GB2312" w:hAnsi="Times New Roman" w:cs="Times New Roman"/>
          <w:bCs/>
          <w:color w:val="000000" w:themeColor="text1"/>
          <w:sz w:val="32"/>
          <w:szCs w:val="32"/>
        </w:rPr>
        <w:t>141.7%</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color w:val="000000" w:themeColor="text1"/>
          <w:sz w:val="32"/>
        </w:rPr>
        <w:t>通过创新技能人才培养模式，充实数字化资源库，提高了师资队伍水平，提升了专业内涵，带动学院高技能人才培训能力的进一步提升。</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color w:val="000000" w:themeColor="text1"/>
          <w:sz w:val="32"/>
        </w:rPr>
      </w:pPr>
      <w:r>
        <w:rPr>
          <w:rFonts w:ascii="Times New Roman" w:eastAsia="仿宋_GB2312" w:hAnsi="Times New Roman" w:cs="Times New Roman"/>
          <w:color w:val="000000" w:themeColor="text1"/>
          <w:sz w:val="32"/>
        </w:rPr>
        <w:t>（</w:t>
      </w:r>
      <w:r>
        <w:rPr>
          <w:rFonts w:ascii="Times New Roman" w:eastAsia="仿宋_GB2312" w:hAnsi="Times New Roman" w:cs="Times New Roman"/>
          <w:color w:val="000000" w:themeColor="text1"/>
          <w:sz w:val="32"/>
        </w:rPr>
        <w:t>2</w:t>
      </w:r>
      <w:r>
        <w:rPr>
          <w:rFonts w:ascii="Times New Roman" w:eastAsia="仿宋_GB2312" w:hAnsi="Times New Roman" w:cs="Times New Roman"/>
          <w:color w:val="000000" w:themeColor="text1"/>
          <w:sz w:val="32"/>
        </w:rPr>
        <w:t>）</w:t>
      </w:r>
      <w:r>
        <w:rPr>
          <w:rFonts w:ascii="Times New Roman" w:eastAsia="仿宋_GB2312" w:hAnsi="Times New Roman" w:cs="Times New Roman"/>
          <w:color w:val="000000" w:themeColor="text1"/>
          <w:sz w:val="32"/>
          <w:lang w:val="zh-TW"/>
        </w:rPr>
        <w:t>“</w:t>
      </w:r>
      <w:r>
        <w:rPr>
          <w:rFonts w:ascii="Times New Roman" w:eastAsia="仿宋_GB2312" w:hAnsi="Times New Roman" w:cs="Times New Roman"/>
          <w:color w:val="000000" w:themeColor="text1"/>
          <w:sz w:val="32"/>
          <w:lang w:val="zh-TW"/>
        </w:rPr>
        <w:t>首都工匠学院</w:t>
      </w:r>
      <w:r>
        <w:rPr>
          <w:rFonts w:ascii="Times New Roman" w:eastAsia="仿宋_GB2312" w:hAnsi="Times New Roman" w:cs="Times New Roman"/>
          <w:color w:val="000000" w:themeColor="text1"/>
          <w:sz w:val="32"/>
          <w:lang w:val="zh-TW"/>
        </w:rPr>
        <w:t>”</w:t>
      </w:r>
      <w:r>
        <w:rPr>
          <w:rFonts w:ascii="Times New Roman" w:eastAsia="仿宋_GB2312" w:hAnsi="Times New Roman" w:cs="Times New Roman"/>
          <w:color w:val="000000" w:themeColor="text1"/>
          <w:sz w:val="32"/>
          <w:lang w:val="zh-TW"/>
        </w:rPr>
        <w:t>在学院揭牌</w:t>
      </w:r>
      <w:r>
        <w:rPr>
          <w:rFonts w:ascii="Times New Roman" w:eastAsia="仿宋_GB2312" w:hAnsi="Times New Roman" w:cs="Times New Roman" w:hint="eastAsia"/>
          <w:color w:val="000000" w:themeColor="text1"/>
          <w:sz w:val="32"/>
          <w:lang w:val="zh-TW"/>
        </w:rPr>
        <w:t>，</w:t>
      </w:r>
      <w:r>
        <w:rPr>
          <w:rFonts w:ascii="Times New Roman" w:eastAsia="仿宋_GB2312" w:hAnsi="Times New Roman" w:cs="Times New Roman"/>
          <w:color w:val="000000" w:themeColor="text1"/>
          <w:sz w:val="32"/>
          <w:lang w:val="zh-TW"/>
        </w:rPr>
        <w:t>成为全市第一家企业办工匠学院单位。</w:t>
      </w:r>
      <w:r>
        <w:rPr>
          <w:rFonts w:ascii="Times New Roman" w:eastAsia="仿宋_GB2312" w:hAnsi="Times New Roman" w:cs="Times New Roman"/>
          <w:color w:val="000000" w:themeColor="text1"/>
          <w:sz w:val="32"/>
        </w:rPr>
        <w:t>“</w:t>
      </w:r>
      <w:r>
        <w:rPr>
          <w:rFonts w:ascii="Times New Roman" w:eastAsia="仿宋_GB2312" w:hAnsi="Times New Roman" w:cs="Times New Roman"/>
          <w:color w:val="000000" w:themeColor="text1"/>
          <w:sz w:val="32"/>
        </w:rPr>
        <w:t>首都工匠学院</w:t>
      </w:r>
      <w:r>
        <w:rPr>
          <w:rFonts w:ascii="Times New Roman" w:eastAsia="仿宋_GB2312" w:hAnsi="Times New Roman" w:cs="Times New Roman"/>
          <w:color w:val="000000" w:themeColor="text1"/>
          <w:sz w:val="32"/>
        </w:rPr>
        <w:t>”2022</w:t>
      </w:r>
      <w:r>
        <w:rPr>
          <w:rFonts w:ascii="Times New Roman" w:eastAsia="仿宋_GB2312" w:hAnsi="Times New Roman" w:cs="Times New Roman"/>
          <w:color w:val="000000" w:themeColor="text1"/>
          <w:sz w:val="32"/>
        </w:rPr>
        <w:t>年</w:t>
      </w:r>
      <w:r>
        <w:rPr>
          <w:rFonts w:ascii="Times New Roman" w:eastAsia="仿宋_GB2312" w:hAnsi="Times New Roman" w:cs="Times New Roman"/>
          <w:color w:val="000000" w:themeColor="text1"/>
          <w:sz w:val="32"/>
        </w:rPr>
        <w:t>9</w:t>
      </w:r>
      <w:r>
        <w:rPr>
          <w:rFonts w:ascii="Times New Roman" w:eastAsia="仿宋_GB2312" w:hAnsi="Times New Roman" w:cs="Times New Roman"/>
          <w:color w:val="000000" w:themeColor="text1"/>
          <w:sz w:val="32"/>
        </w:rPr>
        <w:t>月</w:t>
      </w:r>
      <w:r>
        <w:rPr>
          <w:rFonts w:ascii="Times New Roman" w:eastAsia="仿宋_GB2312" w:hAnsi="Times New Roman" w:cs="Times New Roman"/>
          <w:color w:val="000000" w:themeColor="text1"/>
          <w:sz w:val="32"/>
        </w:rPr>
        <w:t>27</w:t>
      </w:r>
      <w:r>
        <w:rPr>
          <w:rFonts w:ascii="Times New Roman" w:eastAsia="仿宋_GB2312" w:hAnsi="Times New Roman" w:cs="Times New Roman"/>
          <w:color w:val="000000" w:themeColor="text1"/>
          <w:sz w:val="32"/>
        </w:rPr>
        <w:t>日挂牌，全国人大常委会副委员长、全国总工会主席王东明，全国总工会党组书记、副主席陈刚先后就</w:t>
      </w:r>
      <w:r>
        <w:rPr>
          <w:rFonts w:ascii="Times New Roman" w:eastAsia="仿宋_GB2312" w:hAnsi="Times New Roman" w:cs="Times New Roman"/>
          <w:color w:val="000000" w:themeColor="text1"/>
          <w:sz w:val="32"/>
        </w:rPr>
        <w:t>“</w:t>
      </w:r>
      <w:r>
        <w:rPr>
          <w:rFonts w:ascii="Times New Roman" w:eastAsia="仿宋_GB2312" w:hAnsi="Times New Roman" w:cs="Times New Roman"/>
          <w:color w:val="000000" w:themeColor="text1"/>
          <w:sz w:val="32"/>
        </w:rPr>
        <w:t>首都工匠学院</w:t>
      </w:r>
      <w:r>
        <w:rPr>
          <w:rFonts w:ascii="Times New Roman" w:eastAsia="仿宋_GB2312" w:hAnsi="Times New Roman" w:cs="Times New Roman"/>
          <w:color w:val="000000" w:themeColor="text1"/>
          <w:sz w:val="32"/>
        </w:rPr>
        <w:t>”</w:t>
      </w:r>
      <w:r>
        <w:rPr>
          <w:rFonts w:ascii="Times New Roman" w:eastAsia="仿宋_GB2312" w:hAnsi="Times New Roman" w:cs="Times New Roman"/>
          <w:color w:val="000000" w:themeColor="text1"/>
          <w:sz w:val="32"/>
        </w:rPr>
        <w:t>建设</w:t>
      </w:r>
      <w:proofErr w:type="gramStart"/>
      <w:r>
        <w:rPr>
          <w:rFonts w:ascii="Times New Roman" w:eastAsia="仿宋_GB2312" w:hAnsi="Times New Roman" w:cs="Times New Roman"/>
          <w:color w:val="000000" w:themeColor="text1"/>
          <w:sz w:val="32"/>
        </w:rPr>
        <w:t>作出</w:t>
      </w:r>
      <w:proofErr w:type="gramEnd"/>
      <w:r>
        <w:rPr>
          <w:rFonts w:ascii="Times New Roman" w:eastAsia="仿宋_GB2312" w:hAnsi="Times New Roman" w:cs="Times New Roman"/>
          <w:color w:val="000000" w:themeColor="text1"/>
          <w:sz w:val="32"/>
        </w:rPr>
        <w:t>批示，给予充分肯定。劳动午报、首都建设报、工人日报等多家媒体给予报道。在全国总工会推荐下，全国各省工会干部培训班实训也在学院举办，为打造国内有影响力一流技能人才培养基地奠定了基础。</w:t>
      </w:r>
    </w:p>
    <w:p w:rsidR="00E056BC" w:rsidRDefault="00101FB3">
      <w:pPr>
        <w:adjustRightInd w:val="0"/>
        <w:snapToGrid w:val="0"/>
        <w:spacing w:line="600" w:lineRule="exact"/>
        <w:ind w:firstLineChars="200" w:firstLine="643"/>
        <w:textAlignment w:val="baseline"/>
        <w:rPr>
          <w:rFonts w:ascii="Times New Roman" w:eastAsia="黑体" w:hAnsi="Times New Roman" w:cs="Times New Roman"/>
          <w:sz w:val="32"/>
          <w:szCs w:val="32"/>
        </w:rPr>
      </w:pPr>
      <w:r>
        <w:rPr>
          <w:rFonts w:ascii="Times New Roman" w:eastAsia="仿宋_GB2312" w:hAnsi="Times New Roman" w:cs="Times New Roman"/>
          <w:b/>
          <w:bCs/>
          <w:color w:val="000000"/>
          <w:kern w:val="0"/>
          <w:sz w:val="32"/>
          <w:szCs w:val="32"/>
        </w:rPr>
        <w:t>3.</w:t>
      </w:r>
      <w:r>
        <w:rPr>
          <w:rFonts w:ascii="Times New Roman" w:eastAsia="仿宋_GB2312" w:hAnsi="Times New Roman" w:cs="Times New Roman"/>
          <w:b/>
          <w:bCs/>
          <w:color w:val="000000"/>
          <w:kern w:val="0"/>
          <w:sz w:val="32"/>
          <w:szCs w:val="32"/>
        </w:rPr>
        <w:t>服务对象满意度</w:t>
      </w:r>
    </w:p>
    <w:p w:rsidR="00E056BC" w:rsidRDefault="00101FB3">
      <w:pPr>
        <w:tabs>
          <w:tab w:val="left" w:pos="633"/>
        </w:tabs>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年首钢技师学院对应届毕业生组织了满意度调查，综合平均分</w:t>
      </w:r>
      <w:r>
        <w:rPr>
          <w:rFonts w:ascii="Times New Roman" w:eastAsia="仿宋_GB2312" w:hAnsi="Times New Roman" w:cs="Times New Roman"/>
          <w:sz w:val="32"/>
          <w:szCs w:val="32"/>
        </w:rPr>
        <w:t>9.12</w:t>
      </w:r>
      <w:r>
        <w:rPr>
          <w:rFonts w:ascii="Times New Roman" w:eastAsia="仿宋_GB2312" w:hAnsi="Times New Roman" w:cs="Times New Roman"/>
          <w:sz w:val="32"/>
          <w:szCs w:val="32"/>
        </w:rPr>
        <w:t>分（满分为</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分），即满意率</w:t>
      </w:r>
      <w:r>
        <w:rPr>
          <w:rFonts w:ascii="Times New Roman" w:eastAsia="仿宋_GB2312" w:hAnsi="Times New Roman" w:cs="Times New Roman"/>
          <w:sz w:val="32"/>
          <w:szCs w:val="32"/>
        </w:rPr>
        <w:t>91.2%</w:t>
      </w:r>
      <w:r>
        <w:rPr>
          <w:rFonts w:ascii="Times New Roman" w:eastAsia="仿宋_GB2312" w:hAnsi="Times New Roman" w:cs="Times New Roman"/>
          <w:sz w:val="32"/>
          <w:szCs w:val="32"/>
        </w:rPr>
        <w:t>。学生对学院教育教学、实习就业等满意度总体较高。</w:t>
      </w:r>
    </w:p>
    <w:p w:rsidR="00E056BC" w:rsidRDefault="00101FB3">
      <w:pPr>
        <w:pStyle w:val="a5"/>
        <w:spacing w:afterLines="100" w:after="312" w:line="600" w:lineRule="exact"/>
        <w:ind w:firstLine="0"/>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2022</w:t>
      </w:r>
      <w:r>
        <w:rPr>
          <w:rFonts w:ascii="Times New Roman" w:eastAsia="宋体" w:hAnsi="Times New Roman" w:cs="Times New Roman"/>
          <w:b/>
          <w:bCs/>
          <w:sz w:val="28"/>
          <w:szCs w:val="28"/>
        </w:rPr>
        <w:t>年度首钢技师学院毕业生满意度调查得分统计表</w:t>
      </w:r>
    </w:p>
    <w:tbl>
      <w:tblPr>
        <w:tblW w:w="8981" w:type="dxa"/>
        <w:tblInd w:w="-69" w:type="dxa"/>
        <w:tblLayout w:type="fixed"/>
        <w:tblLook w:val="04A0" w:firstRow="1" w:lastRow="0" w:firstColumn="1" w:lastColumn="0" w:noHBand="0" w:noVBand="1"/>
      </w:tblPr>
      <w:tblGrid>
        <w:gridCol w:w="2333"/>
        <w:gridCol w:w="1352"/>
        <w:gridCol w:w="1386"/>
        <w:gridCol w:w="1283"/>
        <w:gridCol w:w="1328"/>
        <w:gridCol w:w="1299"/>
      </w:tblGrid>
      <w:tr w:rsidR="00E056BC">
        <w:trPr>
          <w:trHeight w:val="649"/>
        </w:trPr>
        <w:tc>
          <w:tcPr>
            <w:tcW w:w="233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E056BC" w:rsidRDefault="00101FB3">
            <w:pPr>
              <w:widowControl/>
              <w:spacing w:line="360" w:lineRule="auto"/>
              <w:jc w:val="center"/>
              <w:textAlignment w:val="center"/>
              <w:rPr>
                <w:rFonts w:ascii="宋体" w:eastAsia="宋体" w:hAnsi="宋体" w:cs="宋体"/>
                <w:b/>
                <w:bCs/>
                <w:color w:val="000000"/>
                <w:kern w:val="0"/>
                <w:szCs w:val="21"/>
                <w:lang w:bidi="ar"/>
              </w:rPr>
            </w:pPr>
            <w:bookmarkStart w:id="32" w:name="_Toc4480"/>
            <w:bookmarkStart w:id="33" w:name="_Toc6982"/>
            <w:bookmarkStart w:id="34" w:name="_Toc21355"/>
            <w:bookmarkStart w:id="35" w:name="_Toc17651"/>
            <w:r>
              <w:rPr>
                <w:rFonts w:ascii="宋体" w:eastAsia="宋体" w:hAnsi="宋体" w:cs="宋体" w:hint="eastAsia"/>
                <w:b/>
                <w:bCs/>
                <w:color w:val="000000"/>
                <w:kern w:val="0"/>
                <w:szCs w:val="21"/>
                <w:lang w:bidi="ar"/>
              </w:rPr>
              <w:t>二级学院</w:t>
            </w:r>
          </w:p>
          <w:p w:rsidR="00E056BC" w:rsidRDefault="00101FB3">
            <w:pPr>
              <w:widowControl/>
              <w:spacing w:beforeLines="50" w:before="156" w:line="360" w:lineRule="auto"/>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满意度指标</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护理与学前教育学院</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管理学院</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冶金安全环保学院</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计算机与媒体艺术学院</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机电工程学院</w:t>
            </w:r>
          </w:p>
        </w:tc>
      </w:tr>
      <w:tr w:rsidR="00E056BC">
        <w:trPr>
          <w:trHeight w:val="394"/>
        </w:trPr>
        <w:tc>
          <w:tcPr>
            <w:tcW w:w="2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E056BC" w:rsidRDefault="00E056BC">
            <w:pPr>
              <w:jc w:val="center"/>
              <w:rPr>
                <w:rFonts w:ascii="宋体" w:eastAsia="宋体" w:hAnsi="宋体" w:cs="宋体"/>
                <w:b/>
                <w:bCs/>
                <w:color w:val="000000"/>
                <w:szCs w:val="21"/>
              </w:rPr>
            </w:pP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技师学院</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技师学院</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技师学院</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技师学院</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adjustRightInd w:val="0"/>
              <w:snapToGrid w:val="0"/>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技师学院</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班主任工作态度满意度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9.1475</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9.787</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9.17</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9.21</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8.932</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课程设置满意度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9.437</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9.22</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8.947</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9.13</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课堂教学满意度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9.09</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9.437</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9.316</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9.12</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任课教师工作态度满意度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9.15</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9.463</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9.09</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9.13</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8.96</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lastRenderedPageBreak/>
              <w:t>一体化教学（实训）满意度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9.557</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8.903</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9.13</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9.15</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实习管理满意度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8.8575</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9.15</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8.893</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就业指导满意度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8.95</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9.27</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9.11</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8.95</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就业推荐满意度</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8.7375</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9.34</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8.81</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8.85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8.95</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总分</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72.1725</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75.441</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72.302</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72.427</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72.292</w:t>
            </w:r>
          </w:p>
        </w:tc>
      </w:tr>
      <w:tr w:rsidR="00E056BC">
        <w:trPr>
          <w:trHeight w:val="394"/>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平均分</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9.02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9.43</w:t>
            </w:r>
          </w:p>
        </w:tc>
        <w:tc>
          <w:tcPr>
            <w:tcW w:w="1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9.04</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9.05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9.04</w:t>
            </w:r>
          </w:p>
        </w:tc>
      </w:tr>
      <w:tr w:rsidR="00E056BC">
        <w:trPr>
          <w:trHeight w:val="416"/>
        </w:trPr>
        <w:tc>
          <w:tcPr>
            <w:tcW w:w="23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b/>
                <w:bCs/>
                <w:color w:val="333333"/>
                <w:szCs w:val="21"/>
              </w:rPr>
            </w:pPr>
            <w:r>
              <w:rPr>
                <w:rFonts w:ascii="宋体" w:eastAsia="宋体" w:hAnsi="宋体" w:cs="宋体" w:hint="eastAsia"/>
                <w:b/>
                <w:bCs/>
                <w:color w:val="333333"/>
                <w:kern w:val="0"/>
                <w:szCs w:val="21"/>
                <w:lang w:bidi="ar"/>
              </w:rPr>
              <w:t>综合平均分</w:t>
            </w:r>
          </w:p>
        </w:tc>
        <w:tc>
          <w:tcPr>
            <w:tcW w:w="664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056BC" w:rsidRDefault="00101FB3">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9.12</w:t>
            </w:r>
          </w:p>
        </w:tc>
      </w:tr>
    </w:tbl>
    <w:p w:rsidR="00E056BC" w:rsidRDefault="00101FB3">
      <w:pPr>
        <w:adjustRightInd w:val="0"/>
        <w:snapToGrid w:val="0"/>
        <w:spacing w:line="580" w:lineRule="exact"/>
        <w:textAlignment w:val="baseline"/>
        <w:outlineLvl w:val="0"/>
        <w:rPr>
          <w:rFonts w:ascii="Times New Roman" w:eastAsia="宋体" w:hAnsi="Times New Roman" w:cs="Times New Roman"/>
          <w:sz w:val="24"/>
          <w:szCs w:val="24"/>
        </w:rPr>
      </w:pPr>
      <w:r>
        <w:rPr>
          <w:rFonts w:ascii="Times New Roman" w:eastAsia="宋体" w:hAnsi="Times New Roman" w:cs="Times New Roman"/>
          <w:sz w:val="24"/>
          <w:szCs w:val="24"/>
        </w:rPr>
        <w:t>注：单项指标满分为</w:t>
      </w:r>
      <w:r>
        <w:rPr>
          <w:rFonts w:ascii="Times New Roman" w:eastAsia="宋体" w:hAnsi="Times New Roman" w:cs="Times New Roman"/>
          <w:sz w:val="24"/>
          <w:szCs w:val="24"/>
        </w:rPr>
        <w:t>10</w:t>
      </w:r>
      <w:r>
        <w:rPr>
          <w:rFonts w:ascii="Times New Roman" w:eastAsia="宋体" w:hAnsi="Times New Roman" w:cs="Times New Roman"/>
          <w:sz w:val="24"/>
          <w:szCs w:val="24"/>
        </w:rPr>
        <w:t>分</w:t>
      </w:r>
      <w:r>
        <w:rPr>
          <w:rFonts w:ascii="Times New Roman" w:eastAsia="宋体" w:hAnsi="Times New Roman" w:cs="Times New Roman" w:hint="eastAsia"/>
          <w:sz w:val="24"/>
          <w:szCs w:val="24"/>
        </w:rPr>
        <w:t>。</w:t>
      </w:r>
    </w:p>
    <w:p w:rsidR="00E056BC" w:rsidRDefault="00101FB3">
      <w:pPr>
        <w:adjustRightInd w:val="0"/>
        <w:snapToGrid w:val="0"/>
        <w:spacing w:line="600" w:lineRule="exact"/>
        <w:ind w:firstLineChars="200" w:firstLine="640"/>
        <w:textAlignment w:val="baseline"/>
        <w:outlineLvl w:val="0"/>
        <w:rPr>
          <w:rFonts w:ascii="Times New Roman" w:eastAsia="黑体" w:hAnsi="Times New Roman" w:cs="Times New Roman"/>
          <w:sz w:val="32"/>
          <w:szCs w:val="32"/>
        </w:rPr>
      </w:pPr>
      <w:r>
        <w:rPr>
          <w:rFonts w:ascii="Times New Roman" w:eastAsia="黑体" w:hAnsi="Times New Roman" w:cs="Times New Roman"/>
          <w:sz w:val="32"/>
          <w:szCs w:val="32"/>
        </w:rPr>
        <w:t>四、预算管理情况分析</w:t>
      </w:r>
      <w:bookmarkEnd w:id="32"/>
      <w:bookmarkEnd w:id="33"/>
      <w:bookmarkEnd w:id="34"/>
      <w:bookmarkEnd w:id="35"/>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bookmarkStart w:id="36" w:name="_Toc19727"/>
      <w:bookmarkStart w:id="37" w:name="_Toc31386"/>
      <w:bookmarkStart w:id="38" w:name="_Toc16709"/>
      <w:bookmarkStart w:id="39" w:name="_Toc5435"/>
      <w:r>
        <w:rPr>
          <w:rFonts w:ascii="Times New Roman" w:eastAsia="楷体_GB2312" w:hAnsi="Times New Roman" w:cs="Times New Roman"/>
          <w:b/>
          <w:bCs/>
          <w:sz w:val="32"/>
          <w:szCs w:val="32"/>
        </w:rPr>
        <w:t>（一）财务管理</w:t>
      </w:r>
      <w:bookmarkEnd w:id="36"/>
      <w:bookmarkEnd w:id="37"/>
      <w:bookmarkEnd w:id="38"/>
      <w:bookmarkEnd w:id="39"/>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财务管理制度健全性</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以内部控制体系建设为抓手，不断完善学院财务管理制度体系。一是编印了内部控制手册。为进一步提高内部管理水平，规范内部控制，加强廉政风险防控机制建设，</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编制了《首钢技师学院内部控制手册》，从单位层面和业务层面规范了内部控制流程，为指导学院内部控制体系建设，促进各项经营活动规范有序运行，增强风险防范能力，提供了操作规范和规章约束。二是健全了财务管理制度。由学院计财部和资产管理处牵头，制定完善了预算管理、收入管理、支出管理、采购管理、资产管理、专项资金管理、对外投资管理、货币资金管理、往来账款管理、会计档案管理等</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多项财务管理制度、办法和细则，实现财务制度全方位、多角度覆盖，为学院教学管理和经济活动提供了制度依据和基本遵循。</w:t>
      </w:r>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lastRenderedPageBreak/>
        <w:t>2.</w:t>
      </w:r>
      <w:r>
        <w:rPr>
          <w:rFonts w:ascii="Times New Roman" w:eastAsia="仿宋_GB2312" w:hAnsi="Times New Roman" w:cs="Times New Roman"/>
          <w:b/>
          <w:bCs/>
          <w:sz w:val="32"/>
          <w:szCs w:val="32"/>
        </w:rPr>
        <w:t>资金使用合</w:t>
      </w:r>
      <w:proofErr w:type="gramStart"/>
      <w:r>
        <w:rPr>
          <w:rFonts w:ascii="Times New Roman" w:eastAsia="仿宋_GB2312" w:hAnsi="Times New Roman" w:cs="Times New Roman"/>
          <w:b/>
          <w:bCs/>
          <w:sz w:val="32"/>
          <w:szCs w:val="32"/>
        </w:rPr>
        <w:t>规</w:t>
      </w:r>
      <w:proofErr w:type="gramEnd"/>
      <w:r>
        <w:rPr>
          <w:rFonts w:ascii="Times New Roman" w:eastAsia="仿宋_GB2312" w:hAnsi="Times New Roman" w:cs="Times New Roman"/>
          <w:b/>
          <w:bCs/>
          <w:sz w:val="32"/>
          <w:szCs w:val="32"/>
        </w:rPr>
        <w:t>性和安全性</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首钢技师学院实行统一领导、分级管理、授权审批的预算管理体制，学院财务管理责任明确、措施到位，资金支出由计财部归口管理，使用部门各负其责，基本经费支出按职责权限实行归口管理。在预算执行和资金使用层面，能够执行相关预算、审批、采购、合同、资金、资产、工程等管理制度，政府采购、政府购买服务、培训费、委托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三公经费</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等支出严格按预算批复执行，除日常财务监管外，严格审计监督和纪检监察，各归口管理部门也发挥职能监督作用，强化财经纪律的刚性</w:t>
      </w:r>
      <w:r>
        <w:rPr>
          <w:rFonts w:ascii="Times New Roman" w:eastAsia="仿宋_GB2312" w:hAnsi="Times New Roman" w:cs="Times New Roman"/>
          <w:sz w:val="32"/>
        </w:rPr>
        <w:t>，防范经济风险。</w:t>
      </w:r>
      <w:r>
        <w:rPr>
          <w:rFonts w:ascii="Times New Roman" w:eastAsia="仿宋_GB2312" w:hAnsi="Times New Roman" w:cs="Times New Roman"/>
          <w:sz w:val="32"/>
          <w:szCs w:val="32"/>
        </w:rPr>
        <w:t>通过抽查特高建设电气自动化设备安装与维修专业</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群</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、特高建设卫建平智能装配工作室、</w:t>
      </w:r>
      <w:r>
        <w:rPr>
          <w:rFonts w:ascii="Times New Roman" w:eastAsia="仿宋_GB2312" w:hAnsi="Times New Roman" w:cs="Times New Roman"/>
          <w:bCs/>
          <w:kern w:val="44"/>
          <w:sz w:val="32"/>
          <w:szCs w:val="32"/>
        </w:rPr>
        <w:t>视频监控设备升级改造</w:t>
      </w:r>
      <w:r>
        <w:rPr>
          <w:rFonts w:ascii="Times New Roman" w:eastAsia="仿宋_GB2312" w:hAnsi="Times New Roman" w:cs="Times New Roman"/>
          <w:sz w:val="32"/>
          <w:szCs w:val="32"/>
        </w:rPr>
        <w:t>等项目支出凭证，经费审批手续严格，结算报销程序规范，经费支出合</w:t>
      </w:r>
      <w:proofErr w:type="gramStart"/>
      <w:r>
        <w:rPr>
          <w:rFonts w:ascii="Times New Roman" w:eastAsia="仿宋_GB2312" w:hAnsi="Times New Roman" w:cs="Times New Roman"/>
          <w:sz w:val="32"/>
          <w:szCs w:val="32"/>
        </w:rPr>
        <w:t>规</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 xml:space="preserve"> </w:t>
      </w:r>
    </w:p>
    <w:p w:rsidR="00E056BC" w:rsidRDefault="00101FB3">
      <w:pPr>
        <w:adjustRightInd w:val="0"/>
        <w:snapToGrid w:val="0"/>
        <w:spacing w:line="600" w:lineRule="exact"/>
        <w:ind w:firstLineChars="200" w:firstLine="643"/>
        <w:rPr>
          <w:rFonts w:ascii="Times New Roman" w:eastAsia="仿宋_GB2312" w:hAnsi="Times New Roman" w:cs="Times New Roman"/>
          <w:b/>
          <w:bCs/>
          <w:sz w:val="32"/>
          <w:szCs w:val="32"/>
        </w:rPr>
      </w:pPr>
      <w:bookmarkStart w:id="40" w:name="_Toc12409"/>
      <w:bookmarkStart w:id="41" w:name="_Toc17391"/>
      <w:bookmarkStart w:id="42" w:name="_Toc24440"/>
      <w:bookmarkStart w:id="43" w:name="_Toc5950"/>
      <w:r>
        <w:rPr>
          <w:rFonts w:ascii="Times New Roman" w:eastAsia="仿宋_GB2312" w:hAnsi="Times New Roman" w:cs="Times New Roman"/>
          <w:b/>
          <w:bCs/>
          <w:sz w:val="32"/>
          <w:szCs w:val="32"/>
        </w:rPr>
        <w:t>3.</w:t>
      </w:r>
      <w:r>
        <w:rPr>
          <w:rFonts w:ascii="Times New Roman" w:eastAsia="仿宋_GB2312" w:hAnsi="Times New Roman" w:cs="Times New Roman"/>
          <w:b/>
          <w:bCs/>
          <w:sz w:val="32"/>
          <w:szCs w:val="32"/>
        </w:rPr>
        <w:t>会计基础信息完善性</w:t>
      </w:r>
      <w:r>
        <w:rPr>
          <w:rFonts w:ascii="Times New Roman" w:eastAsia="仿宋_GB2312" w:hAnsi="Times New Roman" w:cs="Times New Roman"/>
          <w:b/>
          <w:bCs/>
          <w:sz w:val="32"/>
          <w:szCs w:val="32"/>
        </w:rPr>
        <w:t xml:space="preserve"> </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会计基础信息是预算管理工作的重要支撑。首钢技师学院严格按照《关于印发</w:t>
      </w:r>
      <w:r>
        <w:rPr>
          <w:rFonts w:ascii="Times New Roman" w:eastAsia="仿宋_GB2312" w:hAnsi="Times New Roman" w:cs="Times New Roman"/>
          <w:sz w:val="32"/>
          <w:szCs w:val="32"/>
        </w:rPr>
        <w:t>&lt;</w:t>
      </w:r>
      <w:r>
        <w:rPr>
          <w:rFonts w:ascii="Times New Roman" w:eastAsia="仿宋_GB2312" w:hAnsi="Times New Roman" w:cs="Times New Roman"/>
          <w:sz w:val="32"/>
          <w:szCs w:val="32"/>
        </w:rPr>
        <w:t>首钢技师学院会计核算管理办法</w:t>
      </w:r>
      <w:r>
        <w:rPr>
          <w:rFonts w:ascii="Times New Roman" w:eastAsia="仿宋_GB2312" w:hAnsi="Times New Roman" w:cs="Times New Roman"/>
          <w:sz w:val="32"/>
          <w:szCs w:val="32"/>
        </w:rPr>
        <w:t>&gt;</w:t>
      </w:r>
      <w:r>
        <w:rPr>
          <w:rFonts w:ascii="Times New Roman" w:eastAsia="仿宋_GB2312" w:hAnsi="Times New Roman" w:cs="Times New Roman"/>
          <w:sz w:val="32"/>
          <w:szCs w:val="32"/>
        </w:rPr>
        <w:t>的通知》（</w:t>
      </w:r>
      <w:r w:rsidR="00A941D1" w:rsidRPr="00A941D1">
        <w:rPr>
          <w:rFonts w:ascii="Times New Roman" w:eastAsia="仿宋_GB2312" w:hAnsi="Times New Roman" w:cs="Times New Roman" w:hint="eastAsia"/>
          <w:sz w:val="32"/>
          <w:szCs w:val="32"/>
        </w:rPr>
        <w:t>首技师发〔</w:t>
      </w:r>
      <w:r w:rsidR="00A941D1" w:rsidRPr="00A941D1">
        <w:rPr>
          <w:rFonts w:ascii="Times New Roman" w:eastAsia="仿宋_GB2312" w:hAnsi="Times New Roman" w:cs="Times New Roman"/>
          <w:sz w:val="32"/>
          <w:szCs w:val="32"/>
        </w:rPr>
        <w:t>2022</w:t>
      </w:r>
      <w:r w:rsidR="00A941D1" w:rsidRPr="00A941D1">
        <w:rPr>
          <w:rFonts w:ascii="Times New Roman" w:eastAsia="仿宋_GB2312" w:hAnsi="Times New Roman" w:cs="Times New Roman"/>
          <w:sz w:val="32"/>
          <w:szCs w:val="32"/>
        </w:rPr>
        <w:t>〕</w:t>
      </w:r>
      <w:r w:rsidR="00A941D1" w:rsidRPr="00A941D1">
        <w:rPr>
          <w:rFonts w:ascii="Times New Roman" w:eastAsia="仿宋_GB2312" w:hAnsi="Times New Roman" w:cs="Times New Roman"/>
          <w:sz w:val="32"/>
          <w:szCs w:val="32"/>
        </w:rPr>
        <w:t xml:space="preserve">34 </w:t>
      </w:r>
      <w:r w:rsidR="00A941D1" w:rsidRPr="00A941D1">
        <w:rPr>
          <w:rFonts w:ascii="Times New Roman" w:eastAsia="仿宋_GB2312" w:hAnsi="Times New Roman" w:cs="Times New Roman"/>
          <w:sz w:val="32"/>
          <w:szCs w:val="32"/>
        </w:rPr>
        <w:t>号</w:t>
      </w:r>
      <w:r>
        <w:rPr>
          <w:rFonts w:ascii="Times New Roman" w:eastAsia="仿宋_GB2312" w:hAnsi="Times New Roman" w:cs="Times New Roman"/>
          <w:sz w:val="32"/>
          <w:szCs w:val="32"/>
        </w:rPr>
        <w:t>）要求，规范学院会计核算，保证会计信息的及时、准确、真实、完整。绩效评价中查阅了学院的会计账套、</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年部门决算和决算分析报告。从检查情况看，会计记账</w:t>
      </w:r>
      <w:proofErr w:type="gramStart"/>
      <w:r>
        <w:rPr>
          <w:rFonts w:ascii="Times New Roman" w:eastAsia="仿宋_GB2312" w:hAnsi="Times New Roman" w:cs="Times New Roman"/>
          <w:sz w:val="32"/>
          <w:szCs w:val="32"/>
        </w:rPr>
        <w:t>账</w:t>
      </w:r>
      <w:proofErr w:type="gramEnd"/>
      <w:r>
        <w:rPr>
          <w:rFonts w:ascii="Times New Roman" w:eastAsia="仿宋_GB2312" w:hAnsi="Times New Roman" w:cs="Times New Roman"/>
          <w:sz w:val="32"/>
          <w:szCs w:val="32"/>
        </w:rPr>
        <w:t>套数据清晰完善，账目记载准确，勾</w:t>
      </w:r>
      <w:proofErr w:type="gramStart"/>
      <w:r>
        <w:rPr>
          <w:rFonts w:ascii="Times New Roman" w:eastAsia="仿宋_GB2312" w:hAnsi="Times New Roman" w:cs="Times New Roman"/>
          <w:sz w:val="32"/>
          <w:szCs w:val="32"/>
        </w:rPr>
        <w:t>稽</w:t>
      </w:r>
      <w:proofErr w:type="gramEnd"/>
      <w:r>
        <w:rPr>
          <w:rFonts w:ascii="Times New Roman" w:eastAsia="仿宋_GB2312" w:hAnsi="Times New Roman" w:cs="Times New Roman"/>
          <w:sz w:val="32"/>
          <w:szCs w:val="32"/>
        </w:rPr>
        <w:t>关系正确，决算报表和分析报告规范完整，为做好预算管理、绩</w:t>
      </w:r>
      <w:r>
        <w:rPr>
          <w:rFonts w:ascii="Times New Roman" w:eastAsia="仿宋_GB2312" w:hAnsi="Times New Roman" w:cs="Times New Roman"/>
          <w:sz w:val="32"/>
          <w:szCs w:val="32"/>
        </w:rPr>
        <w:lastRenderedPageBreak/>
        <w:t>效管理提供了真实、完整的基础信息资料。</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sz w:val="32"/>
          <w:szCs w:val="32"/>
        </w:rPr>
        <w:t>（二）资产管理</w:t>
      </w:r>
      <w:bookmarkEnd w:id="40"/>
      <w:bookmarkEnd w:id="41"/>
      <w:bookmarkEnd w:id="42"/>
      <w:bookmarkEnd w:id="43"/>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bookmarkStart w:id="44" w:name="_Toc23561"/>
      <w:bookmarkStart w:id="45" w:name="_Toc14210"/>
      <w:bookmarkStart w:id="46" w:name="_Toc18561"/>
      <w:r>
        <w:rPr>
          <w:rFonts w:ascii="Times New Roman" w:eastAsia="仿宋_GB2312" w:hAnsi="Times New Roman" w:cs="Times New Roman"/>
          <w:sz w:val="32"/>
          <w:szCs w:val="32"/>
        </w:rPr>
        <w:t>截至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日，首钢技师学院资产总额</w:t>
      </w:r>
      <w:r>
        <w:rPr>
          <w:rFonts w:ascii="Times New Roman" w:eastAsia="仿宋_GB2312" w:hAnsi="Times New Roman" w:cs="Times New Roman"/>
          <w:sz w:val="32"/>
          <w:szCs w:val="32"/>
        </w:rPr>
        <w:t>25544.82</w:t>
      </w:r>
      <w:r>
        <w:rPr>
          <w:rFonts w:ascii="Times New Roman" w:eastAsia="仿宋_GB2312" w:hAnsi="Times New Roman" w:cs="Times New Roman"/>
          <w:sz w:val="32"/>
          <w:szCs w:val="32"/>
        </w:rPr>
        <w:t>万元。其中：流动资产</w:t>
      </w:r>
      <w:r>
        <w:rPr>
          <w:rFonts w:ascii="Times New Roman" w:eastAsia="仿宋_GB2312" w:hAnsi="Times New Roman" w:cs="Times New Roman"/>
          <w:sz w:val="32"/>
          <w:szCs w:val="32"/>
        </w:rPr>
        <w:t>1519.65</w:t>
      </w:r>
      <w:r>
        <w:rPr>
          <w:rFonts w:ascii="Times New Roman" w:eastAsia="仿宋_GB2312" w:hAnsi="Times New Roman" w:cs="Times New Roman"/>
          <w:sz w:val="32"/>
          <w:szCs w:val="32"/>
        </w:rPr>
        <w:t>万元，占资产总额</w:t>
      </w:r>
      <w:r>
        <w:rPr>
          <w:rFonts w:ascii="Times New Roman" w:eastAsia="仿宋_GB2312" w:hAnsi="Times New Roman" w:cs="Times New Roman"/>
          <w:sz w:val="32"/>
          <w:szCs w:val="32"/>
        </w:rPr>
        <w:t>5.95%</w:t>
      </w:r>
      <w:r>
        <w:rPr>
          <w:rFonts w:ascii="Times New Roman" w:eastAsia="仿宋_GB2312" w:hAnsi="Times New Roman" w:cs="Times New Roman"/>
          <w:sz w:val="32"/>
          <w:szCs w:val="32"/>
        </w:rPr>
        <w:t>；固定资产</w:t>
      </w:r>
      <w:r>
        <w:rPr>
          <w:rFonts w:ascii="Times New Roman" w:eastAsia="仿宋_GB2312" w:hAnsi="Times New Roman" w:cs="Times New Roman"/>
          <w:sz w:val="32"/>
          <w:szCs w:val="32"/>
        </w:rPr>
        <w:t>17103.45</w:t>
      </w:r>
      <w:r>
        <w:rPr>
          <w:rFonts w:ascii="Times New Roman" w:eastAsia="仿宋_GB2312" w:hAnsi="Times New Roman" w:cs="Times New Roman"/>
          <w:sz w:val="32"/>
          <w:szCs w:val="32"/>
        </w:rPr>
        <w:t>万元，占资产总额</w:t>
      </w:r>
      <w:r>
        <w:rPr>
          <w:rFonts w:ascii="Times New Roman" w:eastAsia="仿宋_GB2312" w:hAnsi="Times New Roman" w:cs="Times New Roman"/>
          <w:sz w:val="32"/>
          <w:szCs w:val="32"/>
        </w:rPr>
        <w:t>66.95%</w:t>
      </w:r>
      <w:r>
        <w:rPr>
          <w:rFonts w:ascii="Times New Roman" w:eastAsia="仿宋_GB2312" w:hAnsi="Times New Roman" w:cs="Times New Roman"/>
          <w:sz w:val="32"/>
          <w:szCs w:val="32"/>
        </w:rPr>
        <w:t>；在建工程</w:t>
      </w:r>
      <w:r>
        <w:rPr>
          <w:rFonts w:ascii="Times New Roman" w:eastAsia="仿宋_GB2312" w:hAnsi="Times New Roman" w:cs="Times New Roman"/>
          <w:sz w:val="32"/>
          <w:szCs w:val="32"/>
        </w:rPr>
        <w:t>6175.66</w:t>
      </w:r>
      <w:r>
        <w:rPr>
          <w:rFonts w:ascii="Times New Roman" w:eastAsia="仿宋_GB2312" w:hAnsi="Times New Roman" w:cs="Times New Roman"/>
          <w:sz w:val="32"/>
          <w:szCs w:val="32"/>
        </w:rPr>
        <w:t>万元，占资产总额</w:t>
      </w:r>
      <w:r>
        <w:rPr>
          <w:rFonts w:ascii="Times New Roman" w:eastAsia="仿宋_GB2312" w:hAnsi="Times New Roman" w:cs="Times New Roman"/>
          <w:sz w:val="32"/>
          <w:szCs w:val="32"/>
        </w:rPr>
        <w:t>24.18%</w:t>
      </w:r>
      <w:r>
        <w:rPr>
          <w:rFonts w:ascii="Times New Roman" w:eastAsia="仿宋_GB2312" w:hAnsi="Times New Roman" w:cs="Times New Roman"/>
          <w:sz w:val="32"/>
          <w:szCs w:val="32"/>
        </w:rPr>
        <w:t>；无形资产</w:t>
      </w:r>
      <w:r>
        <w:rPr>
          <w:rFonts w:ascii="Times New Roman" w:eastAsia="仿宋_GB2312" w:hAnsi="Times New Roman" w:cs="Times New Roman"/>
          <w:sz w:val="32"/>
          <w:szCs w:val="32"/>
        </w:rPr>
        <w:t>745.45</w:t>
      </w:r>
      <w:r>
        <w:rPr>
          <w:rFonts w:ascii="Times New Roman" w:eastAsia="仿宋_GB2312" w:hAnsi="Times New Roman" w:cs="Times New Roman"/>
          <w:sz w:val="32"/>
          <w:szCs w:val="32"/>
        </w:rPr>
        <w:t>万元，占资产总额</w:t>
      </w:r>
      <w:r>
        <w:rPr>
          <w:rFonts w:ascii="Times New Roman" w:eastAsia="仿宋_GB2312" w:hAnsi="Times New Roman" w:cs="Times New Roman"/>
          <w:sz w:val="32"/>
          <w:szCs w:val="32"/>
        </w:rPr>
        <w:t>2.92%</w:t>
      </w:r>
      <w:r>
        <w:rPr>
          <w:rFonts w:ascii="Times New Roman" w:eastAsia="仿宋_GB2312" w:hAnsi="Times New Roman" w:cs="Times New Roman"/>
          <w:sz w:val="32"/>
          <w:szCs w:val="32"/>
        </w:rPr>
        <w:t>；其他资产</w:t>
      </w:r>
      <w:r>
        <w:rPr>
          <w:rFonts w:ascii="Times New Roman" w:eastAsia="仿宋_GB2312" w:hAnsi="Times New Roman" w:cs="Times New Roman"/>
          <w:sz w:val="32"/>
          <w:szCs w:val="32"/>
        </w:rPr>
        <w:t>0.61</w:t>
      </w:r>
      <w:r>
        <w:rPr>
          <w:rFonts w:ascii="Times New Roman" w:eastAsia="仿宋_GB2312" w:hAnsi="Times New Roman" w:cs="Times New Roman"/>
          <w:sz w:val="32"/>
          <w:szCs w:val="32"/>
        </w:rPr>
        <w:t>万元，占资产总额</w:t>
      </w:r>
      <w:r>
        <w:rPr>
          <w:rFonts w:ascii="Times New Roman" w:eastAsia="仿宋_GB2312" w:hAnsi="Times New Roman" w:cs="Times New Roman"/>
          <w:sz w:val="32"/>
          <w:szCs w:val="32"/>
        </w:rPr>
        <w:t>0.00%</w:t>
      </w:r>
      <w:r>
        <w:rPr>
          <w:rFonts w:ascii="Times New Roman" w:eastAsia="仿宋_GB2312" w:hAnsi="Times New Roman" w:cs="Times New Roman"/>
          <w:sz w:val="32"/>
          <w:szCs w:val="32"/>
        </w:rPr>
        <w:t>。</w:t>
      </w:r>
    </w:p>
    <w:p w:rsidR="00E056BC" w:rsidRDefault="00101FB3">
      <w:pPr>
        <w:adjustRightInd w:val="0"/>
        <w:snapToGrid w:val="0"/>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资产配置合理性</w:t>
      </w:r>
      <w:r>
        <w:rPr>
          <w:rFonts w:ascii="Times New Roman" w:eastAsia="仿宋_GB2312" w:hAnsi="Times New Roman" w:cs="Times New Roman"/>
          <w:b/>
          <w:bCs/>
          <w:sz w:val="32"/>
          <w:szCs w:val="32"/>
        </w:rPr>
        <w:t xml:space="preserve"> </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学院规定：资产配置应当以满足履行职能和事业发展的基本需要为原则，与各部门的编制人数、职能设置、业务发展规划等要求相适应。</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年配置固定资产</w:t>
      </w:r>
      <w:r>
        <w:rPr>
          <w:rFonts w:ascii="Times New Roman" w:eastAsia="仿宋_GB2312" w:hAnsi="Times New Roman" w:cs="Times New Roman"/>
          <w:sz w:val="32"/>
          <w:szCs w:val="32"/>
        </w:rPr>
        <w:t>823.3</w:t>
      </w:r>
      <w:r>
        <w:rPr>
          <w:rFonts w:ascii="Times New Roman" w:eastAsia="仿宋_GB2312" w:hAnsi="Times New Roman" w:cs="Times New Roman" w:hint="eastAsia"/>
          <w:sz w:val="32"/>
          <w:szCs w:val="32"/>
        </w:rPr>
        <w:t>0</w:t>
      </w:r>
      <w:r>
        <w:rPr>
          <w:rFonts w:ascii="Times New Roman" w:eastAsia="仿宋_GB2312" w:hAnsi="Times New Roman" w:cs="Times New Roman"/>
          <w:sz w:val="32"/>
          <w:szCs w:val="32"/>
        </w:rPr>
        <w:t>万元，做到了勤俭节约，从严控制。在资产配置过程中，科学合理地编制配置规划或计划，充分发挥存量资产的作用，避免重复配置。对有规定配置标准的固定资产，严格按照标准进行配置；对没有规定配备标准的固定资产，从实际需要出发，从严合理配备；在质量、性能可靠的前提下，尽可能降低采购成本。</w:t>
      </w:r>
    </w:p>
    <w:p w:rsidR="00E056BC" w:rsidRDefault="00101FB3">
      <w:pPr>
        <w:adjustRightInd w:val="0"/>
        <w:snapToGrid w:val="0"/>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资产使用规范性</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为加强和规范资产管理，维护资产安全和完整，提高资产使用效益，学院于</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月修订下发了《首钢工学院固定资产管理办法》《首钢工学院无形资产管理办法》，明确资产管理处为资产管理的总牵头部门，资产管理实行技术归口管理，</w:t>
      </w:r>
      <w:r>
        <w:rPr>
          <w:rFonts w:ascii="Times New Roman" w:eastAsia="仿宋_GB2312" w:hAnsi="Times New Roman" w:cs="Times New Roman"/>
          <w:sz w:val="32"/>
          <w:szCs w:val="32"/>
        </w:rPr>
        <w:lastRenderedPageBreak/>
        <w:t>即：网管中心负责信息化资产，实习实训中心负责实</w:t>
      </w:r>
      <w:proofErr w:type="gramStart"/>
      <w:r>
        <w:rPr>
          <w:rFonts w:ascii="Times New Roman" w:eastAsia="仿宋_GB2312" w:hAnsi="Times New Roman" w:cs="Times New Roman"/>
          <w:sz w:val="32"/>
          <w:szCs w:val="32"/>
        </w:rPr>
        <w:t>训资产</w:t>
      </w:r>
      <w:proofErr w:type="gramEnd"/>
      <w:r>
        <w:rPr>
          <w:rFonts w:ascii="Times New Roman" w:eastAsia="仿宋_GB2312" w:hAnsi="Times New Roman" w:cs="Times New Roman"/>
          <w:sz w:val="32"/>
          <w:szCs w:val="32"/>
        </w:rPr>
        <w:t>及电教资产，图书馆负责图书资产，总务部负责公共类设备设施，资产管理处负责其他资产。技术归口部门负责资产购置审批、采购、验收、技术鉴定等工作。做到分工负责，责任明确，管理规范。</w:t>
      </w:r>
    </w:p>
    <w:p w:rsidR="00E056BC" w:rsidRDefault="00101FB3">
      <w:pPr>
        <w:adjustRightInd w:val="0"/>
        <w:snapToGrid w:val="0"/>
        <w:spacing w:line="600" w:lineRule="exact"/>
        <w:ind w:firstLineChars="200" w:firstLine="643"/>
        <w:rPr>
          <w:rFonts w:ascii="Times New Roman" w:eastAsia="仿宋_GB2312" w:hAnsi="Times New Roman" w:cs="Times New Roman"/>
          <w:b/>
          <w:bCs/>
          <w:sz w:val="32"/>
          <w:szCs w:val="32"/>
        </w:rPr>
      </w:pPr>
      <w:bookmarkStart w:id="47" w:name="_Toc16411"/>
      <w:r>
        <w:rPr>
          <w:rFonts w:ascii="Times New Roman" w:eastAsia="仿宋_GB2312" w:hAnsi="Times New Roman" w:cs="Times New Roman"/>
          <w:b/>
          <w:bCs/>
          <w:sz w:val="32"/>
          <w:szCs w:val="32"/>
        </w:rPr>
        <w:t>3.</w:t>
      </w:r>
      <w:r>
        <w:rPr>
          <w:rFonts w:ascii="Times New Roman" w:eastAsia="仿宋_GB2312" w:hAnsi="Times New Roman" w:cs="Times New Roman"/>
          <w:b/>
          <w:bCs/>
          <w:sz w:val="32"/>
          <w:szCs w:val="32"/>
        </w:rPr>
        <w:t>资产利用有效性</w:t>
      </w:r>
      <w:r>
        <w:rPr>
          <w:rFonts w:ascii="Times New Roman" w:eastAsia="仿宋_GB2312" w:hAnsi="Times New Roman" w:cs="Times New Roman"/>
          <w:b/>
          <w:bCs/>
          <w:sz w:val="32"/>
          <w:szCs w:val="32"/>
        </w:rPr>
        <w:t xml:space="preserve"> </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严格履行固定资产登记、调拨、转让、报损、报废等报批手续，对购买的物品达到固定资产标准的及时转增资产，对达到报废期限的及时报告国有资产管理部门予以核销，保证固定资产使用合理、规范。资产管理处对各部门要求配置的固定资产，能通过调剂解决的，原则上不重新购置，推动不同部门之间调剂使用、共享共用机制。经抽查</w:t>
      </w:r>
      <w:r>
        <w:rPr>
          <w:rFonts w:ascii="Times New Roman" w:eastAsia="仿宋_GB2312" w:hAnsi="Times New Roman" w:cs="Times New Roman"/>
          <w:bCs/>
          <w:kern w:val="44"/>
          <w:sz w:val="32"/>
          <w:szCs w:val="32"/>
        </w:rPr>
        <w:t>视频监控设备升级改造</w:t>
      </w:r>
      <w:r>
        <w:rPr>
          <w:rFonts w:ascii="Times New Roman" w:eastAsia="仿宋_GB2312" w:hAnsi="Times New Roman" w:cs="Times New Roman"/>
          <w:sz w:val="32"/>
          <w:szCs w:val="32"/>
        </w:rPr>
        <w:t>、特高建设卫建平智能装配工作室项目，固定资产购置审批手续齐全、入库及时、台账完整，保管使用状况良好，较好地发挥了资产使用效益。</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（三）绩效管理</w:t>
      </w:r>
      <w:bookmarkEnd w:id="44"/>
      <w:bookmarkEnd w:id="45"/>
      <w:bookmarkEnd w:id="46"/>
      <w:bookmarkEnd w:id="47"/>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bookmarkStart w:id="48" w:name="_Toc9710"/>
      <w:bookmarkStart w:id="49" w:name="_Toc5586"/>
      <w:bookmarkStart w:id="50" w:name="_Toc26533"/>
      <w:r>
        <w:rPr>
          <w:rFonts w:ascii="Times New Roman" w:eastAsia="仿宋_GB2312" w:hAnsi="Times New Roman" w:cs="Times New Roman"/>
          <w:sz w:val="32"/>
          <w:szCs w:val="32"/>
        </w:rPr>
        <w:t>首钢技师学院高度重视预算绩效管理工作，成立学院预算绩效管理领导小组，相关领导为领导小组组长，各部门负责人为领导小组成员，将绩效理念融入预算编制、执行、</w:t>
      </w:r>
      <w:proofErr w:type="gramStart"/>
      <w:r>
        <w:rPr>
          <w:rFonts w:ascii="Times New Roman" w:eastAsia="仿宋_GB2312" w:hAnsi="Times New Roman" w:cs="Times New Roman"/>
          <w:sz w:val="32"/>
          <w:szCs w:val="32"/>
        </w:rPr>
        <w:t>监控全</w:t>
      </w:r>
      <w:proofErr w:type="gramEnd"/>
      <w:r>
        <w:rPr>
          <w:rFonts w:ascii="Times New Roman" w:eastAsia="仿宋_GB2312" w:hAnsi="Times New Roman" w:cs="Times New Roman"/>
          <w:sz w:val="32"/>
          <w:szCs w:val="32"/>
        </w:rPr>
        <w:t>过程，实现预算与绩效有机融合，着力构建绩效目标管理、事前绩效评估、绩效运行监控、绩效评价管理、评价结果应用的预</w:t>
      </w:r>
      <w:r>
        <w:rPr>
          <w:rFonts w:ascii="Times New Roman" w:eastAsia="仿宋_GB2312" w:hAnsi="Times New Roman" w:cs="Times New Roman"/>
          <w:sz w:val="32"/>
          <w:szCs w:val="32"/>
        </w:rPr>
        <w:lastRenderedPageBreak/>
        <w:t>算管理体系。</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预算编制环节突出绩效导向，压实预算申报部门责任，结合预算评审、</w:t>
      </w:r>
      <w:proofErr w:type="gramStart"/>
      <w:r>
        <w:rPr>
          <w:rFonts w:ascii="Times New Roman" w:eastAsia="仿宋_GB2312" w:hAnsi="Times New Roman" w:cs="Times New Roman"/>
          <w:sz w:val="32"/>
          <w:szCs w:val="32"/>
        </w:rPr>
        <w:t>往期项目</w:t>
      </w:r>
      <w:proofErr w:type="gramEnd"/>
      <w:r>
        <w:rPr>
          <w:rFonts w:ascii="Times New Roman" w:eastAsia="仿宋_GB2312" w:hAnsi="Times New Roman" w:cs="Times New Roman"/>
          <w:sz w:val="32"/>
          <w:szCs w:val="32"/>
        </w:rPr>
        <w:t>实施情况，将绩效目标的完整、细化、量化等作为申请预算的必备要件。在申报项目时必须提交按照预算绩效一体化要求填报的绩效目标申报表，并由学院相关部门把关审核，审核不合格的要求项目负责人修改，为部门进行高质量的绩效评价提供支撑。</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项目执行环节按照</w:t>
      </w:r>
      <w:r>
        <w:rPr>
          <w:rFonts w:ascii="Times New Roman" w:eastAsia="仿宋_GB2312" w:hAnsi="Times New Roman" w:cs="Times New Roman"/>
          <w:sz w:val="32"/>
          <w:szCs w:val="32"/>
        </w:rPr>
        <w:t>“</w:t>
      </w:r>
      <w:r>
        <w:rPr>
          <w:rFonts w:ascii="Times New Roman" w:eastAsia="仿宋_GB2312" w:hAnsi="Times New Roman" w:cs="Times New Roman"/>
          <w:sz w:val="32"/>
          <w:szCs w:val="32"/>
        </w:rPr>
        <w:t>谁支出、谁负责</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的原则，完善用款计划管理，对绩效目标实现程度和预算执行进度实行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双监控</w:t>
      </w:r>
      <w:r>
        <w:rPr>
          <w:rFonts w:ascii="Times New Roman" w:eastAsia="仿宋_GB2312" w:hAnsi="Times New Roman" w:cs="Times New Roman"/>
          <w:sz w:val="32"/>
          <w:szCs w:val="32"/>
        </w:rPr>
        <w:t>”</w:t>
      </w:r>
      <w:r>
        <w:rPr>
          <w:rFonts w:ascii="Times New Roman" w:eastAsia="仿宋_GB2312" w:hAnsi="Times New Roman" w:cs="Times New Roman"/>
          <w:sz w:val="32"/>
          <w:szCs w:val="32"/>
        </w:rPr>
        <w:t>，对因疫情影响进度的项目，及时跟进，制定相应预案与措施，做到发现问题分析原因并及时纠正，以此加强预算执行监测，提高预算执行效率。</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bookmarkStart w:id="51" w:name="_Toc15853"/>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年，按照《北京市财政局关于开展</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年全面预算绩效管理工作的通知》（</w:t>
      </w:r>
      <w:proofErr w:type="gramStart"/>
      <w:r>
        <w:rPr>
          <w:rFonts w:ascii="Times New Roman" w:eastAsia="仿宋_GB2312" w:hAnsi="Times New Roman" w:cs="Times New Roman"/>
          <w:sz w:val="32"/>
          <w:szCs w:val="32"/>
        </w:rPr>
        <w:t>京财绩效</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w:t>
      </w:r>
      <w:r>
        <w:rPr>
          <w:rFonts w:ascii="Times New Roman" w:eastAsia="仿宋_GB2312" w:hAnsi="Times New Roman" w:cs="Times New Roman"/>
          <w:sz w:val="32"/>
          <w:szCs w:val="32"/>
        </w:rPr>
        <w:t>669</w:t>
      </w:r>
      <w:r>
        <w:rPr>
          <w:rFonts w:ascii="Times New Roman" w:eastAsia="仿宋_GB2312" w:hAnsi="Times New Roman" w:cs="Times New Roman"/>
          <w:sz w:val="32"/>
          <w:szCs w:val="32"/>
        </w:rPr>
        <w:t>号）要求，对</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年度部门整体支出进行了评价，对体育场修缮工程项目组织专家实施了绩效评价，对</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外聘（兼职）教师教学酬金</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项目开展成本预算绩效分析，其中部门整体评价得分为</w:t>
      </w:r>
      <w:r>
        <w:rPr>
          <w:rFonts w:ascii="Times New Roman" w:eastAsia="仿宋_GB2312" w:hAnsi="Times New Roman" w:cs="Times New Roman"/>
          <w:sz w:val="32"/>
          <w:szCs w:val="32"/>
        </w:rPr>
        <w:t>81.52</w:t>
      </w:r>
      <w:r>
        <w:rPr>
          <w:rFonts w:ascii="Times New Roman" w:eastAsia="仿宋_GB2312" w:hAnsi="Times New Roman" w:cs="Times New Roman"/>
          <w:sz w:val="32"/>
          <w:szCs w:val="32"/>
        </w:rPr>
        <w:t>分，体育场修缮工程项目评价得分为</w:t>
      </w:r>
      <w:r>
        <w:rPr>
          <w:rFonts w:ascii="Times New Roman" w:eastAsia="仿宋_GB2312" w:hAnsi="Times New Roman" w:cs="Times New Roman"/>
          <w:sz w:val="32"/>
          <w:szCs w:val="32"/>
        </w:rPr>
        <w:t>82.82</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外聘（兼职）教师教学酬金</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成本预算绩效分析得出相应标准与定额。</w:t>
      </w:r>
    </w:p>
    <w:p w:rsidR="00E056BC" w:rsidRDefault="00101FB3">
      <w:pPr>
        <w:adjustRightInd w:val="0"/>
        <w:snapToGrid w:val="0"/>
        <w:spacing w:line="600" w:lineRule="exact"/>
        <w:ind w:firstLineChars="200" w:firstLine="640"/>
        <w:textAlignment w:val="baseline"/>
        <w:outlineLvl w:val="1"/>
        <w:rPr>
          <w:rFonts w:ascii="Times New Roman" w:eastAsia="仿宋_GB2312" w:hAnsi="Times New Roman" w:cs="Times New Roman"/>
          <w:bCs/>
          <w:kern w:val="44"/>
          <w:sz w:val="32"/>
          <w:szCs w:val="32"/>
        </w:rPr>
      </w:pPr>
      <w:r>
        <w:rPr>
          <w:rFonts w:ascii="Times New Roman" w:eastAsia="仿宋_GB2312" w:hAnsi="Times New Roman" w:cs="Times New Roman"/>
          <w:bCs/>
          <w:kern w:val="44"/>
          <w:sz w:val="32"/>
          <w:szCs w:val="32"/>
        </w:rPr>
        <w:t>2023</w:t>
      </w:r>
      <w:r>
        <w:rPr>
          <w:rFonts w:ascii="Times New Roman" w:eastAsia="仿宋_GB2312" w:hAnsi="Times New Roman" w:cs="Times New Roman"/>
          <w:bCs/>
          <w:kern w:val="44"/>
          <w:sz w:val="32"/>
          <w:szCs w:val="32"/>
        </w:rPr>
        <w:t>年，按照</w:t>
      </w:r>
      <w:r>
        <w:rPr>
          <w:rFonts w:ascii="Times New Roman" w:eastAsia="仿宋_GB2312" w:hAnsi="Times New Roman" w:cs="Times New Roman"/>
          <w:bCs/>
          <w:kern w:val="44"/>
          <w:sz w:val="32"/>
          <w:szCs w:val="32"/>
          <w:lang w:val="en"/>
        </w:rPr>
        <w:t>《北京市财政局关于</w:t>
      </w:r>
      <w:r>
        <w:rPr>
          <w:rFonts w:ascii="Times New Roman" w:eastAsia="仿宋_GB2312" w:hAnsi="Times New Roman" w:cs="Times New Roman"/>
          <w:bCs/>
          <w:kern w:val="44"/>
          <w:sz w:val="32"/>
          <w:szCs w:val="32"/>
          <w:lang w:val="en"/>
        </w:rPr>
        <w:t>2023</w:t>
      </w:r>
      <w:r>
        <w:rPr>
          <w:rFonts w:ascii="Times New Roman" w:eastAsia="仿宋_GB2312" w:hAnsi="Times New Roman" w:cs="Times New Roman"/>
          <w:bCs/>
          <w:kern w:val="44"/>
          <w:sz w:val="32"/>
          <w:szCs w:val="32"/>
          <w:lang w:val="en"/>
        </w:rPr>
        <w:t>年推进全面实施预算绩效管理工作的预通知》</w:t>
      </w:r>
      <w:r>
        <w:rPr>
          <w:rFonts w:ascii="Times New Roman" w:eastAsia="仿宋_GB2312" w:hAnsi="Times New Roman" w:cs="Times New Roman"/>
          <w:bCs/>
          <w:kern w:val="44"/>
          <w:sz w:val="32"/>
          <w:szCs w:val="32"/>
        </w:rPr>
        <w:t>要求，对</w:t>
      </w:r>
      <w:r>
        <w:rPr>
          <w:rFonts w:ascii="Times New Roman" w:eastAsia="仿宋_GB2312" w:hAnsi="Times New Roman" w:cs="Times New Roman"/>
          <w:bCs/>
          <w:kern w:val="44"/>
          <w:sz w:val="32"/>
          <w:szCs w:val="32"/>
        </w:rPr>
        <w:t>2022</w:t>
      </w:r>
      <w:r>
        <w:rPr>
          <w:rFonts w:ascii="Times New Roman" w:eastAsia="仿宋_GB2312" w:hAnsi="Times New Roman" w:cs="Times New Roman"/>
          <w:bCs/>
          <w:kern w:val="44"/>
          <w:sz w:val="32"/>
          <w:szCs w:val="32"/>
        </w:rPr>
        <w:t>年度部门整体支</w:t>
      </w:r>
      <w:r>
        <w:rPr>
          <w:rFonts w:ascii="Times New Roman" w:eastAsia="仿宋_GB2312" w:hAnsi="Times New Roman" w:cs="Times New Roman"/>
          <w:bCs/>
          <w:kern w:val="44"/>
          <w:sz w:val="32"/>
          <w:szCs w:val="32"/>
        </w:rPr>
        <w:lastRenderedPageBreak/>
        <w:t>出进行评价，对视频监控设备升级改造项目实施重点绩效评价，并按计划抽取</w:t>
      </w:r>
      <w:r>
        <w:rPr>
          <w:rFonts w:ascii="Times New Roman" w:eastAsia="仿宋_GB2312" w:hAnsi="Times New Roman" w:cs="Times New Roman"/>
          <w:bCs/>
          <w:kern w:val="44"/>
          <w:sz w:val="32"/>
          <w:szCs w:val="32"/>
        </w:rPr>
        <w:t>1</w:t>
      </w:r>
      <w:r>
        <w:rPr>
          <w:rFonts w:ascii="Times New Roman" w:eastAsia="仿宋_GB2312" w:hAnsi="Times New Roman" w:cs="Times New Roman"/>
          <w:bCs/>
          <w:kern w:val="44"/>
          <w:sz w:val="32"/>
          <w:szCs w:val="32"/>
        </w:rPr>
        <w:t>个项目开展成本预算绩效分析。按照市财政局部署</w:t>
      </w:r>
      <w:r>
        <w:rPr>
          <w:rFonts w:ascii="Times New Roman" w:eastAsia="仿宋_GB2312" w:hAnsi="Times New Roman" w:cs="Times New Roman"/>
          <w:bCs/>
          <w:kern w:val="44"/>
          <w:sz w:val="32"/>
          <w:szCs w:val="32"/>
          <w:lang w:val="en"/>
        </w:rPr>
        <w:t>，</w:t>
      </w:r>
      <w:r>
        <w:rPr>
          <w:rFonts w:ascii="Times New Roman" w:eastAsia="仿宋_GB2312" w:hAnsi="Times New Roman" w:cs="Times New Roman"/>
          <w:bCs/>
          <w:kern w:val="44"/>
          <w:sz w:val="32"/>
          <w:szCs w:val="32"/>
        </w:rPr>
        <w:t>周密组织自评，</w:t>
      </w:r>
      <w:r>
        <w:rPr>
          <w:rFonts w:ascii="Times New Roman" w:eastAsia="仿宋_GB2312" w:hAnsi="Times New Roman" w:cs="Times New Roman"/>
          <w:bCs/>
          <w:kern w:val="44"/>
          <w:sz w:val="32"/>
          <w:szCs w:val="32"/>
          <w:lang w:val="en"/>
        </w:rPr>
        <w:t>根据实际绩效完成情况进行自评打分，计财</w:t>
      </w:r>
      <w:r>
        <w:rPr>
          <w:rFonts w:ascii="Times New Roman" w:eastAsia="仿宋_GB2312" w:hAnsi="Times New Roman" w:cs="Times New Roman"/>
          <w:bCs/>
          <w:kern w:val="44"/>
          <w:sz w:val="32"/>
          <w:szCs w:val="32"/>
        </w:rPr>
        <w:t>部</w:t>
      </w:r>
      <w:r>
        <w:rPr>
          <w:rFonts w:ascii="Times New Roman" w:eastAsia="仿宋_GB2312" w:hAnsi="Times New Roman" w:cs="Times New Roman"/>
          <w:bCs/>
          <w:kern w:val="44"/>
          <w:sz w:val="32"/>
          <w:szCs w:val="32"/>
          <w:lang w:val="en"/>
        </w:rPr>
        <w:t>严格审核各项目绩效资料、核实绩效数据，对绩效自评的及时性及自评结果的真实性</w:t>
      </w:r>
      <w:r>
        <w:rPr>
          <w:rFonts w:ascii="Times New Roman" w:eastAsia="仿宋_GB2312" w:hAnsi="Times New Roman" w:cs="Times New Roman"/>
          <w:bCs/>
          <w:kern w:val="44"/>
          <w:sz w:val="32"/>
          <w:szCs w:val="32"/>
        </w:rPr>
        <w:t>进行</w:t>
      </w:r>
      <w:r>
        <w:rPr>
          <w:rFonts w:ascii="Times New Roman" w:eastAsia="仿宋_GB2312" w:hAnsi="Times New Roman" w:cs="Times New Roman"/>
          <w:bCs/>
          <w:kern w:val="44"/>
          <w:sz w:val="32"/>
          <w:szCs w:val="32"/>
          <w:lang w:val="en"/>
        </w:rPr>
        <w:t>审查。整个自评过程将各处室自我监督评价与计财处审核反馈有机结合，确保自评过程有监督、自评结果有反馈</w:t>
      </w:r>
      <w:r>
        <w:rPr>
          <w:rFonts w:ascii="Times New Roman" w:eastAsia="仿宋_GB2312" w:hAnsi="Times New Roman" w:cs="Times New Roman"/>
          <w:bCs/>
          <w:kern w:val="44"/>
          <w:sz w:val="32"/>
          <w:szCs w:val="32"/>
        </w:rPr>
        <w:t>。</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（四）结转结余率</w:t>
      </w:r>
      <w:bookmarkEnd w:id="48"/>
      <w:bookmarkEnd w:id="49"/>
      <w:bookmarkEnd w:id="50"/>
      <w:bookmarkEnd w:id="51"/>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bookmarkStart w:id="52" w:name="_Toc14692"/>
      <w:bookmarkStart w:id="53" w:name="_Toc22969"/>
      <w:bookmarkStart w:id="54" w:name="_Toc2548"/>
      <w:r>
        <w:rPr>
          <w:rFonts w:ascii="Times New Roman" w:eastAsia="仿宋_GB2312" w:hAnsi="Times New Roman" w:cs="Times New Roman"/>
          <w:sz w:val="32"/>
          <w:szCs w:val="32"/>
        </w:rPr>
        <w:t>本年末结转结余资金</w:t>
      </w:r>
      <w:r>
        <w:rPr>
          <w:rFonts w:ascii="Times New Roman" w:eastAsia="仿宋_GB2312" w:hAnsi="Times New Roman" w:cs="Times New Roman"/>
          <w:sz w:val="32"/>
          <w:szCs w:val="32"/>
        </w:rPr>
        <w:t>31.2</w:t>
      </w:r>
      <w:r>
        <w:rPr>
          <w:rFonts w:ascii="Times New Roman" w:eastAsia="仿宋_GB2312" w:hAnsi="Times New Roman" w:cs="Times New Roman" w:hint="eastAsia"/>
          <w:sz w:val="32"/>
          <w:szCs w:val="32"/>
        </w:rPr>
        <w:t>0</w:t>
      </w:r>
      <w:r>
        <w:rPr>
          <w:rFonts w:ascii="Times New Roman" w:eastAsia="仿宋_GB2312" w:hAnsi="Times New Roman" w:cs="Times New Roman"/>
          <w:sz w:val="32"/>
          <w:szCs w:val="32"/>
        </w:rPr>
        <w:t>万元，其中：一般公共预算财政拨款结转结余</w:t>
      </w:r>
      <w:r>
        <w:rPr>
          <w:rFonts w:ascii="Times New Roman" w:eastAsia="仿宋_GB2312" w:hAnsi="Times New Roman" w:cs="Times New Roman"/>
          <w:sz w:val="32"/>
          <w:szCs w:val="32"/>
        </w:rPr>
        <w:t>17.32</w:t>
      </w:r>
      <w:r>
        <w:rPr>
          <w:rFonts w:ascii="Times New Roman" w:eastAsia="仿宋_GB2312" w:hAnsi="Times New Roman" w:cs="Times New Roman"/>
          <w:sz w:val="32"/>
          <w:szCs w:val="32"/>
        </w:rPr>
        <w:t>万元（基本经费结转</w:t>
      </w:r>
      <w:r>
        <w:rPr>
          <w:rFonts w:ascii="Times New Roman" w:eastAsia="仿宋_GB2312" w:hAnsi="Times New Roman" w:cs="Times New Roman"/>
          <w:sz w:val="32"/>
          <w:szCs w:val="32"/>
        </w:rPr>
        <w:t>6.92</w:t>
      </w:r>
      <w:r>
        <w:rPr>
          <w:rFonts w:ascii="Times New Roman" w:eastAsia="仿宋_GB2312" w:hAnsi="Times New Roman" w:cs="Times New Roman"/>
          <w:sz w:val="32"/>
          <w:szCs w:val="32"/>
        </w:rPr>
        <w:t>万元，项目经费结转</w:t>
      </w:r>
      <w:r>
        <w:rPr>
          <w:rFonts w:ascii="Times New Roman" w:eastAsia="仿宋_GB2312" w:hAnsi="Times New Roman" w:cs="Times New Roman"/>
          <w:sz w:val="32"/>
          <w:szCs w:val="32"/>
        </w:rPr>
        <w:t>10.40</w:t>
      </w:r>
      <w:r>
        <w:rPr>
          <w:rFonts w:ascii="Times New Roman" w:eastAsia="仿宋_GB2312" w:hAnsi="Times New Roman" w:cs="Times New Roman"/>
          <w:sz w:val="32"/>
          <w:szCs w:val="32"/>
        </w:rPr>
        <w:t>万元），非财政拨款结转结余</w:t>
      </w:r>
      <w:r>
        <w:rPr>
          <w:rFonts w:ascii="Times New Roman" w:eastAsia="仿宋_GB2312" w:hAnsi="Times New Roman" w:cs="Times New Roman"/>
          <w:sz w:val="32"/>
          <w:szCs w:val="32"/>
        </w:rPr>
        <w:t>13.88</w:t>
      </w:r>
      <w:r>
        <w:rPr>
          <w:rFonts w:ascii="Times New Roman" w:eastAsia="仿宋_GB2312" w:hAnsi="Times New Roman" w:cs="Times New Roman"/>
          <w:sz w:val="32"/>
          <w:szCs w:val="32"/>
        </w:rPr>
        <w:t>万元。结转结余率</w:t>
      </w:r>
      <w:r>
        <w:rPr>
          <w:rFonts w:ascii="Times New Roman" w:eastAsia="仿宋_GB2312" w:hAnsi="Times New Roman" w:cs="Times New Roman"/>
          <w:sz w:val="32"/>
          <w:szCs w:val="32"/>
        </w:rPr>
        <w:t>0.17%</w:t>
      </w:r>
      <w:r>
        <w:rPr>
          <w:rFonts w:ascii="Times New Roman" w:eastAsia="仿宋_GB2312" w:hAnsi="Times New Roman" w:cs="Times New Roman"/>
          <w:sz w:val="32"/>
          <w:szCs w:val="32"/>
        </w:rPr>
        <w:t>。</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bookmarkStart w:id="55" w:name="_Toc3047"/>
      <w:r>
        <w:rPr>
          <w:rFonts w:ascii="Times New Roman" w:eastAsia="楷体_GB2312" w:hAnsi="Times New Roman" w:cs="Times New Roman"/>
          <w:b/>
          <w:bCs/>
          <w:sz w:val="32"/>
          <w:szCs w:val="32"/>
        </w:rPr>
        <w:t>（五）部门预决算差异率</w:t>
      </w:r>
      <w:bookmarkEnd w:id="52"/>
      <w:bookmarkEnd w:id="53"/>
      <w:bookmarkEnd w:id="54"/>
      <w:bookmarkEnd w:id="55"/>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bookmarkStart w:id="56" w:name="_Toc24471"/>
      <w:bookmarkStart w:id="57" w:name="_Toc17300"/>
      <w:bookmarkStart w:id="58" w:name="_Toc22801"/>
      <w:r>
        <w:rPr>
          <w:rFonts w:ascii="Times New Roman" w:eastAsia="仿宋_GB2312" w:hAnsi="Times New Roman" w:cs="Times New Roman"/>
          <w:sz w:val="32"/>
          <w:szCs w:val="32"/>
        </w:rPr>
        <w:t>从收入看，首钢技师学院</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年年初预算数</w:t>
      </w:r>
      <w:r>
        <w:rPr>
          <w:rFonts w:ascii="Times New Roman" w:eastAsia="仿宋_GB2312" w:hAnsi="Times New Roman" w:cs="Times New Roman"/>
          <w:sz w:val="32"/>
          <w:szCs w:val="32"/>
        </w:rPr>
        <w:t>16732.53</w:t>
      </w:r>
      <w:r>
        <w:rPr>
          <w:rFonts w:ascii="Times New Roman" w:eastAsia="仿宋_GB2312" w:hAnsi="Times New Roman" w:cs="Times New Roman"/>
          <w:sz w:val="32"/>
          <w:szCs w:val="32"/>
        </w:rPr>
        <w:t>万元（其中一般公共预算财政拨款收入</w:t>
      </w:r>
      <w:r>
        <w:rPr>
          <w:rFonts w:ascii="Times New Roman" w:eastAsia="仿宋_GB2312" w:hAnsi="Times New Roman" w:cs="Times New Roman"/>
          <w:sz w:val="32"/>
          <w:szCs w:val="32"/>
        </w:rPr>
        <w:t>15741.22</w:t>
      </w:r>
      <w:r>
        <w:rPr>
          <w:rFonts w:ascii="Times New Roman" w:eastAsia="仿宋_GB2312" w:hAnsi="Times New Roman" w:cs="Times New Roman"/>
          <w:sz w:val="32"/>
          <w:szCs w:val="32"/>
        </w:rPr>
        <w:t>万元，事业收入</w:t>
      </w:r>
      <w:r>
        <w:rPr>
          <w:rFonts w:ascii="Times New Roman" w:eastAsia="仿宋_GB2312" w:hAnsi="Times New Roman" w:cs="Times New Roman"/>
          <w:sz w:val="32"/>
          <w:szCs w:val="32"/>
        </w:rPr>
        <w:t>730</w:t>
      </w:r>
      <w:r>
        <w:rPr>
          <w:rFonts w:ascii="Times New Roman" w:eastAsia="仿宋_GB2312" w:hAnsi="Times New Roman" w:cs="Times New Roman"/>
          <w:sz w:val="32"/>
          <w:szCs w:val="32"/>
        </w:rPr>
        <w:t>万元，其他收入</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年初结转结余</w:t>
      </w:r>
      <w:r>
        <w:rPr>
          <w:rFonts w:ascii="Times New Roman" w:eastAsia="仿宋_GB2312" w:hAnsi="Times New Roman" w:cs="Times New Roman"/>
          <w:sz w:val="32"/>
          <w:szCs w:val="32"/>
        </w:rPr>
        <w:t>231.31</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年全年预算数</w:t>
      </w:r>
      <w:r>
        <w:rPr>
          <w:rFonts w:ascii="Times New Roman" w:eastAsia="仿宋_GB2312" w:hAnsi="Times New Roman" w:cs="Times New Roman"/>
          <w:sz w:val="32"/>
          <w:szCs w:val="32"/>
        </w:rPr>
        <w:t>18168.08</w:t>
      </w:r>
      <w:r>
        <w:rPr>
          <w:rFonts w:ascii="Times New Roman" w:eastAsia="仿宋_GB2312" w:hAnsi="Times New Roman" w:cs="Times New Roman"/>
          <w:sz w:val="32"/>
          <w:szCs w:val="32"/>
        </w:rPr>
        <w:t>万元（其中一般公共预算财政拨款收入</w:t>
      </w:r>
      <w:r>
        <w:rPr>
          <w:rFonts w:ascii="Times New Roman" w:eastAsia="仿宋_GB2312" w:hAnsi="Times New Roman" w:cs="Times New Roman"/>
          <w:sz w:val="32"/>
          <w:szCs w:val="32"/>
        </w:rPr>
        <w:t>16653.41</w:t>
      </w:r>
      <w:r>
        <w:rPr>
          <w:rFonts w:ascii="Times New Roman" w:eastAsia="仿宋_GB2312" w:hAnsi="Times New Roman" w:cs="Times New Roman"/>
          <w:sz w:val="32"/>
          <w:szCs w:val="32"/>
        </w:rPr>
        <w:t>万元，事业收入</w:t>
      </w:r>
      <w:r>
        <w:rPr>
          <w:rFonts w:ascii="Times New Roman" w:eastAsia="仿宋_GB2312" w:hAnsi="Times New Roman" w:cs="Times New Roman"/>
          <w:sz w:val="32"/>
          <w:szCs w:val="32"/>
        </w:rPr>
        <w:t>730</w:t>
      </w:r>
      <w:r>
        <w:rPr>
          <w:rFonts w:ascii="Times New Roman" w:eastAsia="仿宋_GB2312" w:hAnsi="Times New Roman" w:cs="Times New Roman"/>
          <w:sz w:val="32"/>
          <w:szCs w:val="32"/>
        </w:rPr>
        <w:t>万元，其他收入</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年初结转结余</w:t>
      </w:r>
      <w:r>
        <w:rPr>
          <w:rFonts w:ascii="Times New Roman" w:eastAsia="仿宋_GB2312" w:hAnsi="Times New Roman" w:cs="Times New Roman"/>
          <w:sz w:val="32"/>
          <w:szCs w:val="32"/>
        </w:rPr>
        <w:t>754.67</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年全年收入总计比年初预算收入增加</w:t>
      </w:r>
      <w:r>
        <w:rPr>
          <w:rFonts w:ascii="Times New Roman" w:eastAsia="仿宋_GB2312" w:hAnsi="Times New Roman" w:cs="Times New Roman"/>
          <w:sz w:val="32"/>
          <w:szCs w:val="32"/>
        </w:rPr>
        <w:t>1435.55</w:t>
      </w:r>
      <w:r>
        <w:rPr>
          <w:rFonts w:ascii="Times New Roman" w:eastAsia="仿宋_GB2312" w:hAnsi="Times New Roman" w:cs="Times New Roman"/>
          <w:sz w:val="32"/>
          <w:szCs w:val="32"/>
        </w:rPr>
        <w:t>万元，增长</w:t>
      </w:r>
      <w:r>
        <w:rPr>
          <w:rFonts w:ascii="Times New Roman" w:eastAsia="仿宋_GB2312" w:hAnsi="Times New Roman" w:cs="Times New Roman"/>
          <w:sz w:val="32"/>
          <w:szCs w:val="32"/>
        </w:rPr>
        <w:t>8.58%</w:t>
      </w:r>
      <w:r>
        <w:rPr>
          <w:rFonts w:ascii="Times New Roman" w:eastAsia="仿宋_GB2312" w:hAnsi="Times New Roman" w:cs="Times New Roman"/>
          <w:sz w:val="32"/>
          <w:szCs w:val="32"/>
        </w:rPr>
        <w:t>。增长的主要因素是年中调整增加，项目支出结余资金结转至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年继续使用。其</w:t>
      </w:r>
      <w:r>
        <w:rPr>
          <w:rFonts w:ascii="Times New Roman" w:eastAsia="仿宋_GB2312" w:hAnsi="Times New Roman" w:cs="Times New Roman"/>
          <w:sz w:val="32"/>
          <w:szCs w:val="32"/>
        </w:rPr>
        <w:lastRenderedPageBreak/>
        <w:t>中追加现代职业教育质量提升经费中央预算</w:t>
      </w:r>
      <w:r>
        <w:rPr>
          <w:rFonts w:ascii="Times New Roman" w:eastAsia="仿宋_GB2312" w:hAnsi="Times New Roman" w:cs="Times New Roman"/>
          <w:sz w:val="32"/>
          <w:szCs w:val="32"/>
        </w:rPr>
        <w:t>331</w:t>
      </w:r>
      <w:r>
        <w:rPr>
          <w:rFonts w:ascii="Times New Roman" w:eastAsia="仿宋_GB2312" w:hAnsi="Times New Roman" w:cs="Times New Roman"/>
          <w:sz w:val="32"/>
          <w:szCs w:val="32"/>
        </w:rPr>
        <w:t>万元，环境保护与检测专业项目经费</w:t>
      </w:r>
      <w:r>
        <w:rPr>
          <w:rFonts w:ascii="Times New Roman" w:eastAsia="仿宋_GB2312" w:hAnsi="Times New Roman" w:cs="Times New Roman"/>
          <w:sz w:val="32"/>
          <w:szCs w:val="32"/>
        </w:rPr>
        <w:t>376.19</w:t>
      </w:r>
      <w:r>
        <w:rPr>
          <w:rFonts w:ascii="Times New Roman" w:eastAsia="仿宋_GB2312" w:hAnsi="Times New Roman" w:cs="Times New Roman"/>
          <w:sz w:val="32"/>
          <w:szCs w:val="32"/>
        </w:rPr>
        <w:t>万元。</w:t>
      </w:r>
    </w:p>
    <w:p w:rsidR="00E056BC" w:rsidRDefault="00101FB3">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从支出看，首钢技师学院</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年决算数</w:t>
      </w:r>
      <w:r>
        <w:rPr>
          <w:rFonts w:ascii="Times New Roman" w:eastAsia="仿宋_GB2312" w:hAnsi="Times New Roman" w:cs="Times New Roman" w:hint="eastAsia"/>
          <w:color w:val="000000"/>
          <w:kern w:val="0"/>
          <w:sz w:val="32"/>
          <w:szCs w:val="32"/>
        </w:rPr>
        <w:t>17982.25</w:t>
      </w:r>
      <w:r>
        <w:rPr>
          <w:rFonts w:ascii="Times New Roman" w:eastAsia="仿宋_GB2312" w:hAnsi="Times New Roman" w:cs="Times New Roman"/>
          <w:sz w:val="32"/>
          <w:szCs w:val="32"/>
        </w:rPr>
        <w:t>万元（其中</w:t>
      </w:r>
      <w:r>
        <w:rPr>
          <w:rFonts w:ascii="Times New Roman" w:eastAsia="仿宋_GB2312" w:hAnsi="Times New Roman" w:cs="Times New Roman" w:hint="eastAsia"/>
          <w:sz w:val="32"/>
          <w:szCs w:val="32"/>
        </w:rPr>
        <w:t>基本支出</w:t>
      </w:r>
      <w:r>
        <w:rPr>
          <w:rFonts w:ascii="Times New Roman" w:eastAsia="仿宋_GB2312" w:hAnsi="Times New Roman" w:cs="Times New Roman"/>
          <w:sz w:val="32"/>
          <w:szCs w:val="32"/>
        </w:rPr>
        <w:t>12224.38</w:t>
      </w:r>
      <w:r>
        <w:rPr>
          <w:rFonts w:ascii="Times New Roman" w:eastAsia="仿宋_GB2312" w:hAnsi="Times New Roman" w:cs="Times New Roman" w:hint="eastAsia"/>
          <w:sz w:val="32"/>
          <w:szCs w:val="32"/>
        </w:rPr>
        <w:t>万元、项目支出</w:t>
      </w:r>
      <w:r>
        <w:rPr>
          <w:rFonts w:ascii="Times New Roman" w:eastAsia="仿宋_GB2312" w:hAnsi="Times New Roman" w:cs="Times New Roman"/>
          <w:sz w:val="32"/>
          <w:szCs w:val="32"/>
        </w:rPr>
        <w:t>5757.87</w:t>
      </w:r>
      <w:r>
        <w:rPr>
          <w:rFonts w:ascii="Times New Roman" w:eastAsia="仿宋_GB2312" w:hAnsi="Times New Roman" w:cs="Times New Roman" w:hint="eastAsia"/>
          <w:sz w:val="32"/>
          <w:szCs w:val="32"/>
        </w:rPr>
        <w:t>万元</w:t>
      </w:r>
      <w:r>
        <w:rPr>
          <w:rFonts w:ascii="Times New Roman" w:eastAsia="仿宋_GB2312" w:hAnsi="Times New Roman" w:cs="Times New Roman"/>
          <w:sz w:val="32"/>
          <w:szCs w:val="32"/>
        </w:rPr>
        <w:t>）。比年初预算收入</w:t>
      </w:r>
      <w:r>
        <w:rPr>
          <w:rFonts w:ascii="Times New Roman" w:eastAsia="仿宋_GB2312" w:hAnsi="Times New Roman" w:cs="Times New Roman"/>
          <w:sz w:val="32"/>
          <w:szCs w:val="32"/>
        </w:rPr>
        <w:t>16732.53</w:t>
      </w:r>
      <w:r>
        <w:rPr>
          <w:rFonts w:ascii="Times New Roman" w:eastAsia="仿宋_GB2312" w:hAnsi="Times New Roman" w:cs="Times New Roman"/>
          <w:sz w:val="32"/>
          <w:szCs w:val="32"/>
        </w:rPr>
        <w:t>万元增加</w:t>
      </w:r>
      <w:r>
        <w:rPr>
          <w:rFonts w:ascii="Times New Roman" w:eastAsia="仿宋_GB2312" w:hAnsi="Times New Roman" w:cs="Times New Roman"/>
          <w:sz w:val="32"/>
          <w:szCs w:val="32"/>
        </w:rPr>
        <w:t>12</w:t>
      </w:r>
      <w:r>
        <w:rPr>
          <w:rFonts w:ascii="Times New Roman" w:eastAsia="仿宋_GB2312" w:hAnsi="Times New Roman" w:cs="Times New Roman" w:hint="eastAsia"/>
          <w:sz w:val="32"/>
          <w:szCs w:val="32"/>
        </w:rPr>
        <w:t>49.72</w:t>
      </w:r>
      <w:r>
        <w:rPr>
          <w:rFonts w:ascii="Times New Roman" w:eastAsia="仿宋_GB2312" w:hAnsi="Times New Roman" w:cs="Times New Roman"/>
          <w:sz w:val="32"/>
          <w:szCs w:val="32"/>
        </w:rPr>
        <w:t>万元，增加</w:t>
      </w: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47</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。支出预决算差异是因追加的项目经费支出所致。</w:t>
      </w:r>
    </w:p>
    <w:p w:rsidR="00E056BC" w:rsidRDefault="00101FB3">
      <w:pPr>
        <w:adjustRightInd w:val="0"/>
        <w:snapToGrid w:val="0"/>
        <w:spacing w:line="600" w:lineRule="exact"/>
        <w:ind w:firstLineChars="200" w:firstLine="480"/>
        <w:rPr>
          <w:rFonts w:ascii="Times New Roman" w:eastAsia="仿宋_GB2312" w:hAnsi="Times New Roman" w:cs="Times New Roman"/>
          <w:sz w:val="32"/>
          <w:szCs w:val="32"/>
        </w:rPr>
      </w:pPr>
      <w:r>
        <w:rPr>
          <w:rFonts w:ascii="Times New Roman" w:eastAsia="仿宋_GB2312" w:hAnsi="Times New Roman" w:cs="Times New Roman"/>
          <w:sz w:val="24"/>
          <w:szCs w:val="24"/>
        </w:rPr>
        <w:t>注：由于小数四舍五入，合计数可能有所出入。</w:t>
      </w:r>
    </w:p>
    <w:p w:rsidR="00E056BC" w:rsidRDefault="00101FB3">
      <w:pPr>
        <w:adjustRightInd w:val="0"/>
        <w:snapToGrid w:val="0"/>
        <w:spacing w:line="600" w:lineRule="exact"/>
        <w:ind w:firstLineChars="200" w:firstLine="640"/>
        <w:rPr>
          <w:rFonts w:ascii="Times New Roman" w:eastAsia="黑体" w:hAnsi="Times New Roman" w:cs="Times New Roman"/>
          <w:sz w:val="32"/>
          <w:szCs w:val="32"/>
        </w:rPr>
      </w:pPr>
      <w:r>
        <w:rPr>
          <w:rFonts w:ascii="Times New Roman" w:eastAsia="仿宋_GB2312" w:hAnsi="Times New Roman" w:cs="Times New Roman"/>
          <w:sz w:val="32"/>
          <w:szCs w:val="32"/>
        </w:rPr>
        <w:t xml:space="preserve"> </w:t>
      </w:r>
      <w:bookmarkStart w:id="59" w:name="_Toc12373"/>
      <w:r>
        <w:rPr>
          <w:rFonts w:ascii="Times New Roman" w:eastAsia="黑体" w:hAnsi="Times New Roman" w:cs="Times New Roman"/>
          <w:sz w:val="32"/>
          <w:szCs w:val="32"/>
        </w:rPr>
        <w:t>五、总体评价结论</w:t>
      </w:r>
      <w:bookmarkEnd w:id="56"/>
      <w:bookmarkEnd w:id="57"/>
      <w:bookmarkEnd w:id="58"/>
      <w:bookmarkEnd w:id="59"/>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bookmarkStart w:id="60" w:name="_Toc10729"/>
      <w:bookmarkStart w:id="61" w:name="_Toc19987"/>
      <w:bookmarkStart w:id="62" w:name="_Toc28469"/>
      <w:bookmarkStart w:id="63" w:name="_Toc19197"/>
      <w:r>
        <w:rPr>
          <w:rFonts w:ascii="Times New Roman" w:eastAsia="楷体_GB2312" w:hAnsi="Times New Roman" w:cs="Times New Roman"/>
          <w:b/>
          <w:bCs/>
          <w:sz w:val="32"/>
          <w:szCs w:val="32"/>
        </w:rPr>
        <w:t>（一）评价得分情况</w:t>
      </w:r>
      <w:bookmarkEnd w:id="60"/>
      <w:bookmarkEnd w:id="61"/>
      <w:bookmarkEnd w:id="62"/>
      <w:bookmarkEnd w:id="63"/>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经过综合评价，</w:t>
      </w:r>
      <w:r>
        <w:rPr>
          <w:rFonts w:ascii="Times New Roman" w:eastAsia="仿宋_GB2312" w:hAnsi="Times New Roman" w:cs="Times New Roman"/>
          <w:sz w:val="32"/>
          <w:szCs w:val="32"/>
        </w:rPr>
        <w:t>首钢技师学院</w:t>
      </w:r>
      <w:r>
        <w:rPr>
          <w:rFonts w:ascii="Times New Roman" w:eastAsia="仿宋_GB2312" w:hAnsi="Times New Roman" w:cs="Times New Roman"/>
          <w:kern w:val="0"/>
          <w:sz w:val="32"/>
          <w:szCs w:val="32"/>
        </w:rPr>
        <w:t>2022</w:t>
      </w:r>
      <w:r>
        <w:rPr>
          <w:rFonts w:ascii="Times New Roman" w:eastAsia="仿宋_GB2312" w:hAnsi="Times New Roman" w:cs="Times New Roman"/>
          <w:kern w:val="0"/>
          <w:sz w:val="32"/>
          <w:szCs w:val="32"/>
        </w:rPr>
        <w:t>年度部门整体支出绩效评价综合得分</w:t>
      </w:r>
      <w:r>
        <w:rPr>
          <w:rFonts w:ascii="Times New Roman" w:eastAsia="仿宋_GB2312" w:hAnsi="Times New Roman" w:cs="Times New Roman"/>
          <w:kern w:val="0"/>
          <w:sz w:val="32"/>
          <w:szCs w:val="32"/>
        </w:rPr>
        <w:t>94.5</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分，评定等级为</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优</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 xml:space="preserve"> </w:t>
      </w:r>
    </w:p>
    <w:p w:rsidR="00E056BC" w:rsidRDefault="00101FB3">
      <w:pPr>
        <w:pStyle w:val="9"/>
        <w:adjustRightInd w:val="0"/>
        <w:snapToGrid w:val="0"/>
        <w:spacing w:afterLines="50" w:after="156" w:line="600" w:lineRule="exact"/>
        <w:ind w:leftChars="0" w:left="0"/>
        <w:jc w:val="center"/>
        <w:textAlignment w:val="baseline"/>
        <w:rPr>
          <w:rFonts w:ascii="Times New Roman" w:eastAsia="宋体" w:hAnsi="Times New Roman" w:cs="Times New Roman"/>
          <w:b/>
          <w:bCs/>
          <w:sz w:val="28"/>
          <w:szCs w:val="28"/>
        </w:rPr>
      </w:pPr>
      <w:r>
        <w:rPr>
          <w:rFonts w:ascii="Times New Roman" w:eastAsia="宋体" w:hAnsi="Times New Roman" w:cs="Times New Roman"/>
          <w:b/>
          <w:bCs/>
          <w:sz w:val="28"/>
          <w:szCs w:val="28"/>
        </w:rPr>
        <w:t>首钢技师学院部门整体支出绩效评价得分表</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226"/>
        <w:gridCol w:w="2637"/>
        <w:gridCol w:w="2622"/>
      </w:tblGrid>
      <w:tr w:rsidR="00E056BC">
        <w:trPr>
          <w:cantSplit/>
          <w:trHeight w:val="567"/>
          <w:tblHeader/>
          <w:jc w:val="center"/>
        </w:trPr>
        <w:tc>
          <w:tcPr>
            <w:tcW w:w="3226" w:type="dxa"/>
            <w:shd w:val="clear" w:color="auto" w:fill="BEBEBE"/>
            <w:vAlign w:val="center"/>
          </w:tcPr>
          <w:p w:rsidR="00E056BC" w:rsidRDefault="00101FB3">
            <w:pPr>
              <w:snapToGrid w:val="0"/>
              <w:jc w:val="center"/>
              <w:textAlignment w:val="baseline"/>
              <w:rPr>
                <w:rFonts w:ascii="Times New Roman" w:eastAsia="宋体" w:hAnsi="Times New Roman" w:cs="Times New Roman"/>
                <w:b/>
                <w:sz w:val="24"/>
                <w:szCs w:val="24"/>
              </w:rPr>
            </w:pPr>
            <w:r>
              <w:rPr>
                <w:rFonts w:ascii="Times New Roman" w:eastAsia="宋体" w:hAnsi="Times New Roman" w:cs="Times New Roman"/>
                <w:b/>
                <w:sz w:val="24"/>
                <w:szCs w:val="24"/>
              </w:rPr>
              <w:t>评价内容</w:t>
            </w:r>
          </w:p>
        </w:tc>
        <w:tc>
          <w:tcPr>
            <w:tcW w:w="2637" w:type="dxa"/>
            <w:shd w:val="clear" w:color="auto" w:fill="BEBEBE"/>
            <w:vAlign w:val="center"/>
          </w:tcPr>
          <w:p w:rsidR="00E056BC" w:rsidRDefault="00101FB3">
            <w:pPr>
              <w:snapToGrid w:val="0"/>
              <w:jc w:val="center"/>
              <w:textAlignment w:val="baseline"/>
              <w:rPr>
                <w:rFonts w:ascii="Times New Roman" w:eastAsia="宋体" w:hAnsi="Times New Roman" w:cs="Times New Roman"/>
                <w:b/>
                <w:sz w:val="24"/>
                <w:szCs w:val="24"/>
              </w:rPr>
            </w:pPr>
            <w:r>
              <w:rPr>
                <w:rFonts w:ascii="Times New Roman" w:eastAsia="宋体" w:hAnsi="Times New Roman" w:cs="Times New Roman"/>
                <w:b/>
                <w:sz w:val="24"/>
                <w:szCs w:val="24"/>
              </w:rPr>
              <w:t>分值</w:t>
            </w:r>
          </w:p>
        </w:tc>
        <w:tc>
          <w:tcPr>
            <w:tcW w:w="2622" w:type="dxa"/>
            <w:shd w:val="clear" w:color="auto" w:fill="BEBEBE"/>
            <w:vAlign w:val="center"/>
          </w:tcPr>
          <w:p w:rsidR="00E056BC" w:rsidRDefault="00101FB3">
            <w:pPr>
              <w:snapToGrid w:val="0"/>
              <w:jc w:val="center"/>
              <w:textAlignment w:val="baseline"/>
              <w:rPr>
                <w:rFonts w:ascii="Times New Roman" w:eastAsia="宋体" w:hAnsi="Times New Roman" w:cs="Times New Roman"/>
                <w:b/>
                <w:sz w:val="24"/>
                <w:szCs w:val="24"/>
              </w:rPr>
            </w:pPr>
            <w:r>
              <w:rPr>
                <w:rFonts w:ascii="Times New Roman" w:eastAsia="宋体" w:hAnsi="Times New Roman" w:cs="Times New Roman"/>
                <w:b/>
                <w:sz w:val="24"/>
                <w:szCs w:val="24"/>
              </w:rPr>
              <w:t>评价得分</w:t>
            </w:r>
          </w:p>
        </w:tc>
      </w:tr>
      <w:tr w:rsidR="00E056BC">
        <w:trPr>
          <w:cantSplit/>
          <w:trHeight w:val="567"/>
          <w:jc w:val="center"/>
        </w:trPr>
        <w:tc>
          <w:tcPr>
            <w:tcW w:w="3226"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当年预算执行情况</w:t>
            </w:r>
          </w:p>
        </w:tc>
        <w:tc>
          <w:tcPr>
            <w:tcW w:w="2637"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20.00</w:t>
            </w:r>
          </w:p>
        </w:tc>
        <w:tc>
          <w:tcPr>
            <w:tcW w:w="2622"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18.00</w:t>
            </w:r>
          </w:p>
        </w:tc>
      </w:tr>
      <w:tr w:rsidR="00E056BC">
        <w:trPr>
          <w:cantSplit/>
          <w:trHeight w:val="567"/>
          <w:jc w:val="center"/>
        </w:trPr>
        <w:tc>
          <w:tcPr>
            <w:tcW w:w="3226"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整体绩效目标实现情况</w:t>
            </w:r>
          </w:p>
        </w:tc>
        <w:tc>
          <w:tcPr>
            <w:tcW w:w="2637"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60.00</w:t>
            </w:r>
          </w:p>
        </w:tc>
        <w:tc>
          <w:tcPr>
            <w:tcW w:w="2622"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56.50</w:t>
            </w:r>
          </w:p>
        </w:tc>
      </w:tr>
      <w:tr w:rsidR="00E056BC">
        <w:trPr>
          <w:cantSplit/>
          <w:trHeight w:val="567"/>
          <w:jc w:val="center"/>
        </w:trPr>
        <w:tc>
          <w:tcPr>
            <w:tcW w:w="3226"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预算管理情况</w:t>
            </w:r>
          </w:p>
        </w:tc>
        <w:tc>
          <w:tcPr>
            <w:tcW w:w="2637"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20.00</w:t>
            </w:r>
          </w:p>
        </w:tc>
        <w:tc>
          <w:tcPr>
            <w:tcW w:w="2622"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20.00</w:t>
            </w:r>
          </w:p>
        </w:tc>
      </w:tr>
      <w:tr w:rsidR="00E056BC">
        <w:trPr>
          <w:cantSplit/>
          <w:trHeight w:val="567"/>
          <w:jc w:val="center"/>
        </w:trPr>
        <w:tc>
          <w:tcPr>
            <w:tcW w:w="3226"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综合得分</w:t>
            </w:r>
          </w:p>
        </w:tc>
        <w:tc>
          <w:tcPr>
            <w:tcW w:w="2637"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100.00</w:t>
            </w:r>
          </w:p>
        </w:tc>
        <w:tc>
          <w:tcPr>
            <w:tcW w:w="2622"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94.50</w:t>
            </w:r>
          </w:p>
        </w:tc>
      </w:tr>
      <w:tr w:rsidR="00E056BC">
        <w:trPr>
          <w:cantSplit/>
          <w:trHeight w:val="567"/>
          <w:jc w:val="center"/>
        </w:trPr>
        <w:tc>
          <w:tcPr>
            <w:tcW w:w="3226" w:type="dxa"/>
            <w:vAlign w:val="center"/>
          </w:tcPr>
          <w:p w:rsidR="00E056BC" w:rsidRDefault="00101FB3">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评定等级</w:t>
            </w:r>
          </w:p>
        </w:tc>
        <w:tc>
          <w:tcPr>
            <w:tcW w:w="5259" w:type="dxa"/>
            <w:gridSpan w:val="2"/>
            <w:vAlign w:val="center"/>
          </w:tcPr>
          <w:p w:rsidR="00E056BC" w:rsidRDefault="00101FB3">
            <w:pPr>
              <w:snapToGrid w:val="0"/>
              <w:jc w:val="center"/>
              <w:textAlignment w:val="baseline"/>
              <w:rPr>
                <w:rFonts w:ascii="Times New Roman" w:eastAsia="宋体" w:hAnsi="Times New Roman" w:cs="Times New Roman"/>
                <w:bCs/>
                <w:sz w:val="24"/>
                <w:szCs w:val="24"/>
                <w:highlight w:val="yellow"/>
              </w:rPr>
            </w:pPr>
            <w:r>
              <w:rPr>
                <w:rFonts w:ascii="Times New Roman" w:eastAsia="宋体" w:hAnsi="Times New Roman" w:cs="Times New Roman"/>
                <w:bCs/>
                <w:sz w:val="24"/>
                <w:szCs w:val="24"/>
              </w:rPr>
              <w:t>优</w:t>
            </w:r>
          </w:p>
        </w:tc>
      </w:tr>
    </w:tbl>
    <w:p w:rsidR="00E056BC" w:rsidRDefault="00E056BC">
      <w:pPr>
        <w:snapToGrid w:val="0"/>
        <w:textAlignment w:val="baseline"/>
        <w:rPr>
          <w:rFonts w:ascii="Times New Roman" w:eastAsia="仿宋_GB2312" w:hAnsi="Times New Roman" w:cs="Times New Roman"/>
          <w:sz w:val="28"/>
          <w:szCs w:val="28"/>
        </w:rPr>
      </w:pP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绩效评价表明，首钢技师学院围绕部门职能和年度工作任务抓好绩效管理，预算执行良好，产出成果明显，社会效益显著，实现了</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年部门整体绩效目标。</w:t>
      </w:r>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sz w:val="32"/>
          <w:szCs w:val="32"/>
        </w:rPr>
      </w:pPr>
      <w:bookmarkStart w:id="64" w:name="_Toc5651"/>
      <w:bookmarkStart w:id="65" w:name="_Toc3164"/>
      <w:bookmarkStart w:id="66" w:name="_Toc23274"/>
      <w:r>
        <w:rPr>
          <w:rFonts w:ascii="Times New Roman" w:eastAsia="仿宋_GB2312" w:hAnsi="Times New Roman" w:cs="Times New Roman"/>
          <w:b/>
          <w:bCs/>
          <w:sz w:val="32"/>
          <w:szCs w:val="32"/>
        </w:rPr>
        <w:lastRenderedPageBreak/>
        <w:t>1.</w:t>
      </w:r>
      <w:r>
        <w:rPr>
          <w:rFonts w:ascii="Times New Roman" w:eastAsia="仿宋_GB2312" w:hAnsi="Times New Roman" w:cs="Times New Roman"/>
          <w:b/>
          <w:bCs/>
          <w:sz w:val="32"/>
          <w:szCs w:val="32"/>
        </w:rPr>
        <w:t>在运行保障方面</w:t>
      </w:r>
      <w:r>
        <w:rPr>
          <w:rFonts w:ascii="Times New Roman" w:eastAsia="仿宋_GB2312" w:hAnsi="Times New Roman" w:cs="Times New Roman"/>
          <w:sz w:val="32"/>
          <w:szCs w:val="32"/>
        </w:rPr>
        <w:t>，积极搞好学院运行经费保障，做好人员经费和招聘计划，按时、足额保障人员工资和社保、公积金等费用缴纳。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年开支人员经费</w:t>
      </w:r>
      <w:r>
        <w:rPr>
          <w:rFonts w:ascii="Times New Roman" w:eastAsia="仿宋_GB2312" w:hAnsi="Times New Roman" w:cs="Times New Roman"/>
          <w:sz w:val="32"/>
          <w:szCs w:val="32"/>
        </w:rPr>
        <w:t>9836.35</w:t>
      </w:r>
      <w:r>
        <w:rPr>
          <w:rFonts w:ascii="Times New Roman" w:eastAsia="仿宋_GB2312" w:hAnsi="Times New Roman" w:cs="Times New Roman"/>
          <w:sz w:val="32"/>
          <w:szCs w:val="32"/>
        </w:rPr>
        <w:t>万元，公用经费</w:t>
      </w:r>
      <w:r>
        <w:rPr>
          <w:rFonts w:ascii="Times New Roman" w:eastAsia="仿宋_GB2312" w:hAnsi="Times New Roman" w:cs="Times New Roman"/>
          <w:sz w:val="32"/>
          <w:szCs w:val="32"/>
        </w:rPr>
        <w:t>2388.03</w:t>
      </w:r>
      <w:r>
        <w:rPr>
          <w:rFonts w:ascii="Times New Roman" w:eastAsia="仿宋_GB2312" w:hAnsi="Times New Roman" w:cs="Times New Roman"/>
          <w:sz w:val="32"/>
          <w:szCs w:val="32"/>
        </w:rPr>
        <w:t>万元，在厉行节约、降低办公成本的基础上，较好地保障了学院正常运转。</w:t>
      </w:r>
    </w:p>
    <w:p w:rsidR="00E056BC" w:rsidRDefault="00101FB3">
      <w:pPr>
        <w:suppressAutoHyphens/>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在经费管理方面</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经费支出</w:t>
      </w:r>
      <w:r>
        <w:rPr>
          <w:rFonts w:ascii="Times New Roman" w:eastAsia="仿宋_GB2312" w:hAnsi="Times New Roman" w:cs="Times New Roman"/>
          <w:sz w:val="32"/>
          <w:szCs w:val="32"/>
        </w:rPr>
        <w:t>1.14</w:t>
      </w:r>
      <w:r>
        <w:rPr>
          <w:rFonts w:ascii="Times New Roman" w:eastAsia="仿宋_GB2312" w:hAnsi="Times New Roman" w:cs="Times New Roman"/>
          <w:sz w:val="32"/>
          <w:szCs w:val="32"/>
        </w:rPr>
        <w:t>万元，比上年减少</w:t>
      </w:r>
      <w:r>
        <w:rPr>
          <w:rFonts w:ascii="Times New Roman" w:eastAsia="仿宋_GB2312" w:hAnsi="Times New Roman" w:cs="Times New Roman"/>
          <w:sz w:val="32"/>
          <w:szCs w:val="32"/>
        </w:rPr>
        <w:t>0.32</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减少率</w:t>
      </w:r>
      <w:r>
        <w:rPr>
          <w:rFonts w:ascii="Times New Roman" w:eastAsia="仿宋_GB2312" w:hAnsi="Times New Roman" w:cs="Times New Roman"/>
          <w:sz w:val="32"/>
          <w:szCs w:val="32"/>
        </w:rPr>
        <w:t>21.61%</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经费只有公务用车运行维护费一项支出。</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年培训费支出</w:t>
      </w:r>
      <w:r>
        <w:rPr>
          <w:rFonts w:ascii="Times New Roman" w:eastAsia="仿宋_GB2312" w:hAnsi="Times New Roman" w:cs="Times New Roman"/>
          <w:sz w:val="32"/>
          <w:szCs w:val="32"/>
        </w:rPr>
        <w:t>0.40</w:t>
      </w:r>
      <w:r>
        <w:rPr>
          <w:rFonts w:ascii="Times New Roman" w:eastAsia="仿宋_GB2312" w:hAnsi="Times New Roman" w:cs="Times New Roman"/>
          <w:sz w:val="32"/>
          <w:szCs w:val="32"/>
        </w:rPr>
        <w:t>万元，比上年减少</w:t>
      </w:r>
      <w:r>
        <w:rPr>
          <w:rFonts w:ascii="Times New Roman" w:eastAsia="仿宋_GB2312" w:hAnsi="Times New Roman" w:cs="Times New Roman"/>
          <w:sz w:val="32"/>
          <w:szCs w:val="32"/>
        </w:rPr>
        <w:t>8.60</w:t>
      </w:r>
      <w:r>
        <w:rPr>
          <w:rFonts w:ascii="Times New Roman" w:eastAsia="仿宋_GB2312" w:hAnsi="Times New Roman" w:cs="Times New Roman"/>
          <w:sz w:val="32"/>
          <w:szCs w:val="32"/>
        </w:rPr>
        <w:t>万元，减少率</w:t>
      </w:r>
      <w:r>
        <w:rPr>
          <w:rFonts w:ascii="Times New Roman" w:eastAsia="仿宋_GB2312" w:hAnsi="Times New Roman" w:cs="Times New Roman"/>
          <w:sz w:val="32"/>
          <w:szCs w:val="32"/>
        </w:rPr>
        <w:t>95.58%</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年会议费支出</w:t>
      </w:r>
      <w:r>
        <w:rPr>
          <w:rFonts w:ascii="Times New Roman" w:eastAsia="仿宋_GB2312" w:hAnsi="Times New Roman" w:cs="Times New Roman"/>
          <w:sz w:val="32"/>
          <w:szCs w:val="32"/>
        </w:rPr>
        <w:t>0.00</w:t>
      </w:r>
      <w:r>
        <w:rPr>
          <w:rFonts w:ascii="Times New Roman" w:eastAsia="仿宋_GB2312" w:hAnsi="Times New Roman" w:cs="Times New Roman"/>
          <w:sz w:val="32"/>
          <w:szCs w:val="32"/>
        </w:rPr>
        <w:t>万元，比上年减少</w:t>
      </w:r>
      <w:r>
        <w:rPr>
          <w:rFonts w:ascii="Times New Roman" w:eastAsia="仿宋_GB2312" w:hAnsi="Times New Roman" w:cs="Times New Roman"/>
          <w:sz w:val="32"/>
          <w:szCs w:val="32"/>
        </w:rPr>
        <w:t>7.00</w:t>
      </w:r>
      <w:r>
        <w:rPr>
          <w:rFonts w:ascii="Times New Roman" w:eastAsia="仿宋_GB2312" w:hAnsi="Times New Roman" w:cs="Times New Roman"/>
          <w:sz w:val="32"/>
          <w:szCs w:val="32"/>
        </w:rPr>
        <w:t>万元，减少率</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经费、培训费、会议费均控制在较低水平。</w:t>
      </w:r>
    </w:p>
    <w:p w:rsidR="00E056BC" w:rsidRDefault="00101FB3">
      <w:pPr>
        <w:adjustRightInd w:val="0"/>
        <w:snapToGrid w:val="0"/>
        <w:spacing w:line="600" w:lineRule="exact"/>
        <w:ind w:firstLineChars="200" w:firstLine="643"/>
        <w:textAlignment w:val="baseline"/>
        <w:rPr>
          <w:rFonts w:ascii="Times New Roman" w:eastAsia="仿宋_GB2312" w:hAnsi="Times New Roman" w:cs="Times New Roman"/>
          <w:sz w:val="32"/>
          <w:szCs w:val="32"/>
        </w:rPr>
      </w:pPr>
      <w:r>
        <w:rPr>
          <w:rFonts w:ascii="Times New Roman" w:eastAsia="仿宋_GB2312" w:hAnsi="Times New Roman" w:cs="Times New Roman"/>
          <w:b/>
          <w:bCs/>
          <w:sz w:val="32"/>
          <w:szCs w:val="32"/>
        </w:rPr>
        <w:t>3.</w:t>
      </w:r>
      <w:r>
        <w:rPr>
          <w:rFonts w:ascii="Times New Roman" w:eastAsia="仿宋_GB2312" w:hAnsi="Times New Roman" w:cs="Times New Roman"/>
          <w:b/>
          <w:bCs/>
          <w:sz w:val="32"/>
          <w:szCs w:val="32"/>
        </w:rPr>
        <w:t>在成本控制方面</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年末，一般性支出金额控制在市财政调控使用范围内。在项目实施过程中严格落实政府采购制度，强化项目管理，控制项目成本，节约财政资金。</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年基本支出全年预算数</w:t>
      </w:r>
      <w:r>
        <w:rPr>
          <w:rFonts w:ascii="Times New Roman" w:eastAsia="仿宋_GB2312" w:hAnsi="Times New Roman" w:cs="Times New Roman"/>
          <w:sz w:val="32"/>
          <w:szCs w:val="32"/>
        </w:rPr>
        <w:t>12213.24</w:t>
      </w:r>
      <w:r>
        <w:rPr>
          <w:rFonts w:ascii="Times New Roman" w:eastAsia="仿宋_GB2312" w:hAnsi="Times New Roman" w:cs="Times New Roman"/>
          <w:sz w:val="32"/>
          <w:szCs w:val="32"/>
        </w:rPr>
        <w:t>万元，实际支出数</w:t>
      </w:r>
      <w:r>
        <w:rPr>
          <w:rFonts w:ascii="Times New Roman" w:eastAsia="仿宋_GB2312" w:hAnsi="Times New Roman" w:cs="Times New Roman"/>
          <w:sz w:val="32"/>
          <w:szCs w:val="32"/>
        </w:rPr>
        <w:t>12224.38</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超支</w:t>
      </w:r>
      <w:r>
        <w:rPr>
          <w:rFonts w:ascii="Times New Roman" w:eastAsia="仿宋_GB2312" w:hAnsi="Times New Roman" w:cs="Times New Roman"/>
          <w:sz w:val="32"/>
          <w:szCs w:val="32"/>
        </w:rPr>
        <w:t>11.14</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项目支出全年预算数</w:t>
      </w:r>
      <w:r>
        <w:rPr>
          <w:rFonts w:ascii="Times New Roman" w:eastAsia="仿宋_GB2312" w:hAnsi="Times New Roman" w:cs="Times New Roman"/>
          <w:sz w:val="32"/>
          <w:szCs w:val="32"/>
        </w:rPr>
        <w:t>5954.84</w:t>
      </w:r>
      <w:r>
        <w:rPr>
          <w:rFonts w:ascii="Times New Roman" w:eastAsia="仿宋_GB2312" w:hAnsi="Times New Roman" w:cs="Times New Roman"/>
          <w:sz w:val="32"/>
          <w:szCs w:val="32"/>
        </w:rPr>
        <w:t>万元，实际支出数</w:t>
      </w:r>
      <w:r>
        <w:rPr>
          <w:rFonts w:ascii="Times New Roman" w:eastAsia="仿宋_GB2312" w:hAnsi="Times New Roman" w:cs="Times New Roman"/>
          <w:sz w:val="32"/>
          <w:szCs w:val="32"/>
        </w:rPr>
        <w:t>5757.87</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节约</w:t>
      </w:r>
      <w:r>
        <w:rPr>
          <w:rFonts w:ascii="Times New Roman" w:eastAsia="仿宋_GB2312" w:hAnsi="Times New Roman" w:cs="Times New Roman"/>
          <w:sz w:val="32"/>
          <w:szCs w:val="32"/>
        </w:rPr>
        <w:t>196.97</w:t>
      </w:r>
      <w:r>
        <w:rPr>
          <w:rFonts w:ascii="Times New Roman" w:eastAsia="仿宋_GB2312" w:hAnsi="Times New Roman" w:cs="Times New Roman"/>
          <w:sz w:val="32"/>
          <w:szCs w:val="32"/>
        </w:rPr>
        <w:t>万元。</w:t>
      </w:r>
    </w:p>
    <w:p w:rsidR="00E056BC" w:rsidRDefault="00101FB3">
      <w:pPr>
        <w:adjustRightInd w:val="0"/>
        <w:snapToGrid w:val="0"/>
        <w:spacing w:line="600" w:lineRule="exact"/>
        <w:ind w:firstLineChars="200" w:firstLine="643"/>
        <w:outlineLvl w:val="0"/>
        <w:rPr>
          <w:rFonts w:ascii="Times New Roman" w:eastAsia="仿宋_GB2312" w:hAnsi="Times New Roman" w:cs="Times New Roman"/>
          <w:sz w:val="32"/>
          <w:szCs w:val="32"/>
        </w:rPr>
      </w:pPr>
      <w:r>
        <w:rPr>
          <w:rFonts w:ascii="Times New Roman" w:eastAsia="仿宋_GB2312" w:hAnsi="Times New Roman" w:cs="Times New Roman"/>
          <w:b/>
          <w:bCs/>
          <w:sz w:val="32"/>
          <w:szCs w:val="32"/>
        </w:rPr>
        <w:t>4.</w:t>
      </w:r>
      <w:r>
        <w:rPr>
          <w:rFonts w:ascii="Times New Roman" w:eastAsia="仿宋_GB2312" w:hAnsi="Times New Roman" w:cs="Times New Roman"/>
          <w:b/>
          <w:bCs/>
          <w:sz w:val="32"/>
          <w:szCs w:val="32"/>
        </w:rPr>
        <w:t>在绩效管理方面</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按照北京市财政局的统一部署，全面开展绩效评价，组织各部门对申报的</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个项目进行自评，并填报《项目支出绩效自评表》。聘请专业会计师事务所对</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年相关项目进行绩效评价和成本预算效益分析，落实绩效管理</w:t>
      </w:r>
      <w:r>
        <w:rPr>
          <w:rFonts w:ascii="Times New Roman" w:eastAsia="仿宋_GB2312" w:hAnsi="Times New Roman" w:cs="Times New Roman"/>
          <w:sz w:val="32"/>
          <w:szCs w:val="32"/>
        </w:rPr>
        <w:lastRenderedPageBreak/>
        <w:t>要求。通过评价，增强各部门支出责任和效率意识，提高项目管理水平和资金使用效益。</w:t>
      </w:r>
    </w:p>
    <w:p w:rsidR="00E056BC" w:rsidRDefault="00101FB3">
      <w:pPr>
        <w:adjustRightInd w:val="0"/>
        <w:snapToGrid w:val="0"/>
        <w:spacing w:line="600" w:lineRule="exact"/>
        <w:ind w:firstLineChars="200" w:firstLine="643"/>
        <w:textAlignment w:val="baseline"/>
        <w:outlineLvl w:val="1"/>
        <w:rPr>
          <w:rFonts w:ascii="Times New Roman" w:eastAsia="楷体_GB2312" w:hAnsi="Times New Roman" w:cs="Times New Roman"/>
          <w:b/>
          <w:bCs/>
          <w:sz w:val="32"/>
          <w:szCs w:val="32"/>
        </w:rPr>
      </w:pPr>
      <w:bookmarkStart w:id="67" w:name="_Toc4806"/>
      <w:r>
        <w:rPr>
          <w:rFonts w:ascii="Times New Roman" w:eastAsia="楷体_GB2312" w:hAnsi="Times New Roman" w:cs="Times New Roman"/>
          <w:b/>
          <w:bCs/>
          <w:sz w:val="32"/>
          <w:szCs w:val="32"/>
        </w:rPr>
        <w:t>（二）存在的问题及原因分析</w:t>
      </w:r>
      <w:bookmarkEnd w:id="64"/>
      <w:bookmarkEnd w:id="65"/>
      <w:bookmarkEnd w:id="66"/>
      <w:bookmarkEnd w:id="67"/>
    </w:p>
    <w:p w:rsidR="00E056BC" w:rsidRDefault="00101FB3">
      <w:pPr>
        <w:adjustRightInd w:val="0"/>
        <w:snapToGrid w:val="0"/>
        <w:spacing w:line="600" w:lineRule="exact"/>
        <w:ind w:firstLineChars="200" w:firstLine="643"/>
        <w:rPr>
          <w:rFonts w:ascii="Times New Roman" w:eastAsia="仿宋_GB2312" w:hAnsi="Times New Roman" w:cs="Times New Roman"/>
          <w:b/>
          <w:bCs/>
          <w:kern w:val="0"/>
          <w:sz w:val="32"/>
          <w:szCs w:val="32"/>
        </w:rPr>
      </w:pPr>
      <w:r>
        <w:rPr>
          <w:rFonts w:ascii="Times New Roman" w:eastAsia="仿宋_GB2312" w:hAnsi="Times New Roman" w:cs="Times New Roman"/>
          <w:b/>
          <w:bCs/>
          <w:kern w:val="0"/>
          <w:sz w:val="32"/>
          <w:szCs w:val="32"/>
        </w:rPr>
        <w:t>1.</w:t>
      </w:r>
      <w:r>
        <w:rPr>
          <w:rFonts w:ascii="Times New Roman" w:eastAsia="仿宋_GB2312" w:hAnsi="Times New Roman" w:cs="Times New Roman"/>
          <w:b/>
          <w:bCs/>
          <w:kern w:val="0"/>
          <w:sz w:val="32"/>
          <w:szCs w:val="32"/>
        </w:rPr>
        <w:t>绩效指标设置存在不足</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部门整体绩效指标未设置效益指标和满意度指标，数量指标、质量指标设置不够精准。数量指标中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授课计划兑现率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实训教学任务开出率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在校学生中高级工职业技能取证率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属于质量指标范畴，</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毕业生就业率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属于效益指标范畴。</w:t>
      </w:r>
      <w:bookmarkStart w:id="68" w:name="_GoBack"/>
      <w:bookmarkEnd w:id="68"/>
    </w:p>
    <w:p w:rsidR="00E056BC" w:rsidRDefault="00101FB3">
      <w:pPr>
        <w:adjustRightInd w:val="0"/>
        <w:snapToGrid w:val="0"/>
        <w:spacing w:line="600" w:lineRule="exact"/>
        <w:ind w:firstLineChars="200" w:firstLine="643"/>
        <w:rPr>
          <w:rFonts w:ascii="Times New Roman" w:eastAsia="仿宋_GB2312" w:hAnsi="Times New Roman" w:cs="Times New Roman"/>
          <w:b/>
          <w:bCs/>
          <w:kern w:val="0"/>
          <w:sz w:val="32"/>
          <w:szCs w:val="32"/>
        </w:rPr>
      </w:pPr>
      <w:r>
        <w:rPr>
          <w:rFonts w:ascii="Times New Roman" w:eastAsia="仿宋_GB2312" w:hAnsi="Times New Roman" w:cs="Times New Roman"/>
          <w:b/>
          <w:bCs/>
          <w:kern w:val="0"/>
          <w:sz w:val="32"/>
          <w:szCs w:val="32"/>
        </w:rPr>
        <w:t>2.</w:t>
      </w:r>
      <w:r>
        <w:rPr>
          <w:rFonts w:ascii="Times New Roman" w:eastAsia="仿宋_GB2312" w:hAnsi="Times New Roman" w:cs="Times New Roman"/>
          <w:b/>
          <w:bCs/>
          <w:kern w:val="0"/>
          <w:sz w:val="32"/>
          <w:szCs w:val="32"/>
        </w:rPr>
        <w:t>项目实施方案有待细化</w:t>
      </w:r>
    </w:p>
    <w:p w:rsidR="00E056BC" w:rsidRDefault="00101FB3">
      <w:pPr>
        <w:adjustRightInd w:val="0"/>
        <w:snapToGrid w:val="0"/>
        <w:spacing w:line="600" w:lineRule="exact"/>
        <w:ind w:firstLineChars="200" w:firstLine="640"/>
        <w:textAlignment w:val="baseline"/>
        <w:outlineLvl w:val="0"/>
        <w:rPr>
          <w:rFonts w:ascii="Times New Roman" w:eastAsia="仿宋_GB2312" w:hAnsi="Times New Roman" w:cs="Times New Roman"/>
          <w:sz w:val="32"/>
          <w:szCs w:val="32"/>
        </w:rPr>
      </w:pPr>
      <w:bookmarkStart w:id="69" w:name="_Toc22084"/>
      <w:bookmarkStart w:id="70" w:name="_Toc22090"/>
      <w:bookmarkStart w:id="71" w:name="_Toc9365"/>
      <w:bookmarkStart w:id="72" w:name="_Toc30929"/>
      <w:r>
        <w:rPr>
          <w:rFonts w:ascii="Times New Roman" w:eastAsia="仿宋_GB2312" w:hAnsi="Times New Roman" w:cs="Times New Roman"/>
          <w:sz w:val="32"/>
          <w:szCs w:val="32"/>
        </w:rPr>
        <w:t>抽查的二级项目申报文本，项目实施方案普遍比较简单，对于项目实施的组织架构、职责分工、进度安排、保障措施、过程监管等不够明确具体，可行性、操作性不足，不利于有序推进项目实施和质量控制。</w:t>
      </w:r>
      <w:bookmarkStart w:id="73" w:name="_Toc437715336"/>
      <w:bookmarkStart w:id="74" w:name="_Toc439753330"/>
      <w:bookmarkStart w:id="75" w:name="_Toc2246"/>
      <w:r>
        <w:rPr>
          <w:rFonts w:ascii="Times New Roman" w:eastAsia="仿宋_GB2312" w:hAnsi="Times New Roman" w:cs="Times New Roman"/>
          <w:sz w:val="32"/>
          <w:szCs w:val="32"/>
        </w:rPr>
        <w:t>编制的财政支出项目绩效报告</w:t>
      </w:r>
      <w:bookmarkEnd w:id="73"/>
      <w:bookmarkEnd w:id="74"/>
      <w:bookmarkEnd w:id="75"/>
      <w:r>
        <w:rPr>
          <w:rFonts w:ascii="Times New Roman" w:eastAsia="仿宋_GB2312" w:hAnsi="Times New Roman" w:cs="Times New Roman"/>
          <w:sz w:val="32"/>
          <w:szCs w:val="32"/>
        </w:rPr>
        <w:t>，对</w:t>
      </w:r>
      <w:r>
        <w:rPr>
          <w:rFonts w:ascii="Times New Roman" w:eastAsia="仿宋_GB2312" w:hAnsi="Times New Roman" w:cs="Times New Roman"/>
          <w:kern w:val="0"/>
          <w:sz w:val="32"/>
          <w:szCs w:val="32"/>
        </w:rPr>
        <w:t>项目组织实施情况也未作充分表述，不能完整地反映项目实施的做法、特点。</w:t>
      </w:r>
    </w:p>
    <w:p w:rsidR="00E056BC" w:rsidRDefault="00101FB3">
      <w:pPr>
        <w:adjustRightInd w:val="0"/>
        <w:snapToGrid w:val="0"/>
        <w:spacing w:line="600" w:lineRule="exact"/>
        <w:ind w:firstLineChars="200" w:firstLine="643"/>
        <w:rPr>
          <w:rFonts w:ascii="Times New Roman" w:eastAsia="仿宋_GB2312" w:hAnsi="Times New Roman" w:cs="Times New Roman"/>
          <w:b/>
          <w:bCs/>
          <w:kern w:val="0"/>
          <w:sz w:val="32"/>
          <w:szCs w:val="32"/>
        </w:rPr>
      </w:pPr>
      <w:r>
        <w:rPr>
          <w:rFonts w:ascii="Times New Roman" w:eastAsia="仿宋_GB2312" w:hAnsi="Times New Roman" w:cs="Times New Roman"/>
          <w:b/>
          <w:bCs/>
          <w:kern w:val="0"/>
          <w:sz w:val="32"/>
          <w:szCs w:val="32"/>
        </w:rPr>
        <w:t>3.</w:t>
      </w:r>
      <w:r>
        <w:rPr>
          <w:rFonts w:ascii="Times New Roman" w:eastAsia="仿宋_GB2312" w:hAnsi="Times New Roman" w:cs="Times New Roman"/>
          <w:b/>
          <w:bCs/>
          <w:kern w:val="0"/>
          <w:sz w:val="32"/>
          <w:szCs w:val="32"/>
        </w:rPr>
        <w:t>缺乏特高项目管理细则</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特高项目是北京职业教育改革发展行动计划的重要任务。北京市特色高水平职业院校、特色高水平骨干专业（群）、实训基地遴选工作开展以来，首钢技师学院已有</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个项目进入特高项目行列，特高项目的建设与管理，目前除依据北京市相关文件外，首钢技师学院尚未结合实际制定实施细则。</w:t>
      </w:r>
    </w:p>
    <w:p w:rsidR="00E056BC" w:rsidRDefault="00101FB3">
      <w:pPr>
        <w:adjustRightInd w:val="0"/>
        <w:snapToGrid w:val="0"/>
        <w:spacing w:line="600" w:lineRule="exact"/>
        <w:ind w:firstLineChars="200" w:firstLine="640"/>
        <w:textAlignment w:val="baseline"/>
        <w:outlineLvl w:val="0"/>
        <w:rPr>
          <w:rFonts w:ascii="Times New Roman" w:eastAsia="黑体" w:hAnsi="Times New Roman" w:cs="Times New Roman"/>
          <w:sz w:val="32"/>
          <w:szCs w:val="32"/>
        </w:rPr>
      </w:pPr>
      <w:r>
        <w:rPr>
          <w:rFonts w:ascii="Times New Roman" w:eastAsia="黑体" w:hAnsi="Times New Roman" w:cs="Times New Roman"/>
          <w:color w:val="000000"/>
          <w:kern w:val="0"/>
          <w:sz w:val="32"/>
          <w:szCs w:val="32"/>
        </w:rPr>
        <w:lastRenderedPageBreak/>
        <w:t>六、措施建议</w:t>
      </w:r>
      <w:bookmarkEnd w:id="69"/>
      <w:bookmarkEnd w:id="70"/>
      <w:bookmarkEnd w:id="71"/>
      <w:bookmarkEnd w:id="72"/>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bookmarkStart w:id="76" w:name="_Toc61602327"/>
      <w:bookmarkStart w:id="77" w:name="_Toc61602288"/>
      <w:bookmarkStart w:id="78" w:name="_Toc19425"/>
      <w:bookmarkStart w:id="79" w:name="_Toc61602478"/>
      <w:bookmarkStart w:id="80" w:name="_Toc5174"/>
      <w:r>
        <w:rPr>
          <w:rFonts w:ascii="Times New Roman" w:eastAsia="仿宋_GB2312" w:hAnsi="Times New Roman" w:cs="Times New Roman"/>
          <w:sz w:val="32"/>
          <w:szCs w:val="32"/>
        </w:rPr>
        <w:t>（一）</w:t>
      </w:r>
      <w:bookmarkEnd w:id="76"/>
      <w:bookmarkEnd w:id="77"/>
      <w:bookmarkEnd w:id="78"/>
      <w:bookmarkEnd w:id="79"/>
      <w:bookmarkEnd w:id="80"/>
      <w:proofErr w:type="gramStart"/>
      <w:r>
        <w:rPr>
          <w:rFonts w:ascii="Times New Roman" w:eastAsia="仿宋_GB2312" w:hAnsi="Times New Roman" w:cs="Times New Roman"/>
          <w:sz w:val="32"/>
          <w:szCs w:val="32"/>
        </w:rPr>
        <w:t>完善部门</w:t>
      </w:r>
      <w:proofErr w:type="gramEnd"/>
      <w:r>
        <w:rPr>
          <w:rFonts w:ascii="Times New Roman" w:eastAsia="仿宋_GB2312" w:hAnsi="Times New Roman" w:cs="Times New Roman"/>
          <w:sz w:val="32"/>
          <w:szCs w:val="32"/>
        </w:rPr>
        <w:t>整体规划，结合职能任务制定中长期发展规划，建立年度工作任务和目标的分解落实机制，细化规划内容和规划目标。针对重点工作内容制定相关专项规划，加强部门规划、中长期发展规划对部门决策的引领和指导。</w:t>
      </w:r>
      <w:r>
        <w:rPr>
          <w:rFonts w:ascii="Times New Roman" w:eastAsia="仿宋_GB2312" w:hAnsi="Times New Roman" w:cs="Times New Roman"/>
          <w:sz w:val="32"/>
          <w:szCs w:val="32"/>
        </w:rPr>
        <w:t xml:space="preserve"> </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bookmarkStart w:id="81" w:name="_Toc18833"/>
      <w:bookmarkStart w:id="82" w:name="_Toc2305"/>
      <w:bookmarkStart w:id="83" w:name="_Toc61602479"/>
      <w:bookmarkStart w:id="84" w:name="_Toc61602289"/>
      <w:bookmarkStart w:id="85" w:name="_Toc61602328"/>
      <w:r>
        <w:rPr>
          <w:rFonts w:ascii="Times New Roman" w:eastAsia="仿宋_GB2312" w:hAnsi="Times New Roman" w:cs="Times New Roman"/>
          <w:sz w:val="32"/>
          <w:szCs w:val="32"/>
        </w:rPr>
        <w:t>（二）科学设置绩效目标和指标，深入研究数量指标、质量指标、时效指标、效益指标的基本含义和功能作用，按照《北京市预算绩效管理办法》，精准设置部门整体绩效目标和指标，为预算绩效管理提供有力抓手，为进行工作考核和评价提供准确依据。</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三）周密制定项目实施方案，从立项背景、意义、预算目标、项目实施内容、组织分工、进度安排、资金使用等各方面进行详细阐述，提高项目执行的指导性和操作性。依据项目内容细化项目实施计划、资金使用计划等，有效推进项目实施进程，确保项目实施质量。</w:t>
      </w:r>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（四）</w:t>
      </w:r>
      <w:bookmarkEnd w:id="81"/>
      <w:bookmarkEnd w:id="82"/>
      <w:bookmarkEnd w:id="83"/>
      <w:bookmarkEnd w:id="84"/>
      <w:bookmarkEnd w:id="85"/>
      <w:r>
        <w:rPr>
          <w:rFonts w:ascii="Times New Roman" w:eastAsia="仿宋_GB2312" w:hAnsi="Times New Roman" w:cs="Times New Roman"/>
          <w:sz w:val="32"/>
          <w:szCs w:val="32"/>
        </w:rPr>
        <w:t>加强项目管理制度建设，结合学院实际，针对经常性项目制定项目管理办法；在《首钢技师学院专项资金项目管理办法》《首钢技师学院专项资金项目管理实施细则》的基础上，结合特高项目特点，建立完善特高项目管理规范和实施细则。</w:t>
      </w:r>
      <w:r>
        <w:rPr>
          <w:rFonts w:ascii="Times New Roman" w:eastAsia="仿宋_GB2312" w:hAnsi="Times New Roman" w:cs="Times New Roman"/>
          <w:sz w:val="32"/>
          <w:szCs w:val="32"/>
        </w:rPr>
        <w:t xml:space="preserve"> </w:t>
      </w:r>
    </w:p>
    <w:p w:rsidR="00E056BC" w:rsidRDefault="00101FB3">
      <w:pPr>
        <w:adjustRightInd w:val="0"/>
        <w:snapToGrid w:val="0"/>
        <w:spacing w:line="600" w:lineRule="exact"/>
        <w:ind w:firstLineChars="200" w:firstLine="640"/>
        <w:textAlignment w:val="baseline"/>
        <w:outlineLvl w:val="0"/>
        <w:rPr>
          <w:rFonts w:ascii="Times New Roman" w:eastAsia="黑体" w:hAnsi="Times New Roman" w:cs="Times New Roman"/>
          <w:bCs/>
          <w:kern w:val="44"/>
          <w:sz w:val="32"/>
          <w:szCs w:val="32"/>
        </w:rPr>
      </w:pPr>
      <w:bookmarkStart w:id="86" w:name="_Toc16504"/>
      <w:r>
        <w:rPr>
          <w:rFonts w:ascii="Times New Roman" w:eastAsia="黑体" w:hAnsi="Times New Roman" w:cs="Times New Roman"/>
          <w:bCs/>
          <w:kern w:val="44"/>
          <w:sz w:val="32"/>
          <w:szCs w:val="32"/>
        </w:rPr>
        <w:t>七、附件</w:t>
      </w:r>
      <w:bookmarkEnd w:id="86"/>
    </w:p>
    <w:p w:rsidR="00E056BC" w:rsidRDefault="00101FB3">
      <w:pPr>
        <w:adjustRightInd w:val="0"/>
        <w:snapToGrid w:val="0"/>
        <w:spacing w:line="60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2022</w:t>
      </w:r>
      <w:r>
        <w:rPr>
          <w:rFonts w:ascii="Times New Roman" w:eastAsia="仿宋_GB2312" w:hAnsi="Times New Roman" w:cs="Times New Roman"/>
          <w:sz w:val="32"/>
          <w:szCs w:val="32"/>
        </w:rPr>
        <w:t>年部门整体绩效评价指标体系评分表</w:t>
      </w:r>
    </w:p>
    <w:p w:rsidR="00E056BC" w:rsidRDefault="00E056BC">
      <w:pPr>
        <w:pStyle w:val="a5"/>
        <w:adjustRightInd w:val="0"/>
        <w:snapToGrid w:val="0"/>
        <w:spacing w:line="580" w:lineRule="exact"/>
        <w:ind w:firstLineChars="200" w:firstLine="640"/>
        <w:rPr>
          <w:rFonts w:ascii="Times New Roman" w:eastAsia="仿宋_GB2312" w:hAnsi="Times New Roman" w:cs="Times New Roman"/>
          <w:sz w:val="32"/>
          <w:szCs w:val="32"/>
        </w:rPr>
      </w:pPr>
    </w:p>
    <w:p w:rsidR="00E056BC" w:rsidRDefault="00E056BC">
      <w:pPr>
        <w:adjustRightInd w:val="0"/>
        <w:snapToGrid w:val="0"/>
        <w:spacing w:line="580" w:lineRule="exact"/>
        <w:ind w:firstLineChars="200" w:firstLine="640"/>
        <w:jc w:val="center"/>
        <w:textAlignment w:val="baseline"/>
        <w:rPr>
          <w:rFonts w:ascii="Times New Roman" w:eastAsia="仿宋_GB2312" w:hAnsi="Times New Roman" w:cs="Times New Roman"/>
          <w:bCs/>
          <w:kern w:val="44"/>
          <w:sz w:val="32"/>
          <w:szCs w:val="32"/>
        </w:rPr>
      </w:pPr>
      <w:bookmarkStart w:id="87" w:name="_Toc20717"/>
    </w:p>
    <w:p w:rsidR="00E056BC" w:rsidRDefault="00E056BC">
      <w:pPr>
        <w:adjustRightInd w:val="0"/>
        <w:snapToGrid w:val="0"/>
        <w:spacing w:line="580" w:lineRule="exact"/>
        <w:ind w:firstLineChars="200" w:firstLine="640"/>
        <w:jc w:val="center"/>
        <w:textAlignment w:val="baseline"/>
        <w:rPr>
          <w:rFonts w:ascii="Times New Roman" w:eastAsia="仿宋_GB2312" w:hAnsi="Times New Roman" w:cs="Times New Roman"/>
          <w:bCs/>
          <w:kern w:val="44"/>
          <w:sz w:val="32"/>
          <w:szCs w:val="32"/>
        </w:rPr>
      </w:pPr>
    </w:p>
    <w:p w:rsidR="00E056BC" w:rsidRDefault="00E056BC">
      <w:pPr>
        <w:adjustRightInd w:val="0"/>
        <w:snapToGrid w:val="0"/>
        <w:spacing w:line="580" w:lineRule="exact"/>
        <w:ind w:firstLineChars="200" w:firstLine="640"/>
        <w:jc w:val="center"/>
        <w:textAlignment w:val="baseline"/>
        <w:rPr>
          <w:rFonts w:ascii="Times New Roman" w:eastAsia="仿宋_GB2312" w:hAnsi="Times New Roman" w:cs="Times New Roman"/>
          <w:bCs/>
          <w:kern w:val="44"/>
          <w:sz w:val="32"/>
          <w:szCs w:val="32"/>
        </w:rPr>
      </w:pPr>
    </w:p>
    <w:p w:rsidR="00E056BC" w:rsidRDefault="00101FB3">
      <w:pPr>
        <w:adjustRightInd w:val="0"/>
        <w:snapToGrid w:val="0"/>
        <w:spacing w:line="580" w:lineRule="exact"/>
        <w:ind w:firstLineChars="200" w:firstLine="640"/>
        <w:jc w:val="center"/>
        <w:textAlignment w:val="baseline"/>
        <w:rPr>
          <w:rFonts w:ascii="Times New Roman" w:eastAsia="仿宋_GB2312" w:hAnsi="Times New Roman" w:cs="Times New Roman"/>
          <w:bCs/>
          <w:kern w:val="44"/>
          <w:sz w:val="32"/>
          <w:szCs w:val="32"/>
        </w:rPr>
      </w:pPr>
      <w:r>
        <w:rPr>
          <w:rFonts w:ascii="Times New Roman" w:eastAsia="仿宋_GB2312" w:hAnsi="Times New Roman" w:cs="Times New Roman"/>
          <w:bCs/>
          <w:kern w:val="44"/>
          <w:sz w:val="32"/>
          <w:szCs w:val="32"/>
        </w:rPr>
        <w:t xml:space="preserve">                  2023</w:t>
      </w:r>
      <w:r>
        <w:rPr>
          <w:rFonts w:ascii="Times New Roman" w:eastAsia="仿宋_GB2312" w:hAnsi="Times New Roman" w:cs="Times New Roman"/>
          <w:bCs/>
          <w:kern w:val="44"/>
          <w:sz w:val="32"/>
          <w:szCs w:val="32"/>
        </w:rPr>
        <w:t>年</w:t>
      </w:r>
      <w:r>
        <w:rPr>
          <w:rFonts w:ascii="Times New Roman" w:eastAsia="仿宋_GB2312" w:hAnsi="Times New Roman" w:cs="Times New Roman"/>
          <w:bCs/>
          <w:kern w:val="44"/>
          <w:sz w:val="32"/>
          <w:szCs w:val="32"/>
        </w:rPr>
        <w:t>5</w:t>
      </w:r>
      <w:r>
        <w:rPr>
          <w:rFonts w:ascii="Times New Roman" w:eastAsia="仿宋_GB2312" w:hAnsi="Times New Roman" w:cs="Times New Roman"/>
          <w:bCs/>
          <w:kern w:val="44"/>
          <w:sz w:val="32"/>
          <w:szCs w:val="32"/>
        </w:rPr>
        <w:t>月</w:t>
      </w:r>
      <w:r>
        <w:rPr>
          <w:rFonts w:ascii="Times New Roman" w:eastAsia="仿宋_GB2312" w:hAnsi="Times New Roman" w:cs="Times New Roman"/>
          <w:bCs/>
          <w:kern w:val="44"/>
          <w:sz w:val="32"/>
          <w:szCs w:val="32"/>
        </w:rPr>
        <w:t>20</w:t>
      </w:r>
      <w:r>
        <w:rPr>
          <w:rFonts w:ascii="Times New Roman" w:eastAsia="仿宋_GB2312" w:hAnsi="Times New Roman" w:cs="Times New Roman"/>
          <w:bCs/>
          <w:kern w:val="44"/>
          <w:sz w:val="32"/>
          <w:szCs w:val="32"/>
        </w:rPr>
        <w:t>日</w:t>
      </w:r>
      <w:bookmarkEnd w:id="87"/>
    </w:p>
    <w:p w:rsidR="00E056BC" w:rsidRDefault="00E056BC">
      <w:pPr>
        <w:pStyle w:val="a5"/>
        <w:adjustRightInd w:val="0"/>
        <w:snapToGrid w:val="0"/>
        <w:spacing w:line="580" w:lineRule="exact"/>
        <w:rPr>
          <w:rFonts w:ascii="Times New Roman" w:hAnsi="Times New Roman" w:cs="Times New Roman"/>
        </w:rPr>
        <w:sectPr w:rsidR="00E056BC">
          <w:footerReference w:type="default" r:id="rId7"/>
          <w:pgSz w:w="11906" w:h="16838"/>
          <w:pgMar w:top="2098" w:right="1701" w:bottom="1587" w:left="1701" w:header="851" w:footer="992" w:gutter="0"/>
          <w:pgNumType w:start="1"/>
          <w:cols w:space="0"/>
          <w:docGrid w:type="lines" w:linePitch="312"/>
        </w:sectPr>
      </w:pPr>
    </w:p>
    <w:p w:rsidR="00E056BC" w:rsidRDefault="00101FB3">
      <w:pPr>
        <w:adjustRightInd w:val="0"/>
        <w:snapToGrid w:val="0"/>
        <w:spacing w:line="580" w:lineRule="exact"/>
        <w:jc w:val="left"/>
        <w:rPr>
          <w:rFonts w:ascii="Times New Roman" w:eastAsia="方正黑体_GBK" w:hAnsi="Times New Roman" w:cs="Times New Roman"/>
          <w:sz w:val="32"/>
          <w:szCs w:val="24"/>
        </w:rPr>
      </w:pPr>
      <w:r>
        <w:rPr>
          <w:rFonts w:ascii="Times New Roman" w:eastAsia="方正黑体_GBK" w:hAnsi="Times New Roman" w:cs="Times New Roman"/>
          <w:sz w:val="32"/>
          <w:szCs w:val="24"/>
        </w:rPr>
        <w:lastRenderedPageBreak/>
        <w:t>附件</w:t>
      </w:r>
    </w:p>
    <w:tbl>
      <w:tblPr>
        <w:tblW w:w="5000" w:type="pct"/>
        <w:tblLook w:val="04A0" w:firstRow="1" w:lastRow="0" w:firstColumn="1" w:lastColumn="0" w:noHBand="0" w:noVBand="1"/>
      </w:tblPr>
      <w:tblGrid>
        <w:gridCol w:w="1168"/>
        <w:gridCol w:w="1170"/>
        <w:gridCol w:w="967"/>
        <w:gridCol w:w="967"/>
        <w:gridCol w:w="910"/>
        <w:gridCol w:w="885"/>
        <w:gridCol w:w="885"/>
        <w:gridCol w:w="3564"/>
        <w:gridCol w:w="3478"/>
      </w:tblGrid>
      <w:tr w:rsidR="00E056BC">
        <w:trPr>
          <w:cantSplit/>
          <w:trHeight w:val="90"/>
        </w:trPr>
        <w:tc>
          <w:tcPr>
            <w:tcW w:w="5000" w:type="pct"/>
            <w:gridSpan w:val="9"/>
            <w:tcBorders>
              <w:top w:val="nil"/>
              <w:left w:val="nil"/>
              <w:bottom w:val="single" w:sz="4" w:space="0" w:color="auto"/>
              <w:right w:val="nil"/>
            </w:tcBorders>
            <w:noWrap/>
            <w:vAlign w:val="bottom"/>
          </w:tcPr>
          <w:p w:rsidR="00E056BC" w:rsidRDefault="00101FB3">
            <w:pPr>
              <w:widowControl/>
              <w:jc w:val="center"/>
              <w:rPr>
                <w:rFonts w:ascii="Times New Roman" w:eastAsia="方正小标宋简体" w:hAnsi="Times New Roman" w:cs="Times New Roman"/>
                <w:color w:val="000000"/>
                <w:kern w:val="0"/>
                <w:sz w:val="44"/>
                <w:szCs w:val="44"/>
                <w:highlight w:val="yellow"/>
              </w:rPr>
            </w:pPr>
            <w:r>
              <w:rPr>
                <w:rFonts w:ascii="Times New Roman" w:eastAsia="方正小标宋简体" w:hAnsi="Times New Roman" w:cs="Times New Roman"/>
                <w:color w:val="000000"/>
                <w:kern w:val="0"/>
                <w:sz w:val="44"/>
                <w:szCs w:val="44"/>
              </w:rPr>
              <w:t>2022</w:t>
            </w:r>
            <w:r>
              <w:rPr>
                <w:rFonts w:ascii="Times New Roman" w:eastAsia="方正小标宋简体" w:hAnsi="Times New Roman" w:cs="Times New Roman"/>
                <w:color w:val="000000"/>
                <w:kern w:val="0"/>
                <w:sz w:val="44"/>
                <w:szCs w:val="44"/>
              </w:rPr>
              <w:t>年部门整体绩效评价指标体系评分表</w:t>
            </w:r>
          </w:p>
        </w:tc>
      </w:tr>
      <w:tr w:rsidR="00E056BC">
        <w:trPr>
          <w:cantSplit/>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一、</w:t>
            </w:r>
            <w:r>
              <w:rPr>
                <w:rFonts w:ascii="Times New Roman" w:hAnsi="Times New Roman" w:cs="Times New Roman"/>
                <w:color w:val="000000"/>
                <w:kern w:val="0"/>
                <w:sz w:val="20"/>
                <w:szCs w:val="20"/>
              </w:rPr>
              <w:t>当年预算执行情况（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分）</w:t>
            </w:r>
          </w:p>
        </w:tc>
      </w:tr>
      <w:tr w:rsidR="00E056BC">
        <w:trPr>
          <w:cantSplit/>
          <w:trHeight w:val="660"/>
        </w:trPr>
        <w:tc>
          <w:tcPr>
            <w:tcW w:w="41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一级指标　</w:t>
            </w: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二级指标　</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预算数（万元）</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执行数（万元）</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预算执行率</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指标解释</w:t>
            </w:r>
          </w:p>
        </w:tc>
        <w:tc>
          <w:tcPr>
            <w:tcW w:w="1240"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评分标准</w:t>
            </w:r>
          </w:p>
        </w:tc>
      </w:tr>
      <w:tr w:rsidR="00E056BC">
        <w:trPr>
          <w:cantSplit/>
          <w:trHeight w:val="630"/>
        </w:trPr>
        <w:tc>
          <w:tcPr>
            <w:tcW w:w="419" w:type="pct"/>
            <w:vMerge w:val="restart"/>
            <w:tcBorders>
              <w:top w:val="nil"/>
              <w:left w:val="single" w:sz="4" w:space="0" w:color="auto"/>
              <w:bottom w:val="single" w:sz="4" w:space="0" w:color="000000"/>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当年预算执行情况（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w:t>
            </w: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资金总体</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18168.08</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17982.25</w:t>
            </w:r>
            <w:r>
              <w:rPr>
                <w:rFonts w:ascii="Times New Roman" w:hAnsi="Times New Roman" w:cs="Times New Roman"/>
                <w:color w:val="000000"/>
                <w:kern w:val="0"/>
                <w:sz w:val="20"/>
                <w:szCs w:val="20"/>
              </w:rPr>
              <w:t xml:space="preserve">　</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w:t>
            </w:r>
            <w:r>
              <w:rPr>
                <w:rFonts w:ascii="Times New Roman" w:hAnsi="Times New Roman" w:cs="Times New Roman" w:hint="eastAsia"/>
                <w:color w:val="000000"/>
                <w:kern w:val="0"/>
                <w:sz w:val="20"/>
                <w:szCs w:val="20"/>
              </w:rPr>
              <w:t>8.98</w:t>
            </w:r>
            <w:r>
              <w:rPr>
                <w:rFonts w:ascii="Times New Roman" w:hAnsi="Times New Roman" w:cs="Times New Roman"/>
                <w:color w:val="000000"/>
                <w:kern w:val="0"/>
                <w:sz w:val="20"/>
                <w:szCs w:val="20"/>
              </w:rPr>
              <w:t>%</w:t>
            </w:r>
            <w:r>
              <w:rPr>
                <w:rFonts w:ascii="Times New Roman" w:hAnsi="Times New Roman" w:cs="Times New Roman"/>
                <w:color w:val="000000"/>
                <w:kern w:val="0"/>
                <w:sz w:val="20"/>
                <w:szCs w:val="20"/>
              </w:rPr>
              <w:t xml:space="preserve">　</w:t>
            </w:r>
          </w:p>
        </w:tc>
        <w:tc>
          <w:tcPr>
            <w:tcW w:w="318" w:type="pct"/>
            <w:vMerge w:val="restart"/>
            <w:tcBorders>
              <w:top w:val="single" w:sz="4" w:space="0" w:color="auto"/>
              <w:left w:val="single" w:sz="4" w:space="0" w:color="auto"/>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w:t>
            </w:r>
          </w:p>
        </w:tc>
        <w:tc>
          <w:tcPr>
            <w:tcW w:w="318" w:type="pct"/>
            <w:vMerge w:val="restart"/>
            <w:tcBorders>
              <w:top w:val="single" w:sz="4" w:space="0" w:color="auto"/>
              <w:left w:val="single" w:sz="4" w:space="0" w:color="auto"/>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18</w:t>
            </w:r>
          </w:p>
        </w:tc>
        <w:tc>
          <w:tcPr>
            <w:tcW w:w="1275"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部门全年执行数与全年预算数的比率。资金总体</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基本支出</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项目支出</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其他</w:t>
            </w:r>
          </w:p>
        </w:tc>
        <w:tc>
          <w:tcPr>
            <w:tcW w:w="1240" w:type="pct"/>
            <w:vMerge w:val="restart"/>
            <w:tcBorders>
              <w:top w:val="nil"/>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得分一档最高不能超过该指标分值上限（</w:t>
            </w:r>
            <w:r>
              <w:rPr>
                <w:rFonts w:ascii="Times New Roman" w:hAnsi="Times New Roman" w:cs="Times New Roman"/>
                <w:color w:val="000000"/>
                <w:kern w:val="0"/>
                <w:sz w:val="18"/>
                <w:szCs w:val="18"/>
              </w:rPr>
              <w:t>20</w:t>
            </w:r>
            <w:r>
              <w:rPr>
                <w:rFonts w:ascii="Times New Roman" w:hAnsi="Times New Roman" w:cs="Times New Roman"/>
                <w:color w:val="000000"/>
                <w:kern w:val="0"/>
                <w:sz w:val="18"/>
                <w:szCs w:val="18"/>
              </w:rPr>
              <w:t>分）。</w:t>
            </w:r>
            <w:r>
              <w:rPr>
                <w:rFonts w:ascii="Times New Roman" w:hAnsi="Times New Roman" w:cs="Times New Roman"/>
                <w:color w:val="000000"/>
                <w:kern w:val="0"/>
                <w:sz w:val="18"/>
                <w:szCs w:val="18"/>
              </w:rPr>
              <w:br/>
              <w:t>②</w:t>
            </w:r>
            <w:r>
              <w:rPr>
                <w:rFonts w:ascii="Times New Roman" w:hAnsi="Times New Roman" w:cs="Times New Roman"/>
                <w:color w:val="000000"/>
                <w:kern w:val="0"/>
                <w:sz w:val="18"/>
                <w:szCs w:val="18"/>
              </w:rPr>
              <w:t>该指标若为正向指标，则得分计算方法应用全年实际值（</w:t>
            </w:r>
            <w:r>
              <w:rPr>
                <w:rFonts w:ascii="Times New Roman" w:hAnsi="Times New Roman" w:cs="Times New Roman"/>
                <w:color w:val="000000"/>
                <w:kern w:val="0"/>
                <w:sz w:val="18"/>
                <w:szCs w:val="18"/>
              </w:rPr>
              <w:t>B</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该指标分值；若定量指标为反向指标，则得分计算方法应用年度指标值（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全年实际值（</w:t>
            </w:r>
            <w:r>
              <w:rPr>
                <w:rFonts w:ascii="Times New Roman" w:hAnsi="Times New Roman" w:cs="Times New Roman"/>
                <w:color w:val="000000"/>
                <w:kern w:val="0"/>
                <w:sz w:val="18"/>
                <w:szCs w:val="18"/>
              </w:rPr>
              <w:t>B</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该指标分值。若年初指标值设定偏低，则得分计算方法应用（全年实际值（</w:t>
            </w:r>
            <w:r>
              <w:rPr>
                <w:rFonts w:ascii="Times New Roman" w:hAnsi="Times New Roman" w:cs="Times New Roman"/>
                <w:color w:val="000000"/>
                <w:kern w:val="0"/>
                <w:sz w:val="18"/>
                <w:szCs w:val="18"/>
              </w:rPr>
              <w:t>B</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。若计算结果在</w:t>
            </w:r>
            <w:r>
              <w:rPr>
                <w:rFonts w:ascii="Times New Roman" w:hAnsi="Times New Roman" w:cs="Times New Roman"/>
                <w:color w:val="000000"/>
                <w:kern w:val="0"/>
                <w:sz w:val="18"/>
                <w:szCs w:val="18"/>
              </w:rPr>
              <w:t>200%-300%</w:t>
            </w:r>
            <w:r>
              <w:rPr>
                <w:rFonts w:ascii="Times New Roman" w:hAnsi="Times New Roman" w:cs="Times New Roman"/>
                <w:color w:val="000000"/>
                <w:kern w:val="0"/>
                <w:sz w:val="18"/>
                <w:szCs w:val="18"/>
              </w:rPr>
              <w:t>（含</w:t>
            </w:r>
            <w:r>
              <w:rPr>
                <w:rFonts w:ascii="Times New Roman" w:hAnsi="Times New Roman" w:cs="Times New Roman"/>
                <w:color w:val="000000"/>
                <w:kern w:val="0"/>
                <w:sz w:val="18"/>
                <w:szCs w:val="18"/>
              </w:rPr>
              <w:t>200%</w:t>
            </w:r>
            <w:r>
              <w:rPr>
                <w:rFonts w:ascii="Times New Roman" w:hAnsi="Times New Roman" w:cs="Times New Roman"/>
                <w:color w:val="000000"/>
                <w:kern w:val="0"/>
                <w:sz w:val="18"/>
                <w:szCs w:val="18"/>
              </w:rPr>
              <w:t>）区间，则按照该指标分值的</w:t>
            </w:r>
            <w:r>
              <w:rPr>
                <w:rFonts w:ascii="Times New Roman" w:hAnsi="Times New Roman" w:cs="Times New Roman"/>
                <w:color w:val="000000"/>
                <w:kern w:val="0"/>
                <w:sz w:val="18"/>
                <w:szCs w:val="18"/>
              </w:rPr>
              <w:t>10%</w:t>
            </w:r>
            <w:r>
              <w:rPr>
                <w:rFonts w:ascii="Times New Roman" w:hAnsi="Times New Roman" w:cs="Times New Roman"/>
                <w:color w:val="000000"/>
                <w:kern w:val="0"/>
                <w:sz w:val="18"/>
                <w:szCs w:val="18"/>
              </w:rPr>
              <w:t>扣分；计算结果在</w:t>
            </w:r>
            <w:r>
              <w:rPr>
                <w:rFonts w:ascii="Times New Roman" w:hAnsi="Times New Roman" w:cs="Times New Roman"/>
                <w:color w:val="000000"/>
                <w:kern w:val="0"/>
                <w:sz w:val="18"/>
                <w:szCs w:val="18"/>
              </w:rPr>
              <w:t>300%-500%</w:t>
            </w:r>
            <w:r>
              <w:rPr>
                <w:rFonts w:ascii="Times New Roman" w:hAnsi="Times New Roman" w:cs="Times New Roman"/>
                <w:color w:val="000000"/>
                <w:kern w:val="0"/>
                <w:sz w:val="18"/>
                <w:szCs w:val="18"/>
              </w:rPr>
              <w:t>（含</w:t>
            </w:r>
            <w:r>
              <w:rPr>
                <w:rFonts w:ascii="Times New Roman" w:hAnsi="Times New Roman" w:cs="Times New Roman"/>
                <w:color w:val="000000"/>
                <w:kern w:val="0"/>
                <w:sz w:val="18"/>
                <w:szCs w:val="18"/>
              </w:rPr>
              <w:t>300%</w:t>
            </w:r>
            <w:r>
              <w:rPr>
                <w:rFonts w:ascii="Times New Roman" w:hAnsi="Times New Roman" w:cs="Times New Roman"/>
                <w:color w:val="000000"/>
                <w:kern w:val="0"/>
                <w:sz w:val="18"/>
                <w:szCs w:val="18"/>
              </w:rPr>
              <w:t>）区间，则按照该指标分值的</w:t>
            </w:r>
            <w:r>
              <w:rPr>
                <w:rFonts w:ascii="Times New Roman" w:hAnsi="Times New Roman" w:cs="Times New Roman"/>
                <w:color w:val="000000"/>
                <w:kern w:val="0"/>
                <w:sz w:val="18"/>
                <w:szCs w:val="18"/>
              </w:rPr>
              <w:t>20%</w:t>
            </w:r>
            <w:r>
              <w:rPr>
                <w:rFonts w:ascii="Times New Roman" w:hAnsi="Times New Roman" w:cs="Times New Roman"/>
                <w:color w:val="000000"/>
                <w:kern w:val="0"/>
                <w:sz w:val="18"/>
                <w:szCs w:val="18"/>
              </w:rPr>
              <w:t>扣分；计算结果高于</w:t>
            </w:r>
            <w:r>
              <w:rPr>
                <w:rFonts w:ascii="Times New Roman" w:hAnsi="Times New Roman" w:cs="Times New Roman"/>
                <w:color w:val="000000"/>
                <w:kern w:val="0"/>
                <w:sz w:val="18"/>
                <w:szCs w:val="18"/>
              </w:rPr>
              <w:t>500%</w:t>
            </w:r>
            <w:r>
              <w:rPr>
                <w:rFonts w:ascii="Times New Roman" w:hAnsi="Times New Roman" w:cs="Times New Roman"/>
                <w:color w:val="000000"/>
                <w:kern w:val="0"/>
                <w:sz w:val="18"/>
                <w:szCs w:val="18"/>
              </w:rPr>
              <w:t>（含</w:t>
            </w:r>
            <w:r>
              <w:rPr>
                <w:rFonts w:ascii="Times New Roman" w:hAnsi="Times New Roman" w:cs="Times New Roman"/>
                <w:color w:val="000000"/>
                <w:kern w:val="0"/>
                <w:sz w:val="18"/>
                <w:szCs w:val="18"/>
              </w:rPr>
              <w:t>500%</w:t>
            </w:r>
            <w:r>
              <w:rPr>
                <w:rFonts w:ascii="Times New Roman" w:hAnsi="Times New Roman" w:cs="Times New Roman"/>
                <w:color w:val="000000"/>
                <w:kern w:val="0"/>
                <w:sz w:val="18"/>
                <w:szCs w:val="18"/>
              </w:rPr>
              <w:t>），则按照该指标分值的</w:t>
            </w:r>
            <w:r>
              <w:rPr>
                <w:rFonts w:ascii="Times New Roman" w:hAnsi="Times New Roman" w:cs="Times New Roman"/>
                <w:color w:val="000000"/>
                <w:kern w:val="0"/>
                <w:sz w:val="18"/>
                <w:szCs w:val="18"/>
              </w:rPr>
              <w:t>30%</w:t>
            </w:r>
            <w:r>
              <w:rPr>
                <w:rFonts w:ascii="Times New Roman" w:hAnsi="Times New Roman" w:cs="Times New Roman"/>
                <w:color w:val="000000"/>
                <w:kern w:val="0"/>
                <w:sz w:val="18"/>
                <w:szCs w:val="18"/>
              </w:rPr>
              <w:t>扣分。</w:t>
            </w:r>
          </w:p>
        </w:tc>
      </w:tr>
      <w:tr w:rsidR="00E056BC">
        <w:trPr>
          <w:cantSplit/>
          <w:trHeight w:val="600"/>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nil"/>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基本支出</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12213.24</w:t>
            </w:r>
            <w:r>
              <w:rPr>
                <w:rFonts w:ascii="Times New Roman" w:hAnsi="Times New Roman" w:cs="Times New Roman"/>
                <w:color w:val="000000"/>
                <w:kern w:val="0"/>
                <w:sz w:val="20"/>
                <w:szCs w:val="20"/>
              </w:rPr>
              <w:t xml:space="preserve">　</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12224.38</w:t>
            </w:r>
          </w:p>
        </w:tc>
        <w:tc>
          <w:tcPr>
            <w:tcW w:w="325"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基本支出超支</w:t>
            </w:r>
            <w:r>
              <w:rPr>
                <w:rFonts w:ascii="Times New Roman" w:hAnsi="Times New Roman" w:cs="Times New Roman"/>
                <w:color w:val="000000"/>
                <w:kern w:val="0"/>
                <w:sz w:val="20"/>
                <w:szCs w:val="20"/>
              </w:rPr>
              <w:t>11.14</w:t>
            </w:r>
            <w:r>
              <w:rPr>
                <w:rFonts w:ascii="Times New Roman" w:hAnsi="Times New Roman" w:cs="Times New Roman"/>
                <w:color w:val="000000"/>
                <w:kern w:val="0"/>
                <w:sz w:val="20"/>
                <w:szCs w:val="20"/>
              </w:rPr>
              <w:t>万元</w:t>
            </w:r>
          </w:p>
        </w:tc>
        <w:tc>
          <w:tcPr>
            <w:tcW w:w="318"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vMerge/>
            <w:tcBorders>
              <w:top w:val="single" w:sz="4" w:space="0" w:color="auto"/>
              <w:left w:val="nil"/>
              <w:bottom w:val="single" w:sz="4" w:space="0" w:color="auto"/>
              <w:right w:val="nil"/>
            </w:tcBorders>
            <w:vAlign w:val="center"/>
          </w:tcPr>
          <w:p w:rsidR="00E056BC" w:rsidRDefault="00E056BC">
            <w:pPr>
              <w:widowControl/>
              <w:jc w:val="left"/>
              <w:rPr>
                <w:rFonts w:ascii="Times New Roman" w:hAnsi="Times New Roman" w:cs="Times New Roman"/>
                <w:color w:val="000000"/>
                <w:kern w:val="0"/>
                <w:sz w:val="20"/>
                <w:szCs w:val="20"/>
              </w:rPr>
            </w:pPr>
          </w:p>
        </w:tc>
        <w:tc>
          <w:tcPr>
            <w:tcW w:w="1275"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615"/>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nil"/>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项目支出</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5954.84</w:t>
            </w:r>
            <w:r>
              <w:rPr>
                <w:rFonts w:ascii="Times New Roman" w:hAnsi="Times New Roman" w:cs="Times New Roman"/>
                <w:color w:val="000000"/>
                <w:kern w:val="0"/>
                <w:sz w:val="20"/>
                <w:szCs w:val="20"/>
              </w:rPr>
              <w:t xml:space="preserve">　</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5757.87</w:t>
            </w:r>
            <w:r>
              <w:rPr>
                <w:rFonts w:ascii="Times New Roman" w:hAnsi="Times New Roman" w:cs="Times New Roman"/>
                <w:color w:val="000000"/>
                <w:kern w:val="0"/>
                <w:sz w:val="20"/>
                <w:szCs w:val="20"/>
              </w:rPr>
              <w:t xml:space="preserve">　</w:t>
            </w:r>
          </w:p>
        </w:tc>
        <w:tc>
          <w:tcPr>
            <w:tcW w:w="325"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vMerge/>
            <w:tcBorders>
              <w:top w:val="single" w:sz="4" w:space="0" w:color="auto"/>
              <w:left w:val="nil"/>
              <w:bottom w:val="single" w:sz="4" w:space="0" w:color="auto"/>
              <w:right w:val="nil"/>
            </w:tcBorders>
            <w:vAlign w:val="center"/>
          </w:tcPr>
          <w:p w:rsidR="00E056BC" w:rsidRDefault="00E056BC">
            <w:pPr>
              <w:widowControl/>
              <w:jc w:val="left"/>
              <w:rPr>
                <w:rFonts w:ascii="Times New Roman" w:hAnsi="Times New Roman" w:cs="Times New Roman"/>
                <w:color w:val="000000"/>
                <w:kern w:val="0"/>
                <w:sz w:val="20"/>
                <w:szCs w:val="20"/>
              </w:rPr>
            </w:pPr>
          </w:p>
        </w:tc>
        <w:tc>
          <w:tcPr>
            <w:tcW w:w="1275"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2136"/>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其他</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25"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vMerge/>
            <w:tcBorders>
              <w:top w:val="single" w:sz="4" w:space="0" w:color="auto"/>
              <w:left w:val="nil"/>
              <w:bottom w:val="single" w:sz="4" w:space="0" w:color="auto"/>
              <w:right w:val="nil"/>
            </w:tcBorders>
            <w:vAlign w:val="center"/>
          </w:tcPr>
          <w:p w:rsidR="00E056BC" w:rsidRDefault="00E056BC">
            <w:pPr>
              <w:widowControl/>
              <w:jc w:val="left"/>
              <w:rPr>
                <w:rFonts w:ascii="Times New Roman" w:hAnsi="Times New Roman" w:cs="Times New Roman"/>
                <w:color w:val="000000"/>
                <w:kern w:val="0"/>
                <w:sz w:val="20"/>
                <w:szCs w:val="20"/>
              </w:rPr>
            </w:pPr>
          </w:p>
        </w:tc>
        <w:tc>
          <w:tcPr>
            <w:tcW w:w="1275"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479"/>
        </w:trPr>
        <w:tc>
          <w:tcPr>
            <w:tcW w:w="5000" w:type="pct"/>
            <w:gridSpan w:val="9"/>
            <w:tcBorders>
              <w:top w:val="nil"/>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二、</w:t>
            </w:r>
            <w:r>
              <w:rPr>
                <w:rFonts w:ascii="Times New Roman" w:hAnsi="Times New Roman" w:cs="Times New Roman"/>
                <w:color w:val="000000"/>
                <w:kern w:val="0"/>
                <w:sz w:val="20"/>
                <w:szCs w:val="20"/>
              </w:rPr>
              <w:t>整体绩效目标实现情况（</w:t>
            </w:r>
            <w:r>
              <w:rPr>
                <w:rFonts w:ascii="Times New Roman" w:hAnsi="Times New Roman" w:cs="Times New Roman"/>
                <w:color w:val="000000"/>
                <w:kern w:val="0"/>
                <w:sz w:val="20"/>
                <w:szCs w:val="20"/>
              </w:rPr>
              <w:t>60</w:t>
            </w:r>
            <w:r>
              <w:rPr>
                <w:rFonts w:ascii="Times New Roman" w:hAnsi="Times New Roman" w:cs="Times New Roman"/>
                <w:color w:val="000000"/>
                <w:kern w:val="0"/>
                <w:sz w:val="20"/>
                <w:szCs w:val="20"/>
              </w:rPr>
              <w:t>分）</w:t>
            </w:r>
          </w:p>
        </w:tc>
      </w:tr>
      <w:tr w:rsidR="00E056BC">
        <w:trPr>
          <w:cantSplit/>
          <w:trHeight w:val="499"/>
        </w:trPr>
        <w:tc>
          <w:tcPr>
            <w:tcW w:w="41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lastRenderedPageBreak/>
              <w:t>一级指标</w:t>
            </w:r>
          </w:p>
        </w:tc>
        <w:tc>
          <w:tcPr>
            <w:tcW w:w="420"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二级指标　</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三级指标　</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指标值</w:t>
            </w:r>
          </w:p>
        </w:tc>
        <w:tc>
          <w:tcPr>
            <w:tcW w:w="325"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完成值</w:t>
            </w:r>
          </w:p>
        </w:tc>
        <w:tc>
          <w:tcPr>
            <w:tcW w:w="318"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318" w:type="pct"/>
            <w:tcBorders>
              <w:top w:val="single" w:sz="4" w:space="0" w:color="auto"/>
              <w:left w:val="nil"/>
              <w:bottom w:val="single" w:sz="4" w:space="0" w:color="auto"/>
              <w:right w:val="nil"/>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指标解释</w:t>
            </w:r>
          </w:p>
        </w:tc>
        <w:tc>
          <w:tcPr>
            <w:tcW w:w="124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评分标准</w:t>
            </w:r>
          </w:p>
        </w:tc>
      </w:tr>
      <w:tr w:rsidR="00E056BC">
        <w:trPr>
          <w:cantSplit/>
          <w:trHeight w:val="1196"/>
        </w:trPr>
        <w:tc>
          <w:tcPr>
            <w:tcW w:w="419"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整体绩效目标实现情况（</w:t>
            </w:r>
            <w:r>
              <w:rPr>
                <w:rFonts w:ascii="Times New Roman" w:hAnsi="Times New Roman" w:cs="Times New Roman"/>
                <w:color w:val="000000"/>
                <w:kern w:val="0"/>
                <w:sz w:val="20"/>
                <w:szCs w:val="20"/>
              </w:rPr>
              <w:t>60</w:t>
            </w:r>
            <w:r>
              <w:rPr>
                <w:rFonts w:ascii="Times New Roman" w:hAnsi="Times New Roman" w:cs="Times New Roman"/>
                <w:color w:val="000000"/>
                <w:kern w:val="0"/>
                <w:sz w:val="20"/>
                <w:szCs w:val="20"/>
              </w:rPr>
              <w:t>）</w:t>
            </w:r>
          </w:p>
        </w:tc>
        <w:tc>
          <w:tcPr>
            <w:tcW w:w="420" w:type="pct"/>
            <w:vMerge w:val="restart"/>
            <w:tcBorders>
              <w:top w:val="single" w:sz="4" w:space="0" w:color="auto"/>
              <w:left w:val="nil"/>
              <w:right w:val="single" w:sz="4" w:space="0" w:color="auto"/>
            </w:tcBorders>
            <w:vAlign w:val="center"/>
          </w:tcPr>
          <w:p w:rsidR="00E056BC" w:rsidRDefault="00E056BC">
            <w:pPr>
              <w:widowControl/>
              <w:jc w:val="center"/>
              <w:rPr>
                <w:rFonts w:ascii="Times New Roman" w:hAnsi="Times New Roman" w:cs="Times New Roman"/>
                <w:color w:val="000000"/>
                <w:kern w:val="0"/>
                <w:sz w:val="20"/>
                <w:szCs w:val="20"/>
              </w:rPr>
            </w:pPr>
          </w:p>
          <w:p w:rsidR="00E056BC" w:rsidRDefault="00101FB3">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产出（</w:t>
            </w:r>
            <w:r>
              <w:rPr>
                <w:rFonts w:ascii="Times New Roman" w:hAnsi="Times New Roman" w:cs="Times New Roman"/>
                <w:color w:val="000000"/>
                <w:kern w:val="0"/>
                <w:sz w:val="20"/>
                <w:szCs w:val="20"/>
              </w:rPr>
              <w:t>30</w:t>
            </w:r>
            <w:r>
              <w:rPr>
                <w:rFonts w:ascii="Times New Roman" w:hAnsi="Times New Roman" w:cs="Times New Roman"/>
                <w:color w:val="000000"/>
                <w:kern w:val="0"/>
                <w:sz w:val="20"/>
                <w:szCs w:val="20"/>
              </w:rPr>
              <w:t>）</w:t>
            </w:r>
          </w:p>
        </w:tc>
        <w:tc>
          <w:tcPr>
            <w:tcW w:w="339" w:type="pct"/>
            <w:tcBorders>
              <w:top w:val="single" w:sz="4" w:space="0" w:color="auto"/>
              <w:left w:val="nil"/>
              <w:bottom w:val="single" w:sz="4" w:space="0" w:color="auto"/>
              <w:right w:val="single" w:sz="4" w:space="0" w:color="auto"/>
            </w:tcBorders>
            <w:vAlign w:val="center"/>
          </w:tcPr>
          <w:p w:rsidR="00E056BC" w:rsidRDefault="00E056BC">
            <w:pPr>
              <w:widowControl/>
              <w:jc w:val="center"/>
              <w:rPr>
                <w:rFonts w:ascii="Times New Roman" w:hAnsi="Times New Roman" w:cs="Times New Roman"/>
                <w:color w:val="000000"/>
                <w:kern w:val="0"/>
                <w:sz w:val="20"/>
                <w:szCs w:val="20"/>
              </w:rPr>
            </w:pPr>
          </w:p>
          <w:p w:rsidR="00E056BC" w:rsidRDefault="00101FB3">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数量指标</w:t>
            </w:r>
          </w:p>
        </w:tc>
        <w:tc>
          <w:tcPr>
            <w:tcW w:w="339" w:type="pct"/>
            <w:tcBorders>
              <w:top w:val="single" w:sz="4" w:space="0" w:color="auto"/>
              <w:left w:val="nil"/>
              <w:bottom w:val="single" w:sz="4" w:space="0" w:color="auto"/>
              <w:right w:val="single" w:sz="4" w:space="0" w:color="auto"/>
            </w:tcBorders>
            <w:vAlign w:val="center"/>
          </w:tcPr>
          <w:p w:rsidR="00E056BC" w:rsidRDefault="00E056BC">
            <w:pPr>
              <w:widowControl/>
              <w:jc w:val="center"/>
              <w:rPr>
                <w:rFonts w:ascii="Times New Roman" w:hAnsi="Times New Roman" w:cs="Times New Roman"/>
                <w:color w:val="000000"/>
                <w:kern w:val="0"/>
                <w:sz w:val="20"/>
                <w:szCs w:val="20"/>
              </w:rPr>
            </w:pPr>
          </w:p>
          <w:p w:rsidR="00E056BC" w:rsidRDefault="00101FB3">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15</w:t>
            </w:r>
            <w:r>
              <w:rPr>
                <w:rFonts w:ascii="Times New Roman" w:hAnsi="Times New Roman" w:cs="Times New Roman"/>
                <w:color w:val="000000"/>
                <w:kern w:val="0"/>
                <w:sz w:val="20"/>
                <w:szCs w:val="20"/>
              </w:rPr>
              <w:t>项</w:t>
            </w:r>
          </w:p>
        </w:tc>
        <w:tc>
          <w:tcPr>
            <w:tcW w:w="325" w:type="pct"/>
            <w:tcBorders>
              <w:top w:val="single" w:sz="4" w:space="0" w:color="auto"/>
              <w:left w:val="nil"/>
              <w:bottom w:val="single" w:sz="4" w:space="0" w:color="auto"/>
              <w:right w:val="single" w:sz="4" w:space="0" w:color="auto"/>
            </w:tcBorders>
            <w:vAlign w:val="center"/>
          </w:tcPr>
          <w:p w:rsidR="00E056BC" w:rsidRDefault="00101FB3">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r>
              <w:rPr>
                <w:rFonts w:ascii="Times New Roman" w:hAnsi="Times New Roman" w:cs="Times New Roman"/>
                <w:color w:val="000000"/>
                <w:kern w:val="0"/>
                <w:sz w:val="20"/>
                <w:szCs w:val="20"/>
              </w:rPr>
              <w:t xml:space="preserve">个项目绩效目标存在偏离　</w:t>
            </w:r>
          </w:p>
        </w:tc>
        <w:tc>
          <w:tcPr>
            <w:tcW w:w="318" w:type="pct"/>
            <w:vMerge w:val="restart"/>
            <w:tcBorders>
              <w:top w:val="single" w:sz="4" w:space="0" w:color="auto"/>
              <w:left w:val="nil"/>
              <w:bottom w:val="single" w:sz="4" w:space="0" w:color="auto"/>
              <w:right w:val="single" w:sz="4" w:space="0" w:color="auto"/>
            </w:tcBorders>
            <w:vAlign w:val="center"/>
          </w:tcPr>
          <w:p w:rsidR="00E056BC" w:rsidRDefault="00E056BC">
            <w:pPr>
              <w:widowControl/>
              <w:jc w:val="center"/>
              <w:rPr>
                <w:rFonts w:ascii="Times New Roman" w:hAnsi="Times New Roman" w:cs="Times New Roman"/>
                <w:color w:val="000000"/>
                <w:kern w:val="0"/>
                <w:sz w:val="20"/>
                <w:szCs w:val="20"/>
              </w:rPr>
            </w:pPr>
          </w:p>
          <w:p w:rsidR="00E056BC" w:rsidRDefault="00101FB3">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30</w:t>
            </w:r>
          </w:p>
        </w:tc>
        <w:tc>
          <w:tcPr>
            <w:tcW w:w="318" w:type="pct"/>
            <w:tcBorders>
              <w:top w:val="single" w:sz="4" w:space="0" w:color="auto"/>
              <w:left w:val="nil"/>
              <w:bottom w:val="single" w:sz="4" w:space="0" w:color="auto"/>
              <w:right w:val="nil"/>
            </w:tcBorders>
            <w:vAlign w:val="center"/>
          </w:tcPr>
          <w:p w:rsidR="00E056BC" w:rsidRDefault="00E056BC">
            <w:pPr>
              <w:widowControl/>
              <w:jc w:val="center"/>
              <w:rPr>
                <w:rFonts w:ascii="Times New Roman" w:hAnsi="Times New Roman" w:cs="Times New Roman"/>
                <w:color w:val="000000"/>
                <w:kern w:val="0"/>
                <w:sz w:val="20"/>
                <w:szCs w:val="20"/>
              </w:rPr>
            </w:pPr>
          </w:p>
          <w:p w:rsidR="00E056BC" w:rsidRDefault="00101FB3">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13</w:t>
            </w:r>
            <w:r>
              <w:rPr>
                <w:rFonts w:ascii="Times New Roman" w:hAnsi="Times New Roman" w:cs="Times New Roman"/>
                <w:color w:val="000000"/>
                <w:kern w:val="0"/>
                <w:sz w:val="20"/>
                <w:szCs w:val="20"/>
              </w:rPr>
              <w:t xml:space="preserve">　</w:t>
            </w:r>
          </w:p>
        </w:tc>
        <w:tc>
          <w:tcPr>
            <w:tcW w:w="1275"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产出数量</w:t>
            </w:r>
            <w:r>
              <w:rPr>
                <w:rFonts w:ascii="Times New Roman" w:hAnsi="Times New Roman" w:cs="Times New Roman"/>
                <w:color w:val="000000"/>
                <w:kern w:val="0"/>
                <w:sz w:val="18"/>
                <w:szCs w:val="18"/>
              </w:rPr>
              <w:t>：计划完成率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（实际完成工作数</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计划工作数）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。实际完成工作数：一定时期（年度或规划期）内部门（单位）实际完成工作任务的数量。计划工作数：部门（单位）整体绩效目标确定的一定时期（年度或规划期）内预计完成工作任务的数量。</w:t>
            </w:r>
            <w:r>
              <w:rPr>
                <w:rFonts w:ascii="Times New Roman" w:hAnsi="Times New Roman" w:cs="Times New Roman"/>
                <w:b/>
                <w:bCs/>
                <w:color w:val="000000"/>
                <w:kern w:val="0"/>
                <w:sz w:val="18"/>
                <w:szCs w:val="18"/>
              </w:rPr>
              <w:t>产出质量</w:t>
            </w:r>
            <w:r>
              <w:rPr>
                <w:rFonts w:ascii="Times New Roman" w:hAnsi="Times New Roman" w:cs="Times New Roman"/>
                <w:color w:val="000000"/>
                <w:kern w:val="0"/>
                <w:sz w:val="18"/>
                <w:szCs w:val="18"/>
              </w:rPr>
              <w:t>：质量达标率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质量达标工作数</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实际完成工作数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。质量达标工作数：一定时期（年度或规划期）内部门（单位）实际完成工作数中达到部门绩效目标要求（绩效标准值）的工作任务数量。</w:t>
            </w:r>
            <w:r>
              <w:rPr>
                <w:rFonts w:ascii="Times New Roman" w:hAnsi="Times New Roman" w:cs="Times New Roman"/>
                <w:b/>
                <w:bCs/>
                <w:color w:val="000000"/>
                <w:kern w:val="0"/>
                <w:sz w:val="18"/>
                <w:szCs w:val="18"/>
              </w:rPr>
              <w:t>产出进度：</w:t>
            </w:r>
            <w:r>
              <w:rPr>
                <w:rFonts w:ascii="Times New Roman" w:hAnsi="Times New Roman" w:cs="Times New Roman"/>
                <w:color w:val="000000"/>
                <w:kern w:val="0"/>
                <w:sz w:val="18"/>
                <w:szCs w:val="18"/>
              </w:rPr>
              <w:t>按时完成率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（按时完成工作数</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实际完成工作数）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。按时完成工作数：部门（单位）按照整体绩效目标确定的时限实际完成的工作任务数量。</w:t>
            </w:r>
            <w:r>
              <w:rPr>
                <w:rFonts w:ascii="Times New Roman" w:hAnsi="Times New Roman" w:cs="Times New Roman"/>
                <w:b/>
                <w:bCs/>
                <w:color w:val="000000"/>
                <w:kern w:val="0"/>
                <w:sz w:val="18"/>
                <w:szCs w:val="18"/>
              </w:rPr>
              <w:t>产出成本</w:t>
            </w:r>
            <w:r>
              <w:rPr>
                <w:rFonts w:ascii="Times New Roman" w:hAnsi="Times New Roman" w:cs="Times New Roman"/>
                <w:color w:val="000000"/>
                <w:kern w:val="0"/>
                <w:sz w:val="18"/>
                <w:szCs w:val="18"/>
              </w:rPr>
              <w:t>：单位产出相对于上一年度的节约额；</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单位产出相对于市场同类产出的节约额；</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部门公用经费的控制情况。</w:t>
            </w:r>
          </w:p>
        </w:tc>
        <w:tc>
          <w:tcPr>
            <w:tcW w:w="1240"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部门根据本单位情况自行确定并选择产出指标，合理确定各项指标权重。可量化的指标按照比率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单项指标分值即为该指标得分。如果不能定量评价，则以定性的方式进行自评。</w:t>
            </w:r>
          </w:p>
        </w:tc>
      </w:tr>
      <w:tr w:rsidR="00E056BC">
        <w:trPr>
          <w:cantSplit/>
          <w:trHeight w:val="1130"/>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left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质量指标</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w:t>
            </w:r>
            <w:r>
              <w:rPr>
                <w:rFonts w:ascii="Times New Roman" w:hAnsi="Times New Roman" w:cs="Times New Roman"/>
                <w:color w:val="000000"/>
                <w:kern w:val="0"/>
                <w:sz w:val="20"/>
                <w:szCs w:val="20"/>
              </w:rPr>
              <w:t xml:space="preserve">项　</w:t>
            </w:r>
          </w:p>
        </w:tc>
        <w:tc>
          <w:tcPr>
            <w:tcW w:w="325"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目标笼统难以准确</w:t>
            </w:r>
            <w:proofErr w:type="gramStart"/>
            <w:r>
              <w:rPr>
                <w:rFonts w:ascii="Times New Roman" w:hAnsi="Times New Roman" w:cs="Times New Roman"/>
                <w:color w:val="000000"/>
                <w:kern w:val="0"/>
                <w:sz w:val="20"/>
                <w:szCs w:val="20"/>
              </w:rPr>
              <w:t>考量</w:t>
            </w:r>
            <w:proofErr w:type="gramEnd"/>
            <w:r>
              <w:rPr>
                <w:rFonts w:ascii="Times New Roman" w:hAnsi="Times New Roman" w:cs="Times New Roman"/>
                <w:color w:val="000000"/>
                <w:kern w:val="0"/>
                <w:sz w:val="20"/>
                <w:szCs w:val="20"/>
              </w:rPr>
              <w:t xml:space="preserve">　</w:t>
            </w:r>
          </w:p>
        </w:tc>
        <w:tc>
          <w:tcPr>
            <w:tcW w:w="318" w:type="pct"/>
            <w:vMerge/>
            <w:tcBorders>
              <w:top w:val="single" w:sz="4" w:space="0" w:color="auto"/>
              <w:left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tcBorders>
              <w:top w:val="single" w:sz="4" w:space="0" w:color="auto"/>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3.5</w:t>
            </w:r>
            <w:r>
              <w:rPr>
                <w:rFonts w:ascii="Times New Roman" w:hAnsi="Times New Roman" w:cs="Times New Roman"/>
                <w:color w:val="000000"/>
                <w:kern w:val="0"/>
                <w:sz w:val="20"/>
                <w:szCs w:val="20"/>
              </w:rPr>
              <w:t xml:space="preserve">　</w:t>
            </w:r>
          </w:p>
        </w:tc>
        <w:tc>
          <w:tcPr>
            <w:tcW w:w="1275"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1258"/>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left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时效指标</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r>
              <w:rPr>
                <w:rFonts w:ascii="Times New Roman" w:hAnsi="Times New Roman" w:cs="Times New Roman"/>
                <w:color w:val="000000"/>
                <w:kern w:val="0"/>
                <w:sz w:val="20"/>
                <w:szCs w:val="20"/>
              </w:rPr>
              <w:t xml:space="preserve">项　</w:t>
            </w:r>
          </w:p>
        </w:tc>
        <w:tc>
          <w:tcPr>
            <w:tcW w:w="325"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完成</w:t>
            </w:r>
          </w:p>
        </w:tc>
        <w:tc>
          <w:tcPr>
            <w:tcW w:w="318" w:type="pct"/>
            <w:vMerge/>
            <w:tcBorders>
              <w:left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tcBorders>
              <w:top w:val="nil"/>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r>
              <w:rPr>
                <w:rFonts w:ascii="Times New Roman" w:hAnsi="Times New Roman" w:cs="Times New Roman"/>
                <w:color w:val="000000"/>
                <w:kern w:val="0"/>
                <w:sz w:val="20"/>
                <w:szCs w:val="20"/>
              </w:rPr>
              <w:t xml:space="preserve">　</w:t>
            </w:r>
          </w:p>
        </w:tc>
        <w:tc>
          <w:tcPr>
            <w:tcW w:w="1275"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975"/>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nil"/>
              <w:left w:val="nil"/>
              <w:bottom w:val="single" w:sz="4" w:space="0" w:color="auto"/>
              <w:right w:val="single" w:sz="4" w:space="0" w:color="auto"/>
            </w:tcBorders>
            <w:vAlign w:val="center"/>
          </w:tcPr>
          <w:p w:rsidR="00E056BC" w:rsidRDefault="00101FB3">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成本指标</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r>
              <w:rPr>
                <w:rFonts w:ascii="Times New Roman" w:hAnsi="Times New Roman" w:cs="Times New Roman"/>
                <w:color w:val="000000"/>
                <w:kern w:val="0"/>
                <w:sz w:val="20"/>
                <w:szCs w:val="20"/>
              </w:rPr>
              <w:t xml:space="preserve">项　</w:t>
            </w:r>
          </w:p>
        </w:tc>
        <w:tc>
          <w:tcPr>
            <w:tcW w:w="325"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完成　</w:t>
            </w:r>
          </w:p>
        </w:tc>
        <w:tc>
          <w:tcPr>
            <w:tcW w:w="318" w:type="pct"/>
            <w:vMerge/>
            <w:tcBorders>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tcBorders>
              <w:top w:val="nil"/>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r>
              <w:rPr>
                <w:rFonts w:ascii="Times New Roman" w:hAnsi="Times New Roman" w:cs="Times New Roman"/>
                <w:color w:val="000000"/>
                <w:kern w:val="0"/>
                <w:sz w:val="20"/>
                <w:szCs w:val="20"/>
              </w:rPr>
              <w:t xml:space="preserve">　</w:t>
            </w:r>
          </w:p>
        </w:tc>
        <w:tc>
          <w:tcPr>
            <w:tcW w:w="1275"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675"/>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val="restart"/>
            <w:tcBorders>
              <w:top w:val="nil"/>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效果（</w:t>
            </w:r>
            <w:r>
              <w:rPr>
                <w:rFonts w:ascii="Times New Roman" w:hAnsi="Times New Roman" w:cs="Times New Roman"/>
                <w:color w:val="000000"/>
                <w:kern w:val="0"/>
                <w:sz w:val="20"/>
                <w:szCs w:val="20"/>
              </w:rPr>
              <w:t>30</w:t>
            </w:r>
            <w:r>
              <w:rPr>
                <w:rFonts w:ascii="Times New Roman" w:hAnsi="Times New Roman" w:cs="Times New Roman"/>
                <w:color w:val="000000"/>
                <w:kern w:val="0"/>
                <w:sz w:val="20"/>
                <w:szCs w:val="20"/>
              </w:rPr>
              <w:t>）</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社会效益</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优　</w:t>
            </w:r>
          </w:p>
        </w:tc>
        <w:tc>
          <w:tcPr>
            <w:tcW w:w="325"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优　</w:t>
            </w:r>
          </w:p>
        </w:tc>
        <w:tc>
          <w:tcPr>
            <w:tcW w:w="318" w:type="pct"/>
            <w:vMerge w:val="restart"/>
            <w:tcBorders>
              <w:top w:val="nil"/>
              <w:left w:val="single" w:sz="4" w:space="0" w:color="auto"/>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30</w:t>
            </w:r>
          </w:p>
        </w:tc>
        <w:tc>
          <w:tcPr>
            <w:tcW w:w="318" w:type="pct"/>
            <w:tcBorders>
              <w:top w:val="nil"/>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w:t>
            </w:r>
            <w:r>
              <w:rPr>
                <w:rFonts w:ascii="Times New Roman" w:hAnsi="Times New Roman" w:cs="Times New Roman"/>
                <w:color w:val="000000"/>
                <w:kern w:val="0"/>
                <w:sz w:val="20"/>
                <w:szCs w:val="20"/>
              </w:rPr>
              <w:t xml:space="preserve">　</w:t>
            </w:r>
          </w:p>
        </w:tc>
        <w:tc>
          <w:tcPr>
            <w:tcW w:w="1275" w:type="pct"/>
            <w:vMerge w:val="restart"/>
            <w:tcBorders>
              <w:top w:val="nil"/>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经济效益</w:t>
            </w:r>
            <w:r>
              <w:rPr>
                <w:rFonts w:ascii="Times New Roman" w:hAnsi="Times New Roman" w:cs="Times New Roman"/>
                <w:color w:val="000000"/>
                <w:kern w:val="0"/>
                <w:sz w:val="18"/>
                <w:szCs w:val="18"/>
              </w:rPr>
              <w:t>：部门（单位）履行职责对经济发展所带来的直接或间接影响。</w:t>
            </w:r>
            <w:r>
              <w:rPr>
                <w:rFonts w:ascii="Times New Roman" w:hAnsi="Times New Roman" w:cs="Times New Roman"/>
                <w:b/>
                <w:bCs/>
                <w:color w:val="000000"/>
                <w:kern w:val="0"/>
                <w:sz w:val="18"/>
                <w:szCs w:val="18"/>
              </w:rPr>
              <w:t>社会效益</w:t>
            </w:r>
            <w:r>
              <w:rPr>
                <w:rFonts w:ascii="Times New Roman" w:hAnsi="Times New Roman" w:cs="Times New Roman"/>
                <w:color w:val="000000"/>
                <w:kern w:val="0"/>
                <w:sz w:val="18"/>
                <w:szCs w:val="18"/>
              </w:rPr>
              <w:t>：部门（单位）履行职责对社会发展所带来的直接或间接影响。</w:t>
            </w:r>
            <w:r>
              <w:rPr>
                <w:rFonts w:ascii="Times New Roman" w:hAnsi="Times New Roman" w:cs="Times New Roman"/>
                <w:b/>
                <w:bCs/>
                <w:color w:val="000000"/>
                <w:kern w:val="0"/>
                <w:sz w:val="18"/>
                <w:szCs w:val="18"/>
              </w:rPr>
              <w:t>环境效益</w:t>
            </w:r>
            <w:r>
              <w:rPr>
                <w:rFonts w:ascii="Times New Roman" w:hAnsi="Times New Roman" w:cs="Times New Roman"/>
                <w:color w:val="000000"/>
                <w:kern w:val="0"/>
                <w:sz w:val="18"/>
                <w:szCs w:val="18"/>
              </w:rPr>
              <w:t>：部门</w:t>
            </w:r>
            <w:r>
              <w:rPr>
                <w:rFonts w:ascii="Times New Roman" w:hAnsi="Times New Roman" w:cs="Times New Roman"/>
                <w:color w:val="000000"/>
                <w:kern w:val="0"/>
                <w:sz w:val="18"/>
                <w:szCs w:val="18"/>
              </w:rPr>
              <w:lastRenderedPageBreak/>
              <w:t>（单位）履行职责对环境所带来的直接或间接影响。</w:t>
            </w:r>
            <w:r>
              <w:rPr>
                <w:rFonts w:ascii="Times New Roman" w:hAnsi="Times New Roman" w:cs="Times New Roman"/>
                <w:b/>
                <w:bCs/>
                <w:color w:val="000000"/>
                <w:kern w:val="0"/>
                <w:sz w:val="18"/>
                <w:szCs w:val="18"/>
              </w:rPr>
              <w:t>可持续性影响：</w:t>
            </w:r>
            <w:r>
              <w:rPr>
                <w:rFonts w:ascii="Times New Roman" w:hAnsi="Times New Roman" w:cs="Times New Roman"/>
                <w:color w:val="000000"/>
                <w:kern w:val="0"/>
                <w:sz w:val="18"/>
                <w:szCs w:val="18"/>
              </w:rPr>
              <w:t>部门绩效目标实现的长效机制建设情况，部门工作效率提升措施的创新。</w:t>
            </w:r>
            <w:r>
              <w:rPr>
                <w:rFonts w:ascii="Times New Roman" w:hAnsi="Times New Roman" w:cs="Times New Roman"/>
                <w:b/>
                <w:bCs/>
                <w:color w:val="000000"/>
                <w:kern w:val="0"/>
                <w:sz w:val="18"/>
                <w:szCs w:val="18"/>
              </w:rPr>
              <w:t>服务对象满意度</w:t>
            </w:r>
            <w:r>
              <w:rPr>
                <w:rFonts w:ascii="Times New Roman" w:hAnsi="Times New Roman" w:cs="Times New Roman"/>
                <w:color w:val="000000"/>
                <w:kern w:val="0"/>
                <w:sz w:val="18"/>
                <w:szCs w:val="18"/>
              </w:rPr>
              <w:t>：部门（单位）的服务对象对部门履职效果的满意程度。</w:t>
            </w:r>
          </w:p>
        </w:tc>
        <w:tc>
          <w:tcPr>
            <w:tcW w:w="1240" w:type="pct"/>
            <w:vMerge w:val="restart"/>
            <w:tcBorders>
              <w:top w:val="nil"/>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lastRenderedPageBreak/>
              <w:t>部门根据实际情况选择指标进行填写，并将其细化为相应的个性化指标。对于效益类指标可从受益对象瞄准度、受益广度和受益深度上进行设计分析。</w:t>
            </w:r>
          </w:p>
        </w:tc>
      </w:tr>
      <w:tr w:rsidR="00E056BC">
        <w:trPr>
          <w:cantSplit/>
          <w:trHeight w:val="630"/>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可持续影响</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优　</w:t>
            </w:r>
          </w:p>
        </w:tc>
        <w:tc>
          <w:tcPr>
            <w:tcW w:w="325"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优　</w:t>
            </w:r>
          </w:p>
        </w:tc>
        <w:tc>
          <w:tcPr>
            <w:tcW w:w="318"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tcBorders>
              <w:top w:val="nil"/>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w:t>
            </w:r>
            <w:r>
              <w:rPr>
                <w:rFonts w:ascii="Times New Roman" w:hAnsi="Times New Roman" w:cs="Times New Roman"/>
                <w:color w:val="000000"/>
                <w:kern w:val="0"/>
                <w:sz w:val="20"/>
                <w:szCs w:val="20"/>
              </w:rPr>
              <w:t xml:space="preserve">　</w:t>
            </w:r>
          </w:p>
        </w:tc>
        <w:tc>
          <w:tcPr>
            <w:tcW w:w="1275"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690"/>
        </w:trPr>
        <w:tc>
          <w:tcPr>
            <w:tcW w:w="419" w:type="pct"/>
            <w:vMerge/>
            <w:tcBorders>
              <w:top w:val="nil"/>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nil"/>
              <w:left w:val="nil"/>
              <w:bottom w:val="single" w:sz="4" w:space="0" w:color="auto"/>
              <w:right w:val="single" w:sz="4" w:space="0" w:color="auto"/>
            </w:tcBorders>
            <w:vAlign w:val="center"/>
          </w:tcPr>
          <w:p w:rsidR="00E056BC" w:rsidRDefault="00101FB3">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服务对象满意度</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≥90%</w:t>
            </w:r>
            <w:r>
              <w:rPr>
                <w:rFonts w:ascii="Times New Roman" w:hAnsi="Times New Roman" w:cs="Times New Roman"/>
                <w:color w:val="000000"/>
                <w:kern w:val="0"/>
                <w:sz w:val="20"/>
                <w:szCs w:val="20"/>
              </w:rPr>
              <w:t xml:space="preserve">　</w:t>
            </w:r>
          </w:p>
        </w:tc>
        <w:tc>
          <w:tcPr>
            <w:tcW w:w="325"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91.2%</w:t>
            </w:r>
            <w:r>
              <w:rPr>
                <w:rFonts w:ascii="Times New Roman" w:hAnsi="Times New Roman" w:cs="Times New Roman"/>
                <w:color w:val="000000"/>
                <w:kern w:val="0"/>
                <w:sz w:val="20"/>
                <w:szCs w:val="20"/>
              </w:rPr>
              <w:t xml:space="preserve">　</w:t>
            </w:r>
          </w:p>
        </w:tc>
        <w:tc>
          <w:tcPr>
            <w:tcW w:w="318"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18" w:type="pct"/>
            <w:tcBorders>
              <w:top w:val="nil"/>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w:t>
            </w:r>
            <w:r>
              <w:rPr>
                <w:rFonts w:ascii="Times New Roman" w:hAnsi="Times New Roman" w:cs="Times New Roman"/>
                <w:color w:val="000000"/>
                <w:kern w:val="0"/>
                <w:sz w:val="20"/>
                <w:szCs w:val="20"/>
              </w:rPr>
              <w:t xml:space="preserve">　</w:t>
            </w:r>
          </w:p>
        </w:tc>
        <w:tc>
          <w:tcPr>
            <w:tcW w:w="1275"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c>
          <w:tcPr>
            <w:tcW w:w="124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18"/>
                <w:szCs w:val="18"/>
              </w:rPr>
            </w:pPr>
          </w:p>
        </w:tc>
      </w:tr>
      <w:tr w:rsidR="00E056BC">
        <w:trPr>
          <w:cantSplit/>
          <w:trHeight w:val="487"/>
        </w:trPr>
        <w:tc>
          <w:tcPr>
            <w:tcW w:w="5000" w:type="pct"/>
            <w:gridSpan w:val="9"/>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lastRenderedPageBreak/>
              <w:t>三、</w:t>
            </w:r>
            <w:r>
              <w:rPr>
                <w:rFonts w:ascii="Times New Roman" w:hAnsi="Times New Roman" w:cs="Times New Roman"/>
                <w:color w:val="000000"/>
                <w:kern w:val="0"/>
                <w:sz w:val="20"/>
                <w:szCs w:val="20"/>
              </w:rPr>
              <w:t>预算管理情况（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分）</w:t>
            </w:r>
          </w:p>
        </w:tc>
      </w:tr>
      <w:tr w:rsidR="00E056BC">
        <w:trPr>
          <w:cantSplit/>
          <w:trHeight w:val="702"/>
        </w:trPr>
        <w:tc>
          <w:tcPr>
            <w:tcW w:w="41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一级指标</w:t>
            </w: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二级指标</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三级指标</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指标值</w:t>
            </w:r>
          </w:p>
        </w:tc>
        <w:tc>
          <w:tcPr>
            <w:tcW w:w="325"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完成值</w:t>
            </w:r>
          </w:p>
        </w:tc>
        <w:tc>
          <w:tcPr>
            <w:tcW w:w="318" w:type="pct"/>
            <w:tcBorders>
              <w:top w:val="single" w:sz="4" w:space="0" w:color="auto"/>
              <w:left w:val="nil"/>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318" w:type="pct"/>
            <w:tcBorders>
              <w:top w:val="single" w:sz="4" w:space="0" w:color="auto"/>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b/>
                <w:bCs/>
                <w:color w:val="000000"/>
                <w:kern w:val="0"/>
                <w:sz w:val="18"/>
                <w:szCs w:val="18"/>
              </w:rPr>
            </w:pPr>
            <w:r>
              <w:rPr>
                <w:rFonts w:ascii="Times New Roman" w:hAnsi="Times New Roman" w:cs="Times New Roman"/>
                <w:bCs/>
                <w:color w:val="000000"/>
                <w:kern w:val="0"/>
                <w:sz w:val="18"/>
                <w:szCs w:val="18"/>
              </w:rPr>
              <w:t>指标解释</w:t>
            </w:r>
          </w:p>
        </w:tc>
        <w:tc>
          <w:tcPr>
            <w:tcW w:w="1240"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评分标准</w:t>
            </w:r>
          </w:p>
        </w:tc>
      </w:tr>
      <w:tr w:rsidR="00E056BC">
        <w:trPr>
          <w:cantSplit/>
          <w:trHeight w:val="1230"/>
        </w:trPr>
        <w:tc>
          <w:tcPr>
            <w:tcW w:w="419"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预算管理情况（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w:t>
            </w:r>
          </w:p>
        </w:tc>
        <w:tc>
          <w:tcPr>
            <w:tcW w:w="420" w:type="pct"/>
            <w:vMerge w:val="restar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财务管理（</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财务管理制度健全性</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25"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18" w:type="pct"/>
            <w:tcBorders>
              <w:top w:val="single" w:sz="4" w:space="0" w:color="auto"/>
              <w:left w:val="nil"/>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318" w:type="pct"/>
            <w:tcBorders>
              <w:top w:val="single" w:sz="4" w:space="0" w:color="auto"/>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r>
              <w:rPr>
                <w:rFonts w:ascii="Times New Roman" w:hAnsi="Times New Roman" w:cs="Times New Roman"/>
                <w:color w:val="000000"/>
                <w:kern w:val="0"/>
                <w:sz w:val="20"/>
                <w:szCs w:val="20"/>
              </w:rPr>
              <w:t xml:space="preserve">　</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财务管理制度健全性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部门（单位）为加强财务管理、规范财务行为而制定的管理制度。</w:t>
            </w:r>
          </w:p>
        </w:tc>
        <w:tc>
          <w:tcPr>
            <w:tcW w:w="1240" w:type="pct"/>
            <w:tcBorders>
              <w:top w:val="single" w:sz="4" w:space="0" w:color="auto"/>
              <w:left w:val="nil"/>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预算资金管理办法、绩效跟踪管理办法、资产管理办法等各项制度是否健全；</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部门内部财务管理制度是否完整、合</w:t>
            </w:r>
            <w:proofErr w:type="gramStart"/>
            <w:r>
              <w:rPr>
                <w:rFonts w:ascii="Times New Roman" w:hAnsi="Times New Roman" w:cs="Times New Roman"/>
                <w:color w:val="000000"/>
                <w:kern w:val="0"/>
                <w:sz w:val="18"/>
                <w:szCs w:val="18"/>
              </w:rPr>
              <w:t>规</w:t>
            </w:r>
            <w:proofErr w:type="gramEnd"/>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会计核算制度是否完整、合</w:t>
            </w:r>
            <w:proofErr w:type="gramStart"/>
            <w:r>
              <w:rPr>
                <w:rFonts w:ascii="Times New Roman" w:hAnsi="Times New Roman" w:cs="Times New Roman"/>
                <w:color w:val="000000"/>
                <w:kern w:val="0"/>
                <w:sz w:val="18"/>
                <w:szCs w:val="18"/>
              </w:rPr>
              <w:t>规</w:t>
            </w:r>
            <w:proofErr w:type="gramEnd"/>
            <w:r>
              <w:rPr>
                <w:rFonts w:ascii="Times New Roman" w:hAnsi="Times New Roman" w:cs="Times New Roman"/>
                <w:color w:val="000000"/>
                <w:kern w:val="0"/>
                <w:sz w:val="18"/>
                <w:szCs w:val="18"/>
              </w:rPr>
              <w:t>。每有一项不合格扣</w:t>
            </w:r>
            <w:r>
              <w:rPr>
                <w:rFonts w:ascii="Times New Roman" w:hAnsi="Times New Roman" w:cs="Times New Roman"/>
                <w:color w:val="000000"/>
                <w:kern w:val="0"/>
                <w:sz w:val="18"/>
                <w:szCs w:val="18"/>
              </w:rPr>
              <w:t>0.5</w:t>
            </w:r>
            <w:r>
              <w:rPr>
                <w:rFonts w:ascii="Times New Roman" w:hAnsi="Times New Roman" w:cs="Times New Roman"/>
                <w:color w:val="000000"/>
                <w:kern w:val="0"/>
                <w:sz w:val="18"/>
                <w:szCs w:val="18"/>
              </w:rPr>
              <w:t>分，扣完为止。</w:t>
            </w:r>
          </w:p>
        </w:tc>
      </w:tr>
      <w:tr w:rsidR="00E056BC">
        <w:trPr>
          <w:cantSplit/>
          <w:trHeight w:val="2220"/>
        </w:trPr>
        <w:tc>
          <w:tcPr>
            <w:tcW w:w="419" w:type="pct"/>
            <w:vMerge/>
            <w:tcBorders>
              <w:top w:val="single" w:sz="4" w:space="0" w:color="auto"/>
              <w:left w:val="single" w:sz="4" w:space="0" w:color="auto"/>
              <w:bottom w:val="single" w:sz="4" w:space="0" w:color="000000"/>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资金使用合</w:t>
            </w:r>
            <w:proofErr w:type="gramStart"/>
            <w:r>
              <w:rPr>
                <w:rFonts w:ascii="Times New Roman" w:hAnsi="Times New Roman" w:cs="Times New Roman"/>
                <w:color w:val="000000"/>
                <w:kern w:val="0"/>
                <w:sz w:val="20"/>
                <w:szCs w:val="20"/>
              </w:rPr>
              <w:t>规</w:t>
            </w:r>
            <w:proofErr w:type="gramEnd"/>
            <w:r>
              <w:rPr>
                <w:rFonts w:ascii="Times New Roman" w:hAnsi="Times New Roman" w:cs="Times New Roman"/>
                <w:color w:val="000000"/>
                <w:kern w:val="0"/>
                <w:sz w:val="20"/>
                <w:szCs w:val="20"/>
              </w:rPr>
              <w:t>性和安全性</w:t>
            </w:r>
          </w:p>
        </w:tc>
        <w:tc>
          <w:tcPr>
            <w:tcW w:w="339"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25" w:type="pct"/>
            <w:tcBorders>
              <w:top w:val="single" w:sz="4" w:space="0" w:color="auto"/>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18" w:type="pct"/>
            <w:tcBorders>
              <w:top w:val="single" w:sz="4" w:space="0" w:color="auto"/>
              <w:left w:val="nil"/>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p>
        </w:tc>
        <w:tc>
          <w:tcPr>
            <w:tcW w:w="318" w:type="pct"/>
            <w:tcBorders>
              <w:top w:val="single" w:sz="4" w:space="0" w:color="auto"/>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r>
              <w:rPr>
                <w:rFonts w:ascii="Times New Roman" w:hAnsi="Times New Roman" w:cs="Times New Roman"/>
                <w:color w:val="000000"/>
                <w:kern w:val="0"/>
                <w:sz w:val="20"/>
                <w:szCs w:val="20"/>
              </w:rPr>
              <w:t xml:space="preserve">　</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资金使用合</w:t>
            </w:r>
            <w:proofErr w:type="gramStart"/>
            <w:r>
              <w:rPr>
                <w:rFonts w:ascii="Times New Roman" w:hAnsi="Times New Roman" w:cs="Times New Roman"/>
                <w:b/>
                <w:bCs/>
                <w:color w:val="000000"/>
                <w:kern w:val="0"/>
                <w:sz w:val="18"/>
                <w:szCs w:val="18"/>
              </w:rPr>
              <w:t>规</w:t>
            </w:r>
            <w:proofErr w:type="gramEnd"/>
            <w:r>
              <w:rPr>
                <w:rFonts w:ascii="Times New Roman" w:hAnsi="Times New Roman" w:cs="Times New Roman"/>
                <w:b/>
                <w:bCs/>
                <w:color w:val="000000"/>
                <w:kern w:val="0"/>
                <w:sz w:val="18"/>
                <w:szCs w:val="18"/>
              </w:rPr>
              <w:t>性和安全性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40" w:type="pct"/>
            <w:tcBorders>
              <w:top w:val="single" w:sz="4" w:space="0" w:color="auto"/>
              <w:left w:val="nil"/>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是否符合国家财经法规和财务管理制度规定以及有关专项资金管理办法的规定；</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资金的拨付是否有完整的审批程序和手续；</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项目的重大开支是否经过评估论证；</w:t>
            </w:r>
            <w:r>
              <w:rPr>
                <w:rFonts w:ascii="Times New Roman" w:hAnsi="Times New Roman" w:cs="Times New Roman"/>
                <w:color w:val="000000"/>
                <w:kern w:val="0"/>
                <w:sz w:val="18"/>
                <w:szCs w:val="18"/>
              </w:rPr>
              <w:t>④</w:t>
            </w:r>
            <w:r>
              <w:rPr>
                <w:rFonts w:ascii="Times New Roman" w:hAnsi="Times New Roman" w:cs="Times New Roman"/>
                <w:color w:val="000000"/>
                <w:kern w:val="0"/>
                <w:sz w:val="18"/>
                <w:szCs w:val="18"/>
              </w:rPr>
              <w:t>是否符合部门预算批复的用途；</w:t>
            </w:r>
            <w:r>
              <w:rPr>
                <w:rFonts w:ascii="Times New Roman" w:hAnsi="Times New Roman" w:cs="Times New Roman"/>
                <w:color w:val="000000"/>
                <w:kern w:val="0"/>
                <w:sz w:val="18"/>
                <w:szCs w:val="18"/>
              </w:rPr>
              <w:t>⑤</w:t>
            </w:r>
            <w:r>
              <w:rPr>
                <w:rFonts w:ascii="Times New Roman" w:hAnsi="Times New Roman" w:cs="Times New Roman"/>
                <w:color w:val="000000"/>
                <w:kern w:val="0"/>
                <w:sz w:val="18"/>
                <w:szCs w:val="18"/>
              </w:rPr>
              <w:t>是否存在截留、挤占、挪用情况；</w:t>
            </w:r>
            <w:r>
              <w:rPr>
                <w:rFonts w:ascii="Times New Roman" w:hAnsi="Times New Roman" w:cs="Times New Roman"/>
                <w:color w:val="000000"/>
                <w:kern w:val="0"/>
                <w:sz w:val="18"/>
                <w:szCs w:val="18"/>
              </w:rPr>
              <w:t>⑥</w:t>
            </w:r>
            <w:r>
              <w:rPr>
                <w:rFonts w:ascii="Times New Roman" w:hAnsi="Times New Roman" w:cs="Times New Roman"/>
                <w:color w:val="000000"/>
                <w:kern w:val="0"/>
                <w:sz w:val="18"/>
                <w:szCs w:val="18"/>
              </w:rPr>
              <w:t>资金使用是否符合政府采购的程序和流程；</w:t>
            </w:r>
            <w:r>
              <w:rPr>
                <w:rFonts w:ascii="Times New Roman" w:hAnsi="Times New Roman" w:cs="Times New Roman"/>
                <w:color w:val="000000"/>
                <w:kern w:val="0"/>
                <w:sz w:val="18"/>
                <w:szCs w:val="18"/>
              </w:rPr>
              <w:t>⑦</w:t>
            </w:r>
            <w:r>
              <w:rPr>
                <w:rFonts w:ascii="Times New Roman" w:hAnsi="Times New Roman" w:cs="Times New Roman"/>
                <w:color w:val="000000"/>
                <w:kern w:val="0"/>
                <w:sz w:val="18"/>
                <w:szCs w:val="18"/>
              </w:rPr>
              <w:t>资金使用是否符合公务卡结算相关制度和规定。每有一项不合格扣</w:t>
            </w:r>
            <w:r>
              <w:rPr>
                <w:rFonts w:ascii="Times New Roman" w:hAnsi="Times New Roman" w:cs="Times New Roman"/>
                <w:color w:val="000000"/>
                <w:kern w:val="0"/>
                <w:sz w:val="18"/>
                <w:szCs w:val="18"/>
              </w:rPr>
              <w:t>0.5</w:t>
            </w:r>
            <w:r>
              <w:rPr>
                <w:rFonts w:ascii="Times New Roman" w:hAnsi="Times New Roman" w:cs="Times New Roman"/>
                <w:color w:val="000000"/>
                <w:kern w:val="0"/>
                <w:sz w:val="18"/>
                <w:szCs w:val="18"/>
              </w:rPr>
              <w:t>分，扣完为止。</w:t>
            </w:r>
          </w:p>
        </w:tc>
      </w:tr>
      <w:tr w:rsidR="00E056BC">
        <w:trPr>
          <w:cantSplit/>
          <w:trHeight w:val="410"/>
        </w:trPr>
        <w:tc>
          <w:tcPr>
            <w:tcW w:w="419"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会计基础信息完善性</w:t>
            </w:r>
          </w:p>
        </w:tc>
        <w:tc>
          <w:tcPr>
            <w:tcW w:w="339"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25" w:type="pct"/>
            <w:tcBorders>
              <w:top w:val="nil"/>
              <w:left w:val="nil"/>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18" w:type="pct"/>
            <w:tcBorders>
              <w:top w:val="nil"/>
              <w:left w:val="nil"/>
              <w:bottom w:val="single" w:sz="4" w:space="0" w:color="auto"/>
              <w:right w:val="single" w:sz="4" w:space="0" w:color="auto"/>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318" w:type="pct"/>
            <w:tcBorders>
              <w:top w:val="nil"/>
              <w:left w:val="nil"/>
              <w:bottom w:val="single" w:sz="4" w:space="0" w:color="auto"/>
              <w:right w:val="nil"/>
            </w:tcBorders>
            <w:noWrap/>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r>
              <w:rPr>
                <w:rFonts w:ascii="Times New Roman" w:hAnsi="Times New Roman" w:cs="Times New Roman"/>
                <w:color w:val="000000"/>
                <w:kern w:val="0"/>
                <w:sz w:val="20"/>
                <w:szCs w:val="20"/>
              </w:rPr>
              <w:t xml:space="preserve">　</w:t>
            </w:r>
          </w:p>
        </w:tc>
        <w:tc>
          <w:tcPr>
            <w:tcW w:w="1275" w:type="pct"/>
            <w:tcBorders>
              <w:top w:val="nil"/>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会计基础信息完善性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部门（单位）会计基础信息情况。</w:t>
            </w:r>
          </w:p>
        </w:tc>
        <w:tc>
          <w:tcPr>
            <w:tcW w:w="1240" w:type="pct"/>
            <w:tcBorders>
              <w:top w:val="nil"/>
              <w:left w:val="nil"/>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基础数据信息和会计信息资料是否真实；</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基础数据信息和会计信息资料是否完整；</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基础数据信息和会计信息资料是否准确。每有一项不合格扣</w:t>
            </w:r>
            <w:r>
              <w:rPr>
                <w:rFonts w:ascii="Times New Roman" w:hAnsi="Times New Roman" w:cs="Times New Roman"/>
                <w:color w:val="000000"/>
                <w:kern w:val="0"/>
                <w:sz w:val="18"/>
                <w:szCs w:val="18"/>
              </w:rPr>
              <w:t>0.5</w:t>
            </w:r>
            <w:r>
              <w:rPr>
                <w:rFonts w:ascii="Times New Roman" w:hAnsi="Times New Roman" w:cs="Times New Roman"/>
                <w:color w:val="000000"/>
                <w:kern w:val="0"/>
                <w:sz w:val="18"/>
                <w:szCs w:val="18"/>
              </w:rPr>
              <w:t>分，扣完为止。</w:t>
            </w:r>
          </w:p>
        </w:tc>
      </w:tr>
      <w:tr w:rsidR="00E056BC">
        <w:trPr>
          <w:cantSplit/>
          <w:trHeight w:val="754"/>
        </w:trPr>
        <w:tc>
          <w:tcPr>
            <w:tcW w:w="419"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资产管理（</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资产管理规范性</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 xml:space="preserve">　</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资产管理规范性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部门（单位）的资产是否保持安全完整，资产配置是否合理，资产使用和资产处理是否规范，用以反映和考核部门（单位）资产管理的整体水平。</w:t>
            </w:r>
          </w:p>
        </w:tc>
        <w:tc>
          <w:tcPr>
            <w:tcW w:w="124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对外投资行为是否经审批，是否存在投资亏损；</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是否有因管理不当发生严重资产损失和丢失情况；</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是否存在超标准配置资产；</w:t>
            </w:r>
            <w:r>
              <w:rPr>
                <w:rFonts w:ascii="Times New Roman" w:hAnsi="Times New Roman" w:cs="Times New Roman"/>
                <w:color w:val="000000"/>
                <w:kern w:val="0"/>
                <w:sz w:val="18"/>
                <w:szCs w:val="18"/>
              </w:rPr>
              <w:t>④</w:t>
            </w:r>
            <w:r>
              <w:rPr>
                <w:rFonts w:ascii="Times New Roman" w:hAnsi="Times New Roman" w:cs="Times New Roman"/>
                <w:color w:val="000000"/>
                <w:kern w:val="0"/>
                <w:sz w:val="18"/>
                <w:szCs w:val="18"/>
              </w:rPr>
              <w:t>资产使用是否规范，是否存在未经批准擅自出租、出借资产行为；</w:t>
            </w:r>
            <w:r>
              <w:rPr>
                <w:rFonts w:ascii="Times New Roman" w:hAnsi="Times New Roman" w:cs="Times New Roman"/>
                <w:color w:val="000000"/>
                <w:kern w:val="0"/>
                <w:sz w:val="18"/>
                <w:szCs w:val="18"/>
              </w:rPr>
              <w:t>⑤</w:t>
            </w:r>
            <w:r>
              <w:rPr>
                <w:rFonts w:ascii="Times New Roman" w:hAnsi="Times New Roman" w:cs="Times New Roman"/>
                <w:color w:val="000000"/>
                <w:kern w:val="0"/>
                <w:sz w:val="18"/>
                <w:szCs w:val="18"/>
              </w:rPr>
              <w:t>资产处置是否规范，是否存在不按要求进行报批或资产不公开处置行为；</w:t>
            </w:r>
            <w:r>
              <w:rPr>
                <w:rFonts w:ascii="Times New Roman" w:hAnsi="Times New Roman" w:cs="Times New Roman"/>
                <w:color w:val="000000"/>
                <w:kern w:val="0"/>
                <w:sz w:val="18"/>
                <w:szCs w:val="18"/>
              </w:rPr>
              <w:t>⑥</w:t>
            </w:r>
            <w:r>
              <w:rPr>
                <w:rFonts w:ascii="Times New Roman" w:hAnsi="Times New Roman" w:cs="Times New Roman"/>
                <w:color w:val="000000"/>
                <w:kern w:val="0"/>
                <w:sz w:val="18"/>
                <w:szCs w:val="18"/>
              </w:rPr>
              <w:t>其它资产管理制度办法执行情况。每有一项不合格扣</w:t>
            </w:r>
            <w:r>
              <w:rPr>
                <w:rFonts w:ascii="Times New Roman" w:hAnsi="Times New Roman" w:cs="Times New Roman"/>
                <w:color w:val="000000"/>
                <w:kern w:val="0"/>
                <w:sz w:val="18"/>
                <w:szCs w:val="18"/>
              </w:rPr>
              <w:t>0.8</w:t>
            </w:r>
            <w:r>
              <w:rPr>
                <w:rFonts w:ascii="Times New Roman" w:hAnsi="Times New Roman" w:cs="Times New Roman"/>
                <w:color w:val="000000"/>
                <w:kern w:val="0"/>
                <w:sz w:val="18"/>
                <w:szCs w:val="18"/>
              </w:rPr>
              <w:t>分，扣完为止。</w:t>
            </w:r>
          </w:p>
        </w:tc>
      </w:tr>
      <w:tr w:rsidR="00E056BC">
        <w:trPr>
          <w:cantSplit/>
          <w:trHeight w:val="1210"/>
        </w:trPr>
        <w:tc>
          <w:tcPr>
            <w:tcW w:w="419"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绩效管理（</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绩效管理情况</w:t>
            </w:r>
          </w:p>
        </w:tc>
        <w:tc>
          <w:tcPr>
            <w:tcW w:w="339"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center"/>
              <w:rPr>
                <w:rFonts w:ascii="Times New Roman" w:hAnsi="Times New Roman" w:cs="Times New Roman"/>
                <w:color w:val="000000"/>
                <w:kern w:val="0"/>
                <w:sz w:val="20"/>
                <w:szCs w:val="20"/>
              </w:rPr>
            </w:pP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 xml:space="preserve">　</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绩效管理情况</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考核部门（单位）在绩效管理信息的汇总和应用情况。</w:t>
            </w:r>
          </w:p>
        </w:tc>
        <w:tc>
          <w:tcPr>
            <w:tcW w:w="124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部门（单位）是否及时对绩效信息进行汇总分析整理；</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部门（单位）是否对绩效目标偏离情况及时进行矫正。每有一项不合格扣</w:t>
            </w:r>
            <w:r>
              <w:rPr>
                <w:rFonts w:ascii="Times New Roman" w:hAnsi="Times New Roman" w:cs="Times New Roman"/>
                <w:color w:val="000000"/>
                <w:kern w:val="0"/>
                <w:sz w:val="18"/>
                <w:szCs w:val="18"/>
              </w:rPr>
              <w:t>2</w:t>
            </w:r>
            <w:r>
              <w:rPr>
                <w:rFonts w:ascii="Times New Roman" w:hAnsi="Times New Roman" w:cs="Times New Roman"/>
                <w:color w:val="000000"/>
                <w:kern w:val="0"/>
                <w:sz w:val="18"/>
                <w:szCs w:val="18"/>
              </w:rPr>
              <w:t>分。</w:t>
            </w:r>
          </w:p>
        </w:tc>
      </w:tr>
      <w:tr w:rsidR="00E056BC">
        <w:trPr>
          <w:cantSplit/>
          <w:trHeight w:val="394"/>
        </w:trPr>
        <w:tc>
          <w:tcPr>
            <w:tcW w:w="419"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指标　</w:t>
            </w:r>
          </w:p>
        </w:tc>
        <w:tc>
          <w:tcPr>
            <w:tcW w:w="679" w:type="pct"/>
            <w:gridSpan w:val="2"/>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2021</w:t>
            </w:r>
            <w:r>
              <w:rPr>
                <w:rFonts w:ascii="Times New Roman" w:hAnsi="Times New Roman" w:cs="Times New Roman"/>
                <w:color w:val="000000"/>
                <w:kern w:val="0"/>
                <w:sz w:val="20"/>
                <w:szCs w:val="20"/>
              </w:rPr>
              <w:t>年</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2022</w:t>
            </w:r>
            <w:r>
              <w:rPr>
                <w:rFonts w:ascii="Times New Roman" w:hAnsi="Times New Roman" w:cs="Times New Roman"/>
                <w:color w:val="000000"/>
                <w:kern w:val="0"/>
                <w:sz w:val="20"/>
                <w:szCs w:val="20"/>
              </w:rPr>
              <w:t>年</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bCs/>
                <w:color w:val="000000"/>
                <w:kern w:val="0"/>
                <w:sz w:val="18"/>
                <w:szCs w:val="18"/>
              </w:rPr>
              <w:t>指标解释</w:t>
            </w:r>
          </w:p>
        </w:tc>
        <w:tc>
          <w:tcPr>
            <w:tcW w:w="124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eastAsia="Times New Roman" w:hAnsi="Times New Roman" w:cs="Times New Roman"/>
                <w:kern w:val="0"/>
                <w:sz w:val="20"/>
                <w:szCs w:val="20"/>
              </w:rPr>
            </w:pPr>
            <w:r>
              <w:rPr>
                <w:rFonts w:ascii="Times New Roman" w:hAnsi="Times New Roman" w:cs="Times New Roman"/>
                <w:color w:val="000000"/>
                <w:kern w:val="0"/>
                <w:sz w:val="18"/>
                <w:szCs w:val="18"/>
              </w:rPr>
              <w:t>评分标准</w:t>
            </w:r>
          </w:p>
        </w:tc>
      </w:tr>
      <w:tr w:rsidR="00E056BC">
        <w:trPr>
          <w:cantSplit/>
          <w:trHeight w:val="2229"/>
        </w:trPr>
        <w:tc>
          <w:tcPr>
            <w:tcW w:w="419"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结转结余率（</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679" w:type="pct"/>
            <w:gridSpan w:val="2"/>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4.69%</w:t>
            </w:r>
            <w:r>
              <w:rPr>
                <w:rFonts w:ascii="Times New Roman" w:hAnsi="Times New Roman" w:cs="Times New Roman"/>
                <w:color w:val="000000"/>
                <w:kern w:val="0"/>
                <w:sz w:val="20"/>
                <w:szCs w:val="20"/>
              </w:rPr>
              <w:t xml:space="preserve">　</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0.17%</w:t>
            </w:r>
            <w:r>
              <w:rPr>
                <w:rFonts w:ascii="Times New Roman" w:hAnsi="Times New Roman" w:cs="Times New Roman"/>
                <w:color w:val="000000"/>
                <w:kern w:val="0"/>
                <w:sz w:val="20"/>
                <w:szCs w:val="20"/>
              </w:rPr>
              <w:t xml:space="preserve">　</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 xml:space="preserve">　</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结转结余率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结转结余总额</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支出预算数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br/>
            </w:r>
            <w:r>
              <w:rPr>
                <w:rFonts w:ascii="Times New Roman" w:hAnsi="Times New Roman" w:cs="Times New Roman"/>
                <w:color w:val="000000"/>
                <w:kern w:val="0"/>
                <w:sz w:val="18"/>
                <w:szCs w:val="18"/>
              </w:rPr>
              <w:t>结转结余总额：部门（单位）本年度的结转资金与结余资金之</w:t>
            </w:r>
            <w:proofErr w:type="gramStart"/>
            <w:r>
              <w:rPr>
                <w:rFonts w:ascii="Times New Roman" w:hAnsi="Times New Roman" w:cs="Times New Roman"/>
                <w:color w:val="000000"/>
                <w:kern w:val="0"/>
                <w:sz w:val="18"/>
                <w:szCs w:val="18"/>
              </w:rPr>
              <w:t>和</w:t>
            </w:r>
            <w:proofErr w:type="gramEnd"/>
            <w:r>
              <w:rPr>
                <w:rFonts w:ascii="Times New Roman" w:hAnsi="Times New Roman" w:cs="Times New Roman"/>
                <w:color w:val="000000"/>
                <w:kern w:val="0"/>
                <w:sz w:val="18"/>
                <w:szCs w:val="18"/>
              </w:rPr>
              <w:t>。</w:t>
            </w:r>
          </w:p>
        </w:tc>
        <w:tc>
          <w:tcPr>
            <w:tcW w:w="124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部门结转结余率低于上年的不扣分；高于上年结余率，每高出</w:t>
            </w:r>
            <w:r>
              <w:rPr>
                <w:rFonts w:ascii="Times New Roman" w:hAnsi="Times New Roman" w:cs="Times New Roman"/>
                <w:color w:val="000000"/>
                <w:kern w:val="0"/>
                <w:sz w:val="18"/>
                <w:szCs w:val="18"/>
              </w:rPr>
              <w:t>1</w:t>
            </w:r>
            <w:r>
              <w:rPr>
                <w:rFonts w:ascii="Times New Roman" w:hAnsi="Times New Roman" w:cs="Times New Roman"/>
                <w:color w:val="000000"/>
                <w:kern w:val="0"/>
                <w:sz w:val="18"/>
                <w:szCs w:val="18"/>
              </w:rPr>
              <w:t>个百分点扣</w:t>
            </w:r>
            <w:r>
              <w:rPr>
                <w:rFonts w:ascii="Times New Roman" w:hAnsi="Times New Roman" w:cs="Times New Roman"/>
                <w:color w:val="000000"/>
                <w:kern w:val="0"/>
                <w:sz w:val="18"/>
                <w:szCs w:val="18"/>
              </w:rPr>
              <w:t>0.4</w:t>
            </w:r>
            <w:r>
              <w:rPr>
                <w:rFonts w:ascii="Times New Roman" w:hAnsi="Times New Roman" w:cs="Times New Roman"/>
                <w:color w:val="000000"/>
                <w:kern w:val="0"/>
                <w:sz w:val="18"/>
                <w:szCs w:val="18"/>
              </w:rPr>
              <w:t>分，扣完为止。（说明：预算调整和结转结余指标，如</w:t>
            </w:r>
            <w:proofErr w:type="gramStart"/>
            <w:r>
              <w:rPr>
                <w:rFonts w:ascii="Times New Roman" w:hAnsi="Times New Roman" w:cs="Times New Roman"/>
                <w:color w:val="000000"/>
                <w:kern w:val="0"/>
                <w:sz w:val="18"/>
                <w:szCs w:val="18"/>
              </w:rPr>
              <w:t>非预算</w:t>
            </w:r>
            <w:proofErr w:type="gramEnd"/>
            <w:r>
              <w:rPr>
                <w:rFonts w:ascii="Times New Roman" w:hAnsi="Times New Roman" w:cs="Times New Roman"/>
                <w:color w:val="000000"/>
                <w:kern w:val="0"/>
                <w:sz w:val="18"/>
                <w:szCs w:val="18"/>
              </w:rPr>
              <w:t>部门主观因素导致扣分的，在评分结果征求意见环节，经与相关部门预算主管处室共同研究，可作为例外情况酌情考虑。）</w:t>
            </w:r>
          </w:p>
        </w:tc>
      </w:tr>
      <w:tr w:rsidR="00E056BC">
        <w:trPr>
          <w:cantSplit/>
          <w:trHeight w:val="981"/>
        </w:trPr>
        <w:tc>
          <w:tcPr>
            <w:tcW w:w="419" w:type="pct"/>
            <w:vMerge/>
            <w:tcBorders>
              <w:top w:val="single" w:sz="4" w:space="0" w:color="auto"/>
              <w:left w:val="single" w:sz="4" w:space="0" w:color="auto"/>
              <w:bottom w:val="single" w:sz="4" w:space="0" w:color="auto"/>
              <w:right w:val="single" w:sz="4" w:space="0" w:color="auto"/>
            </w:tcBorders>
            <w:vAlign w:val="center"/>
          </w:tcPr>
          <w:p w:rsidR="00E056BC" w:rsidRDefault="00E056BC">
            <w:pPr>
              <w:widowControl/>
              <w:jc w:val="left"/>
              <w:rPr>
                <w:rFonts w:ascii="Times New Roman" w:hAnsi="Times New Roman" w:cs="Times New Roman"/>
                <w:color w:val="000000"/>
                <w:kern w:val="0"/>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部门预决算差异率（</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679" w:type="pct"/>
            <w:gridSpan w:val="2"/>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w:t>
            </w:r>
          </w:p>
        </w:tc>
        <w:tc>
          <w:tcPr>
            <w:tcW w:w="32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7.</w:t>
            </w:r>
            <w:r>
              <w:rPr>
                <w:rFonts w:ascii="Times New Roman" w:hAnsi="Times New Roman" w:cs="Times New Roman" w:hint="eastAsia"/>
                <w:color w:val="000000"/>
                <w:kern w:val="0"/>
                <w:sz w:val="20"/>
                <w:szCs w:val="20"/>
              </w:rPr>
              <w:t>47</w:t>
            </w:r>
            <w:r>
              <w:rPr>
                <w:rFonts w:ascii="Times New Roman" w:hAnsi="Times New Roman" w:cs="Times New Roman"/>
                <w:color w:val="000000"/>
                <w:kern w:val="0"/>
                <w:sz w:val="20"/>
                <w:szCs w:val="20"/>
              </w:rPr>
              <w:t>%</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 xml:space="preserve">　</w:t>
            </w:r>
          </w:p>
        </w:tc>
        <w:tc>
          <w:tcPr>
            <w:tcW w:w="1275"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通过年度部门决算与年初部门预算对比，对部门的年度支出情况进行考核，衡量部门预算的约束力。</w:t>
            </w:r>
          </w:p>
        </w:tc>
        <w:tc>
          <w:tcPr>
            <w:tcW w:w="1240"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部门预决算差异率高于市级平均差异率（</w:t>
            </w:r>
            <w:r>
              <w:rPr>
                <w:rFonts w:ascii="Times New Roman" w:hAnsi="Times New Roman" w:cs="Times New Roman"/>
                <w:color w:val="000000"/>
                <w:kern w:val="0"/>
                <w:sz w:val="18"/>
                <w:szCs w:val="18"/>
              </w:rPr>
              <w:t>28.3%</w:t>
            </w:r>
            <w:r>
              <w:rPr>
                <w:rFonts w:ascii="Times New Roman" w:hAnsi="Times New Roman" w:cs="Times New Roman"/>
                <w:color w:val="000000"/>
                <w:kern w:val="0"/>
                <w:sz w:val="18"/>
                <w:szCs w:val="18"/>
              </w:rPr>
              <w:t>）的，每高出</w:t>
            </w:r>
            <w:r>
              <w:rPr>
                <w:rFonts w:ascii="Times New Roman" w:hAnsi="Times New Roman" w:cs="Times New Roman"/>
                <w:color w:val="000000"/>
                <w:kern w:val="0"/>
                <w:sz w:val="18"/>
                <w:szCs w:val="18"/>
              </w:rPr>
              <w:t>10%</w:t>
            </w:r>
            <w:r>
              <w:rPr>
                <w:rFonts w:ascii="Times New Roman" w:hAnsi="Times New Roman" w:cs="Times New Roman"/>
                <w:color w:val="000000"/>
                <w:kern w:val="0"/>
                <w:sz w:val="18"/>
                <w:szCs w:val="18"/>
              </w:rPr>
              <w:t>（含），扣</w:t>
            </w:r>
            <w:r>
              <w:rPr>
                <w:rFonts w:ascii="Times New Roman" w:hAnsi="Times New Roman" w:cs="Times New Roman"/>
                <w:color w:val="000000"/>
                <w:kern w:val="0"/>
                <w:sz w:val="18"/>
                <w:szCs w:val="18"/>
              </w:rPr>
              <w:t>0.4</w:t>
            </w:r>
            <w:r>
              <w:rPr>
                <w:rFonts w:ascii="Times New Roman" w:hAnsi="Times New Roman" w:cs="Times New Roman"/>
                <w:color w:val="000000"/>
                <w:kern w:val="0"/>
                <w:sz w:val="18"/>
                <w:szCs w:val="18"/>
              </w:rPr>
              <w:t>分，扣完为止。</w:t>
            </w:r>
          </w:p>
        </w:tc>
      </w:tr>
      <w:tr w:rsidR="00E056BC">
        <w:trPr>
          <w:cantSplit/>
          <w:trHeight w:val="484"/>
        </w:trPr>
        <w:tc>
          <w:tcPr>
            <w:tcW w:w="1845" w:type="pct"/>
            <w:gridSpan w:val="5"/>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合计</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100</w:t>
            </w:r>
          </w:p>
        </w:tc>
        <w:tc>
          <w:tcPr>
            <w:tcW w:w="318" w:type="pct"/>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94.5</w:t>
            </w:r>
          </w:p>
        </w:tc>
        <w:tc>
          <w:tcPr>
            <w:tcW w:w="2516" w:type="pct"/>
            <w:gridSpan w:val="2"/>
            <w:tcBorders>
              <w:top w:val="single" w:sz="4" w:space="0" w:color="auto"/>
              <w:left w:val="single" w:sz="4" w:space="0" w:color="auto"/>
              <w:bottom w:val="single" w:sz="4" w:space="0" w:color="auto"/>
              <w:right w:val="single" w:sz="4" w:space="0" w:color="auto"/>
            </w:tcBorders>
            <w:vAlign w:val="center"/>
          </w:tcPr>
          <w:p w:rsidR="00E056BC" w:rsidRDefault="00101FB3">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tc>
      </w:tr>
    </w:tbl>
    <w:p w:rsidR="00E056BC" w:rsidRDefault="00E056BC">
      <w:pPr>
        <w:pStyle w:val="a5"/>
        <w:adjustRightInd w:val="0"/>
        <w:snapToGrid w:val="0"/>
        <w:spacing w:line="560" w:lineRule="exact"/>
        <w:jc w:val="left"/>
        <w:rPr>
          <w:rFonts w:ascii="Times New Roman" w:eastAsia="方正小标宋简体" w:hAnsi="Times New Roman" w:cs="Times New Roman"/>
          <w:color w:val="000000"/>
          <w:kern w:val="0"/>
          <w:sz w:val="44"/>
          <w:szCs w:val="44"/>
        </w:rPr>
      </w:pPr>
    </w:p>
    <w:sectPr w:rsidR="00E056BC">
      <w:pgSz w:w="16838" w:h="11906" w:orient="landscape"/>
      <w:pgMar w:top="1417" w:right="1417" w:bottom="1417"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7EA" w:rsidRDefault="003217EA">
      <w:r>
        <w:separator/>
      </w:r>
    </w:p>
  </w:endnote>
  <w:endnote w:type="continuationSeparator" w:id="0">
    <w:p w:rsidR="003217EA" w:rsidRDefault="0032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charset w:val="86"/>
    <w:family w:val="auto"/>
    <w:pitch w:val="default"/>
    <w:sig w:usb0="A00002BF" w:usb1="38CF7CFA" w:usb2="00000016" w:usb3="00000000" w:csb0="0004000F" w:csb1="00000000"/>
    <w:embedRegular r:id="rId1" w:fontKey="{05486AB3-3163-4CA6-B15B-0D79373C78D8}"/>
    <w:embedBold r:id="rId2" w:fontKey="{C7B1ABD4-180B-4712-9011-782BA8878697}"/>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embedRegular r:id="rId3" w:subsetted="1" w:fontKey="{4C593699-0DBE-4FA2-A6C3-B81EF1DC7D4A}"/>
    <w:embedBold r:id="rId4" w:subsetted="1" w:fontKey="{5A23E084-739F-40F1-8A61-B60290EF02FF}"/>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variable"/>
    <w:sig w:usb0="00000001" w:usb1="080E0000" w:usb2="00000010" w:usb3="00000000" w:csb0="00040000" w:csb1="00000000"/>
    <w:embedRegular r:id="rId5" w:subsetted="1" w:fontKey="{4AC0CF3F-A3DD-4967-8A3E-E2A4A2803DE1}"/>
  </w:font>
  <w:font w:name="黑体">
    <w:altName w:val="SimHei"/>
    <w:panose1 w:val="02010609060101010101"/>
    <w:charset w:val="86"/>
    <w:family w:val="modern"/>
    <w:pitch w:val="fixed"/>
    <w:sig w:usb0="800002BF" w:usb1="38CF7CFA" w:usb2="00000016" w:usb3="00000000" w:csb0="00040001" w:csb1="00000000"/>
    <w:embedRegular r:id="rId6" w:subsetted="1" w:fontKey="{359A5378-E272-4E4C-B209-FAD3AB596497}"/>
  </w:font>
  <w:font w:name="楷体_GB2312">
    <w:panose1 w:val="02010609030101010101"/>
    <w:charset w:val="86"/>
    <w:family w:val="modern"/>
    <w:pitch w:val="fixed"/>
    <w:sig w:usb0="00000001" w:usb1="080E0000" w:usb2="00000010" w:usb3="00000000" w:csb0="00040000" w:csb1="00000000"/>
    <w:embedRegular r:id="rId7" w:subsetted="1" w:fontKey="{23EE290D-B3C5-40E4-80B0-C40012226410}"/>
    <w:embedBold r:id="rId8" w:subsetted="1" w:fontKey="{407B3B7F-C403-4561-B6F7-B1E8924896D0}"/>
  </w:font>
  <w:font w:name="方正黑体_GBK">
    <w:altName w:val="微软雅黑"/>
    <w:charset w:val="86"/>
    <w:family w:val="auto"/>
    <w:pitch w:val="default"/>
    <w:sig w:usb0="00000000" w:usb1="00000000" w:usb2="00000000" w:usb3="00000000" w:csb0="00040000" w:csb1="00000000"/>
    <w:embedRegular r:id="rId9" w:subsetted="1" w:fontKey="{5E8918C5-3E14-47B5-93D4-DE5BB0851A7B}"/>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6BC" w:rsidRDefault="00101FB3">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056BC" w:rsidRDefault="00101FB3">
                          <w:pPr>
                            <w:pStyle w:val="a8"/>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FC3100">
                            <w:rPr>
                              <w:rFonts w:ascii="Times New Roman" w:hAnsi="Times New Roman" w:cs="Times New Roman"/>
                              <w:noProof/>
                              <w:sz w:val="28"/>
                              <w:szCs w:val="28"/>
                            </w:rPr>
                            <w:t>17</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E056BC" w:rsidRDefault="00101FB3">
                    <w:pPr>
                      <w:pStyle w:val="a8"/>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FC3100">
                      <w:rPr>
                        <w:rFonts w:ascii="Times New Roman" w:hAnsi="Times New Roman" w:cs="Times New Roman"/>
                        <w:noProof/>
                        <w:sz w:val="28"/>
                        <w:szCs w:val="28"/>
                      </w:rPr>
                      <w:t>17</w:t>
                    </w:r>
                    <w:r>
                      <w:rPr>
                        <w:rFonts w:ascii="Times New Roman" w:hAnsi="Times New Roman" w:cs="Times New Roman"/>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7EA" w:rsidRDefault="003217EA">
      <w:r>
        <w:separator/>
      </w:r>
    </w:p>
  </w:footnote>
  <w:footnote w:type="continuationSeparator" w:id="0">
    <w:p w:rsidR="003217EA" w:rsidRDefault="003217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1NGJkYzk2MTllNTU3MDJjNjgyMWU5ODA1NjM2YzAifQ=="/>
  </w:docVars>
  <w:rsids>
    <w:rsidRoot w:val="007D6785"/>
    <w:rsid w:val="00005402"/>
    <w:rsid w:val="000871A4"/>
    <w:rsid w:val="0009051B"/>
    <w:rsid w:val="00101FB3"/>
    <w:rsid w:val="00201AB1"/>
    <w:rsid w:val="0022181C"/>
    <w:rsid w:val="003217EA"/>
    <w:rsid w:val="00346CC0"/>
    <w:rsid w:val="00360831"/>
    <w:rsid w:val="00386C46"/>
    <w:rsid w:val="004D0CCB"/>
    <w:rsid w:val="00537339"/>
    <w:rsid w:val="00564281"/>
    <w:rsid w:val="00571DB5"/>
    <w:rsid w:val="005D0DA8"/>
    <w:rsid w:val="005D4EEF"/>
    <w:rsid w:val="005E663A"/>
    <w:rsid w:val="00643BE3"/>
    <w:rsid w:val="00676294"/>
    <w:rsid w:val="00686FE2"/>
    <w:rsid w:val="006E04C6"/>
    <w:rsid w:val="006F43F5"/>
    <w:rsid w:val="007C0F2D"/>
    <w:rsid w:val="007D6785"/>
    <w:rsid w:val="007E76A9"/>
    <w:rsid w:val="00806187"/>
    <w:rsid w:val="00867929"/>
    <w:rsid w:val="00880E15"/>
    <w:rsid w:val="008C1D42"/>
    <w:rsid w:val="008D181F"/>
    <w:rsid w:val="0099754D"/>
    <w:rsid w:val="009C6F0F"/>
    <w:rsid w:val="00A941D1"/>
    <w:rsid w:val="00AE2A48"/>
    <w:rsid w:val="00B8272D"/>
    <w:rsid w:val="00BF0AA0"/>
    <w:rsid w:val="00C6142E"/>
    <w:rsid w:val="00CB24D5"/>
    <w:rsid w:val="00D10539"/>
    <w:rsid w:val="00D27E17"/>
    <w:rsid w:val="00D44F36"/>
    <w:rsid w:val="00DD0C1A"/>
    <w:rsid w:val="00DD502C"/>
    <w:rsid w:val="00E056BC"/>
    <w:rsid w:val="00E15581"/>
    <w:rsid w:val="00E41BA5"/>
    <w:rsid w:val="00E56439"/>
    <w:rsid w:val="00EA40E8"/>
    <w:rsid w:val="00ED1361"/>
    <w:rsid w:val="00F62A3D"/>
    <w:rsid w:val="00F6676F"/>
    <w:rsid w:val="00F94CB9"/>
    <w:rsid w:val="00F96296"/>
    <w:rsid w:val="00FC3100"/>
    <w:rsid w:val="014D0938"/>
    <w:rsid w:val="0197690B"/>
    <w:rsid w:val="01B36BD0"/>
    <w:rsid w:val="021533E7"/>
    <w:rsid w:val="021A4C79"/>
    <w:rsid w:val="026305F6"/>
    <w:rsid w:val="028728DD"/>
    <w:rsid w:val="02A12ECC"/>
    <w:rsid w:val="02DA63DE"/>
    <w:rsid w:val="02F54FC6"/>
    <w:rsid w:val="03080C9B"/>
    <w:rsid w:val="03603BBE"/>
    <w:rsid w:val="03B629A7"/>
    <w:rsid w:val="0402211D"/>
    <w:rsid w:val="041B00E5"/>
    <w:rsid w:val="04262466"/>
    <w:rsid w:val="04932CE9"/>
    <w:rsid w:val="04934A97"/>
    <w:rsid w:val="049C22B4"/>
    <w:rsid w:val="04F347BB"/>
    <w:rsid w:val="05545FD4"/>
    <w:rsid w:val="056F6202"/>
    <w:rsid w:val="05710D94"/>
    <w:rsid w:val="0588240A"/>
    <w:rsid w:val="059B1E55"/>
    <w:rsid w:val="05EF3F4F"/>
    <w:rsid w:val="0619721E"/>
    <w:rsid w:val="066A1827"/>
    <w:rsid w:val="06E61600"/>
    <w:rsid w:val="07344457"/>
    <w:rsid w:val="07487DBA"/>
    <w:rsid w:val="07887E31"/>
    <w:rsid w:val="078E1545"/>
    <w:rsid w:val="079C0106"/>
    <w:rsid w:val="07E04497"/>
    <w:rsid w:val="082500FC"/>
    <w:rsid w:val="08275C22"/>
    <w:rsid w:val="083C1346"/>
    <w:rsid w:val="084154A6"/>
    <w:rsid w:val="08C04C7F"/>
    <w:rsid w:val="08F508DC"/>
    <w:rsid w:val="0903613F"/>
    <w:rsid w:val="09066E3B"/>
    <w:rsid w:val="0911242E"/>
    <w:rsid w:val="0A125B31"/>
    <w:rsid w:val="0A342F3A"/>
    <w:rsid w:val="0A6C0264"/>
    <w:rsid w:val="0A783040"/>
    <w:rsid w:val="0A8E7105"/>
    <w:rsid w:val="0ABE2142"/>
    <w:rsid w:val="0AF0679F"/>
    <w:rsid w:val="0B095AB3"/>
    <w:rsid w:val="0B36617C"/>
    <w:rsid w:val="0BE63156"/>
    <w:rsid w:val="0BE70C1B"/>
    <w:rsid w:val="0C210BDA"/>
    <w:rsid w:val="0C620578"/>
    <w:rsid w:val="0C6D2071"/>
    <w:rsid w:val="0C965124"/>
    <w:rsid w:val="0CC55A09"/>
    <w:rsid w:val="0D2C7CA1"/>
    <w:rsid w:val="0D3E75A2"/>
    <w:rsid w:val="0D613984"/>
    <w:rsid w:val="0D76754C"/>
    <w:rsid w:val="0D8A418C"/>
    <w:rsid w:val="0DD310D5"/>
    <w:rsid w:val="0DE97231"/>
    <w:rsid w:val="0E5C239D"/>
    <w:rsid w:val="0E686F94"/>
    <w:rsid w:val="0E6B11ED"/>
    <w:rsid w:val="0E866236"/>
    <w:rsid w:val="0EA55AF2"/>
    <w:rsid w:val="0EE54141"/>
    <w:rsid w:val="0F356EB3"/>
    <w:rsid w:val="0FC41FA8"/>
    <w:rsid w:val="0FD04DF1"/>
    <w:rsid w:val="100919D4"/>
    <w:rsid w:val="101747CE"/>
    <w:rsid w:val="101F79F8"/>
    <w:rsid w:val="10440973"/>
    <w:rsid w:val="109202F8"/>
    <w:rsid w:val="10E20F57"/>
    <w:rsid w:val="11313480"/>
    <w:rsid w:val="113E071E"/>
    <w:rsid w:val="11A42091"/>
    <w:rsid w:val="11A4661F"/>
    <w:rsid w:val="11E466CA"/>
    <w:rsid w:val="11EF0088"/>
    <w:rsid w:val="120267E6"/>
    <w:rsid w:val="12054C73"/>
    <w:rsid w:val="12420640"/>
    <w:rsid w:val="12E74B76"/>
    <w:rsid w:val="12FB2185"/>
    <w:rsid w:val="13080DA0"/>
    <w:rsid w:val="130955DD"/>
    <w:rsid w:val="135B0E75"/>
    <w:rsid w:val="13841C8E"/>
    <w:rsid w:val="13D205F7"/>
    <w:rsid w:val="14540A9C"/>
    <w:rsid w:val="1457788F"/>
    <w:rsid w:val="14612B95"/>
    <w:rsid w:val="14C6340F"/>
    <w:rsid w:val="14FC278B"/>
    <w:rsid w:val="151426B6"/>
    <w:rsid w:val="15152C6A"/>
    <w:rsid w:val="157601E9"/>
    <w:rsid w:val="158D108E"/>
    <w:rsid w:val="15A9236C"/>
    <w:rsid w:val="15E11B06"/>
    <w:rsid w:val="161C0D90"/>
    <w:rsid w:val="16320DD1"/>
    <w:rsid w:val="16C74B4B"/>
    <w:rsid w:val="17207D2D"/>
    <w:rsid w:val="1749126A"/>
    <w:rsid w:val="174E0155"/>
    <w:rsid w:val="17571CE1"/>
    <w:rsid w:val="17575DF8"/>
    <w:rsid w:val="175B5F2D"/>
    <w:rsid w:val="176C3651"/>
    <w:rsid w:val="176E6A50"/>
    <w:rsid w:val="17946704"/>
    <w:rsid w:val="17C86F3B"/>
    <w:rsid w:val="18027B12"/>
    <w:rsid w:val="184D42A1"/>
    <w:rsid w:val="19352312"/>
    <w:rsid w:val="197113F3"/>
    <w:rsid w:val="198130D3"/>
    <w:rsid w:val="198D5B01"/>
    <w:rsid w:val="19B60BB4"/>
    <w:rsid w:val="1A0F29BA"/>
    <w:rsid w:val="1A540A14"/>
    <w:rsid w:val="1A5F124B"/>
    <w:rsid w:val="1A7B1DFD"/>
    <w:rsid w:val="1B4E2689"/>
    <w:rsid w:val="1B803B6F"/>
    <w:rsid w:val="1BE30473"/>
    <w:rsid w:val="1C0814DE"/>
    <w:rsid w:val="1C2972AA"/>
    <w:rsid w:val="1C7F5BD5"/>
    <w:rsid w:val="1CE974F2"/>
    <w:rsid w:val="1D37451A"/>
    <w:rsid w:val="1D5C5F16"/>
    <w:rsid w:val="1D6152DA"/>
    <w:rsid w:val="1DB775F0"/>
    <w:rsid w:val="1DF15646"/>
    <w:rsid w:val="1E164317"/>
    <w:rsid w:val="1E2A6B10"/>
    <w:rsid w:val="1E777120"/>
    <w:rsid w:val="1EC437F2"/>
    <w:rsid w:val="1EDF295B"/>
    <w:rsid w:val="1F457AFE"/>
    <w:rsid w:val="1F482C98"/>
    <w:rsid w:val="1F841754"/>
    <w:rsid w:val="1FAE30E0"/>
    <w:rsid w:val="1FC36A1C"/>
    <w:rsid w:val="1FC45D59"/>
    <w:rsid w:val="1FD2799A"/>
    <w:rsid w:val="1FD6287E"/>
    <w:rsid w:val="1FE53EC9"/>
    <w:rsid w:val="20104D96"/>
    <w:rsid w:val="20322B96"/>
    <w:rsid w:val="20484530"/>
    <w:rsid w:val="20691AE9"/>
    <w:rsid w:val="207A2E7F"/>
    <w:rsid w:val="20BB73F7"/>
    <w:rsid w:val="20C91B14"/>
    <w:rsid w:val="20E042E3"/>
    <w:rsid w:val="210963B5"/>
    <w:rsid w:val="210E39CB"/>
    <w:rsid w:val="213172AB"/>
    <w:rsid w:val="21865F9D"/>
    <w:rsid w:val="21983295"/>
    <w:rsid w:val="21BC1547"/>
    <w:rsid w:val="21DA4ABB"/>
    <w:rsid w:val="21F11323"/>
    <w:rsid w:val="22370D00"/>
    <w:rsid w:val="22407BB4"/>
    <w:rsid w:val="22B61C24"/>
    <w:rsid w:val="2302130E"/>
    <w:rsid w:val="231F2C22"/>
    <w:rsid w:val="233020BA"/>
    <w:rsid w:val="233D75AE"/>
    <w:rsid w:val="235C70B5"/>
    <w:rsid w:val="23616034"/>
    <w:rsid w:val="23CC02AC"/>
    <w:rsid w:val="23D205A6"/>
    <w:rsid w:val="24156E1F"/>
    <w:rsid w:val="24374811"/>
    <w:rsid w:val="24945F95"/>
    <w:rsid w:val="24A57160"/>
    <w:rsid w:val="24DE4B1F"/>
    <w:rsid w:val="24E97CFF"/>
    <w:rsid w:val="24F44C86"/>
    <w:rsid w:val="254D07E6"/>
    <w:rsid w:val="255875E9"/>
    <w:rsid w:val="255C7FE1"/>
    <w:rsid w:val="259039CA"/>
    <w:rsid w:val="25BF5294"/>
    <w:rsid w:val="25E1345C"/>
    <w:rsid w:val="262C30C2"/>
    <w:rsid w:val="265B21B1"/>
    <w:rsid w:val="267D1D46"/>
    <w:rsid w:val="26EA3A6D"/>
    <w:rsid w:val="27424FFB"/>
    <w:rsid w:val="278C73F8"/>
    <w:rsid w:val="27CD5BB9"/>
    <w:rsid w:val="27D53816"/>
    <w:rsid w:val="27E76A41"/>
    <w:rsid w:val="27E77AE7"/>
    <w:rsid w:val="283261F1"/>
    <w:rsid w:val="28380E74"/>
    <w:rsid w:val="286363AA"/>
    <w:rsid w:val="286861C3"/>
    <w:rsid w:val="287A0BD4"/>
    <w:rsid w:val="288250C4"/>
    <w:rsid w:val="28844BDA"/>
    <w:rsid w:val="2885743B"/>
    <w:rsid w:val="28A23BDF"/>
    <w:rsid w:val="28BD3CC7"/>
    <w:rsid w:val="28FF1AFF"/>
    <w:rsid w:val="295D104C"/>
    <w:rsid w:val="29792165"/>
    <w:rsid w:val="29B325F3"/>
    <w:rsid w:val="29EC3C5D"/>
    <w:rsid w:val="29F80F7B"/>
    <w:rsid w:val="29FE7842"/>
    <w:rsid w:val="2A2D479B"/>
    <w:rsid w:val="2A3F4BF5"/>
    <w:rsid w:val="2A7F1496"/>
    <w:rsid w:val="2A914885"/>
    <w:rsid w:val="2AA1765E"/>
    <w:rsid w:val="2AFB3EEA"/>
    <w:rsid w:val="2B036FBE"/>
    <w:rsid w:val="2B3B360F"/>
    <w:rsid w:val="2B99075C"/>
    <w:rsid w:val="2BCA04EF"/>
    <w:rsid w:val="2C027C88"/>
    <w:rsid w:val="2C4068EE"/>
    <w:rsid w:val="2C732934"/>
    <w:rsid w:val="2CAF1529"/>
    <w:rsid w:val="2CB43679"/>
    <w:rsid w:val="2CCB1056"/>
    <w:rsid w:val="2CCE35E6"/>
    <w:rsid w:val="2D7365FC"/>
    <w:rsid w:val="2D832FD8"/>
    <w:rsid w:val="2D893089"/>
    <w:rsid w:val="2DB02848"/>
    <w:rsid w:val="2DBF1FE1"/>
    <w:rsid w:val="2DC94A10"/>
    <w:rsid w:val="2E1747BF"/>
    <w:rsid w:val="2E7A59BF"/>
    <w:rsid w:val="2EC35DF5"/>
    <w:rsid w:val="2F386E4E"/>
    <w:rsid w:val="2F5F067B"/>
    <w:rsid w:val="2F6A66CC"/>
    <w:rsid w:val="2F8559C6"/>
    <w:rsid w:val="2FA07EE4"/>
    <w:rsid w:val="2FB67708"/>
    <w:rsid w:val="302208F9"/>
    <w:rsid w:val="303F12A1"/>
    <w:rsid w:val="309A4933"/>
    <w:rsid w:val="30E3452C"/>
    <w:rsid w:val="30FA3624"/>
    <w:rsid w:val="313308E4"/>
    <w:rsid w:val="313B21E2"/>
    <w:rsid w:val="31436D79"/>
    <w:rsid w:val="31487073"/>
    <w:rsid w:val="314B0E46"/>
    <w:rsid w:val="31666769"/>
    <w:rsid w:val="317437AE"/>
    <w:rsid w:val="317A6513"/>
    <w:rsid w:val="319455CF"/>
    <w:rsid w:val="31CE1418"/>
    <w:rsid w:val="31D9148B"/>
    <w:rsid w:val="31DC71A3"/>
    <w:rsid w:val="323B2146"/>
    <w:rsid w:val="3244724D"/>
    <w:rsid w:val="324A2389"/>
    <w:rsid w:val="328E54AC"/>
    <w:rsid w:val="32D84C31"/>
    <w:rsid w:val="32E45099"/>
    <w:rsid w:val="331E75B3"/>
    <w:rsid w:val="33406F8F"/>
    <w:rsid w:val="334B63B9"/>
    <w:rsid w:val="33C17097"/>
    <w:rsid w:val="341E29A6"/>
    <w:rsid w:val="345E437D"/>
    <w:rsid w:val="34900A87"/>
    <w:rsid w:val="34AE30A3"/>
    <w:rsid w:val="34FF467C"/>
    <w:rsid w:val="35042BAA"/>
    <w:rsid w:val="35221DC7"/>
    <w:rsid w:val="35667733"/>
    <w:rsid w:val="35CF10F5"/>
    <w:rsid w:val="36413AA3"/>
    <w:rsid w:val="369F01B4"/>
    <w:rsid w:val="3727621C"/>
    <w:rsid w:val="374A2DC4"/>
    <w:rsid w:val="377203B8"/>
    <w:rsid w:val="378E20E3"/>
    <w:rsid w:val="37AD13F0"/>
    <w:rsid w:val="383218F5"/>
    <w:rsid w:val="387D3C57"/>
    <w:rsid w:val="389B5520"/>
    <w:rsid w:val="38E946AA"/>
    <w:rsid w:val="39110269"/>
    <w:rsid w:val="39195E55"/>
    <w:rsid w:val="39493F52"/>
    <w:rsid w:val="397B72CC"/>
    <w:rsid w:val="397D3578"/>
    <w:rsid w:val="39A343D8"/>
    <w:rsid w:val="3A345DF9"/>
    <w:rsid w:val="3A4E3759"/>
    <w:rsid w:val="3A747227"/>
    <w:rsid w:val="3A761A2E"/>
    <w:rsid w:val="3AAA7C2D"/>
    <w:rsid w:val="3AAC011D"/>
    <w:rsid w:val="3ACB39EB"/>
    <w:rsid w:val="3AEF1D20"/>
    <w:rsid w:val="3B4C240B"/>
    <w:rsid w:val="3B651FE2"/>
    <w:rsid w:val="3B7C7FAD"/>
    <w:rsid w:val="3BB464FC"/>
    <w:rsid w:val="3BB7098A"/>
    <w:rsid w:val="3BF026A0"/>
    <w:rsid w:val="3C4F68A8"/>
    <w:rsid w:val="3C6A5B02"/>
    <w:rsid w:val="3C8F30AA"/>
    <w:rsid w:val="3C9017B0"/>
    <w:rsid w:val="3C9B0B42"/>
    <w:rsid w:val="3CB772CB"/>
    <w:rsid w:val="3CEB3167"/>
    <w:rsid w:val="3CF372D2"/>
    <w:rsid w:val="3D4268E3"/>
    <w:rsid w:val="3D580F58"/>
    <w:rsid w:val="3D7B5AED"/>
    <w:rsid w:val="3DEC2546"/>
    <w:rsid w:val="3DF91963"/>
    <w:rsid w:val="3DFC4E7F"/>
    <w:rsid w:val="3E194BC1"/>
    <w:rsid w:val="3EB0426F"/>
    <w:rsid w:val="3F012A8A"/>
    <w:rsid w:val="3F5B33C0"/>
    <w:rsid w:val="3F693EB8"/>
    <w:rsid w:val="3F756BE7"/>
    <w:rsid w:val="3FB672B0"/>
    <w:rsid w:val="3FC97212"/>
    <w:rsid w:val="3FE034BE"/>
    <w:rsid w:val="401D10DD"/>
    <w:rsid w:val="40B61873"/>
    <w:rsid w:val="40ED6D01"/>
    <w:rsid w:val="41272213"/>
    <w:rsid w:val="416C231C"/>
    <w:rsid w:val="41721A73"/>
    <w:rsid w:val="41741ECE"/>
    <w:rsid w:val="418331C2"/>
    <w:rsid w:val="41BC1BB4"/>
    <w:rsid w:val="42040BEF"/>
    <w:rsid w:val="423C2C7E"/>
    <w:rsid w:val="42701998"/>
    <w:rsid w:val="42D31F27"/>
    <w:rsid w:val="42F14FC3"/>
    <w:rsid w:val="43040332"/>
    <w:rsid w:val="430B0051"/>
    <w:rsid w:val="43294721"/>
    <w:rsid w:val="43641051"/>
    <w:rsid w:val="437439A1"/>
    <w:rsid w:val="43FB34E3"/>
    <w:rsid w:val="440A3726"/>
    <w:rsid w:val="445157F9"/>
    <w:rsid w:val="44550E45"/>
    <w:rsid w:val="44983428"/>
    <w:rsid w:val="44AF3321"/>
    <w:rsid w:val="44B80D28"/>
    <w:rsid w:val="44BD3C53"/>
    <w:rsid w:val="44FA379B"/>
    <w:rsid w:val="453C2005"/>
    <w:rsid w:val="454B049A"/>
    <w:rsid w:val="454D4439"/>
    <w:rsid w:val="45554E75"/>
    <w:rsid w:val="45B147A1"/>
    <w:rsid w:val="45B70BAF"/>
    <w:rsid w:val="45BA0898"/>
    <w:rsid w:val="461068B4"/>
    <w:rsid w:val="464E1FF0"/>
    <w:rsid w:val="46737CA9"/>
    <w:rsid w:val="46B75DE7"/>
    <w:rsid w:val="46BC102E"/>
    <w:rsid w:val="46F62A7D"/>
    <w:rsid w:val="46F85025"/>
    <w:rsid w:val="47094A53"/>
    <w:rsid w:val="477041E8"/>
    <w:rsid w:val="4780267D"/>
    <w:rsid w:val="4799478F"/>
    <w:rsid w:val="47C22C96"/>
    <w:rsid w:val="48015AC8"/>
    <w:rsid w:val="481A46C8"/>
    <w:rsid w:val="48284AC3"/>
    <w:rsid w:val="48362D3C"/>
    <w:rsid w:val="48381158"/>
    <w:rsid w:val="484C2CA3"/>
    <w:rsid w:val="488C73A1"/>
    <w:rsid w:val="48952158"/>
    <w:rsid w:val="48AC5D02"/>
    <w:rsid w:val="48FF325B"/>
    <w:rsid w:val="496547AD"/>
    <w:rsid w:val="49784744"/>
    <w:rsid w:val="49B546C3"/>
    <w:rsid w:val="49C34AA3"/>
    <w:rsid w:val="49C902C5"/>
    <w:rsid w:val="49CB1FB5"/>
    <w:rsid w:val="4A0F10CE"/>
    <w:rsid w:val="4A1672C9"/>
    <w:rsid w:val="4A1746C8"/>
    <w:rsid w:val="4A175E73"/>
    <w:rsid w:val="4A477482"/>
    <w:rsid w:val="4A633B90"/>
    <w:rsid w:val="4A6C5A80"/>
    <w:rsid w:val="4A9511A8"/>
    <w:rsid w:val="4ADB406F"/>
    <w:rsid w:val="4B0C247A"/>
    <w:rsid w:val="4B4A62F4"/>
    <w:rsid w:val="4B694D13"/>
    <w:rsid w:val="4B7F0E9E"/>
    <w:rsid w:val="4BF913E4"/>
    <w:rsid w:val="4BF95768"/>
    <w:rsid w:val="4C15535E"/>
    <w:rsid w:val="4C1573A3"/>
    <w:rsid w:val="4C520360"/>
    <w:rsid w:val="4C7F7CD3"/>
    <w:rsid w:val="4C9B1D07"/>
    <w:rsid w:val="4D113753"/>
    <w:rsid w:val="4D1B2795"/>
    <w:rsid w:val="4D203FBB"/>
    <w:rsid w:val="4DA641B8"/>
    <w:rsid w:val="4DBF18E4"/>
    <w:rsid w:val="4DF07E31"/>
    <w:rsid w:val="4DF914D1"/>
    <w:rsid w:val="4E1368CA"/>
    <w:rsid w:val="4E2D63F2"/>
    <w:rsid w:val="4E3B6988"/>
    <w:rsid w:val="4E4168DE"/>
    <w:rsid w:val="4E8A2033"/>
    <w:rsid w:val="4EC8490A"/>
    <w:rsid w:val="4EE51018"/>
    <w:rsid w:val="4EE96D5A"/>
    <w:rsid w:val="4EF10FC7"/>
    <w:rsid w:val="4F334479"/>
    <w:rsid w:val="4F561542"/>
    <w:rsid w:val="4F652907"/>
    <w:rsid w:val="4F734876"/>
    <w:rsid w:val="4F956BF2"/>
    <w:rsid w:val="4FC57BED"/>
    <w:rsid w:val="503A5202"/>
    <w:rsid w:val="506348EA"/>
    <w:rsid w:val="50AC6291"/>
    <w:rsid w:val="51587B5C"/>
    <w:rsid w:val="521A36CE"/>
    <w:rsid w:val="52273F7A"/>
    <w:rsid w:val="52592449"/>
    <w:rsid w:val="531C5FF6"/>
    <w:rsid w:val="53344B94"/>
    <w:rsid w:val="533F47B1"/>
    <w:rsid w:val="534D43D7"/>
    <w:rsid w:val="53500458"/>
    <w:rsid w:val="539B4F9B"/>
    <w:rsid w:val="53CC2A77"/>
    <w:rsid w:val="53E24C4B"/>
    <w:rsid w:val="5401121D"/>
    <w:rsid w:val="54106B37"/>
    <w:rsid w:val="54146EC2"/>
    <w:rsid w:val="54752E3E"/>
    <w:rsid w:val="547B0ED4"/>
    <w:rsid w:val="547F49C7"/>
    <w:rsid w:val="552742FF"/>
    <w:rsid w:val="55402630"/>
    <w:rsid w:val="554C0043"/>
    <w:rsid w:val="55563836"/>
    <w:rsid w:val="556A60F5"/>
    <w:rsid w:val="556C6834"/>
    <w:rsid w:val="55735DDC"/>
    <w:rsid w:val="55775434"/>
    <w:rsid w:val="56016F8D"/>
    <w:rsid w:val="566D0DDB"/>
    <w:rsid w:val="566D4183"/>
    <w:rsid w:val="56AD2D63"/>
    <w:rsid w:val="56B23ED5"/>
    <w:rsid w:val="56B24434"/>
    <w:rsid w:val="56B82DE4"/>
    <w:rsid w:val="570B7A8A"/>
    <w:rsid w:val="57617B28"/>
    <w:rsid w:val="5767467E"/>
    <w:rsid w:val="576A47B0"/>
    <w:rsid w:val="57720E96"/>
    <w:rsid w:val="57CE6149"/>
    <w:rsid w:val="57D933D8"/>
    <w:rsid w:val="57F24F2A"/>
    <w:rsid w:val="58624CFD"/>
    <w:rsid w:val="586B07E0"/>
    <w:rsid w:val="58821B71"/>
    <w:rsid w:val="58922210"/>
    <w:rsid w:val="58C90949"/>
    <w:rsid w:val="59B20B36"/>
    <w:rsid w:val="59BC3D40"/>
    <w:rsid w:val="59FD1400"/>
    <w:rsid w:val="5A032C9A"/>
    <w:rsid w:val="5A796407"/>
    <w:rsid w:val="5A9304C2"/>
    <w:rsid w:val="5AF57843"/>
    <w:rsid w:val="5B2353A2"/>
    <w:rsid w:val="5B390072"/>
    <w:rsid w:val="5B417B48"/>
    <w:rsid w:val="5B490B80"/>
    <w:rsid w:val="5B4B48F9"/>
    <w:rsid w:val="5B602B8D"/>
    <w:rsid w:val="5BF60D08"/>
    <w:rsid w:val="5C031F8B"/>
    <w:rsid w:val="5C245D10"/>
    <w:rsid w:val="5C361105"/>
    <w:rsid w:val="5CB93880"/>
    <w:rsid w:val="5CE5510F"/>
    <w:rsid w:val="5D563A15"/>
    <w:rsid w:val="5DA86032"/>
    <w:rsid w:val="5DF41277"/>
    <w:rsid w:val="5E007C1C"/>
    <w:rsid w:val="5EE74938"/>
    <w:rsid w:val="5F394535"/>
    <w:rsid w:val="5F97010C"/>
    <w:rsid w:val="5FBD7995"/>
    <w:rsid w:val="5FCD7FD2"/>
    <w:rsid w:val="5FFF5BA8"/>
    <w:rsid w:val="6014175D"/>
    <w:rsid w:val="60251BBC"/>
    <w:rsid w:val="607A09C6"/>
    <w:rsid w:val="608A1736"/>
    <w:rsid w:val="609F4FE8"/>
    <w:rsid w:val="60A56859"/>
    <w:rsid w:val="613253CF"/>
    <w:rsid w:val="61330309"/>
    <w:rsid w:val="613D1187"/>
    <w:rsid w:val="613F0A5C"/>
    <w:rsid w:val="61406D63"/>
    <w:rsid w:val="61D309C1"/>
    <w:rsid w:val="620160A1"/>
    <w:rsid w:val="622D5A78"/>
    <w:rsid w:val="62333B94"/>
    <w:rsid w:val="625C73EB"/>
    <w:rsid w:val="626B2006"/>
    <w:rsid w:val="62A10321"/>
    <w:rsid w:val="63316ACA"/>
    <w:rsid w:val="63644067"/>
    <w:rsid w:val="63846BFA"/>
    <w:rsid w:val="63C04E0D"/>
    <w:rsid w:val="645D0076"/>
    <w:rsid w:val="645E3786"/>
    <w:rsid w:val="64816C98"/>
    <w:rsid w:val="64E5439B"/>
    <w:rsid w:val="6523039D"/>
    <w:rsid w:val="65CA501B"/>
    <w:rsid w:val="65DE7033"/>
    <w:rsid w:val="65E72516"/>
    <w:rsid w:val="660109D5"/>
    <w:rsid w:val="66067D9A"/>
    <w:rsid w:val="66440611"/>
    <w:rsid w:val="665424C1"/>
    <w:rsid w:val="667E5B82"/>
    <w:rsid w:val="6686712D"/>
    <w:rsid w:val="66A743CB"/>
    <w:rsid w:val="66AE5CE5"/>
    <w:rsid w:val="66C56598"/>
    <w:rsid w:val="67417566"/>
    <w:rsid w:val="677476CC"/>
    <w:rsid w:val="678C7DEF"/>
    <w:rsid w:val="67D47E74"/>
    <w:rsid w:val="67DF4E1C"/>
    <w:rsid w:val="68AF296B"/>
    <w:rsid w:val="68F4037D"/>
    <w:rsid w:val="690A4E0D"/>
    <w:rsid w:val="69D911D4"/>
    <w:rsid w:val="6A0171F6"/>
    <w:rsid w:val="6A211646"/>
    <w:rsid w:val="6A56439B"/>
    <w:rsid w:val="6A683EEF"/>
    <w:rsid w:val="6AA9734A"/>
    <w:rsid w:val="6B0D3978"/>
    <w:rsid w:val="6B272C67"/>
    <w:rsid w:val="6B317066"/>
    <w:rsid w:val="6B537E5F"/>
    <w:rsid w:val="6B6F4633"/>
    <w:rsid w:val="6BC229B5"/>
    <w:rsid w:val="6BFD579B"/>
    <w:rsid w:val="6C1E4E98"/>
    <w:rsid w:val="6C38544E"/>
    <w:rsid w:val="6C423325"/>
    <w:rsid w:val="6CCE030A"/>
    <w:rsid w:val="6CD71DF8"/>
    <w:rsid w:val="6CF05300"/>
    <w:rsid w:val="6CF97917"/>
    <w:rsid w:val="6CFC757E"/>
    <w:rsid w:val="6D3276C6"/>
    <w:rsid w:val="6D417909"/>
    <w:rsid w:val="6D5238C5"/>
    <w:rsid w:val="6D6672C9"/>
    <w:rsid w:val="6D9B2BEF"/>
    <w:rsid w:val="6E0E1EE1"/>
    <w:rsid w:val="6E9A79E9"/>
    <w:rsid w:val="6ED0363B"/>
    <w:rsid w:val="6EDD3662"/>
    <w:rsid w:val="6EE42C42"/>
    <w:rsid w:val="6EEF1D13"/>
    <w:rsid w:val="6F1304BA"/>
    <w:rsid w:val="6F765F90"/>
    <w:rsid w:val="6F7B0AEA"/>
    <w:rsid w:val="6F863CF9"/>
    <w:rsid w:val="6FA91F61"/>
    <w:rsid w:val="6FC34F4E"/>
    <w:rsid w:val="6FE506ED"/>
    <w:rsid w:val="701D2C39"/>
    <w:rsid w:val="70270955"/>
    <w:rsid w:val="70365454"/>
    <w:rsid w:val="703B0F88"/>
    <w:rsid w:val="70536B84"/>
    <w:rsid w:val="706C2AAB"/>
    <w:rsid w:val="70EF5EDC"/>
    <w:rsid w:val="7130216F"/>
    <w:rsid w:val="71324139"/>
    <w:rsid w:val="71584144"/>
    <w:rsid w:val="715D19E6"/>
    <w:rsid w:val="71AB7A47"/>
    <w:rsid w:val="722717C4"/>
    <w:rsid w:val="72474784"/>
    <w:rsid w:val="727214D3"/>
    <w:rsid w:val="72B65C67"/>
    <w:rsid w:val="72BF7C4E"/>
    <w:rsid w:val="72FA6ED8"/>
    <w:rsid w:val="738C1A2B"/>
    <w:rsid w:val="739509AF"/>
    <w:rsid w:val="73B057E9"/>
    <w:rsid w:val="73B25989"/>
    <w:rsid w:val="73F62C83"/>
    <w:rsid w:val="740D4F28"/>
    <w:rsid w:val="74DC5EBB"/>
    <w:rsid w:val="74EF29BE"/>
    <w:rsid w:val="74FA31C0"/>
    <w:rsid w:val="75047B9A"/>
    <w:rsid w:val="750758DC"/>
    <w:rsid w:val="753A476D"/>
    <w:rsid w:val="75542FDE"/>
    <w:rsid w:val="75AC740F"/>
    <w:rsid w:val="76143E0D"/>
    <w:rsid w:val="764211C6"/>
    <w:rsid w:val="769D60E3"/>
    <w:rsid w:val="770C71DA"/>
    <w:rsid w:val="77226B8B"/>
    <w:rsid w:val="77646BE8"/>
    <w:rsid w:val="77707769"/>
    <w:rsid w:val="77911BC2"/>
    <w:rsid w:val="77C74EAF"/>
    <w:rsid w:val="78034139"/>
    <w:rsid w:val="7811647C"/>
    <w:rsid w:val="782C7B34"/>
    <w:rsid w:val="78445FA5"/>
    <w:rsid w:val="784D7AAA"/>
    <w:rsid w:val="78551CF5"/>
    <w:rsid w:val="785E1CB7"/>
    <w:rsid w:val="78880AE2"/>
    <w:rsid w:val="788A485A"/>
    <w:rsid w:val="788D77FD"/>
    <w:rsid w:val="78F626F0"/>
    <w:rsid w:val="78F9378E"/>
    <w:rsid w:val="79690371"/>
    <w:rsid w:val="796B5F6C"/>
    <w:rsid w:val="799A287B"/>
    <w:rsid w:val="79D36350"/>
    <w:rsid w:val="7A330BE3"/>
    <w:rsid w:val="7A5D747E"/>
    <w:rsid w:val="7A650EE2"/>
    <w:rsid w:val="7A886B78"/>
    <w:rsid w:val="7AA03EC1"/>
    <w:rsid w:val="7AA53BCD"/>
    <w:rsid w:val="7AC1208A"/>
    <w:rsid w:val="7AD262B9"/>
    <w:rsid w:val="7B073F40"/>
    <w:rsid w:val="7B242D44"/>
    <w:rsid w:val="7B8739B8"/>
    <w:rsid w:val="7B8A08DF"/>
    <w:rsid w:val="7BED2F6D"/>
    <w:rsid w:val="7C66738C"/>
    <w:rsid w:val="7C6F2B32"/>
    <w:rsid w:val="7D2F59D0"/>
    <w:rsid w:val="7D511DEB"/>
    <w:rsid w:val="7D586CD5"/>
    <w:rsid w:val="7D5E2DD2"/>
    <w:rsid w:val="7D7934EC"/>
    <w:rsid w:val="7D873E4B"/>
    <w:rsid w:val="7D9F1E92"/>
    <w:rsid w:val="7DCB52AB"/>
    <w:rsid w:val="7DE62533"/>
    <w:rsid w:val="7DED5311"/>
    <w:rsid w:val="7E4E2D56"/>
    <w:rsid w:val="7E7E276B"/>
    <w:rsid w:val="7EF10E29"/>
    <w:rsid w:val="7EF944E8"/>
    <w:rsid w:val="7F945082"/>
    <w:rsid w:val="7FDF36DE"/>
    <w:rsid w:val="7FE13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BA886D-02CE-4FD2-B2BE-3A7BAAE60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qFormat="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uiPriority="0"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9"/>
    <w:qFormat/>
    <w:pPr>
      <w:keepNext/>
      <w:keepLines/>
      <w:spacing w:before="260" w:after="260"/>
      <w:jc w:val="center"/>
      <w:outlineLvl w:val="1"/>
    </w:pPr>
    <w:rPr>
      <w:rFonts w:eastAsia="华文中宋" w:cs="Times New Roman"/>
      <w:b/>
      <w:bCs/>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99"/>
    <w:qFormat/>
    <w:rPr>
      <w:rFonts w:ascii="仿宋_GB2312" w:eastAsia="仿宋_GB2312"/>
      <w:sz w:val="30"/>
    </w:rPr>
  </w:style>
  <w:style w:type="paragraph" w:styleId="a4">
    <w:name w:val="table of authorities"/>
    <w:basedOn w:val="a"/>
    <w:next w:val="a"/>
    <w:qFormat/>
    <w:pPr>
      <w:ind w:leftChars="200" w:left="420"/>
    </w:pPr>
  </w:style>
  <w:style w:type="paragraph" w:styleId="a5">
    <w:name w:val="Normal Indent"/>
    <w:basedOn w:val="a"/>
    <w:qFormat/>
    <w:pPr>
      <w:ind w:firstLine="420"/>
    </w:pPr>
    <w:rPr>
      <w:szCs w:val="21"/>
    </w:rPr>
  </w:style>
  <w:style w:type="paragraph" w:styleId="a6">
    <w:name w:val="annotation text"/>
    <w:basedOn w:val="a"/>
    <w:uiPriority w:val="99"/>
    <w:semiHidden/>
    <w:unhideWhenUsed/>
    <w:qFormat/>
    <w:pPr>
      <w:jc w:val="left"/>
    </w:pPr>
  </w:style>
  <w:style w:type="paragraph" w:styleId="a7">
    <w:name w:val="Body Text Indent"/>
    <w:basedOn w:val="a"/>
    <w:uiPriority w:val="99"/>
    <w:unhideWhenUsed/>
    <w:qFormat/>
    <w:pPr>
      <w:spacing w:after="120"/>
      <w:ind w:leftChars="200" w:left="420"/>
    </w:pPr>
  </w:style>
  <w:style w:type="paragraph" w:styleId="20">
    <w:name w:val="Body Text Indent 2"/>
    <w:basedOn w:val="a"/>
    <w:qFormat/>
    <w:pPr>
      <w:spacing w:after="120" w:line="480" w:lineRule="auto"/>
      <w:ind w:leftChars="200" w:left="420"/>
    </w:pPr>
    <w:rPr>
      <w:szCs w:val="21"/>
    </w:rPr>
  </w:style>
  <w:style w:type="paragraph" w:styleId="a8">
    <w:name w:val="footer"/>
    <w:basedOn w:val="a"/>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style>
  <w:style w:type="paragraph" w:styleId="9">
    <w:name w:val="index 9"/>
    <w:basedOn w:val="a"/>
    <w:next w:val="a"/>
    <w:uiPriority w:val="99"/>
    <w:qFormat/>
    <w:pPr>
      <w:ind w:leftChars="1600" w:left="1600"/>
    </w:pPr>
  </w:style>
  <w:style w:type="paragraph" w:styleId="21">
    <w:name w:val="toc 2"/>
    <w:basedOn w:val="a"/>
    <w:next w:val="a"/>
    <w:uiPriority w:val="39"/>
    <w:unhideWhenUsed/>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a">
    <w:name w:val="Body Text First Indent"/>
    <w:basedOn w:val="a0"/>
    <w:unhideWhenUsed/>
    <w:qFormat/>
    <w:pPr>
      <w:ind w:firstLineChars="100" w:firstLine="420"/>
    </w:pPr>
  </w:style>
  <w:style w:type="paragraph" w:styleId="22">
    <w:name w:val="Body Text First Indent 2"/>
    <w:basedOn w:val="a7"/>
    <w:uiPriority w:val="99"/>
    <w:unhideWhenUsed/>
    <w:qFormat/>
    <w:pPr>
      <w:widowControl/>
      <w:wordWrap w:val="0"/>
      <w:ind w:firstLineChars="200" w:firstLine="420"/>
    </w:pPr>
    <w:rPr>
      <w:kern w:val="0"/>
      <w:sz w:val="20"/>
      <w:szCs w:val="20"/>
    </w:rPr>
  </w:style>
  <w:style w:type="paragraph" w:customStyle="1" w:styleId="11">
    <w:name w:val="无间隔1"/>
    <w:qFormat/>
    <w:rPr>
      <w:sz w:val="22"/>
      <w:szCs w:val="22"/>
    </w:rPr>
  </w:style>
  <w:style w:type="paragraph" w:styleId="ab">
    <w:name w:val="List Paragraph"/>
    <w:basedOn w:val="a"/>
    <w:uiPriority w:val="34"/>
    <w:qFormat/>
    <w:pPr>
      <w:ind w:firstLineChars="200" w:firstLine="420"/>
    </w:pPr>
  </w:style>
  <w:style w:type="paragraph" w:customStyle="1" w:styleId="ac">
    <w:name w:val="表格"/>
    <w:basedOn w:val="a"/>
    <w:qFormat/>
    <w:pPr>
      <w:autoSpaceDN w:val="0"/>
      <w:jc w:val="center"/>
    </w:pPr>
    <w:rPr>
      <w:rFonts w:ascii="Verdana" w:eastAsia="仿宋_GB2312" w:hAnsi="Verdana" w:cs="Times New Roman"/>
      <w:bCs/>
      <w:sz w:val="24"/>
      <w:szCs w:val="21"/>
      <w:lang w:eastAsia="en-US"/>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font11">
    <w:name w:val="font11"/>
    <w:basedOn w:val="a1"/>
    <w:qFormat/>
    <w:rPr>
      <w:rFonts w:ascii="仿宋" w:eastAsia="仿宋" w:hAnsi="仿宋" w:cs="仿宋"/>
      <w:color w:val="000000"/>
      <w:sz w:val="24"/>
      <w:szCs w:val="24"/>
      <w:u w:val="none"/>
    </w:rPr>
  </w:style>
  <w:style w:type="paragraph" w:customStyle="1" w:styleId="ad">
    <w:name w:val="二级"/>
    <w:basedOn w:val="a"/>
    <w:qFormat/>
    <w:pPr>
      <w:autoSpaceDN w:val="0"/>
      <w:spacing w:line="400" w:lineRule="exact"/>
      <w:outlineLvl w:val="2"/>
    </w:pPr>
    <w:rPr>
      <w:rFonts w:ascii="宋体" w:hAnsi="宋体"/>
      <w:b/>
      <w:bCs/>
      <w:sz w:val="28"/>
      <w:szCs w:val="28"/>
      <w:lang w:eastAsia="en-U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character" w:customStyle="1" w:styleId="bjh-p">
    <w:name w:val="bjh-p"/>
    <w:basedOn w:val="a1"/>
    <w:qFormat/>
  </w:style>
  <w:style w:type="paragraph" w:customStyle="1" w:styleId="3">
    <w:name w:val="标题3"/>
    <w:basedOn w:val="a"/>
    <w:next w:val="a"/>
    <w:qFormat/>
    <w:pPr>
      <w:snapToGrid w:val="0"/>
      <w:spacing w:line="360" w:lineRule="auto"/>
      <w:ind w:firstLineChars="200" w:firstLine="200"/>
      <w:outlineLvl w:val="2"/>
    </w:pPr>
    <w:rPr>
      <w:rFonts w:ascii="仿宋_GB2312" w:eastAsia="仿宋_GB2312" w:hAnsi="华文宋体"/>
      <w:sz w:val="32"/>
      <w:szCs w:val="32"/>
    </w:rPr>
  </w:style>
  <w:style w:type="character" w:customStyle="1" w:styleId="font41">
    <w:name w:val="font4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 w:type="paragraph" w:customStyle="1" w:styleId="13">
    <w:name w:val="列表段落1"/>
    <w:basedOn w:val="a"/>
    <w:uiPriority w:val="1"/>
    <w:qFormat/>
    <w:pPr>
      <w:spacing w:before="215"/>
      <w:ind w:left="1702" w:hanging="32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2023</Words>
  <Characters>11534</Characters>
  <Application>Microsoft Office Word</Application>
  <DocSecurity>0</DocSecurity>
  <Lines>96</Lines>
  <Paragraphs>27</Paragraphs>
  <ScaleCrop>false</ScaleCrop>
  <Company/>
  <LinksUpToDate>false</LinksUpToDate>
  <CharactersWithSpaces>13530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岳辰 于</dc:creator>
  <cp:lastModifiedBy>丁学通</cp:lastModifiedBy>
  <cp:revision>15</cp:revision>
  <cp:lastPrinted>2023-05-15T06:41:00Z</cp:lastPrinted>
  <dcterms:created xsi:type="dcterms:W3CDTF">2022-04-13T02:14:00Z</dcterms:created>
  <dcterms:modified xsi:type="dcterms:W3CDTF">2023-06-14T01:05:00Z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EB5090B4484D41DBAFF293C722D451BD</vt:lpwstr>
  </property>
</Properties>
</file>